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0DB35" w14:textId="77777777" w:rsidR="00EF5022" w:rsidRDefault="00EF5022" w:rsidP="00EF5022">
      <w:pPr>
        <w:pStyle w:val="Date"/>
        <w:tabs>
          <w:tab w:val="left" w:pos="7995"/>
        </w:tabs>
      </w:pPr>
      <w:r>
        <w:t>August 2022</w:t>
      </w:r>
    </w:p>
    <w:p w14:paraId="7BD860CA" w14:textId="77777777" w:rsidR="00EF5022" w:rsidRPr="00DE3FAA" w:rsidRDefault="00EF5022" w:rsidP="00EF5022">
      <w:pPr>
        <w:pStyle w:val="Series"/>
        <w:rPr>
          <w:color w:val="197C7D"/>
        </w:rPr>
      </w:pPr>
      <w:r w:rsidRPr="00DE3FAA">
        <w:rPr>
          <w:color w:val="197C7D"/>
        </w:rPr>
        <w:t>Safeguard Mechanism reform consultation factsheet</w:t>
      </w:r>
    </w:p>
    <w:p w14:paraId="37061DF1" w14:textId="77777777" w:rsidR="00EF5022" w:rsidRPr="005A000F" w:rsidRDefault="00EF5022" w:rsidP="00EF5022">
      <w:pPr>
        <w:pStyle w:val="Heading1"/>
      </w:pPr>
      <w:r>
        <w:t>Setting baselines under the Safeguard Mechanism</w:t>
      </w:r>
    </w:p>
    <w:p w14:paraId="00B78A6F" w14:textId="77777777" w:rsidR="00EF5022" w:rsidRPr="003D51C9" w:rsidRDefault="00EF5022" w:rsidP="00EF5022">
      <w:pPr>
        <w:pStyle w:val="Heading2"/>
        <w:rPr>
          <w:b w:val="0"/>
          <w:bCs w:val="0"/>
          <w:color w:val="197C7D"/>
        </w:rPr>
      </w:pPr>
      <w:r w:rsidRPr="003D51C9">
        <w:rPr>
          <w:color w:val="197C7D"/>
        </w:rPr>
        <w:t>What is a baseline?</w:t>
      </w:r>
    </w:p>
    <w:p w14:paraId="1C467CAC" w14:textId="77777777" w:rsidR="00EF5022" w:rsidRDefault="00EF5022" w:rsidP="00EF5022">
      <w:r>
        <w:t>The Safeguard Mechanism places a limit on the amount of greenhouse gases Australia’s largest industrial facilities can emit. These limits are called ‘baselines’. Each industrial facility that the Safeguard Mechanism applies to has a baseline set by the Clean Energy Regulator.</w:t>
      </w:r>
    </w:p>
    <w:p w14:paraId="57299CBD" w14:textId="77777777" w:rsidR="00EF5022" w:rsidRDefault="00EF5022" w:rsidP="00EF5022">
      <w:pPr>
        <w:keepNext/>
      </w:pPr>
      <w:r>
        <w:t xml:space="preserve">Two types of baseline have been used under the scheme. These are: </w:t>
      </w:r>
    </w:p>
    <w:p w14:paraId="726EE439" w14:textId="77777777" w:rsidR="00EF5022" w:rsidRDefault="00EF5022" w:rsidP="008A2E48">
      <w:pPr>
        <w:pStyle w:val="ListParagraph"/>
        <w:numPr>
          <w:ilvl w:val="0"/>
          <w:numId w:val="46"/>
        </w:numPr>
        <w:ind w:left="714" w:hanging="357"/>
        <w:contextualSpacing w:val="0"/>
      </w:pPr>
      <w:r w:rsidRPr="000A190B">
        <w:rPr>
          <w:b/>
        </w:rPr>
        <w:t xml:space="preserve">Fixed </w:t>
      </w:r>
      <w:r w:rsidRPr="000A190B">
        <w:t>(</w:t>
      </w:r>
      <w:r>
        <w:t xml:space="preserve">or </w:t>
      </w:r>
      <w:r w:rsidRPr="000A190B">
        <w:t xml:space="preserve">absolute) </w:t>
      </w:r>
      <w:r>
        <w:t xml:space="preserve">baselines place a total limit on the emissions a facility can produce. They can be expressed as a total number of tonnes of </w:t>
      </w:r>
      <w:r w:rsidRPr="002117A7">
        <w:t>CO</w:t>
      </w:r>
      <w:r w:rsidRPr="009306CE">
        <w:rPr>
          <w:vertAlign w:val="subscript"/>
        </w:rPr>
        <w:t>2</w:t>
      </w:r>
      <w:r w:rsidRPr="002117A7">
        <w:t>-e</w:t>
      </w:r>
      <w:r>
        <w:t xml:space="preserve"> per year. A facility can meet a fixed baseline by either reducing their output or improving their emissions-intensity.</w:t>
      </w:r>
    </w:p>
    <w:p w14:paraId="233653E6" w14:textId="77777777" w:rsidR="00EF5022" w:rsidRDefault="00EF5022" w:rsidP="00EF5022">
      <w:pPr>
        <w:pStyle w:val="ListParagraph"/>
        <w:numPr>
          <w:ilvl w:val="0"/>
          <w:numId w:val="46"/>
        </w:numPr>
      </w:pPr>
      <w:r w:rsidRPr="00411DD9">
        <w:rPr>
          <w:b/>
        </w:rPr>
        <w:t>Production-adjusted</w:t>
      </w:r>
      <w:r>
        <w:t xml:space="preserve"> (or emissions-intensity) baselines place a limit on the amount of emissions a facility can emit on </w:t>
      </w:r>
      <w:r w:rsidRPr="00D01D5C">
        <w:t>average to make their product</w:t>
      </w:r>
      <w:r>
        <w:t xml:space="preserve"> or service. They are based on a total number of tonnes of </w:t>
      </w:r>
      <w:r w:rsidRPr="002117A7">
        <w:t>CO</w:t>
      </w:r>
      <w:r w:rsidRPr="00411DD9">
        <w:rPr>
          <w:vertAlign w:val="subscript"/>
        </w:rPr>
        <w:t>2</w:t>
      </w:r>
      <w:r w:rsidRPr="002117A7">
        <w:t>-e</w:t>
      </w:r>
      <w:r>
        <w:t xml:space="preserve"> per unit of output. A facility can only meet a production-adjusted baseline by improving the emissions-intensity of their production.</w:t>
      </w:r>
    </w:p>
    <w:p w14:paraId="763D5553" w14:textId="77777777" w:rsidR="00EF5022" w:rsidRDefault="00EF5022" w:rsidP="00EF5022">
      <w:r>
        <w:t xml:space="preserve">The Safeguard Mechanism transitioned to a production-adjusted framework over the period 2019 to 2021. Consultation on the reforms to the Safeguard Mechanism seek views on whether the reformed scheme should operate on a fixed or a production-adjusted basis.  </w:t>
      </w:r>
    </w:p>
    <w:p w14:paraId="29FF48E4" w14:textId="77777777" w:rsidR="00EF5022" w:rsidRPr="003D51C9" w:rsidRDefault="00EF5022" w:rsidP="00EF5022">
      <w:pPr>
        <w:pStyle w:val="Heading2"/>
        <w:rPr>
          <w:b w:val="0"/>
          <w:bCs w:val="0"/>
          <w:color w:val="197C7D"/>
        </w:rPr>
      </w:pPr>
      <w:r w:rsidRPr="003D51C9">
        <w:rPr>
          <w:color w:val="197C7D"/>
        </w:rPr>
        <w:t>How does the Safeguard Mechanism set baselines now?</w:t>
      </w:r>
    </w:p>
    <w:p w14:paraId="419C107F" w14:textId="77777777" w:rsidR="00EF5022" w:rsidRDefault="00EF5022" w:rsidP="00EF5022">
      <w:r>
        <w:t xml:space="preserve">The Safeguard Mechanism has applied baselines to facilities since it commenced in 2016. At the moment most facilities have production-adjusted baselines (or will move onto them soon). </w:t>
      </w:r>
    </w:p>
    <w:p w14:paraId="1B319E6C" w14:textId="77777777" w:rsidR="00EF5022" w:rsidRDefault="00EF5022" w:rsidP="00EF5022">
      <w:r w:rsidDel="006E07D2">
        <w:t xml:space="preserve"> </w:t>
      </w:r>
      <w:r>
        <w:t>The following variables are used to set production-adjusted baselines:</w:t>
      </w:r>
    </w:p>
    <w:p w14:paraId="5997573F" w14:textId="77777777" w:rsidR="00EF5022" w:rsidRDefault="00EF5022" w:rsidP="008A2E48">
      <w:pPr>
        <w:pStyle w:val="ListParagraph"/>
        <w:numPr>
          <w:ilvl w:val="0"/>
          <w:numId w:val="46"/>
        </w:numPr>
        <w:ind w:left="714" w:hanging="357"/>
        <w:contextualSpacing w:val="0"/>
      </w:pPr>
      <w:r w:rsidRPr="007A7E1A">
        <w:rPr>
          <w:b/>
        </w:rPr>
        <w:t xml:space="preserve">Production variables (PVs) </w:t>
      </w:r>
      <w:r w:rsidRPr="00E77F88">
        <w:t>identif</w:t>
      </w:r>
      <w:r>
        <w:t>y</w:t>
      </w:r>
      <w:r w:rsidRPr="00E77F88">
        <w:t xml:space="preserve"> the product or service being delivered, for example, tonnes of alumina or passenger kilometres.</w:t>
      </w:r>
    </w:p>
    <w:p w14:paraId="1DFAE6B4" w14:textId="77777777" w:rsidR="00EF5022" w:rsidRDefault="00EF5022" w:rsidP="00EF5022">
      <w:pPr>
        <w:pStyle w:val="ListParagraph"/>
        <w:numPr>
          <w:ilvl w:val="0"/>
          <w:numId w:val="46"/>
        </w:numPr>
      </w:pPr>
      <w:r w:rsidRPr="007A7E1A">
        <w:rPr>
          <w:b/>
        </w:rPr>
        <w:t>Emissions-intensity values (EIs</w:t>
      </w:r>
      <w:r w:rsidRPr="007E6783">
        <w:rPr>
          <w:b/>
        </w:rPr>
        <w:t xml:space="preserve">) </w:t>
      </w:r>
      <w:r w:rsidRPr="00E77F88">
        <w:t>specif</w:t>
      </w:r>
      <w:r>
        <w:t>y</w:t>
      </w:r>
      <w:r w:rsidRPr="00E77F88">
        <w:t xml:space="preserve"> the emissions-intensity of production, for example, emissions per tonne of alumina or emissions per passenger kilometre</w:t>
      </w:r>
      <w:r>
        <w:t xml:space="preserve">. To date, baselines have been set using a facility’s own ‘site-specific’ emissions intensity value, or a Government-set benchmark emissions intensity value that represents the average emissions intensity of the sector.   </w:t>
      </w:r>
    </w:p>
    <w:p w14:paraId="3D714090" w14:textId="77777777" w:rsidR="00EF5022" w:rsidRDefault="00EF5022" w:rsidP="00EF5022">
      <w:r>
        <w:t>B</w:t>
      </w:r>
      <w:r w:rsidRPr="00E77F88">
        <w:t>aseline</w:t>
      </w:r>
      <w:r>
        <w:t>s are calculated by</w:t>
      </w:r>
      <w:r w:rsidRPr="00E77F88">
        <w:t xml:space="preserve"> </w:t>
      </w:r>
      <w:r>
        <w:t>multiplying the quantity of</w:t>
      </w:r>
      <w:r w:rsidRPr="00E77F88">
        <w:t xml:space="preserve"> ‘production’ by the ‘emissions-intensity of production’ for each relevant production variable </w:t>
      </w:r>
      <w:r>
        <w:t>for</w:t>
      </w:r>
      <w:r w:rsidRPr="00E77F88">
        <w:t xml:space="preserve"> the facility</w:t>
      </w:r>
      <w:r>
        <w:t xml:space="preserve">. </w:t>
      </w:r>
    </w:p>
    <w:p w14:paraId="3CC69E7E" w14:textId="77777777" w:rsidR="00EF5022" w:rsidRPr="003D51C9" w:rsidRDefault="00EF5022" w:rsidP="008A2E48">
      <w:pPr>
        <w:pStyle w:val="Heading2"/>
        <w:spacing w:before="240"/>
        <w:rPr>
          <w:b w:val="0"/>
          <w:bCs w:val="0"/>
          <w:color w:val="197C7D"/>
        </w:rPr>
      </w:pPr>
      <w:r w:rsidRPr="003D51C9">
        <w:rPr>
          <w:color w:val="197C7D"/>
        </w:rPr>
        <w:lastRenderedPageBreak/>
        <w:t>Why do baselines need to change?</w:t>
      </w:r>
    </w:p>
    <w:p w14:paraId="2ABB1ADF" w14:textId="77777777" w:rsidR="00EF5022" w:rsidRDefault="00EF5022" w:rsidP="00EF5022">
      <w:r>
        <w:t xml:space="preserve">Baselines must be reduced for the Safeguard Mechanism to contribute its share of Australia’s emissions reduction targets. How baselines are set will influence the costs and benefits faced by each facility on their path to net zero. The aim is to design the policy in a way that shares these impacts equitably. </w:t>
      </w:r>
    </w:p>
    <w:p w14:paraId="333533D1" w14:textId="77777777" w:rsidR="00EF5022" w:rsidRDefault="00EF5022" w:rsidP="00EF5022">
      <w:r>
        <w:t>The</w:t>
      </w:r>
      <w:r w:rsidRPr="005A000F">
        <w:t xml:space="preserve"> </w:t>
      </w:r>
      <w:r>
        <w:t>c</w:t>
      </w:r>
      <w:r w:rsidRPr="005A000F">
        <w:t xml:space="preserve">onsultation </w:t>
      </w:r>
      <w:r>
        <w:t>p</w:t>
      </w:r>
      <w:r w:rsidRPr="005A000F">
        <w:t>aper</w:t>
      </w:r>
      <w:r>
        <w:t xml:space="preserve"> on the reforms to the Safeguard Mechanism </w:t>
      </w:r>
      <w:r w:rsidRPr="00D01D5C">
        <w:t xml:space="preserve">puts forward </w:t>
      </w:r>
      <w:r>
        <w:t>options for how baselines can be set, and seeks stakeholders’ views</w:t>
      </w:r>
      <w:r w:rsidRPr="00D01D5C">
        <w:t>.</w:t>
      </w:r>
      <w:r>
        <w:t xml:space="preserve"> </w:t>
      </w:r>
    </w:p>
    <w:p w14:paraId="1B119984" w14:textId="417E8BFC" w:rsidR="00EF5022" w:rsidRDefault="00EF5022" w:rsidP="00EF5022">
      <w:pPr>
        <w:keepNext/>
      </w:pPr>
      <w:r>
        <w:t>The consultation paper also puts forward options to remove ‘he</w:t>
      </w:r>
      <w:r w:rsidR="00545904">
        <w:t>adroom’ and for how baselines c</w:t>
      </w:r>
      <w:r>
        <w:t>ould be set for new facilities.</w:t>
      </w:r>
    </w:p>
    <w:p w14:paraId="0D3B2676" w14:textId="77777777" w:rsidR="00EF5022" w:rsidRPr="003D51C9" w:rsidRDefault="00EF5022" w:rsidP="008A2E48">
      <w:pPr>
        <w:pStyle w:val="Heading2"/>
        <w:spacing w:before="240"/>
        <w:rPr>
          <w:b w:val="0"/>
          <w:bCs w:val="0"/>
          <w:color w:val="197C7D"/>
        </w:rPr>
      </w:pPr>
      <w:r w:rsidRPr="003D51C9">
        <w:rPr>
          <w:color w:val="197C7D"/>
        </w:rPr>
        <w:t>Headroom</w:t>
      </w:r>
    </w:p>
    <w:p w14:paraId="313F379D" w14:textId="77777777" w:rsidR="00EF5022" w:rsidRDefault="00EF5022" w:rsidP="00EF5022">
      <w:r>
        <w:t>Currently, the level of emissions allowed by baselines under the Safeguard Mechanism are higher than the actual emissions Safeguard facilities produce.</w:t>
      </w:r>
      <w:r w:rsidRPr="004F10A6">
        <w:t xml:space="preserve"> </w:t>
      </w:r>
      <w:r>
        <w:t xml:space="preserve">The difference between the emissions and the baseline is referred to as ‘headroom’. </w:t>
      </w:r>
    </w:p>
    <w:p w14:paraId="61454518" w14:textId="77777777" w:rsidR="00EF5022" w:rsidRDefault="00EF5022" w:rsidP="00EF5022">
      <w:r>
        <w:t xml:space="preserve">Unless this headroom is removed, it will be several years before baselines fall far enough to produce any </w:t>
      </w:r>
      <w:bookmarkStart w:id="0" w:name="_GoBack"/>
      <w:bookmarkEnd w:id="0"/>
      <w:r>
        <w:t xml:space="preserve">emission reductions. </w:t>
      </w:r>
    </w:p>
    <w:p w14:paraId="3978995D" w14:textId="77777777" w:rsidR="00EF5022" w:rsidRDefault="00EF5022" w:rsidP="00EF5022">
      <w:r>
        <w:t xml:space="preserve">Under the reformed scheme it is proposed that facilities that can beat their baselines be issued with Safeguard Mechanism Credits (SMCs). These credits could be sold to facilities that are above their baselines as a way for them to comply with the Mechanism. Unless headroom is removed, many facilities could receive credits while continuing to emit at high levels.   </w:t>
      </w:r>
    </w:p>
    <w:p w14:paraId="62A050FC" w14:textId="77777777" w:rsidR="00EF5022" w:rsidRDefault="00EF5022" w:rsidP="00EF5022">
      <w:r>
        <w:t>The c</w:t>
      </w:r>
      <w:r w:rsidRPr="002E770D">
        <w:t xml:space="preserve">onsultation </w:t>
      </w:r>
      <w:r>
        <w:t>p</w:t>
      </w:r>
      <w:r w:rsidRPr="002E770D">
        <w:t>aper</w:t>
      </w:r>
      <w:r>
        <w:t xml:space="preserve"> seeks views on two primary options for removing headroom by resetting baselines. These options determine the emissions-intensity value used to calculate a facility’s baseline. They are:</w:t>
      </w:r>
    </w:p>
    <w:p w14:paraId="3B4FC956" w14:textId="77777777" w:rsidR="00EF5022" w:rsidRDefault="00EF5022" w:rsidP="008A2E48">
      <w:pPr>
        <w:pStyle w:val="ListParagraph"/>
        <w:numPr>
          <w:ilvl w:val="0"/>
          <w:numId w:val="48"/>
        </w:numPr>
        <w:ind w:left="714" w:hanging="357"/>
        <w:contextualSpacing w:val="0"/>
      </w:pPr>
      <w:r>
        <w:rPr>
          <w:b/>
        </w:rPr>
        <w:t>Benchmark</w:t>
      </w:r>
      <w:r w:rsidRPr="005A000F">
        <w:rPr>
          <w:b/>
        </w:rPr>
        <w:t xml:space="preserve"> (industry average) </w:t>
      </w:r>
      <w:r w:rsidRPr="0094167E">
        <w:t>emissions-intensity values</w:t>
      </w:r>
      <w:r>
        <w:t>. Each facility’s baseline would be reset by multiplying their quantity of production for each production variable by the industry average benchmark emissions intensity value for that production variable.</w:t>
      </w:r>
    </w:p>
    <w:p w14:paraId="7EEBB065" w14:textId="77777777" w:rsidR="00EF5022" w:rsidRDefault="00EF5022" w:rsidP="00EF5022">
      <w:pPr>
        <w:pStyle w:val="ListParagraph"/>
        <w:numPr>
          <w:ilvl w:val="0"/>
          <w:numId w:val="48"/>
        </w:numPr>
      </w:pPr>
      <w:r>
        <w:rPr>
          <w:b/>
          <w:bCs/>
        </w:rPr>
        <w:t xml:space="preserve">Site-specific </w:t>
      </w:r>
      <w:r w:rsidRPr="005A000F">
        <w:rPr>
          <w:bCs/>
        </w:rPr>
        <w:t>emissions-intensity values</w:t>
      </w:r>
      <w:r>
        <w:rPr>
          <w:bCs/>
        </w:rPr>
        <w:t xml:space="preserve">. </w:t>
      </w:r>
      <w:r>
        <w:t>Each facility’s baseline would be reset by multiplying their quantity of production for each production variable by their own emissions intensity value—with that value set based on a specific year or set of years.</w:t>
      </w:r>
    </w:p>
    <w:p w14:paraId="32DB0FD3" w14:textId="77777777" w:rsidR="00EF5022" w:rsidRDefault="00EF5022" w:rsidP="00EF5022">
      <w:r>
        <w:t xml:space="preserve">Under both options, the emissions intensity value would decline to help achieve Australia’s international emissions reduction targets. Both of the approaches are capable of achieving Australia’s emission goals, and would allow crediting and trading to start immediately. The main difference relates to how costs are distributed across facilities. Other options are also considered in the consultation paper, and stakeholder views are sought on all options. </w:t>
      </w:r>
    </w:p>
    <w:p w14:paraId="18FAD251" w14:textId="77777777" w:rsidR="00EF5022" w:rsidRDefault="00EF5022" w:rsidP="00EF5022">
      <w:r>
        <w:br w:type="page"/>
      </w:r>
    </w:p>
    <w:p w14:paraId="45939695" w14:textId="77777777" w:rsidR="00EF5022" w:rsidRPr="003D51C9" w:rsidRDefault="00EF5022" w:rsidP="00EF5022">
      <w:pPr>
        <w:pStyle w:val="Heading2"/>
        <w:rPr>
          <w:b w:val="0"/>
          <w:bCs w:val="0"/>
          <w:color w:val="197C7D"/>
        </w:rPr>
      </w:pPr>
      <w:r w:rsidRPr="003D51C9">
        <w:rPr>
          <w:color w:val="197C7D"/>
        </w:rPr>
        <w:lastRenderedPageBreak/>
        <w:t>New facilities</w:t>
      </w:r>
    </w:p>
    <w:p w14:paraId="4A04B017" w14:textId="77777777" w:rsidR="00EF5022" w:rsidRDefault="00EF5022" w:rsidP="00EF5022">
      <w:r>
        <w:t xml:space="preserve">The Safeguard Mechanism will automatically apply to any new facilities that emit more than 100,000 tonnes of </w:t>
      </w:r>
      <w:r w:rsidRPr="002117A7">
        <w:t>CO</w:t>
      </w:r>
      <w:r w:rsidRPr="009306CE">
        <w:rPr>
          <w:vertAlign w:val="subscript"/>
        </w:rPr>
        <w:t>2</w:t>
      </w:r>
      <w:r w:rsidRPr="002117A7">
        <w:t>-e</w:t>
      </w:r>
      <w:r>
        <w:t xml:space="preserve"> per year. These facilities will also be given baselines that fall over time so they reduce emissions to meet Australia’s climate goals.</w:t>
      </w:r>
    </w:p>
    <w:p w14:paraId="30E433A7" w14:textId="77777777" w:rsidR="00EF5022" w:rsidRDefault="00EF5022" w:rsidP="00EF5022">
      <w:r>
        <w:t>The c</w:t>
      </w:r>
      <w:r w:rsidRPr="002E770D">
        <w:t xml:space="preserve">onsultation </w:t>
      </w:r>
      <w:r>
        <w:t>p</w:t>
      </w:r>
      <w:r w:rsidRPr="002E770D">
        <w:t>aper</w:t>
      </w:r>
      <w:r>
        <w:t xml:space="preserve"> seeks views on two main baseline setting options for new facilities:</w:t>
      </w:r>
    </w:p>
    <w:p w14:paraId="3D9E6A94" w14:textId="77777777" w:rsidR="00EF5022" w:rsidRDefault="00EF5022" w:rsidP="00EF5022">
      <w:pPr>
        <w:pStyle w:val="ListParagraph"/>
        <w:numPr>
          <w:ilvl w:val="0"/>
          <w:numId w:val="47"/>
        </w:numPr>
        <w:ind w:left="425" w:hanging="425"/>
        <w:contextualSpacing w:val="0"/>
      </w:pPr>
      <w:r>
        <w:rPr>
          <w:b/>
        </w:rPr>
        <w:t>B</w:t>
      </w:r>
      <w:r w:rsidRPr="001A5F64">
        <w:rPr>
          <w:b/>
        </w:rPr>
        <w:t>est practice</w:t>
      </w:r>
      <w:r>
        <w:t>: calculated as the average emissions intensity of the top 10 percent of Australian industry performance; or</w:t>
      </w:r>
    </w:p>
    <w:p w14:paraId="016B929A" w14:textId="77777777" w:rsidR="00EF5022" w:rsidRDefault="00EF5022" w:rsidP="00EF5022">
      <w:pPr>
        <w:pStyle w:val="ListParagraph"/>
        <w:numPr>
          <w:ilvl w:val="0"/>
          <w:numId w:val="47"/>
        </w:numPr>
        <w:ind w:left="425" w:hanging="425"/>
        <w:contextualSpacing w:val="0"/>
      </w:pPr>
      <w:r>
        <w:rPr>
          <w:b/>
        </w:rPr>
        <w:t>Benchmark (</w:t>
      </w:r>
      <w:r w:rsidRPr="001A5F64">
        <w:rPr>
          <w:b/>
        </w:rPr>
        <w:t>industry average</w:t>
      </w:r>
      <w:r>
        <w:rPr>
          <w:b/>
        </w:rPr>
        <w:t>)</w:t>
      </w:r>
      <w:r>
        <w:t>: consistent with the current framework for existing facilities.</w:t>
      </w:r>
    </w:p>
    <w:p w14:paraId="16E3C177" w14:textId="77777777" w:rsidR="00EF5022" w:rsidRDefault="00EF5022" w:rsidP="00EF5022">
      <w:r>
        <w:t>Other options are also considered in the consultation paper, and stakeholder views are sought on all options.</w:t>
      </w:r>
    </w:p>
    <w:p w14:paraId="3A81A974" w14:textId="77777777" w:rsidR="00EF5022" w:rsidRPr="00DE3FAA" w:rsidRDefault="00EF5022" w:rsidP="00EF5022">
      <w:pPr>
        <w:pStyle w:val="Heading2"/>
        <w:rPr>
          <w:b w:val="0"/>
          <w:bCs w:val="0"/>
          <w:color w:val="197C7D"/>
        </w:rPr>
      </w:pPr>
      <w:r w:rsidRPr="00DE3FAA">
        <w:rPr>
          <w:color w:val="197C7D"/>
        </w:rPr>
        <w:t>More information</w:t>
      </w:r>
    </w:p>
    <w:p w14:paraId="1B4EA777" w14:textId="77777777" w:rsidR="00EF5022" w:rsidRDefault="00EF5022" w:rsidP="00EF5022">
      <w:pPr>
        <w:rPr>
          <w:rStyle w:val="Hyperlink"/>
          <w:b/>
          <w:bCs/>
        </w:rPr>
      </w:pPr>
      <w:r>
        <w:rPr>
          <w:lang w:eastAsia="ja-JP"/>
        </w:rPr>
        <w:t xml:space="preserve">Learn more </w:t>
      </w:r>
      <w:r w:rsidRPr="00DE6EB3">
        <w:rPr>
          <w:lang w:eastAsia="ja-JP"/>
        </w:rPr>
        <w:t xml:space="preserve">about </w:t>
      </w:r>
      <w:r w:rsidRPr="00DE6EB3">
        <w:t xml:space="preserve">the Safeguard Mechanism reforms at </w:t>
      </w:r>
      <w:hyperlink r:id="rId12" w:history="1">
        <w:r>
          <w:rPr>
            <w:rStyle w:val="Hyperlink"/>
            <w:b/>
            <w:bCs/>
          </w:rPr>
          <w:t>https://consult.industry.gov.au/safeguard-mechanism-reform-consultation-paper</w:t>
        </w:r>
      </w:hyperlink>
    </w:p>
    <w:p w14:paraId="337B33A2" w14:textId="77777777" w:rsidR="00EF5022" w:rsidRPr="00DE6EB3" w:rsidRDefault="00EF5022" w:rsidP="00EF5022"/>
    <w:p w14:paraId="1878988F" w14:textId="77777777" w:rsidR="00EF5022" w:rsidRDefault="00EF5022" w:rsidP="00EF5022">
      <w:pPr>
        <w:pStyle w:val="Normalsmall"/>
      </w:pPr>
      <w:r>
        <w:rPr>
          <w:rStyle w:val="Strong"/>
        </w:rPr>
        <w:t>Acknowledgement of Country</w:t>
      </w:r>
    </w:p>
    <w:p w14:paraId="65815D18" w14:textId="77777777" w:rsidR="00EF5022" w:rsidRPr="000A5BA0" w:rsidRDefault="00EF5022" w:rsidP="00EF5022">
      <w:pPr>
        <w:pStyle w:val="Normalsmall"/>
        <w:rPr>
          <w:rStyle w:val="Hyperlink"/>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EDD55EF" w14:textId="77777777" w:rsidR="00EF5022" w:rsidRDefault="00EF5022" w:rsidP="00EF5022">
      <w:pPr>
        <w:pStyle w:val="Normalsmall"/>
        <w:spacing w:before="360"/>
      </w:pPr>
      <w:r>
        <w:t>© Commonwealth of Australia 2022</w:t>
      </w:r>
    </w:p>
    <w:p w14:paraId="7C368118" w14:textId="77777777" w:rsidR="00EF5022" w:rsidRDefault="00EF5022" w:rsidP="00EF5022">
      <w:pPr>
        <w:pStyle w:val="Normalsmall"/>
      </w:pPr>
      <w:r>
        <w:t>Unless otherwise noted, copyright (and any other intellectual property rights) in this publication is owned by the Commonwealth of Australia (referred to as the Commonwealth).</w:t>
      </w:r>
    </w:p>
    <w:p w14:paraId="52037CAA" w14:textId="77777777" w:rsidR="00EF5022" w:rsidRDefault="00EF5022" w:rsidP="00EF502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6AD264D7" w14:textId="77777777" w:rsidR="00EF5022" w:rsidRDefault="00EF5022" w:rsidP="00EF5022">
      <w:pPr>
        <w:pStyle w:val="Normalsmall"/>
      </w:pPr>
      <w:r>
        <w:t xml:space="preserve">The Australian Government acting through the </w:t>
      </w:r>
      <w:r w:rsidRPr="00D86640">
        <w:t>Department of Climate Change, Energy, the Environment and Water</w:t>
      </w:r>
      <w:r>
        <w:t xml:space="preserve"> has exercised due care and skill in preparing and compiling the information and data in this publication. Notwithstanding, the </w:t>
      </w:r>
      <w:r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EF5022" w:rsidSect="00B2506E">
      <w:headerReference w:type="default" r:id="rId14"/>
      <w:footerReference w:type="default" r:id="rId15"/>
      <w:headerReference w:type="first" r:id="rId16"/>
      <w:footerReference w:type="first" r:id="rId17"/>
      <w:pgSz w:w="11906" w:h="16838" w:code="9"/>
      <w:pgMar w:top="1418" w:right="1247" w:bottom="1134" w:left="1247"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AB167" w14:textId="77777777" w:rsidR="00B2506E" w:rsidRDefault="00B2506E">
      <w:r>
        <w:separator/>
      </w:r>
    </w:p>
    <w:p w14:paraId="05A4A027" w14:textId="77777777" w:rsidR="00B2506E" w:rsidRDefault="00B2506E"/>
    <w:p w14:paraId="17A0A295" w14:textId="77777777" w:rsidR="00B2506E" w:rsidRDefault="00B2506E"/>
  </w:endnote>
  <w:endnote w:type="continuationSeparator" w:id="0">
    <w:p w14:paraId="2B8715A8" w14:textId="77777777" w:rsidR="00B2506E" w:rsidRDefault="00B2506E">
      <w:r>
        <w:continuationSeparator/>
      </w:r>
    </w:p>
    <w:p w14:paraId="78569549" w14:textId="77777777" w:rsidR="00B2506E" w:rsidRDefault="00B2506E"/>
    <w:p w14:paraId="2CAA07C2" w14:textId="77777777" w:rsidR="00B2506E" w:rsidRDefault="00B2506E"/>
  </w:endnote>
  <w:endnote w:type="continuationNotice" w:id="1">
    <w:p w14:paraId="01E9C86A" w14:textId="77777777" w:rsidR="00B2506E" w:rsidRDefault="00B2506E">
      <w:pPr>
        <w:pStyle w:val="Footer"/>
      </w:pPr>
    </w:p>
    <w:p w14:paraId="00BA4508" w14:textId="77777777" w:rsidR="00B2506E" w:rsidRDefault="00B2506E"/>
    <w:p w14:paraId="04F6F211" w14:textId="77777777" w:rsidR="00B2506E" w:rsidRDefault="00B25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6A74A" w14:textId="187A1407" w:rsidR="000542B4" w:rsidRDefault="000542B4" w:rsidP="000542B4">
    <w:pPr>
      <w:pStyle w:val="Footer"/>
    </w:pPr>
    <w:r>
      <w:t xml:space="preserve">Department of </w:t>
    </w:r>
    <w:r w:rsidR="00EC4447">
      <w:t>Climate Change, Energy, the Environment and Water</w:t>
    </w:r>
  </w:p>
  <w:p w14:paraId="4A1C9E7E" w14:textId="77777777" w:rsidR="000542B4" w:rsidRDefault="008A2E48"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Pr>
            <w:noProof/>
          </w:rPr>
          <w:t>3</w:t>
        </w:r>
        <w:r w:rsidR="000542B4">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040093"/>
      <w:docPartObj>
        <w:docPartGallery w:val="Page Numbers (Bottom of Page)"/>
        <w:docPartUnique/>
      </w:docPartObj>
    </w:sdtPr>
    <w:sdtEndPr>
      <w:rPr>
        <w:noProof/>
      </w:rPr>
    </w:sdtEndPr>
    <w:sdtContent>
      <w:p w14:paraId="45360063" w14:textId="120A9C27" w:rsidR="000542B4" w:rsidRDefault="009C37F9" w:rsidP="00EC4447">
        <w:pPr>
          <w:pStyle w:val="Footer"/>
        </w:pPr>
        <w:r w:rsidRPr="007B1F92">
          <w:t xml:space="preserve">Department of </w:t>
        </w:r>
        <w:r w:rsidR="006371B7">
          <w:t>Climate Change, Energy, the Environment and Water</w:t>
        </w:r>
      </w:p>
      <w:p w14:paraId="43B9A6D0" w14:textId="77777777" w:rsidR="00577F29" w:rsidRDefault="00A77E8E" w:rsidP="00A77E8E">
        <w:pPr>
          <w:pStyle w:val="Footer"/>
        </w:pPr>
        <w:r>
          <w:fldChar w:fldCharType="begin"/>
        </w:r>
        <w:r>
          <w:instrText xml:space="preserve"> PAGE   \* MERGEFORMAT </w:instrText>
        </w:r>
        <w:r>
          <w:fldChar w:fldCharType="separate"/>
        </w:r>
        <w:r w:rsidR="008A2E4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09E2C" w14:textId="77777777" w:rsidR="00B2506E" w:rsidRDefault="00B2506E">
      <w:r>
        <w:separator/>
      </w:r>
    </w:p>
    <w:p w14:paraId="6310E59C" w14:textId="77777777" w:rsidR="00B2506E" w:rsidRDefault="00B2506E"/>
    <w:p w14:paraId="1A4581EB" w14:textId="77777777" w:rsidR="00B2506E" w:rsidRDefault="00B2506E"/>
  </w:footnote>
  <w:footnote w:type="continuationSeparator" w:id="0">
    <w:p w14:paraId="48B05B0A" w14:textId="77777777" w:rsidR="00B2506E" w:rsidRDefault="00B2506E">
      <w:r>
        <w:continuationSeparator/>
      </w:r>
    </w:p>
    <w:p w14:paraId="30A159CA" w14:textId="77777777" w:rsidR="00B2506E" w:rsidRDefault="00B2506E"/>
    <w:p w14:paraId="38FE54FA" w14:textId="77777777" w:rsidR="00B2506E" w:rsidRDefault="00B2506E"/>
  </w:footnote>
  <w:footnote w:type="continuationNotice" w:id="1">
    <w:p w14:paraId="24406639" w14:textId="77777777" w:rsidR="00B2506E" w:rsidRDefault="00B2506E">
      <w:pPr>
        <w:pStyle w:val="Footer"/>
      </w:pPr>
    </w:p>
    <w:p w14:paraId="559E6429" w14:textId="77777777" w:rsidR="00B2506E" w:rsidRDefault="00B2506E"/>
    <w:p w14:paraId="38754F5D" w14:textId="77777777" w:rsidR="00B2506E" w:rsidRDefault="00B250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C4A3C" w14:textId="5FD487D4" w:rsidR="000542B4" w:rsidRPr="00EF5022" w:rsidRDefault="00EF5022" w:rsidP="00EF5022">
    <w:pPr>
      <w:pStyle w:val="Header"/>
    </w:pPr>
    <w:r w:rsidRPr="00EF5022">
      <w:t>Setting baselines under the Safeguard Mechanism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6B415" w14:textId="4951E766" w:rsidR="000E455C" w:rsidRDefault="00F21AF4" w:rsidP="00036819">
    <w:pPr>
      <w:pStyle w:val="Footer"/>
      <w:jc w:val="left"/>
    </w:pPr>
    <w:r>
      <w:rPr>
        <w:noProof/>
        <w:lang w:eastAsia="en-AU"/>
      </w:rPr>
      <w:drawing>
        <wp:anchor distT="0" distB="0" distL="114300" distR="114300" simplePos="0" relativeHeight="251658240" behindDoc="0" locked="0" layoutInCell="1" allowOverlap="1" wp14:anchorId="66272126" wp14:editId="3E5765A8">
          <wp:simplePos x="0" y="0"/>
          <wp:positionH relativeFrom="column">
            <wp:posOffset>-786765</wp:posOffset>
          </wp:positionH>
          <wp:positionV relativeFrom="page">
            <wp:posOffset>0</wp:posOffset>
          </wp:positionV>
          <wp:extent cx="7559675" cy="1633855"/>
          <wp:effectExtent l="0" t="0" r="3175" b="4445"/>
          <wp:wrapNone/>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7559675" cy="1633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A275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EAC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2282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CAB40A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6C211B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6"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3F04FCE"/>
    <w:multiLevelType w:val="hybridMultilevel"/>
    <w:tmpl w:val="AA760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7B44397"/>
    <w:multiLevelType w:val="hybridMultilevel"/>
    <w:tmpl w:val="76ECAF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5"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A328D5"/>
    <w:multiLevelType w:val="multilevel"/>
    <w:tmpl w:val="47AAA7EE"/>
    <w:numStyleLink w:val="Numberlist"/>
  </w:abstractNum>
  <w:abstractNum w:abstractNumId="1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103637"/>
    <w:multiLevelType w:val="multilevel"/>
    <w:tmpl w:val="47AAA7EE"/>
    <w:numStyleLink w:val="Numberlist"/>
  </w:abstractNum>
  <w:abstractNum w:abstractNumId="19"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94A15FE"/>
    <w:multiLevelType w:val="multilevel"/>
    <w:tmpl w:val="F36C17E8"/>
    <w:numStyleLink w:val="Headinglist"/>
  </w:abstractNum>
  <w:abstractNum w:abstractNumId="21"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4F4729"/>
    <w:multiLevelType w:val="multilevel"/>
    <w:tmpl w:val="A0241B28"/>
    <w:numStyleLink w:val="List1"/>
  </w:abstractNum>
  <w:abstractNum w:abstractNumId="23"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F11B6"/>
    <w:multiLevelType w:val="hybridMultilevel"/>
    <w:tmpl w:val="938E127C"/>
    <w:lvl w:ilvl="0" w:tplc="83C23DE2">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86800B4"/>
    <w:multiLevelType w:val="multilevel"/>
    <w:tmpl w:val="A0241B28"/>
    <w:numStyleLink w:val="List1"/>
  </w:abstractNum>
  <w:abstractNum w:abstractNumId="2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7" w15:restartNumberingAfterBreak="0">
    <w:nsid w:val="496159DC"/>
    <w:multiLevelType w:val="multilevel"/>
    <w:tmpl w:val="47AAA7EE"/>
    <w:numStyleLink w:val="Numberlist"/>
  </w:abstractNum>
  <w:abstractNum w:abstractNumId="28"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60265A5E"/>
    <w:multiLevelType w:val="hybridMultilevel"/>
    <w:tmpl w:val="39DE6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1" w15:restartNumberingAfterBreak="0">
    <w:nsid w:val="6C8C10A1"/>
    <w:multiLevelType w:val="multilevel"/>
    <w:tmpl w:val="47AAA7EE"/>
    <w:numStyleLink w:val="Numberlist"/>
  </w:abstractNum>
  <w:abstractNum w:abstractNumId="42" w15:restartNumberingAfterBreak="0">
    <w:nsid w:val="733934B7"/>
    <w:multiLevelType w:val="multilevel"/>
    <w:tmpl w:val="A0241B28"/>
    <w:numStyleLink w:val="List1"/>
  </w:abstractNum>
  <w:num w:numId="1">
    <w:abstractNumId w:val="7"/>
  </w:num>
  <w:num w:numId="2">
    <w:abstractNumId w:val="25"/>
  </w:num>
  <w:num w:numId="3">
    <w:abstractNumId w:val="26"/>
  </w:num>
  <w:num w:numId="4">
    <w:abstractNumId w:val="14"/>
  </w:num>
  <w:num w:numId="5">
    <w:abstractNumId w:val="35"/>
  </w:num>
  <w:num w:numId="6">
    <w:abstractNumId w:val="36"/>
  </w:num>
  <w:num w:numId="7">
    <w:abstractNumId w:val="11"/>
  </w:num>
  <w:num w:numId="8">
    <w:abstractNumId w:val="17"/>
  </w:num>
  <w:num w:numId="9">
    <w:abstractNumId w:val="20"/>
  </w:num>
  <w:num w:numId="10">
    <w:abstractNumId w:val="11"/>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4"/>
  </w:num>
  <w:num w:numId="14">
    <w:abstractNumId w:val="3"/>
  </w:num>
  <w:num w:numId="15">
    <w:abstractNumId w:val="15"/>
  </w:num>
  <w:num w:numId="16">
    <w:abstractNumId w:val="3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
  </w:num>
  <w:num w:numId="20">
    <w:abstractNumId w:val="0"/>
  </w:num>
  <w:num w:numId="21">
    <w:abstractNumId w:val="18"/>
  </w:num>
  <w:num w:numId="22">
    <w:abstractNumId w:val="27"/>
  </w:num>
  <w:num w:numId="23">
    <w:abstractNumId w:val="41"/>
  </w:num>
  <w:num w:numId="24">
    <w:abstractNumId w:val="16"/>
    <w:lvlOverride w:ilvl="0">
      <w:lvl w:ilvl="0">
        <w:start w:val="1"/>
        <w:numFmt w:val="decimal"/>
        <w:pStyle w:val="ListNumber"/>
        <w:lvlText w:val="%1)"/>
        <w:lvlJc w:val="left"/>
        <w:pPr>
          <w:ind w:left="2487" w:hanging="360"/>
        </w:pPr>
      </w:lvl>
    </w:lvlOverride>
    <w:lvlOverride w:ilvl="1">
      <w:lvl w:ilvl="1">
        <w:start w:val="1"/>
        <w:numFmt w:val="lowerLetter"/>
        <w:pStyle w:val="ListNumber2"/>
        <w:lvlText w:val="%2."/>
        <w:lvlJc w:val="left"/>
        <w:pPr>
          <w:ind w:left="1080" w:hanging="360"/>
        </w:pPr>
      </w:lvl>
    </w:lvlOverride>
    <w:lvlOverride w:ilvl="2">
      <w:lvl w:ilvl="2">
        <w:start w:val="1"/>
        <w:numFmt w:val="lowerRoman"/>
        <w:pStyle w:val="ListNumber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9"/>
  </w:num>
  <w:num w:numId="29">
    <w:abstractNumId w:val="34"/>
  </w:num>
  <w:num w:numId="30">
    <w:abstractNumId w:val="13"/>
  </w:num>
  <w:num w:numId="31">
    <w:abstractNumId w:val="38"/>
  </w:num>
  <w:num w:numId="32">
    <w:abstractNumId w:val="9"/>
  </w:num>
  <w:num w:numId="33">
    <w:abstractNumId w:val="31"/>
  </w:num>
  <w:num w:numId="34">
    <w:abstractNumId w:val="28"/>
  </w:num>
  <w:num w:numId="35">
    <w:abstractNumId w:val="19"/>
  </w:num>
  <w:num w:numId="36">
    <w:abstractNumId w:val="12"/>
  </w:num>
  <w:num w:numId="37">
    <w:abstractNumId w:val="21"/>
  </w:num>
  <w:num w:numId="38">
    <w:abstractNumId w:val="23"/>
  </w:num>
  <w:num w:numId="39">
    <w:abstractNumId w:val="16"/>
  </w:num>
  <w:num w:numId="40">
    <w:abstractNumId w:val="30"/>
  </w:num>
  <w:num w:numId="41">
    <w:abstractNumId w:val="32"/>
  </w:num>
  <w:num w:numId="42">
    <w:abstractNumId w:val="24"/>
  </w:num>
  <w:num w:numId="43">
    <w:abstractNumId w:val="40"/>
  </w:num>
  <w:num w:numId="44">
    <w:abstractNumId w:val="2"/>
  </w:num>
  <w:num w:numId="45">
    <w:abstractNumId w:val="16"/>
  </w:num>
  <w:num w:numId="46">
    <w:abstractNumId w:val="37"/>
  </w:num>
  <w:num w:numId="47">
    <w:abstractNumId w:val="10"/>
  </w:num>
  <w:num w:numId="4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6E"/>
    <w:rsid w:val="0000059E"/>
    <w:rsid w:val="0000066F"/>
    <w:rsid w:val="00021590"/>
    <w:rsid w:val="00025D1B"/>
    <w:rsid w:val="000266C4"/>
    <w:rsid w:val="00036819"/>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C5ECE"/>
    <w:rsid w:val="000E455C"/>
    <w:rsid w:val="000E7803"/>
    <w:rsid w:val="000F0491"/>
    <w:rsid w:val="001233A8"/>
    <w:rsid w:val="0013173D"/>
    <w:rsid w:val="00190D7E"/>
    <w:rsid w:val="001929D2"/>
    <w:rsid w:val="001A14AE"/>
    <w:rsid w:val="001A6968"/>
    <w:rsid w:val="001B4C5D"/>
    <w:rsid w:val="001D0EF3"/>
    <w:rsid w:val="001D6373"/>
    <w:rsid w:val="001F6C6E"/>
    <w:rsid w:val="00203DE1"/>
    <w:rsid w:val="00220618"/>
    <w:rsid w:val="00237A69"/>
    <w:rsid w:val="00241BFB"/>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C35C2"/>
    <w:rsid w:val="003F73D7"/>
    <w:rsid w:val="00411260"/>
    <w:rsid w:val="00442630"/>
    <w:rsid w:val="0044304D"/>
    <w:rsid w:val="00446CB3"/>
    <w:rsid w:val="00474BB1"/>
    <w:rsid w:val="00495068"/>
    <w:rsid w:val="004C2DA2"/>
    <w:rsid w:val="004D0888"/>
    <w:rsid w:val="004D41BE"/>
    <w:rsid w:val="004E21DE"/>
    <w:rsid w:val="005019C1"/>
    <w:rsid w:val="00503E8C"/>
    <w:rsid w:val="00515287"/>
    <w:rsid w:val="005157CF"/>
    <w:rsid w:val="00531B5A"/>
    <w:rsid w:val="005457EA"/>
    <w:rsid w:val="00545904"/>
    <w:rsid w:val="00553E9D"/>
    <w:rsid w:val="0055447F"/>
    <w:rsid w:val="00567DFC"/>
    <w:rsid w:val="00577F29"/>
    <w:rsid w:val="005A48A6"/>
    <w:rsid w:val="005B613F"/>
    <w:rsid w:val="005C2BFD"/>
    <w:rsid w:val="00607A21"/>
    <w:rsid w:val="00607A36"/>
    <w:rsid w:val="006156DF"/>
    <w:rsid w:val="00625D8D"/>
    <w:rsid w:val="006360F9"/>
    <w:rsid w:val="006371B7"/>
    <w:rsid w:val="00642F36"/>
    <w:rsid w:val="00646917"/>
    <w:rsid w:val="00656587"/>
    <w:rsid w:val="00660B1A"/>
    <w:rsid w:val="00696682"/>
    <w:rsid w:val="006B0030"/>
    <w:rsid w:val="006D413F"/>
    <w:rsid w:val="006F6FE8"/>
    <w:rsid w:val="0070464B"/>
    <w:rsid w:val="00721291"/>
    <w:rsid w:val="007258B1"/>
    <w:rsid w:val="00725C8B"/>
    <w:rsid w:val="00754CA3"/>
    <w:rsid w:val="0076549B"/>
    <w:rsid w:val="00793E18"/>
    <w:rsid w:val="007C0010"/>
    <w:rsid w:val="007E69AF"/>
    <w:rsid w:val="0080517C"/>
    <w:rsid w:val="00832638"/>
    <w:rsid w:val="00865130"/>
    <w:rsid w:val="00892F53"/>
    <w:rsid w:val="00895341"/>
    <w:rsid w:val="008A2E48"/>
    <w:rsid w:val="008C482D"/>
    <w:rsid w:val="008E3B54"/>
    <w:rsid w:val="008F1712"/>
    <w:rsid w:val="008F382A"/>
    <w:rsid w:val="00902E92"/>
    <w:rsid w:val="0090743D"/>
    <w:rsid w:val="00911F4A"/>
    <w:rsid w:val="00916FC3"/>
    <w:rsid w:val="00943779"/>
    <w:rsid w:val="00970743"/>
    <w:rsid w:val="00974CD6"/>
    <w:rsid w:val="009844EA"/>
    <w:rsid w:val="009C206F"/>
    <w:rsid w:val="009C37F9"/>
    <w:rsid w:val="009C3FA3"/>
    <w:rsid w:val="009C5CE4"/>
    <w:rsid w:val="009D7044"/>
    <w:rsid w:val="00A022A9"/>
    <w:rsid w:val="00A04AFD"/>
    <w:rsid w:val="00A130F7"/>
    <w:rsid w:val="00A32860"/>
    <w:rsid w:val="00A62F99"/>
    <w:rsid w:val="00A65D84"/>
    <w:rsid w:val="00A77E8E"/>
    <w:rsid w:val="00A8157A"/>
    <w:rsid w:val="00AA1D89"/>
    <w:rsid w:val="00AE1E6E"/>
    <w:rsid w:val="00AE4763"/>
    <w:rsid w:val="00B0121B"/>
    <w:rsid w:val="00B0455B"/>
    <w:rsid w:val="00B11E02"/>
    <w:rsid w:val="00B2506E"/>
    <w:rsid w:val="00B3476F"/>
    <w:rsid w:val="00B43568"/>
    <w:rsid w:val="00B82095"/>
    <w:rsid w:val="00B90975"/>
    <w:rsid w:val="00B90C93"/>
    <w:rsid w:val="00B93571"/>
    <w:rsid w:val="00B94CBD"/>
    <w:rsid w:val="00BA2806"/>
    <w:rsid w:val="00BC321A"/>
    <w:rsid w:val="00BD4F8E"/>
    <w:rsid w:val="00BE345B"/>
    <w:rsid w:val="00BF1A2A"/>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47D00"/>
    <w:rsid w:val="00D55A85"/>
    <w:rsid w:val="00D750D0"/>
    <w:rsid w:val="00D87480"/>
    <w:rsid w:val="00DB71FD"/>
    <w:rsid w:val="00DC453F"/>
    <w:rsid w:val="00DC57F0"/>
    <w:rsid w:val="00DE546F"/>
    <w:rsid w:val="00DF241E"/>
    <w:rsid w:val="00E25A07"/>
    <w:rsid w:val="00E333DF"/>
    <w:rsid w:val="00E44E91"/>
    <w:rsid w:val="00E83C41"/>
    <w:rsid w:val="00E9781D"/>
    <w:rsid w:val="00EA5D76"/>
    <w:rsid w:val="00EC2925"/>
    <w:rsid w:val="00EC4447"/>
    <w:rsid w:val="00EC5579"/>
    <w:rsid w:val="00EC5C40"/>
    <w:rsid w:val="00ED774B"/>
    <w:rsid w:val="00EE0118"/>
    <w:rsid w:val="00EE49CE"/>
    <w:rsid w:val="00EE7C8D"/>
    <w:rsid w:val="00EF24B1"/>
    <w:rsid w:val="00EF3918"/>
    <w:rsid w:val="00EF5022"/>
    <w:rsid w:val="00F21AF4"/>
    <w:rsid w:val="00F25175"/>
    <w:rsid w:val="00F330C3"/>
    <w:rsid w:val="00F40745"/>
    <w:rsid w:val="00F75F33"/>
    <w:rsid w:val="00F84236"/>
    <w:rsid w:val="00F9536E"/>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880D3"/>
  <w15:docId w15:val="{1091C791-9FBE-441A-B791-3F66384D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B2506E"/>
    <w:pPr>
      <w:widowControl w:val="0"/>
      <w:spacing w:before="360" w:after="240"/>
      <w:contextualSpacing/>
      <w:outlineLvl w:val="0"/>
    </w:pPr>
    <w:rPr>
      <w:rFonts w:ascii="Calibri" w:eastAsiaTheme="minorHAnsi" w:hAnsi="Calibri" w:cstheme="minorBidi"/>
      <w:b/>
      <w:bCs/>
      <w:color w:val="083A42" w:themeColor="text1"/>
      <w:spacing w:val="5"/>
      <w:kern w:val="28"/>
      <w:sz w:val="40"/>
      <w:szCs w:val="28"/>
      <w:lang w:eastAsia="en-US"/>
    </w:rPr>
  </w:style>
  <w:style w:type="paragraph" w:styleId="Heading2">
    <w:name w:val="heading 2"/>
    <w:basedOn w:val="Normal"/>
    <w:next w:val="Normal"/>
    <w:link w:val="Heading2Char"/>
    <w:uiPriority w:val="3"/>
    <w:qFormat/>
    <w:rsid w:val="00B2506E"/>
    <w:pPr>
      <w:keepNext/>
      <w:spacing w:before="120" w:line="240" w:lineRule="auto"/>
      <w:ind w:left="720" w:hanging="720"/>
      <w:outlineLvl w:val="1"/>
    </w:pPr>
    <w:rPr>
      <w:rFonts w:ascii="Calibri" w:eastAsiaTheme="minorEastAsia" w:hAnsi="Calibri"/>
      <w:b/>
      <w:bCs/>
      <w:color w:val="197C7D" w:themeColor="text2"/>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B2506E"/>
    <w:rPr>
      <w:rFonts w:ascii="Calibri" w:eastAsiaTheme="minorHAnsi" w:hAnsi="Calibri" w:cstheme="minorBidi"/>
      <w:b/>
      <w:bCs/>
      <w:color w:val="083A42" w:themeColor="text1"/>
      <w:spacing w:val="5"/>
      <w:kern w:val="28"/>
      <w:sz w:val="40"/>
      <w:szCs w:val="28"/>
      <w:lang w:eastAsia="en-US"/>
    </w:rPr>
  </w:style>
  <w:style w:type="character" w:customStyle="1" w:styleId="Heading2Char">
    <w:name w:val="Heading 2 Char"/>
    <w:basedOn w:val="DefaultParagraphFont"/>
    <w:link w:val="Heading2"/>
    <w:uiPriority w:val="3"/>
    <w:rsid w:val="00B2506E"/>
    <w:rPr>
      <w:rFonts w:ascii="Calibri" w:eastAsiaTheme="minorEastAsia" w:hAnsi="Calibri" w:cstheme="minorBidi"/>
      <w:b/>
      <w:bCs/>
      <w:color w:val="197C7D" w:themeColor="text2"/>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45"/>
      </w:numPr>
      <w:tabs>
        <w:tab w:val="left" w:pos="142"/>
      </w:tabs>
      <w:spacing w:before="120"/>
    </w:pPr>
  </w:style>
  <w:style w:type="paragraph" w:styleId="ListNumber2">
    <w:name w:val="List Number 2"/>
    <w:uiPriority w:val="10"/>
    <w:qFormat/>
    <w:rsid w:val="00241BFB"/>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16"/>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customStyle="1" w:styleId="UnresolvedMention">
    <w:name w:val="Unresolved Mention"/>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45"/>
      </w:numPr>
      <w:spacing w:before="120" w:after="120" w:line="264" w:lineRule="auto"/>
      <w:ind w:left="1247"/>
    </w:pPr>
    <w:rPr>
      <w:rFonts w:asciiTheme="minorHAnsi" w:eastAsia="Times New Roman" w:hAnsiTheme="minorHAnsi"/>
      <w:sz w:val="22"/>
      <w:szCs w:val="24"/>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EF5022"/>
    <w:pPr>
      <w:spacing w:after="160" w:line="259" w:lineRule="auto"/>
      <w:ind w:left="720"/>
      <w:contextualSpacing/>
    </w:pPr>
    <w:rPr>
      <w:rFonts w:asciiTheme="minorHAnsi" w:hAnsiTheme="minorHAnsi"/>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EF502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sult.industry.gov.au/safeguard-mechanism-reform-consultation-pap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3" ma:contentTypeDescription="Create a new document." ma:contentTypeScope="" ma:versionID="cf0f0e4b00ce8ceb38777f685377f571">
  <xsd:schema xmlns:xsd="http://www.w3.org/2001/XMLSchema" xmlns:xs="http://www.w3.org/2001/XMLSchema" xmlns:p="http://schemas.microsoft.com/office/2006/metadata/properties" xmlns:ns1="http://schemas.microsoft.com/sharepoint/v3" xmlns:ns2="a36bd50b-1532-4c22-b385-5c082c960938" xmlns:ns3="8c4c6479-bb6a-4263-8159-fbb0afc5d491" targetNamespace="http://schemas.microsoft.com/office/2006/metadata/properties" ma:root="true" ma:fieldsID="a263373385b6a13a7f3efc783e76fb53" ns1:_="" ns2:_="" ns3:_="">
    <xsd:import namespace="http://schemas.microsoft.com/sharepoint/v3"/>
    <xsd:import namespace="a36bd50b-1532-4c22-b385-5c082c960938"/>
    <xsd:import namespace="8c4c6479-bb6a-4263-8159-fbb0afc5d49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Safeguard Mechanism</TermName>
          <TermId>462066da-c297-4969-b9e8-878ecfcc0dda</TermId>
        </TermInfo>
      </Terms>
    </adb9bed2e36e4a93af574aeb444da63e>
    <n99e4c9942c6404eb103464a00e6097b xmlns="a36bd50b-1532-4c22-b385-5c082c960938">
      <Terms xmlns="http://schemas.microsoft.com/office/infopath/2007/PartnerControls">
        <TermInfo xmlns="http://schemas.microsoft.com/office/infopath/2007/PartnerControls">
          <TermName>2022</TermName>
          <TermId>4a777a70-2aa9-481e-a746-cca47d761c8e</TermId>
        </TermInfo>
      </Terms>
    </n99e4c9942c6404eb103464a00e6097b>
    <pe2555c81638466f9eb614edb9ecde52 xmlns="a36bd50b-1532-4c22-b385-5c082c960938">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Communication</TermName>
          <TermId>cd41d649-1e1a-44f5-b99b-946d42ce56d6</TermId>
        </TermInfo>
      </Terms>
    </g7bcb40ba23249a78edca7d43a67c1c9>
    <TaxCatchAll xmlns="a36bd50b-1532-4c22-b385-5c082c960938">
      <Value>1390</Value>
      <Value>234</Value>
      <Value>3</Value>
      <Value>295</Value>
      <Value>378</Value>
    </TaxCatchAll>
    <Comment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A369C058-F666-489F-B54C-5EE8F6BAA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2006/metadata/properties"/>
    <ds:schemaRef ds:uri="a36bd50b-1532-4c22-b385-5c082c960938"/>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8c4c6479-bb6a-4263-8159-fbb0afc5d491"/>
    <ds:schemaRef ds:uri="http://www.w3.org/XML/1998/namespace"/>
    <ds:schemaRef ds:uri="http://purl.org/dc/elements/1.1/"/>
  </ds:schemaRefs>
</ds:datastoreItem>
</file>

<file path=customXml/itemProps4.xml><?xml version="1.0" encoding="utf-8"?>
<ds:datastoreItem xmlns:ds="http://schemas.openxmlformats.org/officeDocument/2006/customXml" ds:itemID="{BB25FA45-4348-4C4C-9C1C-A610E8022CDA}">
  <ds:schemaRefs>
    <ds:schemaRef ds:uri="http://schemas.microsoft.com/sharepoint/events"/>
  </ds:schemaRefs>
</ds:datastoreItem>
</file>

<file path=customXml/itemProps5.xml><?xml version="1.0" encoding="utf-8"?>
<ds:datastoreItem xmlns:ds="http://schemas.openxmlformats.org/officeDocument/2006/customXml" ds:itemID="{6971E361-DFFB-45A4-B4B2-37EE9E53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7165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Department of Climate Change, Energy, the Environment and Water</dc:creator>
  <cp:lastModifiedBy>Gilbert, Fiona</cp:lastModifiedBy>
  <cp:revision>4</cp:revision>
  <cp:lastPrinted>2022-05-11T23:44:00Z</cp:lastPrinted>
  <dcterms:created xsi:type="dcterms:W3CDTF">2022-08-17T05:51:00Z</dcterms:created>
  <dcterms:modified xsi:type="dcterms:W3CDTF">2022-08-17T06:05:00Z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1390;#2022|4a777a70-2aa9-481e-a746-cca47d761c8e</vt:lpwstr>
  </property>
  <property fmtid="{D5CDD505-2E9C-101B-9397-08002B2CF9AE}" pid="4" name="DocHub_DocumentType">
    <vt:lpwstr>378;#Fact Sheet|38af007d-6d80-4dd0-9833-ef17489d7c7e</vt:lpwstr>
  </property>
  <property fmtid="{D5CDD505-2E9C-101B-9397-08002B2CF9AE}" pid="5" name="DocHub_SecurityClassification">
    <vt:lpwstr>3;#OFFICIAL|6106d03b-a1a0-4e30-9d91-d5e9fb4314f9</vt:lpwstr>
  </property>
  <property fmtid="{D5CDD505-2E9C-101B-9397-08002B2CF9AE}" pid="6" name="DocHub_Keywords">
    <vt:lpwstr>234;#Safeguard Mechanism|462066da-c297-4969-b9e8-878ecfcc0dda</vt:lpwstr>
  </property>
  <property fmtid="{D5CDD505-2E9C-101B-9397-08002B2CF9AE}" pid="7" name="DocHub_WorkActivity">
    <vt:lpwstr>295;#Communication|cd41d649-1e1a-44f5-b99b-946d42ce56d6</vt:lpwstr>
  </property>
</Properties>
</file>