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B9B0F" w14:textId="13BBF77E" w:rsidR="002F60C0" w:rsidRDefault="00CD18F3" w:rsidP="008653E9">
      <w:pPr>
        <w:spacing w:after="600"/>
      </w:pPr>
      <w:bookmarkStart w:id="0" w:name="_Toc19289801"/>
      <w:r>
        <w:rPr>
          <w:noProof/>
        </w:rPr>
        <w:drawing>
          <wp:inline distT="0" distB="0" distL="0" distR="0" wp14:anchorId="29F6C858" wp14:editId="79799377">
            <wp:extent cx="1524635" cy="771525"/>
            <wp:effectExtent l="0" t="0" r="0" b="9525"/>
            <wp:docPr id="13" name="Picture 13" descr="Australian Government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ustralian Government logo&#10;"/>
                    <pic:cNvPicPr>
                      <a:picLocks noChangeAspect="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1524635" cy="771525"/>
                    </a:xfrm>
                    <a:prstGeom prst="rect">
                      <a:avLst/>
                    </a:prstGeom>
                    <a:ln>
                      <a:noFill/>
                    </a:ln>
                    <a:extLst>
                      <a:ext uri="{53640926-AAD7-44D8-BBD7-CCE9431645EC}">
                        <a14:shadowObscured xmlns:a14="http://schemas.microsoft.com/office/drawing/2010/main"/>
                      </a:ext>
                    </a:extLst>
                  </pic:spPr>
                </pic:pic>
              </a:graphicData>
            </a:graphic>
          </wp:inline>
        </w:drawing>
      </w:r>
      <w:r w:rsidR="002F60C0" w:rsidRPr="002F60C0">
        <w:t xml:space="preserve"> </w:t>
      </w:r>
    </w:p>
    <w:bookmarkEnd w:id="0" w:displacedByCustomXml="next"/>
    <w:bookmarkStart w:id="1" w:name="_Toc165029308" w:displacedByCustomXml="next"/>
    <w:bookmarkEnd w:id="1" w:displacedByCustomXml="next"/>
    <w:bookmarkStart w:id="2" w:name="_Toc165029058" w:displacedByCustomXml="next"/>
    <w:bookmarkEnd w:id="2" w:displacedByCustomXml="next"/>
    <w:bookmarkStart w:id="3" w:name="_Toc164776109" w:displacedByCustomXml="next"/>
    <w:bookmarkEnd w:id="3" w:displacedByCustomXml="next"/>
    <w:bookmarkStart w:id="4" w:name="_Toc166848326" w:displacedByCustomXml="next"/>
    <w:sdt>
      <w:sdtPr>
        <w:rPr>
          <w:rFonts w:asciiTheme="minorHAnsi" w:eastAsiaTheme="minorEastAsia" w:hAnsiTheme="minorHAnsi" w:cstheme="minorBidi"/>
          <w:color w:val="auto"/>
          <w:spacing w:val="0"/>
          <w:kern w:val="0"/>
          <w:sz w:val="22"/>
          <w:szCs w:val="22"/>
        </w:rPr>
        <w:id w:val="-2088995269"/>
        <w:docPartObj>
          <w:docPartGallery w:val="Cover Pages"/>
          <w:docPartUnique/>
        </w:docPartObj>
      </w:sdtPr>
      <w:sdtEndPr>
        <w:rPr>
          <w:sz w:val="20"/>
          <w:szCs w:val="20"/>
        </w:rPr>
      </w:sdtEndPr>
      <w:sdtContent>
        <w:bookmarkEnd w:id="4" w:displacedByCustomXml="prev"/>
        <w:p w14:paraId="08EDBB9C" w14:textId="083FB4D4" w:rsidR="0068286F" w:rsidRPr="0059689A" w:rsidRDefault="00CD18F3" w:rsidP="000E599A">
          <w:pPr>
            <w:pStyle w:val="Title"/>
            <w:rPr>
              <w:rStyle w:val="Heading1Char"/>
              <w:color w:val="001B35"/>
              <w:sz w:val="72"/>
              <w:szCs w:val="72"/>
            </w:rPr>
          </w:pPr>
          <w:r w:rsidRPr="0059689A">
            <w:rPr>
              <w:rStyle w:val="Heading1Char"/>
              <w:color w:val="001B35"/>
              <w:sz w:val="72"/>
              <w:szCs w:val="72"/>
            </w:rPr>
            <w:t>Australian Government guidance for removal of oil and gas property and sea dumping of infrastructure in Commonwealth waters</w:t>
          </w:r>
        </w:p>
        <w:p w14:paraId="6CB3FC6D" w14:textId="77777777" w:rsidR="00BC645F" w:rsidRDefault="00BC645F" w:rsidP="008653E9">
          <w:pPr>
            <w:pStyle w:val="Subtitle"/>
            <w:spacing w:after="480"/>
          </w:pPr>
        </w:p>
        <w:p w14:paraId="08FD81D4" w14:textId="32AF1121" w:rsidR="002F60C0" w:rsidRDefault="00996AD2" w:rsidP="008653E9">
          <w:pPr>
            <w:pStyle w:val="Subtitle"/>
            <w:spacing w:after="480"/>
            <w:rPr>
              <w:bCs/>
              <w:iCs/>
              <w:color w:val="001B35" w:themeColor="accent1"/>
              <w:sz w:val="26"/>
              <w:szCs w:val="26"/>
            </w:rPr>
          </w:pPr>
          <w:r>
            <w:t xml:space="preserve">May </w:t>
          </w:r>
          <w:r w:rsidR="00793A93">
            <w:t>2024</w:t>
          </w:r>
        </w:p>
        <w:p w14:paraId="33F0342C" w14:textId="4A18462F" w:rsidR="00CD18F3" w:rsidRDefault="00B67AB0" w:rsidP="00CD18F3">
          <w:pPr>
            <w:pStyle w:val="Authoranddate"/>
            <w:rPr>
              <w:sz w:val="32"/>
              <w:szCs w:val="32"/>
            </w:rPr>
          </w:pPr>
          <w:r>
            <w:rPr>
              <w:sz w:val="32"/>
              <w:szCs w:val="32"/>
            </w:rPr>
            <w:t>C</w:t>
          </w:r>
          <w:r w:rsidR="007C7A09">
            <w:rPr>
              <w:sz w:val="32"/>
              <w:szCs w:val="32"/>
            </w:rPr>
            <w:t>ollaboration</w:t>
          </w:r>
          <w:r w:rsidR="007C7A09" w:rsidRPr="3AB44E74">
            <w:rPr>
              <w:sz w:val="32"/>
              <w:szCs w:val="32"/>
            </w:rPr>
            <w:t xml:space="preserve"> </w:t>
          </w:r>
          <w:r w:rsidR="00CD18F3" w:rsidRPr="3AB44E74">
            <w:rPr>
              <w:sz w:val="32"/>
              <w:szCs w:val="32"/>
            </w:rPr>
            <w:t>between:</w:t>
          </w:r>
        </w:p>
        <w:p w14:paraId="07FB2C51" w14:textId="77777777" w:rsidR="00CD18F3" w:rsidRDefault="00CD18F3" w:rsidP="0026023C">
          <w:pPr>
            <w:pStyle w:val="Authoranddate"/>
            <w:numPr>
              <w:ilvl w:val="0"/>
              <w:numId w:val="5"/>
            </w:numPr>
            <w:rPr>
              <w:sz w:val="28"/>
              <w:szCs w:val="28"/>
            </w:rPr>
          </w:pPr>
          <w:r w:rsidRPr="00CD18F3">
            <w:rPr>
              <w:sz w:val="28"/>
              <w:szCs w:val="28"/>
            </w:rPr>
            <w:t>Department of Climate Change, Energy, the Environment and Water</w:t>
          </w:r>
        </w:p>
        <w:p w14:paraId="37E38C8C" w14:textId="5246FA3F" w:rsidR="00CD18F3" w:rsidRPr="00CD18F3" w:rsidRDefault="00CD18F3" w:rsidP="0026023C">
          <w:pPr>
            <w:pStyle w:val="Authoranddate"/>
            <w:numPr>
              <w:ilvl w:val="0"/>
              <w:numId w:val="5"/>
            </w:numPr>
            <w:rPr>
              <w:sz w:val="28"/>
              <w:szCs w:val="28"/>
            </w:rPr>
          </w:pPr>
          <w:r w:rsidRPr="00CD18F3">
            <w:rPr>
              <w:sz w:val="28"/>
              <w:szCs w:val="28"/>
            </w:rPr>
            <w:t>Department of Industry, Science and Resources</w:t>
          </w:r>
        </w:p>
        <w:p w14:paraId="5AD625AF" w14:textId="1A5D435D" w:rsidR="00CD18F3" w:rsidRPr="00CD18F3" w:rsidRDefault="00CD18F3" w:rsidP="0026023C">
          <w:pPr>
            <w:pStyle w:val="Authoranddate"/>
            <w:numPr>
              <w:ilvl w:val="0"/>
              <w:numId w:val="5"/>
            </w:numPr>
            <w:rPr>
              <w:sz w:val="28"/>
              <w:szCs w:val="28"/>
            </w:rPr>
          </w:pPr>
          <w:r w:rsidRPr="00CD18F3">
            <w:rPr>
              <w:sz w:val="28"/>
              <w:szCs w:val="28"/>
            </w:rPr>
            <w:t>National Offshore Petroleum Safety and Environmental Management Authority</w:t>
          </w:r>
        </w:p>
        <w:p w14:paraId="08EDBBA1" w14:textId="01620A98" w:rsidR="0068286F" w:rsidRPr="00423B2E" w:rsidRDefault="0068286F" w:rsidP="00423B2E">
          <w:pPr>
            <w:pStyle w:val="Footer"/>
            <w:rPr>
              <w:iCs/>
              <w:color w:val="001B35" w:themeColor="accent1"/>
              <w:sz w:val="22"/>
            </w:rPr>
          </w:pPr>
          <w:r w:rsidRPr="00423D13">
            <w:rPr>
              <w:sz w:val="24"/>
              <w:szCs w:val="24"/>
            </w:rPr>
            <w:br w:type="page"/>
          </w:r>
        </w:p>
        <w:p w14:paraId="08EDBBA4" w14:textId="024475EB" w:rsidR="001D216A" w:rsidRDefault="001D216A" w:rsidP="00AE50BC">
          <w:pPr>
            <w:pStyle w:val="Heading2"/>
            <w:tabs>
              <w:tab w:val="left" w:pos="6216"/>
            </w:tabs>
          </w:pPr>
          <w:bookmarkStart w:id="5" w:name="_Toc19023739"/>
          <w:bookmarkStart w:id="6" w:name="_Toc19289802"/>
          <w:bookmarkStart w:id="7" w:name="_Toc144911605"/>
          <w:bookmarkStart w:id="8" w:name="_Toc152671682"/>
          <w:bookmarkStart w:id="9" w:name="_Toc152763256"/>
          <w:bookmarkStart w:id="10" w:name="_Toc152763337"/>
          <w:bookmarkStart w:id="11" w:name="_Toc152767573"/>
          <w:bookmarkStart w:id="12" w:name="_Toc152845522"/>
          <w:bookmarkStart w:id="13" w:name="_Toc164776110"/>
          <w:bookmarkStart w:id="14" w:name="_Toc165029059"/>
          <w:bookmarkStart w:id="15" w:name="_Toc165029309"/>
          <w:bookmarkStart w:id="16" w:name="_Toc166848327"/>
          <w:r w:rsidRPr="001D216A">
            <w:lastRenderedPageBreak/>
            <w:t>Copyright</w:t>
          </w:r>
          <w:bookmarkEnd w:id="5"/>
          <w:bookmarkEnd w:id="6"/>
          <w:bookmarkEnd w:id="7"/>
          <w:bookmarkEnd w:id="8"/>
          <w:bookmarkEnd w:id="9"/>
          <w:bookmarkEnd w:id="10"/>
          <w:bookmarkEnd w:id="11"/>
          <w:bookmarkEnd w:id="12"/>
          <w:bookmarkEnd w:id="13"/>
          <w:bookmarkEnd w:id="14"/>
          <w:bookmarkEnd w:id="15"/>
          <w:bookmarkEnd w:id="16"/>
          <w:r w:rsidR="00AE50BC">
            <w:tab/>
          </w:r>
        </w:p>
        <w:p w14:paraId="08EDBBA5" w14:textId="48A5A480" w:rsidR="0068286F" w:rsidRPr="0068286F" w:rsidRDefault="0068286F" w:rsidP="0068286F">
          <w:pPr>
            <w:rPr>
              <w:rStyle w:val="Strong"/>
            </w:rPr>
          </w:pPr>
          <w:r w:rsidRPr="0068286F">
            <w:rPr>
              <w:rStyle w:val="Strong"/>
            </w:rPr>
            <w:t xml:space="preserve">© Commonwealth of </w:t>
          </w:r>
          <w:r w:rsidRPr="000F2564">
            <w:rPr>
              <w:rStyle w:val="Strong"/>
            </w:rPr>
            <w:t xml:space="preserve">Australia </w:t>
          </w:r>
          <w:r w:rsidR="00DF01FE" w:rsidRPr="000F2564">
            <w:rPr>
              <w:rStyle w:val="Strong"/>
            </w:rPr>
            <w:t>20</w:t>
          </w:r>
          <w:r w:rsidR="00DF01FE">
            <w:rPr>
              <w:rStyle w:val="Strong"/>
            </w:rPr>
            <w:t>24</w:t>
          </w:r>
        </w:p>
        <w:p w14:paraId="08EDBBA6" w14:textId="77777777" w:rsidR="0068286F" w:rsidRPr="0068286F" w:rsidRDefault="0068286F" w:rsidP="0068286F">
          <w:pPr>
            <w:rPr>
              <w:rStyle w:val="Strong"/>
            </w:rPr>
          </w:pPr>
          <w:r w:rsidRPr="0068286F">
            <w:rPr>
              <w:rStyle w:val="Strong"/>
            </w:rPr>
            <w:t>Ownership of intellectual property rights</w:t>
          </w:r>
        </w:p>
        <w:p w14:paraId="08EDBBA7" w14:textId="77777777" w:rsidR="0068286F" w:rsidRDefault="0068286F" w:rsidP="0068286F">
          <w:r>
            <w:t>Unless otherwise noted, copyright (and any other intellectual property rights, if any) in this publication is owned by the Commonwealth of Australia.</w:t>
          </w:r>
        </w:p>
        <w:p w14:paraId="08EDBBA8" w14:textId="77777777" w:rsidR="0068286F" w:rsidRDefault="0068286F" w:rsidP="0068286F">
          <w:pPr>
            <w:rPr>
              <w:rStyle w:val="Strong"/>
            </w:rPr>
          </w:pPr>
          <w:r w:rsidRPr="0068286F">
            <w:rPr>
              <w:rStyle w:val="Strong"/>
            </w:rPr>
            <w:t>Creative Commons licence</w:t>
          </w:r>
        </w:p>
        <w:p w14:paraId="08EDBBA9" w14:textId="77777777" w:rsidR="001D216A" w:rsidRPr="0068286F" w:rsidRDefault="001D216A" w:rsidP="0068286F">
          <w:pPr>
            <w:rPr>
              <w:rStyle w:val="Strong"/>
            </w:rPr>
          </w:pPr>
          <w:r>
            <w:rPr>
              <w:b/>
              <w:noProof/>
              <w:lang w:eastAsia="en-AU"/>
            </w:rPr>
            <w:drawing>
              <wp:inline distT="0" distB="0" distL="0" distR="0" wp14:anchorId="08EDBC60" wp14:editId="08EDBC61">
                <wp:extent cx="1128889" cy="440267"/>
                <wp:effectExtent l="0" t="0" r="0" b="0"/>
                <wp:docPr id="4" name="Picture 4" descr="Creative Commons CC BY logo" title="Creative Commons C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ative commons.png"/>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1129401" cy="440467"/>
                        </a:xfrm>
                        <a:prstGeom prst="rect">
                          <a:avLst/>
                        </a:prstGeom>
                        <a:ln>
                          <a:noFill/>
                        </a:ln>
                        <a:extLst>
                          <a:ext uri="{53640926-AAD7-44D8-BBD7-CCE9431645EC}">
                            <a14:shadowObscured xmlns:a14="http://schemas.microsoft.com/office/drawing/2010/main"/>
                          </a:ext>
                        </a:extLst>
                      </pic:spPr>
                    </pic:pic>
                  </a:graphicData>
                </a:graphic>
              </wp:inline>
            </w:drawing>
          </w:r>
        </w:p>
        <w:p w14:paraId="08EDBBAA" w14:textId="77777777" w:rsidR="0068286F" w:rsidRPr="001D216A" w:rsidRDefault="0068286F" w:rsidP="0068286F">
          <w:pPr>
            <w:rPr>
              <w:rStyle w:val="Strong"/>
            </w:rPr>
          </w:pPr>
          <w:r w:rsidRPr="001D216A">
            <w:rPr>
              <w:rStyle w:val="Strong"/>
            </w:rPr>
            <w:t xml:space="preserve">Attribution </w:t>
          </w:r>
        </w:p>
        <w:p w14:paraId="08EDBBAB" w14:textId="77777777" w:rsidR="0068286F" w:rsidRPr="001D216A" w:rsidRDefault="0068286F" w:rsidP="0068286F">
          <w:pPr>
            <w:rPr>
              <w:rStyle w:val="Strong"/>
            </w:rPr>
          </w:pPr>
          <w:r w:rsidRPr="001D216A">
            <w:rPr>
              <w:rStyle w:val="Strong"/>
            </w:rPr>
            <w:t>CC BY</w:t>
          </w:r>
        </w:p>
        <w:p w14:paraId="08EDBBAC" w14:textId="77777777" w:rsidR="0068286F" w:rsidRPr="00393784" w:rsidRDefault="0068286F" w:rsidP="00527381">
          <w:r>
            <w:t xml:space="preserve">All material in </w:t>
          </w:r>
          <w:r w:rsidRPr="00393784">
            <w:t>this publication is licensed under a Creative Commons Attribution 4.0 International Licence, save for content supplied by third parties, logos, any material protected by trademark or otherwise noted in this publication, and the Commonwealth Coat of Arms.</w:t>
          </w:r>
        </w:p>
        <w:p w14:paraId="08EDBBAD" w14:textId="68B40D69" w:rsidR="0068286F" w:rsidRDefault="0068286F" w:rsidP="00393784">
          <w:r w:rsidRPr="00393784">
            <w:t>Creative Commons Attribution 4.0 International Licence is a standard form licence agreement that allows you to copy, distribute, transmit and adapt this publication provided you attribute the work. A</w:t>
          </w:r>
          <w:r w:rsidR="00F66A4B" w:rsidRPr="00393784">
            <w:t> </w:t>
          </w:r>
          <w:r w:rsidRPr="00393784">
            <w:t>summary of the licence terms is</w:t>
          </w:r>
          <w:r>
            <w:t xml:space="preserve"> available from </w:t>
          </w:r>
          <w:hyperlink r:id="rId10" w:history="1">
            <w:r w:rsidR="001D216A" w:rsidRPr="00DB39DE">
              <w:rPr>
                <w:rStyle w:val="Hyperlink"/>
              </w:rPr>
              <w:t>https://creativecommons.org/licenses/by/4.0/</w:t>
            </w:r>
          </w:hyperlink>
        </w:p>
        <w:p w14:paraId="08EDBBAE" w14:textId="77777777" w:rsidR="0068286F" w:rsidRDefault="0068286F" w:rsidP="0068286F">
          <w:r>
            <w:t xml:space="preserve">The full licence terms are available from </w:t>
          </w:r>
          <w:hyperlink r:id="rId11" w:history="1">
            <w:r w:rsidR="001D216A" w:rsidRPr="00DB39DE">
              <w:rPr>
                <w:rStyle w:val="Hyperlink"/>
              </w:rPr>
              <w:t>https://creativecommons.org/licenses/by/4.0/legalcode</w:t>
            </w:r>
          </w:hyperlink>
        </w:p>
        <w:p w14:paraId="08EDBBAF" w14:textId="3637BDA7" w:rsidR="0068286F" w:rsidRDefault="0068286F" w:rsidP="0068286F">
          <w:r>
            <w:t xml:space="preserve">Content contained herein should be attributed as </w:t>
          </w:r>
          <w:r w:rsidR="00CD18F3">
            <w:rPr>
              <w:i/>
            </w:rPr>
            <w:t>Australian Government guidance for removal of oil and gas property and sea dumping of infrastructure in Commonwealth waters</w:t>
          </w:r>
          <w:r w:rsidR="001D216A" w:rsidRPr="000F2564">
            <w:rPr>
              <w:i/>
            </w:rPr>
            <w:t>, Australian Government Department of Industry, Science</w:t>
          </w:r>
          <w:r w:rsidR="00DE1060">
            <w:rPr>
              <w:i/>
            </w:rPr>
            <w:t xml:space="preserve"> and Resources</w:t>
          </w:r>
          <w:r w:rsidRPr="000F2564">
            <w:t>.</w:t>
          </w:r>
        </w:p>
        <w:p w14:paraId="08EDBBB1" w14:textId="77777777" w:rsidR="0068286F" w:rsidRPr="001D216A" w:rsidRDefault="0068286F" w:rsidP="008653E9">
          <w:pPr>
            <w:pStyle w:val="Heading2"/>
          </w:pPr>
          <w:bookmarkStart w:id="17" w:name="_Toc19023740"/>
          <w:bookmarkStart w:id="18" w:name="_Toc19289803"/>
          <w:bookmarkStart w:id="19" w:name="_Toc144911606"/>
          <w:bookmarkStart w:id="20" w:name="_Toc152671683"/>
          <w:bookmarkStart w:id="21" w:name="_Toc152763257"/>
          <w:bookmarkStart w:id="22" w:name="_Toc152763338"/>
          <w:bookmarkStart w:id="23" w:name="_Toc152767574"/>
          <w:bookmarkStart w:id="24" w:name="_Toc152845523"/>
          <w:bookmarkStart w:id="25" w:name="_Toc164776111"/>
          <w:bookmarkStart w:id="26" w:name="_Toc165029060"/>
          <w:bookmarkStart w:id="27" w:name="_Toc165029310"/>
          <w:bookmarkStart w:id="28" w:name="_Toc166848328"/>
          <w:r w:rsidRPr="001D216A">
            <w:t>Disclaimer</w:t>
          </w:r>
          <w:bookmarkEnd w:id="17"/>
          <w:bookmarkEnd w:id="18"/>
          <w:bookmarkEnd w:id="19"/>
          <w:bookmarkEnd w:id="20"/>
          <w:bookmarkEnd w:id="21"/>
          <w:bookmarkEnd w:id="22"/>
          <w:bookmarkEnd w:id="23"/>
          <w:bookmarkEnd w:id="24"/>
          <w:bookmarkEnd w:id="25"/>
          <w:bookmarkEnd w:id="26"/>
          <w:bookmarkEnd w:id="27"/>
          <w:bookmarkEnd w:id="28"/>
        </w:p>
        <w:p w14:paraId="08EDBBB2" w14:textId="5E008033" w:rsidR="000F2564" w:rsidRPr="00527381" w:rsidRDefault="0068286F" w:rsidP="00527381">
          <w:r w:rsidRPr="00527381">
            <w:t>The Australian Government as represented by the Department of Industry, Science</w:t>
          </w:r>
          <w:r w:rsidR="00DE1060" w:rsidRPr="00527381">
            <w:t xml:space="preserve"> and Resources</w:t>
          </w:r>
          <w:r w:rsidRPr="00527381">
            <w:t xml:space="preserve"> has exercised due care and skill in the preparation and compilation of the information and data in this publication. Notwithstanding, the Commonwealth of Australia, its officers, employees, or agents disclaim any liability, including liability for negligence, loss howsoever caused, damage, injury, expense or cost incurred by any person as a result of accessing, using or relying upon any of the information or data in this publication to the maximum extent permitted by law. No representation expressed or implied is made as to the currency, accuracy, reliability or completeness of the information contained in this publication. The reader should rely on their own inquiries to independently confirm the information and comment on which they intend to act. This publication does not indicate commitment by the Australian Government to a particular course of action.</w:t>
          </w:r>
        </w:p>
        <w:p w14:paraId="08EDBBB3" w14:textId="31B2924D" w:rsidR="000F2564" w:rsidRDefault="000F2564" w:rsidP="000F2564">
          <w:r>
            <w:br w:type="page"/>
          </w:r>
        </w:p>
        <w:p w14:paraId="5FD6DACE" w14:textId="2F7CBE7A" w:rsidR="00372D1F" w:rsidRPr="00372D1F" w:rsidRDefault="00E3027E" w:rsidP="00372D1F">
          <w:pPr>
            <w:pStyle w:val="Heading2"/>
          </w:pPr>
          <w:bookmarkStart w:id="29" w:name="_Toc19289804"/>
          <w:bookmarkStart w:id="30" w:name="_Toc144911607"/>
          <w:bookmarkStart w:id="31" w:name="_Toc152671684"/>
          <w:bookmarkStart w:id="32" w:name="_Toc152763258"/>
          <w:bookmarkStart w:id="33" w:name="_Toc152763339"/>
          <w:bookmarkStart w:id="34" w:name="_Toc152767575"/>
          <w:bookmarkStart w:id="35" w:name="_Toc152845524"/>
          <w:bookmarkStart w:id="36" w:name="_Toc164776112"/>
          <w:bookmarkStart w:id="37" w:name="_Toc165029061"/>
          <w:bookmarkStart w:id="38" w:name="_Toc165029311"/>
          <w:bookmarkStart w:id="39" w:name="_Toc166848329"/>
          <w:r>
            <w:lastRenderedPageBreak/>
            <w:t>Contents</w:t>
          </w:r>
          <w:bookmarkEnd w:id="29"/>
          <w:bookmarkEnd w:id="30"/>
          <w:bookmarkEnd w:id="31"/>
          <w:bookmarkEnd w:id="32"/>
          <w:bookmarkEnd w:id="33"/>
          <w:bookmarkEnd w:id="34"/>
          <w:bookmarkEnd w:id="35"/>
          <w:bookmarkEnd w:id="36"/>
          <w:bookmarkEnd w:id="37"/>
          <w:bookmarkEnd w:id="38"/>
          <w:bookmarkEnd w:id="39"/>
          <w:r w:rsidR="00F66A4B">
            <w:fldChar w:fldCharType="begin"/>
          </w:r>
          <w:r w:rsidR="00F66A4B">
            <w:instrText xml:space="preserve"> TOC \o "1-5" \h \z \u </w:instrText>
          </w:r>
          <w:r w:rsidR="00F66A4B">
            <w:fldChar w:fldCharType="separate"/>
          </w:r>
        </w:p>
        <w:p w14:paraId="5094EC66" w14:textId="12580C41" w:rsidR="00372D1F" w:rsidRDefault="00FA1DDD">
          <w:pPr>
            <w:pStyle w:val="TOC2"/>
            <w:rPr>
              <w:rFonts w:eastAsiaTheme="minorEastAsia"/>
              <w:noProof/>
              <w:kern w:val="2"/>
              <w:sz w:val="22"/>
              <w:lang w:eastAsia="en-AU"/>
              <w14:ligatures w14:val="standardContextual"/>
            </w:rPr>
          </w:pPr>
          <w:hyperlink w:anchor="_Toc166848330" w:history="1">
            <w:r w:rsidR="00372D1F" w:rsidRPr="00664E3D">
              <w:rPr>
                <w:rStyle w:val="Hyperlink"/>
                <w:noProof/>
              </w:rPr>
              <w:t>Summary</w:t>
            </w:r>
            <w:r w:rsidR="00372D1F">
              <w:rPr>
                <w:noProof/>
                <w:webHidden/>
              </w:rPr>
              <w:tab/>
            </w:r>
            <w:r w:rsidR="00372D1F">
              <w:rPr>
                <w:noProof/>
                <w:webHidden/>
              </w:rPr>
              <w:fldChar w:fldCharType="begin"/>
            </w:r>
            <w:r w:rsidR="00372D1F">
              <w:rPr>
                <w:noProof/>
                <w:webHidden/>
              </w:rPr>
              <w:instrText xml:space="preserve"> PAGEREF _Toc166848330 \h </w:instrText>
            </w:r>
            <w:r w:rsidR="00372D1F">
              <w:rPr>
                <w:noProof/>
                <w:webHidden/>
              </w:rPr>
            </w:r>
            <w:r w:rsidR="00372D1F">
              <w:rPr>
                <w:noProof/>
                <w:webHidden/>
              </w:rPr>
              <w:fldChar w:fldCharType="separate"/>
            </w:r>
            <w:r w:rsidR="00372D1F">
              <w:rPr>
                <w:noProof/>
                <w:webHidden/>
              </w:rPr>
              <w:t>3</w:t>
            </w:r>
            <w:r w:rsidR="00372D1F">
              <w:rPr>
                <w:noProof/>
                <w:webHidden/>
              </w:rPr>
              <w:fldChar w:fldCharType="end"/>
            </w:r>
          </w:hyperlink>
        </w:p>
        <w:p w14:paraId="7C3DDD8B" w14:textId="3ADCDBAA" w:rsidR="00372D1F" w:rsidRDefault="00FA1DDD">
          <w:pPr>
            <w:pStyle w:val="TOC2"/>
            <w:rPr>
              <w:rFonts w:eastAsiaTheme="minorEastAsia"/>
              <w:noProof/>
              <w:kern w:val="2"/>
              <w:sz w:val="22"/>
              <w:lang w:eastAsia="en-AU"/>
              <w14:ligatures w14:val="standardContextual"/>
            </w:rPr>
          </w:pPr>
          <w:hyperlink w:anchor="_Toc166848331" w:history="1">
            <w:r w:rsidR="00372D1F" w:rsidRPr="00664E3D">
              <w:rPr>
                <w:rStyle w:val="Hyperlink"/>
                <w:noProof/>
              </w:rPr>
              <w:t>1. Introduction</w:t>
            </w:r>
            <w:r w:rsidR="00372D1F">
              <w:rPr>
                <w:noProof/>
                <w:webHidden/>
              </w:rPr>
              <w:tab/>
            </w:r>
            <w:r w:rsidR="00372D1F">
              <w:rPr>
                <w:noProof/>
                <w:webHidden/>
              </w:rPr>
              <w:fldChar w:fldCharType="begin"/>
            </w:r>
            <w:r w:rsidR="00372D1F">
              <w:rPr>
                <w:noProof/>
                <w:webHidden/>
              </w:rPr>
              <w:instrText xml:space="preserve"> PAGEREF _Toc166848331 \h </w:instrText>
            </w:r>
            <w:r w:rsidR="00372D1F">
              <w:rPr>
                <w:noProof/>
                <w:webHidden/>
              </w:rPr>
            </w:r>
            <w:r w:rsidR="00372D1F">
              <w:rPr>
                <w:noProof/>
                <w:webHidden/>
              </w:rPr>
              <w:fldChar w:fldCharType="separate"/>
            </w:r>
            <w:r w:rsidR="00372D1F">
              <w:rPr>
                <w:noProof/>
                <w:webHidden/>
              </w:rPr>
              <w:t>4</w:t>
            </w:r>
            <w:r w:rsidR="00372D1F">
              <w:rPr>
                <w:noProof/>
                <w:webHidden/>
              </w:rPr>
              <w:fldChar w:fldCharType="end"/>
            </w:r>
          </w:hyperlink>
        </w:p>
        <w:p w14:paraId="6C690B30" w14:textId="1369768B" w:rsidR="00372D1F" w:rsidRDefault="00FA1DDD">
          <w:pPr>
            <w:pStyle w:val="TOC3"/>
            <w:rPr>
              <w:rFonts w:eastAsiaTheme="minorEastAsia"/>
              <w:noProof/>
              <w:kern w:val="2"/>
              <w:sz w:val="22"/>
              <w:lang w:eastAsia="en-AU"/>
              <w14:ligatures w14:val="standardContextual"/>
            </w:rPr>
          </w:pPr>
          <w:hyperlink w:anchor="_Toc166848332" w:history="1">
            <w:r w:rsidR="00372D1F" w:rsidRPr="00664E3D">
              <w:rPr>
                <w:rStyle w:val="Hyperlink"/>
                <w:noProof/>
              </w:rPr>
              <w:t>1.1. Purpose</w:t>
            </w:r>
            <w:r w:rsidR="00372D1F">
              <w:rPr>
                <w:noProof/>
                <w:webHidden/>
              </w:rPr>
              <w:tab/>
            </w:r>
            <w:r w:rsidR="00372D1F">
              <w:rPr>
                <w:noProof/>
                <w:webHidden/>
              </w:rPr>
              <w:fldChar w:fldCharType="begin"/>
            </w:r>
            <w:r w:rsidR="00372D1F">
              <w:rPr>
                <w:noProof/>
                <w:webHidden/>
              </w:rPr>
              <w:instrText xml:space="preserve"> PAGEREF _Toc166848332 \h </w:instrText>
            </w:r>
            <w:r w:rsidR="00372D1F">
              <w:rPr>
                <w:noProof/>
                <w:webHidden/>
              </w:rPr>
            </w:r>
            <w:r w:rsidR="00372D1F">
              <w:rPr>
                <w:noProof/>
                <w:webHidden/>
              </w:rPr>
              <w:fldChar w:fldCharType="separate"/>
            </w:r>
            <w:r w:rsidR="00372D1F">
              <w:rPr>
                <w:noProof/>
                <w:webHidden/>
              </w:rPr>
              <w:t>4</w:t>
            </w:r>
            <w:r w:rsidR="00372D1F">
              <w:rPr>
                <w:noProof/>
                <w:webHidden/>
              </w:rPr>
              <w:fldChar w:fldCharType="end"/>
            </w:r>
          </w:hyperlink>
        </w:p>
        <w:p w14:paraId="14DF2DA5" w14:textId="7878E211" w:rsidR="00372D1F" w:rsidRDefault="00FA1DDD">
          <w:pPr>
            <w:pStyle w:val="TOC3"/>
            <w:rPr>
              <w:rFonts w:eastAsiaTheme="minorEastAsia"/>
              <w:noProof/>
              <w:kern w:val="2"/>
              <w:sz w:val="22"/>
              <w:lang w:eastAsia="en-AU"/>
              <w14:ligatures w14:val="standardContextual"/>
            </w:rPr>
          </w:pPr>
          <w:hyperlink w:anchor="_Toc166848333" w:history="1">
            <w:r w:rsidR="00372D1F" w:rsidRPr="00664E3D">
              <w:rPr>
                <w:rStyle w:val="Hyperlink"/>
                <w:noProof/>
              </w:rPr>
              <w:t>1.2. Scope and limitations</w:t>
            </w:r>
            <w:r w:rsidR="00372D1F">
              <w:rPr>
                <w:noProof/>
                <w:webHidden/>
              </w:rPr>
              <w:tab/>
            </w:r>
            <w:r w:rsidR="00372D1F">
              <w:rPr>
                <w:noProof/>
                <w:webHidden/>
              </w:rPr>
              <w:fldChar w:fldCharType="begin"/>
            </w:r>
            <w:r w:rsidR="00372D1F">
              <w:rPr>
                <w:noProof/>
                <w:webHidden/>
              </w:rPr>
              <w:instrText xml:space="preserve"> PAGEREF _Toc166848333 \h </w:instrText>
            </w:r>
            <w:r w:rsidR="00372D1F">
              <w:rPr>
                <w:noProof/>
                <w:webHidden/>
              </w:rPr>
            </w:r>
            <w:r w:rsidR="00372D1F">
              <w:rPr>
                <w:noProof/>
                <w:webHidden/>
              </w:rPr>
              <w:fldChar w:fldCharType="separate"/>
            </w:r>
            <w:r w:rsidR="00372D1F">
              <w:rPr>
                <w:noProof/>
                <w:webHidden/>
              </w:rPr>
              <w:t>4</w:t>
            </w:r>
            <w:r w:rsidR="00372D1F">
              <w:rPr>
                <w:noProof/>
                <w:webHidden/>
              </w:rPr>
              <w:fldChar w:fldCharType="end"/>
            </w:r>
          </w:hyperlink>
        </w:p>
        <w:p w14:paraId="50E6DA7F" w14:textId="2108156A" w:rsidR="00372D1F" w:rsidRDefault="00FA1DDD">
          <w:pPr>
            <w:pStyle w:val="TOC2"/>
            <w:rPr>
              <w:rFonts w:eastAsiaTheme="minorEastAsia"/>
              <w:noProof/>
              <w:kern w:val="2"/>
              <w:sz w:val="22"/>
              <w:lang w:eastAsia="en-AU"/>
              <w14:ligatures w14:val="standardContextual"/>
            </w:rPr>
          </w:pPr>
          <w:hyperlink w:anchor="_Toc166848334" w:history="1">
            <w:r w:rsidR="00372D1F" w:rsidRPr="00664E3D">
              <w:rPr>
                <w:rStyle w:val="Hyperlink"/>
                <w:noProof/>
              </w:rPr>
              <w:t>2. Removing property and infrastructure</w:t>
            </w:r>
            <w:r w:rsidR="00372D1F">
              <w:rPr>
                <w:noProof/>
                <w:webHidden/>
              </w:rPr>
              <w:tab/>
            </w:r>
            <w:r w:rsidR="00372D1F">
              <w:rPr>
                <w:noProof/>
                <w:webHidden/>
              </w:rPr>
              <w:fldChar w:fldCharType="begin"/>
            </w:r>
            <w:r w:rsidR="00372D1F">
              <w:rPr>
                <w:noProof/>
                <w:webHidden/>
              </w:rPr>
              <w:instrText xml:space="preserve"> PAGEREF _Toc166848334 \h </w:instrText>
            </w:r>
            <w:r w:rsidR="00372D1F">
              <w:rPr>
                <w:noProof/>
                <w:webHidden/>
              </w:rPr>
            </w:r>
            <w:r w:rsidR="00372D1F">
              <w:rPr>
                <w:noProof/>
                <w:webHidden/>
              </w:rPr>
              <w:fldChar w:fldCharType="separate"/>
            </w:r>
            <w:r w:rsidR="00372D1F">
              <w:rPr>
                <w:noProof/>
                <w:webHidden/>
              </w:rPr>
              <w:t>5</w:t>
            </w:r>
            <w:r w:rsidR="00372D1F">
              <w:rPr>
                <w:noProof/>
                <w:webHidden/>
              </w:rPr>
              <w:fldChar w:fldCharType="end"/>
            </w:r>
          </w:hyperlink>
        </w:p>
        <w:p w14:paraId="435925E2" w14:textId="1B8F36A9" w:rsidR="00372D1F" w:rsidRDefault="00FA1DDD">
          <w:pPr>
            <w:pStyle w:val="TOC3"/>
            <w:rPr>
              <w:rFonts w:eastAsiaTheme="minorEastAsia"/>
              <w:noProof/>
              <w:kern w:val="2"/>
              <w:sz w:val="22"/>
              <w:lang w:eastAsia="en-AU"/>
              <w14:ligatures w14:val="standardContextual"/>
            </w:rPr>
          </w:pPr>
          <w:hyperlink w:anchor="_Toc166848335" w:history="1">
            <w:r w:rsidR="00372D1F" w:rsidRPr="00664E3D">
              <w:rPr>
                <w:rStyle w:val="Hyperlink"/>
                <w:noProof/>
              </w:rPr>
              <w:t>2.1. Offshore Petroleum and Greenhouse Gas Storage Act 2006</w:t>
            </w:r>
            <w:r w:rsidR="00372D1F">
              <w:rPr>
                <w:noProof/>
                <w:webHidden/>
              </w:rPr>
              <w:tab/>
            </w:r>
            <w:r w:rsidR="00372D1F">
              <w:rPr>
                <w:noProof/>
                <w:webHidden/>
              </w:rPr>
              <w:fldChar w:fldCharType="begin"/>
            </w:r>
            <w:r w:rsidR="00372D1F">
              <w:rPr>
                <w:noProof/>
                <w:webHidden/>
              </w:rPr>
              <w:instrText xml:space="preserve"> PAGEREF _Toc166848335 \h </w:instrText>
            </w:r>
            <w:r w:rsidR="00372D1F">
              <w:rPr>
                <w:noProof/>
                <w:webHidden/>
              </w:rPr>
            </w:r>
            <w:r w:rsidR="00372D1F">
              <w:rPr>
                <w:noProof/>
                <w:webHidden/>
              </w:rPr>
              <w:fldChar w:fldCharType="separate"/>
            </w:r>
            <w:r w:rsidR="00372D1F">
              <w:rPr>
                <w:noProof/>
                <w:webHidden/>
              </w:rPr>
              <w:t>6</w:t>
            </w:r>
            <w:r w:rsidR="00372D1F">
              <w:rPr>
                <w:noProof/>
                <w:webHidden/>
              </w:rPr>
              <w:fldChar w:fldCharType="end"/>
            </w:r>
          </w:hyperlink>
        </w:p>
        <w:p w14:paraId="4E0F3095" w14:textId="1D0D9F74" w:rsidR="00372D1F" w:rsidRDefault="00FA1DDD">
          <w:pPr>
            <w:pStyle w:val="TOC3"/>
            <w:rPr>
              <w:rFonts w:eastAsiaTheme="minorEastAsia"/>
              <w:noProof/>
              <w:kern w:val="2"/>
              <w:sz w:val="22"/>
              <w:lang w:eastAsia="en-AU"/>
              <w14:ligatures w14:val="standardContextual"/>
            </w:rPr>
          </w:pPr>
          <w:hyperlink w:anchor="_Toc166848336" w:history="1">
            <w:r w:rsidR="00372D1F" w:rsidRPr="00664E3D">
              <w:rPr>
                <w:rStyle w:val="Hyperlink"/>
                <w:noProof/>
              </w:rPr>
              <w:t>2.2. Environment Protection (Sea Dumping) Act 1981</w:t>
            </w:r>
            <w:r w:rsidR="00372D1F">
              <w:rPr>
                <w:noProof/>
                <w:webHidden/>
              </w:rPr>
              <w:tab/>
            </w:r>
            <w:r w:rsidR="00372D1F">
              <w:rPr>
                <w:noProof/>
                <w:webHidden/>
              </w:rPr>
              <w:fldChar w:fldCharType="begin"/>
            </w:r>
            <w:r w:rsidR="00372D1F">
              <w:rPr>
                <w:noProof/>
                <w:webHidden/>
              </w:rPr>
              <w:instrText xml:space="preserve"> PAGEREF _Toc166848336 \h </w:instrText>
            </w:r>
            <w:r w:rsidR="00372D1F">
              <w:rPr>
                <w:noProof/>
                <w:webHidden/>
              </w:rPr>
            </w:r>
            <w:r w:rsidR="00372D1F">
              <w:rPr>
                <w:noProof/>
                <w:webHidden/>
              </w:rPr>
              <w:fldChar w:fldCharType="separate"/>
            </w:r>
            <w:r w:rsidR="00372D1F">
              <w:rPr>
                <w:noProof/>
                <w:webHidden/>
              </w:rPr>
              <w:t>7</w:t>
            </w:r>
            <w:r w:rsidR="00372D1F">
              <w:rPr>
                <w:noProof/>
                <w:webHidden/>
              </w:rPr>
              <w:fldChar w:fldCharType="end"/>
            </w:r>
          </w:hyperlink>
        </w:p>
        <w:p w14:paraId="37C7AA08" w14:textId="6CCB1850" w:rsidR="00372D1F" w:rsidRDefault="00FA1DDD">
          <w:pPr>
            <w:pStyle w:val="TOC3"/>
            <w:rPr>
              <w:rFonts w:eastAsiaTheme="minorEastAsia"/>
              <w:noProof/>
              <w:kern w:val="2"/>
              <w:sz w:val="22"/>
              <w:lang w:eastAsia="en-AU"/>
              <w14:ligatures w14:val="standardContextual"/>
            </w:rPr>
          </w:pPr>
          <w:hyperlink w:anchor="_Toc166848337" w:history="1">
            <w:r w:rsidR="00372D1F" w:rsidRPr="00664E3D">
              <w:rPr>
                <w:rStyle w:val="Hyperlink"/>
                <w:noProof/>
              </w:rPr>
              <w:t>2.3. Environment Protection and Biodiversity Conservation Act 1999</w:t>
            </w:r>
            <w:r w:rsidR="00372D1F">
              <w:rPr>
                <w:noProof/>
                <w:webHidden/>
              </w:rPr>
              <w:tab/>
            </w:r>
            <w:r w:rsidR="00372D1F">
              <w:rPr>
                <w:noProof/>
                <w:webHidden/>
              </w:rPr>
              <w:fldChar w:fldCharType="begin"/>
            </w:r>
            <w:r w:rsidR="00372D1F">
              <w:rPr>
                <w:noProof/>
                <w:webHidden/>
              </w:rPr>
              <w:instrText xml:space="preserve"> PAGEREF _Toc166848337 \h </w:instrText>
            </w:r>
            <w:r w:rsidR="00372D1F">
              <w:rPr>
                <w:noProof/>
                <w:webHidden/>
              </w:rPr>
            </w:r>
            <w:r w:rsidR="00372D1F">
              <w:rPr>
                <w:noProof/>
                <w:webHidden/>
              </w:rPr>
              <w:fldChar w:fldCharType="separate"/>
            </w:r>
            <w:r w:rsidR="00372D1F">
              <w:rPr>
                <w:noProof/>
                <w:webHidden/>
              </w:rPr>
              <w:t>7</w:t>
            </w:r>
            <w:r w:rsidR="00372D1F">
              <w:rPr>
                <w:noProof/>
                <w:webHidden/>
              </w:rPr>
              <w:fldChar w:fldCharType="end"/>
            </w:r>
          </w:hyperlink>
        </w:p>
        <w:p w14:paraId="01D2CFF3" w14:textId="0020FED9" w:rsidR="00372D1F" w:rsidRDefault="00FA1DDD">
          <w:pPr>
            <w:pStyle w:val="TOC2"/>
            <w:rPr>
              <w:rFonts w:eastAsiaTheme="minorEastAsia"/>
              <w:noProof/>
              <w:kern w:val="2"/>
              <w:sz w:val="22"/>
              <w:lang w:eastAsia="en-AU"/>
              <w14:ligatures w14:val="standardContextual"/>
            </w:rPr>
          </w:pPr>
          <w:hyperlink w:anchor="_Toc166848338" w:history="1">
            <w:r w:rsidR="00372D1F" w:rsidRPr="00664E3D">
              <w:rPr>
                <w:rStyle w:val="Hyperlink"/>
                <w:noProof/>
              </w:rPr>
              <w:t>3. Considerations for property and infrastructure proposed to be left in the sea</w:t>
            </w:r>
            <w:r w:rsidR="00372D1F">
              <w:rPr>
                <w:noProof/>
                <w:webHidden/>
              </w:rPr>
              <w:tab/>
            </w:r>
            <w:r w:rsidR="00372D1F">
              <w:rPr>
                <w:noProof/>
                <w:webHidden/>
              </w:rPr>
              <w:fldChar w:fldCharType="begin"/>
            </w:r>
            <w:r w:rsidR="00372D1F">
              <w:rPr>
                <w:noProof/>
                <w:webHidden/>
              </w:rPr>
              <w:instrText xml:space="preserve"> PAGEREF _Toc166848338 \h </w:instrText>
            </w:r>
            <w:r w:rsidR="00372D1F">
              <w:rPr>
                <w:noProof/>
                <w:webHidden/>
              </w:rPr>
            </w:r>
            <w:r w:rsidR="00372D1F">
              <w:rPr>
                <w:noProof/>
                <w:webHidden/>
              </w:rPr>
              <w:fldChar w:fldCharType="separate"/>
            </w:r>
            <w:r w:rsidR="00372D1F">
              <w:rPr>
                <w:noProof/>
                <w:webHidden/>
              </w:rPr>
              <w:t>8</w:t>
            </w:r>
            <w:r w:rsidR="00372D1F">
              <w:rPr>
                <w:noProof/>
                <w:webHidden/>
              </w:rPr>
              <w:fldChar w:fldCharType="end"/>
            </w:r>
          </w:hyperlink>
        </w:p>
        <w:p w14:paraId="0F8044FE" w14:textId="53D2CFD6" w:rsidR="00372D1F" w:rsidRDefault="00FA1DDD">
          <w:pPr>
            <w:pStyle w:val="TOC3"/>
            <w:rPr>
              <w:rFonts w:eastAsiaTheme="minorEastAsia"/>
              <w:noProof/>
              <w:kern w:val="2"/>
              <w:sz w:val="22"/>
              <w:lang w:eastAsia="en-AU"/>
              <w14:ligatures w14:val="standardContextual"/>
            </w:rPr>
          </w:pPr>
          <w:hyperlink w:anchor="_Toc166848339" w:history="1">
            <w:r w:rsidR="00372D1F" w:rsidRPr="00664E3D">
              <w:rPr>
                <w:rStyle w:val="Hyperlink"/>
                <w:noProof/>
              </w:rPr>
              <w:t>3.1. Consultation</w:t>
            </w:r>
            <w:r w:rsidR="00372D1F">
              <w:rPr>
                <w:noProof/>
                <w:webHidden/>
              </w:rPr>
              <w:tab/>
            </w:r>
            <w:r w:rsidR="00372D1F">
              <w:rPr>
                <w:noProof/>
                <w:webHidden/>
              </w:rPr>
              <w:fldChar w:fldCharType="begin"/>
            </w:r>
            <w:r w:rsidR="00372D1F">
              <w:rPr>
                <w:noProof/>
                <w:webHidden/>
              </w:rPr>
              <w:instrText xml:space="preserve"> PAGEREF _Toc166848339 \h </w:instrText>
            </w:r>
            <w:r w:rsidR="00372D1F">
              <w:rPr>
                <w:noProof/>
                <w:webHidden/>
              </w:rPr>
            </w:r>
            <w:r w:rsidR="00372D1F">
              <w:rPr>
                <w:noProof/>
                <w:webHidden/>
              </w:rPr>
              <w:fldChar w:fldCharType="separate"/>
            </w:r>
            <w:r w:rsidR="00372D1F">
              <w:rPr>
                <w:noProof/>
                <w:webHidden/>
              </w:rPr>
              <w:t>9</w:t>
            </w:r>
            <w:r w:rsidR="00372D1F">
              <w:rPr>
                <w:noProof/>
                <w:webHidden/>
              </w:rPr>
              <w:fldChar w:fldCharType="end"/>
            </w:r>
          </w:hyperlink>
        </w:p>
        <w:p w14:paraId="46E38217" w14:textId="7CF259D1" w:rsidR="00372D1F" w:rsidRDefault="00FA1DDD">
          <w:pPr>
            <w:pStyle w:val="TOC3"/>
            <w:rPr>
              <w:rFonts w:eastAsiaTheme="minorEastAsia"/>
              <w:noProof/>
              <w:kern w:val="2"/>
              <w:sz w:val="22"/>
              <w:lang w:eastAsia="en-AU"/>
              <w14:ligatures w14:val="standardContextual"/>
            </w:rPr>
          </w:pPr>
          <w:hyperlink w:anchor="_Toc166848340" w:history="1">
            <w:r w:rsidR="00372D1F" w:rsidRPr="00664E3D">
              <w:rPr>
                <w:rStyle w:val="Hyperlink"/>
                <w:noProof/>
              </w:rPr>
              <w:t>3.2. Categories of property and infrastructure</w:t>
            </w:r>
            <w:r w:rsidR="00372D1F">
              <w:rPr>
                <w:noProof/>
                <w:webHidden/>
              </w:rPr>
              <w:tab/>
            </w:r>
            <w:r w:rsidR="00372D1F">
              <w:rPr>
                <w:noProof/>
                <w:webHidden/>
              </w:rPr>
              <w:fldChar w:fldCharType="begin"/>
            </w:r>
            <w:r w:rsidR="00372D1F">
              <w:rPr>
                <w:noProof/>
                <w:webHidden/>
              </w:rPr>
              <w:instrText xml:space="preserve"> PAGEREF _Toc166848340 \h </w:instrText>
            </w:r>
            <w:r w:rsidR="00372D1F">
              <w:rPr>
                <w:noProof/>
                <w:webHidden/>
              </w:rPr>
            </w:r>
            <w:r w:rsidR="00372D1F">
              <w:rPr>
                <w:noProof/>
                <w:webHidden/>
              </w:rPr>
              <w:fldChar w:fldCharType="separate"/>
            </w:r>
            <w:r w:rsidR="00372D1F">
              <w:rPr>
                <w:noProof/>
                <w:webHidden/>
              </w:rPr>
              <w:t>10</w:t>
            </w:r>
            <w:r w:rsidR="00372D1F">
              <w:rPr>
                <w:noProof/>
                <w:webHidden/>
              </w:rPr>
              <w:fldChar w:fldCharType="end"/>
            </w:r>
          </w:hyperlink>
        </w:p>
        <w:p w14:paraId="21029794" w14:textId="41EC46F0" w:rsidR="00372D1F" w:rsidRDefault="00FA1DDD">
          <w:pPr>
            <w:pStyle w:val="TOC4"/>
            <w:tabs>
              <w:tab w:val="right" w:leader="dot" w:pos="9016"/>
            </w:tabs>
            <w:rPr>
              <w:rFonts w:eastAsiaTheme="minorEastAsia"/>
              <w:noProof/>
              <w:kern w:val="2"/>
              <w:sz w:val="22"/>
              <w:lang w:eastAsia="en-AU"/>
              <w14:ligatures w14:val="standardContextual"/>
            </w:rPr>
          </w:pPr>
          <w:hyperlink w:anchor="_Toc166848341" w:history="1">
            <w:r w:rsidR="00372D1F" w:rsidRPr="00664E3D">
              <w:rPr>
                <w:rStyle w:val="Hyperlink"/>
                <w:noProof/>
              </w:rPr>
              <w:t>3.2.1. Category 1: Property and infrastructure that cannot be left in the sea</w:t>
            </w:r>
            <w:r w:rsidR="00372D1F">
              <w:rPr>
                <w:noProof/>
                <w:webHidden/>
              </w:rPr>
              <w:tab/>
            </w:r>
            <w:r w:rsidR="00372D1F">
              <w:rPr>
                <w:noProof/>
                <w:webHidden/>
              </w:rPr>
              <w:fldChar w:fldCharType="begin"/>
            </w:r>
            <w:r w:rsidR="00372D1F">
              <w:rPr>
                <w:noProof/>
                <w:webHidden/>
              </w:rPr>
              <w:instrText xml:space="preserve"> PAGEREF _Toc166848341 \h </w:instrText>
            </w:r>
            <w:r w:rsidR="00372D1F">
              <w:rPr>
                <w:noProof/>
                <w:webHidden/>
              </w:rPr>
            </w:r>
            <w:r w:rsidR="00372D1F">
              <w:rPr>
                <w:noProof/>
                <w:webHidden/>
              </w:rPr>
              <w:fldChar w:fldCharType="separate"/>
            </w:r>
            <w:r w:rsidR="00372D1F">
              <w:rPr>
                <w:noProof/>
                <w:webHidden/>
              </w:rPr>
              <w:t>10</w:t>
            </w:r>
            <w:r w:rsidR="00372D1F">
              <w:rPr>
                <w:noProof/>
                <w:webHidden/>
              </w:rPr>
              <w:fldChar w:fldCharType="end"/>
            </w:r>
          </w:hyperlink>
        </w:p>
        <w:p w14:paraId="7B7DDFD4" w14:textId="3018AD6E" w:rsidR="00372D1F" w:rsidRDefault="00FA1DDD">
          <w:pPr>
            <w:pStyle w:val="TOC4"/>
            <w:tabs>
              <w:tab w:val="right" w:leader="dot" w:pos="9016"/>
            </w:tabs>
            <w:rPr>
              <w:rFonts w:eastAsiaTheme="minorEastAsia"/>
              <w:noProof/>
              <w:kern w:val="2"/>
              <w:sz w:val="22"/>
              <w:lang w:eastAsia="en-AU"/>
              <w14:ligatures w14:val="standardContextual"/>
            </w:rPr>
          </w:pPr>
          <w:hyperlink w:anchor="_Toc166848342" w:history="1">
            <w:r w:rsidR="00372D1F" w:rsidRPr="00664E3D">
              <w:rPr>
                <w:rStyle w:val="Hyperlink"/>
                <w:noProof/>
              </w:rPr>
              <w:t>3.2.2. Category 2: Property and infrastructure that may be permitted to be left in the sea subject to regulatory assessment under the OPGGS Act and Sea Dumping Act</w:t>
            </w:r>
            <w:r w:rsidR="00372D1F">
              <w:rPr>
                <w:noProof/>
                <w:webHidden/>
              </w:rPr>
              <w:tab/>
            </w:r>
            <w:r w:rsidR="00372D1F">
              <w:rPr>
                <w:noProof/>
                <w:webHidden/>
              </w:rPr>
              <w:fldChar w:fldCharType="begin"/>
            </w:r>
            <w:r w:rsidR="00372D1F">
              <w:rPr>
                <w:noProof/>
                <w:webHidden/>
              </w:rPr>
              <w:instrText xml:space="preserve"> PAGEREF _Toc166848342 \h </w:instrText>
            </w:r>
            <w:r w:rsidR="00372D1F">
              <w:rPr>
                <w:noProof/>
                <w:webHidden/>
              </w:rPr>
            </w:r>
            <w:r w:rsidR="00372D1F">
              <w:rPr>
                <w:noProof/>
                <w:webHidden/>
              </w:rPr>
              <w:fldChar w:fldCharType="separate"/>
            </w:r>
            <w:r w:rsidR="00372D1F">
              <w:rPr>
                <w:noProof/>
                <w:webHidden/>
              </w:rPr>
              <w:t>11</w:t>
            </w:r>
            <w:r w:rsidR="00372D1F">
              <w:rPr>
                <w:noProof/>
                <w:webHidden/>
              </w:rPr>
              <w:fldChar w:fldCharType="end"/>
            </w:r>
          </w:hyperlink>
        </w:p>
        <w:p w14:paraId="2700CAC4" w14:textId="6572AD14" w:rsidR="00372D1F" w:rsidRDefault="00FA1DDD">
          <w:pPr>
            <w:pStyle w:val="TOC2"/>
            <w:rPr>
              <w:rFonts w:eastAsiaTheme="minorEastAsia"/>
              <w:noProof/>
              <w:kern w:val="2"/>
              <w:sz w:val="22"/>
              <w:lang w:eastAsia="en-AU"/>
              <w14:ligatures w14:val="standardContextual"/>
            </w:rPr>
          </w:pPr>
          <w:hyperlink w:anchor="_Toc166848343" w:history="1">
            <w:r w:rsidR="00372D1F" w:rsidRPr="00664E3D">
              <w:rPr>
                <w:rStyle w:val="Hyperlink"/>
                <w:noProof/>
              </w:rPr>
              <w:t>Resources</w:t>
            </w:r>
            <w:r w:rsidR="00372D1F">
              <w:rPr>
                <w:noProof/>
                <w:webHidden/>
              </w:rPr>
              <w:tab/>
            </w:r>
            <w:r w:rsidR="00372D1F">
              <w:rPr>
                <w:noProof/>
                <w:webHidden/>
              </w:rPr>
              <w:fldChar w:fldCharType="begin"/>
            </w:r>
            <w:r w:rsidR="00372D1F">
              <w:rPr>
                <w:noProof/>
                <w:webHidden/>
              </w:rPr>
              <w:instrText xml:space="preserve"> PAGEREF _Toc166848343 \h </w:instrText>
            </w:r>
            <w:r w:rsidR="00372D1F">
              <w:rPr>
                <w:noProof/>
                <w:webHidden/>
              </w:rPr>
            </w:r>
            <w:r w:rsidR="00372D1F">
              <w:rPr>
                <w:noProof/>
                <w:webHidden/>
              </w:rPr>
              <w:fldChar w:fldCharType="separate"/>
            </w:r>
            <w:r w:rsidR="00372D1F">
              <w:rPr>
                <w:noProof/>
                <w:webHidden/>
              </w:rPr>
              <w:t>14</w:t>
            </w:r>
            <w:r w:rsidR="00372D1F">
              <w:rPr>
                <w:noProof/>
                <w:webHidden/>
              </w:rPr>
              <w:fldChar w:fldCharType="end"/>
            </w:r>
          </w:hyperlink>
        </w:p>
        <w:p w14:paraId="646F99B1" w14:textId="5FDD475D" w:rsidR="00372D1F" w:rsidRDefault="00FA1DDD">
          <w:pPr>
            <w:pStyle w:val="TOC3"/>
            <w:rPr>
              <w:rFonts w:eastAsiaTheme="minorEastAsia"/>
              <w:noProof/>
              <w:kern w:val="2"/>
              <w:sz w:val="22"/>
              <w:lang w:eastAsia="en-AU"/>
              <w14:ligatures w14:val="standardContextual"/>
            </w:rPr>
          </w:pPr>
          <w:hyperlink w:anchor="_Toc166848344" w:history="1">
            <w:r w:rsidR="00372D1F" w:rsidRPr="00664E3D">
              <w:rPr>
                <w:rStyle w:val="Hyperlink"/>
                <w:noProof/>
              </w:rPr>
              <w:t>Australian Government legislation</w:t>
            </w:r>
            <w:r w:rsidR="00372D1F">
              <w:rPr>
                <w:noProof/>
                <w:webHidden/>
              </w:rPr>
              <w:tab/>
            </w:r>
            <w:r w:rsidR="00372D1F">
              <w:rPr>
                <w:noProof/>
                <w:webHidden/>
              </w:rPr>
              <w:fldChar w:fldCharType="begin"/>
            </w:r>
            <w:r w:rsidR="00372D1F">
              <w:rPr>
                <w:noProof/>
                <w:webHidden/>
              </w:rPr>
              <w:instrText xml:space="preserve"> PAGEREF _Toc166848344 \h </w:instrText>
            </w:r>
            <w:r w:rsidR="00372D1F">
              <w:rPr>
                <w:noProof/>
                <w:webHidden/>
              </w:rPr>
            </w:r>
            <w:r w:rsidR="00372D1F">
              <w:rPr>
                <w:noProof/>
                <w:webHidden/>
              </w:rPr>
              <w:fldChar w:fldCharType="separate"/>
            </w:r>
            <w:r w:rsidR="00372D1F">
              <w:rPr>
                <w:noProof/>
                <w:webHidden/>
              </w:rPr>
              <w:t>14</w:t>
            </w:r>
            <w:r w:rsidR="00372D1F">
              <w:rPr>
                <w:noProof/>
                <w:webHidden/>
              </w:rPr>
              <w:fldChar w:fldCharType="end"/>
            </w:r>
          </w:hyperlink>
        </w:p>
        <w:p w14:paraId="286808FF" w14:textId="736C76DE" w:rsidR="00372D1F" w:rsidRDefault="00FA1DDD">
          <w:pPr>
            <w:pStyle w:val="TOC3"/>
            <w:rPr>
              <w:rFonts w:eastAsiaTheme="minorEastAsia"/>
              <w:noProof/>
              <w:kern w:val="2"/>
              <w:sz w:val="22"/>
              <w:lang w:eastAsia="en-AU"/>
              <w14:ligatures w14:val="standardContextual"/>
            </w:rPr>
          </w:pPr>
          <w:hyperlink w:anchor="_Toc166848345" w:history="1">
            <w:r w:rsidR="00372D1F" w:rsidRPr="00664E3D">
              <w:rPr>
                <w:rStyle w:val="Hyperlink"/>
                <w:noProof/>
              </w:rPr>
              <w:t>Australian Government policies and guidelines</w:t>
            </w:r>
            <w:r w:rsidR="00372D1F">
              <w:rPr>
                <w:noProof/>
                <w:webHidden/>
              </w:rPr>
              <w:tab/>
            </w:r>
            <w:r w:rsidR="00372D1F">
              <w:rPr>
                <w:noProof/>
                <w:webHidden/>
              </w:rPr>
              <w:fldChar w:fldCharType="begin"/>
            </w:r>
            <w:r w:rsidR="00372D1F">
              <w:rPr>
                <w:noProof/>
                <w:webHidden/>
              </w:rPr>
              <w:instrText xml:space="preserve"> PAGEREF _Toc166848345 \h </w:instrText>
            </w:r>
            <w:r w:rsidR="00372D1F">
              <w:rPr>
                <w:noProof/>
                <w:webHidden/>
              </w:rPr>
            </w:r>
            <w:r w:rsidR="00372D1F">
              <w:rPr>
                <w:noProof/>
                <w:webHidden/>
              </w:rPr>
              <w:fldChar w:fldCharType="separate"/>
            </w:r>
            <w:r w:rsidR="00372D1F">
              <w:rPr>
                <w:noProof/>
                <w:webHidden/>
              </w:rPr>
              <w:t>14</w:t>
            </w:r>
            <w:r w:rsidR="00372D1F">
              <w:rPr>
                <w:noProof/>
                <w:webHidden/>
              </w:rPr>
              <w:fldChar w:fldCharType="end"/>
            </w:r>
          </w:hyperlink>
        </w:p>
        <w:p w14:paraId="3A2DF57B" w14:textId="7989C0A4" w:rsidR="00372D1F" w:rsidRDefault="00FA1DDD">
          <w:pPr>
            <w:pStyle w:val="TOC3"/>
            <w:rPr>
              <w:rFonts w:eastAsiaTheme="minorEastAsia"/>
              <w:noProof/>
              <w:kern w:val="2"/>
              <w:sz w:val="22"/>
              <w:lang w:eastAsia="en-AU"/>
              <w14:ligatures w14:val="standardContextual"/>
            </w:rPr>
          </w:pPr>
          <w:hyperlink w:anchor="_Toc166848346" w:history="1">
            <w:r w:rsidR="00372D1F" w:rsidRPr="00664E3D">
              <w:rPr>
                <w:rStyle w:val="Hyperlink"/>
                <w:noProof/>
              </w:rPr>
              <w:t>NOPSEMA guidance</w:t>
            </w:r>
            <w:r w:rsidR="00372D1F">
              <w:rPr>
                <w:noProof/>
                <w:webHidden/>
              </w:rPr>
              <w:tab/>
            </w:r>
            <w:r w:rsidR="00372D1F">
              <w:rPr>
                <w:noProof/>
                <w:webHidden/>
              </w:rPr>
              <w:fldChar w:fldCharType="begin"/>
            </w:r>
            <w:r w:rsidR="00372D1F">
              <w:rPr>
                <w:noProof/>
                <w:webHidden/>
              </w:rPr>
              <w:instrText xml:space="preserve"> PAGEREF _Toc166848346 \h </w:instrText>
            </w:r>
            <w:r w:rsidR="00372D1F">
              <w:rPr>
                <w:noProof/>
                <w:webHidden/>
              </w:rPr>
            </w:r>
            <w:r w:rsidR="00372D1F">
              <w:rPr>
                <w:noProof/>
                <w:webHidden/>
              </w:rPr>
              <w:fldChar w:fldCharType="separate"/>
            </w:r>
            <w:r w:rsidR="00372D1F">
              <w:rPr>
                <w:noProof/>
                <w:webHidden/>
              </w:rPr>
              <w:t>14</w:t>
            </w:r>
            <w:r w:rsidR="00372D1F">
              <w:rPr>
                <w:noProof/>
                <w:webHidden/>
              </w:rPr>
              <w:fldChar w:fldCharType="end"/>
            </w:r>
          </w:hyperlink>
        </w:p>
        <w:p w14:paraId="102F372B" w14:textId="5BD13780" w:rsidR="00372D1F" w:rsidRDefault="00FA1DDD">
          <w:pPr>
            <w:pStyle w:val="TOC3"/>
            <w:rPr>
              <w:rFonts w:eastAsiaTheme="minorEastAsia"/>
              <w:noProof/>
              <w:kern w:val="2"/>
              <w:sz w:val="22"/>
              <w:lang w:eastAsia="en-AU"/>
              <w14:ligatures w14:val="standardContextual"/>
            </w:rPr>
          </w:pPr>
          <w:hyperlink w:anchor="_Toc166848347" w:history="1">
            <w:r w:rsidR="00372D1F" w:rsidRPr="00664E3D">
              <w:rPr>
                <w:rStyle w:val="Hyperlink"/>
                <w:noProof/>
              </w:rPr>
              <w:t>For more information</w:t>
            </w:r>
            <w:r w:rsidR="00372D1F">
              <w:rPr>
                <w:noProof/>
                <w:webHidden/>
              </w:rPr>
              <w:tab/>
            </w:r>
            <w:r w:rsidR="00372D1F">
              <w:rPr>
                <w:noProof/>
                <w:webHidden/>
              </w:rPr>
              <w:fldChar w:fldCharType="begin"/>
            </w:r>
            <w:r w:rsidR="00372D1F">
              <w:rPr>
                <w:noProof/>
                <w:webHidden/>
              </w:rPr>
              <w:instrText xml:space="preserve"> PAGEREF _Toc166848347 \h </w:instrText>
            </w:r>
            <w:r w:rsidR="00372D1F">
              <w:rPr>
                <w:noProof/>
                <w:webHidden/>
              </w:rPr>
            </w:r>
            <w:r w:rsidR="00372D1F">
              <w:rPr>
                <w:noProof/>
                <w:webHidden/>
              </w:rPr>
              <w:fldChar w:fldCharType="separate"/>
            </w:r>
            <w:r w:rsidR="00372D1F">
              <w:rPr>
                <w:noProof/>
                <w:webHidden/>
              </w:rPr>
              <w:t>14</w:t>
            </w:r>
            <w:r w:rsidR="00372D1F">
              <w:rPr>
                <w:noProof/>
                <w:webHidden/>
              </w:rPr>
              <w:fldChar w:fldCharType="end"/>
            </w:r>
          </w:hyperlink>
        </w:p>
        <w:p w14:paraId="08EDBBB9" w14:textId="7E642B08" w:rsidR="000F2564" w:rsidRDefault="00F66A4B" w:rsidP="00E3027E">
          <w:r>
            <w:fldChar w:fldCharType="end"/>
          </w:r>
        </w:p>
        <w:p w14:paraId="08EDBBBA" w14:textId="3EDA9AD7" w:rsidR="000F2564" w:rsidRDefault="00FA1DDD" w:rsidP="00B251DB"/>
      </w:sdtContent>
    </w:sdt>
    <w:p w14:paraId="08EDBBBB" w14:textId="77777777" w:rsidR="00E3027E" w:rsidRDefault="000F2564">
      <w:r>
        <w:br w:type="page"/>
      </w:r>
    </w:p>
    <w:p w14:paraId="08EDBBBC" w14:textId="22711C68" w:rsidR="004B4254" w:rsidRDefault="0039065C" w:rsidP="00CA67C8">
      <w:pPr>
        <w:pStyle w:val="Heading2"/>
      </w:pPr>
      <w:bookmarkStart w:id="40" w:name="_Toc165029062"/>
      <w:bookmarkStart w:id="41" w:name="_Toc166848330"/>
      <w:bookmarkStart w:id="42" w:name="_Toc19023741"/>
      <w:r>
        <w:lastRenderedPageBreak/>
        <w:t>Summary</w:t>
      </w:r>
      <w:bookmarkEnd w:id="40"/>
      <w:bookmarkEnd w:id="41"/>
      <w:r>
        <w:t xml:space="preserve"> </w:t>
      </w:r>
    </w:p>
    <w:p w14:paraId="12C31E94" w14:textId="70FB3101" w:rsidR="002E2B6F" w:rsidRPr="002E2B6F" w:rsidRDefault="69259542" w:rsidP="6C46C732">
      <w:r>
        <w:t>Decommissioning is a normal</w:t>
      </w:r>
      <w:r w:rsidR="0CD5BD54">
        <w:t xml:space="preserve"> and necessary</w:t>
      </w:r>
      <w:r>
        <w:t xml:space="preserve"> activity in the lifecycle of every offshore oil and gas project. It involves removing or otherwise satisfactorily dealing with property and infrastructure that was previously used for oil and gas operations. Decommissioning must be timely, safe and environmentally responsible.</w:t>
      </w:r>
    </w:p>
    <w:p w14:paraId="6278D6D3" w14:textId="6909CFBE" w:rsidR="002E2B6F" w:rsidRPr="002E2B6F" w:rsidRDefault="46F84E6F" w:rsidP="49B8DB29">
      <w:r>
        <w:t xml:space="preserve">Removal of all property and infrastructure and the plugging and abandonment of wells is </w:t>
      </w:r>
      <w:r w:rsidR="0CD5BD54">
        <w:t>requ</w:t>
      </w:r>
      <w:r w:rsidR="004D05CC">
        <w:t>i</w:t>
      </w:r>
      <w:r w:rsidR="0CD5BD54">
        <w:t>red</w:t>
      </w:r>
      <w:r>
        <w:t xml:space="preserve"> under Australian law. This reflects Australia’s international obligations and aims to remove any risk to the marine environment or other marine users in the future. </w:t>
      </w:r>
    </w:p>
    <w:p w14:paraId="50D64C4B" w14:textId="0E0A6F63" w:rsidR="002E2B6F" w:rsidRPr="002E2B6F" w:rsidRDefault="76F06FF1" w:rsidP="3AB44E74">
      <w:pPr>
        <w:rPr>
          <w:rFonts w:eastAsia="Calibri" w:cs="Calibri"/>
        </w:rPr>
      </w:pPr>
      <w:r>
        <w:t xml:space="preserve">Australian law prohibits sea disposal of material considered too harmful to be released into the marine environment. Australia regulates permitted sea disposal to minimise any potential environmental impacts. </w:t>
      </w:r>
    </w:p>
    <w:p w14:paraId="4839CBD0" w14:textId="24FB8B99" w:rsidR="002E2B6F" w:rsidRPr="002E2B6F" w:rsidRDefault="69259542" w:rsidP="6C46C732">
      <w:pPr>
        <w:rPr>
          <w:rFonts w:eastAsia="Calibri" w:cs="Calibri"/>
        </w:rPr>
      </w:pPr>
      <w:r>
        <w:t>Leaving offshore oil and gas property and infrastructure in place</w:t>
      </w:r>
      <w:r w:rsidR="20D05E28">
        <w:t xml:space="preserve"> instead of</w:t>
      </w:r>
      <w:r>
        <w:t xml:space="preserve"> removing it, may be permitted </w:t>
      </w:r>
      <w:r w:rsidR="6FA390F9">
        <w:t xml:space="preserve">in </w:t>
      </w:r>
      <w:r>
        <w:t xml:space="preserve">limited </w:t>
      </w:r>
      <w:r w:rsidR="6FA390F9">
        <w:t xml:space="preserve">circumstances </w:t>
      </w:r>
      <w:r>
        <w:t xml:space="preserve">providing </w:t>
      </w:r>
      <w:r w:rsidR="20D05E28">
        <w:t>regulatory requirements are met</w:t>
      </w:r>
      <w:r w:rsidR="2DF2DB78">
        <w:t>. Titleholders</w:t>
      </w:r>
      <w:r w:rsidR="002E2B6F" w:rsidRPr="4AE9EF5E">
        <w:rPr>
          <w:rStyle w:val="FootnoteReference"/>
        </w:rPr>
        <w:footnoteReference w:id="2"/>
      </w:r>
      <w:r w:rsidR="777E04A4">
        <w:t xml:space="preserve"> </w:t>
      </w:r>
      <w:r w:rsidR="4A9B9651">
        <w:t xml:space="preserve">and operators of oil and gas projects in Commonwealth waters </w:t>
      </w:r>
      <w:r w:rsidRPr="6C46C732">
        <w:t xml:space="preserve">may only leave </w:t>
      </w:r>
      <w:r w:rsidRPr="6C46C732">
        <w:rPr>
          <w:rFonts w:eastAsia="Calibri" w:cs="Calibri"/>
        </w:rPr>
        <w:t>property and infrastructure in the sea or on the seabed:</w:t>
      </w:r>
    </w:p>
    <w:p w14:paraId="6C4CB9FC" w14:textId="386C1EC6" w:rsidR="002E2B6F" w:rsidRPr="002E2B6F" w:rsidRDefault="002E2B6F" w:rsidP="0026023C">
      <w:pPr>
        <w:pStyle w:val="ListParagraph"/>
        <w:numPr>
          <w:ilvl w:val="0"/>
          <w:numId w:val="6"/>
        </w:numPr>
        <w:spacing w:after="160" w:line="259" w:lineRule="auto"/>
        <w:contextualSpacing/>
        <w:rPr>
          <w:rFonts w:eastAsia="Calibri" w:cs="Calibri"/>
          <w:szCs w:val="20"/>
        </w:rPr>
      </w:pPr>
      <w:r w:rsidRPr="002E2B6F">
        <w:rPr>
          <w:rFonts w:eastAsia="Calibri" w:cs="Calibri"/>
          <w:szCs w:val="20"/>
        </w:rPr>
        <w:t xml:space="preserve">in accordance with an accepted environment plan under the </w:t>
      </w:r>
      <w:hyperlink r:id="rId12" w:history="1">
        <w:r w:rsidRPr="002C3E3F">
          <w:rPr>
            <w:rStyle w:val="Hyperlink"/>
            <w:rFonts w:eastAsia="Calibri" w:cs="Calibri"/>
            <w:i/>
            <w:iCs/>
            <w:szCs w:val="20"/>
          </w:rPr>
          <w:t>Offshore Petroleum and Greenhouse Gas Storage Act 2006</w:t>
        </w:r>
      </w:hyperlink>
      <w:r w:rsidRPr="002E2B6F">
        <w:rPr>
          <w:rFonts w:eastAsia="Calibri" w:cs="Calibri"/>
          <w:szCs w:val="20"/>
        </w:rPr>
        <w:t xml:space="preserve"> (OPGGS Act) </w:t>
      </w:r>
    </w:p>
    <w:p w14:paraId="5687E711" w14:textId="276CFA80" w:rsidR="002E2B6F" w:rsidRPr="002E2B6F" w:rsidRDefault="002E2B6F" w:rsidP="00455068">
      <w:pPr>
        <w:pStyle w:val="ListParagraph"/>
        <w:numPr>
          <w:ilvl w:val="0"/>
          <w:numId w:val="6"/>
        </w:numPr>
        <w:spacing w:after="160" w:line="259" w:lineRule="auto"/>
        <w:ind w:left="714" w:hanging="357"/>
        <w:contextualSpacing/>
        <w:rPr>
          <w:rFonts w:eastAsia="Calibri" w:cs="Calibri"/>
          <w:szCs w:val="20"/>
        </w:rPr>
      </w:pPr>
      <w:r w:rsidRPr="002E2B6F">
        <w:rPr>
          <w:rFonts w:eastAsia="Calibri" w:cs="Calibri"/>
          <w:szCs w:val="20"/>
        </w:rPr>
        <w:t xml:space="preserve">with approval under the </w:t>
      </w:r>
      <w:hyperlink r:id="rId13" w:history="1">
        <w:r w:rsidRPr="002C3E3F">
          <w:rPr>
            <w:rStyle w:val="Hyperlink"/>
            <w:rFonts w:eastAsia="Calibri" w:cs="Calibri"/>
            <w:i/>
            <w:iCs/>
            <w:szCs w:val="20"/>
          </w:rPr>
          <w:t>Environment Protection (Sea Dumping) Act 1981</w:t>
        </w:r>
      </w:hyperlink>
      <w:r w:rsidRPr="002E2B6F">
        <w:rPr>
          <w:rFonts w:eastAsia="Calibri" w:cs="Calibri"/>
          <w:szCs w:val="20"/>
        </w:rPr>
        <w:t xml:space="preserve"> (Sea Dumping Act). </w:t>
      </w:r>
    </w:p>
    <w:p w14:paraId="36B84E05" w14:textId="45D073DB" w:rsidR="002E2B6F" w:rsidRPr="002E2B6F" w:rsidRDefault="002E2B6F" w:rsidP="002E2B6F">
      <w:pPr>
        <w:rPr>
          <w:rFonts w:eastAsia="Calibri" w:cs="Calibri"/>
          <w:szCs w:val="20"/>
        </w:rPr>
      </w:pPr>
      <w:r w:rsidRPr="002E2B6F">
        <w:rPr>
          <w:rFonts w:eastAsia="Calibri" w:cs="Calibri"/>
          <w:szCs w:val="20"/>
        </w:rPr>
        <w:t xml:space="preserve">Titleholders may also need to submit a referral under the </w:t>
      </w:r>
      <w:hyperlink r:id="rId14" w:history="1">
        <w:r w:rsidRPr="002C3E3F">
          <w:rPr>
            <w:rStyle w:val="Hyperlink"/>
            <w:rFonts w:eastAsia="Calibri" w:cs="Calibri"/>
            <w:i/>
            <w:iCs/>
            <w:szCs w:val="20"/>
          </w:rPr>
          <w:t>Environment Protection and Biodiversity Conservation Act 1999</w:t>
        </w:r>
      </w:hyperlink>
      <w:r w:rsidRPr="002E2B6F">
        <w:rPr>
          <w:rFonts w:eastAsia="Calibri" w:cs="Calibri"/>
          <w:szCs w:val="20"/>
        </w:rPr>
        <w:t xml:space="preserve"> (EPBC Act) for any decommissioning activities outside the title area. </w:t>
      </w:r>
    </w:p>
    <w:p w14:paraId="5795DD4C" w14:textId="77777777" w:rsidR="002E2B6F" w:rsidRPr="002E2B6F" w:rsidRDefault="002E2B6F" w:rsidP="002E2B6F">
      <w:pPr>
        <w:rPr>
          <w:szCs w:val="20"/>
        </w:rPr>
      </w:pPr>
      <w:r w:rsidRPr="002E2B6F">
        <w:rPr>
          <w:szCs w:val="20"/>
        </w:rPr>
        <w:t>This guidance gives an overview of:</w:t>
      </w:r>
    </w:p>
    <w:p w14:paraId="2B579164" w14:textId="77777777" w:rsidR="002E2B6F" w:rsidRPr="002E2B6F" w:rsidRDefault="002E2B6F" w:rsidP="0026023C">
      <w:pPr>
        <w:pStyle w:val="ListParagraph"/>
        <w:numPr>
          <w:ilvl w:val="0"/>
          <w:numId w:val="7"/>
        </w:numPr>
        <w:spacing w:after="160" w:line="259" w:lineRule="auto"/>
        <w:contextualSpacing/>
        <w:rPr>
          <w:szCs w:val="20"/>
        </w:rPr>
      </w:pPr>
      <w:r w:rsidRPr="002E2B6F">
        <w:rPr>
          <w:szCs w:val="20"/>
        </w:rPr>
        <w:t>regulatory requirements around the types of property and infrastructure that cannot be left in the sea</w:t>
      </w:r>
    </w:p>
    <w:p w14:paraId="59716891" w14:textId="77777777" w:rsidR="002E2B6F" w:rsidRPr="002E2B6F" w:rsidRDefault="002E2B6F" w:rsidP="0026023C">
      <w:pPr>
        <w:pStyle w:val="ListParagraph"/>
        <w:numPr>
          <w:ilvl w:val="0"/>
          <w:numId w:val="7"/>
        </w:numPr>
        <w:spacing w:after="160" w:line="259" w:lineRule="auto"/>
        <w:contextualSpacing/>
        <w:rPr>
          <w:szCs w:val="20"/>
        </w:rPr>
      </w:pPr>
      <w:r w:rsidRPr="002E2B6F">
        <w:rPr>
          <w:szCs w:val="20"/>
        </w:rPr>
        <w:t>property and infrastructure which may be permitted be left in the sea in some circumstances</w:t>
      </w:r>
    </w:p>
    <w:p w14:paraId="6EC56833" w14:textId="77777777" w:rsidR="002E2B6F" w:rsidRPr="002E2B6F" w:rsidRDefault="002E2B6F" w:rsidP="0026023C">
      <w:pPr>
        <w:pStyle w:val="ListParagraph"/>
        <w:numPr>
          <w:ilvl w:val="0"/>
          <w:numId w:val="7"/>
        </w:numPr>
        <w:spacing w:after="160" w:line="259" w:lineRule="auto"/>
        <w:contextualSpacing/>
        <w:rPr>
          <w:szCs w:val="20"/>
        </w:rPr>
      </w:pPr>
      <w:r w:rsidRPr="002E2B6F">
        <w:rPr>
          <w:szCs w:val="20"/>
        </w:rPr>
        <w:t xml:space="preserve">issues for titleholders and operators to consider. </w:t>
      </w:r>
    </w:p>
    <w:p w14:paraId="263B7174" w14:textId="15C94D69" w:rsidR="002E2B6F" w:rsidRPr="002E2B6F" w:rsidRDefault="002E2B6F" w:rsidP="002E2B6F">
      <w:r w:rsidRPr="7F615016">
        <w:rPr>
          <w:rFonts w:eastAsia="Calibri" w:cs="Calibri"/>
        </w:rPr>
        <w:t xml:space="preserve">Property and infrastructure that may be permitted to be left in the sea </w:t>
      </w:r>
      <w:r w:rsidR="62EB8D06" w:rsidRPr="7F615016">
        <w:rPr>
          <w:rFonts w:eastAsia="Calibri" w:cs="Calibri"/>
        </w:rPr>
        <w:t>are</w:t>
      </w:r>
      <w:r w:rsidRPr="7F615016">
        <w:rPr>
          <w:rFonts w:eastAsia="Calibri" w:cs="Calibri"/>
        </w:rPr>
        <w:t xml:space="preserve"> subject to assessment under the OPGGS Act and Sea Dumping Act. </w:t>
      </w:r>
      <w:r w:rsidR="308C4342">
        <w:t>Applications to leave property and infrastructure are</w:t>
      </w:r>
      <w:r>
        <w:t xml:space="preserve"> assessed on a case</w:t>
      </w:r>
      <w:r w:rsidR="000C11C6">
        <w:t xml:space="preserve"> </w:t>
      </w:r>
      <w:r>
        <w:t>by</w:t>
      </w:r>
      <w:r w:rsidR="000C11C6">
        <w:t xml:space="preserve"> </w:t>
      </w:r>
      <w:r>
        <w:t>case basis.</w:t>
      </w:r>
      <w:r w:rsidR="00DF01FE" w:rsidRPr="7F615016">
        <w:rPr>
          <w:rFonts w:eastAsia="Calibri" w:cs="Calibri"/>
        </w:rPr>
        <w:t xml:space="preserve"> There is no guarantee that property and infrastructure will be approved to be left behind.</w:t>
      </w:r>
    </w:p>
    <w:p w14:paraId="517C2B9B" w14:textId="77777777" w:rsidR="002E2B6F" w:rsidRPr="002E2B6F" w:rsidRDefault="002E2B6F" w:rsidP="002E2B6F">
      <w:pPr>
        <w:rPr>
          <w:szCs w:val="20"/>
        </w:rPr>
      </w:pPr>
      <w:r w:rsidRPr="002E2B6F">
        <w:rPr>
          <w:szCs w:val="20"/>
        </w:rPr>
        <w:t xml:space="preserve">Every project will have different environmental and safety risks and impacts. These must be acceptable to regulators under the OPGGS Act and Sea Dumping Act for individual projects. </w:t>
      </w:r>
    </w:p>
    <w:p w14:paraId="23A1C98E" w14:textId="77777777" w:rsidR="002E2B6F" w:rsidRPr="002E2B6F" w:rsidRDefault="002E2B6F" w:rsidP="002E2B6F">
      <w:pPr>
        <w:rPr>
          <w:szCs w:val="20"/>
        </w:rPr>
      </w:pPr>
      <w:r w:rsidRPr="002E2B6F">
        <w:rPr>
          <w:szCs w:val="20"/>
        </w:rPr>
        <w:t>This guidance aims to provide clarity around:</w:t>
      </w:r>
    </w:p>
    <w:p w14:paraId="10BE03D0" w14:textId="77777777" w:rsidR="002E2B6F" w:rsidRPr="002E2B6F" w:rsidRDefault="002E2B6F" w:rsidP="0026023C">
      <w:pPr>
        <w:pStyle w:val="ListParagraph"/>
        <w:numPr>
          <w:ilvl w:val="0"/>
          <w:numId w:val="8"/>
        </w:numPr>
        <w:spacing w:after="160" w:line="259" w:lineRule="auto"/>
        <w:contextualSpacing/>
        <w:rPr>
          <w:color w:val="000000" w:themeColor="text1"/>
          <w:szCs w:val="20"/>
        </w:rPr>
      </w:pPr>
      <w:r w:rsidRPr="002E2B6F">
        <w:rPr>
          <w:szCs w:val="20"/>
        </w:rPr>
        <w:t>how Australia’</w:t>
      </w:r>
      <w:r w:rsidRPr="002E2B6F">
        <w:rPr>
          <w:color w:val="000000" w:themeColor="text1"/>
          <w:szCs w:val="20"/>
        </w:rPr>
        <w:t>s offshore decommissioning and sea dumping frameworks intersect</w:t>
      </w:r>
    </w:p>
    <w:p w14:paraId="64A4F104" w14:textId="77777777" w:rsidR="002E2B6F" w:rsidRPr="002E2B6F" w:rsidRDefault="002E2B6F" w:rsidP="0026023C">
      <w:pPr>
        <w:pStyle w:val="ListParagraph"/>
        <w:numPr>
          <w:ilvl w:val="0"/>
          <w:numId w:val="8"/>
        </w:numPr>
        <w:spacing w:after="160" w:line="259" w:lineRule="auto"/>
        <w:contextualSpacing/>
        <w:rPr>
          <w:color w:val="000000" w:themeColor="text1"/>
          <w:szCs w:val="20"/>
        </w:rPr>
      </w:pPr>
      <w:r w:rsidRPr="002E2B6F">
        <w:rPr>
          <w:color w:val="000000" w:themeColor="text1"/>
          <w:szCs w:val="20"/>
        </w:rPr>
        <w:t xml:space="preserve">application and assessment considerations when an oil and gas titleholder </w:t>
      </w:r>
      <w:r w:rsidRPr="002E2B6F">
        <w:rPr>
          <w:szCs w:val="20"/>
        </w:rPr>
        <w:t>is seeking not to remove p</w:t>
      </w:r>
      <w:r w:rsidRPr="002E2B6F">
        <w:rPr>
          <w:color w:val="000000" w:themeColor="text1"/>
          <w:szCs w:val="20"/>
        </w:rPr>
        <w:t>roperty or infrastructure.</w:t>
      </w:r>
    </w:p>
    <w:p w14:paraId="416B7843" w14:textId="26BF17F9" w:rsidR="002E2B6F" w:rsidRDefault="002E2B6F" w:rsidP="002E2B6F"/>
    <w:p w14:paraId="508FFC1A" w14:textId="374C9A7A" w:rsidR="0039065C" w:rsidRDefault="0039065C" w:rsidP="00CA67C8">
      <w:pPr>
        <w:pStyle w:val="Heading2"/>
      </w:pPr>
      <w:bookmarkStart w:id="43" w:name="_Toc165029063"/>
      <w:bookmarkStart w:id="44" w:name="_Toc166848331"/>
      <w:r>
        <w:t>1. Introduction</w:t>
      </w:r>
      <w:bookmarkEnd w:id="43"/>
      <w:bookmarkEnd w:id="44"/>
    </w:p>
    <w:p w14:paraId="16638773" w14:textId="0BEBCBF8" w:rsidR="0039065C" w:rsidRDefault="0039065C" w:rsidP="00CA67C8">
      <w:pPr>
        <w:pStyle w:val="Heading3"/>
      </w:pPr>
      <w:bookmarkStart w:id="45" w:name="_Toc165029064"/>
      <w:bookmarkStart w:id="46" w:name="_Toc166848332"/>
      <w:r>
        <w:t>1.1. Purpose</w:t>
      </w:r>
      <w:bookmarkEnd w:id="45"/>
      <w:bookmarkEnd w:id="46"/>
    </w:p>
    <w:p w14:paraId="3BA3D624" w14:textId="65459213" w:rsidR="002E2B6F" w:rsidRDefault="56FA52EE" w:rsidP="002E2B6F">
      <w:r>
        <w:t xml:space="preserve">This guidance gives industry stakeholders clarity on the Australian Government’s regulatory requirements for removing oil and gas property and infrastructure from Commonwealth waters as part of decommissioning. </w:t>
      </w:r>
      <w:r w:rsidR="5C00D28D">
        <w:t xml:space="preserve">In </w:t>
      </w:r>
      <w:r w:rsidR="4ECD2B99">
        <w:t>most</w:t>
      </w:r>
      <w:r w:rsidR="5C00D28D">
        <w:t xml:space="preserve"> cases, all property and infrastructure will need to be removed </w:t>
      </w:r>
      <w:r w:rsidR="0253E648">
        <w:t>when</w:t>
      </w:r>
      <w:r w:rsidR="5C00D28D">
        <w:t xml:space="preserve"> oil and gas operations</w:t>
      </w:r>
      <w:r w:rsidR="0253E648">
        <w:t xml:space="preserve"> are completed</w:t>
      </w:r>
      <w:r w:rsidR="5C00D28D">
        <w:t>. However</w:t>
      </w:r>
      <w:r w:rsidR="1ACF48F9">
        <w:t>,</w:t>
      </w:r>
      <w:r w:rsidR="72998D33">
        <w:t xml:space="preserve"> there may be </w:t>
      </w:r>
      <w:r w:rsidR="2D6AE896">
        <w:t>some</w:t>
      </w:r>
      <w:r w:rsidR="747E60F9">
        <w:t xml:space="preserve"> limited</w:t>
      </w:r>
      <w:r w:rsidR="2D6AE896">
        <w:t xml:space="preserve"> </w:t>
      </w:r>
      <w:r w:rsidR="72998D33">
        <w:t xml:space="preserve">cases </w:t>
      </w:r>
      <w:r w:rsidR="023D1E6E">
        <w:t>where</w:t>
      </w:r>
      <w:r w:rsidR="251EDF34">
        <w:t xml:space="preserve"> a regulator may grant approval for property and infrastructure to be left in the sea</w:t>
      </w:r>
      <w:r w:rsidR="367B5032">
        <w:t xml:space="preserve">. </w:t>
      </w:r>
      <w:r w:rsidR="46F84E6F">
        <w:t xml:space="preserve">There are 2 categories of property and infrastructure: </w:t>
      </w:r>
    </w:p>
    <w:p w14:paraId="175AE684" w14:textId="77777777" w:rsidR="002E2B6F" w:rsidRDefault="002E2B6F" w:rsidP="0026023C">
      <w:pPr>
        <w:pStyle w:val="ListParagraph"/>
        <w:numPr>
          <w:ilvl w:val="0"/>
          <w:numId w:val="9"/>
        </w:numPr>
        <w:spacing w:after="160" w:line="259" w:lineRule="auto"/>
        <w:contextualSpacing/>
      </w:pPr>
      <w:r>
        <w:t>property and infrastructure that cannot be left in the sea</w:t>
      </w:r>
    </w:p>
    <w:p w14:paraId="154A1BB7" w14:textId="77777777" w:rsidR="002E2B6F" w:rsidRDefault="002E2B6F" w:rsidP="0026023C">
      <w:pPr>
        <w:pStyle w:val="ListParagraph"/>
        <w:numPr>
          <w:ilvl w:val="0"/>
          <w:numId w:val="9"/>
        </w:numPr>
        <w:spacing w:after="160" w:line="259" w:lineRule="auto"/>
        <w:contextualSpacing/>
      </w:pPr>
      <w:r>
        <w:t>property and infrastructure that may be permitted to be left in the sea, subject to regulatory assessment under the OPGGS Act and Sea Dumping Act.</w:t>
      </w:r>
    </w:p>
    <w:p w14:paraId="5715F314" w14:textId="77777777" w:rsidR="002E2B6F" w:rsidRDefault="002E2B6F" w:rsidP="002E2B6F">
      <w:r>
        <w:t>This guidance is consistent with the Sea Dumping Act and OPGGS Act. It was developed by the:</w:t>
      </w:r>
    </w:p>
    <w:p w14:paraId="001B1791" w14:textId="77777777" w:rsidR="002E2B6F" w:rsidRDefault="002E2B6F" w:rsidP="0026023C">
      <w:pPr>
        <w:pStyle w:val="ListParagraph"/>
        <w:numPr>
          <w:ilvl w:val="0"/>
          <w:numId w:val="10"/>
        </w:numPr>
        <w:spacing w:after="160" w:line="259" w:lineRule="auto"/>
        <w:contextualSpacing/>
      </w:pPr>
      <w:r>
        <w:t>Department of Climate Change, Energy, the Environment and Water (DCCEEW)</w:t>
      </w:r>
    </w:p>
    <w:p w14:paraId="2A63CC3A" w14:textId="77777777" w:rsidR="002E2B6F" w:rsidRDefault="002E2B6F" w:rsidP="0026023C">
      <w:pPr>
        <w:pStyle w:val="ListParagraph"/>
        <w:numPr>
          <w:ilvl w:val="0"/>
          <w:numId w:val="10"/>
        </w:numPr>
        <w:spacing w:after="160" w:line="259" w:lineRule="auto"/>
        <w:contextualSpacing/>
      </w:pPr>
      <w:r>
        <w:t>Department of Industry, Science and Resources (DISR)</w:t>
      </w:r>
    </w:p>
    <w:p w14:paraId="4B6CBEA2" w14:textId="1CB1AB76" w:rsidR="002E2B6F" w:rsidRDefault="002E2B6F" w:rsidP="0026023C">
      <w:pPr>
        <w:pStyle w:val="ListParagraph"/>
        <w:numPr>
          <w:ilvl w:val="0"/>
          <w:numId w:val="10"/>
        </w:numPr>
        <w:spacing w:after="160" w:line="259" w:lineRule="auto"/>
        <w:contextualSpacing/>
      </w:pPr>
      <w:r>
        <w:t>National Offshore Petroleum Safety and Environmental Management Authority (NOPSEMA).</w:t>
      </w:r>
    </w:p>
    <w:p w14:paraId="1C85E7E4" w14:textId="696CBF17" w:rsidR="0039065C" w:rsidRDefault="0039065C" w:rsidP="00CA67C8">
      <w:pPr>
        <w:pStyle w:val="Heading3"/>
      </w:pPr>
      <w:bookmarkStart w:id="47" w:name="_Toc165029065"/>
      <w:bookmarkStart w:id="48" w:name="_Toc166848333"/>
      <w:r>
        <w:t xml:space="preserve">1.2. </w:t>
      </w:r>
      <w:r w:rsidRPr="000A4EB7">
        <w:t>Scope</w:t>
      </w:r>
      <w:r>
        <w:t xml:space="preserve"> and limitations</w:t>
      </w:r>
      <w:bookmarkEnd w:id="47"/>
      <w:bookmarkEnd w:id="48"/>
    </w:p>
    <w:p w14:paraId="005A3915" w14:textId="77777777" w:rsidR="002E2B6F" w:rsidRPr="002E2B6F" w:rsidRDefault="002E2B6F" w:rsidP="002E2B6F">
      <w:pPr>
        <w:rPr>
          <w:szCs w:val="20"/>
        </w:rPr>
      </w:pPr>
      <w:r w:rsidRPr="002E2B6F">
        <w:rPr>
          <w:szCs w:val="20"/>
        </w:rPr>
        <w:t>In this guidance, ‘property and infrastructure’ refers to oil and gas structures, infrastructure, equipment and property. When property and infrastructure is left in place, abandoned, dumped or toppled, it is referred to as ‘left in the sea’.</w:t>
      </w:r>
    </w:p>
    <w:p w14:paraId="204C77DA" w14:textId="77777777" w:rsidR="002E2B6F" w:rsidRPr="002E2B6F" w:rsidRDefault="002E2B6F" w:rsidP="002E2B6F">
      <w:pPr>
        <w:rPr>
          <w:szCs w:val="20"/>
        </w:rPr>
      </w:pPr>
      <w:r w:rsidRPr="002E2B6F">
        <w:rPr>
          <w:szCs w:val="20"/>
        </w:rPr>
        <w:t>The guidance applies to all oil and gas property and infrastructure brought into an offshore title area granted under the OPGGS Act. It focuses on:</w:t>
      </w:r>
    </w:p>
    <w:p w14:paraId="309EB9E5" w14:textId="77777777" w:rsidR="002E2B6F" w:rsidRPr="00FD421D" w:rsidRDefault="002E2B6F" w:rsidP="00FD421D">
      <w:pPr>
        <w:pStyle w:val="ListParagraph"/>
        <w:numPr>
          <w:ilvl w:val="0"/>
          <w:numId w:val="10"/>
        </w:numPr>
        <w:spacing w:after="160" w:line="259" w:lineRule="auto"/>
        <w:contextualSpacing/>
      </w:pPr>
      <w:r w:rsidRPr="002E2B6F">
        <w:rPr>
          <w:szCs w:val="20"/>
        </w:rPr>
        <w:t xml:space="preserve">specific </w:t>
      </w:r>
      <w:r w:rsidRPr="00FD421D">
        <w:t>materials and types of property and infrastructure involved in offshore oil and gas activities</w:t>
      </w:r>
    </w:p>
    <w:p w14:paraId="544E43EE" w14:textId="7585E16D" w:rsidR="002E2B6F" w:rsidRPr="002E2B6F" w:rsidRDefault="002E2B6F" w:rsidP="00FD421D">
      <w:pPr>
        <w:pStyle w:val="ListParagraph"/>
        <w:numPr>
          <w:ilvl w:val="0"/>
          <w:numId w:val="10"/>
        </w:numPr>
        <w:spacing w:after="160" w:line="259" w:lineRule="auto"/>
        <w:contextualSpacing/>
        <w:rPr>
          <w:szCs w:val="20"/>
        </w:rPr>
      </w:pPr>
      <w:r w:rsidRPr="00FD421D">
        <w:t>considerations</w:t>
      </w:r>
      <w:r w:rsidRPr="002E2B6F">
        <w:rPr>
          <w:szCs w:val="20"/>
        </w:rPr>
        <w:t xml:space="preserve"> to be addressed in applications under the OPGGS Act and the Sea Dumping Act. </w:t>
      </w:r>
    </w:p>
    <w:p w14:paraId="3AFA14A9" w14:textId="41C993D7" w:rsidR="00714DD9" w:rsidRDefault="76F06FF1" w:rsidP="002E2B6F">
      <w:r>
        <w:t xml:space="preserve">Any property and infrastructure not included in this guidance </w:t>
      </w:r>
      <w:r w:rsidR="00BA0B69">
        <w:t xml:space="preserve">still </w:t>
      </w:r>
      <w:r>
        <w:t>needs to be assessed under</w:t>
      </w:r>
      <w:r w:rsidR="00714DD9">
        <w:t>:</w:t>
      </w:r>
    </w:p>
    <w:p w14:paraId="7E8B00D7" w14:textId="18D36707" w:rsidR="00714DD9" w:rsidRPr="00455068" w:rsidRDefault="76F06FF1" w:rsidP="00455068">
      <w:pPr>
        <w:pStyle w:val="ListParagraph"/>
        <w:numPr>
          <w:ilvl w:val="0"/>
          <w:numId w:val="11"/>
        </w:numPr>
        <w:spacing w:after="160" w:line="259" w:lineRule="auto"/>
        <w:contextualSpacing/>
        <w:rPr>
          <w:szCs w:val="20"/>
        </w:rPr>
      </w:pPr>
      <w:r w:rsidRPr="00455068">
        <w:rPr>
          <w:szCs w:val="20"/>
        </w:rPr>
        <w:t>the OPGGS Act</w:t>
      </w:r>
    </w:p>
    <w:p w14:paraId="24F1179B" w14:textId="01243118" w:rsidR="00714DD9" w:rsidRPr="00455068" w:rsidRDefault="76F06FF1" w:rsidP="00455068">
      <w:pPr>
        <w:pStyle w:val="ListParagraph"/>
        <w:numPr>
          <w:ilvl w:val="0"/>
          <w:numId w:val="11"/>
        </w:numPr>
        <w:spacing w:after="160" w:line="259" w:lineRule="auto"/>
        <w:contextualSpacing/>
        <w:rPr>
          <w:szCs w:val="20"/>
        </w:rPr>
      </w:pPr>
      <w:r w:rsidRPr="00455068">
        <w:rPr>
          <w:szCs w:val="20"/>
        </w:rPr>
        <w:t>Sea Dumping Act</w:t>
      </w:r>
    </w:p>
    <w:p w14:paraId="5990F513" w14:textId="7F5C3CDB" w:rsidR="002E2B6F" w:rsidRPr="00455068" w:rsidRDefault="3EEF1A89" w:rsidP="00455068">
      <w:pPr>
        <w:pStyle w:val="ListParagraph"/>
        <w:numPr>
          <w:ilvl w:val="0"/>
          <w:numId w:val="11"/>
        </w:numPr>
        <w:spacing w:after="160" w:line="259" w:lineRule="auto"/>
        <w:contextualSpacing/>
        <w:rPr>
          <w:szCs w:val="20"/>
        </w:rPr>
      </w:pPr>
      <w:r w:rsidRPr="00455068">
        <w:rPr>
          <w:szCs w:val="20"/>
        </w:rPr>
        <w:t>other relevant laws</w:t>
      </w:r>
      <w:r w:rsidR="00BA0B69" w:rsidRPr="00455068">
        <w:rPr>
          <w:szCs w:val="20"/>
        </w:rPr>
        <w:t>,</w:t>
      </w:r>
      <w:r w:rsidRPr="00455068">
        <w:rPr>
          <w:szCs w:val="20"/>
        </w:rPr>
        <w:t xml:space="preserve"> such as the</w:t>
      </w:r>
      <w:r w:rsidR="76F06FF1" w:rsidRPr="00455068">
        <w:rPr>
          <w:szCs w:val="20"/>
        </w:rPr>
        <w:t xml:space="preserve"> EPBC Act. </w:t>
      </w:r>
    </w:p>
    <w:p w14:paraId="2916BE28" w14:textId="565A5069" w:rsidR="002E2B6F" w:rsidRPr="002E2B6F" w:rsidRDefault="002E2B6F" w:rsidP="002E2B6F">
      <w:pPr>
        <w:rPr>
          <w:szCs w:val="20"/>
        </w:rPr>
      </w:pPr>
      <w:bookmarkStart w:id="49" w:name="_Hlk158127262"/>
      <w:r w:rsidRPr="002E2B6F">
        <w:rPr>
          <w:szCs w:val="20"/>
        </w:rPr>
        <w:t>This guidance does not apply to property and infrastructure from other industries, or which is not used in the exploration for or recovery of oil and gas. It does not apply to re-using or repurposing oil and gas infrastructure.</w:t>
      </w:r>
      <w:bookmarkStart w:id="50" w:name="_Hlk158287710"/>
      <w:r w:rsidR="00336834">
        <w:rPr>
          <w:szCs w:val="20"/>
        </w:rPr>
        <w:t xml:space="preserve"> </w:t>
      </w:r>
      <w:r w:rsidR="00214A00">
        <w:rPr>
          <w:szCs w:val="20"/>
        </w:rPr>
        <w:t>Titleholders are encouraged to engage with NOPSEMA at an early stage when considering the</w:t>
      </w:r>
      <w:r w:rsidR="00336834">
        <w:rPr>
          <w:szCs w:val="20"/>
        </w:rPr>
        <w:t xml:space="preserve"> re-use or repurposing of </w:t>
      </w:r>
      <w:r w:rsidR="00214A00">
        <w:rPr>
          <w:szCs w:val="20"/>
        </w:rPr>
        <w:t xml:space="preserve">property and </w:t>
      </w:r>
      <w:r w:rsidR="00336834">
        <w:rPr>
          <w:szCs w:val="20"/>
        </w:rPr>
        <w:t>infrastructure</w:t>
      </w:r>
      <w:r w:rsidR="00214A00">
        <w:rPr>
          <w:szCs w:val="20"/>
        </w:rPr>
        <w:t>.</w:t>
      </w:r>
      <w:r w:rsidR="00336834">
        <w:rPr>
          <w:szCs w:val="20"/>
        </w:rPr>
        <w:t xml:space="preserve"> </w:t>
      </w:r>
      <w:bookmarkEnd w:id="50"/>
    </w:p>
    <w:p w14:paraId="6889DFB8" w14:textId="7BFBFC6C" w:rsidR="002E2B6F" w:rsidRPr="002E2B6F" w:rsidRDefault="002E2B6F" w:rsidP="002E2B6F">
      <w:r>
        <w:t>This guidance applies to removing property and infrastructure from Commonwealth waters</w:t>
      </w:r>
      <w:r w:rsidRPr="00B70223">
        <w:rPr>
          <w:rStyle w:val="FootnoteReference"/>
        </w:rPr>
        <w:footnoteReference w:id="3"/>
      </w:r>
      <w:r>
        <w:t>. It does not apply to activities in designated coastal waters or internal state waters.</w:t>
      </w:r>
    </w:p>
    <w:bookmarkEnd w:id="49"/>
    <w:p w14:paraId="0C5871DC" w14:textId="77777777" w:rsidR="002E2B6F" w:rsidRPr="002E2B6F" w:rsidRDefault="002E2B6F" w:rsidP="002E2B6F">
      <w:pPr>
        <w:rPr>
          <w:szCs w:val="20"/>
        </w:rPr>
      </w:pPr>
      <w:r w:rsidRPr="002E2B6F">
        <w:rPr>
          <w:szCs w:val="20"/>
        </w:rPr>
        <w:t>This guidance does not cover any requirements or considerations outside the OPGGS Act and Sea Dumping Act. Titleholders must consider any other requirements not mentioned in this document.</w:t>
      </w:r>
    </w:p>
    <w:p w14:paraId="3814BA7F" w14:textId="612DF144" w:rsidR="002E2B6F" w:rsidRPr="002E2B6F" w:rsidRDefault="002E2B6F" w:rsidP="002E2B6F">
      <w:r>
        <w:t>This guidance is not advice on what</w:t>
      </w:r>
      <w:r w:rsidR="00476FF2">
        <w:t xml:space="preserve"> ministers</w:t>
      </w:r>
      <w:r w:rsidR="00BA0B69">
        <w:t>,</w:t>
      </w:r>
      <w:r>
        <w:t xml:space="preserve"> </w:t>
      </w:r>
      <w:r w:rsidR="00BA0B69">
        <w:t xml:space="preserve">or their delegates or agencies, </w:t>
      </w:r>
      <w:r>
        <w:t>will or</w:t>
      </w:r>
      <w:r w:rsidR="00476FF2">
        <w:t xml:space="preserve"> w</w:t>
      </w:r>
      <w:r w:rsidR="00BA0B69">
        <w:t>ill not</w:t>
      </w:r>
      <w:r>
        <w:t xml:space="preserve"> </w:t>
      </w:r>
      <w:r w:rsidR="00476FF2">
        <w:t>approve.</w:t>
      </w:r>
      <w:r>
        <w:t xml:space="preserve"> This guidance does not provide advice on decisions taken by NOPSEMA, which makes regulatory decisions independent to the Government. </w:t>
      </w:r>
    </w:p>
    <w:p w14:paraId="0E436F1C" w14:textId="77777777" w:rsidR="002E2B6F" w:rsidRPr="002E2B6F" w:rsidRDefault="002E2B6F" w:rsidP="002E2B6F">
      <w:pPr>
        <w:rPr>
          <w:szCs w:val="20"/>
        </w:rPr>
      </w:pPr>
      <w:r w:rsidRPr="002E2B6F">
        <w:rPr>
          <w:szCs w:val="20"/>
        </w:rPr>
        <w:t>This guidance also does not provide any advice on:</w:t>
      </w:r>
    </w:p>
    <w:p w14:paraId="4C0A37E6" w14:textId="77777777" w:rsidR="002E2B6F" w:rsidRPr="002E2B6F" w:rsidRDefault="002E2B6F" w:rsidP="0026023C">
      <w:pPr>
        <w:pStyle w:val="ListParagraph"/>
        <w:numPr>
          <w:ilvl w:val="0"/>
          <w:numId w:val="12"/>
        </w:numPr>
        <w:spacing w:after="160" w:line="259" w:lineRule="auto"/>
        <w:contextualSpacing/>
        <w:rPr>
          <w:szCs w:val="20"/>
        </w:rPr>
      </w:pPr>
      <w:r w:rsidRPr="002E2B6F">
        <w:rPr>
          <w:szCs w:val="20"/>
        </w:rPr>
        <w:t>legal requirements</w:t>
      </w:r>
    </w:p>
    <w:p w14:paraId="3F0F4B45" w14:textId="77777777" w:rsidR="002E2B6F" w:rsidRPr="002E2B6F" w:rsidRDefault="002E2B6F" w:rsidP="0026023C">
      <w:pPr>
        <w:pStyle w:val="ListParagraph"/>
        <w:numPr>
          <w:ilvl w:val="0"/>
          <w:numId w:val="12"/>
        </w:numPr>
        <w:spacing w:after="160" w:line="259" w:lineRule="auto"/>
        <w:contextualSpacing/>
        <w:rPr>
          <w:szCs w:val="20"/>
        </w:rPr>
      </w:pPr>
      <w:r w:rsidRPr="002E2B6F">
        <w:rPr>
          <w:szCs w:val="20"/>
        </w:rPr>
        <w:t>third-party liability exposure</w:t>
      </w:r>
    </w:p>
    <w:p w14:paraId="48C7724E" w14:textId="77777777" w:rsidR="002E2B6F" w:rsidRPr="002E2B6F" w:rsidRDefault="002E2B6F" w:rsidP="0026023C">
      <w:pPr>
        <w:pStyle w:val="ListParagraph"/>
        <w:numPr>
          <w:ilvl w:val="0"/>
          <w:numId w:val="12"/>
        </w:numPr>
        <w:spacing w:after="160" w:line="259" w:lineRule="auto"/>
        <w:contextualSpacing/>
        <w:rPr>
          <w:szCs w:val="20"/>
        </w:rPr>
      </w:pPr>
      <w:r w:rsidRPr="002E2B6F">
        <w:rPr>
          <w:szCs w:val="20"/>
        </w:rPr>
        <w:t>occupational health and safety</w:t>
      </w:r>
    </w:p>
    <w:p w14:paraId="2678E4D1" w14:textId="1F2F1A21" w:rsidR="002E2B6F" w:rsidRPr="002E2B6F" w:rsidRDefault="76F06FF1" w:rsidP="6C46C732">
      <w:pPr>
        <w:pStyle w:val="ListParagraph"/>
        <w:numPr>
          <w:ilvl w:val="0"/>
          <w:numId w:val="12"/>
        </w:numPr>
        <w:spacing w:after="160" w:line="259" w:lineRule="auto"/>
        <w:contextualSpacing/>
        <w:rPr>
          <w:szCs w:val="20"/>
        </w:rPr>
      </w:pPr>
      <w:r>
        <w:t xml:space="preserve">marine engineering. </w:t>
      </w:r>
    </w:p>
    <w:p w14:paraId="6713DEE1" w14:textId="091F5BD7" w:rsidR="002E2B6F" w:rsidRPr="002E2B6F" w:rsidRDefault="002E2B6F" w:rsidP="00393784">
      <w:pPr>
        <w:rPr>
          <w:szCs w:val="20"/>
        </w:rPr>
      </w:pPr>
      <w:r w:rsidRPr="002E2B6F">
        <w:rPr>
          <w:szCs w:val="20"/>
        </w:rPr>
        <w:t>Titleholders should seek independent advice on these and any other issues.</w:t>
      </w:r>
    </w:p>
    <w:p w14:paraId="52BF88BA" w14:textId="40C358EE" w:rsidR="0039065C" w:rsidRDefault="0039065C" w:rsidP="00CA67C8">
      <w:pPr>
        <w:pStyle w:val="Heading2"/>
      </w:pPr>
      <w:bookmarkStart w:id="51" w:name="_Toc165029066"/>
      <w:bookmarkStart w:id="52" w:name="_Toc166848334"/>
      <w:r>
        <w:t>2. Removing property and infrastructure</w:t>
      </w:r>
      <w:bookmarkEnd w:id="51"/>
      <w:bookmarkEnd w:id="52"/>
    </w:p>
    <w:p w14:paraId="2FA3F0A3" w14:textId="3455BD07" w:rsidR="00E85B94" w:rsidRDefault="00381510" w:rsidP="00E85B94">
      <w:r>
        <w:t>The OPGGS Act and accompanying regulations regulate d</w:t>
      </w:r>
      <w:r w:rsidR="00E85B94">
        <w:t xml:space="preserve">ecommissioning </w:t>
      </w:r>
      <w:r>
        <w:t xml:space="preserve">of </w:t>
      </w:r>
      <w:r w:rsidR="00E85B94">
        <w:t xml:space="preserve">offshore oil and gas property and infrastructure in </w:t>
      </w:r>
      <w:r w:rsidR="595F108E">
        <w:t>Commonwealth waters</w:t>
      </w:r>
      <w:r w:rsidR="00E85B94">
        <w:t xml:space="preserve">. If a titleholder proposes leaving property and infrastructure in the sea, they also need approvals under the Sea Dumping Act. Titleholders should consider the safety risks of decommissioning activities when weighing up alternatives to full removal. </w:t>
      </w:r>
    </w:p>
    <w:p w14:paraId="3F53751B" w14:textId="7219A44C" w:rsidR="00E85B94" w:rsidRDefault="00E85B94" w:rsidP="007C7A09">
      <w:r>
        <w:t>DISR and NOPSEMA administer the OPGGS Act. DISR is responsible for developing policy</w:t>
      </w:r>
      <w:r w:rsidR="00E85B28">
        <w:t xml:space="preserve"> and</w:t>
      </w:r>
      <w:r>
        <w:t xml:space="preserve"> regulations </w:t>
      </w:r>
      <w:r w:rsidR="00790B88">
        <w:t xml:space="preserve">for </w:t>
      </w:r>
      <w:r>
        <w:t xml:space="preserve">oil and gas </w:t>
      </w:r>
      <w:r w:rsidR="00790B88">
        <w:t xml:space="preserve">and greenhouse gas storage </w:t>
      </w:r>
      <w:r w:rsidR="00E85B28">
        <w:t xml:space="preserve">activities </w:t>
      </w:r>
      <w:r w:rsidR="00073F6B">
        <w:t>in Commonwealth waters</w:t>
      </w:r>
      <w:r>
        <w:t>. NOPSEMA is Australia's independent regulator for health and safety, structural (well) integrity and environmental management for offshore energy and greenhouse gas storage activities in Commonwealth waters.</w:t>
      </w:r>
    </w:p>
    <w:p w14:paraId="240C1EB7" w14:textId="32736C8F" w:rsidR="00CF288F" w:rsidRDefault="5DE571F6" w:rsidP="00E85B94">
      <w:r>
        <w:t xml:space="preserve">The Sea Dumping Act is administered by DCCEEW, </w:t>
      </w:r>
      <w:r w:rsidR="6A5A5843">
        <w:t>which</w:t>
      </w:r>
      <w:r>
        <w:t xml:space="preserve"> </w:t>
      </w:r>
      <w:r w:rsidR="058D8ECF">
        <w:t>is</w:t>
      </w:r>
      <w:r>
        <w:t xml:space="preserve"> responsible for</w:t>
      </w:r>
      <w:r w:rsidR="336E84E8">
        <w:t>:</w:t>
      </w:r>
    </w:p>
    <w:p w14:paraId="447F2F2A" w14:textId="11187974" w:rsidR="00CF288F" w:rsidRDefault="715CE56D" w:rsidP="00455068">
      <w:pPr>
        <w:pStyle w:val="ListParagraph"/>
        <w:numPr>
          <w:ilvl w:val="0"/>
          <w:numId w:val="13"/>
        </w:numPr>
        <w:spacing w:after="160" w:line="259" w:lineRule="auto"/>
        <w:contextualSpacing/>
      </w:pPr>
      <w:r>
        <w:t>protecting Australia’s environment and water</w:t>
      </w:r>
    </w:p>
    <w:p w14:paraId="0F061821" w14:textId="75E90C3E" w:rsidR="00CF288F" w:rsidRDefault="00E85B94" w:rsidP="00455068">
      <w:pPr>
        <w:pStyle w:val="ListParagraph"/>
        <w:numPr>
          <w:ilvl w:val="0"/>
          <w:numId w:val="13"/>
        </w:numPr>
        <w:spacing w:after="160" w:line="259" w:lineRule="auto"/>
        <w:contextualSpacing/>
      </w:pPr>
      <w:r>
        <w:t xml:space="preserve">delivering the Government’s climate change and energy agenda. </w:t>
      </w:r>
    </w:p>
    <w:p w14:paraId="7FC0691E" w14:textId="1ED21663" w:rsidR="00E85B94" w:rsidRDefault="5DE571F6" w:rsidP="00CF288F">
      <w:r>
        <w:t>The Sea Dumping Act protects the Australian marine environment by</w:t>
      </w:r>
      <w:r w:rsidR="6A5A5843">
        <w:t xml:space="preserve"> preventing or</w:t>
      </w:r>
      <w:r>
        <w:t xml:space="preserve"> regulating the loading and dumping of waste and placement of artificial reefs in Australian waters</w:t>
      </w:r>
      <w:r w:rsidRPr="08B0F684">
        <w:rPr>
          <w:rStyle w:val="FootnoteReference"/>
        </w:rPr>
        <w:footnoteReference w:id="4"/>
      </w:r>
      <w:r>
        <w:t>.</w:t>
      </w:r>
    </w:p>
    <w:p w14:paraId="138D9BB6" w14:textId="08879FD6" w:rsidR="00E85B94" w:rsidRDefault="5F7EFFE1" w:rsidP="00E85B94">
      <w:r>
        <w:t xml:space="preserve">Australia’s </w:t>
      </w:r>
      <w:r w:rsidR="00491A5F">
        <w:t xml:space="preserve">international memberships and legal obligations guide our </w:t>
      </w:r>
      <w:r>
        <w:t>requirements for decommissioning activities, especially the:</w:t>
      </w:r>
    </w:p>
    <w:p w14:paraId="3A9B59AD" w14:textId="77777777" w:rsidR="00E85B94" w:rsidRDefault="00E85B94" w:rsidP="00E85B94">
      <w:pPr>
        <w:pStyle w:val="ListParagraph"/>
        <w:numPr>
          <w:ilvl w:val="0"/>
          <w:numId w:val="13"/>
        </w:numPr>
        <w:spacing w:after="160" w:line="259" w:lineRule="auto"/>
        <w:contextualSpacing/>
      </w:pPr>
      <w:r>
        <w:t>1996 Protocol to the Convention on the Prevention of Marine Pollution by Dumping of Wastes and Other Matter, 1972 (the London Protocol)</w:t>
      </w:r>
    </w:p>
    <w:p w14:paraId="74CC2367" w14:textId="77777777" w:rsidR="00E85B94" w:rsidRDefault="00E85B94" w:rsidP="00E85B94">
      <w:pPr>
        <w:pStyle w:val="ListParagraph"/>
        <w:numPr>
          <w:ilvl w:val="0"/>
          <w:numId w:val="13"/>
        </w:numPr>
        <w:spacing w:after="160" w:line="259" w:lineRule="auto"/>
        <w:contextualSpacing/>
      </w:pPr>
      <w:r>
        <w:t>United Nations Convention on the Law of the Sea (UNCLOS)</w:t>
      </w:r>
    </w:p>
    <w:p w14:paraId="5677134A" w14:textId="77777777" w:rsidR="00E85B94" w:rsidRDefault="5F7EFFE1" w:rsidP="00E85B94">
      <w:pPr>
        <w:pStyle w:val="ListParagraph"/>
        <w:numPr>
          <w:ilvl w:val="0"/>
          <w:numId w:val="13"/>
        </w:numPr>
        <w:spacing w:after="160" w:line="259" w:lineRule="auto"/>
        <w:contextualSpacing/>
      </w:pPr>
      <w:r>
        <w:t>International Maritime Organisation (IMO) Resolution A.672(16) adopted on 19 October 1989.</w:t>
      </w:r>
    </w:p>
    <w:p w14:paraId="312BD4E0" w14:textId="6327EB28" w:rsidR="00E85B94" w:rsidRDefault="00E85B94" w:rsidP="00E85B94">
      <w:r>
        <w:t>The London Protocol</w:t>
      </w:r>
      <w:r w:rsidR="001E7FA6">
        <w:t>’s</w:t>
      </w:r>
      <w:r>
        <w:t xml:space="preserve"> aims are to:</w:t>
      </w:r>
    </w:p>
    <w:p w14:paraId="79926ACA" w14:textId="7E4108C5" w:rsidR="00E85B94" w:rsidRDefault="00F362C5" w:rsidP="00E85B94">
      <w:pPr>
        <w:pStyle w:val="ListParagraph"/>
        <w:spacing w:after="160" w:line="259" w:lineRule="auto"/>
        <w:ind w:left="720" w:hanging="360"/>
        <w:contextualSpacing/>
      </w:pPr>
      <w:r>
        <w:t>p</w:t>
      </w:r>
      <w:r w:rsidR="00E85B94">
        <w:t>rotect and preserve the marine environment from all sources of pollution</w:t>
      </w:r>
    </w:p>
    <w:p w14:paraId="0117CA49" w14:textId="1FFA702B" w:rsidR="00E85B94" w:rsidRDefault="00F362C5" w:rsidP="00E85B94">
      <w:pPr>
        <w:pStyle w:val="ListParagraph"/>
        <w:spacing w:after="160" w:line="259" w:lineRule="auto"/>
        <w:ind w:left="720" w:hanging="360"/>
        <w:contextualSpacing/>
      </w:pPr>
      <w:r>
        <w:t>t</w:t>
      </w:r>
      <w:r w:rsidR="00E85B94">
        <w:t>ake effective measures to prevent, reduce, and eliminate pollution caused by dumping of wastes or other matter at sea.</w:t>
      </w:r>
    </w:p>
    <w:p w14:paraId="08B81296" w14:textId="57F28974" w:rsidR="00E85B94" w:rsidRDefault="00AB76C2" w:rsidP="00E85B94">
      <w:r>
        <w:t xml:space="preserve">Australia is a </w:t>
      </w:r>
      <w:r w:rsidR="00972EE6">
        <w:t>C</w:t>
      </w:r>
      <w:r>
        <w:t xml:space="preserve">ontracting </w:t>
      </w:r>
      <w:r w:rsidR="00972EE6">
        <w:t>P</w:t>
      </w:r>
      <w:r>
        <w:t xml:space="preserve">arty to the London Protocol. As part of </w:t>
      </w:r>
      <w:r w:rsidR="5F7EFFE1">
        <w:t>Australia</w:t>
      </w:r>
      <w:r w:rsidR="00BA0B69">
        <w:t>’s international obligations, it</w:t>
      </w:r>
      <w:r w:rsidR="5F7EFFE1">
        <w:t xml:space="preserve"> </w:t>
      </w:r>
      <w:r w:rsidR="00EF0BD2">
        <w:t>must</w:t>
      </w:r>
      <w:r w:rsidR="5F7EFFE1">
        <w:t xml:space="preserve"> uphold </w:t>
      </w:r>
      <w:r w:rsidR="0030230F">
        <w:t>these</w:t>
      </w:r>
      <w:r>
        <w:t xml:space="preserve"> </w:t>
      </w:r>
      <w:r w:rsidR="5F7EFFE1">
        <w:t xml:space="preserve">aims </w:t>
      </w:r>
      <w:r w:rsidR="00BA0B69">
        <w:t>and</w:t>
      </w:r>
      <w:r w:rsidR="5F7EFFE1">
        <w:t xml:space="preserve"> minimise its environmental impacts. This includes activities associated with decommissioning offshore infrastructure. In 2019, the parties to the London Protocol issued the </w:t>
      </w:r>
      <w:r w:rsidR="5F7EFFE1" w:rsidRPr="1A0FFD9F">
        <w:rPr>
          <w:i/>
          <w:iCs/>
        </w:rPr>
        <w:t>Revised specific guidance for assessment of platforms or other man-made structures at sea</w:t>
      </w:r>
      <w:r w:rsidR="5F7EFFE1">
        <w:t xml:space="preserve">. The revised guidance </w:t>
      </w:r>
      <w:r w:rsidR="00C11257">
        <w:t xml:space="preserve">gives </w:t>
      </w:r>
      <w:r w:rsidR="5F7EFFE1">
        <w:t xml:space="preserve">more detail on assessment considerations for evaluating applications to leave oil and gas infrastructure in the sea. As a </w:t>
      </w:r>
      <w:r w:rsidR="00972EE6">
        <w:t>C</w:t>
      </w:r>
      <w:r w:rsidR="5F7EFFE1">
        <w:t xml:space="preserve">ontracting </w:t>
      </w:r>
      <w:r w:rsidR="00972EE6">
        <w:t>P</w:t>
      </w:r>
      <w:r w:rsidR="5F7EFFE1">
        <w:t xml:space="preserve">arty to the London Protocol, the Australian Government considers this guidance </w:t>
      </w:r>
      <w:r w:rsidR="3FF04E6F">
        <w:t>when</w:t>
      </w:r>
      <w:r w:rsidR="5F7EFFE1">
        <w:t xml:space="preserve"> assessing </w:t>
      </w:r>
      <w:r w:rsidR="2D40BD65">
        <w:t>s</w:t>
      </w:r>
      <w:r w:rsidR="5F7EFFE1">
        <w:t xml:space="preserve">ea </w:t>
      </w:r>
      <w:r w:rsidR="676C0564">
        <w:t>d</w:t>
      </w:r>
      <w:r w:rsidR="5F7EFFE1">
        <w:t xml:space="preserve">umping applications. </w:t>
      </w:r>
    </w:p>
    <w:p w14:paraId="18ADC396" w14:textId="0B59AB16" w:rsidR="00E85B94" w:rsidRDefault="00E85B94" w:rsidP="00E85B94">
      <w:r>
        <w:t>UNCLOS regulates all aspects of the resources and uses of the sea, including navigational rights</w:t>
      </w:r>
      <w:r w:rsidR="008D390A">
        <w:t>,</w:t>
      </w:r>
      <w:r>
        <w:t xml:space="preserve"> and conserving and managing living marine resources. Australia’s obligations as a party to UNCLOS include:</w:t>
      </w:r>
    </w:p>
    <w:p w14:paraId="5D350E38" w14:textId="5C0EEFED" w:rsidR="00E85B94" w:rsidRDefault="00E85B94" w:rsidP="00E85B94">
      <w:pPr>
        <w:pStyle w:val="ListParagraph"/>
        <w:numPr>
          <w:ilvl w:val="0"/>
          <w:numId w:val="14"/>
        </w:numPr>
        <w:spacing w:after="160" w:line="259" w:lineRule="auto"/>
        <w:contextualSpacing/>
      </w:pPr>
      <w:r>
        <w:t xml:space="preserve">establishing and maintaining navigational and safety aids for international vessels </w:t>
      </w:r>
    </w:p>
    <w:p w14:paraId="576F6FCB" w14:textId="77777777" w:rsidR="00E85B94" w:rsidRDefault="00E85B94" w:rsidP="00E85B94">
      <w:pPr>
        <w:pStyle w:val="ListParagraph"/>
        <w:numPr>
          <w:ilvl w:val="0"/>
          <w:numId w:val="14"/>
        </w:numPr>
        <w:spacing w:after="160" w:line="259" w:lineRule="auto"/>
        <w:contextualSpacing/>
      </w:pPr>
      <w:r>
        <w:t>effectively protecting the marine environment.</w:t>
      </w:r>
    </w:p>
    <w:p w14:paraId="6E2A923F" w14:textId="17413BF4" w:rsidR="00E85B94" w:rsidRDefault="5F7EFFE1" w:rsidP="00393784">
      <w:r>
        <w:t>IMO Resolution A.672.16 sets globally recognised principles for removing and disposing of offshore structures and installations. Australia is a member of the IMO, so the government must consider these principles when making decisions on decommissioning. In giving effect to these requirements certain classes of property and infrastructure cannot be left in the sea (as detailed in Table 2).</w:t>
      </w:r>
    </w:p>
    <w:p w14:paraId="5AB8092C" w14:textId="177A0615" w:rsidR="0039065C" w:rsidRDefault="7FFF1CED" w:rsidP="00CA67C8">
      <w:pPr>
        <w:pStyle w:val="Heading3"/>
      </w:pPr>
      <w:bookmarkStart w:id="53" w:name="_Toc165029067"/>
      <w:bookmarkStart w:id="54" w:name="_Toc166848335"/>
      <w:r>
        <w:t>2.1. Offshore Petroleum and Greenhouse Gas Storage Act 2006</w:t>
      </w:r>
      <w:bookmarkEnd w:id="53"/>
      <w:bookmarkEnd w:id="54"/>
    </w:p>
    <w:p w14:paraId="34E26F60" w14:textId="6FE66439" w:rsidR="003D2F60" w:rsidRDefault="27D7CBC3" w:rsidP="003D2F60">
      <w:bookmarkStart w:id="55" w:name="_Hlk149300584"/>
      <w:r>
        <w:t>Titleholders</w:t>
      </w:r>
      <w:r w:rsidR="4ED6E57B">
        <w:t xml:space="preserve"> are required to</w:t>
      </w:r>
      <w:r w:rsidR="56C17221">
        <w:t xml:space="preserve"> decommission and </w:t>
      </w:r>
      <w:r>
        <w:t xml:space="preserve">remove all property and infrastructure from a title area under section 572 of the OPGGS Act. This is consistent with Australian Government policy and our international obligations. Titleholders must plan and provide for removal of all property, </w:t>
      </w:r>
      <w:r w:rsidR="714576A4">
        <w:t xml:space="preserve">unless and </w:t>
      </w:r>
      <w:r>
        <w:t xml:space="preserve">until alternative arrangements </w:t>
      </w:r>
      <w:r w:rsidR="089C835E">
        <w:t>are</w:t>
      </w:r>
      <w:r>
        <w:t xml:space="preserve"> approved. </w:t>
      </w:r>
      <w:r w:rsidR="342F04EE">
        <w:t>This includes ensuring there is a</w:t>
      </w:r>
      <w:r w:rsidR="71A52599">
        <w:t xml:space="preserve">n appropriate </w:t>
      </w:r>
      <w:r w:rsidR="096194E5">
        <w:t>cost</w:t>
      </w:r>
      <w:r w:rsidR="616462BA">
        <w:t xml:space="preserve"> estimate and sufficient financial provisioning to address decommissioning costs. </w:t>
      </w:r>
      <w:r>
        <w:t xml:space="preserve">NOPSEMA assesses all environment plans against criteria in the </w:t>
      </w:r>
      <w:hyperlink r:id="rId15" w:history="1">
        <w:r w:rsidRPr="002C3E3F">
          <w:rPr>
            <w:rStyle w:val="Hyperlink"/>
          </w:rPr>
          <w:t>Offshore Petroleum and Greenhouse Gas Storage (Environment) Regulations 2023</w:t>
        </w:r>
      </w:hyperlink>
      <w:r>
        <w:t xml:space="preserve"> (Environment Regulations). </w:t>
      </w:r>
    </w:p>
    <w:p w14:paraId="6DD77ABB" w14:textId="78BF1709" w:rsidR="003D2F60" w:rsidRDefault="003D2F60" w:rsidP="003D2F60">
      <w:bookmarkStart w:id="56" w:name="_Hlk147490932"/>
      <w:bookmarkEnd w:id="55"/>
      <w:r>
        <w:t>When considering decommissioning options, a titleholder must identify and manage the risks to safety</w:t>
      </w:r>
      <w:bookmarkEnd w:id="56"/>
      <w:r>
        <w:t xml:space="preserve">. A facility must have a registered operator and safety case in force until decommissioning activities are complete. Under regulation 2.5 of the </w:t>
      </w:r>
      <w:hyperlink r:id="rId16" w:history="1">
        <w:r w:rsidRPr="002C3E3F">
          <w:rPr>
            <w:rStyle w:val="Hyperlink"/>
          </w:rPr>
          <w:t>Offshore Petroleum and Greenhouse Gas Storage (Safety) Regulations 2009</w:t>
        </w:r>
      </w:hyperlink>
      <w:r>
        <w:t xml:space="preserve">, the safety case needs to describe activities relating to the removal of property. These activities may proceed only once the safety case has been accepted by NOPSEMA. For more information see NOPSEMA’s document </w:t>
      </w:r>
      <w:hyperlink r:id="rId17">
        <w:r w:rsidRPr="3AB44E74">
          <w:rPr>
            <w:rStyle w:val="Hyperlink"/>
            <w:i/>
            <w:iCs/>
          </w:rPr>
          <w:t>Section 572 maintenance and removal of property</w:t>
        </w:r>
      </w:hyperlink>
      <w:r>
        <w:t>.</w:t>
      </w:r>
    </w:p>
    <w:p w14:paraId="2B9F7487" w14:textId="6B8D3DA6" w:rsidR="0030225F" w:rsidRDefault="61E02FA8">
      <w:r>
        <w:t>In limited circumstances, it is permittable for titleholders to leave</w:t>
      </w:r>
      <w:r w:rsidR="27D7CBC3">
        <w:t xml:space="preserve"> property and infrastructure in place, rather than removing it, </w:t>
      </w:r>
      <w:r w:rsidR="123944D0">
        <w:t xml:space="preserve">where </w:t>
      </w:r>
      <w:r w:rsidR="27D7CBC3">
        <w:t xml:space="preserve">equal or beneficial environmental outcomes </w:t>
      </w:r>
      <w:r w:rsidR="3229409E">
        <w:t xml:space="preserve">can be achieved </w:t>
      </w:r>
      <w:r w:rsidR="27D7CBC3">
        <w:t>while meeting safety and all other applicable requirements under the OPGGS Act and regulations</w:t>
      </w:r>
      <w:r w:rsidR="0E51E404">
        <w:t>,</w:t>
      </w:r>
      <w:r w:rsidR="27D7CBC3">
        <w:t xml:space="preserve"> and other applicable laws. Beneficial environmental outcomes </w:t>
      </w:r>
      <w:r w:rsidR="5A43E816">
        <w:t>could relate to</w:t>
      </w:r>
      <w:r w:rsidR="0E51E404">
        <w:t>:</w:t>
      </w:r>
    </w:p>
    <w:p w14:paraId="2321DFC4" w14:textId="11B6C54D" w:rsidR="0030225F" w:rsidRDefault="226FED4B" w:rsidP="00455068">
      <w:pPr>
        <w:pStyle w:val="ListParagraph"/>
        <w:numPr>
          <w:ilvl w:val="0"/>
          <w:numId w:val="16"/>
        </w:numPr>
        <w:spacing w:before="240" w:after="160" w:line="259" w:lineRule="auto"/>
        <w:contextualSpacing/>
      </w:pPr>
      <w:r>
        <w:t xml:space="preserve">enhancing marine </w:t>
      </w:r>
      <w:r w:rsidR="13495E3F">
        <w:t xml:space="preserve">ecosystems </w:t>
      </w:r>
      <w:r>
        <w:t>(living</w:t>
      </w:r>
      <w:r w:rsidR="412403F4">
        <w:t xml:space="preserve"> and non-living </w:t>
      </w:r>
      <w:r>
        <w:t>resources) over the long term</w:t>
      </w:r>
    </w:p>
    <w:p w14:paraId="166AE32E" w14:textId="70CC33FF" w:rsidR="0030225F" w:rsidRDefault="6CD2561D" w:rsidP="00455068">
      <w:pPr>
        <w:pStyle w:val="ListParagraph"/>
        <w:numPr>
          <w:ilvl w:val="0"/>
          <w:numId w:val="16"/>
        </w:numPr>
        <w:spacing w:before="240" w:after="160" w:line="259" w:lineRule="auto"/>
        <w:contextualSpacing/>
      </w:pPr>
      <w:r>
        <w:t xml:space="preserve">the conservation of </w:t>
      </w:r>
      <w:r w:rsidR="226FED4B">
        <w:t>habitat</w:t>
      </w:r>
      <w:r w:rsidR="74EFEB0F">
        <w:t xml:space="preserve">s for the protection </w:t>
      </w:r>
      <w:r w:rsidR="20E5F88D">
        <w:t>of biological</w:t>
      </w:r>
      <w:r w:rsidR="33260797">
        <w:t xml:space="preserve"> diversity and ecological integrity </w:t>
      </w:r>
    </w:p>
    <w:p w14:paraId="55820BC8" w14:textId="64F3A0FD" w:rsidR="0030225F" w:rsidRDefault="5F1B5BBE" w:rsidP="00455068">
      <w:pPr>
        <w:pStyle w:val="ListParagraph"/>
        <w:numPr>
          <w:ilvl w:val="0"/>
          <w:numId w:val="16"/>
        </w:numPr>
        <w:spacing w:before="240" w:after="160" w:line="259" w:lineRule="auto"/>
        <w:contextualSpacing/>
      </w:pPr>
      <w:r>
        <w:t xml:space="preserve">the </w:t>
      </w:r>
      <w:r w:rsidR="5E97E2F2">
        <w:t>maintenance</w:t>
      </w:r>
      <w:r w:rsidR="715B9B44">
        <w:t xml:space="preserve"> or enhancement of economic, social and </w:t>
      </w:r>
      <w:r w:rsidR="5A3EE4E7">
        <w:t xml:space="preserve">cultural </w:t>
      </w:r>
      <w:r w:rsidR="715B9B44">
        <w:t xml:space="preserve">benefits </w:t>
      </w:r>
      <w:r w:rsidR="08D83563">
        <w:t>to people</w:t>
      </w:r>
      <w:r w:rsidR="226FED4B">
        <w:t xml:space="preserve"> and communities</w:t>
      </w:r>
      <w:r w:rsidR="4C2B0DAF">
        <w:t xml:space="preserve">. </w:t>
      </w:r>
    </w:p>
    <w:p w14:paraId="7E8C555C" w14:textId="517A2248" w:rsidR="003D2F60" w:rsidRDefault="4C2B0DAF" w:rsidP="0030225F">
      <w:r>
        <w:t xml:space="preserve">In these cases, a titleholder may apply to NOPSEMA for approval to leave property and infrastructure in the sea. This includes submitting an environment plan, which must demonstrate the proposed arrangement: </w:t>
      </w:r>
    </w:p>
    <w:p w14:paraId="1E2D3589" w14:textId="46E4030C" w:rsidR="003D2F60" w:rsidRDefault="4C2B0DAF" w:rsidP="0035537A">
      <w:pPr>
        <w:pStyle w:val="ListParagraph"/>
        <w:numPr>
          <w:ilvl w:val="0"/>
          <w:numId w:val="16"/>
        </w:numPr>
        <w:spacing w:before="240" w:after="160" w:line="259" w:lineRule="auto"/>
        <w:contextualSpacing/>
      </w:pPr>
      <w:r>
        <w:t xml:space="preserve">reduces environmental impacts and risks to as low as reasonably practicable (ALARP) </w:t>
      </w:r>
    </w:p>
    <w:p w14:paraId="68B3AD52" w14:textId="0AE5D586" w:rsidR="003D2F60" w:rsidRDefault="3DFF8BA6" w:rsidP="0035537A">
      <w:pPr>
        <w:pStyle w:val="ListParagraph"/>
        <w:numPr>
          <w:ilvl w:val="0"/>
          <w:numId w:val="16"/>
        </w:numPr>
        <w:spacing w:before="240" w:after="160" w:line="259" w:lineRule="auto"/>
        <w:contextualSpacing/>
      </w:pPr>
      <w:r>
        <w:t>is of</w:t>
      </w:r>
      <w:r w:rsidR="4C2B0DAF">
        <w:t xml:space="preserve"> an acceptable level</w:t>
      </w:r>
    </w:p>
    <w:p w14:paraId="500D0937" w14:textId="77777777" w:rsidR="003D2F60" w:rsidRDefault="4C2B0DAF">
      <w:pPr>
        <w:pStyle w:val="ListParagraph"/>
        <w:numPr>
          <w:ilvl w:val="0"/>
          <w:numId w:val="15"/>
        </w:numPr>
        <w:spacing w:after="160" w:line="259" w:lineRule="auto"/>
        <w:contextualSpacing/>
        <w:rPr>
          <w:szCs w:val="20"/>
        </w:rPr>
      </w:pPr>
      <w:r w:rsidRPr="00B70223">
        <w:rPr>
          <w:rFonts w:eastAsiaTheme="minorEastAsia"/>
        </w:rPr>
        <w:t>is consistent with the principles of ecologically sustain</w:t>
      </w:r>
      <w:r>
        <w:t>able development</w:t>
      </w:r>
      <w:r w:rsidR="003D2F60" w:rsidRPr="4D3E858F">
        <w:rPr>
          <w:rStyle w:val="FootnoteReference"/>
        </w:rPr>
        <w:footnoteReference w:id="5"/>
      </w:r>
      <w:r>
        <w:t>.</w:t>
      </w:r>
    </w:p>
    <w:p w14:paraId="7348740C" w14:textId="72CF1855" w:rsidR="7460E45A" w:rsidRPr="0030225F" w:rsidRDefault="7460E45A" w:rsidP="6A26DA94">
      <w:r w:rsidRPr="6A26DA94">
        <w:rPr>
          <w:rFonts w:eastAsia="Segoe UI" w:cs="Segoe UI"/>
          <w:color w:val="333333"/>
        </w:rPr>
        <w:t>What</w:t>
      </w:r>
      <w:r w:rsidR="00F81AF9" w:rsidRPr="6A26DA94">
        <w:rPr>
          <w:rFonts w:eastAsia="Segoe UI" w:cs="Segoe UI"/>
          <w:color w:val="333333"/>
        </w:rPr>
        <w:t xml:space="preserve"> NOPSEMA</w:t>
      </w:r>
      <w:r w:rsidRPr="6A26DA94">
        <w:rPr>
          <w:rFonts w:eastAsia="Segoe UI" w:cs="Segoe UI"/>
          <w:color w:val="333333"/>
        </w:rPr>
        <w:t xml:space="preserve"> consider</w:t>
      </w:r>
      <w:r w:rsidR="00F81AF9" w:rsidRPr="6A26DA94">
        <w:rPr>
          <w:rFonts w:eastAsia="Segoe UI" w:cs="Segoe UI"/>
          <w:color w:val="333333"/>
        </w:rPr>
        <w:t>s</w:t>
      </w:r>
      <w:r w:rsidRPr="6A26DA94">
        <w:rPr>
          <w:rFonts w:eastAsia="Segoe UI" w:cs="Segoe UI"/>
          <w:color w:val="333333"/>
        </w:rPr>
        <w:t xml:space="preserve"> to be an </w:t>
      </w:r>
      <w:r w:rsidR="000C7746">
        <w:rPr>
          <w:rFonts w:eastAsia="Segoe UI" w:cs="Segoe UI"/>
          <w:color w:val="333333"/>
        </w:rPr>
        <w:t>‘</w:t>
      </w:r>
      <w:r w:rsidRPr="6A26DA94">
        <w:rPr>
          <w:rFonts w:eastAsia="Segoe UI" w:cs="Segoe UI"/>
          <w:color w:val="333333"/>
        </w:rPr>
        <w:t>acceptable level</w:t>
      </w:r>
      <w:r w:rsidR="000C7746">
        <w:rPr>
          <w:rFonts w:eastAsia="Segoe UI" w:cs="Segoe UI"/>
          <w:color w:val="333333"/>
        </w:rPr>
        <w:t>’</w:t>
      </w:r>
      <w:r w:rsidRPr="6A26DA94">
        <w:rPr>
          <w:rFonts w:eastAsia="Segoe UI" w:cs="Segoe UI"/>
          <w:color w:val="333333"/>
        </w:rPr>
        <w:t xml:space="preserve"> will vary depending on the particular project and proposal. </w:t>
      </w:r>
      <w:r w:rsidR="16D93110">
        <w:t xml:space="preserve">For more information </w:t>
      </w:r>
      <w:r w:rsidR="54361C51">
        <w:t xml:space="preserve">see NOPSEMA’s </w:t>
      </w:r>
      <w:hyperlink r:id="rId18">
        <w:r w:rsidR="147D71F2" w:rsidRPr="6A26DA94">
          <w:rPr>
            <w:rStyle w:val="Hyperlink"/>
          </w:rPr>
          <w:t>Environment plan decision making</w:t>
        </w:r>
      </w:hyperlink>
      <w:r w:rsidR="54361C51">
        <w:t xml:space="preserve"> </w:t>
      </w:r>
      <w:r w:rsidR="00F573F6">
        <w:t xml:space="preserve">guideline </w:t>
      </w:r>
      <w:r w:rsidR="54361C51">
        <w:t xml:space="preserve">and </w:t>
      </w:r>
      <w:hyperlink r:id="rId19">
        <w:r w:rsidR="54361C51" w:rsidRPr="6A26DA94">
          <w:rPr>
            <w:rStyle w:val="Hyperlink"/>
          </w:rPr>
          <w:t>Environment plan content requirement</w:t>
        </w:r>
      </w:hyperlink>
      <w:r w:rsidR="691EE134">
        <w:t xml:space="preserve"> guidance note</w:t>
      </w:r>
      <w:r w:rsidR="54361C51">
        <w:t>.</w:t>
      </w:r>
      <w:r w:rsidR="1A7BD3D6">
        <w:t xml:space="preserve"> </w:t>
      </w:r>
      <w:r w:rsidR="1A7BD3D6" w:rsidRPr="6A26DA94">
        <w:rPr>
          <w:rFonts w:ascii="Aptos" w:eastAsia="Aptos" w:hAnsi="Aptos" w:cs="Aptos"/>
          <w:szCs w:val="20"/>
        </w:rPr>
        <w:t xml:space="preserve">Further information on deviation from removal requirements is contained in the Australian Government’s </w:t>
      </w:r>
      <w:hyperlink r:id="rId20" w:history="1">
        <w:r w:rsidR="1A7BD3D6" w:rsidRPr="6A26DA94">
          <w:rPr>
            <w:rStyle w:val="Hyperlink"/>
            <w:rFonts w:ascii="Aptos" w:eastAsia="Aptos" w:hAnsi="Aptos" w:cs="Aptos"/>
            <w:szCs w:val="20"/>
          </w:rPr>
          <w:t>Guideline: Offshore petroleum decommissioning</w:t>
        </w:r>
      </w:hyperlink>
      <w:r w:rsidR="1A7BD3D6" w:rsidRPr="6A26DA94">
        <w:rPr>
          <w:rFonts w:ascii="Aptos" w:eastAsia="Aptos" w:hAnsi="Aptos" w:cs="Aptos"/>
          <w:szCs w:val="20"/>
        </w:rPr>
        <w:t>.</w:t>
      </w:r>
    </w:p>
    <w:p w14:paraId="645AC369" w14:textId="60CEAE32" w:rsidR="003D2F60" w:rsidRDefault="003D2F60" w:rsidP="00393784">
      <w:r>
        <w:t>Titleholders seeking approval to leave property and infrastructure in the sea must consider and address several factors. These factors are outlined below and in section 3.</w:t>
      </w:r>
    </w:p>
    <w:p w14:paraId="60E85098" w14:textId="69E8F93D" w:rsidR="0039065C" w:rsidRDefault="0039065C" w:rsidP="00CA67C8">
      <w:pPr>
        <w:pStyle w:val="Heading3"/>
      </w:pPr>
      <w:bookmarkStart w:id="57" w:name="_Toc165029068"/>
      <w:bookmarkStart w:id="58" w:name="_Toc166848336"/>
      <w:r>
        <w:t>2.2. Environment Protection (Sea Dumping) Act 1981</w:t>
      </w:r>
      <w:bookmarkEnd w:id="57"/>
      <w:bookmarkEnd w:id="58"/>
    </w:p>
    <w:p w14:paraId="6CAE7A83" w14:textId="7FDE77D7" w:rsidR="00154DF8" w:rsidRDefault="00154DF8" w:rsidP="00154DF8">
      <w:r>
        <w:t xml:space="preserve">The Sea Dumping Act protects Australia’s </w:t>
      </w:r>
      <w:r w:rsidR="5A374572">
        <w:t>oceans</w:t>
      </w:r>
      <w:r>
        <w:t xml:space="preserve"> from waste and pollution dumped at sea. </w:t>
      </w:r>
      <w:r w:rsidR="00B87BDA">
        <w:t>It does this</w:t>
      </w:r>
      <w:r>
        <w:t xml:space="preserve"> by</w:t>
      </w:r>
      <w:r w:rsidR="004E0C8D">
        <w:t xml:space="preserve"> preventing or</w:t>
      </w:r>
      <w:r>
        <w:t xml:space="preserve"> regulating the dumping or abandonment of platforms and other man-made structures:</w:t>
      </w:r>
    </w:p>
    <w:p w14:paraId="7C9ED751" w14:textId="77777777" w:rsidR="00154DF8" w:rsidRDefault="00154DF8" w:rsidP="00154DF8">
      <w:pPr>
        <w:pStyle w:val="ListParagraph"/>
        <w:numPr>
          <w:ilvl w:val="0"/>
          <w:numId w:val="18"/>
        </w:numPr>
        <w:spacing w:after="160" w:line="259" w:lineRule="auto"/>
        <w:contextualSpacing/>
      </w:pPr>
      <w:r>
        <w:t xml:space="preserve">in Australian waters </w:t>
      </w:r>
    </w:p>
    <w:p w14:paraId="74B735A2" w14:textId="77777777" w:rsidR="00154DF8" w:rsidRDefault="00154DF8" w:rsidP="00154DF8">
      <w:pPr>
        <w:pStyle w:val="ListParagraph"/>
        <w:numPr>
          <w:ilvl w:val="0"/>
          <w:numId w:val="18"/>
        </w:numPr>
        <w:spacing w:after="160" w:line="259" w:lineRule="auto"/>
        <w:contextualSpacing/>
      </w:pPr>
      <w:r>
        <w:t xml:space="preserve">from Australian vessels in any part of the sea. </w:t>
      </w:r>
    </w:p>
    <w:p w14:paraId="339187C1" w14:textId="346899DB" w:rsidR="00154DF8" w:rsidDel="0074525F" w:rsidRDefault="00F63DA4" w:rsidP="00154DF8">
      <w:r>
        <w:t xml:space="preserve">The </w:t>
      </w:r>
      <w:r w:rsidR="780657BD">
        <w:t xml:space="preserve">abandonment, movement, or modification of structures or materials for disposal at sea associated with the offshore oil and gas industry </w:t>
      </w:r>
      <w:r>
        <w:t>requires a permit issued under the Sea Dumping Act.</w:t>
      </w:r>
    </w:p>
    <w:p w14:paraId="7111D359" w14:textId="655A932A" w:rsidR="00154DF8" w:rsidRDefault="00154DF8" w:rsidP="00154DF8">
      <w:r>
        <w:t xml:space="preserve">Oil and gas activities that may need a </w:t>
      </w:r>
      <w:r w:rsidR="00EC604A">
        <w:t>s</w:t>
      </w:r>
      <w:r>
        <w:t xml:space="preserve">ea </w:t>
      </w:r>
      <w:r w:rsidR="00EC604A">
        <w:t>d</w:t>
      </w:r>
      <w:r>
        <w:t>umping permit include:</w:t>
      </w:r>
    </w:p>
    <w:p w14:paraId="36EEFD1B" w14:textId="77777777" w:rsidR="00154DF8" w:rsidRDefault="00154DF8" w:rsidP="00154DF8">
      <w:pPr>
        <w:pStyle w:val="ListParagraph"/>
        <w:numPr>
          <w:ilvl w:val="0"/>
          <w:numId w:val="17"/>
        </w:numPr>
        <w:spacing w:after="160" w:line="259" w:lineRule="auto"/>
        <w:contextualSpacing/>
      </w:pPr>
      <w:r>
        <w:t xml:space="preserve">moving oil and gas property or infrastructure from its location and dumping it in Australian waters </w:t>
      </w:r>
    </w:p>
    <w:p w14:paraId="0AF9ACA7" w14:textId="77777777" w:rsidR="00390747" w:rsidRDefault="00390747" w:rsidP="00390747">
      <w:pPr>
        <w:pStyle w:val="ListParagraph"/>
        <w:numPr>
          <w:ilvl w:val="0"/>
          <w:numId w:val="17"/>
        </w:numPr>
        <w:spacing w:after="160" w:line="259" w:lineRule="auto"/>
        <w:contextualSpacing/>
      </w:pPr>
      <w:r>
        <w:t xml:space="preserve">abandoning in-situ oil and gas property or infrastructure in the location where it originally served its purpose in Australian waters </w:t>
      </w:r>
    </w:p>
    <w:p w14:paraId="1E8709B7" w14:textId="77777777" w:rsidR="00390747" w:rsidRDefault="00154DF8" w:rsidP="00390747">
      <w:pPr>
        <w:pStyle w:val="ListParagraph"/>
        <w:numPr>
          <w:ilvl w:val="0"/>
          <w:numId w:val="17"/>
        </w:numPr>
        <w:spacing w:after="160" w:line="259" w:lineRule="auto"/>
        <w:contextualSpacing/>
      </w:pPr>
      <w:r>
        <w:t>placing an artificial reef in Australian waters that includes decommissioned oil and gas infrastructure.</w:t>
      </w:r>
      <w:r w:rsidR="00390747" w:rsidRPr="00390747">
        <w:t xml:space="preserve"> </w:t>
      </w:r>
    </w:p>
    <w:p w14:paraId="4419D17D" w14:textId="0FC14852" w:rsidR="00154DF8" w:rsidRDefault="00154DF8" w:rsidP="00154DF8">
      <w:r>
        <w:t>A permit application submitted under the Sea Dumping Act must demonstrate that any proposal to leave property or infrastructure in the sea:</w:t>
      </w:r>
    </w:p>
    <w:p w14:paraId="2D86944F" w14:textId="77777777" w:rsidR="00154DF8" w:rsidRDefault="00154DF8" w:rsidP="00154DF8">
      <w:pPr>
        <w:pStyle w:val="ListParagraph"/>
        <w:numPr>
          <w:ilvl w:val="0"/>
          <w:numId w:val="19"/>
        </w:numPr>
        <w:spacing w:after="160" w:line="259" w:lineRule="auto"/>
        <w:contextualSpacing/>
      </w:pPr>
      <w:r>
        <w:t xml:space="preserve">is environmentally acceptable </w:t>
      </w:r>
    </w:p>
    <w:p w14:paraId="1EF463C2" w14:textId="77777777" w:rsidR="00154DF8" w:rsidRDefault="00154DF8" w:rsidP="00154DF8">
      <w:pPr>
        <w:pStyle w:val="ListParagraph"/>
        <w:numPr>
          <w:ilvl w:val="0"/>
          <w:numId w:val="19"/>
        </w:numPr>
        <w:spacing w:after="160" w:line="259" w:lineRule="auto"/>
        <w:contextualSpacing/>
      </w:pPr>
      <w:r>
        <w:t>not contrary to the aims of the London Protocol.</w:t>
      </w:r>
    </w:p>
    <w:p w14:paraId="20A3C0C7" w14:textId="32516BD9" w:rsidR="00154DF8" w:rsidRDefault="00154DF8" w:rsidP="00154DF8">
      <w:r>
        <w:t xml:space="preserve">Please see the </w:t>
      </w:r>
      <w:hyperlink r:id="rId21" w:history="1">
        <w:r w:rsidRPr="008F5C11">
          <w:rPr>
            <w:rStyle w:val="Hyperlink"/>
          </w:rPr>
          <w:t xml:space="preserve">DCCEEW’s </w:t>
        </w:r>
        <w:r w:rsidR="00AC0ACB">
          <w:rPr>
            <w:rStyle w:val="Hyperlink"/>
          </w:rPr>
          <w:t>s</w:t>
        </w:r>
        <w:r w:rsidRPr="008F5C11">
          <w:rPr>
            <w:rStyle w:val="Hyperlink"/>
          </w:rPr>
          <w:t xml:space="preserve">ea </w:t>
        </w:r>
        <w:r w:rsidR="00AC0ACB">
          <w:rPr>
            <w:rStyle w:val="Hyperlink"/>
          </w:rPr>
          <w:t>d</w:t>
        </w:r>
        <w:r w:rsidRPr="008F5C11">
          <w:rPr>
            <w:rStyle w:val="Hyperlink"/>
          </w:rPr>
          <w:t>umping page</w:t>
        </w:r>
      </w:hyperlink>
      <w:r>
        <w:t xml:space="preserve"> for more information. </w:t>
      </w:r>
    </w:p>
    <w:p w14:paraId="452747B8" w14:textId="78A33ABF" w:rsidR="00154DF8" w:rsidRDefault="00154DF8" w:rsidP="00154DF8">
      <w:r>
        <w:t>Operators do not need sea dumping permits for exploration, exploitation or offshore processing activities in Australian waters (including the sub-seabed).</w:t>
      </w:r>
    </w:p>
    <w:p w14:paraId="65429FBC" w14:textId="09BF9681" w:rsidR="00154DF8" w:rsidRDefault="00154DF8" w:rsidP="00393784">
      <w:r>
        <w:t>The Minister for the Environment and Water</w:t>
      </w:r>
      <w:r w:rsidR="00390747">
        <w:t xml:space="preserve">, or </w:t>
      </w:r>
      <w:r w:rsidR="067E8BDD">
        <w:t>t</w:t>
      </w:r>
      <w:r w:rsidR="00390747">
        <w:t>he</w:t>
      </w:r>
      <w:r w:rsidR="6BE7C277">
        <w:t>i</w:t>
      </w:r>
      <w:r w:rsidR="00390747">
        <w:t>r delegate,</w:t>
      </w:r>
      <w:r>
        <w:t xml:space="preserve"> makes the final decision on whether to grant or refuse a sea dumping permit. This guidance document does not pre-empt </w:t>
      </w:r>
      <w:r w:rsidR="00390747">
        <w:t>any</w:t>
      </w:r>
      <w:r>
        <w:t xml:space="preserve"> decision</w:t>
      </w:r>
      <w:r w:rsidR="00390747">
        <w:t xml:space="preserve"> that may be made</w:t>
      </w:r>
      <w:r>
        <w:t>.</w:t>
      </w:r>
    </w:p>
    <w:p w14:paraId="5D7E68EB" w14:textId="6ADF77C3" w:rsidR="0039065C" w:rsidRDefault="0039065C" w:rsidP="00CA67C8">
      <w:pPr>
        <w:pStyle w:val="Heading3"/>
      </w:pPr>
      <w:bookmarkStart w:id="59" w:name="_Toc165029069"/>
      <w:bookmarkStart w:id="60" w:name="_Toc166848337"/>
      <w:r>
        <w:t>2.3. Environment Protection and Biodiversity Conservation Act 1999</w:t>
      </w:r>
      <w:bookmarkEnd w:id="59"/>
      <w:bookmarkEnd w:id="60"/>
    </w:p>
    <w:p w14:paraId="1934FE51" w14:textId="77777777" w:rsidR="0057586E" w:rsidRPr="0057586E" w:rsidRDefault="0057586E" w:rsidP="0057586E">
      <w:pPr>
        <w:rPr>
          <w:szCs w:val="20"/>
        </w:rPr>
      </w:pPr>
      <w:r w:rsidRPr="0057586E">
        <w:rPr>
          <w:szCs w:val="20"/>
        </w:rPr>
        <w:t xml:space="preserve">The </w:t>
      </w:r>
      <w:r w:rsidRPr="0057586E">
        <w:rPr>
          <w:i/>
          <w:iCs/>
          <w:szCs w:val="20"/>
        </w:rPr>
        <w:t>Environment Protection and Biodiversity Conservation Act 1999</w:t>
      </w:r>
      <w:r w:rsidRPr="0057586E">
        <w:rPr>
          <w:szCs w:val="20"/>
        </w:rPr>
        <w:t xml:space="preserve"> (the EPBC Act) is the Australian Government’s main environmental legislation. It is a legal framework to protect and manage matters of national environmental significance, including threatened flora, fauna, ecological communities and heritage places.</w:t>
      </w:r>
    </w:p>
    <w:p w14:paraId="210D1C14" w14:textId="5583C89F" w:rsidR="0057586E" w:rsidRPr="0057586E" w:rsidRDefault="0057586E" w:rsidP="0057586E">
      <w:pPr>
        <w:rPr>
          <w:rFonts w:eastAsia="Calibri" w:cs="Calibri"/>
          <w:szCs w:val="20"/>
        </w:rPr>
      </w:pPr>
      <w:r w:rsidRPr="0057586E">
        <w:rPr>
          <w:rFonts w:eastAsia="Calibri" w:cs="Calibri"/>
          <w:szCs w:val="20"/>
        </w:rPr>
        <w:t>NOPSEMA's environmental plan assessment and approval process is accredited under Part 10 of the EPBC Act</w:t>
      </w:r>
      <w:r w:rsidR="003939AB">
        <w:rPr>
          <w:rFonts w:eastAsia="Calibri" w:cs="Calibri"/>
          <w:szCs w:val="20"/>
        </w:rPr>
        <w:t xml:space="preserve"> (the Program)</w:t>
      </w:r>
      <w:r w:rsidRPr="0057586E">
        <w:rPr>
          <w:rFonts w:eastAsia="Calibri" w:cs="Calibri"/>
          <w:szCs w:val="20"/>
        </w:rPr>
        <w:t xml:space="preserve">. This strategic arrangement means classes of actions, if </w:t>
      </w:r>
      <w:r w:rsidR="00531BD6">
        <w:rPr>
          <w:rFonts w:eastAsia="Calibri" w:cs="Calibri"/>
          <w:szCs w:val="20"/>
        </w:rPr>
        <w:t>done following</w:t>
      </w:r>
      <w:r w:rsidRPr="0057586E">
        <w:rPr>
          <w:rFonts w:eastAsia="Calibri" w:cs="Calibri"/>
          <w:szCs w:val="20"/>
        </w:rPr>
        <w:t xml:space="preserve"> the above process, will not </w:t>
      </w:r>
      <w:r w:rsidR="001B70F2">
        <w:rPr>
          <w:rFonts w:eastAsia="Calibri" w:cs="Calibri"/>
          <w:szCs w:val="20"/>
        </w:rPr>
        <w:t>need</w:t>
      </w:r>
      <w:r w:rsidR="001B70F2" w:rsidRPr="0057586E">
        <w:rPr>
          <w:rFonts w:eastAsia="Calibri" w:cs="Calibri"/>
          <w:szCs w:val="20"/>
        </w:rPr>
        <w:t xml:space="preserve"> </w:t>
      </w:r>
      <w:r w:rsidRPr="0057586E">
        <w:rPr>
          <w:rFonts w:eastAsia="Calibri" w:cs="Calibri"/>
          <w:szCs w:val="20"/>
        </w:rPr>
        <w:t>separate referral, assessment, and approval under the EPBC Act. These actions include on title decommissioning activities in Commonwealth waters.</w:t>
      </w:r>
    </w:p>
    <w:p w14:paraId="0EFAFD04" w14:textId="7B462EB9" w:rsidR="0057586E" w:rsidRPr="00671954" w:rsidRDefault="0057586E" w:rsidP="00671954">
      <w:pPr>
        <w:rPr>
          <w:rFonts w:eastAsia="Calibri" w:cs="Calibri"/>
          <w:szCs w:val="20"/>
        </w:rPr>
      </w:pPr>
      <w:r w:rsidRPr="3AB44E74">
        <w:rPr>
          <w:rFonts w:eastAsia="Calibri" w:cs="Calibri"/>
        </w:rPr>
        <w:t>An EPBC Act referral may still be required for activities outside the title area if they are</w:t>
      </w:r>
      <w:r w:rsidRPr="00671954">
        <w:t xml:space="preserve"> not covered by the Program and/or likely to have a significant impact on a matter of national environmental significance under the </w:t>
      </w:r>
      <w:r w:rsidRPr="00671954">
        <w:rPr>
          <w:rFonts w:eastAsia="Calibri" w:cs="Calibri"/>
          <w:szCs w:val="20"/>
        </w:rPr>
        <w:t xml:space="preserve">EPBC Act. </w:t>
      </w:r>
    </w:p>
    <w:p w14:paraId="045EFBDD" w14:textId="5A3B175C" w:rsidR="0057586E" w:rsidRPr="0057586E" w:rsidRDefault="0057586E" w:rsidP="0057586E">
      <w:pPr>
        <w:rPr>
          <w:rFonts w:eastAsia="Calibri" w:cs="Calibri"/>
          <w:szCs w:val="20"/>
        </w:rPr>
      </w:pPr>
      <w:r w:rsidRPr="0057586E">
        <w:rPr>
          <w:rFonts w:eastAsia="Calibri" w:cs="Calibri"/>
          <w:szCs w:val="20"/>
        </w:rPr>
        <w:t>Titleholders must determine the technical and legal requirements for environmental approvals that may be required for off-title activities, including those relating to the EPBC Act.</w:t>
      </w:r>
    </w:p>
    <w:p w14:paraId="760A9627" w14:textId="2B9602B4" w:rsidR="0039065C" w:rsidRDefault="0039065C" w:rsidP="00CA67C8">
      <w:pPr>
        <w:pStyle w:val="Heading2"/>
      </w:pPr>
      <w:bookmarkStart w:id="61" w:name="_Toc165029070"/>
      <w:bookmarkStart w:id="62" w:name="_Toc166848338"/>
      <w:r>
        <w:t>3. Considerations for property and infrastructure proposed to be left in the sea</w:t>
      </w:r>
      <w:bookmarkEnd w:id="61"/>
      <w:bookmarkEnd w:id="62"/>
    </w:p>
    <w:p w14:paraId="66789A1A" w14:textId="1893B343" w:rsidR="0057586E" w:rsidRDefault="79CE466E" w:rsidP="6A26DA94">
      <w:r>
        <w:t>It is expected that oil and gas property and infrastructure will be removed following completion of operations. However, there may be limited circumstances where a regulator may grant approval for property and infrastructure to be left in the sea</w:t>
      </w:r>
      <w:r w:rsidR="00553D2B">
        <w:t>, where equal or beneficial environmental outcomes can be achieved while meeting safety and all other regulatory requirements</w:t>
      </w:r>
      <w:r>
        <w:t xml:space="preserve">. </w:t>
      </w:r>
      <w:r w:rsidR="0057586E">
        <w:t xml:space="preserve">Titleholders seeking to leave property and </w:t>
      </w:r>
      <w:r w:rsidR="0057586E" w:rsidRPr="1A0FFD9F">
        <w:rPr>
          <w:rFonts w:eastAsia="Calibri" w:cs="Calibri"/>
        </w:rPr>
        <w:t>infrastructure</w:t>
      </w:r>
      <w:r w:rsidR="0057586E">
        <w:t xml:space="preserve"> in the sea need to demonstrate that the impacts and risks of this are:</w:t>
      </w:r>
    </w:p>
    <w:p w14:paraId="3BBCB39C" w14:textId="77777777" w:rsidR="0057586E" w:rsidRDefault="0057586E" w:rsidP="0057586E">
      <w:pPr>
        <w:pStyle w:val="ListParagraph"/>
        <w:numPr>
          <w:ilvl w:val="0"/>
          <w:numId w:val="21"/>
        </w:numPr>
        <w:spacing w:after="160" w:line="259" w:lineRule="auto"/>
        <w:contextualSpacing/>
      </w:pPr>
      <w:r>
        <w:t>acceptable under the Sea Dumping Act and London Protocol</w:t>
      </w:r>
    </w:p>
    <w:p w14:paraId="51432B2E" w14:textId="77777777" w:rsidR="0057586E" w:rsidRDefault="0057586E" w:rsidP="0057586E">
      <w:pPr>
        <w:pStyle w:val="ListParagraph"/>
        <w:numPr>
          <w:ilvl w:val="0"/>
          <w:numId w:val="21"/>
        </w:numPr>
        <w:spacing w:after="160" w:line="259" w:lineRule="auto"/>
        <w:contextualSpacing/>
      </w:pPr>
      <w:r>
        <w:t xml:space="preserve">acceptable and as low as reasonably practicable under the OPGGS Act and regulations. </w:t>
      </w:r>
    </w:p>
    <w:p w14:paraId="18DC76CE" w14:textId="79F48396" w:rsidR="0057586E" w:rsidRDefault="49E9181D" w:rsidP="0057586E">
      <w:r>
        <w:t xml:space="preserve">In these </w:t>
      </w:r>
      <w:r w:rsidR="00365B02">
        <w:t>cases,</w:t>
      </w:r>
      <w:r>
        <w:t xml:space="preserve"> </w:t>
      </w:r>
      <w:r w:rsidR="63548346">
        <w:t>t</w:t>
      </w:r>
      <w:r w:rsidR="3DC8127A">
        <w:t xml:space="preserve">itleholders must address the below considerations with regards to specific requirements under the relevant legislation and the specific circumstances of their activity. Further considerations may also be required noting each project will be assessed on a </w:t>
      </w:r>
      <w:r w:rsidR="00165D3E">
        <w:t>case by case</w:t>
      </w:r>
      <w:r w:rsidR="3DC8127A">
        <w:t xml:space="preserve"> basis. </w:t>
      </w:r>
    </w:p>
    <w:p w14:paraId="0065F8DB" w14:textId="12B354D0" w:rsidR="003D6703" w:rsidRPr="00A41AE0" w:rsidRDefault="54ABEAFE" w:rsidP="003D6703">
      <w:pPr>
        <w:pStyle w:val="Caption"/>
        <w:keepNext/>
      </w:pPr>
      <w:r>
        <w:t xml:space="preserve">Table </w:t>
      </w:r>
      <w:r w:rsidRPr="6A26DA94">
        <w:rPr>
          <w:noProof/>
        </w:rPr>
        <w:t>1:</w:t>
      </w:r>
      <w:r>
        <w:t xml:space="preserve"> Considerations for applications under the Sea Dumping Act and </w:t>
      </w:r>
      <w:r w:rsidR="2B737019">
        <w:t xml:space="preserve">submissions under </w:t>
      </w:r>
      <w:r>
        <w:t xml:space="preserve">the OPGGS Act </w:t>
      </w:r>
    </w:p>
    <w:tbl>
      <w:tblPr>
        <w:tblStyle w:val="ListTable3-Accent4"/>
        <w:tblW w:w="0" w:type="auto"/>
        <w:tblLook w:val="04A0" w:firstRow="1" w:lastRow="0" w:firstColumn="1" w:lastColumn="0" w:noHBand="0" w:noVBand="1"/>
        <w:tblCaption w:val="Sample table"/>
        <w:tblDescription w:val="Add text broadly describing the table. You do not need to replicate the whole contents."/>
      </w:tblPr>
      <w:tblGrid>
        <w:gridCol w:w="1583"/>
        <w:gridCol w:w="7343"/>
      </w:tblGrid>
      <w:tr w:rsidR="003D6703" w14:paraId="4A3E8C53" w14:textId="77777777" w:rsidTr="00B7022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dxa"/>
          </w:tcPr>
          <w:p w14:paraId="63089D08" w14:textId="77777777" w:rsidR="003D6703" w:rsidRDefault="003D6703">
            <w:r>
              <w:t>Consideration</w:t>
            </w:r>
          </w:p>
        </w:tc>
        <w:tc>
          <w:tcPr>
            <w:tcW w:w="7343" w:type="dxa"/>
          </w:tcPr>
          <w:p w14:paraId="5C7D33F1" w14:textId="77777777" w:rsidR="003D6703" w:rsidRDefault="003D6703">
            <w:pPr>
              <w:cnfStyle w:val="100000000000" w:firstRow="1" w:lastRow="0" w:firstColumn="0" w:lastColumn="0" w:oddVBand="0" w:evenVBand="0" w:oddHBand="0" w:evenHBand="0" w:firstRowFirstColumn="0" w:firstRowLastColumn="0" w:lastRowFirstColumn="0" w:lastRowLastColumn="0"/>
            </w:pPr>
            <w:r>
              <w:t>Factors to address</w:t>
            </w:r>
          </w:p>
        </w:tc>
      </w:tr>
      <w:tr w:rsidR="006868E0" w14:paraId="1AFE096B" w14:textId="77777777" w:rsidTr="00B7022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328ADCAF" w14:textId="014335FE" w:rsidR="006868E0" w:rsidRDefault="006868E0" w:rsidP="006868E0">
            <w:r w:rsidRPr="0535772E">
              <w:t>Safety</w:t>
            </w:r>
            <w:r w:rsidR="00E83E8B">
              <w:t>.</w:t>
            </w:r>
          </w:p>
        </w:tc>
        <w:tc>
          <w:tcPr>
            <w:tcW w:w="7343" w:type="dxa"/>
          </w:tcPr>
          <w:p w14:paraId="1440F4DA" w14:textId="5B84F294" w:rsidR="006868E0" w:rsidRDefault="006868E0" w:rsidP="006868E0">
            <w:pPr>
              <w:cnfStyle w:val="000000100000" w:firstRow="0" w:lastRow="0" w:firstColumn="0" w:lastColumn="0" w:oddVBand="0" w:evenVBand="0" w:oddHBand="1" w:evenHBand="0" w:firstRowFirstColumn="0" w:firstRowLastColumn="0" w:lastRowFirstColumn="0" w:lastRowLastColumn="0"/>
            </w:pPr>
            <w:r>
              <w:rPr>
                <w:rFonts w:eastAsia="Calibri" w:cstheme="minorHAnsi"/>
              </w:rPr>
              <w:t>Safety of w</w:t>
            </w:r>
            <w:r w:rsidRPr="00B66A35">
              <w:rPr>
                <w:rFonts w:eastAsia="Calibri" w:cstheme="minorHAnsi"/>
              </w:rPr>
              <w:t>orker</w:t>
            </w:r>
            <w:r>
              <w:rPr>
                <w:rFonts w:eastAsia="Calibri" w:cstheme="minorHAnsi"/>
              </w:rPr>
              <w:t>s</w:t>
            </w:r>
            <w:r w:rsidRPr="00B66A35">
              <w:rPr>
                <w:rFonts w:eastAsia="Calibri" w:cstheme="minorHAnsi"/>
              </w:rPr>
              <w:t xml:space="preserve"> and other </w:t>
            </w:r>
            <w:r>
              <w:rPr>
                <w:rFonts w:eastAsia="Calibri" w:cstheme="minorHAnsi"/>
              </w:rPr>
              <w:t>users of the sea</w:t>
            </w:r>
            <w:r w:rsidR="00E83E8B">
              <w:rPr>
                <w:rFonts w:eastAsia="Calibri" w:cstheme="minorHAnsi"/>
              </w:rPr>
              <w:t>.</w:t>
            </w:r>
          </w:p>
        </w:tc>
      </w:tr>
      <w:tr w:rsidR="006868E0" w14:paraId="3289281C" w14:textId="77777777" w:rsidTr="00B70223">
        <w:trPr>
          <w:cantSplit/>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639EC2FD" w14:textId="135A111D" w:rsidR="006868E0" w:rsidRPr="0535772E" w:rsidRDefault="17140113" w:rsidP="006868E0">
            <w:r>
              <w:t>Environment</w:t>
            </w:r>
            <w:r w:rsidR="006868E0" w:rsidRPr="00BC06CB">
              <w:rPr>
                <w:rStyle w:val="FootnoteReference"/>
              </w:rPr>
              <w:footnoteReference w:id="6"/>
            </w:r>
            <w:r w:rsidR="5A4DCAFC">
              <w:t>.</w:t>
            </w:r>
            <w:r>
              <w:t xml:space="preserve"> </w:t>
            </w:r>
          </w:p>
        </w:tc>
        <w:tc>
          <w:tcPr>
            <w:tcW w:w="7343" w:type="dxa"/>
          </w:tcPr>
          <w:p w14:paraId="6B11FC83" w14:textId="77777777" w:rsidR="006868E0" w:rsidRPr="0021793F" w:rsidRDefault="006868E0" w:rsidP="006868E0">
            <w:pPr>
              <w:cnfStyle w:val="000000000000" w:firstRow="0" w:lastRow="0" w:firstColumn="0" w:lastColumn="0" w:oddVBand="0" w:evenVBand="0" w:oddHBand="0" w:evenHBand="0" w:firstRowFirstColumn="0" w:firstRowLastColumn="0" w:lastRowFirstColumn="0" w:lastRowLastColumn="0"/>
              <w:rPr>
                <w:b/>
                <w:bCs/>
              </w:rPr>
            </w:pPr>
            <w:r w:rsidRPr="0021793F">
              <w:rPr>
                <w:b/>
                <w:bCs/>
              </w:rPr>
              <w:t>Environmental outcomes</w:t>
            </w:r>
          </w:p>
          <w:p w14:paraId="2C111ECF" w14:textId="77777777" w:rsidR="006868E0" w:rsidRDefault="006868E0" w:rsidP="006868E0">
            <w:pPr>
              <w:cnfStyle w:val="000000000000" w:firstRow="0" w:lastRow="0" w:firstColumn="0" w:lastColumn="0" w:oddVBand="0" w:evenVBand="0" w:oddHBand="0" w:evenHBand="0" w:firstRowFirstColumn="0" w:firstRowLastColumn="0" w:lastRowFirstColumn="0" w:lastRowLastColumn="0"/>
            </w:pPr>
            <w:r>
              <w:t>How the proposal delivers environmental outcomes that:</w:t>
            </w:r>
          </w:p>
          <w:p w14:paraId="27D7B05C" w14:textId="77777777" w:rsidR="006868E0" w:rsidRDefault="006868E0" w:rsidP="006868E0">
            <w:pPr>
              <w:pStyle w:val="ListParagraph"/>
              <w:numPr>
                <w:ilvl w:val="0"/>
                <w:numId w:val="22"/>
              </w:numPr>
              <w:spacing w:after="0"/>
              <w:contextualSpacing/>
              <w:cnfStyle w:val="000000000000" w:firstRow="0" w:lastRow="0" w:firstColumn="0" w:lastColumn="0" w:oddVBand="0" w:evenVBand="0" w:oddHBand="0" w:evenHBand="0" w:firstRowFirstColumn="0" w:firstRowLastColumn="0" w:lastRowFirstColumn="0" w:lastRowLastColumn="0"/>
            </w:pPr>
            <w:r>
              <w:t>ensure environmental impacts and risks are as low as reasonably practicable and are of an acceptable level</w:t>
            </w:r>
          </w:p>
          <w:p w14:paraId="18958600" w14:textId="77777777" w:rsidR="006868E0" w:rsidRPr="00D40730" w:rsidRDefault="006868E0" w:rsidP="006868E0">
            <w:pPr>
              <w:pStyle w:val="ListParagraph"/>
              <w:numPr>
                <w:ilvl w:val="0"/>
                <w:numId w:val="22"/>
              </w:numPr>
              <w:spacing w:after="0"/>
              <w:contextualSpacing/>
              <w:cnfStyle w:val="000000000000" w:firstRow="0" w:lastRow="0" w:firstColumn="0" w:lastColumn="0" w:oddVBand="0" w:evenVBand="0" w:oddHBand="0" w:evenHBand="0" w:firstRowFirstColumn="0" w:firstRowLastColumn="0" w:lastRowFirstColumn="0" w:lastRowLastColumn="0"/>
            </w:pPr>
            <w:r w:rsidRPr="4D3E858F">
              <w:t>are consistent with the principles of ecologically sustainable development</w:t>
            </w:r>
          </w:p>
          <w:p w14:paraId="3B4279E7" w14:textId="77777777" w:rsidR="006868E0" w:rsidRPr="00D40730" w:rsidRDefault="006868E0" w:rsidP="006868E0">
            <w:pPr>
              <w:pStyle w:val="ListParagraph"/>
              <w:numPr>
                <w:ilvl w:val="0"/>
                <w:numId w:val="22"/>
              </w:numPr>
              <w:spacing w:after="0"/>
              <w:contextualSpacing/>
              <w:cnfStyle w:val="000000000000" w:firstRow="0" w:lastRow="0" w:firstColumn="0" w:lastColumn="0" w:oddVBand="0" w:evenVBand="0" w:oddHBand="0" w:evenHBand="0" w:firstRowFirstColumn="0" w:firstRowLastColumn="0" w:lastRowFirstColumn="0" w:lastRowLastColumn="0"/>
            </w:pPr>
            <w:r w:rsidRPr="7DEA62DA">
              <w:t>are not contrary to the aims of the London Protocol.</w:t>
            </w:r>
          </w:p>
          <w:p w14:paraId="689B0004" w14:textId="3887303F" w:rsidR="006868E0" w:rsidRDefault="006868E0" w:rsidP="00DC5EEA">
            <w:pPr>
              <w:spacing w:after="240"/>
              <w:cnfStyle w:val="000000000000" w:firstRow="0" w:lastRow="0" w:firstColumn="0" w:lastColumn="0" w:oddVBand="0" w:evenVBand="0" w:oddHBand="0" w:evenHBand="0" w:firstRowFirstColumn="0" w:firstRowLastColumn="0" w:lastRowFirstColumn="0" w:lastRowLastColumn="0"/>
              <w:rPr>
                <w:b/>
                <w:bCs/>
              </w:rPr>
            </w:pPr>
            <w:r>
              <w:t>The proposed evidence to support this (for example, monitoring).</w:t>
            </w:r>
          </w:p>
          <w:p w14:paraId="1D5C9517" w14:textId="77777777" w:rsidR="006868E0" w:rsidRDefault="006868E0" w:rsidP="006868E0">
            <w:pPr>
              <w:cnfStyle w:val="000000000000" w:firstRow="0" w:lastRow="0" w:firstColumn="0" w:lastColumn="0" w:oddVBand="0" w:evenVBand="0" w:oddHBand="0" w:evenHBand="0" w:firstRowFirstColumn="0" w:firstRowLastColumn="0" w:lastRowFirstColumn="0" w:lastRowLastColumn="0"/>
            </w:pPr>
            <w:r>
              <w:rPr>
                <w:b/>
                <w:bCs/>
              </w:rPr>
              <w:t>Environmental i</w:t>
            </w:r>
            <w:r w:rsidRPr="002E4576">
              <w:rPr>
                <w:b/>
                <w:bCs/>
              </w:rPr>
              <w:t>mpact</w:t>
            </w:r>
            <w:r>
              <w:rPr>
                <w:b/>
                <w:bCs/>
              </w:rPr>
              <w:t>s</w:t>
            </w:r>
            <w:r w:rsidRPr="002E4576">
              <w:rPr>
                <w:b/>
                <w:bCs/>
              </w:rPr>
              <w:t xml:space="preserve"> </w:t>
            </w:r>
          </w:p>
          <w:p w14:paraId="03D049FB" w14:textId="77777777" w:rsidR="006868E0" w:rsidRDefault="17140113" w:rsidP="006868E0">
            <w:pPr>
              <w:cnfStyle w:val="000000000000" w:firstRow="0" w:lastRow="0" w:firstColumn="0" w:lastColumn="0" w:oddVBand="0" w:evenVBand="0" w:oddHBand="0" w:evenHBand="0" w:firstRowFirstColumn="0" w:firstRowLastColumn="0" w:lastRowFirstColumn="0" w:lastRowLastColumn="0"/>
            </w:pPr>
            <w:r>
              <w:t>Potential impacts the property or infrastructure may have on the environment, including marine ecosystems and their social, economic and cultural features. This must take a precautionary approach and consider direct, indirect and facilitated impacts</w:t>
            </w:r>
            <w:r w:rsidR="006868E0" w:rsidRPr="7DEA62DA">
              <w:rPr>
                <w:rStyle w:val="FootnoteReference"/>
              </w:rPr>
              <w:footnoteReference w:id="7"/>
            </w:r>
            <w:r>
              <w:t xml:space="preserve"> on the environment. The property or infrastructure should not have a detrimental impact on the environment now or in the future.</w:t>
            </w:r>
          </w:p>
          <w:p w14:paraId="68B2E59E" w14:textId="77777777" w:rsidR="006868E0" w:rsidRDefault="006868E0" w:rsidP="006868E0">
            <w:pPr>
              <w:cnfStyle w:val="000000000000" w:firstRow="0" w:lastRow="0" w:firstColumn="0" w:lastColumn="0" w:oddVBand="0" w:evenVBand="0" w:oddHBand="0" w:evenHBand="0" w:firstRowFirstColumn="0" w:firstRowLastColumn="0" w:lastRowFirstColumn="0" w:lastRowLastColumn="0"/>
            </w:pPr>
            <w:r>
              <w:t>Outcomes of consultation with the marine parks authority if the action interacts with marine parks.</w:t>
            </w:r>
          </w:p>
          <w:p w14:paraId="321FCA85" w14:textId="77777777" w:rsidR="006868E0" w:rsidRDefault="006868E0" w:rsidP="006868E0">
            <w:pPr>
              <w:cnfStyle w:val="000000000000" w:firstRow="0" w:lastRow="0" w:firstColumn="0" w:lastColumn="0" w:oddVBand="0" w:evenVBand="0" w:oddHBand="0" w:evenHBand="0" w:firstRowFirstColumn="0" w:firstRowLastColumn="0" w:lastRowFirstColumn="0" w:lastRowLastColumn="0"/>
            </w:pPr>
            <w:r>
              <w:t>Potential significant impacts to matters of national environmental significance under the EPBC Act. For example:</w:t>
            </w:r>
          </w:p>
          <w:p w14:paraId="08A92E48" w14:textId="77777777" w:rsidR="006868E0" w:rsidRDefault="006868E0" w:rsidP="006868E0">
            <w:pPr>
              <w:pStyle w:val="ListParagraph"/>
              <w:numPr>
                <w:ilvl w:val="0"/>
                <w:numId w:val="24"/>
              </w:numPr>
              <w:spacing w:after="0"/>
              <w:contextualSpacing/>
              <w:cnfStyle w:val="000000000000" w:firstRow="0" w:lastRow="0" w:firstColumn="0" w:lastColumn="0" w:oddVBand="0" w:evenVBand="0" w:oddHBand="0" w:evenHBand="0" w:firstRowFirstColumn="0" w:firstRowLastColumn="0" w:lastRowFirstColumn="0" w:lastRowLastColumn="0"/>
            </w:pPr>
            <w:r>
              <w:t>Commonwealth marine areas</w:t>
            </w:r>
          </w:p>
          <w:p w14:paraId="5D612B17" w14:textId="6D657A6A" w:rsidR="006868E0" w:rsidRPr="00FB30F3" w:rsidRDefault="00427B5B" w:rsidP="006868E0">
            <w:pPr>
              <w:pStyle w:val="ListParagraph"/>
              <w:numPr>
                <w:ilvl w:val="0"/>
                <w:numId w:val="24"/>
              </w:numPr>
              <w:spacing w:after="0"/>
              <w:contextualSpacing/>
              <w:cnfStyle w:val="000000000000" w:firstRow="0" w:lastRow="0" w:firstColumn="0" w:lastColumn="0" w:oddVBand="0" w:evenVBand="0" w:oddHBand="0" w:evenHBand="0" w:firstRowFirstColumn="0" w:firstRowLastColumn="0" w:lastRowFirstColumn="0" w:lastRowLastColumn="0"/>
            </w:pPr>
            <w:r>
              <w:t>W</w:t>
            </w:r>
            <w:r w:rsidR="006868E0">
              <w:t>orld and national heritage</w:t>
            </w:r>
          </w:p>
          <w:p w14:paraId="133EC710" w14:textId="77777777" w:rsidR="006868E0" w:rsidRPr="006868E0" w:rsidRDefault="006868E0" w:rsidP="006868E0">
            <w:pPr>
              <w:pStyle w:val="ListParagraph"/>
              <w:numPr>
                <w:ilvl w:val="0"/>
                <w:numId w:val="24"/>
              </w:numPr>
              <w:spacing w:after="0"/>
              <w:contextualSpacing/>
              <w:cnfStyle w:val="000000000000" w:firstRow="0" w:lastRow="0" w:firstColumn="0" w:lastColumn="0" w:oddVBand="0" w:evenVBand="0" w:oddHBand="0" w:evenHBand="0" w:firstRowFirstColumn="0" w:firstRowLastColumn="0" w:lastRowFirstColumn="0" w:lastRowLastColumn="0"/>
              <w:rPr>
                <w:rFonts w:eastAsia="Calibri" w:cstheme="minorHAnsi"/>
              </w:rPr>
            </w:pPr>
            <w:r>
              <w:t>Listed threatened species and ecological communities and migratory species</w:t>
            </w:r>
          </w:p>
          <w:p w14:paraId="5CAB4BD6" w14:textId="11CCEE46" w:rsidR="006868E0" w:rsidRDefault="006868E0" w:rsidP="00DC5EEA">
            <w:pPr>
              <w:pStyle w:val="ListParagraph"/>
              <w:numPr>
                <w:ilvl w:val="0"/>
                <w:numId w:val="24"/>
              </w:numPr>
              <w:ind w:left="714" w:hanging="357"/>
              <w:contextualSpacing/>
              <w:cnfStyle w:val="000000000000" w:firstRow="0" w:lastRow="0" w:firstColumn="0" w:lastColumn="0" w:oddVBand="0" w:evenVBand="0" w:oddHBand="0" w:evenHBand="0" w:firstRowFirstColumn="0" w:firstRowLastColumn="0" w:lastRowFirstColumn="0" w:lastRowLastColumn="0"/>
              <w:rPr>
                <w:rFonts w:eastAsia="Calibri" w:cstheme="minorHAnsi"/>
              </w:rPr>
            </w:pPr>
            <w:r>
              <w:t>Ramsar wetlands</w:t>
            </w:r>
            <w:r w:rsidR="00E83E8B">
              <w:t>.</w:t>
            </w:r>
          </w:p>
        </w:tc>
      </w:tr>
      <w:tr w:rsidR="006868E0" w14:paraId="644D042E" w14:textId="77777777" w:rsidTr="00B7022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5C9A3BF2" w14:textId="47E3962B" w:rsidR="006868E0" w:rsidRDefault="006868E0" w:rsidP="006868E0">
            <w:r w:rsidRPr="00B66A35">
              <w:rPr>
                <w:rFonts w:cstheme="minorHAnsi"/>
              </w:rPr>
              <w:t>Contamination (including radioactive materials)</w:t>
            </w:r>
            <w:r w:rsidR="00E83E8B">
              <w:rPr>
                <w:rFonts w:cstheme="minorHAnsi"/>
              </w:rPr>
              <w:t>.</w:t>
            </w:r>
          </w:p>
        </w:tc>
        <w:tc>
          <w:tcPr>
            <w:tcW w:w="7343" w:type="dxa"/>
          </w:tcPr>
          <w:p w14:paraId="23FA8D0E" w14:textId="77777777" w:rsidR="006868E0" w:rsidRPr="00F40FEE" w:rsidRDefault="006868E0" w:rsidP="006868E0">
            <w:pPr>
              <w:pStyle w:val="ListParagraph"/>
              <w:numPr>
                <w:ilvl w:val="0"/>
                <w:numId w:val="22"/>
              </w:numPr>
              <w:spacing w:before="120"/>
              <w:ind w:left="357" w:hanging="357"/>
              <w:contextualSpacing/>
              <w:cnfStyle w:val="000000100000" w:firstRow="0" w:lastRow="0" w:firstColumn="0" w:lastColumn="0" w:oddVBand="0" w:evenVBand="0" w:oddHBand="1" w:evenHBand="0" w:firstRowFirstColumn="0" w:firstRowLastColumn="0" w:lastRowFirstColumn="0" w:lastRowLastColumn="0"/>
              <w:rPr>
                <w:rFonts w:cstheme="minorHAnsi"/>
              </w:rPr>
            </w:pPr>
            <w:r w:rsidRPr="6C46C732">
              <w:t>Risk of pollution in the marine environment from components of the property and infrastructure</w:t>
            </w:r>
          </w:p>
          <w:p w14:paraId="5E021944" w14:textId="77777777" w:rsidR="006868E0" w:rsidRDefault="006868E0" w:rsidP="006868E0">
            <w:pPr>
              <w:pStyle w:val="ListParagraph"/>
              <w:numPr>
                <w:ilvl w:val="0"/>
                <w:numId w:val="22"/>
              </w:numPr>
              <w:spacing w:before="120"/>
              <w:ind w:left="357" w:hanging="357"/>
              <w:contextualSpacing/>
              <w:cnfStyle w:val="000000100000" w:firstRow="0" w:lastRow="0" w:firstColumn="0" w:lastColumn="0" w:oddVBand="0" w:evenVBand="0" w:oddHBand="1" w:evenHBand="0" w:firstRowFirstColumn="0" w:firstRowLastColumn="0" w:lastRowFirstColumn="0" w:lastRowLastColumn="0"/>
            </w:pPr>
            <w:r w:rsidRPr="6C46C732">
              <w:t>Risk of contaminants and materials being released as the property and infrastructure degrades over time</w:t>
            </w:r>
          </w:p>
          <w:p w14:paraId="119034FA" w14:textId="0669EA70" w:rsidR="006868E0" w:rsidRDefault="006868E0" w:rsidP="006868E0">
            <w:pPr>
              <w:pStyle w:val="ListParagraph"/>
              <w:numPr>
                <w:ilvl w:val="0"/>
                <w:numId w:val="22"/>
              </w:numPr>
              <w:spacing w:before="120"/>
              <w:ind w:left="357" w:hanging="357"/>
              <w:contextualSpacing/>
              <w:cnfStyle w:val="000000100000" w:firstRow="0" w:lastRow="0" w:firstColumn="0" w:lastColumn="0" w:oddVBand="0" w:evenVBand="0" w:oddHBand="1" w:evenHBand="0" w:firstRowFirstColumn="0" w:firstRowLastColumn="0" w:lastRowFirstColumn="0" w:lastRowLastColumn="0"/>
            </w:pPr>
            <w:r>
              <w:t>Contaminants and materials with potential environmental or human health impacts (for example, mercury, mercury compounds and persistent organic pollutants)</w:t>
            </w:r>
            <w:r w:rsidR="00E83E8B">
              <w:t>.</w:t>
            </w:r>
          </w:p>
        </w:tc>
      </w:tr>
      <w:tr w:rsidR="006868E0" w14:paraId="72F9652E" w14:textId="77777777" w:rsidTr="00B70223">
        <w:trPr>
          <w:cantSplit/>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622017BB" w14:textId="3268EEF7" w:rsidR="006868E0" w:rsidDel="00A41AE0" w:rsidRDefault="006868E0" w:rsidP="006868E0">
            <w:pPr>
              <w:rPr>
                <w:rFonts w:cstheme="minorHAnsi"/>
              </w:rPr>
            </w:pPr>
            <w:r>
              <w:rPr>
                <w:rFonts w:cstheme="minorHAnsi"/>
              </w:rPr>
              <w:t>Liability</w:t>
            </w:r>
            <w:r w:rsidR="00E83E8B">
              <w:rPr>
                <w:rFonts w:cstheme="minorHAnsi"/>
              </w:rPr>
              <w:t>.</w:t>
            </w:r>
          </w:p>
        </w:tc>
        <w:tc>
          <w:tcPr>
            <w:tcW w:w="7343" w:type="dxa"/>
          </w:tcPr>
          <w:p w14:paraId="043B535A" w14:textId="790C8E74" w:rsidR="006868E0" w:rsidRPr="670408B8" w:rsidRDefault="006868E0" w:rsidP="006868E0">
            <w:pPr>
              <w:cnfStyle w:val="000000000000" w:firstRow="0" w:lastRow="0" w:firstColumn="0" w:lastColumn="0" w:oddVBand="0" w:evenVBand="0" w:oddHBand="0" w:evenHBand="0" w:firstRowFirstColumn="0" w:firstRowLastColumn="0" w:lastRowFirstColumn="0" w:lastRowLastColumn="0"/>
            </w:pPr>
            <w:r w:rsidRPr="3AB44E74">
              <w:t xml:space="preserve">Long-term liability for any damage or loss because property or infrastructure </w:t>
            </w:r>
            <w:r>
              <w:t xml:space="preserve">has </w:t>
            </w:r>
            <w:r w:rsidRPr="3AB44E74">
              <w:t>not</w:t>
            </w:r>
            <w:r>
              <w:t xml:space="preserve"> been</w:t>
            </w:r>
            <w:r w:rsidRPr="3AB44E74">
              <w:t xml:space="preserve"> removed from the marine environment</w:t>
            </w:r>
            <w:r w:rsidR="00E83E8B">
              <w:t>.</w:t>
            </w:r>
          </w:p>
        </w:tc>
      </w:tr>
      <w:tr w:rsidR="006868E0" w14:paraId="45A57FCB" w14:textId="77777777" w:rsidTr="00B7022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64AB8C78" w14:textId="56E02C5E" w:rsidR="006868E0" w:rsidRDefault="006868E0" w:rsidP="006868E0">
            <w:pPr>
              <w:rPr>
                <w:rFonts w:cstheme="minorHAnsi"/>
              </w:rPr>
            </w:pPr>
            <w:r>
              <w:rPr>
                <w:rFonts w:cstheme="minorHAnsi"/>
              </w:rPr>
              <w:t>Location</w:t>
            </w:r>
            <w:r w:rsidR="005E0743">
              <w:rPr>
                <w:rFonts w:cstheme="minorHAnsi"/>
              </w:rPr>
              <w:t>.</w:t>
            </w:r>
            <w:r>
              <w:rPr>
                <w:rFonts w:cstheme="minorHAnsi"/>
              </w:rPr>
              <w:t xml:space="preserve"> </w:t>
            </w:r>
          </w:p>
        </w:tc>
        <w:tc>
          <w:tcPr>
            <w:tcW w:w="7343" w:type="dxa"/>
          </w:tcPr>
          <w:p w14:paraId="2438D40D" w14:textId="3EFEBC68" w:rsidR="006868E0" w:rsidRDefault="006868E0" w:rsidP="006868E0">
            <w:pPr>
              <w:cnfStyle w:val="000000100000" w:firstRow="0" w:lastRow="0" w:firstColumn="0" w:lastColumn="0" w:oddVBand="0" w:evenVBand="0" w:oddHBand="1" w:evenHBand="0" w:firstRowFirstColumn="0" w:firstRowLastColumn="0" w:lastRowFirstColumn="0" w:lastRowLastColumn="0"/>
            </w:pPr>
            <w:r w:rsidRPr="670408B8">
              <w:t>Locations of</w:t>
            </w:r>
            <w:r w:rsidR="00DA1297">
              <w:t xml:space="preserve"> the</w:t>
            </w:r>
            <w:r w:rsidRPr="670408B8">
              <w:t>:</w:t>
            </w:r>
          </w:p>
          <w:p w14:paraId="332BC540" w14:textId="62AF769E" w:rsidR="006868E0" w:rsidRPr="00FB30F3" w:rsidRDefault="006868E0" w:rsidP="006868E0">
            <w:pPr>
              <w:pStyle w:val="ListParagraph"/>
              <w:numPr>
                <w:ilvl w:val="0"/>
                <w:numId w:val="23"/>
              </w:numPr>
              <w:spacing w:after="0"/>
              <w:contextualSpacing/>
              <w:cnfStyle w:val="000000100000" w:firstRow="0" w:lastRow="0" w:firstColumn="0" w:lastColumn="0" w:oddVBand="0" w:evenVBand="0" w:oddHBand="1" w:evenHBand="0" w:firstRowFirstColumn="0" w:firstRowLastColumn="0" w:lastRowFirstColumn="0" w:lastRowLastColumn="0"/>
            </w:pPr>
            <w:r w:rsidRPr="670408B8">
              <w:t xml:space="preserve">property and infrastructure </w:t>
            </w:r>
          </w:p>
          <w:p w14:paraId="313AE984" w14:textId="00667C18" w:rsidR="006868E0" w:rsidRPr="00FB30F3" w:rsidRDefault="006868E0" w:rsidP="006868E0">
            <w:pPr>
              <w:pStyle w:val="ListParagraph"/>
              <w:numPr>
                <w:ilvl w:val="0"/>
                <w:numId w:val="23"/>
              </w:numPr>
              <w:spacing w:after="0"/>
              <w:contextualSpacing/>
              <w:cnfStyle w:val="000000100000" w:firstRow="0" w:lastRow="0" w:firstColumn="0" w:lastColumn="0" w:oddVBand="0" w:evenVBand="0" w:oddHBand="1" w:evenHBand="0" w:firstRowFirstColumn="0" w:firstRowLastColumn="0" w:lastRowFirstColumn="0" w:lastRowLastColumn="0"/>
            </w:pPr>
            <w:r w:rsidRPr="670408B8">
              <w:t>proposed area where property and infrastructure will be left in the sea.</w:t>
            </w:r>
          </w:p>
          <w:p w14:paraId="3C1D2872" w14:textId="77777777" w:rsidR="006868E0" w:rsidRPr="3AB44E74" w:rsidRDefault="006868E0" w:rsidP="006868E0">
            <w:pPr>
              <w:cnfStyle w:val="000000100000" w:firstRow="0" w:lastRow="0" w:firstColumn="0" w:lastColumn="0" w:oddVBand="0" w:evenVBand="0" w:oddHBand="1" w:evenHBand="0" w:firstRowFirstColumn="0" w:firstRowLastColumn="0" w:lastRowFirstColumn="0" w:lastRowLastColumn="0"/>
            </w:pPr>
            <w:r w:rsidRPr="670408B8">
              <w:t xml:space="preserve">These locations must be considered in relation to any </w:t>
            </w:r>
            <w:r>
              <w:t xml:space="preserve">environmental </w:t>
            </w:r>
            <w:r w:rsidRPr="670408B8">
              <w:t>values or sensitivities</w:t>
            </w:r>
            <w:r>
              <w:t>.</w:t>
            </w:r>
          </w:p>
        </w:tc>
      </w:tr>
      <w:tr w:rsidR="006868E0" w14:paraId="46220F0F" w14:textId="77777777" w:rsidTr="00B70223">
        <w:trPr>
          <w:cantSplit/>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79247B8A" w14:textId="550BAFCF" w:rsidR="006868E0" w:rsidRDefault="006868E0" w:rsidP="006868E0">
            <w:pPr>
              <w:rPr>
                <w:rFonts w:cstheme="minorHAnsi"/>
              </w:rPr>
            </w:pPr>
            <w:r w:rsidRPr="00B66A35">
              <w:rPr>
                <w:rFonts w:cstheme="minorHAnsi"/>
              </w:rPr>
              <w:t>Navigation</w:t>
            </w:r>
            <w:r w:rsidR="005E0743">
              <w:rPr>
                <w:rFonts w:cstheme="minorHAnsi"/>
              </w:rPr>
              <w:t>.</w:t>
            </w:r>
          </w:p>
        </w:tc>
        <w:tc>
          <w:tcPr>
            <w:tcW w:w="7343" w:type="dxa"/>
          </w:tcPr>
          <w:p w14:paraId="07A45373" w14:textId="3DF084DF" w:rsidR="006868E0" w:rsidRPr="7DEA62DA" w:rsidRDefault="006868E0" w:rsidP="006868E0">
            <w:pPr>
              <w:cnfStyle w:val="000000000000" w:firstRow="0" w:lastRow="0" w:firstColumn="0" w:lastColumn="0" w:oddVBand="0" w:evenVBand="0" w:oddHBand="0" w:evenHBand="0" w:firstRowFirstColumn="0" w:firstRowLastColumn="0" w:lastRowFirstColumn="0" w:lastRowLastColumn="0"/>
            </w:pPr>
            <w:r w:rsidRPr="00097AB4">
              <w:rPr>
                <w:rFonts w:cstheme="minorHAnsi"/>
              </w:rPr>
              <w:t>Risks of interference with other users of the sea</w:t>
            </w:r>
            <w:r w:rsidR="00DA1297">
              <w:rPr>
                <w:rFonts w:cstheme="minorHAnsi"/>
              </w:rPr>
              <w:t>.</w:t>
            </w:r>
          </w:p>
        </w:tc>
      </w:tr>
      <w:tr w:rsidR="006868E0" w14:paraId="7D2F5F67" w14:textId="77777777" w:rsidTr="00B7022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23A899B4" w14:textId="5908748A" w:rsidR="006868E0" w:rsidRPr="00B66A35" w:rsidRDefault="006868E0" w:rsidP="006868E0">
            <w:pPr>
              <w:rPr>
                <w:rFonts w:cstheme="minorHAnsi"/>
              </w:rPr>
            </w:pPr>
            <w:r>
              <w:rPr>
                <w:rFonts w:cstheme="minorHAnsi"/>
              </w:rPr>
              <w:t>Potential for reuse</w:t>
            </w:r>
            <w:r w:rsidR="005E0743">
              <w:rPr>
                <w:rFonts w:cstheme="minorHAnsi"/>
              </w:rPr>
              <w:t>.</w:t>
            </w:r>
          </w:p>
        </w:tc>
        <w:tc>
          <w:tcPr>
            <w:tcW w:w="7343" w:type="dxa"/>
          </w:tcPr>
          <w:p w14:paraId="161D4D69" w14:textId="67845FAB" w:rsidR="006868E0" w:rsidRPr="00097AB4" w:rsidRDefault="006868E0" w:rsidP="006868E0">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Feasibility of reusing property and infrastructure for other purposes</w:t>
            </w:r>
            <w:r w:rsidR="00DA1297">
              <w:rPr>
                <w:rFonts w:cstheme="minorHAnsi"/>
              </w:rPr>
              <w:t>.</w:t>
            </w:r>
          </w:p>
        </w:tc>
      </w:tr>
      <w:tr w:rsidR="006868E0" w14:paraId="5CBBD416" w14:textId="77777777" w:rsidTr="00B70223">
        <w:trPr>
          <w:cantSplit/>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15659B" w:themeColor="accent4"/>
            </w:tcBorders>
            <w:shd w:val="clear" w:color="auto" w:fill="auto"/>
          </w:tcPr>
          <w:p w14:paraId="717FA102" w14:textId="64ABC911" w:rsidR="006868E0" w:rsidRPr="00B66A35" w:rsidRDefault="006868E0" w:rsidP="006868E0">
            <w:pPr>
              <w:rPr>
                <w:rFonts w:cstheme="minorHAnsi"/>
              </w:rPr>
            </w:pPr>
            <w:r>
              <w:rPr>
                <w:rFonts w:cstheme="minorHAnsi"/>
              </w:rPr>
              <w:t>Scientific</w:t>
            </w:r>
            <w:r w:rsidR="005E0743">
              <w:rPr>
                <w:rFonts w:cstheme="minorHAnsi"/>
              </w:rPr>
              <w:t>.</w:t>
            </w:r>
          </w:p>
        </w:tc>
        <w:tc>
          <w:tcPr>
            <w:tcW w:w="7343" w:type="dxa"/>
            <w:tcBorders>
              <w:top w:val="single" w:sz="4" w:space="0" w:color="15659B" w:themeColor="accent4"/>
            </w:tcBorders>
          </w:tcPr>
          <w:p w14:paraId="4850BEFD" w14:textId="109DAF15" w:rsidR="006868E0" w:rsidRPr="00097AB4" w:rsidRDefault="006868E0" w:rsidP="006868E0">
            <w:pPr>
              <w:cnfStyle w:val="000000000000" w:firstRow="0" w:lastRow="0" w:firstColumn="0" w:lastColumn="0" w:oddVBand="0" w:evenVBand="0" w:oddHBand="0" w:evenHBand="0" w:firstRowFirstColumn="0" w:firstRowLastColumn="0" w:lastRowFirstColumn="0" w:lastRowLastColumn="0"/>
              <w:rPr>
                <w:rFonts w:cstheme="minorHAnsi"/>
              </w:rPr>
            </w:pPr>
            <w:r>
              <w:t>Scientific or technical evidence supporting the proposed outcomes of leaving the property and infrastructure in the sea</w:t>
            </w:r>
            <w:r w:rsidR="00DA1297">
              <w:t>.</w:t>
            </w:r>
          </w:p>
        </w:tc>
      </w:tr>
      <w:tr w:rsidR="006868E0" w14:paraId="6BD96854" w14:textId="77777777" w:rsidTr="00B7022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2CC44A94" w14:textId="3C83239C" w:rsidR="006868E0" w:rsidRDefault="006868E0" w:rsidP="006868E0">
            <w:pPr>
              <w:rPr>
                <w:rFonts w:cstheme="minorHAnsi"/>
              </w:rPr>
            </w:pPr>
            <w:r w:rsidRPr="00B66A35">
              <w:rPr>
                <w:rFonts w:cstheme="minorHAnsi"/>
              </w:rPr>
              <w:t>Structural stability</w:t>
            </w:r>
            <w:r w:rsidR="005E0743">
              <w:rPr>
                <w:rFonts w:cstheme="minorHAnsi"/>
              </w:rPr>
              <w:t>.</w:t>
            </w:r>
          </w:p>
        </w:tc>
        <w:tc>
          <w:tcPr>
            <w:tcW w:w="7343" w:type="dxa"/>
          </w:tcPr>
          <w:p w14:paraId="016DC98A" w14:textId="49BBF488" w:rsidR="006868E0" w:rsidRDefault="006868E0" w:rsidP="006868E0">
            <w:pPr>
              <w:cnfStyle w:val="000000100000" w:firstRow="0" w:lastRow="0" w:firstColumn="0" w:lastColumn="0" w:oddVBand="0" w:evenVBand="0" w:oddHBand="1" w:evenHBand="0" w:firstRowFirstColumn="0" w:firstRowLastColumn="0" w:lastRowFirstColumn="0" w:lastRowLastColumn="0"/>
            </w:pPr>
            <w:r w:rsidRPr="000D05D9">
              <w:rPr>
                <w:rFonts w:cstheme="minorHAnsi"/>
              </w:rPr>
              <w:t xml:space="preserve">Risk of property or infrastructure </w:t>
            </w:r>
            <w:r>
              <w:rPr>
                <w:rFonts w:cstheme="minorHAnsi"/>
              </w:rPr>
              <w:t xml:space="preserve">movement </w:t>
            </w:r>
            <w:r w:rsidRPr="000D05D9">
              <w:rPr>
                <w:rFonts w:cstheme="minorHAnsi"/>
              </w:rPr>
              <w:t>over time, including during extreme weather events</w:t>
            </w:r>
            <w:r w:rsidR="00DA1297">
              <w:rPr>
                <w:rFonts w:cstheme="minorHAnsi"/>
              </w:rPr>
              <w:t>.</w:t>
            </w:r>
          </w:p>
        </w:tc>
      </w:tr>
      <w:tr w:rsidR="006868E0" w14:paraId="79C2DD43" w14:textId="77777777" w:rsidTr="00B70223">
        <w:trPr>
          <w:cantSplit/>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0E845D60" w14:textId="2BB70430" w:rsidR="006868E0" w:rsidRDefault="006868E0" w:rsidP="006868E0">
            <w:r>
              <w:rPr>
                <w:rFonts w:cstheme="minorHAnsi"/>
              </w:rPr>
              <w:t>Technical</w:t>
            </w:r>
            <w:r w:rsidR="005E0743">
              <w:rPr>
                <w:rFonts w:cstheme="minorHAnsi"/>
              </w:rPr>
              <w:t>.</w:t>
            </w:r>
          </w:p>
        </w:tc>
        <w:tc>
          <w:tcPr>
            <w:tcW w:w="7343" w:type="dxa"/>
          </w:tcPr>
          <w:p w14:paraId="06FED876" w14:textId="77777777" w:rsidR="006868E0" w:rsidRDefault="006868E0" w:rsidP="006868E0">
            <w:pPr>
              <w:cnfStyle w:val="000000000000" w:firstRow="0" w:lastRow="0" w:firstColumn="0" w:lastColumn="0" w:oddVBand="0" w:evenVBand="0" w:oddHBand="0" w:evenHBand="0" w:firstRowFirstColumn="0" w:firstRowLastColumn="0" w:lastRowFirstColumn="0" w:lastRowLastColumn="0"/>
            </w:pPr>
            <w:r w:rsidRPr="002A5D38">
              <w:rPr>
                <w:rFonts w:cstheme="minorHAnsi"/>
              </w:rPr>
              <w:t>Technical feasibility of removing the property or infrastructure without unacceptable safety risks or environmental impact.</w:t>
            </w:r>
          </w:p>
        </w:tc>
      </w:tr>
    </w:tbl>
    <w:p w14:paraId="29EB2537" w14:textId="27D6E11F" w:rsidR="004F083F" w:rsidRDefault="2A9174DB" w:rsidP="004F083F">
      <w:pPr>
        <w:spacing w:before="240"/>
      </w:pPr>
      <w:r>
        <w:t xml:space="preserve">Please read section 3.2 </w:t>
      </w:r>
      <w:r w:rsidR="04031FA3">
        <w:t xml:space="preserve">of this guidance </w:t>
      </w:r>
      <w:r>
        <w:t>along with the above considerations. It includes</w:t>
      </w:r>
      <w:r w:rsidR="007913B5">
        <w:t xml:space="preserve"> the</w:t>
      </w:r>
      <w:r>
        <w:t>:</w:t>
      </w:r>
    </w:p>
    <w:p w14:paraId="3CFF7ACF" w14:textId="66631EF0" w:rsidR="004F083F" w:rsidRDefault="004F083F" w:rsidP="004F083F">
      <w:pPr>
        <w:pStyle w:val="ListParagraph"/>
        <w:numPr>
          <w:ilvl w:val="0"/>
          <w:numId w:val="25"/>
        </w:numPr>
        <w:spacing w:before="240" w:after="160" w:line="259" w:lineRule="auto"/>
        <w:contextualSpacing/>
      </w:pPr>
      <w:r>
        <w:t xml:space="preserve">references to </w:t>
      </w:r>
      <w:r w:rsidR="00AF1B36">
        <w:t xml:space="preserve">extra </w:t>
      </w:r>
      <w:r>
        <w:t>guidance material</w:t>
      </w:r>
    </w:p>
    <w:p w14:paraId="30172A25" w14:textId="76B35F62" w:rsidR="004F083F" w:rsidRDefault="004F083F" w:rsidP="004F083F">
      <w:pPr>
        <w:pStyle w:val="ListParagraph"/>
        <w:numPr>
          <w:ilvl w:val="0"/>
          <w:numId w:val="25"/>
        </w:numPr>
        <w:spacing w:before="240" w:after="160" w:line="259" w:lineRule="auto"/>
        <w:contextualSpacing/>
      </w:pPr>
      <w:r>
        <w:t xml:space="preserve">categories and types of property and infrastructure that titleholders may be permitted to leave in the sea. </w:t>
      </w:r>
    </w:p>
    <w:p w14:paraId="63F77F0A" w14:textId="03A6C38B" w:rsidR="0039065C" w:rsidRDefault="004F083F" w:rsidP="00393784">
      <w:r>
        <w:t xml:space="preserve">The titleholder must address any scientific or technical uncertainty around the outcomes of leaving property and infrastructure in the sea. </w:t>
      </w:r>
      <w:r w:rsidR="00036409">
        <w:t xml:space="preserve">Titleholders </w:t>
      </w:r>
      <w:r>
        <w:t>should include how uncertainty will be characterised and addressed. The government will not consider a proposal to leave property and infrastructure in the sea until the titleholder addresses scientific and technical uncertainty.</w:t>
      </w:r>
    </w:p>
    <w:p w14:paraId="3F07E1E3" w14:textId="5899A7A9" w:rsidR="0039065C" w:rsidRDefault="0039065C" w:rsidP="00CA67C8">
      <w:pPr>
        <w:pStyle w:val="Heading3"/>
      </w:pPr>
      <w:bookmarkStart w:id="63" w:name="_Toc165029071"/>
      <w:bookmarkStart w:id="64" w:name="_Toc166848339"/>
      <w:r>
        <w:t>3.1. Consultation</w:t>
      </w:r>
      <w:bookmarkEnd w:id="63"/>
      <w:bookmarkEnd w:id="64"/>
    </w:p>
    <w:p w14:paraId="31C5D7A9" w14:textId="1B76A706" w:rsidR="004F083F" w:rsidRDefault="004F083F" w:rsidP="004F083F">
      <w:r>
        <w:t xml:space="preserve">Offshore oil and gas titleholders </w:t>
      </w:r>
      <w:r w:rsidR="002F495C">
        <w:t>must consult</w:t>
      </w:r>
      <w:r>
        <w:t xml:space="preserve"> when preparing an environment plan and an application for a </w:t>
      </w:r>
      <w:r w:rsidR="00EC604A">
        <w:t>s</w:t>
      </w:r>
      <w:r>
        <w:t xml:space="preserve">ea </w:t>
      </w:r>
      <w:r w:rsidR="00EC604A">
        <w:t>d</w:t>
      </w:r>
      <w:r>
        <w:t xml:space="preserve">umping permit. Under the Environment Regulations, titleholders must consult relevant authorities, persons and organisations (known collectively as relevant persons) when preparing an environment plan. This allows relevant persons to assess any impact the activity may have on their functions, interests or activities. For more information see NOPSEMA’s </w:t>
      </w:r>
      <w:hyperlink r:id="rId22">
        <w:r w:rsidRPr="7DEA62DA">
          <w:rPr>
            <w:rStyle w:val="Hyperlink"/>
            <w:i/>
            <w:iCs/>
          </w:rPr>
          <w:t>Consultation in the course of preparing an environment plan</w:t>
        </w:r>
      </w:hyperlink>
      <w:r>
        <w:t>.</w:t>
      </w:r>
    </w:p>
    <w:p w14:paraId="0DEF3B80" w14:textId="27951FF7" w:rsidR="004F083F" w:rsidRDefault="65427E84" w:rsidP="004F083F">
      <w:r>
        <w:t>Before applying for a sea dumping permit, applicants must consult</w:t>
      </w:r>
      <w:r w:rsidR="6FEEE4D6">
        <w:t xml:space="preserve"> with</w:t>
      </w:r>
      <w:r w:rsidR="50A74D3D">
        <w:t xml:space="preserve"> (including but not limited to)</w:t>
      </w:r>
      <w:r>
        <w:t>:</w:t>
      </w:r>
    </w:p>
    <w:p w14:paraId="2DCA4D75" w14:textId="77777777" w:rsidR="004F083F" w:rsidRDefault="004F083F" w:rsidP="004F083F">
      <w:pPr>
        <w:pStyle w:val="ListParagraph"/>
        <w:numPr>
          <w:ilvl w:val="0"/>
          <w:numId w:val="26"/>
        </w:numPr>
        <w:spacing w:after="160" w:line="259" w:lineRule="auto"/>
        <w:contextualSpacing/>
      </w:pPr>
      <w:r>
        <w:t>relevant advisory bodies and government authorities</w:t>
      </w:r>
    </w:p>
    <w:p w14:paraId="450A3E92" w14:textId="7CF99898" w:rsidR="004F083F" w:rsidRDefault="65427E84" w:rsidP="004F083F">
      <w:pPr>
        <w:pStyle w:val="ListParagraph"/>
        <w:numPr>
          <w:ilvl w:val="0"/>
          <w:numId w:val="26"/>
        </w:numPr>
        <w:spacing w:after="160" w:line="259" w:lineRule="auto"/>
        <w:contextualSpacing/>
      </w:pPr>
      <w:r>
        <w:t>local stakeholders</w:t>
      </w:r>
      <w:r w:rsidR="6028E435">
        <w:t xml:space="preserve"> and First Nations peoples</w:t>
      </w:r>
      <w:r>
        <w:t xml:space="preserve"> who the proposal may affect.</w:t>
      </w:r>
    </w:p>
    <w:p w14:paraId="350F424D" w14:textId="4E047EB3" w:rsidR="004F083F" w:rsidRDefault="004F083F" w:rsidP="004F083F">
      <w:r>
        <w:t xml:space="preserve">When considering decommissioning options, titleholders must consult relevant persons under the OPGGS Act and other marine users for the purposes of a </w:t>
      </w:r>
      <w:r w:rsidR="00EC604A">
        <w:t>s</w:t>
      </w:r>
      <w:r>
        <w:t xml:space="preserve">ea </w:t>
      </w:r>
      <w:r w:rsidR="00EC604A">
        <w:t>d</w:t>
      </w:r>
      <w:r>
        <w:t>umping permit, whose functions, interests or activities may be affected by the activity. The titleholder must assess the merit of any objections and claims through the environmental approval process.</w:t>
      </w:r>
    </w:p>
    <w:p w14:paraId="7A2ACBC2" w14:textId="79307D3C" w:rsidR="0039065C" w:rsidRDefault="004F083F" w:rsidP="00393784">
      <w:r>
        <w:t xml:space="preserve">Titleholders must also consider the impacts that leaving property and infrastructure in the sea may have on relevant persons and stakeholders in the future. </w:t>
      </w:r>
    </w:p>
    <w:p w14:paraId="7A72E713" w14:textId="376531F3" w:rsidR="0039065C" w:rsidRDefault="0039065C" w:rsidP="00CA67C8">
      <w:pPr>
        <w:pStyle w:val="Heading3"/>
      </w:pPr>
      <w:bookmarkStart w:id="65" w:name="_Toc165029072"/>
      <w:bookmarkStart w:id="66" w:name="_Toc166848340"/>
      <w:r>
        <w:t>3.2. Categories of property and infrastructure</w:t>
      </w:r>
      <w:bookmarkEnd w:id="65"/>
      <w:bookmarkEnd w:id="66"/>
      <w:r>
        <w:t xml:space="preserve"> </w:t>
      </w:r>
    </w:p>
    <w:p w14:paraId="13E618E3" w14:textId="1F779FC0" w:rsidR="00941559" w:rsidRDefault="00941559" w:rsidP="00CA67C8">
      <w:pPr>
        <w:pStyle w:val="Heading4"/>
      </w:pPr>
      <w:bookmarkStart w:id="67" w:name="_Toc165029073"/>
      <w:bookmarkStart w:id="68" w:name="_Toc166848341"/>
      <w:r>
        <w:t>3.2.1. Category 1: Property and infrastructure that cannot be left in the sea</w:t>
      </w:r>
      <w:bookmarkEnd w:id="67"/>
      <w:bookmarkEnd w:id="68"/>
      <w:r>
        <w:t xml:space="preserve"> </w:t>
      </w:r>
    </w:p>
    <w:p w14:paraId="3A9F7D7F" w14:textId="697A1C74" w:rsidR="00941559" w:rsidRDefault="00941559" w:rsidP="00941559">
      <w:pPr>
        <w:pStyle w:val="Caption"/>
        <w:keepNext/>
      </w:pPr>
      <w:r>
        <w:t xml:space="preserve">Table </w:t>
      </w:r>
      <w:r>
        <w:rPr>
          <w:noProof/>
        </w:rPr>
        <w:t>2:</w:t>
      </w:r>
      <w:r>
        <w:t xml:space="preserve"> Category 1 items </w:t>
      </w:r>
    </w:p>
    <w:tbl>
      <w:tblPr>
        <w:tblStyle w:val="ListTable3-Accent4"/>
        <w:tblW w:w="0" w:type="auto"/>
        <w:tblLook w:val="04A0" w:firstRow="1" w:lastRow="0" w:firstColumn="1" w:lastColumn="0" w:noHBand="0" w:noVBand="1"/>
        <w:tblCaption w:val="Sample table"/>
        <w:tblDescription w:val="Add text broadly describing the table. You do not need to replicate the whole contents."/>
      </w:tblPr>
      <w:tblGrid>
        <w:gridCol w:w="2689"/>
        <w:gridCol w:w="6237"/>
      </w:tblGrid>
      <w:tr w:rsidR="00941559" w14:paraId="5F6F8680" w14:textId="77777777" w:rsidTr="00CA67C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689" w:type="dxa"/>
          </w:tcPr>
          <w:p w14:paraId="139E41D6" w14:textId="232171FD" w:rsidR="00941559" w:rsidRDefault="00941559" w:rsidP="004C4CBA">
            <w:r>
              <w:t>Property and infrastructure</w:t>
            </w:r>
          </w:p>
        </w:tc>
        <w:tc>
          <w:tcPr>
            <w:tcW w:w="6237" w:type="dxa"/>
          </w:tcPr>
          <w:p w14:paraId="39507A45" w14:textId="6325DBEE" w:rsidR="00941559" w:rsidRDefault="00941559" w:rsidP="004C4CBA">
            <w:pPr>
              <w:cnfStyle w:val="100000000000" w:firstRow="1" w:lastRow="0" w:firstColumn="0" w:lastColumn="0" w:oddVBand="0" w:evenVBand="0" w:oddHBand="0" w:evenHBand="0" w:firstRowFirstColumn="0" w:firstRowLastColumn="0" w:lastRowFirstColumn="0" w:lastRowLastColumn="0"/>
            </w:pPr>
            <w:r>
              <w:t>Rationale for why the property and infrastructure cannot be left in the sea</w:t>
            </w:r>
          </w:p>
        </w:tc>
      </w:tr>
      <w:tr w:rsidR="004F083F" w14:paraId="352713DD" w14:textId="77777777" w:rsidTr="00CA67C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5487C9BF" w14:textId="50A7DEC1" w:rsidR="004F083F" w:rsidRDefault="004F083F" w:rsidP="004F083F">
            <w:r>
              <w:rPr>
                <w:rFonts w:cstheme="minorHAnsi"/>
              </w:rPr>
              <w:t>Floating infrastructure (production storage and offloading units and mooring structures)</w:t>
            </w:r>
            <w:r w:rsidR="005E0743">
              <w:rPr>
                <w:rFonts w:cstheme="minorHAnsi"/>
              </w:rPr>
              <w:t>.</w:t>
            </w:r>
          </w:p>
        </w:tc>
        <w:tc>
          <w:tcPr>
            <w:tcW w:w="6237" w:type="dxa"/>
          </w:tcPr>
          <w:p w14:paraId="4FD45966" w14:textId="77777777" w:rsidR="004F083F" w:rsidRPr="00134A12" w:rsidRDefault="00FA1DDD" w:rsidP="004F083F">
            <w:pPr>
              <w:pStyle w:val="ListParagraph"/>
              <w:numPr>
                <w:ilvl w:val="0"/>
                <w:numId w:val="27"/>
              </w:numPr>
              <w:contextualSpacing/>
              <w:cnfStyle w:val="000000100000" w:firstRow="0" w:lastRow="0" w:firstColumn="0" w:lastColumn="0" w:oddVBand="0" w:evenVBand="0" w:oddHBand="1" w:evenHBand="0" w:firstRowFirstColumn="0" w:firstRowLastColumn="0" w:lastRowFirstColumn="0" w:lastRowLastColumn="0"/>
              <w:rPr>
                <w:rFonts w:eastAsia="Calibri" w:cstheme="minorHAnsi"/>
              </w:rPr>
            </w:pPr>
            <w:hyperlink r:id="rId23" w:history="1">
              <w:r w:rsidR="004F083F" w:rsidRPr="00AE3082">
                <w:rPr>
                  <w:rStyle w:val="Hyperlink"/>
                  <w:rFonts w:eastAsia="Calibri" w:cstheme="minorHAnsi"/>
                </w:rPr>
                <w:t>IMO Resolution A.672(16)</w:t>
              </w:r>
            </w:hyperlink>
            <w:r w:rsidR="004F083F" w:rsidRPr="00134A12">
              <w:rPr>
                <w:rFonts w:eastAsia="Calibri" w:cstheme="minorHAnsi"/>
              </w:rPr>
              <w:t xml:space="preserve"> – Guideline 2.1.1 </w:t>
            </w:r>
          </w:p>
          <w:p w14:paraId="70B18F34" w14:textId="77777777" w:rsidR="004F083F" w:rsidRPr="004F083F" w:rsidRDefault="00FA1DDD" w:rsidP="004F083F">
            <w:pPr>
              <w:pStyle w:val="ListParagraph"/>
              <w:numPr>
                <w:ilvl w:val="0"/>
                <w:numId w:val="27"/>
              </w:numPr>
              <w:contextualSpacing/>
              <w:cnfStyle w:val="000000100000" w:firstRow="0" w:lastRow="0" w:firstColumn="0" w:lastColumn="0" w:oddVBand="0" w:evenVBand="0" w:oddHBand="1" w:evenHBand="0" w:firstRowFirstColumn="0" w:firstRowLastColumn="0" w:lastRowFirstColumn="0" w:lastRowLastColumn="0"/>
            </w:pPr>
            <w:hyperlink r:id="rId24" w:history="1">
              <w:r w:rsidR="004F083F" w:rsidRPr="00AE3082">
                <w:rPr>
                  <w:rStyle w:val="Hyperlink"/>
                  <w:rFonts w:eastAsia="Calibri" w:cstheme="minorHAnsi"/>
                </w:rPr>
                <w:t>IMO Resolution A.672(16)</w:t>
              </w:r>
            </w:hyperlink>
            <w:r w:rsidR="004F083F" w:rsidRPr="00134A12">
              <w:rPr>
                <w:rFonts w:eastAsia="Calibri" w:cstheme="minorHAnsi"/>
              </w:rPr>
              <w:t xml:space="preserve"> – Standard 3.9 </w:t>
            </w:r>
          </w:p>
          <w:p w14:paraId="38555F6B" w14:textId="77777777" w:rsidR="00EB5916" w:rsidRPr="00772B59" w:rsidRDefault="004F083F" w:rsidP="004F083F">
            <w:pPr>
              <w:pStyle w:val="ListParagraph"/>
              <w:numPr>
                <w:ilvl w:val="0"/>
                <w:numId w:val="27"/>
              </w:numPr>
              <w:contextualSpacing/>
              <w:cnfStyle w:val="000000100000" w:firstRow="0" w:lastRow="0" w:firstColumn="0" w:lastColumn="0" w:oddVBand="0" w:evenVBand="0" w:oddHBand="1" w:evenHBand="0" w:firstRowFirstColumn="0" w:firstRowLastColumn="0" w:lastRowFirstColumn="0" w:lastRowLastColumn="0"/>
            </w:pPr>
            <w:r w:rsidRPr="00AE3082">
              <w:rPr>
                <w:rFonts w:eastAsia="Calibri" w:cstheme="minorHAnsi"/>
              </w:rPr>
              <w:t>Revised Specific Guidance for Assessment of Platforms or Other Man-made Structures at Sea (</w:t>
            </w:r>
            <w:hyperlink r:id="rId25" w:history="1">
              <w:r w:rsidRPr="00AE3082">
                <w:rPr>
                  <w:rStyle w:val="Hyperlink"/>
                  <w:rFonts w:eastAsia="Calibri" w:cstheme="minorHAnsi"/>
                </w:rPr>
                <w:t>London Protocol Revised Specific Guidance (RSG)</w:t>
              </w:r>
            </w:hyperlink>
            <w:r w:rsidRPr="00AE3082">
              <w:rPr>
                <w:rFonts w:eastAsia="Calibri" w:cstheme="minorHAnsi"/>
              </w:rPr>
              <w:t xml:space="preserve">) – Guideline 3.8.5.1 </w:t>
            </w:r>
          </w:p>
          <w:p w14:paraId="785377C7" w14:textId="12E6B90A" w:rsidR="004F083F" w:rsidRDefault="00FA1DDD" w:rsidP="004F083F">
            <w:pPr>
              <w:pStyle w:val="ListParagraph"/>
              <w:numPr>
                <w:ilvl w:val="0"/>
                <w:numId w:val="27"/>
              </w:numPr>
              <w:contextualSpacing/>
              <w:cnfStyle w:val="000000100000" w:firstRow="0" w:lastRow="0" w:firstColumn="0" w:lastColumn="0" w:oddVBand="0" w:evenVBand="0" w:oddHBand="1" w:evenHBand="0" w:firstRowFirstColumn="0" w:firstRowLastColumn="0" w:lastRowFirstColumn="0" w:lastRowLastColumn="0"/>
            </w:pPr>
            <w:hyperlink r:id="rId26">
              <w:r w:rsidR="2A9D3A55" w:rsidRPr="579871DE">
                <w:rPr>
                  <w:rStyle w:val="Hyperlink"/>
                  <w:rFonts w:eastAsia="Calibri"/>
                </w:rPr>
                <w:t>London Protocol RSG</w:t>
              </w:r>
            </w:hyperlink>
            <w:r w:rsidR="2A9D3A55" w:rsidRPr="579871DE">
              <w:rPr>
                <w:rFonts w:eastAsia="Calibri"/>
              </w:rPr>
              <w:t xml:space="preserve"> – Guideline 3.8.6.1 </w:t>
            </w:r>
          </w:p>
        </w:tc>
      </w:tr>
      <w:tr w:rsidR="004F083F" w14:paraId="0E7F5852" w14:textId="77777777" w:rsidTr="00CA67C8">
        <w:trPr>
          <w:cantSplit/>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3731E7D1" w14:textId="311195B1" w:rsidR="004F083F" w:rsidRDefault="004F083F" w:rsidP="004F083F">
            <w:r>
              <w:rPr>
                <w:rFonts w:cstheme="minorHAnsi"/>
              </w:rPr>
              <w:t>Topsides of platforms</w:t>
            </w:r>
            <w:r w:rsidR="005E0743">
              <w:rPr>
                <w:rFonts w:cstheme="minorHAnsi"/>
              </w:rPr>
              <w:t>.</w:t>
            </w:r>
          </w:p>
        </w:tc>
        <w:tc>
          <w:tcPr>
            <w:tcW w:w="6237" w:type="dxa"/>
          </w:tcPr>
          <w:p w14:paraId="679B2D68" w14:textId="77777777" w:rsidR="004F083F" w:rsidRPr="004F083F" w:rsidRDefault="00FA1DDD" w:rsidP="004F083F">
            <w:pPr>
              <w:pStyle w:val="ListParagraph"/>
              <w:numPr>
                <w:ilvl w:val="0"/>
                <w:numId w:val="28"/>
              </w:numPr>
              <w:contextualSpacing/>
              <w:cnfStyle w:val="000000000000" w:firstRow="0" w:lastRow="0" w:firstColumn="0" w:lastColumn="0" w:oddVBand="0" w:evenVBand="0" w:oddHBand="0" w:evenHBand="0" w:firstRowFirstColumn="0" w:firstRowLastColumn="0" w:lastRowFirstColumn="0" w:lastRowLastColumn="0"/>
            </w:pPr>
            <w:hyperlink r:id="rId27" w:history="1">
              <w:r w:rsidR="004F083F" w:rsidRPr="00AE3082">
                <w:rPr>
                  <w:rStyle w:val="Hyperlink"/>
                  <w:rFonts w:cstheme="minorHAnsi"/>
                </w:rPr>
                <w:t>IMO Resolution A.672(16)</w:t>
              </w:r>
            </w:hyperlink>
            <w:r w:rsidR="004F083F" w:rsidRPr="00AE3082">
              <w:rPr>
                <w:rFonts w:cstheme="minorHAnsi"/>
              </w:rPr>
              <w:t xml:space="preserve"> – Guideline 2.1.1 </w:t>
            </w:r>
          </w:p>
          <w:p w14:paraId="1097114C" w14:textId="4B506E10" w:rsidR="004F083F" w:rsidRDefault="00FA1DDD" w:rsidP="004F083F">
            <w:pPr>
              <w:pStyle w:val="ListParagraph"/>
              <w:numPr>
                <w:ilvl w:val="0"/>
                <w:numId w:val="28"/>
              </w:numPr>
              <w:contextualSpacing/>
              <w:cnfStyle w:val="000000000000" w:firstRow="0" w:lastRow="0" w:firstColumn="0" w:lastColumn="0" w:oddVBand="0" w:evenVBand="0" w:oddHBand="0" w:evenHBand="0" w:firstRowFirstColumn="0" w:firstRowLastColumn="0" w:lastRowFirstColumn="0" w:lastRowLastColumn="0"/>
            </w:pPr>
            <w:hyperlink r:id="rId28" w:history="1">
              <w:r w:rsidR="004F083F" w:rsidRPr="00AE3082">
                <w:rPr>
                  <w:rStyle w:val="Hyperlink"/>
                  <w:rFonts w:cstheme="minorHAnsi"/>
                </w:rPr>
                <w:t>London Protocol RSG</w:t>
              </w:r>
            </w:hyperlink>
            <w:r w:rsidR="004F083F" w:rsidRPr="00AE3082">
              <w:rPr>
                <w:rFonts w:cstheme="minorHAnsi"/>
              </w:rPr>
              <w:t xml:space="preserve"> – Guideline 3.8.5.1</w:t>
            </w:r>
          </w:p>
        </w:tc>
      </w:tr>
      <w:tr w:rsidR="004F083F" w14:paraId="2C7956C7" w14:textId="77777777" w:rsidTr="00CA67C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466BEEBF" w14:textId="4991DB8E" w:rsidR="004F083F" w:rsidRDefault="004F083F" w:rsidP="004F083F">
            <w:r w:rsidRPr="010CDA7B">
              <w:t>Flexible flowlines, umbilicals, and ancillary items</w:t>
            </w:r>
            <w:r w:rsidR="005E0743">
              <w:t>.</w:t>
            </w:r>
            <w:r w:rsidRPr="010CDA7B">
              <w:t xml:space="preserve"> </w:t>
            </w:r>
          </w:p>
        </w:tc>
        <w:tc>
          <w:tcPr>
            <w:tcW w:w="6237" w:type="dxa"/>
          </w:tcPr>
          <w:p w14:paraId="53CCB5B9" w14:textId="77777777" w:rsidR="004F083F" w:rsidRPr="00AE3082" w:rsidRDefault="00FA1DDD" w:rsidP="004F083F">
            <w:pPr>
              <w:pStyle w:val="ListParagraph"/>
              <w:numPr>
                <w:ilvl w:val="0"/>
                <w:numId w:val="29"/>
              </w:numPr>
              <w:contextualSpacing/>
              <w:cnfStyle w:val="000000100000" w:firstRow="0" w:lastRow="0" w:firstColumn="0" w:lastColumn="0" w:oddVBand="0" w:evenVBand="0" w:oddHBand="1" w:evenHBand="0" w:firstRowFirstColumn="0" w:firstRowLastColumn="0" w:lastRowFirstColumn="0" w:lastRowLastColumn="0"/>
              <w:rPr>
                <w:rFonts w:cstheme="minorHAnsi"/>
              </w:rPr>
            </w:pPr>
            <w:hyperlink r:id="rId29" w:history="1">
              <w:r w:rsidR="004F083F" w:rsidRPr="00AE3082">
                <w:rPr>
                  <w:rStyle w:val="Hyperlink"/>
                  <w:rFonts w:cstheme="minorHAnsi"/>
                </w:rPr>
                <w:t>IMO Resolution A.672(16)</w:t>
              </w:r>
            </w:hyperlink>
            <w:r w:rsidR="004F083F" w:rsidRPr="00AE3082">
              <w:rPr>
                <w:rFonts w:cstheme="minorHAnsi"/>
              </w:rPr>
              <w:t xml:space="preserve"> – Guidelines 2.1.2 </w:t>
            </w:r>
          </w:p>
          <w:p w14:paraId="6F644D4D" w14:textId="0E45901E" w:rsidR="004F083F" w:rsidRPr="00AE3082" w:rsidRDefault="00FA1DDD" w:rsidP="004F083F">
            <w:pPr>
              <w:pStyle w:val="ListParagraph"/>
              <w:numPr>
                <w:ilvl w:val="0"/>
                <w:numId w:val="29"/>
              </w:numPr>
              <w:contextualSpacing/>
              <w:cnfStyle w:val="000000100000" w:firstRow="0" w:lastRow="0" w:firstColumn="0" w:lastColumn="0" w:oddVBand="0" w:evenVBand="0" w:oddHBand="1" w:evenHBand="0" w:firstRowFirstColumn="0" w:firstRowLastColumn="0" w:lastRowFirstColumn="0" w:lastRowLastColumn="0"/>
            </w:pPr>
            <w:hyperlink r:id="rId30">
              <w:r w:rsidR="004F083F" w:rsidRPr="7F615016">
                <w:rPr>
                  <w:rStyle w:val="Hyperlink"/>
                </w:rPr>
                <w:t>IMO Resolution A.672(16)</w:t>
              </w:r>
            </w:hyperlink>
            <w:r w:rsidR="004F083F">
              <w:t xml:space="preserve"> – Standard 3.1 and 3.2</w:t>
            </w:r>
          </w:p>
          <w:p w14:paraId="060484E8" w14:textId="2AA98E55" w:rsidR="004F083F" w:rsidRPr="004F083F" w:rsidRDefault="00FA1DDD" w:rsidP="004F083F">
            <w:pPr>
              <w:pStyle w:val="ListParagraph"/>
              <w:numPr>
                <w:ilvl w:val="0"/>
                <w:numId w:val="29"/>
              </w:numPr>
              <w:contextualSpacing/>
              <w:cnfStyle w:val="000000100000" w:firstRow="0" w:lastRow="0" w:firstColumn="0" w:lastColumn="0" w:oddVBand="0" w:evenVBand="0" w:oddHBand="1" w:evenHBand="0" w:firstRowFirstColumn="0" w:firstRowLastColumn="0" w:lastRowFirstColumn="0" w:lastRowLastColumn="0"/>
            </w:pPr>
            <w:hyperlink r:id="rId31" w:history="1">
              <w:r w:rsidR="2A9174DB" w:rsidRPr="6C46C732">
                <w:rPr>
                  <w:rStyle w:val="Hyperlink"/>
                </w:rPr>
                <w:t>Threat Abatement Plan for the impacts of marine debris on the vertebrate wildlife of Australia’s coasts and oceans (2018)</w:t>
              </w:r>
            </w:hyperlink>
          </w:p>
          <w:p w14:paraId="35B2EEA1" w14:textId="7FE4C272" w:rsidR="004F083F" w:rsidRDefault="00FA1DDD" w:rsidP="004F083F">
            <w:pPr>
              <w:pStyle w:val="ListParagraph"/>
              <w:numPr>
                <w:ilvl w:val="0"/>
                <w:numId w:val="29"/>
              </w:numPr>
              <w:contextualSpacing/>
              <w:cnfStyle w:val="000000100000" w:firstRow="0" w:lastRow="0" w:firstColumn="0" w:lastColumn="0" w:oddVBand="0" w:evenVBand="0" w:oddHBand="1" w:evenHBand="0" w:firstRowFirstColumn="0" w:firstRowLastColumn="0" w:lastRowFirstColumn="0" w:lastRowLastColumn="0"/>
            </w:pPr>
            <w:hyperlink r:id="rId32" w:history="1">
              <w:r w:rsidR="004F083F" w:rsidRPr="00AE3082">
                <w:rPr>
                  <w:rStyle w:val="Hyperlink"/>
                  <w:rFonts w:cstheme="minorHAnsi"/>
                </w:rPr>
                <w:t>London Protocol RSG</w:t>
              </w:r>
            </w:hyperlink>
          </w:p>
        </w:tc>
      </w:tr>
      <w:tr w:rsidR="004F083F" w14:paraId="34E33819" w14:textId="77777777" w:rsidTr="00CA67C8">
        <w:trPr>
          <w:cantSplit/>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4602E44A" w14:textId="1332448C" w:rsidR="004F083F" w:rsidRDefault="004F083F" w:rsidP="1A0FFD9F">
            <w:r w:rsidRPr="010CDA7B">
              <w:t>Anything that is buoyant at the sea surface (for example, buoyant mooring structures or mid-water depth buoys)</w:t>
            </w:r>
            <w:r w:rsidR="005E0743">
              <w:t>.</w:t>
            </w:r>
          </w:p>
        </w:tc>
        <w:tc>
          <w:tcPr>
            <w:tcW w:w="6237" w:type="dxa"/>
          </w:tcPr>
          <w:p w14:paraId="31870E1C" w14:textId="77777777" w:rsidR="004F083F" w:rsidRPr="00AE3082" w:rsidRDefault="00FA1DDD" w:rsidP="004F083F">
            <w:pPr>
              <w:pStyle w:val="ListParagraph"/>
              <w:numPr>
                <w:ilvl w:val="0"/>
                <w:numId w:val="30"/>
              </w:numPr>
              <w:contextualSpacing/>
              <w:cnfStyle w:val="000000000000" w:firstRow="0" w:lastRow="0" w:firstColumn="0" w:lastColumn="0" w:oddVBand="0" w:evenVBand="0" w:oddHBand="0" w:evenHBand="0" w:firstRowFirstColumn="0" w:firstRowLastColumn="0" w:lastRowFirstColumn="0" w:lastRowLastColumn="0"/>
              <w:rPr>
                <w:rFonts w:cstheme="minorHAnsi"/>
              </w:rPr>
            </w:pPr>
            <w:hyperlink r:id="rId33" w:history="1">
              <w:r w:rsidR="004F083F" w:rsidRPr="00AE3082">
                <w:rPr>
                  <w:rStyle w:val="Hyperlink"/>
                  <w:rFonts w:cstheme="minorHAnsi"/>
                </w:rPr>
                <w:t>IMO Resolution A.672(16)</w:t>
              </w:r>
            </w:hyperlink>
            <w:r w:rsidR="004F083F" w:rsidRPr="00AE3082">
              <w:rPr>
                <w:rFonts w:cstheme="minorHAnsi"/>
              </w:rPr>
              <w:t xml:space="preserve"> – Guideline 2.1.1</w:t>
            </w:r>
          </w:p>
          <w:p w14:paraId="28646252" w14:textId="77777777" w:rsidR="004F083F" w:rsidRPr="004F083F" w:rsidRDefault="00FA1DDD" w:rsidP="004F083F">
            <w:pPr>
              <w:pStyle w:val="ListParagraph"/>
              <w:numPr>
                <w:ilvl w:val="0"/>
                <w:numId w:val="30"/>
              </w:numPr>
              <w:contextualSpacing/>
              <w:cnfStyle w:val="000000000000" w:firstRow="0" w:lastRow="0" w:firstColumn="0" w:lastColumn="0" w:oddVBand="0" w:evenVBand="0" w:oddHBand="0" w:evenHBand="0" w:firstRowFirstColumn="0" w:firstRowLastColumn="0" w:lastRowFirstColumn="0" w:lastRowLastColumn="0"/>
            </w:pPr>
            <w:hyperlink r:id="rId34" w:history="1">
              <w:r w:rsidR="004F083F" w:rsidRPr="00AE3082">
                <w:rPr>
                  <w:rStyle w:val="Hyperlink"/>
                  <w:rFonts w:cstheme="minorHAnsi"/>
                </w:rPr>
                <w:t>IMO Resolution A.672(16)</w:t>
              </w:r>
            </w:hyperlink>
            <w:r w:rsidR="004F083F" w:rsidRPr="00AE3082">
              <w:rPr>
                <w:rFonts w:cstheme="minorHAnsi"/>
              </w:rPr>
              <w:t xml:space="preserve"> – Standard 3.9</w:t>
            </w:r>
          </w:p>
          <w:p w14:paraId="77FCB61C" w14:textId="4CB07424" w:rsidR="004F083F" w:rsidRDefault="00FA1DDD" w:rsidP="004F083F">
            <w:pPr>
              <w:pStyle w:val="ListParagraph"/>
              <w:numPr>
                <w:ilvl w:val="0"/>
                <w:numId w:val="30"/>
              </w:numPr>
              <w:contextualSpacing/>
              <w:cnfStyle w:val="000000000000" w:firstRow="0" w:lastRow="0" w:firstColumn="0" w:lastColumn="0" w:oddVBand="0" w:evenVBand="0" w:oddHBand="0" w:evenHBand="0" w:firstRowFirstColumn="0" w:firstRowLastColumn="0" w:lastRowFirstColumn="0" w:lastRowLastColumn="0"/>
            </w:pPr>
            <w:hyperlink r:id="rId35" w:history="1">
              <w:r w:rsidR="004F083F" w:rsidRPr="00AE3082">
                <w:rPr>
                  <w:rStyle w:val="Hyperlink"/>
                  <w:rFonts w:cstheme="minorHAnsi"/>
                </w:rPr>
                <w:t>London Protocol RSG</w:t>
              </w:r>
            </w:hyperlink>
          </w:p>
        </w:tc>
      </w:tr>
      <w:tr w:rsidR="004F083F" w14:paraId="7639B5AB" w14:textId="77777777" w:rsidTr="00CA67C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0BEBEE87" w14:textId="584FD7DF" w:rsidR="004F083F" w:rsidRDefault="004F083F" w:rsidP="004F083F">
            <w:r>
              <w:rPr>
                <w:rFonts w:cstheme="minorHAnsi"/>
              </w:rPr>
              <w:t>Anything that is structurally unstable or at risk of shifting in the future</w:t>
            </w:r>
            <w:r w:rsidR="005E0743">
              <w:rPr>
                <w:rFonts w:cstheme="minorHAnsi"/>
              </w:rPr>
              <w:t>.</w:t>
            </w:r>
          </w:p>
        </w:tc>
        <w:tc>
          <w:tcPr>
            <w:tcW w:w="6237" w:type="dxa"/>
          </w:tcPr>
          <w:p w14:paraId="227FDD11" w14:textId="77777777" w:rsidR="004F083F" w:rsidRPr="00AE3082" w:rsidRDefault="00FA1DDD" w:rsidP="004F083F">
            <w:pPr>
              <w:pStyle w:val="ListParagraph"/>
              <w:numPr>
                <w:ilvl w:val="0"/>
                <w:numId w:val="31"/>
              </w:numPr>
              <w:contextualSpacing/>
              <w:cnfStyle w:val="000000100000" w:firstRow="0" w:lastRow="0" w:firstColumn="0" w:lastColumn="0" w:oddVBand="0" w:evenVBand="0" w:oddHBand="1" w:evenHBand="0" w:firstRowFirstColumn="0" w:firstRowLastColumn="0" w:lastRowFirstColumn="0" w:lastRowLastColumn="0"/>
              <w:rPr>
                <w:rFonts w:cstheme="minorHAnsi"/>
              </w:rPr>
            </w:pPr>
            <w:hyperlink r:id="rId36" w:history="1">
              <w:r w:rsidR="004F083F" w:rsidRPr="00AE3082">
                <w:rPr>
                  <w:rStyle w:val="Hyperlink"/>
                  <w:rFonts w:cstheme="minorHAnsi"/>
                </w:rPr>
                <w:t>IMO Resolution A.672(16)</w:t>
              </w:r>
            </w:hyperlink>
            <w:r w:rsidR="004F083F" w:rsidRPr="00AE3082">
              <w:rPr>
                <w:rFonts w:cstheme="minorHAnsi"/>
              </w:rPr>
              <w:t xml:space="preserve"> – Guideline 2.1.4</w:t>
            </w:r>
          </w:p>
          <w:p w14:paraId="7044FC2D" w14:textId="77777777" w:rsidR="004F083F" w:rsidRPr="004F083F" w:rsidRDefault="00FA1DDD" w:rsidP="004F083F">
            <w:pPr>
              <w:pStyle w:val="ListParagraph"/>
              <w:numPr>
                <w:ilvl w:val="0"/>
                <w:numId w:val="31"/>
              </w:numPr>
              <w:contextualSpacing/>
              <w:cnfStyle w:val="000000100000" w:firstRow="0" w:lastRow="0" w:firstColumn="0" w:lastColumn="0" w:oddVBand="0" w:evenVBand="0" w:oddHBand="1" w:evenHBand="0" w:firstRowFirstColumn="0" w:firstRowLastColumn="0" w:lastRowFirstColumn="0" w:lastRowLastColumn="0"/>
            </w:pPr>
            <w:hyperlink r:id="rId37" w:history="1">
              <w:r w:rsidR="004F083F" w:rsidRPr="00AE3082">
                <w:rPr>
                  <w:rStyle w:val="Hyperlink"/>
                  <w:rFonts w:cstheme="minorHAnsi"/>
                </w:rPr>
                <w:t>IMO Resolution A.672(16)</w:t>
              </w:r>
            </w:hyperlink>
            <w:r w:rsidR="004F083F" w:rsidRPr="00AE3082">
              <w:rPr>
                <w:rFonts w:cstheme="minorHAnsi"/>
              </w:rPr>
              <w:t xml:space="preserve"> – Standard 3.9 </w:t>
            </w:r>
          </w:p>
          <w:p w14:paraId="752A638B" w14:textId="4E8570CB" w:rsidR="004F083F" w:rsidRDefault="00FA1DDD" w:rsidP="004F083F">
            <w:pPr>
              <w:pStyle w:val="ListParagraph"/>
              <w:numPr>
                <w:ilvl w:val="0"/>
                <w:numId w:val="31"/>
              </w:numPr>
              <w:contextualSpacing/>
              <w:cnfStyle w:val="000000100000" w:firstRow="0" w:lastRow="0" w:firstColumn="0" w:lastColumn="0" w:oddVBand="0" w:evenVBand="0" w:oddHBand="1" w:evenHBand="0" w:firstRowFirstColumn="0" w:firstRowLastColumn="0" w:lastRowFirstColumn="0" w:lastRowLastColumn="0"/>
            </w:pPr>
            <w:hyperlink r:id="rId38" w:history="1">
              <w:r w:rsidR="004F083F" w:rsidRPr="00AE3082">
                <w:rPr>
                  <w:rStyle w:val="Hyperlink"/>
                  <w:rFonts w:cstheme="minorHAnsi"/>
                </w:rPr>
                <w:t>London Protocol RSG</w:t>
              </w:r>
            </w:hyperlink>
          </w:p>
        </w:tc>
      </w:tr>
      <w:tr w:rsidR="004F083F" w14:paraId="39A03C3F" w14:textId="77777777" w:rsidTr="00CA67C8">
        <w:trPr>
          <w:cantSplit/>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1EFB49CC" w14:textId="34268A72" w:rsidR="004F083F" w:rsidRDefault="004F083F" w:rsidP="004F083F">
            <w:r>
              <w:rPr>
                <w:rFonts w:cstheme="minorHAnsi"/>
              </w:rPr>
              <w:t>Anything that interferes with freedom of navigation</w:t>
            </w:r>
            <w:r w:rsidR="005E0743">
              <w:rPr>
                <w:rFonts w:cstheme="minorHAnsi"/>
              </w:rPr>
              <w:t>.</w:t>
            </w:r>
          </w:p>
        </w:tc>
        <w:tc>
          <w:tcPr>
            <w:tcW w:w="6237" w:type="dxa"/>
          </w:tcPr>
          <w:p w14:paraId="3CC33267" w14:textId="77777777" w:rsidR="004F083F" w:rsidRPr="00AE3082" w:rsidRDefault="00FA1DDD" w:rsidP="004F083F">
            <w:pPr>
              <w:pStyle w:val="ListParagraph"/>
              <w:numPr>
                <w:ilvl w:val="0"/>
                <w:numId w:val="32"/>
              </w:numPr>
              <w:contextualSpacing/>
              <w:cnfStyle w:val="000000000000" w:firstRow="0" w:lastRow="0" w:firstColumn="0" w:lastColumn="0" w:oddVBand="0" w:evenVBand="0" w:oddHBand="0" w:evenHBand="0" w:firstRowFirstColumn="0" w:firstRowLastColumn="0" w:lastRowFirstColumn="0" w:lastRowLastColumn="0"/>
              <w:rPr>
                <w:rFonts w:cstheme="minorHAnsi"/>
              </w:rPr>
            </w:pPr>
            <w:hyperlink r:id="rId39" w:history="1">
              <w:r w:rsidR="004F083F" w:rsidRPr="00AE3082">
                <w:rPr>
                  <w:rStyle w:val="Hyperlink"/>
                  <w:rFonts w:cstheme="minorHAnsi"/>
                </w:rPr>
                <w:t>IMO Resolution A.672(16)</w:t>
              </w:r>
            </w:hyperlink>
            <w:r w:rsidR="004F083F" w:rsidRPr="00AE3082">
              <w:rPr>
                <w:rFonts w:cstheme="minorHAnsi"/>
              </w:rPr>
              <w:t xml:space="preserve"> – Guidelines 2.1.1 and 2.2</w:t>
            </w:r>
          </w:p>
          <w:p w14:paraId="27716BD7" w14:textId="77777777" w:rsidR="004F083F" w:rsidRPr="00AE3082" w:rsidRDefault="00FA1DDD" w:rsidP="004F083F">
            <w:pPr>
              <w:pStyle w:val="ListParagraph"/>
              <w:numPr>
                <w:ilvl w:val="0"/>
                <w:numId w:val="32"/>
              </w:numPr>
              <w:contextualSpacing/>
              <w:cnfStyle w:val="000000000000" w:firstRow="0" w:lastRow="0" w:firstColumn="0" w:lastColumn="0" w:oddVBand="0" w:evenVBand="0" w:oddHBand="0" w:evenHBand="0" w:firstRowFirstColumn="0" w:firstRowLastColumn="0" w:lastRowFirstColumn="0" w:lastRowLastColumn="0"/>
            </w:pPr>
            <w:hyperlink r:id="rId40" w:history="1">
              <w:r w:rsidR="004F083F" w:rsidRPr="670408B8">
                <w:rPr>
                  <w:rStyle w:val="Hyperlink"/>
                </w:rPr>
                <w:t>IMO Resolution A.672(16)</w:t>
              </w:r>
            </w:hyperlink>
            <w:r w:rsidR="004F083F" w:rsidRPr="670408B8">
              <w:t xml:space="preserve"> – Standard 3.6 and Standard 3.7 </w:t>
            </w:r>
          </w:p>
          <w:p w14:paraId="7A4DE9A6" w14:textId="77777777" w:rsidR="004F083F" w:rsidRPr="004F083F" w:rsidRDefault="00FA1DDD" w:rsidP="004F083F">
            <w:pPr>
              <w:pStyle w:val="ListParagraph"/>
              <w:numPr>
                <w:ilvl w:val="0"/>
                <w:numId w:val="32"/>
              </w:numPr>
              <w:contextualSpacing/>
              <w:cnfStyle w:val="000000000000" w:firstRow="0" w:lastRow="0" w:firstColumn="0" w:lastColumn="0" w:oddVBand="0" w:evenVBand="0" w:oddHBand="0" w:evenHBand="0" w:firstRowFirstColumn="0" w:firstRowLastColumn="0" w:lastRowFirstColumn="0" w:lastRowLastColumn="0"/>
            </w:pPr>
            <w:hyperlink r:id="rId41" w:history="1">
              <w:r w:rsidR="004F083F" w:rsidRPr="00AE3082">
                <w:rPr>
                  <w:rStyle w:val="Hyperlink"/>
                  <w:rFonts w:cstheme="minorHAnsi"/>
                </w:rPr>
                <w:t>London Protocol RSG</w:t>
              </w:r>
            </w:hyperlink>
            <w:r w:rsidR="004F083F" w:rsidRPr="00AE3082">
              <w:rPr>
                <w:rFonts w:cstheme="minorHAnsi"/>
              </w:rPr>
              <w:t xml:space="preserve"> – Guideline 3.8.5.1</w:t>
            </w:r>
          </w:p>
          <w:p w14:paraId="294AE782" w14:textId="2F6CC1A7" w:rsidR="004F083F" w:rsidRDefault="00FA1DDD" w:rsidP="004F083F">
            <w:pPr>
              <w:pStyle w:val="ListParagraph"/>
              <w:numPr>
                <w:ilvl w:val="0"/>
                <w:numId w:val="32"/>
              </w:numPr>
              <w:contextualSpacing/>
              <w:cnfStyle w:val="000000000000" w:firstRow="0" w:lastRow="0" w:firstColumn="0" w:lastColumn="0" w:oddVBand="0" w:evenVBand="0" w:oddHBand="0" w:evenHBand="0" w:firstRowFirstColumn="0" w:firstRowLastColumn="0" w:lastRowFirstColumn="0" w:lastRowLastColumn="0"/>
            </w:pPr>
            <w:hyperlink r:id="rId42" w:history="1">
              <w:r w:rsidR="004F083F" w:rsidRPr="00AE3082">
                <w:rPr>
                  <w:rStyle w:val="Hyperlink"/>
                  <w:rFonts w:cstheme="minorHAnsi"/>
                </w:rPr>
                <w:t>London Protocol RSG</w:t>
              </w:r>
            </w:hyperlink>
            <w:r w:rsidR="004F083F" w:rsidRPr="00AE3082">
              <w:rPr>
                <w:rFonts w:cstheme="minorHAnsi"/>
              </w:rPr>
              <w:t xml:space="preserve"> – Guideline 6.6</w:t>
            </w:r>
          </w:p>
        </w:tc>
      </w:tr>
      <w:tr w:rsidR="004F083F" w14:paraId="1A2AC998" w14:textId="77777777" w:rsidTr="00CA67C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53340471" w14:textId="495450E8" w:rsidR="004F083F" w:rsidRDefault="2A9174DB" w:rsidP="004F083F">
            <w:r>
              <w:t xml:space="preserve">Anything containing or releasing unacceptable concentrations of contaminants </w:t>
            </w:r>
            <w:r w:rsidR="7C841577">
              <w:t xml:space="preserve">and materials </w:t>
            </w:r>
            <w:r>
              <w:t>to the environment</w:t>
            </w:r>
            <w:r w:rsidR="005E0743">
              <w:t>.</w:t>
            </w:r>
          </w:p>
        </w:tc>
        <w:tc>
          <w:tcPr>
            <w:tcW w:w="6237" w:type="dxa"/>
          </w:tcPr>
          <w:p w14:paraId="7CF3090A" w14:textId="77777777" w:rsidR="004F083F" w:rsidRPr="001D2755" w:rsidRDefault="00FA1DDD" w:rsidP="004F083F">
            <w:pPr>
              <w:pStyle w:val="ListParagraph"/>
              <w:numPr>
                <w:ilvl w:val="0"/>
                <w:numId w:val="33"/>
              </w:numPr>
              <w:contextualSpacing/>
              <w:cnfStyle w:val="000000100000" w:firstRow="0" w:lastRow="0" w:firstColumn="0" w:lastColumn="0" w:oddVBand="0" w:evenVBand="0" w:oddHBand="1" w:evenHBand="0" w:firstRowFirstColumn="0" w:firstRowLastColumn="0" w:lastRowFirstColumn="0" w:lastRowLastColumn="0"/>
              <w:rPr>
                <w:rFonts w:cstheme="minorHAnsi"/>
              </w:rPr>
            </w:pPr>
            <w:hyperlink r:id="rId43" w:history="1">
              <w:r w:rsidR="004F083F" w:rsidRPr="001D2755">
                <w:rPr>
                  <w:rStyle w:val="Hyperlink"/>
                  <w:rFonts w:cstheme="minorHAnsi"/>
                </w:rPr>
                <w:t>IMO Resolution A.672(16)</w:t>
              </w:r>
            </w:hyperlink>
            <w:r w:rsidR="004F083F" w:rsidRPr="001D2755">
              <w:rPr>
                <w:rFonts w:cstheme="minorHAnsi"/>
              </w:rPr>
              <w:t xml:space="preserve"> – Guidelines 2.1.2 and 2.3</w:t>
            </w:r>
          </w:p>
          <w:p w14:paraId="12AEBB9F" w14:textId="77777777" w:rsidR="004F083F" w:rsidRPr="001D2755" w:rsidRDefault="00FA1DDD" w:rsidP="004F083F">
            <w:pPr>
              <w:pStyle w:val="ListParagraph"/>
              <w:numPr>
                <w:ilvl w:val="0"/>
                <w:numId w:val="33"/>
              </w:numPr>
              <w:contextualSpacing/>
              <w:cnfStyle w:val="000000100000" w:firstRow="0" w:lastRow="0" w:firstColumn="0" w:lastColumn="0" w:oddVBand="0" w:evenVBand="0" w:oddHBand="1" w:evenHBand="0" w:firstRowFirstColumn="0" w:firstRowLastColumn="0" w:lastRowFirstColumn="0" w:lastRowLastColumn="0"/>
              <w:rPr>
                <w:rFonts w:cstheme="minorHAnsi"/>
              </w:rPr>
            </w:pPr>
            <w:hyperlink r:id="rId44" w:history="1">
              <w:r w:rsidR="004F083F" w:rsidRPr="001D2755">
                <w:rPr>
                  <w:rStyle w:val="Hyperlink"/>
                  <w:rFonts w:cstheme="minorHAnsi"/>
                </w:rPr>
                <w:t>London Protocol Annex 2</w:t>
              </w:r>
            </w:hyperlink>
            <w:r w:rsidR="004F083F" w:rsidRPr="001D2755">
              <w:rPr>
                <w:rFonts w:cstheme="minorHAnsi"/>
              </w:rPr>
              <w:t xml:space="preserve"> – Paragraphs 7 &amp; 8</w:t>
            </w:r>
          </w:p>
          <w:p w14:paraId="54608752" w14:textId="77777777" w:rsidR="004F083F" w:rsidRPr="001D2755" w:rsidRDefault="00FA1DDD" w:rsidP="004F083F">
            <w:pPr>
              <w:pStyle w:val="ListParagraph"/>
              <w:numPr>
                <w:ilvl w:val="0"/>
                <w:numId w:val="33"/>
              </w:numPr>
              <w:contextualSpacing/>
              <w:cnfStyle w:val="000000100000" w:firstRow="0" w:lastRow="0" w:firstColumn="0" w:lastColumn="0" w:oddVBand="0" w:evenVBand="0" w:oddHBand="1" w:evenHBand="0" w:firstRowFirstColumn="0" w:firstRowLastColumn="0" w:lastRowFirstColumn="0" w:lastRowLastColumn="0"/>
              <w:rPr>
                <w:rFonts w:cstheme="minorHAnsi"/>
              </w:rPr>
            </w:pPr>
            <w:hyperlink r:id="rId45" w:history="1">
              <w:r w:rsidR="004F083F" w:rsidRPr="001D2755">
                <w:rPr>
                  <w:rStyle w:val="Hyperlink"/>
                  <w:rFonts w:cstheme="minorHAnsi"/>
                </w:rPr>
                <w:t>London Protocol RSG</w:t>
              </w:r>
            </w:hyperlink>
            <w:r w:rsidR="004F083F" w:rsidRPr="001D2755">
              <w:rPr>
                <w:rFonts w:cstheme="minorHAnsi"/>
              </w:rPr>
              <w:t xml:space="preserve"> – Guideline 5.1</w:t>
            </w:r>
          </w:p>
          <w:p w14:paraId="16343659" w14:textId="77777777" w:rsidR="004F083F" w:rsidRPr="001D2755" w:rsidRDefault="00FA1DDD" w:rsidP="004F083F">
            <w:pPr>
              <w:pStyle w:val="ListParagraph"/>
              <w:numPr>
                <w:ilvl w:val="0"/>
                <w:numId w:val="33"/>
              </w:numPr>
              <w:contextualSpacing/>
              <w:cnfStyle w:val="000000100000" w:firstRow="0" w:lastRow="0" w:firstColumn="0" w:lastColumn="0" w:oddVBand="0" w:evenVBand="0" w:oddHBand="1" w:evenHBand="0" w:firstRowFirstColumn="0" w:firstRowLastColumn="0" w:lastRowFirstColumn="0" w:lastRowLastColumn="0"/>
              <w:rPr>
                <w:rFonts w:cstheme="minorHAnsi"/>
              </w:rPr>
            </w:pPr>
            <w:hyperlink r:id="rId46" w:history="1">
              <w:r w:rsidR="004F083F" w:rsidRPr="001D2755">
                <w:rPr>
                  <w:rStyle w:val="Hyperlink"/>
                  <w:rFonts w:cstheme="minorHAnsi"/>
                </w:rPr>
                <w:t>London Protocol RSG</w:t>
              </w:r>
            </w:hyperlink>
            <w:r w:rsidR="004F083F" w:rsidRPr="001D2755">
              <w:rPr>
                <w:rFonts w:cstheme="minorHAnsi"/>
              </w:rPr>
              <w:t xml:space="preserve"> – Guideline 6.14</w:t>
            </w:r>
          </w:p>
          <w:p w14:paraId="6C15BAD6" w14:textId="77777777" w:rsidR="004F083F" w:rsidRPr="001D2755" w:rsidRDefault="00FA1DDD" w:rsidP="004F083F">
            <w:pPr>
              <w:pStyle w:val="ListParagraph"/>
              <w:numPr>
                <w:ilvl w:val="0"/>
                <w:numId w:val="33"/>
              </w:numPr>
              <w:contextualSpacing/>
              <w:cnfStyle w:val="000000100000" w:firstRow="0" w:lastRow="0" w:firstColumn="0" w:lastColumn="0" w:oddVBand="0" w:evenVBand="0" w:oddHBand="1" w:evenHBand="0" w:firstRowFirstColumn="0" w:firstRowLastColumn="0" w:lastRowFirstColumn="0" w:lastRowLastColumn="0"/>
              <w:rPr>
                <w:rFonts w:cstheme="minorHAnsi"/>
              </w:rPr>
            </w:pPr>
            <w:hyperlink r:id="rId47" w:history="1">
              <w:r w:rsidR="004F083F" w:rsidRPr="001D2755">
                <w:rPr>
                  <w:rStyle w:val="Hyperlink"/>
                  <w:rFonts w:cstheme="minorHAnsi"/>
                </w:rPr>
                <w:t>Minamata Convention on Mercury</w:t>
              </w:r>
            </w:hyperlink>
          </w:p>
          <w:p w14:paraId="7E9FCBFE" w14:textId="7BBEF54E" w:rsidR="004F083F" w:rsidRPr="004F083F" w:rsidRDefault="00FA1DDD" w:rsidP="004F083F">
            <w:pPr>
              <w:pStyle w:val="ListParagraph"/>
              <w:numPr>
                <w:ilvl w:val="0"/>
                <w:numId w:val="33"/>
              </w:numPr>
              <w:contextualSpacing/>
              <w:cnfStyle w:val="000000100000" w:firstRow="0" w:lastRow="0" w:firstColumn="0" w:lastColumn="0" w:oddVBand="0" w:evenVBand="0" w:oddHBand="1" w:evenHBand="0" w:firstRowFirstColumn="0" w:firstRowLastColumn="0" w:lastRowFirstColumn="0" w:lastRowLastColumn="0"/>
            </w:pPr>
            <w:hyperlink r:id="rId48">
              <w:r w:rsidR="2A9174DB" w:rsidRPr="6C46C732">
                <w:rPr>
                  <w:rStyle w:val="Hyperlink"/>
                </w:rPr>
                <w:t>Stockholm Convention on Persistent Organic Pollutants</w:t>
              </w:r>
            </w:hyperlink>
          </w:p>
          <w:p w14:paraId="61633604" w14:textId="77777777" w:rsidR="002C18DB" w:rsidRPr="002C18DB" w:rsidRDefault="00FA1DDD" w:rsidP="579871DE">
            <w:pPr>
              <w:pStyle w:val="ListParagraph"/>
              <w:numPr>
                <w:ilvl w:val="0"/>
                <w:numId w:val="33"/>
              </w:numPr>
              <w:contextualSpacing/>
              <w:cnfStyle w:val="000000100000" w:firstRow="0" w:lastRow="0" w:firstColumn="0" w:lastColumn="0" w:oddVBand="0" w:evenVBand="0" w:oddHBand="1" w:evenHBand="0" w:firstRowFirstColumn="0" w:firstRowLastColumn="0" w:lastRowFirstColumn="0" w:lastRowLastColumn="0"/>
              <w:rPr>
                <w:color w:val="15659B" w:themeColor="accent4"/>
                <w:u w:val="single"/>
              </w:rPr>
            </w:pPr>
            <w:hyperlink r:id="rId49" w:history="1">
              <w:r w:rsidR="2A9174DB" w:rsidRPr="579871DE">
                <w:rPr>
                  <w:rStyle w:val="Hyperlink"/>
                </w:rPr>
                <w:t>International Convention on the Control of Harmful Anti-fouling Systems on Ships (for TBT)</w:t>
              </w:r>
            </w:hyperlink>
          </w:p>
          <w:p w14:paraId="0D9B4ECD" w14:textId="1DB68BF8" w:rsidR="004F083F" w:rsidRDefault="00FA1DDD" w:rsidP="002C18DB">
            <w:pPr>
              <w:pStyle w:val="ListParagraph"/>
              <w:numPr>
                <w:ilvl w:val="0"/>
                <w:numId w:val="33"/>
              </w:numPr>
              <w:contextualSpacing/>
              <w:cnfStyle w:val="000000100000" w:firstRow="0" w:lastRow="0" w:firstColumn="0" w:lastColumn="0" w:oddVBand="0" w:evenVBand="0" w:oddHBand="1" w:evenHBand="0" w:firstRowFirstColumn="0" w:firstRowLastColumn="0" w:lastRowFirstColumn="0" w:lastRowLastColumn="0"/>
            </w:pPr>
            <w:hyperlink r:id="rId50">
              <w:r w:rsidR="33E6D02F" w:rsidRPr="7F615016">
                <w:rPr>
                  <w:rStyle w:val="Hyperlink"/>
                </w:rPr>
                <w:t xml:space="preserve">Threat Abatement Plan for the impacts of marine debris on the vertebrate wildlife of Australia’s coasts and oceans (2018) </w:t>
              </w:r>
            </w:hyperlink>
          </w:p>
        </w:tc>
      </w:tr>
      <w:tr w:rsidR="004F083F" w14:paraId="5039D21A" w14:textId="77777777" w:rsidTr="00CA67C8">
        <w:trPr>
          <w:cantSplit/>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76848BC1" w14:textId="7DEFF493" w:rsidR="004F083F" w:rsidRDefault="004F083F" w:rsidP="004F083F">
            <w:r>
              <w:t xml:space="preserve">Any material which </w:t>
            </w:r>
            <w:r w:rsidR="7C7459A4">
              <w:t xml:space="preserve">is more than </w:t>
            </w:r>
            <w:r>
              <w:t>de minimis concentration of radioactivity</w:t>
            </w:r>
            <w:r w:rsidR="005E0743">
              <w:t>.</w:t>
            </w:r>
          </w:p>
        </w:tc>
        <w:tc>
          <w:tcPr>
            <w:tcW w:w="6237" w:type="dxa"/>
          </w:tcPr>
          <w:p w14:paraId="09A4B374" w14:textId="77777777" w:rsidR="004F083F" w:rsidRPr="004F083F" w:rsidRDefault="00FA1DDD" w:rsidP="004F083F">
            <w:pPr>
              <w:pStyle w:val="ListParagraph"/>
              <w:numPr>
                <w:ilvl w:val="0"/>
                <w:numId w:val="34"/>
              </w:numPr>
              <w:contextualSpacing/>
              <w:cnfStyle w:val="000000000000" w:firstRow="0" w:lastRow="0" w:firstColumn="0" w:lastColumn="0" w:oddVBand="0" w:evenVBand="0" w:oddHBand="0" w:evenHBand="0" w:firstRowFirstColumn="0" w:firstRowLastColumn="0" w:lastRowFirstColumn="0" w:lastRowLastColumn="0"/>
              <w:rPr>
                <w:rStyle w:val="Hyperlink"/>
                <w:color w:val="auto"/>
                <w:u w:val="none"/>
              </w:rPr>
            </w:pPr>
            <w:hyperlink r:id="rId51" w:history="1">
              <w:r w:rsidR="004F083F" w:rsidRPr="001D2755">
                <w:rPr>
                  <w:rStyle w:val="Hyperlink"/>
                  <w:rFonts w:cstheme="minorHAnsi"/>
                </w:rPr>
                <w:t>London Protocol Annex 1</w:t>
              </w:r>
            </w:hyperlink>
          </w:p>
          <w:p w14:paraId="55F26C83" w14:textId="38CF7412" w:rsidR="004F083F" w:rsidRDefault="00FA1DDD" w:rsidP="004F083F">
            <w:pPr>
              <w:pStyle w:val="ListParagraph"/>
              <w:numPr>
                <w:ilvl w:val="0"/>
                <w:numId w:val="34"/>
              </w:numPr>
              <w:contextualSpacing/>
              <w:cnfStyle w:val="000000000000" w:firstRow="0" w:lastRow="0" w:firstColumn="0" w:lastColumn="0" w:oddVBand="0" w:evenVBand="0" w:oddHBand="0" w:evenHBand="0" w:firstRowFirstColumn="0" w:firstRowLastColumn="0" w:lastRowFirstColumn="0" w:lastRowLastColumn="0"/>
            </w:pPr>
            <w:hyperlink r:id="rId52" w:history="1">
              <w:r w:rsidR="004F083F" w:rsidRPr="001D2755">
                <w:rPr>
                  <w:rStyle w:val="Hyperlink"/>
                  <w:rFonts w:cstheme="minorHAnsi"/>
                </w:rPr>
                <w:t>London Protocol RSG</w:t>
              </w:r>
            </w:hyperlink>
          </w:p>
        </w:tc>
      </w:tr>
    </w:tbl>
    <w:p w14:paraId="349A4C9A" w14:textId="528E61AC" w:rsidR="00941559" w:rsidRPr="0076144A" w:rsidRDefault="00941559" w:rsidP="00CA67C8">
      <w:pPr>
        <w:pStyle w:val="Heading4"/>
      </w:pPr>
      <w:bookmarkStart w:id="69" w:name="_Toc165029074"/>
      <w:bookmarkStart w:id="70" w:name="_Toc166848342"/>
      <w:r>
        <w:t xml:space="preserve">3.2.2. Category 2: Property and infrastructure that may be permitted to be left in the sea </w:t>
      </w:r>
      <w:r w:rsidR="0076144A">
        <w:t>subject to regulatory assessment under the OPGGS Act and Sea Dumping Act</w:t>
      </w:r>
      <w:bookmarkEnd w:id="69"/>
      <w:bookmarkEnd w:id="70"/>
    </w:p>
    <w:p w14:paraId="1E797EFF" w14:textId="098395D5" w:rsidR="00941559" w:rsidRPr="0076144A" w:rsidRDefault="00941559" w:rsidP="00941559">
      <w:pPr>
        <w:pStyle w:val="Caption"/>
        <w:keepNext/>
      </w:pPr>
      <w:r w:rsidRPr="0076144A">
        <w:t xml:space="preserve">Table </w:t>
      </w:r>
      <w:r w:rsidRPr="0076144A">
        <w:rPr>
          <w:noProof/>
        </w:rPr>
        <w:t>3:</w:t>
      </w:r>
      <w:r w:rsidRPr="0076144A">
        <w:t xml:space="preserve"> Category 2 items </w:t>
      </w:r>
    </w:p>
    <w:tbl>
      <w:tblPr>
        <w:tblStyle w:val="ListTable3-Accent4"/>
        <w:tblW w:w="5000" w:type="pct"/>
        <w:tblLook w:val="04A0" w:firstRow="1" w:lastRow="0" w:firstColumn="1" w:lastColumn="0" w:noHBand="0" w:noVBand="1"/>
        <w:tblCaption w:val="Sample table"/>
        <w:tblDescription w:val="Add text broadly describing the table. You do not need to replicate the whole contents."/>
      </w:tblPr>
      <w:tblGrid>
        <w:gridCol w:w="2000"/>
        <w:gridCol w:w="2815"/>
        <w:gridCol w:w="4201"/>
      </w:tblGrid>
      <w:tr w:rsidR="002632E1" w:rsidRPr="00941559" w14:paraId="03EFD755" w14:textId="41C466CD" w:rsidTr="00B7022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09" w:type="pct"/>
          </w:tcPr>
          <w:p w14:paraId="3609C851" w14:textId="77777777" w:rsidR="0076144A" w:rsidRPr="0076144A" w:rsidRDefault="0076144A" w:rsidP="004C4CBA">
            <w:r w:rsidRPr="0076144A">
              <w:t>Property and infrastructure</w:t>
            </w:r>
          </w:p>
        </w:tc>
        <w:tc>
          <w:tcPr>
            <w:tcW w:w="1561" w:type="pct"/>
          </w:tcPr>
          <w:p w14:paraId="30569070" w14:textId="1A7BFF39" w:rsidR="0076144A" w:rsidRPr="0076144A" w:rsidRDefault="0076144A" w:rsidP="00CA67C8">
            <w:pPr>
              <w:ind w:right="183"/>
              <w:cnfStyle w:val="100000000000" w:firstRow="1" w:lastRow="0" w:firstColumn="0" w:lastColumn="0" w:oddVBand="0" w:evenVBand="0" w:oddHBand="0" w:evenHBand="0" w:firstRowFirstColumn="0" w:firstRowLastColumn="0" w:lastRowFirstColumn="0" w:lastRowLastColumn="0"/>
            </w:pPr>
            <w:r>
              <w:t>Domestic and international framework and guidance</w:t>
            </w:r>
          </w:p>
        </w:tc>
        <w:tc>
          <w:tcPr>
            <w:tcW w:w="2330" w:type="pct"/>
          </w:tcPr>
          <w:p w14:paraId="26A8B0CC" w14:textId="034E4996" w:rsidR="0076144A" w:rsidRPr="0076144A" w:rsidRDefault="2A9174DB" w:rsidP="004C4CBA">
            <w:pPr>
              <w:cnfStyle w:val="100000000000" w:firstRow="1" w:lastRow="0" w:firstColumn="0" w:lastColumn="0" w:oddVBand="0" w:evenVBand="0" w:oddHBand="0" w:evenHBand="0" w:firstRowFirstColumn="0" w:firstRowLastColumn="0" w:lastRowFirstColumn="0" w:lastRowLastColumn="0"/>
            </w:pPr>
            <w:r>
              <w:t>Assessment considerations</w:t>
            </w:r>
          </w:p>
        </w:tc>
      </w:tr>
      <w:tr w:rsidR="004F083F" w14:paraId="6B65B6A1" w14:textId="30935249" w:rsidTr="00B7022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09" w:type="pct"/>
            <w:shd w:val="clear" w:color="auto" w:fill="auto"/>
          </w:tcPr>
          <w:p w14:paraId="232485AA" w14:textId="110F3175" w:rsidR="004F083F" w:rsidRPr="004F083F" w:rsidRDefault="004F083F" w:rsidP="004F083F">
            <w:r w:rsidRPr="670408B8">
              <w:t>Pipelines (depending on diameter, length, characteristics and level of cleaning)</w:t>
            </w:r>
            <w:r w:rsidR="000461A7">
              <w:t>.</w:t>
            </w:r>
          </w:p>
        </w:tc>
        <w:tc>
          <w:tcPr>
            <w:tcW w:w="1561" w:type="pct"/>
          </w:tcPr>
          <w:p w14:paraId="51E1D812" w14:textId="77777777" w:rsidR="004F083F" w:rsidRPr="00C12D03" w:rsidRDefault="00FA1DDD" w:rsidP="004F083F">
            <w:pPr>
              <w:pStyle w:val="ListParagraph"/>
              <w:numPr>
                <w:ilvl w:val="0"/>
                <w:numId w:val="35"/>
              </w:numPr>
              <w:contextualSpacing/>
              <w:cnfStyle w:val="000000100000" w:firstRow="0" w:lastRow="0" w:firstColumn="0" w:lastColumn="0" w:oddVBand="0" w:evenVBand="0" w:oddHBand="1" w:evenHBand="0" w:firstRowFirstColumn="0" w:firstRowLastColumn="0" w:lastRowFirstColumn="0" w:lastRowLastColumn="0"/>
            </w:pPr>
            <w:hyperlink r:id="rId53" w:history="1">
              <w:r w:rsidR="004F083F" w:rsidRPr="670408B8">
                <w:rPr>
                  <w:rStyle w:val="Hyperlink"/>
                </w:rPr>
                <w:t>London Protocol Article 1</w:t>
              </w:r>
            </w:hyperlink>
          </w:p>
          <w:p w14:paraId="66B14FAE" w14:textId="77777777" w:rsidR="004F083F" w:rsidRPr="004F083F" w:rsidRDefault="00FA1DDD" w:rsidP="004F083F">
            <w:pPr>
              <w:pStyle w:val="ListParagraph"/>
              <w:numPr>
                <w:ilvl w:val="0"/>
                <w:numId w:val="35"/>
              </w:numPr>
              <w:contextualSpacing/>
              <w:cnfStyle w:val="000000100000" w:firstRow="0" w:lastRow="0" w:firstColumn="0" w:lastColumn="0" w:oddVBand="0" w:evenVBand="0" w:oddHBand="1" w:evenHBand="0" w:firstRowFirstColumn="0" w:firstRowLastColumn="0" w:lastRowFirstColumn="0" w:lastRowLastColumn="0"/>
              <w:rPr>
                <w:rStyle w:val="Hyperlink"/>
                <w:color w:val="auto"/>
                <w:u w:val="none"/>
              </w:rPr>
            </w:pPr>
            <w:hyperlink r:id="rId54" w:history="1">
              <w:r w:rsidR="004F083F" w:rsidRPr="670408B8">
                <w:rPr>
                  <w:rStyle w:val="Hyperlink"/>
                </w:rPr>
                <w:t>London Protocol RSG</w:t>
              </w:r>
            </w:hyperlink>
          </w:p>
          <w:p w14:paraId="4B287D8F" w14:textId="49554127" w:rsidR="004F083F" w:rsidRPr="004F083F" w:rsidRDefault="00FA1DDD" w:rsidP="004F083F">
            <w:pPr>
              <w:pStyle w:val="ListParagraph"/>
              <w:numPr>
                <w:ilvl w:val="0"/>
                <w:numId w:val="35"/>
              </w:numPr>
              <w:contextualSpacing/>
              <w:cnfStyle w:val="000000100000" w:firstRow="0" w:lastRow="0" w:firstColumn="0" w:lastColumn="0" w:oddVBand="0" w:evenVBand="0" w:oddHBand="1" w:evenHBand="0" w:firstRowFirstColumn="0" w:firstRowLastColumn="0" w:lastRowFirstColumn="0" w:lastRowLastColumn="0"/>
            </w:pPr>
            <w:hyperlink r:id="rId55" w:history="1">
              <w:r w:rsidR="004F083F" w:rsidRPr="009116BF">
                <w:rPr>
                  <w:rStyle w:val="Hyperlink"/>
                  <w:rFonts w:cstheme="minorHAnsi"/>
                </w:rPr>
                <w:t>IMO Resolution A.672(16)</w:t>
              </w:r>
            </w:hyperlink>
          </w:p>
        </w:tc>
        <w:tc>
          <w:tcPr>
            <w:tcW w:w="2330" w:type="pct"/>
          </w:tcPr>
          <w:p w14:paraId="49CD436C" w14:textId="765247B7" w:rsidR="004F083F" w:rsidRDefault="004F083F" w:rsidP="004F083F">
            <w:pPr>
              <w:pStyle w:val="ListParagraph"/>
              <w:numPr>
                <w:ilvl w:val="0"/>
                <w:numId w:val="35"/>
              </w:numPr>
              <w:contextualSpacing/>
              <w:cnfStyle w:val="000000100000" w:firstRow="0" w:lastRow="0" w:firstColumn="0" w:lastColumn="0" w:oddVBand="0" w:evenVBand="0" w:oddHBand="1" w:evenHBand="0" w:firstRowFirstColumn="0" w:firstRowLastColumn="0" w:lastRowFirstColumn="0" w:lastRowLastColumn="0"/>
            </w:pPr>
            <w:r>
              <w:t>The property or infrastructure should not cause a navigational impact or risk of interference with other users of the sea</w:t>
            </w:r>
            <w:r w:rsidR="000461A7">
              <w:t>.</w:t>
            </w:r>
          </w:p>
          <w:p w14:paraId="62A06C82" w14:textId="18D2951A" w:rsidR="004F083F" w:rsidRDefault="2A9174DB" w:rsidP="004F083F">
            <w:pPr>
              <w:pStyle w:val="ListParagraph"/>
              <w:numPr>
                <w:ilvl w:val="0"/>
                <w:numId w:val="35"/>
              </w:numPr>
              <w:contextualSpacing/>
              <w:cnfStyle w:val="000000100000" w:firstRow="0" w:lastRow="0" w:firstColumn="0" w:lastColumn="0" w:oddVBand="0" w:evenVBand="0" w:oddHBand="1" w:evenHBand="0" w:firstRowFirstColumn="0" w:firstRowLastColumn="0" w:lastRowFirstColumn="0" w:lastRowLastColumn="0"/>
            </w:pPr>
            <w:r>
              <w:t>The property or infrastructure should not have a detrimental impact on the environment now or in the future</w:t>
            </w:r>
            <w:r w:rsidR="000461A7">
              <w:t>.</w:t>
            </w:r>
          </w:p>
          <w:p w14:paraId="3F6FB51B" w14:textId="02E2414E" w:rsidR="004F083F" w:rsidRDefault="004F083F" w:rsidP="004F083F">
            <w:pPr>
              <w:pStyle w:val="ListParagraph"/>
              <w:numPr>
                <w:ilvl w:val="0"/>
                <w:numId w:val="35"/>
              </w:numPr>
              <w:contextualSpacing/>
              <w:cnfStyle w:val="000000100000" w:firstRow="0" w:lastRow="0" w:firstColumn="0" w:lastColumn="0" w:oddVBand="0" w:evenVBand="0" w:oddHBand="1" w:evenHBand="0" w:firstRowFirstColumn="0" w:firstRowLastColumn="0" w:lastRowFirstColumn="0" w:lastRowLastColumn="0"/>
            </w:pPr>
            <w:r>
              <w:t>There should be no movement of the property or infrastructure over time</w:t>
            </w:r>
            <w:r w:rsidR="000461A7">
              <w:t>.</w:t>
            </w:r>
          </w:p>
          <w:p w14:paraId="08FA906A" w14:textId="069ECC55" w:rsidR="00772B59" w:rsidRDefault="08A39F86" w:rsidP="004F083F">
            <w:pPr>
              <w:pStyle w:val="ListParagraph"/>
              <w:numPr>
                <w:ilvl w:val="0"/>
                <w:numId w:val="35"/>
              </w:numPr>
              <w:contextualSpacing/>
              <w:cnfStyle w:val="000000100000" w:firstRow="0" w:lastRow="0" w:firstColumn="0" w:lastColumn="0" w:oddVBand="0" w:evenVBand="0" w:oddHBand="1" w:evenHBand="0" w:firstRowFirstColumn="0" w:firstRowLastColumn="0" w:lastRowFirstColumn="0" w:lastRowLastColumn="0"/>
            </w:pPr>
            <w:r>
              <w:t xml:space="preserve">Arrangements are </w:t>
            </w:r>
            <w:r w:rsidR="690893D9">
              <w:t xml:space="preserve">clearly </w:t>
            </w:r>
            <w:r w:rsidR="0FE674D9">
              <w:t xml:space="preserve">established </w:t>
            </w:r>
            <w:r w:rsidR="690893D9">
              <w:t>for the management of property which is not removed</w:t>
            </w:r>
            <w:r w:rsidR="000461A7">
              <w:t>.</w:t>
            </w:r>
            <w:r>
              <w:t xml:space="preserve"> </w:t>
            </w:r>
          </w:p>
          <w:p w14:paraId="3E4C60F7" w14:textId="40CC53A8" w:rsidR="004F083F" w:rsidRDefault="004F083F" w:rsidP="004F083F">
            <w:pPr>
              <w:pStyle w:val="ListParagraph"/>
              <w:numPr>
                <w:ilvl w:val="0"/>
                <w:numId w:val="35"/>
              </w:numPr>
              <w:contextualSpacing/>
              <w:cnfStyle w:val="000000100000" w:firstRow="0" w:lastRow="0" w:firstColumn="0" w:lastColumn="0" w:oddVBand="0" w:evenVBand="0" w:oddHBand="1" w:evenHBand="0" w:firstRowFirstColumn="0" w:firstRowLastColumn="0" w:lastRowFirstColumn="0" w:lastRowLastColumn="0"/>
            </w:pPr>
            <w:r>
              <w:t>The pipelines must be cleaned to an acceptable standard</w:t>
            </w:r>
            <w:r w:rsidR="000461A7">
              <w:t>.</w:t>
            </w:r>
            <w:r>
              <w:t xml:space="preserve"> </w:t>
            </w:r>
          </w:p>
          <w:p w14:paraId="1EC87BA2" w14:textId="7D135F7B" w:rsidR="004F083F" w:rsidRPr="004F083F" w:rsidRDefault="2A9174DB" w:rsidP="004F083F">
            <w:pPr>
              <w:pStyle w:val="ListParagraph"/>
              <w:numPr>
                <w:ilvl w:val="0"/>
                <w:numId w:val="35"/>
              </w:numPr>
              <w:contextualSpacing/>
              <w:cnfStyle w:val="000000100000" w:firstRow="0" w:lastRow="0" w:firstColumn="0" w:lastColumn="0" w:oddVBand="0" w:evenVBand="0" w:oddHBand="1" w:evenHBand="0" w:firstRowFirstColumn="0" w:firstRowLastColumn="0" w:lastRowFirstColumn="0" w:lastRowLastColumn="0"/>
            </w:pPr>
            <w:r>
              <w:t xml:space="preserve">As the pipeline degrades over time, there should be no release of contaminants </w:t>
            </w:r>
            <w:r w:rsidR="556F6E8C">
              <w:t xml:space="preserve">and materials </w:t>
            </w:r>
            <w:r>
              <w:t>that will have detrimental environmental or human health impacts</w:t>
            </w:r>
            <w:r w:rsidR="000461A7">
              <w:t>.</w:t>
            </w:r>
          </w:p>
        </w:tc>
      </w:tr>
      <w:tr w:rsidR="004F083F" w14:paraId="19A9F806" w14:textId="7B749E7B" w:rsidTr="00B70223">
        <w:trPr>
          <w:cantSplit/>
        </w:trPr>
        <w:tc>
          <w:tcPr>
            <w:cnfStyle w:val="001000000000" w:firstRow="0" w:lastRow="0" w:firstColumn="1" w:lastColumn="0" w:oddVBand="0" w:evenVBand="0" w:oddHBand="0" w:evenHBand="0" w:firstRowFirstColumn="0" w:firstRowLastColumn="0" w:lastRowFirstColumn="0" w:lastRowLastColumn="0"/>
            <w:tcW w:w="1109" w:type="pct"/>
            <w:shd w:val="clear" w:color="auto" w:fill="auto"/>
          </w:tcPr>
          <w:p w14:paraId="2BBC8865" w14:textId="09FEF4A1" w:rsidR="004F083F" w:rsidRDefault="004F083F" w:rsidP="004F083F">
            <w:r>
              <w:rPr>
                <w:rFonts w:cstheme="minorHAnsi"/>
              </w:rPr>
              <w:t>Chains, mooring cables and wires</w:t>
            </w:r>
            <w:r w:rsidR="000461A7">
              <w:rPr>
                <w:rFonts w:cstheme="minorHAnsi"/>
              </w:rPr>
              <w:t>.</w:t>
            </w:r>
          </w:p>
        </w:tc>
        <w:tc>
          <w:tcPr>
            <w:tcW w:w="1561" w:type="pct"/>
          </w:tcPr>
          <w:p w14:paraId="18E4BAC0" w14:textId="77777777" w:rsidR="004F083F" w:rsidRPr="004F083F" w:rsidRDefault="00FA1DDD" w:rsidP="004F083F">
            <w:pPr>
              <w:pStyle w:val="ListParagraph"/>
              <w:numPr>
                <w:ilvl w:val="0"/>
                <w:numId w:val="36"/>
              </w:numPr>
              <w:contextualSpacing/>
              <w:cnfStyle w:val="000000000000" w:firstRow="0" w:lastRow="0" w:firstColumn="0" w:lastColumn="0" w:oddVBand="0" w:evenVBand="0" w:oddHBand="0" w:evenHBand="0" w:firstRowFirstColumn="0" w:firstRowLastColumn="0" w:lastRowFirstColumn="0" w:lastRowLastColumn="0"/>
              <w:rPr>
                <w:rStyle w:val="Hyperlink"/>
                <w:color w:val="auto"/>
                <w:u w:val="none"/>
              </w:rPr>
            </w:pPr>
            <w:hyperlink r:id="rId56" w:history="1">
              <w:r w:rsidR="004F083F" w:rsidRPr="009116BF">
                <w:rPr>
                  <w:rStyle w:val="Hyperlink"/>
                  <w:rFonts w:cstheme="minorHAnsi"/>
                </w:rPr>
                <w:t>IMO Resolution A.672(16)</w:t>
              </w:r>
            </w:hyperlink>
          </w:p>
          <w:p w14:paraId="7AC95AB6" w14:textId="34A429CF" w:rsidR="004F083F" w:rsidRDefault="00FA1DDD" w:rsidP="004F083F">
            <w:pPr>
              <w:pStyle w:val="ListParagraph"/>
              <w:numPr>
                <w:ilvl w:val="0"/>
                <w:numId w:val="36"/>
              </w:numPr>
              <w:contextualSpacing/>
              <w:cnfStyle w:val="000000000000" w:firstRow="0" w:lastRow="0" w:firstColumn="0" w:lastColumn="0" w:oddVBand="0" w:evenVBand="0" w:oddHBand="0" w:evenHBand="0" w:firstRowFirstColumn="0" w:firstRowLastColumn="0" w:lastRowFirstColumn="0" w:lastRowLastColumn="0"/>
            </w:pPr>
            <w:hyperlink r:id="rId57" w:history="1">
              <w:r w:rsidR="004F083F" w:rsidRPr="009116BF">
                <w:rPr>
                  <w:rStyle w:val="Hyperlink"/>
                  <w:rFonts w:cstheme="minorHAnsi"/>
                </w:rPr>
                <w:t>London Protocol RSG</w:t>
              </w:r>
            </w:hyperlink>
          </w:p>
        </w:tc>
        <w:tc>
          <w:tcPr>
            <w:tcW w:w="2330" w:type="pct"/>
          </w:tcPr>
          <w:p w14:paraId="1072CD67" w14:textId="4ACB89FD" w:rsidR="004F083F" w:rsidRPr="00C71FD2" w:rsidRDefault="004F083F" w:rsidP="004F083F">
            <w:pPr>
              <w:pStyle w:val="ListParagraph"/>
              <w:numPr>
                <w:ilvl w:val="0"/>
                <w:numId w:val="36"/>
              </w:numPr>
              <w:contextualSpacing/>
              <w:cnfStyle w:val="000000000000" w:firstRow="0" w:lastRow="0" w:firstColumn="0" w:lastColumn="0" w:oddVBand="0" w:evenVBand="0" w:oddHBand="0" w:evenHBand="0" w:firstRowFirstColumn="0" w:firstRowLastColumn="0" w:lastRowFirstColumn="0" w:lastRowLastColumn="0"/>
            </w:pPr>
            <w:r w:rsidRPr="2F78E096">
              <w:t>The property or infrastructure should not cause a navigational impact or risk of interference with other users of the sea</w:t>
            </w:r>
            <w:r w:rsidR="000461A7">
              <w:t>.</w:t>
            </w:r>
          </w:p>
          <w:p w14:paraId="1F3E9FB8" w14:textId="451A897A" w:rsidR="004F083F" w:rsidRPr="00C71FD2" w:rsidRDefault="004F083F" w:rsidP="004F083F">
            <w:pPr>
              <w:pStyle w:val="ListParagraph"/>
              <w:numPr>
                <w:ilvl w:val="0"/>
                <w:numId w:val="36"/>
              </w:numPr>
              <w:contextualSpacing/>
              <w:cnfStyle w:val="000000000000" w:firstRow="0" w:lastRow="0" w:firstColumn="0" w:lastColumn="0" w:oddVBand="0" w:evenVBand="0" w:oddHBand="0" w:evenHBand="0" w:firstRowFirstColumn="0" w:firstRowLastColumn="0" w:lastRowFirstColumn="0" w:lastRowLastColumn="0"/>
            </w:pPr>
            <w:r w:rsidRPr="2F78E096">
              <w:t xml:space="preserve">The </w:t>
            </w:r>
            <w:r>
              <w:t>property or infrastructure</w:t>
            </w:r>
            <w:r w:rsidRPr="2F78E096">
              <w:t xml:space="preserve"> should not have a detrimental impact on the environment now or in the future</w:t>
            </w:r>
            <w:r w:rsidR="000461A7">
              <w:t>.</w:t>
            </w:r>
          </w:p>
          <w:p w14:paraId="40820B45" w14:textId="6F82EA7C" w:rsidR="004F083F" w:rsidRPr="00C71FD2" w:rsidRDefault="004F083F" w:rsidP="004F083F">
            <w:pPr>
              <w:pStyle w:val="ListParagraph"/>
              <w:numPr>
                <w:ilvl w:val="0"/>
                <w:numId w:val="36"/>
              </w:numPr>
              <w:contextualSpacing/>
              <w:cnfStyle w:val="000000000000" w:firstRow="0" w:lastRow="0" w:firstColumn="0" w:lastColumn="0" w:oddVBand="0" w:evenVBand="0" w:oddHBand="0" w:evenHBand="0" w:firstRowFirstColumn="0" w:firstRowLastColumn="0" w:lastRowFirstColumn="0" w:lastRowLastColumn="0"/>
            </w:pPr>
            <w:r w:rsidRPr="2F78E096">
              <w:t>There should be no movement of the property or infrastructure over time</w:t>
            </w:r>
            <w:r w:rsidR="00A7325E">
              <w:t>.</w:t>
            </w:r>
          </w:p>
          <w:p w14:paraId="206061F1" w14:textId="1B28D893" w:rsidR="004F083F" w:rsidRDefault="41F5B21E" w:rsidP="004F083F">
            <w:pPr>
              <w:pStyle w:val="ListParagraph"/>
              <w:numPr>
                <w:ilvl w:val="0"/>
                <w:numId w:val="36"/>
              </w:numPr>
              <w:contextualSpacing/>
              <w:cnfStyle w:val="000000000000" w:firstRow="0" w:lastRow="0" w:firstColumn="0" w:lastColumn="0" w:oddVBand="0" w:evenVBand="0" w:oddHBand="0" w:evenHBand="0" w:firstRowFirstColumn="0" w:firstRowLastColumn="0" w:lastRowFirstColumn="0" w:lastRowLastColumn="0"/>
            </w:pPr>
            <w:r>
              <w:t>Technical feasibility of removing the property or infrastructure without unacceptable safety risks</w:t>
            </w:r>
            <w:r w:rsidR="3F47103D">
              <w:t xml:space="preserve"> or environmental impact</w:t>
            </w:r>
            <w:r>
              <w:t xml:space="preserve">. </w:t>
            </w:r>
          </w:p>
          <w:p w14:paraId="43F0D230" w14:textId="04829884" w:rsidR="004F083F" w:rsidRDefault="2A9174DB" w:rsidP="004F083F">
            <w:pPr>
              <w:pStyle w:val="ListParagraph"/>
              <w:numPr>
                <w:ilvl w:val="0"/>
                <w:numId w:val="36"/>
              </w:numPr>
              <w:contextualSpacing/>
              <w:cnfStyle w:val="000000000000" w:firstRow="0" w:lastRow="0" w:firstColumn="0" w:lastColumn="0" w:oddVBand="0" w:evenVBand="0" w:oddHBand="0" w:evenHBand="0" w:firstRowFirstColumn="0" w:firstRowLastColumn="0" w:lastRowFirstColumn="0" w:lastRowLastColumn="0"/>
            </w:pPr>
            <w:r>
              <w:t xml:space="preserve">As the property or infrastructure degrades over time, there should be no release of contaminants </w:t>
            </w:r>
            <w:r w:rsidR="2F7F1E35">
              <w:t xml:space="preserve">or materials </w:t>
            </w:r>
            <w:r>
              <w:t>that will have detrimental environmental or human health impacts</w:t>
            </w:r>
            <w:r w:rsidR="000461A7">
              <w:t>.</w:t>
            </w:r>
            <w:r>
              <w:t xml:space="preserve"> </w:t>
            </w:r>
          </w:p>
        </w:tc>
      </w:tr>
      <w:tr w:rsidR="004F083F" w14:paraId="052A4E49" w14:textId="08BC5EDF" w:rsidTr="00B7022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09" w:type="pct"/>
            <w:shd w:val="clear" w:color="auto" w:fill="auto"/>
          </w:tcPr>
          <w:p w14:paraId="289CB40E" w14:textId="79C45224" w:rsidR="004F083F" w:rsidRDefault="2A9174DB" w:rsidP="004F083F">
            <w:r>
              <w:t xml:space="preserve">Subsea infrastructure. For example, wellheads, </w:t>
            </w:r>
            <w:r w:rsidR="23BB90D0">
              <w:t>X</w:t>
            </w:r>
            <w:r>
              <w:t>mas trees</w:t>
            </w:r>
            <w:r w:rsidR="00013E7B">
              <w:rPr>
                <w:rStyle w:val="FootnoteReference"/>
              </w:rPr>
              <w:footnoteReference w:id="8"/>
            </w:r>
            <w:r>
              <w:t>, pipeline inspection gauge (</w:t>
            </w:r>
            <w:r w:rsidR="79C7F1B7">
              <w:t>‘</w:t>
            </w:r>
            <w:r>
              <w:t>pig</w:t>
            </w:r>
            <w:r w:rsidR="79C7F1B7">
              <w:t>’</w:t>
            </w:r>
            <w:r>
              <w:t>) launchers, manifolds and similar structures</w:t>
            </w:r>
            <w:r w:rsidR="73184BC5">
              <w:t>.</w:t>
            </w:r>
          </w:p>
        </w:tc>
        <w:tc>
          <w:tcPr>
            <w:tcW w:w="1561" w:type="pct"/>
          </w:tcPr>
          <w:p w14:paraId="1D1FBD7B" w14:textId="77777777" w:rsidR="004F083F" w:rsidRPr="009116BF" w:rsidRDefault="00FA1DDD" w:rsidP="004F083F">
            <w:pPr>
              <w:pStyle w:val="ListParagraph"/>
              <w:numPr>
                <w:ilvl w:val="0"/>
                <w:numId w:val="37"/>
              </w:numPr>
              <w:contextualSpacing/>
              <w:cnfStyle w:val="000000100000" w:firstRow="0" w:lastRow="0" w:firstColumn="0" w:lastColumn="0" w:oddVBand="0" w:evenVBand="0" w:oddHBand="1" w:evenHBand="0" w:firstRowFirstColumn="0" w:firstRowLastColumn="0" w:lastRowFirstColumn="0" w:lastRowLastColumn="0"/>
            </w:pPr>
            <w:hyperlink r:id="rId58">
              <w:r w:rsidR="004F083F" w:rsidRPr="7DEA62DA">
                <w:rPr>
                  <w:rStyle w:val="Hyperlink"/>
                </w:rPr>
                <w:t>IMO Resolution A.672(16)</w:t>
              </w:r>
            </w:hyperlink>
          </w:p>
          <w:p w14:paraId="65B4EAB4" w14:textId="77777777" w:rsidR="004F083F" w:rsidRPr="00135DAB" w:rsidRDefault="00FA1DDD" w:rsidP="004F083F">
            <w:pPr>
              <w:pStyle w:val="ListParagraph"/>
              <w:numPr>
                <w:ilvl w:val="0"/>
                <w:numId w:val="37"/>
              </w:numPr>
              <w:contextualSpacing/>
              <w:cnfStyle w:val="000000100000" w:firstRow="0" w:lastRow="0" w:firstColumn="0" w:lastColumn="0" w:oddVBand="0" w:evenVBand="0" w:oddHBand="1" w:evenHBand="0" w:firstRowFirstColumn="0" w:firstRowLastColumn="0" w:lastRowFirstColumn="0" w:lastRowLastColumn="0"/>
              <w:rPr>
                <w:rStyle w:val="Hyperlink"/>
                <w:rFonts w:cstheme="minorHAnsi"/>
                <w:color w:val="auto"/>
                <w:u w:val="none"/>
              </w:rPr>
            </w:pPr>
            <w:hyperlink r:id="rId59" w:history="1">
              <w:r w:rsidR="004F083F" w:rsidRPr="009116BF">
                <w:rPr>
                  <w:rStyle w:val="Hyperlink"/>
                  <w:rFonts w:cstheme="minorHAnsi"/>
                </w:rPr>
                <w:t>London Protocol RSG</w:t>
              </w:r>
            </w:hyperlink>
          </w:p>
          <w:p w14:paraId="1EB44791" w14:textId="77777777" w:rsidR="004F083F" w:rsidRDefault="004F083F" w:rsidP="004F083F">
            <w:pPr>
              <w:cnfStyle w:val="000000100000" w:firstRow="0" w:lastRow="0" w:firstColumn="0" w:lastColumn="0" w:oddVBand="0" w:evenVBand="0" w:oddHBand="1" w:evenHBand="0" w:firstRowFirstColumn="0" w:firstRowLastColumn="0" w:lastRowFirstColumn="0" w:lastRowLastColumn="0"/>
            </w:pPr>
          </w:p>
        </w:tc>
        <w:tc>
          <w:tcPr>
            <w:tcW w:w="2330" w:type="pct"/>
          </w:tcPr>
          <w:p w14:paraId="689CF61F" w14:textId="4A55F45A" w:rsidR="004F083F" w:rsidRPr="00875205" w:rsidRDefault="004F083F" w:rsidP="00772B59">
            <w:pPr>
              <w:pStyle w:val="ListParagraph"/>
              <w:numPr>
                <w:ilvl w:val="0"/>
                <w:numId w:val="37"/>
              </w:numPr>
              <w:contextualSpacing/>
              <w:cnfStyle w:val="000000100000" w:firstRow="0" w:lastRow="0" w:firstColumn="0" w:lastColumn="0" w:oddVBand="0" w:evenVBand="0" w:oddHBand="1" w:evenHBand="0" w:firstRowFirstColumn="0" w:firstRowLastColumn="0" w:lastRowFirstColumn="0" w:lastRowLastColumn="0"/>
            </w:pPr>
            <w:r w:rsidRPr="2F78E096">
              <w:t>The property or infrastructure should not cause a navigational impact or risk of interference with other users of the sea</w:t>
            </w:r>
            <w:r w:rsidR="000461A7">
              <w:t>.</w:t>
            </w:r>
          </w:p>
          <w:p w14:paraId="689AF154" w14:textId="0B0723F4" w:rsidR="004F083F" w:rsidRPr="00875205" w:rsidRDefault="004F083F" w:rsidP="00772B59">
            <w:pPr>
              <w:pStyle w:val="ListParagraph"/>
              <w:numPr>
                <w:ilvl w:val="0"/>
                <w:numId w:val="37"/>
              </w:numPr>
              <w:contextualSpacing/>
              <w:cnfStyle w:val="000000100000" w:firstRow="0" w:lastRow="0" w:firstColumn="0" w:lastColumn="0" w:oddVBand="0" w:evenVBand="0" w:oddHBand="1" w:evenHBand="0" w:firstRowFirstColumn="0" w:firstRowLastColumn="0" w:lastRowFirstColumn="0" w:lastRowLastColumn="0"/>
            </w:pPr>
            <w:r w:rsidRPr="2F78E096">
              <w:t xml:space="preserve">The </w:t>
            </w:r>
            <w:r>
              <w:t>property or infrastructure</w:t>
            </w:r>
            <w:r w:rsidRPr="2F78E096">
              <w:t xml:space="preserve"> should not have a detrimental impact on the environment now or in the future</w:t>
            </w:r>
            <w:r w:rsidR="000461A7">
              <w:t>.</w:t>
            </w:r>
          </w:p>
          <w:p w14:paraId="43F24E64" w14:textId="0B9D650F" w:rsidR="004F083F" w:rsidRDefault="004F083F" w:rsidP="00772B59">
            <w:pPr>
              <w:pStyle w:val="ListParagraph"/>
              <w:numPr>
                <w:ilvl w:val="0"/>
                <w:numId w:val="37"/>
              </w:numPr>
              <w:contextualSpacing/>
              <w:cnfStyle w:val="000000100000" w:firstRow="0" w:lastRow="0" w:firstColumn="0" w:lastColumn="0" w:oddVBand="0" w:evenVBand="0" w:oddHBand="1" w:evenHBand="0" w:firstRowFirstColumn="0" w:firstRowLastColumn="0" w:lastRowFirstColumn="0" w:lastRowLastColumn="0"/>
            </w:pPr>
            <w:r w:rsidRPr="2F78E096">
              <w:t>There should be no movement of the property or infrastructure over time</w:t>
            </w:r>
            <w:r w:rsidR="000461A7">
              <w:t>.</w:t>
            </w:r>
          </w:p>
          <w:p w14:paraId="0671DCB3" w14:textId="16FE9700" w:rsidR="00772B59" w:rsidRDefault="00772B59" w:rsidP="00772B59">
            <w:pPr>
              <w:pStyle w:val="ListParagraph"/>
              <w:numPr>
                <w:ilvl w:val="0"/>
                <w:numId w:val="37"/>
              </w:numPr>
              <w:contextualSpacing/>
              <w:cnfStyle w:val="000000100000" w:firstRow="0" w:lastRow="0" w:firstColumn="0" w:lastColumn="0" w:oddVBand="0" w:evenVBand="0" w:oddHBand="1" w:evenHBand="0" w:firstRowFirstColumn="0" w:firstRowLastColumn="0" w:lastRowFirstColumn="0" w:lastRowLastColumn="0"/>
            </w:pPr>
            <w:r>
              <w:t>Arrangements are clearly established for the management of property which is not removed</w:t>
            </w:r>
            <w:r w:rsidR="000461A7">
              <w:t>.</w:t>
            </w:r>
            <w:r>
              <w:t xml:space="preserve"> </w:t>
            </w:r>
          </w:p>
          <w:p w14:paraId="565BB357" w14:textId="42A69FC1" w:rsidR="5546279B" w:rsidRDefault="6EEC3A2B" w:rsidP="00772B59">
            <w:pPr>
              <w:pStyle w:val="ListParagraph"/>
              <w:numPr>
                <w:ilvl w:val="0"/>
                <w:numId w:val="37"/>
              </w:numPr>
              <w:contextualSpacing/>
              <w:cnfStyle w:val="000000100000" w:firstRow="0" w:lastRow="0" w:firstColumn="0" w:lastColumn="0" w:oddVBand="0" w:evenVBand="0" w:oddHBand="1" w:evenHBand="0" w:firstRowFirstColumn="0" w:firstRowLastColumn="0" w:lastRowFirstColumn="0" w:lastRowLastColumn="0"/>
            </w:pPr>
            <w:r>
              <w:t>Technical feasibility of removing the property or infrastructure without unacceptable safety risks or environmental impact.</w:t>
            </w:r>
          </w:p>
          <w:p w14:paraId="3D9045E9" w14:textId="0275CB17" w:rsidR="004F083F" w:rsidRDefault="2A9174DB" w:rsidP="00772B59">
            <w:pPr>
              <w:pStyle w:val="ListParagraph"/>
              <w:numPr>
                <w:ilvl w:val="0"/>
                <w:numId w:val="37"/>
              </w:numPr>
              <w:contextualSpacing/>
              <w:cnfStyle w:val="000000100000" w:firstRow="0" w:lastRow="0" w:firstColumn="0" w:lastColumn="0" w:oddVBand="0" w:evenVBand="0" w:oddHBand="1" w:evenHBand="0" w:firstRowFirstColumn="0" w:firstRowLastColumn="0" w:lastRowFirstColumn="0" w:lastRowLastColumn="0"/>
            </w:pPr>
            <w:r>
              <w:t xml:space="preserve">As the property or infrastructure degrades over time, there should be no release of contaminants </w:t>
            </w:r>
            <w:r w:rsidR="65F0D34C">
              <w:t xml:space="preserve">or materials </w:t>
            </w:r>
            <w:r>
              <w:t>that will have detrimental environmental or human health impacts</w:t>
            </w:r>
            <w:r w:rsidR="000461A7">
              <w:t>.</w:t>
            </w:r>
          </w:p>
        </w:tc>
      </w:tr>
      <w:tr w:rsidR="004F083F" w14:paraId="1AE7A5DE" w14:textId="77777777" w:rsidTr="00B70223">
        <w:trPr>
          <w:cantSplit/>
        </w:trPr>
        <w:tc>
          <w:tcPr>
            <w:cnfStyle w:val="001000000000" w:firstRow="0" w:lastRow="0" w:firstColumn="1" w:lastColumn="0" w:oddVBand="0" w:evenVBand="0" w:oddHBand="0" w:evenHBand="0" w:firstRowFirstColumn="0" w:firstRowLastColumn="0" w:lastRowFirstColumn="0" w:lastRowLastColumn="0"/>
            <w:tcW w:w="1109" w:type="pct"/>
            <w:shd w:val="clear" w:color="auto" w:fill="auto"/>
          </w:tcPr>
          <w:p w14:paraId="1CC0E6B4" w14:textId="2B7FD667" w:rsidR="004F083F" w:rsidRDefault="004F083F" w:rsidP="004F083F">
            <w:r>
              <w:t>Structures containing plastic (for example, plastic reinforced concrete)</w:t>
            </w:r>
            <w:r w:rsidR="000461A7">
              <w:t>.</w:t>
            </w:r>
          </w:p>
          <w:p w14:paraId="38948D33" w14:textId="77777777" w:rsidR="004F083F" w:rsidRDefault="004F083F" w:rsidP="004F083F"/>
        </w:tc>
        <w:tc>
          <w:tcPr>
            <w:tcW w:w="1561" w:type="pct"/>
          </w:tcPr>
          <w:p w14:paraId="2F5F4236" w14:textId="77777777" w:rsidR="004F083F" w:rsidRPr="009116BF" w:rsidRDefault="00FA1DDD" w:rsidP="004F083F">
            <w:pPr>
              <w:pStyle w:val="ListParagraph"/>
              <w:numPr>
                <w:ilvl w:val="0"/>
                <w:numId w:val="37"/>
              </w:numPr>
              <w:contextualSpacing/>
              <w:cnfStyle w:val="000000000000" w:firstRow="0" w:lastRow="0" w:firstColumn="0" w:lastColumn="0" w:oddVBand="0" w:evenVBand="0" w:oddHBand="0" w:evenHBand="0" w:firstRowFirstColumn="0" w:firstRowLastColumn="0" w:lastRowFirstColumn="0" w:lastRowLastColumn="0"/>
            </w:pPr>
            <w:hyperlink r:id="rId60">
              <w:r w:rsidR="2A9174DB" w:rsidRPr="6C46C732">
                <w:rPr>
                  <w:rStyle w:val="Hyperlink"/>
                </w:rPr>
                <w:t>IMO Resolution A.672(16)</w:t>
              </w:r>
            </w:hyperlink>
          </w:p>
          <w:p w14:paraId="747BDBA5" w14:textId="77777777" w:rsidR="004F083F" w:rsidRPr="004F083F" w:rsidRDefault="00FA1DDD" w:rsidP="004F083F">
            <w:pPr>
              <w:pStyle w:val="ListParagraph"/>
              <w:numPr>
                <w:ilvl w:val="0"/>
                <w:numId w:val="37"/>
              </w:numPr>
              <w:contextualSpacing/>
              <w:cnfStyle w:val="000000000000" w:firstRow="0" w:lastRow="0" w:firstColumn="0" w:lastColumn="0" w:oddVBand="0" w:evenVBand="0" w:oddHBand="0" w:evenHBand="0" w:firstRowFirstColumn="0" w:firstRowLastColumn="0" w:lastRowFirstColumn="0" w:lastRowLastColumn="0"/>
              <w:rPr>
                <w:rStyle w:val="Hyperlink"/>
                <w:rFonts w:cstheme="minorHAnsi"/>
                <w:color w:val="auto"/>
                <w:u w:val="none"/>
              </w:rPr>
            </w:pPr>
            <w:hyperlink r:id="rId61">
              <w:r w:rsidR="2A9174DB" w:rsidRPr="6C46C732">
                <w:rPr>
                  <w:rStyle w:val="Hyperlink"/>
                </w:rPr>
                <w:t>London Protocol RSG</w:t>
              </w:r>
            </w:hyperlink>
          </w:p>
          <w:p w14:paraId="4EA63477" w14:textId="77777777" w:rsidR="004F083F" w:rsidRPr="00135DAB" w:rsidRDefault="00FA1DDD" w:rsidP="004F083F">
            <w:pPr>
              <w:pStyle w:val="ListParagraph"/>
              <w:numPr>
                <w:ilvl w:val="0"/>
                <w:numId w:val="37"/>
              </w:numPr>
              <w:contextualSpacing/>
              <w:cnfStyle w:val="000000000000" w:firstRow="0" w:lastRow="0" w:firstColumn="0" w:lastColumn="0" w:oddVBand="0" w:evenVBand="0" w:oddHBand="0" w:evenHBand="0" w:firstRowFirstColumn="0" w:firstRowLastColumn="0" w:lastRowFirstColumn="0" w:lastRowLastColumn="0"/>
              <w:rPr>
                <w:rStyle w:val="Hyperlink"/>
                <w:rFonts w:cstheme="minorHAnsi"/>
                <w:color w:val="auto"/>
                <w:u w:val="none"/>
              </w:rPr>
            </w:pPr>
            <w:hyperlink r:id="rId62">
              <w:r w:rsidR="2A9174DB" w:rsidRPr="6C46C732">
                <w:rPr>
                  <w:rStyle w:val="Hyperlink"/>
                </w:rPr>
                <w:t>Threat Abatement Plan for the impacts of marine debris on the vertebrate wildlife of Australia’s coasts and oceans (2018)</w:t>
              </w:r>
            </w:hyperlink>
          </w:p>
          <w:p w14:paraId="35F9B5DE" w14:textId="77777777" w:rsidR="004F083F" w:rsidRDefault="004F083F" w:rsidP="004F083F">
            <w:pPr>
              <w:cnfStyle w:val="000000000000" w:firstRow="0" w:lastRow="0" w:firstColumn="0" w:lastColumn="0" w:oddVBand="0" w:evenVBand="0" w:oddHBand="0" w:evenHBand="0" w:firstRowFirstColumn="0" w:firstRowLastColumn="0" w:lastRowFirstColumn="0" w:lastRowLastColumn="0"/>
            </w:pPr>
          </w:p>
        </w:tc>
        <w:tc>
          <w:tcPr>
            <w:tcW w:w="2330" w:type="pct"/>
          </w:tcPr>
          <w:p w14:paraId="421801F9" w14:textId="4C0709EC" w:rsidR="004F083F" w:rsidRPr="00B6481F" w:rsidRDefault="2A9174DB" w:rsidP="00772B59">
            <w:pPr>
              <w:pStyle w:val="ListParagraph"/>
              <w:numPr>
                <w:ilvl w:val="0"/>
                <w:numId w:val="37"/>
              </w:numPr>
              <w:contextualSpacing/>
              <w:cnfStyle w:val="000000000000" w:firstRow="0" w:lastRow="0" w:firstColumn="0" w:lastColumn="0" w:oddVBand="0" w:evenVBand="0" w:oddHBand="0" w:evenHBand="0" w:firstRowFirstColumn="0" w:firstRowLastColumn="0" w:lastRowFirstColumn="0" w:lastRowLastColumn="0"/>
            </w:pPr>
            <w:r>
              <w:t>The property or infrastructure should not have a detrimental impact on the environment now or in the future</w:t>
            </w:r>
            <w:r w:rsidR="000461A7">
              <w:t>.</w:t>
            </w:r>
          </w:p>
          <w:p w14:paraId="2E108340" w14:textId="2AAD4F7D" w:rsidR="004F083F" w:rsidRPr="00B6481F" w:rsidRDefault="2A9174DB" w:rsidP="00772B59">
            <w:pPr>
              <w:pStyle w:val="ListParagraph"/>
              <w:numPr>
                <w:ilvl w:val="0"/>
                <w:numId w:val="37"/>
              </w:numPr>
              <w:contextualSpacing/>
              <w:cnfStyle w:val="000000000000" w:firstRow="0" w:lastRow="0" w:firstColumn="0" w:lastColumn="0" w:oddVBand="0" w:evenVBand="0" w:oddHBand="0" w:evenHBand="0" w:firstRowFirstColumn="0" w:firstRowLastColumn="0" w:lastRowFirstColumn="0" w:lastRowLastColumn="0"/>
            </w:pPr>
            <w:r>
              <w:t>The property or infrastructure should not cause a navigational impact or risk of interference with other users of the sea</w:t>
            </w:r>
            <w:r w:rsidR="000461A7">
              <w:t>.</w:t>
            </w:r>
          </w:p>
          <w:p w14:paraId="4A880744" w14:textId="58323C84" w:rsidR="004F083F" w:rsidRPr="00B6481F" w:rsidRDefault="2A9174DB" w:rsidP="00772B59">
            <w:pPr>
              <w:pStyle w:val="ListParagraph"/>
              <w:numPr>
                <w:ilvl w:val="0"/>
                <w:numId w:val="37"/>
              </w:numPr>
              <w:contextualSpacing/>
              <w:cnfStyle w:val="000000000000" w:firstRow="0" w:lastRow="0" w:firstColumn="0" w:lastColumn="0" w:oddVBand="0" w:evenVBand="0" w:oddHBand="0" w:evenHBand="0" w:firstRowFirstColumn="0" w:firstRowLastColumn="0" w:lastRowFirstColumn="0" w:lastRowLastColumn="0"/>
            </w:pPr>
            <w:r>
              <w:t>There should be no movement of property or infrastructure over time</w:t>
            </w:r>
            <w:r w:rsidR="00CB25AF">
              <w:t>.</w:t>
            </w:r>
          </w:p>
          <w:p w14:paraId="4B6E2217" w14:textId="2F55E5AA" w:rsidR="00772B59" w:rsidRDefault="00772B59" w:rsidP="00772B59">
            <w:pPr>
              <w:pStyle w:val="ListParagraph"/>
              <w:numPr>
                <w:ilvl w:val="0"/>
                <w:numId w:val="37"/>
              </w:numPr>
              <w:contextualSpacing/>
              <w:cnfStyle w:val="000000000000" w:firstRow="0" w:lastRow="0" w:firstColumn="0" w:lastColumn="0" w:oddVBand="0" w:evenVBand="0" w:oddHBand="0" w:evenHBand="0" w:firstRowFirstColumn="0" w:firstRowLastColumn="0" w:lastRowFirstColumn="0" w:lastRowLastColumn="0"/>
            </w:pPr>
            <w:r>
              <w:t>Arrangements are clearly established for the management of property which is not removed</w:t>
            </w:r>
            <w:r w:rsidR="000461A7">
              <w:t>.</w:t>
            </w:r>
            <w:r>
              <w:t xml:space="preserve"> </w:t>
            </w:r>
          </w:p>
          <w:p w14:paraId="7FE2910F" w14:textId="611630A6" w:rsidR="5546279B" w:rsidRDefault="5259C702" w:rsidP="00772B59">
            <w:pPr>
              <w:pStyle w:val="ListParagraph"/>
              <w:numPr>
                <w:ilvl w:val="0"/>
                <w:numId w:val="37"/>
              </w:numPr>
              <w:contextualSpacing/>
              <w:cnfStyle w:val="000000000000" w:firstRow="0" w:lastRow="0" w:firstColumn="0" w:lastColumn="0" w:oddVBand="0" w:evenVBand="0" w:oddHBand="0" w:evenHBand="0" w:firstRowFirstColumn="0" w:firstRowLastColumn="0" w:lastRowFirstColumn="0" w:lastRowLastColumn="0"/>
            </w:pPr>
            <w:r>
              <w:t>Technical feasibility of removing the property or infrastructure without unacceptable safety risks or environmental impact.</w:t>
            </w:r>
          </w:p>
          <w:p w14:paraId="47C2E568" w14:textId="0FC71B64" w:rsidR="004F083F" w:rsidRDefault="2A9174DB" w:rsidP="00772B59">
            <w:pPr>
              <w:pStyle w:val="ListParagraph"/>
              <w:numPr>
                <w:ilvl w:val="0"/>
                <w:numId w:val="37"/>
              </w:numPr>
              <w:contextualSpacing/>
              <w:cnfStyle w:val="000000000000" w:firstRow="0" w:lastRow="0" w:firstColumn="0" w:lastColumn="0" w:oddVBand="0" w:evenVBand="0" w:oddHBand="0" w:evenHBand="0" w:firstRowFirstColumn="0" w:firstRowLastColumn="0" w:lastRowFirstColumn="0" w:lastRowLastColumn="0"/>
            </w:pPr>
            <w:r>
              <w:t xml:space="preserve">As the property or infrastructure degrades over time, there should be no release of contaminants </w:t>
            </w:r>
            <w:r w:rsidR="72EAD2B4">
              <w:t xml:space="preserve">or materials </w:t>
            </w:r>
            <w:r>
              <w:t>that will have detrimental environmental or human health impacts</w:t>
            </w:r>
            <w:r w:rsidR="000461A7">
              <w:t>.</w:t>
            </w:r>
          </w:p>
        </w:tc>
      </w:tr>
      <w:tr w:rsidR="004F083F" w14:paraId="2266082B" w14:textId="77777777" w:rsidTr="00B7022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09" w:type="pct"/>
            <w:shd w:val="clear" w:color="auto" w:fill="auto"/>
          </w:tcPr>
          <w:p w14:paraId="60D13810" w14:textId="060EC43C" w:rsidR="004F083F" w:rsidRDefault="004F083F" w:rsidP="004F083F">
            <w:r>
              <w:rPr>
                <w:rFonts w:cstheme="minorHAnsi"/>
              </w:rPr>
              <w:t>Steel pile jacket components</w:t>
            </w:r>
            <w:r w:rsidR="001F6A5B">
              <w:rPr>
                <w:rFonts w:cstheme="minorHAnsi"/>
              </w:rPr>
              <w:t>.</w:t>
            </w:r>
          </w:p>
        </w:tc>
        <w:tc>
          <w:tcPr>
            <w:tcW w:w="1561" w:type="pct"/>
          </w:tcPr>
          <w:p w14:paraId="0AD52481" w14:textId="77777777" w:rsidR="004F083F" w:rsidRPr="009116BF" w:rsidRDefault="00FA1DDD" w:rsidP="00E073FD">
            <w:pPr>
              <w:pStyle w:val="ListParagraph"/>
              <w:numPr>
                <w:ilvl w:val="0"/>
                <w:numId w:val="38"/>
              </w:numPr>
              <w:contextualSpacing/>
              <w:cnfStyle w:val="000000100000" w:firstRow="0" w:lastRow="0" w:firstColumn="0" w:lastColumn="0" w:oddVBand="0" w:evenVBand="0" w:oddHBand="1" w:evenHBand="0" w:firstRowFirstColumn="0" w:firstRowLastColumn="0" w:lastRowFirstColumn="0" w:lastRowLastColumn="0"/>
              <w:rPr>
                <w:rFonts w:cstheme="minorHAnsi"/>
              </w:rPr>
            </w:pPr>
            <w:hyperlink r:id="rId63" w:history="1">
              <w:r w:rsidR="004F083F" w:rsidRPr="009116BF">
                <w:rPr>
                  <w:rStyle w:val="Hyperlink"/>
                  <w:rFonts w:cstheme="minorHAnsi"/>
                </w:rPr>
                <w:t>IMO Resolution A.672(16)</w:t>
              </w:r>
            </w:hyperlink>
          </w:p>
          <w:p w14:paraId="2DE62DCC" w14:textId="49D08BE2" w:rsidR="004F083F" w:rsidRPr="00E073FD" w:rsidRDefault="00FA1DDD" w:rsidP="00E073FD">
            <w:pPr>
              <w:pStyle w:val="ListParagraph"/>
              <w:numPr>
                <w:ilvl w:val="0"/>
                <w:numId w:val="38"/>
              </w:numPr>
              <w:contextualSpacing/>
              <w:cnfStyle w:val="000000100000" w:firstRow="0" w:lastRow="0" w:firstColumn="0" w:lastColumn="0" w:oddVBand="0" w:evenVBand="0" w:oddHBand="1" w:evenHBand="0" w:firstRowFirstColumn="0" w:firstRowLastColumn="0" w:lastRowFirstColumn="0" w:lastRowLastColumn="0"/>
              <w:rPr>
                <w:rFonts w:cstheme="minorHAnsi"/>
              </w:rPr>
            </w:pPr>
            <w:hyperlink r:id="rId64" w:history="1">
              <w:r w:rsidR="00E073FD" w:rsidRPr="009116BF">
                <w:rPr>
                  <w:rStyle w:val="Hyperlink"/>
                  <w:rFonts w:cstheme="minorHAnsi"/>
                </w:rPr>
                <w:t>London Protocol RSG</w:t>
              </w:r>
            </w:hyperlink>
            <w:r w:rsidR="004F083F" w:rsidRPr="5954FFFF">
              <w:t xml:space="preserve"> – Guideline 3.4.2</w:t>
            </w:r>
          </w:p>
          <w:p w14:paraId="5560B193" w14:textId="77777777" w:rsidR="004F083F" w:rsidRDefault="004F083F" w:rsidP="004F083F">
            <w:pPr>
              <w:cnfStyle w:val="000000100000" w:firstRow="0" w:lastRow="0" w:firstColumn="0" w:lastColumn="0" w:oddVBand="0" w:evenVBand="0" w:oddHBand="1" w:evenHBand="0" w:firstRowFirstColumn="0" w:firstRowLastColumn="0" w:lastRowFirstColumn="0" w:lastRowLastColumn="0"/>
            </w:pPr>
          </w:p>
        </w:tc>
        <w:tc>
          <w:tcPr>
            <w:tcW w:w="2330" w:type="pct"/>
          </w:tcPr>
          <w:p w14:paraId="7277C924" w14:textId="6E4BAE85" w:rsidR="004F083F" w:rsidRDefault="004F083F" w:rsidP="00772B59">
            <w:pPr>
              <w:pStyle w:val="ListParagraph"/>
              <w:numPr>
                <w:ilvl w:val="0"/>
                <w:numId w:val="38"/>
              </w:numPr>
              <w:contextualSpacing/>
              <w:cnfStyle w:val="000000100000" w:firstRow="0" w:lastRow="0" w:firstColumn="0" w:lastColumn="0" w:oddVBand="0" w:evenVBand="0" w:oddHBand="1" w:evenHBand="0" w:firstRowFirstColumn="0" w:firstRowLastColumn="0" w:lastRowFirstColumn="0" w:lastRowLastColumn="0"/>
            </w:pPr>
            <w:r>
              <w:t>The property or infrastructure should not cause a navigational impact or risk of interference with other users of the sea</w:t>
            </w:r>
            <w:r w:rsidR="001F6A5B">
              <w:t>.</w:t>
            </w:r>
          </w:p>
          <w:p w14:paraId="786C68B4" w14:textId="039915F3" w:rsidR="004F083F" w:rsidRDefault="2A9174DB" w:rsidP="00772B59">
            <w:pPr>
              <w:pStyle w:val="ListParagraph"/>
              <w:numPr>
                <w:ilvl w:val="0"/>
                <w:numId w:val="38"/>
              </w:numPr>
              <w:contextualSpacing/>
              <w:cnfStyle w:val="000000100000" w:firstRow="0" w:lastRow="0" w:firstColumn="0" w:lastColumn="0" w:oddVBand="0" w:evenVBand="0" w:oddHBand="1" w:evenHBand="0" w:firstRowFirstColumn="0" w:firstRowLastColumn="0" w:lastRowFirstColumn="0" w:lastRowLastColumn="0"/>
            </w:pPr>
            <w:r>
              <w:t xml:space="preserve">The property or infrastructure should not have a detrimental </w:t>
            </w:r>
            <w:r w:rsidR="6F293694">
              <w:t>impact</w:t>
            </w:r>
            <w:r>
              <w:t xml:space="preserve"> on the environment now or in the future</w:t>
            </w:r>
            <w:r w:rsidR="001F6A5B">
              <w:t>.</w:t>
            </w:r>
          </w:p>
          <w:p w14:paraId="3F9023B3" w14:textId="6BC4CD3A" w:rsidR="00E073FD" w:rsidRDefault="004F083F" w:rsidP="00772B59">
            <w:pPr>
              <w:pStyle w:val="ListParagraph"/>
              <w:numPr>
                <w:ilvl w:val="0"/>
                <w:numId w:val="38"/>
              </w:numPr>
              <w:contextualSpacing/>
              <w:cnfStyle w:val="000000100000" w:firstRow="0" w:lastRow="0" w:firstColumn="0" w:lastColumn="0" w:oddVBand="0" w:evenVBand="0" w:oddHBand="1" w:evenHBand="0" w:firstRowFirstColumn="0" w:firstRowLastColumn="0" w:lastRowFirstColumn="0" w:lastRowLastColumn="0"/>
            </w:pPr>
            <w:r>
              <w:t>There should be no movement of property or infrastructure over time</w:t>
            </w:r>
            <w:r w:rsidR="001F6A5B">
              <w:t>.</w:t>
            </w:r>
          </w:p>
          <w:p w14:paraId="569331C9" w14:textId="6C2430ED" w:rsidR="00772B59" w:rsidRDefault="00772B59" w:rsidP="00772B59">
            <w:pPr>
              <w:pStyle w:val="ListParagraph"/>
              <w:numPr>
                <w:ilvl w:val="0"/>
                <w:numId w:val="38"/>
              </w:numPr>
              <w:contextualSpacing/>
              <w:cnfStyle w:val="000000100000" w:firstRow="0" w:lastRow="0" w:firstColumn="0" w:lastColumn="0" w:oddVBand="0" w:evenVBand="0" w:oddHBand="1" w:evenHBand="0" w:firstRowFirstColumn="0" w:firstRowLastColumn="0" w:lastRowFirstColumn="0" w:lastRowLastColumn="0"/>
            </w:pPr>
            <w:r>
              <w:t>Arrangements are clearly established for the management of property which is not removed</w:t>
            </w:r>
            <w:r w:rsidR="001F6A5B">
              <w:t>.</w:t>
            </w:r>
            <w:r>
              <w:t xml:space="preserve"> </w:t>
            </w:r>
          </w:p>
          <w:p w14:paraId="2EDC266F" w14:textId="086F3F7B" w:rsidR="5546279B" w:rsidRDefault="24F14C0A" w:rsidP="00772B59">
            <w:pPr>
              <w:pStyle w:val="ListParagraph"/>
              <w:numPr>
                <w:ilvl w:val="0"/>
                <w:numId w:val="38"/>
              </w:numPr>
              <w:contextualSpacing/>
              <w:cnfStyle w:val="000000100000" w:firstRow="0" w:lastRow="0" w:firstColumn="0" w:lastColumn="0" w:oddVBand="0" w:evenVBand="0" w:oddHBand="1" w:evenHBand="0" w:firstRowFirstColumn="0" w:firstRowLastColumn="0" w:lastRowFirstColumn="0" w:lastRowLastColumn="0"/>
            </w:pPr>
            <w:r>
              <w:t>Technical feasibility of removing the property or infrastructure without unacceptable safety risks or environmental impact.</w:t>
            </w:r>
          </w:p>
          <w:p w14:paraId="79894697" w14:textId="445C0286" w:rsidR="004F083F" w:rsidRDefault="2A9D3A55" w:rsidP="00772B59">
            <w:pPr>
              <w:pStyle w:val="ListParagraph"/>
              <w:numPr>
                <w:ilvl w:val="0"/>
                <w:numId w:val="38"/>
              </w:numPr>
              <w:contextualSpacing/>
              <w:cnfStyle w:val="000000100000" w:firstRow="0" w:lastRow="0" w:firstColumn="0" w:lastColumn="0" w:oddVBand="0" w:evenVBand="0" w:oddHBand="1" w:evenHBand="0" w:firstRowFirstColumn="0" w:firstRowLastColumn="0" w:lastRowFirstColumn="0" w:lastRowLastColumn="0"/>
            </w:pPr>
            <w:r>
              <w:t xml:space="preserve">As the property or infrastructure degrades over time, there should be no release of contaminants </w:t>
            </w:r>
            <w:r w:rsidR="5E01489D">
              <w:t xml:space="preserve">or materials </w:t>
            </w:r>
            <w:r>
              <w:t>that will have detrimental environmental or human health impacts</w:t>
            </w:r>
            <w:r w:rsidR="001F6A5B">
              <w:t>.</w:t>
            </w:r>
            <w:r>
              <w:t xml:space="preserve"> </w:t>
            </w:r>
          </w:p>
        </w:tc>
      </w:tr>
    </w:tbl>
    <w:p w14:paraId="440F2ACC" w14:textId="77777777" w:rsidR="009A59C6" w:rsidRDefault="009A59C6" w:rsidP="00CA67C8">
      <w:bookmarkStart w:id="71" w:name="_Toc19023744"/>
      <w:bookmarkEnd w:id="42"/>
    </w:p>
    <w:p w14:paraId="617E6F12" w14:textId="77777777" w:rsidR="009A59C6" w:rsidRDefault="009A59C6">
      <w:pPr>
        <w:spacing w:before="0" w:after="160" w:line="259" w:lineRule="auto"/>
        <w:rPr>
          <w:rFonts w:asciiTheme="majorHAnsi" w:eastAsiaTheme="majorEastAsia" w:hAnsiTheme="majorHAnsi" w:cstheme="majorBidi"/>
          <w:color w:val="15659B" w:themeColor="accent4"/>
          <w:sz w:val="48"/>
          <w:szCs w:val="32"/>
        </w:rPr>
      </w:pPr>
      <w:r>
        <w:br w:type="page"/>
      </w:r>
    </w:p>
    <w:p w14:paraId="08EDBBCE" w14:textId="14E99ED1" w:rsidR="002D230B" w:rsidRDefault="2CB32FDC" w:rsidP="00CA67C8">
      <w:pPr>
        <w:pStyle w:val="Heading2"/>
      </w:pPr>
      <w:bookmarkStart w:id="72" w:name="_Toc165029075"/>
      <w:bookmarkStart w:id="73" w:name="_Toc166848343"/>
      <w:r>
        <w:t>Resources</w:t>
      </w:r>
      <w:bookmarkEnd w:id="72"/>
      <w:bookmarkEnd w:id="73"/>
    </w:p>
    <w:p w14:paraId="06E1EC46" w14:textId="40749BCC" w:rsidR="0076144A" w:rsidRDefault="0076144A" w:rsidP="00CA67C8">
      <w:pPr>
        <w:pStyle w:val="Heading3"/>
      </w:pPr>
      <w:bookmarkStart w:id="74" w:name="_Toc165029076"/>
      <w:bookmarkStart w:id="75" w:name="_Toc166848344"/>
      <w:r>
        <w:t>Australian Government legislation</w:t>
      </w:r>
      <w:bookmarkEnd w:id="74"/>
      <w:bookmarkEnd w:id="75"/>
    </w:p>
    <w:p w14:paraId="7DF26CF7" w14:textId="2EE30516" w:rsidR="00E073FD" w:rsidRPr="00CA67C8" w:rsidRDefault="00FA1DDD" w:rsidP="00CA67C8">
      <w:pPr>
        <w:pStyle w:val="ListParagraph"/>
        <w:numPr>
          <w:ilvl w:val="0"/>
          <w:numId w:val="48"/>
        </w:numPr>
      </w:pPr>
      <w:hyperlink r:id="rId65" w:history="1">
        <w:r w:rsidR="00E073FD" w:rsidRPr="00576F04">
          <w:rPr>
            <w:rStyle w:val="Hyperlink"/>
            <w:i/>
            <w:iCs/>
          </w:rPr>
          <w:t>Environment Protection (Sea Dumping) Act 1981</w:t>
        </w:r>
      </w:hyperlink>
    </w:p>
    <w:p w14:paraId="584B3990" w14:textId="77777777" w:rsidR="00E073FD" w:rsidRPr="006022C1" w:rsidRDefault="00FA1DDD" w:rsidP="00CA67C8">
      <w:pPr>
        <w:pStyle w:val="ListParagraph"/>
        <w:numPr>
          <w:ilvl w:val="0"/>
          <w:numId w:val="48"/>
        </w:numPr>
      </w:pPr>
      <w:hyperlink r:id="rId66" w:history="1">
        <w:hyperlink r:id="rId67" w:history="1">
          <w:r w:rsidR="00E073FD" w:rsidRPr="006022C1">
            <w:rPr>
              <w:rStyle w:val="Hyperlink"/>
            </w:rPr>
            <w:t>Environment Protection (Sea Dumping) Regulations 1983</w:t>
          </w:r>
        </w:hyperlink>
      </w:hyperlink>
    </w:p>
    <w:p w14:paraId="58EC30A3" w14:textId="1E4B6BAC" w:rsidR="00E073FD" w:rsidRPr="004E3D7D" w:rsidRDefault="006022C1" w:rsidP="00CA67C8">
      <w:pPr>
        <w:pStyle w:val="ListParagraph"/>
        <w:numPr>
          <w:ilvl w:val="0"/>
          <w:numId w:val="48"/>
        </w:numPr>
        <w:rPr>
          <w:rStyle w:val="Hyperlink"/>
          <w:i/>
          <w:iCs/>
        </w:rPr>
      </w:pPr>
      <w:r w:rsidRPr="62EF8448">
        <w:rPr>
          <w:i/>
          <w:iCs/>
        </w:rPr>
        <w:fldChar w:fldCharType="begin"/>
      </w:r>
      <w:r w:rsidRPr="00CA67C8">
        <w:rPr>
          <w:i/>
          <w:iCs/>
        </w:rPr>
        <w:instrText xml:space="preserve"> HYPERLINK "https://www.legislation.gov.au/Details/C2023C00337" </w:instrText>
      </w:r>
      <w:r w:rsidRPr="62EF8448">
        <w:rPr>
          <w:i/>
          <w:iCs/>
        </w:rPr>
      </w:r>
      <w:r w:rsidRPr="62EF8448">
        <w:rPr>
          <w:i/>
          <w:iCs/>
        </w:rPr>
        <w:fldChar w:fldCharType="separate"/>
      </w:r>
      <w:r w:rsidR="00E073FD" w:rsidRPr="004E3D7D">
        <w:rPr>
          <w:rStyle w:val="Hyperlink"/>
          <w:i/>
          <w:iCs/>
        </w:rPr>
        <w:t>Offshore Petroleum and Greenhouse Gas Storage Act 2006</w:t>
      </w:r>
    </w:p>
    <w:p w14:paraId="7812C98F" w14:textId="5A5F3B6C" w:rsidR="00E073FD" w:rsidRPr="006022C1" w:rsidRDefault="006022C1" w:rsidP="00CA67C8">
      <w:pPr>
        <w:pStyle w:val="ListParagraph"/>
        <w:numPr>
          <w:ilvl w:val="0"/>
          <w:numId w:val="48"/>
        </w:numPr>
      </w:pPr>
      <w:r w:rsidRPr="62EF8448">
        <w:rPr>
          <w:i/>
          <w:iCs/>
        </w:rPr>
        <w:fldChar w:fldCharType="end"/>
      </w:r>
      <w:hyperlink r:id="rId68" w:history="1">
        <w:hyperlink r:id="rId69" w:history="1">
          <w:hyperlink r:id="rId70" w:history="1">
            <w:r w:rsidR="00E073FD" w:rsidRPr="62EF8448">
              <w:rPr>
                <w:rStyle w:val="Hyperlink"/>
              </w:rPr>
              <w:t xml:space="preserve">Offshore Petroleum and Greenhouse Gas Storage (Environment) Regulations </w:t>
            </w:r>
            <w:r w:rsidRPr="62EF8448">
              <w:rPr>
                <w:rStyle w:val="Hyperlink"/>
              </w:rPr>
              <w:t>2023</w:t>
            </w:r>
          </w:hyperlink>
        </w:hyperlink>
      </w:hyperlink>
    </w:p>
    <w:p w14:paraId="3C798E0F" w14:textId="41D024C1" w:rsidR="29DDD435" w:rsidRDefault="00FA1DDD" w:rsidP="00CA67C8">
      <w:pPr>
        <w:pStyle w:val="ListParagraph"/>
        <w:numPr>
          <w:ilvl w:val="0"/>
          <w:numId w:val="48"/>
        </w:numPr>
      </w:pPr>
      <w:hyperlink r:id="rId71" w:history="1">
        <w:r w:rsidR="29DDD435" w:rsidRPr="62EF8448">
          <w:rPr>
            <w:rStyle w:val="Hyperlink"/>
          </w:rPr>
          <w:t>Offshore Petroleum and Greenhouse Gas Storage (Safety) Regulations 2009</w:t>
        </w:r>
      </w:hyperlink>
    </w:p>
    <w:p w14:paraId="5489A8D1" w14:textId="12777A06" w:rsidR="0076144A" w:rsidRPr="004E3D7D" w:rsidRDefault="00FA1DDD" w:rsidP="00CA67C8">
      <w:pPr>
        <w:pStyle w:val="ListParagraph"/>
        <w:numPr>
          <w:ilvl w:val="0"/>
          <w:numId w:val="48"/>
        </w:numPr>
        <w:rPr>
          <w:i/>
          <w:iCs/>
        </w:rPr>
      </w:pPr>
      <w:hyperlink r:id="rId72" w:history="1">
        <w:r w:rsidR="00E073FD" w:rsidRPr="004E3D7D">
          <w:rPr>
            <w:rStyle w:val="Hyperlink"/>
            <w:i/>
            <w:iCs/>
          </w:rPr>
          <w:t>Environment Protection and Biodiversity Conservation Act 1999</w:t>
        </w:r>
      </w:hyperlink>
    </w:p>
    <w:p w14:paraId="62726F56" w14:textId="41446BBC" w:rsidR="0076144A" w:rsidRDefault="0076144A" w:rsidP="00CA67C8">
      <w:pPr>
        <w:pStyle w:val="Heading3"/>
      </w:pPr>
      <w:bookmarkStart w:id="76" w:name="_Toc165029077"/>
      <w:bookmarkStart w:id="77" w:name="_Toc166848345"/>
      <w:r>
        <w:t>Australian Government policies and guidelines</w:t>
      </w:r>
      <w:bookmarkEnd w:id="76"/>
      <w:bookmarkEnd w:id="77"/>
    </w:p>
    <w:p w14:paraId="1372D741" w14:textId="0816511B" w:rsidR="00E073FD" w:rsidRPr="006022C1" w:rsidRDefault="006022C1" w:rsidP="00CA67C8">
      <w:pPr>
        <w:pStyle w:val="ListParagraph"/>
        <w:numPr>
          <w:ilvl w:val="0"/>
          <w:numId w:val="49"/>
        </w:numPr>
        <w:rPr>
          <w:rStyle w:val="Hyperlink"/>
          <w:rFonts w:asciiTheme="majorHAnsi" w:eastAsiaTheme="majorEastAsia" w:hAnsiTheme="majorHAnsi" w:cstheme="majorBidi"/>
          <w:iCs/>
          <w:sz w:val="28"/>
          <w:szCs w:val="28"/>
        </w:rPr>
      </w:pPr>
      <w:r>
        <w:fldChar w:fldCharType="begin"/>
      </w:r>
      <w:r>
        <w:instrText xml:space="preserve"> HYPERLINK "https://www.industry.gov.au/mining-oil-and-gas/oil-and-gas/offshore-oil-and-gas" </w:instrText>
      </w:r>
      <w:r>
        <w:fldChar w:fldCharType="separate"/>
      </w:r>
      <w:r w:rsidRPr="006022C1">
        <w:rPr>
          <w:rStyle w:val="Hyperlink"/>
        </w:rPr>
        <w:t xml:space="preserve">DISR - </w:t>
      </w:r>
      <w:r w:rsidR="00E073FD" w:rsidRPr="006022C1">
        <w:rPr>
          <w:rStyle w:val="Hyperlink"/>
        </w:rPr>
        <w:t>Offshore oil and gas</w:t>
      </w:r>
    </w:p>
    <w:p w14:paraId="0904F1A1" w14:textId="1DB67340" w:rsidR="001E44B5" w:rsidRDefault="006022C1" w:rsidP="00CA67C8">
      <w:pPr>
        <w:pStyle w:val="ListParagraph"/>
        <w:numPr>
          <w:ilvl w:val="0"/>
          <w:numId w:val="49"/>
        </w:numPr>
      </w:pPr>
      <w:r>
        <w:fldChar w:fldCharType="end"/>
      </w:r>
      <w:hyperlink r:id="rId73" w:history="1">
        <w:r w:rsidR="00E073FD" w:rsidRPr="62EF8448">
          <w:rPr>
            <w:rStyle w:val="Hyperlink"/>
          </w:rPr>
          <w:t>Australian Government Guideline: Offshore petroleum decommissioning</w:t>
        </w:r>
      </w:hyperlink>
      <w:r w:rsidR="001E44B5">
        <w:t xml:space="preserve"> </w:t>
      </w:r>
    </w:p>
    <w:p w14:paraId="3C61F15C" w14:textId="07514CB1" w:rsidR="00E073FD" w:rsidRPr="006022C1" w:rsidRDefault="00FA1DDD" w:rsidP="00CA67C8">
      <w:pPr>
        <w:pStyle w:val="ListParagraph"/>
        <w:numPr>
          <w:ilvl w:val="0"/>
          <w:numId w:val="49"/>
        </w:numPr>
      </w:pPr>
      <w:hyperlink r:id="rId74" w:history="1">
        <w:r w:rsidR="006022C1" w:rsidRPr="006022C1">
          <w:rPr>
            <w:rStyle w:val="Hyperlink"/>
          </w:rPr>
          <w:t xml:space="preserve">DCCEEW - </w:t>
        </w:r>
        <w:r w:rsidR="00E073FD" w:rsidRPr="006022C1">
          <w:rPr>
            <w:rStyle w:val="Hyperlink"/>
          </w:rPr>
          <w:t>Sea Dumping</w:t>
        </w:r>
      </w:hyperlink>
      <w:r w:rsidR="00E073FD" w:rsidRPr="006022C1">
        <w:t xml:space="preserve"> </w:t>
      </w:r>
    </w:p>
    <w:p w14:paraId="78E5E25C" w14:textId="57DCF1C2" w:rsidR="0076144A" w:rsidRPr="006022C1" w:rsidRDefault="006022C1" w:rsidP="00CA67C8">
      <w:pPr>
        <w:pStyle w:val="ListParagraph"/>
        <w:numPr>
          <w:ilvl w:val="0"/>
          <w:numId w:val="49"/>
        </w:numPr>
        <w:rPr>
          <w:rStyle w:val="Hyperlink"/>
        </w:rPr>
      </w:pPr>
      <w:r w:rsidRPr="00B70223">
        <w:fldChar w:fldCharType="begin"/>
      </w:r>
      <w:r>
        <w:instrText xml:space="preserve"> HYPERLINK "https://www.dcceew.gov.au/environment/marine/sea-dumping/dumping-abandonment-structures" </w:instrText>
      </w:r>
      <w:r w:rsidRPr="00B70223">
        <w:fldChar w:fldCharType="separate"/>
      </w:r>
      <w:r w:rsidRPr="006022C1">
        <w:rPr>
          <w:rStyle w:val="Hyperlink"/>
        </w:rPr>
        <w:t xml:space="preserve">DCCEEW - </w:t>
      </w:r>
      <w:r w:rsidR="00E073FD" w:rsidRPr="006022C1">
        <w:rPr>
          <w:rStyle w:val="Hyperlink"/>
        </w:rPr>
        <w:t>Dumping and abandonment of offshore oil and gas platforms and structures at sea</w:t>
      </w:r>
    </w:p>
    <w:p w14:paraId="306FFE7A" w14:textId="43D6AB3D" w:rsidR="0076144A" w:rsidRDefault="006022C1" w:rsidP="00CA67C8">
      <w:pPr>
        <w:pStyle w:val="Heading3"/>
      </w:pPr>
      <w:r w:rsidRPr="00B70223">
        <w:rPr>
          <w:rFonts w:asciiTheme="minorHAnsi" w:eastAsiaTheme="minorEastAsia" w:hAnsiTheme="minorHAnsi" w:cstheme="minorBidi"/>
          <w:color w:val="auto"/>
          <w:sz w:val="20"/>
          <w:szCs w:val="20"/>
        </w:rPr>
        <w:fldChar w:fldCharType="end"/>
      </w:r>
      <w:bookmarkStart w:id="78" w:name="_Toc165029078"/>
      <w:bookmarkStart w:id="79" w:name="_Toc166848346"/>
      <w:r w:rsidR="0076144A">
        <w:t xml:space="preserve">NOPSEMA </w:t>
      </w:r>
      <w:r w:rsidR="005C4FB5">
        <w:t>g</w:t>
      </w:r>
      <w:r w:rsidR="0076144A">
        <w:t>uidance</w:t>
      </w:r>
      <w:bookmarkEnd w:id="78"/>
      <w:bookmarkEnd w:id="79"/>
      <w:r w:rsidR="0076144A">
        <w:t xml:space="preserve"> </w:t>
      </w:r>
    </w:p>
    <w:p w14:paraId="2B068172" w14:textId="77777777" w:rsidR="00E073FD" w:rsidRPr="006022C1" w:rsidRDefault="00FA1DDD" w:rsidP="00CA67C8">
      <w:pPr>
        <w:pStyle w:val="ListParagraph"/>
        <w:numPr>
          <w:ilvl w:val="0"/>
          <w:numId w:val="50"/>
        </w:numPr>
      </w:pPr>
      <w:hyperlink r:id="rId75">
        <w:r w:rsidR="00E073FD" w:rsidRPr="006022C1">
          <w:rPr>
            <w:rStyle w:val="Hyperlink"/>
          </w:rPr>
          <w:t>NOPSEMA - Decommissioning</w:t>
        </w:r>
      </w:hyperlink>
    </w:p>
    <w:p w14:paraId="092DA3DB" w14:textId="5B564294" w:rsidR="00FA0A09" w:rsidRDefault="00FA1DDD" w:rsidP="00CA67C8">
      <w:pPr>
        <w:pStyle w:val="ListParagraph"/>
        <w:numPr>
          <w:ilvl w:val="0"/>
          <w:numId w:val="50"/>
        </w:numPr>
      </w:pPr>
      <w:hyperlink r:id="rId76" w:history="1">
        <w:r w:rsidR="00FA0A09" w:rsidRPr="62EF8448">
          <w:rPr>
            <w:rStyle w:val="Hyperlink"/>
          </w:rPr>
          <w:t xml:space="preserve">NOPSEMA </w:t>
        </w:r>
        <w:r w:rsidR="001A3A47">
          <w:rPr>
            <w:rStyle w:val="Hyperlink"/>
          </w:rPr>
          <w:t>-</w:t>
        </w:r>
        <w:r w:rsidR="00FA0A09" w:rsidRPr="62EF8448">
          <w:rPr>
            <w:rStyle w:val="Hyperlink"/>
          </w:rPr>
          <w:t xml:space="preserve"> N-00500-PL1903 A720369 Section 572 maintenance and removal of property</w:t>
        </w:r>
      </w:hyperlink>
      <w:r w:rsidR="00FA0A09">
        <w:t xml:space="preserve"> </w:t>
      </w:r>
    </w:p>
    <w:p w14:paraId="1BAE0B76" w14:textId="49667087" w:rsidR="00FA0A09" w:rsidRPr="001E44B5" w:rsidRDefault="001E44B5" w:rsidP="00CA67C8">
      <w:pPr>
        <w:pStyle w:val="ListParagraph"/>
        <w:numPr>
          <w:ilvl w:val="0"/>
          <w:numId w:val="50"/>
        </w:numPr>
        <w:rPr>
          <w:rStyle w:val="Hyperlink"/>
        </w:rPr>
      </w:pPr>
      <w:r>
        <w:fldChar w:fldCharType="begin"/>
      </w:r>
      <w:r>
        <w:instrText xml:space="preserve"> HYPERLINK "https://www.nopsema.gov.au/document-hub/guidelines" </w:instrText>
      </w:r>
      <w:r>
        <w:fldChar w:fldCharType="separate"/>
      </w:r>
      <w:hyperlink r:id="rId77" w:history="1">
        <w:r w:rsidR="3A6B66E9" w:rsidRPr="001E44B5">
          <w:rPr>
            <w:rStyle w:val="Hyperlink"/>
          </w:rPr>
          <w:t xml:space="preserve">NOPSEMA </w:t>
        </w:r>
        <w:r w:rsidR="001A3A47">
          <w:rPr>
            <w:rStyle w:val="Hyperlink"/>
          </w:rPr>
          <w:t>-</w:t>
        </w:r>
        <w:r w:rsidR="3A6B66E9" w:rsidRPr="001E44B5">
          <w:rPr>
            <w:rStyle w:val="Hyperlink"/>
          </w:rPr>
          <w:t xml:space="preserve"> N-04750-GL2086 A900179 Consultation in the course of preparing an environmental plan</w:t>
        </w:r>
      </w:hyperlink>
      <w:r w:rsidR="3A6B66E9" w:rsidRPr="001E44B5">
        <w:rPr>
          <w:rStyle w:val="Hyperlink"/>
        </w:rPr>
        <w:t xml:space="preserve"> </w:t>
      </w:r>
      <w:r w:rsidR="07088AC6" w:rsidRPr="001E44B5">
        <w:rPr>
          <w:rStyle w:val="Hyperlink"/>
        </w:rPr>
        <w:t>guideline</w:t>
      </w:r>
    </w:p>
    <w:p w14:paraId="784D2597" w14:textId="17C65C96" w:rsidR="4593B544" w:rsidRPr="001E44B5" w:rsidRDefault="001E44B5" w:rsidP="00CA67C8">
      <w:pPr>
        <w:pStyle w:val="ListParagraph"/>
        <w:numPr>
          <w:ilvl w:val="0"/>
          <w:numId w:val="50"/>
        </w:numPr>
        <w:rPr>
          <w:rStyle w:val="Hyperlink"/>
          <w:rFonts w:ascii="Aptos" w:eastAsia="Aptos" w:hAnsi="Aptos" w:cs="Aptos"/>
        </w:rPr>
      </w:pPr>
      <w:r>
        <w:fldChar w:fldCharType="end"/>
      </w:r>
      <w:r>
        <w:fldChar w:fldCharType="begin"/>
      </w:r>
      <w:r>
        <w:instrText xml:space="preserve"> HYPERLINK "https://www.nopsema.gov.au/document-hub/guidelines" </w:instrText>
      </w:r>
      <w:r>
        <w:fldChar w:fldCharType="separate"/>
      </w:r>
      <w:r w:rsidR="4593B544" w:rsidRPr="001E44B5">
        <w:rPr>
          <w:rStyle w:val="Hyperlink"/>
        </w:rPr>
        <w:t xml:space="preserve">NOPSEMA - </w:t>
      </w:r>
      <w:r w:rsidR="4593B544" w:rsidRPr="001E44B5">
        <w:rPr>
          <w:rStyle w:val="Hyperlink"/>
          <w:rFonts w:ascii="Aptos" w:eastAsia="Aptos" w:hAnsi="Aptos" w:cs="Aptos"/>
        </w:rPr>
        <w:t>N-04750-GL1721 A524696 Environment Plan decision making guideline</w:t>
      </w:r>
    </w:p>
    <w:p w14:paraId="774EE7B9" w14:textId="7BA5A2FC" w:rsidR="4593B544" w:rsidRPr="001E44B5" w:rsidRDefault="001E44B5" w:rsidP="00CA67C8">
      <w:pPr>
        <w:pStyle w:val="ListParagraph"/>
        <w:numPr>
          <w:ilvl w:val="0"/>
          <w:numId w:val="50"/>
        </w:numPr>
        <w:rPr>
          <w:rStyle w:val="Hyperlink"/>
          <w:rFonts w:ascii="Aptos" w:eastAsia="Aptos" w:hAnsi="Aptos" w:cs="Aptos"/>
        </w:rPr>
      </w:pPr>
      <w:r>
        <w:fldChar w:fldCharType="end"/>
      </w:r>
      <w:r>
        <w:fldChar w:fldCharType="begin"/>
      </w:r>
      <w:r>
        <w:instrText xml:space="preserve"> HYPERLINK "https://www.nopsema.gov.au/document-hub/guidance-notes" </w:instrText>
      </w:r>
      <w:r>
        <w:fldChar w:fldCharType="separate"/>
      </w:r>
      <w:r w:rsidR="4593B544" w:rsidRPr="001E44B5">
        <w:rPr>
          <w:rStyle w:val="Hyperlink"/>
          <w:rFonts w:ascii="Aptos" w:eastAsia="Aptos" w:hAnsi="Aptos" w:cs="Aptos"/>
        </w:rPr>
        <w:t xml:space="preserve">NOPSEMA </w:t>
      </w:r>
      <w:r w:rsidR="001A3A47">
        <w:rPr>
          <w:rStyle w:val="Hyperlink"/>
          <w:rFonts w:ascii="Aptos" w:eastAsia="Aptos" w:hAnsi="Aptos" w:cs="Aptos"/>
        </w:rPr>
        <w:t>-</w:t>
      </w:r>
      <w:r w:rsidR="4593B544" w:rsidRPr="001E44B5">
        <w:rPr>
          <w:rStyle w:val="Hyperlink"/>
          <w:rFonts w:ascii="Aptos" w:eastAsia="Aptos" w:hAnsi="Aptos" w:cs="Aptos"/>
        </w:rPr>
        <w:t xml:space="preserve"> N-04750-GN1344 A339814 Environment Plan content requirement guidance note</w:t>
      </w:r>
    </w:p>
    <w:p w14:paraId="66628F7B" w14:textId="5DB8BEB1" w:rsidR="00FA0A09" w:rsidRDefault="001E44B5" w:rsidP="00CA67C8">
      <w:pPr>
        <w:pStyle w:val="Heading3"/>
      </w:pPr>
      <w:r>
        <w:rPr>
          <w:rFonts w:ascii="Aptos" w:eastAsia="Aptos" w:hAnsi="Aptos" w:cs="Aptos"/>
          <w:iCs/>
          <w:color w:val="auto"/>
          <w:sz w:val="20"/>
          <w:szCs w:val="22"/>
        </w:rPr>
        <w:fldChar w:fldCharType="end"/>
      </w:r>
      <w:bookmarkStart w:id="80" w:name="_Toc165029079"/>
      <w:bookmarkStart w:id="81" w:name="_Toc166848347"/>
      <w:r w:rsidR="00FA0A09">
        <w:t>For more information</w:t>
      </w:r>
      <w:bookmarkEnd w:id="80"/>
      <w:bookmarkEnd w:id="81"/>
      <w:r w:rsidR="00FA0A09">
        <w:t xml:space="preserve"> </w:t>
      </w:r>
    </w:p>
    <w:bookmarkEnd w:id="71"/>
    <w:p w14:paraId="2285AC68" w14:textId="7AE2B137" w:rsidR="00E073FD" w:rsidRPr="004E3D7D" w:rsidRDefault="00E073FD" w:rsidP="00CA67C8">
      <w:pPr>
        <w:pStyle w:val="ListParagraph"/>
        <w:numPr>
          <w:ilvl w:val="0"/>
          <w:numId w:val="51"/>
        </w:numPr>
        <w:rPr>
          <w:color w:val="15659B" w:themeColor="accent4"/>
          <w:u w:val="single"/>
        </w:rPr>
      </w:pPr>
      <w:r w:rsidRPr="00576F04">
        <w:fldChar w:fldCharType="begin"/>
      </w:r>
      <w:r w:rsidRPr="00576F04">
        <w:instrText xml:space="preserve">HYPERLINK "https://www.imo.org/en/OurWork/Environment/Pages/London-Convention-Protocol.aspx" </w:instrText>
      </w:r>
      <w:r w:rsidRPr="00576F04">
        <w:fldChar w:fldCharType="separate"/>
      </w:r>
      <w:hyperlink r:id="rId78" w:history="1">
        <w:hyperlink r:id="rId79" w:history="1">
          <w:r w:rsidR="381786E6" w:rsidRPr="00CA67C8">
            <w:rPr>
              <w:rStyle w:val="Hyperlink"/>
              <w:rFonts w:eastAsia="Calibri" w:cs="Calibri"/>
            </w:rPr>
            <w:t>1996 Protocol to the Convention on the Prevention of Marine Pollution by Dumping of Wastes and Other Matter 1972 (the London Protocol)</w:t>
          </w:r>
        </w:hyperlink>
      </w:hyperlink>
      <w:r w:rsidRPr="00576F04">
        <w:fldChar w:fldCharType="end"/>
      </w:r>
    </w:p>
    <w:p w14:paraId="2F5FB02A" w14:textId="586E875D" w:rsidR="00E073FD" w:rsidRPr="004E3D7D" w:rsidRDefault="00FA1DDD" w:rsidP="00455068">
      <w:pPr>
        <w:pStyle w:val="ListParagraph"/>
        <w:numPr>
          <w:ilvl w:val="0"/>
          <w:numId w:val="51"/>
        </w:numPr>
        <w:ind w:left="714" w:hanging="357"/>
        <w:rPr>
          <w:color w:val="15659B" w:themeColor="accent4"/>
          <w:u w:val="single"/>
        </w:rPr>
      </w:pPr>
      <w:hyperlink r:id="rId80" w:history="1">
        <w:r w:rsidR="381786E6" w:rsidRPr="004E3D7D">
          <w:rPr>
            <w:color w:val="15659B" w:themeColor="accent4"/>
            <w:u w:val="single"/>
          </w:rPr>
          <w:t xml:space="preserve">2019 Revised </w:t>
        </w:r>
        <w:r w:rsidR="03ED8E6D" w:rsidRPr="004E3D7D">
          <w:rPr>
            <w:color w:val="15659B" w:themeColor="accent4"/>
            <w:u w:val="single"/>
          </w:rPr>
          <w:t xml:space="preserve">specific </w:t>
        </w:r>
        <w:r w:rsidR="381786E6" w:rsidRPr="004E3D7D">
          <w:rPr>
            <w:color w:val="15659B" w:themeColor="accent4"/>
            <w:u w:val="single"/>
          </w:rPr>
          <w:t>guidance for platforms or other man-made</w:t>
        </w:r>
        <w:r w:rsidR="381786E6" w:rsidRPr="7F615016">
          <w:rPr>
            <w:rStyle w:val="Hyperlink"/>
          </w:rPr>
          <w:t xml:space="preserve"> structures at sea</w:t>
        </w:r>
      </w:hyperlink>
    </w:p>
    <w:p w14:paraId="6E917D64" w14:textId="244C8145" w:rsidR="00E073FD" w:rsidRPr="00CA67C8" w:rsidRDefault="00FA1DDD" w:rsidP="00455068">
      <w:pPr>
        <w:pStyle w:val="ListParagraph"/>
        <w:numPr>
          <w:ilvl w:val="0"/>
          <w:numId w:val="51"/>
        </w:numPr>
        <w:ind w:left="714" w:hanging="357"/>
        <w:rPr>
          <w:rFonts w:eastAsiaTheme="minorEastAsia"/>
        </w:rPr>
      </w:pPr>
      <w:hyperlink r:id="rId81">
        <w:r w:rsidR="381786E6" w:rsidRPr="004E3D7D">
          <w:rPr>
            <w:rStyle w:val="Hyperlink"/>
            <w:rFonts w:eastAsiaTheme="minorEastAsia"/>
          </w:rPr>
          <w:t>IMO Resolution A.672(16) - Guidelines and standards for the removal of offshore installations and structures on the continental shelf and in the Exclusive Economic Zone</w:t>
        </w:r>
      </w:hyperlink>
    </w:p>
    <w:p w14:paraId="5E845857" w14:textId="77777777" w:rsidR="00E073FD" w:rsidRPr="004E3D7D" w:rsidRDefault="00FA1DDD" w:rsidP="00455068">
      <w:pPr>
        <w:pStyle w:val="ListParagraph"/>
        <w:numPr>
          <w:ilvl w:val="0"/>
          <w:numId w:val="51"/>
        </w:numPr>
        <w:ind w:left="714" w:hanging="357"/>
        <w:rPr>
          <w:rFonts w:eastAsiaTheme="minorEastAsia"/>
          <w:color w:val="165788"/>
          <w:u w:val="single"/>
        </w:rPr>
      </w:pPr>
      <w:hyperlink r:id="rId82">
        <w:r w:rsidR="381786E6" w:rsidRPr="004E3D7D">
          <w:rPr>
            <w:rFonts w:eastAsiaTheme="minorEastAsia"/>
            <w:color w:val="165788"/>
            <w:u w:val="single"/>
          </w:rPr>
          <w:t>United Nations Environment Programme Global Mercury Partnership Study report: mercury from oil and gas</w:t>
        </w:r>
      </w:hyperlink>
    </w:p>
    <w:p w14:paraId="163DFAEB" w14:textId="77777777" w:rsidR="00E073FD" w:rsidRPr="004E3D7D" w:rsidRDefault="381786E6" w:rsidP="00CA67C8">
      <w:pPr>
        <w:pStyle w:val="ListParagraph"/>
        <w:numPr>
          <w:ilvl w:val="0"/>
          <w:numId w:val="51"/>
        </w:numPr>
        <w:spacing w:after="200"/>
        <w:rPr>
          <w:rFonts w:eastAsiaTheme="minorEastAsia"/>
          <w:color w:val="165788"/>
          <w:u w:val="single"/>
        </w:rPr>
      </w:pPr>
      <w:r w:rsidRPr="004E3D7D">
        <w:rPr>
          <w:rFonts w:eastAsiaTheme="minorEastAsia"/>
          <w:color w:val="165788"/>
          <w:u w:val="single"/>
        </w:rPr>
        <w:t xml:space="preserve">Adopted </w:t>
      </w:r>
      <w:hyperlink r:id="rId83">
        <w:r w:rsidRPr="004E3D7D">
          <w:rPr>
            <w:rStyle w:val="Hyperlink"/>
            <w:rFonts w:eastAsiaTheme="minorEastAsia"/>
          </w:rPr>
          <w:t>technical guidelines issued under the Basel Convention</w:t>
        </w:r>
      </w:hyperlink>
    </w:p>
    <w:p w14:paraId="08EDBC5D" w14:textId="4BFCECF4" w:rsidR="00B35C0C" w:rsidRDefault="00B35C0C" w:rsidP="00576F04"/>
    <w:sectPr w:rsidR="00B35C0C" w:rsidSect="00730C57">
      <w:headerReference w:type="even" r:id="rId84"/>
      <w:headerReference w:type="default" r:id="rId85"/>
      <w:footerReference w:type="default" r:id="rId86"/>
      <w:headerReference w:type="first" r:id="rId87"/>
      <w:footerReference w:type="first" r:id="rId88"/>
      <w:pgSz w:w="11906" w:h="16838"/>
      <w:pgMar w:top="1276" w:right="1440" w:bottom="1440" w:left="1440" w:header="851"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DCC0E" w14:textId="77777777" w:rsidR="0006588C" w:rsidRDefault="0006588C" w:rsidP="00B251DB">
      <w:pPr>
        <w:spacing w:after="0"/>
      </w:pPr>
      <w:r>
        <w:separator/>
      </w:r>
    </w:p>
  </w:endnote>
  <w:endnote w:type="continuationSeparator" w:id="0">
    <w:p w14:paraId="45C50A4A" w14:textId="77777777" w:rsidR="0006588C" w:rsidRDefault="0006588C" w:rsidP="00B251DB">
      <w:pPr>
        <w:spacing w:after="0"/>
      </w:pPr>
      <w:r>
        <w:continuationSeparator/>
      </w:r>
    </w:p>
  </w:endnote>
  <w:endnote w:type="continuationNotice" w:id="1">
    <w:p w14:paraId="3885BE60" w14:textId="77777777" w:rsidR="0006588C" w:rsidRDefault="0006588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SemiBold">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FA2C9" w14:textId="606771CF" w:rsidR="0035140F" w:rsidRDefault="115E09B9" w:rsidP="115E09B9">
    <w:pPr>
      <w:pStyle w:val="Footer"/>
    </w:pPr>
    <w:r>
      <w:rPr>
        <w:color w:val="001B35" w:themeColor="accent1"/>
      </w:rPr>
      <w:t>Australian Government guidance for removal of oil and gas property and sea dumping of infrastructure in Commonwealth waters</w:t>
    </w:r>
  </w:p>
  <w:p w14:paraId="08EDBC6D" w14:textId="0DD23ED9" w:rsidR="00D27B99" w:rsidRDefault="0035140F" w:rsidP="0035140F">
    <w:pPr>
      <w:pStyle w:val="Footer"/>
      <w:tabs>
        <w:tab w:val="clear" w:pos="4513"/>
      </w:tabs>
      <w:rPr>
        <w:noProof/>
      </w:rPr>
    </w:pPr>
    <w:r w:rsidRPr="00C65E4E">
      <w:rPr>
        <w:b/>
        <w:bCs/>
        <w:color w:val="15659B" w:themeColor="accent4"/>
      </w:rPr>
      <w:t>|</w:t>
    </w:r>
    <w:r w:rsidRPr="0035140F">
      <w:rPr>
        <w:b/>
        <w:bCs/>
        <w:color w:val="001B35" w:themeColor="accent1"/>
      </w:rPr>
      <w:t xml:space="preserve"> </w:t>
    </w:r>
    <w:r w:rsidR="00BD0F8A" w:rsidRPr="0035140F">
      <w:rPr>
        <w:b/>
        <w:bCs/>
        <w:color w:val="001B35" w:themeColor="accent1"/>
      </w:rPr>
      <w:t>industry.</w:t>
    </w:r>
    <w:r w:rsidR="00BD0F8A" w:rsidRPr="0035140F">
      <w:rPr>
        <w:color w:val="001B35" w:themeColor="accent1"/>
      </w:rPr>
      <w:t>gov.au</w:t>
    </w:r>
    <w:r w:rsidR="00BD0F8A">
      <w:tab/>
    </w:r>
    <w:sdt>
      <w:sdtPr>
        <w:id w:val="-1044901746"/>
        <w:docPartObj>
          <w:docPartGallery w:val="Page Numbers (Bottom of Page)"/>
          <w:docPartUnique/>
        </w:docPartObj>
      </w:sdtPr>
      <w:sdtEndPr>
        <w:rPr>
          <w:noProof/>
        </w:rPr>
      </w:sdtEndPr>
      <w:sdtContent>
        <w:r w:rsidR="00BD0F8A">
          <w:fldChar w:fldCharType="begin"/>
        </w:r>
        <w:r w:rsidR="00BD0F8A">
          <w:instrText xml:space="preserve"> PAGE   \* MERGEFORMAT </w:instrText>
        </w:r>
        <w:r w:rsidR="00BD0F8A">
          <w:fldChar w:fldCharType="separate"/>
        </w:r>
        <w:r w:rsidR="004E5181">
          <w:rPr>
            <w:noProof/>
          </w:rPr>
          <w:t>7</w:t>
        </w:r>
        <w:r w:rsidR="00BD0F8A">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15E09B9" w14:paraId="4ECE0D6A" w14:textId="77777777" w:rsidTr="002B3871">
      <w:trPr>
        <w:trHeight w:val="300"/>
      </w:trPr>
      <w:tc>
        <w:tcPr>
          <w:tcW w:w="3005" w:type="dxa"/>
        </w:tcPr>
        <w:p w14:paraId="347DEC86" w14:textId="090590E8" w:rsidR="115E09B9" w:rsidRDefault="115E09B9" w:rsidP="002B3871">
          <w:pPr>
            <w:pStyle w:val="Header"/>
            <w:ind w:left="-115"/>
          </w:pPr>
        </w:p>
      </w:tc>
      <w:tc>
        <w:tcPr>
          <w:tcW w:w="3005" w:type="dxa"/>
        </w:tcPr>
        <w:p w14:paraId="7EDA7BD3" w14:textId="07E83FCF" w:rsidR="115E09B9" w:rsidRDefault="115E09B9" w:rsidP="002B3871">
          <w:pPr>
            <w:pStyle w:val="Header"/>
            <w:jc w:val="center"/>
          </w:pPr>
        </w:p>
      </w:tc>
      <w:tc>
        <w:tcPr>
          <w:tcW w:w="3005" w:type="dxa"/>
        </w:tcPr>
        <w:p w14:paraId="04227011" w14:textId="227AC65C" w:rsidR="115E09B9" w:rsidRDefault="115E09B9" w:rsidP="002B3871">
          <w:pPr>
            <w:pStyle w:val="Header"/>
            <w:ind w:right="-115"/>
            <w:jc w:val="right"/>
          </w:pPr>
        </w:p>
      </w:tc>
    </w:tr>
  </w:tbl>
  <w:p w14:paraId="1974CC18" w14:textId="795C6A3F" w:rsidR="115E09B9" w:rsidRDefault="007B1CF8" w:rsidP="002B3871">
    <w:pPr>
      <w:pStyle w:val="Footer"/>
    </w:pPr>
    <w:r w:rsidRPr="002F60C0">
      <w:rPr>
        <w:bCs/>
        <w:iCs/>
        <w:color w:val="15659B" w:themeColor="accent4"/>
        <w:sz w:val="22"/>
      </w:rPr>
      <w:t>|</w:t>
    </w:r>
    <w:r w:rsidRPr="002F60C0">
      <w:rPr>
        <w:b/>
        <w:bCs/>
        <w:iCs/>
        <w:color w:val="001B35" w:themeColor="accent1"/>
        <w:sz w:val="22"/>
      </w:rPr>
      <w:t xml:space="preserve"> industry.</w:t>
    </w:r>
    <w:r w:rsidRPr="002F60C0">
      <w:rPr>
        <w:iCs/>
        <w:color w:val="001B35" w:themeColor="accent1"/>
        <w:sz w:val="22"/>
      </w:rPr>
      <w:t>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CA8FB" w14:textId="77777777" w:rsidR="0006588C" w:rsidRDefault="0006588C" w:rsidP="00B251DB">
      <w:pPr>
        <w:spacing w:after="0"/>
      </w:pPr>
      <w:r>
        <w:separator/>
      </w:r>
    </w:p>
  </w:footnote>
  <w:footnote w:type="continuationSeparator" w:id="0">
    <w:p w14:paraId="0C91F4D5" w14:textId="77777777" w:rsidR="0006588C" w:rsidRDefault="0006588C" w:rsidP="00B251DB">
      <w:pPr>
        <w:spacing w:after="0"/>
      </w:pPr>
      <w:r>
        <w:continuationSeparator/>
      </w:r>
    </w:p>
  </w:footnote>
  <w:footnote w:type="continuationNotice" w:id="1">
    <w:p w14:paraId="47E98255" w14:textId="77777777" w:rsidR="0006588C" w:rsidRDefault="0006588C">
      <w:pPr>
        <w:spacing w:before="0" w:after="0"/>
      </w:pPr>
    </w:p>
  </w:footnote>
  <w:footnote w:id="2">
    <w:p w14:paraId="2575BDA5" w14:textId="77777777" w:rsidR="002E2B6F" w:rsidRDefault="002E2B6F" w:rsidP="002E2B6F">
      <w:pPr>
        <w:pStyle w:val="FootnoteText"/>
      </w:pPr>
      <w:r w:rsidRPr="5954FFFF">
        <w:rPr>
          <w:rStyle w:val="FootnoteReference"/>
        </w:rPr>
        <w:footnoteRef/>
      </w:r>
      <w:r>
        <w:t xml:space="preserve"> Titleholder is defined as per section 572 of the </w:t>
      </w:r>
      <w:r w:rsidRPr="00352EAF">
        <w:rPr>
          <w:i/>
          <w:iCs/>
        </w:rPr>
        <w:t>Offshore Petroleum and Greenhouse Gas Storage Act 2006</w:t>
      </w:r>
    </w:p>
  </w:footnote>
  <w:footnote w:id="3">
    <w:p w14:paraId="17C71AA2" w14:textId="134C0FCD" w:rsidR="00B70223" w:rsidRDefault="00B70223" w:rsidP="00DC5EEA">
      <w:pPr>
        <w:pStyle w:val="FootnoteText"/>
      </w:pPr>
      <w:r w:rsidRPr="00B70223">
        <w:rPr>
          <w:rStyle w:val="FootnoteReference"/>
        </w:rPr>
        <w:footnoteRef/>
      </w:r>
      <w:r>
        <w:t xml:space="preserve"> Commonwealth waters are any area of water situated between three nautical miles from the territorial sea baseline and the outer limits of the Australian continental shelf.</w:t>
      </w:r>
    </w:p>
  </w:footnote>
  <w:footnote w:id="4">
    <w:p w14:paraId="252835F1" w14:textId="4AB4BD6E" w:rsidR="08B0F684" w:rsidRDefault="08B0F684" w:rsidP="00DC5EEA">
      <w:pPr>
        <w:pStyle w:val="FootnoteText"/>
      </w:pPr>
      <w:r w:rsidRPr="08B0F684">
        <w:rPr>
          <w:rStyle w:val="FootnoteReference"/>
        </w:rPr>
        <w:footnoteRef/>
      </w:r>
      <w:r w:rsidR="00B70223">
        <w:t xml:space="preserve"> ‘Australian waters’, as defined for the purposes of the Sea Dumping Act, cover the territorial seas (other than seas within the limits of a state or the Northern Territory), the exclusive economic zone, all Commonwealth waters and waters above the Australian continental shelf. This is broader than the coverage of ‘Commonwealth waters’ under the OPGGS Act, which extends from three nautical miles seaward of the territorial sea baseline.</w:t>
      </w:r>
    </w:p>
  </w:footnote>
  <w:footnote w:id="5">
    <w:p w14:paraId="63F5FE19" w14:textId="77777777" w:rsidR="003D2F60" w:rsidRDefault="003D2F60" w:rsidP="003D2F60">
      <w:pPr>
        <w:pStyle w:val="FootnoteText"/>
      </w:pPr>
      <w:r w:rsidRPr="4D3E858F">
        <w:rPr>
          <w:rStyle w:val="FootnoteReference"/>
        </w:rPr>
        <w:footnoteRef/>
      </w:r>
      <w:r>
        <w:t xml:space="preserve"> The principles of ecologically sustainable development are outlined in Section 3A of the EPBC Act.</w:t>
      </w:r>
    </w:p>
  </w:footnote>
  <w:footnote w:id="6">
    <w:p w14:paraId="361D16BB" w14:textId="77777777" w:rsidR="006868E0" w:rsidRPr="00205A5B" w:rsidRDefault="006868E0" w:rsidP="003D6703">
      <w:pPr>
        <w:pStyle w:val="FootnoteText"/>
      </w:pPr>
      <w:r>
        <w:rPr>
          <w:rStyle w:val="FootnoteReference"/>
        </w:rPr>
        <w:footnoteRef/>
      </w:r>
      <w:r>
        <w:t xml:space="preserve"> </w:t>
      </w:r>
      <w:r w:rsidRPr="00205A5B">
        <w:t>For the purposes of the Environment Regulations, environment is defined in Regulation 4.</w:t>
      </w:r>
    </w:p>
  </w:footnote>
  <w:footnote w:id="7">
    <w:p w14:paraId="1D1F3869" w14:textId="77777777" w:rsidR="006868E0" w:rsidRPr="00205A5B" w:rsidRDefault="006868E0" w:rsidP="003D6703">
      <w:pPr>
        <w:pStyle w:val="FootnoteText"/>
      </w:pPr>
      <w:r w:rsidRPr="00205A5B">
        <w:rPr>
          <w:rStyle w:val="FootnoteReference"/>
        </w:rPr>
        <w:footnoteRef/>
      </w:r>
      <w:r w:rsidRPr="00205A5B">
        <w:t xml:space="preserve"> </w:t>
      </w:r>
      <w:r w:rsidRPr="00205A5B">
        <w:rPr>
          <w:rFonts w:eastAsia="Segoe UI" w:cs="Segoe UI"/>
          <w:color w:val="333333"/>
        </w:rPr>
        <w:t xml:space="preserve">'Direct impact' is </w:t>
      </w:r>
      <w:r>
        <w:rPr>
          <w:rFonts w:eastAsia="Segoe UI" w:cs="Segoe UI"/>
          <w:color w:val="333333"/>
        </w:rPr>
        <w:t xml:space="preserve">defined as </w:t>
      </w:r>
      <w:r w:rsidRPr="00205A5B">
        <w:rPr>
          <w:rFonts w:eastAsia="Segoe UI" w:cs="Segoe UI"/>
          <w:color w:val="333333"/>
        </w:rPr>
        <w:t>an event or situation that is a direct consequence of your action. 'Indirect impact' is</w:t>
      </w:r>
      <w:r>
        <w:rPr>
          <w:rFonts w:eastAsia="Segoe UI" w:cs="Segoe UI"/>
          <w:color w:val="333333"/>
        </w:rPr>
        <w:t xml:space="preserve"> defined as</w:t>
      </w:r>
      <w:r w:rsidRPr="00205A5B">
        <w:rPr>
          <w:rFonts w:eastAsia="Segoe UI" w:cs="Segoe UI"/>
          <w:color w:val="333333"/>
        </w:rPr>
        <w:t xml:space="preserve"> an impact that is an indirect consequence of an action. 'Facilitated impact' is</w:t>
      </w:r>
      <w:r>
        <w:rPr>
          <w:rFonts w:eastAsia="Segoe UI" w:cs="Segoe UI"/>
          <w:color w:val="333333"/>
        </w:rPr>
        <w:t xml:space="preserve"> defined as</w:t>
      </w:r>
      <w:r w:rsidRPr="00205A5B">
        <w:rPr>
          <w:rFonts w:eastAsia="Segoe UI" w:cs="Segoe UI"/>
          <w:color w:val="333333"/>
        </w:rPr>
        <w:t xml:space="preserve"> an impact of further actions, including by a third party, that an action makes possible. For more information see the </w:t>
      </w:r>
      <w:hyperlink r:id="rId1" w:history="1">
        <w:r w:rsidRPr="00205A5B">
          <w:rPr>
            <w:rStyle w:val="Hyperlink"/>
            <w:rFonts w:eastAsia="Segoe UI" w:cs="Segoe UI"/>
          </w:rPr>
          <w:t>Significant Impact Guidelines 1.1 - Matters of National Environmental Significance</w:t>
        </w:r>
      </w:hyperlink>
      <w:r w:rsidRPr="00205A5B">
        <w:rPr>
          <w:rFonts w:eastAsia="Segoe UI" w:cs="Segoe UI"/>
          <w:color w:val="333333"/>
        </w:rPr>
        <w:t xml:space="preserve"> via the DCCEEW website.</w:t>
      </w:r>
    </w:p>
  </w:footnote>
  <w:footnote w:id="8">
    <w:p w14:paraId="30C66435" w14:textId="3DB1EC3A" w:rsidR="00013E7B" w:rsidRDefault="00013E7B">
      <w:pPr>
        <w:pStyle w:val="FootnoteText"/>
      </w:pPr>
      <w:r>
        <w:rPr>
          <w:rStyle w:val="FootnoteReference"/>
        </w:rPr>
        <w:footnoteRef/>
      </w:r>
      <w:r>
        <w:t xml:space="preserve"> Xmas tree is defined as the assembly of valves, spools, and fittings that sits on top of the wellhead and controls the flow of oil or gas from the well.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FAEE6" w14:textId="43A86E0C" w:rsidR="002D1B9C" w:rsidRDefault="00FA1DDD">
    <w:pPr>
      <w:pStyle w:val="Header"/>
    </w:pPr>
    <w:r>
      <w:rPr>
        <w:noProof/>
      </w:rPr>
      <w:pict w14:anchorId="744986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742110" o:spid="_x0000_s1028" type="#_x0000_t136" style="position:absolute;margin-left:0;margin-top:0;width:397.7pt;height:238.6pt;rotation:315;z-index:-251654143;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D0AA6" w14:textId="159B8306" w:rsidR="00235E41" w:rsidRPr="00CA67C8" w:rsidRDefault="00FA1DDD">
    <w:pPr>
      <w:pStyle w:val="Header"/>
      <w:rPr>
        <w:b/>
        <w:bCs/>
        <w:color w:val="DE0000"/>
      </w:rPr>
    </w:pPr>
    <w:r>
      <w:rPr>
        <w:noProof/>
      </w:rPr>
      <w:pict w14:anchorId="455DBC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742111" o:spid="_x0000_s1029" type="#_x0000_t136" style="position:absolute;margin-left:0;margin-top:0;width:397.7pt;height:238.6pt;rotation:315;z-index:-251652095;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235E41">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B0322" w14:textId="586984E6" w:rsidR="009830D1" w:rsidRPr="00CA67C8" w:rsidRDefault="00FA1DDD">
    <w:pPr>
      <w:pStyle w:val="Header"/>
      <w:rPr>
        <w:b/>
        <w:bCs/>
        <w:color w:val="DE0000"/>
      </w:rPr>
    </w:pPr>
    <w:r>
      <w:rPr>
        <w:noProof/>
      </w:rPr>
      <w:pict w14:anchorId="7CA4B8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742109" o:spid="_x0000_s1027" type="#_x0000_t136" style="position:absolute;margin-left:0;margin-top:0;width:397.7pt;height:238.6pt;rotation:315;z-index:-25165619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9830D1" w:rsidRPr="009830D1">
      <w:rPr>
        <w:noProof/>
      </w:rPr>
      <mc:AlternateContent>
        <mc:Choice Requires="wps">
          <w:drawing>
            <wp:anchor distT="0" distB="0" distL="114300" distR="114300" simplePos="0" relativeHeight="251658240" behindDoc="0" locked="0" layoutInCell="1" allowOverlap="1" wp14:anchorId="62E9FF75" wp14:editId="460E9814">
              <wp:simplePos x="0" y="0"/>
              <wp:positionH relativeFrom="column">
                <wp:posOffset>-904875</wp:posOffset>
              </wp:positionH>
              <wp:positionV relativeFrom="paragraph">
                <wp:posOffset>-530860</wp:posOffset>
              </wp:positionV>
              <wp:extent cx="1962150" cy="283208"/>
              <wp:effectExtent l="0" t="0" r="0" b="3175"/>
              <wp:wrapNone/>
              <wp:docPr id="7" name="Freeform: Shap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62150" cy="283208"/>
                      </a:xfrm>
                      <a:custGeom>
                        <a:avLst/>
                        <a:gdLst>
                          <a:gd name="connsiteX0" fmla="*/ 0 w 2332168"/>
                          <a:gd name="connsiteY0" fmla="*/ 0 h 336570"/>
                          <a:gd name="connsiteX1" fmla="*/ 2332168 w 2332168"/>
                          <a:gd name="connsiteY1" fmla="*/ 0 h 336570"/>
                          <a:gd name="connsiteX2" fmla="*/ 2332168 w 2332168"/>
                          <a:gd name="connsiteY2" fmla="*/ 336570 h 336570"/>
                          <a:gd name="connsiteX3" fmla="*/ 0 w 2332168"/>
                          <a:gd name="connsiteY3" fmla="*/ 336570 h 336570"/>
                          <a:gd name="connsiteX4" fmla="*/ 0 w 2332168"/>
                          <a:gd name="connsiteY4" fmla="*/ 0 h 336570"/>
                          <a:gd name="connsiteX0" fmla="*/ 0 w 2332168"/>
                          <a:gd name="connsiteY0" fmla="*/ 0 h 336570"/>
                          <a:gd name="connsiteX1" fmla="*/ 2332168 w 2332168"/>
                          <a:gd name="connsiteY1" fmla="*/ 0 h 336570"/>
                          <a:gd name="connsiteX2" fmla="*/ 2266641 w 2332168"/>
                          <a:gd name="connsiteY2" fmla="*/ 196581 h 336570"/>
                          <a:gd name="connsiteX3" fmla="*/ 0 w 2332168"/>
                          <a:gd name="connsiteY3" fmla="*/ 336570 h 336570"/>
                          <a:gd name="connsiteX4" fmla="*/ 0 w 2332168"/>
                          <a:gd name="connsiteY4" fmla="*/ 0 h 33657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32168" h="336570">
                            <a:moveTo>
                              <a:pt x="0" y="0"/>
                            </a:moveTo>
                            <a:lnTo>
                              <a:pt x="2332168" y="0"/>
                            </a:lnTo>
                            <a:lnTo>
                              <a:pt x="2266641" y="196581"/>
                            </a:lnTo>
                            <a:lnTo>
                              <a:pt x="0" y="336570"/>
                            </a:lnTo>
                            <a:lnTo>
                              <a:pt x="0" y="0"/>
                            </a:lnTo>
                            <a:close/>
                          </a:path>
                        </a:pathLst>
                      </a:cu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243272F0" id="Freeform: Shape 7" o:spid="_x0000_s1026" alt="&quot;&quot;" style="position:absolute;margin-left:-71.25pt;margin-top:-41.8pt;width:154.5pt;height:2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32168,336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" path="m,l2332168,r-65527,196581l,336570,,xe" fillcolor="#15659b [3207]" stroked="f" strokeweight="1pt">
              <v:stroke joinstyle="miter"/>
              <v:path arrowok="t" o:connecttype="custom" o:connectlocs="0,0;1962150,0;1907019,165414;0,283208;0,0" o:connectangles="0,0,0,0,0"/>
            </v:shape>
          </w:pict>
        </mc:Fallback>
      </mc:AlternateContent>
    </w:r>
    <w:r w:rsidR="00235E4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83E0FB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0CCF41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4C6BEF"/>
    <w:multiLevelType w:val="hybridMultilevel"/>
    <w:tmpl w:val="93884F24"/>
    <w:lvl w:ilvl="0" w:tplc="73CCE6F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1F70E09"/>
    <w:multiLevelType w:val="hybridMultilevel"/>
    <w:tmpl w:val="F93C1D7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24417E0"/>
    <w:multiLevelType w:val="hybridMultilevel"/>
    <w:tmpl w:val="5BE86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2FE7733"/>
    <w:multiLevelType w:val="hybridMultilevel"/>
    <w:tmpl w:val="66D0C800"/>
    <w:lvl w:ilvl="0" w:tplc="1C50A300">
      <w:start w:val="1"/>
      <w:numFmt w:val="decimal"/>
      <w:lvlText w:val="%1."/>
      <w:lvlJc w:val="left"/>
      <w:pPr>
        <w:ind w:left="720" w:hanging="360"/>
      </w:pPr>
    </w:lvl>
    <w:lvl w:ilvl="1" w:tplc="C256E9E2">
      <w:start w:val="1"/>
      <w:numFmt w:val="decimal"/>
      <w:lvlText w:val="%2."/>
      <w:lvlJc w:val="left"/>
      <w:pPr>
        <w:ind w:left="720" w:hanging="360"/>
      </w:pPr>
    </w:lvl>
    <w:lvl w:ilvl="2" w:tplc="00B8D4C0">
      <w:start w:val="1"/>
      <w:numFmt w:val="decimal"/>
      <w:lvlText w:val="%3."/>
      <w:lvlJc w:val="left"/>
      <w:pPr>
        <w:ind w:left="720" w:hanging="360"/>
      </w:pPr>
    </w:lvl>
    <w:lvl w:ilvl="3" w:tplc="5CCED0F0">
      <w:start w:val="1"/>
      <w:numFmt w:val="decimal"/>
      <w:lvlText w:val="%4."/>
      <w:lvlJc w:val="left"/>
      <w:pPr>
        <w:ind w:left="720" w:hanging="360"/>
      </w:pPr>
    </w:lvl>
    <w:lvl w:ilvl="4" w:tplc="11D6AFD2">
      <w:start w:val="1"/>
      <w:numFmt w:val="decimal"/>
      <w:lvlText w:val="%5."/>
      <w:lvlJc w:val="left"/>
      <w:pPr>
        <w:ind w:left="720" w:hanging="360"/>
      </w:pPr>
    </w:lvl>
    <w:lvl w:ilvl="5" w:tplc="AFD654CA">
      <w:start w:val="1"/>
      <w:numFmt w:val="decimal"/>
      <w:lvlText w:val="%6."/>
      <w:lvlJc w:val="left"/>
      <w:pPr>
        <w:ind w:left="720" w:hanging="360"/>
      </w:pPr>
    </w:lvl>
    <w:lvl w:ilvl="6" w:tplc="53C874E0">
      <w:start w:val="1"/>
      <w:numFmt w:val="decimal"/>
      <w:lvlText w:val="%7."/>
      <w:lvlJc w:val="left"/>
      <w:pPr>
        <w:ind w:left="720" w:hanging="360"/>
      </w:pPr>
    </w:lvl>
    <w:lvl w:ilvl="7" w:tplc="28B8A502">
      <w:start w:val="1"/>
      <w:numFmt w:val="decimal"/>
      <w:lvlText w:val="%8."/>
      <w:lvlJc w:val="left"/>
      <w:pPr>
        <w:ind w:left="720" w:hanging="360"/>
      </w:pPr>
    </w:lvl>
    <w:lvl w:ilvl="8" w:tplc="AEDCA354">
      <w:start w:val="1"/>
      <w:numFmt w:val="decimal"/>
      <w:lvlText w:val="%9."/>
      <w:lvlJc w:val="left"/>
      <w:pPr>
        <w:ind w:left="720" w:hanging="360"/>
      </w:pPr>
    </w:lvl>
  </w:abstractNum>
  <w:abstractNum w:abstractNumId="6" w15:restartNumberingAfterBreak="0">
    <w:nsid w:val="04AA0B6A"/>
    <w:multiLevelType w:val="hybridMultilevel"/>
    <w:tmpl w:val="462A3D48"/>
    <w:lvl w:ilvl="0" w:tplc="56D6B692">
      <w:start w:val="1"/>
      <w:numFmt w:val="decimal"/>
      <w:lvlText w:val="%1."/>
      <w:lvlJc w:val="left"/>
      <w:pPr>
        <w:ind w:left="720" w:hanging="360"/>
      </w:pPr>
    </w:lvl>
    <w:lvl w:ilvl="1" w:tplc="99A26D94">
      <w:start w:val="1"/>
      <w:numFmt w:val="decimal"/>
      <w:lvlText w:val="%2."/>
      <w:lvlJc w:val="left"/>
      <w:pPr>
        <w:ind w:left="720" w:hanging="360"/>
      </w:pPr>
    </w:lvl>
    <w:lvl w:ilvl="2" w:tplc="4F40C646">
      <w:start w:val="1"/>
      <w:numFmt w:val="decimal"/>
      <w:lvlText w:val="%3."/>
      <w:lvlJc w:val="left"/>
      <w:pPr>
        <w:ind w:left="720" w:hanging="360"/>
      </w:pPr>
    </w:lvl>
    <w:lvl w:ilvl="3" w:tplc="FB3A7AD2">
      <w:start w:val="1"/>
      <w:numFmt w:val="decimal"/>
      <w:lvlText w:val="%4."/>
      <w:lvlJc w:val="left"/>
      <w:pPr>
        <w:ind w:left="720" w:hanging="360"/>
      </w:pPr>
    </w:lvl>
    <w:lvl w:ilvl="4" w:tplc="35D218BA">
      <w:start w:val="1"/>
      <w:numFmt w:val="decimal"/>
      <w:lvlText w:val="%5."/>
      <w:lvlJc w:val="left"/>
      <w:pPr>
        <w:ind w:left="720" w:hanging="360"/>
      </w:pPr>
    </w:lvl>
    <w:lvl w:ilvl="5" w:tplc="FBC45AA4">
      <w:start w:val="1"/>
      <w:numFmt w:val="decimal"/>
      <w:lvlText w:val="%6."/>
      <w:lvlJc w:val="left"/>
      <w:pPr>
        <w:ind w:left="720" w:hanging="360"/>
      </w:pPr>
    </w:lvl>
    <w:lvl w:ilvl="6" w:tplc="AA5C3D06">
      <w:start w:val="1"/>
      <w:numFmt w:val="decimal"/>
      <w:lvlText w:val="%7."/>
      <w:lvlJc w:val="left"/>
      <w:pPr>
        <w:ind w:left="720" w:hanging="360"/>
      </w:pPr>
    </w:lvl>
    <w:lvl w:ilvl="7" w:tplc="6C9AEB40">
      <w:start w:val="1"/>
      <w:numFmt w:val="decimal"/>
      <w:lvlText w:val="%8."/>
      <w:lvlJc w:val="left"/>
      <w:pPr>
        <w:ind w:left="720" w:hanging="360"/>
      </w:pPr>
    </w:lvl>
    <w:lvl w:ilvl="8" w:tplc="AB100ED8">
      <w:start w:val="1"/>
      <w:numFmt w:val="decimal"/>
      <w:lvlText w:val="%9."/>
      <w:lvlJc w:val="left"/>
      <w:pPr>
        <w:ind w:left="720" w:hanging="360"/>
      </w:pPr>
    </w:lvl>
  </w:abstractNum>
  <w:abstractNum w:abstractNumId="7" w15:restartNumberingAfterBreak="0">
    <w:nsid w:val="05C86B33"/>
    <w:multiLevelType w:val="hybridMultilevel"/>
    <w:tmpl w:val="925EAAB0"/>
    <w:lvl w:ilvl="0" w:tplc="96420D8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7ED4B29"/>
    <w:multiLevelType w:val="hybridMultilevel"/>
    <w:tmpl w:val="6C72AD0E"/>
    <w:lvl w:ilvl="0" w:tplc="0C090001">
      <w:start w:val="1"/>
      <w:numFmt w:val="bullet"/>
      <w:lvlText w:val=""/>
      <w:lvlJc w:val="left"/>
      <w:pPr>
        <w:ind w:left="760" w:hanging="360"/>
      </w:pPr>
      <w:rPr>
        <w:rFonts w:ascii="Symbol" w:hAnsi="Symbol" w:hint="default"/>
      </w:rPr>
    </w:lvl>
    <w:lvl w:ilvl="1" w:tplc="0C090003" w:tentative="1">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abstractNum w:abstractNumId="9" w15:restartNumberingAfterBreak="0">
    <w:nsid w:val="094D74F4"/>
    <w:multiLevelType w:val="hybridMultilevel"/>
    <w:tmpl w:val="D6283F8E"/>
    <w:lvl w:ilvl="0" w:tplc="6A00F20A">
      <w:start w:val="1"/>
      <w:numFmt w:val="bullet"/>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3129A5"/>
    <w:multiLevelType w:val="hybridMultilevel"/>
    <w:tmpl w:val="D4FE8A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104036C"/>
    <w:multiLevelType w:val="hybridMultilevel"/>
    <w:tmpl w:val="54ACD9E0"/>
    <w:lvl w:ilvl="0" w:tplc="014ACC14">
      <w:start w:val="1"/>
      <w:numFmt w:val="bullet"/>
      <w:lvlText w:val=""/>
      <w:lvlJc w:val="left"/>
      <w:pPr>
        <w:ind w:left="720" w:hanging="360"/>
      </w:pPr>
      <w:rPr>
        <w:rFonts w:ascii="Symbol" w:hAnsi="Symbol" w:hint="default"/>
        <w:color w:val="auto"/>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18D75C3"/>
    <w:multiLevelType w:val="hybridMultilevel"/>
    <w:tmpl w:val="34DE6FBA"/>
    <w:lvl w:ilvl="0" w:tplc="CA3272C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3C81C22"/>
    <w:multiLevelType w:val="hybridMultilevel"/>
    <w:tmpl w:val="18D282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41B1639"/>
    <w:multiLevelType w:val="hybridMultilevel"/>
    <w:tmpl w:val="9AC2A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41B733F"/>
    <w:multiLevelType w:val="hybridMultilevel"/>
    <w:tmpl w:val="2098B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681018F"/>
    <w:multiLevelType w:val="hybridMultilevel"/>
    <w:tmpl w:val="AFF601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87C05F4"/>
    <w:multiLevelType w:val="hybridMultilevel"/>
    <w:tmpl w:val="6A4EB1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994021A"/>
    <w:multiLevelType w:val="hybridMultilevel"/>
    <w:tmpl w:val="4B403182"/>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AF264A8"/>
    <w:multiLevelType w:val="hybridMultilevel"/>
    <w:tmpl w:val="9DFC4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AFF4E65"/>
    <w:multiLevelType w:val="hybridMultilevel"/>
    <w:tmpl w:val="88443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B5D059C"/>
    <w:multiLevelType w:val="hybridMultilevel"/>
    <w:tmpl w:val="AB6261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1E696AB2"/>
    <w:multiLevelType w:val="hybridMultilevel"/>
    <w:tmpl w:val="7CA2B0DC"/>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2194CDC"/>
    <w:multiLevelType w:val="hybridMultilevel"/>
    <w:tmpl w:val="99C24030"/>
    <w:lvl w:ilvl="0" w:tplc="E13681AE">
      <w:start w:val="2"/>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64B4D93"/>
    <w:multiLevelType w:val="hybridMultilevel"/>
    <w:tmpl w:val="80167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ACC1DDC"/>
    <w:multiLevelType w:val="hybridMultilevel"/>
    <w:tmpl w:val="507AAE06"/>
    <w:lvl w:ilvl="0" w:tplc="A1085E16">
      <w:start w:val="1"/>
      <w:numFmt w:val="decimal"/>
      <w:lvlText w:val="%1."/>
      <w:lvlJc w:val="left"/>
      <w:pPr>
        <w:ind w:left="720" w:hanging="360"/>
      </w:pPr>
    </w:lvl>
    <w:lvl w:ilvl="1" w:tplc="C526EEC0">
      <w:start w:val="1"/>
      <w:numFmt w:val="decimal"/>
      <w:lvlText w:val="%2."/>
      <w:lvlJc w:val="left"/>
      <w:pPr>
        <w:ind w:left="720" w:hanging="360"/>
      </w:pPr>
    </w:lvl>
    <w:lvl w:ilvl="2" w:tplc="D09C9574">
      <w:start w:val="1"/>
      <w:numFmt w:val="decimal"/>
      <w:lvlText w:val="%3."/>
      <w:lvlJc w:val="left"/>
      <w:pPr>
        <w:ind w:left="720" w:hanging="360"/>
      </w:pPr>
    </w:lvl>
    <w:lvl w:ilvl="3" w:tplc="2E524D2C">
      <w:start w:val="1"/>
      <w:numFmt w:val="decimal"/>
      <w:lvlText w:val="%4."/>
      <w:lvlJc w:val="left"/>
      <w:pPr>
        <w:ind w:left="720" w:hanging="360"/>
      </w:pPr>
    </w:lvl>
    <w:lvl w:ilvl="4" w:tplc="E978533A">
      <w:start w:val="1"/>
      <w:numFmt w:val="decimal"/>
      <w:lvlText w:val="%5."/>
      <w:lvlJc w:val="left"/>
      <w:pPr>
        <w:ind w:left="720" w:hanging="360"/>
      </w:pPr>
    </w:lvl>
    <w:lvl w:ilvl="5" w:tplc="3AC020A6">
      <w:start w:val="1"/>
      <w:numFmt w:val="decimal"/>
      <w:lvlText w:val="%6."/>
      <w:lvlJc w:val="left"/>
      <w:pPr>
        <w:ind w:left="720" w:hanging="360"/>
      </w:pPr>
    </w:lvl>
    <w:lvl w:ilvl="6" w:tplc="C2BA134E">
      <w:start w:val="1"/>
      <w:numFmt w:val="decimal"/>
      <w:lvlText w:val="%7."/>
      <w:lvlJc w:val="left"/>
      <w:pPr>
        <w:ind w:left="720" w:hanging="360"/>
      </w:pPr>
    </w:lvl>
    <w:lvl w:ilvl="7" w:tplc="1AB277A6">
      <w:start w:val="1"/>
      <w:numFmt w:val="decimal"/>
      <w:lvlText w:val="%8."/>
      <w:lvlJc w:val="left"/>
      <w:pPr>
        <w:ind w:left="720" w:hanging="360"/>
      </w:pPr>
    </w:lvl>
    <w:lvl w:ilvl="8" w:tplc="C17073E6">
      <w:start w:val="1"/>
      <w:numFmt w:val="decimal"/>
      <w:lvlText w:val="%9."/>
      <w:lvlJc w:val="left"/>
      <w:pPr>
        <w:ind w:left="720" w:hanging="360"/>
      </w:pPr>
    </w:lvl>
  </w:abstractNum>
  <w:abstractNum w:abstractNumId="26" w15:restartNumberingAfterBreak="0">
    <w:nsid w:val="2B201AD8"/>
    <w:multiLevelType w:val="hybridMultilevel"/>
    <w:tmpl w:val="30548D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2FB333F0"/>
    <w:multiLevelType w:val="hybridMultilevel"/>
    <w:tmpl w:val="4816E7DA"/>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4461B5C"/>
    <w:multiLevelType w:val="hybridMultilevel"/>
    <w:tmpl w:val="B53E9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52748D7"/>
    <w:multiLevelType w:val="hybridMultilevel"/>
    <w:tmpl w:val="22D47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532061E"/>
    <w:multiLevelType w:val="hybridMultilevel"/>
    <w:tmpl w:val="B1B863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36FA536A"/>
    <w:multiLevelType w:val="hybridMultilevel"/>
    <w:tmpl w:val="85129460"/>
    <w:lvl w:ilvl="0" w:tplc="8F80B8C4">
      <w:start w:val="1"/>
      <w:numFmt w:val="decimal"/>
      <w:lvlText w:val="%1."/>
      <w:lvlJc w:val="left"/>
      <w:pPr>
        <w:ind w:left="720" w:hanging="360"/>
      </w:pPr>
    </w:lvl>
    <w:lvl w:ilvl="1" w:tplc="E378F57A">
      <w:start w:val="1"/>
      <w:numFmt w:val="decimal"/>
      <w:lvlText w:val="%2."/>
      <w:lvlJc w:val="left"/>
      <w:pPr>
        <w:ind w:left="720" w:hanging="360"/>
      </w:pPr>
    </w:lvl>
    <w:lvl w:ilvl="2" w:tplc="D26062B6">
      <w:start w:val="1"/>
      <w:numFmt w:val="decimal"/>
      <w:lvlText w:val="%3."/>
      <w:lvlJc w:val="left"/>
      <w:pPr>
        <w:ind w:left="720" w:hanging="360"/>
      </w:pPr>
    </w:lvl>
    <w:lvl w:ilvl="3" w:tplc="45E49996">
      <w:start w:val="1"/>
      <w:numFmt w:val="decimal"/>
      <w:lvlText w:val="%4."/>
      <w:lvlJc w:val="left"/>
      <w:pPr>
        <w:ind w:left="720" w:hanging="360"/>
      </w:pPr>
    </w:lvl>
    <w:lvl w:ilvl="4" w:tplc="AB08CF40">
      <w:start w:val="1"/>
      <w:numFmt w:val="decimal"/>
      <w:lvlText w:val="%5."/>
      <w:lvlJc w:val="left"/>
      <w:pPr>
        <w:ind w:left="720" w:hanging="360"/>
      </w:pPr>
    </w:lvl>
    <w:lvl w:ilvl="5" w:tplc="51D262A6">
      <w:start w:val="1"/>
      <w:numFmt w:val="decimal"/>
      <w:lvlText w:val="%6."/>
      <w:lvlJc w:val="left"/>
      <w:pPr>
        <w:ind w:left="720" w:hanging="360"/>
      </w:pPr>
    </w:lvl>
    <w:lvl w:ilvl="6" w:tplc="D35C0834">
      <w:start w:val="1"/>
      <w:numFmt w:val="decimal"/>
      <w:lvlText w:val="%7."/>
      <w:lvlJc w:val="left"/>
      <w:pPr>
        <w:ind w:left="720" w:hanging="360"/>
      </w:pPr>
    </w:lvl>
    <w:lvl w:ilvl="7" w:tplc="F75E6102">
      <w:start w:val="1"/>
      <w:numFmt w:val="decimal"/>
      <w:lvlText w:val="%8."/>
      <w:lvlJc w:val="left"/>
      <w:pPr>
        <w:ind w:left="720" w:hanging="360"/>
      </w:pPr>
    </w:lvl>
    <w:lvl w:ilvl="8" w:tplc="DD886596">
      <w:start w:val="1"/>
      <w:numFmt w:val="decimal"/>
      <w:lvlText w:val="%9."/>
      <w:lvlJc w:val="left"/>
      <w:pPr>
        <w:ind w:left="720" w:hanging="360"/>
      </w:pPr>
    </w:lvl>
  </w:abstractNum>
  <w:abstractNum w:abstractNumId="32" w15:restartNumberingAfterBreak="0">
    <w:nsid w:val="3741671C"/>
    <w:multiLevelType w:val="hybridMultilevel"/>
    <w:tmpl w:val="D294F2F4"/>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831667A"/>
    <w:multiLevelType w:val="hybridMultilevel"/>
    <w:tmpl w:val="90385C68"/>
    <w:lvl w:ilvl="0" w:tplc="846A79B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C3745A7"/>
    <w:multiLevelType w:val="hybridMultilevel"/>
    <w:tmpl w:val="9C96B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EC00108"/>
    <w:multiLevelType w:val="hybridMultilevel"/>
    <w:tmpl w:val="915606FA"/>
    <w:lvl w:ilvl="0" w:tplc="26C2236C">
      <w:start w:val="1"/>
      <w:numFmt w:val="decimal"/>
      <w:lvlText w:val="%1."/>
      <w:lvlJc w:val="left"/>
      <w:pPr>
        <w:ind w:left="720" w:hanging="360"/>
      </w:pPr>
    </w:lvl>
    <w:lvl w:ilvl="1" w:tplc="3FCE33AC">
      <w:start w:val="1"/>
      <w:numFmt w:val="decimal"/>
      <w:lvlText w:val="%2."/>
      <w:lvlJc w:val="left"/>
      <w:pPr>
        <w:ind w:left="720" w:hanging="360"/>
      </w:pPr>
    </w:lvl>
    <w:lvl w:ilvl="2" w:tplc="A0601940">
      <w:start w:val="1"/>
      <w:numFmt w:val="decimal"/>
      <w:lvlText w:val="%3."/>
      <w:lvlJc w:val="left"/>
      <w:pPr>
        <w:ind w:left="720" w:hanging="360"/>
      </w:pPr>
    </w:lvl>
    <w:lvl w:ilvl="3" w:tplc="31526B46">
      <w:start w:val="1"/>
      <w:numFmt w:val="decimal"/>
      <w:lvlText w:val="%4."/>
      <w:lvlJc w:val="left"/>
      <w:pPr>
        <w:ind w:left="720" w:hanging="360"/>
      </w:pPr>
    </w:lvl>
    <w:lvl w:ilvl="4" w:tplc="EE18D722">
      <w:start w:val="1"/>
      <w:numFmt w:val="decimal"/>
      <w:lvlText w:val="%5."/>
      <w:lvlJc w:val="left"/>
      <w:pPr>
        <w:ind w:left="720" w:hanging="360"/>
      </w:pPr>
    </w:lvl>
    <w:lvl w:ilvl="5" w:tplc="B89233A6">
      <w:start w:val="1"/>
      <w:numFmt w:val="decimal"/>
      <w:lvlText w:val="%6."/>
      <w:lvlJc w:val="left"/>
      <w:pPr>
        <w:ind w:left="720" w:hanging="360"/>
      </w:pPr>
    </w:lvl>
    <w:lvl w:ilvl="6" w:tplc="E3C807B4">
      <w:start w:val="1"/>
      <w:numFmt w:val="decimal"/>
      <w:lvlText w:val="%7."/>
      <w:lvlJc w:val="left"/>
      <w:pPr>
        <w:ind w:left="720" w:hanging="360"/>
      </w:pPr>
    </w:lvl>
    <w:lvl w:ilvl="7" w:tplc="F5741E3A">
      <w:start w:val="1"/>
      <w:numFmt w:val="decimal"/>
      <w:lvlText w:val="%8."/>
      <w:lvlJc w:val="left"/>
      <w:pPr>
        <w:ind w:left="720" w:hanging="360"/>
      </w:pPr>
    </w:lvl>
    <w:lvl w:ilvl="8" w:tplc="E3002830">
      <w:start w:val="1"/>
      <w:numFmt w:val="decimal"/>
      <w:lvlText w:val="%9."/>
      <w:lvlJc w:val="left"/>
      <w:pPr>
        <w:ind w:left="720" w:hanging="360"/>
      </w:pPr>
    </w:lvl>
  </w:abstractNum>
  <w:abstractNum w:abstractNumId="36" w15:restartNumberingAfterBreak="0">
    <w:nsid w:val="3F641DCF"/>
    <w:multiLevelType w:val="hybridMultilevel"/>
    <w:tmpl w:val="A1C6C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4984094B"/>
    <w:multiLevelType w:val="hybridMultilevel"/>
    <w:tmpl w:val="5A54D260"/>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9E17043"/>
    <w:multiLevelType w:val="hybridMultilevel"/>
    <w:tmpl w:val="E2822FE0"/>
    <w:lvl w:ilvl="0" w:tplc="5988424C">
      <w:start w:val="2"/>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A8E6DAB"/>
    <w:multiLevelType w:val="hybridMultilevel"/>
    <w:tmpl w:val="22B629F4"/>
    <w:lvl w:ilvl="0" w:tplc="72D60AA2">
      <w:start w:val="1"/>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AFE286C"/>
    <w:multiLevelType w:val="hybridMultilevel"/>
    <w:tmpl w:val="016E1C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4C651278"/>
    <w:multiLevelType w:val="hybridMultilevel"/>
    <w:tmpl w:val="8A2AE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1544A18"/>
    <w:multiLevelType w:val="hybridMultilevel"/>
    <w:tmpl w:val="8FE4A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38F5F6D"/>
    <w:multiLevelType w:val="hybridMultilevel"/>
    <w:tmpl w:val="6442C3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53EE1E48"/>
    <w:multiLevelType w:val="hybridMultilevel"/>
    <w:tmpl w:val="A91AE26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552E10FD"/>
    <w:multiLevelType w:val="hybridMultilevel"/>
    <w:tmpl w:val="66D46394"/>
    <w:lvl w:ilvl="0" w:tplc="E2F097D6">
      <w:numFmt w:val="bullet"/>
      <w:pStyle w:val="ListParagraph"/>
      <w:lvlText w:val=""/>
      <w:lvlJc w:val="left"/>
      <w:pPr>
        <w:ind w:left="567" w:hanging="567"/>
      </w:pPr>
      <w:rPr>
        <w:rFonts w:ascii="Symbol" w:eastAsiaTheme="minorHAnsi" w:hAnsi="Symbol" w:cstheme="minorBidi" w:hint="default"/>
      </w:rPr>
    </w:lvl>
    <w:lvl w:ilvl="1" w:tplc="6606920E">
      <w:numFmt w:val="bullet"/>
      <w:lvlText w:val="-"/>
      <w:lvlJc w:val="left"/>
      <w:pPr>
        <w:ind w:left="1134" w:hanging="567"/>
      </w:pPr>
      <w:rPr>
        <w:rFonts w:ascii="Calibri" w:eastAsiaTheme="minorHAnsi" w:hAnsi="Calibri" w:hint="default"/>
      </w:rPr>
    </w:lvl>
    <w:lvl w:ilvl="2" w:tplc="75C69B6E">
      <w:start w:val="1"/>
      <w:numFmt w:val="bullet"/>
      <w:lvlText w:val=""/>
      <w:lvlJc w:val="left"/>
      <w:pPr>
        <w:ind w:left="1701" w:hanging="567"/>
      </w:pPr>
      <w:rPr>
        <w:rFonts w:ascii="Wingdings" w:hAnsi="Wingdings" w:hint="default"/>
      </w:rPr>
    </w:lvl>
    <w:lvl w:ilvl="3" w:tplc="B84A8EA2">
      <w:start w:val="1"/>
      <w:numFmt w:val="bullet"/>
      <w:lvlText w:val=""/>
      <w:lvlJc w:val="left"/>
      <w:pPr>
        <w:ind w:left="2268" w:hanging="567"/>
      </w:pPr>
      <w:rPr>
        <w:rFonts w:ascii="Symbol" w:hAnsi="Symbol" w:hint="default"/>
      </w:rPr>
    </w:lvl>
    <w:lvl w:ilvl="4" w:tplc="9E469228">
      <w:start w:val="1"/>
      <w:numFmt w:val="bullet"/>
      <w:lvlText w:val="o"/>
      <w:lvlJc w:val="left"/>
      <w:pPr>
        <w:ind w:left="2835" w:hanging="567"/>
      </w:pPr>
      <w:rPr>
        <w:rFonts w:ascii="Courier New" w:hAnsi="Courier New" w:hint="default"/>
      </w:rPr>
    </w:lvl>
    <w:lvl w:ilvl="5" w:tplc="406CF0B6">
      <w:start w:val="1"/>
      <w:numFmt w:val="bullet"/>
      <w:lvlText w:val=""/>
      <w:lvlJc w:val="left"/>
      <w:pPr>
        <w:ind w:left="3402" w:hanging="567"/>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A070863"/>
    <w:multiLevelType w:val="hybridMultilevel"/>
    <w:tmpl w:val="0206E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A790EA3"/>
    <w:multiLevelType w:val="hybridMultilevel"/>
    <w:tmpl w:val="5DEE0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A815752"/>
    <w:multiLevelType w:val="hybridMultilevel"/>
    <w:tmpl w:val="F166583E"/>
    <w:lvl w:ilvl="0" w:tplc="060C6BDA">
      <w:start w:val="2"/>
      <w:numFmt w:val="bullet"/>
      <w:lvlText w:val="-"/>
      <w:lvlJc w:val="left"/>
      <w:pPr>
        <w:ind w:left="720" w:hanging="360"/>
      </w:pPr>
      <w:rPr>
        <w:rFonts w:ascii="Aptos" w:eastAsia="Calibri" w:hAnsi="Aptos"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CCB1F62"/>
    <w:multiLevelType w:val="hybridMultilevel"/>
    <w:tmpl w:val="6C322C4E"/>
    <w:lvl w:ilvl="0" w:tplc="038ED56A">
      <w:start w:val="1"/>
      <w:numFmt w:val="decimal"/>
      <w:lvlText w:val="%1."/>
      <w:lvlJc w:val="left"/>
      <w:pPr>
        <w:ind w:left="720" w:hanging="360"/>
      </w:pPr>
    </w:lvl>
    <w:lvl w:ilvl="1" w:tplc="EF90F0E4">
      <w:start w:val="1"/>
      <w:numFmt w:val="decimal"/>
      <w:lvlText w:val="%2."/>
      <w:lvlJc w:val="left"/>
      <w:pPr>
        <w:ind w:left="720" w:hanging="360"/>
      </w:pPr>
    </w:lvl>
    <w:lvl w:ilvl="2" w:tplc="FA38D4B8">
      <w:start w:val="1"/>
      <w:numFmt w:val="decimal"/>
      <w:lvlText w:val="%3."/>
      <w:lvlJc w:val="left"/>
      <w:pPr>
        <w:ind w:left="720" w:hanging="360"/>
      </w:pPr>
    </w:lvl>
    <w:lvl w:ilvl="3" w:tplc="42345098">
      <w:start w:val="1"/>
      <w:numFmt w:val="decimal"/>
      <w:lvlText w:val="%4."/>
      <w:lvlJc w:val="left"/>
      <w:pPr>
        <w:ind w:left="720" w:hanging="360"/>
      </w:pPr>
    </w:lvl>
    <w:lvl w:ilvl="4" w:tplc="44D29C96">
      <w:start w:val="1"/>
      <w:numFmt w:val="decimal"/>
      <w:lvlText w:val="%5."/>
      <w:lvlJc w:val="left"/>
      <w:pPr>
        <w:ind w:left="720" w:hanging="360"/>
      </w:pPr>
    </w:lvl>
    <w:lvl w:ilvl="5" w:tplc="AFAAC3BC">
      <w:start w:val="1"/>
      <w:numFmt w:val="decimal"/>
      <w:lvlText w:val="%6."/>
      <w:lvlJc w:val="left"/>
      <w:pPr>
        <w:ind w:left="720" w:hanging="360"/>
      </w:pPr>
    </w:lvl>
    <w:lvl w:ilvl="6" w:tplc="95E03FD6">
      <w:start w:val="1"/>
      <w:numFmt w:val="decimal"/>
      <w:lvlText w:val="%7."/>
      <w:lvlJc w:val="left"/>
      <w:pPr>
        <w:ind w:left="720" w:hanging="360"/>
      </w:pPr>
    </w:lvl>
    <w:lvl w:ilvl="7" w:tplc="67882C2A">
      <w:start w:val="1"/>
      <w:numFmt w:val="decimal"/>
      <w:lvlText w:val="%8."/>
      <w:lvlJc w:val="left"/>
      <w:pPr>
        <w:ind w:left="720" w:hanging="360"/>
      </w:pPr>
    </w:lvl>
    <w:lvl w:ilvl="8" w:tplc="AEC44788">
      <w:start w:val="1"/>
      <w:numFmt w:val="decimal"/>
      <w:lvlText w:val="%9."/>
      <w:lvlJc w:val="left"/>
      <w:pPr>
        <w:ind w:left="720" w:hanging="360"/>
      </w:pPr>
    </w:lvl>
  </w:abstractNum>
  <w:abstractNum w:abstractNumId="50" w15:restartNumberingAfterBreak="0">
    <w:nsid w:val="5D873C21"/>
    <w:multiLevelType w:val="hybridMultilevel"/>
    <w:tmpl w:val="F5C89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3D526A3"/>
    <w:multiLevelType w:val="hybridMultilevel"/>
    <w:tmpl w:val="EE8E7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66D2F3E"/>
    <w:multiLevelType w:val="hybridMultilevel"/>
    <w:tmpl w:val="50F40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ABB4F6A"/>
    <w:multiLevelType w:val="hybridMultilevel"/>
    <w:tmpl w:val="A66026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6DAE7063"/>
    <w:multiLevelType w:val="hybridMultilevel"/>
    <w:tmpl w:val="D57C722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6FD87FE3"/>
    <w:multiLevelType w:val="hybridMultilevel"/>
    <w:tmpl w:val="0ED8F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A7C4551"/>
    <w:multiLevelType w:val="hybridMultilevel"/>
    <w:tmpl w:val="4BD0CBD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22605387">
    <w:abstractNumId w:val="45"/>
  </w:num>
  <w:num w:numId="2" w16cid:durableId="660547498">
    <w:abstractNumId w:val="1"/>
  </w:num>
  <w:num w:numId="3" w16cid:durableId="1405948882">
    <w:abstractNumId w:val="0"/>
  </w:num>
  <w:num w:numId="4" w16cid:durableId="1770931210">
    <w:abstractNumId w:val="9"/>
  </w:num>
  <w:num w:numId="5" w16cid:durableId="1738430898">
    <w:abstractNumId w:val="34"/>
  </w:num>
  <w:num w:numId="6" w16cid:durableId="1269657946">
    <w:abstractNumId w:val="24"/>
  </w:num>
  <w:num w:numId="7" w16cid:durableId="1628048142">
    <w:abstractNumId w:val="50"/>
  </w:num>
  <w:num w:numId="8" w16cid:durableId="1301612829">
    <w:abstractNumId w:val="41"/>
  </w:num>
  <w:num w:numId="9" w16cid:durableId="836773598">
    <w:abstractNumId w:val="47"/>
  </w:num>
  <w:num w:numId="10" w16cid:durableId="1590389786">
    <w:abstractNumId w:val="28"/>
  </w:num>
  <w:num w:numId="11" w16cid:durableId="768507284">
    <w:abstractNumId w:val="51"/>
  </w:num>
  <w:num w:numId="12" w16cid:durableId="1720980393">
    <w:abstractNumId w:val="46"/>
  </w:num>
  <w:num w:numId="13" w16cid:durableId="876091002">
    <w:abstractNumId w:val="14"/>
  </w:num>
  <w:num w:numId="14" w16cid:durableId="166332170">
    <w:abstractNumId w:val="4"/>
  </w:num>
  <w:num w:numId="15" w16cid:durableId="513031594">
    <w:abstractNumId w:val="52"/>
  </w:num>
  <w:num w:numId="16" w16cid:durableId="1783768137">
    <w:abstractNumId w:val="36"/>
  </w:num>
  <w:num w:numId="17" w16cid:durableId="1840273710">
    <w:abstractNumId w:val="37"/>
  </w:num>
  <w:num w:numId="18" w16cid:durableId="1980844707">
    <w:abstractNumId w:val="15"/>
  </w:num>
  <w:num w:numId="19" w16cid:durableId="538855305">
    <w:abstractNumId w:val="55"/>
  </w:num>
  <w:num w:numId="20" w16cid:durableId="1330717605">
    <w:abstractNumId w:val="20"/>
  </w:num>
  <w:num w:numId="21" w16cid:durableId="652560894">
    <w:abstractNumId w:val="19"/>
  </w:num>
  <w:num w:numId="22" w16cid:durableId="1256742423">
    <w:abstractNumId w:val="43"/>
  </w:num>
  <w:num w:numId="23" w16cid:durableId="738987906">
    <w:abstractNumId w:val="22"/>
  </w:num>
  <w:num w:numId="24" w16cid:durableId="1299070514">
    <w:abstractNumId w:val="32"/>
  </w:num>
  <w:num w:numId="25" w16cid:durableId="2020811613">
    <w:abstractNumId w:val="29"/>
  </w:num>
  <w:num w:numId="26" w16cid:durableId="164783786">
    <w:abstractNumId w:val="42"/>
  </w:num>
  <w:num w:numId="27" w16cid:durableId="738594121">
    <w:abstractNumId w:val="13"/>
  </w:num>
  <w:num w:numId="28" w16cid:durableId="424960319">
    <w:abstractNumId w:val="26"/>
  </w:num>
  <w:num w:numId="29" w16cid:durableId="1645085474">
    <w:abstractNumId w:val="10"/>
  </w:num>
  <w:num w:numId="30" w16cid:durableId="677195629">
    <w:abstractNumId w:val="21"/>
  </w:num>
  <w:num w:numId="31" w16cid:durableId="461047241">
    <w:abstractNumId w:val="53"/>
  </w:num>
  <w:num w:numId="32" w16cid:durableId="735781398">
    <w:abstractNumId w:val="30"/>
  </w:num>
  <w:num w:numId="33" w16cid:durableId="890699806">
    <w:abstractNumId w:val="12"/>
  </w:num>
  <w:num w:numId="34" w16cid:durableId="995915460">
    <w:abstractNumId w:val="40"/>
  </w:num>
  <w:num w:numId="35" w16cid:durableId="496313172">
    <w:abstractNumId w:val="16"/>
  </w:num>
  <w:num w:numId="36" w16cid:durableId="2118938510">
    <w:abstractNumId w:val="17"/>
  </w:num>
  <w:num w:numId="37" w16cid:durableId="1817264239">
    <w:abstractNumId w:val="18"/>
  </w:num>
  <w:num w:numId="38" w16cid:durableId="1992321170">
    <w:abstractNumId w:val="27"/>
  </w:num>
  <w:num w:numId="39" w16cid:durableId="533808409">
    <w:abstractNumId w:val="8"/>
  </w:num>
  <w:num w:numId="40" w16cid:durableId="1191607458">
    <w:abstractNumId w:val="39"/>
  </w:num>
  <w:num w:numId="41" w16cid:durableId="446123206">
    <w:abstractNumId w:val="3"/>
  </w:num>
  <w:num w:numId="42" w16cid:durableId="197815536">
    <w:abstractNumId w:val="23"/>
  </w:num>
  <w:num w:numId="43" w16cid:durableId="1600525338">
    <w:abstractNumId w:val="44"/>
  </w:num>
  <w:num w:numId="44" w16cid:durableId="2068188688">
    <w:abstractNumId w:val="38"/>
  </w:num>
  <w:num w:numId="45" w16cid:durableId="1722290250">
    <w:abstractNumId w:val="56"/>
  </w:num>
  <w:num w:numId="46" w16cid:durableId="601912370">
    <w:abstractNumId w:val="48"/>
  </w:num>
  <w:num w:numId="47" w16cid:durableId="1367874160">
    <w:abstractNumId w:val="54"/>
  </w:num>
  <w:num w:numId="48" w16cid:durableId="1632400920">
    <w:abstractNumId w:val="33"/>
  </w:num>
  <w:num w:numId="49" w16cid:durableId="428048219">
    <w:abstractNumId w:val="11"/>
  </w:num>
  <w:num w:numId="50" w16cid:durableId="1467234310">
    <w:abstractNumId w:val="2"/>
  </w:num>
  <w:num w:numId="51" w16cid:durableId="864372053">
    <w:abstractNumId w:val="7"/>
  </w:num>
  <w:num w:numId="52" w16cid:durableId="1369796255">
    <w:abstractNumId w:val="25"/>
  </w:num>
  <w:num w:numId="53" w16cid:durableId="1388721301">
    <w:abstractNumId w:val="49"/>
  </w:num>
  <w:num w:numId="54" w16cid:durableId="958999033">
    <w:abstractNumId w:val="5"/>
  </w:num>
  <w:num w:numId="55" w16cid:durableId="1950160663">
    <w:abstractNumId w:val="6"/>
  </w:num>
  <w:num w:numId="56" w16cid:durableId="449477857">
    <w:abstractNumId w:val="35"/>
  </w:num>
  <w:num w:numId="57" w16cid:durableId="1227298416">
    <w:abstractNumId w:val="31"/>
  </w:num>
  <w:num w:numId="58" w16cid:durableId="1561399861">
    <w:abstractNumId w:val="45"/>
  </w:num>
  <w:num w:numId="59" w16cid:durableId="1118141038">
    <w:abstractNumId w:val="45"/>
  </w:num>
  <w:num w:numId="60" w16cid:durableId="2009752710">
    <w:abstractNumId w:val="45"/>
  </w:num>
  <w:num w:numId="61" w16cid:durableId="36786471">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AU" w:vendorID="64" w:dllVersion="0"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60"/>
    <w:rsid w:val="00003766"/>
    <w:rsid w:val="000107A3"/>
    <w:rsid w:val="00011950"/>
    <w:rsid w:val="00013966"/>
    <w:rsid w:val="00013E7B"/>
    <w:rsid w:val="00014F4E"/>
    <w:rsid w:val="000279A5"/>
    <w:rsid w:val="00031B2F"/>
    <w:rsid w:val="00032995"/>
    <w:rsid w:val="00036409"/>
    <w:rsid w:val="000461A7"/>
    <w:rsid w:val="00047FCC"/>
    <w:rsid w:val="00053799"/>
    <w:rsid w:val="000552B3"/>
    <w:rsid w:val="0006588C"/>
    <w:rsid w:val="0007067B"/>
    <w:rsid w:val="00071403"/>
    <w:rsid w:val="00073F6B"/>
    <w:rsid w:val="0008167B"/>
    <w:rsid w:val="00081D07"/>
    <w:rsid w:val="000854AE"/>
    <w:rsid w:val="00095493"/>
    <w:rsid w:val="000A02F4"/>
    <w:rsid w:val="000A4EB7"/>
    <w:rsid w:val="000A75CB"/>
    <w:rsid w:val="000C11C6"/>
    <w:rsid w:val="000C1964"/>
    <w:rsid w:val="000C3494"/>
    <w:rsid w:val="000C6D53"/>
    <w:rsid w:val="000C7746"/>
    <w:rsid w:val="000D0D3D"/>
    <w:rsid w:val="000E0F53"/>
    <w:rsid w:val="000E1283"/>
    <w:rsid w:val="000E599A"/>
    <w:rsid w:val="000F2564"/>
    <w:rsid w:val="00101D9B"/>
    <w:rsid w:val="00114AF3"/>
    <w:rsid w:val="00122C14"/>
    <w:rsid w:val="0012463E"/>
    <w:rsid w:val="00130A8E"/>
    <w:rsid w:val="0013285F"/>
    <w:rsid w:val="00141317"/>
    <w:rsid w:val="00143092"/>
    <w:rsid w:val="00143829"/>
    <w:rsid w:val="00147488"/>
    <w:rsid w:val="001476B1"/>
    <w:rsid w:val="00153C15"/>
    <w:rsid w:val="00154DF8"/>
    <w:rsid w:val="00165D3E"/>
    <w:rsid w:val="00166A41"/>
    <w:rsid w:val="00171757"/>
    <w:rsid w:val="00187259"/>
    <w:rsid w:val="0018753C"/>
    <w:rsid w:val="00192FBF"/>
    <w:rsid w:val="001A38CC"/>
    <w:rsid w:val="001A3A47"/>
    <w:rsid w:val="001B36A3"/>
    <w:rsid w:val="001B5F16"/>
    <w:rsid w:val="001B70F2"/>
    <w:rsid w:val="001D1793"/>
    <w:rsid w:val="001D1B58"/>
    <w:rsid w:val="001D216A"/>
    <w:rsid w:val="001D2E82"/>
    <w:rsid w:val="001D428B"/>
    <w:rsid w:val="001D51DA"/>
    <w:rsid w:val="001E017A"/>
    <w:rsid w:val="001E2AA5"/>
    <w:rsid w:val="001E44B5"/>
    <w:rsid w:val="001E50E4"/>
    <w:rsid w:val="001E5158"/>
    <w:rsid w:val="001E7FA6"/>
    <w:rsid w:val="001F5AB1"/>
    <w:rsid w:val="001F6A5B"/>
    <w:rsid w:val="00205A5B"/>
    <w:rsid w:val="00205DF3"/>
    <w:rsid w:val="00214A00"/>
    <w:rsid w:val="0022083E"/>
    <w:rsid w:val="00222D0B"/>
    <w:rsid w:val="002350EE"/>
    <w:rsid w:val="00235CD2"/>
    <w:rsid w:val="00235E41"/>
    <w:rsid w:val="00241D3D"/>
    <w:rsid w:val="00245C71"/>
    <w:rsid w:val="0024747D"/>
    <w:rsid w:val="00247F33"/>
    <w:rsid w:val="00254DA8"/>
    <w:rsid w:val="0026023C"/>
    <w:rsid w:val="002632E1"/>
    <w:rsid w:val="002652F0"/>
    <w:rsid w:val="00270B26"/>
    <w:rsid w:val="00272630"/>
    <w:rsid w:val="00272B04"/>
    <w:rsid w:val="00274C94"/>
    <w:rsid w:val="00276800"/>
    <w:rsid w:val="00280193"/>
    <w:rsid w:val="00282ED3"/>
    <w:rsid w:val="002854A8"/>
    <w:rsid w:val="00297A55"/>
    <w:rsid w:val="002A101F"/>
    <w:rsid w:val="002A5D38"/>
    <w:rsid w:val="002A7F9D"/>
    <w:rsid w:val="002B0A01"/>
    <w:rsid w:val="002B3871"/>
    <w:rsid w:val="002B3A3A"/>
    <w:rsid w:val="002B5C69"/>
    <w:rsid w:val="002B6474"/>
    <w:rsid w:val="002C18DB"/>
    <w:rsid w:val="002C3E3F"/>
    <w:rsid w:val="002D1B9C"/>
    <w:rsid w:val="002D230B"/>
    <w:rsid w:val="002D3492"/>
    <w:rsid w:val="002D7673"/>
    <w:rsid w:val="002D7782"/>
    <w:rsid w:val="002E1132"/>
    <w:rsid w:val="002E172E"/>
    <w:rsid w:val="002E2B6F"/>
    <w:rsid w:val="002F495C"/>
    <w:rsid w:val="002F4DCC"/>
    <w:rsid w:val="002F60C0"/>
    <w:rsid w:val="0030225F"/>
    <w:rsid w:val="0030230F"/>
    <w:rsid w:val="00304798"/>
    <w:rsid w:val="003114CE"/>
    <w:rsid w:val="00312C52"/>
    <w:rsid w:val="0031654A"/>
    <w:rsid w:val="0033348D"/>
    <w:rsid w:val="00336834"/>
    <w:rsid w:val="0034004C"/>
    <w:rsid w:val="00340487"/>
    <w:rsid w:val="0035140F"/>
    <w:rsid w:val="00352679"/>
    <w:rsid w:val="0035537A"/>
    <w:rsid w:val="003576AA"/>
    <w:rsid w:val="00365275"/>
    <w:rsid w:val="00365B02"/>
    <w:rsid w:val="00370D6A"/>
    <w:rsid w:val="00372D1F"/>
    <w:rsid w:val="00375715"/>
    <w:rsid w:val="00376618"/>
    <w:rsid w:val="00381510"/>
    <w:rsid w:val="00383D77"/>
    <w:rsid w:val="0039065C"/>
    <w:rsid w:val="00390747"/>
    <w:rsid w:val="003911ED"/>
    <w:rsid w:val="0039271A"/>
    <w:rsid w:val="00393784"/>
    <w:rsid w:val="003939AB"/>
    <w:rsid w:val="003A0E7F"/>
    <w:rsid w:val="003A1C90"/>
    <w:rsid w:val="003B14DB"/>
    <w:rsid w:val="003B1B77"/>
    <w:rsid w:val="003B4F55"/>
    <w:rsid w:val="003C659C"/>
    <w:rsid w:val="003C6E05"/>
    <w:rsid w:val="003D2F60"/>
    <w:rsid w:val="003D38ED"/>
    <w:rsid w:val="003D6703"/>
    <w:rsid w:val="003D747D"/>
    <w:rsid w:val="003E0F70"/>
    <w:rsid w:val="003E4BC8"/>
    <w:rsid w:val="003E60BD"/>
    <w:rsid w:val="003F36FF"/>
    <w:rsid w:val="004002BA"/>
    <w:rsid w:val="00404CDC"/>
    <w:rsid w:val="0040583A"/>
    <w:rsid w:val="00405931"/>
    <w:rsid w:val="00406032"/>
    <w:rsid w:val="004201BE"/>
    <w:rsid w:val="00421D1F"/>
    <w:rsid w:val="00423B2E"/>
    <w:rsid w:val="00423D13"/>
    <w:rsid w:val="00427B5B"/>
    <w:rsid w:val="004346E0"/>
    <w:rsid w:val="0044285E"/>
    <w:rsid w:val="00443CA4"/>
    <w:rsid w:val="004531ED"/>
    <w:rsid w:val="00455068"/>
    <w:rsid w:val="004632E9"/>
    <w:rsid w:val="00463F00"/>
    <w:rsid w:val="0046678C"/>
    <w:rsid w:val="004718B4"/>
    <w:rsid w:val="004761A6"/>
    <w:rsid w:val="00476FF2"/>
    <w:rsid w:val="00482D64"/>
    <w:rsid w:val="00491A5F"/>
    <w:rsid w:val="004A02EE"/>
    <w:rsid w:val="004A42A6"/>
    <w:rsid w:val="004B4254"/>
    <w:rsid w:val="004BD81B"/>
    <w:rsid w:val="004C4CBA"/>
    <w:rsid w:val="004D05CC"/>
    <w:rsid w:val="004D3355"/>
    <w:rsid w:val="004D3B0F"/>
    <w:rsid w:val="004E0C8D"/>
    <w:rsid w:val="004E3D7D"/>
    <w:rsid w:val="004E5181"/>
    <w:rsid w:val="004E75D2"/>
    <w:rsid w:val="004F083F"/>
    <w:rsid w:val="00506E0C"/>
    <w:rsid w:val="00512647"/>
    <w:rsid w:val="00516B0E"/>
    <w:rsid w:val="00516C16"/>
    <w:rsid w:val="005175AE"/>
    <w:rsid w:val="00527381"/>
    <w:rsid w:val="00531BD6"/>
    <w:rsid w:val="005423B1"/>
    <w:rsid w:val="00542444"/>
    <w:rsid w:val="00553D2B"/>
    <w:rsid w:val="00556268"/>
    <w:rsid w:val="00562F20"/>
    <w:rsid w:val="00565C09"/>
    <w:rsid w:val="005714B2"/>
    <w:rsid w:val="00571B70"/>
    <w:rsid w:val="005720B7"/>
    <w:rsid w:val="00572521"/>
    <w:rsid w:val="0057586E"/>
    <w:rsid w:val="00576F04"/>
    <w:rsid w:val="005777BC"/>
    <w:rsid w:val="00584B74"/>
    <w:rsid w:val="00586D28"/>
    <w:rsid w:val="00587F03"/>
    <w:rsid w:val="005946F6"/>
    <w:rsid w:val="00595BF7"/>
    <w:rsid w:val="0059689A"/>
    <w:rsid w:val="005A1B5C"/>
    <w:rsid w:val="005A4081"/>
    <w:rsid w:val="005A439C"/>
    <w:rsid w:val="005B1B4B"/>
    <w:rsid w:val="005B57B1"/>
    <w:rsid w:val="005C4FB5"/>
    <w:rsid w:val="005C5191"/>
    <w:rsid w:val="005D2BF3"/>
    <w:rsid w:val="005E0743"/>
    <w:rsid w:val="005E1863"/>
    <w:rsid w:val="005E5F5F"/>
    <w:rsid w:val="005F08EB"/>
    <w:rsid w:val="005F5CF4"/>
    <w:rsid w:val="006022C1"/>
    <w:rsid w:val="00603DDF"/>
    <w:rsid w:val="00606216"/>
    <w:rsid w:val="00607188"/>
    <w:rsid w:val="00612677"/>
    <w:rsid w:val="00612EA0"/>
    <w:rsid w:val="00620499"/>
    <w:rsid w:val="00621822"/>
    <w:rsid w:val="006258DB"/>
    <w:rsid w:val="006310F2"/>
    <w:rsid w:val="006311DE"/>
    <w:rsid w:val="0063293D"/>
    <w:rsid w:val="00632C1F"/>
    <w:rsid w:val="006337C7"/>
    <w:rsid w:val="0063608E"/>
    <w:rsid w:val="0063902A"/>
    <w:rsid w:val="0065523A"/>
    <w:rsid w:val="00662CEB"/>
    <w:rsid w:val="00671954"/>
    <w:rsid w:val="00671D1D"/>
    <w:rsid w:val="00674C84"/>
    <w:rsid w:val="00675B84"/>
    <w:rsid w:val="00677F56"/>
    <w:rsid w:val="0068286F"/>
    <w:rsid w:val="006868E0"/>
    <w:rsid w:val="00692839"/>
    <w:rsid w:val="00692BF4"/>
    <w:rsid w:val="00695B12"/>
    <w:rsid w:val="00697567"/>
    <w:rsid w:val="006C4C9C"/>
    <w:rsid w:val="006D2154"/>
    <w:rsid w:val="006D2221"/>
    <w:rsid w:val="006E1E6A"/>
    <w:rsid w:val="006E4001"/>
    <w:rsid w:val="006E55AA"/>
    <w:rsid w:val="006F343C"/>
    <w:rsid w:val="006F58A5"/>
    <w:rsid w:val="00703734"/>
    <w:rsid w:val="00711349"/>
    <w:rsid w:val="00714DD9"/>
    <w:rsid w:val="00723C5D"/>
    <w:rsid w:val="007276F6"/>
    <w:rsid w:val="00730347"/>
    <w:rsid w:val="00730C57"/>
    <w:rsid w:val="0073362E"/>
    <w:rsid w:val="00740A13"/>
    <w:rsid w:val="007435CB"/>
    <w:rsid w:val="00743FF2"/>
    <w:rsid w:val="0076144A"/>
    <w:rsid w:val="00765386"/>
    <w:rsid w:val="00772B59"/>
    <w:rsid w:val="007833EE"/>
    <w:rsid w:val="0078799F"/>
    <w:rsid w:val="00790267"/>
    <w:rsid w:val="00790B88"/>
    <w:rsid w:val="007913B5"/>
    <w:rsid w:val="00793A93"/>
    <w:rsid w:val="007979CC"/>
    <w:rsid w:val="007A1175"/>
    <w:rsid w:val="007A6220"/>
    <w:rsid w:val="007B1CF8"/>
    <w:rsid w:val="007B47F6"/>
    <w:rsid w:val="007B553F"/>
    <w:rsid w:val="007C46FD"/>
    <w:rsid w:val="007C6872"/>
    <w:rsid w:val="007C7A09"/>
    <w:rsid w:val="007D1FE9"/>
    <w:rsid w:val="007E2A1D"/>
    <w:rsid w:val="007E2E37"/>
    <w:rsid w:val="007F40BA"/>
    <w:rsid w:val="007F4666"/>
    <w:rsid w:val="00806473"/>
    <w:rsid w:val="00807CF5"/>
    <w:rsid w:val="0081582E"/>
    <w:rsid w:val="008217A9"/>
    <w:rsid w:val="00826293"/>
    <w:rsid w:val="008332B5"/>
    <w:rsid w:val="0083367A"/>
    <w:rsid w:val="00834606"/>
    <w:rsid w:val="00837C1B"/>
    <w:rsid w:val="008410AA"/>
    <w:rsid w:val="00853A7A"/>
    <w:rsid w:val="008626B3"/>
    <w:rsid w:val="008653E9"/>
    <w:rsid w:val="00875124"/>
    <w:rsid w:val="00886130"/>
    <w:rsid w:val="00892B6E"/>
    <w:rsid w:val="00895335"/>
    <w:rsid w:val="008974B7"/>
    <w:rsid w:val="008A0BD4"/>
    <w:rsid w:val="008A3736"/>
    <w:rsid w:val="008B7B1E"/>
    <w:rsid w:val="008B7DE8"/>
    <w:rsid w:val="008C05D2"/>
    <w:rsid w:val="008C2868"/>
    <w:rsid w:val="008C3B21"/>
    <w:rsid w:val="008D342E"/>
    <w:rsid w:val="008D390A"/>
    <w:rsid w:val="008E5E4B"/>
    <w:rsid w:val="008F52DC"/>
    <w:rsid w:val="008F746B"/>
    <w:rsid w:val="0091556D"/>
    <w:rsid w:val="0091B6C0"/>
    <w:rsid w:val="0092331C"/>
    <w:rsid w:val="009256BD"/>
    <w:rsid w:val="00935413"/>
    <w:rsid w:val="00941559"/>
    <w:rsid w:val="00960D98"/>
    <w:rsid w:val="00972390"/>
    <w:rsid w:val="00972EE6"/>
    <w:rsid w:val="00973671"/>
    <w:rsid w:val="00977627"/>
    <w:rsid w:val="00980501"/>
    <w:rsid w:val="009830D1"/>
    <w:rsid w:val="00983C8D"/>
    <w:rsid w:val="0099026C"/>
    <w:rsid w:val="00994E8A"/>
    <w:rsid w:val="00996AD2"/>
    <w:rsid w:val="009A3855"/>
    <w:rsid w:val="009A549D"/>
    <w:rsid w:val="009A59C6"/>
    <w:rsid w:val="009A64AF"/>
    <w:rsid w:val="009B2A20"/>
    <w:rsid w:val="009B7F37"/>
    <w:rsid w:val="009C0013"/>
    <w:rsid w:val="009D7F5C"/>
    <w:rsid w:val="009F0A47"/>
    <w:rsid w:val="009F17FF"/>
    <w:rsid w:val="009F4F89"/>
    <w:rsid w:val="009F6520"/>
    <w:rsid w:val="00A01090"/>
    <w:rsid w:val="00A20381"/>
    <w:rsid w:val="00A20602"/>
    <w:rsid w:val="00A25002"/>
    <w:rsid w:val="00A36A54"/>
    <w:rsid w:val="00A3753A"/>
    <w:rsid w:val="00A449C2"/>
    <w:rsid w:val="00A45350"/>
    <w:rsid w:val="00A52F3D"/>
    <w:rsid w:val="00A54027"/>
    <w:rsid w:val="00A63044"/>
    <w:rsid w:val="00A6365B"/>
    <w:rsid w:val="00A70E17"/>
    <w:rsid w:val="00A731BB"/>
    <w:rsid w:val="00A7325E"/>
    <w:rsid w:val="00A74AF3"/>
    <w:rsid w:val="00A8106A"/>
    <w:rsid w:val="00A9174A"/>
    <w:rsid w:val="00A9541D"/>
    <w:rsid w:val="00AA409D"/>
    <w:rsid w:val="00AA740C"/>
    <w:rsid w:val="00AB23E1"/>
    <w:rsid w:val="00AB4E83"/>
    <w:rsid w:val="00AB76C2"/>
    <w:rsid w:val="00AC0ACB"/>
    <w:rsid w:val="00AD4844"/>
    <w:rsid w:val="00AD67A6"/>
    <w:rsid w:val="00AE1D5E"/>
    <w:rsid w:val="00AE1E63"/>
    <w:rsid w:val="00AE335D"/>
    <w:rsid w:val="00AE50BC"/>
    <w:rsid w:val="00AF1B36"/>
    <w:rsid w:val="00B251DB"/>
    <w:rsid w:val="00B26C25"/>
    <w:rsid w:val="00B35C0C"/>
    <w:rsid w:val="00B37E13"/>
    <w:rsid w:val="00B408E1"/>
    <w:rsid w:val="00B45D7E"/>
    <w:rsid w:val="00B67AB0"/>
    <w:rsid w:val="00B70223"/>
    <w:rsid w:val="00B83145"/>
    <w:rsid w:val="00B83AD4"/>
    <w:rsid w:val="00B86460"/>
    <w:rsid w:val="00B87BDA"/>
    <w:rsid w:val="00B918B5"/>
    <w:rsid w:val="00B94B98"/>
    <w:rsid w:val="00BA0B69"/>
    <w:rsid w:val="00BA3680"/>
    <w:rsid w:val="00BB350F"/>
    <w:rsid w:val="00BB46FC"/>
    <w:rsid w:val="00BB4F0C"/>
    <w:rsid w:val="00BC0079"/>
    <w:rsid w:val="00BC1DBA"/>
    <w:rsid w:val="00BC645F"/>
    <w:rsid w:val="00BD0F8A"/>
    <w:rsid w:val="00BD433F"/>
    <w:rsid w:val="00BE0E2A"/>
    <w:rsid w:val="00BE1CB4"/>
    <w:rsid w:val="00BE1D63"/>
    <w:rsid w:val="00BE6EEA"/>
    <w:rsid w:val="00BF0CFC"/>
    <w:rsid w:val="00C00998"/>
    <w:rsid w:val="00C0175C"/>
    <w:rsid w:val="00C11257"/>
    <w:rsid w:val="00C113D7"/>
    <w:rsid w:val="00C128BA"/>
    <w:rsid w:val="00C21685"/>
    <w:rsid w:val="00C21971"/>
    <w:rsid w:val="00C31E1C"/>
    <w:rsid w:val="00C348C7"/>
    <w:rsid w:val="00C356A4"/>
    <w:rsid w:val="00C427E3"/>
    <w:rsid w:val="00C43D48"/>
    <w:rsid w:val="00C45FBA"/>
    <w:rsid w:val="00C46CE6"/>
    <w:rsid w:val="00C50A9A"/>
    <w:rsid w:val="00C65E4E"/>
    <w:rsid w:val="00C6776F"/>
    <w:rsid w:val="00C70AD9"/>
    <w:rsid w:val="00C83E41"/>
    <w:rsid w:val="00C859AB"/>
    <w:rsid w:val="00C92656"/>
    <w:rsid w:val="00CA67C8"/>
    <w:rsid w:val="00CB25AF"/>
    <w:rsid w:val="00CB5B85"/>
    <w:rsid w:val="00CB7499"/>
    <w:rsid w:val="00CC0991"/>
    <w:rsid w:val="00CC77FB"/>
    <w:rsid w:val="00CD18F3"/>
    <w:rsid w:val="00CD2586"/>
    <w:rsid w:val="00CD25A4"/>
    <w:rsid w:val="00CD2A73"/>
    <w:rsid w:val="00CD5053"/>
    <w:rsid w:val="00CD5EA7"/>
    <w:rsid w:val="00CE4789"/>
    <w:rsid w:val="00CE791E"/>
    <w:rsid w:val="00CF07A6"/>
    <w:rsid w:val="00CF288F"/>
    <w:rsid w:val="00D0117E"/>
    <w:rsid w:val="00D02513"/>
    <w:rsid w:val="00D04E31"/>
    <w:rsid w:val="00D157EF"/>
    <w:rsid w:val="00D169D7"/>
    <w:rsid w:val="00D220CF"/>
    <w:rsid w:val="00D27B99"/>
    <w:rsid w:val="00D3CB80"/>
    <w:rsid w:val="00D41B5D"/>
    <w:rsid w:val="00D460D6"/>
    <w:rsid w:val="00D4690E"/>
    <w:rsid w:val="00D6413C"/>
    <w:rsid w:val="00D66963"/>
    <w:rsid w:val="00D73761"/>
    <w:rsid w:val="00D82E0C"/>
    <w:rsid w:val="00D841E9"/>
    <w:rsid w:val="00D9122B"/>
    <w:rsid w:val="00D934AD"/>
    <w:rsid w:val="00D96730"/>
    <w:rsid w:val="00DA1297"/>
    <w:rsid w:val="00DA2460"/>
    <w:rsid w:val="00DA5496"/>
    <w:rsid w:val="00DA62AF"/>
    <w:rsid w:val="00DA6C32"/>
    <w:rsid w:val="00DB1B82"/>
    <w:rsid w:val="00DB54E7"/>
    <w:rsid w:val="00DC5EEA"/>
    <w:rsid w:val="00DD141D"/>
    <w:rsid w:val="00DD45DF"/>
    <w:rsid w:val="00DE1060"/>
    <w:rsid w:val="00DE1F88"/>
    <w:rsid w:val="00DF01FE"/>
    <w:rsid w:val="00DF219C"/>
    <w:rsid w:val="00E01D63"/>
    <w:rsid w:val="00E01D7D"/>
    <w:rsid w:val="00E0417C"/>
    <w:rsid w:val="00E073FD"/>
    <w:rsid w:val="00E101BD"/>
    <w:rsid w:val="00E10D8E"/>
    <w:rsid w:val="00E11B00"/>
    <w:rsid w:val="00E3027E"/>
    <w:rsid w:val="00E357F6"/>
    <w:rsid w:val="00E366F1"/>
    <w:rsid w:val="00E37443"/>
    <w:rsid w:val="00E43E56"/>
    <w:rsid w:val="00E50AD4"/>
    <w:rsid w:val="00E515AA"/>
    <w:rsid w:val="00E51EC5"/>
    <w:rsid w:val="00E5412A"/>
    <w:rsid w:val="00E67B2D"/>
    <w:rsid w:val="00E81F6C"/>
    <w:rsid w:val="00E83E8B"/>
    <w:rsid w:val="00E85B28"/>
    <w:rsid w:val="00E85B94"/>
    <w:rsid w:val="00E9086E"/>
    <w:rsid w:val="00E95372"/>
    <w:rsid w:val="00EA4BB0"/>
    <w:rsid w:val="00EB2A69"/>
    <w:rsid w:val="00EB5213"/>
    <w:rsid w:val="00EB5916"/>
    <w:rsid w:val="00EC3984"/>
    <w:rsid w:val="00EC5389"/>
    <w:rsid w:val="00EC604A"/>
    <w:rsid w:val="00ED30F6"/>
    <w:rsid w:val="00EE1123"/>
    <w:rsid w:val="00EE1F30"/>
    <w:rsid w:val="00EE1F4B"/>
    <w:rsid w:val="00EF015C"/>
    <w:rsid w:val="00EF0BD2"/>
    <w:rsid w:val="00EF5B14"/>
    <w:rsid w:val="00F05800"/>
    <w:rsid w:val="00F14B43"/>
    <w:rsid w:val="00F22BB9"/>
    <w:rsid w:val="00F309F1"/>
    <w:rsid w:val="00F31E83"/>
    <w:rsid w:val="00F32757"/>
    <w:rsid w:val="00F362C5"/>
    <w:rsid w:val="00F36F83"/>
    <w:rsid w:val="00F50FA6"/>
    <w:rsid w:val="00F516A9"/>
    <w:rsid w:val="00F573F6"/>
    <w:rsid w:val="00F62B4E"/>
    <w:rsid w:val="00F63B5B"/>
    <w:rsid w:val="00F63DA4"/>
    <w:rsid w:val="00F64252"/>
    <w:rsid w:val="00F66A4B"/>
    <w:rsid w:val="00F7080B"/>
    <w:rsid w:val="00F72424"/>
    <w:rsid w:val="00F8183E"/>
    <w:rsid w:val="00F81AF9"/>
    <w:rsid w:val="00F85E09"/>
    <w:rsid w:val="00FA0A09"/>
    <w:rsid w:val="00FA1DDD"/>
    <w:rsid w:val="00FB43BB"/>
    <w:rsid w:val="00FB5D2A"/>
    <w:rsid w:val="00FC28A6"/>
    <w:rsid w:val="00FD1D19"/>
    <w:rsid w:val="00FD421D"/>
    <w:rsid w:val="00FD610A"/>
    <w:rsid w:val="00FE4CD2"/>
    <w:rsid w:val="00FE7DB2"/>
    <w:rsid w:val="00FF04B6"/>
    <w:rsid w:val="00FF1121"/>
    <w:rsid w:val="00FF2AE6"/>
    <w:rsid w:val="00FF45FB"/>
    <w:rsid w:val="010CDA7B"/>
    <w:rsid w:val="011FFEB3"/>
    <w:rsid w:val="01457AF2"/>
    <w:rsid w:val="01C5830C"/>
    <w:rsid w:val="01FBE43F"/>
    <w:rsid w:val="023D1E6E"/>
    <w:rsid w:val="02426C8E"/>
    <w:rsid w:val="0253E648"/>
    <w:rsid w:val="0260C07E"/>
    <w:rsid w:val="028DADFC"/>
    <w:rsid w:val="030D46D7"/>
    <w:rsid w:val="03A0EF21"/>
    <w:rsid w:val="03A2828F"/>
    <w:rsid w:val="03BB94E3"/>
    <w:rsid w:val="03ED8E6D"/>
    <w:rsid w:val="04031FA3"/>
    <w:rsid w:val="040AF6DD"/>
    <w:rsid w:val="04733EEF"/>
    <w:rsid w:val="048CA3F2"/>
    <w:rsid w:val="049169A9"/>
    <w:rsid w:val="04E42863"/>
    <w:rsid w:val="0570832A"/>
    <w:rsid w:val="058D8ECF"/>
    <w:rsid w:val="05C522D8"/>
    <w:rsid w:val="05F16A7D"/>
    <w:rsid w:val="067E8BDD"/>
    <w:rsid w:val="06AEED3E"/>
    <w:rsid w:val="07088AC6"/>
    <w:rsid w:val="072C3FFE"/>
    <w:rsid w:val="074B25D6"/>
    <w:rsid w:val="0841818A"/>
    <w:rsid w:val="08504FAE"/>
    <w:rsid w:val="08766B65"/>
    <w:rsid w:val="089C835E"/>
    <w:rsid w:val="08A39F86"/>
    <w:rsid w:val="08B0F684"/>
    <w:rsid w:val="08BFDBA7"/>
    <w:rsid w:val="08D83563"/>
    <w:rsid w:val="08F853A9"/>
    <w:rsid w:val="096194E5"/>
    <w:rsid w:val="0A3511EA"/>
    <w:rsid w:val="0ABB82A8"/>
    <w:rsid w:val="0ACA2DDD"/>
    <w:rsid w:val="0AE50CDE"/>
    <w:rsid w:val="0B1DA5CF"/>
    <w:rsid w:val="0B27B185"/>
    <w:rsid w:val="0B2B04D0"/>
    <w:rsid w:val="0BA4AF1B"/>
    <w:rsid w:val="0BF17D0A"/>
    <w:rsid w:val="0C1A7D5E"/>
    <w:rsid w:val="0C2CAE0C"/>
    <w:rsid w:val="0CD5BD54"/>
    <w:rsid w:val="0D1583A2"/>
    <w:rsid w:val="0D9F353C"/>
    <w:rsid w:val="0DF3236A"/>
    <w:rsid w:val="0E1CADA0"/>
    <w:rsid w:val="0E229E68"/>
    <w:rsid w:val="0E51E404"/>
    <w:rsid w:val="0E8B1DDA"/>
    <w:rsid w:val="0F91A2F5"/>
    <w:rsid w:val="0FCD910E"/>
    <w:rsid w:val="0FE674D9"/>
    <w:rsid w:val="107A6FF2"/>
    <w:rsid w:val="10F91CEB"/>
    <w:rsid w:val="115B5229"/>
    <w:rsid w:val="115E09B9"/>
    <w:rsid w:val="1169616F"/>
    <w:rsid w:val="123944D0"/>
    <w:rsid w:val="123BB732"/>
    <w:rsid w:val="126C4F11"/>
    <w:rsid w:val="12AF000A"/>
    <w:rsid w:val="1314BAE8"/>
    <w:rsid w:val="13177692"/>
    <w:rsid w:val="13495E3F"/>
    <w:rsid w:val="13C76DCF"/>
    <w:rsid w:val="1473495E"/>
    <w:rsid w:val="14764DE3"/>
    <w:rsid w:val="147D71F2"/>
    <w:rsid w:val="14B992E7"/>
    <w:rsid w:val="14C9A91C"/>
    <w:rsid w:val="14F3434C"/>
    <w:rsid w:val="152D41D9"/>
    <w:rsid w:val="15798B39"/>
    <w:rsid w:val="16121E44"/>
    <w:rsid w:val="164C7061"/>
    <w:rsid w:val="169743C8"/>
    <w:rsid w:val="16D93110"/>
    <w:rsid w:val="17140113"/>
    <w:rsid w:val="1718C075"/>
    <w:rsid w:val="1789B28F"/>
    <w:rsid w:val="1798999A"/>
    <w:rsid w:val="17BE660A"/>
    <w:rsid w:val="1845CA01"/>
    <w:rsid w:val="1855AD15"/>
    <w:rsid w:val="18868EA1"/>
    <w:rsid w:val="191B00D0"/>
    <w:rsid w:val="19A26C72"/>
    <w:rsid w:val="19EA0525"/>
    <w:rsid w:val="1A0FFD9F"/>
    <w:rsid w:val="1A7BD3D6"/>
    <w:rsid w:val="1A81690D"/>
    <w:rsid w:val="1AB4C5AA"/>
    <w:rsid w:val="1AB6D131"/>
    <w:rsid w:val="1ACF48F9"/>
    <w:rsid w:val="1B7BD62A"/>
    <w:rsid w:val="1C2ED4A3"/>
    <w:rsid w:val="1C80FFDA"/>
    <w:rsid w:val="1CCACD43"/>
    <w:rsid w:val="1D3AD7A0"/>
    <w:rsid w:val="1D50E6A5"/>
    <w:rsid w:val="1DE08C73"/>
    <w:rsid w:val="1E0D5BCC"/>
    <w:rsid w:val="1E5F3D52"/>
    <w:rsid w:val="1EA80765"/>
    <w:rsid w:val="1ED0BBAB"/>
    <w:rsid w:val="1F077D92"/>
    <w:rsid w:val="1F42C108"/>
    <w:rsid w:val="1F939E1A"/>
    <w:rsid w:val="1FB8A09C"/>
    <w:rsid w:val="1FEA1CC4"/>
    <w:rsid w:val="20134649"/>
    <w:rsid w:val="20272394"/>
    <w:rsid w:val="204DB6B9"/>
    <w:rsid w:val="2058538D"/>
    <w:rsid w:val="205BF722"/>
    <w:rsid w:val="205DA5F9"/>
    <w:rsid w:val="206C8C0C"/>
    <w:rsid w:val="20D05E28"/>
    <w:rsid w:val="20E5F88D"/>
    <w:rsid w:val="210D5F03"/>
    <w:rsid w:val="213FCAFB"/>
    <w:rsid w:val="215780B1"/>
    <w:rsid w:val="2184F5BD"/>
    <w:rsid w:val="21B8DEF4"/>
    <w:rsid w:val="21BBB7DB"/>
    <w:rsid w:val="222347ED"/>
    <w:rsid w:val="224AFB5B"/>
    <w:rsid w:val="226FED4B"/>
    <w:rsid w:val="2273A3BA"/>
    <w:rsid w:val="22991F90"/>
    <w:rsid w:val="230687BB"/>
    <w:rsid w:val="233EB0FF"/>
    <w:rsid w:val="23B24318"/>
    <w:rsid w:val="23BB90D0"/>
    <w:rsid w:val="23E6CBBC"/>
    <w:rsid w:val="24306232"/>
    <w:rsid w:val="24D5ADF9"/>
    <w:rsid w:val="24F14C0A"/>
    <w:rsid w:val="24F3589D"/>
    <w:rsid w:val="251EDF34"/>
    <w:rsid w:val="2526150D"/>
    <w:rsid w:val="25FF310D"/>
    <w:rsid w:val="26271975"/>
    <w:rsid w:val="2639C086"/>
    <w:rsid w:val="26400751"/>
    <w:rsid w:val="2647E8F4"/>
    <w:rsid w:val="265443E2"/>
    <w:rsid w:val="26A8A2E2"/>
    <w:rsid w:val="26DC8EBD"/>
    <w:rsid w:val="26F7C8EB"/>
    <w:rsid w:val="271E6C7E"/>
    <w:rsid w:val="273FED40"/>
    <w:rsid w:val="277F1357"/>
    <w:rsid w:val="2796F83A"/>
    <w:rsid w:val="279B15B5"/>
    <w:rsid w:val="279EBE5F"/>
    <w:rsid w:val="27A02BD3"/>
    <w:rsid w:val="27B9D09A"/>
    <w:rsid w:val="27C9F2AC"/>
    <w:rsid w:val="27D7CBC3"/>
    <w:rsid w:val="28F558EA"/>
    <w:rsid w:val="29DDD435"/>
    <w:rsid w:val="2A164150"/>
    <w:rsid w:val="2A3A7D66"/>
    <w:rsid w:val="2A6E7287"/>
    <w:rsid w:val="2A9174DB"/>
    <w:rsid w:val="2A9D3A55"/>
    <w:rsid w:val="2AD2B677"/>
    <w:rsid w:val="2AF1715C"/>
    <w:rsid w:val="2B0AA90D"/>
    <w:rsid w:val="2B737019"/>
    <w:rsid w:val="2BA77D43"/>
    <w:rsid w:val="2BB0BE3D"/>
    <w:rsid w:val="2C57B4A5"/>
    <w:rsid w:val="2C8D41BD"/>
    <w:rsid w:val="2CB32FDC"/>
    <w:rsid w:val="2D3BC4C5"/>
    <w:rsid w:val="2D40BD65"/>
    <w:rsid w:val="2D52256F"/>
    <w:rsid w:val="2D5E6D95"/>
    <w:rsid w:val="2D60A3E6"/>
    <w:rsid w:val="2D6AE896"/>
    <w:rsid w:val="2DA5FD8F"/>
    <w:rsid w:val="2DA7B178"/>
    <w:rsid w:val="2DD13F6F"/>
    <w:rsid w:val="2DF2DB78"/>
    <w:rsid w:val="2E3AE18B"/>
    <w:rsid w:val="2EFC7447"/>
    <w:rsid w:val="2F1835F1"/>
    <w:rsid w:val="2F4194D2"/>
    <w:rsid w:val="2F4DB877"/>
    <w:rsid w:val="2F7F1E35"/>
    <w:rsid w:val="30872931"/>
    <w:rsid w:val="308C4342"/>
    <w:rsid w:val="30A459EC"/>
    <w:rsid w:val="30A9BEEA"/>
    <w:rsid w:val="3153E76D"/>
    <w:rsid w:val="31E8BDB0"/>
    <w:rsid w:val="3229409E"/>
    <w:rsid w:val="32395538"/>
    <w:rsid w:val="32506E31"/>
    <w:rsid w:val="326E0F71"/>
    <w:rsid w:val="330361EB"/>
    <w:rsid w:val="330E52AE"/>
    <w:rsid w:val="33260797"/>
    <w:rsid w:val="336E84E8"/>
    <w:rsid w:val="33BF9609"/>
    <w:rsid w:val="33E6D02F"/>
    <w:rsid w:val="33FF72A2"/>
    <w:rsid w:val="342F04EE"/>
    <w:rsid w:val="3469050E"/>
    <w:rsid w:val="348533FE"/>
    <w:rsid w:val="349FEEC4"/>
    <w:rsid w:val="35378D96"/>
    <w:rsid w:val="35D5DD79"/>
    <w:rsid w:val="3629C5DE"/>
    <w:rsid w:val="367B5032"/>
    <w:rsid w:val="374D656D"/>
    <w:rsid w:val="37F13DEF"/>
    <w:rsid w:val="381786E6"/>
    <w:rsid w:val="3895AF41"/>
    <w:rsid w:val="389F7B39"/>
    <w:rsid w:val="39193582"/>
    <w:rsid w:val="398D14E1"/>
    <w:rsid w:val="3A6B66E9"/>
    <w:rsid w:val="3AA04C0C"/>
    <w:rsid w:val="3AB44E74"/>
    <w:rsid w:val="3C738F53"/>
    <w:rsid w:val="3D7C4683"/>
    <w:rsid w:val="3DC8127A"/>
    <w:rsid w:val="3DDE602B"/>
    <w:rsid w:val="3DF6032D"/>
    <w:rsid w:val="3DF78805"/>
    <w:rsid w:val="3DFF8BA6"/>
    <w:rsid w:val="3E5CE357"/>
    <w:rsid w:val="3EEF1A89"/>
    <w:rsid w:val="3F14C331"/>
    <w:rsid w:val="3F47103D"/>
    <w:rsid w:val="3FF04E6F"/>
    <w:rsid w:val="40AC5E26"/>
    <w:rsid w:val="40C60751"/>
    <w:rsid w:val="410F118D"/>
    <w:rsid w:val="412403F4"/>
    <w:rsid w:val="41714A12"/>
    <w:rsid w:val="41B01E8B"/>
    <w:rsid w:val="41F5B21E"/>
    <w:rsid w:val="423F6485"/>
    <w:rsid w:val="42482E87"/>
    <w:rsid w:val="42539739"/>
    <w:rsid w:val="42B18B61"/>
    <w:rsid w:val="42BE2D38"/>
    <w:rsid w:val="4321F798"/>
    <w:rsid w:val="432513E0"/>
    <w:rsid w:val="432B39F2"/>
    <w:rsid w:val="432EE5D7"/>
    <w:rsid w:val="437E717C"/>
    <w:rsid w:val="4412C018"/>
    <w:rsid w:val="44F7DAF8"/>
    <w:rsid w:val="45371B03"/>
    <w:rsid w:val="4558B48A"/>
    <w:rsid w:val="45833B60"/>
    <w:rsid w:val="4593B544"/>
    <w:rsid w:val="45C741C5"/>
    <w:rsid w:val="465D019F"/>
    <w:rsid w:val="46DD5BBE"/>
    <w:rsid w:val="46F84E6F"/>
    <w:rsid w:val="46F9AD4B"/>
    <w:rsid w:val="47489DAF"/>
    <w:rsid w:val="475A5791"/>
    <w:rsid w:val="479333EA"/>
    <w:rsid w:val="48458FBB"/>
    <w:rsid w:val="48C0B2C4"/>
    <w:rsid w:val="490F23E5"/>
    <w:rsid w:val="4948BD94"/>
    <w:rsid w:val="4999551C"/>
    <w:rsid w:val="49B8DB29"/>
    <w:rsid w:val="49E9181D"/>
    <w:rsid w:val="4A3DE8C3"/>
    <w:rsid w:val="4A9B9651"/>
    <w:rsid w:val="4AA18A59"/>
    <w:rsid w:val="4AE9EF5E"/>
    <w:rsid w:val="4B223E02"/>
    <w:rsid w:val="4B55C55F"/>
    <w:rsid w:val="4BD90506"/>
    <w:rsid w:val="4BE52071"/>
    <w:rsid w:val="4C2B0DAF"/>
    <w:rsid w:val="4C377D66"/>
    <w:rsid w:val="4CBA4807"/>
    <w:rsid w:val="4CD01F3E"/>
    <w:rsid w:val="4CFFC9E9"/>
    <w:rsid w:val="4D00C30C"/>
    <w:rsid w:val="4DCF5D4B"/>
    <w:rsid w:val="4E69C5FA"/>
    <w:rsid w:val="4EA855EC"/>
    <w:rsid w:val="4ECD2B99"/>
    <w:rsid w:val="4ED6E57B"/>
    <w:rsid w:val="4F5A3C3B"/>
    <w:rsid w:val="4F7D01FD"/>
    <w:rsid w:val="4F858BB4"/>
    <w:rsid w:val="4F9E021C"/>
    <w:rsid w:val="4FF5AF25"/>
    <w:rsid w:val="50325F7A"/>
    <w:rsid w:val="50787CA8"/>
    <w:rsid w:val="50801E2F"/>
    <w:rsid w:val="50A74D3D"/>
    <w:rsid w:val="514147EC"/>
    <w:rsid w:val="5259C702"/>
    <w:rsid w:val="525A3056"/>
    <w:rsid w:val="52945AA5"/>
    <w:rsid w:val="52E22E2B"/>
    <w:rsid w:val="5319C347"/>
    <w:rsid w:val="536C3966"/>
    <w:rsid w:val="53EC3365"/>
    <w:rsid w:val="54361C51"/>
    <w:rsid w:val="5451F40C"/>
    <w:rsid w:val="54727017"/>
    <w:rsid w:val="54ABEAFE"/>
    <w:rsid w:val="54F425CF"/>
    <w:rsid w:val="5535DD00"/>
    <w:rsid w:val="5546279B"/>
    <w:rsid w:val="5566BEEF"/>
    <w:rsid w:val="556F6E8C"/>
    <w:rsid w:val="55B797E9"/>
    <w:rsid w:val="55F69884"/>
    <w:rsid w:val="55FBA62A"/>
    <w:rsid w:val="5616A616"/>
    <w:rsid w:val="5627C85F"/>
    <w:rsid w:val="5648BDDD"/>
    <w:rsid w:val="565C9D2D"/>
    <w:rsid w:val="56C17221"/>
    <w:rsid w:val="56CA0343"/>
    <w:rsid w:val="56FA52EE"/>
    <w:rsid w:val="579871DE"/>
    <w:rsid w:val="579D90C7"/>
    <w:rsid w:val="57D3602E"/>
    <w:rsid w:val="57D63503"/>
    <w:rsid w:val="583FE751"/>
    <w:rsid w:val="58437326"/>
    <w:rsid w:val="58F713B3"/>
    <w:rsid w:val="595F108E"/>
    <w:rsid w:val="599F6469"/>
    <w:rsid w:val="59C08E0E"/>
    <w:rsid w:val="59EAC77A"/>
    <w:rsid w:val="5A374572"/>
    <w:rsid w:val="5A3EE4E7"/>
    <w:rsid w:val="5A43E816"/>
    <w:rsid w:val="5A4DCAFC"/>
    <w:rsid w:val="5A5BD990"/>
    <w:rsid w:val="5B51D2CE"/>
    <w:rsid w:val="5B852DCC"/>
    <w:rsid w:val="5B9F3ACE"/>
    <w:rsid w:val="5C00D28D"/>
    <w:rsid w:val="5C3BE34D"/>
    <w:rsid w:val="5C8F0D99"/>
    <w:rsid w:val="5CCC830B"/>
    <w:rsid w:val="5D22683C"/>
    <w:rsid w:val="5D3038E3"/>
    <w:rsid w:val="5DE571F6"/>
    <w:rsid w:val="5E01489D"/>
    <w:rsid w:val="5E049270"/>
    <w:rsid w:val="5E1AFF1C"/>
    <w:rsid w:val="5E97E2F2"/>
    <w:rsid w:val="5EAA60BE"/>
    <w:rsid w:val="5EDC0195"/>
    <w:rsid w:val="5EEFBF0E"/>
    <w:rsid w:val="5F1B5BBE"/>
    <w:rsid w:val="5F6256DE"/>
    <w:rsid w:val="5F7EFFE1"/>
    <w:rsid w:val="5F96CD35"/>
    <w:rsid w:val="5F9D64FB"/>
    <w:rsid w:val="5FB95E22"/>
    <w:rsid w:val="6028E435"/>
    <w:rsid w:val="60693D7C"/>
    <w:rsid w:val="609EDF2A"/>
    <w:rsid w:val="60C928C6"/>
    <w:rsid w:val="60EB384E"/>
    <w:rsid w:val="6145151D"/>
    <w:rsid w:val="614DB2E4"/>
    <w:rsid w:val="616462BA"/>
    <w:rsid w:val="6171E0C9"/>
    <w:rsid w:val="617FE040"/>
    <w:rsid w:val="61E02FA8"/>
    <w:rsid w:val="6290EAD5"/>
    <w:rsid w:val="62D58B53"/>
    <w:rsid w:val="62EB8D06"/>
    <w:rsid w:val="62EF8448"/>
    <w:rsid w:val="632D737D"/>
    <w:rsid w:val="63442585"/>
    <w:rsid w:val="6351CA78"/>
    <w:rsid w:val="63548346"/>
    <w:rsid w:val="63D5CDB8"/>
    <w:rsid w:val="6400AB23"/>
    <w:rsid w:val="6486C7C0"/>
    <w:rsid w:val="65427E84"/>
    <w:rsid w:val="6569D9DF"/>
    <w:rsid w:val="6581AC7B"/>
    <w:rsid w:val="65D14C30"/>
    <w:rsid w:val="65F0D34C"/>
    <w:rsid w:val="66289E71"/>
    <w:rsid w:val="6677C15F"/>
    <w:rsid w:val="670E20AE"/>
    <w:rsid w:val="676C0564"/>
    <w:rsid w:val="68189178"/>
    <w:rsid w:val="681FE94A"/>
    <w:rsid w:val="6831F879"/>
    <w:rsid w:val="684B25D3"/>
    <w:rsid w:val="68941221"/>
    <w:rsid w:val="68D01F2B"/>
    <w:rsid w:val="68EAEA57"/>
    <w:rsid w:val="68EBD836"/>
    <w:rsid w:val="690893D9"/>
    <w:rsid w:val="691EE134"/>
    <w:rsid w:val="69259542"/>
    <w:rsid w:val="693837C6"/>
    <w:rsid w:val="695A5C45"/>
    <w:rsid w:val="6966B69B"/>
    <w:rsid w:val="69BD9767"/>
    <w:rsid w:val="6A26DA94"/>
    <w:rsid w:val="6A273712"/>
    <w:rsid w:val="6A2FE282"/>
    <w:rsid w:val="6A5A5843"/>
    <w:rsid w:val="6AF5BC64"/>
    <w:rsid w:val="6AF7D4C1"/>
    <w:rsid w:val="6B060686"/>
    <w:rsid w:val="6B2BA290"/>
    <w:rsid w:val="6B2CA883"/>
    <w:rsid w:val="6B428801"/>
    <w:rsid w:val="6B572ACC"/>
    <w:rsid w:val="6B5967C8"/>
    <w:rsid w:val="6B7A7F43"/>
    <w:rsid w:val="6BDDAD1E"/>
    <w:rsid w:val="6BE7C277"/>
    <w:rsid w:val="6C26FC08"/>
    <w:rsid w:val="6C2BF32A"/>
    <w:rsid w:val="6C373676"/>
    <w:rsid w:val="6C46C732"/>
    <w:rsid w:val="6C65D081"/>
    <w:rsid w:val="6C6BBF1A"/>
    <w:rsid w:val="6CD2561D"/>
    <w:rsid w:val="6CE86851"/>
    <w:rsid w:val="6CFD4905"/>
    <w:rsid w:val="6D616903"/>
    <w:rsid w:val="6D87C5C2"/>
    <w:rsid w:val="6EDADE17"/>
    <w:rsid w:val="6EEC3A2B"/>
    <w:rsid w:val="6F293694"/>
    <w:rsid w:val="6F93F403"/>
    <w:rsid w:val="6FA390F9"/>
    <w:rsid w:val="6FEEE4D6"/>
    <w:rsid w:val="70888ADC"/>
    <w:rsid w:val="70981EEE"/>
    <w:rsid w:val="714576A4"/>
    <w:rsid w:val="715B9B44"/>
    <w:rsid w:val="715CE56D"/>
    <w:rsid w:val="715FDBC2"/>
    <w:rsid w:val="71A52599"/>
    <w:rsid w:val="71C3E007"/>
    <w:rsid w:val="71E3C669"/>
    <w:rsid w:val="72245B3D"/>
    <w:rsid w:val="72998D33"/>
    <w:rsid w:val="729AB15F"/>
    <w:rsid w:val="729F780B"/>
    <w:rsid w:val="72B808F0"/>
    <w:rsid w:val="72EAD2B4"/>
    <w:rsid w:val="73184BC5"/>
    <w:rsid w:val="73449648"/>
    <w:rsid w:val="738DD603"/>
    <w:rsid w:val="73EF0D7D"/>
    <w:rsid w:val="743681C0"/>
    <w:rsid w:val="7460E45A"/>
    <w:rsid w:val="747E60F9"/>
    <w:rsid w:val="74EFEB0F"/>
    <w:rsid w:val="7501F145"/>
    <w:rsid w:val="756A3583"/>
    <w:rsid w:val="756C141A"/>
    <w:rsid w:val="75D2A16C"/>
    <w:rsid w:val="75F5467D"/>
    <w:rsid w:val="769757A5"/>
    <w:rsid w:val="76A5D7AB"/>
    <w:rsid w:val="76C54EAA"/>
    <w:rsid w:val="76EE4DCD"/>
    <w:rsid w:val="76F06FF1"/>
    <w:rsid w:val="76F6F72B"/>
    <w:rsid w:val="7726AE3F"/>
    <w:rsid w:val="777E04A4"/>
    <w:rsid w:val="77A95FA7"/>
    <w:rsid w:val="77D267F1"/>
    <w:rsid w:val="780657BD"/>
    <w:rsid w:val="783FCA6A"/>
    <w:rsid w:val="7849D5DD"/>
    <w:rsid w:val="788A1E2E"/>
    <w:rsid w:val="78A5719A"/>
    <w:rsid w:val="78F21E56"/>
    <w:rsid w:val="7921E102"/>
    <w:rsid w:val="7949B05E"/>
    <w:rsid w:val="79C7F1B7"/>
    <w:rsid w:val="79CE466E"/>
    <w:rsid w:val="79DBA8B7"/>
    <w:rsid w:val="7A7EBC23"/>
    <w:rsid w:val="7AACBBD3"/>
    <w:rsid w:val="7B1430F5"/>
    <w:rsid w:val="7B684E42"/>
    <w:rsid w:val="7B951264"/>
    <w:rsid w:val="7C7459A4"/>
    <w:rsid w:val="7C841577"/>
    <w:rsid w:val="7CCB2F52"/>
    <w:rsid w:val="7CFADBEA"/>
    <w:rsid w:val="7D134979"/>
    <w:rsid w:val="7D747203"/>
    <w:rsid w:val="7E4A6049"/>
    <w:rsid w:val="7EA6EEEB"/>
    <w:rsid w:val="7F615016"/>
    <w:rsid w:val="7FFF1CE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DBB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766"/>
    <w:pPr>
      <w:spacing w:before="120" w:after="120" w:line="240" w:lineRule="auto"/>
    </w:pPr>
    <w:rPr>
      <w:sz w:val="20"/>
    </w:rPr>
  </w:style>
  <w:style w:type="paragraph" w:styleId="Heading1">
    <w:name w:val="heading 1"/>
    <w:basedOn w:val="Normal"/>
    <w:next w:val="Normal"/>
    <w:link w:val="Heading1Char"/>
    <w:uiPriority w:val="9"/>
    <w:qFormat/>
    <w:rsid w:val="00C50A9A"/>
    <w:pPr>
      <w:keepNext/>
      <w:keepLines/>
      <w:spacing w:before="240"/>
      <w:outlineLvl w:val="0"/>
    </w:pPr>
    <w:rPr>
      <w:rFonts w:asciiTheme="majorHAnsi" w:eastAsiaTheme="majorEastAsia" w:hAnsiTheme="majorHAnsi" w:cstheme="majorBidi"/>
      <w:color w:val="15659B" w:themeColor="accent4"/>
      <w:sz w:val="48"/>
      <w:szCs w:val="32"/>
    </w:rPr>
  </w:style>
  <w:style w:type="paragraph" w:styleId="Heading2">
    <w:name w:val="heading 2"/>
    <w:basedOn w:val="Normal"/>
    <w:next w:val="Normal"/>
    <w:link w:val="Heading2Char"/>
    <w:uiPriority w:val="9"/>
    <w:unhideWhenUsed/>
    <w:qFormat/>
    <w:rsid w:val="00C50A9A"/>
    <w:pPr>
      <w:keepNext/>
      <w:keepLines/>
      <w:spacing w:before="240"/>
      <w:outlineLvl w:val="1"/>
    </w:pPr>
    <w:rPr>
      <w:rFonts w:asciiTheme="majorHAnsi" w:eastAsiaTheme="majorEastAsia" w:hAnsiTheme="majorHAnsi" w:cstheme="majorBidi"/>
      <w:color w:val="15659B" w:themeColor="accent4"/>
      <w:sz w:val="40"/>
      <w:szCs w:val="48"/>
    </w:rPr>
  </w:style>
  <w:style w:type="paragraph" w:styleId="Heading3">
    <w:name w:val="heading 3"/>
    <w:basedOn w:val="Normal"/>
    <w:next w:val="Normal"/>
    <w:link w:val="Heading3Char"/>
    <w:uiPriority w:val="9"/>
    <w:unhideWhenUsed/>
    <w:qFormat/>
    <w:rsid w:val="00C50A9A"/>
    <w:pPr>
      <w:keepNext/>
      <w:keepLines/>
      <w:spacing w:before="240"/>
      <w:outlineLvl w:val="2"/>
    </w:pPr>
    <w:rPr>
      <w:rFonts w:asciiTheme="majorHAnsi" w:eastAsiaTheme="majorEastAsia" w:hAnsiTheme="majorHAnsi" w:cstheme="majorBidi"/>
      <w:color w:val="15659B" w:themeColor="accent4"/>
      <w:sz w:val="32"/>
      <w:szCs w:val="40"/>
    </w:rPr>
  </w:style>
  <w:style w:type="paragraph" w:styleId="Heading4">
    <w:name w:val="heading 4"/>
    <w:basedOn w:val="Normal"/>
    <w:next w:val="Normal"/>
    <w:link w:val="Heading4Char"/>
    <w:uiPriority w:val="9"/>
    <w:unhideWhenUsed/>
    <w:qFormat/>
    <w:rsid w:val="00C50A9A"/>
    <w:pPr>
      <w:keepNext/>
      <w:keepLines/>
      <w:spacing w:before="240"/>
      <w:outlineLvl w:val="3"/>
    </w:pPr>
    <w:rPr>
      <w:rFonts w:asciiTheme="majorHAnsi" w:eastAsiaTheme="majorEastAsia" w:hAnsiTheme="majorHAnsi" w:cstheme="majorBidi"/>
      <w:iCs/>
      <w:color w:val="15659B" w:themeColor="accent4"/>
      <w:sz w:val="28"/>
      <w:szCs w:val="28"/>
    </w:rPr>
  </w:style>
  <w:style w:type="paragraph" w:styleId="Heading5">
    <w:name w:val="heading 5"/>
    <w:basedOn w:val="Normal"/>
    <w:next w:val="Normal"/>
    <w:link w:val="Heading5Char"/>
    <w:uiPriority w:val="9"/>
    <w:unhideWhenUsed/>
    <w:qFormat/>
    <w:rsid w:val="00C50A9A"/>
    <w:pPr>
      <w:keepNext/>
      <w:keepLines/>
      <w:spacing w:before="240"/>
      <w:outlineLvl w:val="4"/>
    </w:pPr>
    <w:rPr>
      <w:rFonts w:asciiTheme="majorHAnsi" w:eastAsiaTheme="majorEastAsia" w:hAnsiTheme="majorHAnsi" w:cstheme="majorBidi"/>
      <w:color w:val="000000" w:themeColor="text1"/>
      <w:sz w:val="26"/>
      <w:szCs w:val="26"/>
    </w:rPr>
  </w:style>
  <w:style w:type="paragraph" w:styleId="Heading6">
    <w:name w:val="heading 6"/>
    <w:basedOn w:val="Normal"/>
    <w:next w:val="Normal"/>
    <w:link w:val="Heading6Char"/>
    <w:uiPriority w:val="9"/>
    <w:unhideWhenUsed/>
    <w:qFormat/>
    <w:rsid w:val="00C50A9A"/>
    <w:pPr>
      <w:keepNext/>
      <w:keepLines/>
      <w:spacing w:before="240"/>
      <w:outlineLvl w:val="5"/>
    </w:pPr>
    <w:rPr>
      <w:rFonts w:asciiTheme="majorHAnsi" w:eastAsiaTheme="majorEastAsia" w:hAnsiTheme="majorHAnsi" w:cstheme="majorBidi"/>
      <w:color w:val="000000" w:themeColor="text1"/>
      <w:sz w:val="24"/>
    </w:rPr>
  </w:style>
  <w:style w:type="paragraph" w:styleId="Heading7">
    <w:name w:val="heading 7"/>
    <w:basedOn w:val="Normal"/>
    <w:next w:val="Normal"/>
    <w:link w:val="Heading7Char"/>
    <w:uiPriority w:val="9"/>
    <w:unhideWhenUsed/>
    <w:qFormat/>
    <w:rsid w:val="00C50A9A"/>
    <w:pPr>
      <w:keepNext/>
      <w:keepLines/>
      <w:spacing w:before="240"/>
      <w:outlineLvl w:val="6"/>
    </w:pPr>
    <w:rPr>
      <w:rFonts w:asciiTheme="majorHAnsi" w:eastAsiaTheme="majorEastAsia" w:hAnsiTheme="majorHAnsi" w:cstheme="majorBidi"/>
      <w:b/>
      <w:iCs/>
      <w:color w:val="001B35" w:themeColor="accent1"/>
      <w:sz w:val="22"/>
    </w:rPr>
  </w:style>
  <w:style w:type="paragraph" w:styleId="Heading8">
    <w:name w:val="heading 8"/>
    <w:basedOn w:val="Normal"/>
    <w:next w:val="Normal"/>
    <w:link w:val="Heading8Char"/>
    <w:uiPriority w:val="9"/>
    <w:unhideWhenUsed/>
    <w:qFormat/>
    <w:rsid w:val="00C50A9A"/>
    <w:pPr>
      <w:keepNext/>
      <w:keepLines/>
      <w:spacing w:before="24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DB"/>
    <w:pPr>
      <w:tabs>
        <w:tab w:val="center" w:pos="4513"/>
        <w:tab w:val="right" w:pos="9026"/>
      </w:tabs>
      <w:spacing w:after="0"/>
    </w:pPr>
  </w:style>
  <w:style w:type="character" w:customStyle="1" w:styleId="HeaderChar">
    <w:name w:val="Header Char"/>
    <w:basedOn w:val="DefaultParagraphFont"/>
    <w:link w:val="Header"/>
    <w:uiPriority w:val="99"/>
    <w:rsid w:val="00B251DB"/>
  </w:style>
  <w:style w:type="paragraph" w:styleId="Footer">
    <w:name w:val="footer"/>
    <w:basedOn w:val="Normal"/>
    <w:link w:val="FooterChar"/>
    <w:uiPriority w:val="99"/>
    <w:unhideWhenUsed/>
    <w:rsid w:val="00B251DB"/>
    <w:pPr>
      <w:tabs>
        <w:tab w:val="center" w:pos="4513"/>
        <w:tab w:val="right" w:pos="9026"/>
      </w:tabs>
      <w:spacing w:after="0"/>
    </w:pPr>
  </w:style>
  <w:style w:type="character" w:customStyle="1" w:styleId="FooterChar">
    <w:name w:val="Footer Char"/>
    <w:basedOn w:val="DefaultParagraphFont"/>
    <w:link w:val="Footer"/>
    <w:uiPriority w:val="99"/>
    <w:rsid w:val="00B251DB"/>
  </w:style>
  <w:style w:type="character" w:customStyle="1" w:styleId="Heading1Char">
    <w:name w:val="Heading 1 Char"/>
    <w:basedOn w:val="DefaultParagraphFont"/>
    <w:link w:val="Heading1"/>
    <w:uiPriority w:val="9"/>
    <w:rsid w:val="00C50A9A"/>
    <w:rPr>
      <w:rFonts w:asciiTheme="majorHAnsi" w:eastAsiaTheme="majorEastAsia" w:hAnsiTheme="majorHAnsi" w:cstheme="majorBidi"/>
      <w:color w:val="15659B" w:themeColor="accent4"/>
      <w:sz w:val="48"/>
      <w:szCs w:val="32"/>
    </w:rPr>
  </w:style>
  <w:style w:type="paragraph" w:styleId="Title">
    <w:name w:val="Title"/>
    <w:basedOn w:val="Normal"/>
    <w:next w:val="Normal"/>
    <w:link w:val="TitleChar"/>
    <w:uiPriority w:val="10"/>
    <w:qFormat/>
    <w:rsid w:val="002F60C0"/>
    <w:pPr>
      <w:contextualSpacing/>
      <w:outlineLvl w:val="0"/>
    </w:pPr>
    <w:rPr>
      <w:rFonts w:asciiTheme="majorHAnsi" w:eastAsiaTheme="majorEastAsia" w:hAnsiTheme="majorHAnsi" w:cstheme="majorBidi"/>
      <w:color w:val="001B35" w:themeColor="accent1"/>
      <w:spacing w:val="-10"/>
      <w:kern w:val="28"/>
      <w:sz w:val="72"/>
      <w:szCs w:val="72"/>
    </w:rPr>
  </w:style>
  <w:style w:type="character" w:customStyle="1" w:styleId="TitleChar">
    <w:name w:val="Title Char"/>
    <w:basedOn w:val="DefaultParagraphFont"/>
    <w:link w:val="Title"/>
    <w:uiPriority w:val="10"/>
    <w:rsid w:val="002F60C0"/>
    <w:rPr>
      <w:rFonts w:asciiTheme="majorHAnsi" w:eastAsiaTheme="majorEastAsia" w:hAnsiTheme="majorHAnsi" w:cstheme="majorBidi"/>
      <w:color w:val="001B35" w:themeColor="accent1"/>
      <w:spacing w:val="-10"/>
      <w:kern w:val="28"/>
      <w:sz w:val="72"/>
      <w:szCs w:val="72"/>
    </w:rPr>
  </w:style>
  <w:style w:type="paragraph" w:styleId="Subtitle">
    <w:name w:val="Subtitle"/>
    <w:basedOn w:val="Normal"/>
    <w:next w:val="Normal"/>
    <w:link w:val="SubtitleChar"/>
    <w:uiPriority w:val="11"/>
    <w:qFormat/>
    <w:rsid w:val="00960D98"/>
    <w:pPr>
      <w:numPr>
        <w:ilvl w:val="1"/>
      </w:numPr>
    </w:pPr>
    <w:rPr>
      <w:rFonts w:eastAsiaTheme="minorEastAsia"/>
      <w:color w:val="15659B" w:themeColor="accent4"/>
      <w:sz w:val="40"/>
    </w:rPr>
  </w:style>
  <w:style w:type="character" w:customStyle="1" w:styleId="SubtitleChar">
    <w:name w:val="Subtitle Char"/>
    <w:basedOn w:val="DefaultParagraphFont"/>
    <w:link w:val="Subtitle"/>
    <w:uiPriority w:val="11"/>
    <w:rsid w:val="00960D98"/>
    <w:rPr>
      <w:rFonts w:eastAsiaTheme="minorEastAsia"/>
      <w:color w:val="15659B" w:themeColor="accent4"/>
      <w:sz w:val="40"/>
    </w:rPr>
  </w:style>
  <w:style w:type="character" w:customStyle="1" w:styleId="Heading2Char">
    <w:name w:val="Heading 2 Char"/>
    <w:basedOn w:val="DefaultParagraphFont"/>
    <w:link w:val="Heading2"/>
    <w:uiPriority w:val="9"/>
    <w:rsid w:val="00C50A9A"/>
    <w:rPr>
      <w:rFonts w:asciiTheme="majorHAnsi" w:eastAsiaTheme="majorEastAsia" w:hAnsiTheme="majorHAnsi" w:cstheme="majorBidi"/>
      <w:color w:val="15659B" w:themeColor="accent4"/>
      <w:sz w:val="40"/>
      <w:szCs w:val="48"/>
    </w:rPr>
  </w:style>
  <w:style w:type="character" w:customStyle="1" w:styleId="Heading3Char">
    <w:name w:val="Heading 3 Char"/>
    <w:basedOn w:val="DefaultParagraphFont"/>
    <w:link w:val="Heading3"/>
    <w:uiPriority w:val="9"/>
    <w:rsid w:val="00C50A9A"/>
    <w:rPr>
      <w:rFonts w:asciiTheme="majorHAnsi" w:eastAsiaTheme="majorEastAsia" w:hAnsiTheme="majorHAnsi" w:cstheme="majorBidi"/>
      <w:color w:val="15659B" w:themeColor="accent4"/>
      <w:sz w:val="32"/>
      <w:szCs w:val="40"/>
    </w:rPr>
  </w:style>
  <w:style w:type="character" w:customStyle="1" w:styleId="Heading4Char">
    <w:name w:val="Heading 4 Char"/>
    <w:basedOn w:val="DefaultParagraphFont"/>
    <w:link w:val="Heading4"/>
    <w:uiPriority w:val="9"/>
    <w:rsid w:val="00C50A9A"/>
    <w:rPr>
      <w:rFonts w:asciiTheme="majorHAnsi" w:eastAsiaTheme="majorEastAsia" w:hAnsiTheme="majorHAnsi" w:cstheme="majorBidi"/>
      <w:iCs/>
      <w:color w:val="15659B" w:themeColor="accent4"/>
      <w:sz w:val="28"/>
      <w:szCs w:val="28"/>
    </w:rPr>
  </w:style>
  <w:style w:type="character" w:customStyle="1" w:styleId="Heading5Char">
    <w:name w:val="Heading 5 Char"/>
    <w:basedOn w:val="DefaultParagraphFont"/>
    <w:link w:val="Heading5"/>
    <w:uiPriority w:val="9"/>
    <w:rsid w:val="00C50A9A"/>
    <w:rPr>
      <w:rFonts w:asciiTheme="majorHAnsi" w:eastAsiaTheme="majorEastAsia" w:hAnsiTheme="majorHAnsi" w:cstheme="majorBidi"/>
      <w:color w:val="000000" w:themeColor="text1"/>
      <w:sz w:val="26"/>
      <w:szCs w:val="26"/>
    </w:rPr>
  </w:style>
  <w:style w:type="paragraph" w:styleId="Quote">
    <w:name w:val="Quote"/>
    <w:basedOn w:val="Normal"/>
    <w:next w:val="Normal"/>
    <w:link w:val="QuoteChar"/>
    <w:uiPriority w:val="29"/>
    <w:qFormat/>
    <w:rsid w:val="00171757"/>
    <w:pPr>
      <w:pBdr>
        <w:top w:val="single" w:sz="4" w:space="6" w:color="15659B" w:themeColor="accent4"/>
        <w:bottom w:val="single" w:sz="4" w:space="6" w:color="15659B" w:themeColor="accent4"/>
      </w:pBdr>
      <w:spacing w:before="240" w:after="240"/>
      <w:ind w:right="2835"/>
    </w:pPr>
    <w:rPr>
      <w:iCs/>
      <w:color w:val="000000" w:themeColor="text1"/>
      <w:sz w:val="22"/>
      <w:szCs w:val="24"/>
    </w:rPr>
  </w:style>
  <w:style w:type="character" w:customStyle="1" w:styleId="QuoteChar">
    <w:name w:val="Quote Char"/>
    <w:basedOn w:val="DefaultParagraphFont"/>
    <w:link w:val="Quote"/>
    <w:uiPriority w:val="29"/>
    <w:rsid w:val="00171757"/>
    <w:rPr>
      <w:iCs/>
      <w:color w:val="000000" w:themeColor="text1"/>
      <w:szCs w:val="24"/>
    </w:rPr>
  </w:style>
  <w:style w:type="character" w:styleId="Strong">
    <w:name w:val="Strong"/>
    <w:basedOn w:val="DefaultParagraphFont"/>
    <w:uiPriority w:val="22"/>
    <w:qFormat/>
    <w:rsid w:val="00B251DB"/>
    <w:rPr>
      <w:b/>
      <w:bCs/>
    </w:rPr>
  </w:style>
  <w:style w:type="character" w:styleId="Emphasis">
    <w:name w:val="Emphasis"/>
    <w:basedOn w:val="DefaultParagraphFont"/>
    <w:uiPriority w:val="20"/>
    <w:qFormat/>
    <w:rsid w:val="00B251DB"/>
    <w:rPr>
      <w:i/>
      <w:iCs/>
    </w:rPr>
  </w:style>
  <w:style w:type="paragraph" w:styleId="ListParagraph">
    <w:name w:val="List Paragraph"/>
    <w:basedOn w:val="Normal"/>
    <w:uiPriority w:val="34"/>
    <w:qFormat/>
    <w:rsid w:val="005D2BF3"/>
    <w:pPr>
      <w:numPr>
        <w:numId w:val="1"/>
      </w:numPr>
      <w:spacing w:before="0"/>
    </w:pPr>
  </w:style>
  <w:style w:type="character" w:styleId="Hyperlink">
    <w:name w:val="Hyperlink"/>
    <w:basedOn w:val="DefaultParagraphFont"/>
    <w:uiPriority w:val="99"/>
    <w:unhideWhenUsed/>
    <w:rsid w:val="0031654A"/>
    <w:rPr>
      <w:color w:val="15659B" w:themeColor="accent4"/>
      <w:u w:val="single"/>
    </w:rPr>
  </w:style>
  <w:style w:type="table" w:styleId="TableGrid">
    <w:name w:val="Table Grid"/>
    <w:aliases w:val="DISR plain Table 1"/>
    <w:basedOn w:val="TableNormal"/>
    <w:uiPriority w:val="39"/>
    <w:rsid w:val="005777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table" w:styleId="PlainTable2">
    <w:name w:val="Plain Table 2"/>
    <w:basedOn w:val="TableNormal"/>
    <w:uiPriority w:val="42"/>
    <w:rsid w:val="007113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113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5777BC"/>
    <w:rPr>
      <w:b/>
      <w:iCs/>
      <w:szCs w:val="18"/>
    </w:rPr>
  </w:style>
  <w:style w:type="character" w:styleId="PlaceholderText">
    <w:name w:val="Placeholder Text"/>
    <w:basedOn w:val="DefaultParagraphFont"/>
    <w:uiPriority w:val="99"/>
    <w:semiHidden/>
    <w:rsid w:val="00BD0F8A"/>
    <w:rPr>
      <w:color w:val="808080"/>
    </w:rPr>
  </w:style>
  <w:style w:type="paragraph" w:styleId="NoSpacing">
    <w:name w:val="No Spacing"/>
    <w:link w:val="NoSpacingChar"/>
    <w:uiPriority w:val="1"/>
    <w:qFormat/>
    <w:rsid w:val="00671D1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1D1D"/>
    <w:rPr>
      <w:rFonts w:eastAsiaTheme="minorEastAsia"/>
      <w:lang w:val="en-US"/>
    </w:rPr>
  </w:style>
  <w:style w:type="paragraph" w:styleId="TOCHeading">
    <w:name w:val="TOC Heading"/>
    <w:basedOn w:val="Heading1"/>
    <w:next w:val="Normal"/>
    <w:uiPriority w:val="39"/>
    <w:unhideWhenUsed/>
    <w:qFormat/>
    <w:rsid w:val="000F2564"/>
    <w:pPr>
      <w:spacing w:after="480"/>
      <w:outlineLvl w:val="9"/>
    </w:pPr>
    <w:rPr>
      <w:lang w:val="en-US"/>
    </w:rPr>
  </w:style>
  <w:style w:type="paragraph" w:styleId="TOC1">
    <w:name w:val="toc 1"/>
    <w:basedOn w:val="Normal"/>
    <w:next w:val="Normal"/>
    <w:autoRedefine/>
    <w:uiPriority w:val="39"/>
    <w:unhideWhenUsed/>
    <w:rsid w:val="009F4F89"/>
    <w:pPr>
      <w:tabs>
        <w:tab w:val="right" w:leader="dot" w:pos="9016"/>
      </w:tabs>
      <w:spacing w:after="100"/>
    </w:pPr>
  </w:style>
  <w:style w:type="paragraph" w:styleId="TOC2">
    <w:name w:val="toc 2"/>
    <w:basedOn w:val="Normal"/>
    <w:next w:val="Normal"/>
    <w:autoRedefine/>
    <w:uiPriority w:val="39"/>
    <w:unhideWhenUsed/>
    <w:rsid w:val="009F4F89"/>
    <w:pPr>
      <w:tabs>
        <w:tab w:val="right" w:leader="dot" w:pos="9016"/>
      </w:tabs>
      <w:spacing w:after="100"/>
      <w:ind w:left="220"/>
    </w:pPr>
  </w:style>
  <w:style w:type="paragraph" w:styleId="TOC3">
    <w:name w:val="toc 3"/>
    <w:basedOn w:val="Normal"/>
    <w:next w:val="Normal"/>
    <w:autoRedefine/>
    <w:uiPriority w:val="39"/>
    <w:unhideWhenUsed/>
    <w:rsid w:val="009F4F89"/>
    <w:pPr>
      <w:tabs>
        <w:tab w:val="right" w:leader="dot" w:pos="9016"/>
      </w:tabs>
      <w:spacing w:after="100"/>
      <w:ind w:left="440"/>
    </w:pPr>
  </w:style>
  <w:style w:type="paragraph" w:customStyle="1" w:styleId="Address">
    <w:name w:val="Address"/>
    <w:basedOn w:val="Subtitle"/>
    <w:qFormat/>
    <w:rsid w:val="009A549D"/>
    <w:pPr>
      <w:spacing w:after="0"/>
    </w:pPr>
    <w:rPr>
      <w:sz w:val="24"/>
    </w:rPr>
  </w:style>
  <w:style w:type="paragraph" w:styleId="BalloonText">
    <w:name w:val="Balloon Text"/>
    <w:basedOn w:val="Normal"/>
    <w:link w:val="BalloonTextChar"/>
    <w:uiPriority w:val="99"/>
    <w:semiHidden/>
    <w:unhideWhenUsed/>
    <w:rsid w:val="00E3027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7E"/>
    <w:rPr>
      <w:rFonts w:ascii="Segoe UI" w:hAnsi="Segoe UI" w:cs="Segoe UI"/>
      <w:sz w:val="18"/>
      <w:szCs w:val="18"/>
    </w:rPr>
  </w:style>
  <w:style w:type="table" w:styleId="ListTable3-Accent2">
    <w:name w:val="List Table 3 Accent 2"/>
    <w:basedOn w:val="TableNormal"/>
    <w:uiPriority w:val="48"/>
    <w:rsid w:val="00153C15"/>
    <w:pPr>
      <w:spacing w:after="0" w:line="240" w:lineRule="auto"/>
    </w:pPr>
    <w:tblPr>
      <w:tblStyleRowBandSize w:val="1"/>
      <w:tblStyleColBandSize w:val="1"/>
      <w:tblBorders>
        <w:top w:val="single" w:sz="4" w:space="0" w:color="993533" w:themeColor="accent2"/>
        <w:left w:val="single" w:sz="4" w:space="0" w:color="993533" w:themeColor="accent2"/>
        <w:bottom w:val="single" w:sz="4" w:space="0" w:color="993533" w:themeColor="accent2"/>
        <w:right w:val="single" w:sz="4" w:space="0" w:color="993533" w:themeColor="accent2"/>
      </w:tblBorders>
    </w:tblPr>
    <w:tblStylePr w:type="firstRow">
      <w:rPr>
        <w:b/>
        <w:bCs/>
        <w:color w:val="FFFFFF" w:themeColor="background1"/>
      </w:rPr>
      <w:tblPr/>
      <w:tcPr>
        <w:shd w:val="clear" w:color="auto" w:fill="993533" w:themeFill="accent2"/>
      </w:tcPr>
    </w:tblStylePr>
    <w:tblStylePr w:type="lastRow">
      <w:rPr>
        <w:b/>
        <w:bCs/>
      </w:rPr>
      <w:tblPr/>
      <w:tcPr>
        <w:tcBorders>
          <w:top w:val="double" w:sz="4" w:space="0" w:color="99353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93533" w:themeColor="accent2"/>
          <w:right w:val="single" w:sz="4" w:space="0" w:color="993533" w:themeColor="accent2"/>
        </w:tcBorders>
      </w:tcPr>
    </w:tblStylePr>
    <w:tblStylePr w:type="band1Horz">
      <w:tblPr/>
      <w:tcPr>
        <w:tcBorders>
          <w:top w:val="single" w:sz="4" w:space="0" w:color="993533" w:themeColor="accent2"/>
          <w:bottom w:val="single" w:sz="4" w:space="0" w:color="99353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93533" w:themeColor="accent2"/>
          <w:left w:val="nil"/>
        </w:tcBorders>
      </w:tcPr>
    </w:tblStylePr>
    <w:tblStylePr w:type="swCell">
      <w:tblPr/>
      <w:tcPr>
        <w:tcBorders>
          <w:top w:val="double" w:sz="4" w:space="0" w:color="993533" w:themeColor="accent2"/>
          <w:right w:val="nil"/>
        </w:tcBorders>
      </w:tcPr>
    </w:tblStylePr>
  </w:style>
  <w:style w:type="table" w:styleId="ListTable3-Accent3">
    <w:name w:val="List Table 3 Accent 3"/>
    <w:basedOn w:val="TableNormal"/>
    <w:uiPriority w:val="48"/>
    <w:rsid w:val="00153C15"/>
    <w:pPr>
      <w:spacing w:after="0" w:line="240" w:lineRule="auto"/>
    </w:pPr>
    <w:tblPr>
      <w:tblStyleRowBandSize w:val="1"/>
      <w:tblStyleColBandSize w:val="1"/>
      <w:tblBorders>
        <w:top w:val="single" w:sz="4" w:space="0" w:color="00D3D1" w:themeColor="accent3"/>
        <w:left w:val="single" w:sz="4" w:space="0" w:color="00D3D1" w:themeColor="accent3"/>
        <w:bottom w:val="single" w:sz="4" w:space="0" w:color="00D3D1" w:themeColor="accent3"/>
        <w:right w:val="single" w:sz="4" w:space="0" w:color="00D3D1" w:themeColor="accent3"/>
      </w:tblBorders>
    </w:tblPr>
    <w:tblStylePr w:type="firstRow">
      <w:rPr>
        <w:b/>
        <w:bCs/>
        <w:color w:val="FFFFFF" w:themeColor="background1"/>
      </w:rPr>
      <w:tblPr/>
      <w:tcPr>
        <w:shd w:val="clear" w:color="auto" w:fill="00D3D1" w:themeFill="accent3"/>
      </w:tcPr>
    </w:tblStylePr>
    <w:tblStylePr w:type="lastRow">
      <w:rPr>
        <w:b/>
        <w:bCs/>
      </w:rPr>
      <w:tblPr/>
      <w:tcPr>
        <w:tcBorders>
          <w:top w:val="double" w:sz="4" w:space="0" w:color="00D3D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D3D1" w:themeColor="accent3"/>
          <w:right w:val="single" w:sz="4" w:space="0" w:color="00D3D1" w:themeColor="accent3"/>
        </w:tcBorders>
      </w:tcPr>
    </w:tblStylePr>
    <w:tblStylePr w:type="band1Horz">
      <w:tblPr/>
      <w:tcPr>
        <w:tcBorders>
          <w:top w:val="single" w:sz="4" w:space="0" w:color="00D3D1" w:themeColor="accent3"/>
          <w:bottom w:val="single" w:sz="4" w:space="0" w:color="00D3D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D3D1" w:themeColor="accent3"/>
          <w:left w:val="nil"/>
        </w:tcBorders>
      </w:tcPr>
    </w:tblStylePr>
    <w:tblStylePr w:type="swCell">
      <w:tblPr/>
      <w:tcPr>
        <w:tcBorders>
          <w:top w:val="double" w:sz="4" w:space="0" w:color="00D3D1" w:themeColor="accent3"/>
          <w:right w:val="nil"/>
        </w:tcBorders>
      </w:tcPr>
    </w:tblStylePr>
  </w:style>
  <w:style w:type="paragraph" w:styleId="IntenseQuote">
    <w:name w:val="Intense Quote"/>
    <w:basedOn w:val="Normal"/>
    <w:next w:val="Normal"/>
    <w:link w:val="IntenseQuoteChar"/>
    <w:uiPriority w:val="30"/>
    <w:qFormat/>
    <w:rsid w:val="000A75CB"/>
    <w:pPr>
      <w:pBdr>
        <w:top w:val="single" w:sz="4" w:space="6" w:color="15659B" w:themeColor="accent4"/>
        <w:bottom w:val="single" w:sz="4" w:space="6" w:color="15659B" w:themeColor="accent4"/>
      </w:pBdr>
      <w:spacing w:before="360" w:after="360"/>
      <w:ind w:right="2835"/>
      <w:jc w:val="center"/>
    </w:pPr>
    <w:rPr>
      <w:b/>
      <w:iCs/>
      <w:sz w:val="24"/>
    </w:rPr>
  </w:style>
  <w:style w:type="character" w:customStyle="1" w:styleId="IntenseQuoteChar">
    <w:name w:val="Intense Quote Char"/>
    <w:basedOn w:val="DefaultParagraphFont"/>
    <w:link w:val="IntenseQuote"/>
    <w:uiPriority w:val="30"/>
    <w:rsid w:val="000A75CB"/>
    <w:rPr>
      <w:b/>
      <w:iCs/>
      <w:sz w:val="24"/>
    </w:rPr>
  </w:style>
  <w:style w:type="paragraph" w:customStyle="1" w:styleId="Calloutbox">
    <w:name w:val="Call out box"/>
    <w:basedOn w:val="Normal"/>
    <w:qFormat/>
    <w:rsid w:val="00171757"/>
    <w:pPr>
      <w:pBdr>
        <w:top w:val="single" w:sz="4" w:space="6" w:color="E7E6E6" w:themeColor="background2"/>
        <w:left w:val="single" w:sz="4" w:space="4" w:color="E7E6E6" w:themeColor="background2"/>
        <w:bottom w:val="single" w:sz="4" w:space="6" w:color="E7E6E6" w:themeColor="background2"/>
        <w:right w:val="single" w:sz="4" w:space="4" w:color="E7E6E6" w:themeColor="background2"/>
      </w:pBdr>
      <w:shd w:val="clear" w:color="auto" w:fill="E7E6E6" w:themeFill="background2"/>
      <w:spacing w:before="240" w:after="240"/>
      <w:contextualSpacing/>
    </w:pPr>
  </w:style>
  <w:style w:type="character" w:customStyle="1" w:styleId="Heading6Char">
    <w:name w:val="Heading 6 Char"/>
    <w:basedOn w:val="DefaultParagraphFont"/>
    <w:link w:val="Heading6"/>
    <w:uiPriority w:val="9"/>
    <w:rsid w:val="00C50A9A"/>
    <w:rPr>
      <w:rFonts w:asciiTheme="majorHAnsi" w:eastAsiaTheme="majorEastAsia" w:hAnsiTheme="majorHAnsi" w:cstheme="majorBidi"/>
      <w:color w:val="000000" w:themeColor="text1"/>
      <w:sz w:val="24"/>
    </w:rPr>
  </w:style>
  <w:style w:type="table" w:styleId="GridTable4-Accent2">
    <w:name w:val="Grid Table 4 Accent 2"/>
    <w:basedOn w:val="TableNormal"/>
    <w:uiPriority w:val="49"/>
    <w:rsid w:val="004D3B0F"/>
    <w:pPr>
      <w:spacing w:after="0" w:line="240" w:lineRule="auto"/>
    </w:pPr>
    <w:tblPr>
      <w:tblStyleRowBandSize w:val="1"/>
      <w:tblStyleColBandSize w:val="1"/>
      <w:tblBorders>
        <w:top w:val="single" w:sz="4" w:space="0" w:color="D17675" w:themeColor="accent2" w:themeTint="99"/>
        <w:left w:val="single" w:sz="4" w:space="0" w:color="D17675" w:themeColor="accent2" w:themeTint="99"/>
        <w:bottom w:val="single" w:sz="4" w:space="0" w:color="D17675" w:themeColor="accent2" w:themeTint="99"/>
        <w:right w:val="single" w:sz="4" w:space="0" w:color="D17675" w:themeColor="accent2" w:themeTint="99"/>
        <w:insideH w:val="single" w:sz="4" w:space="0" w:color="D17675" w:themeColor="accent2" w:themeTint="99"/>
        <w:insideV w:val="single" w:sz="4" w:space="0" w:color="D17675" w:themeColor="accent2" w:themeTint="99"/>
      </w:tblBorders>
    </w:tblPr>
    <w:tblStylePr w:type="firstRow">
      <w:rPr>
        <w:b/>
        <w:bCs/>
        <w:color w:val="FFFFFF" w:themeColor="background1"/>
      </w:rPr>
      <w:tblPr/>
      <w:tcPr>
        <w:tcBorders>
          <w:top w:val="single" w:sz="4" w:space="0" w:color="993533" w:themeColor="accent2"/>
          <w:left w:val="single" w:sz="4" w:space="0" w:color="993533" w:themeColor="accent2"/>
          <w:bottom w:val="single" w:sz="4" w:space="0" w:color="993533" w:themeColor="accent2"/>
          <w:right w:val="single" w:sz="4" w:space="0" w:color="993533" w:themeColor="accent2"/>
          <w:insideH w:val="nil"/>
          <w:insideV w:val="nil"/>
        </w:tcBorders>
        <w:shd w:val="clear" w:color="auto" w:fill="993533" w:themeFill="accent2"/>
      </w:tcPr>
    </w:tblStylePr>
    <w:tblStylePr w:type="lastRow">
      <w:rPr>
        <w:b/>
        <w:bCs/>
      </w:rPr>
      <w:tblPr/>
      <w:tcPr>
        <w:tcBorders>
          <w:top w:val="double" w:sz="4" w:space="0" w:color="993533" w:themeColor="accent2"/>
        </w:tcBorders>
      </w:tcPr>
    </w:tblStylePr>
    <w:tblStylePr w:type="firstCol">
      <w:rPr>
        <w:b/>
        <w:bCs/>
      </w:rPr>
    </w:tblStylePr>
    <w:tblStylePr w:type="lastCol">
      <w:rPr>
        <w:b/>
        <w:bCs/>
      </w:rPr>
    </w:tblStylePr>
    <w:tblStylePr w:type="band1Vert">
      <w:tblPr/>
      <w:tcPr>
        <w:shd w:val="clear" w:color="auto" w:fill="EFD1D1" w:themeFill="accent2" w:themeFillTint="33"/>
      </w:tcPr>
    </w:tblStylePr>
    <w:tblStylePr w:type="band1Horz">
      <w:tblPr/>
      <w:tcPr>
        <w:shd w:val="clear" w:color="auto" w:fill="EFD1D1" w:themeFill="accent2" w:themeFillTint="33"/>
      </w:tcPr>
    </w:tblStylePr>
  </w:style>
  <w:style w:type="table" w:styleId="GridTable1Light-Accent2">
    <w:name w:val="Grid Table 1 Light Accent 2"/>
    <w:basedOn w:val="TableNormal"/>
    <w:uiPriority w:val="46"/>
    <w:rsid w:val="004D3B0F"/>
    <w:pPr>
      <w:spacing w:after="0" w:line="240" w:lineRule="auto"/>
    </w:pPr>
    <w:tblPr>
      <w:tblStyleRowBandSize w:val="1"/>
      <w:tblStyleColBandSize w:val="1"/>
      <w:tblBorders>
        <w:top w:val="single" w:sz="4" w:space="0" w:color="E0A4A3" w:themeColor="accent2" w:themeTint="66"/>
        <w:left w:val="single" w:sz="4" w:space="0" w:color="E0A4A3" w:themeColor="accent2" w:themeTint="66"/>
        <w:bottom w:val="single" w:sz="4" w:space="0" w:color="E0A4A3" w:themeColor="accent2" w:themeTint="66"/>
        <w:right w:val="single" w:sz="4" w:space="0" w:color="E0A4A3" w:themeColor="accent2" w:themeTint="66"/>
        <w:insideH w:val="single" w:sz="4" w:space="0" w:color="E0A4A3" w:themeColor="accent2" w:themeTint="66"/>
        <w:insideV w:val="single" w:sz="4" w:space="0" w:color="E0A4A3" w:themeColor="accent2" w:themeTint="66"/>
      </w:tblBorders>
    </w:tblPr>
    <w:tblStylePr w:type="firstRow">
      <w:rPr>
        <w:b/>
        <w:bCs/>
      </w:rPr>
      <w:tblPr/>
      <w:tcPr>
        <w:tcBorders>
          <w:bottom w:val="single" w:sz="12" w:space="0" w:color="D17675" w:themeColor="accent2" w:themeTint="99"/>
        </w:tcBorders>
      </w:tcPr>
    </w:tblStylePr>
    <w:tblStylePr w:type="lastRow">
      <w:rPr>
        <w:b/>
        <w:bCs/>
      </w:rPr>
      <w:tblPr/>
      <w:tcPr>
        <w:tcBorders>
          <w:top w:val="double" w:sz="2" w:space="0" w:color="D17675"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D3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3D1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1B3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1B3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1B3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1B35" w:themeFill="accent1"/>
      </w:tcPr>
    </w:tblStylePr>
    <w:tblStylePr w:type="band1Vert">
      <w:tblPr/>
      <w:tcPr>
        <w:shd w:val="clear" w:color="auto" w:fill="48A4FF" w:themeFill="accent1" w:themeFillTint="66"/>
      </w:tcPr>
    </w:tblStylePr>
    <w:tblStylePr w:type="band1Horz">
      <w:tblPr/>
      <w:tcPr>
        <w:shd w:val="clear" w:color="auto" w:fill="48A4FF" w:themeFill="accent1" w:themeFillTint="66"/>
      </w:tcPr>
    </w:tblStylePr>
  </w:style>
  <w:style w:type="table" w:styleId="GridTable4-Accent1">
    <w:name w:val="Grid Table 4 Accent 1"/>
    <w:basedOn w:val="TableNormal"/>
    <w:uiPriority w:val="49"/>
    <w:rsid w:val="00F32757"/>
    <w:pPr>
      <w:spacing w:after="0" w:line="240" w:lineRule="auto"/>
    </w:pPr>
    <w:tblPr>
      <w:tblStyleRowBandSize w:val="1"/>
      <w:tblStyleColBandSize w:val="1"/>
      <w:tblBorders>
        <w:top w:val="single" w:sz="4" w:space="0" w:color="0077EB" w:themeColor="accent1" w:themeTint="99"/>
        <w:left w:val="single" w:sz="4" w:space="0" w:color="0077EB" w:themeColor="accent1" w:themeTint="99"/>
        <w:bottom w:val="single" w:sz="4" w:space="0" w:color="0077EB" w:themeColor="accent1" w:themeTint="99"/>
        <w:right w:val="single" w:sz="4" w:space="0" w:color="0077EB" w:themeColor="accent1" w:themeTint="99"/>
        <w:insideH w:val="single" w:sz="4" w:space="0" w:color="0077EB" w:themeColor="accent1" w:themeTint="99"/>
        <w:insideV w:val="single" w:sz="4" w:space="0" w:color="0077EB" w:themeColor="accent1" w:themeTint="99"/>
      </w:tblBorders>
    </w:tblPr>
    <w:tblStylePr w:type="firstRow">
      <w:rPr>
        <w:b/>
        <w:bCs/>
        <w:color w:val="FFFFFF" w:themeColor="background1"/>
      </w:rPr>
      <w:tblPr/>
      <w:tcPr>
        <w:shd w:val="clear" w:color="auto" w:fill="001427" w:themeFill="accent1" w:themeFillShade="BF"/>
      </w:tcPr>
    </w:tblStylePr>
    <w:tblStylePr w:type="lastRow">
      <w:rPr>
        <w:b/>
        <w:bCs/>
      </w:rPr>
      <w:tblPr/>
      <w:tcPr>
        <w:tcBorders>
          <w:top w:val="double" w:sz="4" w:space="0" w:color="001B35" w:themeColor="accent1"/>
        </w:tcBorders>
      </w:tcPr>
    </w:tblStylePr>
    <w:tblStylePr w:type="firstCol">
      <w:rPr>
        <w:b/>
        <w:bCs/>
      </w:rPr>
    </w:tblStylePr>
    <w:tblStylePr w:type="lastCol">
      <w:rPr>
        <w:b/>
        <w:bCs/>
      </w:rPr>
    </w:tblStylePr>
    <w:tblStylePr w:type="band1Vert">
      <w:tblPr/>
      <w:tcPr>
        <w:shd w:val="clear" w:color="auto" w:fill="A3D1FF" w:themeFill="accent1" w:themeFillTint="33"/>
      </w:tcPr>
    </w:tblStylePr>
    <w:tblStylePr w:type="band1Horz">
      <w:tblPr/>
      <w:tcPr>
        <w:shd w:val="clear" w:color="auto" w:fill="A3D1FF" w:themeFill="accent1" w:themeFillTint="33"/>
      </w:tcPr>
    </w:tblStylePr>
  </w:style>
  <w:style w:type="table" w:styleId="GridTable4-Accent5">
    <w:name w:val="Grid Table 4 Accent 5"/>
    <w:basedOn w:val="TableNormal"/>
    <w:uiPriority w:val="49"/>
    <w:rsid w:val="004D3B0F"/>
    <w:pPr>
      <w:spacing w:after="0" w:line="240" w:lineRule="auto"/>
    </w:pPr>
    <w:tblPr>
      <w:tblStyleRowBandSize w:val="1"/>
      <w:tblStyleColBandSize w:val="1"/>
      <w:tblBorders>
        <w:top w:val="single" w:sz="4" w:space="0" w:color="EFFDB9" w:themeColor="accent5" w:themeTint="99"/>
        <w:left w:val="single" w:sz="4" w:space="0" w:color="EFFDB9" w:themeColor="accent5" w:themeTint="99"/>
        <w:bottom w:val="single" w:sz="4" w:space="0" w:color="EFFDB9" w:themeColor="accent5" w:themeTint="99"/>
        <w:right w:val="single" w:sz="4" w:space="0" w:color="EFFDB9" w:themeColor="accent5" w:themeTint="99"/>
        <w:insideH w:val="single" w:sz="4" w:space="0" w:color="EFFDB9" w:themeColor="accent5" w:themeTint="99"/>
        <w:insideV w:val="single" w:sz="4" w:space="0" w:color="EFFDB9" w:themeColor="accent5" w:themeTint="99"/>
      </w:tblBorders>
    </w:tblPr>
    <w:tblStylePr w:type="firstRow">
      <w:rPr>
        <w:b/>
        <w:bCs/>
        <w:color w:val="FFFFFF" w:themeColor="background1"/>
      </w:rPr>
      <w:tblPr/>
      <w:tcPr>
        <w:tcBorders>
          <w:top w:val="single" w:sz="4" w:space="0" w:color="E5FD8C" w:themeColor="accent5"/>
          <w:left w:val="single" w:sz="4" w:space="0" w:color="E5FD8C" w:themeColor="accent5"/>
          <w:bottom w:val="single" w:sz="4" w:space="0" w:color="E5FD8C" w:themeColor="accent5"/>
          <w:right w:val="single" w:sz="4" w:space="0" w:color="E5FD8C" w:themeColor="accent5"/>
          <w:insideH w:val="nil"/>
          <w:insideV w:val="nil"/>
        </w:tcBorders>
        <w:shd w:val="clear" w:color="auto" w:fill="E5FD8C" w:themeFill="accent5"/>
      </w:tcPr>
    </w:tblStylePr>
    <w:tblStylePr w:type="lastRow">
      <w:rPr>
        <w:b/>
        <w:bCs/>
      </w:rPr>
      <w:tblPr/>
      <w:tcPr>
        <w:tcBorders>
          <w:top w:val="double" w:sz="4" w:space="0" w:color="E5FD8C" w:themeColor="accent5"/>
        </w:tcBorders>
      </w:tcPr>
    </w:tblStylePr>
    <w:tblStylePr w:type="firstCol">
      <w:rPr>
        <w:b/>
        <w:bCs/>
      </w:rPr>
    </w:tblStylePr>
    <w:tblStylePr w:type="lastCol">
      <w:rPr>
        <w:b/>
        <w:bCs/>
      </w:rPr>
    </w:tblStylePr>
    <w:tblStylePr w:type="band1Vert">
      <w:tblPr/>
      <w:tcPr>
        <w:shd w:val="clear" w:color="auto" w:fill="F9FEE7" w:themeFill="accent5" w:themeFillTint="33"/>
      </w:tcPr>
    </w:tblStylePr>
    <w:tblStylePr w:type="band1Horz">
      <w:tblPr/>
      <w:tcPr>
        <w:shd w:val="clear" w:color="auto" w:fill="F9FEE7" w:themeFill="accent5" w:themeFillTint="33"/>
      </w:tcPr>
    </w:tblStylePr>
  </w:style>
  <w:style w:type="table" w:styleId="GridTable4-Accent4">
    <w:name w:val="Grid Table 4 Accent 4"/>
    <w:aliases w:val="DISR banded - Table 2"/>
    <w:basedOn w:val="TableNormal"/>
    <w:uiPriority w:val="49"/>
    <w:rsid w:val="005777BC"/>
    <w:pPr>
      <w:spacing w:after="0" w:line="240" w:lineRule="auto"/>
    </w:pPr>
    <w:tblPr>
      <w:tblStyleRowBandSize w:val="1"/>
      <w:tblStyleColBandSize w:val="1"/>
      <w:tblBorders>
        <w:top w:val="single" w:sz="4" w:space="0" w:color="15659B" w:themeColor="accent4"/>
        <w:left w:val="single" w:sz="4" w:space="0" w:color="15659B" w:themeColor="accent4"/>
        <w:bottom w:val="single" w:sz="4" w:space="0" w:color="15659B" w:themeColor="accent4"/>
        <w:right w:val="single" w:sz="4" w:space="0" w:color="15659B" w:themeColor="accent4"/>
        <w:insideH w:val="single" w:sz="4" w:space="0" w:color="15659B" w:themeColor="accent4"/>
        <w:insideV w:val="single" w:sz="4" w:space="0" w:color="15659B" w:themeColor="accent4"/>
      </w:tblBorders>
    </w:tblPr>
    <w:tblStylePr w:type="firstRow">
      <w:rPr>
        <w:b/>
        <w:bCs/>
        <w:color w:val="FFFFFF" w:themeColor="background1"/>
      </w:rPr>
      <w:tblPr/>
      <w:tcPr>
        <w:tcBorders>
          <w:top w:val="single" w:sz="4" w:space="0" w:color="15659B" w:themeColor="accent4"/>
          <w:left w:val="single" w:sz="4" w:space="0" w:color="15659B" w:themeColor="accent4"/>
          <w:bottom w:val="single" w:sz="4" w:space="0" w:color="15659B" w:themeColor="accent4"/>
          <w:right w:val="single" w:sz="4" w:space="0" w:color="15659B" w:themeColor="accent4"/>
          <w:insideH w:val="nil"/>
          <w:insideV w:val="nil"/>
        </w:tcBorders>
        <w:shd w:val="clear" w:color="auto" w:fill="15659B" w:themeFill="accent4"/>
      </w:tcPr>
    </w:tblStylePr>
    <w:tblStylePr w:type="lastRow">
      <w:rPr>
        <w:b/>
        <w:bCs/>
      </w:rPr>
      <w:tblPr/>
      <w:tcPr>
        <w:tcBorders>
          <w:top w:val="single" w:sz="18" w:space="0" w:color="15659B" w:themeColor="accent4"/>
        </w:tcBorders>
      </w:tcPr>
    </w:tblStylePr>
    <w:tblStylePr w:type="firstCol">
      <w:rPr>
        <w:b/>
        <w:bCs/>
      </w:rPr>
    </w:tblStylePr>
    <w:tblStylePr w:type="lastCol">
      <w:rPr>
        <w:b/>
        <w:bCs/>
      </w:rPr>
    </w:tblStylePr>
    <w:tblStylePr w:type="band1Vert">
      <w:tblPr/>
      <w:tcPr>
        <w:shd w:val="clear" w:color="auto" w:fill="C4E2F7" w:themeFill="accent4" w:themeFillTint="33"/>
      </w:tcPr>
    </w:tblStylePr>
    <w:tblStylePr w:type="band1Horz">
      <w:tblPr/>
      <w:tcPr>
        <w:shd w:val="clear" w:color="auto" w:fill="E7E6E6" w:themeFill="background2"/>
      </w:tcPr>
    </w:tblStylePr>
  </w:style>
  <w:style w:type="table" w:styleId="GridTable4-Accent3">
    <w:name w:val="Grid Table 4 Accent 3"/>
    <w:basedOn w:val="TableNormal"/>
    <w:uiPriority w:val="49"/>
    <w:rsid w:val="004D3B0F"/>
    <w:pPr>
      <w:spacing w:after="0" w:line="240" w:lineRule="auto"/>
    </w:pPr>
    <w:tblPr>
      <w:tblStyleRowBandSize w:val="1"/>
      <w:tblStyleColBandSize w:val="1"/>
      <w:tblBorders>
        <w:top w:val="single" w:sz="4" w:space="0" w:color="4BFFFC" w:themeColor="accent3" w:themeTint="99"/>
        <w:left w:val="single" w:sz="4" w:space="0" w:color="4BFFFC" w:themeColor="accent3" w:themeTint="99"/>
        <w:bottom w:val="single" w:sz="4" w:space="0" w:color="4BFFFC" w:themeColor="accent3" w:themeTint="99"/>
        <w:right w:val="single" w:sz="4" w:space="0" w:color="4BFFFC" w:themeColor="accent3" w:themeTint="99"/>
        <w:insideH w:val="single" w:sz="4" w:space="0" w:color="4BFFFC" w:themeColor="accent3" w:themeTint="99"/>
        <w:insideV w:val="single" w:sz="4" w:space="0" w:color="4BFFFC" w:themeColor="accent3" w:themeTint="99"/>
      </w:tblBorders>
    </w:tblPr>
    <w:tblStylePr w:type="firstRow">
      <w:rPr>
        <w:b/>
        <w:bCs/>
        <w:color w:val="FFFFFF" w:themeColor="background1"/>
      </w:rPr>
      <w:tblPr/>
      <w:tcPr>
        <w:tcBorders>
          <w:top w:val="single" w:sz="4" w:space="0" w:color="00D3D1" w:themeColor="accent3"/>
          <w:left w:val="single" w:sz="4" w:space="0" w:color="00D3D1" w:themeColor="accent3"/>
          <w:bottom w:val="single" w:sz="4" w:space="0" w:color="00D3D1" w:themeColor="accent3"/>
          <w:right w:val="single" w:sz="4" w:space="0" w:color="00D3D1" w:themeColor="accent3"/>
          <w:insideH w:val="nil"/>
          <w:insideV w:val="nil"/>
        </w:tcBorders>
        <w:shd w:val="clear" w:color="auto" w:fill="00D3D1" w:themeFill="accent3"/>
      </w:tcPr>
    </w:tblStylePr>
    <w:tblStylePr w:type="lastRow">
      <w:rPr>
        <w:b/>
        <w:bCs/>
      </w:rPr>
      <w:tblPr/>
      <w:tcPr>
        <w:tcBorders>
          <w:top w:val="double" w:sz="4" w:space="0" w:color="00D3D1" w:themeColor="accent3"/>
        </w:tcBorders>
      </w:tcPr>
    </w:tblStylePr>
    <w:tblStylePr w:type="firstCol">
      <w:rPr>
        <w:b/>
        <w:bCs/>
      </w:rPr>
    </w:tblStylePr>
    <w:tblStylePr w:type="lastCol">
      <w:rPr>
        <w:b/>
        <w:bCs/>
      </w:rPr>
    </w:tblStylePr>
    <w:tblStylePr w:type="band1Vert">
      <w:tblPr/>
      <w:tcPr>
        <w:shd w:val="clear" w:color="auto" w:fill="C3FFFE" w:themeFill="accent3" w:themeFillTint="33"/>
      </w:tcPr>
    </w:tblStylePr>
    <w:tblStylePr w:type="band1Horz">
      <w:tblPr/>
      <w:tcPr>
        <w:shd w:val="clear" w:color="auto" w:fill="C3FFFE" w:themeFill="accent3" w:themeFillTint="33"/>
      </w:tcPr>
    </w:tblStylePr>
  </w:style>
  <w:style w:type="paragraph" w:customStyle="1" w:styleId="Authoranddate">
    <w:name w:val="Author and date"/>
    <w:basedOn w:val="Subtitle"/>
    <w:link w:val="AuthoranddateChar"/>
    <w:qFormat/>
    <w:rsid w:val="001D51DA"/>
    <w:rPr>
      <w:szCs w:val="40"/>
    </w:rPr>
  </w:style>
  <w:style w:type="character" w:customStyle="1" w:styleId="AuthoranddateChar">
    <w:name w:val="Author and date Char"/>
    <w:basedOn w:val="SubtitleChar"/>
    <w:link w:val="Authoranddate"/>
    <w:rsid w:val="001D51DA"/>
    <w:rPr>
      <w:rFonts w:eastAsiaTheme="minorEastAsia"/>
      <w:color w:val="E7E6E6" w:themeColor="background2"/>
      <w:sz w:val="40"/>
      <w:szCs w:val="40"/>
    </w:rPr>
  </w:style>
  <w:style w:type="character" w:customStyle="1" w:styleId="Heading7Char">
    <w:name w:val="Heading 7 Char"/>
    <w:basedOn w:val="DefaultParagraphFont"/>
    <w:link w:val="Heading7"/>
    <w:uiPriority w:val="9"/>
    <w:rsid w:val="00C50A9A"/>
    <w:rPr>
      <w:rFonts w:asciiTheme="majorHAnsi" w:eastAsiaTheme="majorEastAsia" w:hAnsiTheme="majorHAnsi" w:cstheme="majorBidi"/>
      <w:b/>
      <w:iCs/>
      <w:color w:val="001B35" w:themeColor="accent1"/>
    </w:rPr>
  </w:style>
  <w:style w:type="character" w:styleId="UnresolvedMention">
    <w:name w:val="Unresolved Mention"/>
    <w:basedOn w:val="DefaultParagraphFont"/>
    <w:uiPriority w:val="99"/>
    <w:semiHidden/>
    <w:unhideWhenUsed/>
    <w:rsid w:val="00282ED3"/>
    <w:rPr>
      <w:color w:val="605E5C"/>
      <w:shd w:val="clear" w:color="auto" w:fill="E1DFDD"/>
    </w:rPr>
  </w:style>
  <w:style w:type="table" w:styleId="GridTable4">
    <w:name w:val="Grid Table 4"/>
    <w:basedOn w:val="TableNormal"/>
    <w:uiPriority w:val="49"/>
    <w:rsid w:val="0040603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4">
    <w:name w:val="List Table 3 Accent 4"/>
    <w:basedOn w:val="TableNormal"/>
    <w:uiPriority w:val="48"/>
    <w:rsid w:val="0031654A"/>
    <w:pPr>
      <w:spacing w:after="0" w:line="240" w:lineRule="auto"/>
    </w:pPr>
    <w:tblPr>
      <w:tblStyleRowBandSize w:val="1"/>
      <w:tblStyleColBandSize w:val="1"/>
      <w:tblBorders>
        <w:top w:val="single" w:sz="4" w:space="0" w:color="15659B" w:themeColor="accent4"/>
        <w:left w:val="single" w:sz="4" w:space="0" w:color="15659B" w:themeColor="accent4"/>
        <w:bottom w:val="single" w:sz="4" w:space="0" w:color="15659B" w:themeColor="accent4"/>
        <w:right w:val="single" w:sz="4" w:space="0" w:color="15659B" w:themeColor="accent4"/>
      </w:tblBorders>
    </w:tblPr>
    <w:tblStylePr w:type="firstRow">
      <w:rPr>
        <w:b/>
        <w:bCs/>
        <w:color w:val="FFFFFF" w:themeColor="background1"/>
      </w:rPr>
      <w:tblPr/>
      <w:tcPr>
        <w:shd w:val="clear" w:color="auto" w:fill="15659B" w:themeFill="accent4"/>
      </w:tcPr>
    </w:tblStylePr>
    <w:tblStylePr w:type="lastRow">
      <w:rPr>
        <w:b/>
        <w:bCs/>
      </w:rPr>
      <w:tblPr/>
      <w:tcPr>
        <w:tcBorders>
          <w:top w:val="double" w:sz="4" w:space="0" w:color="15659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59B" w:themeColor="accent4"/>
          <w:right w:val="single" w:sz="4" w:space="0" w:color="15659B" w:themeColor="accent4"/>
        </w:tcBorders>
      </w:tcPr>
    </w:tblStylePr>
    <w:tblStylePr w:type="band1Horz">
      <w:tblPr/>
      <w:tcPr>
        <w:tcBorders>
          <w:top w:val="single" w:sz="4" w:space="0" w:color="15659B" w:themeColor="accent4"/>
          <w:bottom w:val="single" w:sz="4" w:space="0" w:color="15659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59B" w:themeColor="accent4"/>
          <w:left w:val="nil"/>
        </w:tcBorders>
      </w:tcPr>
    </w:tblStylePr>
    <w:tblStylePr w:type="swCell">
      <w:tblPr/>
      <w:tcPr>
        <w:tcBorders>
          <w:top w:val="double" w:sz="4" w:space="0" w:color="15659B" w:themeColor="accent4"/>
          <w:right w:val="nil"/>
        </w:tcBorders>
      </w:tcPr>
    </w:tblStylePr>
  </w:style>
  <w:style w:type="paragraph" w:styleId="TOC4">
    <w:name w:val="toc 4"/>
    <w:basedOn w:val="Normal"/>
    <w:next w:val="Normal"/>
    <w:autoRedefine/>
    <w:uiPriority w:val="39"/>
    <w:unhideWhenUsed/>
    <w:rsid w:val="00F66A4B"/>
    <w:pPr>
      <w:spacing w:after="100"/>
      <w:ind w:left="600"/>
    </w:pPr>
  </w:style>
  <w:style w:type="paragraph" w:styleId="TOC5">
    <w:name w:val="toc 5"/>
    <w:basedOn w:val="Normal"/>
    <w:next w:val="Normal"/>
    <w:autoRedefine/>
    <w:uiPriority w:val="39"/>
    <w:unhideWhenUsed/>
    <w:rsid w:val="00F66A4B"/>
    <w:pPr>
      <w:spacing w:after="100"/>
      <w:ind w:left="800"/>
    </w:pPr>
  </w:style>
  <w:style w:type="paragraph" w:styleId="ListBullet">
    <w:name w:val="List Bullet"/>
    <w:basedOn w:val="Normal"/>
    <w:uiPriority w:val="99"/>
    <w:unhideWhenUsed/>
    <w:rsid w:val="00703734"/>
    <w:pPr>
      <w:numPr>
        <w:numId w:val="2"/>
      </w:numPr>
      <w:ind w:left="567" w:hanging="567"/>
      <w:contextualSpacing/>
    </w:pPr>
  </w:style>
  <w:style w:type="paragraph" w:styleId="ListBullet2">
    <w:name w:val="List Bullet 2"/>
    <w:basedOn w:val="Normal"/>
    <w:uiPriority w:val="99"/>
    <w:semiHidden/>
    <w:unhideWhenUsed/>
    <w:rsid w:val="00703734"/>
    <w:pPr>
      <w:numPr>
        <w:numId w:val="3"/>
      </w:numPr>
      <w:ind w:left="567" w:hanging="567"/>
      <w:contextualSpacing/>
    </w:pPr>
  </w:style>
  <w:style w:type="character" w:customStyle="1" w:styleId="Heading8Char">
    <w:name w:val="Heading 8 Char"/>
    <w:basedOn w:val="DefaultParagraphFont"/>
    <w:link w:val="Heading8"/>
    <w:uiPriority w:val="9"/>
    <w:rsid w:val="00C50A9A"/>
    <w:rPr>
      <w:rFonts w:asciiTheme="majorHAnsi" w:eastAsiaTheme="majorEastAsia" w:hAnsiTheme="majorHAnsi" w:cstheme="majorBidi"/>
      <w:color w:val="272727" w:themeColor="text1" w:themeTint="D8"/>
      <w:sz w:val="20"/>
      <w:szCs w:val="21"/>
    </w:rPr>
  </w:style>
  <w:style w:type="character" w:styleId="CommentReference">
    <w:name w:val="annotation reference"/>
    <w:basedOn w:val="DefaultParagraphFont"/>
    <w:uiPriority w:val="99"/>
    <w:semiHidden/>
    <w:unhideWhenUsed/>
    <w:rsid w:val="00CD18F3"/>
    <w:rPr>
      <w:sz w:val="16"/>
      <w:szCs w:val="16"/>
    </w:rPr>
  </w:style>
  <w:style w:type="paragraph" w:styleId="CommentText">
    <w:name w:val="annotation text"/>
    <w:basedOn w:val="Normal"/>
    <w:link w:val="CommentTextChar"/>
    <w:uiPriority w:val="99"/>
    <w:unhideWhenUsed/>
    <w:rsid w:val="00CD18F3"/>
    <w:rPr>
      <w:szCs w:val="20"/>
    </w:rPr>
  </w:style>
  <w:style w:type="character" w:customStyle="1" w:styleId="CommentTextChar">
    <w:name w:val="Comment Text Char"/>
    <w:basedOn w:val="DefaultParagraphFont"/>
    <w:link w:val="CommentText"/>
    <w:uiPriority w:val="99"/>
    <w:rsid w:val="00CD18F3"/>
    <w:rPr>
      <w:sz w:val="20"/>
      <w:szCs w:val="20"/>
    </w:rPr>
  </w:style>
  <w:style w:type="paragraph" w:styleId="CommentSubject">
    <w:name w:val="annotation subject"/>
    <w:basedOn w:val="CommentText"/>
    <w:next w:val="CommentText"/>
    <w:link w:val="CommentSubjectChar"/>
    <w:uiPriority w:val="99"/>
    <w:semiHidden/>
    <w:unhideWhenUsed/>
    <w:rsid w:val="00CD18F3"/>
    <w:rPr>
      <w:b/>
      <w:bCs/>
    </w:rPr>
  </w:style>
  <w:style w:type="character" w:customStyle="1" w:styleId="CommentSubjectChar">
    <w:name w:val="Comment Subject Char"/>
    <w:basedOn w:val="CommentTextChar"/>
    <w:link w:val="CommentSubject"/>
    <w:uiPriority w:val="99"/>
    <w:semiHidden/>
    <w:rsid w:val="00CD18F3"/>
    <w:rPr>
      <w:b/>
      <w:bCs/>
      <w:sz w:val="20"/>
      <w:szCs w:val="20"/>
    </w:rPr>
  </w:style>
  <w:style w:type="paragraph" w:styleId="Revision">
    <w:name w:val="Revision"/>
    <w:hidden/>
    <w:uiPriority w:val="99"/>
    <w:semiHidden/>
    <w:rsid w:val="00CD18F3"/>
    <w:pPr>
      <w:spacing w:after="0" w:line="240" w:lineRule="auto"/>
    </w:pPr>
    <w:rPr>
      <w:sz w:val="20"/>
    </w:rPr>
  </w:style>
  <w:style w:type="paragraph" w:styleId="FootnoteText">
    <w:name w:val="footnote text"/>
    <w:basedOn w:val="Normal"/>
    <w:link w:val="FootnoteTextChar"/>
    <w:uiPriority w:val="99"/>
    <w:unhideWhenUsed/>
    <w:rsid w:val="002E2B6F"/>
    <w:pPr>
      <w:spacing w:before="0" w:after="60" w:line="264" w:lineRule="auto"/>
    </w:pPr>
    <w:rPr>
      <w:szCs w:val="20"/>
    </w:rPr>
  </w:style>
  <w:style w:type="character" w:customStyle="1" w:styleId="FootnoteTextChar">
    <w:name w:val="Footnote Text Char"/>
    <w:basedOn w:val="DefaultParagraphFont"/>
    <w:link w:val="FootnoteText"/>
    <w:uiPriority w:val="99"/>
    <w:rsid w:val="002E2B6F"/>
    <w:rPr>
      <w:sz w:val="20"/>
      <w:szCs w:val="20"/>
    </w:rPr>
  </w:style>
  <w:style w:type="character" w:styleId="FootnoteReference">
    <w:name w:val="footnote reference"/>
    <w:basedOn w:val="DefaultParagraphFont"/>
    <w:uiPriority w:val="99"/>
    <w:semiHidden/>
    <w:unhideWhenUsed/>
    <w:rsid w:val="002E2B6F"/>
    <w:rPr>
      <w:vertAlign w:val="superscript"/>
    </w:rPr>
  </w:style>
  <w:style w:type="character" w:styleId="FollowedHyperlink">
    <w:name w:val="FollowedHyperlink"/>
    <w:basedOn w:val="DefaultParagraphFont"/>
    <w:uiPriority w:val="99"/>
    <w:semiHidden/>
    <w:unhideWhenUsed/>
    <w:rsid w:val="006022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009989">
      <w:bodyDiv w:val="1"/>
      <w:marLeft w:val="0"/>
      <w:marRight w:val="0"/>
      <w:marTop w:val="0"/>
      <w:marBottom w:val="0"/>
      <w:divBdr>
        <w:top w:val="none" w:sz="0" w:space="0" w:color="auto"/>
        <w:left w:val="none" w:sz="0" w:space="0" w:color="auto"/>
        <w:bottom w:val="none" w:sz="0" w:space="0" w:color="auto"/>
        <w:right w:val="none" w:sz="0" w:space="0" w:color="auto"/>
      </w:divBdr>
    </w:div>
    <w:div w:id="960920062">
      <w:bodyDiv w:val="1"/>
      <w:marLeft w:val="0"/>
      <w:marRight w:val="0"/>
      <w:marTop w:val="0"/>
      <w:marBottom w:val="0"/>
      <w:divBdr>
        <w:top w:val="none" w:sz="0" w:space="0" w:color="auto"/>
        <w:left w:val="none" w:sz="0" w:space="0" w:color="auto"/>
        <w:bottom w:val="none" w:sz="0" w:space="0" w:color="auto"/>
        <w:right w:val="none" w:sz="0" w:space="0" w:color="auto"/>
      </w:divBdr>
    </w:div>
    <w:div w:id="1047418297">
      <w:bodyDiv w:val="1"/>
      <w:marLeft w:val="0"/>
      <w:marRight w:val="0"/>
      <w:marTop w:val="0"/>
      <w:marBottom w:val="0"/>
      <w:divBdr>
        <w:top w:val="none" w:sz="0" w:space="0" w:color="auto"/>
        <w:left w:val="none" w:sz="0" w:space="0" w:color="auto"/>
        <w:bottom w:val="none" w:sz="0" w:space="0" w:color="auto"/>
        <w:right w:val="none" w:sz="0" w:space="0" w:color="auto"/>
      </w:divBdr>
    </w:div>
    <w:div w:id="178658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cdn.imo.org/localresources/en/OurWork/Environment/Documents/2019%20Revised%20guidance%20for%20platforms.pdf" TargetMode="External"/><Relationship Id="rId21" Type="http://schemas.openxmlformats.org/officeDocument/2006/relationships/hyperlink" Target="https://www.dcceew.gov.au/environment/marine/sea-dumping/dumping-abandonment-structures" TargetMode="External"/><Relationship Id="rId42" Type="http://schemas.openxmlformats.org/officeDocument/2006/relationships/hyperlink" Target="https://wwwcdn.imo.org/localresources/en/OurWork/Environment/Documents/2019%20Revised%20guidance%20for%20platforms.pdf" TargetMode="External"/><Relationship Id="rId47" Type="http://schemas.openxmlformats.org/officeDocument/2006/relationships/hyperlink" Target="https://minamataconvention.org/en" TargetMode="External"/><Relationship Id="rId63" Type="http://schemas.openxmlformats.org/officeDocument/2006/relationships/hyperlink" Target="https://www.imo.org/en/KnowledgeCentre/IndexofIMOResolutions/Pages/A-1987-89.aspx" TargetMode="External"/><Relationship Id="rId68" Type="http://schemas.openxmlformats.org/officeDocument/2006/relationships/hyperlink" Target="https://www.legislation.gov.au/F2023L00998/asmade/text" TargetMode="External"/><Relationship Id="rId84" Type="http://schemas.openxmlformats.org/officeDocument/2006/relationships/header" Target="header1.xml"/><Relationship Id="rId89" Type="http://schemas.openxmlformats.org/officeDocument/2006/relationships/fontTable" Target="fontTable.xml"/><Relationship Id="rId16" Type="http://schemas.openxmlformats.org/officeDocument/2006/relationships/hyperlink" Target="https://www.legislation.gov.au/F2009L04578/latest/text" TargetMode="External"/><Relationship Id="rId11" Type="http://schemas.openxmlformats.org/officeDocument/2006/relationships/hyperlink" Target="https://creativecommons.org/licenses/by/4.0/legalcode" TargetMode="External"/><Relationship Id="rId32" Type="http://schemas.openxmlformats.org/officeDocument/2006/relationships/hyperlink" Target="https://wwwcdn.imo.org/localresources/en/OurWork/Environment/Documents/2019%20Revised%20guidance%20for%20platforms.pdf" TargetMode="External"/><Relationship Id="rId37" Type="http://schemas.openxmlformats.org/officeDocument/2006/relationships/hyperlink" Target="https://www.imo.org/en/KnowledgeCentre/IndexofIMOResolutions/Pages/A-1987-89.aspx" TargetMode="External"/><Relationship Id="rId53" Type="http://schemas.openxmlformats.org/officeDocument/2006/relationships/hyperlink" Target="https://www.imo.org/en/OurWork/Environment/Pages/London-Convention-Protocol.aspx" TargetMode="External"/><Relationship Id="rId58" Type="http://schemas.openxmlformats.org/officeDocument/2006/relationships/hyperlink" Target="https://www.imo.org/en/KnowledgeCentre/IndexofIMOResolutions/Pages/A-1987-89.aspx" TargetMode="External"/><Relationship Id="rId74" Type="http://schemas.openxmlformats.org/officeDocument/2006/relationships/hyperlink" Target="https://www.dcceew.gov.au/environment/marine/sea-dumping" TargetMode="External"/><Relationship Id="rId79" Type="http://schemas.openxmlformats.org/officeDocument/2006/relationships/hyperlink" Target="https://www.imo.org/en/OurWork/Environment/Pages/London-Convention-Protocol.aspx" TargetMode="External"/><Relationship Id="rId5" Type="http://schemas.openxmlformats.org/officeDocument/2006/relationships/webSettings" Target="webSettings.xml"/><Relationship Id="rId90" Type="http://schemas.openxmlformats.org/officeDocument/2006/relationships/theme" Target="theme/theme1.xml"/><Relationship Id="rId14" Type="http://schemas.openxmlformats.org/officeDocument/2006/relationships/hyperlink" Target="https://www.legislation.gov.au/C2004A00485/latest/text" TargetMode="External"/><Relationship Id="rId22" Type="http://schemas.openxmlformats.org/officeDocument/2006/relationships/hyperlink" Target="https://www.nopsema.gov.au/sites/default/files/documents/Consultation%20in%20the%20course%20of%20preparing%20an%20Environment%20Plan%20guideline.pdf" TargetMode="External"/><Relationship Id="rId27" Type="http://schemas.openxmlformats.org/officeDocument/2006/relationships/hyperlink" Target="https://www.imo.org/en/KnowledgeCentre/IndexofIMOResolutions/Pages/A-1987-89.aspx" TargetMode="External"/><Relationship Id="rId30" Type="http://schemas.openxmlformats.org/officeDocument/2006/relationships/hyperlink" Target="https://www.imo.org/en/KnowledgeCentre/IndexofIMOResolutions/Pages/A-1987-89.aspx" TargetMode="External"/><Relationship Id="rId35" Type="http://schemas.openxmlformats.org/officeDocument/2006/relationships/hyperlink" Target="https://wwwcdn.imo.org/localresources/en/OurWork/Environment/Documents/2019%20Revised%20guidance%20for%20platforms.pdf" TargetMode="External"/><Relationship Id="rId43" Type="http://schemas.openxmlformats.org/officeDocument/2006/relationships/hyperlink" Target="https://www.imo.org/en/KnowledgeCentre/IndexofIMOResolutions/Pages/A-1987-89.aspx" TargetMode="External"/><Relationship Id="rId48" Type="http://schemas.openxmlformats.org/officeDocument/2006/relationships/hyperlink" Target="https://www.pops.int/TheConvention/Overview/tabid/3351/Default.aspx" TargetMode="External"/><Relationship Id="rId56" Type="http://schemas.openxmlformats.org/officeDocument/2006/relationships/hyperlink" Target="https://www.imo.org/en/KnowledgeCentre/IndexofIMOResolutions/Pages/A-1987-89.aspx" TargetMode="External"/><Relationship Id="rId64" Type="http://schemas.openxmlformats.org/officeDocument/2006/relationships/hyperlink" Target="https://wwwcdn.imo.org/localresources/en/OurWork/Environment/Documents/2019%20Revised%20guidance%20for%20platforms.pdf" TargetMode="External"/><Relationship Id="rId69" Type="http://schemas.openxmlformats.org/officeDocument/2006/relationships/hyperlink" Target="https://www.legislation.gov.au/F2023L00998/latest/text" TargetMode="External"/><Relationship Id="rId77" Type="http://schemas.openxmlformats.org/officeDocument/2006/relationships/hyperlink" Target="https://www.nopsema.gov.au/document-hub/guidelines" TargetMode="External"/><Relationship Id="rId8" Type="http://schemas.openxmlformats.org/officeDocument/2006/relationships/image" Target="media/image1.png"/><Relationship Id="rId51" Type="http://schemas.openxmlformats.org/officeDocument/2006/relationships/hyperlink" Target="https://www.imo.org/en/OurWork/Environment/Pages/London-Convention-Protocol.aspx" TargetMode="External"/><Relationship Id="rId72" Type="http://schemas.openxmlformats.org/officeDocument/2006/relationships/hyperlink" Target="https://www.legislation.gov.au/C2004A00485/latest/text" TargetMode="External"/><Relationship Id="rId80" Type="http://schemas.openxmlformats.org/officeDocument/2006/relationships/hyperlink" Target="https://wwwcdn.imo.org/localresources/en/OurWork/Environment/Documents/2019%20Revised%20guidance%20for%20platforms.pdf" TargetMode="External"/><Relationship Id="rId85"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www.legislation.gov.au/Details/C2023C00337" TargetMode="External"/><Relationship Id="rId17" Type="http://schemas.openxmlformats.org/officeDocument/2006/relationships/hyperlink" Target="https://www.nopsema.gov.au/document-hub/policies" TargetMode="External"/><Relationship Id="rId25" Type="http://schemas.openxmlformats.org/officeDocument/2006/relationships/hyperlink" Target="https://wwwcdn.imo.org/localresources/en/OurWork/Environment/Documents/2019%20Revised%20guidance%20for%20platforms.pdf" TargetMode="External"/><Relationship Id="rId33" Type="http://schemas.openxmlformats.org/officeDocument/2006/relationships/hyperlink" Target="https://www.imo.org/en/KnowledgeCentre/IndexofIMOResolutions/Pages/A-1987-89.aspx" TargetMode="External"/><Relationship Id="rId38" Type="http://schemas.openxmlformats.org/officeDocument/2006/relationships/hyperlink" Target="https://wwwcdn.imo.org/localresources/en/OurWork/Environment/Documents/2019%20Revised%20guidance%20for%20platforms.pdf" TargetMode="External"/><Relationship Id="rId46" Type="http://schemas.openxmlformats.org/officeDocument/2006/relationships/hyperlink" Target="https://wwwcdn.imo.org/localresources/en/OurWork/Environment/Documents/2019%20Revised%20guidance%20for%20platforms.pdf" TargetMode="External"/><Relationship Id="rId59" Type="http://schemas.openxmlformats.org/officeDocument/2006/relationships/hyperlink" Target="https://wwwcdn.imo.org/localresources/en/OurWork/Environment/Documents/2019%20Revised%20guidance%20for%20platforms.pdf" TargetMode="External"/><Relationship Id="rId67" Type="http://schemas.openxmlformats.org/officeDocument/2006/relationships/hyperlink" Target="https://www.legislation.gov.au/Details/F2009C00261" TargetMode="External"/><Relationship Id="rId20" Type="http://schemas.openxmlformats.org/officeDocument/2006/relationships/hyperlink" Target="https://www.nopta.gov.au/guidelines-and-factsheets/offshore-petroleum-guidelines.html" TargetMode="External"/><Relationship Id="rId41" Type="http://schemas.openxmlformats.org/officeDocument/2006/relationships/hyperlink" Target="https://wwwcdn.imo.org/localresources/en/OurWork/Environment/Documents/2019%20Revised%20guidance%20for%20platforms.pdf" TargetMode="External"/><Relationship Id="rId54" Type="http://schemas.openxmlformats.org/officeDocument/2006/relationships/hyperlink" Target="https://wwwcdn.imo.org/localresources/en/OurWork/Environment/Documents/2019%20Revised%20guidance%20for%20platforms.pdf" TargetMode="External"/><Relationship Id="rId62" Type="http://schemas.openxmlformats.org/officeDocument/2006/relationships/hyperlink" Target="https://www.dcceew.gov.au/environment/biodiversity/threatened/publications/tap/marine-debris-2018" TargetMode="External"/><Relationship Id="rId70" Type="http://schemas.openxmlformats.org/officeDocument/2006/relationships/hyperlink" Target="https://www.legislation.gov.au/F2023L00998/asmade/text" TargetMode="External"/><Relationship Id="rId75" Type="http://schemas.openxmlformats.org/officeDocument/2006/relationships/hyperlink" Target="https://www.nopsema.gov.au/offshore-industry/decommissioning" TargetMode="External"/><Relationship Id="rId83" Type="http://schemas.openxmlformats.org/officeDocument/2006/relationships/hyperlink" Target="https://www.basel.int/Implementation/TechnicalMatters/DevelopmentofTechnicalGuidelines/TechnicalGuidelines/tabid/8025/Default.aspx" TargetMode="External"/><Relationship Id="rId88"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egislation.gov.au/F2023L00998/asmade/text" TargetMode="External"/><Relationship Id="rId23" Type="http://schemas.openxmlformats.org/officeDocument/2006/relationships/hyperlink" Target="https://www.imo.org/en/KnowledgeCentre/IndexofIMOResolutions/Pages/A-1987-89.aspx" TargetMode="External"/><Relationship Id="rId28" Type="http://schemas.openxmlformats.org/officeDocument/2006/relationships/hyperlink" Target="https://wwwcdn.imo.org/localresources/en/OurWork/Environment/Documents/2019%20Revised%20guidance%20for%20platforms.pdf" TargetMode="External"/><Relationship Id="rId36" Type="http://schemas.openxmlformats.org/officeDocument/2006/relationships/hyperlink" Target="https://www.imo.org/en/KnowledgeCentre/IndexofIMOResolutions/Pages/A-1987-89.aspx" TargetMode="External"/><Relationship Id="rId49" Type="http://schemas.openxmlformats.org/officeDocument/2006/relationships/hyperlink" Target="https://treaties.un.org/Pages/showDetails.aspx?objid=080000028057e421" TargetMode="External"/><Relationship Id="rId57" Type="http://schemas.openxmlformats.org/officeDocument/2006/relationships/hyperlink" Target="https://wwwcdn.imo.org/localresources/en/OurWork/Environment/Documents/2019%20Revised%20guidance%20for%20platforms.pdf" TargetMode="External"/><Relationship Id="rId10" Type="http://schemas.openxmlformats.org/officeDocument/2006/relationships/hyperlink" Target="https://creativecommons.org/licenses/by/4.0/" TargetMode="External"/><Relationship Id="rId31" Type="http://schemas.openxmlformats.org/officeDocument/2006/relationships/hyperlink" Target="https://www.dcceew.gov.au/environment/biodiversity/threatened/publications/tap/marine-debris-2018" TargetMode="External"/><Relationship Id="rId44" Type="http://schemas.openxmlformats.org/officeDocument/2006/relationships/hyperlink" Target="https://www.imo.org/en/OurWork/Environment/Pages/London-Convention-Protocol.aspx" TargetMode="External"/><Relationship Id="rId52" Type="http://schemas.openxmlformats.org/officeDocument/2006/relationships/hyperlink" Target="https://wwwcdn.imo.org/localresources/en/OurWork/Environment/Documents/2019%20Revised%20guidance%20for%20platforms.pdf" TargetMode="External"/><Relationship Id="rId60" Type="http://schemas.openxmlformats.org/officeDocument/2006/relationships/hyperlink" Target="https://www.imo.org/en/KnowledgeCentre/IndexofIMOResolutions/Pages/A-1987-89.aspx" TargetMode="External"/><Relationship Id="rId65" Type="http://schemas.openxmlformats.org/officeDocument/2006/relationships/hyperlink" Target="https://www.legislation.gov.au/C2004A02478/latest/text" TargetMode="External"/><Relationship Id="rId73" Type="http://schemas.openxmlformats.org/officeDocument/2006/relationships/hyperlink" Target="https://www.nopta.gov.au/guidelines-and-factsheets/offshore-petroleum-guidelines.html" TargetMode="External"/><Relationship Id="rId78" Type="http://schemas.openxmlformats.org/officeDocument/2006/relationships/hyperlink" Target="https://www.imo.org/en/OurWork/Environment/Pages/London-Convention-Protocol.aspx" TargetMode="External"/><Relationship Id="rId81" Type="http://schemas.openxmlformats.org/officeDocument/2006/relationships/hyperlink" Target="https://www.imo.org/en/KnowledgeCentre/IndexofIMOResolutions/Pages/A-1987-89.aspx" TargetMode="External"/><Relationship Id="rId86"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legislation.gov.au/C2004A02478/latest/text" TargetMode="External"/><Relationship Id="rId18" Type="http://schemas.openxmlformats.org/officeDocument/2006/relationships/hyperlink" Target="https://www.nopsema.gov.au/document-hub/guidelines" TargetMode="External"/><Relationship Id="rId39" Type="http://schemas.openxmlformats.org/officeDocument/2006/relationships/hyperlink" Target="https://www.imo.org/en/KnowledgeCentre/IndexofIMOResolutions/Pages/A-1987-89.aspx" TargetMode="External"/><Relationship Id="rId34" Type="http://schemas.openxmlformats.org/officeDocument/2006/relationships/hyperlink" Target="https://www.imo.org/en/KnowledgeCentre/IndexofIMOResolutions/Pages/A-1987-89.aspx" TargetMode="External"/><Relationship Id="rId50" Type="http://schemas.openxmlformats.org/officeDocument/2006/relationships/hyperlink" Target="https://www.dcceew.gov.au/environment/biodiversity/threatened/publications/tap/marine-debris-2018" TargetMode="External"/><Relationship Id="rId55" Type="http://schemas.openxmlformats.org/officeDocument/2006/relationships/hyperlink" Target="https://www.imo.org/en/KnowledgeCentre/IndexofIMOResolutions/Pages/A-1987-89.aspx" TargetMode="External"/><Relationship Id="rId76" Type="http://schemas.openxmlformats.org/officeDocument/2006/relationships/hyperlink" Target="https://www.nopsema.gov.au/document-hub/policies" TargetMode="External"/><Relationship Id="rId7" Type="http://schemas.openxmlformats.org/officeDocument/2006/relationships/endnotes" Target="endnotes.xml"/><Relationship Id="rId71" Type="http://schemas.openxmlformats.org/officeDocument/2006/relationships/hyperlink" Target="https://www.legislation.gov.au/F2009L04578/latest/text" TargetMode="External"/><Relationship Id="rId2" Type="http://schemas.openxmlformats.org/officeDocument/2006/relationships/numbering" Target="numbering.xml"/><Relationship Id="rId29" Type="http://schemas.openxmlformats.org/officeDocument/2006/relationships/hyperlink" Target="https://www.imo.org/en/KnowledgeCentre/IndexofIMOResolutions/Pages/A-1987-89.aspx" TargetMode="External"/><Relationship Id="rId24" Type="http://schemas.openxmlformats.org/officeDocument/2006/relationships/hyperlink" Target="https://www.imo.org/en/KnowledgeCentre/IndexofIMOResolutions/Pages/A-1987-89.aspx" TargetMode="External"/><Relationship Id="rId40" Type="http://schemas.openxmlformats.org/officeDocument/2006/relationships/hyperlink" Target="https://www.imo.org/en/KnowledgeCentre/IndexofIMOResolutions/Pages/A-1987-89.aspx" TargetMode="External"/><Relationship Id="rId45" Type="http://schemas.openxmlformats.org/officeDocument/2006/relationships/hyperlink" Target="https://wwwcdn.imo.org/localresources/en/OurWork/Environment/Documents/2019%20Revised%20guidance%20for%20platforms.pdf" TargetMode="External"/><Relationship Id="rId66" Type="http://schemas.openxmlformats.org/officeDocument/2006/relationships/hyperlink" Target="https://www.legislation.gov.au/Details/F2009C00261" TargetMode="External"/><Relationship Id="rId87" Type="http://schemas.openxmlformats.org/officeDocument/2006/relationships/header" Target="header3.xml"/><Relationship Id="rId61" Type="http://schemas.openxmlformats.org/officeDocument/2006/relationships/hyperlink" Target="https://wwwcdn.imo.org/localresources/en/OurWork/Environment/Documents/2019%20Revised%20guidance%20for%20platforms.pdf" TargetMode="External"/><Relationship Id="rId82" Type="http://schemas.openxmlformats.org/officeDocument/2006/relationships/hyperlink" Target="https://wedocs.unep.org/bitstream/handle/20.500.11822/41126/mercury_from_oil_and%20_gas.pdf?sequence=3&amp;isAllowed=y" TargetMode="External"/><Relationship Id="rId19" Type="http://schemas.openxmlformats.org/officeDocument/2006/relationships/hyperlink" Target="https://www.nopsema.gov.au/document-hub/guidance-not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dcceew.gov.au/environment/epbc/publications/significant-impact-guidelines-11-matters-national-environmental-significance" TargetMode="External"/></Relationships>
</file>

<file path=word/theme/theme1.xml><?xml version="1.0" encoding="utf-8"?>
<a:theme xmlns:a="http://schemas.openxmlformats.org/drawingml/2006/main" name="Office Theme">
  <a:themeElements>
    <a:clrScheme name="DISR 2023">
      <a:dk1>
        <a:srgbClr val="000000"/>
      </a:dk1>
      <a:lt1>
        <a:sysClr val="window" lastClr="FFFFFF"/>
      </a:lt1>
      <a:dk2>
        <a:srgbClr val="095258"/>
      </a:dk2>
      <a:lt2>
        <a:srgbClr val="E7E6E6"/>
      </a:lt2>
      <a:accent1>
        <a:srgbClr val="001B35"/>
      </a:accent1>
      <a:accent2>
        <a:srgbClr val="993533"/>
      </a:accent2>
      <a:accent3>
        <a:srgbClr val="00D3D1"/>
      </a:accent3>
      <a:accent4>
        <a:srgbClr val="15659B"/>
      </a:accent4>
      <a:accent5>
        <a:srgbClr val="E5FD8C"/>
      </a:accent5>
      <a:accent6>
        <a:srgbClr val="B7E4F7"/>
      </a:accent6>
      <a:hlink>
        <a:srgbClr val="15659B"/>
      </a:hlink>
      <a:folHlink>
        <a:srgbClr val="954F72"/>
      </a:folHlink>
    </a:clrScheme>
    <a:fontScheme name="DISR Aptos 2023 v2">
      <a:majorFont>
        <a:latin typeface="Aptos SemiBold"/>
        <a:ea typeface=""/>
        <a:cs typeface=""/>
      </a:majorFont>
      <a:minorFont>
        <a:latin typeface="Apt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947"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8D33772-F7EF-48F0-805B-CBF1219677C5}">
  <we:reference id="8021f97c-8905-4693-9bcb-ecda41b4cf7b" version="1.0.1.0"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8A426-2293-4A07-8069-76989BF31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5891</Words>
  <Characters>34998</Characters>
  <Application>Microsoft Office Word</Application>
  <DocSecurity>0</DocSecurity>
  <Lines>795</Lines>
  <Paragraphs>464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Australian Government guidance for removal of oil and gas property and sea dumping of infrastructure in Commonwealth waters</cp:keywords>
  <dc:description/>
  <cp:lastModifiedBy/>
  <cp:revision>1</cp:revision>
  <dcterms:created xsi:type="dcterms:W3CDTF">2024-05-20T08:53:00Z</dcterms:created>
  <dcterms:modified xsi:type="dcterms:W3CDTF">2024-05-20T08:56:00Z</dcterms:modified>
</cp:coreProperties>
</file>