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3252D" w14:textId="477C7070" w:rsidR="00D9405B" w:rsidRDefault="00D9405B" w:rsidP="002576C7">
      <w:pPr>
        <w:pStyle w:val="Baseparagraphcentred"/>
      </w:pPr>
    </w:p>
    <w:p w14:paraId="7CA89379" w14:textId="77777777" w:rsidR="00AF0F0C" w:rsidRDefault="00AF0F0C" w:rsidP="002576C7">
      <w:pPr>
        <w:pStyle w:val="Baseparagraphcentred"/>
      </w:pPr>
    </w:p>
    <w:p w14:paraId="19B467C1" w14:textId="77777777" w:rsidR="00AF0F0C" w:rsidRDefault="00AF0F0C" w:rsidP="002576C7">
      <w:pPr>
        <w:pStyle w:val="Baseparagraphcentred"/>
      </w:pPr>
    </w:p>
    <w:p w14:paraId="476E5528" w14:textId="77777777" w:rsidR="00AF0F0C" w:rsidRDefault="00AF0F0C" w:rsidP="002576C7">
      <w:pPr>
        <w:pStyle w:val="Baseparagraphcentred"/>
      </w:pPr>
    </w:p>
    <w:p w14:paraId="2D7250EA" w14:textId="77777777" w:rsidR="00AF0F0C" w:rsidRDefault="00AF0F0C" w:rsidP="002576C7">
      <w:pPr>
        <w:pStyle w:val="Baseparagraphcentred"/>
      </w:pPr>
    </w:p>
    <w:p w14:paraId="30622A8E" w14:textId="77777777" w:rsidR="00AF0F0C" w:rsidRDefault="00AF0F0C" w:rsidP="002576C7">
      <w:pPr>
        <w:pStyle w:val="Baseparagraphcentred"/>
      </w:pPr>
    </w:p>
    <w:p w14:paraId="45A4189E" w14:textId="77777777" w:rsidR="00AF0F0C" w:rsidRDefault="00AF0F0C" w:rsidP="002576C7">
      <w:pPr>
        <w:pStyle w:val="Baseparagraphcentred"/>
      </w:pPr>
    </w:p>
    <w:p w14:paraId="3A6FA2A3" w14:textId="77777777" w:rsidR="00AF0F0C" w:rsidRDefault="00AF0F0C" w:rsidP="002576C7">
      <w:pPr>
        <w:pStyle w:val="Baseparagraphcentred"/>
      </w:pPr>
    </w:p>
    <w:p w14:paraId="68F607FC" w14:textId="77777777" w:rsidR="00D9405B" w:rsidRDefault="00D9405B" w:rsidP="002576C7">
      <w:pPr>
        <w:pStyle w:val="Baseparagraphcentred"/>
      </w:pPr>
    </w:p>
    <w:p w14:paraId="419D4A2E" w14:textId="77777777" w:rsidR="00D9405B" w:rsidRDefault="00D9405B" w:rsidP="002576C7">
      <w:pPr>
        <w:pStyle w:val="Baseparagraphcentred"/>
      </w:pPr>
    </w:p>
    <w:p w14:paraId="4A33954F" w14:textId="0F482970" w:rsidR="00D9405B" w:rsidRDefault="00B45049" w:rsidP="002576C7">
      <w:pPr>
        <w:pStyle w:val="BillName"/>
      </w:pPr>
      <w:r>
        <w:t xml:space="preserve">Corporations amendment (Asia region funds passport) </w:t>
      </w:r>
      <w:r w:rsidR="00723747">
        <w:t>bill </w:t>
      </w:r>
      <w:r>
        <w:t>201</w:t>
      </w:r>
      <w:r w:rsidR="00550FC2">
        <w:t>7</w:t>
      </w:r>
    </w:p>
    <w:p w14:paraId="37F3E64B" w14:textId="77777777" w:rsidR="00D9405B" w:rsidRDefault="00D9405B" w:rsidP="002576C7">
      <w:pPr>
        <w:pStyle w:val="Baseparagraphcentred"/>
      </w:pPr>
    </w:p>
    <w:p w14:paraId="22D6A8FC" w14:textId="77777777" w:rsidR="00D9405B" w:rsidRDefault="00D9405B" w:rsidP="002576C7">
      <w:pPr>
        <w:pStyle w:val="Baseparagraphcentred"/>
      </w:pPr>
    </w:p>
    <w:p w14:paraId="201D87F1" w14:textId="77777777" w:rsidR="00D9405B" w:rsidRDefault="00D9405B" w:rsidP="002576C7">
      <w:pPr>
        <w:pStyle w:val="Baseparagraphcentred"/>
      </w:pPr>
    </w:p>
    <w:p w14:paraId="27F4EB77" w14:textId="77777777" w:rsidR="00D9405B" w:rsidRDefault="00D9405B" w:rsidP="002576C7">
      <w:pPr>
        <w:pStyle w:val="Baseparagraphcentred"/>
      </w:pPr>
    </w:p>
    <w:p w14:paraId="79F9EF92" w14:textId="1A8129A1" w:rsidR="00D9405B" w:rsidRDefault="00AF0F0C" w:rsidP="002576C7">
      <w:pPr>
        <w:pStyle w:val="Baseparagraphcentred"/>
      </w:pPr>
      <w:r>
        <w:t xml:space="preserve">EXPOSURE DRAFT </w:t>
      </w:r>
      <w:r w:rsidR="00D9405B">
        <w:t xml:space="preserve">EXPLANATORY </w:t>
      </w:r>
      <w:r>
        <w:t>MATERIALS</w:t>
      </w:r>
    </w:p>
    <w:p w14:paraId="0468AEDA" w14:textId="77777777" w:rsidR="00D9405B" w:rsidRDefault="00D9405B" w:rsidP="002576C7">
      <w:pPr>
        <w:pStyle w:val="Baseparagraphcentred"/>
      </w:pPr>
    </w:p>
    <w:p w14:paraId="3F088995" w14:textId="77777777" w:rsidR="00D9405B" w:rsidRDefault="00D9405B" w:rsidP="002576C7">
      <w:pPr>
        <w:pStyle w:val="Baseparagraphcentred"/>
      </w:pPr>
    </w:p>
    <w:p w14:paraId="40AA6082" w14:textId="77777777" w:rsidR="00D9405B" w:rsidRDefault="00D9405B" w:rsidP="002576C7"/>
    <w:p w14:paraId="78285727" w14:textId="77777777" w:rsidR="00AF0F0C" w:rsidRDefault="00AF0F0C" w:rsidP="002576C7">
      <w:pPr>
        <w:sectPr w:rsidR="00AF0F0C" w:rsidSect="00260FA6">
          <w:headerReference w:type="even" r:id="rId14"/>
          <w:headerReference w:type="default" r:id="rId15"/>
          <w:footerReference w:type="even" r:id="rId16"/>
          <w:footerReference w:type="default" r:id="rId17"/>
          <w:headerReference w:type="first" r:id="rId18"/>
          <w:type w:val="oddPage"/>
          <w:pgSz w:w="11906" w:h="16838" w:code="9"/>
          <w:pgMar w:top="2466" w:right="2098" w:bottom="2466" w:left="2098" w:header="1559" w:footer="1899" w:gutter="0"/>
          <w:cols w:space="708"/>
          <w:titlePg/>
          <w:docGrid w:linePitch="360"/>
        </w:sectPr>
      </w:pPr>
    </w:p>
    <w:p w14:paraId="63453A29" w14:textId="77777777" w:rsidR="00D9405B" w:rsidRPr="003E0794" w:rsidRDefault="00D9405B" w:rsidP="002576C7">
      <w:pPr>
        <w:pStyle w:val="TOCHeading"/>
      </w:pPr>
      <w:r w:rsidRPr="003E0794">
        <w:lastRenderedPageBreak/>
        <w:t>Table of contents</w:t>
      </w:r>
    </w:p>
    <w:p w14:paraId="7BED32B1" w14:textId="77777777" w:rsidR="002738CD" w:rsidRDefault="00557FBC">
      <w:pPr>
        <w:pStyle w:val="TOC2"/>
        <w:rPr>
          <w:rFonts w:asciiTheme="minorHAnsi" w:eastAsiaTheme="minorEastAsia" w:hAnsiTheme="minorHAnsi" w:cstheme="minorBidi"/>
          <w:sz w:val="22"/>
          <w:szCs w:val="22"/>
          <w:lang w:eastAsia="zh-CN"/>
        </w:rPr>
      </w:pPr>
      <w:r>
        <w:fldChar w:fldCharType="begin"/>
      </w:r>
      <w:r>
        <w:instrText xml:space="preserve"> TOC \t "Chapter Heading,1,Chapter heading subdocument,2" </w:instrText>
      </w:r>
      <w:r>
        <w:fldChar w:fldCharType="separate"/>
      </w:r>
      <w:r w:rsidR="002738CD">
        <w:t>Glossary</w:t>
      </w:r>
      <w:r w:rsidR="002738CD">
        <w:tab/>
      </w:r>
      <w:r w:rsidR="002738CD">
        <w:fldChar w:fldCharType="begin"/>
      </w:r>
      <w:r w:rsidR="002738CD">
        <w:instrText xml:space="preserve"> PAGEREF _Toc490750338 \h </w:instrText>
      </w:r>
      <w:r w:rsidR="002738CD">
        <w:fldChar w:fldCharType="separate"/>
      </w:r>
      <w:r w:rsidR="002738CD">
        <w:t>5</w:t>
      </w:r>
      <w:r w:rsidR="002738CD">
        <w:fldChar w:fldCharType="end"/>
      </w:r>
    </w:p>
    <w:p w14:paraId="55BE9E38" w14:textId="77777777" w:rsidR="002738CD" w:rsidRDefault="002738CD">
      <w:pPr>
        <w:pStyle w:val="TOC1"/>
        <w:rPr>
          <w:rFonts w:asciiTheme="minorHAnsi" w:eastAsiaTheme="minorEastAsia" w:hAnsiTheme="minorHAnsi" w:cstheme="minorBidi"/>
          <w:noProof/>
          <w:sz w:val="22"/>
          <w:szCs w:val="22"/>
          <w:lang w:eastAsia="zh-CN"/>
        </w:rPr>
      </w:pPr>
      <w:r>
        <w:rPr>
          <w:noProof/>
        </w:rPr>
        <w:t>Chapter 1</w:t>
      </w:r>
      <w:r>
        <w:rPr>
          <w:rFonts w:asciiTheme="minorHAnsi" w:eastAsiaTheme="minorEastAsia" w:hAnsiTheme="minorHAnsi" w:cstheme="minorBidi"/>
          <w:noProof/>
          <w:sz w:val="22"/>
          <w:szCs w:val="22"/>
          <w:lang w:eastAsia="zh-CN"/>
        </w:rPr>
        <w:tab/>
      </w:r>
      <w:r>
        <w:rPr>
          <w:noProof/>
        </w:rPr>
        <w:t>Context</w:t>
      </w:r>
      <w:r>
        <w:rPr>
          <w:noProof/>
        </w:rPr>
        <w:tab/>
      </w:r>
      <w:r>
        <w:rPr>
          <w:noProof/>
        </w:rPr>
        <w:fldChar w:fldCharType="begin"/>
      </w:r>
      <w:r>
        <w:rPr>
          <w:noProof/>
        </w:rPr>
        <w:instrText xml:space="preserve"> PAGEREF _Toc490750339 \h </w:instrText>
      </w:r>
      <w:r>
        <w:rPr>
          <w:noProof/>
        </w:rPr>
      </w:r>
      <w:r>
        <w:rPr>
          <w:noProof/>
        </w:rPr>
        <w:fldChar w:fldCharType="separate"/>
      </w:r>
      <w:r>
        <w:rPr>
          <w:noProof/>
        </w:rPr>
        <w:t>7</w:t>
      </w:r>
      <w:r>
        <w:rPr>
          <w:noProof/>
        </w:rPr>
        <w:fldChar w:fldCharType="end"/>
      </w:r>
    </w:p>
    <w:p w14:paraId="0CC8B62B" w14:textId="77777777" w:rsidR="002738CD" w:rsidRDefault="002738CD">
      <w:pPr>
        <w:pStyle w:val="TOC1"/>
        <w:rPr>
          <w:rFonts w:asciiTheme="minorHAnsi" w:eastAsiaTheme="minorEastAsia" w:hAnsiTheme="minorHAnsi" w:cstheme="minorBidi"/>
          <w:noProof/>
          <w:sz w:val="22"/>
          <w:szCs w:val="22"/>
          <w:lang w:eastAsia="zh-CN"/>
        </w:rPr>
      </w:pPr>
      <w:r>
        <w:rPr>
          <w:noProof/>
        </w:rPr>
        <w:t>Chapter 2</w:t>
      </w:r>
      <w:r>
        <w:rPr>
          <w:rFonts w:asciiTheme="minorHAnsi" w:eastAsiaTheme="minorEastAsia" w:hAnsiTheme="minorHAnsi" w:cstheme="minorBidi"/>
          <w:noProof/>
          <w:sz w:val="22"/>
          <w:szCs w:val="22"/>
          <w:lang w:eastAsia="zh-CN"/>
        </w:rPr>
        <w:tab/>
      </w:r>
      <w:r>
        <w:rPr>
          <w:noProof/>
        </w:rPr>
        <w:t>Key definitions</w:t>
      </w:r>
      <w:r>
        <w:rPr>
          <w:noProof/>
        </w:rPr>
        <w:tab/>
      </w:r>
      <w:r>
        <w:rPr>
          <w:noProof/>
        </w:rPr>
        <w:fldChar w:fldCharType="begin"/>
      </w:r>
      <w:r>
        <w:rPr>
          <w:noProof/>
        </w:rPr>
        <w:instrText xml:space="preserve"> PAGEREF _Toc490750340 \h </w:instrText>
      </w:r>
      <w:r>
        <w:rPr>
          <w:noProof/>
        </w:rPr>
      </w:r>
      <w:r>
        <w:rPr>
          <w:noProof/>
        </w:rPr>
        <w:fldChar w:fldCharType="separate"/>
      </w:r>
      <w:r>
        <w:rPr>
          <w:noProof/>
        </w:rPr>
        <w:t>13</w:t>
      </w:r>
      <w:r>
        <w:rPr>
          <w:noProof/>
        </w:rPr>
        <w:fldChar w:fldCharType="end"/>
      </w:r>
    </w:p>
    <w:p w14:paraId="0B0151B6" w14:textId="77777777" w:rsidR="002738CD" w:rsidRDefault="002738CD">
      <w:pPr>
        <w:pStyle w:val="TOC1"/>
        <w:rPr>
          <w:rFonts w:asciiTheme="minorHAnsi" w:eastAsiaTheme="minorEastAsia" w:hAnsiTheme="minorHAnsi" w:cstheme="minorBidi"/>
          <w:noProof/>
          <w:sz w:val="22"/>
          <w:szCs w:val="22"/>
          <w:lang w:eastAsia="zh-CN"/>
        </w:rPr>
      </w:pPr>
      <w:r>
        <w:rPr>
          <w:noProof/>
        </w:rPr>
        <w:t>Chapter 3</w:t>
      </w:r>
      <w:r>
        <w:rPr>
          <w:rFonts w:asciiTheme="minorHAnsi" w:eastAsiaTheme="minorEastAsia" w:hAnsiTheme="minorHAnsi" w:cstheme="minorBidi"/>
          <w:noProof/>
          <w:sz w:val="22"/>
          <w:szCs w:val="22"/>
          <w:lang w:eastAsia="zh-CN"/>
        </w:rPr>
        <w:tab/>
      </w:r>
      <w:r>
        <w:rPr>
          <w:noProof/>
        </w:rPr>
        <w:t>Application and registration</w:t>
      </w:r>
      <w:r>
        <w:rPr>
          <w:noProof/>
        </w:rPr>
        <w:tab/>
      </w:r>
      <w:r>
        <w:rPr>
          <w:noProof/>
        </w:rPr>
        <w:fldChar w:fldCharType="begin"/>
      </w:r>
      <w:r>
        <w:rPr>
          <w:noProof/>
        </w:rPr>
        <w:instrText xml:space="preserve"> PAGEREF _Toc490750341 \h </w:instrText>
      </w:r>
      <w:r>
        <w:rPr>
          <w:noProof/>
        </w:rPr>
      </w:r>
      <w:r>
        <w:rPr>
          <w:noProof/>
        </w:rPr>
        <w:fldChar w:fldCharType="separate"/>
      </w:r>
      <w:r>
        <w:rPr>
          <w:noProof/>
        </w:rPr>
        <w:t>25</w:t>
      </w:r>
      <w:r>
        <w:rPr>
          <w:noProof/>
        </w:rPr>
        <w:fldChar w:fldCharType="end"/>
      </w:r>
    </w:p>
    <w:p w14:paraId="4CA86E89" w14:textId="77777777" w:rsidR="002738CD" w:rsidRDefault="002738CD">
      <w:pPr>
        <w:pStyle w:val="TOC1"/>
        <w:rPr>
          <w:rFonts w:asciiTheme="minorHAnsi" w:eastAsiaTheme="minorEastAsia" w:hAnsiTheme="minorHAnsi" w:cstheme="minorBidi"/>
          <w:noProof/>
          <w:sz w:val="22"/>
          <w:szCs w:val="22"/>
          <w:lang w:eastAsia="zh-CN"/>
        </w:rPr>
      </w:pPr>
      <w:r>
        <w:rPr>
          <w:noProof/>
        </w:rPr>
        <w:t>Chapter 4</w:t>
      </w:r>
      <w:r>
        <w:rPr>
          <w:rFonts w:asciiTheme="minorHAnsi" w:eastAsiaTheme="minorEastAsia" w:hAnsiTheme="minorHAnsi" w:cstheme="minorBidi"/>
          <w:noProof/>
          <w:sz w:val="22"/>
          <w:szCs w:val="22"/>
          <w:lang w:eastAsia="zh-CN"/>
        </w:rPr>
        <w:tab/>
      </w:r>
      <w:r>
        <w:rPr>
          <w:noProof/>
        </w:rPr>
        <w:t>Members’ rights to certain records</w:t>
      </w:r>
      <w:r>
        <w:rPr>
          <w:noProof/>
        </w:rPr>
        <w:tab/>
      </w:r>
      <w:r>
        <w:rPr>
          <w:noProof/>
        </w:rPr>
        <w:fldChar w:fldCharType="begin"/>
      </w:r>
      <w:r>
        <w:rPr>
          <w:noProof/>
        </w:rPr>
        <w:instrText xml:space="preserve"> PAGEREF _Toc490750342 \h </w:instrText>
      </w:r>
      <w:r>
        <w:rPr>
          <w:noProof/>
        </w:rPr>
      </w:r>
      <w:r>
        <w:rPr>
          <w:noProof/>
        </w:rPr>
        <w:fldChar w:fldCharType="separate"/>
      </w:r>
      <w:r>
        <w:rPr>
          <w:noProof/>
        </w:rPr>
        <w:t>39</w:t>
      </w:r>
      <w:r>
        <w:rPr>
          <w:noProof/>
        </w:rPr>
        <w:fldChar w:fldCharType="end"/>
      </w:r>
    </w:p>
    <w:p w14:paraId="74A5592E" w14:textId="77777777" w:rsidR="002738CD" w:rsidRDefault="002738CD">
      <w:pPr>
        <w:pStyle w:val="TOC1"/>
        <w:rPr>
          <w:rFonts w:asciiTheme="minorHAnsi" w:eastAsiaTheme="minorEastAsia" w:hAnsiTheme="minorHAnsi" w:cstheme="minorBidi"/>
          <w:noProof/>
          <w:sz w:val="22"/>
          <w:szCs w:val="22"/>
          <w:lang w:eastAsia="zh-CN"/>
        </w:rPr>
      </w:pPr>
      <w:r>
        <w:rPr>
          <w:noProof/>
        </w:rPr>
        <w:t>Chapter 5</w:t>
      </w:r>
      <w:r>
        <w:rPr>
          <w:rFonts w:asciiTheme="minorHAnsi" w:eastAsiaTheme="minorEastAsia" w:hAnsiTheme="minorHAnsi" w:cstheme="minorBidi"/>
          <w:noProof/>
          <w:sz w:val="22"/>
          <w:szCs w:val="22"/>
          <w:lang w:eastAsia="zh-CN"/>
        </w:rPr>
        <w:tab/>
      </w:r>
      <w:r>
        <w:rPr>
          <w:noProof/>
        </w:rPr>
        <w:t>Compliance and enforcement</w:t>
      </w:r>
      <w:r>
        <w:rPr>
          <w:noProof/>
        </w:rPr>
        <w:tab/>
      </w:r>
      <w:r>
        <w:rPr>
          <w:noProof/>
        </w:rPr>
        <w:fldChar w:fldCharType="begin"/>
      </w:r>
      <w:r>
        <w:rPr>
          <w:noProof/>
        </w:rPr>
        <w:instrText xml:space="preserve"> PAGEREF _Toc490750343 \h </w:instrText>
      </w:r>
      <w:r>
        <w:rPr>
          <w:noProof/>
        </w:rPr>
      </w:r>
      <w:r>
        <w:rPr>
          <w:noProof/>
        </w:rPr>
        <w:fldChar w:fldCharType="separate"/>
      </w:r>
      <w:r>
        <w:rPr>
          <w:noProof/>
        </w:rPr>
        <w:t>45</w:t>
      </w:r>
      <w:r>
        <w:rPr>
          <w:noProof/>
        </w:rPr>
        <w:fldChar w:fldCharType="end"/>
      </w:r>
    </w:p>
    <w:p w14:paraId="065B2AA2" w14:textId="77777777" w:rsidR="002738CD" w:rsidRDefault="002738CD">
      <w:pPr>
        <w:pStyle w:val="TOC1"/>
        <w:rPr>
          <w:rFonts w:asciiTheme="minorHAnsi" w:eastAsiaTheme="minorEastAsia" w:hAnsiTheme="minorHAnsi" w:cstheme="minorBidi"/>
          <w:noProof/>
          <w:sz w:val="22"/>
          <w:szCs w:val="22"/>
          <w:lang w:eastAsia="zh-CN"/>
        </w:rPr>
      </w:pPr>
      <w:r>
        <w:rPr>
          <w:noProof/>
        </w:rPr>
        <w:t>Chapter 6</w:t>
      </w:r>
      <w:r>
        <w:rPr>
          <w:rFonts w:asciiTheme="minorHAnsi" w:eastAsiaTheme="minorEastAsia" w:hAnsiTheme="minorHAnsi" w:cstheme="minorBidi"/>
          <w:noProof/>
          <w:sz w:val="22"/>
          <w:szCs w:val="22"/>
          <w:lang w:eastAsia="zh-CN"/>
        </w:rPr>
        <w:tab/>
      </w:r>
      <w:r>
        <w:rPr>
          <w:noProof/>
        </w:rPr>
        <w:t>Exemptions and modifications</w:t>
      </w:r>
      <w:r>
        <w:rPr>
          <w:noProof/>
        </w:rPr>
        <w:tab/>
      </w:r>
      <w:r>
        <w:rPr>
          <w:noProof/>
        </w:rPr>
        <w:fldChar w:fldCharType="begin"/>
      </w:r>
      <w:r>
        <w:rPr>
          <w:noProof/>
        </w:rPr>
        <w:instrText xml:space="preserve"> PAGEREF _Toc490750344 \h </w:instrText>
      </w:r>
      <w:r>
        <w:rPr>
          <w:noProof/>
        </w:rPr>
      </w:r>
      <w:r>
        <w:rPr>
          <w:noProof/>
        </w:rPr>
        <w:fldChar w:fldCharType="separate"/>
      </w:r>
      <w:r>
        <w:rPr>
          <w:noProof/>
        </w:rPr>
        <w:t>59</w:t>
      </w:r>
      <w:r>
        <w:rPr>
          <w:noProof/>
        </w:rPr>
        <w:fldChar w:fldCharType="end"/>
      </w:r>
    </w:p>
    <w:p w14:paraId="71D5160D" w14:textId="77777777" w:rsidR="00D9405B" w:rsidRDefault="00557FBC" w:rsidP="002576C7">
      <w:pPr>
        <w:pStyle w:val="base-text-paragraphnonumbers"/>
      </w:pPr>
      <w:r>
        <w:rPr>
          <w:b/>
          <w:bCs/>
          <w:noProof/>
          <w:lang w:val="en-US"/>
        </w:rPr>
        <w:fldChar w:fldCharType="end"/>
      </w:r>
    </w:p>
    <w:p w14:paraId="16BBE4CA" w14:textId="77777777" w:rsidR="00D9405B" w:rsidRDefault="00D9405B" w:rsidP="002576C7">
      <w:pPr>
        <w:pStyle w:val="Hiddentext"/>
      </w:pPr>
      <w:r>
        <w:t>Do not remove section break.</w:t>
      </w:r>
    </w:p>
    <w:p w14:paraId="4144DACC" w14:textId="77777777" w:rsidR="00D9405B" w:rsidRDefault="00D9405B" w:rsidP="002576C7">
      <w:pPr>
        <w:pStyle w:val="base-text-paragraphnonumbers"/>
        <w:sectPr w:rsidR="00D9405B" w:rsidSect="00260FA6">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466" w:right="2098" w:bottom="2466" w:left="2098" w:header="1559" w:footer="1899" w:gutter="0"/>
          <w:cols w:space="708"/>
          <w:titlePg/>
          <w:docGrid w:linePitch="360"/>
        </w:sectPr>
      </w:pPr>
    </w:p>
    <w:p w14:paraId="2364C146" w14:textId="77777777" w:rsidR="00D9405B" w:rsidRPr="00D67ADC" w:rsidRDefault="00D9405B" w:rsidP="00260FA6">
      <w:pPr>
        <w:pStyle w:val="Chapterheadingsubdocument"/>
      </w:pPr>
      <w:bookmarkStart w:id="0" w:name="_Toc490750338"/>
      <w:r w:rsidRPr="00D67ADC">
        <w:lastRenderedPageBreak/>
        <w:t>Glossary</w:t>
      </w:r>
      <w:bookmarkEnd w:id="0"/>
    </w:p>
    <w:p w14:paraId="6B57619C" w14:textId="6C25180D" w:rsidR="00D9405B" w:rsidRDefault="00D9405B" w:rsidP="00260FA6">
      <w:pPr>
        <w:pStyle w:val="BTPwithextraspacing"/>
      </w:pPr>
      <w:r>
        <w:t xml:space="preserve">The following abbreviations and acronyms are used throughout </w:t>
      </w:r>
      <w:r w:rsidR="006E4C9A">
        <w:t xml:space="preserve">these </w:t>
      </w:r>
      <w:r>
        <w:t xml:space="preserve">explanatory </w:t>
      </w:r>
      <w:r w:rsidR="006E4C9A">
        <w:t>materials</w:t>
      </w:r>
      <w: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D9405B" w:rsidRPr="00123D96" w14:paraId="1D604655" w14:textId="77777777" w:rsidTr="005B22BA">
        <w:trPr>
          <w:tblHeader/>
        </w:trPr>
        <w:tc>
          <w:tcPr>
            <w:tcW w:w="2721" w:type="dxa"/>
          </w:tcPr>
          <w:p w14:paraId="12488CF2" w14:textId="77777777" w:rsidR="00D9405B" w:rsidRPr="00123D96" w:rsidRDefault="00D9405B" w:rsidP="00260FA6">
            <w:pPr>
              <w:pStyle w:val="tableheaderwithintable"/>
            </w:pPr>
            <w:r w:rsidRPr="00123D96">
              <w:t>Abbreviation</w:t>
            </w:r>
          </w:p>
        </w:tc>
        <w:tc>
          <w:tcPr>
            <w:tcW w:w="3885" w:type="dxa"/>
          </w:tcPr>
          <w:p w14:paraId="0453C95A" w14:textId="77777777" w:rsidR="00D9405B" w:rsidRPr="00123D96" w:rsidRDefault="00D9405B" w:rsidP="00260FA6">
            <w:pPr>
              <w:pStyle w:val="tableheaderwithintable"/>
            </w:pPr>
            <w:r w:rsidRPr="00123D96">
              <w:t>Definition</w:t>
            </w:r>
          </w:p>
        </w:tc>
      </w:tr>
      <w:tr w:rsidR="00D9405B" w:rsidRPr="002C43E8" w14:paraId="692063E4" w14:textId="77777777" w:rsidTr="00260FA6">
        <w:tc>
          <w:tcPr>
            <w:tcW w:w="2721" w:type="dxa"/>
          </w:tcPr>
          <w:p w14:paraId="1176ED0B" w14:textId="31889FC7" w:rsidR="00D9405B" w:rsidRPr="002C43E8" w:rsidRDefault="00E615E0" w:rsidP="00260FA6">
            <w:pPr>
              <w:pStyle w:val="Glossarytabletext"/>
              <w:rPr>
                <w:lang w:val="en-US" w:eastAsia="en-US"/>
              </w:rPr>
            </w:pPr>
            <w:r>
              <w:rPr>
                <w:lang w:val="en-US" w:eastAsia="en-US"/>
              </w:rPr>
              <w:t>APEC</w:t>
            </w:r>
          </w:p>
        </w:tc>
        <w:tc>
          <w:tcPr>
            <w:tcW w:w="3885" w:type="dxa"/>
          </w:tcPr>
          <w:p w14:paraId="1A708163" w14:textId="7B9EFB53" w:rsidR="00D9405B" w:rsidRPr="00E615E0" w:rsidRDefault="00E615E0" w:rsidP="005412C1">
            <w:pPr>
              <w:pStyle w:val="Glossarytabletext"/>
              <w:rPr>
                <w:lang w:val="en-US" w:eastAsia="en-US"/>
              </w:rPr>
            </w:pPr>
            <w:r>
              <w:t>Asia</w:t>
            </w:r>
            <w:r w:rsidR="005412C1">
              <w:noBreakHyphen/>
            </w:r>
            <w:r>
              <w:t>Pacific Economic Cooperation</w:t>
            </w:r>
          </w:p>
        </w:tc>
      </w:tr>
      <w:tr w:rsidR="00A513EC" w:rsidRPr="002C43E8" w14:paraId="539076CA" w14:textId="77777777" w:rsidTr="00260FA6">
        <w:tc>
          <w:tcPr>
            <w:tcW w:w="2721" w:type="dxa"/>
          </w:tcPr>
          <w:p w14:paraId="71D62D28" w14:textId="6CF0F4A6" w:rsidR="00A513EC" w:rsidRDefault="00A513EC" w:rsidP="00A513EC">
            <w:pPr>
              <w:pStyle w:val="Glossarytabletext"/>
              <w:rPr>
                <w:lang w:val="en-US" w:eastAsia="en-US"/>
              </w:rPr>
            </w:pPr>
            <w:r>
              <w:t>AP</w:t>
            </w:r>
            <w:r w:rsidR="00604F5F">
              <w:t>F</w:t>
            </w:r>
            <w:r>
              <w:t>RN</w:t>
            </w:r>
          </w:p>
        </w:tc>
        <w:tc>
          <w:tcPr>
            <w:tcW w:w="3885" w:type="dxa"/>
          </w:tcPr>
          <w:p w14:paraId="408F4680" w14:textId="63662D5A" w:rsidR="00A513EC" w:rsidRDefault="00A513EC" w:rsidP="00604F5F">
            <w:pPr>
              <w:pStyle w:val="Glossarytabletext"/>
            </w:pPr>
            <w:r>
              <w:t xml:space="preserve">Australian Passport </w:t>
            </w:r>
            <w:r w:rsidR="00D617AC">
              <w:t xml:space="preserve">Fund </w:t>
            </w:r>
            <w:r>
              <w:t xml:space="preserve">Registration Number </w:t>
            </w:r>
          </w:p>
        </w:tc>
      </w:tr>
      <w:tr w:rsidR="00744B46" w:rsidRPr="002C43E8" w14:paraId="0C638869" w14:textId="77777777" w:rsidTr="00260FA6">
        <w:tc>
          <w:tcPr>
            <w:tcW w:w="2721" w:type="dxa"/>
          </w:tcPr>
          <w:p w14:paraId="10B70964" w14:textId="6CB8EDB4" w:rsidR="00744B46" w:rsidRDefault="00744B46" w:rsidP="00260FA6">
            <w:pPr>
              <w:pStyle w:val="Glossarytabletext"/>
              <w:rPr>
                <w:lang w:val="en-US" w:eastAsia="en-US"/>
              </w:rPr>
            </w:pPr>
            <w:r>
              <w:rPr>
                <w:lang w:val="en-US" w:eastAsia="en-US"/>
              </w:rPr>
              <w:t>ASIC</w:t>
            </w:r>
          </w:p>
        </w:tc>
        <w:tc>
          <w:tcPr>
            <w:tcW w:w="3885" w:type="dxa"/>
          </w:tcPr>
          <w:p w14:paraId="58F00E5A" w14:textId="0D83FED1" w:rsidR="00744B46" w:rsidRDefault="00744B46" w:rsidP="00744B46">
            <w:pPr>
              <w:pStyle w:val="Glossarytabletext"/>
              <w:rPr>
                <w:lang w:val="en-US" w:eastAsia="en-US"/>
              </w:rPr>
            </w:pPr>
            <w:r>
              <w:rPr>
                <w:lang w:val="en-US" w:eastAsia="en-US"/>
              </w:rPr>
              <w:t>Australian Securities and Investments Commission</w:t>
            </w:r>
          </w:p>
        </w:tc>
      </w:tr>
      <w:tr w:rsidR="00744B46" w:rsidRPr="002C43E8" w14:paraId="40087D18" w14:textId="77777777" w:rsidTr="00260FA6">
        <w:tc>
          <w:tcPr>
            <w:tcW w:w="2721" w:type="dxa"/>
          </w:tcPr>
          <w:p w14:paraId="07BE672A" w14:textId="181A9080" w:rsidR="00744B46" w:rsidRDefault="00744B46" w:rsidP="00260FA6">
            <w:pPr>
              <w:pStyle w:val="Glossarytabletext"/>
              <w:rPr>
                <w:lang w:val="en-US" w:eastAsia="en-US"/>
              </w:rPr>
            </w:pPr>
            <w:r>
              <w:rPr>
                <w:lang w:val="en-US" w:eastAsia="en-US"/>
              </w:rPr>
              <w:t>ASIC Act</w:t>
            </w:r>
          </w:p>
        </w:tc>
        <w:tc>
          <w:tcPr>
            <w:tcW w:w="3885" w:type="dxa"/>
          </w:tcPr>
          <w:p w14:paraId="2E885A99" w14:textId="4E263D70" w:rsidR="00744B46" w:rsidRPr="00744B46" w:rsidRDefault="00744B46" w:rsidP="00744B46">
            <w:pPr>
              <w:pStyle w:val="Glossarytabletext"/>
              <w:rPr>
                <w:i/>
                <w:lang w:val="en-US" w:eastAsia="en-US"/>
              </w:rPr>
            </w:pPr>
            <w:r>
              <w:rPr>
                <w:i/>
                <w:lang w:val="en-US" w:eastAsia="en-US"/>
              </w:rPr>
              <w:t>Australian Securities and Investments Commission Act 2001</w:t>
            </w:r>
          </w:p>
        </w:tc>
      </w:tr>
      <w:tr w:rsidR="00773B17" w:rsidRPr="002C43E8" w14:paraId="03452A96" w14:textId="77777777" w:rsidTr="00260FA6">
        <w:tc>
          <w:tcPr>
            <w:tcW w:w="2721" w:type="dxa"/>
          </w:tcPr>
          <w:p w14:paraId="58468851" w14:textId="3006A34F" w:rsidR="00773B17" w:rsidRDefault="00773B17" w:rsidP="00260FA6">
            <w:pPr>
              <w:pStyle w:val="Glossarytabletext"/>
              <w:rPr>
                <w:lang w:val="en-US" w:eastAsia="en-US"/>
              </w:rPr>
            </w:pPr>
            <w:r>
              <w:rPr>
                <w:lang w:val="en-US" w:eastAsia="en-US"/>
              </w:rPr>
              <w:t>Bill</w:t>
            </w:r>
          </w:p>
        </w:tc>
        <w:tc>
          <w:tcPr>
            <w:tcW w:w="3885" w:type="dxa"/>
          </w:tcPr>
          <w:p w14:paraId="24E86A5D" w14:textId="510E513A" w:rsidR="00773B17" w:rsidRPr="00744B46" w:rsidRDefault="00773B17" w:rsidP="00550FC2">
            <w:pPr>
              <w:pStyle w:val="Glossarytabletext"/>
              <w:rPr>
                <w:i/>
                <w:lang w:val="en-US" w:eastAsia="en-US"/>
              </w:rPr>
            </w:pPr>
            <w:r w:rsidRPr="00773B17">
              <w:rPr>
                <w:i/>
              </w:rPr>
              <w:t>Corporations Amendment (Asia Region Funds Passport) Bill 201</w:t>
            </w:r>
            <w:r w:rsidR="00550FC2">
              <w:rPr>
                <w:i/>
              </w:rPr>
              <w:t>7</w:t>
            </w:r>
          </w:p>
        </w:tc>
      </w:tr>
      <w:tr w:rsidR="00E647B6" w:rsidRPr="002C43E8" w14:paraId="673FD7FF" w14:textId="77777777" w:rsidTr="00260FA6">
        <w:tc>
          <w:tcPr>
            <w:tcW w:w="2721" w:type="dxa"/>
          </w:tcPr>
          <w:p w14:paraId="54AAA743" w14:textId="2A34A48F" w:rsidR="00E647B6" w:rsidRDefault="00E647B6" w:rsidP="00260FA6">
            <w:pPr>
              <w:pStyle w:val="Glossarytabletext"/>
              <w:rPr>
                <w:lang w:val="en-US" w:eastAsia="en-US"/>
              </w:rPr>
            </w:pPr>
            <w:r>
              <w:rPr>
                <w:lang w:val="en-US" w:eastAsia="en-US"/>
              </w:rPr>
              <w:t>CIS</w:t>
            </w:r>
          </w:p>
        </w:tc>
        <w:tc>
          <w:tcPr>
            <w:tcW w:w="3885" w:type="dxa"/>
          </w:tcPr>
          <w:p w14:paraId="31DF86B7" w14:textId="205365C5" w:rsidR="00E647B6" w:rsidRPr="0017339F" w:rsidRDefault="0017339F" w:rsidP="00744B46">
            <w:pPr>
              <w:pStyle w:val="Glossarytabletext"/>
              <w:rPr>
                <w:lang w:val="en-US" w:eastAsia="en-US"/>
              </w:rPr>
            </w:pPr>
            <w:r>
              <w:rPr>
                <w:lang w:val="en-US" w:eastAsia="en-US"/>
              </w:rPr>
              <w:t>Collective investment scheme</w:t>
            </w:r>
          </w:p>
        </w:tc>
      </w:tr>
      <w:tr w:rsidR="00BF4670" w:rsidRPr="002C43E8" w14:paraId="3BA27F50" w14:textId="77777777" w:rsidTr="00260FA6">
        <w:tc>
          <w:tcPr>
            <w:tcW w:w="2721" w:type="dxa"/>
          </w:tcPr>
          <w:p w14:paraId="40EFF99A" w14:textId="1144DC45" w:rsidR="00BF4670" w:rsidRDefault="00BF4670" w:rsidP="00260FA6">
            <w:pPr>
              <w:pStyle w:val="Glossarytabletext"/>
              <w:rPr>
                <w:lang w:val="en-US" w:eastAsia="en-US"/>
              </w:rPr>
            </w:pPr>
            <w:r>
              <w:rPr>
                <w:lang w:val="en-US" w:eastAsia="en-US"/>
              </w:rPr>
              <w:t>CIV</w:t>
            </w:r>
          </w:p>
        </w:tc>
        <w:tc>
          <w:tcPr>
            <w:tcW w:w="3885" w:type="dxa"/>
          </w:tcPr>
          <w:p w14:paraId="51476961" w14:textId="29AF0C49" w:rsidR="00BF4670" w:rsidRDefault="00BF4670" w:rsidP="00BF4670">
            <w:pPr>
              <w:pStyle w:val="Glossarytabletext"/>
              <w:rPr>
                <w:lang w:val="en-US" w:eastAsia="en-US"/>
              </w:rPr>
            </w:pPr>
            <w:r w:rsidRPr="00BF4670">
              <w:rPr>
                <w:lang w:val="en-US" w:eastAsia="en-US"/>
              </w:rPr>
              <w:t xml:space="preserve">Collective </w:t>
            </w:r>
            <w:r>
              <w:rPr>
                <w:lang w:val="en-US" w:eastAsia="en-US"/>
              </w:rPr>
              <w:t>i</w:t>
            </w:r>
            <w:r w:rsidRPr="00BF4670">
              <w:rPr>
                <w:lang w:val="en-US" w:eastAsia="en-US"/>
              </w:rPr>
              <w:t xml:space="preserve">nvestment </w:t>
            </w:r>
            <w:r>
              <w:rPr>
                <w:lang w:val="en-US" w:eastAsia="en-US"/>
              </w:rPr>
              <w:t>v</w:t>
            </w:r>
            <w:r w:rsidRPr="00BF4670">
              <w:rPr>
                <w:lang w:val="en-US" w:eastAsia="en-US"/>
              </w:rPr>
              <w:t>ehicle</w:t>
            </w:r>
          </w:p>
        </w:tc>
      </w:tr>
      <w:tr w:rsidR="00744B46" w:rsidRPr="002C43E8" w14:paraId="76C4A3CA" w14:textId="77777777" w:rsidTr="00260FA6">
        <w:tc>
          <w:tcPr>
            <w:tcW w:w="2721" w:type="dxa"/>
          </w:tcPr>
          <w:p w14:paraId="43240CEE" w14:textId="67E56863" w:rsidR="00744B46" w:rsidRDefault="00744B46" w:rsidP="00260FA6">
            <w:pPr>
              <w:pStyle w:val="Glossarytabletext"/>
              <w:rPr>
                <w:lang w:val="en-US" w:eastAsia="en-US"/>
              </w:rPr>
            </w:pPr>
            <w:r>
              <w:rPr>
                <w:lang w:val="en-US" w:eastAsia="en-US"/>
              </w:rPr>
              <w:t>Corporations Act</w:t>
            </w:r>
          </w:p>
        </w:tc>
        <w:tc>
          <w:tcPr>
            <w:tcW w:w="3885" w:type="dxa"/>
          </w:tcPr>
          <w:p w14:paraId="5910DB94" w14:textId="66E29121" w:rsidR="00744B46" w:rsidRPr="00744B46" w:rsidRDefault="00744B46" w:rsidP="00744B46">
            <w:pPr>
              <w:pStyle w:val="Glossarytabletext"/>
              <w:rPr>
                <w:i/>
                <w:lang w:val="en-US" w:eastAsia="en-US"/>
              </w:rPr>
            </w:pPr>
            <w:r w:rsidRPr="00744B46">
              <w:rPr>
                <w:i/>
                <w:lang w:val="en-US" w:eastAsia="en-US"/>
              </w:rPr>
              <w:t>Corporations Act 2001</w:t>
            </w:r>
          </w:p>
        </w:tc>
      </w:tr>
      <w:tr w:rsidR="00744B46" w:rsidRPr="002C43E8" w14:paraId="7A78AE01" w14:textId="77777777" w:rsidTr="00260FA6">
        <w:tc>
          <w:tcPr>
            <w:tcW w:w="2721" w:type="dxa"/>
          </w:tcPr>
          <w:p w14:paraId="15A17482" w14:textId="0A4E30F7" w:rsidR="00744B46" w:rsidRDefault="00744B46" w:rsidP="00260FA6">
            <w:pPr>
              <w:pStyle w:val="Glossarytabletext"/>
              <w:rPr>
                <w:lang w:val="en-US" w:eastAsia="en-US"/>
              </w:rPr>
            </w:pPr>
            <w:r>
              <w:rPr>
                <w:lang w:val="en-US" w:eastAsia="en-US"/>
              </w:rPr>
              <w:t>Corporations Regulations</w:t>
            </w:r>
          </w:p>
        </w:tc>
        <w:tc>
          <w:tcPr>
            <w:tcW w:w="3885" w:type="dxa"/>
          </w:tcPr>
          <w:p w14:paraId="6DFF6954" w14:textId="74B92435" w:rsidR="00744B46" w:rsidRPr="00744B46" w:rsidRDefault="00744B46" w:rsidP="00744B46">
            <w:pPr>
              <w:pStyle w:val="Glossarytabletext"/>
              <w:rPr>
                <w:i/>
                <w:lang w:val="en-US" w:eastAsia="en-US"/>
              </w:rPr>
            </w:pPr>
            <w:r>
              <w:rPr>
                <w:i/>
                <w:lang w:val="en-US" w:eastAsia="en-US"/>
              </w:rPr>
              <w:t>Corporations Regulations 2001</w:t>
            </w:r>
          </w:p>
        </w:tc>
      </w:tr>
      <w:tr w:rsidR="00ED67CE" w:rsidRPr="002C43E8" w14:paraId="1EAFD807" w14:textId="77777777" w:rsidTr="00260FA6">
        <w:tc>
          <w:tcPr>
            <w:tcW w:w="2721" w:type="dxa"/>
          </w:tcPr>
          <w:p w14:paraId="61AB6B4C" w14:textId="4AFD57F1" w:rsidR="00ED67CE" w:rsidRDefault="00ED67CE" w:rsidP="00260FA6">
            <w:pPr>
              <w:pStyle w:val="Glossarytabletext"/>
              <w:rPr>
                <w:lang w:val="en-US" w:eastAsia="en-US"/>
              </w:rPr>
            </w:pPr>
            <w:r>
              <w:rPr>
                <w:lang w:val="en-US" w:eastAsia="en-US"/>
              </w:rPr>
              <w:t>Criminal Code</w:t>
            </w:r>
          </w:p>
        </w:tc>
        <w:tc>
          <w:tcPr>
            <w:tcW w:w="3885" w:type="dxa"/>
          </w:tcPr>
          <w:p w14:paraId="08401D47" w14:textId="24C587A4" w:rsidR="00ED67CE" w:rsidRPr="00ED67CE" w:rsidRDefault="001D2769" w:rsidP="00744B46">
            <w:pPr>
              <w:pStyle w:val="Glossarytabletext"/>
              <w:rPr>
                <w:i/>
                <w:lang w:val="en-US" w:eastAsia="en-US"/>
              </w:rPr>
            </w:pPr>
            <w:r>
              <w:rPr>
                <w:lang w:val="en-US" w:eastAsia="en-US"/>
              </w:rPr>
              <w:t>The Criminal Code</w:t>
            </w:r>
            <w:r w:rsidR="009726C4">
              <w:rPr>
                <w:lang w:val="en-US" w:eastAsia="en-US"/>
              </w:rPr>
              <w:t>,</w:t>
            </w:r>
            <w:r>
              <w:rPr>
                <w:lang w:val="en-US" w:eastAsia="en-US"/>
              </w:rPr>
              <w:t xml:space="preserve"> as set out in the Schedule to the </w:t>
            </w:r>
            <w:r w:rsidR="00ED67CE" w:rsidRPr="00ED67CE">
              <w:rPr>
                <w:i/>
                <w:lang w:val="en-US" w:eastAsia="en-US"/>
              </w:rPr>
              <w:t xml:space="preserve">Criminal Code </w:t>
            </w:r>
            <w:r w:rsidR="008005BF">
              <w:rPr>
                <w:i/>
                <w:lang w:val="en-US" w:eastAsia="en-US"/>
              </w:rPr>
              <w:t xml:space="preserve">Act </w:t>
            </w:r>
            <w:r w:rsidR="00ED67CE" w:rsidRPr="00ED67CE">
              <w:rPr>
                <w:i/>
                <w:lang w:val="en-US" w:eastAsia="en-US"/>
              </w:rPr>
              <w:t>1995</w:t>
            </w:r>
          </w:p>
        </w:tc>
      </w:tr>
      <w:tr w:rsidR="008D635B" w:rsidRPr="002C43E8" w14:paraId="06A1ED82" w14:textId="77777777" w:rsidTr="00260FA6">
        <w:tc>
          <w:tcPr>
            <w:tcW w:w="2721" w:type="dxa"/>
          </w:tcPr>
          <w:p w14:paraId="4D2B07B7" w14:textId="6D396140" w:rsidR="008D635B" w:rsidRDefault="008D635B" w:rsidP="00260FA6">
            <w:pPr>
              <w:pStyle w:val="Glossarytabletext"/>
              <w:rPr>
                <w:lang w:val="en-US" w:eastAsia="en-US"/>
              </w:rPr>
            </w:pPr>
            <w:r>
              <w:rPr>
                <w:lang w:val="en-US" w:eastAsia="en-US"/>
              </w:rPr>
              <w:t>FRL</w:t>
            </w:r>
          </w:p>
        </w:tc>
        <w:tc>
          <w:tcPr>
            <w:tcW w:w="3885" w:type="dxa"/>
          </w:tcPr>
          <w:p w14:paraId="06D3CE67" w14:textId="53C070B8" w:rsidR="008D635B" w:rsidRPr="00ED67CE" w:rsidRDefault="008D635B" w:rsidP="00744B46">
            <w:pPr>
              <w:pStyle w:val="Glossarytabletext"/>
              <w:rPr>
                <w:i/>
                <w:lang w:val="en-US" w:eastAsia="en-US"/>
              </w:rPr>
            </w:pPr>
            <w:r>
              <w:t xml:space="preserve">Federal Register of Legislation established under the </w:t>
            </w:r>
            <w:r>
              <w:rPr>
                <w:i/>
              </w:rPr>
              <w:t>Legislation Act 2003</w:t>
            </w:r>
          </w:p>
        </w:tc>
      </w:tr>
      <w:tr w:rsidR="00225312" w:rsidRPr="002C43E8" w14:paraId="289CCF20" w14:textId="77777777" w:rsidTr="00260FA6">
        <w:tc>
          <w:tcPr>
            <w:tcW w:w="2721" w:type="dxa"/>
          </w:tcPr>
          <w:p w14:paraId="30576DDF" w14:textId="2F9DC4F7" w:rsidR="00225312" w:rsidRDefault="00225312" w:rsidP="00260FA6">
            <w:pPr>
              <w:pStyle w:val="Glossarytabletext"/>
              <w:rPr>
                <w:lang w:val="en-US" w:eastAsia="en-US"/>
              </w:rPr>
            </w:pPr>
            <w:r>
              <w:rPr>
                <w:lang w:val="en-US" w:eastAsia="en-US"/>
              </w:rPr>
              <w:t>Guide</w:t>
            </w:r>
          </w:p>
        </w:tc>
        <w:tc>
          <w:tcPr>
            <w:tcW w:w="3885" w:type="dxa"/>
          </w:tcPr>
          <w:p w14:paraId="251EC5F3" w14:textId="4A797832" w:rsidR="00225312" w:rsidRPr="00744B46" w:rsidRDefault="00723747" w:rsidP="00723747">
            <w:pPr>
              <w:pStyle w:val="Glossarytabletext"/>
              <w:rPr>
                <w:lang w:val="en-US" w:eastAsia="en-US"/>
              </w:rPr>
            </w:pPr>
            <w:r w:rsidRPr="00225312">
              <w:rPr>
                <w:lang w:eastAsia="en-US"/>
              </w:rPr>
              <w:t>Attorney</w:t>
            </w:r>
            <w:r>
              <w:rPr>
                <w:lang w:eastAsia="en-US"/>
              </w:rPr>
              <w:noBreakHyphen/>
            </w:r>
            <w:r w:rsidR="00225312" w:rsidRPr="00225312">
              <w:rPr>
                <w:lang w:eastAsia="en-US"/>
              </w:rPr>
              <w:t>General</w:t>
            </w:r>
            <w:r w:rsidR="00225312">
              <w:rPr>
                <w:lang w:eastAsia="en-US"/>
              </w:rPr>
              <w:t>’s</w:t>
            </w:r>
            <w:r w:rsidR="00225312" w:rsidRPr="00225312">
              <w:rPr>
                <w:lang w:eastAsia="en-US"/>
              </w:rPr>
              <w:t xml:space="preserve"> Department</w:t>
            </w:r>
            <w:r w:rsidR="00225312">
              <w:rPr>
                <w:lang w:eastAsia="en-US"/>
              </w:rPr>
              <w:t>,</w:t>
            </w:r>
            <w:r w:rsidR="00225312" w:rsidRPr="00225312">
              <w:rPr>
                <w:lang w:eastAsia="en-US"/>
              </w:rPr>
              <w:t xml:space="preserve"> </w:t>
            </w:r>
            <w:r w:rsidR="00225312" w:rsidRPr="00225312">
              <w:rPr>
                <w:i/>
                <w:lang w:eastAsia="en-US"/>
              </w:rPr>
              <w:t xml:space="preserve">Guide to Framing Commonwealth Offences </w:t>
            </w:r>
          </w:p>
        </w:tc>
      </w:tr>
      <w:tr w:rsidR="00FD615E" w:rsidRPr="002C43E8" w14:paraId="2A3231CE" w14:textId="77777777" w:rsidTr="00260FA6">
        <w:tc>
          <w:tcPr>
            <w:tcW w:w="2721" w:type="dxa"/>
          </w:tcPr>
          <w:p w14:paraId="25179C54" w14:textId="74966C05" w:rsidR="00FD615E" w:rsidRDefault="00FD615E" w:rsidP="00260FA6">
            <w:pPr>
              <w:pStyle w:val="Glossarytabletext"/>
              <w:rPr>
                <w:lang w:val="en-US" w:eastAsia="en-US"/>
              </w:rPr>
            </w:pPr>
            <w:r>
              <w:rPr>
                <w:lang w:val="en-US" w:eastAsia="en-US"/>
              </w:rPr>
              <w:t>IMR</w:t>
            </w:r>
          </w:p>
        </w:tc>
        <w:tc>
          <w:tcPr>
            <w:tcW w:w="3885" w:type="dxa"/>
          </w:tcPr>
          <w:p w14:paraId="15D51278" w14:textId="031524B6" w:rsidR="00FD615E" w:rsidRPr="00225312" w:rsidRDefault="00FD615E" w:rsidP="00FD615E">
            <w:pPr>
              <w:pStyle w:val="Glossarytabletext"/>
              <w:rPr>
                <w:lang w:eastAsia="en-US"/>
              </w:rPr>
            </w:pPr>
            <w:r>
              <w:t>Investment Manager Regime</w:t>
            </w:r>
          </w:p>
        </w:tc>
      </w:tr>
      <w:tr w:rsidR="00D9405B" w:rsidRPr="002C43E8" w14:paraId="7ED7DCE9" w14:textId="77777777" w:rsidTr="00260FA6">
        <w:tc>
          <w:tcPr>
            <w:tcW w:w="2721" w:type="dxa"/>
          </w:tcPr>
          <w:p w14:paraId="1AA5131F" w14:textId="7BBCF495" w:rsidR="00D9405B" w:rsidRPr="002C43E8" w:rsidRDefault="00744B46" w:rsidP="00260FA6">
            <w:pPr>
              <w:pStyle w:val="Glossarytabletext"/>
              <w:rPr>
                <w:lang w:val="en-US" w:eastAsia="en-US"/>
              </w:rPr>
            </w:pPr>
            <w:r>
              <w:rPr>
                <w:lang w:val="en-US" w:eastAsia="en-US"/>
              </w:rPr>
              <w:t>Johnson Report</w:t>
            </w:r>
          </w:p>
        </w:tc>
        <w:tc>
          <w:tcPr>
            <w:tcW w:w="3885" w:type="dxa"/>
          </w:tcPr>
          <w:p w14:paraId="49DB5850" w14:textId="1702A1CB" w:rsidR="00D9405B" w:rsidRPr="002C43E8" w:rsidRDefault="00744B46" w:rsidP="00744B46">
            <w:pPr>
              <w:pStyle w:val="Glossarytabletext"/>
              <w:rPr>
                <w:lang w:val="en-US" w:eastAsia="en-US"/>
              </w:rPr>
            </w:pPr>
            <w:r w:rsidRPr="00744B46">
              <w:rPr>
                <w:lang w:val="en-US" w:eastAsia="en-US"/>
              </w:rPr>
              <w:t>Australian Financial Centre Forum</w:t>
            </w:r>
            <w:r>
              <w:rPr>
                <w:lang w:val="en-US" w:eastAsia="en-US"/>
              </w:rPr>
              <w:t>,</w:t>
            </w:r>
            <w:r w:rsidRPr="00744B46">
              <w:rPr>
                <w:lang w:val="en-US" w:eastAsia="en-US"/>
              </w:rPr>
              <w:t xml:space="preserve"> </w:t>
            </w:r>
            <w:r w:rsidRPr="00723747">
              <w:rPr>
                <w:i/>
                <w:lang w:val="en-US" w:eastAsia="en-US"/>
              </w:rPr>
              <w:t>Australia as a Financial Centre – Building on our Strengths</w:t>
            </w:r>
            <w:r>
              <w:rPr>
                <w:lang w:val="en-US" w:eastAsia="en-US"/>
              </w:rPr>
              <w:t>, 2010</w:t>
            </w:r>
          </w:p>
        </w:tc>
      </w:tr>
      <w:tr w:rsidR="00D10EC3" w:rsidRPr="002C43E8" w14:paraId="629B59A0" w14:textId="77777777" w:rsidTr="00260FA6">
        <w:tc>
          <w:tcPr>
            <w:tcW w:w="2721" w:type="dxa"/>
          </w:tcPr>
          <w:p w14:paraId="746FF9E6" w14:textId="4E9B7D54" w:rsidR="00D10EC3" w:rsidRDefault="00D10EC3" w:rsidP="00260FA6">
            <w:pPr>
              <w:pStyle w:val="Glossarytabletext"/>
              <w:rPr>
                <w:lang w:val="en-US" w:eastAsia="en-US"/>
              </w:rPr>
            </w:pPr>
            <w:r>
              <w:t>Joint Committee</w:t>
            </w:r>
          </w:p>
        </w:tc>
        <w:tc>
          <w:tcPr>
            <w:tcW w:w="3885" w:type="dxa"/>
          </w:tcPr>
          <w:p w14:paraId="06D2DE00" w14:textId="70674BA7" w:rsidR="00D10EC3" w:rsidRPr="00744B46" w:rsidRDefault="00D10EC3" w:rsidP="00B660F2">
            <w:pPr>
              <w:pStyle w:val="Glossarytabletext"/>
              <w:rPr>
                <w:lang w:val="en-US" w:eastAsia="en-US"/>
              </w:rPr>
            </w:pPr>
            <w:r>
              <w:t>Asia Region Funds Passport Joint Committee</w:t>
            </w:r>
          </w:p>
        </w:tc>
      </w:tr>
      <w:tr w:rsidR="007F06C3" w:rsidRPr="002C43E8" w14:paraId="40FEFEC3" w14:textId="77777777" w:rsidTr="00260FA6">
        <w:tc>
          <w:tcPr>
            <w:tcW w:w="2721" w:type="dxa"/>
          </w:tcPr>
          <w:p w14:paraId="0AA97734" w14:textId="1681D7E8" w:rsidR="007F06C3" w:rsidRDefault="007F06C3" w:rsidP="00260FA6">
            <w:pPr>
              <w:pStyle w:val="Glossarytabletext"/>
              <w:rPr>
                <w:lang w:val="en-US" w:eastAsia="en-US"/>
              </w:rPr>
            </w:pPr>
            <w:r>
              <w:rPr>
                <w:lang w:val="en-US" w:eastAsia="en-US"/>
              </w:rPr>
              <w:t>MIS</w:t>
            </w:r>
          </w:p>
        </w:tc>
        <w:tc>
          <w:tcPr>
            <w:tcW w:w="3885" w:type="dxa"/>
          </w:tcPr>
          <w:p w14:paraId="224EB83F" w14:textId="7369AFC0" w:rsidR="007F06C3" w:rsidRDefault="007F06C3" w:rsidP="00260FA6">
            <w:pPr>
              <w:pStyle w:val="Glossarytabletext"/>
              <w:rPr>
                <w:lang w:val="en-US" w:eastAsia="en-US"/>
              </w:rPr>
            </w:pPr>
            <w:r>
              <w:rPr>
                <w:lang w:val="en-US" w:eastAsia="en-US"/>
              </w:rPr>
              <w:t>Managed investment scheme</w:t>
            </w:r>
          </w:p>
        </w:tc>
      </w:tr>
      <w:tr w:rsidR="00DF711E" w:rsidRPr="002C43E8" w14:paraId="2F2F33E7" w14:textId="77777777" w:rsidTr="00260FA6">
        <w:tc>
          <w:tcPr>
            <w:tcW w:w="2721" w:type="dxa"/>
          </w:tcPr>
          <w:p w14:paraId="3A42CD68" w14:textId="74B399D7" w:rsidR="00DF711E" w:rsidRPr="002C43E8" w:rsidRDefault="00DF711E" w:rsidP="00260FA6">
            <w:pPr>
              <w:pStyle w:val="Glossarytabletext"/>
              <w:rPr>
                <w:lang w:val="en-US" w:eastAsia="en-US"/>
              </w:rPr>
            </w:pPr>
            <w:r>
              <w:rPr>
                <w:lang w:val="en-US" w:eastAsia="en-US"/>
              </w:rPr>
              <w:t>MOC</w:t>
            </w:r>
          </w:p>
        </w:tc>
        <w:tc>
          <w:tcPr>
            <w:tcW w:w="3885" w:type="dxa"/>
          </w:tcPr>
          <w:p w14:paraId="2FCEE4E0" w14:textId="2921BBC7" w:rsidR="00DF711E" w:rsidRPr="002C43E8" w:rsidRDefault="00DF711E" w:rsidP="00260FA6">
            <w:pPr>
              <w:pStyle w:val="Glossarytabletext"/>
              <w:rPr>
                <w:lang w:val="en-US" w:eastAsia="en-US"/>
              </w:rPr>
            </w:pPr>
            <w:r>
              <w:rPr>
                <w:lang w:val="en-US" w:eastAsia="en-US"/>
              </w:rPr>
              <w:t>Memorandum of Cooperation on the Establishment and Implementation of the Asia Region Funds Passport</w:t>
            </w:r>
          </w:p>
        </w:tc>
      </w:tr>
      <w:tr w:rsidR="00D10EC3" w:rsidRPr="002C43E8" w14:paraId="2B68F730" w14:textId="77777777" w:rsidTr="00260FA6">
        <w:tc>
          <w:tcPr>
            <w:tcW w:w="2721" w:type="dxa"/>
          </w:tcPr>
          <w:p w14:paraId="69D702F4" w14:textId="425FECAE" w:rsidR="00D10EC3" w:rsidRPr="002C43E8" w:rsidRDefault="009726C4" w:rsidP="00260FA6">
            <w:pPr>
              <w:pStyle w:val="Glossarytabletext"/>
              <w:rPr>
                <w:lang w:val="en-US" w:eastAsia="en-US"/>
              </w:rPr>
            </w:pPr>
            <w:r>
              <w:rPr>
                <w:lang w:val="en-US" w:eastAsia="en-US"/>
              </w:rPr>
              <w:t>P</w:t>
            </w:r>
            <w:r w:rsidR="00D10EC3">
              <w:rPr>
                <w:lang w:val="en-US" w:eastAsia="en-US"/>
              </w:rPr>
              <w:t>articipating economy</w:t>
            </w:r>
          </w:p>
        </w:tc>
        <w:tc>
          <w:tcPr>
            <w:tcW w:w="3885" w:type="dxa"/>
          </w:tcPr>
          <w:p w14:paraId="789947EB" w14:textId="0D0F3FB2" w:rsidR="00D10EC3" w:rsidRPr="002C43E8" w:rsidRDefault="00D10EC3" w:rsidP="00D10EC3">
            <w:pPr>
              <w:pStyle w:val="Glossarytabletext"/>
              <w:rPr>
                <w:lang w:val="en-US" w:eastAsia="en-US"/>
              </w:rPr>
            </w:pPr>
            <w:r>
              <w:rPr>
                <w:lang w:val="en-US" w:eastAsia="en-US"/>
              </w:rPr>
              <w:t xml:space="preserve">A country that has signed and implemented the MOC and not withdrawn from the MOC, until such time as the MOC is terminated. </w:t>
            </w:r>
          </w:p>
        </w:tc>
      </w:tr>
      <w:tr w:rsidR="00D10EC3" w:rsidRPr="002C43E8" w14:paraId="355CEB8B" w14:textId="77777777" w:rsidTr="00260FA6">
        <w:tc>
          <w:tcPr>
            <w:tcW w:w="2721" w:type="dxa"/>
          </w:tcPr>
          <w:p w14:paraId="74DFA6CE" w14:textId="04644577" w:rsidR="00D10EC3" w:rsidRPr="002C43E8" w:rsidRDefault="00FE282D" w:rsidP="00260FA6">
            <w:pPr>
              <w:pStyle w:val="Glossarytabletext"/>
              <w:rPr>
                <w:lang w:val="en-US" w:eastAsia="en-US"/>
              </w:rPr>
            </w:pPr>
            <w:r>
              <w:rPr>
                <w:lang w:val="en-US" w:eastAsia="en-US"/>
              </w:rPr>
              <w:lastRenderedPageBreak/>
              <w:t>P</w:t>
            </w:r>
            <w:r w:rsidR="00D10EC3">
              <w:rPr>
                <w:lang w:val="en-US" w:eastAsia="en-US"/>
              </w:rPr>
              <w:t>assport</w:t>
            </w:r>
          </w:p>
        </w:tc>
        <w:tc>
          <w:tcPr>
            <w:tcW w:w="3885" w:type="dxa"/>
          </w:tcPr>
          <w:p w14:paraId="430F19C8" w14:textId="2D352AFA" w:rsidR="00D10EC3" w:rsidRPr="002C43E8" w:rsidRDefault="00D10EC3" w:rsidP="00DF711E">
            <w:pPr>
              <w:pStyle w:val="Glossarytabletext"/>
              <w:rPr>
                <w:lang w:val="en-US" w:eastAsia="en-US"/>
              </w:rPr>
            </w:pPr>
            <w:r>
              <w:rPr>
                <w:lang w:val="en-US" w:eastAsia="en-US"/>
              </w:rPr>
              <w:t>Asia Region Funds Passport</w:t>
            </w:r>
          </w:p>
        </w:tc>
      </w:tr>
      <w:tr w:rsidR="00D10EC3" w:rsidRPr="002C43E8" w14:paraId="699EE407" w14:textId="77777777" w:rsidTr="00260FA6">
        <w:tc>
          <w:tcPr>
            <w:tcW w:w="2721" w:type="dxa"/>
          </w:tcPr>
          <w:p w14:paraId="48C4FDD3" w14:textId="7BC5DB64" w:rsidR="00D10EC3" w:rsidRPr="002C43E8" w:rsidRDefault="00E505FF" w:rsidP="00E505FF">
            <w:pPr>
              <w:pStyle w:val="Glossarytabletext"/>
              <w:rPr>
                <w:lang w:val="en-US" w:eastAsia="en-US"/>
              </w:rPr>
            </w:pPr>
            <w:r>
              <w:rPr>
                <w:lang w:val="en-US" w:eastAsia="en-US"/>
              </w:rPr>
              <w:t>PDS</w:t>
            </w:r>
          </w:p>
        </w:tc>
        <w:tc>
          <w:tcPr>
            <w:tcW w:w="3885" w:type="dxa"/>
          </w:tcPr>
          <w:p w14:paraId="484A68AF" w14:textId="54BFC682" w:rsidR="00D10EC3" w:rsidRPr="002C43E8" w:rsidRDefault="00E505FF" w:rsidP="00DF711E">
            <w:pPr>
              <w:pStyle w:val="Glossarytabletext"/>
              <w:rPr>
                <w:lang w:val="en-US" w:eastAsia="en-US"/>
              </w:rPr>
            </w:pPr>
            <w:r>
              <w:rPr>
                <w:lang w:val="en-US" w:eastAsia="en-US"/>
              </w:rPr>
              <w:t>Product Disclosure Statement</w:t>
            </w:r>
          </w:p>
        </w:tc>
      </w:tr>
      <w:tr w:rsidR="00D10EC3" w:rsidRPr="002C43E8" w14:paraId="4F00E75C" w14:textId="77777777" w:rsidTr="00260FA6">
        <w:tc>
          <w:tcPr>
            <w:tcW w:w="2721" w:type="dxa"/>
          </w:tcPr>
          <w:p w14:paraId="51CDD5AC" w14:textId="4D3522E8" w:rsidR="00D10EC3" w:rsidRPr="002C43E8" w:rsidRDefault="006711B7" w:rsidP="00260FA6">
            <w:pPr>
              <w:pStyle w:val="Glossarytabletext"/>
              <w:rPr>
                <w:lang w:val="en-US" w:eastAsia="en-US"/>
              </w:rPr>
            </w:pPr>
            <w:r>
              <w:rPr>
                <w:lang w:val="en-US" w:eastAsia="en-US"/>
              </w:rPr>
              <w:t>Register</w:t>
            </w:r>
          </w:p>
        </w:tc>
        <w:tc>
          <w:tcPr>
            <w:tcW w:w="3885" w:type="dxa"/>
          </w:tcPr>
          <w:p w14:paraId="608AFC60" w14:textId="61177E20" w:rsidR="00D10EC3" w:rsidRPr="002C43E8" w:rsidRDefault="006711B7" w:rsidP="00260FA6">
            <w:pPr>
              <w:pStyle w:val="Glossarytabletext"/>
              <w:rPr>
                <w:lang w:val="en-US" w:eastAsia="en-US"/>
              </w:rPr>
            </w:pPr>
            <w:r>
              <w:rPr>
                <w:lang w:val="en-US" w:eastAsia="en-US"/>
              </w:rPr>
              <w:t>Register of Passport Funds</w:t>
            </w:r>
          </w:p>
        </w:tc>
      </w:tr>
      <w:tr w:rsidR="00D10EC3" w:rsidRPr="002C43E8" w14:paraId="45C1421B" w14:textId="77777777" w:rsidTr="00260FA6">
        <w:tc>
          <w:tcPr>
            <w:tcW w:w="2721" w:type="dxa"/>
          </w:tcPr>
          <w:p w14:paraId="70B89141" w14:textId="2DA79AD1" w:rsidR="00D10EC3" w:rsidRPr="002C43E8" w:rsidRDefault="006711B7" w:rsidP="008005BF">
            <w:pPr>
              <w:pStyle w:val="Glossarytabletext"/>
              <w:rPr>
                <w:lang w:val="en-US" w:eastAsia="en-US"/>
              </w:rPr>
            </w:pPr>
            <w:r>
              <w:t>Regulat</w:t>
            </w:r>
            <w:r w:rsidR="00D10EC3">
              <w:t>ory Powers Act</w:t>
            </w:r>
          </w:p>
        </w:tc>
        <w:tc>
          <w:tcPr>
            <w:tcW w:w="3885" w:type="dxa"/>
          </w:tcPr>
          <w:p w14:paraId="73A96CD6" w14:textId="72BEBC45" w:rsidR="00D10EC3" w:rsidRPr="002C43E8" w:rsidRDefault="00D10EC3" w:rsidP="00BF4670">
            <w:pPr>
              <w:pStyle w:val="Glossarytabletext"/>
              <w:rPr>
                <w:lang w:val="en-US" w:eastAsia="en-US"/>
              </w:rPr>
            </w:pPr>
            <w:r w:rsidRPr="00C95FD7">
              <w:rPr>
                <w:i/>
              </w:rPr>
              <w:t xml:space="preserve">Regulatory Powers (Standard Provisions) </w:t>
            </w:r>
            <w:r w:rsidR="00BF4670" w:rsidRPr="00C95FD7">
              <w:rPr>
                <w:i/>
              </w:rPr>
              <w:t>Act</w:t>
            </w:r>
            <w:r w:rsidR="00BF4670">
              <w:rPr>
                <w:i/>
              </w:rPr>
              <w:t> </w:t>
            </w:r>
            <w:r w:rsidRPr="00C95FD7">
              <w:rPr>
                <w:i/>
              </w:rPr>
              <w:t>2014</w:t>
            </w:r>
          </w:p>
        </w:tc>
      </w:tr>
    </w:tbl>
    <w:p w14:paraId="548FBDD3" w14:textId="31BC28EE" w:rsidR="00D9405B" w:rsidRDefault="00D9405B" w:rsidP="00260FA6">
      <w:pPr>
        <w:sectPr w:rsidR="00D9405B" w:rsidSect="00260FA6">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cols w:space="708"/>
          <w:titlePg/>
          <w:docGrid w:linePitch="360"/>
        </w:sectPr>
      </w:pPr>
    </w:p>
    <w:p w14:paraId="2BEF4536" w14:textId="5A317348" w:rsidR="00F5071C" w:rsidRPr="00F51A71" w:rsidRDefault="00F5071C" w:rsidP="00A52B98">
      <w:pPr>
        <w:pStyle w:val="ChapterHeading"/>
        <w:numPr>
          <w:ilvl w:val="0"/>
          <w:numId w:val="27"/>
        </w:numPr>
        <w:tabs>
          <w:tab w:val="clear" w:pos="1134"/>
          <w:tab w:val="num" w:pos="360"/>
        </w:tabs>
      </w:pPr>
      <w:r w:rsidRPr="00F51A71">
        <w:lastRenderedPageBreak/>
        <w:br/>
      </w:r>
      <w:bookmarkStart w:id="1" w:name="_Toc490750339"/>
      <w:r w:rsidR="00D11455">
        <w:t>C</w:t>
      </w:r>
      <w:r>
        <w:t>ontext</w:t>
      </w:r>
      <w:bookmarkEnd w:id="1"/>
    </w:p>
    <w:p w14:paraId="153EFBDE" w14:textId="77777777" w:rsidR="00F5071C" w:rsidRDefault="00F5071C" w:rsidP="003D5919">
      <w:pPr>
        <w:pStyle w:val="Heading2"/>
      </w:pPr>
      <w:r>
        <w:t>Outline of chapter</w:t>
      </w:r>
    </w:p>
    <w:p w14:paraId="2C511F8F" w14:textId="1A259A17" w:rsidR="00F5071C" w:rsidRDefault="00D11455" w:rsidP="00BF4670">
      <w:pPr>
        <w:pStyle w:val="base-text-paragraph"/>
      </w:pPr>
      <w:r>
        <w:t>This chapter sets out the context and background to</w:t>
      </w:r>
      <w:r w:rsidR="00AB00F3">
        <w:t xml:space="preserve"> the legislation contained in the</w:t>
      </w:r>
      <w:r w:rsidR="0057570E">
        <w:t xml:space="preserve"> Bill</w:t>
      </w:r>
      <w:r w:rsidR="00AB00F3">
        <w:t xml:space="preserve">. The legislation in essence establishes a </w:t>
      </w:r>
      <w:r w:rsidR="00BB104F">
        <w:t>common regulatory framework</w:t>
      </w:r>
      <w:r w:rsidR="00AB00F3">
        <w:t xml:space="preserve"> for </w:t>
      </w:r>
      <w:r w:rsidR="00BF4670">
        <w:t>c</w:t>
      </w:r>
      <w:r w:rsidR="00BF4670" w:rsidRPr="00BF4670">
        <w:t>ollective investment scheme</w:t>
      </w:r>
      <w:r w:rsidR="00BF4670">
        <w:t>s</w:t>
      </w:r>
      <w:r w:rsidR="00BF4670" w:rsidRPr="00BF4670">
        <w:t xml:space="preserve"> </w:t>
      </w:r>
      <w:r w:rsidR="00BF4670">
        <w:t>(</w:t>
      </w:r>
      <w:r w:rsidR="00E647B6">
        <w:t>CISs</w:t>
      </w:r>
      <w:r w:rsidR="00BF4670">
        <w:t>)</w:t>
      </w:r>
      <w:r w:rsidR="00E647B6">
        <w:t xml:space="preserve"> </w:t>
      </w:r>
      <w:r w:rsidR="00BB104F">
        <w:t xml:space="preserve">in participating economies </w:t>
      </w:r>
      <w:r w:rsidR="00AB00F3">
        <w:t>in the Asia region.</w:t>
      </w:r>
    </w:p>
    <w:p w14:paraId="3F34755C" w14:textId="77777777" w:rsidR="00F5071C" w:rsidRDefault="00F5071C" w:rsidP="003D5919">
      <w:pPr>
        <w:pStyle w:val="Heading2"/>
      </w:pPr>
      <w:r>
        <w:t>Context of amendments</w:t>
      </w:r>
    </w:p>
    <w:p w14:paraId="10C2F8DC" w14:textId="3518DCA3" w:rsidR="00791951" w:rsidRDefault="00791951" w:rsidP="003D5919">
      <w:pPr>
        <w:pStyle w:val="base-text-paragraph"/>
      </w:pPr>
      <w:r>
        <w:t>The Asia Region Funds Passport</w:t>
      </w:r>
      <w:r w:rsidR="00BD6C3A">
        <w:t xml:space="preserve"> (the Passport)</w:t>
      </w:r>
      <w:r>
        <w:t xml:space="preserve"> </w:t>
      </w:r>
      <w:r w:rsidR="00B775B4">
        <w:t>provides a multi</w:t>
      </w:r>
      <w:r w:rsidR="005412C1">
        <w:noBreakHyphen/>
      </w:r>
      <w:r w:rsidR="00B775B4">
        <w:t xml:space="preserve">lateral framework which allows eligible funds to be marketed across member countries, with limited </w:t>
      </w:r>
      <w:r w:rsidR="006910EF">
        <w:t>additional</w:t>
      </w:r>
      <w:r w:rsidR="00B775B4">
        <w:t xml:space="preserve"> regulatory requirements. The Passport </w:t>
      </w:r>
      <w:r>
        <w:t>is intended to support the development of a</w:t>
      </w:r>
      <w:r w:rsidR="00FD615E">
        <w:t>n</w:t>
      </w:r>
      <w:r>
        <w:t xml:space="preserve"> Asia</w:t>
      </w:r>
      <w:r w:rsidR="005412C1">
        <w:noBreakHyphen/>
      </w:r>
      <w:r>
        <w:t xml:space="preserve">wide managed funds industry through </w:t>
      </w:r>
      <w:r w:rsidR="006D0878">
        <w:t xml:space="preserve">improved market access and </w:t>
      </w:r>
      <w:r>
        <w:t>regulatory harmonisation. This will bring many benefits for Australia</w:t>
      </w:r>
      <w:r w:rsidR="001A5BBF">
        <w:t xml:space="preserve"> and our region</w:t>
      </w:r>
      <w:r>
        <w:t>.</w:t>
      </w:r>
    </w:p>
    <w:p w14:paraId="48376C59" w14:textId="58442B66" w:rsidR="0068378F" w:rsidRDefault="0068378F" w:rsidP="003D5919">
      <w:pPr>
        <w:pStyle w:val="base-text-paragraph"/>
      </w:pPr>
      <w:r>
        <w:t>Australia has the largest funds management industry in the Asia region, largely as a result of our pool of superannuation assets.</w:t>
      </w:r>
      <w:r w:rsidR="00791951">
        <w:t xml:space="preserve"> </w:t>
      </w:r>
      <w:r w:rsidR="00F956B9">
        <w:t>As a result, Australian fund managers can achieve greater economies of scale</w:t>
      </w:r>
      <w:r w:rsidR="00F956B9" w:rsidDel="00375FD8">
        <w:t xml:space="preserve"> </w:t>
      </w:r>
      <w:r w:rsidR="00206758">
        <w:t>and</w:t>
      </w:r>
      <w:r w:rsidR="00860B11">
        <w:t xml:space="preserve"> can</w:t>
      </w:r>
      <w:r w:rsidR="001B36F3">
        <w:t xml:space="preserve"> sell a single product across Asia through the Passport to create regional economies of scale. This </w:t>
      </w:r>
      <w:r w:rsidR="004D5718">
        <w:t>should</w:t>
      </w:r>
      <w:r w:rsidR="001B36F3">
        <w:t xml:space="preserve"> lower costs for consumers.</w:t>
      </w:r>
      <w:r w:rsidR="00791951">
        <w:t xml:space="preserve"> </w:t>
      </w:r>
    </w:p>
    <w:p w14:paraId="0BE40B99" w14:textId="57AAEE74" w:rsidR="00791951" w:rsidRDefault="00610B29" w:rsidP="003D5919">
      <w:pPr>
        <w:pStyle w:val="base-text-paragraph"/>
      </w:pPr>
      <w:r>
        <w:t xml:space="preserve">It will also enable managed fund providers from other Passport economies to sell their </w:t>
      </w:r>
      <w:r w:rsidR="001C703C">
        <w:t>products</w:t>
      </w:r>
      <w:r>
        <w:t xml:space="preserve"> in Australia. This will increase competition and choice for </w:t>
      </w:r>
      <w:r w:rsidR="006D0878">
        <w:t xml:space="preserve">Australian </w:t>
      </w:r>
      <w:r>
        <w:t>consumers. It will also provide cost</w:t>
      </w:r>
      <w:r w:rsidR="005412C1">
        <w:noBreakHyphen/>
      </w:r>
      <w:r>
        <w:t xml:space="preserve">effective opportunities to gain investment exposure to a wider range of assets. A study of global pension assets by </w:t>
      </w:r>
      <w:r w:rsidR="003050E3">
        <w:t xml:space="preserve">Willis </w:t>
      </w:r>
      <w:r>
        <w:t>Towers Watson found that Australia was second only to the United States in its home equity bias.</w:t>
      </w:r>
      <w:r w:rsidR="003050E3">
        <w:rPr>
          <w:rStyle w:val="FootnoteReference"/>
        </w:rPr>
        <w:footnoteReference w:id="2"/>
      </w:r>
    </w:p>
    <w:p w14:paraId="3666E3F8" w14:textId="538AB6D9" w:rsidR="00610B29" w:rsidRDefault="00610B29" w:rsidP="003D5919">
      <w:pPr>
        <w:pStyle w:val="base-text-paragraph"/>
      </w:pPr>
      <w:r>
        <w:t xml:space="preserve">In turn, Australian managed fund providers will be able to sell their products in other Passport economies, including to Asia’s expanding middle class and high net worth individuals. </w:t>
      </w:r>
      <w:r w:rsidR="00BD6C3A">
        <w:t xml:space="preserve">This will </w:t>
      </w:r>
      <w:r w:rsidR="001C703C">
        <w:t>continue</w:t>
      </w:r>
      <w:r w:rsidR="00BD6C3A">
        <w:t xml:space="preserve"> an existing trend of Australian </w:t>
      </w:r>
      <w:r w:rsidR="0091690A">
        <w:t>providers</w:t>
      </w:r>
      <w:r w:rsidR="00BD6C3A">
        <w:t xml:space="preserve"> managing</w:t>
      </w:r>
      <w:r w:rsidR="0091690A">
        <w:t xml:space="preserve"> overseas</w:t>
      </w:r>
      <w:r w:rsidR="00BD6C3A">
        <w:t xml:space="preserve"> funds. </w:t>
      </w:r>
    </w:p>
    <w:p w14:paraId="295FD180" w14:textId="1F302AAF" w:rsidR="00BD6C3A" w:rsidRDefault="003D5919" w:rsidP="00BD6C3A">
      <w:pPr>
        <w:pStyle w:val="base-text-paragraph"/>
      </w:pPr>
      <w:r>
        <w:lastRenderedPageBreak/>
        <w:t>The Australian Financial Centre Forum’s 20</w:t>
      </w:r>
      <w:r w:rsidR="005547E0">
        <w:t>09</w:t>
      </w:r>
      <w:r>
        <w:t xml:space="preserve"> report, </w:t>
      </w:r>
      <w:r w:rsidRPr="00723747">
        <w:rPr>
          <w:i/>
        </w:rPr>
        <w:t>Australia as a Financial Centre – Building on our Strengths</w:t>
      </w:r>
      <w:r>
        <w:t xml:space="preserve"> (the Johnson report), </w:t>
      </w:r>
      <w:r w:rsidR="00B929A2">
        <w:t xml:space="preserve">recommended </w:t>
      </w:r>
      <w:r w:rsidR="00BD6C3A">
        <w:t>a package of reforms to make it easier for Australian fund managers to attract overseas investors into funds run and administered out of Australia.</w:t>
      </w:r>
      <w:r w:rsidR="000D5603">
        <w:t xml:space="preserve"> The wider objective of the Forum was to recommend reforms that would better position Australia as a leading financial services centre. </w:t>
      </w:r>
    </w:p>
    <w:p w14:paraId="2916A3B6" w14:textId="1CBCEFF9" w:rsidR="003D5919" w:rsidRDefault="000D5603" w:rsidP="003D5919">
      <w:pPr>
        <w:pStyle w:val="base-text-paragraph"/>
      </w:pPr>
      <w:r>
        <w:t>In relation to funds management, the Johnson report recommended the establishment of an Investment Manager Regime (IMR)</w:t>
      </w:r>
      <w:r w:rsidR="005547E0">
        <w:t>,</w:t>
      </w:r>
      <w:r>
        <w:t xml:space="preserve"> the introduction of new Collective Investment Vehicles (CIVs)</w:t>
      </w:r>
      <w:r w:rsidR="005547E0">
        <w:t xml:space="preserve"> and the development of the Passport</w:t>
      </w:r>
      <w:r w:rsidR="00BD6C3A">
        <w:t>.</w:t>
      </w:r>
    </w:p>
    <w:p w14:paraId="5AA81898" w14:textId="74840F20" w:rsidR="00BD6C3A" w:rsidRDefault="000D5603" w:rsidP="003D5919">
      <w:pPr>
        <w:pStyle w:val="base-text-paragraph"/>
      </w:pPr>
      <w:r>
        <w:t>The IMR clarifies th</w:t>
      </w:r>
      <w:r w:rsidR="000F653B">
        <w:t xml:space="preserve">at </w:t>
      </w:r>
      <w:r w:rsidR="00392A1A">
        <w:t>investments by non</w:t>
      </w:r>
      <w:r w:rsidR="00723747">
        <w:noBreakHyphen/>
      </w:r>
      <w:r w:rsidR="00392A1A">
        <w:t>residents in foreign assets will generally be exempt from tax in Australia. This ensures that Australian fund managers can compete with overseas financial ce</w:t>
      </w:r>
      <w:r w:rsidR="005D5672">
        <w:t>ntres, including Hong Kong, Sin</w:t>
      </w:r>
      <w:r w:rsidR="00392A1A">
        <w:t>gapore, London and Tokyo.</w:t>
      </w:r>
      <w:r>
        <w:t xml:space="preserve"> </w:t>
      </w:r>
      <w:r w:rsidR="005547E0">
        <w:t>Parliament</w:t>
      </w:r>
      <w:r w:rsidR="00BD6C3A">
        <w:t xml:space="preserve"> </w:t>
      </w:r>
      <w:r w:rsidR="006910EF">
        <w:t>passed</w:t>
      </w:r>
      <w:r w:rsidR="00BD6C3A">
        <w:t xml:space="preserve"> legislati</w:t>
      </w:r>
      <w:r w:rsidR="006910EF">
        <w:t>o</w:t>
      </w:r>
      <w:r w:rsidR="00BD6C3A">
        <w:t>n</w:t>
      </w:r>
      <w:r w:rsidR="006910EF">
        <w:t xml:space="preserve"> establishing</w:t>
      </w:r>
      <w:r w:rsidR="00BD6C3A">
        <w:t xml:space="preserve"> the </w:t>
      </w:r>
      <w:r>
        <w:t>IMR</w:t>
      </w:r>
      <w:r w:rsidR="00BD6C3A">
        <w:t xml:space="preserve"> in June 2015.</w:t>
      </w:r>
    </w:p>
    <w:p w14:paraId="2BA932B8" w14:textId="3FD39B66" w:rsidR="005547E0" w:rsidRDefault="005547E0" w:rsidP="005547E0">
      <w:pPr>
        <w:pStyle w:val="base-text-paragraph"/>
      </w:pPr>
      <w:r>
        <w:t xml:space="preserve">The new tax and regulatory framework for CIVs will complement the existing managed investment scheme framework. It is anticipated that the </w:t>
      </w:r>
      <w:r w:rsidR="006910EF">
        <w:t xml:space="preserve">new </w:t>
      </w:r>
      <w:r>
        <w:t>corporate CIV</w:t>
      </w:r>
      <w:r w:rsidR="006910EF">
        <w:t xml:space="preserve"> will</w:t>
      </w:r>
      <w:r>
        <w:t xml:space="preserve"> be used to export funds management, including through the Passport, using a structure which many Asian investors are already familiar with. Fund managers are also likely to use CIVs to sell</w:t>
      </w:r>
      <w:r w:rsidR="00850FB5">
        <w:t xml:space="preserve"> their services</w:t>
      </w:r>
      <w:r>
        <w:t xml:space="preserve"> to domestic investors.</w:t>
      </w:r>
    </w:p>
    <w:p w14:paraId="649349EB" w14:textId="09453DA2" w:rsidR="003D5919" w:rsidRDefault="003D5919" w:rsidP="003D5919">
      <w:pPr>
        <w:pStyle w:val="base-text-paragraph"/>
      </w:pPr>
      <w:r>
        <w:t xml:space="preserve">The Australian Government supported the recommendation </w:t>
      </w:r>
      <w:r w:rsidR="00B929A2">
        <w:t>to introduce the Passport</w:t>
      </w:r>
      <w:r>
        <w:t xml:space="preserve"> and, in order to determine whether there was sufficient interest in the concept of a </w:t>
      </w:r>
      <w:r w:rsidR="007D0426">
        <w:t>Passport</w:t>
      </w:r>
      <w:r>
        <w:t>, introduced it as an exploratory policy initiative within the Asia</w:t>
      </w:r>
      <w:r w:rsidR="00723747">
        <w:noBreakHyphen/>
      </w:r>
      <w:r>
        <w:t>Pacific Economic Cooperation (APEC) Finance Ministers’ Process. This provided a region</w:t>
      </w:r>
      <w:r w:rsidR="00791951">
        <w:noBreakHyphen/>
      </w:r>
      <w:r>
        <w:t>wide platform to collaborate with financ</w:t>
      </w:r>
      <w:r w:rsidR="002F510B">
        <w:t>ial</w:t>
      </w:r>
      <w:r>
        <w:t xml:space="preserve"> policy makers, regulators, industry participants, and technical experts with the aim of examining how a </w:t>
      </w:r>
      <w:r w:rsidR="007D0426">
        <w:t>Passport</w:t>
      </w:r>
      <w:r>
        <w:t xml:space="preserve"> could be developed.</w:t>
      </w:r>
    </w:p>
    <w:p w14:paraId="01879D2F" w14:textId="167D6332" w:rsidR="003D5919" w:rsidRDefault="003D5919" w:rsidP="003D5919">
      <w:pPr>
        <w:pStyle w:val="base-text-paragraph"/>
      </w:pPr>
      <w:r>
        <w:t xml:space="preserve">An APEC policy dialogue was held on </w:t>
      </w:r>
      <w:r w:rsidR="00BF4670">
        <w:t>27 October </w:t>
      </w:r>
      <w:r>
        <w:t xml:space="preserve">2010 in Kuala Lumpur, Malaysia to engage with relevant stakeholders and targeted APEC economies to discuss the idea of a </w:t>
      </w:r>
      <w:r w:rsidR="004064C6">
        <w:t>Passport</w:t>
      </w:r>
      <w:r>
        <w:t xml:space="preserve">. During this dialogue, participants identified various policy and technical challenges, and looked at the options to further progress the concept. </w:t>
      </w:r>
    </w:p>
    <w:p w14:paraId="5DAB7054" w14:textId="18A6A70D" w:rsidR="00F8299B" w:rsidRDefault="003879B5" w:rsidP="003879B5">
      <w:pPr>
        <w:pStyle w:val="base-text-paragraph"/>
      </w:pPr>
      <w:r w:rsidRPr="003879B5">
        <w:t xml:space="preserve">Since 2010, a model for the Passport has been developed through a series of policy and technical workshops attended by representatives from </w:t>
      </w:r>
      <w:r w:rsidR="00BF4670" w:rsidRPr="003879B5">
        <w:t>13</w:t>
      </w:r>
      <w:r w:rsidR="00BF4670">
        <w:t> </w:t>
      </w:r>
      <w:r w:rsidRPr="003879B5">
        <w:t xml:space="preserve">APEC economies. In </w:t>
      </w:r>
      <w:r w:rsidR="00BF4670" w:rsidRPr="003879B5">
        <w:t>May</w:t>
      </w:r>
      <w:r w:rsidR="00BF4670">
        <w:t> </w:t>
      </w:r>
      <w:r w:rsidRPr="003879B5">
        <w:t xml:space="preserve">2014, six economies (Australia, Korea, New Zealand, The Philippines, Singapore and Thailand) publicly released a consultation paper detailing proposed arrangements for the Passport. In </w:t>
      </w:r>
      <w:r w:rsidR="00BF4670" w:rsidRPr="003879B5">
        <w:t>February</w:t>
      </w:r>
      <w:r w:rsidR="00BF4670">
        <w:t> </w:t>
      </w:r>
      <w:r w:rsidRPr="003879B5">
        <w:t>2015</w:t>
      </w:r>
      <w:r w:rsidR="00BF4670">
        <w:t>,</w:t>
      </w:r>
      <w:r w:rsidRPr="003879B5">
        <w:t xml:space="preserve"> the draft </w:t>
      </w:r>
      <w:r w:rsidR="00BF4670" w:rsidRPr="003879B5">
        <w:t>Passport</w:t>
      </w:r>
      <w:r w:rsidR="00BF4670">
        <w:t> </w:t>
      </w:r>
      <w:r w:rsidR="005E7E12">
        <w:t>R</w:t>
      </w:r>
      <w:r w:rsidRPr="003879B5">
        <w:t xml:space="preserve">ules were released for public consultation. In </w:t>
      </w:r>
      <w:r w:rsidR="00BF4670" w:rsidRPr="003879B5">
        <w:t>September</w:t>
      </w:r>
      <w:r w:rsidR="00BF4670">
        <w:t> </w:t>
      </w:r>
      <w:r w:rsidRPr="003879B5">
        <w:t xml:space="preserve">2015 the </w:t>
      </w:r>
      <w:r w:rsidR="00A37651">
        <w:t>then</w:t>
      </w:r>
      <w:r w:rsidRPr="003879B5">
        <w:t xml:space="preserve"> </w:t>
      </w:r>
      <w:r w:rsidRPr="003879B5">
        <w:lastRenderedPageBreak/>
        <w:t>Assistant Treasurer and the Minister for Finance jointly announced that Australia had signed a Statement of Understanding signalling its commitment to join the Passport.</w:t>
      </w:r>
    </w:p>
    <w:p w14:paraId="5185CC30" w14:textId="73E9475E" w:rsidR="003879B5" w:rsidRPr="007752A6" w:rsidRDefault="00F8299B" w:rsidP="003879B5">
      <w:pPr>
        <w:pStyle w:val="base-text-paragraph"/>
      </w:pPr>
      <w:r>
        <w:t>O</w:t>
      </w:r>
      <w:r w:rsidR="006B4FCE">
        <w:t xml:space="preserve">n </w:t>
      </w:r>
      <w:r w:rsidR="00BF4670">
        <w:t>28 </w:t>
      </w:r>
      <w:r w:rsidR="006B4FCE">
        <w:t>April 2016</w:t>
      </w:r>
      <w:r w:rsidR="00BF4670">
        <w:t>,</w:t>
      </w:r>
      <w:r w:rsidR="006B4FCE">
        <w:t xml:space="preserve"> the then Minister for Small Business and Assistant Treasurer, the Hon Kelly O’Dwyer MP, signed the </w:t>
      </w:r>
      <w:r>
        <w:t>M</w:t>
      </w:r>
      <w:r w:rsidR="006B4FCE">
        <w:t>emorandum of Cooperation</w:t>
      </w:r>
      <w:r>
        <w:t xml:space="preserve"> on the Establishment and Implementation of the Asia Region Funds Passport (the MOC). </w:t>
      </w:r>
      <w:r w:rsidR="005547E0">
        <w:t xml:space="preserve">Japan, South Korea, </w:t>
      </w:r>
      <w:r w:rsidR="00BF4670">
        <w:t>New </w:t>
      </w:r>
      <w:r w:rsidR="005547E0">
        <w:t xml:space="preserve">Zealand and Thailand are </w:t>
      </w:r>
      <w:r w:rsidR="00B07F86">
        <w:t xml:space="preserve">also </w:t>
      </w:r>
      <w:r w:rsidR="005547E0">
        <w:t>members of the Passport.</w:t>
      </w:r>
      <w:r w:rsidR="000E6674">
        <w:t xml:space="preserve"> Under the MOC</w:t>
      </w:r>
      <w:r w:rsidR="00A7063E">
        <w:t>,</w:t>
      </w:r>
      <w:r w:rsidR="000E6674">
        <w:t xml:space="preserve"> further economies may join the Passport at a later stage.</w:t>
      </w:r>
      <w:r w:rsidR="003E17F7">
        <w:t xml:space="preserve"> Please see </w:t>
      </w:r>
      <w:r w:rsidR="00BF4670" w:rsidRPr="007752A6">
        <w:t>Attachment</w:t>
      </w:r>
      <w:r w:rsidR="00BF4670">
        <w:t> </w:t>
      </w:r>
      <w:r w:rsidR="003E17F7" w:rsidRPr="007752A6">
        <w:t>A for the text of the MOC.</w:t>
      </w:r>
    </w:p>
    <w:p w14:paraId="33193070" w14:textId="74659FB7" w:rsidR="005547E0" w:rsidRPr="003879B5" w:rsidRDefault="005547E0" w:rsidP="005547E0">
      <w:pPr>
        <w:pStyle w:val="Heading2"/>
      </w:pPr>
      <w:r>
        <w:t>The Passport Arrangements</w:t>
      </w:r>
    </w:p>
    <w:p w14:paraId="6863FBE5" w14:textId="7349D423" w:rsidR="005547E0" w:rsidRDefault="005547E0" w:rsidP="009A32D0">
      <w:pPr>
        <w:pStyle w:val="base-text-paragraph"/>
        <w:numPr>
          <w:ilvl w:val="1"/>
          <w:numId w:val="36"/>
        </w:numPr>
      </w:pPr>
      <w:r>
        <w:t xml:space="preserve">Currently, differences and duplication in regulatory requirements across economies can add significantly to the difficulties faced by fund operators attempting to sell </w:t>
      </w:r>
      <w:r w:rsidR="000260E0">
        <w:t>CISs</w:t>
      </w:r>
      <w:r>
        <w:t xml:space="preserve"> across borders (and in this way export their fund management services to foreign residents). </w:t>
      </w:r>
    </w:p>
    <w:p w14:paraId="5EC37DC5" w14:textId="02B2BF7A" w:rsidR="005547E0" w:rsidRDefault="005547E0" w:rsidP="005547E0">
      <w:pPr>
        <w:pStyle w:val="base-text-paragraph"/>
      </w:pPr>
      <w:r w:rsidRPr="003D5919">
        <w:t>In some economies, foreign</w:t>
      </w:r>
      <w:r>
        <w:t xml:space="preserve"> CISs</w:t>
      </w:r>
      <w:r w:rsidRPr="003D5919">
        <w:t xml:space="preserve"> are not allowed to be sold at all</w:t>
      </w:r>
      <w:r>
        <w:t>,</w:t>
      </w:r>
      <w:r w:rsidRPr="003D5919">
        <w:t xml:space="preserve"> or </w:t>
      </w:r>
      <w:r>
        <w:t xml:space="preserve">can </w:t>
      </w:r>
      <w:r w:rsidRPr="003D5919">
        <w:t xml:space="preserve">only </w:t>
      </w:r>
      <w:r>
        <w:t xml:space="preserve">be sold </w:t>
      </w:r>
      <w:r w:rsidRPr="003D5919">
        <w:t>to institutional or professional investors. To access these economies, a fund operator would</w:t>
      </w:r>
      <w:r>
        <w:t>, as a minimum,</w:t>
      </w:r>
      <w:r w:rsidRPr="003D5919">
        <w:t xml:space="preserve"> </w:t>
      </w:r>
      <w:r>
        <w:t>need</w:t>
      </w:r>
      <w:r w:rsidRPr="003D5919">
        <w:t xml:space="preserve"> to set up a subsidiary that is locally licensed to manage</w:t>
      </w:r>
      <w:r>
        <w:t xml:space="preserve"> CISs</w:t>
      </w:r>
      <w:r w:rsidRPr="003D5919">
        <w:t>. In</w:t>
      </w:r>
      <w:r>
        <w:t xml:space="preserve"> a small number of</w:t>
      </w:r>
      <w:r w:rsidRPr="003D5919">
        <w:t xml:space="preserve"> other economies, </w:t>
      </w:r>
      <w:r>
        <w:t>notably</w:t>
      </w:r>
      <w:r w:rsidRPr="003D5919">
        <w:t xml:space="preserve"> </w:t>
      </w:r>
      <w:r w:rsidR="00A7063E" w:rsidRPr="003D5919">
        <w:t>New</w:t>
      </w:r>
      <w:r w:rsidR="00A7063E">
        <w:t> </w:t>
      </w:r>
      <w:r w:rsidRPr="003D5919">
        <w:t xml:space="preserve">Zealand, Australian </w:t>
      </w:r>
      <w:r>
        <w:t>CIS</w:t>
      </w:r>
      <w:r w:rsidRPr="003D5919">
        <w:t>s enjoy relatively easy market access</w:t>
      </w:r>
      <w:r>
        <w:t xml:space="preserve"> due to a bilateral mutual recognition arrangement</w:t>
      </w:r>
      <w:r w:rsidRPr="003D5919">
        <w:t>.</w:t>
      </w:r>
    </w:p>
    <w:p w14:paraId="0CBCD8E5" w14:textId="1E6852BC" w:rsidR="005547E0" w:rsidRDefault="005547E0" w:rsidP="005547E0">
      <w:pPr>
        <w:pStyle w:val="base-text-paragraph"/>
      </w:pPr>
      <w:r w:rsidRPr="00C45FD6">
        <w:t xml:space="preserve">The </w:t>
      </w:r>
      <w:r>
        <w:t>Passport will</w:t>
      </w:r>
      <w:r w:rsidRPr="00C45FD6">
        <w:t xml:space="preserve"> allow</w:t>
      </w:r>
      <w:r>
        <w:t xml:space="preserve"> CIS</w:t>
      </w:r>
      <w:r w:rsidRPr="00C45FD6">
        <w:t xml:space="preserve">s based and regulated in one economy (the home economy) to be </w:t>
      </w:r>
      <w:r w:rsidR="00A7063E">
        <w:t>‘</w:t>
      </w:r>
      <w:r w:rsidR="00A7063E" w:rsidRPr="00C45FD6">
        <w:t>passported</w:t>
      </w:r>
      <w:r w:rsidR="00A7063E">
        <w:t>’</w:t>
      </w:r>
      <w:r w:rsidR="00A7063E" w:rsidRPr="00C45FD6">
        <w:t xml:space="preserve"> </w:t>
      </w:r>
      <w:r w:rsidRPr="00C45FD6">
        <w:t xml:space="preserve">or sold to investors in other economies in the region (host economies). This </w:t>
      </w:r>
      <w:r w:rsidR="003C4E88">
        <w:t>will</w:t>
      </w:r>
      <w:r w:rsidRPr="00C45FD6">
        <w:t xml:space="preserve"> occur </w:t>
      </w:r>
      <w:r>
        <w:t xml:space="preserve">through mutual recognition, whereby </w:t>
      </w:r>
      <w:r w:rsidRPr="008E3494">
        <w:t>two or more sufficiently equivalent jurisdictions agree to recognise aspects of each other’s regulatory systems</w:t>
      </w:r>
      <w:r>
        <w:t>.</w:t>
      </w:r>
      <w:r w:rsidRPr="008E3494">
        <w:t xml:space="preserve"> </w:t>
      </w:r>
      <w:r>
        <w:t xml:space="preserve">Accordingly, there will be some </w:t>
      </w:r>
      <w:r w:rsidRPr="00C45FD6">
        <w:t>host economy requirement</w:t>
      </w:r>
      <w:r>
        <w:t>s</w:t>
      </w:r>
      <w:r w:rsidRPr="00C45FD6">
        <w:t xml:space="preserve"> applying to the operation and sale of scheme</w:t>
      </w:r>
      <w:r>
        <w:t xml:space="preserve">s that CISs from participating </w:t>
      </w:r>
      <w:r w:rsidR="008C13D6">
        <w:t>economies</w:t>
      </w:r>
      <w:r>
        <w:t xml:space="preserve"> do not</w:t>
      </w:r>
      <w:r w:rsidRPr="00C45FD6">
        <w:t xml:space="preserve"> hav</w:t>
      </w:r>
      <w:r>
        <w:t>e</w:t>
      </w:r>
      <w:r w:rsidRPr="00C45FD6">
        <w:t xml:space="preserve"> to meet</w:t>
      </w:r>
      <w:r>
        <w:t>.</w:t>
      </w:r>
    </w:p>
    <w:p w14:paraId="43D97300" w14:textId="405A1ED5" w:rsidR="005547E0" w:rsidRDefault="005547E0" w:rsidP="005547E0">
      <w:pPr>
        <w:pStyle w:val="base-text-paragraph"/>
      </w:pPr>
      <w:r>
        <w:t>The home economy regulator is generally responsible for supervision and enforcement of requirements relating to the operation of the funds, as set out in the home economy law</w:t>
      </w:r>
      <w:r w:rsidR="008C13D6">
        <w:t>s</w:t>
      </w:r>
      <w:r>
        <w:t xml:space="preserve"> and regulations and in the Passport Rules. The host economy regulator is generally responsible for supervision and enforcement of investor</w:t>
      </w:r>
      <w:r w:rsidR="00723747">
        <w:noBreakHyphen/>
      </w:r>
      <w:r>
        <w:t xml:space="preserve">facing requirements such as disclosure. </w:t>
      </w:r>
    </w:p>
    <w:p w14:paraId="081DAE7B" w14:textId="0DB28524" w:rsidR="005547E0" w:rsidRDefault="005547E0" w:rsidP="005547E0">
      <w:pPr>
        <w:pStyle w:val="base-text-paragraph"/>
      </w:pPr>
      <w:r>
        <w:t xml:space="preserve">Each </w:t>
      </w:r>
      <w:r w:rsidR="00A7063E">
        <w:t>Passport </w:t>
      </w:r>
      <w:r>
        <w:t xml:space="preserve">economy must incorporate the </w:t>
      </w:r>
      <w:r w:rsidR="00A7063E">
        <w:t>Passport </w:t>
      </w:r>
      <w:r>
        <w:t xml:space="preserve">Rules into their domestic law. The MOC obligates each economy to ensure their domestic </w:t>
      </w:r>
      <w:r w:rsidR="00A7063E">
        <w:t>Passport </w:t>
      </w:r>
      <w:r>
        <w:t xml:space="preserve">Rules are substantially the same as the </w:t>
      </w:r>
      <w:r w:rsidR="00A7063E">
        <w:t>Passport </w:t>
      </w:r>
      <w:r>
        <w:t xml:space="preserve">Rules </w:t>
      </w:r>
      <w:r>
        <w:lastRenderedPageBreak/>
        <w:t xml:space="preserve">in </w:t>
      </w:r>
      <w:r w:rsidR="00A7063E">
        <w:t>Annex </w:t>
      </w:r>
      <w:r>
        <w:t>3 of the MOC. The</w:t>
      </w:r>
      <w:r w:rsidR="002C50C7">
        <w:t xml:space="preserve"> Asia Region Funds Passport Joint Committee</w:t>
      </w:r>
      <w:r>
        <w:t xml:space="preserve"> </w:t>
      </w:r>
      <w:r w:rsidR="002C50C7">
        <w:t>(</w:t>
      </w:r>
      <w:r>
        <w:t>Joint Committee</w:t>
      </w:r>
      <w:r w:rsidR="002C50C7">
        <w:t>)</w:t>
      </w:r>
      <w:r>
        <w:t>, as part of its oversight of the implementation</w:t>
      </w:r>
      <w:r w:rsidR="007332AA">
        <w:t xml:space="preserve"> of the Passport</w:t>
      </w:r>
      <w:r>
        <w:t xml:space="preserve">, </w:t>
      </w:r>
      <w:r w:rsidR="00A00853">
        <w:t>will work</w:t>
      </w:r>
      <w:r>
        <w:t xml:space="preserve"> to ensure consistency in the </w:t>
      </w:r>
      <w:r w:rsidR="00A7063E">
        <w:t>Passport </w:t>
      </w:r>
      <w:r>
        <w:t xml:space="preserve">Rules across the </w:t>
      </w:r>
      <w:r w:rsidR="00A7063E">
        <w:t>Passport </w:t>
      </w:r>
      <w:r>
        <w:t>economies.</w:t>
      </w:r>
    </w:p>
    <w:p w14:paraId="5BDE15C4" w14:textId="11CE3A0F" w:rsidR="00C43B46" w:rsidRDefault="00C43B46" w:rsidP="00C43B46">
      <w:pPr>
        <w:pStyle w:val="base-text-paragraph"/>
      </w:pPr>
      <w:r>
        <w:t xml:space="preserve">To ensure the appropriateness of these arrangements, the government of each </w:t>
      </w:r>
      <w:r w:rsidR="00A7063E">
        <w:t>Passport </w:t>
      </w:r>
      <w:r>
        <w:t xml:space="preserve">economy has assessed the regulatory framework of each other </w:t>
      </w:r>
      <w:r w:rsidR="00A7063E">
        <w:t>Passport </w:t>
      </w:r>
      <w:r>
        <w:t xml:space="preserve">economy in terms of its regulatory outcomes for regulated </w:t>
      </w:r>
      <w:r w:rsidR="00A7063E">
        <w:t>CIV</w:t>
      </w:r>
      <w:r>
        <w:t>s. Each Passport signatory:</w:t>
      </w:r>
    </w:p>
    <w:p w14:paraId="71F5E19B" w14:textId="55F31858" w:rsidR="00C43B46" w:rsidRDefault="00C43B46" w:rsidP="00C43B46">
      <w:pPr>
        <w:pStyle w:val="dotpoint"/>
      </w:pPr>
      <w:r>
        <w:t xml:space="preserve">must be a signatory to </w:t>
      </w:r>
      <w:r w:rsidR="00A7063E">
        <w:t>Appendix </w:t>
      </w:r>
      <w:r>
        <w:t>A of the IOSCO Multilateral Memorandum of Understanding Concerning Consultation and Co</w:t>
      </w:r>
      <w:r w:rsidR="00723747">
        <w:noBreakHyphen/>
      </w:r>
      <w:r>
        <w:t>operation and the Exchange of Information;</w:t>
      </w:r>
    </w:p>
    <w:p w14:paraId="00DCFC9C" w14:textId="0FDA7C64" w:rsidR="00C43B46" w:rsidRDefault="00C43B46" w:rsidP="00C43B46">
      <w:pPr>
        <w:pStyle w:val="dotpoint"/>
      </w:pPr>
      <w:r>
        <w:t>must not be on the Financial Action Taskforce’s list of high risk and non</w:t>
      </w:r>
      <w:r w:rsidR="00723747">
        <w:noBreakHyphen/>
      </w:r>
      <w:r>
        <w:t>cooperative jurisdictions; and</w:t>
      </w:r>
    </w:p>
    <w:p w14:paraId="38D3A58B" w14:textId="3EFFBC4E" w:rsidR="00C43B46" w:rsidRDefault="00C43B46" w:rsidP="00C43B46">
      <w:pPr>
        <w:pStyle w:val="dotpoint"/>
      </w:pPr>
      <w:r>
        <w:t xml:space="preserve">must have fully or broadly implemented the relevant </w:t>
      </w:r>
      <w:r w:rsidR="00A7063E">
        <w:t>IOSCO </w:t>
      </w:r>
      <w:r>
        <w:t>principles relating to enforcement, cooperation and collective investment schemes.</w:t>
      </w:r>
    </w:p>
    <w:p w14:paraId="246362DD" w14:textId="3499DD91" w:rsidR="00C43B46" w:rsidRDefault="00C43B46" w:rsidP="00C43B46">
      <w:pPr>
        <w:pStyle w:val="base-text-paragraphnonumbers"/>
      </w:pPr>
      <w:r>
        <w:t>Each government has determined that the other Passport economies’ regulatory frameworks are equivalent to their own frameworks on that basis.</w:t>
      </w:r>
    </w:p>
    <w:p w14:paraId="75BB523D" w14:textId="37252EBC" w:rsidR="005547E0" w:rsidRPr="00685303" w:rsidRDefault="005547E0" w:rsidP="005547E0">
      <w:pPr>
        <w:pStyle w:val="base-text-paragraph"/>
      </w:pPr>
      <w:r>
        <w:t>Regulator co</w:t>
      </w:r>
      <w:r w:rsidR="00723747">
        <w:noBreakHyphen/>
      </w:r>
      <w:r>
        <w:t>operation is central to the continuing operation of the Passport since host economy regulators place considerable reliance on home economy regulators to regulate the operation of the funds. The MOC sets out several mechanisms for regulator co</w:t>
      </w:r>
      <w:r w:rsidR="00723747">
        <w:noBreakHyphen/>
      </w:r>
      <w:r>
        <w:t xml:space="preserve">operation which have been incorporated into legislation. </w:t>
      </w:r>
      <w:r w:rsidRPr="00685303">
        <w:t>For example, in determining whether to reject a notice of intention to offer interests in Australia</w:t>
      </w:r>
      <w:r w:rsidR="00A7063E">
        <w:t>,</w:t>
      </w:r>
      <w:r w:rsidRPr="00685303">
        <w:t xml:space="preserve"> or whether to issue a stop order against a foreign passport fund, ASIC must write to the home economy regulator if it is doing so on the basis that a home economy law is not likely to be complied with.</w:t>
      </w:r>
    </w:p>
    <w:p w14:paraId="2E4ED8C9" w14:textId="4E778EC1" w:rsidR="005547E0" w:rsidRDefault="005547E0" w:rsidP="005547E0">
      <w:pPr>
        <w:pStyle w:val="base-text-paragraph"/>
      </w:pPr>
      <w:r>
        <w:t xml:space="preserve">The reliance on the home regulator to enforce rules relating to operations justifies the need for extended geographical jurisdiction – </w:t>
      </w:r>
      <w:r w:rsidR="00A7063E">
        <w:t>Category </w:t>
      </w:r>
      <w:r>
        <w:t xml:space="preserve">A. Australian authorities require this extended geographic reach to </w:t>
      </w:r>
      <w:r w:rsidR="00B81246">
        <w:t xml:space="preserve">take </w:t>
      </w:r>
      <w:r>
        <w:t>enforce</w:t>
      </w:r>
      <w:r w:rsidR="00B81246">
        <w:t>ment action with regard to</w:t>
      </w:r>
      <w:r>
        <w:t xml:space="preserve"> offences co</w:t>
      </w:r>
      <w:r w:rsidR="00B81246">
        <w:t>mmit</w:t>
      </w:r>
      <w:r>
        <w:t>ted outside Australia by funds for whom Australia is the home regulator.</w:t>
      </w:r>
    </w:p>
    <w:p w14:paraId="7C7794F3" w14:textId="6A7E73A3" w:rsidR="000E6674" w:rsidRDefault="000E6674" w:rsidP="000E6674">
      <w:pPr>
        <w:pStyle w:val="base-text-paragraph"/>
      </w:pPr>
      <w:r>
        <w:t>The MOC is structured as follows:</w:t>
      </w:r>
    </w:p>
    <w:p w14:paraId="129A1ADA" w14:textId="5BAC731B" w:rsidR="000E6674" w:rsidRDefault="000E6674" w:rsidP="000E6674">
      <w:pPr>
        <w:pStyle w:val="dotpoint"/>
      </w:pPr>
      <w:r>
        <w:t xml:space="preserve">The body of the MOC </w:t>
      </w:r>
      <w:r w:rsidR="00A37651">
        <w:t xml:space="preserve">sets out the </w:t>
      </w:r>
      <w:r w:rsidR="005547E0">
        <w:t>signatories’</w:t>
      </w:r>
      <w:r>
        <w:t xml:space="preserve"> commitment to participate in the Passport, establishes a governing framework and </w:t>
      </w:r>
      <w:r w:rsidR="005547E0">
        <w:t xml:space="preserve">a mechanism for the resolution of </w:t>
      </w:r>
      <w:r w:rsidR="005547E0">
        <w:lastRenderedPageBreak/>
        <w:t>differences</w:t>
      </w:r>
      <w:r w:rsidR="000260E0">
        <w:t xml:space="preserve">, </w:t>
      </w:r>
      <w:r>
        <w:t xml:space="preserve">and sets out the eligibility criteria for economies wanting to </w:t>
      </w:r>
      <w:r w:rsidR="005547E0">
        <w:t>participate in</w:t>
      </w:r>
      <w:r>
        <w:t xml:space="preserve"> the arrangement. </w:t>
      </w:r>
      <w:r w:rsidR="00A7063E">
        <w:t>Paragraph </w:t>
      </w:r>
      <w:r>
        <w:t>5 of the MOC establishes the commitment to implement the Passport arrangements and outlines what this means</w:t>
      </w:r>
      <w:r w:rsidR="00A37651">
        <w:t xml:space="preserve"> for participant economies</w:t>
      </w:r>
      <w:r>
        <w:t xml:space="preserve">. </w:t>
      </w:r>
    </w:p>
    <w:p w14:paraId="3D04D850" w14:textId="01C8A95B" w:rsidR="000E6674" w:rsidRDefault="00A7063E" w:rsidP="000E6674">
      <w:pPr>
        <w:pStyle w:val="dotpoint"/>
      </w:pPr>
      <w:r>
        <w:t>Annex </w:t>
      </w:r>
      <w:r w:rsidR="000E6674">
        <w:t xml:space="preserve">1 of the MOC </w:t>
      </w:r>
      <w:r w:rsidR="005547E0">
        <w:t>outlines how a participant may</w:t>
      </w:r>
      <w:r w:rsidR="000E6674">
        <w:t xml:space="preserve"> impose obligations on </w:t>
      </w:r>
      <w:r w:rsidR="006847D6">
        <w:t>passport fund</w:t>
      </w:r>
      <w:r w:rsidR="000E6674">
        <w:t xml:space="preserve">s from other economies that are offered in its economy (the </w:t>
      </w:r>
      <w:r w:rsidR="000E6674" w:rsidRPr="00403595">
        <w:rPr>
          <w:b/>
        </w:rPr>
        <w:t xml:space="preserve">host economy </w:t>
      </w:r>
      <w:r w:rsidR="000E6674">
        <w:t>obligations).</w:t>
      </w:r>
    </w:p>
    <w:p w14:paraId="7DEB5AF6" w14:textId="20D82DEB" w:rsidR="000E6674" w:rsidRDefault="00A7063E" w:rsidP="000E6674">
      <w:pPr>
        <w:pStyle w:val="dotpoint"/>
      </w:pPr>
      <w:r>
        <w:t>Annex </w:t>
      </w:r>
      <w:r w:rsidR="000E6674">
        <w:t xml:space="preserve">2 of the MOC sets out the common regulatory arrangements for </w:t>
      </w:r>
      <w:r w:rsidR="006847D6">
        <w:t>passport fund</w:t>
      </w:r>
      <w:r w:rsidR="000E6674">
        <w:t xml:space="preserve">s that each participant will give effect to </w:t>
      </w:r>
      <w:r w:rsidR="00723747">
        <w:noBreakHyphen/>
        <w:t xml:space="preserve"> </w:t>
      </w:r>
      <w:r w:rsidR="000E6674">
        <w:t xml:space="preserve">how </w:t>
      </w:r>
      <w:r w:rsidR="006847D6">
        <w:t>passport fund</w:t>
      </w:r>
      <w:r w:rsidR="000E6674">
        <w:t xml:space="preserve">s are to be registered and supervised by regulators and how the Passport arrangements are to be enforced (the </w:t>
      </w:r>
      <w:r w:rsidR="000E6674" w:rsidRPr="00403595">
        <w:rPr>
          <w:b/>
        </w:rPr>
        <w:t>common regulatory arrangements</w:t>
      </w:r>
      <w:r w:rsidR="000E6674">
        <w:t xml:space="preserve">). </w:t>
      </w:r>
    </w:p>
    <w:p w14:paraId="490D90C5" w14:textId="20666411" w:rsidR="000E6674" w:rsidRDefault="00A7063E" w:rsidP="000E6674">
      <w:pPr>
        <w:pStyle w:val="dotpoint"/>
      </w:pPr>
      <w:r>
        <w:t>Annex </w:t>
      </w:r>
      <w:r w:rsidR="000E6674">
        <w:t xml:space="preserve">3 of the MOC sets out the </w:t>
      </w:r>
      <w:r w:rsidR="000E6674" w:rsidRPr="00403595">
        <w:rPr>
          <w:b/>
        </w:rPr>
        <w:t xml:space="preserve">Passport </w:t>
      </w:r>
      <w:r w:rsidR="00DC38C9" w:rsidRPr="00403595">
        <w:rPr>
          <w:b/>
        </w:rPr>
        <w:t>R</w:t>
      </w:r>
      <w:r w:rsidR="000E6674" w:rsidRPr="00403595">
        <w:rPr>
          <w:b/>
        </w:rPr>
        <w:t>ules</w:t>
      </w:r>
      <w:r w:rsidR="000E6674">
        <w:t xml:space="preserve">. This is a common set of obligations with which the operators of </w:t>
      </w:r>
      <w:r w:rsidR="000260E0">
        <w:t>p</w:t>
      </w:r>
      <w:r w:rsidR="000E6674">
        <w:t xml:space="preserve">assport funds will be required to comply on an ongoing basis. They will apply to a </w:t>
      </w:r>
      <w:r w:rsidR="006847D6">
        <w:t>passport fund</w:t>
      </w:r>
      <w:r w:rsidR="000E6674">
        <w:t xml:space="preserve"> concurrently in both the home and any host economies. </w:t>
      </w:r>
    </w:p>
    <w:p w14:paraId="2877A3B8" w14:textId="1319B5E6" w:rsidR="000E6674" w:rsidRDefault="00A7063E" w:rsidP="000E6674">
      <w:pPr>
        <w:pStyle w:val="dotpoint"/>
      </w:pPr>
      <w:r>
        <w:t>Annex </w:t>
      </w:r>
      <w:r w:rsidR="000E6674">
        <w:t xml:space="preserve">4 of the MOC sets out arrangements for </w:t>
      </w:r>
      <w:r w:rsidR="000E6674" w:rsidRPr="00403595">
        <w:rPr>
          <w:b/>
        </w:rPr>
        <w:t>cooperation</w:t>
      </w:r>
      <w:r w:rsidR="000E6674">
        <w:t xml:space="preserve"> between regulators. </w:t>
      </w:r>
    </w:p>
    <w:p w14:paraId="10D08EA2" w14:textId="5C63E43D" w:rsidR="000E6674" w:rsidRDefault="00A7063E" w:rsidP="000E6674">
      <w:pPr>
        <w:pStyle w:val="dotpoint"/>
      </w:pPr>
      <w:r>
        <w:t>Annex </w:t>
      </w:r>
      <w:r w:rsidR="000E6674">
        <w:t xml:space="preserve">5 of the MOC defines the </w:t>
      </w:r>
      <w:r w:rsidR="000E6674" w:rsidRPr="00DC3D7A">
        <w:t>form</w:t>
      </w:r>
      <w:r w:rsidR="000E6674">
        <w:t xml:space="preserve"> to be used for formal notification of participation in the MOC by </w:t>
      </w:r>
      <w:r w:rsidR="000E6674" w:rsidRPr="00106F7A">
        <w:rPr>
          <w:b/>
        </w:rPr>
        <w:t>subsequent</w:t>
      </w:r>
      <w:r w:rsidR="000E6674">
        <w:t xml:space="preserve"> </w:t>
      </w:r>
      <w:r w:rsidR="000E6674" w:rsidRPr="00106F7A">
        <w:rPr>
          <w:b/>
        </w:rPr>
        <w:t>participants</w:t>
      </w:r>
      <w:r w:rsidR="000E6674">
        <w:t>.</w:t>
      </w:r>
    </w:p>
    <w:p w14:paraId="71933BDE" w14:textId="558A9AB9" w:rsidR="002E7370" w:rsidRDefault="00D11455" w:rsidP="003D5919">
      <w:pPr>
        <w:pStyle w:val="base-text-paragraph"/>
      </w:pPr>
      <w:r w:rsidRPr="00D11455">
        <w:t>Following the signing of the MOC</w:t>
      </w:r>
      <w:r w:rsidR="00A7063E">
        <w:t>,</w:t>
      </w:r>
      <w:r w:rsidRPr="00D11455">
        <w:t xml:space="preserve"> </w:t>
      </w:r>
      <w:r>
        <w:t>it is</w:t>
      </w:r>
      <w:r w:rsidRPr="00D11455">
        <w:t xml:space="preserve"> necessary to reflect the</w:t>
      </w:r>
      <w:r>
        <w:t xml:space="preserve"> Passport</w:t>
      </w:r>
      <w:r w:rsidRPr="00D11455">
        <w:t xml:space="preserve"> arrangements in Australian law through a package of amendments to the </w:t>
      </w:r>
      <w:r w:rsidRPr="00D11455">
        <w:rPr>
          <w:i/>
        </w:rPr>
        <w:t xml:space="preserve">Corporations </w:t>
      </w:r>
      <w:r w:rsidR="00A7063E" w:rsidRPr="00D11455">
        <w:rPr>
          <w:i/>
        </w:rPr>
        <w:t>Act</w:t>
      </w:r>
      <w:r w:rsidR="00A7063E">
        <w:rPr>
          <w:i/>
        </w:rPr>
        <w:t> </w:t>
      </w:r>
      <w:r w:rsidRPr="00D11455">
        <w:rPr>
          <w:i/>
        </w:rPr>
        <w:t>2001</w:t>
      </w:r>
      <w:r w:rsidRPr="00D11455">
        <w:t xml:space="preserve"> (the </w:t>
      </w:r>
      <w:r w:rsidR="00A7063E" w:rsidRPr="00D11455">
        <w:t>C</w:t>
      </w:r>
      <w:r w:rsidR="00A7063E">
        <w:t>orporations </w:t>
      </w:r>
      <w:r w:rsidRPr="00D11455">
        <w:t>A</w:t>
      </w:r>
      <w:r>
        <w:t>ct</w:t>
      </w:r>
      <w:r w:rsidRPr="00D11455">
        <w:t xml:space="preserve">), the </w:t>
      </w:r>
      <w:r w:rsidRPr="00AF2BF6">
        <w:rPr>
          <w:i/>
        </w:rPr>
        <w:t>Australian Securities and Investments Commission Act 2001</w:t>
      </w:r>
      <w:r w:rsidRPr="00D11455">
        <w:t xml:space="preserve"> (the </w:t>
      </w:r>
      <w:r w:rsidR="00A7063E" w:rsidRPr="00D11455">
        <w:t>ASIC</w:t>
      </w:r>
      <w:r w:rsidR="00A7063E">
        <w:t> </w:t>
      </w:r>
      <w:r w:rsidRPr="00D11455">
        <w:t>Act) and related legislation.</w:t>
      </w:r>
      <w:r>
        <w:t xml:space="preserve"> </w:t>
      </w:r>
      <w:r w:rsidR="002E7370">
        <w:t>The</w:t>
      </w:r>
      <w:r w:rsidR="000A3186">
        <w:t xml:space="preserve"> Bill</w:t>
      </w:r>
      <w:r w:rsidR="002E7370">
        <w:t xml:space="preserve"> </w:t>
      </w:r>
      <w:r w:rsidR="00C02FB1">
        <w:t>implements the following key changes:</w:t>
      </w:r>
    </w:p>
    <w:p w14:paraId="23A9FDD4" w14:textId="183B996E" w:rsidR="00C02FB1" w:rsidRDefault="00C02FB1" w:rsidP="00C02FB1">
      <w:pPr>
        <w:pStyle w:val="dotpoint"/>
      </w:pPr>
      <w:r>
        <w:t xml:space="preserve">It establishes a mechanism for incorporating the </w:t>
      </w:r>
      <w:r w:rsidR="00A7063E">
        <w:t>Passport </w:t>
      </w:r>
      <w:r w:rsidR="005E7E12">
        <w:t>Rules</w:t>
      </w:r>
      <w:r>
        <w:t xml:space="preserve"> in </w:t>
      </w:r>
      <w:r w:rsidR="00A7063E">
        <w:t>Annex </w:t>
      </w:r>
      <w:r>
        <w:t xml:space="preserve">3 of the MOC into Australian law, and imposes an obligation on </w:t>
      </w:r>
      <w:r w:rsidR="006847D6">
        <w:t>passport fund</w:t>
      </w:r>
      <w:r>
        <w:t>s</w:t>
      </w:r>
      <w:r w:rsidR="005D3B01">
        <w:t xml:space="preserve"> and operators</w:t>
      </w:r>
      <w:r>
        <w:t xml:space="preserve"> registered in Australia as well as foreign </w:t>
      </w:r>
      <w:r w:rsidR="006847D6">
        <w:t>passport fund</w:t>
      </w:r>
      <w:r>
        <w:t xml:space="preserve">s </w:t>
      </w:r>
      <w:r w:rsidR="005D3B01">
        <w:t xml:space="preserve">and operators </w:t>
      </w:r>
      <w:r>
        <w:t xml:space="preserve">offering interests in Australia to comply with the </w:t>
      </w:r>
      <w:r w:rsidR="00A7063E">
        <w:t>Passport </w:t>
      </w:r>
      <w:r w:rsidR="005E7E12">
        <w:t>Rules</w:t>
      </w:r>
      <w:r>
        <w:t>;</w:t>
      </w:r>
    </w:p>
    <w:p w14:paraId="3DC71037" w14:textId="77FEE402" w:rsidR="00C02FB1" w:rsidRDefault="00C02FB1" w:rsidP="00C02FB1">
      <w:pPr>
        <w:pStyle w:val="dotpoint"/>
      </w:pPr>
      <w:r>
        <w:t xml:space="preserve">It establishes a new </w:t>
      </w:r>
      <w:r w:rsidR="00A7063E">
        <w:t>Chapter </w:t>
      </w:r>
      <w:r>
        <w:t xml:space="preserve">8A in the </w:t>
      </w:r>
      <w:r w:rsidR="00A7063E">
        <w:t>Corporations </w:t>
      </w:r>
      <w:r>
        <w:t xml:space="preserve">Act which mainly implements the common regulatory arrangements in </w:t>
      </w:r>
      <w:r w:rsidR="00A7063E">
        <w:t>Annex </w:t>
      </w:r>
      <w:r>
        <w:t xml:space="preserve">2 of the MOC. </w:t>
      </w:r>
      <w:r w:rsidR="004E2D90">
        <w:t>Chapter </w:t>
      </w:r>
      <w:r>
        <w:t xml:space="preserve">8A among other things sets out the process whereby Australian </w:t>
      </w:r>
      <w:r w:rsidR="00677FE7">
        <w:t>CIS</w:t>
      </w:r>
      <w:r>
        <w:t xml:space="preserve">s </w:t>
      </w:r>
      <w:r>
        <w:lastRenderedPageBreak/>
        <w:t xml:space="preserve">may be registered by the Australian Securities and Investments Commission (ASIC) as </w:t>
      </w:r>
      <w:r w:rsidR="006847D6">
        <w:t>passport fund</w:t>
      </w:r>
      <w:r>
        <w:t>s. It also sets o</w:t>
      </w:r>
      <w:r w:rsidR="000260E0">
        <w:t>ut the process whereby foreign p</w:t>
      </w:r>
      <w:r>
        <w:t>assport funds may notify ASIC of their intention to offer interests</w:t>
      </w:r>
      <w:r w:rsidR="00AA1D0E">
        <w:t xml:space="preserve"> in the fund to Australian investors and the circumstances in which ASIC may reject such notifications;</w:t>
      </w:r>
      <w:r w:rsidR="00685303">
        <w:t xml:space="preserve"> and</w:t>
      </w:r>
    </w:p>
    <w:p w14:paraId="50B56ED1" w14:textId="68802AB1" w:rsidR="00AA1D0E" w:rsidRDefault="00AA1D0E" w:rsidP="00C02FB1">
      <w:pPr>
        <w:pStyle w:val="dotpoint"/>
      </w:pPr>
      <w:r>
        <w:t xml:space="preserve">It makes amendments to other parts of the </w:t>
      </w:r>
      <w:r w:rsidR="004E2D90">
        <w:t>Corporations </w:t>
      </w:r>
      <w:r>
        <w:t xml:space="preserve">Act clarifying how the obligations in those parts are to apply to foreign </w:t>
      </w:r>
      <w:r w:rsidR="006847D6">
        <w:t>passport fund</w:t>
      </w:r>
      <w:r>
        <w:t xml:space="preserve">s, as allowed under </w:t>
      </w:r>
      <w:r w:rsidR="004E2D90">
        <w:t>Annex </w:t>
      </w:r>
      <w:r>
        <w:t xml:space="preserve">1 of the MOC. Key areas in which obligations are made to apply to foreign </w:t>
      </w:r>
      <w:r w:rsidR="006847D6">
        <w:t>passport fund</w:t>
      </w:r>
      <w:r>
        <w:t xml:space="preserve">s </w:t>
      </w:r>
      <w:r w:rsidR="00AB7AAB">
        <w:t xml:space="preserve">in this manner </w:t>
      </w:r>
      <w:r>
        <w:t>include financial reporting, licensing and disclosure</w:t>
      </w:r>
      <w:r w:rsidR="00685303">
        <w:t>.</w:t>
      </w:r>
    </w:p>
    <w:p w14:paraId="6B04CB06" w14:textId="536B236E" w:rsidR="003D5919" w:rsidRDefault="00D11455" w:rsidP="006E4C9A">
      <w:pPr>
        <w:pStyle w:val="base-text-paragraph"/>
      </w:pPr>
      <w:r>
        <w:t xml:space="preserve">The </w:t>
      </w:r>
      <w:r w:rsidR="00AA1D0E">
        <w:t>detailed</w:t>
      </w:r>
      <w:r>
        <w:t xml:space="preserve"> amendments </w:t>
      </w:r>
      <w:r w:rsidR="00AA1D0E">
        <w:t>in the</w:t>
      </w:r>
      <w:r w:rsidR="000A3186">
        <w:t xml:space="preserve"> Bill</w:t>
      </w:r>
      <w:r>
        <w:t xml:space="preserve"> are explained </w:t>
      </w:r>
      <w:r w:rsidR="00C02FB1">
        <w:t xml:space="preserve">in </w:t>
      </w:r>
      <w:r w:rsidR="00AA1D0E">
        <w:t>full</w:t>
      </w:r>
      <w:r w:rsidR="00C02FB1">
        <w:t xml:space="preserve"> </w:t>
      </w:r>
      <w:r>
        <w:t xml:space="preserve">in the following chapters </w:t>
      </w:r>
      <w:r w:rsidR="00C02FB1">
        <w:t>of</w:t>
      </w:r>
      <w:r>
        <w:t xml:space="preserve"> </w:t>
      </w:r>
      <w:r w:rsidR="006E4C9A">
        <w:t>these explanatory materials</w:t>
      </w:r>
      <w:r>
        <w:t>.</w:t>
      </w:r>
      <w:r w:rsidR="009476E5">
        <w:t xml:space="preserve"> All </w:t>
      </w:r>
      <w:r w:rsidR="006E4C9A">
        <w:t xml:space="preserve">provision </w:t>
      </w:r>
      <w:r w:rsidR="009476E5">
        <w:t xml:space="preserve">references in </w:t>
      </w:r>
      <w:r w:rsidR="006E4C9A" w:rsidRPr="006E4C9A">
        <w:t>these explanatory materials</w:t>
      </w:r>
      <w:r w:rsidR="006E4C9A" w:rsidRPr="006E4C9A" w:rsidDel="006E4C9A">
        <w:t xml:space="preserve"> </w:t>
      </w:r>
      <w:r w:rsidR="009476E5">
        <w:t xml:space="preserve">are to the </w:t>
      </w:r>
      <w:r w:rsidR="004E2D90">
        <w:t>Corporations </w:t>
      </w:r>
      <w:r w:rsidR="009476E5">
        <w:t>Act unless otherwise stated.</w:t>
      </w:r>
    </w:p>
    <w:p w14:paraId="655DFAC0" w14:textId="77777777" w:rsidR="00F5071C" w:rsidRDefault="00F5071C" w:rsidP="003D5919">
      <w:pPr>
        <w:pStyle w:val="Hiddentext"/>
      </w:pPr>
      <w:r>
        <w:t>Do not remove section break.</w:t>
      </w:r>
    </w:p>
    <w:p w14:paraId="61697855" w14:textId="77777777" w:rsidR="00F5071C" w:rsidRDefault="00F5071C" w:rsidP="003D5919">
      <w:pPr>
        <w:sectPr w:rsidR="00F5071C" w:rsidSect="003D5919">
          <w:headerReference w:type="even" r:id="rId30"/>
          <w:headerReference w:type="default" r:id="rId31"/>
          <w:footerReference w:type="even" r:id="rId32"/>
          <w:footerReference w:type="default" r:id="rId33"/>
          <w:footerReference w:type="first" r:id="rId34"/>
          <w:type w:val="oddPage"/>
          <w:pgSz w:w="11906" w:h="16838" w:code="9"/>
          <w:pgMar w:top="2466" w:right="2098" w:bottom="2466" w:left="2098" w:header="1559" w:footer="1899" w:gutter="0"/>
          <w:cols w:space="708"/>
          <w:titlePg/>
          <w:docGrid w:linePitch="360"/>
        </w:sectPr>
      </w:pPr>
    </w:p>
    <w:p w14:paraId="297238A5" w14:textId="3D40C602" w:rsidR="00D9405B" w:rsidRPr="00F51A71" w:rsidRDefault="00D9405B" w:rsidP="00260FA6">
      <w:pPr>
        <w:pStyle w:val="ChapterHeading"/>
        <w:tabs>
          <w:tab w:val="clear" w:pos="1134"/>
          <w:tab w:val="num" w:pos="360"/>
        </w:tabs>
      </w:pPr>
      <w:r w:rsidRPr="00F51A71">
        <w:lastRenderedPageBreak/>
        <w:br/>
      </w:r>
      <w:bookmarkStart w:id="2" w:name="_Toc490750340"/>
      <w:r w:rsidR="00A84D4E">
        <w:t xml:space="preserve">Key </w:t>
      </w:r>
      <w:r w:rsidR="000D4810">
        <w:t>definitions</w:t>
      </w:r>
      <w:bookmarkEnd w:id="2"/>
    </w:p>
    <w:p w14:paraId="1DF3E87C" w14:textId="77777777" w:rsidR="00D9405B" w:rsidRDefault="00D9405B" w:rsidP="00260FA6">
      <w:pPr>
        <w:pStyle w:val="Heading2"/>
      </w:pPr>
      <w:r>
        <w:t>Outline of chapter</w:t>
      </w:r>
    </w:p>
    <w:p w14:paraId="312AAF05" w14:textId="102338B5" w:rsidR="00D9405B" w:rsidRDefault="00D4696C" w:rsidP="00260FA6">
      <w:pPr>
        <w:pStyle w:val="base-text-paragraph"/>
      </w:pPr>
      <w:r w:rsidRPr="00D132DC">
        <w:t>Schedule</w:t>
      </w:r>
      <w:r>
        <w:t> </w:t>
      </w:r>
      <w:r w:rsidR="003A64A3" w:rsidRPr="00D132DC">
        <w:t>1</w:t>
      </w:r>
      <w:r w:rsidR="00D9405B">
        <w:t xml:space="preserve"> to the Bill inserts a</w:t>
      </w:r>
      <w:r w:rsidR="00E262D0">
        <w:t xml:space="preserve"> new</w:t>
      </w:r>
      <w:r w:rsidR="00D9405B">
        <w:t xml:space="preserve"> </w:t>
      </w:r>
      <w:r>
        <w:t>Chapter </w:t>
      </w:r>
      <w:r w:rsidR="00D9405B">
        <w:t>8A into the Act</w:t>
      </w:r>
      <w:r w:rsidR="001F5982">
        <w:t xml:space="preserve">. </w:t>
      </w:r>
      <w:r w:rsidRPr="007752A6">
        <w:t>Parts</w:t>
      </w:r>
      <w:r>
        <w:t> </w:t>
      </w:r>
      <w:r w:rsidR="001F5982" w:rsidRPr="007752A6">
        <w:t>8A.1</w:t>
      </w:r>
      <w:r w:rsidR="00CC0112" w:rsidRPr="007752A6">
        <w:t xml:space="preserve"> </w:t>
      </w:r>
      <w:r w:rsidR="004818F7" w:rsidRPr="007752A6">
        <w:t xml:space="preserve">and 8A.2 </w:t>
      </w:r>
      <w:r w:rsidR="00E16A94" w:rsidRPr="007752A6">
        <w:t xml:space="preserve">mainly </w:t>
      </w:r>
      <w:r w:rsidR="00CC0112" w:rsidRPr="007752A6">
        <w:t xml:space="preserve">contain </w:t>
      </w:r>
      <w:r w:rsidR="00E16A94" w:rsidRPr="007752A6">
        <w:t>a number of</w:t>
      </w:r>
      <w:r w:rsidR="00A84D4E" w:rsidRPr="007752A6">
        <w:t xml:space="preserve"> key definitions</w:t>
      </w:r>
      <w:r w:rsidR="001F5982" w:rsidRPr="007752A6">
        <w:t xml:space="preserve"> and </w:t>
      </w:r>
      <w:r w:rsidR="00A84D4E" w:rsidRPr="007752A6">
        <w:t>s</w:t>
      </w:r>
      <w:r w:rsidR="004818F7" w:rsidRPr="007752A6">
        <w:t>et</w:t>
      </w:r>
      <w:r w:rsidR="00A84D4E">
        <w:t xml:space="preserve"> out the mechanism for incorporating</w:t>
      </w:r>
      <w:r w:rsidR="00DE1FD6">
        <w:t xml:space="preserve"> </w:t>
      </w:r>
      <w:r w:rsidR="00A84D4E">
        <w:t>the</w:t>
      </w:r>
      <w:r w:rsidR="00DE1FD6">
        <w:t xml:space="preserve"> </w:t>
      </w:r>
      <w:r w:rsidR="00A84D4E">
        <w:t xml:space="preserve">rules </w:t>
      </w:r>
      <w:r w:rsidR="00DE1FD6">
        <w:t>for passport funds into Australian domestic law</w:t>
      </w:r>
      <w:r w:rsidR="00CC0112">
        <w:t xml:space="preserve">. </w:t>
      </w:r>
    </w:p>
    <w:p w14:paraId="4D8921B7" w14:textId="77777777" w:rsidR="00D9405B" w:rsidRDefault="00D9405B" w:rsidP="00260FA6">
      <w:pPr>
        <w:pStyle w:val="Heading2"/>
      </w:pPr>
      <w:r>
        <w:t>Summary of new law</w:t>
      </w:r>
    </w:p>
    <w:p w14:paraId="59644370" w14:textId="32A7808E" w:rsidR="00C111C7" w:rsidRDefault="00B7493C" w:rsidP="00ED7617">
      <w:pPr>
        <w:pStyle w:val="base-text-paragraph"/>
        <w:numPr>
          <w:ilvl w:val="1"/>
          <w:numId w:val="22"/>
        </w:numPr>
      </w:pPr>
      <w:r>
        <w:t>The new law states that a country is a</w:t>
      </w:r>
      <w:r w:rsidR="00A84D4E">
        <w:t xml:space="preserve"> </w:t>
      </w:r>
      <w:r w:rsidR="00A84D4E" w:rsidRPr="00DA6AAD">
        <w:rPr>
          <w:b/>
          <w:i/>
        </w:rPr>
        <w:t>participating economy</w:t>
      </w:r>
      <w:r w:rsidR="00A84D4E">
        <w:t xml:space="preserve"> and eligible for the special Passport arrangements if it </w:t>
      </w:r>
      <w:r w:rsidR="00DB4184">
        <w:t xml:space="preserve">signed and implemented the MOC, </w:t>
      </w:r>
      <w:r w:rsidR="00C111C7">
        <w:t>and it</w:t>
      </w:r>
      <w:r w:rsidR="00E25D36">
        <w:t xml:space="preserve"> has </w:t>
      </w:r>
      <w:r w:rsidR="00C111C7">
        <w:t>not withdrawn from the MOC</w:t>
      </w:r>
      <w:r>
        <w:t xml:space="preserve">. </w:t>
      </w:r>
      <w:r w:rsidR="00C111C7">
        <w:t>Economies will cease to be participating economies if the MOC is terminated.</w:t>
      </w:r>
    </w:p>
    <w:p w14:paraId="5B12BD71" w14:textId="2D5E9E0A" w:rsidR="00B7493C" w:rsidRDefault="00B7493C" w:rsidP="00ED7617">
      <w:pPr>
        <w:pStyle w:val="base-text-paragraph"/>
        <w:numPr>
          <w:ilvl w:val="1"/>
          <w:numId w:val="22"/>
        </w:numPr>
      </w:pPr>
      <w:r>
        <w:t xml:space="preserve">The Minister must publish a list of </w:t>
      </w:r>
      <w:r w:rsidR="00C111C7">
        <w:t>the participating</w:t>
      </w:r>
      <w:r w:rsidR="00A84D4E">
        <w:t xml:space="preserve"> economies. </w:t>
      </w:r>
    </w:p>
    <w:p w14:paraId="7464C10C" w14:textId="32432037" w:rsidR="00B7493C" w:rsidRDefault="00DA6AAD" w:rsidP="00ED7617">
      <w:pPr>
        <w:pStyle w:val="base-text-paragraph"/>
        <w:numPr>
          <w:ilvl w:val="1"/>
          <w:numId w:val="22"/>
        </w:numPr>
      </w:pPr>
      <w:r>
        <w:t xml:space="preserve">The </w:t>
      </w:r>
      <w:r w:rsidRPr="00DA6AAD">
        <w:rPr>
          <w:b/>
          <w:i/>
        </w:rPr>
        <w:t xml:space="preserve">Passport Rules for </w:t>
      </w:r>
      <w:r>
        <w:rPr>
          <w:b/>
          <w:i/>
        </w:rPr>
        <w:t>this jurisdiction</w:t>
      </w:r>
      <w:r w:rsidR="00584E00">
        <w:t xml:space="preserve"> are the rules for passport funds that are made by the Minister and in force in Australia. The </w:t>
      </w:r>
      <w:r>
        <w:rPr>
          <w:b/>
          <w:i/>
        </w:rPr>
        <w:t>Passport R</w:t>
      </w:r>
      <w:r w:rsidR="00584E00" w:rsidRPr="00DA6AAD">
        <w:rPr>
          <w:b/>
          <w:i/>
        </w:rPr>
        <w:t xml:space="preserve">ules </w:t>
      </w:r>
      <w:r w:rsidRPr="00DA6AAD">
        <w:rPr>
          <w:b/>
          <w:i/>
        </w:rPr>
        <w:t>for a p</w:t>
      </w:r>
      <w:r w:rsidR="00584E00" w:rsidRPr="00DA6AAD">
        <w:rPr>
          <w:b/>
          <w:i/>
        </w:rPr>
        <w:t>articipating economy</w:t>
      </w:r>
      <w:r w:rsidRPr="00DA6AAD">
        <w:rPr>
          <w:b/>
          <w:i/>
        </w:rPr>
        <w:t xml:space="preserve"> other than Australia</w:t>
      </w:r>
      <w:r w:rsidR="00584E00">
        <w:t xml:space="preserve"> are the rules for passport funds in force in another country that has signed </w:t>
      </w:r>
      <w:r w:rsidR="00AA03D6">
        <w:t xml:space="preserve">and implemented </w:t>
      </w:r>
      <w:r w:rsidR="00584E00">
        <w:t xml:space="preserve">the MOC. Both the </w:t>
      </w:r>
      <w:r>
        <w:t>Passport Rules for this jurisdiction and the Passport Rules for a participating economy other than Australia</w:t>
      </w:r>
      <w:r w:rsidR="00584E00">
        <w:t xml:space="preserve"> must be substantially the same as the agreed rules for passport funds in </w:t>
      </w:r>
      <w:r w:rsidR="00D4696C">
        <w:t>Annex </w:t>
      </w:r>
      <w:r w:rsidR="00584E00">
        <w:t xml:space="preserve">3 of the MOC. </w:t>
      </w:r>
    </w:p>
    <w:p w14:paraId="69586726" w14:textId="2B48D980" w:rsidR="00FF57B5" w:rsidRDefault="005E2E31" w:rsidP="00ED7617">
      <w:pPr>
        <w:pStyle w:val="base-text-paragraph"/>
        <w:numPr>
          <w:ilvl w:val="1"/>
          <w:numId w:val="22"/>
        </w:numPr>
      </w:pPr>
      <w:r w:rsidRPr="00DA6AAD">
        <w:rPr>
          <w:b/>
          <w:i/>
        </w:rPr>
        <w:t>Passport funds</w:t>
      </w:r>
      <w:r>
        <w:t xml:space="preserve"> are </w:t>
      </w:r>
      <w:r w:rsidRPr="00DA6AAD">
        <w:rPr>
          <w:b/>
          <w:i/>
        </w:rPr>
        <w:t>regulated CISs</w:t>
      </w:r>
      <w:r w:rsidR="00584E00">
        <w:t xml:space="preserve"> (</w:t>
      </w:r>
      <w:r w:rsidR="00D4696C">
        <w:t>that is,</w:t>
      </w:r>
      <w:r w:rsidR="00E647B6">
        <w:t xml:space="preserve"> c</w:t>
      </w:r>
      <w:r w:rsidR="00584E00">
        <w:t>ollective investment vehicles),</w:t>
      </w:r>
      <w:r>
        <w:t xml:space="preserve"> </w:t>
      </w:r>
      <w:r w:rsidR="00584E00">
        <w:t>and</w:t>
      </w:r>
      <w:r>
        <w:t xml:space="preserve"> sub</w:t>
      </w:r>
      <w:r w:rsidR="00723747">
        <w:noBreakHyphen/>
      </w:r>
      <w:r>
        <w:t>funds of regulated CIS</w:t>
      </w:r>
      <w:r w:rsidR="00DE34FE">
        <w:t>s</w:t>
      </w:r>
      <w:r w:rsidR="00DB4184">
        <w:t xml:space="preserve">, </w:t>
      </w:r>
      <w:r>
        <w:t xml:space="preserve">that </w:t>
      </w:r>
      <w:r w:rsidR="000F3863">
        <w:t>are</w:t>
      </w:r>
      <w:r>
        <w:t xml:space="preserve"> registered as</w:t>
      </w:r>
      <w:r w:rsidR="00DB4184">
        <w:t xml:space="preserve"> a</w:t>
      </w:r>
      <w:r>
        <w:t xml:space="preserve"> </w:t>
      </w:r>
      <w:r w:rsidR="00DB4184">
        <w:t>passport</w:t>
      </w:r>
      <w:r>
        <w:t xml:space="preserve"> fund in a participating economy</w:t>
      </w:r>
      <w:r w:rsidR="00B6106F">
        <w:t>.</w:t>
      </w:r>
      <w:r>
        <w:t xml:space="preserve"> </w:t>
      </w:r>
      <w:r w:rsidR="00FE45BE">
        <w:t xml:space="preserve">The economy where the passport fund </w:t>
      </w:r>
      <w:r w:rsidR="000F3863">
        <w:t xml:space="preserve">is </w:t>
      </w:r>
      <w:r w:rsidR="00FE45BE">
        <w:t>first register</w:t>
      </w:r>
      <w:r w:rsidR="000F3863">
        <w:t>ed</w:t>
      </w:r>
      <w:r w:rsidR="00FE45BE">
        <w:t xml:space="preserve"> or approved is referred to as the fund’s </w:t>
      </w:r>
      <w:r w:rsidR="00FE45BE">
        <w:rPr>
          <w:b/>
          <w:i/>
        </w:rPr>
        <w:t>home economy</w:t>
      </w:r>
      <w:r w:rsidR="00FE45BE">
        <w:t xml:space="preserve">. If the fund applies or </w:t>
      </w:r>
      <w:r w:rsidR="00DE5CD0">
        <w:t>is permitted</w:t>
      </w:r>
      <w:r w:rsidR="00FE45BE">
        <w:t xml:space="preserve"> to offer interests in another economy, the other economy is the fund’s </w:t>
      </w:r>
      <w:r w:rsidR="00FE45BE">
        <w:rPr>
          <w:b/>
          <w:i/>
        </w:rPr>
        <w:t>host economy</w:t>
      </w:r>
      <w:r w:rsidR="00FE45BE">
        <w:t>.</w:t>
      </w:r>
    </w:p>
    <w:p w14:paraId="60306762" w14:textId="5800F2D4" w:rsidR="009D69A4" w:rsidRPr="009D69A4" w:rsidRDefault="00D9405B" w:rsidP="005E37ED">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D9405B" w:rsidRPr="004666B8" w14:paraId="78081069" w14:textId="77777777" w:rsidTr="00260FA6">
        <w:tc>
          <w:tcPr>
            <w:tcW w:w="3275" w:type="dxa"/>
          </w:tcPr>
          <w:p w14:paraId="1A038433" w14:textId="1718F19A" w:rsidR="00D9405B" w:rsidRPr="004666B8" w:rsidRDefault="00D9405B" w:rsidP="00260FA6">
            <w:pPr>
              <w:pStyle w:val="tableheaderwithintable"/>
              <w:rPr>
                <w:lang w:val="en-US" w:eastAsia="en-US"/>
              </w:rPr>
            </w:pPr>
            <w:r w:rsidRPr="004666B8">
              <w:rPr>
                <w:lang w:val="en-US" w:eastAsia="en-US"/>
              </w:rPr>
              <w:t>New law</w:t>
            </w:r>
          </w:p>
        </w:tc>
        <w:tc>
          <w:tcPr>
            <w:tcW w:w="3276" w:type="dxa"/>
          </w:tcPr>
          <w:p w14:paraId="13F34E1B" w14:textId="26188E54" w:rsidR="00D9405B" w:rsidRPr="004666B8" w:rsidRDefault="00D9405B" w:rsidP="00260FA6">
            <w:pPr>
              <w:pStyle w:val="tableheaderwithintable"/>
              <w:rPr>
                <w:lang w:val="en-US" w:eastAsia="en-US"/>
              </w:rPr>
            </w:pPr>
            <w:r w:rsidRPr="004666B8">
              <w:rPr>
                <w:lang w:val="en-US" w:eastAsia="en-US"/>
              </w:rPr>
              <w:t>Current law</w:t>
            </w:r>
          </w:p>
        </w:tc>
      </w:tr>
      <w:tr w:rsidR="00D9405B" w:rsidRPr="004666B8" w14:paraId="1FC430B8" w14:textId="77777777" w:rsidTr="00260FA6">
        <w:tc>
          <w:tcPr>
            <w:tcW w:w="3275" w:type="dxa"/>
          </w:tcPr>
          <w:p w14:paraId="72A0E89D" w14:textId="788F77E9" w:rsidR="00DB4184" w:rsidRPr="00DB4184" w:rsidRDefault="00DB4184" w:rsidP="00EB2737">
            <w:pPr>
              <w:pStyle w:val="tabletext"/>
              <w:tabs>
                <w:tab w:val="center" w:pos="1529"/>
              </w:tabs>
              <w:rPr>
                <w:lang w:val="en-US" w:eastAsia="en-US"/>
              </w:rPr>
            </w:pPr>
            <w:r w:rsidRPr="00DB4184">
              <w:rPr>
                <w:lang w:val="en-US" w:eastAsia="en-US"/>
              </w:rPr>
              <w:t xml:space="preserve">Special arrangements apply to passport funds. </w:t>
            </w:r>
            <w:r w:rsidRPr="00D4696C">
              <w:rPr>
                <w:b/>
                <w:i/>
                <w:lang w:val="en-US" w:eastAsia="en-US"/>
              </w:rPr>
              <w:t>Passport funds</w:t>
            </w:r>
            <w:r w:rsidRPr="00DB4184">
              <w:rPr>
                <w:lang w:val="en-US" w:eastAsia="en-US"/>
              </w:rPr>
              <w:t xml:space="preserve"> are </w:t>
            </w:r>
            <w:r>
              <w:rPr>
                <w:lang w:val="en-US" w:eastAsia="en-US"/>
              </w:rPr>
              <w:t>regulated CISs</w:t>
            </w:r>
            <w:r w:rsidRPr="00DB4184">
              <w:rPr>
                <w:lang w:val="en-US" w:eastAsia="en-US"/>
              </w:rPr>
              <w:t>, and sub</w:t>
            </w:r>
            <w:r w:rsidR="00723747">
              <w:rPr>
                <w:lang w:val="en-US" w:eastAsia="en-US"/>
              </w:rPr>
              <w:noBreakHyphen/>
            </w:r>
            <w:r w:rsidRPr="00DB4184">
              <w:rPr>
                <w:lang w:val="en-US" w:eastAsia="en-US"/>
              </w:rPr>
              <w:t xml:space="preserve">funds of regulated CISs, that </w:t>
            </w:r>
            <w:r w:rsidR="00324077">
              <w:rPr>
                <w:lang w:val="en-US" w:eastAsia="en-US"/>
              </w:rPr>
              <w:t>are</w:t>
            </w:r>
            <w:r w:rsidRPr="00DB4184">
              <w:rPr>
                <w:lang w:val="en-US" w:eastAsia="en-US"/>
              </w:rPr>
              <w:t xml:space="preserve"> registered as a </w:t>
            </w:r>
            <w:r w:rsidR="00324077">
              <w:rPr>
                <w:lang w:val="en-US" w:eastAsia="en-US"/>
              </w:rPr>
              <w:t xml:space="preserve">passport </w:t>
            </w:r>
            <w:r w:rsidRPr="00DB4184">
              <w:rPr>
                <w:lang w:val="en-US" w:eastAsia="en-US"/>
              </w:rPr>
              <w:t>fund in a participating economy.</w:t>
            </w:r>
          </w:p>
          <w:p w14:paraId="686A8B98" w14:textId="546B5ED5" w:rsidR="00D9405B" w:rsidRPr="004666B8" w:rsidRDefault="00DB4184" w:rsidP="00EB2737">
            <w:pPr>
              <w:pStyle w:val="tabletext"/>
              <w:tabs>
                <w:tab w:val="center" w:pos="1529"/>
              </w:tabs>
              <w:rPr>
                <w:lang w:val="en-US" w:eastAsia="en-US"/>
              </w:rPr>
            </w:pPr>
            <w:r w:rsidRPr="00DB4184">
              <w:rPr>
                <w:lang w:val="en-US" w:eastAsia="en-US"/>
              </w:rPr>
              <w:t xml:space="preserve">A </w:t>
            </w:r>
            <w:r w:rsidRPr="00D4696C">
              <w:rPr>
                <w:b/>
                <w:i/>
                <w:lang w:val="en-US" w:eastAsia="en-US"/>
              </w:rPr>
              <w:t>participating economy</w:t>
            </w:r>
            <w:r w:rsidRPr="00DB4184">
              <w:rPr>
                <w:lang w:val="en-US" w:eastAsia="en-US"/>
              </w:rPr>
              <w:t xml:space="preserve"> is a country which has signed the MOC and been listed by the Joint Committee as having implemented the MOC. A country will cease to be a participating economy if it withdraws from the MOC or the MOC is terminated.</w:t>
            </w:r>
          </w:p>
        </w:tc>
        <w:tc>
          <w:tcPr>
            <w:tcW w:w="3276" w:type="dxa"/>
          </w:tcPr>
          <w:p w14:paraId="5A7A455F" w14:textId="32F9668E" w:rsidR="00D9405B" w:rsidRPr="004666B8" w:rsidRDefault="00B7493C" w:rsidP="00260FA6">
            <w:pPr>
              <w:pStyle w:val="tabletext"/>
              <w:rPr>
                <w:lang w:val="en-US" w:eastAsia="en-US"/>
              </w:rPr>
            </w:pPr>
            <w:r>
              <w:rPr>
                <w:lang w:val="en-US" w:eastAsia="en-US"/>
              </w:rPr>
              <w:t>No equivalent.</w:t>
            </w:r>
          </w:p>
        </w:tc>
      </w:tr>
      <w:tr w:rsidR="00DB4184" w:rsidRPr="004666B8" w14:paraId="784BD172" w14:textId="77777777" w:rsidTr="00260FA6">
        <w:tc>
          <w:tcPr>
            <w:tcW w:w="3275" w:type="dxa"/>
          </w:tcPr>
          <w:p w14:paraId="06CBA1C2" w14:textId="44819879" w:rsidR="00DB4184" w:rsidRDefault="00DB4184" w:rsidP="00DB4184">
            <w:pPr>
              <w:pStyle w:val="tabletext"/>
              <w:tabs>
                <w:tab w:val="center" w:pos="1529"/>
              </w:tabs>
              <w:rPr>
                <w:lang w:val="en-US" w:eastAsia="en-US"/>
              </w:rPr>
            </w:pPr>
            <w:r>
              <w:rPr>
                <w:lang w:val="en-US" w:eastAsia="en-US"/>
              </w:rPr>
              <w:t>The Minister must publish a list of the participating economies.</w:t>
            </w:r>
          </w:p>
        </w:tc>
        <w:tc>
          <w:tcPr>
            <w:tcW w:w="3276" w:type="dxa"/>
          </w:tcPr>
          <w:p w14:paraId="4D09493F" w14:textId="3621F303" w:rsidR="00DB4184" w:rsidRDefault="00DB4184" w:rsidP="00260FA6">
            <w:pPr>
              <w:pStyle w:val="tabletext"/>
              <w:rPr>
                <w:lang w:val="en-US" w:eastAsia="en-US"/>
              </w:rPr>
            </w:pPr>
            <w:r>
              <w:rPr>
                <w:lang w:val="en-US" w:eastAsia="en-US"/>
              </w:rPr>
              <w:t>No equivalent.</w:t>
            </w:r>
          </w:p>
        </w:tc>
      </w:tr>
      <w:tr w:rsidR="00DB4184" w:rsidRPr="004666B8" w14:paraId="125DF722" w14:textId="77777777" w:rsidTr="00260FA6">
        <w:tc>
          <w:tcPr>
            <w:tcW w:w="3275" w:type="dxa"/>
          </w:tcPr>
          <w:p w14:paraId="5400E722" w14:textId="62580899" w:rsidR="00DB4184" w:rsidRDefault="00DB4184" w:rsidP="000E2D0F">
            <w:pPr>
              <w:pStyle w:val="tabletext"/>
              <w:tabs>
                <w:tab w:val="center" w:pos="1529"/>
              </w:tabs>
              <w:rPr>
                <w:lang w:val="en-US" w:eastAsia="en-US"/>
              </w:rPr>
            </w:pPr>
            <w:r>
              <w:rPr>
                <w:lang w:val="en-US" w:eastAsia="en-US"/>
              </w:rPr>
              <w:t xml:space="preserve">The Minister may make the </w:t>
            </w:r>
            <w:r w:rsidR="00DA6AAD" w:rsidRPr="00DA6AAD">
              <w:rPr>
                <w:b/>
                <w:i/>
                <w:lang w:val="en-US" w:eastAsia="en-US"/>
              </w:rPr>
              <w:t>Passport Rules for this jurisdiction</w:t>
            </w:r>
            <w:r>
              <w:rPr>
                <w:lang w:val="en-US" w:eastAsia="en-US"/>
              </w:rPr>
              <w:t xml:space="preserve"> by legislative instrument and these rules must be substantially the same as the r</w:t>
            </w:r>
            <w:r w:rsidR="00A20F27">
              <w:rPr>
                <w:lang w:val="en-US" w:eastAsia="en-US"/>
              </w:rPr>
              <w:t>ule</w:t>
            </w:r>
            <w:r>
              <w:rPr>
                <w:lang w:val="en-US" w:eastAsia="en-US"/>
              </w:rPr>
              <w:t xml:space="preserve">s in </w:t>
            </w:r>
            <w:r w:rsidR="000E2D0F">
              <w:rPr>
                <w:lang w:val="en-US" w:eastAsia="en-US"/>
              </w:rPr>
              <w:t>Annex </w:t>
            </w:r>
            <w:r>
              <w:rPr>
                <w:lang w:val="en-US" w:eastAsia="en-US"/>
              </w:rPr>
              <w:t>3 of the MOC.</w:t>
            </w:r>
          </w:p>
        </w:tc>
        <w:tc>
          <w:tcPr>
            <w:tcW w:w="3276" w:type="dxa"/>
          </w:tcPr>
          <w:p w14:paraId="41AFDA7E" w14:textId="6C005DCA" w:rsidR="00DB4184" w:rsidRDefault="00DB4184" w:rsidP="00260FA6">
            <w:pPr>
              <w:pStyle w:val="tabletext"/>
              <w:rPr>
                <w:lang w:val="en-US" w:eastAsia="en-US"/>
              </w:rPr>
            </w:pPr>
            <w:r>
              <w:rPr>
                <w:lang w:val="en-US" w:eastAsia="en-US"/>
              </w:rPr>
              <w:t>No equivalent.</w:t>
            </w:r>
          </w:p>
        </w:tc>
      </w:tr>
      <w:tr w:rsidR="00DB4184" w:rsidRPr="004666B8" w14:paraId="7C24E50E" w14:textId="77777777" w:rsidTr="00260FA6">
        <w:tc>
          <w:tcPr>
            <w:tcW w:w="3275" w:type="dxa"/>
          </w:tcPr>
          <w:p w14:paraId="3C361818" w14:textId="4C121DF2" w:rsidR="00DB4184" w:rsidRPr="00DB4184" w:rsidRDefault="00DB4184" w:rsidP="00D4696C">
            <w:pPr>
              <w:pStyle w:val="tabletext"/>
              <w:tabs>
                <w:tab w:val="center" w:pos="1529"/>
              </w:tabs>
              <w:rPr>
                <w:lang w:val="en-US" w:eastAsia="en-US"/>
              </w:rPr>
            </w:pPr>
            <w:r w:rsidRPr="00DB4184">
              <w:rPr>
                <w:lang w:val="en-US" w:eastAsia="en-US"/>
              </w:rPr>
              <w:t xml:space="preserve">The </w:t>
            </w:r>
            <w:r w:rsidRPr="00DA6AAD">
              <w:rPr>
                <w:b/>
                <w:i/>
                <w:lang w:val="en-US" w:eastAsia="en-US"/>
              </w:rPr>
              <w:t xml:space="preserve">Passport Rules </w:t>
            </w:r>
            <w:r w:rsidR="00DA6AAD">
              <w:rPr>
                <w:b/>
                <w:i/>
                <w:lang w:val="en-US" w:eastAsia="en-US"/>
              </w:rPr>
              <w:t>for</w:t>
            </w:r>
            <w:r w:rsidRPr="00DA6AAD">
              <w:rPr>
                <w:b/>
                <w:i/>
                <w:lang w:val="en-US" w:eastAsia="en-US"/>
              </w:rPr>
              <w:t xml:space="preserve"> </w:t>
            </w:r>
            <w:r w:rsidR="00DA6AAD">
              <w:rPr>
                <w:b/>
                <w:i/>
                <w:lang w:val="en-US" w:eastAsia="en-US"/>
              </w:rPr>
              <w:t>a</w:t>
            </w:r>
            <w:r w:rsidRPr="00DA6AAD">
              <w:rPr>
                <w:b/>
                <w:i/>
                <w:lang w:val="en-US" w:eastAsia="en-US"/>
              </w:rPr>
              <w:t xml:space="preserve"> participating economy</w:t>
            </w:r>
            <w:r w:rsidR="00DA6AAD">
              <w:rPr>
                <w:b/>
                <w:i/>
                <w:lang w:val="en-US" w:eastAsia="en-US"/>
              </w:rPr>
              <w:t xml:space="preserve"> other than Australia</w:t>
            </w:r>
            <w:r w:rsidRPr="00DB4184">
              <w:rPr>
                <w:lang w:val="en-US" w:eastAsia="en-US"/>
              </w:rPr>
              <w:t xml:space="preserve"> are the rules in force in </w:t>
            </w:r>
            <w:r w:rsidR="00AA03D6">
              <w:rPr>
                <w:lang w:val="en-US" w:eastAsia="en-US"/>
              </w:rPr>
              <w:t>another country that has signed and implemented the MOC, provided that those</w:t>
            </w:r>
            <w:r w:rsidRPr="00DB4184">
              <w:rPr>
                <w:lang w:val="en-US" w:eastAsia="en-US"/>
              </w:rPr>
              <w:t xml:space="preserve"> rules are substantially the same as the r</w:t>
            </w:r>
            <w:r w:rsidR="00A20F27">
              <w:rPr>
                <w:lang w:val="en-US" w:eastAsia="en-US"/>
              </w:rPr>
              <w:t>ules</w:t>
            </w:r>
            <w:r w:rsidRPr="00DB4184">
              <w:rPr>
                <w:lang w:val="en-US" w:eastAsia="en-US"/>
              </w:rPr>
              <w:t xml:space="preserve"> in </w:t>
            </w:r>
            <w:r w:rsidR="00D4696C" w:rsidRPr="00DB4184">
              <w:rPr>
                <w:lang w:val="en-US" w:eastAsia="en-US"/>
              </w:rPr>
              <w:t>Annex</w:t>
            </w:r>
            <w:r w:rsidR="00D4696C">
              <w:rPr>
                <w:lang w:val="en-US" w:eastAsia="en-US"/>
              </w:rPr>
              <w:t> </w:t>
            </w:r>
            <w:r w:rsidRPr="00DB4184">
              <w:rPr>
                <w:lang w:val="en-US" w:eastAsia="en-US"/>
              </w:rPr>
              <w:t>3 of the MOC.</w:t>
            </w:r>
          </w:p>
        </w:tc>
        <w:tc>
          <w:tcPr>
            <w:tcW w:w="3276" w:type="dxa"/>
          </w:tcPr>
          <w:p w14:paraId="02471608" w14:textId="0C0C4D9F" w:rsidR="00DB4184" w:rsidRDefault="00DB4184" w:rsidP="00260FA6">
            <w:pPr>
              <w:pStyle w:val="tabletext"/>
              <w:rPr>
                <w:lang w:val="en-US" w:eastAsia="en-US"/>
              </w:rPr>
            </w:pPr>
            <w:r>
              <w:rPr>
                <w:lang w:val="en-US" w:eastAsia="en-US"/>
              </w:rPr>
              <w:t>No equivalent.</w:t>
            </w:r>
          </w:p>
        </w:tc>
      </w:tr>
      <w:tr w:rsidR="00BF63D5" w:rsidRPr="004666B8" w14:paraId="2939479F" w14:textId="77777777" w:rsidTr="00260FA6">
        <w:tc>
          <w:tcPr>
            <w:tcW w:w="3275" w:type="dxa"/>
          </w:tcPr>
          <w:p w14:paraId="487A40AA" w14:textId="6E13ABB2" w:rsidR="00BF63D5" w:rsidRDefault="00FE45BE" w:rsidP="00DA6AAD">
            <w:pPr>
              <w:pStyle w:val="tabletext"/>
              <w:tabs>
                <w:tab w:val="center" w:pos="1529"/>
              </w:tabs>
              <w:rPr>
                <w:i/>
              </w:rPr>
            </w:pPr>
            <w:r>
              <w:t xml:space="preserve">The </w:t>
            </w:r>
            <w:r w:rsidRPr="00B43976">
              <w:rPr>
                <w:b/>
                <w:i/>
              </w:rPr>
              <w:t>home economy</w:t>
            </w:r>
            <w:r>
              <w:t xml:space="preserve"> for a fund is the participating economy wher</w:t>
            </w:r>
            <w:r w:rsidR="00AA1E25">
              <w:t>e the fund was first registered or</w:t>
            </w:r>
            <w:r>
              <w:t xml:space="preserve"> approved as a passport fund. The regulator in this country is referred to as the </w:t>
            </w:r>
            <w:r w:rsidR="00D4696C" w:rsidRPr="00FE45BE">
              <w:rPr>
                <w:b/>
                <w:i/>
              </w:rPr>
              <w:t>home</w:t>
            </w:r>
            <w:r w:rsidR="00D4696C">
              <w:rPr>
                <w:b/>
                <w:i/>
              </w:rPr>
              <w:t> </w:t>
            </w:r>
            <w:r w:rsidRPr="00FE45BE">
              <w:rPr>
                <w:b/>
                <w:i/>
              </w:rPr>
              <w:t>regulator</w:t>
            </w:r>
            <w:r>
              <w:rPr>
                <w:i/>
              </w:rPr>
              <w:t>.</w:t>
            </w:r>
          </w:p>
          <w:p w14:paraId="028F5747" w14:textId="1758CB4B" w:rsidR="00FE45BE" w:rsidRPr="00FE45BE" w:rsidRDefault="00FE45BE" w:rsidP="00DE5CD0">
            <w:pPr>
              <w:pStyle w:val="tabletext"/>
              <w:tabs>
                <w:tab w:val="center" w:pos="1529"/>
              </w:tabs>
              <w:rPr>
                <w:b/>
                <w:i/>
                <w:lang w:val="en-US" w:eastAsia="en-US"/>
              </w:rPr>
            </w:pPr>
            <w:r>
              <w:t xml:space="preserve">The </w:t>
            </w:r>
            <w:r w:rsidRPr="00FE45BE">
              <w:rPr>
                <w:b/>
                <w:i/>
              </w:rPr>
              <w:t>host economy</w:t>
            </w:r>
            <w:r>
              <w:t xml:space="preserve"> is any participating economy where the fund subsequently applies, or </w:t>
            </w:r>
            <w:r w:rsidR="00DE5CD0">
              <w:t>is permitted</w:t>
            </w:r>
            <w:r>
              <w:t xml:space="preserve">, to offer interests. The regulator in the host economy is referred to as the </w:t>
            </w:r>
            <w:r>
              <w:rPr>
                <w:b/>
                <w:i/>
              </w:rPr>
              <w:t>host regulator.</w:t>
            </w:r>
          </w:p>
        </w:tc>
        <w:tc>
          <w:tcPr>
            <w:tcW w:w="3276" w:type="dxa"/>
          </w:tcPr>
          <w:p w14:paraId="5013F8B6" w14:textId="1A82C71F" w:rsidR="00BF63D5" w:rsidRDefault="00FE45BE" w:rsidP="00260FA6">
            <w:pPr>
              <w:pStyle w:val="tabletext"/>
              <w:rPr>
                <w:lang w:val="en-US" w:eastAsia="en-US"/>
              </w:rPr>
            </w:pPr>
            <w:r>
              <w:rPr>
                <w:lang w:val="en-US" w:eastAsia="en-US"/>
              </w:rPr>
              <w:t>No equivalent</w:t>
            </w:r>
          </w:p>
        </w:tc>
      </w:tr>
    </w:tbl>
    <w:p w14:paraId="448DC934" w14:textId="77777777" w:rsidR="00D9405B" w:rsidRDefault="00D9405B" w:rsidP="00260FA6">
      <w:pPr>
        <w:pStyle w:val="Heading2"/>
      </w:pPr>
      <w:r>
        <w:lastRenderedPageBreak/>
        <w:t>Detailed explanation of new law</w:t>
      </w:r>
    </w:p>
    <w:p w14:paraId="5A180C04" w14:textId="3E182DC2" w:rsidR="00B7493C" w:rsidRDefault="00B7493C" w:rsidP="00F77E57">
      <w:pPr>
        <w:pStyle w:val="base-text-paragraph"/>
        <w:numPr>
          <w:ilvl w:val="0"/>
          <w:numId w:val="0"/>
        </w:numPr>
        <w:rPr>
          <w:rFonts w:ascii="Helvetica" w:hAnsi="Helvetica"/>
          <w:b/>
          <w:szCs w:val="22"/>
        </w:rPr>
      </w:pPr>
      <w:r>
        <w:rPr>
          <w:rFonts w:ascii="Helvetica" w:hAnsi="Helvetica"/>
          <w:b/>
          <w:szCs w:val="22"/>
        </w:rPr>
        <w:t xml:space="preserve">Participating </w:t>
      </w:r>
      <w:r w:rsidR="00626474">
        <w:rPr>
          <w:rFonts w:ascii="Helvetica" w:hAnsi="Helvetica"/>
          <w:b/>
          <w:szCs w:val="22"/>
        </w:rPr>
        <w:t xml:space="preserve">Economies </w:t>
      </w:r>
    </w:p>
    <w:p w14:paraId="719754BD" w14:textId="669F506C" w:rsidR="00FA7680" w:rsidRDefault="00E25D36" w:rsidP="00AA03D6">
      <w:pPr>
        <w:pStyle w:val="base-text-paragraph"/>
        <w:numPr>
          <w:ilvl w:val="1"/>
          <w:numId w:val="22"/>
        </w:numPr>
      </w:pPr>
      <w:r>
        <w:t xml:space="preserve">A </w:t>
      </w:r>
      <w:r w:rsidRPr="00C54D10">
        <w:rPr>
          <w:b/>
          <w:i/>
        </w:rPr>
        <w:t>participating economy</w:t>
      </w:r>
      <w:r>
        <w:t xml:space="preserve"> is a country wh</w:t>
      </w:r>
      <w:r w:rsidR="00E65009">
        <w:t>ich</w:t>
      </w:r>
      <w:r w:rsidR="00FA7680">
        <w:t>:</w:t>
      </w:r>
    </w:p>
    <w:p w14:paraId="300CF53D" w14:textId="4CC9CCF9" w:rsidR="00B7493C" w:rsidRDefault="00DE34FE" w:rsidP="00FA7680">
      <w:pPr>
        <w:pStyle w:val="dotpoint"/>
      </w:pPr>
      <w:r>
        <w:t>i</w:t>
      </w:r>
      <w:r w:rsidR="00E25D36">
        <w:t>s</w:t>
      </w:r>
      <w:r>
        <w:t xml:space="preserve"> a </w:t>
      </w:r>
      <w:r w:rsidR="00FA7680">
        <w:t>signatory to the MOC;</w:t>
      </w:r>
    </w:p>
    <w:p w14:paraId="5EA5B591" w14:textId="7763F9CA" w:rsidR="00FA7680" w:rsidRDefault="00FA7680" w:rsidP="00FA7680">
      <w:pPr>
        <w:pStyle w:val="dotpoint"/>
      </w:pPr>
      <w:r>
        <w:t>has not withdrawn from the MOC;</w:t>
      </w:r>
      <w:r w:rsidR="00945F64">
        <w:t xml:space="preserve"> and</w:t>
      </w:r>
    </w:p>
    <w:p w14:paraId="298A179D" w14:textId="75847D5F" w:rsidR="00FA7680" w:rsidRDefault="00FA7680" w:rsidP="00FA7680">
      <w:pPr>
        <w:pStyle w:val="dotpoint"/>
      </w:pPr>
      <w:r>
        <w:t xml:space="preserve">has been listed on the </w:t>
      </w:r>
      <w:r w:rsidR="000B567C">
        <w:t>Joint Committee</w:t>
      </w:r>
      <w:r w:rsidR="000E145C">
        <w:t>’s</w:t>
      </w:r>
      <w:r w:rsidR="000B567C">
        <w:t xml:space="preserve"> </w:t>
      </w:r>
      <w:r>
        <w:t>website as a country wh</w:t>
      </w:r>
      <w:r w:rsidR="00E65009">
        <w:t>ich</w:t>
      </w:r>
      <w:r>
        <w:t xml:space="preserve"> has successfully implemented the MOC at o</w:t>
      </w:r>
      <w:r w:rsidR="004B24F0">
        <w:t>r</w:t>
      </w:r>
      <w:r>
        <w:t xml:space="preserve"> before the time in question.</w:t>
      </w:r>
    </w:p>
    <w:p w14:paraId="3563CED4" w14:textId="5F1DF46F" w:rsidR="006F533C" w:rsidRPr="006F533C" w:rsidRDefault="006F533C" w:rsidP="006F533C">
      <w:pPr>
        <w:ind w:left="1984"/>
        <w:rPr>
          <w:rStyle w:val="Referencingstyle"/>
        </w:rPr>
      </w:pPr>
      <w:r w:rsidRPr="006F533C">
        <w:rPr>
          <w:rStyle w:val="Referencingstyle"/>
        </w:rPr>
        <w:t>[Schedule</w:t>
      </w:r>
      <w:r w:rsidR="00D4696C">
        <w:rPr>
          <w:rStyle w:val="Referencingstyle"/>
        </w:rPr>
        <w:t> </w:t>
      </w:r>
      <w:r w:rsidRPr="006F533C">
        <w:rPr>
          <w:rStyle w:val="Referencingstyle"/>
        </w:rPr>
        <w:t>1, item</w:t>
      </w:r>
      <w:r w:rsidR="00D4696C">
        <w:rPr>
          <w:rStyle w:val="Referencingstyle"/>
        </w:rPr>
        <w:t> </w:t>
      </w:r>
      <w:r w:rsidRPr="006F533C">
        <w:rPr>
          <w:rStyle w:val="Referencingstyle"/>
        </w:rPr>
        <w:t>1, section</w:t>
      </w:r>
      <w:r w:rsidR="00D4696C">
        <w:rPr>
          <w:rStyle w:val="Referencingstyle"/>
        </w:rPr>
        <w:t> </w:t>
      </w:r>
      <w:r w:rsidRPr="006F533C">
        <w:rPr>
          <w:rStyle w:val="Referencingstyle"/>
        </w:rPr>
        <w:t>1210]</w:t>
      </w:r>
    </w:p>
    <w:p w14:paraId="73E319A4" w14:textId="368E5182" w:rsidR="00BE3FD0" w:rsidRDefault="006F533C" w:rsidP="006F533C">
      <w:pPr>
        <w:pStyle w:val="base-text-paragraph"/>
        <w:rPr>
          <w:rStyle w:val="Referencingstyle"/>
          <w:b w:val="0"/>
          <w:i w:val="0"/>
          <w:sz w:val="22"/>
        </w:rPr>
      </w:pPr>
      <w:r w:rsidRPr="006F533C">
        <w:rPr>
          <w:rStyle w:val="Referencingstyle"/>
          <w:b w:val="0"/>
          <w:i w:val="0"/>
          <w:sz w:val="22"/>
        </w:rPr>
        <w:t>The</w:t>
      </w:r>
      <w:r>
        <w:rPr>
          <w:rStyle w:val="Referencingstyle"/>
          <w:b w:val="0"/>
          <w:i w:val="0"/>
          <w:sz w:val="22"/>
        </w:rPr>
        <w:t xml:space="preserve"> MOC is defined under the term </w:t>
      </w:r>
      <w:r w:rsidRPr="006F533C">
        <w:rPr>
          <w:rStyle w:val="Referencingstyle"/>
          <w:sz w:val="22"/>
        </w:rPr>
        <w:t>Memorandum of Cooperation</w:t>
      </w:r>
      <w:r>
        <w:rPr>
          <w:rStyle w:val="Referencingstyle"/>
          <w:b w:val="0"/>
          <w:i w:val="0"/>
          <w:sz w:val="22"/>
        </w:rPr>
        <w:t xml:space="preserve">. The definition makes it clear that the expression includes future changes made to the MOC as allowed under </w:t>
      </w:r>
      <w:r w:rsidR="00D4696C">
        <w:rPr>
          <w:rStyle w:val="Referencingstyle"/>
          <w:b w:val="0"/>
          <w:i w:val="0"/>
          <w:sz w:val="22"/>
        </w:rPr>
        <w:t>paragraph </w:t>
      </w:r>
      <w:r>
        <w:rPr>
          <w:rStyle w:val="Referencingstyle"/>
          <w:b w:val="0"/>
          <w:i w:val="0"/>
          <w:sz w:val="22"/>
        </w:rPr>
        <w:t>9 of the MOC.</w:t>
      </w:r>
      <w:r w:rsidR="002A331F">
        <w:rPr>
          <w:rStyle w:val="Referencingstyle"/>
          <w:b w:val="0"/>
          <w:i w:val="0"/>
          <w:sz w:val="22"/>
        </w:rPr>
        <w:t xml:space="preserve"> </w:t>
      </w:r>
      <w:r w:rsidR="002A331F">
        <w:rPr>
          <w:rStyle w:val="Referencingstyle"/>
        </w:rPr>
        <w:t>[</w:t>
      </w:r>
      <w:r w:rsidR="00D4696C">
        <w:rPr>
          <w:rStyle w:val="Referencingstyle"/>
        </w:rPr>
        <w:t>Schedule </w:t>
      </w:r>
      <w:r w:rsidR="002A331F">
        <w:rPr>
          <w:rStyle w:val="Referencingstyle"/>
        </w:rPr>
        <w:t xml:space="preserve">1, </w:t>
      </w:r>
      <w:r w:rsidR="00D4696C">
        <w:rPr>
          <w:rStyle w:val="Referencingstyle"/>
        </w:rPr>
        <w:t>item </w:t>
      </w:r>
      <w:r w:rsidR="002A331F">
        <w:rPr>
          <w:rStyle w:val="Referencingstyle"/>
        </w:rPr>
        <w:t xml:space="preserve">1, </w:t>
      </w:r>
      <w:r w:rsidR="00D4696C">
        <w:rPr>
          <w:rStyle w:val="Referencingstyle"/>
        </w:rPr>
        <w:t>section </w:t>
      </w:r>
      <w:r w:rsidR="002A331F">
        <w:rPr>
          <w:rStyle w:val="Referencingstyle"/>
        </w:rPr>
        <w:t>1210]</w:t>
      </w:r>
      <w:r w:rsidR="00DC38C9">
        <w:rPr>
          <w:rStyle w:val="Referencingstyle"/>
          <w:b w:val="0"/>
          <w:i w:val="0"/>
          <w:sz w:val="22"/>
        </w:rPr>
        <w:t xml:space="preserve"> </w:t>
      </w:r>
    </w:p>
    <w:p w14:paraId="4AA6CF7C" w14:textId="0CD9AB4A" w:rsidR="00BE3FD0" w:rsidRDefault="00DC38C9" w:rsidP="006F533C">
      <w:pPr>
        <w:pStyle w:val="base-text-paragraph"/>
        <w:rPr>
          <w:rStyle w:val="Referencingstyle"/>
          <w:b w:val="0"/>
          <w:i w:val="0"/>
          <w:sz w:val="22"/>
        </w:rPr>
      </w:pPr>
      <w:r w:rsidRPr="00BE3FD0">
        <w:rPr>
          <w:rStyle w:val="Referencingstyle"/>
          <w:b w:val="0"/>
          <w:i w:val="0"/>
          <w:sz w:val="22"/>
        </w:rPr>
        <w:t xml:space="preserve">The Joint Committee established under </w:t>
      </w:r>
      <w:r w:rsidR="00D4696C" w:rsidRPr="00BE3FD0">
        <w:rPr>
          <w:rStyle w:val="Referencingstyle"/>
          <w:b w:val="0"/>
          <w:i w:val="0"/>
          <w:sz w:val="22"/>
        </w:rPr>
        <w:t>paragraph</w:t>
      </w:r>
      <w:r w:rsidR="00D4696C">
        <w:rPr>
          <w:rStyle w:val="Referencingstyle"/>
          <w:b w:val="0"/>
          <w:i w:val="0"/>
          <w:sz w:val="22"/>
        </w:rPr>
        <w:t> </w:t>
      </w:r>
      <w:r w:rsidRPr="00BE3FD0">
        <w:rPr>
          <w:rStyle w:val="Referencingstyle"/>
          <w:b w:val="0"/>
          <w:i w:val="0"/>
          <w:sz w:val="22"/>
        </w:rPr>
        <w:t>6 of the MOC plays an import</w:t>
      </w:r>
      <w:r w:rsidRPr="00CB3FD5">
        <w:rPr>
          <w:rStyle w:val="Referencingstyle"/>
          <w:b w:val="0"/>
          <w:i w:val="0"/>
          <w:sz w:val="22"/>
        </w:rPr>
        <w:t>ant role in int</w:t>
      </w:r>
      <w:r w:rsidRPr="00945CFB">
        <w:rPr>
          <w:rStyle w:val="Referencingstyle"/>
          <w:b w:val="0"/>
          <w:i w:val="0"/>
          <w:sz w:val="22"/>
        </w:rPr>
        <w:t>erpreting and co</w:t>
      </w:r>
      <w:r w:rsidRPr="00945CFB">
        <w:rPr>
          <w:rStyle w:val="Referencingstyle"/>
          <w:b w:val="0"/>
          <w:i w:val="0"/>
          <w:sz w:val="22"/>
        </w:rPr>
        <w:noBreakHyphen/>
        <w:t xml:space="preserve">ordinating implementation of the MOC among Passport economies. Its functions include </w:t>
      </w:r>
      <w:r w:rsidR="00BE3FD0" w:rsidRPr="00945CFB">
        <w:rPr>
          <w:rStyle w:val="Referencingstyle"/>
          <w:b w:val="0"/>
          <w:i w:val="0"/>
          <w:sz w:val="22"/>
        </w:rPr>
        <w:t>monitoring the Passport Arrangements and their operation a</w:t>
      </w:r>
      <w:r w:rsidR="002A331F">
        <w:rPr>
          <w:rStyle w:val="Referencingstyle"/>
          <w:b w:val="0"/>
          <w:i w:val="0"/>
          <w:sz w:val="22"/>
        </w:rPr>
        <w:t>s well as</w:t>
      </w:r>
      <w:r w:rsidR="00BE3FD0" w:rsidRPr="00945CFB">
        <w:rPr>
          <w:rStyle w:val="Referencingstyle"/>
          <w:b w:val="0"/>
          <w:i w:val="0"/>
          <w:sz w:val="22"/>
        </w:rPr>
        <w:t xml:space="preserve"> publishing guidelines on the operation of the Passport. It may assume any other functions it considers necessary or desirable for the effective implementation and operation of the Passport. </w:t>
      </w:r>
    </w:p>
    <w:p w14:paraId="21EEFACF" w14:textId="3FD40452" w:rsidR="00C85D9F" w:rsidRDefault="00FA7680" w:rsidP="00AA03D6">
      <w:pPr>
        <w:pStyle w:val="base-text-paragraph"/>
        <w:numPr>
          <w:ilvl w:val="1"/>
          <w:numId w:val="22"/>
        </w:numPr>
      </w:pPr>
      <w:r>
        <w:t xml:space="preserve">The </w:t>
      </w:r>
      <w:r w:rsidR="00BE3FD0">
        <w:t xml:space="preserve">term </w:t>
      </w:r>
      <w:r w:rsidR="00BE3FD0" w:rsidRPr="000E7C1C">
        <w:rPr>
          <w:b/>
          <w:i/>
        </w:rPr>
        <w:t>participating economy</w:t>
      </w:r>
      <w:r w:rsidR="00BE3FD0">
        <w:t xml:space="preserve"> is</w:t>
      </w:r>
      <w:r>
        <w:t xml:space="preserve"> designed to capture all countries which have both signed and implemented the MOC.</w:t>
      </w:r>
      <w:r w:rsidR="00945F64">
        <w:t xml:space="preserve"> </w:t>
      </w:r>
      <w:r w:rsidR="00C85D9F">
        <w:t>Signing is just the first step to becoming a participating economy</w:t>
      </w:r>
      <w:r w:rsidR="00A22CB6">
        <w:t>;</w:t>
      </w:r>
      <w:r w:rsidR="00C85D9F">
        <w:t xml:space="preserve"> the country must also implement the MOC by amending the domestic laws in its </w:t>
      </w:r>
      <w:r w:rsidR="00830C71">
        <w:t>country so</w:t>
      </w:r>
      <w:r w:rsidR="00C85D9F">
        <w:t xml:space="preserve"> that they are consist</w:t>
      </w:r>
      <w:r w:rsidR="00587E64">
        <w:t>ent with the MOC and the Passport Rules. Generally</w:t>
      </w:r>
      <w:r w:rsidR="00C85D9F">
        <w:t xml:space="preserve">, countries will </w:t>
      </w:r>
      <w:r w:rsidR="00A37651">
        <w:t xml:space="preserve">endeavour to </w:t>
      </w:r>
      <w:r w:rsidR="00C85D9F">
        <w:t xml:space="preserve">implement the arrangements within </w:t>
      </w:r>
      <w:r w:rsidR="00723747">
        <w:t>18 </w:t>
      </w:r>
      <w:r w:rsidR="00C85D9F">
        <w:t>months of signing</w:t>
      </w:r>
      <w:r w:rsidR="00587E64">
        <w:t xml:space="preserve"> the MOC (</w:t>
      </w:r>
      <w:r w:rsidR="00723747">
        <w:t>subparagraph </w:t>
      </w:r>
      <w:r w:rsidR="00587E64">
        <w:t xml:space="preserve">5.6 </w:t>
      </w:r>
      <w:r w:rsidR="00587E64" w:rsidDel="00F11CBE">
        <w:t xml:space="preserve">of </w:t>
      </w:r>
      <w:r w:rsidR="00587E64">
        <w:t>the MOC).</w:t>
      </w:r>
    </w:p>
    <w:p w14:paraId="4288D9E7" w14:textId="0B6F104B" w:rsidR="00FA7680" w:rsidRDefault="00C85D9F" w:rsidP="00465740">
      <w:pPr>
        <w:pStyle w:val="base-text-paragraph"/>
        <w:numPr>
          <w:ilvl w:val="1"/>
          <w:numId w:val="22"/>
        </w:numPr>
      </w:pPr>
      <w:r>
        <w:t>The Joint</w:t>
      </w:r>
      <w:r w:rsidR="00FA7680">
        <w:t xml:space="preserve"> </w:t>
      </w:r>
      <w:r>
        <w:t xml:space="preserve">Committee is required to publish </w:t>
      </w:r>
      <w:r w:rsidR="00DE34FE">
        <w:t>a list of</w:t>
      </w:r>
      <w:r>
        <w:t xml:space="preserve"> all of the countries that have successfully implemented the MOC</w:t>
      </w:r>
      <w:r w:rsidR="00DE34FE">
        <w:t xml:space="preserve"> on its website</w:t>
      </w:r>
      <w:r>
        <w:t xml:space="preserve">. </w:t>
      </w:r>
      <w:r w:rsidR="00CE0154">
        <w:t xml:space="preserve">Inclusion in this list </w:t>
      </w:r>
      <w:r>
        <w:t>is</w:t>
      </w:r>
      <w:r w:rsidR="00CE0154">
        <w:t xml:space="preserve"> taken to be</w:t>
      </w:r>
      <w:r>
        <w:t xml:space="preserve"> conclusive evidence </w:t>
      </w:r>
      <w:r w:rsidR="00CE0154">
        <w:t>that</w:t>
      </w:r>
      <w:r w:rsidR="00945F64">
        <w:t xml:space="preserve"> a</w:t>
      </w:r>
      <w:r w:rsidR="00FA7680">
        <w:t xml:space="preserve"> country has implemented the MOC</w:t>
      </w:r>
      <w:r w:rsidR="000E7C1C">
        <w:t xml:space="preserve"> and is a participating economy</w:t>
      </w:r>
      <w:r w:rsidR="0070025F">
        <w:t xml:space="preserve"> </w:t>
      </w:r>
      <w:r w:rsidR="0070025F">
        <w:rPr>
          <w:rStyle w:val="Referencingstyle"/>
        </w:rPr>
        <w:t>[</w:t>
      </w:r>
      <w:r w:rsidR="00D4696C">
        <w:rPr>
          <w:rStyle w:val="Referencingstyle"/>
        </w:rPr>
        <w:t>Schedule </w:t>
      </w:r>
      <w:r w:rsidR="0070025F">
        <w:rPr>
          <w:rStyle w:val="Referencingstyle"/>
        </w:rPr>
        <w:t xml:space="preserve">1, </w:t>
      </w:r>
      <w:r w:rsidR="00D4696C">
        <w:rPr>
          <w:rStyle w:val="Referencingstyle"/>
        </w:rPr>
        <w:t>item </w:t>
      </w:r>
      <w:r w:rsidR="0070025F">
        <w:rPr>
          <w:rStyle w:val="Referencingstyle"/>
        </w:rPr>
        <w:t xml:space="preserve">1, </w:t>
      </w:r>
      <w:r w:rsidR="00D4696C">
        <w:rPr>
          <w:rStyle w:val="Referencingstyle"/>
        </w:rPr>
        <w:t>section </w:t>
      </w:r>
      <w:r w:rsidR="0070025F">
        <w:rPr>
          <w:rStyle w:val="Referencingstyle"/>
        </w:rPr>
        <w:t>1210]</w:t>
      </w:r>
      <w:r w:rsidR="00FA7680">
        <w:t>.</w:t>
      </w:r>
    </w:p>
    <w:p w14:paraId="1D030EB8" w14:textId="6C97A72F" w:rsidR="00C85D9F" w:rsidRDefault="00C85D9F" w:rsidP="00465740">
      <w:pPr>
        <w:pStyle w:val="base-text-paragraph"/>
        <w:numPr>
          <w:ilvl w:val="1"/>
          <w:numId w:val="22"/>
        </w:numPr>
      </w:pPr>
      <w:r>
        <w:t xml:space="preserve">Countries will cease to be participating economies if they formally withdraw from the MOC by giving </w:t>
      </w:r>
      <w:r w:rsidR="00447392">
        <w:t xml:space="preserve">at least </w:t>
      </w:r>
      <w:r w:rsidR="00D4696C">
        <w:t>28 </w:t>
      </w:r>
      <w:r>
        <w:t xml:space="preserve">days’ notice to the </w:t>
      </w:r>
      <w:r w:rsidR="00447392">
        <w:t>Joint Committee Chair and</w:t>
      </w:r>
      <w:r>
        <w:t xml:space="preserve"> other participating economies in accordance with </w:t>
      </w:r>
      <w:r w:rsidR="00D4696C">
        <w:t>paragraph </w:t>
      </w:r>
      <w:r>
        <w:t>14 of the MOC.</w:t>
      </w:r>
    </w:p>
    <w:p w14:paraId="5C964D1A" w14:textId="2E08BE30" w:rsidR="00DA76CA" w:rsidRDefault="00DA76CA" w:rsidP="00DA76CA">
      <w:pPr>
        <w:pStyle w:val="base-text-paragraph"/>
        <w:numPr>
          <w:ilvl w:val="1"/>
          <w:numId w:val="22"/>
        </w:numPr>
      </w:pPr>
      <w:r w:rsidRPr="00854CFC">
        <w:t xml:space="preserve">An economy does not cease to be a participating economy if it amends its domestic laws so that they are inconsistent with the MOC but does not formally withdraw from the MOC. Nevertheless, in this situation, the Minister may make a determination that </w:t>
      </w:r>
      <w:bookmarkStart w:id="3" w:name="_GoBack"/>
      <w:bookmarkEnd w:id="3"/>
      <w:r w:rsidRPr="00854CFC">
        <w:t>funds from that economy must not offer interests in Australia (see Chapter 3).</w:t>
      </w:r>
      <w:r w:rsidRPr="00854CFC" w:rsidDel="002F7009">
        <w:t xml:space="preserve"> </w:t>
      </w:r>
    </w:p>
    <w:p w14:paraId="5B167D78" w14:textId="73C86A73" w:rsidR="00FA7680" w:rsidRDefault="00FA7680" w:rsidP="00465740">
      <w:pPr>
        <w:pStyle w:val="base-text-paragraph"/>
        <w:numPr>
          <w:ilvl w:val="1"/>
          <w:numId w:val="22"/>
        </w:numPr>
      </w:pPr>
      <w:r>
        <w:t>If the MOC is te</w:t>
      </w:r>
      <w:r w:rsidR="002169AB">
        <w:t xml:space="preserve">rminated, no countries will be </w:t>
      </w:r>
      <w:r>
        <w:t>participa</w:t>
      </w:r>
      <w:r w:rsidR="002169AB">
        <w:t>ting economies</w:t>
      </w:r>
      <w:r w:rsidR="0070025F">
        <w:t xml:space="preserve">. </w:t>
      </w:r>
      <w:r w:rsidR="0070025F">
        <w:rPr>
          <w:rStyle w:val="Referencingstyle"/>
        </w:rPr>
        <w:t>[</w:t>
      </w:r>
      <w:r w:rsidR="00D4696C">
        <w:rPr>
          <w:rStyle w:val="Referencingstyle"/>
        </w:rPr>
        <w:t>Schedule </w:t>
      </w:r>
      <w:r w:rsidR="0070025F">
        <w:rPr>
          <w:rStyle w:val="Referencingstyle"/>
        </w:rPr>
        <w:t xml:space="preserve">1, </w:t>
      </w:r>
      <w:r w:rsidR="00D4696C">
        <w:rPr>
          <w:rStyle w:val="Referencingstyle"/>
        </w:rPr>
        <w:t>item </w:t>
      </w:r>
      <w:r w:rsidR="0070025F">
        <w:rPr>
          <w:rStyle w:val="Referencingstyle"/>
        </w:rPr>
        <w:t xml:space="preserve">1, </w:t>
      </w:r>
      <w:r w:rsidR="00D4696C">
        <w:rPr>
          <w:rStyle w:val="Referencingstyle"/>
        </w:rPr>
        <w:t>section </w:t>
      </w:r>
      <w:r w:rsidR="0070025F">
        <w:rPr>
          <w:rStyle w:val="Referencingstyle"/>
        </w:rPr>
        <w:t>1210]</w:t>
      </w:r>
    </w:p>
    <w:p w14:paraId="7F92AACD" w14:textId="68F87390" w:rsidR="00B45049" w:rsidRDefault="00E63A0A" w:rsidP="00B45049">
      <w:pPr>
        <w:pStyle w:val="base-text-paragraph"/>
        <w:numPr>
          <w:ilvl w:val="1"/>
          <w:numId w:val="22"/>
        </w:numPr>
      </w:pPr>
      <w:r>
        <w:t>The Minister is required to publish a list of participating economies</w:t>
      </w:r>
      <w:r w:rsidR="00B45049">
        <w:t xml:space="preserve"> </w:t>
      </w:r>
      <w:r w:rsidR="00B45049">
        <w:rPr>
          <w:rStyle w:val="Referencingstyle"/>
        </w:rPr>
        <w:t>[</w:t>
      </w:r>
      <w:r w:rsidR="00D4696C">
        <w:rPr>
          <w:rStyle w:val="Referencingstyle"/>
        </w:rPr>
        <w:t>Schedule </w:t>
      </w:r>
      <w:r w:rsidR="00565DF5">
        <w:rPr>
          <w:rStyle w:val="Referencingstyle"/>
        </w:rPr>
        <w:t xml:space="preserve">1, </w:t>
      </w:r>
      <w:r w:rsidR="00D4696C">
        <w:rPr>
          <w:rStyle w:val="Referencingstyle"/>
        </w:rPr>
        <w:t>item </w:t>
      </w:r>
      <w:r w:rsidR="00565DF5">
        <w:rPr>
          <w:rStyle w:val="Referencingstyle"/>
        </w:rPr>
        <w:t>1,</w:t>
      </w:r>
      <w:r w:rsidR="00B45049">
        <w:rPr>
          <w:rStyle w:val="Referencingstyle"/>
        </w:rPr>
        <w:t xml:space="preserve"> </w:t>
      </w:r>
      <w:r w:rsidR="00D4696C">
        <w:rPr>
          <w:rStyle w:val="Referencingstyle"/>
        </w:rPr>
        <w:t>subsection </w:t>
      </w:r>
      <w:r w:rsidR="00B45049">
        <w:rPr>
          <w:rStyle w:val="Referencingstyle"/>
        </w:rPr>
        <w:t>1210A(1)]</w:t>
      </w:r>
      <w:r>
        <w:t xml:space="preserve">. </w:t>
      </w:r>
      <w:r w:rsidR="00B45049">
        <w:t xml:space="preserve">The list must include the date the economy became a participating economy or withdrew from the MOC </w:t>
      </w:r>
      <w:r w:rsidR="00B45049">
        <w:rPr>
          <w:rStyle w:val="Referencingstyle"/>
        </w:rPr>
        <w:t>[</w:t>
      </w:r>
      <w:r w:rsidR="00D4696C">
        <w:rPr>
          <w:rStyle w:val="Referencingstyle"/>
        </w:rPr>
        <w:t>Schedule </w:t>
      </w:r>
      <w:r w:rsidR="00565DF5">
        <w:rPr>
          <w:rStyle w:val="Referencingstyle"/>
        </w:rPr>
        <w:t xml:space="preserve">1, </w:t>
      </w:r>
      <w:r w:rsidR="00D4696C">
        <w:rPr>
          <w:rStyle w:val="Referencingstyle"/>
        </w:rPr>
        <w:t>item </w:t>
      </w:r>
      <w:r w:rsidR="00565DF5">
        <w:rPr>
          <w:rStyle w:val="Referencingstyle"/>
        </w:rPr>
        <w:t>1,</w:t>
      </w:r>
      <w:r w:rsidR="00B45049">
        <w:rPr>
          <w:rStyle w:val="Referencingstyle"/>
        </w:rPr>
        <w:t xml:space="preserve"> </w:t>
      </w:r>
      <w:r w:rsidR="00D4696C">
        <w:rPr>
          <w:rStyle w:val="Referencingstyle"/>
        </w:rPr>
        <w:t>paragraphs </w:t>
      </w:r>
      <w:r w:rsidR="00B45049">
        <w:rPr>
          <w:rStyle w:val="Referencingstyle"/>
        </w:rPr>
        <w:t>1210(2)(a) and (b)]</w:t>
      </w:r>
      <w:r w:rsidR="00B45049">
        <w:t xml:space="preserve">. The inclusion of the date will make it easier to determine whether an economy was a participating economy at a particular point in time and remove the need for people to consult historical versions of the list. </w:t>
      </w:r>
    </w:p>
    <w:p w14:paraId="46D458E4" w14:textId="701376A7" w:rsidR="00FC52B9" w:rsidRDefault="00E63A0A" w:rsidP="00465740">
      <w:pPr>
        <w:pStyle w:val="base-text-paragraph"/>
        <w:numPr>
          <w:ilvl w:val="1"/>
          <w:numId w:val="22"/>
        </w:numPr>
      </w:pPr>
      <w:r>
        <w:t>This list must be updated as soon as is reasonably practical after</w:t>
      </w:r>
      <w:r w:rsidR="00FC52B9">
        <w:t xml:space="preserve"> an</w:t>
      </w:r>
      <w:r>
        <w:t xml:space="preserve"> </w:t>
      </w:r>
      <w:r w:rsidR="00FC52B9">
        <w:t>economy:</w:t>
      </w:r>
    </w:p>
    <w:p w14:paraId="030C3A52" w14:textId="43B69E12" w:rsidR="00FC52B9" w:rsidRDefault="00FC52B9" w:rsidP="00FC52B9">
      <w:pPr>
        <w:pStyle w:val="dotpoint"/>
      </w:pPr>
      <w:r>
        <w:t xml:space="preserve">becomes a participating economy, that is, the </w:t>
      </w:r>
      <w:r w:rsidR="00E63A0A">
        <w:t xml:space="preserve">Joint Committee </w:t>
      </w:r>
      <w:r>
        <w:t>lists the</w:t>
      </w:r>
      <w:r w:rsidR="00E63A0A">
        <w:t xml:space="preserve"> economy </w:t>
      </w:r>
      <w:r>
        <w:t>as successfu</w:t>
      </w:r>
      <w:r w:rsidR="00D712E1">
        <w:t>lly implementing on its website</w:t>
      </w:r>
      <w:r>
        <w:t>;</w:t>
      </w:r>
      <w:r w:rsidR="00E63A0A">
        <w:t xml:space="preserve"> </w:t>
      </w:r>
      <w:r>
        <w:t>or</w:t>
      </w:r>
    </w:p>
    <w:p w14:paraId="3C7B4D9E" w14:textId="77777777" w:rsidR="00B45049" w:rsidRDefault="00FC52B9" w:rsidP="00FC52B9">
      <w:pPr>
        <w:pStyle w:val="dotpoint"/>
      </w:pPr>
      <w:r>
        <w:t>ceases to be a participating economy because it withdraws from the MOC</w:t>
      </w:r>
      <w:r w:rsidR="00A96CB6">
        <w:t xml:space="preserve"> or the MOC is terminated</w:t>
      </w:r>
      <w:r w:rsidR="00B45049">
        <w:t>.</w:t>
      </w:r>
    </w:p>
    <w:p w14:paraId="76427EBD" w14:textId="3456D9BB" w:rsidR="00FA7680" w:rsidRDefault="00B45049" w:rsidP="00B45049">
      <w:pPr>
        <w:pStyle w:val="dotpoint"/>
        <w:numPr>
          <w:ilvl w:val="0"/>
          <w:numId w:val="0"/>
        </w:numPr>
        <w:ind w:left="2268" w:hanging="284"/>
      </w:pPr>
      <w:r>
        <w:rPr>
          <w:rStyle w:val="Referencingstyle"/>
        </w:rPr>
        <w:t>[</w:t>
      </w:r>
      <w:r w:rsidR="00D4696C">
        <w:rPr>
          <w:rStyle w:val="Referencingstyle"/>
        </w:rPr>
        <w:t>Schedule </w:t>
      </w:r>
      <w:r w:rsidR="00565DF5">
        <w:rPr>
          <w:rStyle w:val="Referencingstyle"/>
        </w:rPr>
        <w:t xml:space="preserve">1, </w:t>
      </w:r>
      <w:r w:rsidR="00D4696C">
        <w:rPr>
          <w:rStyle w:val="Referencingstyle"/>
        </w:rPr>
        <w:t>item </w:t>
      </w:r>
      <w:r w:rsidR="00565DF5">
        <w:rPr>
          <w:rStyle w:val="Referencingstyle"/>
        </w:rPr>
        <w:t>1,</w:t>
      </w:r>
      <w:r>
        <w:rPr>
          <w:rStyle w:val="Referencingstyle"/>
        </w:rPr>
        <w:t xml:space="preserve"> </w:t>
      </w:r>
      <w:r w:rsidR="00D4696C">
        <w:rPr>
          <w:rStyle w:val="Referencingstyle"/>
        </w:rPr>
        <w:t>paragraph </w:t>
      </w:r>
      <w:r>
        <w:rPr>
          <w:rStyle w:val="Referencingstyle"/>
        </w:rPr>
        <w:t>1210A(2</w:t>
      </w:r>
      <w:r w:rsidR="00D4696C">
        <w:rPr>
          <w:rStyle w:val="Referencingstyle"/>
        </w:rPr>
        <w:t>)</w:t>
      </w:r>
      <w:r>
        <w:rPr>
          <w:rStyle w:val="Referencingstyle"/>
        </w:rPr>
        <w:t>(c)]</w:t>
      </w:r>
    </w:p>
    <w:p w14:paraId="179DC06B" w14:textId="4C166FC5" w:rsidR="003416B4" w:rsidRDefault="00A96CB6" w:rsidP="00465740">
      <w:pPr>
        <w:pStyle w:val="base-text-paragraph"/>
        <w:numPr>
          <w:ilvl w:val="1"/>
          <w:numId w:val="22"/>
        </w:numPr>
      </w:pPr>
      <w:r>
        <w:t xml:space="preserve">The list published by the Minister is not conclusive evidence of whether a country is a participating economy. </w:t>
      </w:r>
      <w:r w:rsidR="0001690F">
        <w:t>T</w:t>
      </w:r>
      <w:r>
        <w:t xml:space="preserve">he </w:t>
      </w:r>
      <w:r w:rsidR="007C7969">
        <w:t>c</w:t>
      </w:r>
      <w:r>
        <w:t xml:space="preserve">riteria set out </w:t>
      </w:r>
      <w:r w:rsidR="007C7969">
        <w:t>above</w:t>
      </w:r>
      <w:r w:rsidR="003416B4">
        <w:t xml:space="preserve"> </w:t>
      </w:r>
      <w:r w:rsidR="0001690F">
        <w:t>are the critical factors in this regard</w:t>
      </w:r>
      <w:r w:rsidR="00170D46">
        <w:t xml:space="preserve">: </w:t>
      </w:r>
      <w:r w:rsidR="003416B4">
        <w:t xml:space="preserve">that is, the economy must have signed the MOC, been listed on the Joint Committee’s website and not </w:t>
      </w:r>
      <w:r w:rsidR="00402A47">
        <w:t xml:space="preserve">have </w:t>
      </w:r>
      <w:r w:rsidR="003416B4">
        <w:t xml:space="preserve">withdrawn from the MOC, and the MOC must not have been terminated. </w:t>
      </w:r>
    </w:p>
    <w:p w14:paraId="0E6C98E0" w14:textId="3EB7CC5F" w:rsidR="00F77E57" w:rsidRPr="00F77E57" w:rsidRDefault="00F77E57" w:rsidP="00F77E57">
      <w:pPr>
        <w:pStyle w:val="base-text-paragraph"/>
        <w:numPr>
          <w:ilvl w:val="0"/>
          <w:numId w:val="0"/>
        </w:numPr>
        <w:rPr>
          <w:rFonts w:ascii="Helvetica" w:hAnsi="Helvetica"/>
          <w:b/>
          <w:szCs w:val="22"/>
        </w:rPr>
      </w:pPr>
      <w:r w:rsidRPr="00F77E57">
        <w:rPr>
          <w:rFonts w:ascii="Helvetica" w:hAnsi="Helvetica"/>
          <w:b/>
          <w:szCs w:val="22"/>
        </w:rPr>
        <w:t>Passport Rules</w:t>
      </w:r>
    </w:p>
    <w:p w14:paraId="773179B3" w14:textId="23CD9117" w:rsidR="00A932A3" w:rsidRDefault="00A37651" w:rsidP="00465740">
      <w:pPr>
        <w:pStyle w:val="base-text-paragraph"/>
        <w:numPr>
          <w:ilvl w:val="1"/>
          <w:numId w:val="22"/>
        </w:numPr>
      </w:pPr>
      <w:r>
        <w:t xml:space="preserve">The </w:t>
      </w:r>
      <w:r w:rsidR="00A932A3">
        <w:t xml:space="preserve">requirements for </w:t>
      </w:r>
      <w:r w:rsidR="00402A47">
        <w:t>p</w:t>
      </w:r>
      <w:r w:rsidR="00A932A3">
        <w:t>assport funds are</w:t>
      </w:r>
      <w:r w:rsidR="00DF711E">
        <w:t xml:space="preserve"> </w:t>
      </w:r>
      <w:r>
        <w:t xml:space="preserve">generally </w:t>
      </w:r>
      <w:r w:rsidR="00DF711E">
        <w:t>set out in Annex </w:t>
      </w:r>
      <w:r w:rsidR="0042465B">
        <w:t>3</w:t>
      </w:r>
      <w:r w:rsidR="009F76D2">
        <w:t>: Passport Rules</w:t>
      </w:r>
      <w:r w:rsidR="0042465B">
        <w:t xml:space="preserve"> of the MOC</w:t>
      </w:r>
      <w:r w:rsidR="00A932A3">
        <w:t>. The</w:t>
      </w:r>
      <w:r w:rsidR="009F76D2">
        <w:t xml:space="preserve"> Passport</w:t>
      </w:r>
      <w:r w:rsidR="00A932A3">
        <w:t xml:space="preserve"> </w:t>
      </w:r>
      <w:r w:rsidR="009F76D2">
        <w:t>R</w:t>
      </w:r>
      <w:r w:rsidR="00A932A3">
        <w:t>ules cover:</w:t>
      </w:r>
    </w:p>
    <w:p w14:paraId="4016CE4D" w14:textId="72347FDA" w:rsidR="00A932A3" w:rsidRDefault="00A932A3" w:rsidP="00A932A3">
      <w:pPr>
        <w:pStyle w:val="dotpoint"/>
      </w:pPr>
      <w:r>
        <w:lastRenderedPageBreak/>
        <w:t xml:space="preserve">the </w:t>
      </w:r>
      <w:r w:rsidR="0046242B">
        <w:t>matters</w:t>
      </w:r>
      <w:r>
        <w:t xml:space="preserve"> that must be included in </w:t>
      </w:r>
      <w:r w:rsidR="00DF711E">
        <w:t>a</w:t>
      </w:r>
      <w:r>
        <w:t xml:space="preserve"> </w:t>
      </w:r>
      <w:r w:rsidR="006847D6">
        <w:t>passport fund</w:t>
      </w:r>
      <w:r w:rsidR="00DF711E">
        <w:t xml:space="preserve">’s </w:t>
      </w:r>
      <w:r>
        <w:t>constituent documents;</w:t>
      </w:r>
    </w:p>
    <w:p w14:paraId="45F526A1" w14:textId="4C5F5B29" w:rsidR="00A932A3" w:rsidRDefault="00A932A3" w:rsidP="00A932A3">
      <w:pPr>
        <w:pStyle w:val="dotpoint"/>
      </w:pPr>
      <w:r>
        <w:t xml:space="preserve">the eligibility requirements for operators of </w:t>
      </w:r>
      <w:r w:rsidR="006847D6">
        <w:t>passport fund</w:t>
      </w:r>
      <w:r>
        <w:t xml:space="preserve">s </w:t>
      </w:r>
      <w:r w:rsidR="000508C8">
        <w:t>(</w:t>
      </w:r>
      <w:r>
        <w:t>including their experience, qualifications, financial resources, good standing and organisational arrangements</w:t>
      </w:r>
      <w:r w:rsidR="00957FDF">
        <w:t>)</w:t>
      </w:r>
      <w:r>
        <w:t>;</w:t>
      </w:r>
    </w:p>
    <w:p w14:paraId="68D7D357" w14:textId="7DB06B61" w:rsidR="00A932A3" w:rsidRDefault="00A932A3" w:rsidP="00A932A3">
      <w:pPr>
        <w:pStyle w:val="dotpoint"/>
      </w:pPr>
      <w:r>
        <w:t xml:space="preserve">the responsibilities of </w:t>
      </w:r>
      <w:r w:rsidR="006E2BA1">
        <w:t>o</w:t>
      </w:r>
      <w:r>
        <w:t xml:space="preserve">perators </w:t>
      </w:r>
      <w:r w:rsidR="00DF711E">
        <w:t xml:space="preserve">of </w:t>
      </w:r>
      <w:r w:rsidR="006847D6">
        <w:t>passport fund</w:t>
      </w:r>
      <w:r w:rsidR="00DF711E">
        <w:t xml:space="preserve">s </w:t>
      </w:r>
      <w:r>
        <w:t>and limitations on their right to delegate;</w:t>
      </w:r>
    </w:p>
    <w:p w14:paraId="3AD39D2D" w14:textId="03DB5C73" w:rsidR="00A932A3" w:rsidRDefault="00A932A3" w:rsidP="00A932A3">
      <w:pPr>
        <w:pStyle w:val="dotpoint"/>
      </w:pPr>
      <w:r>
        <w:t xml:space="preserve">requirements for the </w:t>
      </w:r>
      <w:r w:rsidR="0064700F">
        <w:t>o</w:t>
      </w:r>
      <w:r>
        <w:t>perator</w:t>
      </w:r>
      <w:r w:rsidR="0070025F">
        <w:t>s to report breaches</w:t>
      </w:r>
      <w:r>
        <w:t>;</w:t>
      </w:r>
    </w:p>
    <w:p w14:paraId="6341A8C1" w14:textId="77777777" w:rsidR="00A932A3" w:rsidRDefault="000508C8" w:rsidP="00A932A3">
      <w:pPr>
        <w:pStyle w:val="dotpoint"/>
      </w:pPr>
      <w:r>
        <w:t>a requirement for funds to have an independent party responsible for holding the assets, and that party’s duties;</w:t>
      </w:r>
    </w:p>
    <w:p w14:paraId="68F3D30C" w14:textId="77777777" w:rsidR="000508C8" w:rsidRDefault="000508C8" w:rsidP="00A932A3">
      <w:pPr>
        <w:pStyle w:val="dotpoint"/>
      </w:pPr>
      <w:r>
        <w:t>a requirement for funds to have an independent oversight entity, such as a compliance committee;</w:t>
      </w:r>
    </w:p>
    <w:p w14:paraId="268982AD" w14:textId="77777777" w:rsidR="008064D9" w:rsidRDefault="000508C8" w:rsidP="00A932A3">
      <w:pPr>
        <w:pStyle w:val="dotpoint"/>
      </w:pPr>
      <w:r>
        <w:t xml:space="preserve">a requirement for funds to undertake annual implementation reviews or audits; </w:t>
      </w:r>
    </w:p>
    <w:p w14:paraId="0985D7D4" w14:textId="77777777" w:rsidR="0046242B" w:rsidRDefault="004E1CF6" w:rsidP="00A932A3">
      <w:pPr>
        <w:pStyle w:val="dotpoint"/>
      </w:pPr>
      <w:r>
        <w:t>e</w:t>
      </w:r>
      <w:r w:rsidR="008064D9">
        <w:t xml:space="preserve">xtensive </w:t>
      </w:r>
      <w:r w:rsidR="0046242B">
        <w:t xml:space="preserve">permissions, </w:t>
      </w:r>
      <w:r w:rsidR="008064D9">
        <w:t>restrictions</w:t>
      </w:r>
      <w:r w:rsidR="0046242B">
        <w:t xml:space="preserve"> and limits</w:t>
      </w:r>
      <w:r w:rsidR="008064D9">
        <w:t xml:space="preserve"> with regard to asset classes, counterparties and investment limits;</w:t>
      </w:r>
    </w:p>
    <w:p w14:paraId="78A15F4A" w14:textId="47A69EED" w:rsidR="0046242B" w:rsidRDefault="0046242B" w:rsidP="00A932A3">
      <w:pPr>
        <w:pStyle w:val="dotpoint"/>
      </w:pPr>
      <w:r>
        <w:t>redemption and valuation of assets;</w:t>
      </w:r>
    </w:p>
    <w:p w14:paraId="6CF45284" w14:textId="49ABCE7C" w:rsidR="000508C8" w:rsidRDefault="0046242B" w:rsidP="00A932A3">
      <w:pPr>
        <w:pStyle w:val="dotpoint"/>
      </w:pPr>
      <w:r>
        <w:t>the effect of deregistration</w:t>
      </w:r>
      <w:r w:rsidR="00D4696C">
        <w:t>;</w:t>
      </w:r>
      <w:r w:rsidR="008064D9">
        <w:t xml:space="preserve"> </w:t>
      </w:r>
      <w:r w:rsidR="000508C8">
        <w:t>and</w:t>
      </w:r>
    </w:p>
    <w:p w14:paraId="740E8604" w14:textId="77777777" w:rsidR="000508C8" w:rsidRDefault="000508C8" w:rsidP="00A932A3">
      <w:pPr>
        <w:pStyle w:val="dotpoint"/>
      </w:pPr>
      <w:r>
        <w:t>a requirement for funds to prepare financial statements.</w:t>
      </w:r>
    </w:p>
    <w:p w14:paraId="6C382F3A" w14:textId="27B3BF68" w:rsidR="000508C8" w:rsidRDefault="000508C8" w:rsidP="00260FA6">
      <w:pPr>
        <w:pStyle w:val="base-text-paragraph"/>
      </w:pPr>
      <w:r>
        <w:t xml:space="preserve">Australia, together with the other signatories to the MOC, agreed to </w:t>
      </w:r>
      <w:r w:rsidR="00C043EB">
        <w:t>give effect to</w:t>
      </w:r>
      <w:r>
        <w:t xml:space="preserve"> the </w:t>
      </w:r>
      <w:r w:rsidR="0042465B">
        <w:t>rules</w:t>
      </w:r>
      <w:r>
        <w:t xml:space="preserve"> in </w:t>
      </w:r>
      <w:r w:rsidR="00D4696C">
        <w:t>Annex </w:t>
      </w:r>
      <w:r w:rsidR="005C2D39">
        <w:t>3</w:t>
      </w:r>
      <w:r w:rsidR="00BF2D0E">
        <w:t xml:space="preserve"> </w:t>
      </w:r>
      <w:r w:rsidR="00DF711E">
        <w:t>of the MOC</w:t>
      </w:r>
      <w:r>
        <w:t xml:space="preserve">. However, </w:t>
      </w:r>
      <w:r w:rsidR="00BF2D0E">
        <w:t>the MOC does not amend do</w:t>
      </w:r>
      <w:r>
        <w:t>mestic law</w:t>
      </w:r>
      <w:r w:rsidR="00BF2D0E">
        <w:t>s</w:t>
      </w:r>
      <w:r>
        <w:t xml:space="preserve"> and </w:t>
      </w:r>
      <w:r w:rsidR="00D4696C">
        <w:t>Annex </w:t>
      </w:r>
      <w:r w:rsidR="005C2D39">
        <w:t xml:space="preserve">3 </w:t>
      </w:r>
      <w:r w:rsidR="00BF2D0E">
        <w:t>does</w:t>
      </w:r>
      <w:r>
        <w:t xml:space="preserve"> not have any </w:t>
      </w:r>
      <w:r w:rsidR="005C2D39">
        <w:t>force</w:t>
      </w:r>
      <w:r w:rsidR="000F3230">
        <w:t xml:space="preserve"> in Australia unless it is </w:t>
      </w:r>
      <w:r>
        <w:t xml:space="preserve">incorporated into Australian law. </w:t>
      </w:r>
    </w:p>
    <w:p w14:paraId="415BCBDB" w14:textId="2674805F" w:rsidR="00B45049" w:rsidRDefault="00D4696C" w:rsidP="00C043EB">
      <w:pPr>
        <w:pStyle w:val="base-text-paragraph"/>
      </w:pPr>
      <w:r>
        <w:t>Part </w:t>
      </w:r>
      <w:r w:rsidR="00B45049">
        <w:t>8A.2</w:t>
      </w:r>
      <w:r w:rsidR="000508C8">
        <w:t xml:space="preserve"> of the new law provides the mechanism for incorporating </w:t>
      </w:r>
      <w:r>
        <w:t>Annex </w:t>
      </w:r>
      <w:r w:rsidR="0042465B">
        <w:t>3 of the MOC</w:t>
      </w:r>
      <w:r w:rsidR="000508C8">
        <w:t xml:space="preserve"> into Australian law.</w:t>
      </w:r>
      <w:r w:rsidR="005C2D39">
        <w:t xml:space="preserve"> It provides that the Minister may make a legislative instrume</w:t>
      </w:r>
      <w:r w:rsidR="000F3230">
        <w:t xml:space="preserve">nt that sets out the rules for </w:t>
      </w:r>
      <w:r w:rsidR="006847D6">
        <w:t>passport fund</w:t>
      </w:r>
      <w:r w:rsidR="005C2D39">
        <w:t>s</w:t>
      </w:r>
      <w:r w:rsidR="00B45049">
        <w:t xml:space="preserve"> </w:t>
      </w:r>
      <w:r w:rsidR="00B45049">
        <w:rPr>
          <w:rStyle w:val="Referencingstyle"/>
        </w:rPr>
        <w:t>[</w:t>
      </w:r>
      <w:r>
        <w:rPr>
          <w:rStyle w:val="Referencingstyle"/>
        </w:rPr>
        <w:t>Schedule </w:t>
      </w:r>
      <w:r w:rsidR="00565DF5">
        <w:rPr>
          <w:rStyle w:val="Referencingstyle"/>
        </w:rPr>
        <w:t xml:space="preserve">1, </w:t>
      </w:r>
      <w:r>
        <w:rPr>
          <w:rStyle w:val="Referencingstyle"/>
        </w:rPr>
        <w:t>item </w:t>
      </w:r>
      <w:r w:rsidR="00565DF5">
        <w:rPr>
          <w:rStyle w:val="Referencingstyle"/>
        </w:rPr>
        <w:t>1,</w:t>
      </w:r>
      <w:r w:rsidR="00B45049">
        <w:rPr>
          <w:rStyle w:val="Referencingstyle"/>
        </w:rPr>
        <w:t xml:space="preserve"> </w:t>
      </w:r>
      <w:r>
        <w:rPr>
          <w:rStyle w:val="Referencingstyle"/>
        </w:rPr>
        <w:t>subsection </w:t>
      </w:r>
      <w:r w:rsidR="00B45049">
        <w:rPr>
          <w:rStyle w:val="Referencingstyle"/>
        </w:rPr>
        <w:t>1211(1)]</w:t>
      </w:r>
      <w:r w:rsidR="005C2D39">
        <w:t xml:space="preserve">. </w:t>
      </w:r>
      <w:r w:rsidR="00B45049">
        <w:t xml:space="preserve">These rules must be substantially the same as the rules in </w:t>
      </w:r>
      <w:r>
        <w:t>Annex </w:t>
      </w:r>
      <w:r w:rsidR="00B45049">
        <w:t>3 of the MOC but there may be minor differences</w:t>
      </w:r>
      <w:r w:rsidR="00F746BF">
        <w:t>, for example, to adapt the Passport Rules to the existing legislative concepts such as the Australian Financial Services Licence framework.</w:t>
      </w:r>
      <w:r w:rsidR="00B45049">
        <w:t xml:space="preserve"> </w:t>
      </w:r>
      <w:r w:rsidR="00B45049">
        <w:rPr>
          <w:rStyle w:val="Referencingstyle"/>
        </w:rPr>
        <w:t>[</w:t>
      </w:r>
      <w:r>
        <w:rPr>
          <w:rStyle w:val="Referencingstyle"/>
        </w:rPr>
        <w:t>Schedule </w:t>
      </w:r>
      <w:r w:rsidR="00565DF5">
        <w:rPr>
          <w:rStyle w:val="Referencingstyle"/>
        </w:rPr>
        <w:t xml:space="preserve">1, </w:t>
      </w:r>
      <w:r>
        <w:rPr>
          <w:rStyle w:val="Referencingstyle"/>
        </w:rPr>
        <w:t>item </w:t>
      </w:r>
      <w:r w:rsidR="00565DF5">
        <w:rPr>
          <w:rStyle w:val="Referencingstyle"/>
        </w:rPr>
        <w:t>1,</w:t>
      </w:r>
      <w:r w:rsidR="00B45049">
        <w:rPr>
          <w:rStyle w:val="Referencingstyle"/>
        </w:rPr>
        <w:t xml:space="preserve"> </w:t>
      </w:r>
      <w:r>
        <w:rPr>
          <w:rStyle w:val="Referencingstyle"/>
        </w:rPr>
        <w:t>subsection </w:t>
      </w:r>
      <w:r w:rsidR="00B45049">
        <w:rPr>
          <w:rStyle w:val="Referencingstyle"/>
        </w:rPr>
        <w:t>1211(2)]</w:t>
      </w:r>
      <w:r w:rsidR="00B45049">
        <w:t>.</w:t>
      </w:r>
      <w:r w:rsidR="00F746BF">
        <w:t xml:space="preserve"> </w:t>
      </w:r>
    </w:p>
    <w:p w14:paraId="30E6353A" w14:textId="50160B5D" w:rsidR="00B45049" w:rsidRDefault="00B45049" w:rsidP="00B45049">
      <w:pPr>
        <w:pStyle w:val="base-text-paragraph"/>
      </w:pPr>
      <w:r>
        <w:t xml:space="preserve">The legislative instrument will be subject to Parliamentary scrutiny and disallowance in the same way as any other legislative </w:t>
      </w:r>
      <w:r>
        <w:lastRenderedPageBreak/>
        <w:t>instrument. It must also be published on the Federal Register of Legislation</w:t>
      </w:r>
      <w:r w:rsidR="00E64129">
        <w:t xml:space="preserve"> (FRL)</w:t>
      </w:r>
      <w:r>
        <w:t xml:space="preserve">. </w:t>
      </w:r>
    </w:p>
    <w:p w14:paraId="02299B63" w14:textId="6EE3A8AB" w:rsidR="00C043EB" w:rsidRDefault="00C043EB" w:rsidP="00C043EB">
      <w:pPr>
        <w:pStyle w:val="base-text-paragraph"/>
      </w:pPr>
      <w:r w:rsidRPr="00C043EB">
        <w:rPr>
          <w:b/>
          <w:i/>
        </w:rPr>
        <w:t>The Passport Rules for this jurisdiction</w:t>
      </w:r>
      <w:r>
        <w:t xml:space="preserve"> are the Passport Rules set out in the legislative instrument made by the Minister</w:t>
      </w:r>
      <w:r w:rsidR="00B45049">
        <w:t xml:space="preserve">. </w:t>
      </w:r>
      <w:r w:rsidR="00B45049">
        <w:rPr>
          <w:rStyle w:val="Referencingstyle"/>
        </w:rPr>
        <w:t>[</w:t>
      </w:r>
      <w:r w:rsidR="00E46A45">
        <w:rPr>
          <w:rStyle w:val="Referencingstyle"/>
        </w:rPr>
        <w:t>Schedule </w:t>
      </w:r>
      <w:r w:rsidR="00565DF5">
        <w:rPr>
          <w:rStyle w:val="Referencingstyle"/>
        </w:rPr>
        <w:t xml:space="preserve">1, </w:t>
      </w:r>
      <w:r w:rsidR="00E46A45">
        <w:rPr>
          <w:rStyle w:val="Referencingstyle"/>
        </w:rPr>
        <w:t>item </w:t>
      </w:r>
      <w:r w:rsidR="00565DF5">
        <w:rPr>
          <w:rStyle w:val="Referencingstyle"/>
        </w:rPr>
        <w:t>1,</w:t>
      </w:r>
      <w:r w:rsidR="00B45049">
        <w:rPr>
          <w:rStyle w:val="Referencingstyle"/>
        </w:rPr>
        <w:t xml:space="preserve"> </w:t>
      </w:r>
      <w:r w:rsidR="00E46A45">
        <w:rPr>
          <w:rStyle w:val="Referencingstyle"/>
        </w:rPr>
        <w:t>subsection </w:t>
      </w:r>
      <w:r w:rsidR="00B45049">
        <w:rPr>
          <w:rStyle w:val="Referencingstyle"/>
        </w:rPr>
        <w:t>1211A(1)]</w:t>
      </w:r>
      <w:r>
        <w:t xml:space="preserve"> </w:t>
      </w:r>
    </w:p>
    <w:p w14:paraId="28DBDEA8" w14:textId="34E86373" w:rsidR="00DC1E85" w:rsidRDefault="00C54D10" w:rsidP="002F0B6F">
      <w:pPr>
        <w:pStyle w:val="base-text-paragraph"/>
      </w:pPr>
      <w:r>
        <w:t xml:space="preserve">The </w:t>
      </w:r>
      <w:r w:rsidRPr="00C54D10">
        <w:rPr>
          <w:b/>
          <w:i/>
        </w:rPr>
        <w:t xml:space="preserve">Passport Rules </w:t>
      </w:r>
      <w:r w:rsidR="00DA6AAD">
        <w:rPr>
          <w:b/>
          <w:i/>
        </w:rPr>
        <w:t>for a</w:t>
      </w:r>
      <w:r w:rsidRPr="00C54D10">
        <w:rPr>
          <w:b/>
          <w:i/>
        </w:rPr>
        <w:t xml:space="preserve"> participating</w:t>
      </w:r>
      <w:r>
        <w:t xml:space="preserve"> </w:t>
      </w:r>
      <w:r w:rsidR="00DA6AAD">
        <w:rPr>
          <w:b/>
          <w:i/>
        </w:rPr>
        <w:t>economy other than Australia</w:t>
      </w:r>
      <w:r>
        <w:t xml:space="preserve"> are th</w:t>
      </w:r>
      <w:r w:rsidR="00D10EC3">
        <w:t>e rules for passport funds in force</w:t>
      </w:r>
      <w:r>
        <w:t xml:space="preserve"> in one of the other countries that has signed and implemented the MOC, provided that those rules are substantially the same as </w:t>
      </w:r>
      <w:r w:rsidR="00E46A45">
        <w:t>Annex </w:t>
      </w:r>
      <w:r w:rsidR="00BD7D6F">
        <w:t>3 of</w:t>
      </w:r>
      <w:r w:rsidR="00242154">
        <w:t xml:space="preserve"> the MOC</w:t>
      </w:r>
      <w:r>
        <w:t>.</w:t>
      </w:r>
      <w:r w:rsidR="00DC1E85">
        <w:t xml:space="preserve"> </w:t>
      </w:r>
      <w:r w:rsidR="005917B2">
        <w:t>Any rules adopted by</w:t>
      </w:r>
      <w:r w:rsidR="00D10EC3">
        <w:t xml:space="preserve"> a</w:t>
      </w:r>
      <w:r w:rsidR="00C179CD">
        <w:t xml:space="preserve"> </w:t>
      </w:r>
      <w:r w:rsidR="001D25C1">
        <w:t xml:space="preserve">participating </w:t>
      </w:r>
      <w:r w:rsidR="00C179CD">
        <w:t>economy</w:t>
      </w:r>
      <w:r w:rsidR="00D10EC3">
        <w:t xml:space="preserve"> other than Australia </w:t>
      </w:r>
      <w:r w:rsidR="00260FA6">
        <w:t xml:space="preserve">which </w:t>
      </w:r>
      <w:r w:rsidR="005917B2">
        <w:t>are not</w:t>
      </w:r>
      <w:r w:rsidR="00BF2D0E">
        <w:t xml:space="preserve"> substantially </w:t>
      </w:r>
      <w:r w:rsidR="00BD7D6F">
        <w:t>the same as</w:t>
      </w:r>
      <w:r w:rsidR="00BF2D0E">
        <w:t xml:space="preserve"> </w:t>
      </w:r>
      <w:r w:rsidR="00E46A45">
        <w:t>Annex </w:t>
      </w:r>
      <w:r w:rsidR="00BF2D0E">
        <w:t>3</w:t>
      </w:r>
      <w:r w:rsidR="005917B2">
        <w:t xml:space="preserve"> of the MOC will not qualify as Passport Rules</w:t>
      </w:r>
      <w:r w:rsidR="00260FA6">
        <w:t>.</w:t>
      </w:r>
      <w:r w:rsidR="00603C69">
        <w:rPr>
          <w:rStyle w:val="Referencingstyle"/>
        </w:rPr>
        <w:t xml:space="preserve"> [</w:t>
      </w:r>
      <w:r w:rsidR="00E46A45">
        <w:rPr>
          <w:rStyle w:val="Referencingstyle"/>
        </w:rPr>
        <w:t>Schedule </w:t>
      </w:r>
      <w:r w:rsidR="00565DF5">
        <w:rPr>
          <w:rStyle w:val="Referencingstyle"/>
        </w:rPr>
        <w:t xml:space="preserve">1, </w:t>
      </w:r>
      <w:r w:rsidR="00E46A45">
        <w:rPr>
          <w:rStyle w:val="Referencingstyle"/>
        </w:rPr>
        <w:t>item </w:t>
      </w:r>
      <w:r w:rsidR="00565DF5">
        <w:rPr>
          <w:rStyle w:val="Referencingstyle"/>
        </w:rPr>
        <w:t>1,</w:t>
      </w:r>
      <w:r w:rsidR="00603C69">
        <w:rPr>
          <w:rStyle w:val="Referencingstyle"/>
        </w:rPr>
        <w:t xml:space="preserve"> </w:t>
      </w:r>
      <w:r w:rsidR="00E46A45">
        <w:rPr>
          <w:rStyle w:val="Referencingstyle"/>
        </w:rPr>
        <w:t>subsection </w:t>
      </w:r>
      <w:r w:rsidR="00603C69">
        <w:rPr>
          <w:rStyle w:val="Referencingstyle"/>
        </w:rPr>
        <w:t>1211A(2)]</w:t>
      </w:r>
    </w:p>
    <w:p w14:paraId="15F99F9C" w14:textId="6369AA54" w:rsidR="002F0B6F" w:rsidRDefault="00BF2D0E" w:rsidP="002F0B6F">
      <w:pPr>
        <w:pStyle w:val="base-text-paragraph"/>
      </w:pPr>
      <w:r>
        <w:t xml:space="preserve">The </w:t>
      </w:r>
      <w:r w:rsidR="00ED5BF6">
        <w:t>phrase</w:t>
      </w:r>
      <w:r>
        <w:t xml:space="preserve"> </w:t>
      </w:r>
      <w:r w:rsidR="00ED5BF6">
        <w:t>‘</w:t>
      </w:r>
      <w:r>
        <w:t xml:space="preserve">the Passport Rules </w:t>
      </w:r>
      <w:r w:rsidR="00DA6AAD">
        <w:t>for a participating economy other than Australia</w:t>
      </w:r>
      <w:r w:rsidR="00ED5BF6">
        <w:t>’</w:t>
      </w:r>
      <w:r>
        <w:t xml:space="preserve"> may </w:t>
      </w:r>
      <w:r w:rsidR="009D2E14">
        <w:t>not designate exactly the same set of rules</w:t>
      </w:r>
      <w:r>
        <w:t xml:space="preserve"> when used in relation to different participating economies. This situation would arise if </w:t>
      </w:r>
      <w:r w:rsidR="000F3230">
        <w:t>one participating economy</w:t>
      </w:r>
      <w:r w:rsidR="00260FA6">
        <w:t xml:space="preserve"> adopt</w:t>
      </w:r>
      <w:r w:rsidR="000F3230">
        <w:t>s a version</w:t>
      </w:r>
      <w:r w:rsidR="00260FA6">
        <w:t xml:space="preserve"> of </w:t>
      </w:r>
      <w:r w:rsidR="00E46A45">
        <w:t>Annex </w:t>
      </w:r>
      <w:r w:rsidR="00260FA6">
        <w:t xml:space="preserve">3 which </w:t>
      </w:r>
      <w:r w:rsidR="009D2E14">
        <w:t>includes minor</w:t>
      </w:r>
      <w:r w:rsidR="00260FA6">
        <w:t xml:space="preserve"> differen</w:t>
      </w:r>
      <w:r w:rsidR="009D2E14">
        <w:t>ces</w:t>
      </w:r>
      <w:r w:rsidR="000F3230">
        <w:t xml:space="preserve"> to the rules adopted in another participating economy</w:t>
      </w:r>
      <w:r w:rsidR="009D2E14">
        <w:t xml:space="preserve">, </w:t>
      </w:r>
      <w:r>
        <w:t xml:space="preserve">and both sets of rules are substantially </w:t>
      </w:r>
      <w:r w:rsidR="00D109D3">
        <w:t>the same as</w:t>
      </w:r>
      <w:r>
        <w:t xml:space="preserve"> </w:t>
      </w:r>
      <w:r w:rsidR="00E46A45">
        <w:t>Annex </w:t>
      </w:r>
      <w:r>
        <w:t>3</w:t>
      </w:r>
      <w:r w:rsidR="00260FA6">
        <w:t>.</w:t>
      </w:r>
      <w:r w:rsidR="00F746BF">
        <w:t xml:space="preserve"> </w:t>
      </w:r>
    </w:p>
    <w:p w14:paraId="28E108AD" w14:textId="573D0CD2" w:rsidR="00826D95" w:rsidRPr="00826D95" w:rsidRDefault="00826D95" w:rsidP="00826D95">
      <w:pPr>
        <w:pStyle w:val="base-text-paragraph"/>
        <w:numPr>
          <w:ilvl w:val="0"/>
          <w:numId w:val="0"/>
        </w:numPr>
        <w:ind w:left="1134"/>
        <w:rPr>
          <w:b/>
          <w:i/>
        </w:rPr>
      </w:pPr>
      <w:r>
        <w:rPr>
          <w:b/>
          <w:i/>
        </w:rPr>
        <w:t>Amendments</w:t>
      </w:r>
      <w:r w:rsidRPr="00826D95">
        <w:rPr>
          <w:b/>
          <w:i/>
        </w:rPr>
        <w:t xml:space="preserve"> to the MOC</w:t>
      </w:r>
    </w:p>
    <w:p w14:paraId="0953A5CC" w14:textId="110AE827" w:rsidR="007227E3" w:rsidRDefault="007227E3" w:rsidP="00801401">
      <w:pPr>
        <w:pStyle w:val="base-text-paragraph"/>
      </w:pPr>
      <w:r>
        <w:t xml:space="preserve">The Joint Committee may recommend amendments to </w:t>
      </w:r>
      <w:r w:rsidR="00E46A45">
        <w:t>Annex </w:t>
      </w:r>
      <w:r>
        <w:t xml:space="preserve">3 of the MOC from time to time. </w:t>
      </w:r>
      <w:r w:rsidR="00801401">
        <w:t>A recommended</w:t>
      </w:r>
      <w:r w:rsidR="00590D1F">
        <w:t xml:space="preserve"> amendment will only have effect</w:t>
      </w:r>
      <w:r w:rsidR="007239C1">
        <w:t xml:space="preserve"> and amend </w:t>
      </w:r>
      <w:r w:rsidR="00E46A45">
        <w:t>Annex </w:t>
      </w:r>
      <w:r w:rsidR="007239C1">
        <w:t>3</w:t>
      </w:r>
      <w:r w:rsidR="00590D1F">
        <w:t xml:space="preserve"> if all </w:t>
      </w:r>
      <w:r w:rsidR="000F3230">
        <w:t>participating economies</w:t>
      </w:r>
      <w:r w:rsidR="00590D1F">
        <w:t xml:space="preserve"> accept the recommendation and </w:t>
      </w:r>
      <w:r w:rsidR="00C65CFF">
        <w:t>make any necessary amendments to their domestic law</w:t>
      </w:r>
      <w:r w:rsidR="00590D1F">
        <w:t xml:space="preserve">. If </w:t>
      </w:r>
      <w:r w:rsidR="000B567C">
        <w:t>one or more</w:t>
      </w:r>
      <w:r w:rsidR="00C65CFF">
        <w:t xml:space="preserve"> participating </w:t>
      </w:r>
      <w:r w:rsidR="001C772C">
        <w:t xml:space="preserve">economies </w:t>
      </w:r>
      <w:r w:rsidR="000B567C">
        <w:t>disagree with</w:t>
      </w:r>
      <w:r w:rsidR="00590D1F">
        <w:t xml:space="preserve"> the recommendation</w:t>
      </w:r>
      <w:r w:rsidR="007239C1">
        <w:t xml:space="preserve"> or </w:t>
      </w:r>
      <w:r w:rsidR="000B567C">
        <w:t xml:space="preserve">fail to </w:t>
      </w:r>
      <w:r w:rsidR="007239C1">
        <w:t>implement the changes</w:t>
      </w:r>
      <w:r w:rsidR="000B567C">
        <w:t xml:space="preserve"> within the agreed time period</w:t>
      </w:r>
      <w:r w:rsidR="00C65CFF">
        <w:t>, the recommendation</w:t>
      </w:r>
      <w:r w:rsidR="00590D1F">
        <w:t xml:space="preserve"> has no effect and </w:t>
      </w:r>
      <w:r w:rsidR="00C65CFF">
        <w:t>must be</w:t>
      </w:r>
      <w:r w:rsidR="00590D1F">
        <w:t xml:space="preserve"> further considered at the next Joint Committee meeting (</w:t>
      </w:r>
      <w:r w:rsidR="00E46A45">
        <w:t>paragraph </w:t>
      </w:r>
      <w:r w:rsidR="00590D1F">
        <w:t xml:space="preserve">9 of </w:t>
      </w:r>
      <w:r w:rsidR="00EA7EF6">
        <w:t>the MOC</w:t>
      </w:r>
      <w:r w:rsidR="00590D1F">
        <w:t xml:space="preserve">). </w:t>
      </w:r>
    </w:p>
    <w:p w14:paraId="3B27C933" w14:textId="24884371" w:rsidR="00F233AA" w:rsidRDefault="00590D1F" w:rsidP="00260FA6">
      <w:pPr>
        <w:pStyle w:val="base-text-paragraph"/>
      </w:pPr>
      <w:r>
        <w:t>To incorporate a recommended amendment into Australia</w:t>
      </w:r>
      <w:r w:rsidR="00F9095F">
        <w:t>n</w:t>
      </w:r>
      <w:r>
        <w:t xml:space="preserve"> law, the</w:t>
      </w:r>
      <w:r w:rsidR="00B12310">
        <w:t xml:space="preserve"> </w:t>
      </w:r>
      <w:r w:rsidR="0042465B">
        <w:t xml:space="preserve">Minister </w:t>
      </w:r>
      <w:r w:rsidR="004B24F0">
        <w:t>must make</w:t>
      </w:r>
      <w:r w:rsidR="00F233AA">
        <w:t xml:space="preserve"> a new</w:t>
      </w:r>
      <w:r w:rsidR="0042465B">
        <w:t xml:space="preserve"> legislative</w:t>
      </w:r>
      <w:r w:rsidR="00BF63D5" w:rsidRPr="00BF63D5">
        <w:t xml:space="preserve"> </w:t>
      </w:r>
      <w:r w:rsidR="00BF63D5">
        <w:t>instrument</w:t>
      </w:r>
      <w:r w:rsidR="0042465B">
        <w:t xml:space="preserve">. </w:t>
      </w:r>
      <w:r w:rsidR="00DA79F2">
        <w:t xml:space="preserve">The legislative instrument </w:t>
      </w:r>
      <w:r w:rsidR="00DC3D7A">
        <w:t>will</w:t>
      </w:r>
      <w:r w:rsidR="00DA79F2">
        <w:t xml:space="preserve"> be disallowable. </w:t>
      </w:r>
      <w:r w:rsidR="009A5BCD">
        <w:t>This ensures that both the Minister and Parliament have the opportunity to consider the proposed amendment</w:t>
      </w:r>
      <w:r w:rsidR="00F233AA">
        <w:t xml:space="preserve"> before there is any change to Australian law</w:t>
      </w:r>
      <w:r w:rsidR="009A5BCD">
        <w:t>.</w:t>
      </w:r>
      <w:r w:rsidR="00F233AA">
        <w:t xml:space="preserve"> </w:t>
      </w:r>
      <w:r w:rsidR="00FC1692">
        <w:rPr>
          <w:rStyle w:val="Referencingstyle"/>
        </w:rPr>
        <w:t>[</w:t>
      </w:r>
      <w:r w:rsidR="00E46A45">
        <w:rPr>
          <w:rStyle w:val="Referencingstyle"/>
        </w:rPr>
        <w:t>Schedule </w:t>
      </w:r>
      <w:r w:rsidR="00FC1692">
        <w:rPr>
          <w:rStyle w:val="Referencingstyle"/>
        </w:rPr>
        <w:t xml:space="preserve">1, </w:t>
      </w:r>
      <w:r w:rsidR="00E46A45">
        <w:rPr>
          <w:rStyle w:val="Referencingstyle"/>
        </w:rPr>
        <w:t>item </w:t>
      </w:r>
      <w:r w:rsidR="00FC1692">
        <w:rPr>
          <w:rStyle w:val="Referencingstyle"/>
        </w:rPr>
        <w:t xml:space="preserve">1, </w:t>
      </w:r>
      <w:r w:rsidR="00E46A45">
        <w:rPr>
          <w:rStyle w:val="Referencingstyle"/>
        </w:rPr>
        <w:t>section </w:t>
      </w:r>
      <w:r w:rsidR="00FC1692">
        <w:rPr>
          <w:rStyle w:val="Referencingstyle"/>
        </w:rPr>
        <w:t>1211]</w:t>
      </w:r>
    </w:p>
    <w:p w14:paraId="410B1DBE" w14:textId="7320910D" w:rsidR="0042465B" w:rsidRDefault="00FF57B5" w:rsidP="00260FA6">
      <w:pPr>
        <w:pStyle w:val="base-text-paragraph"/>
      </w:pPr>
      <w:r>
        <w:t>If the Minister does not make a legislative instrument</w:t>
      </w:r>
      <w:r w:rsidR="007239C1">
        <w:t xml:space="preserve"> which incorporates the recommended amendment</w:t>
      </w:r>
      <w:r>
        <w:t>, Australia’s domestic law remains unchanged.</w:t>
      </w:r>
      <w:r w:rsidR="007239C1">
        <w:t xml:space="preserve"> Australia’s decision will also mean that </w:t>
      </w:r>
      <w:r w:rsidR="000B567C">
        <w:t>the</w:t>
      </w:r>
      <w:r w:rsidR="007239C1">
        <w:t xml:space="preserve"> participating economies </w:t>
      </w:r>
      <w:r w:rsidR="000B567C">
        <w:t>d</w:t>
      </w:r>
      <w:r w:rsidR="0060690F">
        <w:t>o</w:t>
      </w:r>
      <w:r w:rsidR="007239C1">
        <w:t xml:space="preserve"> not</w:t>
      </w:r>
      <w:r w:rsidR="000B567C">
        <w:t xml:space="preserve"> unanimously accept and implement</w:t>
      </w:r>
      <w:r w:rsidR="007239C1">
        <w:t xml:space="preserve"> the recommended</w:t>
      </w:r>
      <w:r>
        <w:t xml:space="preserve"> </w:t>
      </w:r>
      <w:r w:rsidR="001E0A5D">
        <w:t>amendment</w:t>
      </w:r>
      <w:r w:rsidR="000B567C">
        <w:t>. Accordingly, the proposed amendment</w:t>
      </w:r>
      <w:r w:rsidR="007239C1">
        <w:t xml:space="preserve"> </w:t>
      </w:r>
      <w:r>
        <w:t xml:space="preserve">will need to be </w:t>
      </w:r>
      <w:r w:rsidR="001E0A5D">
        <w:t xml:space="preserve">reconsidered at the next Joint Committee meeting. </w:t>
      </w:r>
    </w:p>
    <w:p w14:paraId="509A8184" w14:textId="035DD911" w:rsidR="009A5BCD" w:rsidRDefault="009A5BCD" w:rsidP="009A5BCD">
      <w:pPr>
        <w:pStyle w:val="ExampleHeading"/>
        <w:tabs>
          <w:tab w:val="clear" w:pos="360"/>
        </w:tabs>
        <w:ind w:left="1134"/>
      </w:pPr>
      <w:r>
        <w:lastRenderedPageBreak/>
        <w:t xml:space="preserve">: </w:t>
      </w:r>
      <w:r w:rsidR="00FF57B5">
        <w:t>Proposed a</w:t>
      </w:r>
      <w:r>
        <w:t>mendment</w:t>
      </w:r>
      <w:r w:rsidR="00FF57B5">
        <w:t xml:space="preserve"> </w:t>
      </w:r>
      <w:r w:rsidR="002B5E6F">
        <w:t>supported by all participating economies</w:t>
      </w:r>
    </w:p>
    <w:p w14:paraId="65585275" w14:textId="1A9017A6" w:rsidR="007239C1" w:rsidRDefault="007239C1" w:rsidP="009A5BCD">
      <w:pPr>
        <w:pStyle w:val="exampletext"/>
      </w:pPr>
      <w:r>
        <w:t>The</w:t>
      </w:r>
      <w:r w:rsidR="009A5BCD">
        <w:t xml:space="preserve"> Minister makes a legislative instrument which replicates the rules in </w:t>
      </w:r>
      <w:r w:rsidR="00E46A45">
        <w:t>Annex </w:t>
      </w:r>
      <w:r w:rsidR="009A5BCD">
        <w:t xml:space="preserve">3 of the MOC. </w:t>
      </w:r>
    </w:p>
    <w:p w14:paraId="7ECBBD8A" w14:textId="24E80DBA" w:rsidR="007239C1" w:rsidRDefault="009A5BCD" w:rsidP="009A5BCD">
      <w:pPr>
        <w:pStyle w:val="exampletext"/>
      </w:pPr>
      <w:r>
        <w:t xml:space="preserve">The Joint Committee </w:t>
      </w:r>
      <w:r w:rsidR="001E45A6">
        <w:t>recommends</w:t>
      </w:r>
      <w:r>
        <w:t xml:space="preserve"> a </w:t>
      </w:r>
      <w:r w:rsidR="001E0A5D">
        <w:t>substantial</w:t>
      </w:r>
      <w:r w:rsidR="007239C1">
        <w:t xml:space="preserve"> amendment to Annex </w:t>
      </w:r>
      <w:r>
        <w:t xml:space="preserve">3 of the MOC. </w:t>
      </w:r>
      <w:r w:rsidR="009C23F1">
        <w:t xml:space="preserve">All participating economies support the amendment and agree to give effect to it by </w:t>
      </w:r>
      <w:r w:rsidR="00E46A45">
        <w:t>31 </w:t>
      </w:r>
      <w:r w:rsidR="009C23F1">
        <w:t>December.</w:t>
      </w:r>
    </w:p>
    <w:p w14:paraId="35710E72" w14:textId="020984C1" w:rsidR="001E45A6" w:rsidRDefault="009C23F1" w:rsidP="009A5BCD">
      <w:pPr>
        <w:pStyle w:val="exampletext"/>
      </w:pPr>
      <w:r>
        <w:t xml:space="preserve">On </w:t>
      </w:r>
      <w:r w:rsidR="00E46A45">
        <w:t>1 </w:t>
      </w:r>
      <w:r>
        <w:t>August, t</w:t>
      </w:r>
      <w:r w:rsidR="001E45A6">
        <w:t xml:space="preserve">he Minister </w:t>
      </w:r>
      <w:r>
        <w:t xml:space="preserve">in Australia </w:t>
      </w:r>
      <w:r w:rsidR="001E45A6">
        <w:t xml:space="preserve">makes </w:t>
      </w:r>
      <w:r w:rsidR="007239C1">
        <w:t>a</w:t>
      </w:r>
      <w:r w:rsidR="001E45A6">
        <w:t xml:space="preserve"> legislative instrument</w:t>
      </w:r>
      <w:r>
        <w:t xml:space="preserve"> </w:t>
      </w:r>
      <w:r w:rsidR="001E45A6">
        <w:t xml:space="preserve">to incorporate the </w:t>
      </w:r>
      <w:r w:rsidR="00FF57B5">
        <w:t>proposed amendment</w:t>
      </w:r>
      <w:r w:rsidR="001E45A6">
        <w:t xml:space="preserve"> into Australian law. The</w:t>
      </w:r>
      <w:r>
        <w:t xml:space="preserve"> legislative instrument will commence on </w:t>
      </w:r>
      <w:r w:rsidR="00E46A45">
        <w:t>31 </w:t>
      </w:r>
      <w:r>
        <w:t>December but the commencement is conditional on all</w:t>
      </w:r>
      <w:r w:rsidR="001E45A6">
        <w:t xml:space="preserve"> </w:t>
      </w:r>
      <w:r w:rsidR="000F3230">
        <w:t>participating economies</w:t>
      </w:r>
      <w:r w:rsidR="001E45A6">
        <w:t xml:space="preserve"> </w:t>
      </w:r>
      <w:r>
        <w:t>giving effect to it by that date</w:t>
      </w:r>
      <w:r w:rsidR="001E45A6">
        <w:t>.</w:t>
      </w:r>
    </w:p>
    <w:p w14:paraId="68C430D2" w14:textId="42368940" w:rsidR="001E45A6" w:rsidRDefault="009C23F1" w:rsidP="009A5BCD">
      <w:pPr>
        <w:pStyle w:val="exampletext"/>
      </w:pPr>
      <w:r>
        <w:t>All participating economies</w:t>
      </w:r>
      <w:r w:rsidR="001E45A6">
        <w:t xml:space="preserve"> take the necessary steps to incorporate</w:t>
      </w:r>
      <w:r w:rsidR="00C27E4A">
        <w:t xml:space="preserve"> </w:t>
      </w:r>
      <w:r>
        <w:t>the recommended amendment</w:t>
      </w:r>
      <w:r w:rsidR="00C27E4A">
        <w:t xml:space="preserve"> </w:t>
      </w:r>
      <w:r w:rsidR="001E45A6">
        <w:t>into t</w:t>
      </w:r>
      <w:r w:rsidR="00FF57B5">
        <w:t>heir domestic laws</w:t>
      </w:r>
      <w:r>
        <w:t xml:space="preserve"> by </w:t>
      </w:r>
      <w:r w:rsidR="00E46A45">
        <w:t>31 </w:t>
      </w:r>
      <w:r>
        <w:t>December</w:t>
      </w:r>
      <w:r w:rsidR="00FF57B5">
        <w:t xml:space="preserve">. </w:t>
      </w:r>
      <w:r>
        <w:t>As a result</w:t>
      </w:r>
      <w:r w:rsidR="001E45A6">
        <w:t>:</w:t>
      </w:r>
    </w:p>
    <w:p w14:paraId="6CCE72A9" w14:textId="413C2B60" w:rsidR="001E0A5D" w:rsidRDefault="00E46A45" w:rsidP="001E0A5D">
      <w:pPr>
        <w:pStyle w:val="exampledotpoint1"/>
      </w:pPr>
      <w:r>
        <w:t>Annex </w:t>
      </w:r>
      <w:r w:rsidR="00FF57B5">
        <w:t>3 of the MOC will be amended</w:t>
      </w:r>
      <w:r w:rsidR="001E45A6">
        <w:t>; and</w:t>
      </w:r>
    </w:p>
    <w:p w14:paraId="47C97B59" w14:textId="3C58EB86" w:rsidR="001E45A6" w:rsidRDefault="001E45A6" w:rsidP="001E0A5D">
      <w:pPr>
        <w:pStyle w:val="exampledotpoint1"/>
      </w:pPr>
      <w:r>
        <w:t xml:space="preserve">the condition in the legislative instrument will be satisfied </w:t>
      </w:r>
      <w:r w:rsidR="009C23F1">
        <w:t xml:space="preserve">and the amended rules commence in Australia on </w:t>
      </w:r>
      <w:r w:rsidR="00E46A45">
        <w:t>31 </w:t>
      </w:r>
      <w:r w:rsidR="009C23F1">
        <w:t>December</w:t>
      </w:r>
      <w:r>
        <w:t>.</w:t>
      </w:r>
    </w:p>
    <w:p w14:paraId="23F7E087" w14:textId="01FC422D" w:rsidR="002B5E6F" w:rsidRDefault="002B5E6F" w:rsidP="002B5E6F">
      <w:pPr>
        <w:pStyle w:val="ExampleHeading"/>
        <w:tabs>
          <w:tab w:val="clear" w:pos="360"/>
        </w:tabs>
        <w:ind w:left="1134"/>
      </w:pPr>
      <w:r>
        <w:t>: Amendments to Annex 3 of the MOC which are not supported by all participating economies</w:t>
      </w:r>
    </w:p>
    <w:p w14:paraId="03CCF539" w14:textId="6D53EC62" w:rsidR="009C23F1" w:rsidRDefault="009C23F1" w:rsidP="009C23F1">
      <w:pPr>
        <w:pStyle w:val="exampletext"/>
      </w:pPr>
      <w:r>
        <w:t xml:space="preserve">The Joint Committee recommends another amendment to </w:t>
      </w:r>
      <w:r w:rsidR="00E46A45">
        <w:t>Annex </w:t>
      </w:r>
      <w:r>
        <w:t xml:space="preserve">3 of the MOC. </w:t>
      </w:r>
      <w:r w:rsidR="00E46A45">
        <w:t>A</w:t>
      </w:r>
      <w:r>
        <w:t>ll participating</w:t>
      </w:r>
      <w:r w:rsidR="006A6943">
        <w:t xml:space="preserve"> economies</w:t>
      </w:r>
      <w:r>
        <w:t xml:space="preserve"> agree to give effect to it by </w:t>
      </w:r>
      <w:r w:rsidR="00E46A45">
        <w:t>1 </w:t>
      </w:r>
      <w:r>
        <w:t>July.</w:t>
      </w:r>
    </w:p>
    <w:p w14:paraId="0390FB67" w14:textId="534B98F5" w:rsidR="00D267B9" w:rsidRDefault="009C23F1" w:rsidP="00441259">
      <w:pPr>
        <w:pStyle w:val="exampledotpoint1"/>
        <w:numPr>
          <w:ilvl w:val="0"/>
          <w:numId w:val="0"/>
        </w:numPr>
        <w:ind w:left="1985"/>
      </w:pPr>
      <w:r>
        <w:t>I</w:t>
      </w:r>
      <w:r w:rsidR="00441259">
        <w:t>n Australia, the Minister makes a legislative instrument to implement the amendment</w:t>
      </w:r>
      <w:r w:rsidR="00D267B9">
        <w:t xml:space="preserve">. The legislative instrument is to commence on </w:t>
      </w:r>
      <w:r w:rsidR="00E46A45">
        <w:t>1 </w:t>
      </w:r>
      <w:r w:rsidR="00D267B9">
        <w:t xml:space="preserve">July and it contains a conditional commencement in similar terms to the commencement clause in the legislative instrument in </w:t>
      </w:r>
      <w:r w:rsidR="00A462CC">
        <w:t xml:space="preserve">the previous </w:t>
      </w:r>
      <w:r w:rsidR="00D267B9">
        <w:t>example.</w:t>
      </w:r>
    </w:p>
    <w:p w14:paraId="1FFD7F4B" w14:textId="1637D2F6" w:rsidR="00441259" w:rsidRDefault="00D267B9" w:rsidP="00441259">
      <w:pPr>
        <w:pStyle w:val="exampledotpoint1"/>
        <w:numPr>
          <w:ilvl w:val="0"/>
          <w:numId w:val="0"/>
        </w:numPr>
        <w:ind w:left="1985"/>
      </w:pPr>
      <w:r>
        <w:t xml:space="preserve">There is a change of government in one of the participating economies and the new government decides against implementing the recommended amendment. As a result, </w:t>
      </w:r>
      <w:r w:rsidR="00E46A45">
        <w:t>Annex </w:t>
      </w:r>
      <w:r>
        <w:t>3 of the MOC is not amended.</w:t>
      </w:r>
    </w:p>
    <w:p w14:paraId="6B9245AB" w14:textId="1DD395CC" w:rsidR="00441259" w:rsidRDefault="00D267B9" w:rsidP="00441259">
      <w:pPr>
        <w:pStyle w:val="exampledotpoint1"/>
        <w:numPr>
          <w:ilvl w:val="0"/>
          <w:numId w:val="0"/>
        </w:numPr>
        <w:ind w:left="1985"/>
      </w:pPr>
      <w:r>
        <w:t>Australia’s</w:t>
      </w:r>
      <w:r w:rsidR="00441259">
        <w:t xml:space="preserve"> legislative instrument will not commence</w:t>
      </w:r>
      <w:r>
        <w:t xml:space="preserve"> and ‘the </w:t>
      </w:r>
      <w:r w:rsidR="00DA6AAD">
        <w:t xml:space="preserve">Passport Rules for this </w:t>
      </w:r>
      <w:r w:rsidR="002F6E31">
        <w:t>jurisdiction</w:t>
      </w:r>
      <w:r>
        <w:t>’ will not be amended</w:t>
      </w:r>
      <w:r w:rsidR="00441259">
        <w:t xml:space="preserve">. </w:t>
      </w:r>
    </w:p>
    <w:p w14:paraId="78E211B7" w14:textId="76A4E6AE" w:rsidR="001E45A6" w:rsidRDefault="00B16AB3" w:rsidP="00441259">
      <w:pPr>
        <w:pStyle w:val="exampledotpoint1"/>
        <w:numPr>
          <w:ilvl w:val="0"/>
          <w:numId w:val="0"/>
        </w:numPr>
        <w:ind w:left="1985"/>
      </w:pPr>
      <w:r>
        <w:t>If Australia’s legislative instrument did not contain a commencement provision and the proposed amendment was substantial, the Minister</w:t>
      </w:r>
      <w:r w:rsidR="00E17838">
        <w:t>’s</w:t>
      </w:r>
      <w:r>
        <w:t xml:space="preserve"> act of making the legislative instrument </w:t>
      </w:r>
      <w:r w:rsidR="00FF57B5">
        <w:t>may</w:t>
      </w:r>
      <w:r>
        <w:t xml:space="preserve"> be ultra vires.</w:t>
      </w:r>
      <w:r w:rsidR="00BF63D5">
        <w:t xml:space="preserve"> This is </w:t>
      </w:r>
      <w:r w:rsidR="00BF63D5">
        <w:lastRenderedPageBreak/>
        <w:t xml:space="preserve">because the Minister only has power to make rules which are substantially the same as </w:t>
      </w:r>
      <w:r w:rsidR="00E46A45">
        <w:t>Annex </w:t>
      </w:r>
      <w:r w:rsidR="00BF63D5">
        <w:t xml:space="preserve">3 </w:t>
      </w:r>
      <w:r w:rsidR="00A462CC">
        <w:t>o</w:t>
      </w:r>
      <w:r w:rsidR="00BF63D5">
        <w:t>f the MOC.</w:t>
      </w:r>
      <w:r>
        <w:t xml:space="preserve"> </w:t>
      </w:r>
    </w:p>
    <w:p w14:paraId="13A224EA" w14:textId="371511D0" w:rsidR="00691C4E" w:rsidRDefault="00691C4E" w:rsidP="00691C4E">
      <w:pPr>
        <w:pStyle w:val="base-text-paragraph"/>
      </w:pPr>
      <w:r>
        <w:t>The Joint Committee may make recommendations for other changes to the MOC, including the date when the amendment should take effect (</w:t>
      </w:r>
      <w:r w:rsidR="00586783">
        <w:t xml:space="preserve">paragraph (f) of </w:t>
      </w:r>
      <w:r w:rsidR="000E2D0F">
        <w:t>sub</w:t>
      </w:r>
      <w:r w:rsidR="00E46A45" w:rsidRPr="00586783">
        <w:t>paragraph </w:t>
      </w:r>
      <w:r w:rsidRPr="00586783">
        <w:t>6.2(f)</w:t>
      </w:r>
      <w:r>
        <w:t xml:space="preserve"> of the MOC). The change will only take effect if it is agreed to by all participating economies and implemented by the time recommended by the Joint Committee (</w:t>
      </w:r>
      <w:r w:rsidR="00586783">
        <w:t>paragraph </w:t>
      </w:r>
      <w:r>
        <w:t>9 of the MOC).</w:t>
      </w:r>
    </w:p>
    <w:p w14:paraId="7BD47E18" w14:textId="204EC665" w:rsidR="00DC3CE5" w:rsidRPr="000E6CDC" w:rsidRDefault="00BF63D5" w:rsidP="00603C69">
      <w:pPr>
        <w:pStyle w:val="base-text-paragraph"/>
        <w:keepNext/>
        <w:keepLines/>
        <w:numPr>
          <w:ilvl w:val="0"/>
          <w:numId w:val="0"/>
        </w:numPr>
        <w:rPr>
          <w:rFonts w:ascii="Helvetica" w:hAnsi="Helvetica"/>
          <w:b/>
          <w:szCs w:val="22"/>
        </w:rPr>
      </w:pPr>
      <w:r>
        <w:rPr>
          <w:rFonts w:ascii="Helvetica" w:hAnsi="Helvetica"/>
          <w:b/>
          <w:szCs w:val="22"/>
        </w:rPr>
        <w:t>CISs</w:t>
      </w:r>
      <w:r w:rsidR="00BB3500">
        <w:rPr>
          <w:rFonts w:ascii="Helvetica" w:hAnsi="Helvetica"/>
          <w:b/>
          <w:szCs w:val="22"/>
        </w:rPr>
        <w:t xml:space="preserve"> and</w:t>
      </w:r>
      <w:r>
        <w:rPr>
          <w:rFonts w:ascii="Helvetica" w:hAnsi="Helvetica"/>
          <w:b/>
          <w:szCs w:val="22"/>
        </w:rPr>
        <w:t xml:space="preserve"> </w:t>
      </w:r>
      <w:r w:rsidR="00DC3CE5" w:rsidRPr="000E6CDC">
        <w:rPr>
          <w:rFonts w:ascii="Helvetica" w:hAnsi="Helvetica"/>
          <w:b/>
          <w:szCs w:val="22"/>
        </w:rPr>
        <w:t>Regulated CISs</w:t>
      </w:r>
      <w:r w:rsidR="00BB3500">
        <w:rPr>
          <w:rFonts w:ascii="Helvetica" w:hAnsi="Helvetica"/>
          <w:b/>
          <w:szCs w:val="22"/>
        </w:rPr>
        <w:t xml:space="preserve"> </w:t>
      </w:r>
    </w:p>
    <w:p w14:paraId="58132078" w14:textId="77777777" w:rsidR="00BB3500" w:rsidRDefault="00BB3500" w:rsidP="00A52B98">
      <w:pPr>
        <w:pStyle w:val="base-text-paragraph"/>
        <w:numPr>
          <w:ilvl w:val="1"/>
          <w:numId w:val="23"/>
        </w:numPr>
      </w:pPr>
      <w:r>
        <w:t xml:space="preserve">A </w:t>
      </w:r>
      <w:r w:rsidRPr="00E04936">
        <w:rPr>
          <w:b/>
          <w:i/>
        </w:rPr>
        <w:t>collective investment scheme</w:t>
      </w:r>
      <w:r>
        <w:t xml:space="preserve"> or a </w:t>
      </w:r>
      <w:r w:rsidRPr="00050681">
        <w:rPr>
          <w:b/>
          <w:i/>
        </w:rPr>
        <w:t>CIS</w:t>
      </w:r>
      <w:r>
        <w:t xml:space="preserve"> is a collective investment vehicle or arrangement where:</w:t>
      </w:r>
    </w:p>
    <w:p w14:paraId="70D173A2" w14:textId="77777777" w:rsidR="00BB3500" w:rsidRPr="00BD1CA6" w:rsidRDefault="00BB3500" w:rsidP="00BB3500">
      <w:pPr>
        <w:pStyle w:val="dotpoint"/>
      </w:pPr>
      <w:r w:rsidRPr="00BD1CA6">
        <w:t>members contribute money or money’s worth for the right to benefits;</w:t>
      </w:r>
    </w:p>
    <w:p w14:paraId="2E4DF81A" w14:textId="77777777" w:rsidR="00BB3500" w:rsidRPr="00BD1CA6" w:rsidRDefault="00BB3500" w:rsidP="00BB3500">
      <w:pPr>
        <w:pStyle w:val="dotpoint"/>
      </w:pPr>
      <w:r w:rsidRPr="00BD1CA6">
        <w:t>contributions are pooled to produce financial benefits or an interest in property for the members</w:t>
      </w:r>
      <w:r>
        <w:t>;</w:t>
      </w:r>
    </w:p>
    <w:p w14:paraId="0033C6A8" w14:textId="32F6B0AE" w:rsidR="00BB3500" w:rsidRPr="00BD1CA6" w:rsidRDefault="00BB3500" w:rsidP="00BB3500">
      <w:pPr>
        <w:pStyle w:val="dotpoint"/>
      </w:pPr>
      <w:r w:rsidRPr="00BD1CA6">
        <w:t>not all the members, in their capacities as members</w:t>
      </w:r>
      <w:r w:rsidR="007D0B11">
        <w:t>,</w:t>
      </w:r>
      <w:r w:rsidRPr="00BD1CA6">
        <w:t xml:space="preserve"> take part in day to day management of the scheme; and</w:t>
      </w:r>
    </w:p>
    <w:p w14:paraId="5D58B9E6" w14:textId="6F3CCD57" w:rsidR="00BB3500" w:rsidRDefault="00BB3500" w:rsidP="00BB3500">
      <w:pPr>
        <w:pStyle w:val="dotpoint"/>
      </w:pPr>
      <w:r w:rsidRPr="00BD1CA6">
        <w:t>the pool is managed as a whole for the benefit of the members collectively</w:t>
      </w:r>
      <w:r>
        <w:t xml:space="preserve"> (</w:t>
      </w:r>
      <w:r w:rsidR="00E46A45" w:rsidRPr="00586783">
        <w:t>section </w:t>
      </w:r>
      <w:r w:rsidRPr="00586783">
        <w:t>55</w:t>
      </w:r>
      <w:r>
        <w:t xml:space="preserve"> of </w:t>
      </w:r>
      <w:r w:rsidR="00E46A45">
        <w:t>Annex </w:t>
      </w:r>
      <w:r>
        <w:t>3 of the MOC)</w:t>
      </w:r>
      <w:r w:rsidRPr="00BD1CA6">
        <w:t>.</w:t>
      </w:r>
    </w:p>
    <w:p w14:paraId="2FE0A677" w14:textId="4FDB020A" w:rsidR="00BB3500" w:rsidRDefault="00BB3500" w:rsidP="00A52B98">
      <w:pPr>
        <w:pStyle w:val="base-text-paragraph"/>
        <w:numPr>
          <w:ilvl w:val="1"/>
          <w:numId w:val="23"/>
        </w:numPr>
      </w:pPr>
      <w:r>
        <w:t xml:space="preserve">CISs are not restricted to vehicles which meet the definition of a ‘scheme’ in domestic law. Instead, the definition of a CIS captures a range of collective investment vehicles including partnerships and other contractual relationships, managed investment schemes and corporate collective investment vehicles. </w:t>
      </w:r>
    </w:p>
    <w:p w14:paraId="6833455D" w14:textId="6249AFC2" w:rsidR="00BB3500" w:rsidRDefault="00E04936" w:rsidP="00A52B98">
      <w:pPr>
        <w:pStyle w:val="base-text-paragraph"/>
        <w:keepNext/>
        <w:keepLines/>
        <w:numPr>
          <w:ilvl w:val="1"/>
          <w:numId w:val="23"/>
        </w:numPr>
      </w:pPr>
      <w:r>
        <w:t xml:space="preserve">The new law uses the definition of </w:t>
      </w:r>
      <w:r>
        <w:rPr>
          <w:b/>
          <w:i/>
        </w:rPr>
        <w:t>r</w:t>
      </w:r>
      <w:r w:rsidR="00DC3CE5" w:rsidRPr="00050681">
        <w:rPr>
          <w:b/>
          <w:i/>
        </w:rPr>
        <w:t>egulated CIS</w:t>
      </w:r>
      <w:r w:rsidR="00DC3CE5">
        <w:t xml:space="preserve"> </w:t>
      </w:r>
      <w:r w:rsidR="00050681">
        <w:t xml:space="preserve">in the </w:t>
      </w:r>
      <w:r w:rsidR="00DA6AAD">
        <w:t xml:space="preserve">Passport Rules for this </w:t>
      </w:r>
      <w:r w:rsidR="002F6E31">
        <w:t>jurisdiction</w:t>
      </w:r>
      <w:r w:rsidR="00603C69">
        <w:t xml:space="preserve"> </w:t>
      </w:r>
      <w:r w:rsidR="00603C69">
        <w:rPr>
          <w:rStyle w:val="Referencingstyle"/>
        </w:rPr>
        <w:t>[</w:t>
      </w:r>
      <w:r w:rsidR="00E46A45">
        <w:rPr>
          <w:rStyle w:val="Referencingstyle"/>
        </w:rPr>
        <w:t>Schedule </w:t>
      </w:r>
      <w:r w:rsidR="00565DF5">
        <w:rPr>
          <w:rStyle w:val="Referencingstyle"/>
        </w:rPr>
        <w:t xml:space="preserve">1, </w:t>
      </w:r>
      <w:r w:rsidR="00E46A45">
        <w:rPr>
          <w:rStyle w:val="Referencingstyle"/>
        </w:rPr>
        <w:t>item </w:t>
      </w:r>
      <w:r w:rsidR="00565DF5">
        <w:rPr>
          <w:rStyle w:val="Referencingstyle"/>
        </w:rPr>
        <w:t>1,</w:t>
      </w:r>
      <w:r w:rsidR="00603C69">
        <w:rPr>
          <w:rStyle w:val="Referencingstyle"/>
        </w:rPr>
        <w:t xml:space="preserve"> </w:t>
      </w:r>
      <w:r w:rsidR="00E46A45">
        <w:rPr>
          <w:rStyle w:val="Referencingstyle"/>
        </w:rPr>
        <w:t>section </w:t>
      </w:r>
      <w:r w:rsidR="00603C69">
        <w:rPr>
          <w:rStyle w:val="Referencingstyle"/>
        </w:rPr>
        <w:t>1210]</w:t>
      </w:r>
      <w:r>
        <w:t xml:space="preserve"> and this definition must be </w:t>
      </w:r>
      <w:r w:rsidR="00050681">
        <w:t>substantially the same as the definition</w:t>
      </w:r>
      <w:r w:rsidR="00DC3CE5">
        <w:t xml:space="preserve"> in </w:t>
      </w:r>
      <w:r w:rsidR="00E46A45">
        <w:t>Annex </w:t>
      </w:r>
      <w:r w:rsidR="00DC3CE5">
        <w:t>3 of the MOC</w:t>
      </w:r>
      <w:r w:rsidR="00BB3500">
        <w:t xml:space="preserve"> </w:t>
      </w:r>
      <w:r w:rsidR="00BB3500">
        <w:rPr>
          <w:rStyle w:val="Referencingstyle"/>
        </w:rPr>
        <w:t>[</w:t>
      </w:r>
      <w:r w:rsidR="00E46A45">
        <w:rPr>
          <w:rStyle w:val="Referencingstyle"/>
        </w:rPr>
        <w:t>Schedule </w:t>
      </w:r>
      <w:r w:rsidR="00BB3500">
        <w:rPr>
          <w:rStyle w:val="Referencingstyle"/>
        </w:rPr>
        <w:t xml:space="preserve">1, </w:t>
      </w:r>
      <w:r w:rsidR="00E46A45">
        <w:rPr>
          <w:rStyle w:val="Referencingstyle"/>
        </w:rPr>
        <w:t>item </w:t>
      </w:r>
      <w:r w:rsidR="00BB3500">
        <w:rPr>
          <w:rStyle w:val="Referencingstyle"/>
        </w:rPr>
        <w:t xml:space="preserve">1, </w:t>
      </w:r>
      <w:r w:rsidR="00E46A45">
        <w:rPr>
          <w:rStyle w:val="Referencingstyle"/>
        </w:rPr>
        <w:t>subsection </w:t>
      </w:r>
      <w:r w:rsidR="00BB3500">
        <w:rPr>
          <w:rStyle w:val="Referencingstyle"/>
        </w:rPr>
        <w:t>1211(2)]</w:t>
      </w:r>
      <w:r w:rsidR="00DC3CE5">
        <w:t>.</w:t>
      </w:r>
      <w:r w:rsidR="00050681">
        <w:t xml:space="preserve"> </w:t>
      </w:r>
    </w:p>
    <w:p w14:paraId="409E7C66" w14:textId="56C20894" w:rsidR="00DC3CE5" w:rsidRDefault="00BB3500" w:rsidP="00A52B98">
      <w:pPr>
        <w:pStyle w:val="base-text-paragraph"/>
        <w:numPr>
          <w:ilvl w:val="1"/>
          <w:numId w:val="23"/>
        </w:numPr>
      </w:pPr>
      <w:r>
        <w:t>Under the MOC, a</w:t>
      </w:r>
      <w:r w:rsidR="00DC3CE5">
        <w:t xml:space="preserve"> </w:t>
      </w:r>
      <w:r w:rsidR="00DC3CE5" w:rsidRPr="00050681">
        <w:rPr>
          <w:b/>
          <w:i/>
        </w:rPr>
        <w:t>regulated CIS</w:t>
      </w:r>
      <w:r w:rsidR="00DC3CE5">
        <w:t xml:space="preserve"> is </w:t>
      </w:r>
      <w:r>
        <w:t xml:space="preserve">basically </w:t>
      </w:r>
      <w:r w:rsidR="00DC3CE5">
        <w:t xml:space="preserve">a CIS which is regulated by the corporations legislation in the participating economy. At the time that it first came into effect, </w:t>
      </w:r>
      <w:r w:rsidR="00E46A45" w:rsidRPr="00586783">
        <w:t>section </w:t>
      </w:r>
      <w:r w:rsidR="00DC3CE5" w:rsidRPr="00586783">
        <w:t>56</w:t>
      </w:r>
      <w:r w:rsidR="00DC3CE5">
        <w:t xml:space="preserve"> of </w:t>
      </w:r>
      <w:r w:rsidR="00E46A45">
        <w:t>Annex </w:t>
      </w:r>
      <w:r w:rsidR="00E64629">
        <w:t xml:space="preserve">3 of the </w:t>
      </w:r>
      <w:r w:rsidR="00DC3CE5">
        <w:t>MOC set this out as:</w:t>
      </w:r>
    </w:p>
    <w:p w14:paraId="1B17393D" w14:textId="6CCFF359" w:rsidR="00DC3CE5" w:rsidRPr="00647C4D" w:rsidRDefault="00DC3CE5" w:rsidP="00DC3CE5">
      <w:pPr>
        <w:pStyle w:val="dotpoint"/>
      </w:pPr>
      <w:r>
        <w:t>i</w:t>
      </w:r>
      <w:r w:rsidRPr="00647C4D">
        <w:t xml:space="preserve">n relation to Australia, a CIS registered under the </w:t>
      </w:r>
      <w:r w:rsidRPr="00647C4D">
        <w:rPr>
          <w:i/>
        </w:rPr>
        <w:t xml:space="preserve">Corporations </w:t>
      </w:r>
      <w:r w:rsidR="00E46A45" w:rsidRPr="00647C4D">
        <w:rPr>
          <w:i/>
        </w:rPr>
        <w:t>Act</w:t>
      </w:r>
      <w:r w:rsidR="00E46A45">
        <w:rPr>
          <w:i/>
        </w:rPr>
        <w:t> </w:t>
      </w:r>
      <w:r w:rsidRPr="00647C4D">
        <w:rPr>
          <w:i/>
        </w:rPr>
        <w:t>2001</w:t>
      </w:r>
      <w:r w:rsidRPr="00647C4D">
        <w:t xml:space="preserve">; </w:t>
      </w:r>
    </w:p>
    <w:p w14:paraId="64FB8704" w14:textId="00B79885" w:rsidR="00DC3CE5" w:rsidRPr="00647C4D" w:rsidRDefault="00DC3CE5" w:rsidP="00DC3CE5">
      <w:pPr>
        <w:pStyle w:val="dotpoint"/>
      </w:pPr>
      <w:r>
        <w:lastRenderedPageBreak/>
        <w:t>i</w:t>
      </w:r>
      <w:r w:rsidRPr="00647C4D">
        <w:t xml:space="preserve">n relation to Japan, a scheme under the </w:t>
      </w:r>
      <w:r w:rsidRPr="00647C4D">
        <w:rPr>
          <w:i/>
        </w:rPr>
        <w:t xml:space="preserve">Investment Trusts and Investment </w:t>
      </w:r>
      <w:r w:rsidR="00E46A45" w:rsidRPr="00647C4D">
        <w:rPr>
          <w:i/>
        </w:rPr>
        <w:t>Corporations</w:t>
      </w:r>
      <w:r w:rsidR="00E46A45">
        <w:rPr>
          <w:i/>
        </w:rPr>
        <w:t> </w:t>
      </w:r>
      <w:r w:rsidRPr="00647C4D">
        <w:rPr>
          <w:i/>
        </w:rPr>
        <w:t>Act</w:t>
      </w:r>
      <w:r w:rsidR="00E46A45" w:rsidRPr="00E46A45">
        <w:t xml:space="preserve"> of Japan</w:t>
      </w:r>
      <w:r w:rsidRPr="00647C4D">
        <w:t>;</w:t>
      </w:r>
    </w:p>
    <w:p w14:paraId="20778497" w14:textId="1E62CB1C" w:rsidR="00DC3CE5" w:rsidRPr="00647C4D" w:rsidRDefault="00DC3CE5" w:rsidP="00DC3CE5">
      <w:pPr>
        <w:pStyle w:val="dotpoint"/>
      </w:pPr>
      <w:r>
        <w:t>i</w:t>
      </w:r>
      <w:r w:rsidRPr="00647C4D">
        <w:t xml:space="preserve">n relation to Korea, a CIS under the </w:t>
      </w:r>
      <w:r w:rsidRPr="00647C4D">
        <w:rPr>
          <w:i/>
        </w:rPr>
        <w:t xml:space="preserve">Financial Investment Business and Capital </w:t>
      </w:r>
      <w:r w:rsidR="00E46A45" w:rsidRPr="00647C4D">
        <w:rPr>
          <w:i/>
        </w:rPr>
        <w:t>Markets</w:t>
      </w:r>
      <w:r w:rsidR="00E46A45">
        <w:rPr>
          <w:i/>
        </w:rPr>
        <w:t> </w:t>
      </w:r>
      <w:r w:rsidRPr="00647C4D">
        <w:rPr>
          <w:i/>
        </w:rPr>
        <w:t xml:space="preserve">Act </w:t>
      </w:r>
      <w:r w:rsidRPr="00117DE3">
        <w:t>of Korea</w:t>
      </w:r>
      <w:r>
        <w:t>;</w:t>
      </w:r>
    </w:p>
    <w:p w14:paraId="24264A0E" w14:textId="4F16ABC4" w:rsidR="00DC3CE5" w:rsidRPr="00647C4D" w:rsidRDefault="00DC3CE5" w:rsidP="00DC3CE5">
      <w:pPr>
        <w:pStyle w:val="dotpoint"/>
      </w:pPr>
      <w:r>
        <w:t>i</w:t>
      </w:r>
      <w:r w:rsidRPr="00647C4D">
        <w:t xml:space="preserve">n relation to New Zealand, a managed investment scheme registered under the </w:t>
      </w:r>
      <w:r w:rsidRPr="00647C4D">
        <w:rPr>
          <w:i/>
        </w:rPr>
        <w:t xml:space="preserve">Financial Markets Conduct </w:t>
      </w:r>
      <w:r w:rsidR="00E46A45" w:rsidRPr="00647C4D">
        <w:rPr>
          <w:i/>
        </w:rPr>
        <w:t>Act</w:t>
      </w:r>
      <w:r w:rsidR="00E46A45">
        <w:rPr>
          <w:i/>
        </w:rPr>
        <w:t> </w:t>
      </w:r>
      <w:r w:rsidRPr="00647C4D">
        <w:rPr>
          <w:i/>
        </w:rPr>
        <w:t xml:space="preserve">2013 </w:t>
      </w:r>
      <w:r w:rsidRPr="00117DE3">
        <w:t>of New Zealand</w:t>
      </w:r>
      <w:r>
        <w:t>;</w:t>
      </w:r>
    </w:p>
    <w:p w14:paraId="6BF3D393" w14:textId="1417334C" w:rsidR="00DC3CE5" w:rsidRPr="00647C4D" w:rsidRDefault="00DC3CE5" w:rsidP="00DC3CE5">
      <w:pPr>
        <w:pStyle w:val="dotpoint"/>
      </w:pPr>
      <w:r>
        <w:t>i</w:t>
      </w:r>
      <w:r w:rsidRPr="00647C4D">
        <w:t>n relation to Singapore</w:t>
      </w:r>
      <w:r w:rsidR="00CE34F2">
        <w:rPr>
          <w:rStyle w:val="FootnoteReference"/>
        </w:rPr>
        <w:footnoteReference w:id="3"/>
      </w:r>
      <w:r w:rsidRPr="00647C4D">
        <w:t xml:space="preserve">, a CIS authorised under the </w:t>
      </w:r>
      <w:r w:rsidRPr="00647C4D">
        <w:rPr>
          <w:i/>
        </w:rPr>
        <w:t xml:space="preserve">Securities and Futures Act </w:t>
      </w:r>
      <w:r w:rsidRPr="00117DE3">
        <w:t>of Singapore</w:t>
      </w:r>
      <w:r>
        <w:t>; and</w:t>
      </w:r>
    </w:p>
    <w:p w14:paraId="04089C1A" w14:textId="77777777" w:rsidR="00DC3CE5" w:rsidRDefault="00DC3CE5" w:rsidP="00DC3CE5">
      <w:pPr>
        <w:pStyle w:val="dotpoint"/>
      </w:pPr>
      <w:r>
        <w:t>i</w:t>
      </w:r>
      <w:r w:rsidRPr="00647C4D">
        <w:t xml:space="preserve">n relation to Thailand, a CIS under the </w:t>
      </w:r>
      <w:r w:rsidRPr="00647C4D">
        <w:rPr>
          <w:i/>
        </w:rPr>
        <w:t xml:space="preserve">Securities and Exchange Act </w:t>
      </w:r>
      <w:r w:rsidRPr="00117DE3">
        <w:t>of Thailand</w:t>
      </w:r>
      <w:r>
        <w:t>.</w:t>
      </w:r>
    </w:p>
    <w:p w14:paraId="595941EC" w14:textId="22854884" w:rsidR="00DC3CE5" w:rsidRDefault="00DC3CE5" w:rsidP="00DC3CE5">
      <w:pPr>
        <w:pStyle w:val="base-text-paragraph"/>
        <w:numPr>
          <w:ilvl w:val="0"/>
          <w:numId w:val="0"/>
        </w:numPr>
        <w:rPr>
          <w:rFonts w:ascii="Helvetica" w:hAnsi="Helvetica"/>
          <w:b/>
          <w:szCs w:val="22"/>
        </w:rPr>
      </w:pPr>
      <w:r>
        <w:rPr>
          <w:rFonts w:ascii="Helvetica" w:hAnsi="Helvetica"/>
          <w:b/>
          <w:szCs w:val="22"/>
        </w:rPr>
        <w:t>Passport Funds</w:t>
      </w:r>
      <w:r w:rsidR="00727ECB">
        <w:rPr>
          <w:rFonts w:ascii="Helvetica" w:hAnsi="Helvetica"/>
          <w:b/>
          <w:szCs w:val="22"/>
        </w:rPr>
        <w:t>,</w:t>
      </w:r>
      <w:r w:rsidR="0034279D">
        <w:rPr>
          <w:rFonts w:ascii="Helvetica" w:hAnsi="Helvetica"/>
          <w:b/>
          <w:szCs w:val="22"/>
        </w:rPr>
        <w:t xml:space="preserve"> </w:t>
      </w:r>
      <w:r w:rsidR="00B43976">
        <w:rPr>
          <w:rFonts w:ascii="Helvetica" w:hAnsi="Helvetica"/>
          <w:b/>
          <w:szCs w:val="22"/>
        </w:rPr>
        <w:t>Foreign Passport Funds</w:t>
      </w:r>
      <w:r w:rsidR="00727ECB">
        <w:rPr>
          <w:rFonts w:ascii="Helvetica" w:hAnsi="Helvetica"/>
          <w:b/>
          <w:szCs w:val="22"/>
        </w:rPr>
        <w:t xml:space="preserve"> and Operators</w:t>
      </w:r>
    </w:p>
    <w:p w14:paraId="5042E894" w14:textId="1E4C66B2" w:rsidR="00DC3CE5" w:rsidRDefault="00DC3CE5" w:rsidP="00A52B98">
      <w:pPr>
        <w:pStyle w:val="base-text-paragraph"/>
        <w:numPr>
          <w:ilvl w:val="1"/>
          <w:numId w:val="23"/>
        </w:numPr>
      </w:pPr>
      <w:r>
        <w:t xml:space="preserve">An entity is a </w:t>
      </w:r>
      <w:r w:rsidR="006847D6" w:rsidRPr="00DC1C62">
        <w:rPr>
          <w:b/>
          <w:i/>
        </w:rPr>
        <w:t>passport fund</w:t>
      </w:r>
      <w:r>
        <w:t xml:space="preserve"> if</w:t>
      </w:r>
      <w:r w:rsidR="00050681">
        <w:t xml:space="preserve"> it is</w:t>
      </w:r>
      <w:r>
        <w:t>:</w:t>
      </w:r>
    </w:p>
    <w:p w14:paraId="31E15A8C" w14:textId="656CA45A" w:rsidR="00DC3CE5" w:rsidRDefault="00DC3CE5" w:rsidP="00DC3CE5">
      <w:pPr>
        <w:pStyle w:val="dotpoint"/>
      </w:pPr>
      <w:r>
        <w:t>a regulated CIS or a sub</w:t>
      </w:r>
      <w:r w:rsidR="00723747">
        <w:noBreakHyphen/>
      </w:r>
      <w:r>
        <w:t>fund of a regulated CIS; and</w:t>
      </w:r>
    </w:p>
    <w:p w14:paraId="2D5B6C1A" w14:textId="59E3F811" w:rsidR="00DC3CE5" w:rsidRDefault="00DC3CE5" w:rsidP="00DC3CE5">
      <w:pPr>
        <w:pStyle w:val="dotpoint"/>
      </w:pPr>
      <w:r>
        <w:t xml:space="preserve">registered as a </w:t>
      </w:r>
      <w:r w:rsidR="00CE27C1">
        <w:t xml:space="preserve">passport </w:t>
      </w:r>
      <w:r>
        <w:t>fund in a participating economy.</w:t>
      </w:r>
    </w:p>
    <w:p w14:paraId="581C4512" w14:textId="2CE4BC59" w:rsidR="00603C69" w:rsidRDefault="00603C69" w:rsidP="00603C69">
      <w:pPr>
        <w:pStyle w:val="dotpoint"/>
        <w:numPr>
          <w:ilvl w:val="0"/>
          <w:numId w:val="0"/>
        </w:numPr>
        <w:ind w:left="1984"/>
      </w:pPr>
      <w:r>
        <w:rPr>
          <w:rStyle w:val="Referencingstyle"/>
        </w:rPr>
        <w:t>[</w:t>
      </w:r>
      <w:r w:rsidR="00E46A45">
        <w:rPr>
          <w:rStyle w:val="Referencingstyle"/>
        </w:rPr>
        <w:t>Schedule </w:t>
      </w:r>
      <w:r w:rsidR="00565DF5">
        <w:rPr>
          <w:rStyle w:val="Referencingstyle"/>
        </w:rPr>
        <w:t xml:space="preserve">1, </w:t>
      </w:r>
      <w:r w:rsidR="00E46A45">
        <w:rPr>
          <w:rStyle w:val="Referencingstyle"/>
        </w:rPr>
        <w:t>item </w:t>
      </w:r>
      <w:r w:rsidR="00565DF5">
        <w:rPr>
          <w:rStyle w:val="Referencingstyle"/>
        </w:rPr>
        <w:t>1,</w:t>
      </w:r>
      <w:r>
        <w:rPr>
          <w:rStyle w:val="Referencingstyle"/>
        </w:rPr>
        <w:t xml:space="preserve"> </w:t>
      </w:r>
      <w:r w:rsidR="00E46A45">
        <w:rPr>
          <w:rStyle w:val="Referencingstyle"/>
        </w:rPr>
        <w:t>section </w:t>
      </w:r>
      <w:r>
        <w:rPr>
          <w:rStyle w:val="Referencingstyle"/>
        </w:rPr>
        <w:t>1210]</w:t>
      </w:r>
    </w:p>
    <w:p w14:paraId="512CB907" w14:textId="28F3F1C8" w:rsidR="00603C69" w:rsidRPr="007752A6" w:rsidRDefault="00AD0E04" w:rsidP="00DC3CE5">
      <w:pPr>
        <w:pStyle w:val="base-text-paragraph"/>
      </w:pPr>
      <w:r>
        <w:t xml:space="preserve">The first requirement </w:t>
      </w:r>
      <w:r w:rsidR="006E205B">
        <w:t>restricts passport funds to regulated CISs and their sub</w:t>
      </w:r>
      <w:r w:rsidR="00723747">
        <w:noBreakHyphen/>
      </w:r>
      <w:r w:rsidR="006E205B">
        <w:t xml:space="preserve">funds. For the definition of a regulated CIS, see </w:t>
      </w:r>
      <w:r w:rsidR="00E46A45" w:rsidRPr="007752A6">
        <w:t>paragraph</w:t>
      </w:r>
      <w:r w:rsidR="00E46A45">
        <w:t> </w:t>
      </w:r>
      <w:r w:rsidR="00762C51" w:rsidRPr="007752A6">
        <w:t>2.31 above</w:t>
      </w:r>
      <w:r w:rsidR="006E205B" w:rsidRPr="007752A6">
        <w:t xml:space="preserve">. </w:t>
      </w:r>
    </w:p>
    <w:p w14:paraId="71E0BA1F" w14:textId="27D43764" w:rsidR="00AD0E04" w:rsidRDefault="006E205B" w:rsidP="00DC3CE5">
      <w:pPr>
        <w:pStyle w:val="base-text-paragraph"/>
      </w:pPr>
      <w:r w:rsidRPr="00E04936">
        <w:rPr>
          <w:b/>
          <w:i/>
        </w:rPr>
        <w:t>Sub</w:t>
      </w:r>
      <w:r w:rsidR="00723747">
        <w:rPr>
          <w:b/>
          <w:i/>
        </w:rPr>
        <w:noBreakHyphen/>
      </w:r>
      <w:r w:rsidRPr="00E04936">
        <w:rPr>
          <w:b/>
          <w:i/>
        </w:rPr>
        <w:t>funds</w:t>
      </w:r>
      <w:r>
        <w:t xml:space="preserve"> </w:t>
      </w:r>
      <w:r w:rsidR="00603C69">
        <w:t>will have the same definition as</w:t>
      </w:r>
      <w:r>
        <w:t xml:space="preserve"> </w:t>
      </w:r>
      <w:r w:rsidR="00603C69">
        <w:t>in</w:t>
      </w:r>
      <w:r w:rsidR="00E04936">
        <w:t xml:space="preserve"> the </w:t>
      </w:r>
      <w:r w:rsidR="00723747">
        <w:t>Passport </w:t>
      </w:r>
      <w:r w:rsidR="00E04936">
        <w:t>Rules in</w:t>
      </w:r>
      <w:r w:rsidR="00603C69">
        <w:t xml:space="preserve"> this jurisdiction, and this definition must be substantially the same as in</w:t>
      </w:r>
      <w:r w:rsidR="00E04936">
        <w:t xml:space="preserve"> </w:t>
      </w:r>
      <w:r w:rsidR="00723747">
        <w:t>Annex </w:t>
      </w:r>
      <w:r w:rsidR="00E04936">
        <w:t>3 of the MOC</w:t>
      </w:r>
      <w:r w:rsidR="00603C69">
        <w:t xml:space="preserve"> </w:t>
      </w:r>
      <w:r w:rsidR="00603C69">
        <w:rPr>
          <w:rStyle w:val="Referencingstyle"/>
        </w:rPr>
        <w:t>[</w:t>
      </w:r>
      <w:r w:rsidR="00E46A45">
        <w:rPr>
          <w:rStyle w:val="Referencingstyle"/>
        </w:rPr>
        <w:t>Schedule </w:t>
      </w:r>
      <w:r w:rsidR="00565DF5">
        <w:rPr>
          <w:rStyle w:val="Referencingstyle"/>
        </w:rPr>
        <w:t xml:space="preserve">1, </w:t>
      </w:r>
      <w:r w:rsidR="00E46A45">
        <w:rPr>
          <w:rStyle w:val="Referencingstyle"/>
        </w:rPr>
        <w:t>item </w:t>
      </w:r>
      <w:r w:rsidR="00565DF5">
        <w:rPr>
          <w:rStyle w:val="Referencingstyle"/>
        </w:rPr>
        <w:t>1,</w:t>
      </w:r>
      <w:r w:rsidR="00603C69">
        <w:rPr>
          <w:rStyle w:val="Referencingstyle"/>
        </w:rPr>
        <w:t xml:space="preserve"> </w:t>
      </w:r>
      <w:r w:rsidR="00723747">
        <w:rPr>
          <w:rStyle w:val="Referencingstyle"/>
        </w:rPr>
        <w:t>sections </w:t>
      </w:r>
      <w:r w:rsidR="00603C69">
        <w:rPr>
          <w:rStyle w:val="Referencingstyle"/>
        </w:rPr>
        <w:t>1210 and 1211]</w:t>
      </w:r>
      <w:r w:rsidR="00E04936">
        <w:t xml:space="preserve">. </w:t>
      </w:r>
      <w:r w:rsidR="00603C69">
        <w:t>Sub</w:t>
      </w:r>
      <w:r w:rsidR="00723747">
        <w:noBreakHyphen/>
      </w:r>
      <w:r w:rsidR="00603C69">
        <w:t>funds</w:t>
      </w:r>
      <w:r w:rsidR="00E04936">
        <w:t xml:space="preserve"> </w:t>
      </w:r>
      <w:r w:rsidR="00B92CEB">
        <w:t>are basically distinct compartments of a CIS which are segregate</w:t>
      </w:r>
      <w:r w:rsidR="00457780">
        <w:t>d in a way that prevents</w:t>
      </w:r>
      <w:r w:rsidR="00B92CEB">
        <w:t xml:space="preserve"> the assets of one sub</w:t>
      </w:r>
      <w:r w:rsidR="00723747">
        <w:noBreakHyphen/>
      </w:r>
      <w:r w:rsidR="00B92CEB">
        <w:t>fund be</w:t>
      </w:r>
      <w:r w:rsidR="00457780">
        <w:t>ing</w:t>
      </w:r>
      <w:r w:rsidR="00B92CEB">
        <w:t xml:space="preserve"> used to discharge the liabilities of another sub</w:t>
      </w:r>
      <w:r w:rsidR="00723747">
        <w:noBreakHyphen/>
      </w:r>
      <w:r w:rsidR="00B92CEB">
        <w:t xml:space="preserve">fund. </w:t>
      </w:r>
      <w:r w:rsidR="00A809A0">
        <w:t>Sub</w:t>
      </w:r>
      <w:r w:rsidR="00723747">
        <w:noBreakHyphen/>
      </w:r>
      <w:r w:rsidR="00A809A0">
        <w:t>f</w:t>
      </w:r>
      <w:r w:rsidR="00CE27C1">
        <w:t>u</w:t>
      </w:r>
      <w:r w:rsidR="00A809A0">
        <w:t>nds</w:t>
      </w:r>
      <w:r w:rsidR="00E04936">
        <w:t xml:space="preserve"> may have different legal forms in each participating economy</w:t>
      </w:r>
      <w:r w:rsidR="00A809A0">
        <w:t xml:space="preserve"> and they may or may not have their own legal personality</w:t>
      </w:r>
      <w:r w:rsidR="00E04936">
        <w:t>.</w:t>
      </w:r>
    </w:p>
    <w:p w14:paraId="274EE09D" w14:textId="79ACE13B" w:rsidR="00DC3CE5" w:rsidRDefault="00AD0E04" w:rsidP="00DC3CE5">
      <w:pPr>
        <w:pStyle w:val="base-text-paragraph"/>
      </w:pPr>
      <w:r>
        <w:t>In relation to the second requirement, e</w:t>
      </w:r>
      <w:r w:rsidR="00DC3CE5">
        <w:t>ach participating economy will have its own procedures for registering regulated CISs and sub</w:t>
      </w:r>
      <w:r w:rsidR="00723747">
        <w:noBreakHyphen/>
      </w:r>
      <w:r w:rsidR="00DC3CE5">
        <w:t xml:space="preserve">funds as </w:t>
      </w:r>
      <w:r w:rsidR="006847D6">
        <w:t>passport fund</w:t>
      </w:r>
      <w:r w:rsidR="00DC3CE5">
        <w:t>s. The procedures which apply in Australia ar</w:t>
      </w:r>
      <w:r w:rsidR="00A809A0">
        <w:t xml:space="preserve">e </w:t>
      </w:r>
      <w:r w:rsidR="00A809A0" w:rsidRPr="007752A6">
        <w:t xml:space="preserve">set out in </w:t>
      </w:r>
      <w:r w:rsidR="006E4C9A" w:rsidRPr="007752A6">
        <w:t>Chapter</w:t>
      </w:r>
      <w:r w:rsidR="006E4C9A">
        <w:t> </w:t>
      </w:r>
      <w:r w:rsidR="00762C51" w:rsidRPr="007752A6">
        <w:t>3</w:t>
      </w:r>
      <w:r w:rsidR="00603C69" w:rsidRPr="007752A6">
        <w:t xml:space="preserve"> of </w:t>
      </w:r>
      <w:r w:rsidR="006E4C9A">
        <w:t>these explanatory materials</w:t>
      </w:r>
      <w:r w:rsidR="00DC3CE5" w:rsidRPr="007752A6">
        <w:t>.</w:t>
      </w:r>
      <w:r w:rsidR="00B43976" w:rsidRPr="007752A6">
        <w:t xml:space="preserve"> </w:t>
      </w:r>
      <w:r w:rsidR="00DC3CE5" w:rsidRPr="007752A6">
        <w:t>The procedures</w:t>
      </w:r>
      <w:r w:rsidR="00DC3CE5">
        <w:t xml:space="preserve"> which </w:t>
      </w:r>
      <w:r w:rsidR="00DC3CE5">
        <w:lastRenderedPageBreak/>
        <w:t xml:space="preserve">apply in other countries will be set out in their domestic laws, but they will be based on the MOC and </w:t>
      </w:r>
      <w:r w:rsidR="00BB3500">
        <w:t>must be</w:t>
      </w:r>
      <w:r w:rsidR="00B43976">
        <w:t xml:space="preserve"> </w:t>
      </w:r>
      <w:r w:rsidR="00DC3CE5">
        <w:t>broadly similar to the procedures in Australia.</w:t>
      </w:r>
    </w:p>
    <w:p w14:paraId="364AE2EB" w14:textId="6B9C799F" w:rsidR="00341A39" w:rsidRPr="00341A39" w:rsidRDefault="00341A39" w:rsidP="00B43976">
      <w:pPr>
        <w:pStyle w:val="base-text-paragraph"/>
      </w:pPr>
      <w:r>
        <w:rPr>
          <w:b/>
          <w:i/>
        </w:rPr>
        <w:t xml:space="preserve">Australian passport funds </w:t>
      </w:r>
      <w:r>
        <w:t xml:space="preserve">are </w:t>
      </w:r>
      <w:r w:rsidR="004F6024">
        <w:t>registered schemes</w:t>
      </w:r>
      <w:r>
        <w:t xml:space="preserve"> which are </w:t>
      </w:r>
      <w:r w:rsidR="004F6024">
        <w:t>also</w:t>
      </w:r>
      <w:r>
        <w:t xml:space="preserve"> registered </w:t>
      </w:r>
      <w:r w:rsidR="004F6024">
        <w:t xml:space="preserve">as passport funds </w:t>
      </w:r>
      <w:r>
        <w:t>in Australia</w:t>
      </w:r>
      <w:r w:rsidR="004F6024">
        <w:t xml:space="preserve"> u</w:t>
      </w:r>
      <w:r w:rsidR="00A855EB">
        <w:t>sing</w:t>
      </w:r>
      <w:r w:rsidR="004F6024">
        <w:t xml:space="preserve"> the process set out in </w:t>
      </w:r>
      <w:r w:rsidR="00E46A45">
        <w:t>Part </w:t>
      </w:r>
      <w:r w:rsidR="004F6024">
        <w:t>8A.3 of this Bill</w:t>
      </w:r>
      <w:r>
        <w:t xml:space="preserve">. </w:t>
      </w:r>
      <w:r>
        <w:rPr>
          <w:rStyle w:val="Referencingstyle"/>
        </w:rPr>
        <w:t>[</w:t>
      </w:r>
      <w:r w:rsidR="00E46A45">
        <w:rPr>
          <w:rStyle w:val="Referencingstyle"/>
        </w:rPr>
        <w:t>Schedule </w:t>
      </w:r>
      <w:r w:rsidR="00A115CE">
        <w:rPr>
          <w:rStyle w:val="Referencingstyle"/>
        </w:rPr>
        <w:t>1</w:t>
      </w:r>
      <w:r>
        <w:rPr>
          <w:rStyle w:val="Referencingstyle"/>
        </w:rPr>
        <w:t xml:space="preserve">, </w:t>
      </w:r>
      <w:r w:rsidR="00E46A45">
        <w:rPr>
          <w:rStyle w:val="Referencingstyle"/>
        </w:rPr>
        <w:t>item </w:t>
      </w:r>
      <w:r>
        <w:rPr>
          <w:rStyle w:val="Referencingstyle"/>
        </w:rPr>
        <w:t xml:space="preserve">1, </w:t>
      </w:r>
      <w:r w:rsidR="00E46A45">
        <w:rPr>
          <w:rStyle w:val="Referencingstyle"/>
        </w:rPr>
        <w:t>section </w:t>
      </w:r>
      <w:r w:rsidR="00A115CE">
        <w:rPr>
          <w:rStyle w:val="Referencingstyle"/>
        </w:rPr>
        <w:t>1210</w:t>
      </w:r>
      <w:r>
        <w:rPr>
          <w:rStyle w:val="Referencingstyle"/>
        </w:rPr>
        <w:t>]</w:t>
      </w:r>
    </w:p>
    <w:p w14:paraId="73BB8570" w14:textId="38F6B958" w:rsidR="0034279D" w:rsidRDefault="0034279D" w:rsidP="00B43976">
      <w:pPr>
        <w:pStyle w:val="base-text-paragraph"/>
      </w:pPr>
      <w:r>
        <w:rPr>
          <w:b/>
          <w:i/>
        </w:rPr>
        <w:t>F</w:t>
      </w:r>
      <w:r w:rsidRPr="00B43976">
        <w:rPr>
          <w:b/>
          <w:i/>
        </w:rPr>
        <w:t>oreign passport funds</w:t>
      </w:r>
      <w:r>
        <w:t xml:space="preserve"> are r</w:t>
      </w:r>
      <w:r w:rsidR="00DC3CE5">
        <w:t>egulated CISs and sub</w:t>
      </w:r>
      <w:r w:rsidR="00723747">
        <w:noBreakHyphen/>
      </w:r>
      <w:r w:rsidR="00DC3CE5">
        <w:t>funds which are registered</w:t>
      </w:r>
      <w:r w:rsidR="00A855EB">
        <w:t xml:space="preserve"> as passport funds</w:t>
      </w:r>
      <w:r w:rsidR="00DC3CE5">
        <w:t xml:space="preserve"> by participating economies other tha</w:t>
      </w:r>
      <w:r w:rsidR="00B43976">
        <w:t>n Australia</w:t>
      </w:r>
      <w:r>
        <w:t>.</w:t>
      </w:r>
      <w:r w:rsidR="00603C69">
        <w:t xml:space="preserve"> </w:t>
      </w:r>
      <w:r w:rsidR="00603C69">
        <w:rPr>
          <w:rStyle w:val="Referencingstyle"/>
        </w:rPr>
        <w:t>[</w:t>
      </w:r>
      <w:r w:rsidR="00E46A45">
        <w:rPr>
          <w:rStyle w:val="Referencingstyle"/>
        </w:rPr>
        <w:t>Schedule </w:t>
      </w:r>
      <w:r w:rsidR="00565DF5">
        <w:rPr>
          <w:rStyle w:val="Referencingstyle"/>
        </w:rPr>
        <w:t xml:space="preserve">1, </w:t>
      </w:r>
      <w:r w:rsidR="00E46A45">
        <w:rPr>
          <w:rStyle w:val="Referencingstyle"/>
        </w:rPr>
        <w:t>item </w:t>
      </w:r>
      <w:r w:rsidR="00565DF5">
        <w:rPr>
          <w:rStyle w:val="Referencingstyle"/>
        </w:rPr>
        <w:t>1,</w:t>
      </w:r>
      <w:r w:rsidR="00603C69">
        <w:rPr>
          <w:rStyle w:val="Referencingstyle"/>
        </w:rPr>
        <w:t xml:space="preserve"> </w:t>
      </w:r>
      <w:r w:rsidR="00E46A45">
        <w:rPr>
          <w:rStyle w:val="Referencingstyle"/>
        </w:rPr>
        <w:t>section </w:t>
      </w:r>
      <w:r w:rsidR="00603C69">
        <w:rPr>
          <w:rStyle w:val="Referencingstyle"/>
        </w:rPr>
        <w:t>1210]</w:t>
      </w:r>
    </w:p>
    <w:p w14:paraId="3EBF429E" w14:textId="345BD165" w:rsidR="0034279D" w:rsidRDefault="00B43976" w:rsidP="00B43976">
      <w:pPr>
        <w:pStyle w:val="base-text-paragraph"/>
      </w:pPr>
      <w:r>
        <w:t xml:space="preserve">Foreign passport funds </w:t>
      </w:r>
      <w:r w:rsidR="0034279D">
        <w:t>are only permitted to offer interests in Australia if they</w:t>
      </w:r>
      <w:r w:rsidR="00921763">
        <w:t xml:space="preserve"> lodge a notice</w:t>
      </w:r>
      <w:r w:rsidR="0034279D">
        <w:t xml:space="preserve"> with ASIC</w:t>
      </w:r>
      <w:r w:rsidR="00921763">
        <w:t xml:space="preserve"> and the notice is not rejected</w:t>
      </w:r>
      <w:r w:rsidR="0034279D">
        <w:t xml:space="preserve">. The special streamlined </w:t>
      </w:r>
      <w:r w:rsidR="00921763">
        <w:t>application</w:t>
      </w:r>
      <w:r w:rsidR="0034279D">
        <w:t xml:space="preserve"> process that applies to foreign </w:t>
      </w:r>
      <w:r w:rsidR="0034279D" w:rsidRPr="007752A6">
        <w:t xml:space="preserve">passport funds is discussed in </w:t>
      </w:r>
      <w:r w:rsidR="006E4C9A" w:rsidRPr="007752A6">
        <w:t>Chapter</w:t>
      </w:r>
      <w:r w:rsidR="006E4C9A">
        <w:t> </w:t>
      </w:r>
      <w:r w:rsidR="00EE00EC" w:rsidRPr="007752A6">
        <w:t>3</w:t>
      </w:r>
      <w:r w:rsidR="0034279D" w:rsidRPr="007752A6">
        <w:t xml:space="preserve"> of </w:t>
      </w:r>
      <w:r w:rsidR="006E4C9A">
        <w:t>these explanatory materials</w:t>
      </w:r>
      <w:r w:rsidR="00DC3CE5">
        <w:t xml:space="preserve">. </w:t>
      </w:r>
    </w:p>
    <w:p w14:paraId="73E51772" w14:textId="2796C224" w:rsidR="00E8506D" w:rsidRDefault="0034279D" w:rsidP="00E8506D">
      <w:pPr>
        <w:pStyle w:val="base-text-paragraph"/>
      </w:pPr>
      <w:r>
        <w:t xml:space="preserve">A </w:t>
      </w:r>
      <w:r w:rsidRPr="00A422C1">
        <w:rPr>
          <w:b/>
          <w:i/>
        </w:rPr>
        <w:t xml:space="preserve">notified </w:t>
      </w:r>
      <w:r w:rsidR="00E8506D" w:rsidRPr="00E647B6">
        <w:rPr>
          <w:b/>
          <w:i/>
        </w:rPr>
        <w:t>f</w:t>
      </w:r>
      <w:r w:rsidR="00DA6AAD" w:rsidRPr="00E647B6">
        <w:rPr>
          <w:b/>
          <w:i/>
        </w:rPr>
        <w:t>oreign passport f</w:t>
      </w:r>
      <w:r w:rsidR="00E8506D" w:rsidRPr="00E647B6">
        <w:rPr>
          <w:b/>
          <w:i/>
        </w:rPr>
        <w:t>und</w:t>
      </w:r>
      <w:r>
        <w:t xml:space="preserve"> is a </w:t>
      </w:r>
      <w:r w:rsidR="00E8506D">
        <w:t xml:space="preserve">foreign </w:t>
      </w:r>
      <w:r>
        <w:t xml:space="preserve">passport fund which </w:t>
      </w:r>
      <w:r w:rsidR="00DA0619">
        <w:t>has submitted a notice</w:t>
      </w:r>
      <w:r w:rsidR="00506AE3">
        <w:t xml:space="preserve"> to offer interests in Australia</w:t>
      </w:r>
      <w:r w:rsidR="00603C69">
        <w:t xml:space="preserve"> </w:t>
      </w:r>
      <w:r w:rsidR="00DA0619">
        <w:t xml:space="preserve">and has not been rejected within the prescribed period </w:t>
      </w:r>
      <w:r w:rsidR="00603C69">
        <w:rPr>
          <w:rStyle w:val="Referencingstyle"/>
        </w:rPr>
        <w:t>[</w:t>
      </w:r>
      <w:r w:rsidR="00E46A45">
        <w:rPr>
          <w:rStyle w:val="Referencingstyle"/>
        </w:rPr>
        <w:t>Schedule </w:t>
      </w:r>
      <w:r w:rsidR="007778A4">
        <w:rPr>
          <w:rStyle w:val="Referencingstyle"/>
        </w:rPr>
        <w:t>2</w:t>
      </w:r>
      <w:r w:rsidR="00603C69">
        <w:rPr>
          <w:rStyle w:val="Referencingstyle"/>
        </w:rPr>
        <w:t xml:space="preserve">, </w:t>
      </w:r>
      <w:r w:rsidR="00E46A45">
        <w:rPr>
          <w:rStyle w:val="Referencingstyle"/>
        </w:rPr>
        <w:t>item </w:t>
      </w:r>
      <w:r w:rsidR="00FE44B6">
        <w:rPr>
          <w:rStyle w:val="Referencingstyle"/>
        </w:rPr>
        <w:t>9</w:t>
      </w:r>
      <w:r w:rsidR="00603C69">
        <w:rPr>
          <w:rStyle w:val="Referencingstyle"/>
        </w:rPr>
        <w:t xml:space="preserve">, </w:t>
      </w:r>
      <w:r w:rsidR="00E46A45">
        <w:rPr>
          <w:rStyle w:val="Referencingstyle"/>
        </w:rPr>
        <w:t>section </w:t>
      </w:r>
      <w:r w:rsidR="007778A4">
        <w:rPr>
          <w:rStyle w:val="Referencingstyle"/>
        </w:rPr>
        <w:t>9]</w:t>
      </w:r>
      <w:r>
        <w:t xml:space="preserve">. </w:t>
      </w:r>
      <w:r w:rsidR="00E8506D">
        <w:t xml:space="preserve">Notified </w:t>
      </w:r>
      <w:r w:rsidR="00DA6AAD">
        <w:t xml:space="preserve">foreign passport </w:t>
      </w:r>
      <w:r w:rsidR="00E8506D">
        <w:t xml:space="preserve">funds are a subset of foreign passport funds. In other words, all notified funds will be foreign passport funds, but only those foreign passport funds which </w:t>
      </w:r>
      <w:r w:rsidR="00DA0619">
        <w:t>may</w:t>
      </w:r>
      <w:r w:rsidR="00A809A0">
        <w:t xml:space="preserve"> offer interests in</w:t>
      </w:r>
      <w:r w:rsidR="00E8506D">
        <w:t xml:space="preserve"> Australia will be notified </w:t>
      </w:r>
      <w:r w:rsidR="00A809A0">
        <w:t xml:space="preserve">foreign passport </w:t>
      </w:r>
      <w:r w:rsidR="00E8506D">
        <w:t xml:space="preserve">funds. </w:t>
      </w:r>
    </w:p>
    <w:p w14:paraId="0E9C89A1" w14:textId="6CEC0F55" w:rsidR="00BB3500" w:rsidRPr="00E8506D" w:rsidRDefault="00BB3500" w:rsidP="00BB3500">
      <w:pPr>
        <w:pStyle w:val="base-text-paragraph"/>
      </w:pPr>
      <w:r>
        <w:t>The</w:t>
      </w:r>
      <w:r w:rsidR="00727ECB">
        <w:t xml:space="preserve"> new law adopts the definition of an</w:t>
      </w:r>
      <w:r>
        <w:t xml:space="preserve"> </w:t>
      </w:r>
      <w:r>
        <w:rPr>
          <w:b/>
          <w:i/>
        </w:rPr>
        <w:t xml:space="preserve">operator </w:t>
      </w:r>
      <w:r w:rsidR="00727ECB">
        <w:t>in the Passport Rules for this jurisdiction</w:t>
      </w:r>
      <w:r w:rsidR="003F045E">
        <w:t>,</w:t>
      </w:r>
      <w:r w:rsidR="00727ECB">
        <w:t xml:space="preserve"> and th</w:t>
      </w:r>
      <w:r w:rsidR="003F045E">
        <w:t>o</w:t>
      </w:r>
      <w:r w:rsidR="00727ECB">
        <w:t xml:space="preserve">se rules must be substantially the same as </w:t>
      </w:r>
      <w:r w:rsidR="00E46A45">
        <w:t>Annex </w:t>
      </w:r>
      <w:r w:rsidR="00727ECB">
        <w:t xml:space="preserve">3 of the MOC </w:t>
      </w:r>
      <w:r w:rsidR="00727ECB">
        <w:rPr>
          <w:rStyle w:val="Referencingstyle"/>
        </w:rPr>
        <w:t>[</w:t>
      </w:r>
      <w:r w:rsidR="00E46A45">
        <w:rPr>
          <w:rStyle w:val="Referencingstyle"/>
        </w:rPr>
        <w:t>Schedule </w:t>
      </w:r>
      <w:r w:rsidR="00727ECB">
        <w:rPr>
          <w:rStyle w:val="Referencingstyle"/>
        </w:rPr>
        <w:t xml:space="preserve">1, </w:t>
      </w:r>
      <w:r w:rsidR="00E46A45">
        <w:rPr>
          <w:rStyle w:val="Referencingstyle"/>
        </w:rPr>
        <w:t>item </w:t>
      </w:r>
      <w:r w:rsidR="00727ECB">
        <w:rPr>
          <w:rStyle w:val="Referencingstyle"/>
        </w:rPr>
        <w:t xml:space="preserve">1, </w:t>
      </w:r>
      <w:r w:rsidR="00E46A45">
        <w:rPr>
          <w:rStyle w:val="Referencingstyle"/>
        </w:rPr>
        <w:t>sections </w:t>
      </w:r>
      <w:r w:rsidR="00727ECB">
        <w:rPr>
          <w:rStyle w:val="Referencingstyle"/>
        </w:rPr>
        <w:t>1210 and 1211</w:t>
      </w:r>
      <w:r w:rsidR="00FE45BE">
        <w:rPr>
          <w:rStyle w:val="Referencingstyle"/>
        </w:rPr>
        <w:t>]</w:t>
      </w:r>
      <w:r w:rsidR="00727ECB">
        <w:t xml:space="preserve">. </w:t>
      </w:r>
      <w:r w:rsidR="00586783" w:rsidRPr="00586783">
        <w:t>Section </w:t>
      </w:r>
      <w:r w:rsidR="00727ECB" w:rsidRPr="00586783">
        <w:t>56</w:t>
      </w:r>
      <w:r w:rsidR="00727ECB">
        <w:t xml:space="preserve"> of </w:t>
      </w:r>
      <w:r w:rsidR="00E46A45">
        <w:t>Annex </w:t>
      </w:r>
      <w:r w:rsidR="00727ECB">
        <w:t xml:space="preserve">3 of the MOC contains a table which lists the operator in each participating economy. </w:t>
      </w:r>
      <w:r w:rsidR="00EA68C0">
        <w:t>T</w:t>
      </w:r>
      <w:r w:rsidR="00727ECB">
        <w:t xml:space="preserve">he operator is the person or entity who is responsible for managing the overall operations of </w:t>
      </w:r>
      <w:r w:rsidR="003F045E">
        <w:t xml:space="preserve">the </w:t>
      </w:r>
      <w:r w:rsidR="00727ECB">
        <w:t>CIS. In Australia, the operator is the ‘person licensed to operate the CIS under the Corporations Act’ which will be the responsible entity for a registered scheme.</w:t>
      </w:r>
    </w:p>
    <w:p w14:paraId="7E2995AC" w14:textId="2BA580B6" w:rsidR="00B43976" w:rsidRDefault="00B43976" w:rsidP="00B43976">
      <w:pPr>
        <w:pStyle w:val="Heading3"/>
      </w:pPr>
      <w:r>
        <w:t>Home and Host Economies</w:t>
      </w:r>
    </w:p>
    <w:p w14:paraId="53DA85C3" w14:textId="77777777" w:rsidR="00CF35E3" w:rsidRDefault="00CF35E3" w:rsidP="00DC3CE5">
      <w:pPr>
        <w:pStyle w:val="base-text-paragraph"/>
      </w:pPr>
      <w:r>
        <w:t xml:space="preserve">All passport funds have a home economy and they may also have one or more host economies. </w:t>
      </w:r>
    </w:p>
    <w:p w14:paraId="1C8CE0DC" w14:textId="140399F8" w:rsidR="00B43976" w:rsidRDefault="00CF35E3" w:rsidP="00DC3CE5">
      <w:pPr>
        <w:pStyle w:val="base-text-paragraph"/>
      </w:pPr>
      <w:r>
        <w:t>The</w:t>
      </w:r>
      <w:r w:rsidR="00204F7D">
        <w:t xml:space="preserve"> </w:t>
      </w:r>
      <w:r w:rsidR="00204F7D" w:rsidRPr="00B43976">
        <w:rPr>
          <w:b/>
          <w:i/>
        </w:rPr>
        <w:t>home economy</w:t>
      </w:r>
      <w:r w:rsidR="00204F7D">
        <w:t xml:space="preserve"> </w:t>
      </w:r>
      <w:r>
        <w:t>is</w:t>
      </w:r>
      <w:r w:rsidR="00204F7D">
        <w:t xml:space="preserve"> the </w:t>
      </w:r>
      <w:r>
        <w:t xml:space="preserve">participating </w:t>
      </w:r>
      <w:r w:rsidR="00204F7D">
        <w:t xml:space="preserve">economy where the </w:t>
      </w:r>
      <w:r w:rsidR="00D453EC">
        <w:t>passport fund</w:t>
      </w:r>
      <w:r w:rsidR="0039797A">
        <w:t xml:space="preserve"> </w:t>
      </w:r>
      <w:r w:rsidR="00D453EC">
        <w:t>is</w:t>
      </w:r>
      <w:r w:rsidR="00204F7D">
        <w:t xml:space="preserve"> register</w:t>
      </w:r>
      <w:r w:rsidR="00B43976">
        <w:t>ed</w:t>
      </w:r>
      <w:r w:rsidR="00EE00EC">
        <w:t xml:space="preserve"> </w:t>
      </w:r>
      <w:r w:rsidR="007905E3">
        <w:t>or</w:t>
      </w:r>
      <w:r w:rsidR="00B43976">
        <w:t xml:space="preserve"> approved</w:t>
      </w:r>
      <w:r>
        <w:t xml:space="preserve"> </w:t>
      </w:r>
      <w:r w:rsidR="00204F7D">
        <w:t xml:space="preserve">as a </w:t>
      </w:r>
      <w:r w:rsidR="00D453EC">
        <w:t>regulated CIS</w:t>
      </w:r>
      <w:r w:rsidR="007905E3">
        <w:t>, regardless of the exact name given to the registration or approval process</w:t>
      </w:r>
      <w:r w:rsidR="00B43976">
        <w:t>.</w:t>
      </w:r>
      <w:r>
        <w:t xml:space="preserve"> </w:t>
      </w:r>
      <w:r w:rsidR="00D453EC">
        <w:t>If there is more than one such economy then the home economy is the one where the fund is first registered</w:t>
      </w:r>
      <w:r w:rsidR="00EE00EC">
        <w:t xml:space="preserve"> </w:t>
      </w:r>
      <w:r w:rsidR="007905E3">
        <w:t>or</w:t>
      </w:r>
      <w:r w:rsidR="00D453EC">
        <w:t xml:space="preserve"> approved. </w:t>
      </w:r>
      <w:r>
        <w:t xml:space="preserve">This is substantially the same as the definition of home economy in </w:t>
      </w:r>
      <w:r w:rsidR="00E46A45">
        <w:t>Annex </w:t>
      </w:r>
      <w:r>
        <w:t xml:space="preserve">3 of the MOC. </w:t>
      </w:r>
      <w:r w:rsidR="007778A4">
        <w:rPr>
          <w:rStyle w:val="Referencingstyle"/>
        </w:rPr>
        <w:t>[</w:t>
      </w:r>
      <w:r w:rsidR="00E46A45">
        <w:rPr>
          <w:rStyle w:val="Referencingstyle"/>
        </w:rPr>
        <w:t>Schedule </w:t>
      </w:r>
      <w:r w:rsidR="00565DF5">
        <w:rPr>
          <w:rStyle w:val="Referencingstyle"/>
        </w:rPr>
        <w:t xml:space="preserve">1, </w:t>
      </w:r>
      <w:r w:rsidR="00E46A45">
        <w:rPr>
          <w:rStyle w:val="Referencingstyle"/>
        </w:rPr>
        <w:t>item </w:t>
      </w:r>
      <w:r w:rsidR="00565DF5">
        <w:rPr>
          <w:rStyle w:val="Referencingstyle"/>
        </w:rPr>
        <w:t>1,</w:t>
      </w:r>
      <w:r w:rsidR="007778A4">
        <w:rPr>
          <w:rStyle w:val="Referencingstyle"/>
        </w:rPr>
        <w:t xml:space="preserve"> </w:t>
      </w:r>
      <w:r w:rsidR="00E46A45">
        <w:rPr>
          <w:rStyle w:val="Referencingstyle"/>
        </w:rPr>
        <w:t>section </w:t>
      </w:r>
      <w:r w:rsidR="007778A4">
        <w:rPr>
          <w:rStyle w:val="Referencingstyle"/>
        </w:rPr>
        <w:t>1210]</w:t>
      </w:r>
    </w:p>
    <w:p w14:paraId="75E18C9A" w14:textId="76AC0469" w:rsidR="007778A4" w:rsidRDefault="00B25390" w:rsidP="007778A4">
      <w:pPr>
        <w:pStyle w:val="base-text-paragraph"/>
      </w:pPr>
      <w:r>
        <w:lastRenderedPageBreak/>
        <w:t>T</w:t>
      </w:r>
      <w:r w:rsidR="00CF35E3">
        <w:t xml:space="preserve">he </w:t>
      </w:r>
      <w:r w:rsidR="00CF35E3">
        <w:rPr>
          <w:b/>
          <w:i/>
        </w:rPr>
        <w:t xml:space="preserve">host economy </w:t>
      </w:r>
      <w:r>
        <w:t>i</w:t>
      </w:r>
      <w:r w:rsidR="0039797A">
        <w:t xml:space="preserve">s any other </w:t>
      </w:r>
      <w:r w:rsidR="00CF35E3">
        <w:t xml:space="preserve">participating </w:t>
      </w:r>
      <w:r w:rsidR="0039797A">
        <w:t>economy</w:t>
      </w:r>
      <w:r>
        <w:t xml:space="preserve"> (apart from the home economy)</w:t>
      </w:r>
      <w:r w:rsidR="0039797A">
        <w:t xml:space="preserve"> where the passport fund is permitted to offer interests or </w:t>
      </w:r>
      <w:r w:rsidR="00AB520F">
        <w:t>has submitted an application</w:t>
      </w:r>
      <w:r w:rsidR="0039797A">
        <w:t xml:space="preserve"> to offer interests.</w:t>
      </w:r>
      <w:r w:rsidR="00DE17F0">
        <w:t xml:space="preserve"> The passport fund may have more than one host economy.</w:t>
      </w:r>
      <w:r w:rsidR="007905E3">
        <w:t xml:space="preserve"> Australia acts as a host economy to foreign passport funds that have submitted notifications of intention to offer interests</w:t>
      </w:r>
      <w:r w:rsidR="00687B98">
        <w:t xml:space="preserve">, or </w:t>
      </w:r>
      <w:r w:rsidR="00254944">
        <w:t xml:space="preserve">are permitted to offer interests in Australia </w:t>
      </w:r>
      <w:r w:rsidR="00254944" w:rsidRPr="007752A6">
        <w:t xml:space="preserve">after </w:t>
      </w:r>
      <w:r w:rsidR="00687B98" w:rsidRPr="007752A6">
        <w:t>hav</w:t>
      </w:r>
      <w:r w:rsidR="00254944" w:rsidRPr="007752A6">
        <w:t>ing submitted a notification</w:t>
      </w:r>
      <w:r w:rsidR="007905E3" w:rsidRPr="007752A6">
        <w:t xml:space="preserve"> (see </w:t>
      </w:r>
      <w:r w:rsidR="00E46A45" w:rsidRPr="007752A6">
        <w:t>Chapter</w:t>
      </w:r>
      <w:r w:rsidR="00E46A45">
        <w:t> </w:t>
      </w:r>
      <w:r w:rsidR="00EE00EC" w:rsidRPr="007752A6">
        <w:t>3</w:t>
      </w:r>
      <w:r w:rsidR="007905E3" w:rsidRPr="007752A6">
        <w:t>).</w:t>
      </w:r>
      <w:r w:rsidR="0039797A" w:rsidRPr="007752A6">
        <w:t xml:space="preserve"> </w:t>
      </w:r>
      <w:r w:rsidR="007778A4" w:rsidRPr="007752A6">
        <w:rPr>
          <w:rStyle w:val="Referencingstyle"/>
        </w:rPr>
        <w:t>[</w:t>
      </w:r>
      <w:r w:rsidR="00E46A45" w:rsidRPr="007752A6">
        <w:rPr>
          <w:rStyle w:val="Referencingstyle"/>
        </w:rPr>
        <w:t>Schedule</w:t>
      </w:r>
      <w:r w:rsidR="00E46A45">
        <w:rPr>
          <w:rStyle w:val="Referencingstyle"/>
        </w:rPr>
        <w:t> </w:t>
      </w:r>
      <w:r w:rsidR="00565DF5" w:rsidRPr="007752A6">
        <w:rPr>
          <w:rStyle w:val="Referencingstyle"/>
        </w:rPr>
        <w:t xml:space="preserve">1, </w:t>
      </w:r>
      <w:r w:rsidR="00E46A45" w:rsidRPr="007752A6">
        <w:rPr>
          <w:rStyle w:val="Referencingstyle"/>
        </w:rPr>
        <w:t>item</w:t>
      </w:r>
      <w:r w:rsidR="00E46A45">
        <w:rPr>
          <w:rStyle w:val="Referencingstyle"/>
        </w:rPr>
        <w:t> </w:t>
      </w:r>
      <w:r w:rsidR="00565DF5" w:rsidRPr="007752A6">
        <w:rPr>
          <w:rStyle w:val="Referencingstyle"/>
        </w:rPr>
        <w:t>1,</w:t>
      </w:r>
      <w:r w:rsidR="007778A4">
        <w:rPr>
          <w:rStyle w:val="Referencingstyle"/>
        </w:rPr>
        <w:t xml:space="preserve"> </w:t>
      </w:r>
      <w:r w:rsidR="00E46A45">
        <w:rPr>
          <w:rStyle w:val="Referencingstyle"/>
        </w:rPr>
        <w:t>section </w:t>
      </w:r>
      <w:r w:rsidR="007778A4">
        <w:rPr>
          <w:rStyle w:val="Referencingstyle"/>
        </w:rPr>
        <w:t>1210]</w:t>
      </w:r>
    </w:p>
    <w:p w14:paraId="46127F85" w14:textId="335178B1" w:rsidR="005930A1" w:rsidRDefault="005930A1" w:rsidP="005930A1">
      <w:pPr>
        <w:pStyle w:val="base-text-paragraph"/>
      </w:pPr>
      <w:r>
        <w:t xml:space="preserve">If a fund </w:t>
      </w:r>
      <w:r w:rsidR="00921763">
        <w:t xml:space="preserve">is </w:t>
      </w:r>
      <w:r>
        <w:t>deregister</w:t>
      </w:r>
      <w:r w:rsidR="00921763">
        <w:t>ed</w:t>
      </w:r>
      <w:r>
        <w:t xml:space="preserve"> as a passport fund in its home economy, it will no longer meet the definition of a passport fund and it will not have a home economy. </w:t>
      </w:r>
      <w:r w:rsidR="00727ECB">
        <w:t xml:space="preserve">It will also fail to </w:t>
      </w:r>
      <w:r>
        <w:t xml:space="preserve">meet the prerequisites for actually being </w:t>
      </w:r>
      <w:r w:rsidR="00DE5CD0">
        <w:t>permitt</w:t>
      </w:r>
      <w:r>
        <w:t xml:space="preserve">ed to offer interests in </w:t>
      </w:r>
      <w:r w:rsidR="00727ECB">
        <w:t>any other economy</w:t>
      </w:r>
      <w:r>
        <w:t>.</w:t>
      </w:r>
    </w:p>
    <w:p w14:paraId="3950B498" w14:textId="7EC6432D" w:rsidR="0039797A" w:rsidRPr="0039797A" w:rsidRDefault="00EA58ED" w:rsidP="0039797A">
      <w:pPr>
        <w:pStyle w:val="Heading3"/>
      </w:pPr>
      <w:r>
        <w:t>Home and Host</w:t>
      </w:r>
      <w:r w:rsidR="0039797A">
        <w:t xml:space="preserve"> Regulators</w:t>
      </w:r>
    </w:p>
    <w:p w14:paraId="35270CED" w14:textId="1791E661" w:rsidR="00EA58ED" w:rsidRDefault="00EA58ED" w:rsidP="00DC3CE5">
      <w:pPr>
        <w:pStyle w:val="base-text-paragraph"/>
      </w:pPr>
      <w:r w:rsidRPr="00A10C4D">
        <w:rPr>
          <w:b/>
          <w:i/>
        </w:rPr>
        <w:t>Passport Regulator</w:t>
      </w:r>
      <w:r w:rsidR="004041D1">
        <w:t xml:space="preserve"> (as used in the definitions of </w:t>
      </w:r>
      <w:r w:rsidR="00EB2737">
        <w:rPr>
          <w:b/>
          <w:i/>
        </w:rPr>
        <w:t>H</w:t>
      </w:r>
      <w:r w:rsidR="00EB2737" w:rsidRPr="004041D1">
        <w:rPr>
          <w:b/>
          <w:i/>
        </w:rPr>
        <w:t>ome</w:t>
      </w:r>
      <w:r w:rsidR="00EB2737">
        <w:rPr>
          <w:b/>
          <w:i/>
        </w:rPr>
        <w:t> </w:t>
      </w:r>
      <w:r w:rsidR="004041D1" w:rsidRPr="004041D1">
        <w:rPr>
          <w:b/>
          <w:i/>
        </w:rPr>
        <w:t>regulator</w:t>
      </w:r>
      <w:r w:rsidR="004041D1">
        <w:t xml:space="preserve"> and </w:t>
      </w:r>
      <w:r w:rsidR="004041D1" w:rsidRPr="004041D1">
        <w:rPr>
          <w:b/>
          <w:i/>
        </w:rPr>
        <w:t>Host regulator</w:t>
      </w:r>
      <w:r w:rsidR="004041D1">
        <w:t>)</w:t>
      </w:r>
      <w:r>
        <w:t xml:space="preserve"> has the </w:t>
      </w:r>
      <w:r w:rsidR="004041D1">
        <w:t>m</w:t>
      </w:r>
      <w:r>
        <w:t xml:space="preserve">eaning as in the </w:t>
      </w:r>
      <w:r w:rsidR="006156B8">
        <w:t>P</w:t>
      </w:r>
      <w:r>
        <w:t xml:space="preserve">assport </w:t>
      </w:r>
      <w:r w:rsidR="006156B8">
        <w:t>R</w:t>
      </w:r>
      <w:r>
        <w:t xml:space="preserve">ules </w:t>
      </w:r>
      <w:r w:rsidR="00DA6AAD">
        <w:t>for</w:t>
      </w:r>
      <w:r>
        <w:t xml:space="preserve"> this jurisdiction</w:t>
      </w:r>
      <w:r w:rsidR="004245EE">
        <w:t>,</w:t>
      </w:r>
      <w:r>
        <w:t xml:space="preserve"> and th</w:t>
      </w:r>
      <w:r w:rsidR="004245EE">
        <w:t>o</w:t>
      </w:r>
      <w:r>
        <w:t xml:space="preserve">se rules must be substantially the same as </w:t>
      </w:r>
      <w:r w:rsidR="00EB2737">
        <w:t>Annex </w:t>
      </w:r>
      <w:r>
        <w:t>3 of the MOC</w:t>
      </w:r>
      <w:r w:rsidR="00FE45BE">
        <w:t xml:space="preserve"> </w:t>
      </w:r>
      <w:r w:rsidR="00FE45BE">
        <w:rPr>
          <w:rStyle w:val="Referencingstyle"/>
        </w:rPr>
        <w:t>[</w:t>
      </w:r>
      <w:r w:rsidR="00EB2737">
        <w:rPr>
          <w:rStyle w:val="Referencingstyle"/>
        </w:rPr>
        <w:t>Schedule </w:t>
      </w:r>
      <w:r w:rsidR="00FE45BE">
        <w:rPr>
          <w:rStyle w:val="Referencingstyle"/>
        </w:rPr>
        <w:t xml:space="preserve">1, </w:t>
      </w:r>
      <w:r w:rsidR="00EB2737">
        <w:rPr>
          <w:rStyle w:val="Referencingstyle"/>
        </w:rPr>
        <w:t>item </w:t>
      </w:r>
      <w:r w:rsidR="00FE45BE">
        <w:rPr>
          <w:rStyle w:val="Referencingstyle"/>
        </w:rPr>
        <w:t xml:space="preserve">1, </w:t>
      </w:r>
      <w:r w:rsidR="00EB2737">
        <w:rPr>
          <w:rStyle w:val="Referencingstyle"/>
        </w:rPr>
        <w:t>sections </w:t>
      </w:r>
      <w:r w:rsidR="00FE45BE">
        <w:rPr>
          <w:rStyle w:val="Referencingstyle"/>
        </w:rPr>
        <w:t>1210 and 1211]</w:t>
      </w:r>
      <w:r>
        <w:t xml:space="preserve">. Under the MOC, the </w:t>
      </w:r>
      <w:r w:rsidR="00575754" w:rsidRPr="00A10C4D">
        <w:t xml:space="preserve">Passport </w:t>
      </w:r>
      <w:r w:rsidR="00B43976" w:rsidRPr="00A10C4D">
        <w:t>R</w:t>
      </w:r>
      <w:r w:rsidR="00204F7D" w:rsidRPr="00A10C4D">
        <w:t>egulator</w:t>
      </w:r>
      <w:r w:rsidR="00204F7D">
        <w:t xml:space="preserve"> </w:t>
      </w:r>
      <w:r>
        <w:t>is the entity in each participating economy which performs the regulatory functions under the relevant legislation (</w:t>
      </w:r>
      <w:r w:rsidR="00707710">
        <w:t xml:space="preserve">as defined under the term </w:t>
      </w:r>
      <w:r w:rsidR="00707710" w:rsidRPr="00707710">
        <w:rPr>
          <w:b/>
          <w:i/>
        </w:rPr>
        <w:t>Passport Regulator</w:t>
      </w:r>
      <w:r w:rsidR="00707710">
        <w:t xml:space="preserve"> in </w:t>
      </w:r>
      <w:r w:rsidR="00EB2737" w:rsidRPr="00586783">
        <w:t>section </w:t>
      </w:r>
      <w:r w:rsidRPr="00586783">
        <w:t>55</w:t>
      </w:r>
      <w:r w:rsidR="00FE45BE">
        <w:t xml:space="preserve"> of </w:t>
      </w:r>
      <w:r w:rsidR="00EB2737">
        <w:t>Annex </w:t>
      </w:r>
      <w:r w:rsidR="00FE45BE">
        <w:t>3</w:t>
      </w:r>
      <w:r>
        <w:t xml:space="preserve">). </w:t>
      </w:r>
    </w:p>
    <w:p w14:paraId="7C436E85" w14:textId="49C135F9" w:rsidR="00EA58ED" w:rsidRDefault="00EA58ED" w:rsidP="00DC3CE5">
      <w:pPr>
        <w:pStyle w:val="base-text-paragraph"/>
      </w:pPr>
      <w:r>
        <w:t xml:space="preserve">The Passport Regulators in each of the </w:t>
      </w:r>
      <w:r w:rsidR="00A10C4D">
        <w:t>countries that initially signed</w:t>
      </w:r>
      <w:r>
        <w:t xml:space="preserve"> the MOC are shown in the table below. If the entity responsible for the regulatory functions changes, the new entity will become the Passport Regulator. </w:t>
      </w:r>
    </w:p>
    <w:p w14:paraId="69B4A459" w14:textId="432D34DF" w:rsidR="00EA58ED" w:rsidRDefault="00A10C4D" w:rsidP="00EA58ED">
      <w:pPr>
        <w:pStyle w:val="TableHeadingoutsidetable"/>
      </w:pPr>
      <w:r>
        <w:t>: Passport Regulator in each Participating Economy</w:t>
      </w:r>
    </w:p>
    <w:tbl>
      <w:tblPr>
        <w:tblStyle w:val="TableGrid"/>
        <w:tblW w:w="0" w:type="auto"/>
        <w:tblInd w:w="1134" w:type="dxa"/>
        <w:tblLook w:val="04A0" w:firstRow="1" w:lastRow="0" w:firstColumn="1" w:lastColumn="0" w:noHBand="0" w:noVBand="1"/>
      </w:tblPr>
      <w:tblGrid>
        <w:gridCol w:w="2632"/>
        <w:gridCol w:w="4160"/>
      </w:tblGrid>
      <w:tr w:rsidR="00A10C4D" w14:paraId="41E10F2D" w14:textId="77777777" w:rsidTr="00A10C4D">
        <w:tc>
          <w:tcPr>
            <w:tcW w:w="2632" w:type="dxa"/>
          </w:tcPr>
          <w:p w14:paraId="5B5595AB" w14:textId="04B9CA8A" w:rsidR="00A10C4D" w:rsidRDefault="00A10C4D" w:rsidP="005B22BA">
            <w:pPr>
              <w:pStyle w:val="tableheaderwithintable"/>
            </w:pPr>
            <w:r>
              <w:t>Participant</w:t>
            </w:r>
          </w:p>
        </w:tc>
        <w:tc>
          <w:tcPr>
            <w:tcW w:w="4160" w:type="dxa"/>
          </w:tcPr>
          <w:p w14:paraId="7D5BB2A3" w14:textId="669BBB84" w:rsidR="00A10C4D" w:rsidRDefault="00A10C4D" w:rsidP="005B22BA">
            <w:pPr>
              <w:pStyle w:val="tableheaderwithintable"/>
            </w:pPr>
            <w:r>
              <w:t>Regulator</w:t>
            </w:r>
          </w:p>
        </w:tc>
      </w:tr>
      <w:tr w:rsidR="00A10C4D" w14:paraId="4E8B3C47" w14:textId="77777777" w:rsidTr="00A10C4D">
        <w:tc>
          <w:tcPr>
            <w:tcW w:w="2632" w:type="dxa"/>
          </w:tcPr>
          <w:p w14:paraId="721003D7" w14:textId="1E99E6B5" w:rsidR="00A10C4D" w:rsidRDefault="00A10C4D" w:rsidP="00EB2737">
            <w:pPr>
              <w:pStyle w:val="tabletext"/>
              <w:ind w:left="0"/>
            </w:pPr>
            <w:r>
              <w:t>Australia</w:t>
            </w:r>
          </w:p>
        </w:tc>
        <w:tc>
          <w:tcPr>
            <w:tcW w:w="4160" w:type="dxa"/>
          </w:tcPr>
          <w:p w14:paraId="6B704EC8" w14:textId="113475B0" w:rsidR="00A10C4D" w:rsidRDefault="00A10C4D" w:rsidP="00EB2737">
            <w:pPr>
              <w:pStyle w:val="tabletext"/>
              <w:ind w:left="62"/>
            </w:pPr>
            <w:r>
              <w:t>ASIC</w:t>
            </w:r>
          </w:p>
        </w:tc>
      </w:tr>
      <w:tr w:rsidR="00A10C4D" w14:paraId="402E5D80" w14:textId="77777777" w:rsidTr="00A10C4D">
        <w:tc>
          <w:tcPr>
            <w:tcW w:w="2632" w:type="dxa"/>
          </w:tcPr>
          <w:p w14:paraId="4E943FBE" w14:textId="2493A2CD" w:rsidR="00A10C4D" w:rsidRDefault="00A10C4D" w:rsidP="00EB2737">
            <w:pPr>
              <w:pStyle w:val="tabletext"/>
              <w:ind w:left="0"/>
            </w:pPr>
            <w:r>
              <w:t>Japan</w:t>
            </w:r>
          </w:p>
        </w:tc>
        <w:tc>
          <w:tcPr>
            <w:tcW w:w="4160" w:type="dxa"/>
          </w:tcPr>
          <w:p w14:paraId="285E2E99" w14:textId="4ED95F59" w:rsidR="00A10C4D" w:rsidRDefault="00A10C4D" w:rsidP="00EB2737">
            <w:pPr>
              <w:pStyle w:val="tabletext"/>
              <w:ind w:left="62"/>
            </w:pPr>
            <w:r>
              <w:t>Financial Services Agency</w:t>
            </w:r>
          </w:p>
        </w:tc>
      </w:tr>
      <w:tr w:rsidR="00A10C4D" w14:paraId="5C189854" w14:textId="77777777" w:rsidTr="00A10C4D">
        <w:tc>
          <w:tcPr>
            <w:tcW w:w="2632" w:type="dxa"/>
          </w:tcPr>
          <w:p w14:paraId="4DC5E100" w14:textId="6012794D" w:rsidR="00A10C4D" w:rsidRDefault="00A10C4D" w:rsidP="00EB2737">
            <w:pPr>
              <w:pStyle w:val="tabletext"/>
              <w:ind w:left="0"/>
            </w:pPr>
            <w:r>
              <w:t>Korea</w:t>
            </w:r>
          </w:p>
        </w:tc>
        <w:tc>
          <w:tcPr>
            <w:tcW w:w="4160" w:type="dxa"/>
          </w:tcPr>
          <w:p w14:paraId="3B558D40" w14:textId="042BC11D" w:rsidR="00A10C4D" w:rsidRDefault="00A10C4D" w:rsidP="00EB2737">
            <w:pPr>
              <w:pStyle w:val="tabletext"/>
              <w:ind w:left="62"/>
            </w:pPr>
            <w:r>
              <w:t>Financial Supervisory Service and Financial Services Commission</w:t>
            </w:r>
          </w:p>
        </w:tc>
      </w:tr>
      <w:tr w:rsidR="00A10C4D" w14:paraId="1ED945FF" w14:textId="77777777" w:rsidTr="00A10C4D">
        <w:tc>
          <w:tcPr>
            <w:tcW w:w="2632" w:type="dxa"/>
          </w:tcPr>
          <w:p w14:paraId="3698C4AE" w14:textId="6D16B822" w:rsidR="00A10C4D" w:rsidRDefault="00A10C4D" w:rsidP="00EB2737">
            <w:pPr>
              <w:pStyle w:val="tabletext"/>
              <w:ind w:left="0"/>
            </w:pPr>
            <w:r>
              <w:t>New Zealand</w:t>
            </w:r>
          </w:p>
        </w:tc>
        <w:tc>
          <w:tcPr>
            <w:tcW w:w="4160" w:type="dxa"/>
          </w:tcPr>
          <w:p w14:paraId="1DBE0BD9" w14:textId="0974C442" w:rsidR="00A10C4D" w:rsidRDefault="00A10C4D" w:rsidP="00EB2737">
            <w:pPr>
              <w:pStyle w:val="tabletext"/>
              <w:ind w:left="62"/>
            </w:pPr>
            <w:r>
              <w:t>Financial Markets Authority</w:t>
            </w:r>
          </w:p>
        </w:tc>
      </w:tr>
      <w:tr w:rsidR="00A10C4D" w14:paraId="742B6FE2" w14:textId="77777777" w:rsidTr="00A10C4D">
        <w:tc>
          <w:tcPr>
            <w:tcW w:w="2632" w:type="dxa"/>
          </w:tcPr>
          <w:p w14:paraId="105F0A07" w14:textId="7E837826" w:rsidR="00A10C4D" w:rsidRDefault="00A10C4D" w:rsidP="00EB2737">
            <w:pPr>
              <w:pStyle w:val="tabletext"/>
              <w:ind w:left="0"/>
            </w:pPr>
            <w:r>
              <w:t>Singapore</w:t>
            </w:r>
            <w:r w:rsidR="00EA68C0">
              <w:rPr>
                <w:rStyle w:val="FootnoteReference"/>
              </w:rPr>
              <w:footnoteReference w:id="4"/>
            </w:r>
          </w:p>
        </w:tc>
        <w:tc>
          <w:tcPr>
            <w:tcW w:w="4160" w:type="dxa"/>
          </w:tcPr>
          <w:p w14:paraId="29105F79" w14:textId="5F113706" w:rsidR="00A10C4D" w:rsidRDefault="00A10C4D" w:rsidP="00EB2737">
            <w:pPr>
              <w:pStyle w:val="tabletext"/>
              <w:ind w:left="62"/>
            </w:pPr>
            <w:r>
              <w:t>Monetary Authority of Singapore</w:t>
            </w:r>
          </w:p>
        </w:tc>
      </w:tr>
      <w:tr w:rsidR="00A10C4D" w14:paraId="17EA9D1C" w14:textId="77777777" w:rsidTr="00A10C4D">
        <w:tc>
          <w:tcPr>
            <w:tcW w:w="2632" w:type="dxa"/>
          </w:tcPr>
          <w:p w14:paraId="41702384" w14:textId="53E7F549" w:rsidR="00A10C4D" w:rsidRDefault="00A10C4D" w:rsidP="00EB2737">
            <w:pPr>
              <w:pStyle w:val="tabletext"/>
              <w:ind w:left="0"/>
            </w:pPr>
            <w:r>
              <w:t>Thailand</w:t>
            </w:r>
          </w:p>
        </w:tc>
        <w:tc>
          <w:tcPr>
            <w:tcW w:w="4160" w:type="dxa"/>
          </w:tcPr>
          <w:p w14:paraId="060F66E2" w14:textId="3278D1B9" w:rsidR="00A10C4D" w:rsidRDefault="00A10C4D" w:rsidP="00EB2737">
            <w:pPr>
              <w:pStyle w:val="tabletext"/>
              <w:ind w:left="62"/>
            </w:pPr>
            <w:r>
              <w:t>Securities and Exchange Commission</w:t>
            </w:r>
          </w:p>
        </w:tc>
      </w:tr>
    </w:tbl>
    <w:p w14:paraId="2B1F9705" w14:textId="3C592565" w:rsidR="00204F7D" w:rsidRDefault="00A10C4D" w:rsidP="00DC3CE5">
      <w:pPr>
        <w:pStyle w:val="base-text-paragraph"/>
      </w:pPr>
      <w:r>
        <w:lastRenderedPageBreak/>
        <w:t xml:space="preserve">The </w:t>
      </w:r>
      <w:r w:rsidRPr="007778A4">
        <w:rPr>
          <w:b/>
          <w:i/>
        </w:rPr>
        <w:t>home regulator</w:t>
      </w:r>
      <w:r>
        <w:t xml:space="preserve"> for a passport fund is the Passport Regulator in the fund’s home economy</w:t>
      </w:r>
      <w:r w:rsidR="007778A4">
        <w:t xml:space="preserve"> </w:t>
      </w:r>
      <w:r w:rsidR="007778A4">
        <w:rPr>
          <w:rStyle w:val="Referencingstyle"/>
        </w:rPr>
        <w:t>[</w:t>
      </w:r>
      <w:r w:rsidR="00EB2737">
        <w:rPr>
          <w:rStyle w:val="Referencingstyle"/>
        </w:rPr>
        <w:t>Schedule </w:t>
      </w:r>
      <w:r w:rsidR="00565DF5">
        <w:rPr>
          <w:rStyle w:val="Referencingstyle"/>
        </w:rPr>
        <w:t xml:space="preserve">1, </w:t>
      </w:r>
      <w:r w:rsidR="00EB2737">
        <w:rPr>
          <w:rStyle w:val="Referencingstyle"/>
        </w:rPr>
        <w:t>item </w:t>
      </w:r>
      <w:r w:rsidR="00565DF5">
        <w:rPr>
          <w:rStyle w:val="Referencingstyle"/>
        </w:rPr>
        <w:t>1,</w:t>
      </w:r>
      <w:r w:rsidR="007778A4">
        <w:rPr>
          <w:rStyle w:val="Referencingstyle"/>
        </w:rPr>
        <w:t xml:space="preserve"> </w:t>
      </w:r>
      <w:r w:rsidR="00EB2737">
        <w:rPr>
          <w:rStyle w:val="Referencingstyle"/>
        </w:rPr>
        <w:t>section </w:t>
      </w:r>
      <w:r w:rsidR="007778A4">
        <w:rPr>
          <w:rStyle w:val="Referencingstyle"/>
        </w:rPr>
        <w:t>1210]</w:t>
      </w:r>
      <w:r>
        <w:t xml:space="preserve">. The </w:t>
      </w:r>
      <w:r w:rsidRPr="007778A4">
        <w:rPr>
          <w:b/>
          <w:i/>
        </w:rPr>
        <w:t xml:space="preserve">host regulators </w:t>
      </w:r>
      <w:r w:rsidR="00906E19">
        <w:t>for a p</w:t>
      </w:r>
      <w:r>
        <w:t>assport fund are the Passport Regul</w:t>
      </w:r>
      <w:r w:rsidR="00CA5C01">
        <w:t xml:space="preserve">ators in the </w:t>
      </w:r>
      <w:r w:rsidR="00CA5C01" w:rsidRPr="007752A6">
        <w:t>fund’s host economies</w:t>
      </w:r>
      <w:r w:rsidR="007778A4" w:rsidRPr="007752A6">
        <w:t xml:space="preserve"> </w:t>
      </w:r>
      <w:r w:rsidR="007778A4" w:rsidRPr="007752A6">
        <w:rPr>
          <w:rStyle w:val="Referencingstyle"/>
        </w:rPr>
        <w:t>[</w:t>
      </w:r>
      <w:r w:rsidR="00EB2737" w:rsidRPr="007752A6">
        <w:rPr>
          <w:rStyle w:val="Referencingstyle"/>
        </w:rPr>
        <w:t>Schedule</w:t>
      </w:r>
      <w:r w:rsidR="00EB2737">
        <w:rPr>
          <w:rStyle w:val="Referencingstyle"/>
        </w:rPr>
        <w:t> </w:t>
      </w:r>
      <w:r w:rsidR="00565DF5" w:rsidRPr="007752A6">
        <w:rPr>
          <w:rStyle w:val="Referencingstyle"/>
        </w:rPr>
        <w:t xml:space="preserve">1, </w:t>
      </w:r>
      <w:r w:rsidR="00EB2737" w:rsidRPr="007752A6">
        <w:rPr>
          <w:rStyle w:val="Referencingstyle"/>
        </w:rPr>
        <w:t>item</w:t>
      </w:r>
      <w:r w:rsidR="00EB2737">
        <w:rPr>
          <w:rStyle w:val="Referencingstyle"/>
        </w:rPr>
        <w:t> </w:t>
      </w:r>
      <w:r w:rsidR="00565DF5" w:rsidRPr="007752A6">
        <w:rPr>
          <w:rStyle w:val="Referencingstyle"/>
        </w:rPr>
        <w:t>1,</w:t>
      </w:r>
      <w:r w:rsidR="007778A4" w:rsidRPr="007752A6">
        <w:rPr>
          <w:rStyle w:val="Referencingstyle"/>
        </w:rPr>
        <w:t xml:space="preserve"> </w:t>
      </w:r>
      <w:r w:rsidR="00EB2737" w:rsidRPr="007752A6">
        <w:rPr>
          <w:rStyle w:val="Referencingstyle"/>
        </w:rPr>
        <w:t>section</w:t>
      </w:r>
      <w:r w:rsidR="00EB2737">
        <w:rPr>
          <w:rStyle w:val="Referencingstyle"/>
        </w:rPr>
        <w:t> </w:t>
      </w:r>
      <w:r w:rsidR="007778A4" w:rsidRPr="007752A6">
        <w:rPr>
          <w:rStyle w:val="Referencingstyle"/>
        </w:rPr>
        <w:t>1210]</w:t>
      </w:r>
      <w:r w:rsidRPr="007752A6">
        <w:t xml:space="preserve">. </w:t>
      </w:r>
      <w:r w:rsidR="00EB2737">
        <w:t>S</w:t>
      </w:r>
      <w:r w:rsidRPr="007752A6">
        <w:t xml:space="preserve">ee </w:t>
      </w:r>
      <w:r w:rsidR="00EB2737" w:rsidRPr="00FC1C21">
        <w:t>paragraphs </w:t>
      </w:r>
      <w:r w:rsidR="00EE00EC" w:rsidRPr="00FC1C21">
        <w:t>2.41</w:t>
      </w:r>
      <w:r w:rsidRPr="00FC1C21">
        <w:t xml:space="preserve"> to </w:t>
      </w:r>
      <w:r w:rsidR="00EE00EC" w:rsidRPr="00FC1C21">
        <w:t>2.44</w:t>
      </w:r>
      <w:r w:rsidRPr="007752A6">
        <w:t xml:space="preserve"> for an explanation of the definition</w:t>
      </w:r>
      <w:r w:rsidR="00EE00EC" w:rsidRPr="007752A6">
        <w:t>s</w:t>
      </w:r>
      <w:r w:rsidRPr="007752A6">
        <w:t xml:space="preserve"> of home and host</w:t>
      </w:r>
      <w:r>
        <w:t xml:space="preserve"> economy.</w:t>
      </w:r>
    </w:p>
    <w:p w14:paraId="28B25818" w14:textId="77777777" w:rsidR="009476E5" w:rsidRDefault="009476E5" w:rsidP="009476E5">
      <w:pPr>
        <w:pStyle w:val="Heading2"/>
      </w:pPr>
      <w:r>
        <w:t>Consequential amendments</w:t>
      </w:r>
    </w:p>
    <w:p w14:paraId="57B50192" w14:textId="7083DA38" w:rsidR="009476E5" w:rsidRDefault="009476E5" w:rsidP="009476E5">
      <w:pPr>
        <w:pStyle w:val="base-text-paragraph"/>
      </w:pPr>
      <w:r>
        <w:t xml:space="preserve">Consequential amendments have been made to </w:t>
      </w:r>
      <w:r w:rsidR="00C47207">
        <w:t>the definition sections</w:t>
      </w:r>
      <w:r w:rsidR="00CA633A">
        <w:t xml:space="preserve"> in the </w:t>
      </w:r>
      <w:r w:rsidR="00EB2737">
        <w:t>Corporations </w:t>
      </w:r>
      <w:r w:rsidR="00CA633A">
        <w:t>Act</w:t>
      </w:r>
      <w:r w:rsidR="00C47207">
        <w:t xml:space="preserve"> </w:t>
      </w:r>
      <w:r>
        <w:t>to include the Passport Rules for this jurisdiction in the definition of ‘this Act’</w:t>
      </w:r>
      <w:r w:rsidR="00423D19">
        <w:t xml:space="preserve"> and ensure that ‘entity’ has the same definition in the new chapter</w:t>
      </w:r>
      <w:r w:rsidR="00F552DA">
        <w:t xml:space="preserve"> as in </w:t>
      </w:r>
      <w:r w:rsidR="00EB2737">
        <w:t>Chapter </w:t>
      </w:r>
      <w:r w:rsidR="00F552DA">
        <w:t>2E</w:t>
      </w:r>
      <w:r>
        <w:t xml:space="preserve">. </w:t>
      </w:r>
      <w:r>
        <w:rPr>
          <w:rStyle w:val="Referencingstyle"/>
        </w:rPr>
        <w:t>[</w:t>
      </w:r>
      <w:r w:rsidR="00EB2737">
        <w:rPr>
          <w:rStyle w:val="Referencingstyle"/>
        </w:rPr>
        <w:t>Schedule </w:t>
      </w:r>
      <w:r>
        <w:rPr>
          <w:rStyle w:val="Referencingstyle"/>
        </w:rPr>
        <w:t xml:space="preserve">2, </w:t>
      </w:r>
      <w:r w:rsidR="00EB2737">
        <w:rPr>
          <w:rStyle w:val="Referencingstyle"/>
        </w:rPr>
        <w:t>items </w:t>
      </w:r>
      <w:r w:rsidR="00423D19">
        <w:rPr>
          <w:rStyle w:val="Referencingstyle"/>
        </w:rPr>
        <w:t>5</w:t>
      </w:r>
      <w:r w:rsidR="006A3C7B">
        <w:rPr>
          <w:rStyle w:val="Referencingstyle"/>
        </w:rPr>
        <w:t xml:space="preserve"> and</w:t>
      </w:r>
      <w:r w:rsidR="00F552DA">
        <w:rPr>
          <w:rStyle w:val="Referencingstyle"/>
        </w:rPr>
        <w:t xml:space="preserve"> </w:t>
      </w:r>
      <w:r>
        <w:rPr>
          <w:rStyle w:val="Referencingstyle"/>
        </w:rPr>
        <w:t>1</w:t>
      </w:r>
      <w:r w:rsidR="006A3C7B">
        <w:rPr>
          <w:rStyle w:val="Referencingstyle"/>
        </w:rPr>
        <w:t>2</w:t>
      </w:r>
      <w:r>
        <w:rPr>
          <w:rStyle w:val="Referencingstyle"/>
        </w:rPr>
        <w:t xml:space="preserve">, </w:t>
      </w:r>
      <w:r w:rsidR="00EB2737">
        <w:rPr>
          <w:rStyle w:val="Referencingstyle"/>
        </w:rPr>
        <w:t>sections </w:t>
      </w:r>
      <w:r>
        <w:rPr>
          <w:rStyle w:val="Referencingstyle"/>
        </w:rPr>
        <w:t>9</w:t>
      </w:r>
      <w:r w:rsidR="00F552DA">
        <w:rPr>
          <w:rStyle w:val="Referencingstyle"/>
        </w:rPr>
        <w:t xml:space="preserve"> and 64A</w:t>
      </w:r>
      <w:r>
        <w:rPr>
          <w:rStyle w:val="Referencingstyle"/>
        </w:rPr>
        <w:t>]</w:t>
      </w:r>
      <w:r>
        <w:t xml:space="preserve"> </w:t>
      </w:r>
    </w:p>
    <w:p w14:paraId="121D5FCE" w14:textId="77777777" w:rsidR="00EF40E0" w:rsidRDefault="00EF40E0" w:rsidP="00EF40E0"/>
    <w:p w14:paraId="73C1C2C3" w14:textId="692E9E8C" w:rsidR="005B22BA" w:rsidRDefault="005B22BA" w:rsidP="00856A12">
      <w:pPr>
        <w:sectPr w:rsidR="005B22BA" w:rsidSect="00856A12">
          <w:headerReference w:type="even" r:id="rId35"/>
          <w:headerReference w:type="default" r:id="rId36"/>
          <w:footerReference w:type="even" r:id="rId37"/>
          <w:footerReference w:type="default" r:id="rId38"/>
          <w:footerReference w:type="first" r:id="rId39"/>
          <w:type w:val="oddPage"/>
          <w:pgSz w:w="11906" w:h="16838" w:code="9"/>
          <w:pgMar w:top="2466" w:right="2098" w:bottom="2466" w:left="2098" w:header="1559" w:footer="1899" w:gutter="0"/>
          <w:cols w:space="708"/>
          <w:titlePg/>
          <w:docGrid w:linePitch="360"/>
        </w:sectPr>
      </w:pPr>
    </w:p>
    <w:p w14:paraId="5C980C80" w14:textId="3E591BA0" w:rsidR="00D9405B" w:rsidRPr="00F51A71" w:rsidRDefault="00D9405B" w:rsidP="00260FA6">
      <w:pPr>
        <w:pStyle w:val="ChapterHeading"/>
        <w:tabs>
          <w:tab w:val="clear" w:pos="1134"/>
          <w:tab w:val="num" w:pos="360"/>
        </w:tabs>
      </w:pPr>
      <w:r w:rsidRPr="00F51A71">
        <w:lastRenderedPageBreak/>
        <w:br/>
      </w:r>
      <w:bookmarkStart w:id="4" w:name="_Toc490750341"/>
      <w:r w:rsidR="00BB7071">
        <w:t xml:space="preserve">Application and </w:t>
      </w:r>
      <w:r w:rsidR="005B22BA">
        <w:t>registration</w:t>
      </w:r>
      <w:bookmarkEnd w:id="4"/>
    </w:p>
    <w:p w14:paraId="50247FB0" w14:textId="77777777" w:rsidR="00D9405B" w:rsidRDefault="00D9405B" w:rsidP="00260FA6">
      <w:pPr>
        <w:pStyle w:val="Heading2"/>
      </w:pPr>
      <w:r>
        <w:t>Outline of chapter</w:t>
      </w:r>
    </w:p>
    <w:p w14:paraId="23436013" w14:textId="7624E732" w:rsidR="00D9405B" w:rsidRDefault="002000D1" w:rsidP="00260FA6">
      <w:pPr>
        <w:pStyle w:val="base-text-paragraph"/>
      </w:pPr>
      <w:r w:rsidRPr="007752A6">
        <w:t>Parts</w:t>
      </w:r>
      <w:r>
        <w:t> </w:t>
      </w:r>
      <w:r w:rsidR="001F5982" w:rsidRPr="007752A6">
        <w:t>8A.</w:t>
      </w:r>
      <w:r w:rsidR="00341A39" w:rsidRPr="007752A6">
        <w:t>3</w:t>
      </w:r>
      <w:r w:rsidR="0036347A" w:rsidRPr="007752A6">
        <w:t>, 8A.4</w:t>
      </w:r>
      <w:r w:rsidR="001F5982" w:rsidRPr="007752A6">
        <w:t xml:space="preserve"> and 8A.</w:t>
      </w:r>
      <w:r w:rsidR="0036347A" w:rsidRPr="007752A6">
        <w:t>5</w:t>
      </w:r>
      <w:r w:rsidR="001F5982" w:rsidRPr="007752A6">
        <w:t xml:space="preserve"> of the new law set out the </w:t>
      </w:r>
      <w:r w:rsidR="00EE2359" w:rsidRPr="007752A6">
        <w:t>processes</w:t>
      </w:r>
      <w:r w:rsidR="001F5982">
        <w:t xml:space="preserve"> </w:t>
      </w:r>
      <w:r w:rsidR="00DE5CD0">
        <w:t>under which</w:t>
      </w:r>
      <w:r w:rsidR="001F5982">
        <w:t xml:space="preserve"> Australia</w:t>
      </w:r>
      <w:r w:rsidR="004245EE">
        <w:t>n</w:t>
      </w:r>
      <w:r w:rsidR="00EE2359">
        <w:t xml:space="preserve"> </w:t>
      </w:r>
      <w:r w:rsidR="008A5DBD">
        <w:t xml:space="preserve">and foreign passport funds </w:t>
      </w:r>
      <w:r w:rsidR="00DE5CD0">
        <w:t>are allowed</w:t>
      </w:r>
      <w:r w:rsidR="00EE2359">
        <w:t xml:space="preserve"> to offer interests in Australia</w:t>
      </w:r>
      <w:r w:rsidR="001F5982">
        <w:t>.</w:t>
      </w:r>
    </w:p>
    <w:p w14:paraId="041C4C7D" w14:textId="77777777" w:rsidR="00D9405B" w:rsidRDefault="00D9405B" w:rsidP="00260FA6">
      <w:pPr>
        <w:pStyle w:val="Heading2"/>
      </w:pPr>
      <w:r>
        <w:t>Summary of new law</w:t>
      </w:r>
    </w:p>
    <w:p w14:paraId="4CAF0245" w14:textId="3AB73B1C" w:rsidR="00D9405B" w:rsidRDefault="001F5982" w:rsidP="00260FA6">
      <w:pPr>
        <w:pStyle w:val="base-text-paragraph"/>
      </w:pPr>
      <w:r>
        <w:t xml:space="preserve">Funds registered under the </w:t>
      </w:r>
      <w:r w:rsidR="002000D1">
        <w:t>Corporations </w:t>
      </w:r>
      <w:r>
        <w:t xml:space="preserve">Act in Australia may apply </w:t>
      </w:r>
      <w:r w:rsidR="008A5DBD">
        <w:t>to become passport funds</w:t>
      </w:r>
      <w:r>
        <w:t xml:space="preserve"> by lodging an application in the </w:t>
      </w:r>
      <w:r w:rsidR="003738DC">
        <w:t>prescribed</w:t>
      </w:r>
      <w:r>
        <w:t xml:space="preserve"> form with ASIC. ASIC must register the fund if the Operator of the fund meets the eligibility criteria in the MOC and ASIC is </w:t>
      </w:r>
      <w:r w:rsidR="00902333">
        <w:t>satisfied</w:t>
      </w:r>
      <w:r>
        <w:t xml:space="preserve"> that the fund will comply with the </w:t>
      </w:r>
      <w:r w:rsidR="00902333">
        <w:t xml:space="preserve">corporations </w:t>
      </w:r>
      <w:r w:rsidR="00EB31BF">
        <w:t>legislation</w:t>
      </w:r>
      <w:r>
        <w:t xml:space="preserve"> in Australia</w:t>
      </w:r>
      <w:r w:rsidR="002000D1">
        <w:t>,</w:t>
      </w:r>
      <w:r>
        <w:t xml:space="preserve"> </w:t>
      </w:r>
      <w:r w:rsidR="00756846">
        <w:t>including</w:t>
      </w:r>
      <w:r>
        <w:t xml:space="preserve"> </w:t>
      </w:r>
      <w:r w:rsidR="003738DC">
        <w:t>the Passport Rules</w:t>
      </w:r>
      <w:r w:rsidR="006E5BFC">
        <w:t xml:space="preserve"> for this jurisdiction</w:t>
      </w:r>
      <w:r>
        <w:t xml:space="preserve">. </w:t>
      </w:r>
      <w:r w:rsidRPr="00EB31BF">
        <w:t>ASIC registers</w:t>
      </w:r>
      <w:r w:rsidR="00DD1F27" w:rsidRPr="00EB31BF">
        <w:t xml:space="preserve"> a fund by assigning it a unique Australian Passport </w:t>
      </w:r>
      <w:r w:rsidR="007204C3">
        <w:t xml:space="preserve">Fund </w:t>
      </w:r>
      <w:r w:rsidR="00DD1F27" w:rsidRPr="00EB31BF">
        <w:t xml:space="preserve">Registration </w:t>
      </w:r>
      <w:r w:rsidR="00EB31BF" w:rsidRPr="00EB31BF">
        <w:t>N</w:t>
      </w:r>
      <w:r w:rsidR="00DD1F27" w:rsidRPr="00EB31BF">
        <w:t>umber</w:t>
      </w:r>
      <w:r w:rsidR="00DD1F27">
        <w:t xml:space="preserve"> </w:t>
      </w:r>
      <w:r w:rsidR="007A29C9">
        <w:t>(AP</w:t>
      </w:r>
      <w:r w:rsidR="00604F5F">
        <w:t>F</w:t>
      </w:r>
      <w:r w:rsidR="007A29C9">
        <w:t xml:space="preserve">RN) </w:t>
      </w:r>
      <w:r w:rsidR="00DD1F27">
        <w:t xml:space="preserve">and </w:t>
      </w:r>
      <w:r w:rsidR="00EB31BF" w:rsidRPr="007E3BD5">
        <w:t xml:space="preserve">ensuring that its details are entered </w:t>
      </w:r>
      <w:r w:rsidR="00DD1F27" w:rsidRPr="007E3BD5">
        <w:t>on the Register of Passport Funds</w:t>
      </w:r>
      <w:r w:rsidR="00DD1F27">
        <w:t>.</w:t>
      </w:r>
      <w:r>
        <w:t xml:space="preserve"> </w:t>
      </w:r>
    </w:p>
    <w:p w14:paraId="78AA8906" w14:textId="51635499" w:rsidR="0025345B" w:rsidRDefault="00DD1F27" w:rsidP="00EE2359">
      <w:pPr>
        <w:pStyle w:val="base-text-paragraph"/>
      </w:pPr>
      <w:r>
        <w:t>Funds registered in another participating economy must lodge a notice with ASIC if they intend to offer interests in Australia.</w:t>
      </w:r>
      <w:r w:rsidR="0025345B">
        <w:t xml:space="preserve"> ASIC </w:t>
      </w:r>
      <w:r w:rsidR="00EE2359">
        <w:t xml:space="preserve">generally has </w:t>
      </w:r>
      <w:r w:rsidR="002000D1">
        <w:t>21 </w:t>
      </w:r>
      <w:r w:rsidR="0025345B">
        <w:t>days</w:t>
      </w:r>
      <w:r w:rsidR="00EE2359">
        <w:t xml:space="preserve"> to consider the application and decide whether the fund should be refused entry</w:t>
      </w:r>
      <w:r w:rsidR="0025345B">
        <w:t>.</w:t>
      </w:r>
      <w:r w:rsidR="00EE2359">
        <w:t xml:space="preserve"> </w:t>
      </w:r>
      <w:r w:rsidR="0025345B">
        <w:t>ASIC</w:t>
      </w:r>
      <w:r>
        <w:t xml:space="preserve"> may reject </w:t>
      </w:r>
      <w:r w:rsidR="0025345B">
        <w:t>the notice</w:t>
      </w:r>
      <w:r>
        <w:t xml:space="preserve"> for various reasons, including that the fund is unlikely to comply with </w:t>
      </w:r>
      <w:r w:rsidR="007A29C9">
        <w:t xml:space="preserve">the home </w:t>
      </w:r>
      <w:r w:rsidR="00EB31BF">
        <w:t>or host economy’s</w:t>
      </w:r>
      <w:r>
        <w:t xml:space="preserve"> law</w:t>
      </w:r>
      <w:r w:rsidR="00EB31BF">
        <w:t>s and regulations</w:t>
      </w:r>
      <w:r>
        <w:t xml:space="preserve">, </w:t>
      </w:r>
      <w:r w:rsidR="004245EE">
        <w:t xml:space="preserve">entry </w:t>
      </w:r>
      <w:r>
        <w:t xml:space="preserve">is not in </w:t>
      </w:r>
      <w:r w:rsidR="00EB31BF">
        <w:t>the public</w:t>
      </w:r>
      <w:r>
        <w:t xml:space="preserve"> interest</w:t>
      </w:r>
      <w:r w:rsidR="002000D1">
        <w:t>,</w:t>
      </w:r>
      <w:r>
        <w:t xml:space="preserve"> or the name of the fund is unavailable. </w:t>
      </w:r>
    </w:p>
    <w:p w14:paraId="4F2FFF91" w14:textId="6843B400" w:rsidR="001F5982" w:rsidRPr="008F726E" w:rsidRDefault="00DD1F27" w:rsidP="00260FA6">
      <w:pPr>
        <w:pStyle w:val="base-text-paragraph"/>
      </w:pPr>
      <w:r>
        <w:t xml:space="preserve">The Minister may </w:t>
      </w:r>
      <w:r w:rsidR="007A29C9">
        <w:t>also determine that</w:t>
      </w:r>
      <w:r>
        <w:t xml:space="preserve"> all funds (or all funds from a </w:t>
      </w:r>
      <w:r w:rsidR="007A29C9">
        <w:t>particular</w:t>
      </w:r>
      <w:r>
        <w:t xml:space="preserve"> economy</w:t>
      </w:r>
      <w:r w:rsidR="007A29C9">
        <w:t>) are to be rejected</w:t>
      </w:r>
      <w:r>
        <w:t xml:space="preserve"> if the</w:t>
      </w:r>
      <w:r w:rsidR="007A29C9">
        <w:t>re is a di</w:t>
      </w:r>
      <w:r w:rsidR="006E5BFC">
        <w:t>fference</w:t>
      </w:r>
      <w:r w:rsidR="007A29C9">
        <w:t xml:space="preserve"> about</w:t>
      </w:r>
      <w:r>
        <w:t xml:space="preserve"> the proper interpretation of the MOC</w:t>
      </w:r>
      <w:r w:rsidR="007A29C9">
        <w:t xml:space="preserve">, </w:t>
      </w:r>
      <w:r w:rsidR="006232BF">
        <w:t xml:space="preserve">Australia withdraws from the MOC, </w:t>
      </w:r>
      <w:r w:rsidR="007A29C9">
        <w:t>an</w:t>
      </w:r>
      <w:r w:rsidR="006232BF">
        <w:t>other</w:t>
      </w:r>
      <w:r w:rsidR="007A29C9">
        <w:t xml:space="preserve"> economy withdraws from the MOC</w:t>
      </w:r>
      <w:r w:rsidR="002000D1">
        <w:t>,</w:t>
      </w:r>
      <w:r w:rsidR="007A29C9">
        <w:t xml:space="preserve"> or the MOC is terminated.</w:t>
      </w:r>
    </w:p>
    <w:p w14:paraId="6F41A223" w14:textId="4F83300F" w:rsidR="002653D1" w:rsidRPr="002653D1" w:rsidRDefault="00D9405B" w:rsidP="005E37ED">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D9405B" w:rsidRPr="004666B8" w14:paraId="443CC796" w14:textId="77777777" w:rsidTr="00106F7A">
        <w:trPr>
          <w:tblHeader/>
        </w:trPr>
        <w:tc>
          <w:tcPr>
            <w:tcW w:w="3275" w:type="dxa"/>
          </w:tcPr>
          <w:p w14:paraId="4B091EAD" w14:textId="4197AA1A" w:rsidR="00D9405B" w:rsidRPr="004666B8" w:rsidRDefault="00D9405B" w:rsidP="005B22BA">
            <w:pPr>
              <w:pStyle w:val="tableheaderwithintable"/>
              <w:rPr>
                <w:lang w:val="en-US" w:eastAsia="en-US"/>
              </w:rPr>
            </w:pPr>
            <w:r w:rsidRPr="004666B8">
              <w:rPr>
                <w:lang w:val="en-US" w:eastAsia="en-US"/>
              </w:rPr>
              <w:t>New law</w:t>
            </w:r>
          </w:p>
        </w:tc>
        <w:tc>
          <w:tcPr>
            <w:tcW w:w="3276" w:type="dxa"/>
          </w:tcPr>
          <w:p w14:paraId="37EAC2B7" w14:textId="23D871EF" w:rsidR="00D9405B" w:rsidRPr="004666B8" w:rsidRDefault="00D9405B" w:rsidP="005B22BA">
            <w:pPr>
              <w:pStyle w:val="tableheaderwithintable"/>
              <w:rPr>
                <w:lang w:val="en-US" w:eastAsia="en-US"/>
              </w:rPr>
            </w:pPr>
            <w:r w:rsidRPr="004666B8">
              <w:rPr>
                <w:lang w:val="en-US" w:eastAsia="en-US"/>
              </w:rPr>
              <w:t>Current law</w:t>
            </w:r>
          </w:p>
        </w:tc>
      </w:tr>
      <w:tr w:rsidR="00D9405B" w:rsidRPr="004666B8" w14:paraId="3D1D70DF" w14:textId="77777777" w:rsidTr="005B22BA">
        <w:trPr>
          <w:cantSplit/>
        </w:trPr>
        <w:tc>
          <w:tcPr>
            <w:tcW w:w="3275" w:type="dxa"/>
          </w:tcPr>
          <w:p w14:paraId="173B2FBE" w14:textId="429E60B3" w:rsidR="00DD1F27" w:rsidRPr="00DD1F27" w:rsidRDefault="00DD1F27" w:rsidP="00260FA6">
            <w:pPr>
              <w:pStyle w:val="tabletext"/>
              <w:rPr>
                <w:b/>
              </w:rPr>
            </w:pPr>
            <w:r w:rsidRPr="00DD1F27">
              <w:rPr>
                <w:b/>
              </w:rPr>
              <w:t>Australian Funds</w:t>
            </w:r>
            <w:r>
              <w:rPr>
                <w:b/>
              </w:rPr>
              <w:t>:</w:t>
            </w:r>
          </w:p>
          <w:p w14:paraId="31C92FFB" w14:textId="3749DC83" w:rsidR="00DD1F27" w:rsidRDefault="00DD1F27" w:rsidP="00260FA6">
            <w:pPr>
              <w:pStyle w:val="tabletext"/>
            </w:pPr>
            <w:r>
              <w:t xml:space="preserve">Funds registered </w:t>
            </w:r>
            <w:r w:rsidR="007204C3">
              <w:t xml:space="preserve">as managed investment schemes </w:t>
            </w:r>
            <w:r>
              <w:t xml:space="preserve">under the </w:t>
            </w:r>
            <w:r w:rsidR="002000D1">
              <w:t>Corporations </w:t>
            </w:r>
            <w:r>
              <w:t xml:space="preserve">Act </w:t>
            </w:r>
            <w:r w:rsidR="000F4AF2">
              <w:t xml:space="preserve">may </w:t>
            </w:r>
            <w:r>
              <w:t xml:space="preserve">apply for the passport regime by lodging an application in the </w:t>
            </w:r>
            <w:r w:rsidR="00C244DD">
              <w:t>prescribed</w:t>
            </w:r>
            <w:r>
              <w:t xml:space="preserve"> form with ASIC. </w:t>
            </w:r>
          </w:p>
          <w:p w14:paraId="6AC1AEEA" w14:textId="1C823F01" w:rsidR="00D9405B" w:rsidRPr="00902333" w:rsidRDefault="00DD1F27" w:rsidP="00EB31BF">
            <w:pPr>
              <w:pStyle w:val="tabletext"/>
            </w:pPr>
            <w:r>
              <w:t xml:space="preserve">ASIC must register the fund if the Operator of the fund meets the eligibility criteria in the MOC and ASIC is of the opinion that the fund will comply with the </w:t>
            </w:r>
            <w:r w:rsidR="00902333">
              <w:t xml:space="preserve">corporations </w:t>
            </w:r>
            <w:r w:rsidR="00EB31BF">
              <w:t>legislation</w:t>
            </w:r>
            <w:r>
              <w:t xml:space="preserve"> in Australia.</w:t>
            </w:r>
          </w:p>
        </w:tc>
        <w:tc>
          <w:tcPr>
            <w:tcW w:w="3276" w:type="dxa"/>
          </w:tcPr>
          <w:p w14:paraId="236036A7" w14:textId="72657DD6" w:rsidR="00D9405B" w:rsidRPr="004666B8" w:rsidRDefault="00DD1F27" w:rsidP="00260FA6">
            <w:pPr>
              <w:pStyle w:val="tabletext"/>
              <w:rPr>
                <w:lang w:val="en-US" w:eastAsia="en-US"/>
              </w:rPr>
            </w:pPr>
            <w:r>
              <w:rPr>
                <w:lang w:val="en-US" w:eastAsia="en-US"/>
              </w:rPr>
              <w:t>No equivalent</w:t>
            </w:r>
          </w:p>
        </w:tc>
      </w:tr>
      <w:tr w:rsidR="00DD1F27" w:rsidRPr="004666B8" w14:paraId="54AD63F8" w14:textId="77777777" w:rsidTr="00106F7A">
        <w:tc>
          <w:tcPr>
            <w:tcW w:w="3275" w:type="dxa"/>
          </w:tcPr>
          <w:p w14:paraId="746A5B91" w14:textId="1235C7F6" w:rsidR="00DD1F27" w:rsidRPr="00DD1F27" w:rsidRDefault="00B25390" w:rsidP="00260FA6">
            <w:pPr>
              <w:pStyle w:val="tabletext"/>
              <w:rPr>
                <w:b/>
              </w:rPr>
            </w:pPr>
            <w:r>
              <w:rPr>
                <w:b/>
              </w:rPr>
              <w:t>Foreign passport fund</w:t>
            </w:r>
            <w:r w:rsidR="00DD1F27" w:rsidRPr="00DD1F27">
              <w:rPr>
                <w:b/>
              </w:rPr>
              <w:t>s:</w:t>
            </w:r>
          </w:p>
          <w:p w14:paraId="50AA030D" w14:textId="38B5A340" w:rsidR="00DD1F27" w:rsidRDefault="00B25390" w:rsidP="00260FA6">
            <w:pPr>
              <w:pStyle w:val="tabletext"/>
            </w:pPr>
            <w:r>
              <w:t>Foreign passport fund</w:t>
            </w:r>
            <w:r w:rsidR="0025345B">
              <w:t xml:space="preserve">s </w:t>
            </w:r>
            <w:r w:rsidR="000F4AF2">
              <w:t>may</w:t>
            </w:r>
            <w:r w:rsidR="0025345B">
              <w:t xml:space="preserve"> lodge a notice of intention to offer interests in Australia with ASIC</w:t>
            </w:r>
            <w:r w:rsidR="000F4AF2">
              <w:t xml:space="preserve"> by using the prescribed form</w:t>
            </w:r>
            <w:r w:rsidR="0025345B">
              <w:t>.</w:t>
            </w:r>
          </w:p>
          <w:p w14:paraId="5104B294" w14:textId="606CB036" w:rsidR="0025345B" w:rsidRDefault="0025345B" w:rsidP="00260FA6">
            <w:pPr>
              <w:pStyle w:val="tabletext"/>
            </w:pPr>
            <w:r>
              <w:t xml:space="preserve">ASIC may request further information from the operator of the </w:t>
            </w:r>
            <w:r w:rsidR="00B25390">
              <w:t>foreign passport fund</w:t>
            </w:r>
            <w:r>
              <w:t>.</w:t>
            </w:r>
          </w:p>
          <w:p w14:paraId="50BE5400" w14:textId="39B34E56" w:rsidR="0025345B" w:rsidRDefault="0025345B" w:rsidP="00260FA6">
            <w:pPr>
              <w:pStyle w:val="tabletext"/>
            </w:pPr>
            <w:r>
              <w:t xml:space="preserve">ASIC must consider </w:t>
            </w:r>
            <w:r w:rsidR="000F4AF2">
              <w:t>a</w:t>
            </w:r>
            <w:r>
              <w:t xml:space="preserve"> notice </w:t>
            </w:r>
            <w:r w:rsidR="000F4AF2">
              <w:t xml:space="preserve">in the prescribed form </w:t>
            </w:r>
            <w:r>
              <w:t xml:space="preserve">within </w:t>
            </w:r>
            <w:r w:rsidR="002000D1">
              <w:t>21 </w:t>
            </w:r>
            <w:r>
              <w:t xml:space="preserve">days of receiving </w:t>
            </w:r>
            <w:r w:rsidR="000F4AF2">
              <w:t>it, unless a longer period is agreed by ASIC and the applicant</w:t>
            </w:r>
            <w:r>
              <w:t xml:space="preserve">. </w:t>
            </w:r>
          </w:p>
          <w:p w14:paraId="12664E1F" w14:textId="0EBE9101" w:rsidR="0025345B" w:rsidRDefault="0025345B" w:rsidP="00260FA6">
            <w:pPr>
              <w:pStyle w:val="tabletext"/>
            </w:pPr>
            <w:r>
              <w:t>A</w:t>
            </w:r>
            <w:r w:rsidR="000F4AF2">
              <w:t xml:space="preserve">SIC may reject the notice </w:t>
            </w:r>
            <w:r>
              <w:t>if:</w:t>
            </w:r>
          </w:p>
          <w:p w14:paraId="3F7836B7" w14:textId="332A6536" w:rsidR="0025345B" w:rsidRPr="0025345B" w:rsidRDefault="007C18F8" w:rsidP="0025345B">
            <w:pPr>
              <w:pStyle w:val="Bullet"/>
              <w:rPr>
                <w:sz w:val="20"/>
                <w:lang w:val="en-US" w:eastAsia="en-US"/>
              </w:rPr>
            </w:pPr>
            <w:r>
              <w:rPr>
                <w:sz w:val="20"/>
                <w:lang w:val="en-US" w:eastAsia="en-US"/>
              </w:rPr>
              <w:t>ASIC</w:t>
            </w:r>
            <w:r w:rsidR="0025345B" w:rsidRPr="0025345B">
              <w:rPr>
                <w:sz w:val="20"/>
                <w:lang w:val="en-US" w:eastAsia="en-US"/>
              </w:rPr>
              <w:t xml:space="preserve"> is of the opinion that the fund does not comply, or is not likely to comply, with the</w:t>
            </w:r>
            <w:r w:rsidR="000F4AF2">
              <w:rPr>
                <w:sz w:val="20"/>
                <w:lang w:val="en-US" w:eastAsia="en-US"/>
              </w:rPr>
              <w:t xml:space="preserve"> </w:t>
            </w:r>
            <w:r w:rsidR="00EB31BF">
              <w:rPr>
                <w:sz w:val="20"/>
                <w:lang w:val="en-US" w:eastAsia="en-US"/>
              </w:rPr>
              <w:t>home or host economy’s laws and regulations</w:t>
            </w:r>
            <w:r w:rsidR="0025345B" w:rsidRPr="0025345B">
              <w:rPr>
                <w:sz w:val="20"/>
                <w:lang w:val="en-US" w:eastAsia="en-US"/>
              </w:rPr>
              <w:t>;</w:t>
            </w:r>
          </w:p>
          <w:p w14:paraId="01D7CEAB" w14:textId="7C79A992" w:rsidR="0025345B" w:rsidRPr="0025345B" w:rsidRDefault="0025345B" w:rsidP="0025345B">
            <w:pPr>
              <w:pStyle w:val="Bullet"/>
              <w:rPr>
                <w:sz w:val="20"/>
                <w:lang w:val="en-US" w:eastAsia="en-US"/>
              </w:rPr>
            </w:pPr>
            <w:r w:rsidRPr="0025345B">
              <w:rPr>
                <w:sz w:val="20"/>
                <w:lang w:val="en-US" w:eastAsia="en-US"/>
              </w:rPr>
              <w:t>ASIC is of the opinion that rejecting the notice is in Australia’s public interest;</w:t>
            </w:r>
          </w:p>
          <w:p w14:paraId="4F2034D6" w14:textId="1515592A" w:rsidR="0025345B" w:rsidRPr="0025345B" w:rsidRDefault="0025345B" w:rsidP="0025345B">
            <w:pPr>
              <w:pStyle w:val="Bullet"/>
              <w:rPr>
                <w:sz w:val="20"/>
                <w:lang w:val="en-US" w:eastAsia="en-US"/>
              </w:rPr>
            </w:pPr>
            <w:r w:rsidRPr="0025345B">
              <w:rPr>
                <w:sz w:val="20"/>
                <w:lang w:val="en-US" w:eastAsia="en-US"/>
              </w:rPr>
              <w:t>Australia has imposed sanctio</w:t>
            </w:r>
            <w:r w:rsidR="00611995">
              <w:rPr>
                <w:sz w:val="20"/>
                <w:lang w:val="en-US" w:eastAsia="en-US"/>
              </w:rPr>
              <w:t xml:space="preserve">ns against another economy and </w:t>
            </w:r>
            <w:r w:rsidRPr="0025345B">
              <w:rPr>
                <w:sz w:val="20"/>
                <w:lang w:val="en-US" w:eastAsia="en-US"/>
              </w:rPr>
              <w:t>ASIC is of the view that allowing the passport fund to operate in Australia would breach those sanctions;</w:t>
            </w:r>
          </w:p>
          <w:p w14:paraId="2197D0DC" w14:textId="43CA56B5" w:rsidR="0025345B" w:rsidRPr="0025345B" w:rsidRDefault="0025345B" w:rsidP="0025345B">
            <w:pPr>
              <w:pStyle w:val="Bullet"/>
              <w:rPr>
                <w:sz w:val="20"/>
                <w:lang w:val="en-US" w:eastAsia="en-US"/>
              </w:rPr>
            </w:pPr>
            <w:r w:rsidRPr="0025345B">
              <w:rPr>
                <w:sz w:val="20"/>
                <w:lang w:val="en-US" w:eastAsia="en-US"/>
              </w:rPr>
              <w:lastRenderedPageBreak/>
              <w:t>ASIC does not consent to an exemption or modification that has been granted to the fund or its associated entities</w:t>
            </w:r>
            <w:r w:rsidR="002000D1">
              <w:rPr>
                <w:sz w:val="20"/>
                <w:lang w:val="en-US" w:eastAsia="en-US"/>
              </w:rPr>
              <w:t>,</w:t>
            </w:r>
            <w:r w:rsidRPr="0025345B">
              <w:rPr>
                <w:sz w:val="20"/>
                <w:lang w:val="en-US" w:eastAsia="en-US"/>
              </w:rPr>
              <w:t xml:space="preserve"> by its home economy;</w:t>
            </w:r>
          </w:p>
          <w:p w14:paraId="58344D9B" w14:textId="02DA8EE7" w:rsidR="0025345B" w:rsidRPr="0025345B" w:rsidRDefault="0025345B" w:rsidP="0025345B">
            <w:pPr>
              <w:pStyle w:val="Bullet"/>
              <w:rPr>
                <w:sz w:val="20"/>
                <w:lang w:val="en-US" w:eastAsia="en-US"/>
              </w:rPr>
            </w:pPr>
            <w:r w:rsidRPr="0025345B">
              <w:rPr>
                <w:sz w:val="20"/>
                <w:lang w:val="en-US" w:eastAsia="en-US"/>
              </w:rPr>
              <w:t xml:space="preserve">the name that the </w:t>
            </w:r>
            <w:r w:rsidR="006847D6">
              <w:rPr>
                <w:sz w:val="20"/>
                <w:lang w:val="en-US" w:eastAsia="en-US"/>
              </w:rPr>
              <w:t>passport fund</w:t>
            </w:r>
            <w:r w:rsidRPr="0025345B">
              <w:rPr>
                <w:sz w:val="20"/>
                <w:lang w:val="en-US" w:eastAsia="en-US"/>
              </w:rPr>
              <w:t xml:space="preserve"> intends to use is not available; or </w:t>
            </w:r>
          </w:p>
          <w:p w14:paraId="3A0BD97B" w14:textId="2152A574" w:rsidR="0025345B" w:rsidRPr="007914B5" w:rsidRDefault="0025345B" w:rsidP="00260FA6">
            <w:pPr>
              <w:pStyle w:val="Bullet"/>
              <w:rPr>
                <w:sz w:val="20"/>
                <w:lang w:val="en-US" w:eastAsia="en-US"/>
              </w:rPr>
            </w:pPr>
            <w:r w:rsidRPr="0025345B">
              <w:rPr>
                <w:sz w:val="20"/>
                <w:lang w:val="en-US" w:eastAsia="en-US"/>
              </w:rPr>
              <w:t>the Minister determines that ASIC is not to accept applications from the passport fund’s home economy</w:t>
            </w:r>
            <w:r w:rsidR="007914B5">
              <w:rPr>
                <w:sz w:val="20"/>
                <w:lang w:val="en-US" w:eastAsia="en-US"/>
              </w:rPr>
              <w:t>.</w:t>
            </w:r>
          </w:p>
        </w:tc>
        <w:tc>
          <w:tcPr>
            <w:tcW w:w="3276" w:type="dxa"/>
          </w:tcPr>
          <w:p w14:paraId="73A3241D" w14:textId="4BB7D1E5" w:rsidR="00DD1F27" w:rsidRDefault="00DD1F27" w:rsidP="00260FA6">
            <w:pPr>
              <w:pStyle w:val="tabletext"/>
              <w:rPr>
                <w:lang w:val="en-US" w:eastAsia="en-US"/>
              </w:rPr>
            </w:pPr>
            <w:r>
              <w:rPr>
                <w:lang w:val="en-US" w:eastAsia="en-US"/>
              </w:rPr>
              <w:lastRenderedPageBreak/>
              <w:t>No equivalent.</w:t>
            </w:r>
          </w:p>
        </w:tc>
      </w:tr>
    </w:tbl>
    <w:p w14:paraId="2D7FEA70" w14:textId="77777777" w:rsidR="00D9405B" w:rsidRDefault="00D9405B" w:rsidP="00260FA6">
      <w:pPr>
        <w:pStyle w:val="Heading2"/>
      </w:pPr>
      <w:r>
        <w:lastRenderedPageBreak/>
        <w:t>Detailed explanation of new law</w:t>
      </w:r>
    </w:p>
    <w:p w14:paraId="31C4ECC2" w14:textId="3FFFC379" w:rsidR="00130CE8" w:rsidRPr="00130CE8" w:rsidRDefault="00711FEB" w:rsidP="002E7F87">
      <w:pPr>
        <w:pStyle w:val="Heading3"/>
      </w:pPr>
      <w:r>
        <w:t xml:space="preserve">Registration of </w:t>
      </w:r>
      <w:r w:rsidR="00983901">
        <w:t>Australian Funds</w:t>
      </w:r>
    </w:p>
    <w:p w14:paraId="28E30933" w14:textId="66A9B761" w:rsidR="00190EA1" w:rsidRPr="00762D4D" w:rsidRDefault="00196B92" w:rsidP="006723A7">
      <w:pPr>
        <w:pStyle w:val="base-text-paragraph"/>
      </w:pPr>
      <w:r w:rsidRPr="00762D4D">
        <w:t>A</w:t>
      </w:r>
      <w:r w:rsidR="00190EA1" w:rsidRPr="00762D4D">
        <w:t xml:space="preserve">n Australian fund may only </w:t>
      </w:r>
      <w:r w:rsidR="00070C69" w:rsidRPr="00762D4D">
        <w:t xml:space="preserve">be </w:t>
      </w:r>
      <w:r w:rsidR="000977D8" w:rsidRPr="00762D4D">
        <w:t>registered</w:t>
      </w:r>
      <w:r w:rsidR="00190EA1" w:rsidRPr="00762D4D">
        <w:t xml:space="preserve"> as a passport fund if it</w:t>
      </w:r>
      <w:r w:rsidR="00230C88" w:rsidRPr="00762D4D">
        <w:t xml:space="preserve"> is</w:t>
      </w:r>
      <w:r w:rsidR="00190EA1" w:rsidRPr="00762D4D">
        <w:t xml:space="preserve"> </w:t>
      </w:r>
      <w:r w:rsidR="00762D4D">
        <w:t>a managed investment scheme</w:t>
      </w:r>
      <w:r w:rsidR="00623CEC">
        <w:t xml:space="preserve"> (MIS)</w:t>
      </w:r>
      <w:r w:rsidRPr="00762D4D">
        <w:t xml:space="preserve"> registered under</w:t>
      </w:r>
      <w:r w:rsidR="00762D4D">
        <w:t xml:space="preserve"> </w:t>
      </w:r>
      <w:r w:rsidR="002000D1">
        <w:t>section </w:t>
      </w:r>
      <w:r w:rsidR="00762D4D">
        <w:t>601EB of</w:t>
      </w:r>
      <w:r w:rsidRPr="00762D4D">
        <w:t xml:space="preserve"> the </w:t>
      </w:r>
      <w:r w:rsidR="002000D1" w:rsidRPr="00762D4D">
        <w:t>Corporations</w:t>
      </w:r>
      <w:r w:rsidR="002000D1">
        <w:t> </w:t>
      </w:r>
      <w:r w:rsidRPr="00762D4D">
        <w:t xml:space="preserve">Act. </w:t>
      </w:r>
      <w:r w:rsidR="00190EA1" w:rsidRPr="00762D4D">
        <w:rPr>
          <w:rStyle w:val="Referencingstyle"/>
        </w:rPr>
        <w:t>[</w:t>
      </w:r>
      <w:r w:rsidR="002000D1" w:rsidRPr="00762D4D">
        <w:rPr>
          <w:rStyle w:val="Referencingstyle"/>
        </w:rPr>
        <w:t>Schedule</w:t>
      </w:r>
      <w:r w:rsidR="002000D1">
        <w:rPr>
          <w:rStyle w:val="Referencingstyle"/>
        </w:rPr>
        <w:t> </w:t>
      </w:r>
      <w:r w:rsidR="00341A39" w:rsidRPr="00762D4D">
        <w:rPr>
          <w:rStyle w:val="Referencingstyle"/>
        </w:rPr>
        <w:t xml:space="preserve">1, </w:t>
      </w:r>
      <w:r w:rsidR="002000D1" w:rsidRPr="00762D4D">
        <w:rPr>
          <w:rStyle w:val="Referencingstyle"/>
        </w:rPr>
        <w:t>item</w:t>
      </w:r>
      <w:r w:rsidR="002000D1">
        <w:rPr>
          <w:rStyle w:val="Referencingstyle"/>
        </w:rPr>
        <w:t> </w:t>
      </w:r>
      <w:r w:rsidR="00565DF5" w:rsidRPr="00762D4D">
        <w:rPr>
          <w:rStyle w:val="Referencingstyle"/>
        </w:rPr>
        <w:t>1</w:t>
      </w:r>
      <w:r w:rsidR="00D35208" w:rsidRPr="00762D4D">
        <w:rPr>
          <w:rStyle w:val="Referencingstyle"/>
        </w:rPr>
        <w:t xml:space="preserve">, </w:t>
      </w:r>
      <w:r w:rsidR="002000D1" w:rsidRPr="00762D4D">
        <w:rPr>
          <w:rStyle w:val="Referencingstyle"/>
        </w:rPr>
        <w:t>section</w:t>
      </w:r>
      <w:r w:rsidR="002000D1">
        <w:rPr>
          <w:rStyle w:val="Referencingstyle"/>
        </w:rPr>
        <w:t> </w:t>
      </w:r>
      <w:r w:rsidR="00D35208" w:rsidRPr="00762D4D">
        <w:rPr>
          <w:rStyle w:val="Referencingstyle"/>
        </w:rPr>
        <w:t>1212</w:t>
      </w:r>
      <w:r w:rsidR="00190EA1" w:rsidRPr="00762D4D">
        <w:rPr>
          <w:rStyle w:val="Referencingstyle"/>
        </w:rPr>
        <w:t xml:space="preserve">] </w:t>
      </w:r>
    </w:p>
    <w:p w14:paraId="30D3262A" w14:textId="08032C4B" w:rsidR="00EA463F" w:rsidRPr="00E521C5" w:rsidRDefault="000977D8" w:rsidP="000977D8">
      <w:pPr>
        <w:pStyle w:val="base-text-paragraph"/>
      </w:pPr>
      <w:r w:rsidRPr="00E521C5">
        <w:t>A fund</w:t>
      </w:r>
      <w:r w:rsidRPr="00E521C5" w:rsidDel="00070C69">
        <w:t xml:space="preserve"> </w:t>
      </w:r>
      <w:r w:rsidRPr="00E521C5">
        <w:t>need</w:t>
      </w:r>
      <w:r w:rsidR="00070C69" w:rsidRPr="00E521C5">
        <w:t>s</w:t>
      </w:r>
      <w:r w:rsidRPr="00E521C5">
        <w:t xml:space="preserve"> to be registered as a</w:t>
      </w:r>
      <w:r w:rsidR="00756846">
        <w:t xml:space="preserve"> MIS</w:t>
      </w:r>
      <w:r w:rsidR="00BD4490">
        <w:t xml:space="preserve"> </w:t>
      </w:r>
      <w:r w:rsidRPr="00E521C5">
        <w:t xml:space="preserve">before it becomes registered as a passport fund. It does not need to be a registered </w:t>
      </w:r>
      <w:r w:rsidR="00260512">
        <w:t>M</w:t>
      </w:r>
      <w:r w:rsidRPr="00E521C5">
        <w:t xml:space="preserve">IS at the time that it </w:t>
      </w:r>
      <w:r w:rsidR="008B6CD6">
        <w:t xml:space="preserve">(or a person acting on its behalf) </w:t>
      </w:r>
      <w:r w:rsidRPr="00E521C5">
        <w:t xml:space="preserve">lodges an application to become a passport fund. This ensures that a new fund is able to lodge an application to become both a registered </w:t>
      </w:r>
      <w:r w:rsidR="00623CEC">
        <w:t>M</w:t>
      </w:r>
      <w:r w:rsidRPr="00E521C5">
        <w:t xml:space="preserve">IS and a passport fund at the same time. </w:t>
      </w:r>
      <w:r w:rsidR="00EA463F" w:rsidRPr="00E521C5">
        <w:t xml:space="preserve">In this case, ASIC would </w:t>
      </w:r>
      <w:r w:rsidR="00623CEC">
        <w:t>complete</w:t>
      </w:r>
      <w:r w:rsidR="00EA463F" w:rsidRPr="00E521C5">
        <w:t xml:space="preserve"> registration as a </w:t>
      </w:r>
      <w:r w:rsidR="00623CEC">
        <w:t>M</w:t>
      </w:r>
      <w:r w:rsidR="00EA463F" w:rsidRPr="00E521C5">
        <w:t>IS first</w:t>
      </w:r>
      <w:r w:rsidR="002000D1">
        <w:t>,</w:t>
      </w:r>
      <w:r w:rsidR="00EA463F" w:rsidRPr="00E521C5">
        <w:t xml:space="preserve"> and would only </w:t>
      </w:r>
      <w:r w:rsidR="00623CEC">
        <w:t>process</w:t>
      </w:r>
      <w:r w:rsidR="00EA463F" w:rsidRPr="00E521C5">
        <w:t xml:space="preserve"> </w:t>
      </w:r>
      <w:r w:rsidR="002C004C">
        <w:t>the</w:t>
      </w:r>
      <w:r w:rsidR="00EA463F" w:rsidRPr="00E521C5">
        <w:t xml:space="preserve"> application for registration as a passport fund after regist</w:t>
      </w:r>
      <w:r w:rsidR="002C004C">
        <w:t>ration</w:t>
      </w:r>
      <w:r w:rsidR="00EA463F" w:rsidRPr="00E521C5">
        <w:t xml:space="preserve"> as a </w:t>
      </w:r>
      <w:r w:rsidR="00623CEC">
        <w:t>M</w:t>
      </w:r>
      <w:r w:rsidR="00EA463F" w:rsidRPr="00E521C5">
        <w:t>IS</w:t>
      </w:r>
      <w:r w:rsidR="002C004C">
        <w:t xml:space="preserve"> was completed</w:t>
      </w:r>
      <w:r w:rsidR="00EA463F" w:rsidRPr="00E521C5">
        <w:t>.</w:t>
      </w:r>
      <w:r w:rsidR="00677DA2" w:rsidRPr="00E521C5">
        <w:t xml:space="preserve"> This satisfies the requirement in the MOC for a passport fund to be a regulated CIS, which for Australia means a CIS registered under the </w:t>
      </w:r>
      <w:r w:rsidR="002000D1" w:rsidRPr="00E521C5">
        <w:t>Corporations</w:t>
      </w:r>
      <w:r w:rsidR="002000D1">
        <w:t> </w:t>
      </w:r>
      <w:r w:rsidR="00677DA2" w:rsidRPr="00E521C5">
        <w:t>Act.</w:t>
      </w:r>
      <w:r w:rsidR="005C7382" w:rsidRPr="00E521C5">
        <w:t xml:space="preserve"> </w:t>
      </w:r>
      <w:r w:rsidR="005C7382" w:rsidRPr="00E521C5">
        <w:rPr>
          <w:rStyle w:val="Referencingstyle"/>
        </w:rPr>
        <w:t>[</w:t>
      </w:r>
      <w:r w:rsidR="002000D1" w:rsidRPr="00E521C5">
        <w:rPr>
          <w:rStyle w:val="Referencingstyle"/>
        </w:rPr>
        <w:t>Schedule</w:t>
      </w:r>
      <w:r w:rsidR="002000D1">
        <w:rPr>
          <w:rStyle w:val="Referencingstyle"/>
        </w:rPr>
        <w:t> </w:t>
      </w:r>
      <w:r w:rsidR="005C7382" w:rsidRPr="00E521C5">
        <w:rPr>
          <w:rStyle w:val="Referencingstyle"/>
        </w:rPr>
        <w:t xml:space="preserve">1, </w:t>
      </w:r>
      <w:r w:rsidR="002000D1" w:rsidRPr="00E521C5">
        <w:rPr>
          <w:rStyle w:val="Referencingstyle"/>
        </w:rPr>
        <w:t>item</w:t>
      </w:r>
      <w:r w:rsidR="002000D1">
        <w:rPr>
          <w:rStyle w:val="Referencingstyle"/>
        </w:rPr>
        <w:t> </w:t>
      </w:r>
      <w:r w:rsidR="005C7382" w:rsidRPr="00E521C5">
        <w:rPr>
          <w:rStyle w:val="Referencingstyle"/>
        </w:rPr>
        <w:t xml:space="preserve">1, </w:t>
      </w:r>
      <w:r w:rsidR="002000D1" w:rsidRPr="00E521C5">
        <w:rPr>
          <w:rStyle w:val="Referencingstyle"/>
        </w:rPr>
        <w:t>subsection</w:t>
      </w:r>
      <w:r w:rsidR="002000D1">
        <w:rPr>
          <w:rStyle w:val="Referencingstyle"/>
        </w:rPr>
        <w:t> </w:t>
      </w:r>
      <w:r w:rsidR="005C7382" w:rsidRPr="00E521C5">
        <w:rPr>
          <w:rStyle w:val="Referencingstyle"/>
        </w:rPr>
        <w:t>1212(1)]</w:t>
      </w:r>
    </w:p>
    <w:p w14:paraId="49ABFF19" w14:textId="0CE3E1E7" w:rsidR="0077385F" w:rsidRDefault="00190EA1" w:rsidP="00196B92">
      <w:pPr>
        <w:pStyle w:val="base-text-paragraph"/>
      </w:pPr>
      <w:r>
        <w:t xml:space="preserve">The existing law exempts certain schemes from the requirements to register (see </w:t>
      </w:r>
      <w:r w:rsidR="002000D1">
        <w:t>subsection </w:t>
      </w:r>
      <w:r>
        <w:t xml:space="preserve">601ED(2)). These schemes are mainly wholesale funds or small funds with less than </w:t>
      </w:r>
      <w:r w:rsidR="002000D1">
        <w:t>20 </w:t>
      </w:r>
      <w:r w:rsidR="00E96E5F">
        <w:t>members</w:t>
      </w:r>
      <w:r w:rsidR="002000D1">
        <w:t>. Such funds</w:t>
      </w:r>
      <w:r w:rsidR="00E96E5F">
        <w:t xml:space="preserve"> </w:t>
      </w:r>
      <w:r w:rsidR="00805319">
        <w:t xml:space="preserve">are </w:t>
      </w:r>
      <w:r w:rsidR="00E96E5F">
        <w:t>unlikely to wish to become passport fund</w:t>
      </w:r>
      <w:r w:rsidR="00FC13A6">
        <w:t>s</w:t>
      </w:r>
      <w:r>
        <w:t xml:space="preserve">. Nevertheless, if an unregistered </w:t>
      </w:r>
      <w:r w:rsidR="00E96E5F">
        <w:t>scheme</w:t>
      </w:r>
      <w:r>
        <w:t xml:space="preserve"> wished to apply to ASIC to become a passport fund, it would </w:t>
      </w:r>
      <w:r w:rsidR="00E96E5F">
        <w:t>need to</w:t>
      </w:r>
      <w:r>
        <w:t xml:space="preserve"> first</w:t>
      </w:r>
      <w:r w:rsidR="00C67F43">
        <w:t xml:space="preserve"> voluntarily register </w:t>
      </w:r>
      <w:r>
        <w:t xml:space="preserve">with ASIC under </w:t>
      </w:r>
      <w:r w:rsidR="002000D1">
        <w:t>section </w:t>
      </w:r>
      <w:r>
        <w:t>601E</w:t>
      </w:r>
      <w:r w:rsidR="00623CEC">
        <w:t>B</w:t>
      </w:r>
      <w:r w:rsidR="007A3357">
        <w:t>.</w:t>
      </w:r>
      <w:r w:rsidR="007A3357">
        <w:rPr>
          <w:rStyle w:val="Referencingstyle"/>
        </w:rPr>
        <w:t xml:space="preserve"> [</w:t>
      </w:r>
      <w:r w:rsidR="002000D1">
        <w:rPr>
          <w:rStyle w:val="Referencingstyle"/>
        </w:rPr>
        <w:t>Schedule </w:t>
      </w:r>
      <w:r w:rsidR="00D35208">
        <w:rPr>
          <w:rStyle w:val="Referencingstyle"/>
        </w:rPr>
        <w:t>1</w:t>
      </w:r>
      <w:r w:rsidR="007A3357">
        <w:rPr>
          <w:rStyle w:val="Referencingstyle"/>
        </w:rPr>
        <w:t xml:space="preserve">, </w:t>
      </w:r>
      <w:r w:rsidR="002000D1">
        <w:rPr>
          <w:rStyle w:val="Referencingstyle"/>
        </w:rPr>
        <w:t>item </w:t>
      </w:r>
      <w:r w:rsidR="00565DF5">
        <w:rPr>
          <w:rStyle w:val="Referencingstyle"/>
        </w:rPr>
        <w:t>1</w:t>
      </w:r>
      <w:r w:rsidR="007A3357">
        <w:rPr>
          <w:rStyle w:val="Referencingstyle"/>
        </w:rPr>
        <w:t xml:space="preserve">, </w:t>
      </w:r>
      <w:r w:rsidR="002000D1">
        <w:rPr>
          <w:rStyle w:val="Referencingstyle"/>
        </w:rPr>
        <w:t>subsection </w:t>
      </w:r>
      <w:r w:rsidR="00D35208">
        <w:rPr>
          <w:rStyle w:val="Referencingstyle"/>
        </w:rPr>
        <w:t>1212</w:t>
      </w:r>
      <w:r w:rsidR="007A3357">
        <w:rPr>
          <w:rStyle w:val="Referencingstyle"/>
        </w:rPr>
        <w:t xml:space="preserve">(1)] </w:t>
      </w:r>
    </w:p>
    <w:p w14:paraId="78524B5C" w14:textId="5691880C" w:rsidR="00230C88" w:rsidRDefault="00D3747F" w:rsidP="00130CE8">
      <w:pPr>
        <w:pStyle w:val="base-text-paragraph"/>
      </w:pPr>
      <w:r>
        <w:lastRenderedPageBreak/>
        <w:t xml:space="preserve">ASIC has the power to prescribe the form of the application, including the required information and supporting documentation under </w:t>
      </w:r>
      <w:r w:rsidR="002000D1">
        <w:t>section </w:t>
      </w:r>
      <w:r>
        <w:t xml:space="preserve">350 of the </w:t>
      </w:r>
      <w:r w:rsidR="002000D1">
        <w:t>Corporations </w:t>
      </w:r>
      <w:r>
        <w:t xml:space="preserve">Act. </w:t>
      </w:r>
      <w:r w:rsidR="0063098E">
        <w:t>A</w:t>
      </w:r>
      <w:r w:rsidR="00130CE8">
        <w:t>pplication</w:t>
      </w:r>
      <w:r w:rsidR="0063098E">
        <w:t>s</w:t>
      </w:r>
      <w:r w:rsidR="00130CE8">
        <w:t xml:space="preserve"> must be in the prescribed form </w:t>
      </w:r>
      <w:r w:rsidR="0063098E">
        <w:rPr>
          <w:rStyle w:val="Referencingstyle"/>
        </w:rPr>
        <w:t>[</w:t>
      </w:r>
      <w:r w:rsidR="002000D1">
        <w:rPr>
          <w:rStyle w:val="Referencingstyle"/>
        </w:rPr>
        <w:t>Schedule </w:t>
      </w:r>
      <w:r w:rsidR="00D35208">
        <w:rPr>
          <w:rStyle w:val="Referencingstyle"/>
        </w:rPr>
        <w:t xml:space="preserve">1, </w:t>
      </w:r>
      <w:r w:rsidR="002000D1">
        <w:rPr>
          <w:rStyle w:val="Referencingstyle"/>
        </w:rPr>
        <w:t>item </w:t>
      </w:r>
      <w:r w:rsidR="00565DF5">
        <w:rPr>
          <w:rStyle w:val="Referencingstyle"/>
        </w:rPr>
        <w:t>1</w:t>
      </w:r>
      <w:r w:rsidR="0063098E">
        <w:rPr>
          <w:rStyle w:val="Referencingstyle"/>
        </w:rPr>
        <w:t xml:space="preserve">, </w:t>
      </w:r>
      <w:r w:rsidR="002000D1">
        <w:rPr>
          <w:rStyle w:val="Referencingstyle"/>
        </w:rPr>
        <w:t>subsection </w:t>
      </w:r>
      <w:r w:rsidR="00565DF5">
        <w:rPr>
          <w:rStyle w:val="Referencingstyle"/>
        </w:rPr>
        <w:t>1212</w:t>
      </w:r>
      <w:r w:rsidR="0063098E">
        <w:rPr>
          <w:rStyle w:val="Referencingstyle"/>
        </w:rPr>
        <w:t xml:space="preserve">(2)] </w:t>
      </w:r>
      <w:r w:rsidR="007A3357">
        <w:t xml:space="preserve">and </w:t>
      </w:r>
      <w:r w:rsidR="0063098E">
        <w:t xml:space="preserve">accompanied by any fee prescribed under the </w:t>
      </w:r>
      <w:r w:rsidR="0063098E" w:rsidRPr="005E05DB">
        <w:rPr>
          <w:i/>
        </w:rPr>
        <w:t xml:space="preserve">Corporations (Fees) </w:t>
      </w:r>
      <w:r w:rsidR="002000D1" w:rsidRPr="005E05DB">
        <w:rPr>
          <w:i/>
        </w:rPr>
        <w:t>Regulations</w:t>
      </w:r>
      <w:r w:rsidR="002000D1">
        <w:rPr>
          <w:i/>
        </w:rPr>
        <w:t> </w:t>
      </w:r>
      <w:r w:rsidR="0063098E" w:rsidRPr="005E05DB">
        <w:rPr>
          <w:i/>
        </w:rPr>
        <w:t>2001</w:t>
      </w:r>
      <w:r w:rsidR="006F4478">
        <w:t>.</w:t>
      </w:r>
      <w:r w:rsidR="00FC0162">
        <w:t xml:space="preserve"> </w:t>
      </w:r>
      <w:r w:rsidR="001C278B">
        <w:t>It is noted that ASIC is likely to prescribe an electronic form for this purpose.</w:t>
      </w:r>
    </w:p>
    <w:p w14:paraId="54F11E39" w14:textId="2304D283" w:rsidR="00EA463F" w:rsidRDefault="00230C88" w:rsidP="008A14BD">
      <w:pPr>
        <w:pStyle w:val="base-text-paragraph"/>
      </w:pPr>
      <w:r>
        <w:t xml:space="preserve">The applicant must also provide ASIC with the Product Disclosure Statement </w:t>
      </w:r>
      <w:r w:rsidR="00E505FF">
        <w:t xml:space="preserve">(PDS) </w:t>
      </w:r>
      <w:r>
        <w:t xml:space="preserve">that </w:t>
      </w:r>
      <w:r w:rsidR="00805319">
        <w:t xml:space="preserve">it </w:t>
      </w:r>
      <w:r w:rsidR="00B47294">
        <w:t>must prepare</w:t>
      </w:r>
      <w:r>
        <w:t xml:space="preserve"> </w:t>
      </w:r>
      <w:r w:rsidR="009F75E5">
        <w:t xml:space="preserve">before </w:t>
      </w:r>
      <w:r>
        <w:t xml:space="preserve">it </w:t>
      </w:r>
      <w:r w:rsidR="00B47294">
        <w:t xml:space="preserve">can </w:t>
      </w:r>
      <w:r>
        <w:t>offer interests</w:t>
      </w:r>
      <w:r w:rsidR="009F75E5">
        <w:t xml:space="preserve"> to retail clients</w:t>
      </w:r>
      <w:r w:rsidR="00EA463F">
        <w:t>.</w:t>
      </w:r>
      <w:r w:rsidR="00623CEC">
        <w:t xml:space="preserve"> </w:t>
      </w:r>
      <w:r w:rsidR="008A14BD" w:rsidRPr="008A14BD">
        <w:t xml:space="preserve">This PDS must comply with the </w:t>
      </w:r>
      <w:r w:rsidR="002000D1" w:rsidRPr="008A14BD">
        <w:t>PDS</w:t>
      </w:r>
      <w:r w:rsidR="002000D1">
        <w:t> </w:t>
      </w:r>
      <w:r w:rsidR="008A14BD" w:rsidRPr="008A14BD">
        <w:t xml:space="preserve">requirements in the </w:t>
      </w:r>
      <w:r w:rsidR="002000D1" w:rsidRPr="008A14BD">
        <w:t>Corporations</w:t>
      </w:r>
      <w:r w:rsidR="002000D1">
        <w:t> </w:t>
      </w:r>
      <w:r w:rsidR="008A14BD" w:rsidRPr="008A14BD">
        <w:t>Act and must set out relevant information about the Passport Fund.</w:t>
      </w:r>
      <w:r w:rsidR="008A14BD" w:rsidRPr="008A14BD">
        <w:rPr>
          <w:rStyle w:val="Referencingstyle"/>
          <w:b w:val="0"/>
          <w:i w:val="0"/>
          <w:sz w:val="22"/>
        </w:rPr>
        <w:t xml:space="preserve"> </w:t>
      </w:r>
      <w:r w:rsidR="00EA463F">
        <w:rPr>
          <w:rStyle w:val="Referencingstyle"/>
        </w:rPr>
        <w:t>[</w:t>
      </w:r>
      <w:r w:rsidR="002000D1">
        <w:rPr>
          <w:rStyle w:val="Referencingstyle"/>
        </w:rPr>
        <w:t>Schedule </w:t>
      </w:r>
      <w:r w:rsidR="00EA463F">
        <w:rPr>
          <w:rStyle w:val="Referencingstyle"/>
        </w:rPr>
        <w:t xml:space="preserve">1, </w:t>
      </w:r>
      <w:r w:rsidR="002000D1">
        <w:rPr>
          <w:rStyle w:val="Referencingstyle"/>
        </w:rPr>
        <w:t>item </w:t>
      </w:r>
      <w:r w:rsidR="00EA463F">
        <w:rPr>
          <w:rStyle w:val="Referencingstyle"/>
        </w:rPr>
        <w:t xml:space="preserve">1, </w:t>
      </w:r>
      <w:r w:rsidR="002000D1">
        <w:rPr>
          <w:rStyle w:val="Referencingstyle"/>
        </w:rPr>
        <w:t>paragraph </w:t>
      </w:r>
      <w:r w:rsidR="00EA463F">
        <w:rPr>
          <w:rStyle w:val="Referencingstyle"/>
        </w:rPr>
        <w:t>1212(2)(b)]</w:t>
      </w:r>
      <w:r>
        <w:t xml:space="preserve"> </w:t>
      </w:r>
    </w:p>
    <w:p w14:paraId="334EC0DD" w14:textId="388FDD88" w:rsidR="001A3A62" w:rsidRDefault="00EA463F" w:rsidP="00130CE8">
      <w:pPr>
        <w:pStyle w:val="base-text-paragraph"/>
      </w:pPr>
      <w:r>
        <w:t xml:space="preserve">The PDS </w:t>
      </w:r>
      <w:r w:rsidR="009C34FF">
        <w:t xml:space="preserve">provided to ASIC </w:t>
      </w:r>
      <w:r>
        <w:t>does not need to include the AP</w:t>
      </w:r>
      <w:r w:rsidR="00466574">
        <w:t>F</w:t>
      </w:r>
      <w:r>
        <w:t xml:space="preserve">RN because this number only needs to be included on documents after the CIS is registered as a passport fund </w:t>
      </w:r>
      <w:r>
        <w:rPr>
          <w:rStyle w:val="Referencingstyle"/>
        </w:rPr>
        <w:t>[</w:t>
      </w:r>
      <w:r w:rsidR="002000D1">
        <w:rPr>
          <w:rStyle w:val="Referencingstyle"/>
        </w:rPr>
        <w:t>Schedule </w:t>
      </w:r>
      <w:r>
        <w:rPr>
          <w:rStyle w:val="Referencingstyle"/>
        </w:rPr>
        <w:t xml:space="preserve">1, </w:t>
      </w:r>
      <w:r w:rsidR="002000D1">
        <w:rPr>
          <w:rStyle w:val="Referencingstyle"/>
        </w:rPr>
        <w:t>item </w:t>
      </w:r>
      <w:r>
        <w:rPr>
          <w:rStyle w:val="Referencingstyle"/>
        </w:rPr>
        <w:t xml:space="preserve">1, </w:t>
      </w:r>
      <w:r w:rsidR="002000D1">
        <w:rPr>
          <w:rStyle w:val="Referencingstyle"/>
        </w:rPr>
        <w:t>section </w:t>
      </w:r>
      <w:r>
        <w:rPr>
          <w:rStyle w:val="Referencingstyle"/>
        </w:rPr>
        <w:t>1212B]</w:t>
      </w:r>
      <w:r w:rsidRPr="002000D1">
        <w:rPr>
          <w:rStyle w:val="Referencingstyle"/>
          <w:b w:val="0"/>
          <w:i w:val="0"/>
          <w:sz w:val="22"/>
        </w:rPr>
        <w:t>.</w:t>
      </w:r>
      <w:r>
        <w:t xml:space="preserve"> Applicants are </w:t>
      </w:r>
      <w:r w:rsidR="007E3DAC">
        <w:t>not</w:t>
      </w:r>
      <w:r>
        <w:t xml:space="preserve"> require</w:t>
      </w:r>
      <w:r w:rsidR="007E3DAC">
        <w:t>d as set out</w:t>
      </w:r>
      <w:r>
        <w:t xml:space="preserve"> in existing </w:t>
      </w:r>
      <w:r w:rsidR="002000D1">
        <w:t>section </w:t>
      </w:r>
      <w:r>
        <w:t>601EC to state the ARSN in the PDS because th</w:t>
      </w:r>
      <w:r w:rsidR="007E3DAC">
        <w:t>is</w:t>
      </w:r>
      <w:r>
        <w:t xml:space="preserve"> identifier may not be known by new funds at the </w:t>
      </w:r>
      <w:r w:rsidRPr="007752A6">
        <w:t>time of lodging their applications with ASIC</w:t>
      </w:r>
      <w:r w:rsidR="00E505FF" w:rsidRPr="007752A6">
        <w:t>.</w:t>
      </w:r>
      <w:r w:rsidRPr="007752A6">
        <w:t xml:space="preserve"> (See </w:t>
      </w:r>
      <w:r w:rsidR="002000D1" w:rsidRPr="00586783">
        <w:t>paragraph </w:t>
      </w:r>
      <w:r w:rsidR="00BD4490" w:rsidRPr="00586783">
        <w:t>3.6</w:t>
      </w:r>
      <w:r w:rsidRPr="007752A6">
        <w:t xml:space="preserve"> for </w:t>
      </w:r>
      <w:r w:rsidR="003C1CB2" w:rsidRPr="007752A6">
        <w:t>an</w:t>
      </w:r>
      <w:r w:rsidR="003C1CB2">
        <w:t xml:space="preserve"> </w:t>
      </w:r>
      <w:r>
        <w:t xml:space="preserve">explanation of how a new fund can lodge its application for registration as a </w:t>
      </w:r>
      <w:r w:rsidR="007E3DAC">
        <w:t>M</w:t>
      </w:r>
      <w:r>
        <w:t xml:space="preserve">IS and a passport fund at the same time.) </w:t>
      </w:r>
    </w:p>
    <w:p w14:paraId="34B7D455" w14:textId="5596F773" w:rsidR="00130CE8" w:rsidRDefault="00E505FF" w:rsidP="00130CE8">
      <w:pPr>
        <w:pStyle w:val="base-text-paragraph"/>
      </w:pPr>
      <w:r>
        <w:t xml:space="preserve">The requirement </w:t>
      </w:r>
      <w:r w:rsidR="001A3A62">
        <w:t>to provide</w:t>
      </w:r>
      <w:r>
        <w:t xml:space="preserve"> a </w:t>
      </w:r>
      <w:r w:rsidR="00EA463F">
        <w:t>PDS</w:t>
      </w:r>
      <w:r>
        <w:t xml:space="preserve"> </w:t>
      </w:r>
      <w:r w:rsidR="001A3A62">
        <w:t xml:space="preserve">at the time of applying for registration </w:t>
      </w:r>
      <w:r>
        <w:t>differs from other registration processes under the</w:t>
      </w:r>
      <w:r w:rsidR="001A3A62">
        <w:t xml:space="preserve"> </w:t>
      </w:r>
      <w:r w:rsidR="002000D1">
        <w:t>Corporations </w:t>
      </w:r>
      <w:r>
        <w:t>Act</w:t>
      </w:r>
      <w:r w:rsidR="002000D1">
        <w:t>. However, this</w:t>
      </w:r>
      <w:r>
        <w:t xml:space="preserve"> is considered necessary to enable </w:t>
      </w:r>
      <w:r w:rsidR="009F75E5">
        <w:t xml:space="preserve">ASIC to determine whether the fund </w:t>
      </w:r>
      <w:r>
        <w:t>is likely to</w:t>
      </w:r>
      <w:r w:rsidR="009F75E5">
        <w:t xml:space="preserve"> comply with the</w:t>
      </w:r>
      <w:r w:rsidR="007E3DAC">
        <w:t xml:space="preserve"> PDS requirements</w:t>
      </w:r>
      <w:r>
        <w:t xml:space="preserve">. Compliance with the </w:t>
      </w:r>
      <w:r w:rsidR="002000D1">
        <w:t>Corporations </w:t>
      </w:r>
      <w:r>
        <w:t xml:space="preserve">Act, including the </w:t>
      </w:r>
      <w:r w:rsidR="007E3DAC" w:rsidRPr="00586783">
        <w:t>PDS</w:t>
      </w:r>
      <w:r w:rsidRPr="00586783">
        <w:t xml:space="preserve"> rules</w:t>
      </w:r>
      <w:r>
        <w:t xml:space="preserve">, </w:t>
      </w:r>
      <w:r w:rsidR="009F75E5">
        <w:t xml:space="preserve">is one of the factors that ASIC must consider before </w:t>
      </w:r>
      <w:r>
        <w:t>registering</w:t>
      </w:r>
      <w:r w:rsidR="009F75E5">
        <w:t xml:space="preserve"> a fund</w:t>
      </w:r>
      <w:r>
        <w:t xml:space="preserve"> as a passport fund</w:t>
      </w:r>
      <w:r w:rsidR="009F75E5">
        <w:t xml:space="preserve">. </w:t>
      </w:r>
    </w:p>
    <w:p w14:paraId="049A461D" w14:textId="4F2F99C3" w:rsidR="0088593B" w:rsidRDefault="0088593B" w:rsidP="00130CE8">
      <w:pPr>
        <w:pStyle w:val="base-text-paragraph"/>
      </w:pPr>
      <w:r>
        <w:t xml:space="preserve">ASIC may, by legislative instrument, determine which parts of the application are to be public. This power could be used, for example, to protect information that is commercially sensitive and confidential. </w:t>
      </w:r>
      <w:r>
        <w:rPr>
          <w:rStyle w:val="Referencingstyle"/>
        </w:rPr>
        <w:t>[</w:t>
      </w:r>
      <w:r w:rsidR="002000D1">
        <w:rPr>
          <w:rStyle w:val="Referencingstyle"/>
        </w:rPr>
        <w:t>Schedule </w:t>
      </w:r>
      <w:r>
        <w:rPr>
          <w:rStyle w:val="Referencingstyle"/>
        </w:rPr>
        <w:t xml:space="preserve">1, </w:t>
      </w:r>
      <w:r w:rsidR="002000D1">
        <w:rPr>
          <w:rStyle w:val="Referencingstyle"/>
        </w:rPr>
        <w:t>item </w:t>
      </w:r>
      <w:r>
        <w:rPr>
          <w:rStyle w:val="Referencingstyle"/>
        </w:rPr>
        <w:t xml:space="preserve">1, </w:t>
      </w:r>
      <w:r w:rsidR="002000D1">
        <w:rPr>
          <w:rStyle w:val="Referencingstyle"/>
        </w:rPr>
        <w:t>subsection </w:t>
      </w:r>
      <w:r>
        <w:rPr>
          <w:rStyle w:val="Referencingstyle"/>
        </w:rPr>
        <w:t>1212(3)</w:t>
      </w:r>
      <w:r w:rsidR="00584A96">
        <w:rPr>
          <w:rStyle w:val="Referencingstyle"/>
        </w:rPr>
        <w:t xml:space="preserve"> and </w:t>
      </w:r>
      <w:r w:rsidR="002000D1">
        <w:rPr>
          <w:rStyle w:val="Referencingstyle"/>
        </w:rPr>
        <w:t>Schedule </w:t>
      </w:r>
      <w:r w:rsidR="00584A96">
        <w:rPr>
          <w:rStyle w:val="Referencingstyle"/>
        </w:rPr>
        <w:t xml:space="preserve">2, </w:t>
      </w:r>
      <w:r w:rsidR="002000D1">
        <w:rPr>
          <w:rStyle w:val="Referencingstyle"/>
        </w:rPr>
        <w:t>item </w:t>
      </w:r>
      <w:r w:rsidR="00584A96">
        <w:rPr>
          <w:rStyle w:val="Referencingstyle"/>
        </w:rPr>
        <w:t xml:space="preserve">19, </w:t>
      </w:r>
      <w:r w:rsidR="002000D1" w:rsidRPr="00805FD4">
        <w:rPr>
          <w:rStyle w:val="Referencingstyle"/>
        </w:rPr>
        <w:t>subparagraph </w:t>
      </w:r>
      <w:r w:rsidR="00584A96" w:rsidRPr="00805FD4">
        <w:rPr>
          <w:rStyle w:val="Referencingstyle"/>
        </w:rPr>
        <w:t>1274(2)(a)(</w:t>
      </w:r>
      <w:r w:rsidR="00805FD4" w:rsidRPr="00805FD4">
        <w:rPr>
          <w:rStyle w:val="Referencingstyle"/>
        </w:rPr>
        <w:t>ii</w:t>
      </w:r>
      <w:r w:rsidR="00584A96" w:rsidRPr="00805FD4">
        <w:rPr>
          <w:rStyle w:val="Referencingstyle"/>
        </w:rPr>
        <w:t>)</w:t>
      </w:r>
      <w:r w:rsidRPr="00805FD4">
        <w:rPr>
          <w:rStyle w:val="Referencingstyle"/>
        </w:rPr>
        <w:t>]</w:t>
      </w:r>
    </w:p>
    <w:p w14:paraId="0F243895" w14:textId="4E929896" w:rsidR="00FC4F6A" w:rsidRDefault="0082736E" w:rsidP="00A20698">
      <w:pPr>
        <w:pStyle w:val="base-text-paragraph"/>
      </w:pPr>
      <w:r>
        <w:t xml:space="preserve">ASIC must register the </w:t>
      </w:r>
      <w:r w:rsidR="00BB7071">
        <w:t>M</w:t>
      </w:r>
      <w:r>
        <w:t xml:space="preserve">IS as a </w:t>
      </w:r>
      <w:r w:rsidR="006847D6">
        <w:t>passport fund</w:t>
      </w:r>
      <w:r>
        <w:t xml:space="preserve"> i</w:t>
      </w:r>
      <w:r w:rsidR="00F2356D">
        <w:t>f</w:t>
      </w:r>
      <w:r>
        <w:t xml:space="preserve"> </w:t>
      </w:r>
      <w:r w:rsidR="00FC4F6A">
        <w:t xml:space="preserve">ASIC is satisfied that </w:t>
      </w:r>
      <w:r w:rsidR="00C67F43">
        <w:t xml:space="preserve">the </w:t>
      </w:r>
      <w:r w:rsidR="00BB7071">
        <w:t>M</w:t>
      </w:r>
      <w:r w:rsidR="00C67F43">
        <w:t>IS</w:t>
      </w:r>
      <w:r>
        <w:t xml:space="preserve"> meets two conditions</w:t>
      </w:r>
      <w:r w:rsidR="00FC4F6A">
        <w:t>, namely:</w:t>
      </w:r>
    </w:p>
    <w:p w14:paraId="3D348395" w14:textId="78554798" w:rsidR="00FC4F6A" w:rsidRPr="00FC4F6A" w:rsidRDefault="00230C88" w:rsidP="00FC4F6A">
      <w:pPr>
        <w:pStyle w:val="dotpoint"/>
      </w:pPr>
      <w:r>
        <w:t xml:space="preserve">the </w:t>
      </w:r>
      <w:r w:rsidR="00B171D6">
        <w:t>M</w:t>
      </w:r>
      <w:r>
        <w:t xml:space="preserve">IS is </w:t>
      </w:r>
      <w:r w:rsidR="00A20698">
        <w:t xml:space="preserve">likely </w:t>
      </w:r>
      <w:r w:rsidR="005E05DB">
        <w:t xml:space="preserve">to comply with the </w:t>
      </w:r>
      <w:r w:rsidR="002000D1">
        <w:t>Corporations </w:t>
      </w:r>
      <w:r w:rsidR="005E05DB">
        <w:t xml:space="preserve">Act, </w:t>
      </w:r>
      <w:r w:rsidR="002000D1">
        <w:t>ASIC </w:t>
      </w:r>
      <w:r w:rsidR="005E05DB">
        <w:t xml:space="preserve">Act, </w:t>
      </w:r>
      <w:r w:rsidR="00E55510">
        <w:t xml:space="preserve">and </w:t>
      </w:r>
      <w:r w:rsidR="005E05DB">
        <w:t xml:space="preserve">the </w:t>
      </w:r>
      <w:r w:rsidR="002000D1">
        <w:t>Passport </w:t>
      </w:r>
      <w:r w:rsidR="005E05DB">
        <w:t xml:space="preserve">Rules </w:t>
      </w:r>
      <w:r w:rsidR="001A3A62">
        <w:t>for this jurisdiction; and</w:t>
      </w:r>
    </w:p>
    <w:p w14:paraId="400FE47D" w14:textId="68E59DDB" w:rsidR="00B47DF7" w:rsidRDefault="00A20698" w:rsidP="00FC4F6A">
      <w:pPr>
        <w:pStyle w:val="dotpoint"/>
      </w:pPr>
      <w:r>
        <w:t xml:space="preserve">the Operator of the </w:t>
      </w:r>
      <w:r w:rsidR="00B171D6">
        <w:t>M</w:t>
      </w:r>
      <w:r>
        <w:t xml:space="preserve">IS meets the eligibility requirements in </w:t>
      </w:r>
      <w:r w:rsidR="002000D1">
        <w:t>subsection </w:t>
      </w:r>
      <w:r>
        <w:t xml:space="preserve">3(4) of </w:t>
      </w:r>
      <w:r w:rsidR="002000D1">
        <w:t>Annex </w:t>
      </w:r>
      <w:r>
        <w:t>2 of the MOC. These eligibility requirements are that the Operator</w:t>
      </w:r>
      <w:r w:rsidR="00B47DF7">
        <w:t>:</w:t>
      </w:r>
    </w:p>
    <w:p w14:paraId="3F7BEC69" w14:textId="41011890" w:rsidR="00B47DF7" w:rsidRDefault="00B47DF7" w:rsidP="00ED7617">
      <w:pPr>
        <w:pStyle w:val="dotpoint"/>
        <w:numPr>
          <w:ilvl w:val="1"/>
          <w:numId w:val="1"/>
        </w:numPr>
      </w:pPr>
      <w:r>
        <w:lastRenderedPageBreak/>
        <w:t xml:space="preserve">is responsible for operating a </w:t>
      </w:r>
      <w:r w:rsidR="00B171D6">
        <w:t>M</w:t>
      </w:r>
      <w:r>
        <w:t>IS</w:t>
      </w:r>
      <w:r w:rsidRPr="00B47DF7">
        <w:t xml:space="preserve"> </w:t>
      </w:r>
      <w:r>
        <w:t>with assets of at least USD500</w:t>
      </w:r>
      <w:r w:rsidR="002000D1">
        <w:t> million</w:t>
      </w:r>
      <w:r>
        <w:t xml:space="preserve"> or has discretionary management powers over at least </w:t>
      </w:r>
      <w:r w:rsidR="008921FD">
        <w:t>the same amount</w:t>
      </w:r>
      <w:r>
        <w:t xml:space="preserve"> of </w:t>
      </w:r>
      <w:r w:rsidR="008921FD">
        <w:t>client</w:t>
      </w:r>
      <w:r>
        <w:t xml:space="preserve"> money;</w:t>
      </w:r>
    </w:p>
    <w:p w14:paraId="05B6B653" w14:textId="77777777" w:rsidR="00537F77" w:rsidRDefault="00537F77" w:rsidP="00ED7617">
      <w:pPr>
        <w:pStyle w:val="dotpoint"/>
        <w:numPr>
          <w:ilvl w:val="1"/>
          <w:numId w:val="1"/>
        </w:numPr>
      </w:pPr>
      <w:r>
        <w:t>has its principal place of business in Australia;</w:t>
      </w:r>
    </w:p>
    <w:p w14:paraId="1C889EBB" w14:textId="660A26D7" w:rsidR="00B47DF7" w:rsidRDefault="00B47DF7" w:rsidP="00ED7617">
      <w:pPr>
        <w:pStyle w:val="dotpoint"/>
        <w:numPr>
          <w:ilvl w:val="1"/>
          <w:numId w:val="1"/>
        </w:numPr>
      </w:pPr>
      <w:r>
        <w:t>has officers with the qualifications specified in the Passport Rules;</w:t>
      </w:r>
      <w:r w:rsidR="00537F77">
        <w:t xml:space="preserve"> </w:t>
      </w:r>
    </w:p>
    <w:p w14:paraId="3468196B" w14:textId="69C788DF" w:rsidR="0050221B" w:rsidRDefault="0050221B" w:rsidP="00ED7617">
      <w:pPr>
        <w:pStyle w:val="dotpoint"/>
        <w:numPr>
          <w:ilvl w:val="1"/>
          <w:numId w:val="1"/>
        </w:numPr>
      </w:pPr>
      <w:r>
        <w:t>meets the financial resources test in the Passport Rules</w:t>
      </w:r>
      <w:r w:rsidR="00537F77">
        <w:t xml:space="preserve"> </w:t>
      </w:r>
      <w:r>
        <w:t>(that is, the Operator has between</w:t>
      </w:r>
      <w:r w:rsidR="00537F77">
        <w:t xml:space="preserve"> USD1</w:t>
      </w:r>
      <w:r w:rsidR="002000D1">
        <w:t> million</w:t>
      </w:r>
      <w:r w:rsidR="00537F77">
        <w:t xml:space="preserve"> </w:t>
      </w:r>
      <w:r>
        <w:t>and 2</w:t>
      </w:r>
      <w:r w:rsidR="00E42698">
        <w:t>0</w:t>
      </w:r>
      <w:r w:rsidR="002000D1">
        <w:t> million</w:t>
      </w:r>
      <w:r w:rsidR="008921FD">
        <w:t xml:space="preserve"> in equity</w:t>
      </w:r>
      <w:r>
        <w:t>, depending on the value of the assets under management);</w:t>
      </w:r>
    </w:p>
    <w:p w14:paraId="04FBB247" w14:textId="3EA29510" w:rsidR="00537F77" w:rsidRDefault="0050221B" w:rsidP="00ED7617">
      <w:pPr>
        <w:pStyle w:val="dotpoint"/>
        <w:numPr>
          <w:ilvl w:val="1"/>
          <w:numId w:val="1"/>
        </w:numPr>
      </w:pPr>
      <w:r>
        <w:t>meet</w:t>
      </w:r>
      <w:r w:rsidR="00D3747F">
        <w:t>s</w:t>
      </w:r>
      <w:r>
        <w:t xml:space="preserve"> the organisational arrangements test in the Passport Rules, including by establishing internal control mechanisms, adequate risk monitoring and adequate procedures for managing conflicts of interest</w:t>
      </w:r>
      <w:r w:rsidR="00537F77">
        <w:t>;</w:t>
      </w:r>
    </w:p>
    <w:p w14:paraId="36DBBEC4" w14:textId="26DACAD3" w:rsidR="0050221B" w:rsidRDefault="0050221B" w:rsidP="00ED7617">
      <w:pPr>
        <w:pStyle w:val="dotpoint"/>
        <w:numPr>
          <w:ilvl w:val="1"/>
          <w:numId w:val="1"/>
        </w:numPr>
      </w:pPr>
      <w:r>
        <w:t xml:space="preserve">meets the </w:t>
      </w:r>
      <w:r w:rsidR="00B47DF7">
        <w:t xml:space="preserve">track record test </w:t>
      </w:r>
      <w:r>
        <w:t xml:space="preserve">in the Passport Rules by having at least </w:t>
      </w:r>
      <w:r w:rsidR="007B027E">
        <w:t>five </w:t>
      </w:r>
      <w:r>
        <w:t>years of relevant experience; and</w:t>
      </w:r>
    </w:p>
    <w:p w14:paraId="456B0520" w14:textId="1AB75C8D" w:rsidR="00597A1D" w:rsidRDefault="0050221B" w:rsidP="00ED7617">
      <w:pPr>
        <w:pStyle w:val="dotpoint"/>
        <w:numPr>
          <w:ilvl w:val="1"/>
          <w:numId w:val="1"/>
        </w:numPr>
      </w:pPr>
      <w:r>
        <w:t>meets the</w:t>
      </w:r>
      <w:r w:rsidR="00597A1D">
        <w:t xml:space="preserve"> good standing test </w:t>
      </w:r>
      <w:r>
        <w:t>in the Passport Rules by not being subject to a notice that brings into question its integrity or competence</w:t>
      </w:r>
      <w:r w:rsidR="00537F77">
        <w:t>.</w:t>
      </w:r>
    </w:p>
    <w:p w14:paraId="3042AB18" w14:textId="24B5D288" w:rsidR="00A513EC" w:rsidRDefault="00A513EC" w:rsidP="00A513EC">
      <w:pPr>
        <w:pStyle w:val="dotpoint"/>
        <w:numPr>
          <w:ilvl w:val="0"/>
          <w:numId w:val="0"/>
        </w:numPr>
        <w:ind w:left="2268" w:hanging="284"/>
      </w:pPr>
      <w:r>
        <w:rPr>
          <w:rStyle w:val="Referencingstyle"/>
        </w:rPr>
        <w:t>[</w:t>
      </w:r>
      <w:r w:rsidR="007B027E">
        <w:rPr>
          <w:rStyle w:val="Referencingstyle"/>
        </w:rPr>
        <w:t>Schedule </w:t>
      </w:r>
      <w:r>
        <w:rPr>
          <w:rStyle w:val="Referencingstyle"/>
        </w:rPr>
        <w:t xml:space="preserve">1, </w:t>
      </w:r>
      <w:r w:rsidR="007B027E">
        <w:rPr>
          <w:rStyle w:val="Referencingstyle"/>
        </w:rPr>
        <w:t>item </w:t>
      </w:r>
      <w:r>
        <w:rPr>
          <w:rStyle w:val="Referencingstyle"/>
        </w:rPr>
        <w:t xml:space="preserve">1, </w:t>
      </w:r>
      <w:r w:rsidR="007B027E">
        <w:rPr>
          <w:rStyle w:val="Referencingstyle"/>
        </w:rPr>
        <w:t>subsection </w:t>
      </w:r>
      <w:r>
        <w:rPr>
          <w:rStyle w:val="Referencingstyle"/>
        </w:rPr>
        <w:t>1212A(1)]</w:t>
      </w:r>
    </w:p>
    <w:p w14:paraId="70A52D50" w14:textId="6E5A78A8" w:rsidR="00FC4F6A" w:rsidRDefault="00FC4F6A" w:rsidP="00FC4F6A">
      <w:pPr>
        <w:pStyle w:val="base-text-paragraph"/>
      </w:pPr>
      <w:r>
        <w:t xml:space="preserve">ASIC is required to form a positive opinion about these matters, that is, it is not enough for ASIC to </w:t>
      </w:r>
      <w:r w:rsidR="00BB7071">
        <w:t xml:space="preserve">not </w:t>
      </w:r>
      <w:r>
        <w:t xml:space="preserve">form the view that the </w:t>
      </w:r>
      <w:r w:rsidR="00502494">
        <w:t>M</w:t>
      </w:r>
      <w:r>
        <w:t xml:space="preserve">IS is unlikely to comply with the relevant laws. This is similar to the state of satisfaction that ASIC must reach before it registers a scheme under </w:t>
      </w:r>
      <w:r w:rsidR="007B027E">
        <w:t>section </w:t>
      </w:r>
      <w:r>
        <w:t xml:space="preserve">601EB of the existing law. </w:t>
      </w:r>
    </w:p>
    <w:p w14:paraId="0806BF8E" w14:textId="0BB880B2" w:rsidR="000F1FEF" w:rsidRDefault="000F1FEF" w:rsidP="00FC4F6A">
      <w:pPr>
        <w:pStyle w:val="base-text-paragraph"/>
      </w:pPr>
      <w:r w:rsidRPr="000F1FEF">
        <w:t xml:space="preserve">In order for ASIC to be able to form its opinion it may, where reasonable to do so, rely on specific assertions or representations made in the application. For example, in completing the application, an applicant may answer “yes” when asked whether the assets held by the Passport Fund comply with the Passport Rules. The applicant gives this answer knowing that making a false or misleading statement in the application is a criminal offence. In the absence of any facts which are sufficient to suggest to a reasonable person the answer is false, it is reasonable for ASIC to rely on this statement to form its opinion that the Act (including the Passport Rules) </w:t>
      </w:r>
      <w:r w:rsidR="000B7E26">
        <w:t>is</w:t>
      </w:r>
      <w:r w:rsidRPr="000F1FEF">
        <w:t xml:space="preserve"> likely to be complied with.</w:t>
      </w:r>
    </w:p>
    <w:p w14:paraId="1E3E2168" w14:textId="514C2DA0" w:rsidR="006711B7" w:rsidRDefault="004B4EF7" w:rsidP="00983901">
      <w:pPr>
        <w:pStyle w:val="base-text-paragraph"/>
      </w:pPr>
      <w:r>
        <w:t xml:space="preserve">ASIC is not required to process applications within any specific period of time. </w:t>
      </w:r>
      <w:r w:rsidR="00983901">
        <w:t xml:space="preserve">ASIC registers a </w:t>
      </w:r>
      <w:r w:rsidR="00502494">
        <w:t>M</w:t>
      </w:r>
      <w:r w:rsidR="00983901">
        <w:t xml:space="preserve">IS as a passport fund by assigning it a </w:t>
      </w:r>
      <w:r w:rsidR="00983901">
        <w:lastRenderedPageBreak/>
        <w:t xml:space="preserve">unique </w:t>
      </w:r>
      <w:r w:rsidR="000F0635">
        <w:t>AP</w:t>
      </w:r>
      <w:r w:rsidR="007112B4">
        <w:t>F</w:t>
      </w:r>
      <w:r w:rsidR="000F0635">
        <w:t>RN</w:t>
      </w:r>
      <w:r w:rsidR="00985A28">
        <w:t xml:space="preserve"> </w:t>
      </w:r>
      <w:r w:rsidR="00983901">
        <w:t>and ensuring that its details are recorded on the Register of Passport Funds</w:t>
      </w:r>
      <w:r w:rsidR="006711B7">
        <w:t xml:space="preserve"> (the Register)</w:t>
      </w:r>
      <w:r w:rsidR="00983901">
        <w:t xml:space="preserve"> </w:t>
      </w:r>
      <w:r w:rsidR="00A513EC">
        <w:rPr>
          <w:rStyle w:val="Referencingstyle"/>
        </w:rPr>
        <w:t>[</w:t>
      </w:r>
      <w:r w:rsidR="007B027E">
        <w:rPr>
          <w:rStyle w:val="Referencingstyle"/>
        </w:rPr>
        <w:t>Schedule </w:t>
      </w:r>
      <w:r w:rsidR="00A513EC">
        <w:rPr>
          <w:rStyle w:val="Referencingstyle"/>
        </w:rPr>
        <w:t xml:space="preserve">1, </w:t>
      </w:r>
      <w:r w:rsidR="007B027E">
        <w:rPr>
          <w:rStyle w:val="Referencingstyle"/>
        </w:rPr>
        <w:t>item </w:t>
      </w:r>
      <w:r w:rsidR="00A513EC">
        <w:rPr>
          <w:rStyle w:val="Referencingstyle"/>
        </w:rPr>
        <w:t xml:space="preserve">1, </w:t>
      </w:r>
      <w:r w:rsidR="007B027E">
        <w:rPr>
          <w:rStyle w:val="Referencingstyle"/>
        </w:rPr>
        <w:t>section </w:t>
      </w:r>
      <w:r w:rsidR="00CE6283">
        <w:rPr>
          <w:rStyle w:val="Referencingstyle"/>
        </w:rPr>
        <w:t xml:space="preserve">1210 and </w:t>
      </w:r>
      <w:r w:rsidR="007B027E">
        <w:rPr>
          <w:rStyle w:val="Referencingstyle"/>
        </w:rPr>
        <w:t>subsection </w:t>
      </w:r>
      <w:r w:rsidR="00A513EC">
        <w:rPr>
          <w:rStyle w:val="Referencingstyle"/>
        </w:rPr>
        <w:t>1212A(2)]</w:t>
      </w:r>
      <w:r w:rsidR="00985A28" w:rsidRPr="000100C3">
        <w:rPr>
          <w:rStyle w:val="Referencingstyle"/>
          <w:i w:val="0"/>
        </w:rPr>
        <w:t xml:space="preserve">. </w:t>
      </w:r>
      <w:r w:rsidR="00985A28">
        <w:t xml:space="preserve">The </w:t>
      </w:r>
      <w:r w:rsidR="00502494">
        <w:t>M</w:t>
      </w:r>
      <w:r w:rsidR="00985A28">
        <w:t>IS must include its AP</w:t>
      </w:r>
      <w:r w:rsidR="007112B4">
        <w:t>F</w:t>
      </w:r>
      <w:r w:rsidR="00985A28">
        <w:t xml:space="preserve">RN on all documents subsequently lodged with ASIC </w:t>
      </w:r>
      <w:r w:rsidR="00985A28">
        <w:rPr>
          <w:rStyle w:val="Referencingstyle"/>
        </w:rPr>
        <w:t>[</w:t>
      </w:r>
      <w:r w:rsidR="007B027E">
        <w:rPr>
          <w:rStyle w:val="Referencingstyle"/>
        </w:rPr>
        <w:t>Schedule </w:t>
      </w:r>
      <w:r w:rsidR="00985A28">
        <w:rPr>
          <w:rStyle w:val="Referencingstyle"/>
        </w:rPr>
        <w:t xml:space="preserve">1, </w:t>
      </w:r>
      <w:r w:rsidR="007B027E">
        <w:rPr>
          <w:rStyle w:val="Referencingstyle"/>
        </w:rPr>
        <w:t>item </w:t>
      </w:r>
      <w:r w:rsidR="00985A28">
        <w:rPr>
          <w:rStyle w:val="Referencingstyle"/>
        </w:rPr>
        <w:t xml:space="preserve">1, </w:t>
      </w:r>
      <w:r w:rsidR="007B027E">
        <w:rPr>
          <w:rStyle w:val="Referencingstyle"/>
        </w:rPr>
        <w:t>subsection </w:t>
      </w:r>
      <w:r w:rsidR="00985A28">
        <w:rPr>
          <w:rStyle w:val="Referencingstyle"/>
        </w:rPr>
        <w:t>1212B]</w:t>
      </w:r>
      <w:r w:rsidR="00985A28">
        <w:t>.</w:t>
      </w:r>
    </w:p>
    <w:p w14:paraId="3F0DDFE3" w14:textId="4363B38E" w:rsidR="00FB0357" w:rsidRDefault="00FB0357" w:rsidP="00FB0357">
      <w:pPr>
        <w:pStyle w:val="TableHeadingoutsidetable"/>
      </w:pPr>
      <w:r>
        <w:t xml:space="preserve"> Registration process for Australian </w:t>
      </w:r>
      <w:r w:rsidR="009200B3">
        <w:t xml:space="preserve">passport </w:t>
      </w:r>
      <w:r>
        <w:t>funds</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6"/>
        <w:gridCol w:w="4325"/>
      </w:tblGrid>
      <w:tr w:rsidR="00FB0357" w:rsidRPr="004666B8" w14:paraId="4EACC8CC" w14:textId="77777777" w:rsidTr="00A25279">
        <w:tc>
          <w:tcPr>
            <w:tcW w:w="2226" w:type="dxa"/>
          </w:tcPr>
          <w:p w14:paraId="1E064766" w14:textId="344208A7" w:rsidR="00FB0357" w:rsidRPr="004666B8" w:rsidRDefault="009200B3" w:rsidP="00FB0357">
            <w:pPr>
              <w:pStyle w:val="tableheaderwithintable"/>
              <w:rPr>
                <w:lang w:val="en-US" w:eastAsia="en-US"/>
              </w:rPr>
            </w:pPr>
            <w:r>
              <w:rPr>
                <w:lang w:val="en-US" w:eastAsia="en-US"/>
              </w:rPr>
              <w:t>Stage</w:t>
            </w:r>
          </w:p>
        </w:tc>
        <w:tc>
          <w:tcPr>
            <w:tcW w:w="4325" w:type="dxa"/>
          </w:tcPr>
          <w:p w14:paraId="71EDE666" w14:textId="4A0836DB" w:rsidR="00FB0357" w:rsidRPr="004666B8" w:rsidRDefault="009200B3" w:rsidP="00765DE4">
            <w:pPr>
              <w:pStyle w:val="tableheaderwithintable"/>
              <w:rPr>
                <w:lang w:val="en-US" w:eastAsia="en-US"/>
              </w:rPr>
            </w:pPr>
            <w:r>
              <w:rPr>
                <w:lang w:val="en-US" w:eastAsia="en-US"/>
              </w:rPr>
              <w:t>Requirements</w:t>
            </w:r>
          </w:p>
        </w:tc>
      </w:tr>
      <w:tr w:rsidR="00FB0357" w:rsidRPr="004666B8" w14:paraId="1D3A241C" w14:textId="77777777" w:rsidTr="00A25279">
        <w:tc>
          <w:tcPr>
            <w:tcW w:w="2226" w:type="dxa"/>
          </w:tcPr>
          <w:p w14:paraId="6E9688C1" w14:textId="11F5F158" w:rsidR="00FB0357" w:rsidRPr="00902333" w:rsidRDefault="009200B3" w:rsidP="00765DE4">
            <w:pPr>
              <w:pStyle w:val="tabletext"/>
            </w:pPr>
            <w:r>
              <w:t>Application</w:t>
            </w:r>
          </w:p>
        </w:tc>
        <w:tc>
          <w:tcPr>
            <w:tcW w:w="4325" w:type="dxa"/>
          </w:tcPr>
          <w:p w14:paraId="0FB62316" w14:textId="77777777" w:rsidR="009200B3" w:rsidRDefault="009200B3" w:rsidP="009200B3">
            <w:pPr>
              <w:pStyle w:val="tabledotpoint"/>
              <w:rPr>
                <w:lang w:val="en-US" w:eastAsia="en-US"/>
              </w:rPr>
            </w:pPr>
            <w:r>
              <w:rPr>
                <w:lang w:val="en-US" w:eastAsia="en-US"/>
              </w:rPr>
              <w:t>Registered scheme or application as registered scheme</w:t>
            </w:r>
          </w:p>
          <w:p w14:paraId="62EC2D85" w14:textId="77777777" w:rsidR="009200B3" w:rsidRDefault="009200B3" w:rsidP="009200B3">
            <w:pPr>
              <w:pStyle w:val="tabledotpoint"/>
              <w:rPr>
                <w:lang w:val="en-US" w:eastAsia="en-US"/>
              </w:rPr>
            </w:pPr>
            <w:r>
              <w:rPr>
                <w:lang w:val="en-US" w:eastAsia="en-US"/>
              </w:rPr>
              <w:t>ASIC prescribed form</w:t>
            </w:r>
          </w:p>
          <w:p w14:paraId="20093B71" w14:textId="701FE405" w:rsidR="00FB0357" w:rsidRPr="004666B8" w:rsidRDefault="009200B3" w:rsidP="009200B3">
            <w:pPr>
              <w:pStyle w:val="tabledotpoint"/>
              <w:rPr>
                <w:lang w:val="en-US" w:eastAsia="en-US"/>
              </w:rPr>
            </w:pPr>
            <w:r>
              <w:rPr>
                <w:lang w:val="en-US" w:eastAsia="en-US"/>
              </w:rPr>
              <w:t>Copy of PDS</w:t>
            </w:r>
          </w:p>
        </w:tc>
      </w:tr>
      <w:tr w:rsidR="009200B3" w:rsidRPr="004666B8" w14:paraId="08E45AFD" w14:textId="77777777" w:rsidTr="00A25279">
        <w:tc>
          <w:tcPr>
            <w:tcW w:w="2226" w:type="dxa"/>
          </w:tcPr>
          <w:p w14:paraId="2DC2BCE9" w14:textId="6F3DDAD4" w:rsidR="009200B3" w:rsidRDefault="009200B3" w:rsidP="00765DE4">
            <w:pPr>
              <w:pStyle w:val="tabletext"/>
            </w:pPr>
            <w:r>
              <w:t>ASIC consideration</w:t>
            </w:r>
          </w:p>
        </w:tc>
        <w:tc>
          <w:tcPr>
            <w:tcW w:w="4325" w:type="dxa"/>
          </w:tcPr>
          <w:p w14:paraId="3300F592" w14:textId="77777777" w:rsidR="009200B3" w:rsidRDefault="009200B3" w:rsidP="00765DE4">
            <w:pPr>
              <w:pStyle w:val="tabletext"/>
              <w:rPr>
                <w:lang w:val="en-US" w:eastAsia="en-US"/>
              </w:rPr>
            </w:pPr>
            <w:r>
              <w:rPr>
                <w:lang w:val="en-US" w:eastAsia="en-US"/>
              </w:rPr>
              <w:t>Two conditions:</w:t>
            </w:r>
          </w:p>
          <w:p w14:paraId="710AA0D8" w14:textId="08923AD8" w:rsidR="009200B3" w:rsidRDefault="009200B3" w:rsidP="009200B3">
            <w:pPr>
              <w:pStyle w:val="tabledotpoint"/>
              <w:rPr>
                <w:lang w:val="en-US" w:eastAsia="en-US"/>
              </w:rPr>
            </w:pPr>
            <w:r>
              <w:rPr>
                <w:lang w:val="en-US" w:eastAsia="en-US"/>
              </w:rPr>
              <w:t xml:space="preserve">Likely to comply with </w:t>
            </w:r>
            <w:r w:rsidR="007B027E">
              <w:rPr>
                <w:lang w:val="en-US" w:eastAsia="en-US"/>
              </w:rPr>
              <w:t>Corporations </w:t>
            </w:r>
            <w:r>
              <w:rPr>
                <w:lang w:val="en-US" w:eastAsia="en-US"/>
              </w:rPr>
              <w:t>Act (including Passport Rules</w:t>
            </w:r>
            <w:r w:rsidR="003A5B9B">
              <w:rPr>
                <w:lang w:val="en-US" w:eastAsia="en-US"/>
              </w:rPr>
              <w:t xml:space="preserve"> for this jurisdiction</w:t>
            </w:r>
            <w:r>
              <w:rPr>
                <w:lang w:val="en-US" w:eastAsia="en-US"/>
              </w:rPr>
              <w:t xml:space="preserve">) and </w:t>
            </w:r>
            <w:r w:rsidR="007B027E">
              <w:rPr>
                <w:lang w:val="en-US" w:eastAsia="en-US"/>
              </w:rPr>
              <w:t>ASIC </w:t>
            </w:r>
            <w:r>
              <w:rPr>
                <w:lang w:val="en-US" w:eastAsia="en-US"/>
              </w:rPr>
              <w:t>Act</w:t>
            </w:r>
          </w:p>
          <w:p w14:paraId="22D60E03" w14:textId="2F9E0DE4" w:rsidR="009200B3" w:rsidRPr="004666B8" w:rsidRDefault="009200B3" w:rsidP="007B027E">
            <w:pPr>
              <w:pStyle w:val="tabledotpoint"/>
              <w:rPr>
                <w:lang w:val="en-US" w:eastAsia="en-US"/>
              </w:rPr>
            </w:pPr>
            <w:r>
              <w:rPr>
                <w:lang w:val="en-US" w:eastAsia="en-US"/>
              </w:rPr>
              <w:t xml:space="preserve">Complies with eligibility requirements in </w:t>
            </w:r>
            <w:r w:rsidR="007B027E" w:rsidRPr="00586783">
              <w:rPr>
                <w:lang w:val="en-US" w:eastAsia="en-US"/>
              </w:rPr>
              <w:t>section </w:t>
            </w:r>
            <w:r w:rsidRPr="00586783">
              <w:rPr>
                <w:lang w:val="en-US" w:eastAsia="en-US"/>
              </w:rPr>
              <w:t>3</w:t>
            </w:r>
            <w:r>
              <w:rPr>
                <w:lang w:val="en-US" w:eastAsia="en-US"/>
              </w:rPr>
              <w:t xml:space="preserve"> of </w:t>
            </w:r>
            <w:r w:rsidR="007B027E">
              <w:rPr>
                <w:lang w:val="en-US" w:eastAsia="en-US"/>
              </w:rPr>
              <w:t>Annex </w:t>
            </w:r>
            <w:r>
              <w:rPr>
                <w:lang w:val="en-US" w:eastAsia="en-US"/>
              </w:rPr>
              <w:t>2 of the MOC</w:t>
            </w:r>
          </w:p>
        </w:tc>
      </w:tr>
      <w:tr w:rsidR="009200B3" w:rsidRPr="004666B8" w14:paraId="3A150AF0" w14:textId="77777777" w:rsidTr="00A25279">
        <w:tc>
          <w:tcPr>
            <w:tcW w:w="2226" w:type="dxa"/>
          </w:tcPr>
          <w:p w14:paraId="45994095" w14:textId="5C2BCE35" w:rsidR="009200B3" w:rsidRDefault="009200B3" w:rsidP="00765DE4">
            <w:pPr>
              <w:pStyle w:val="tabletext"/>
            </w:pPr>
            <w:r>
              <w:t>Registration</w:t>
            </w:r>
          </w:p>
        </w:tc>
        <w:tc>
          <w:tcPr>
            <w:tcW w:w="4325" w:type="dxa"/>
          </w:tcPr>
          <w:p w14:paraId="234F73AA" w14:textId="18680CE3" w:rsidR="009200B3" w:rsidRDefault="009200B3" w:rsidP="00765DE4">
            <w:pPr>
              <w:pStyle w:val="tabletext"/>
              <w:rPr>
                <w:lang w:val="en-US" w:eastAsia="en-US"/>
              </w:rPr>
            </w:pPr>
            <w:r>
              <w:rPr>
                <w:lang w:val="en-US" w:eastAsia="en-US"/>
              </w:rPr>
              <w:t>ASIC assign</w:t>
            </w:r>
            <w:r w:rsidR="00A25279">
              <w:rPr>
                <w:lang w:val="en-US" w:eastAsia="en-US"/>
              </w:rPr>
              <w:t>s</w:t>
            </w:r>
            <w:r>
              <w:rPr>
                <w:lang w:val="en-US" w:eastAsia="en-US"/>
              </w:rPr>
              <w:t xml:space="preserve"> AP</w:t>
            </w:r>
            <w:r w:rsidR="007112B4">
              <w:rPr>
                <w:lang w:val="en-US" w:eastAsia="en-US"/>
              </w:rPr>
              <w:t>F</w:t>
            </w:r>
            <w:r>
              <w:rPr>
                <w:lang w:val="en-US" w:eastAsia="en-US"/>
              </w:rPr>
              <w:t>RN and includes details on the Register of Passport Funds</w:t>
            </w:r>
          </w:p>
        </w:tc>
      </w:tr>
    </w:tbl>
    <w:p w14:paraId="702ED7F9" w14:textId="684A5D01" w:rsidR="00FB0357" w:rsidRDefault="00A2225A" w:rsidP="00502494">
      <w:pPr>
        <w:pStyle w:val="base-text-paragraph"/>
      </w:pPr>
      <w:r>
        <w:t>If an Australian passport fund uses a different name in another participating economy it must notify ASIC in writing and as soon as practicable after it begins offering interests in the fund under that name. This information will be entered on the Register of Passport Funds kept by ASIC.</w:t>
      </w:r>
      <w:r w:rsidR="001C278B">
        <w:t xml:space="preserve"> </w:t>
      </w:r>
      <w:r w:rsidR="001C278B">
        <w:rPr>
          <w:rStyle w:val="Referencingstyle"/>
        </w:rPr>
        <w:t>[</w:t>
      </w:r>
      <w:r w:rsidR="00083F1D">
        <w:rPr>
          <w:rStyle w:val="Referencingstyle"/>
        </w:rPr>
        <w:t>Schedule </w:t>
      </w:r>
      <w:r w:rsidR="001C278B">
        <w:rPr>
          <w:rStyle w:val="Referencingstyle"/>
        </w:rPr>
        <w:t xml:space="preserve">1, </w:t>
      </w:r>
      <w:r w:rsidR="00083F1D">
        <w:rPr>
          <w:rStyle w:val="Referencingstyle"/>
        </w:rPr>
        <w:t>item </w:t>
      </w:r>
      <w:r w:rsidR="001C278B">
        <w:rPr>
          <w:rStyle w:val="Referencingstyle"/>
        </w:rPr>
        <w:t xml:space="preserve">1, </w:t>
      </w:r>
      <w:r w:rsidR="00083F1D">
        <w:rPr>
          <w:rStyle w:val="Referencingstyle"/>
        </w:rPr>
        <w:t>section </w:t>
      </w:r>
      <w:r w:rsidR="001C278B">
        <w:rPr>
          <w:rStyle w:val="Referencingstyle"/>
        </w:rPr>
        <w:t>1212C]</w:t>
      </w:r>
    </w:p>
    <w:p w14:paraId="09C413B8" w14:textId="78A17252" w:rsidR="00A2225A" w:rsidRDefault="00A2225A" w:rsidP="00B30DB1">
      <w:pPr>
        <w:pStyle w:val="base-text-paragraph"/>
      </w:pPr>
      <w:r>
        <w:t xml:space="preserve">The fund may have to use a different name because the name it uses in Australia is not available in the other jurisdiction. A </w:t>
      </w:r>
      <w:r w:rsidR="00801B76">
        <w:t>failure to notify ASIC under</w:t>
      </w:r>
      <w:r>
        <w:t xml:space="preserve"> this provision carries a penalty of </w:t>
      </w:r>
      <w:r w:rsidR="00083F1D">
        <w:t>60 </w:t>
      </w:r>
      <w:r>
        <w:t>penalty units.</w:t>
      </w:r>
      <w:r w:rsidR="00B30DB1">
        <w:t xml:space="preserve"> </w:t>
      </w:r>
      <w:r w:rsidR="00B30DB1">
        <w:rPr>
          <w:rStyle w:val="Referencingstyle"/>
        </w:rPr>
        <w:t>[</w:t>
      </w:r>
      <w:r w:rsidR="00083F1D">
        <w:rPr>
          <w:rStyle w:val="Referencingstyle"/>
        </w:rPr>
        <w:t>Schedule </w:t>
      </w:r>
      <w:r w:rsidR="00B30DB1">
        <w:rPr>
          <w:rStyle w:val="Referencingstyle"/>
        </w:rPr>
        <w:t xml:space="preserve">1, </w:t>
      </w:r>
      <w:r w:rsidR="00083F1D">
        <w:rPr>
          <w:rStyle w:val="Referencingstyle"/>
        </w:rPr>
        <w:t>item </w:t>
      </w:r>
      <w:r w:rsidR="00B30DB1">
        <w:rPr>
          <w:rStyle w:val="Referencingstyle"/>
        </w:rPr>
        <w:t xml:space="preserve">1, </w:t>
      </w:r>
      <w:r w:rsidR="00083F1D">
        <w:rPr>
          <w:rStyle w:val="Referencingstyle"/>
        </w:rPr>
        <w:t>section </w:t>
      </w:r>
      <w:r w:rsidR="00B30DB1">
        <w:rPr>
          <w:rStyle w:val="Referencingstyle"/>
        </w:rPr>
        <w:t>1212C</w:t>
      </w:r>
      <w:r w:rsidR="00827079">
        <w:rPr>
          <w:rStyle w:val="Referencingstyle"/>
        </w:rPr>
        <w:t xml:space="preserve"> and </w:t>
      </w:r>
      <w:r w:rsidR="00083F1D">
        <w:rPr>
          <w:rStyle w:val="Referencingstyle"/>
        </w:rPr>
        <w:t>Schedule </w:t>
      </w:r>
      <w:r w:rsidR="00827079">
        <w:rPr>
          <w:rStyle w:val="Referencingstyle"/>
        </w:rPr>
        <w:t xml:space="preserve">2, </w:t>
      </w:r>
      <w:r w:rsidR="00083F1D">
        <w:rPr>
          <w:rStyle w:val="Referencingstyle"/>
        </w:rPr>
        <w:t>item </w:t>
      </w:r>
      <w:r w:rsidR="00827079">
        <w:rPr>
          <w:rStyle w:val="Referencingstyle"/>
        </w:rPr>
        <w:t>2</w:t>
      </w:r>
      <w:r w:rsidR="00776D75">
        <w:rPr>
          <w:rStyle w:val="Referencingstyle"/>
        </w:rPr>
        <w:t>5</w:t>
      </w:r>
      <w:r w:rsidR="00827079">
        <w:rPr>
          <w:rStyle w:val="Referencingstyle"/>
        </w:rPr>
        <w:t xml:space="preserve">, table </w:t>
      </w:r>
      <w:r w:rsidR="00083F1D">
        <w:rPr>
          <w:rStyle w:val="Referencingstyle"/>
        </w:rPr>
        <w:t>row </w:t>
      </w:r>
      <w:r w:rsidR="00827079">
        <w:rPr>
          <w:rStyle w:val="Referencingstyle"/>
        </w:rPr>
        <w:t>328A</w:t>
      </w:r>
      <w:r w:rsidR="00B30DB1">
        <w:rPr>
          <w:rStyle w:val="Referencingstyle"/>
        </w:rPr>
        <w:t>]</w:t>
      </w:r>
    </w:p>
    <w:p w14:paraId="7985C2D7" w14:textId="2E446C08" w:rsidR="00983901" w:rsidRDefault="00B94E88" w:rsidP="00983901">
      <w:pPr>
        <w:pStyle w:val="Heading3"/>
      </w:pPr>
      <w:r>
        <w:t>Registration of f</w:t>
      </w:r>
      <w:r w:rsidR="00983901">
        <w:t xml:space="preserve">unds from other </w:t>
      </w:r>
      <w:r>
        <w:t>p</w:t>
      </w:r>
      <w:r w:rsidR="00983901">
        <w:t xml:space="preserve">articipating </w:t>
      </w:r>
      <w:r>
        <w:t>e</w:t>
      </w:r>
      <w:r w:rsidR="00983901">
        <w:t>conomies</w:t>
      </w:r>
    </w:p>
    <w:p w14:paraId="13EEBA09" w14:textId="64AB9CFD" w:rsidR="00464B03" w:rsidRDefault="00983901" w:rsidP="00E94A70">
      <w:pPr>
        <w:pStyle w:val="base-text-paragraph"/>
      </w:pPr>
      <w:r>
        <w:t xml:space="preserve">Funds </w:t>
      </w:r>
      <w:r w:rsidR="00F03C7A">
        <w:t xml:space="preserve">which have been registered as a </w:t>
      </w:r>
      <w:r w:rsidR="006847D6">
        <w:t>passport fund</w:t>
      </w:r>
      <w:r w:rsidR="00F03C7A">
        <w:t xml:space="preserve"> in another </w:t>
      </w:r>
      <w:r w:rsidR="006711B7">
        <w:t>participating e</w:t>
      </w:r>
      <w:r w:rsidR="00F03C7A">
        <w:t>conomy must notify ASIC of their intention to offer interests in Australia</w:t>
      </w:r>
      <w:r w:rsidR="00A756CF">
        <w:t xml:space="preserve">. </w:t>
      </w:r>
      <w:r w:rsidR="00464B03">
        <w:t xml:space="preserve">This notification process </w:t>
      </w:r>
      <w:r w:rsidR="00B47294">
        <w:t xml:space="preserve">is </w:t>
      </w:r>
      <w:r w:rsidR="00464B03">
        <w:t>designed to be a streamlined process</w:t>
      </w:r>
      <w:r w:rsidR="000100C3">
        <w:t xml:space="preserve"> whereby applications must be processed within </w:t>
      </w:r>
      <w:r w:rsidR="00083F1D">
        <w:t>21 </w:t>
      </w:r>
      <w:r w:rsidR="000100C3">
        <w:t>days, subject to any extensions (see further explanation below). The reason is that applicants are regulated CIS in the other jurisdiction and have</w:t>
      </w:r>
      <w:r w:rsidR="00464B03">
        <w:t xml:space="preserve"> </w:t>
      </w:r>
      <w:r w:rsidR="000100C3">
        <w:t>already been approved as a passport fund in that jurisdiction</w:t>
      </w:r>
      <w:r w:rsidR="00464B03">
        <w:t>.</w:t>
      </w:r>
      <w:r w:rsidR="000100C3">
        <w:t xml:space="preserve"> ASIC may therefore only reject a notice of intention on limited grounds (see below for further details) and should be able to complete </w:t>
      </w:r>
      <w:r w:rsidR="00BB7071">
        <w:t>any</w:t>
      </w:r>
      <w:r w:rsidR="00A4184B">
        <w:t xml:space="preserve"> further</w:t>
      </w:r>
      <w:r w:rsidR="00BB7071">
        <w:t xml:space="preserve"> consideration it thinks necessary </w:t>
      </w:r>
      <w:r w:rsidR="000100C3">
        <w:t>within the allowed timeframe.</w:t>
      </w:r>
    </w:p>
    <w:p w14:paraId="0DAAD18F" w14:textId="79A21905" w:rsidR="002071BF" w:rsidRDefault="00464B03" w:rsidP="000100C3">
      <w:pPr>
        <w:pStyle w:val="base-text-paragraph"/>
      </w:pPr>
      <w:r>
        <w:lastRenderedPageBreak/>
        <w:t>The notification process involves t</w:t>
      </w:r>
      <w:r w:rsidR="00A756CF">
        <w:t>he ope</w:t>
      </w:r>
      <w:r w:rsidR="00502F62">
        <w:t xml:space="preserve">rator of the </w:t>
      </w:r>
      <w:r w:rsidR="00F55439">
        <w:t xml:space="preserve">foreign passport </w:t>
      </w:r>
      <w:r w:rsidR="00502F62">
        <w:t xml:space="preserve">fund </w:t>
      </w:r>
      <w:r w:rsidR="00B41A3C">
        <w:t xml:space="preserve">(or a person acting on behalf of the operator) </w:t>
      </w:r>
      <w:r>
        <w:t>lodging</w:t>
      </w:r>
      <w:r w:rsidR="00502F62">
        <w:t xml:space="preserve"> a notice of intention</w:t>
      </w:r>
      <w:r w:rsidR="002071BF">
        <w:t>,</w:t>
      </w:r>
      <w:r w:rsidR="00502F62">
        <w:t xml:space="preserve"> </w:t>
      </w:r>
      <w:r w:rsidR="00A756CF">
        <w:t>in the prescribed form</w:t>
      </w:r>
      <w:r w:rsidR="002071BF">
        <w:t>,</w:t>
      </w:r>
      <w:r>
        <w:t xml:space="preserve"> with ASIC</w:t>
      </w:r>
      <w:r w:rsidR="0095105B">
        <w:t>. In order to be able to do this, the operator must be registered as a foreign company in Australia.</w:t>
      </w:r>
      <w:r w:rsidRPr="00464B03">
        <w:rPr>
          <w:rStyle w:val="Referencingstyle"/>
        </w:rPr>
        <w:t xml:space="preserve"> </w:t>
      </w:r>
      <w:r>
        <w:rPr>
          <w:rStyle w:val="Referencingstyle"/>
        </w:rPr>
        <w:t>[</w:t>
      </w:r>
      <w:r w:rsidR="00083F1D">
        <w:rPr>
          <w:rStyle w:val="Referencingstyle"/>
        </w:rPr>
        <w:t>Schedule </w:t>
      </w:r>
      <w:r w:rsidR="00CD63A2">
        <w:rPr>
          <w:rStyle w:val="Referencingstyle"/>
        </w:rPr>
        <w:t>1</w:t>
      </w:r>
      <w:r>
        <w:rPr>
          <w:rStyle w:val="Referencingstyle"/>
        </w:rPr>
        <w:t xml:space="preserve">, </w:t>
      </w:r>
      <w:r w:rsidR="00083F1D">
        <w:rPr>
          <w:rStyle w:val="Referencingstyle"/>
        </w:rPr>
        <w:t>item </w:t>
      </w:r>
      <w:r>
        <w:rPr>
          <w:rStyle w:val="Referencingstyle"/>
        </w:rPr>
        <w:t xml:space="preserve">1, </w:t>
      </w:r>
      <w:r w:rsidR="00083F1D">
        <w:rPr>
          <w:rStyle w:val="Referencingstyle"/>
        </w:rPr>
        <w:t>section </w:t>
      </w:r>
      <w:r>
        <w:rPr>
          <w:rStyle w:val="Referencingstyle"/>
        </w:rPr>
        <w:t>1213]</w:t>
      </w:r>
      <w:r w:rsidR="002071BF" w:rsidRPr="00083F1D">
        <w:rPr>
          <w:rStyle w:val="Referencingstyle"/>
          <w:b w:val="0"/>
          <w:i w:val="0"/>
          <w:sz w:val="22"/>
        </w:rPr>
        <w:t>.</w:t>
      </w:r>
      <w:r w:rsidR="00A73DE2">
        <w:rPr>
          <w:rStyle w:val="Referencingstyle"/>
        </w:rPr>
        <w:t xml:space="preserve"> </w:t>
      </w:r>
      <w:r w:rsidR="00A73DE2" w:rsidRPr="00DB1028">
        <w:t>The consideration period begin</w:t>
      </w:r>
      <w:r w:rsidR="00A73DE2">
        <w:t xml:space="preserve">s when a complete notice is lodged with ASIC. In accordance with </w:t>
      </w:r>
      <w:r w:rsidR="00083F1D">
        <w:t>section </w:t>
      </w:r>
      <w:r w:rsidR="00A73DE2">
        <w:t xml:space="preserve">25C of the </w:t>
      </w:r>
      <w:r w:rsidR="00A73DE2" w:rsidRPr="00DB1028">
        <w:rPr>
          <w:i/>
        </w:rPr>
        <w:t xml:space="preserve">Acts Interpretation </w:t>
      </w:r>
      <w:r w:rsidR="00083F1D" w:rsidRPr="00DB1028">
        <w:rPr>
          <w:i/>
        </w:rPr>
        <w:t>Act</w:t>
      </w:r>
      <w:r w:rsidR="00083F1D">
        <w:rPr>
          <w:i/>
        </w:rPr>
        <w:t> </w:t>
      </w:r>
      <w:r w:rsidR="00A73DE2" w:rsidRPr="00DB1028">
        <w:rPr>
          <w:i/>
        </w:rPr>
        <w:t>1901</w:t>
      </w:r>
      <w:r w:rsidR="00A73DE2">
        <w:t>, the lodged form must be in substantial compliance with the prescribed form.</w:t>
      </w:r>
    </w:p>
    <w:p w14:paraId="232BF856" w14:textId="691A87A2" w:rsidR="0034051F" w:rsidRDefault="00924A03" w:rsidP="00983901">
      <w:pPr>
        <w:pStyle w:val="base-text-paragraph"/>
      </w:pPr>
      <w:r>
        <w:t xml:space="preserve">The operator is also required to provide ASIC with a PDS </w:t>
      </w:r>
      <w:r w:rsidR="000544F7">
        <w:t xml:space="preserve">to assist ASIC to determine whether the fund is likely to comply with Australia’s disclosure requirements. </w:t>
      </w:r>
      <w:r w:rsidR="00BB7071">
        <w:t>This PDS must</w:t>
      </w:r>
      <w:r w:rsidR="00A4184B">
        <w:t xml:space="preserve"> comply with the PDS requirements in the </w:t>
      </w:r>
      <w:r w:rsidR="00083F1D">
        <w:t>Corporations </w:t>
      </w:r>
      <w:r w:rsidR="00A4184B">
        <w:t>Act</w:t>
      </w:r>
      <w:r w:rsidR="00BB7071">
        <w:t xml:space="preserve"> and must set out relevant information about the Passport Fund. </w:t>
      </w:r>
      <w:r w:rsidR="000544F7">
        <w:t>T</w:t>
      </w:r>
      <w:r>
        <w:t>he PDS does</w:t>
      </w:r>
      <w:r w:rsidR="000544F7">
        <w:t xml:space="preserve"> not need to include a unique identifier because this will only be assigned after the notification process is complete</w:t>
      </w:r>
      <w:r>
        <w:t>.</w:t>
      </w:r>
      <w:r w:rsidR="000100C3">
        <w:t xml:space="preserve"> This contrasts with the </w:t>
      </w:r>
      <w:r w:rsidR="00711FEB">
        <w:t>registration of Australian funds as registered schemes, where a PDS is not required to be provided on registration.</w:t>
      </w:r>
      <w:r>
        <w:t xml:space="preserve"> </w:t>
      </w:r>
      <w:r w:rsidR="00A6659D">
        <w:rPr>
          <w:rStyle w:val="Referencingstyle"/>
        </w:rPr>
        <w:t>[</w:t>
      </w:r>
      <w:r w:rsidR="00083F1D">
        <w:rPr>
          <w:rStyle w:val="Referencingstyle"/>
        </w:rPr>
        <w:t>Schedule </w:t>
      </w:r>
      <w:r w:rsidR="00CD63A2">
        <w:rPr>
          <w:rStyle w:val="Referencingstyle"/>
        </w:rPr>
        <w:t>1</w:t>
      </w:r>
      <w:r w:rsidR="00A6659D">
        <w:rPr>
          <w:rStyle w:val="Referencingstyle"/>
        </w:rPr>
        <w:t xml:space="preserve">, </w:t>
      </w:r>
      <w:r w:rsidR="00083F1D">
        <w:rPr>
          <w:rStyle w:val="Referencingstyle"/>
        </w:rPr>
        <w:t>item </w:t>
      </w:r>
      <w:r w:rsidR="00A6659D">
        <w:rPr>
          <w:rStyle w:val="Referencingstyle"/>
        </w:rPr>
        <w:t xml:space="preserve">1, </w:t>
      </w:r>
      <w:r w:rsidR="00083F1D">
        <w:rPr>
          <w:rStyle w:val="Referencingstyle"/>
        </w:rPr>
        <w:t>subsection </w:t>
      </w:r>
      <w:r w:rsidR="00A6659D">
        <w:rPr>
          <w:rStyle w:val="Referencingstyle"/>
        </w:rPr>
        <w:t>1213</w:t>
      </w:r>
      <w:r w:rsidR="002071BF">
        <w:rPr>
          <w:rStyle w:val="Referencingstyle"/>
        </w:rPr>
        <w:t>(2)</w:t>
      </w:r>
      <w:r w:rsidR="00A6659D">
        <w:rPr>
          <w:rStyle w:val="Referencingstyle"/>
        </w:rPr>
        <w:t>]</w:t>
      </w:r>
    </w:p>
    <w:p w14:paraId="646027DC" w14:textId="1B9FD45E" w:rsidR="008C20BA" w:rsidRDefault="008C20BA" w:rsidP="00464B03">
      <w:pPr>
        <w:pStyle w:val="base-text-paragraph"/>
      </w:pPr>
      <w:r>
        <w:t xml:space="preserve">As with applications from Australian funds, ASIC may determine by legislative instruments that specified parts of applications are not publicly available. </w:t>
      </w:r>
      <w:r>
        <w:rPr>
          <w:rStyle w:val="Referencingstyle"/>
        </w:rPr>
        <w:t>[</w:t>
      </w:r>
      <w:r w:rsidR="00083F1D">
        <w:rPr>
          <w:rStyle w:val="Referencingstyle"/>
        </w:rPr>
        <w:t>Schedule </w:t>
      </w:r>
      <w:r>
        <w:rPr>
          <w:rStyle w:val="Referencingstyle"/>
        </w:rPr>
        <w:t xml:space="preserve">1, </w:t>
      </w:r>
      <w:r w:rsidR="00083F1D">
        <w:rPr>
          <w:rStyle w:val="Referencingstyle"/>
        </w:rPr>
        <w:t>item </w:t>
      </w:r>
      <w:r>
        <w:rPr>
          <w:rStyle w:val="Referencingstyle"/>
        </w:rPr>
        <w:t xml:space="preserve">1, </w:t>
      </w:r>
      <w:r w:rsidR="00083F1D">
        <w:rPr>
          <w:rStyle w:val="Referencingstyle"/>
        </w:rPr>
        <w:t>subsection </w:t>
      </w:r>
      <w:r>
        <w:rPr>
          <w:rStyle w:val="Referencingstyle"/>
        </w:rPr>
        <w:t>1213(3)</w:t>
      </w:r>
      <w:r w:rsidR="00584A96">
        <w:rPr>
          <w:rStyle w:val="Referencingstyle"/>
        </w:rPr>
        <w:t xml:space="preserve"> and </w:t>
      </w:r>
      <w:r w:rsidR="00083F1D">
        <w:rPr>
          <w:rStyle w:val="Referencingstyle"/>
        </w:rPr>
        <w:t>Schedule </w:t>
      </w:r>
      <w:r w:rsidR="00584A96">
        <w:rPr>
          <w:rStyle w:val="Referencingstyle"/>
        </w:rPr>
        <w:t xml:space="preserve">2, </w:t>
      </w:r>
      <w:r w:rsidR="00083F1D">
        <w:rPr>
          <w:rStyle w:val="Referencingstyle"/>
        </w:rPr>
        <w:t>item </w:t>
      </w:r>
      <w:r w:rsidR="00584A96">
        <w:rPr>
          <w:rStyle w:val="Referencingstyle"/>
        </w:rPr>
        <w:t xml:space="preserve">19, </w:t>
      </w:r>
      <w:r w:rsidR="00083F1D">
        <w:rPr>
          <w:rStyle w:val="Referencingstyle"/>
        </w:rPr>
        <w:t>subparagraph </w:t>
      </w:r>
      <w:r w:rsidR="00584A96">
        <w:rPr>
          <w:rStyle w:val="Referencingstyle"/>
        </w:rPr>
        <w:t>1274(2)(a)(iac)</w:t>
      </w:r>
      <w:r>
        <w:rPr>
          <w:rStyle w:val="Referencingstyle"/>
        </w:rPr>
        <w:t>]</w:t>
      </w:r>
      <w:r>
        <w:t xml:space="preserve"> </w:t>
      </w:r>
    </w:p>
    <w:p w14:paraId="0FED5CCF" w14:textId="77777777" w:rsidR="00464B03" w:rsidRDefault="00464B03" w:rsidP="00464B03">
      <w:pPr>
        <w:pStyle w:val="base-text-paragraph"/>
      </w:pPr>
      <w:r>
        <w:t xml:space="preserve">The operator must pay any fee prescribed under the </w:t>
      </w:r>
      <w:r>
        <w:rPr>
          <w:i/>
        </w:rPr>
        <w:t>Corporations (Fees) Regulation 2001</w:t>
      </w:r>
      <w:r w:rsidRPr="00924A03">
        <w:t>.</w:t>
      </w:r>
      <w:r>
        <w:t xml:space="preserve"> </w:t>
      </w:r>
    </w:p>
    <w:p w14:paraId="6FB6D8A4" w14:textId="77777777" w:rsidR="00464B03" w:rsidRPr="00464B03" w:rsidRDefault="00464B03" w:rsidP="00464B03">
      <w:pPr>
        <w:pStyle w:val="Heading5"/>
        <w:rPr>
          <w:b/>
        </w:rPr>
      </w:pPr>
      <w:r w:rsidRPr="00464B03">
        <w:rPr>
          <w:b/>
        </w:rPr>
        <w:t>Requests for further information</w:t>
      </w:r>
    </w:p>
    <w:p w14:paraId="54A20316" w14:textId="7ACFE15E" w:rsidR="00464B03" w:rsidRDefault="00464B03" w:rsidP="00464B03">
      <w:pPr>
        <w:pStyle w:val="base-text-paragraph"/>
      </w:pPr>
      <w:r>
        <w:t>If ASIC is of the opinion that information</w:t>
      </w:r>
      <w:r w:rsidR="002071BF">
        <w:t xml:space="preserve"> required under the prescribed form has not been provided</w:t>
      </w:r>
      <w:r>
        <w:t>, it may seek this information by notifying the operator of the foreign passport fund in writing.</w:t>
      </w:r>
      <w:r w:rsidR="002071BF">
        <w:t xml:space="preserve"> </w:t>
      </w:r>
      <w:r w:rsidR="002071BF">
        <w:rPr>
          <w:rStyle w:val="Referencingstyle"/>
        </w:rPr>
        <w:t>[</w:t>
      </w:r>
      <w:r w:rsidR="0094348F">
        <w:rPr>
          <w:rStyle w:val="Referencingstyle"/>
        </w:rPr>
        <w:t>Schedule </w:t>
      </w:r>
      <w:r w:rsidR="00CD63A2">
        <w:rPr>
          <w:rStyle w:val="Referencingstyle"/>
        </w:rPr>
        <w:t>1</w:t>
      </w:r>
      <w:r w:rsidR="00AB38C4">
        <w:rPr>
          <w:rStyle w:val="Referencingstyle"/>
        </w:rPr>
        <w:t>, item </w:t>
      </w:r>
      <w:r w:rsidR="002071BF">
        <w:rPr>
          <w:rStyle w:val="Referencingstyle"/>
        </w:rPr>
        <w:t xml:space="preserve">1, </w:t>
      </w:r>
      <w:r w:rsidR="0094348F">
        <w:rPr>
          <w:rStyle w:val="Referencingstyle"/>
        </w:rPr>
        <w:t>section </w:t>
      </w:r>
      <w:r w:rsidR="002071BF">
        <w:rPr>
          <w:rStyle w:val="Referencingstyle"/>
        </w:rPr>
        <w:t>1213A]</w:t>
      </w:r>
    </w:p>
    <w:p w14:paraId="7FDB5E20" w14:textId="2B5D5817" w:rsidR="00A0213C" w:rsidRDefault="00464B03" w:rsidP="002071BF">
      <w:pPr>
        <w:pStyle w:val="base-text-paragraph"/>
      </w:pPr>
      <w:r>
        <w:t xml:space="preserve">The new law </w:t>
      </w:r>
      <w:r w:rsidR="00A0213C">
        <w:t xml:space="preserve">states that </w:t>
      </w:r>
      <w:r>
        <w:t>ASIC must make a request for further information</w:t>
      </w:r>
      <w:r w:rsidR="00A0213C">
        <w:t xml:space="preserve"> within the </w:t>
      </w:r>
      <w:r w:rsidR="00A0213C" w:rsidRPr="00CE6283">
        <w:rPr>
          <w:b/>
          <w:i/>
        </w:rPr>
        <w:t>consideration period</w:t>
      </w:r>
      <w:r w:rsidR="00A0213C">
        <w:t xml:space="preserve"> which extends for </w:t>
      </w:r>
      <w:r w:rsidR="0094348F">
        <w:t>21 </w:t>
      </w:r>
      <w:r w:rsidR="00A0213C">
        <w:t>days beginning on the day after a notice in the prescribed form is lodged</w:t>
      </w:r>
      <w:r w:rsidR="008750FA">
        <w:t xml:space="preserve">. </w:t>
      </w:r>
      <w:r w:rsidR="00A0213C">
        <w:rPr>
          <w:rStyle w:val="Referencingstyle"/>
        </w:rPr>
        <w:t>[</w:t>
      </w:r>
      <w:r w:rsidR="0094348F">
        <w:rPr>
          <w:rStyle w:val="Referencingstyle"/>
        </w:rPr>
        <w:t>Schedule </w:t>
      </w:r>
      <w:r w:rsidR="00A0213C">
        <w:rPr>
          <w:rStyle w:val="Referencingstyle"/>
        </w:rPr>
        <w:t xml:space="preserve">1, </w:t>
      </w:r>
      <w:r w:rsidR="0094348F">
        <w:rPr>
          <w:rStyle w:val="Referencingstyle"/>
        </w:rPr>
        <w:t>item </w:t>
      </w:r>
      <w:r w:rsidR="00A0213C">
        <w:rPr>
          <w:rStyle w:val="Referencingstyle"/>
        </w:rPr>
        <w:t xml:space="preserve">1, </w:t>
      </w:r>
      <w:r w:rsidR="0094348F">
        <w:rPr>
          <w:rStyle w:val="Referencingstyle"/>
        </w:rPr>
        <w:t>section </w:t>
      </w:r>
      <w:r w:rsidR="00CE6283">
        <w:rPr>
          <w:rStyle w:val="Referencingstyle"/>
        </w:rPr>
        <w:t xml:space="preserve">1210 and </w:t>
      </w:r>
      <w:r w:rsidR="0094348F">
        <w:rPr>
          <w:rStyle w:val="Referencingstyle"/>
        </w:rPr>
        <w:t>paragraph </w:t>
      </w:r>
      <w:r w:rsidR="00A0213C">
        <w:rPr>
          <w:rStyle w:val="Referencingstyle"/>
        </w:rPr>
        <w:t>1213D(1)(a)]</w:t>
      </w:r>
      <w:r>
        <w:t xml:space="preserve">. </w:t>
      </w:r>
    </w:p>
    <w:p w14:paraId="665D5867" w14:textId="646B0D6F" w:rsidR="00464B03" w:rsidRPr="007752A6" w:rsidRDefault="00A0213C" w:rsidP="002071BF">
      <w:pPr>
        <w:pStyle w:val="base-text-paragraph"/>
      </w:pPr>
      <w:r>
        <w:t>I</w:t>
      </w:r>
      <w:r w:rsidR="00464B03">
        <w:t>f ASIC does not take any action before the consideration period ends, the foreign passport fund will be</w:t>
      </w:r>
      <w:r w:rsidR="00DE5CD0">
        <w:t xml:space="preserve"> permitted</w:t>
      </w:r>
      <w:r w:rsidR="00464B03">
        <w:t xml:space="preserve"> to offer interests in Australia</w:t>
      </w:r>
      <w:r w:rsidR="002071BF">
        <w:t xml:space="preserve"> </w:t>
      </w:r>
      <w:r w:rsidR="002071BF">
        <w:rPr>
          <w:rStyle w:val="Referencingstyle"/>
        </w:rPr>
        <w:t>[</w:t>
      </w:r>
      <w:r w:rsidR="0094348F">
        <w:rPr>
          <w:rStyle w:val="Referencingstyle"/>
        </w:rPr>
        <w:t>Schedule </w:t>
      </w:r>
      <w:r w:rsidR="00CD63A2">
        <w:rPr>
          <w:rStyle w:val="Referencingstyle"/>
        </w:rPr>
        <w:t>1</w:t>
      </w:r>
      <w:r w:rsidR="002071BF">
        <w:rPr>
          <w:rStyle w:val="Referencingstyle"/>
        </w:rPr>
        <w:t xml:space="preserve">, </w:t>
      </w:r>
      <w:r w:rsidR="0094348F">
        <w:rPr>
          <w:rStyle w:val="Referencingstyle"/>
        </w:rPr>
        <w:t>item </w:t>
      </w:r>
      <w:r w:rsidR="002071BF">
        <w:rPr>
          <w:rStyle w:val="Referencingstyle"/>
        </w:rPr>
        <w:t xml:space="preserve">1, </w:t>
      </w:r>
      <w:r w:rsidR="0094348F">
        <w:rPr>
          <w:rStyle w:val="Referencingstyle"/>
        </w:rPr>
        <w:t>section </w:t>
      </w:r>
      <w:r w:rsidR="002071BF">
        <w:rPr>
          <w:rStyle w:val="Referencingstyle"/>
        </w:rPr>
        <w:t>1213C]</w:t>
      </w:r>
      <w:r w:rsidR="00464B03">
        <w:t>.</w:t>
      </w:r>
      <w:r w:rsidR="002071BF">
        <w:t xml:space="preserve"> Further information about the </w:t>
      </w:r>
      <w:r w:rsidR="002071BF" w:rsidRPr="007752A6">
        <w:t xml:space="preserve">consideration period is set out at </w:t>
      </w:r>
      <w:r w:rsidR="002071BF" w:rsidRPr="003C65F0">
        <w:t>paragraph</w:t>
      </w:r>
      <w:r w:rsidR="00023D4F" w:rsidRPr="003C65F0">
        <w:t>s 3.</w:t>
      </w:r>
      <w:r w:rsidR="00315F91" w:rsidRPr="003C65F0">
        <w:t>50</w:t>
      </w:r>
      <w:r w:rsidR="00023D4F" w:rsidRPr="003C65F0">
        <w:t xml:space="preserve"> to 3.</w:t>
      </w:r>
      <w:r w:rsidR="00315F91" w:rsidRPr="003C65F0">
        <w:t>52</w:t>
      </w:r>
      <w:r w:rsidR="002071BF" w:rsidRPr="007752A6">
        <w:t xml:space="preserve"> below.</w:t>
      </w:r>
    </w:p>
    <w:p w14:paraId="6C4C85C1" w14:textId="6F7468E9" w:rsidR="00464B03" w:rsidRPr="00FD480B" w:rsidRDefault="00464B03" w:rsidP="00464B03">
      <w:pPr>
        <w:pStyle w:val="Heading4"/>
      </w:pPr>
      <w:r>
        <w:t>Grounds for rejecting notices of intention</w:t>
      </w:r>
    </w:p>
    <w:p w14:paraId="4EB41C32" w14:textId="19448986" w:rsidR="00464B03" w:rsidRDefault="00464B03" w:rsidP="00464B03">
      <w:pPr>
        <w:pStyle w:val="base-text-paragraph"/>
      </w:pPr>
      <w:r>
        <w:t>ASIC may prohibit a fund from offering interests in Australia if:</w:t>
      </w:r>
    </w:p>
    <w:p w14:paraId="6EAA9755" w14:textId="755CA042" w:rsidR="00464B03" w:rsidRDefault="00464B03" w:rsidP="00464B03">
      <w:pPr>
        <w:pStyle w:val="dotpoint"/>
      </w:pPr>
      <w:r>
        <w:lastRenderedPageBreak/>
        <w:t xml:space="preserve">ASIC is of the opinion that the fund does not comply, or is not likely to comply, with the </w:t>
      </w:r>
      <w:r w:rsidR="003C4505">
        <w:t xml:space="preserve">relevant laws in Australia or </w:t>
      </w:r>
      <w:r>
        <w:t>its home economy;</w:t>
      </w:r>
    </w:p>
    <w:p w14:paraId="217C8AAC" w14:textId="4B183F75" w:rsidR="00464B03" w:rsidRDefault="00464B03" w:rsidP="00464B03">
      <w:pPr>
        <w:pStyle w:val="dotpoint"/>
      </w:pPr>
      <w:r>
        <w:t>ASIC is of the opinion that rejecting the notice is in Australia’s public interest;</w:t>
      </w:r>
    </w:p>
    <w:p w14:paraId="625E6BEE" w14:textId="66B20C9E" w:rsidR="00464B03" w:rsidRDefault="00464B03" w:rsidP="00464B03">
      <w:pPr>
        <w:pStyle w:val="dotpoint"/>
      </w:pPr>
      <w:r>
        <w:t>ASIC does not consent to an exemption or modification that has been granted to the fund</w:t>
      </w:r>
      <w:r w:rsidR="0094348F">
        <w:t>,</w:t>
      </w:r>
      <w:r>
        <w:t xml:space="preserve"> or its associated entities</w:t>
      </w:r>
      <w:r w:rsidR="0094348F">
        <w:t>,</w:t>
      </w:r>
      <w:r>
        <w:t xml:space="preserve"> by its home economy;</w:t>
      </w:r>
    </w:p>
    <w:p w14:paraId="54248A49" w14:textId="77777777" w:rsidR="00766EFB" w:rsidRDefault="00464B03" w:rsidP="00464B03">
      <w:pPr>
        <w:pStyle w:val="dotpoint"/>
      </w:pPr>
      <w:r>
        <w:t xml:space="preserve">the name that the passport fund intends to use is not available; </w:t>
      </w:r>
    </w:p>
    <w:p w14:paraId="5B5F87B7" w14:textId="03141298" w:rsidR="00464B03" w:rsidRDefault="00766EFB" w:rsidP="00464B03">
      <w:pPr>
        <w:pStyle w:val="dotpoint"/>
      </w:pPr>
      <w:r>
        <w:t xml:space="preserve">Australia has imposed sanctions on the home jurisdiction of the fund and the Minister has made a determination against the jurisdiction; </w:t>
      </w:r>
      <w:r w:rsidR="00464B03">
        <w:t xml:space="preserve">or </w:t>
      </w:r>
    </w:p>
    <w:p w14:paraId="7AE653CA" w14:textId="3E74AA86" w:rsidR="00464B03" w:rsidRDefault="00464B03" w:rsidP="00464B03">
      <w:pPr>
        <w:pStyle w:val="dotpoint"/>
      </w:pPr>
      <w:r>
        <w:t>the Minister determines that ASIC is not to accept applications</w:t>
      </w:r>
      <w:r w:rsidR="00E21293">
        <w:t xml:space="preserve"> from all operators of passport funds or operators from that home economy</w:t>
      </w:r>
      <w:r>
        <w:t>.</w:t>
      </w:r>
    </w:p>
    <w:p w14:paraId="254BFD2A" w14:textId="521855B4" w:rsidR="002071BF" w:rsidRDefault="002071BF" w:rsidP="002071BF">
      <w:pPr>
        <w:pStyle w:val="dotpoint"/>
        <w:numPr>
          <w:ilvl w:val="0"/>
          <w:numId w:val="0"/>
        </w:numPr>
        <w:ind w:left="1984"/>
      </w:pPr>
      <w:r>
        <w:rPr>
          <w:rStyle w:val="Referencingstyle"/>
        </w:rPr>
        <w:t>[</w:t>
      </w:r>
      <w:r w:rsidR="0094348F">
        <w:rPr>
          <w:rStyle w:val="Referencingstyle"/>
        </w:rPr>
        <w:t>Schedule </w:t>
      </w:r>
      <w:r w:rsidR="00CD63A2">
        <w:rPr>
          <w:rStyle w:val="Referencingstyle"/>
        </w:rPr>
        <w:t>1</w:t>
      </w:r>
      <w:r>
        <w:rPr>
          <w:rStyle w:val="Referencingstyle"/>
        </w:rPr>
        <w:t xml:space="preserve">, </w:t>
      </w:r>
      <w:r w:rsidR="0094348F">
        <w:rPr>
          <w:rStyle w:val="Referencingstyle"/>
        </w:rPr>
        <w:t>item </w:t>
      </w:r>
      <w:r>
        <w:rPr>
          <w:rStyle w:val="Referencingstyle"/>
        </w:rPr>
        <w:t xml:space="preserve">1, </w:t>
      </w:r>
      <w:r w:rsidR="0094348F">
        <w:rPr>
          <w:rStyle w:val="Referencingstyle"/>
        </w:rPr>
        <w:t>subsections </w:t>
      </w:r>
      <w:r>
        <w:rPr>
          <w:rStyle w:val="Referencingstyle"/>
        </w:rPr>
        <w:t>1213B</w:t>
      </w:r>
      <w:r w:rsidR="00CD63A2">
        <w:rPr>
          <w:rStyle w:val="Referencingstyle"/>
        </w:rPr>
        <w:t>(1)</w:t>
      </w:r>
      <w:r w:rsidR="006F2327">
        <w:rPr>
          <w:rStyle w:val="Referencingstyle"/>
        </w:rPr>
        <w:t>and (5)</w:t>
      </w:r>
      <w:r>
        <w:rPr>
          <w:rStyle w:val="Referencingstyle"/>
        </w:rPr>
        <w:t>]</w:t>
      </w:r>
    </w:p>
    <w:p w14:paraId="71296431" w14:textId="0A9CBD4D" w:rsidR="00464B03" w:rsidRPr="00F33372" w:rsidRDefault="00464B03" w:rsidP="00464B03">
      <w:pPr>
        <w:pStyle w:val="Heading4"/>
        <w:rPr>
          <w:b w:val="0"/>
        </w:rPr>
      </w:pPr>
      <w:r>
        <w:rPr>
          <w:b w:val="0"/>
        </w:rPr>
        <w:t>Ground 1: Not likely to comply with relevant laws</w:t>
      </w:r>
    </w:p>
    <w:p w14:paraId="5BF596B9" w14:textId="1F51E6F2" w:rsidR="00464B03" w:rsidRDefault="00464B03" w:rsidP="00464B03">
      <w:pPr>
        <w:pStyle w:val="base-text-paragraph"/>
      </w:pPr>
      <w:r>
        <w:t xml:space="preserve">ASIC may reject a notice if the fund is not complying with </w:t>
      </w:r>
      <w:r w:rsidR="00CD63A2">
        <w:t>the laws in Australia or its</w:t>
      </w:r>
      <w:r>
        <w:t xml:space="preserve"> home economy</w:t>
      </w:r>
      <w:r w:rsidR="00AB38C4">
        <w:t xml:space="preserve"> that</w:t>
      </w:r>
      <w:r w:rsidR="00CD63A2">
        <w:t xml:space="preserve"> are administered by the Passport Regulator</w:t>
      </w:r>
      <w:r>
        <w:t>. ASIC may also reject a notice if the fund is unlikely to comply with these laws in the future.</w:t>
      </w:r>
      <w:r w:rsidR="00CD63A2" w:rsidRPr="00CD63A2">
        <w:rPr>
          <w:rStyle w:val="Referencingstyle"/>
        </w:rPr>
        <w:t xml:space="preserve"> </w:t>
      </w:r>
      <w:r w:rsidR="00CD63A2">
        <w:rPr>
          <w:rStyle w:val="Referencingstyle"/>
        </w:rPr>
        <w:t>[</w:t>
      </w:r>
      <w:r w:rsidR="0094348F">
        <w:rPr>
          <w:rStyle w:val="Referencingstyle"/>
        </w:rPr>
        <w:t>Schedule </w:t>
      </w:r>
      <w:r w:rsidR="00CD63A2">
        <w:rPr>
          <w:rStyle w:val="Referencingstyle"/>
        </w:rPr>
        <w:t xml:space="preserve">1, </w:t>
      </w:r>
      <w:r w:rsidR="0094348F">
        <w:rPr>
          <w:rStyle w:val="Referencingstyle"/>
        </w:rPr>
        <w:t>item </w:t>
      </w:r>
      <w:r w:rsidR="00CD63A2">
        <w:rPr>
          <w:rStyle w:val="Referencingstyle"/>
        </w:rPr>
        <w:t xml:space="preserve">1, </w:t>
      </w:r>
      <w:r w:rsidR="0094348F">
        <w:rPr>
          <w:rStyle w:val="Referencingstyle"/>
        </w:rPr>
        <w:t>paragraph </w:t>
      </w:r>
      <w:r w:rsidR="00CD63A2">
        <w:rPr>
          <w:rStyle w:val="Referencingstyle"/>
        </w:rPr>
        <w:t>1213B(1)(a)]</w:t>
      </w:r>
    </w:p>
    <w:p w14:paraId="77A418D6" w14:textId="468213C4" w:rsidR="00464B03" w:rsidRDefault="00CD63A2" w:rsidP="00AB38C4">
      <w:pPr>
        <w:pStyle w:val="base-text-paragraph"/>
      </w:pPr>
      <w:r>
        <w:t xml:space="preserve">The relevant Australian laws are the </w:t>
      </w:r>
      <w:r w:rsidR="0094348F">
        <w:t>Corporations </w:t>
      </w:r>
      <w:r>
        <w:t>Act</w:t>
      </w:r>
      <w:r w:rsidR="00236D17">
        <w:t xml:space="preserve"> and the</w:t>
      </w:r>
      <w:r>
        <w:t xml:space="preserve"> </w:t>
      </w:r>
      <w:r w:rsidR="0094348F">
        <w:t>ASIC </w:t>
      </w:r>
      <w:r>
        <w:t>Act</w:t>
      </w:r>
      <w:r w:rsidR="00236D17">
        <w:t>,</w:t>
      </w:r>
      <w:r>
        <w:t xml:space="preserve"> </w:t>
      </w:r>
      <w:r w:rsidR="00236D17">
        <w:t>but not</w:t>
      </w:r>
      <w:r>
        <w:t xml:space="preserve"> the Passport Rules for this ju</w:t>
      </w:r>
      <w:r w:rsidR="00E6728E">
        <w:t>risdiction</w:t>
      </w:r>
      <w:r w:rsidR="00236D17">
        <w:t>. The reason for not including the Passport Rules is that compliance with these rules will be assessed by the home regulator</w:t>
      </w:r>
      <w:r w:rsidR="001C50C1">
        <w:t>, as required by the MOC</w:t>
      </w:r>
      <w:r w:rsidR="00236D17">
        <w:t>. The core purpose of the Passport arrangements is to avoid unnecessary duplication of regulatory requirements</w:t>
      </w:r>
      <w:r w:rsidR="001C50C1">
        <w:t>. This</w:t>
      </w:r>
      <w:r w:rsidR="00236D17">
        <w:t xml:space="preserve"> would not be achieved if the host regulator was to conduct another compliance check that had already been completed by the home regulator.</w:t>
      </w:r>
      <w:r w:rsidR="00E6728E">
        <w:t xml:space="preserve"> </w:t>
      </w:r>
      <w:r w:rsidR="00E6728E">
        <w:rPr>
          <w:rStyle w:val="Referencingstyle"/>
        </w:rPr>
        <w:t>[</w:t>
      </w:r>
      <w:r w:rsidR="0094348F">
        <w:rPr>
          <w:rStyle w:val="Referencingstyle"/>
        </w:rPr>
        <w:t>Schedule </w:t>
      </w:r>
      <w:r w:rsidR="00E6728E">
        <w:rPr>
          <w:rStyle w:val="Referencingstyle"/>
        </w:rPr>
        <w:t xml:space="preserve">1, </w:t>
      </w:r>
      <w:r w:rsidR="0094348F">
        <w:rPr>
          <w:rStyle w:val="Referencingstyle"/>
        </w:rPr>
        <w:t>item </w:t>
      </w:r>
      <w:r w:rsidR="00E6728E">
        <w:rPr>
          <w:rStyle w:val="Referencingstyle"/>
        </w:rPr>
        <w:t xml:space="preserve">1, </w:t>
      </w:r>
      <w:r w:rsidR="0094348F">
        <w:rPr>
          <w:rStyle w:val="Referencingstyle"/>
        </w:rPr>
        <w:t>subparagraphs </w:t>
      </w:r>
      <w:r w:rsidR="00E6728E">
        <w:rPr>
          <w:rStyle w:val="Referencingstyle"/>
        </w:rPr>
        <w:t>1213B(1)(a)(i)</w:t>
      </w:r>
      <w:r w:rsidR="00883A53">
        <w:rPr>
          <w:rStyle w:val="Referencingstyle"/>
        </w:rPr>
        <w:t xml:space="preserve"> and (ii)</w:t>
      </w:r>
      <w:r w:rsidR="00E6728E">
        <w:rPr>
          <w:rStyle w:val="Referencingstyle"/>
        </w:rPr>
        <w:t>]</w:t>
      </w:r>
      <w:r w:rsidR="00E6728E">
        <w:t xml:space="preserve"> </w:t>
      </w:r>
    </w:p>
    <w:p w14:paraId="26CACFED" w14:textId="54DBECE5" w:rsidR="00464B03" w:rsidRDefault="00F12D06" w:rsidP="00464B03">
      <w:pPr>
        <w:pStyle w:val="base-text-paragraph"/>
      </w:pPr>
      <w:r>
        <w:t>When</w:t>
      </w:r>
      <w:r w:rsidR="00464B03">
        <w:t xml:space="preserve"> determining the likeliho</w:t>
      </w:r>
      <w:r>
        <w:t>od of a</w:t>
      </w:r>
      <w:r w:rsidR="006F4FEE">
        <w:t xml:space="preserve"> </w:t>
      </w:r>
      <w:r w:rsidR="00DF6B23">
        <w:t>foreign passport</w:t>
      </w:r>
      <w:r>
        <w:t xml:space="preserve"> fund</w:t>
      </w:r>
      <w:r w:rsidR="00464B03">
        <w:t xml:space="preserve"> compl</w:t>
      </w:r>
      <w:r>
        <w:t>ying</w:t>
      </w:r>
      <w:r w:rsidR="00464B03">
        <w:t xml:space="preserve"> with its home economy laws, ASIC must request the opinion of the fund’s home regulator. If the home regulator provides its opinion within the stipulated timeframe</w:t>
      </w:r>
      <w:r w:rsidR="0094348F">
        <w:t>,</w:t>
      </w:r>
      <w:r w:rsidR="00464B03">
        <w:t xml:space="preserve"> ASIC must </w:t>
      </w:r>
      <w:r w:rsidR="005A5268" w:rsidRPr="001C50C1">
        <w:t>give effect</w:t>
      </w:r>
      <w:r w:rsidR="005A5268">
        <w:t xml:space="preserve"> to it</w:t>
      </w:r>
      <w:r w:rsidR="00464B03">
        <w:t>.</w:t>
      </w:r>
      <w:r w:rsidRPr="00F12D06">
        <w:rPr>
          <w:rStyle w:val="Referencingstyle"/>
        </w:rPr>
        <w:t xml:space="preserve"> </w:t>
      </w:r>
      <w:r>
        <w:rPr>
          <w:rStyle w:val="Referencingstyle"/>
        </w:rPr>
        <w:t>[</w:t>
      </w:r>
      <w:r w:rsidR="0094348F">
        <w:rPr>
          <w:rStyle w:val="Referencingstyle"/>
        </w:rPr>
        <w:t>Schedule </w:t>
      </w:r>
      <w:r>
        <w:rPr>
          <w:rStyle w:val="Referencingstyle"/>
        </w:rPr>
        <w:t xml:space="preserve">1, </w:t>
      </w:r>
      <w:r w:rsidR="0094348F">
        <w:rPr>
          <w:rStyle w:val="Referencingstyle"/>
        </w:rPr>
        <w:t>item </w:t>
      </w:r>
      <w:r>
        <w:rPr>
          <w:rStyle w:val="Referencingstyle"/>
        </w:rPr>
        <w:t xml:space="preserve">1, </w:t>
      </w:r>
      <w:r w:rsidR="0094348F">
        <w:rPr>
          <w:rStyle w:val="Referencingstyle"/>
        </w:rPr>
        <w:t>subsection </w:t>
      </w:r>
      <w:r>
        <w:rPr>
          <w:rStyle w:val="Referencingstyle"/>
        </w:rPr>
        <w:t>1213B(</w:t>
      </w:r>
      <w:r w:rsidR="007B389B">
        <w:rPr>
          <w:rStyle w:val="Referencingstyle"/>
        </w:rPr>
        <w:t>2</w:t>
      </w:r>
      <w:r>
        <w:rPr>
          <w:rStyle w:val="Referencingstyle"/>
        </w:rPr>
        <w:t>)]</w:t>
      </w:r>
    </w:p>
    <w:p w14:paraId="4D9785FF" w14:textId="394F7F21" w:rsidR="00464B03" w:rsidRDefault="00901255" w:rsidP="00464B03">
      <w:pPr>
        <w:pStyle w:val="base-text-paragraph"/>
      </w:pPr>
      <w:r>
        <w:lastRenderedPageBreak/>
        <w:t xml:space="preserve">As set out above ASIC also considers compliance with </w:t>
      </w:r>
      <w:r w:rsidR="00197399">
        <w:t xml:space="preserve">the relevant </w:t>
      </w:r>
      <w:r>
        <w:t>Australian law</w:t>
      </w:r>
      <w:r w:rsidR="00197399">
        <w:t>s</w:t>
      </w:r>
      <w:r>
        <w:t xml:space="preserve"> with respect to Australian funds seeking registration as passport funds. </w:t>
      </w:r>
      <w:r w:rsidR="00464B03">
        <w:t xml:space="preserve">However, for foreign passport funds, ASIC </w:t>
      </w:r>
      <w:r w:rsidR="007B389B">
        <w:t xml:space="preserve">also </w:t>
      </w:r>
      <w:r w:rsidR="00464B03">
        <w:t xml:space="preserve">considers </w:t>
      </w:r>
      <w:r w:rsidR="007B389B">
        <w:t xml:space="preserve">compliance with </w:t>
      </w:r>
      <w:r w:rsidR="00464B03">
        <w:t>foreign laws and applies a negative test.</w:t>
      </w:r>
    </w:p>
    <w:p w14:paraId="48FC6BBE" w14:textId="77777777" w:rsidR="00464B03" w:rsidRDefault="00464B03" w:rsidP="00464B03">
      <w:pPr>
        <w:pStyle w:val="TableHeadingoutsidetable"/>
      </w:pPr>
      <w:r>
        <w:t>: Comparison of ASIC’s consideration of likely compliance with the law for foreign and Australian passport fund</w:t>
      </w:r>
    </w:p>
    <w:tbl>
      <w:tblPr>
        <w:tblStyle w:val="TableGrid"/>
        <w:tblW w:w="0" w:type="auto"/>
        <w:tblInd w:w="1134" w:type="dxa"/>
        <w:tblLook w:val="04A0" w:firstRow="1" w:lastRow="0" w:firstColumn="1" w:lastColumn="0" w:noHBand="0" w:noVBand="1"/>
      </w:tblPr>
      <w:tblGrid>
        <w:gridCol w:w="959"/>
        <w:gridCol w:w="2835"/>
        <w:gridCol w:w="2835"/>
      </w:tblGrid>
      <w:tr w:rsidR="00464B03" w14:paraId="29EB3ADA" w14:textId="77777777" w:rsidTr="00944C1F">
        <w:tc>
          <w:tcPr>
            <w:tcW w:w="959" w:type="dxa"/>
          </w:tcPr>
          <w:p w14:paraId="16BE2547" w14:textId="77777777" w:rsidR="00464B03" w:rsidRDefault="00464B03" w:rsidP="00944C1F">
            <w:pPr>
              <w:pStyle w:val="tableheaderwithintable"/>
            </w:pPr>
          </w:p>
        </w:tc>
        <w:tc>
          <w:tcPr>
            <w:tcW w:w="2835" w:type="dxa"/>
          </w:tcPr>
          <w:p w14:paraId="17A8D2B0" w14:textId="77777777" w:rsidR="00464B03" w:rsidRDefault="00464B03" w:rsidP="007B389B">
            <w:pPr>
              <w:pStyle w:val="tableheaderwithintable"/>
            </w:pPr>
            <w:r>
              <w:t>Australian CISs</w:t>
            </w:r>
          </w:p>
        </w:tc>
        <w:tc>
          <w:tcPr>
            <w:tcW w:w="2835" w:type="dxa"/>
          </w:tcPr>
          <w:p w14:paraId="42A75EC3" w14:textId="77777777" w:rsidR="00464B03" w:rsidRDefault="00464B03" w:rsidP="007B389B">
            <w:pPr>
              <w:pStyle w:val="tableheaderwithintable"/>
            </w:pPr>
            <w:r>
              <w:t>Foreign passport funds</w:t>
            </w:r>
          </w:p>
        </w:tc>
      </w:tr>
      <w:tr w:rsidR="00464B03" w14:paraId="5198CA60" w14:textId="77777777" w:rsidTr="00944C1F">
        <w:tc>
          <w:tcPr>
            <w:tcW w:w="959" w:type="dxa"/>
          </w:tcPr>
          <w:p w14:paraId="403D9922" w14:textId="77777777" w:rsidR="00464B03" w:rsidRPr="00AC185C" w:rsidRDefault="00464B03" w:rsidP="00944C1F">
            <w:pPr>
              <w:pStyle w:val="tabletext"/>
              <w:ind w:left="0"/>
              <w:rPr>
                <w:b/>
                <w:i/>
              </w:rPr>
            </w:pPr>
            <w:r>
              <w:rPr>
                <w:b/>
                <w:i/>
              </w:rPr>
              <w:t>Relevant laws</w:t>
            </w:r>
          </w:p>
        </w:tc>
        <w:tc>
          <w:tcPr>
            <w:tcW w:w="2835" w:type="dxa"/>
          </w:tcPr>
          <w:p w14:paraId="2E4E7BE5" w14:textId="0E3FF218" w:rsidR="0094348F" w:rsidRDefault="007B389B" w:rsidP="00944C1F">
            <w:pPr>
              <w:pStyle w:val="tabledotpoint"/>
            </w:pPr>
            <w:r>
              <w:t>ASIC Act</w:t>
            </w:r>
            <w:r w:rsidR="0094348F">
              <w:t xml:space="preserve"> and </w:t>
            </w:r>
            <w:r w:rsidR="00944C1F">
              <w:t>Corporations </w:t>
            </w:r>
            <w:r>
              <w:t>Act</w:t>
            </w:r>
          </w:p>
          <w:p w14:paraId="3F07EA70" w14:textId="0C4EE04C" w:rsidR="007B389B" w:rsidRDefault="0094348F" w:rsidP="00944C1F">
            <w:pPr>
              <w:pStyle w:val="tabledotpoint"/>
            </w:pPr>
            <w:r>
              <w:t>T</w:t>
            </w:r>
            <w:r w:rsidR="007B389B">
              <w:t>he Passport Rules in this jurisdiction</w:t>
            </w:r>
          </w:p>
          <w:p w14:paraId="16288253" w14:textId="05378C24" w:rsidR="00464B03" w:rsidRDefault="00464B03" w:rsidP="007B389B">
            <w:pPr>
              <w:pStyle w:val="tabletext"/>
              <w:ind w:left="175"/>
            </w:pPr>
          </w:p>
        </w:tc>
        <w:tc>
          <w:tcPr>
            <w:tcW w:w="2835" w:type="dxa"/>
          </w:tcPr>
          <w:p w14:paraId="2B1C5CE1" w14:textId="46374E52" w:rsidR="00464B03" w:rsidRDefault="007B389B" w:rsidP="007B389B">
            <w:pPr>
              <w:pStyle w:val="tabledotpoint"/>
            </w:pPr>
            <w:r>
              <w:t>ASIC Act</w:t>
            </w:r>
            <w:r w:rsidR="001C50C1">
              <w:t xml:space="preserve"> and</w:t>
            </w:r>
            <w:r>
              <w:t xml:space="preserve"> </w:t>
            </w:r>
            <w:r w:rsidR="00944C1F">
              <w:t>Corporations </w:t>
            </w:r>
            <w:r>
              <w:t xml:space="preserve">Act </w:t>
            </w:r>
          </w:p>
          <w:p w14:paraId="7A23FC73" w14:textId="77777777" w:rsidR="00464B03" w:rsidRDefault="00464B03" w:rsidP="007B389B">
            <w:pPr>
              <w:pStyle w:val="tabledotpoint"/>
            </w:pPr>
            <w:r>
              <w:t>Laws in the fund’s home economy administered by the home regulator (including the home economy’s Passport Rules)</w:t>
            </w:r>
          </w:p>
        </w:tc>
      </w:tr>
      <w:tr w:rsidR="00464B03" w14:paraId="12CCCBA1" w14:textId="77777777" w:rsidTr="00944C1F">
        <w:tc>
          <w:tcPr>
            <w:tcW w:w="959" w:type="dxa"/>
          </w:tcPr>
          <w:p w14:paraId="6D98B5CA" w14:textId="77777777" w:rsidR="00464B03" w:rsidRPr="00AC185C" w:rsidRDefault="00464B03" w:rsidP="00944C1F">
            <w:pPr>
              <w:pStyle w:val="tabletext"/>
              <w:ind w:left="0"/>
              <w:rPr>
                <w:b/>
                <w:i/>
              </w:rPr>
            </w:pPr>
            <w:r w:rsidRPr="00AC185C">
              <w:rPr>
                <w:b/>
                <w:i/>
              </w:rPr>
              <w:t>State of mind</w:t>
            </w:r>
          </w:p>
        </w:tc>
        <w:tc>
          <w:tcPr>
            <w:tcW w:w="2835" w:type="dxa"/>
          </w:tcPr>
          <w:p w14:paraId="1682FC53" w14:textId="2765DE8E" w:rsidR="00464B03" w:rsidRDefault="00464B03" w:rsidP="007B389B">
            <w:pPr>
              <w:pStyle w:val="tabletext"/>
              <w:ind w:left="175"/>
            </w:pPr>
            <w:r>
              <w:t>Positive test –</w:t>
            </w:r>
            <w:r w:rsidR="007B389B">
              <w:t xml:space="preserve"> ASIC consider</w:t>
            </w:r>
            <w:r w:rsidR="001945E8">
              <w:t>s</w:t>
            </w:r>
            <w:r w:rsidR="007B389B">
              <w:t xml:space="preserve"> whether the fund is</w:t>
            </w:r>
            <w:r>
              <w:t xml:space="preserve"> likely to comply with the relevant laws</w:t>
            </w:r>
          </w:p>
        </w:tc>
        <w:tc>
          <w:tcPr>
            <w:tcW w:w="2835" w:type="dxa"/>
          </w:tcPr>
          <w:p w14:paraId="3A16ABE2" w14:textId="5AC6ACCC" w:rsidR="00464B03" w:rsidRDefault="00464B03" w:rsidP="003A7A85">
            <w:pPr>
              <w:pStyle w:val="tabletext"/>
              <w:ind w:left="317"/>
            </w:pPr>
            <w:r>
              <w:t xml:space="preserve">Negative test – </w:t>
            </w:r>
            <w:r w:rsidR="007B389B">
              <w:t>ASIC</w:t>
            </w:r>
            <w:r w:rsidR="003A7A85">
              <w:t xml:space="preserve"> may</w:t>
            </w:r>
            <w:r w:rsidR="007B389B">
              <w:t xml:space="preserve"> consider whether the fund</w:t>
            </w:r>
            <w:r w:rsidR="005A5268">
              <w:t xml:space="preserve"> is not complying or</w:t>
            </w:r>
            <w:r w:rsidR="007B389B">
              <w:t xml:space="preserve"> is </w:t>
            </w:r>
            <w:r>
              <w:t>not likely to comply with the relevant laws</w:t>
            </w:r>
          </w:p>
        </w:tc>
      </w:tr>
    </w:tbl>
    <w:p w14:paraId="497CB6C2" w14:textId="254D1E0D" w:rsidR="00464B03" w:rsidRDefault="00464B03" w:rsidP="00AD3A56">
      <w:pPr>
        <w:pStyle w:val="base-text-paragraph"/>
        <w:numPr>
          <w:ilvl w:val="0"/>
          <w:numId w:val="0"/>
        </w:numPr>
        <w:spacing w:before="240"/>
        <w:ind w:left="1134"/>
      </w:pPr>
      <w:r>
        <w:rPr>
          <w:i/>
        </w:rPr>
        <w:t>Ground 2: Public interest</w:t>
      </w:r>
    </w:p>
    <w:p w14:paraId="507C0046" w14:textId="02E2012C" w:rsidR="00464B03" w:rsidRDefault="007B389B" w:rsidP="00464B03">
      <w:pPr>
        <w:pStyle w:val="base-text-paragraph"/>
      </w:pPr>
      <w:r>
        <w:t>T</w:t>
      </w:r>
      <w:r w:rsidR="00464B03">
        <w:t xml:space="preserve">he second ground for rejecting a fund’s notice of intention </w:t>
      </w:r>
      <w:r>
        <w:t>requires ASIC to</w:t>
      </w:r>
      <w:r w:rsidR="00464B03">
        <w:t xml:space="preserve"> weigh the public interest in allowing the passport fund to operate in Australia against any potential detriments or risks for Australian investors</w:t>
      </w:r>
      <w:r>
        <w:t xml:space="preserve"> </w:t>
      </w:r>
      <w:r>
        <w:rPr>
          <w:rStyle w:val="Referencingstyle"/>
        </w:rPr>
        <w:t>[</w:t>
      </w:r>
      <w:r w:rsidR="00944C1F">
        <w:rPr>
          <w:rStyle w:val="Referencingstyle"/>
        </w:rPr>
        <w:t>Schedule </w:t>
      </w:r>
      <w:r>
        <w:rPr>
          <w:rStyle w:val="Referencingstyle"/>
        </w:rPr>
        <w:t xml:space="preserve">1, </w:t>
      </w:r>
      <w:r w:rsidR="00944C1F">
        <w:rPr>
          <w:rStyle w:val="Referencingstyle"/>
        </w:rPr>
        <w:t>item </w:t>
      </w:r>
      <w:r>
        <w:rPr>
          <w:rStyle w:val="Referencingstyle"/>
        </w:rPr>
        <w:t xml:space="preserve">1, </w:t>
      </w:r>
      <w:r w:rsidR="00944C1F">
        <w:rPr>
          <w:rStyle w:val="Referencingstyle"/>
        </w:rPr>
        <w:t>paragraph </w:t>
      </w:r>
      <w:r>
        <w:rPr>
          <w:rStyle w:val="Referencingstyle"/>
        </w:rPr>
        <w:t>1213B(2)(b)]</w:t>
      </w:r>
      <w:r w:rsidR="00464B03">
        <w:t xml:space="preserve">. This is similar to the balancing exercise that ASIC undertakes when it considers whether it is in the public interest to disqualify persons under </w:t>
      </w:r>
      <w:r>
        <w:t xml:space="preserve">existing </w:t>
      </w:r>
      <w:r w:rsidR="00944C1F">
        <w:t>section </w:t>
      </w:r>
      <w:r w:rsidR="00464B03">
        <w:t xml:space="preserve">206F of the </w:t>
      </w:r>
      <w:r w:rsidR="00944C1F">
        <w:t>Corporations </w:t>
      </w:r>
      <w:r w:rsidR="00464B03">
        <w:t xml:space="preserve">Act. </w:t>
      </w:r>
    </w:p>
    <w:p w14:paraId="4023686D" w14:textId="5646580F" w:rsidR="00464B03" w:rsidRDefault="00464B03" w:rsidP="00464B03">
      <w:pPr>
        <w:pStyle w:val="base-text-paragraph"/>
      </w:pPr>
      <w:r>
        <w:t xml:space="preserve">Benefits to the public may include greater competition, increased investment opportunities for Australian </w:t>
      </w:r>
      <w:r w:rsidR="00F15970">
        <w:t>investors</w:t>
      </w:r>
      <w:r>
        <w:t xml:space="preserve">, and the strengthening of Australia’s relationship with the host economy. </w:t>
      </w:r>
    </w:p>
    <w:p w14:paraId="3091FBE2" w14:textId="0E544959" w:rsidR="007B389B" w:rsidRDefault="00464B03" w:rsidP="007B389B">
      <w:pPr>
        <w:pStyle w:val="base-text-paragraph"/>
      </w:pPr>
      <w:r>
        <w:t>Harm to public interest may result from concerns that the fund will breach Australian laws</w:t>
      </w:r>
      <w:r w:rsidR="009D540B">
        <w:t>,</w:t>
      </w:r>
      <w:r>
        <w:t xml:space="preserve"> or place Australian investors at risk. When considering the harm to the public interest, ASIC must not take into account any negative consequences of greater competition to Australia’s fund management</w:t>
      </w:r>
      <w:r w:rsidR="00DB208A">
        <w:t xml:space="preserve"> industry</w:t>
      </w:r>
      <w:r w:rsidR="009D540B">
        <w:t>.</w:t>
      </w:r>
      <w:r>
        <w:t xml:space="preserve"> </w:t>
      </w:r>
      <w:r w:rsidR="007B389B">
        <w:rPr>
          <w:rStyle w:val="Referencingstyle"/>
        </w:rPr>
        <w:t>[</w:t>
      </w:r>
      <w:r w:rsidR="009D540B">
        <w:rPr>
          <w:rStyle w:val="Referencingstyle"/>
        </w:rPr>
        <w:t>Schedule </w:t>
      </w:r>
      <w:r w:rsidR="006F2327">
        <w:rPr>
          <w:rStyle w:val="Referencingstyle"/>
        </w:rPr>
        <w:t xml:space="preserve">1, </w:t>
      </w:r>
      <w:r w:rsidR="009D540B">
        <w:rPr>
          <w:rStyle w:val="Referencingstyle"/>
        </w:rPr>
        <w:t>item </w:t>
      </w:r>
      <w:r w:rsidR="006F2327">
        <w:rPr>
          <w:rStyle w:val="Referencingstyle"/>
        </w:rPr>
        <w:t xml:space="preserve">1, </w:t>
      </w:r>
      <w:r w:rsidR="009D540B">
        <w:rPr>
          <w:rStyle w:val="Referencingstyle"/>
        </w:rPr>
        <w:t>subsection </w:t>
      </w:r>
      <w:r w:rsidR="006F2327">
        <w:rPr>
          <w:rStyle w:val="Referencingstyle"/>
        </w:rPr>
        <w:t>1213B(3</w:t>
      </w:r>
      <w:r w:rsidR="007B389B">
        <w:rPr>
          <w:rStyle w:val="Referencingstyle"/>
        </w:rPr>
        <w:t>)]</w:t>
      </w:r>
    </w:p>
    <w:p w14:paraId="769F4020" w14:textId="5393C3ED" w:rsidR="007B389B" w:rsidRDefault="007B389B" w:rsidP="007B389B">
      <w:pPr>
        <w:pStyle w:val="base-text-paragraph"/>
      </w:pPr>
      <w:r>
        <w:t xml:space="preserve">ASIC is not required to conduct an assessment of the public interests </w:t>
      </w:r>
      <w:r w:rsidR="00F15970">
        <w:t>in every case</w:t>
      </w:r>
      <w:r>
        <w:t>.</w:t>
      </w:r>
      <w:r w:rsidR="00461D73">
        <w:t xml:space="preserve"> It is likely that such an assessment will only be required in exceptional circumstances.</w:t>
      </w:r>
      <w:r w:rsidR="006F2327" w:rsidRPr="006F2327">
        <w:rPr>
          <w:rStyle w:val="Referencingstyle"/>
        </w:rPr>
        <w:t xml:space="preserve"> </w:t>
      </w:r>
      <w:r w:rsidR="006F2327">
        <w:rPr>
          <w:rStyle w:val="Referencingstyle"/>
        </w:rPr>
        <w:t>[</w:t>
      </w:r>
      <w:r w:rsidR="009D540B">
        <w:rPr>
          <w:rStyle w:val="Referencingstyle"/>
        </w:rPr>
        <w:t>Schedule </w:t>
      </w:r>
      <w:r w:rsidR="006F2327">
        <w:rPr>
          <w:rStyle w:val="Referencingstyle"/>
        </w:rPr>
        <w:t xml:space="preserve">1, </w:t>
      </w:r>
      <w:r w:rsidR="009D540B">
        <w:rPr>
          <w:rStyle w:val="Referencingstyle"/>
        </w:rPr>
        <w:t>item </w:t>
      </w:r>
      <w:r w:rsidR="006F2327">
        <w:rPr>
          <w:rStyle w:val="Referencingstyle"/>
        </w:rPr>
        <w:t xml:space="preserve">1, </w:t>
      </w:r>
      <w:r w:rsidR="009D540B">
        <w:rPr>
          <w:rStyle w:val="Referencingstyle"/>
        </w:rPr>
        <w:t>subsection </w:t>
      </w:r>
      <w:r w:rsidR="006F2327">
        <w:rPr>
          <w:rStyle w:val="Referencingstyle"/>
        </w:rPr>
        <w:t>1213B(4)]</w:t>
      </w:r>
    </w:p>
    <w:p w14:paraId="6459B4CC" w14:textId="0992365E" w:rsidR="00464B03" w:rsidRPr="003A547A" w:rsidRDefault="00464B03" w:rsidP="00464B03">
      <w:pPr>
        <w:pStyle w:val="Heading4"/>
        <w:rPr>
          <w:b w:val="0"/>
        </w:rPr>
      </w:pPr>
      <w:r w:rsidRPr="003A547A">
        <w:rPr>
          <w:b w:val="0"/>
        </w:rPr>
        <w:lastRenderedPageBreak/>
        <w:t xml:space="preserve">Ground </w:t>
      </w:r>
      <w:r w:rsidR="00EF780E">
        <w:rPr>
          <w:b w:val="0"/>
        </w:rPr>
        <w:t>3</w:t>
      </w:r>
      <w:r w:rsidRPr="003A547A">
        <w:rPr>
          <w:b w:val="0"/>
        </w:rPr>
        <w:t>:</w:t>
      </w:r>
      <w:r>
        <w:rPr>
          <w:b w:val="0"/>
        </w:rPr>
        <w:t xml:space="preserve"> ASIC does not consent to an exemption or modification</w:t>
      </w:r>
    </w:p>
    <w:p w14:paraId="6079DD82" w14:textId="732F11ED" w:rsidR="00464B03" w:rsidRDefault="00464B03" w:rsidP="00464B03">
      <w:pPr>
        <w:pStyle w:val="base-text-paragraph"/>
      </w:pPr>
      <w:r>
        <w:t xml:space="preserve">The </w:t>
      </w:r>
      <w:r w:rsidR="00EF780E">
        <w:t>third</w:t>
      </w:r>
      <w:r>
        <w:t xml:space="preserve"> ground for rejecting notices is if ASIC does not consent to an exemption or modification </w:t>
      </w:r>
      <w:r w:rsidR="00475462">
        <w:t xml:space="preserve">from the Passport Rules </w:t>
      </w:r>
      <w:r>
        <w:t xml:space="preserve">granted </w:t>
      </w:r>
      <w:r w:rsidR="00475462">
        <w:t xml:space="preserve">by the home economy </w:t>
      </w:r>
      <w:r>
        <w:t xml:space="preserve">to the </w:t>
      </w:r>
      <w:r w:rsidR="00475462">
        <w:t>fund</w:t>
      </w:r>
      <w:r w:rsidR="009D540B">
        <w:t>,</w:t>
      </w:r>
      <w:r>
        <w:t xml:space="preserve"> or an entity connected to the passport fund. Entities connected to the passport fund may include its directors, custodian, or auditor. </w:t>
      </w:r>
      <w:r w:rsidR="006F2327">
        <w:rPr>
          <w:rStyle w:val="Referencingstyle"/>
        </w:rPr>
        <w:t>[</w:t>
      </w:r>
      <w:r w:rsidR="009D540B">
        <w:rPr>
          <w:rStyle w:val="Referencingstyle"/>
        </w:rPr>
        <w:t>Schedule </w:t>
      </w:r>
      <w:r w:rsidR="006F2327">
        <w:rPr>
          <w:rStyle w:val="Referencingstyle"/>
        </w:rPr>
        <w:t xml:space="preserve">1, </w:t>
      </w:r>
      <w:r w:rsidR="009D540B">
        <w:rPr>
          <w:rStyle w:val="Referencingstyle"/>
        </w:rPr>
        <w:t>item </w:t>
      </w:r>
      <w:r w:rsidR="006F2327">
        <w:rPr>
          <w:rStyle w:val="Referencingstyle"/>
        </w:rPr>
        <w:t xml:space="preserve">1, </w:t>
      </w:r>
      <w:r w:rsidR="009D540B">
        <w:rPr>
          <w:rStyle w:val="Referencingstyle"/>
        </w:rPr>
        <w:t>paragraph </w:t>
      </w:r>
      <w:r w:rsidR="006F2327">
        <w:rPr>
          <w:rStyle w:val="Referencingstyle"/>
        </w:rPr>
        <w:t>1213B(1)(c)]</w:t>
      </w:r>
    </w:p>
    <w:p w14:paraId="12264451" w14:textId="120EE3A7" w:rsidR="00964BC9" w:rsidRDefault="00464B03" w:rsidP="00464B03">
      <w:pPr>
        <w:pStyle w:val="base-text-paragraph"/>
      </w:pPr>
      <w:r>
        <w:t>This ground only applies to exemptions or modifications to the Passport Rules</w:t>
      </w:r>
      <w:r w:rsidR="00964BC9">
        <w:t>, reflecting the requirement that host regulators must consent in writing to exemptions and modifications of the Passport Rules (but not to the home economy laws and regulations) under sub</w:t>
      </w:r>
      <w:r w:rsidR="00723747">
        <w:t>section </w:t>
      </w:r>
      <w:r w:rsidR="00964BC9">
        <w:t xml:space="preserve">13(2) of </w:t>
      </w:r>
      <w:r w:rsidR="00723747">
        <w:t>Annex </w:t>
      </w:r>
      <w:r w:rsidR="00964BC9">
        <w:t>2</w:t>
      </w:r>
      <w:r w:rsidR="003D24D8">
        <w:t xml:space="preserve"> of the MOC</w:t>
      </w:r>
      <w:r w:rsidR="00A831AA">
        <w:t>.</w:t>
      </w:r>
    </w:p>
    <w:p w14:paraId="3E33B78B" w14:textId="38B7BE7F" w:rsidR="00464B03" w:rsidRDefault="00964BC9" w:rsidP="00464B03">
      <w:pPr>
        <w:pStyle w:val="base-text-paragraph"/>
      </w:pPr>
      <w:r>
        <w:t xml:space="preserve">However, </w:t>
      </w:r>
      <w:r w:rsidR="00E9502C">
        <w:t xml:space="preserve">under </w:t>
      </w:r>
      <w:r w:rsidR="00723747">
        <w:t>subsection </w:t>
      </w:r>
      <w:r w:rsidR="00E9502C">
        <w:t xml:space="preserve">13(4) of </w:t>
      </w:r>
      <w:r w:rsidR="00723747">
        <w:t>Annex </w:t>
      </w:r>
      <w:r w:rsidR="00E9502C">
        <w:t>2 of the MOC</w:t>
      </w:r>
      <w:r w:rsidR="009D540B">
        <w:t>,</w:t>
      </w:r>
      <w:r w:rsidR="00E9502C">
        <w:t xml:space="preserve"> </w:t>
      </w:r>
      <w:r>
        <w:t xml:space="preserve">Home Regulators are required to ensure </w:t>
      </w:r>
      <w:r w:rsidR="00EA68C0">
        <w:t xml:space="preserve">that </w:t>
      </w:r>
      <w:r>
        <w:t>there are publicly available records of any exemptions and modifications of both the Passport Rules</w:t>
      </w:r>
      <w:r w:rsidR="009D540B">
        <w:t>,</w:t>
      </w:r>
      <w:r>
        <w:t xml:space="preserve"> and the Home Economy Laws and Regulations. In rare or extreme cases, an exemption or mod</w:t>
      </w:r>
      <w:r w:rsidR="00E9502C">
        <w:t>ification to a Passport Fund’s H</w:t>
      </w:r>
      <w:r>
        <w:t xml:space="preserve">ome </w:t>
      </w:r>
      <w:r w:rsidR="00E9502C">
        <w:t>E</w:t>
      </w:r>
      <w:r>
        <w:t xml:space="preserve">conomy </w:t>
      </w:r>
      <w:r w:rsidR="00E9502C">
        <w:t>L</w:t>
      </w:r>
      <w:r>
        <w:t xml:space="preserve">aws and </w:t>
      </w:r>
      <w:r w:rsidR="00E9502C">
        <w:t>R</w:t>
      </w:r>
      <w:r>
        <w:t>egulations</w:t>
      </w:r>
      <w:r w:rsidR="009D540B">
        <w:t>,</w:t>
      </w:r>
      <w:r>
        <w:t xml:space="preserve"> may be relevant to the public interest ground for rejecting a notification of intention. This may be because the modification or exemption means that Australian consumers would be inadequately protected in some respect by the home economy laws and regulations.</w:t>
      </w:r>
      <w:r w:rsidR="00464B03">
        <w:t xml:space="preserve"> </w:t>
      </w:r>
    </w:p>
    <w:p w14:paraId="611517E0" w14:textId="1A02E49F" w:rsidR="00464B03" w:rsidRPr="003315B4" w:rsidRDefault="00464B03" w:rsidP="00464B03">
      <w:pPr>
        <w:pStyle w:val="base-text-paragraph"/>
        <w:keepNext/>
        <w:keepLines/>
        <w:numPr>
          <w:ilvl w:val="0"/>
          <w:numId w:val="0"/>
        </w:numPr>
        <w:ind w:left="1134"/>
        <w:rPr>
          <w:i/>
        </w:rPr>
      </w:pPr>
      <w:r>
        <w:rPr>
          <w:i/>
        </w:rPr>
        <w:t xml:space="preserve">Ground </w:t>
      </w:r>
      <w:r w:rsidR="00EF780E">
        <w:rPr>
          <w:i/>
        </w:rPr>
        <w:t>4</w:t>
      </w:r>
      <w:r>
        <w:rPr>
          <w:i/>
        </w:rPr>
        <w:t>: Unavailability of the name of the passport fund</w:t>
      </w:r>
    </w:p>
    <w:p w14:paraId="0141D80D" w14:textId="73ACEFC1" w:rsidR="00464B03" w:rsidRDefault="00464B03" w:rsidP="00464B03">
      <w:pPr>
        <w:pStyle w:val="base-text-paragraph"/>
        <w:keepNext/>
        <w:keepLines/>
      </w:pPr>
      <w:r>
        <w:t>ASIC may also reject notices if the name that the passport fund proposes to use in Australia is unavailable, for example, because:</w:t>
      </w:r>
    </w:p>
    <w:p w14:paraId="560A1EDF" w14:textId="627F8455" w:rsidR="00464B03" w:rsidRDefault="00464B03" w:rsidP="00464B03">
      <w:pPr>
        <w:pStyle w:val="dotpoint"/>
      </w:pPr>
      <w:r>
        <w:t>another entity has registered the same name</w:t>
      </w:r>
      <w:r w:rsidR="00BF6C9B">
        <w:t>, as set out in regulations</w:t>
      </w:r>
      <w:r>
        <w:t xml:space="preserve">; </w:t>
      </w:r>
    </w:p>
    <w:p w14:paraId="5D4F3B09" w14:textId="77777777" w:rsidR="00464B03" w:rsidRDefault="00464B03" w:rsidP="00464B03">
      <w:pPr>
        <w:pStyle w:val="dotpoint"/>
      </w:pPr>
      <w:r>
        <w:t>another entity has reserved the same name;</w:t>
      </w:r>
    </w:p>
    <w:p w14:paraId="4398AE66" w14:textId="0981DA62" w:rsidR="00464B03" w:rsidRDefault="00464B03" w:rsidP="00464B03">
      <w:pPr>
        <w:pStyle w:val="dotpoint"/>
      </w:pPr>
      <w:r>
        <w:t>the name is identical to the name of a new MIS</w:t>
      </w:r>
      <w:r w:rsidR="009D540B">
        <w:t>,</w:t>
      </w:r>
      <w:r>
        <w:t xml:space="preserve"> which has lodged an application with ASIC</w:t>
      </w:r>
      <w:r w:rsidR="008F644A">
        <w:t xml:space="preserve"> for registration under </w:t>
      </w:r>
      <w:r w:rsidR="009D540B">
        <w:t>section </w:t>
      </w:r>
      <w:r w:rsidR="008F644A">
        <w:t xml:space="preserve">601EB of the </w:t>
      </w:r>
      <w:r w:rsidR="009D540B">
        <w:t>Corporations </w:t>
      </w:r>
      <w:r w:rsidR="008F644A">
        <w:t>Act</w:t>
      </w:r>
      <w:r>
        <w:t>;</w:t>
      </w:r>
    </w:p>
    <w:p w14:paraId="536748A2" w14:textId="77777777" w:rsidR="00464B03" w:rsidRDefault="00464B03" w:rsidP="00464B03">
      <w:pPr>
        <w:pStyle w:val="dotpoint"/>
      </w:pPr>
      <w:r>
        <w:t>the name is the Business Name of another individual or body that is not the operator of the fund; and</w:t>
      </w:r>
    </w:p>
    <w:p w14:paraId="3C5A56ED" w14:textId="01A9B5F7" w:rsidR="00464B03" w:rsidRDefault="00464B03" w:rsidP="00464B03">
      <w:pPr>
        <w:pStyle w:val="dotpoint"/>
      </w:pPr>
      <w:r>
        <w:t xml:space="preserve">the name is unacceptable in Australia because it is offensive, or suggests a misleading connection with the government (see </w:t>
      </w:r>
      <w:r w:rsidR="009D540B">
        <w:t>Schedule </w:t>
      </w:r>
      <w:r>
        <w:t xml:space="preserve">6 the </w:t>
      </w:r>
      <w:r w:rsidRPr="0091286C">
        <w:t xml:space="preserve">Corporations </w:t>
      </w:r>
      <w:r w:rsidR="009D540B" w:rsidRPr="0091286C">
        <w:t>Regulations </w:t>
      </w:r>
      <w:r w:rsidR="00BF6C9B" w:rsidRPr="0091286C">
        <w:t>2001</w:t>
      </w:r>
      <w:r w:rsidR="00BF6C9B">
        <w:t xml:space="preserve"> (the Corporations Regulations)</w:t>
      </w:r>
      <w:r>
        <w:t>).</w:t>
      </w:r>
    </w:p>
    <w:p w14:paraId="754C1987" w14:textId="489A5B23" w:rsidR="006F2327" w:rsidRDefault="006F2327" w:rsidP="006F2327">
      <w:pPr>
        <w:pStyle w:val="base-text-paragraph"/>
        <w:numPr>
          <w:ilvl w:val="0"/>
          <w:numId w:val="0"/>
        </w:numPr>
        <w:ind w:left="1678" w:firstLine="306"/>
      </w:pPr>
      <w:r>
        <w:rPr>
          <w:rStyle w:val="Referencingstyle"/>
        </w:rPr>
        <w:t>[</w:t>
      </w:r>
      <w:r w:rsidR="009D540B">
        <w:rPr>
          <w:rStyle w:val="Referencingstyle"/>
        </w:rPr>
        <w:t>Schedule </w:t>
      </w:r>
      <w:r>
        <w:rPr>
          <w:rStyle w:val="Referencingstyle"/>
        </w:rPr>
        <w:t xml:space="preserve">1, </w:t>
      </w:r>
      <w:r w:rsidR="009D540B">
        <w:rPr>
          <w:rStyle w:val="Referencingstyle"/>
        </w:rPr>
        <w:t>item </w:t>
      </w:r>
      <w:r>
        <w:rPr>
          <w:rStyle w:val="Referencingstyle"/>
        </w:rPr>
        <w:t xml:space="preserve">1, </w:t>
      </w:r>
      <w:r w:rsidR="009D540B">
        <w:rPr>
          <w:rStyle w:val="Referencingstyle"/>
        </w:rPr>
        <w:t>paragraph </w:t>
      </w:r>
      <w:r>
        <w:rPr>
          <w:rStyle w:val="Referencingstyle"/>
        </w:rPr>
        <w:t>1213B(1)(d)]</w:t>
      </w:r>
    </w:p>
    <w:p w14:paraId="187856B2" w14:textId="31536D8F" w:rsidR="006F2327" w:rsidRDefault="00937737" w:rsidP="006F2327">
      <w:pPr>
        <w:pStyle w:val="base-text-paragraph"/>
      </w:pPr>
      <w:r>
        <w:lastRenderedPageBreak/>
        <w:t>In order to ascertain whether a given name</w:t>
      </w:r>
      <w:r w:rsidR="006836C2">
        <w:t xml:space="preserve"> is unavailable</w:t>
      </w:r>
      <w:r w:rsidR="009D540B">
        <w:t>,</w:t>
      </w:r>
      <w:r>
        <w:t xml:space="preserve"> ASIC </w:t>
      </w:r>
      <w:r w:rsidR="00A2692B">
        <w:t>intends to</w:t>
      </w:r>
      <w:r>
        <w:t xml:space="preserve"> conduct names determination checks against a number of registers listing existing names of bodies such as managed investment schemes, businesses, companies and other foreign passport funds. Other registers may be added to this list in future if necessary (for example</w:t>
      </w:r>
      <w:r w:rsidR="009D540B">
        <w:t>,</w:t>
      </w:r>
      <w:r>
        <w:t xml:space="preserve"> for </w:t>
      </w:r>
      <w:r w:rsidR="002C2DED">
        <w:t xml:space="preserve">new </w:t>
      </w:r>
      <w:r>
        <w:t>collective investment vehicles</w:t>
      </w:r>
      <w:r w:rsidR="006836C2">
        <w:t>, if they become possible in future</w:t>
      </w:r>
      <w:r>
        <w:t xml:space="preserve">). </w:t>
      </w:r>
      <w:r w:rsidR="00464B03">
        <w:t>If the name that a</w:t>
      </w:r>
      <w:r w:rsidR="00DF6B23">
        <w:t xml:space="preserve"> foreign</w:t>
      </w:r>
      <w:r w:rsidR="00464B03">
        <w:t xml:space="preserve"> passport fund uses in its home economy is unavailable in Australia, the passport fund must advise ASIC and its home regulator, in writing, that it will adopt an alternative name in Australia. </w:t>
      </w:r>
      <w:r w:rsidR="006F2327">
        <w:rPr>
          <w:rStyle w:val="Referencingstyle"/>
        </w:rPr>
        <w:t>[</w:t>
      </w:r>
      <w:r w:rsidR="009D540B">
        <w:rPr>
          <w:rStyle w:val="Referencingstyle"/>
        </w:rPr>
        <w:t>Schedule </w:t>
      </w:r>
      <w:r w:rsidR="006F2327">
        <w:rPr>
          <w:rStyle w:val="Referencingstyle"/>
        </w:rPr>
        <w:t xml:space="preserve">1, </w:t>
      </w:r>
      <w:r w:rsidR="009D540B">
        <w:rPr>
          <w:rStyle w:val="Referencingstyle"/>
        </w:rPr>
        <w:t>item </w:t>
      </w:r>
      <w:r w:rsidR="006F2327">
        <w:rPr>
          <w:rStyle w:val="Referencingstyle"/>
        </w:rPr>
        <w:t xml:space="preserve">1, </w:t>
      </w:r>
      <w:r w:rsidR="009D540B">
        <w:rPr>
          <w:rStyle w:val="Referencingstyle"/>
        </w:rPr>
        <w:t>paragraph </w:t>
      </w:r>
      <w:r w:rsidR="006F2327">
        <w:rPr>
          <w:rStyle w:val="Referencingstyle"/>
        </w:rPr>
        <w:t>1213B(1)(d)]</w:t>
      </w:r>
    </w:p>
    <w:p w14:paraId="1789F1B0" w14:textId="1520B46C" w:rsidR="00464B03" w:rsidRDefault="00464B03" w:rsidP="00464B03">
      <w:pPr>
        <w:pStyle w:val="base-text-paragraph"/>
        <w:numPr>
          <w:ilvl w:val="0"/>
          <w:numId w:val="0"/>
        </w:numPr>
        <w:ind w:left="1134"/>
        <w:rPr>
          <w:i/>
        </w:rPr>
      </w:pPr>
      <w:r>
        <w:rPr>
          <w:i/>
        </w:rPr>
        <w:t xml:space="preserve">Ground </w:t>
      </w:r>
      <w:r w:rsidR="00EF780E">
        <w:rPr>
          <w:i/>
        </w:rPr>
        <w:t>5</w:t>
      </w:r>
      <w:r>
        <w:rPr>
          <w:i/>
        </w:rPr>
        <w:t>:</w:t>
      </w:r>
      <w:r w:rsidRPr="00C41E3E">
        <w:rPr>
          <w:i/>
        </w:rPr>
        <w:t xml:space="preserve"> Minister’s determination</w:t>
      </w:r>
    </w:p>
    <w:p w14:paraId="2209A43D" w14:textId="3D0DC894" w:rsidR="00464B03" w:rsidRDefault="00E21293" w:rsidP="00464B03">
      <w:pPr>
        <w:pStyle w:val="base-text-paragraph"/>
      </w:pPr>
      <w:r>
        <w:t xml:space="preserve">ASIC must reject the </w:t>
      </w:r>
      <w:r w:rsidR="006F4FEE">
        <w:t xml:space="preserve">foreign passport </w:t>
      </w:r>
      <w:r>
        <w:t xml:space="preserve">fund if the Minister has made </w:t>
      </w:r>
      <w:r w:rsidR="00475462">
        <w:t xml:space="preserve">a </w:t>
      </w:r>
      <w:r w:rsidR="00464B03">
        <w:t xml:space="preserve">determination </w:t>
      </w:r>
      <w:r>
        <w:t>that applies to the fund.</w:t>
      </w:r>
      <w:r w:rsidR="00464B03">
        <w:t xml:space="preserve"> </w:t>
      </w:r>
      <w:r w:rsidR="006F2327">
        <w:rPr>
          <w:rStyle w:val="Referencingstyle"/>
        </w:rPr>
        <w:t>[</w:t>
      </w:r>
      <w:r w:rsidR="009D540B">
        <w:rPr>
          <w:rStyle w:val="Referencingstyle"/>
        </w:rPr>
        <w:t>Schedule </w:t>
      </w:r>
      <w:r w:rsidR="006F2327">
        <w:rPr>
          <w:rStyle w:val="Referencingstyle"/>
        </w:rPr>
        <w:t>1</w:t>
      </w:r>
      <w:r w:rsidR="00464B03">
        <w:rPr>
          <w:rStyle w:val="Referencingstyle"/>
        </w:rPr>
        <w:t xml:space="preserve">, </w:t>
      </w:r>
      <w:r w:rsidR="009D540B">
        <w:rPr>
          <w:rStyle w:val="Referencingstyle"/>
        </w:rPr>
        <w:t>item </w:t>
      </w:r>
      <w:r w:rsidR="006F2327">
        <w:rPr>
          <w:rStyle w:val="Referencingstyle"/>
        </w:rPr>
        <w:t xml:space="preserve">1, </w:t>
      </w:r>
      <w:r w:rsidR="009D540B">
        <w:rPr>
          <w:rStyle w:val="Referencingstyle"/>
        </w:rPr>
        <w:t>subsection </w:t>
      </w:r>
      <w:r w:rsidR="006F2327">
        <w:rPr>
          <w:rStyle w:val="Referencingstyle"/>
        </w:rPr>
        <w:t>1213B(5</w:t>
      </w:r>
      <w:r w:rsidR="00374D27">
        <w:rPr>
          <w:rStyle w:val="Referencingstyle"/>
        </w:rPr>
        <w:t>)</w:t>
      </w:r>
      <w:r w:rsidR="00464B03">
        <w:rPr>
          <w:rStyle w:val="Referencingstyle"/>
        </w:rPr>
        <w:t>]</w:t>
      </w:r>
    </w:p>
    <w:p w14:paraId="4AC10F04" w14:textId="5A4CCA8D" w:rsidR="00830038" w:rsidRDefault="00E21293" w:rsidP="00E21293">
      <w:pPr>
        <w:pStyle w:val="base-text-paragraph"/>
      </w:pPr>
      <w:r>
        <w:t>The Minis</w:t>
      </w:r>
      <w:r w:rsidR="00830038">
        <w:t>ter may make a determination that relates to:</w:t>
      </w:r>
    </w:p>
    <w:p w14:paraId="22E321A4" w14:textId="5B7E4CC2" w:rsidR="00830038" w:rsidRDefault="00830038" w:rsidP="00475462">
      <w:pPr>
        <w:pStyle w:val="dotpoint"/>
      </w:pPr>
      <w:r>
        <w:t>all (or a class of) passport funds from a particular economy;</w:t>
      </w:r>
    </w:p>
    <w:p w14:paraId="0069D8FA" w14:textId="3B1FC2AD" w:rsidR="00DC2D90" w:rsidRDefault="00830038" w:rsidP="00830038">
      <w:pPr>
        <w:pStyle w:val="dotpoint"/>
      </w:pPr>
      <w:r>
        <w:t>all passport funds</w:t>
      </w:r>
      <w:r w:rsidR="00DC2D90">
        <w:t>, irrespective of their home economy</w:t>
      </w:r>
      <w:r w:rsidR="009D540B">
        <w:t>.</w:t>
      </w:r>
      <w:r w:rsidR="00DC2D90">
        <w:t xml:space="preserve"> </w:t>
      </w:r>
      <w:r w:rsidR="00DC2D90">
        <w:rPr>
          <w:rStyle w:val="Referencingstyle"/>
        </w:rPr>
        <w:t>[</w:t>
      </w:r>
      <w:r w:rsidR="009D540B">
        <w:rPr>
          <w:rStyle w:val="Referencingstyle"/>
        </w:rPr>
        <w:t>Schedule </w:t>
      </w:r>
      <w:r w:rsidR="00DC2D90">
        <w:rPr>
          <w:rStyle w:val="Referencingstyle"/>
        </w:rPr>
        <w:t xml:space="preserve">1, </w:t>
      </w:r>
      <w:r w:rsidR="009D540B">
        <w:rPr>
          <w:rStyle w:val="Referencingstyle"/>
        </w:rPr>
        <w:t>item </w:t>
      </w:r>
      <w:r w:rsidR="00DC2D90">
        <w:rPr>
          <w:rStyle w:val="Referencingstyle"/>
        </w:rPr>
        <w:t xml:space="preserve">1, </w:t>
      </w:r>
      <w:r w:rsidR="009D540B">
        <w:rPr>
          <w:rStyle w:val="Referencingstyle"/>
        </w:rPr>
        <w:t>subsection </w:t>
      </w:r>
      <w:r w:rsidR="00DC2D90">
        <w:rPr>
          <w:rStyle w:val="Referencingstyle"/>
        </w:rPr>
        <w:t>1210</w:t>
      </w:r>
      <w:r w:rsidR="00AD3A56">
        <w:rPr>
          <w:rStyle w:val="Referencingstyle"/>
        </w:rPr>
        <w:t>B</w:t>
      </w:r>
      <w:r w:rsidR="008C40F7">
        <w:rPr>
          <w:rStyle w:val="Referencingstyle"/>
        </w:rPr>
        <w:t>(1)</w:t>
      </w:r>
      <w:r w:rsidR="00DC2D90">
        <w:rPr>
          <w:rStyle w:val="Referencingstyle"/>
        </w:rPr>
        <w:t>]</w:t>
      </w:r>
    </w:p>
    <w:p w14:paraId="4EE88425" w14:textId="4E9FB88D" w:rsidR="00830038" w:rsidRDefault="00830038" w:rsidP="00E21293">
      <w:pPr>
        <w:pStyle w:val="base-text-paragraph"/>
      </w:pPr>
      <w:r>
        <w:t xml:space="preserve">Determinations which relate to </w:t>
      </w:r>
      <w:r w:rsidR="006F4FEE">
        <w:t xml:space="preserve">passport </w:t>
      </w:r>
      <w:r>
        <w:t>funds from a particular economy</w:t>
      </w:r>
      <w:r w:rsidR="0091286C">
        <w:t>,</w:t>
      </w:r>
      <w:r>
        <w:t xml:space="preserve"> ma</w:t>
      </w:r>
      <w:r w:rsidR="001945E8">
        <w:t>y</w:t>
      </w:r>
      <w:r>
        <w:t xml:space="preserve"> only be made if there are grounds for making the determination under the MOC</w:t>
      </w:r>
      <w:r w:rsidR="0091286C">
        <w:t>,</w:t>
      </w:r>
      <w:r>
        <w:t xml:space="preserve"> and the processes set ou</w:t>
      </w:r>
      <w:r w:rsidR="00DC2D90">
        <w:t>t in the MOC have been followed</w:t>
      </w:r>
      <w:r w:rsidR="00D138BF">
        <w:t>.</w:t>
      </w:r>
      <w:r w:rsidR="00DC2D90">
        <w:rPr>
          <w:rStyle w:val="Referencingstyle"/>
        </w:rPr>
        <w:t xml:space="preserve"> </w:t>
      </w:r>
      <w:r w:rsidR="00DC2D90">
        <w:t>The MOC grants power for a</w:t>
      </w:r>
      <w:r w:rsidR="00374D27">
        <w:t>n economy to prohibit</w:t>
      </w:r>
      <w:r w:rsidR="00DC2D90">
        <w:t xml:space="preserve"> foreign passport funds from offering interests in two main situations</w:t>
      </w:r>
      <w:r>
        <w:t>:</w:t>
      </w:r>
    </w:p>
    <w:p w14:paraId="6468827C" w14:textId="0D6BB5CF" w:rsidR="00DC2D90" w:rsidRDefault="00374D27" w:rsidP="00DC2D90">
      <w:pPr>
        <w:pStyle w:val="dotpoint"/>
      </w:pPr>
      <w:r>
        <w:t>A</w:t>
      </w:r>
      <w:r w:rsidR="00DC2D90">
        <w:t xml:space="preserve"> difference </w:t>
      </w:r>
      <w:r>
        <w:t>has been raised</w:t>
      </w:r>
      <w:r w:rsidR="006F4FEE">
        <w:t xml:space="preserve"> between Australia and the home economy</w:t>
      </w:r>
      <w:r>
        <w:t xml:space="preserve"> </w:t>
      </w:r>
      <w:r w:rsidR="00DC2D90">
        <w:t xml:space="preserve">in accordance with the process set out in </w:t>
      </w:r>
      <w:r w:rsidR="0091286C">
        <w:t>paragraph </w:t>
      </w:r>
      <w:r w:rsidR="00DC2D90">
        <w:t>8 of the MOC. (</w:t>
      </w:r>
      <w:r w:rsidR="0091286C">
        <w:t>Paragraph </w:t>
      </w:r>
      <w:r w:rsidR="00E21293">
        <w:t>8</w:t>
      </w:r>
      <w:r w:rsidR="00830038">
        <w:t xml:space="preserve"> of the MOC</w:t>
      </w:r>
      <w:r w:rsidR="00E21293">
        <w:t xml:space="preserve"> requires the econom</w:t>
      </w:r>
      <w:r w:rsidR="00A831AA">
        <w:t>ies</w:t>
      </w:r>
      <w:r w:rsidR="00E21293">
        <w:t xml:space="preserve"> to</w:t>
      </w:r>
      <w:r w:rsidR="00DC2D90">
        <w:t xml:space="preserve"> </w:t>
      </w:r>
      <w:r w:rsidR="00E21293">
        <w:t>attempt</w:t>
      </w:r>
      <w:r w:rsidR="00464B03">
        <w:t xml:space="preserve"> to resolve the dispute amicably</w:t>
      </w:r>
      <w:r w:rsidR="00DC2D90">
        <w:t xml:space="preserve">, </w:t>
      </w:r>
      <w:r w:rsidR="00E21293">
        <w:t>consult</w:t>
      </w:r>
      <w:r w:rsidR="00464B03">
        <w:t xml:space="preserve"> the Joint Committee on any questions relating to the interpretation of the MOC</w:t>
      </w:r>
      <w:r w:rsidR="00DC2D90">
        <w:t xml:space="preserve">, </w:t>
      </w:r>
      <w:r w:rsidR="00E21293">
        <w:t>form</w:t>
      </w:r>
      <w:r w:rsidR="00464B03">
        <w:t xml:space="preserve"> the reasonable opinion that </w:t>
      </w:r>
      <w:r w:rsidR="00E21293">
        <w:t>its</w:t>
      </w:r>
      <w:r w:rsidR="00464B03">
        <w:t xml:space="preserve"> interests are being prejudiced</w:t>
      </w:r>
      <w:r w:rsidR="0091286C">
        <w:t>,</w:t>
      </w:r>
      <w:r w:rsidR="00464B03">
        <w:t xml:space="preserve"> and</w:t>
      </w:r>
      <w:r w:rsidR="00DC2D90">
        <w:t xml:space="preserve"> </w:t>
      </w:r>
      <w:r w:rsidR="00464B03">
        <w:t xml:space="preserve">give </w:t>
      </w:r>
      <w:r w:rsidR="0091286C">
        <w:t>seven </w:t>
      </w:r>
      <w:r w:rsidR="00464B03">
        <w:t xml:space="preserve">days’ notice of its intention to </w:t>
      </w:r>
      <w:r w:rsidR="00E21293">
        <w:t>decline ap</w:t>
      </w:r>
      <w:r w:rsidR="00DC2D90">
        <w:t>plications.)</w:t>
      </w:r>
    </w:p>
    <w:p w14:paraId="32D7F453" w14:textId="73E731C4" w:rsidR="00830038" w:rsidRDefault="00374D27" w:rsidP="00DC2D90">
      <w:pPr>
        <w:pStyle w:val="dotpoint"/>
      </w:pPr>
      <w:r>
        <w:t>T</w:t>
      </w:r>
      <w:r w:rsidR="00830038">
        <w:t xml:space="preserve">he </w:t>
      </w:r>
      <w:r w:rsidR="00DF6B23">
        <w:t xml:space="preserve">foreign passport </w:t>
      </w:r>
      <w:r w:rsidR="006F4FEE">
        <w:t xml:space="preserve">fund’s home </w:t>
      </w:r>
      <w:r w:rsidR="00830038">
        <w:t xml:space="preserve">economy has ceased to be a participating economy and it has formally withdrawn from the MOC by following the process set out in </w:t>
      </w:r>
      <w:r w:rsidR="0091286C">
        <w:t>paragraph </w:t>
      </w:r>
      <w:r w:rsidR="00830038">
        <w:t>14 of the MOC</w:t>
      </w:r>
      <w:r w:rsidR="00DC2D90">
        <w:t>. (</w:t>
      </w:r>
      <w:r w:rsidR="0091286C">
        <w:t>Paragraph </w:t>
      </w:r>
      <w:r w:rsidR="00DC2D90">
        <w:t xml:space="preserve">14 of the MOC requires the economy to give </w:t>
      </w:r>
      <w:r w:rsidR="0091286C">
        <w:t>28 </w:t>
      </w:r>
      <w:r w:rsidR="00DC2D90">
        <w:t>days’ notice and take steps to ensure that existing funds</w:t>
      </w:r>
      <w:r w:rsidR="00475462">
        <w:t>,</w:t>
      </w:r>
      <w:r w:rsidR="00DC2D90">
        <w:t xml:space="preserve"> their members and operators</w:t>
      </w:r>
      <w:r w:rsidR="0091286C">
        <w:t>,</w:t>
      </w:r>
      <w:r w:rsidR="00DC2D90">
        <w:t xml:space="preserve"> are not unduly affected by the withdrawal.)</w:t>
      </w:r>
      <w:r w:rsidR="008C40F7">
        <w:t xml:space="preserve"> </w:t>
      </w:r>
      <w:r w:rsidR="008C40F7">
        <w:rPr>
          <w:rStyle w:val="Referencingstyle"/>
        </w:rPr>
        <w:t>[</w:t>
      </w:r>
      <w:r w:rsidR="0091286C">
        <w:rPr>
          <w:rStyle w:val="Referencingstyle"/>
        </w:rPr>
        <w:t>Schedule </w:t>
      </w:r>
      <w:r w:rsidR="008C40F7">
        <w:rPr>
          <w:rStyle w:val="Referencingstyle"/>
        </w:rPr>
        <w:t xml:space="preserve">1, </w:t>
      </w:r>
      <w:r w:rsidR="0091286C">
        <w:rPr>
          <w:rStyle w:val="Referencingstyle"/>
        </w:rPr>
        <w:t>item </w:t>
      </w:r>
      <w:r w:rsidR="008C40F7">
        <w:rPr>
          <w:rStyle w:val="Referencingstyle"/>
        </w:rPr>
        <w:t xml:space="preserve">1, </w:t>
      </w:r>
      <w:r w:rsidR="0091286C">
        <w:rPr>
          <w:rStyle w:val="Referencingstyle"/>
        </w:rPr>
        <w:t>subsection </w:t>
      </w:r>
      <w:r w:rsidR="008C40F7">
        <w:rPr>
          <w:rStyle w:val="Referencingstyle"/>
        </w:rPr>
        <w:t>1210</w:t>
      </w:r>
      <w:r w:rsidR="00AD3A56">
        <w:rPr>
          <w:rStyle w:val="Referencingstyle"/>
        </w:rPr>
        <w:t>B</w:t>
      </w:r>
      <w:r w:rsidR="008C40F7">
        <w:rPr>
          <w:rStyle w:val="Referencingstyle"/>
        </w:rPr>
        <w:t>(2)]</w:t>
      </w:r>
    </w:p>
    <w:p w14:paraId="577839E1" w14:textId="0B7D6F11" w:rsidR="00EF780E" w:rsidRDefault="00EF780E" w:rsidP="00EB689B">
      <w:pPr>
        <w:pStyle w:val="base-text-paragraph"/>
      </w:pPr>
      <w:r>
        <w:lastRenderedPageBreak/>
        <w:t xml:space="preserve">A further reason for making a determination </w:t>
      </w:r>
      <w:r w:rsidR="00D8172C">
        <w:t>relating to</w:t>
      </w:r>
      <w:r>
        <w:t xml:space="preserve"> all passport funds from a specified jurisdiction would be the imposition of broad sanctions against the jurisdiction that include such a prohibition within their scope. Once the Minister has made such a determination ASIC must reject all applications submitted by passport funds from the jurisdiction.</w:t>
      </w:r>
    </w:p>
    <w:p w14:paraId="3F0B69AA" w14:textId="7E53E713" w:rsidR="00DC2D90" w:rsidRDefault="00DC2D90" w:rsidP="00EB689B">
      <w:pPr>
        <w:pStyle w:val="base-text-paragraph"/>
      </w:pPr>
      <w:r>
        <w:t>The Minister may</w:t>
      </w:r>
      <w:r w:rsidR="006F4FEE">
        <w:t xml:space="preserve"> also</w:t>
      </w:r>
      <w:r>
        <w:t xml:space="preserve"> make a determination which relates to all passport funds, irrespective of their home economy, if the MOC is terminated or Australia withdraws from the MOC. Again</w:t>
      </w:r>
      <w:r w:rsidR="00461D73">
        <w:t>,</w:t>
      </w:r>
      <w:r>
        <w:t xml:space="preserve"> the process set out in </w:t>
      </w:r>
      <w:r w:rsidR="0091286C">
        <w:t>paragraph </w:t>
      </w:r>
      <w:r>
        <w:t xml:space="preserve">14 of the MOC (described above) must be followed. </w:t>
      </w:r>
      <w:r>
        <w:rPr>
          <w:rStyle w:val="Referencingstyle"/>
        </w:rPr>
        <w:t>[</w:t>
      </w:r>
      <w:r w:rsidR="0091286C">
        <w:rPr>
          <w:rStyle w:val="Referencingstyle"/>
        </w:rPr>
        <w:t>Schedule </w:t>
      </w:r>
      <w:r>
        <w:rPr>
          <w:rStyle w:val="Referencingstyle"/>
        </w:rPr>
        <w:t xml:space="preserve">1, </w:t>
      </w:r>
      <w:r w:rsidR="0091286C">
        <w:rPr>
          <w:rStyle w:val="Referencingstyle"/>
        </w:rPr>
        <w:t>item </w:t>
      </w:r>
      <w:r>
        <w:rPr>
          <w:rStyle w:val="Referencingstyle"/>
        </w:rPr>
        <w:t xml:space="preserve">1, </w:t>
      </w:r>
      <w:r w:rsidR="0091286C">
        <w:rPr>
          <w:rStyle w:val="Referencingstyle"/>
        </w:rPr>
        <w:t>subsection </w:t>
      </w:r>
      <w:r>
        <w:rPr>
          <w:rStyle w:val="Referencingstyle"/>
        </w:rPr>
        <w:t>1210</w:t>
      </w:r>
      <w:r w:rsidR="00AD3A56">
        <w:rPr>
          <w:rStyle w:val="Referencingstyle"/>
        </w:rPr>
        <w:t>B</w:t>
      </w:r>
      <w:r w:rsidR="008C40F7">
        <w:rPr>
          <w:rStyle w:val="Referencingstyle"/>
        </w:rPr>
        <w:t>(2</w:t>
      </w:r>
      <w:r>
        <w:rPr>
          <w:rStyle w:val="Referencingstyle"/>
        </w:rPr>
        <w:t>)]</w:t>
      </w:r>
    </w:p>
    <w:p w14:paraId="372F367A" w14:textId="4006E050" w:rsidR="00374D27" w:rsidRDefault="00DC2D90" w:rsidP="00EB689B">
      <w:pPr>
        <w:pStyle w:val="base-text-paragraph"/>
      </w:pPr>
      <w:r>
        <w:t xml:space="preserve">If the Minister makes a determination because Australia withdraws from the MOC or the MOC is terminated, the </w:t>
      </w:r>
      <w:r w:rsidR="008E4468">
        <w:t>regulations</w:t>
      </w:r>
      <w:r>
        <w:t xml:space="preserve"> may deal with transitional matters</w:t>
      </w:r>
      <w:r w:rsidR="00461D73">
        <w:t xml:space="preserve"> relating to the withdrawal or termination</w:t>
      </w:r>
      <w:r w:rsidR="00374D27">
        <w:t xml:space="preserve">. </w:t>
      </w:r>
      <w:r w:rsidR="00374D27">
        <w:rPr>
          <w:rStyle w:val="Referencingstyle"/>
        </w:rPr>
        <w:t>[</w:t>
      </w:r>
      <w:r w:rsidR="0091286C">
        <w:rPr>
          <w:rStyle w:val="Referencingstyle"/>
        </w:rPr>
        <w:t>Schedule </w:t>
      </w:r>
      <w:r w:rsidR="00374D27">
        <w:rPr>
          <w:rStyle w:val="Referencingstyle"/>
        </w:rPr>
        <w:t xml:space="preserve">1, </w:t>
      </w:r>
      <w:r w:rsidR="0091286C">
        <w:rPr>
          <w:rStyle w:val="Referencingstyle"/>
        </w:rPr>
        <w:t>item </w:t>
      </w:r>
      <w:r w:rsidR="00374D27">
        <w:rPr>
          <w:rStyle w:val="Referencingstyle"/>
        </w:rPr>
        <w:t xml:space="preserve">1, </w:t>
      </w:r>
      <w:r w:rsidR="0091286C">
        <w:rPr>
          <w:rStyle w:val="Referencingstyle"/>
        </w:rPr>
        <w:t>subsection </w:t>
      </w:r>
      <w:r w:rsidR="00374D27">
        <w:rPr>
          <w:rStyle w:val="Referencingstyle"/>
        </w:rPr>
        <w:t>1210</w:t>
      </w:r>
      <w:r w:rsidR="001305EF">
        <w:rPr>
          <w:rStyle w:val="Referencingstyle"/>
        </w:rPr>
        <w:t>B</w:t>
      </w:r>
      <w:r w:rsidR="00374D27">
        <w:rPr>
          <w:rStyle w:val="Referencingstyle"/>
        </w:rPr>
        <w:t>(3)]</w:t>
      </w:r>
    </w:p>
    <w:p w14:paraId="54150F61" w14:textId="31518D60" w:rsidR="00EB689B" w:rsidRPr="00913FB4" w:rsidRDefault="00475462" w:rsidP="00EB689B">
      <w:pPr>
        <w:pStyle w:val="base-text-paragraph"/>
      </w:pPr>
      <w:r>
        <w:t xml:space="preserve">This </w:t>
      </w:r>
      <w:r w:rsidR="00374D27">
        <w:t>delegation of power is appropriate because it will only be used in exceptional situations where urgent regulation is necessary to protect Australia’s interests. Further, t</w:t>
      </w:r>
      <w:r w:rsidR="00464B03">
        <w:t>he Minister’s determination</w:t>
      </w:r>
      <w:r w:rsidR="00DC2D90">
        <w:t>s</w:t>
      </w:r>
      <w:r w:rsidR="00464B03">
        <w:t xml:space="preserve"> </w:t>
      </w:r>
      <w:r w:rsidR="00374D27">
        <w:t>are legislative instrument</w:t>
      </w:r>
      <w:r w:rsidR="006F4FEE">
        <w:t>s</w:t>
      </w:r>
      <w:r w:rsidR="00374D27">
        <w:t xml:space="preserve"> and</w:t>
      </w:r>
      <w:r w:rsidR="006F4FEE">
        <w:t xml:space="preserve"> are</w:t>
      </w:r>
      <w:r w:rsidR="00374D27">
        <w:t xml:space="preserve"> disallowable by Parliament</w:t>
      </w:r>
      <w:r w:rsidR="00464B03">
        <w:t xml:space="preserve">. </w:t>
      </w:r>
      <w:r w:rsidR="00EB689B">
        <w:rPr>
          <w:rStyle w:val="Referencingstyle"/>
        </w:rPr>
        <w:t>[</w:t>
      </w:r>
      <w:r w:rsidR="0091286C">
        <w:rPr>
          <w:rStyle w:val="Referencingstyle"/>
        </w:rPr>
        <w:t>Schedule </w:t>
      </w:r>
      <w:r w:rsidR="00EB689B">
        <w:rPr>
          <w:rStyle w:val="Referencingstyle"/>
        </w:rPr>
        <w:t xml:space="preserve">1, </w:t>
      </w:r>
      <w:r w:rsidR="0091286C">
        <w:rPr>
          <w:rStyle w:val="Referencingstyle"/>
        </w:rPr>
        <w:t>item </w:t>
      </w:r>
      <w:r w:rsidR="00EB689B">
        <w:rPr>
          <w:rStyle w:val="Referencingstyle"/>
        </w:rPr>
        <w:t xml:space="preserve">1, </w:t>
      </w:r>
      <w:r w:rsidR="0091286C">
        <w:rPr>
          <w:rStyle w:val="Referencingstyle"/>
        </w:rPr>
        <w:t>subsection </w:t>
      </w:r>
      <w:r w:rsidR="00DC2D90">
        <w:rPr>
          <w:rStyle w:val="Referencingstyle"/>
        </w:rPr>
        <w:t>1210</w:t>
      </w:r>
      <w:r w:rsidR="001305EF">
        <w:rPr>
          <w:rStyle w:val="Referencingstyle"/>
        </w:rPr>
        <w:t>B</w:t>
      </w:r>
      <w:r w:rsidR="00DC2D90">
        <w:rPr>
          <w:rStyle w:val="Referencingstyle"/>
        </w:rPr>
        <w:t>(1)</w:t>
      </w:r>
      <w:r w:rsidR="00EB689B">
        <w:rPr>
          <w:rStyle w:val="Referencingstyle"/>
        </w:rPr>
        <w:t>]</w:t>
      </w:r>
    </w:p>
    <w:p w14:paraId="4A056FB3" w14:textId="4684D15B" w:rsidR="00464B03" w:rsidRDefault="00374D27" w:rsidP="00464B03">
      <w:pPr>
        <w:pStyle w:val="base-text-paragraph"/>
        <w:numPr>
          <w:ilvl w:val="0"/>
          <w:numId w:val="0"/>
        </w:numPr>
        <w:ind w:left="1134"/>
      </w:pPr>
      <w:r>
        <w:rPr>
          <w:i/>
        </w:rPr>
        <w:t>Procedural fairness</w:t>
      </w:r>
    </w:p>
    <w:p w14:paraId="038C9405" w14:textId="2724917D" w:rsidR="00FF7B66" w:rsidRPr="0091286C" w:rsidRDefault="00374D27" w:rsidP="00FF7B66">
      <w:pPr>
        <w:pStyle w:val="base-text-paragraph"/>
        <w:rPr>
          <w:rStyle w:val="Referencingstyle"/>
          <w:b w:val="0"/>
          <w:i w:val="0"/>
          <w:sz w:val="22"/>
        </w:rPr>
      </w:pPr>
      <w:r w:rsidRPr="00374D27">
        <w:t>If A</w:t>
      </w:r>
      <w:r>
        <w:t>SIC rejects a notice of intention</w:t>
      </w:r>
      <w:r w:rsidR="00FF7B66">
        <w:t xml:space="preserve">, it must notify the operator of the fund in writing. </w:t>
      </w:r>
      <w:r w:rsidR="00FF7B66">
        <w:rPr>
          <w:rStyle w:val="Referencingstyle"/>
        </w:rPr>
        <w:t>[</w:t>
      </w:r>
      <w:r w:rsidR="0091286C">
        <w:rPr>
          <w:rStyle w:val="Referencingstyle"/>
        </w:rPr>
        <w:t>Schedule </w:t>
      </w:r>
      <w:r w:rsidR="00566719">
        <w:rPr>
          <w:rStyle w:val="Referencingstyle"/>
        </w:rPr>
        <w:t xml:space="preserve">1, </w:t>
      </w:r>
      <w:r w:rsidR="0091286C">
        <w:rPr>
          <w:rStyle w:val="Referencingstyle"/>
        </w:rPr>
        <w:t>item </w:t>
      </w:r>
      <w:r w:rsidR="00566719">
        <w:rPr>
          <w:rStyle w:val="Referencingstyle"/>
        </w:rPr>
        <w:t xml:space="preserve">1, </w:t>
      </w:r>
      <w:r w:rsidR="0091286C">
        <w:rPr>
          <w:rStyle w:val="Referencingstyle"/>
        </w:rPr>
        <w:t>subsection </w:t>
      </w:r>
      <w:r w:rsidR="00566719">
        <w:rPr>
          <w:rStyle w:val="Referencingstyle"/>
        </w:rPr>
        <w:t>1213</w:t>
      </w:r>
      <w:r w:rsidR="00FF7B66">
        <w:rPr>
          <w:rStyle w:val="Referencingstyle"/>
        </w:rPr>
        <w:t>B(</w:t>
      </w:r>
      <w:r w:rsidR="00550BC0">
        <w:rPr>
          <w:rStyle w:val="Referencingstyle"/>
        </w:rPr>
        <w:t>6</w:t>
      </w:r>
      <w:r w:rsidR="00FF7B66">
        <w:rPr>
          <w:rStyle w:val="Referencingstyle"/>
        </w:rPr>
        <w:t>)]</w:t>
      </w:r>
    </w:p>
    <w:p w14:paraId="5647C01F" w14:textId="42969CF3" w:rsidR="0091286C" w:rsidRPr="00913FB4" w:rsidRDefault="0091286C" w:rsidP="0091286C">
      <w:pPr>
        <w:pStyle w:val="base-text-paragraph"/>
      </w:pPr>
      <w:r>
        <w:t>A foreign passport fund may seek merits review of ASIC’s decision to refuse a notice under Part 9.4A of the Corporations Act.</w:t>
      </w:r>
    </w:p>
    <w:p w14:paraId="5EDF11C7" w14:textId="2FDF5932" w:rsidR="0034051F" w:rsidRDefault="0034051F" w:rsidP="002E7F87">
      <w:pPr>
        <w:pStyle w:val="Heading4"/>
      </w:pPr>
      <w:r>
        <w:t>The Consideration Period</w:t>
      </w:r>
      <w:r w:rsidR="0025345B">
        <w:t xml:space="preserve"> </w:t>
      </w:r>
    </w:p>
    <w:p w14:paraId="32EF11EC" w14:textId="14DCCD3F" w:rsidR="006554C4" w:rsidRDefault="00F03C7A" w:rsidP="006554C4">
      <w:pPr>
        <w:pStyle w:val="base-text-paragraph"/>
      </w:pPr>
      <w:r>
        <w:t xml:space="preserve">ASIC </w:t>
      </w:r>
      <w:r w:rsidR="0034051F">
        <w:t xml:space="preserve">has only a limited time to review the notice. This time is referred to as the </w:t>
      </w:r>
      <w:r w:rsidR="0034051F" w:rsidRPr="00FF7B66">
        <w:rPr>
          <w:b/>
          <w:i/>
        </w:rPr>
        <w:t>consideration period</w:t>
      </w:r>
      <w:r w:rsidR="00A0213C">
        <w:t xml:space="preserve"> and lasts, as explained above, for </w:t>
      </w:r>
      <w:r w:rsidR="00723747">
        <w:t>21 </w:t>
      </w:r>
      <w:r w:rsidR="00A0213C">
        <w:t xml:space="preserve">days. </w:t>
      </w:r>
      <w:r w:rsidR="006554C4">
        <w:t xml:space="preserve">If ASIC does not </w:t>
      </w:r>
      <w:r w:rsidR="00FF7B66">
        <w:t>refuse the notice o</w:t>
      </w:r>
      <w:r w:rsidR="00FD4D1C">
        <w:t>r</w:t>
      </w:r>
      <w:r w:rsidR="00FF7B66">
        <w:t xml:space="preserve"> request further information from the fund</w:t>
      </w:r>
      <w:r w:rsidR="006554C4">
        <w:t xml:space="preserve"> within </w:t>
      </w:r>
      <w:r w:rsidR="001362D9">
        <w:t xml:space="preserve">the </w:t>
      </w:r>
      <w:r w:rsidR="006554C4">
        <w:t>consideration period, the fund may start offering interests in Australia</w:t>
      </w:r>
      <w:r w:rsidR="00965FF1">
        <w:t xml:space="preserve"> and will be a </w:t>
      </w:r>
      <w:r w:rsidR="00965FF1" w:rsidRPr="0072605C">
        <w:rPr>
          <w:b/>
          <w:i/>
        </w:rPr>
        <w:t>notified foreign passport fund</w:t>
      </w:r>
      <w:r w:rsidR="006554C4">
        <w:t xml:space="preserve"> </w:t>
      </w:r>
      <w:r w:rsidR="006554C4">
        <w:rPr>
          <w:rStyle w:val="Referencingstyle"/>
        </w:rPr>
        <w:t>[</w:t>
      </w:r>
      <w:r w:rsidR="00723747">
        <w:rPr>
          <w:rStyle w:val="Referencingstyle"/>
        </w:rPr>
        <w:t>Schedule </w:t>
      </w:r>
      <w:r w:rsidR="00A6659D">
        <w:rPr>
          <w:rStyle w:val="Referencingstyle"/>
        </w:rPr>
        <w:t>1</w:t>
      </w:r>
      <w:r w:rsidR="006554C4">
        <w:rPr>
          <w:rStyle w:val="Referencingstyle"/>
        </w:rPr>
        <w:t xml:space="preserve">, </w:t>
      </w:r>
      <w:r w:rsidR="00723747">
        <w:rPr>
          <w:rStyle w:val="Referencingstyle"/>
        </w:rPr>
        <w:t>item </w:t>
      </w:r>
      <w:r w:rsidR="00A6659D">
        <w:rPr>
          <w:rStyle w:val="Referencingstyle"/>
        </w:rPr>
        <w:t>1</w:t>
      </w:r>
      <w:r w:rsidR="0072605C">
        <w:rPr>
          <w:rStyle w:val="Referencingstyle"/>
        </w:rPr>
        <w:t xml:space="preserve">, </w:t>
      </w:r>
      <w:r w:rsidR="00723747">
        <w:rPr>
          <w:rStyle w:val="Referencingstyle"/>
        </w:rPr>
        <w:t>section </w:t>
      </w:r>
      <w:r w:rsidR="00FD4D1C">
        <w:rPr>
          <w:rStyle w:val="Referencingstyle"/>
        </w:rPr>
        <w:t>1213C</w:t>
      </w:r>
      <w:r w:rsidR="006554C4">
        <w:rPr>
          <w:rStyle w:val="Referencingstyle"/>
        </w:rPr>
        <w:t>]</w:t>
      </w:r>
      <w:r w:rsidR="00FF7B66">
        <w:rPr>
          <w:rStyle w:val="Referencingstyle"/>
          <w:b w:val="0"/>
          <w:i w:val="0"/>
        </w:rPr>
        <w:t>.</w:t>
      </w:r>
    </w:p>
    <w:p w14:paraId="4159226C" w14:textId="7AA0F151" w:rsidR="006A083C" w:rsidRDefault="006A083C" w:rsidP="006A083C">
      <w:pPr>
        <w:pStyle w:val="base-text-paragraph"/>
      </w:pPr>
      <w:r>
        <w:t>The 21</w:t>
      </w:r>
      <w:r w:rsidR="00723747">
        <w:t> </w:t>
      </w:r>
      <w:r>
        <w:t xml:space="preserve">day consideration period is marginally longer than the </w:t>
      </w:r>
      <w:r w:rsidR="00723747">
        <w:t>14 </w:t>
      </w:r>
      <w:r>
        <w:t xml:space="preserve">day registration period for schemes in </w:t>
      </w:r>
      <w:r w:rsidR="00723747">
        <w:t>section </w:t>
      </w:r>
      <w:r>
        <w:t>601EB. This reflects the agreement reached between the signatories to the MOC</w:t>
      </w:r>
      <w:r w:rsidR="00A756CF">
        <w:t xml:space="preserve"> (</w:t>
      </w:r>
      <w:r w:rsidR="00723747">
        <w:t>Annex </w:t>
      </w:r>
      <w:r w:rsidR="00A756CF">
        <w:t>2, section </w:t>
      </w:r>
      <w:r>
        <w:t>6). A 21</w:t>
      </w:r>
      <w:r w:rsidR="00723747">
        <w:t> </w:t>
      </w:r>
      <w:r>
        <w:t xml:space="preserve">day period was considered appropriate because there may be additional complexity involved in reviewing applications from foreign passport funds and regulators need sufficient time to make any necessary enquiries with the applicant’s home regulator or other host regulators. </w:t>
      </w:r>
    </w:p>
    <w:p w14:paraId="18DA7FA9" w14:textId="4813A033" w:rsidR="002E7F87" w:rsidRPr="00D777E0" w:rsidRDefault="002E7F87" w:rsidP="002E7F87">
      <w:pPr>
        <w:pStyle w:val="base-text-paragraph"/>
        <w:rPr>
          <w:rStyle w:val="Referencingstyle"/>
          <w:b w:val="0"/>
          <w:i w:val="0"/>
          <w:sz w:val="22"/>
        </w:rPr>
      </w:pPr>
      <w:r>
        <w:lastRenderedPageBreak/>
        <w:t xml:space="preserve">ASIC and the </w:t>
      </w:r>
      <w:r w:rsidR="00A756CF">
        <w:t>o</w:t>
      </w:r>
      <w:r>
        <w:t>perator may agree</w:t>
      </w:r>
      <w:r w:rsidR="00D77741">
        <w:t xml:space="preserve"> in writing</w:t>
      </w:r>
      <w:r>
        <w:t xml:space="preserve"> to extend the </w:t>
      </w:r>
      <w:r w:rsidR="00F769FA">
        <w:t>consideration period for up to seven</w:t>
      </w:r>
      <w:r>
        <w:t xml:space="preserve"> days at a time</w:t>
      </w:r>
      <w:r w:rsidR="00191CF2">
        <w:t>. There is no cap on the number of times that the two parties may agree to extend the period.</w:t>
      </w:r>
      <w:r>
        <w:t xml:space="preserve"> </w:t>
      </w:r>
      <w:r>
        <w:rPr>
          <w:rStyle w:val="Referencingstyle"/>
        </w:rPr>
        <w:t>[</w:t>
      </w:r>
      <w:r w:rsidR="0091286C">
        <w:rPr>
          <w:rStyle w:val="Referencingstyle"/>
        </w:rPr>
        <w:t>Schedule </w:t>
      </w:r>
      <w:r w:rsidR="00464B03">
        <w:rPr>
          <w:rStyle w:val="Referencingstyle"/>
        </w:rPr>
        <w:t xml:space="preserve">1, </w:t>
      </w:r>
      <w:r w:rsidR="0091286C">
        <w:rPr>
          <w:rStyle w:val="Referencingstyle"/>
        </w:rPr>
        <w:t>item </w:t>
      </w:r>
      <w:r w:rsidR="00464B03">
        <w:rPr>
          <w:rStyle w:val="Referencingstyle"/>
        </w:rPr>
        <w:t xml:space="preserve">1, </w:t>
      </w:r>
      <w:r w:rsidR="0091286C">
        <w:rPr>
          <w:rStyle w:val="Referencingstyle"/>
        </w:rPr>
        <w:t>subsection </w:t>
      </w:r>
      <w:r w:rsidR="00464B03">
        <w:rPr>
          <w:rStyle w:val="Referencingstyle"/>
        </w:rPr>
        <w:t>1213</w:t>
      </w:r>
      <w:r w:rsidR="00D777E0">
        <w:rPr>
          <w:rStyle w:val="Referencingstyle"/>
        </w:rPr>
        <w:t>D</w:t>
      </w:r>
      <w:r w:rsidR="00464B03">
        <w:rPr>
          <w:rStyle w:val="Referencingstyle"/>
        </w:rPr>
        <w:t>(2)</w:t>
      </w:r>
      <w:r>
        <w:rPr>
          <w:rStyle w:val="Referencingstyle"/>
        </w:rPr>
        <w:t>]</w:t>
      </w:r>
    </w:p>
    <w:p w14:paraId="2204BB8B" w14:textId="77777777" w:rsidR="00403C1D" w:rsidRDefault="00403C1D" w:rsidP="00403C1D">
      <w:pPr>
        <w:pStyle w:val="Heading3"/>
      </w:pPr>
      <w:r>
        <w:t>Register of Passport Funds</w:t>
      </w:r>
    </w:p>
    <w:p w14:paraId="2FFE0BE1" w14:textId="1E1F55B9" w:rsidR="00403C1D" w:rsidRDefault="00403C1D" w:rsidP="00403C1D">
      <w:pPr>
        <w:pStyle w:val="base-text-paragraph"/>
      </w:pPr>
      <w:r>
        <w:t>ASIC must ensure that a Register of Passport Funds (the Register) is maintained. The Register must include details of Australian passport fund</w:t>
      </w:r>
      <w:r w:rsidR="0072605C">
        <w:t>s</w:t>
      </w:r>
      <w:r>
        <w:t xml:space="preserve"> and notified foreign passport funds (that is, funds </w:t>
      </w:r>
      <w:r w:rsidR="00DE5CD0">
        <w:t>permitted</w:t>
      </w:r>
      <w:r>
        <w:t xml:space="preserve"> to offer interests in Australia)</w:t>
      </w:r>
      <w:r w:rsidR="00FD65A1">
        <w:t>, and may also include details of other passport funds</w:t>
      </w:r>
      <w:r>
        <w:t xml:space="preserve">. </w:t>
      </w:r>
      <w:r>
        <w:rPr>
          <w:rStyle w:val="Referencingstyle"/>
        </w:rPr>
        <w:t>[</w:t>
      </w:r>
      <w:r w:rsidR="00084DBC">
        <w:rPr>
          <w:rStyle w:val="Referencingstyle"/>
        </w:rPr>
        <w:t>Schedule </w:t>
      </w:r>
      <w:r>
        <w:rPr>
          <w:rStyle w:val="Referencingstyle"/>
        </w:rPr>
        <w:t xml:space="preserve">1, </w:t>
      </w:r>
      <w:r w:rsidR="00084DBC">
        <w:rPr>
          <w:rStyle w:val="Referencingstyle"/>
        </w:rPr>
        <w:t>item </w:t>
      </w:r>
      <w:r>
        <w:rPr>
          <w:rStyle w:val="Referencingstyle"/>
        </w:rPr>
        <w:t xml:space="preserve">1, </w:t>
      </w:r>
      <w:r w:rsidR="00084DBC">
        <w:rPr>
          <w:rStyle w:val="Referencingstyle"/>
        </w:rPr>
        <w:t>subsections </w:t>
      </w:r>
      <w:r>
        <w:rPr>
          <w:rStyle w:val="Referencingstyle"/>
        </w:rPr>
        <w:t>1214</w:t>
      </w:r>
      <w:r w:rsidR="00FD65A1">
        <w:rPr>
          <w:rStyle w:val="Referencingstyle"/>
        </w:rPr>
        <w:t>(1) and (3)</w:t>
      </w:r>
      <w:r>
        <w:rPr>
          <w:rStyle w:val="Referencingstyle"/>
        </w:rPr>
        <w:t>]</w:t>
      </w:r>
    </w:p>
    <w:p w14:paraId="3177A0BF" w14:textId="1E8F9DB6" w:rsidR="00403C1D" w:rsidRDefault="00403C1D" w:rsidP="00403C1D">
      <w:pPr>
        <w:pStyle w:val="base-text-paragraph"/>
      </w:pPr>
      <w:r>
        <w:t>ASIC must ensure the details of Australian passport funds are recorded on the Register at the time that the fund is registered as a passport fund</w:t>
      </w:r>
      <w:r w:rsidR="00084DBC">
        <w:t>.</w:t>
      </w:r>
      <w:r>
        <w:t xml:space="preserve"> </w:t>
      </w:r>
      <w:r>
        <w:rPr>
          <w:rStyle w:val="Referencingstyle"/>
        </w:rPr>
        <w:t>[</w:t>
      </w:r>
      <w:r w:rsidR="00084DBC">
        <w:rPr>
          <w:rStyle w:val="Referencingstyle"/>
        </w:rPr>
        <w:t>Schedule </w:t>
      </w:r>
      <w:r>
        <w:rPr>
          <w:rStyle w:val="Referencingstyle"/>
        </w:rPr>
        <w:t xml:space="preserve">1, </w:t>
      </w:r>
      <w:r w:rsidR="00084DBC">
        <w:rPr>
          <w:rStyle w:val="Referencingstyle"/>
        </w:rPr>
        <w:t>item </w:t>
      </w:r>
      <w:r>
        <w:rPr>
          <w:rStyle w:val="Referencingstyle"/>
        </w:rPr>
        <w:t xml:space="preserve">1, </w:t>
      </w:r>
      <w:r w:rsidR="00084DBC">
        <w:rPr>
          <w:rStyle w:val="Referencingstyle"/>
        </w:rPr>
        <w:t>subsection </w:t>
      </w:r>
      <w:r>
        <w:rPr>
          <w:rStyle w:val="Referencingstyle"/>
        </w:rPr>
        <w:t>1212A(2)]</w:t>
      </w:r>
    </w:p>
    <w:p w14:paraId="298BFBFE" w14:textId="048C235B" w:rsidR="00403C1D" w:rsidRPr="00860096" w:rsidRDefault="00403C1D" w:rsidP="00403C1D">
      <w:pPr>
        <w:pStyle w:val="base-text-paragraph"/>
        <w:rPr>
          <w:rStyle w:val="Referencingstyle"/>
          <w:b w:val="0"/>
          <w:i w:val="0"/>
          <w:sz w:val="22"/>
        </w:rPr>
      </w:pPr>
      <w:r>
        <w:t>The Register may be established and maintained by ASIC</w:t>
      </w:r>
      <w:r w:rsidR="00084DBC">
        <w:t>,</w:t>
      </w:r>
      <w:r>
        <w:t xml:space="preserve"> or a third party on behalf of ASIC.</w:t>
      </w:r>
      <w:r w:rsidR="00754326">
        <w:t xml:space="preserve"> ASIC is free to determine the form in which the Register is kept.</w:t>
      </w:r>
      <w:r>
        <w:t xml:space="preserve"> </w:t>
      </w:r>
      <w:r>
        <w:rPr>
          <w:rStyle w:val="Referencingstyle"/>
        </w:rPr>
        <w:t>[</w:t>
      </w:r>
      <w:r w:rsidR="00084DBC">
        <w:rPr>
          <w:rStyle w:val="Referencingstyle"/>
        </w:rPr>
        <w:t>Schedule </w:t>
      </w:r>
      <w:r>
        <w:rPr>
          <w:rStyle w:val="Referencingstyle"/>
        </w:rPr>
        <w:t xml:space="preserve">1, </w:t>
      </w:r>
      <w:r w:rsidR="00084DBC">
        <w:rPr>
          <w:rStyle w:val="Referencingstyle"/>
        </w:rPr>
        <w:t>item </w:t>
      </w:r>
      <w:r>
        <w:rPr>
          <w:rStyle w:val="Referencingstyle"/>
        </w:rPr>
        <w:t xml:space="preserve">1, </w:t>
      </w:r>
      <w:r w:rsidR="00084DBC">
        <w:rPr>
          <w:rStyle w:val="Referencingstyle"/>
        </w:rPr>
        <w:t>subsections </w:t>
      </w:r>
      <w:r>
        <w:rPr>
          <w:rStyle w:val="Referencingstyle"/>
        </w:rPr>
        <w:t>1214(1)(</w:t>
      </w:r>
      <w:r w:rsidR="00754326">
        <w:rPr>
          <w:rStyle w:val="Referencingstyle"/>
        </w:rPr>
        <w:t xml:space="preserve"> and</w:t>
      </w:r>
      <w:r w:rsidR="00FD65A1">
        <w:rPr>
          <w:rStyle w:val="Referencingstyle"/>
        </w:rPr>
        <w:t xml:space="preserve"> </w:t>
      </w:r>
      <w:r w:rsidR="00754326">
        <w:rPr>
          <w:rStyle w:val="Referencingstyle"/>
        </w:rPr>
        <w:t>(</w:t>
      </w:r>
      <w:r w:rsidR="00FD65A1">
        <w:rPr>
          <w:rStyle w:val="Referencingstyle"/>
        </w:rPr>
        <w:t>2</w:t>
      </w:r>
      <w:r>
        <w:rPr>
          <w:rStyle w:val="Referencingstyle"/>
        </w:rPr>
        <w:t>)]</w:t>
      </w:r>
    </w:p>
    <w:p w14:paraId="0FC5F68F" w14:textId="77777777" w:rsidR="00860096" w:rsidRDefault="00860096" w:rsidP="00860096"/>
    <w:p w14:paraId="0669BA11" w14:textId="509FDAEE" w:rsidR="00BB1B03" w:rsidRDefault="00BB1B03" w:rsidP="00EF40E0">
      <w:pPr>
        <w:sectPr w:rsidR="00BB1B03" w:rsidSect="003D5919">
          <w:headerReference w:type="even" r:id="rId40"/>
          <w:headerReference w:type="default" r:id="rId41"/>
          <w:footerReference w:type="even" r:id="rId42"/>
          <w:footerReference w:type="default" r:id="rId43"/>
          <w:footerReference w:type="first" r:id="rId44"/>
          <w:type w:val="oddPage"/>
          <w:pgSz w:w="11906" w:h="16838" w:code="9"/>
          <w:pgMar w:top="2466" w:right="2098" w:bottom="2466" w:left="2098" w:header="1559" w:footer="1899" w:gutter="0"/>
          <w:cols w:space="708"/>
          <w:titlePg/>
          <w:docGrid w:linePitch="360"/>
        </w:sectPr>
      </w:pPr>
    </w:p>
    <w:p w14:paraId="37DD068B" w14:textId="77AC3A7F" w:rsidR="007914B5" w:rsidRPr="00F51A71" w:rsidRDefault="007914B5" w:rsidP="00A52B98">
      <w:pPr>
        <w:pStyle w:val="ChapterHeading"/>
        <w:numPr>
          <w:ilvl w:val="0"/>
          <w:numId w:val="25"/>
        </w:numPr>
        <w:tabs>
          <w:tab w:val="clear" w:pos="1134"/>
          <w:tab w:val="num" w:pos="360"/>
        </w:tabs>
      </w:pPr>
      <w:r w:rsidRPr="00F51A71">
        <w:lastRenderedPageBreak/>
        <w:br/>
      </w:r>
      <w:bookmarkStart w:id="5" w:name="_Toc490750342"/>
      <w:r w:rsidR="006D7B8E">
        <w:t xml:space="preserve">Members’ </w:t>
      </w:r>
      <w:r w:rsidR="00860096">
        <w:t xml:space="preserve">rights </w:t>
      </w:r>
      <w:r w:rsidR="006D7B8E">
        <w:t xml:space="preserve">to </w:t>
      </w:r>
      <w:r w:rsidR="00860096">
        <w:t>certain records</w:t>
      </w:r>
      <w:bookmarkEnd w:id="5"/>
    </w:p>
    <w:p w14:paraId="3550C69B" w14:textId="4DA11878" w:rsidR="007914B5" w:rsidRDefault="007914B5" w:rsidP="007914B5">
      <w:pPr>
        <w:pStyle w:val="Heading2"/>
      </w:pPr>
      <w:r>
        <w:t>Outline of chapter</w:t>
      </w:r>
    </w:p>
    <w:p w14:paraId="76E0066A" w14:textId="56F1DCF4" w:rsidR="007914B5" w:rsidRDefault="00197825" w:rsidP="00A52B98">
      <w:pPr>
        <w:pStyle w:val="base-text-paragraph"/>
        <w:numPr>
          <w:ilvl w:val="1"/>
          <w:numId w:val="25"/>
        </w:numPr>
      </w:pPr>
      <w:r>
        <w:t>Division </w:t>
      </w:r>
      <w:r w:rsidR="003F06C3">
        <w:t xml:space="preserve">3 of </w:t>
      </w:r>
      <w:r>
        <w:t>Part </w:t>
      </w:r>
      <w:r w:rsidR="00C40057">
        <w:t xml:space="preserve">8A.4 of the new law provides </w:t>
      </w:r>
      <w:r w:rsidR="00AE4585">
        <w:t>certain</w:t>
      </w:r>
      <w:r w:rsidR="008D4744">
        <w:t xml:space="preserve"> person</w:t>
      </w:r>
      <w:r w:rsidR="00AE4585">
        <w:t>s</w:t>
      </w:r>
      <w:r w:rsidR="00C40057">
        <w:t xml:space="preserve"> with the right to obtain a copy of the register of members or the constitution. It also restricts the purposes for which the register of members may be used.</w:t>
      </w:r>
    </w:p>
    <w:p w14:paraId="738DB1C5" w14:textId="77777777" w:rsidR="007914B5" w:rsidRDefault="007914B5" w:rsidP="007914B5">
      <w:pPr>
        <w:pStyle w:val="Heading2"/>
      </w:pPr>
      <w:r>
        <w:t>Summary of new law</w:t>
      </w:r>
    </w:p>
    <w:p w14:paraId="73FCE45A" w14:textId="17B65C8D" w:rsidR="007953E8" w:rsidRDefault="00C40057" w:rsidP="00A52B98">
      <w:pPr>
        <w:pStyle w:val="base-text-paragraph"/>
        <w:numPr>
          <w:ilvl w:val="1"/>
          <w:numId w:val="25"/>
        </w:numPr>
      </w:pPr>
      <w:r>
        <w:t xml:space="preserve">A </w:t>
      </w:r>
      <w:r w:rsidR="00AE4585">
        <w:t xml:space="preserve">member or former member may request a copy of the constitution, and any </w:t>
      </w:r>
      <w:r w:rsidR="008D4744">
        <w:t>person</w:t>
      </w:r>
      <w:r>
        <w:t xml:space="preserve"> may request a copy of the register of members</w:t>
      </w:r>
      <w:r w:rsidR="00B114E9">
        <w:t xml:space="preserve"> </w:t>
      </w:r>
      <w:r>
        <w:t xml:space="preserve">from the operator of </w:t>
      </w:r>
      <w:r w:rsidR="00F178C4">
        <w:t>a notified foreign passport</w:t>
      </w:r>
      <w:r>
        <w:t xml:space="preserve"> fund. The operator must provide </w:t>
      </w:r>
      <w:r w:rsidR="007953E8">
        <w:t>a copy in English</w:t>
      </w:r>
      <w:r w:rsidR="00197825">
        <w:t>,</w:t>
      </w:r>
      <w:r>
        <w:t xml:space="preserve"> </w:t>
      </w:r>
      <w:r w:rsidR="00F178C4">
        <w:t xml:space="preserve">or in an official language of the home economy of the fund </w:t>
      </w:r>
      <w:r>
        <w:t xml:space="preserve">within </w:t>
      </w:r>
      <w:r w:rsidR="00197825">
        <w:t>seven </w:t>
      </w:r>
      <w:r>
        <w:t>days after receiving the application. The applicant must pay the reasonable costs of providing the copy</w:t>
      </w:r>
      <w:r w:rsidR="007953E8">
        <w:t>.</w:t>
      </w:r>
    </w:p>
    <w:p w14:paraId="5087C654" w14:textId="64113A95" w:rsidR="00C40057" w:rsidRPr="008F726E" w:rsidRDefault="007953E8" w:rsidP="00A52B98">
      <w:pPr>
        <w:pStyle w:val="base-text-paragraph"/>
        <w:numPr>
          <w:ilvl w:val="1"/>
          <w:numId w:val="25"/>
        </w:numPr>
      </w:pPr>
      <w:r>
        <w:t>Information obtained from a register of members cannot be used</w:t>
      </w:r>
      <w:r w:rsidR="00FD4D1C">
        <w:t xml:space="preserve"> </w:t>
      </w:r>
      <w:r>
        <w:t>to contact</w:t>
      </w:r>
      <w:r w:rsidR="00197825">
        <w:t>,</w:t>
      </w:r>
      <w:r>
        <w:t xml:space="preserve"> or</w:t>
      </w:r>
      <w:r w:rsidR="00F916D2">
        <w:t xml:space="preserve"> send material to other members</w:t>
      </w:r>
      <w:r w:rsidR="00197825">
        <w:t>,</w:t>
      </w:r>
      <w:r w:rsidR="00F34914">
        <w:t xml:space="preserve"> other than in accordance with the law</w:t>
      </w:r>
      <w:r w:rsidR="00C40057">
        <w:t>.</w:t>
      </w:r>
    </w:p>
    <w:p w14:paraId="2A371021" w14:textId="46993A2C" w:rsidR="007914B5" w:rsidRDefault="007914B5" w:rsidP="007914B5">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7914B5" w:rsidRPr="004666B8" w14:paraId="77026927" w14:textId="77777777" w:rsidTr="00197825">
        <w:trPr>
          <w:cantSplit/>
          <w:tblHeader/>
        </w:trPr>
        <w:tc>
          <w:tcPr>
            <w:tcW w:w="3275" w:type="dxa"/>
          </w:tcPr>
          <w:p w14:paraId="1D729E01" w14:textId="77777777" w:rsidR="007914B5" w:rsidRPr="004666B8" w:rsidRDefault="007914B5" w:rsidP="007914B5">
            <w:pPr>
              <w:pStyle w:val="tableheaderwithintable"/>
              <w:rPr>
                <w:lang w:val="en-US" w:eastAsia="en-US"/>
              </w:rPr>
            </w:pPr>
            <w:r w:rsidRPr="004666B8">
              <w:rPr>
                <w:lang w:val="en-US" w:eastAsia="en-US"/>
              </w:rPr>
              <w:t>New law</w:t>
            </w:r>
          </w:p>
        </w:tc>
        <w:tc>
          <w:tcPr>
            <w:tcW w:w="3276" w:type="dxa"/>
          </w:tcPr>
          <w:p w14:paraId="512441F0" w14:textId="77777777" w:rsidR="007914B5" w:rsidRPr="004666B8" w:rsidRDefault="007914B5" w:rsidP="007914B5">
            <w:pPr>
              <w:pStyle w:val="tableheaderwithintable"/>
              <w:rPr>
                <w:lang w:val="en-US" w:eastAsia="en-US"/>
              </w:rPr>
            </w:pPr>
            <w:r w:rsidRPr="004666B8">
              <w:rPr>
                <w:lang w:val="en-US" w:eastAsia="en-US"/>
              </w:rPr>
              <w:t>Current law</w:t>
            </w:r>
          </w:p>
        </w:tc>
      </w:tr>
      <w:tr w:rsidR="007914B5" w:rsidRPr="004666B8" w14:paraId="3C965C6E" w14:textId="77777777" w:rsidTr="007914B5">
        <w:tc>
          <w:tcPr>
            <w:tcW w:w="3275" w:type="dxa"/>
          </w:tcPr>
          <w:p w14:paraId="3288FC9F" w14:textId="3D43633A" w:rsidR="007914B5" w:rsidRPr="004666B8" w:rsidRDefault="008E49A7" w:rsidP="00810B5C">
            <w:pPr>
              <w:pStyle w:val="tabletext"/>
              <w:rPr>
                <w:lang w:val="en-US" w:eastAsia="en-US"/>
              </w:rPr>
            </w:pPr>
            <w:r>
              <w:rPr>
                <w:lang w:val="en-US" w:eastAsia="en-US"/>
              </w:rPr>
              <w:t>A</w:t>
            </w:r>
            <w:r w:rsidR="00810B5C">
              <w:rPr>
                <w:lang w:val="en-US" w:eastAsia="en-US"/>
              </w:rPr>
              <w:t xml:space="preserve"> </w:t>
            </w:r>
            <w:r w:rsidR="00AE4585">
              <w:rPr>
                <w:lang w:val="en-US" w:eastAsia="en-US"/>
              </w:rPr>
              <w:t xml:space="preserve">member or a </w:t>
            </w:r>
            <w:r w:rsidR="00810B5C">
              <w:rPr>
                <w:lang w:val="en-US" w:eastAsia="en-US"/>
              </w:rPr>
              <w:t>person</w:t>
            </w:r>
            <w:r w:rsidR="00AE4585">
              <w:rPr>
                <w:lang w:val="en-US" w:eastAsia="en-US"/>
              </w:rPr>
              <w:t xml:space="preserve"> respectively</w:t>
            </w:r>
            <w:r>
              <w:rPr>
                <w:lang w:val="en-US" w:eastAsia="en-US"/>
              </w:rPr>
              <w:t xml:space="preserve"> may request a copy of the </w:t>
            </w:r>
            <w:r w:rsidR="008D4744">
              <w:rPr>
                <w:lang w:val="en-US" w:eastAsia="en-US"/>
              </w:rPr>
              <w:t>constitution</w:t>
            </w:r>
            <w:r w:rsidR="00B114E9">
              <w:rPr>
                <w:lang w:val="en-US" w:eastAsia="en-US"/>
              </w:rPr>
              <w:t xml:space="preserve"> or</w:t>
            </w:r>
            <w:r w:rsidR="008D4744">
              <w:rPr>
                <w:lang w:val="en-US" w:eastAsia="en-US"/>
              </w:rPr>
              <w:t xml:space="preserve"> of the </w:t>
            </w:r>
            <w:r>
              <w:rPr>
                <w:lang w:val="en-US" w:eastAsia="en-US"/>
              </w:rPr>
              <w:t xml:space="preserve">register of members. The </w:t>
            </w:r>
            <w:r w:rsidR="00DF27A9">
              <w:rPr>
                <w:lang w:val="en-US" w:eastAsia="en-US"/>
              </w:rPr>
              <w:t xml:space="preserve">member or </w:t>
            </w:r>
            <w:r w:rsidR="008D4744">
              <w:rPr>
                <w:lang w:val="en-US" w:eastAsia="en-US"/>
              </w:rPr>
              <w:t xml:space="preserve">person </w:t>
            </w:r>
            <w:r>
              <w:rPr>
                <w:lang w:val="en-US" w:eastAsia="en-US"/>
              </w:rPr>
              <w:t xml:space="preserve">must pay the </w:t>
            </w:r>
            <w:r w:rsidR="00255BA7">
              <w:rPr>
                <w:lang w:val="en-US" w:eastAsia="en-US"/>
              </w:rPr>
              <w:t>required fee</w:t>
            </w:r>
            <w:r>
              <w:rPr>
                <w:lang w:val="en-US" w:eastAsia="en-US"/>
              </w:rPr>
              <w:t>.</w:t>
            </w:r>
          </w:p>
        </w:tc>
        <w:tc>
          <w:tcPr>
            <w:tcW w:w="3276" w:type="dxa"/>
          </w:tcPr>
          <w:p w14:paraId="4C50388D" w14:textId="594A6D38" w:rsidR="007914B5" w:rsidRPr="004666B8" w:rsidRDefault="00D82A53" w:rsidP="00810B5C">
            <w:pPr>
              <w:pStyle w:val="tabletext"/>
              <w:rPr>
                <w:lang w:val="en-US" w:eastAsia="en-US"/>
              </w:rPr>
            </w:pPr>
            <w:r>
              <w:rPr>
                <w:lang w:val="en-US" w:eastAsia="en-US"/>
              </w:rPr>
              <w:t>A member of an Australian registere</w:t>
            </w:r>
            <w:r w:rsidR="00255BA7">
              <w:rPr>
                <w:lang w:val="en-US" w:eastAsia="en-US"/>
              </w:rPr>
              <w:t>d scheme may request a copy of the</w:t>
            </w:r>
            <w:r>
              <w:rPr>
                <w:lang w:val="en-US" w:eastAsia="en-US"/>
              </w:rPr>
              <w:t xml:space="preserve"> </w:t>
            </w:r>
            <w:r w:rsidR="00255BA7">
              <w:rPr>
                <w:lang w:val="en-US" w:eastAsia="en-US"/>
              </w:rPr>
              <w:t>constitution</w:t>
            </w:r>
            <w:r>
              <w:rPr>
                <w:lang w:val="en-US" w:eastAsia="en-US"/>
              </w:rPr>
              <w:t xml:space="preserve">. </w:t>
            </w:r>
            <w:r w:rsidR="008D4744">
              <w:rPr>
                <w:lang w:val="en-US" w:eastAsia="en-US"/>
              </w:rPr>
              <w:t xml:space="preserve">Anyone may request a copy of the register of members. </w:t>
            </w:r>
            <w:r>
              <w:rPr>
                <w:lang w:val="en-US" w:eastAsia="en-US"/>
              </w:rPr>
              <w:t>The member</w:t>
            </w:r>
            <w:r w:rsidR="008D4744">
              <w:rPr>
                <w:lang w:val="en-US" w:eastAsia="en-US"/>
              </w:rPr>
              <w:t xml:space="preserve"> or person</w:t>
            </w:r>
            <w:r>
              <w:rPr>
                <w:lang w:val="en-US" w:eastAsia="en-US"/>
              </w:rPr>
              <w:t xml:space="preserve"> must pay the required fee.</w:t>
            </w:r>
          </w:p>
        </w:tc>
      </w:tr>
      <w:tr w:rsidR="00255BA7" w:rsidRPr="004666B8" w14:paraId="486C70EA" w14:textId="77777777" w:rsidTr="007914B5">
        <w:tc>
          <w:tcPr>
            <w:tcW w:w="3275" w:type="dxa"/>
          </w:tcPr>
          <w:p w14:paraId="065AEB17" w14:textId="18A145CC" w:rsidR="00255BA7" w:rsidRDefault="00255BA7" w:rsidP="00DF27A9">
            <w:pPr>
              <w:pStyle w:val="tabletext"/>
              <w:rPr>
                <w:lang w:val="en-US" w:eastAsia="en-US"/>
              </w:rPr>
            </w:pPr>
            <w:r>
              <w:rPr>
                <w:lang w:val="en-US" w:eastAsia="en-US"/>
              </w:rPr>
              <w:t>Cop</w:t>
            </w:r>
            <w:r w:rsidR="00DF27A9">
              <w:rPr>
                <w:lang w:val="en-US" w:eastAsia="en-US"/>
              </w:rPr>
              <w:t>ies</w:t>
            </w:r>
            <w:r>
              <w:rPr>
                <w:lang w:val="en-US" w:eastAsia="en-US"/>
              </w:rPr>
              <w:t xml:space="preserve"> must be sent (but </w:t>
            </w:r>
            <w:r w:rsidR="00DF6B23">
              <w:rPr>
                <w:lang w:val="en-US" w:eastAsia="en-US"/>
              </w:rPr>
              <w:t xml:space="preserve">not </w:t>
            </w:r>
            <w:r>
              <w:rPr>
                <w:lang w:val="en-US" w:eastAsia="en-US"/>
              </w:rPr>
              <w:t>necessarily received) within seven days unless ASIC allows a longer period</w:t>
            </w:r>
          </w:p>
        </w:tc>
        <w:tc>
          <w:tcPr>
            <w:tcW w:w="3276" w:type="dxa"/>
          </w:tcPr>
          <w:p w14:paraId="68F98B93" w14:textId="24A6D15F" w:rsidR="00255BA7" w:rsidRPr="00255BA7" w:rsidRDefault="00255BA7" w:rsidP="00D82A53">
            <w:pPr>
              <w:pStyle w:val="tabletext"/>
              <w:rPr>
                <w:sz w:val="22"/>
                <w:lang w:val="en-US" w:eastAsia="en-US"/>
              </w:rPr>
            </w:pPr>
            <w:r>
              <w:rPr>
                <w:lang w:val="en-US" w:eastAsia="en-US"/>
              </w:rPr>
              <w:t xml:space="preserve">Copies </w:t>
            </w:r>
            <w:r w:rsidR="008D4744">
              <w:rPr>
                <w:lang w:val="en-US" w:eastAsia="en-US"/>
              </w:rPr>
              <w:t xml:space="preserve">of the register of members </w:t>
            </w:r>
            <w:r>
              <w:rPr>
                <w:lang w:val="en-US" w:eastAsia="en-US"/>
              </w:rPr>
              <w:t xml:space="preserve">must be provided within seven days. ASIC may allow a longer period for requests for copies of the register. </w:t>
            </w:r>
          </w:p>
        </w:tc>
      </w:tr>
      <w:tr w:rsidR="003851F2" w:rsidRPr="004666B8" w14:paraId="0E7EDF7C" w14:textId="77777777" w:rsidTr="00197825">
        <w:trPr>
          <w:cantSplit/>
        </w:trPr>
        <w:tc>
          <w:tcPr>
            <w:tcW w:w="3275" w:type="dxa"/>
          </w:tcPr>
          <w:p w14:paraId="2E6CFBF8" w14:textId="23507311" w:rsidR="006942B9" w:rsidRDefault="003851F2" w:rsidP="003851F2">
            <w:pPr>
              <w:pStyle w:val="tabletext"/>
              <w:rPr>
                <w:lang w:val="en-US" w:eastAsia="en-US"/>
              </w:rPr>
            </w:pPr>
            <w:r>
              <w:rPr>
                <w:lang w:val="en-US" w:eastAsia="en-US"/>
              </w:rPr>
              <w:lastRenderedPageBreak/>
              <w:t xml:space="preserve">The information in the register of members </w:t>
            </w:r>
            <w:r w:rsidR="006942B9">
              <w:rPr>
                <w:lang w:val="en-US" w:eastAsia="en-US"/>
              </w:rPr>
              <w:t>of a notified foreign passport fund</w:t>
            </w:r>
            <w:r w:rsidR="00255BA7">
              <w:rPr>
                <w:lang w:val="en-US" w:eastAsia="en-US"/>
              </w:rPr>
              <w:t xml:space="preserve"> or</w:t>
            </w:r>
            <w:r w:rsidR="00FD4D1C">
              <w:rPr>
                <w:lang w:val="en-US" w:eastAsia="en-US"/>
              </w:rPr>
              <w:t xml:space="preserve"> Australian scheme </w:t>
            </w:r>
            <w:r>
              <w:rPr>
                <w:lang w:val="en-US" w:eastAsia="en-US"/>
              </w:rPr>
              <w:t>must not be used, or disclosed for the purpose of using, it to</w:t>
            </w:r>
            <w:r w:rsidR="006942B9">
              <w:rPr>
                <w:lang w:val="en-US" w:eastAsia="en-US"/>
              </w:rPr>
              <w:t>:</w:t>
            </w:r>
          </w:p>
          <w:p w14:paraId="17E477F0" w14:textId="527CA23E" w:rsidR="006942B9" w:rsidRDefault="006942B9" w:rsidP="006942B9">
            <w:pPr>
              <w:pStyle w:val="tabledotpoint"/>
              <w:rPr>
                <w:lang w:val="en-US" w:eastAsia="en-US"/>
              </w:rPr>
            </w:pPr>
            <w:r>
              <w:rPr>
                <w:lang w:val="en-US" w:eastAsia="en-US"/>
              </w:rPr>
              <w:t>contact or send material to members, unless the material relates to the member’s interest or has been approved by the fund; or</w:t>
            </w:r>
          </w:p>
          <w:p w14:paraId="46494CD2" w14:textId="51CFDAA8" w:rsidR="003851F2" w:rsidRPr="006942B9" w:rsidRDefault="006942B9" w:rsidP="006942B9">
            <w:pPr>
              <w:pStyle w:val="tabledotpoint"/>
              <w:rPr>
                <w:lang w:val="en-US" w:eastAsia="en-US"/>
              </w:rPr>
            </w:pPr>
            <w:r w:rsidRPr="006942B9">
              <w:rPr>
                <w:lang w:val="en-US" w:eastAsia="en-US"/>
              </w:rPr>
              <w:t>any other purpose specified in regulations.</w:t>
            </w:r>
          </w:p>
        </w:tc>
        <w:tc>
          <w:tcPr>
            <w:tcW w:w="3276" w:type="dxa"/>
          </w:tcPr>
          <w:p w14:paraId="5CE97A89" w14:textId="605B2A8A" w:rsidR="003851F2" w:rsidRDefault="003851F2" w:rsidP="00591518">
            <w:pPr>
              <w:pStyle w:val="tabletext"/>
              <w:rPr>
                <w:lang w:val="en-US" w:eastAsia="en-US"/>
              </w:rPr>
            </w:pPr>
            <w:r>
              <w:rPr>
                <w:lang w:val="en-US" w:eastAsia="en-US"/>
              </w:rPr>
              <w:t xml:space="preserve">The information in </w:t>
            </w:r>
            <w:r w:rsidR="006942B9">
              <w:rPr>
                <w:lang w:val="en-US" w:eastAsia="en-US"/>
              </w:rPr>
              <w:t>a</w:t>
            </w:r>
            <w:r>
              <w:rPr>
                <w:lang w:val="en-US" w:eastAsia="en-US"/>
              </w:rPr>
              <w:t xml:space="preserve"> register of members </w:t>
            </w:r>
            <w:r w:rsidR="006942B9">
              <w:rPr>
                <w:lang w:val="en-US" w:eastAsia="en-US"/>
              </w:rPr>
              <w:t xml:space="preserve">for an Australian scheme </w:t>
            </w:r>
            <w:r>
              <w:rPr>
                <w:lang w:val="en-US" w:eastAsia="en-US"/>
              </w:rPr>
              <w:t>must not be used or disclosed for the purpose of using it to:</w:t>
            </w:r>
          </w:p>
          <w:p w14:paraId="6E55713B" w14:textId="66B316E0" w:rsidR="003851F2" w:rsidRDefault="003851F2" w:rsidP="003851F2">
            <w:pPr>
              <w:pStyle w:val="tabledotpoint"/>
              <w:rPr>
                <w:lang w:val="en-US" w:eastAsia="en-US"/>
              </w:rPr>
            </w:pPr>
            <w:r>
              <w:rPr>
                <w:lang w:val="en-US" w:eastAsia="en-US"/>
              </w:rPr>
              <w:t>contact or send material to members, unless the material relates to the member’s interest or has been approved by the fund; or</w:t>
            </w:r>
          </w:p>
          <w:p w14:paraId="0514EAC3" w14:textId="6D17148B" w:rsidR="003851F2" w:rsidRDefault="003851F2" w:rsidP="006942B9">
            <w:pPr>
              <w:pStyle w:val="tabledotpoint"/>
              <w:rPr>
                <w:lang w:val="en-US" w:eastAsia="en-US"/>
              </w:rPr>
            </w:pPr>
            <w:r>
              <w:rPr>
                <w:lang w:val="en-US" w:eastAsia="en-US"/>
              </w:rPr>
              <w:t>any other purpose specified in regulations.</w:t>
            </w:r>
          </w:p>
        </w:tc>
      </w:tr>
    </w:tbl>
    <w:p w14:paraId="6F64AE51" w14:textId="77777777" w:rsidR="007914B5" w:rsidRDefault="007914B5" w:rsidP="007914B5">
      <w:pPr>
        <w:pStyle w:val="Heading2"/>
      </w:pPr>
      <w:r>
        <w:t>Detailed explanation of new law</w:t>
      </w:r>
    </w:p>
    <w:p w14:paraId="63674AF0" w14:textId="480F152A" w:rsidR="00C40057" w:rsidRDefault="00C3479A" w:rsidP="00C40057">
      <w:pPr>
        <w:pStyle w:val="Heading3"/>
      </w:pPr>
      <w:r>
        <w:t xml:space="preserve">Obtaining </w:t>
      </w:r>
      <w:r w:rsidR="00C40057">
        <w:t>copies of the register of members and the constitution</w:t>
      </w:r>
    </w:p>
    <w:p w14:paraId="7D6FCA3E" w14:textId="221E47AE" w:rsidR="00C3479A" w:rsidRDefault="00C3479A" w:rsidP="00C3479A">
      <w:pPr>
        <w:pStyle w:val="Heading4"/>
      </w:pPr>
      <w:r>
        <w:t>Persons who ma</w:t>
      </w:r>
      <w:r w:rsidR="00E62E1E">
        <w:t>y</w:t>
      </w:r>
      <w:r>
        <w:t xml:space="preserve"> request a copy</w:t>
      </w:r>
    </w:p>
    <w:p w14:paraId="1FDD81D3" w14:textId="23A1844D" w:rsidR="00E71554" w:rsidRDefault="00EC4EB9" w:rsidP="00A52B98">
      <w:pPr>
        <w:pStyle w:val="base-text-paragraph"/>
        <w:numPr>
          <w:ilvl w:val="1"/>
          <w:numId w:val="25"/>
        </w:numPr>
      </w:pPr>
      <w:r>
        <w:t xml:space="preserve">A member or former member may request a copy of the constitution. </w:t>
      </w:r>
      <w:r w:rsidR="006D7B8E">
        <w:t>A</w:t>
      </w:r>
      <w:r w:rsidR="00B114E9">
        <w:t>nyone</w:t>
      </w:r>
      <w:r w:rsidR="00800E45">
        <w:t xml:space="preserve"> in Australia or a member or form</w:t>
      </w:r>
      <w:r w:rsidR="00872C1F">
        <w:t>er member regardless of where they are</w:t>
      </w:r>
      <w:r w:rsidR="00C40057">
        <w:t xml:space="preserve"> may request </w:t>
      </w:r>
      <w:r w:rsidR="006D7B8E">
        <w:t>a copy of the register of members</w:t>
      </w:r>
      <w:r w:rsidR="00E71554">
        <w:t xml:space="preserve">. </w:t>
      </w:r>
      <w:r w:rsidR="00574F66">
        <w:rPr>
          <w:rStyle w:val="Referencingstyle"/>
        </w:rPr>
        <w:t>[</w:t>
      </w:r>
      <w:r w:rsidR="00197825">
        <w:rPr>
          <w:rStyle w:val="Referencingstyle"/>
        </w:rPr>
        <w:t>Schedule </w:t>
      </w:r>
      <w:r w:rsidR="00574F66">
        <w:rPr>
          <w:rStyle w:val="Referencingstyle"/>
        </w:rPr>
        <w:t xml:space="preserve">1, </w:t>
      </w:r>
      <w:r w:rsidR="00197825">
        <w:rPr>
          <w:rStyle w:val="Referencingstyle"/>
        </w:rPr>
        <w:t>item </w:t>
      </w:r>
      <w:r w:rsidR="00574F66">
        <w:rPr>
          <w:rStyle w:val="Referencingstyle"/>
        </w:rPr>
        <w:t xml:space="preserve">1, </w:t>
      </w:r>
      <w:r w:rsidR="00197825">
        <w:rPr>
          <w:rStyle w:val="Referencingstyle"/>
        </w:rPr>
        <w:t>subsections </w:t>
      </w:r>
      <w:r w:rsidR="00574F66">
        <w:rPr>
          <w:rStyle w:val="Referencingstyle"/>
        </w:rPr>
        <w:t>1213F(1) and</w:t>
      </w:r>
      <w:r w:rsidR="001C50C1">
        <w:rPr>
          <w:rStyle w:val="Referencingstyle"/>
        </w:rPr>
        <w:t xml:space="preserve"> </w:t>
      </w:r>
      <w:r w:rsidR="00574F66">
        <w:rPr>
          <w:rStyle w:val="Referencingstyle"/>
        </w:rPr>
        <w:t>1213G(1)]</w:t>
      </w:r>
    </w:p>
    <w:p w14:paraId="47F7CC73" w14:textId="1579BED4" w:rsidR="00C243BF" w:rsidRDefault="00FF1496" w:rsidP="00A52B98">
      <w:pPr>
        <w:pStyle w:val="dotpoint"/>
        <w:numPr>
          <w:ilvl w:val="1"/>
          <w:numId w:val="25"/>
        </w:numPr>
      </w:pPr>
      <w:r>
        <w:t>Th</w:t>
      </w:r>
      <w:r w:rsidR="00DF6B23">
        <w:t>is</w:t>
      </w:r>
      <w:r>
        <w:t xml:space="preserve"> </w:t>
      </w:r>
      <w:r w:rsidR="00E71554">
        <w:t xml:space="preserve">new right only applies to notified </w:t>
      </w:r>
      <w:r>
        <w:t>foreign passport funds</w:t>
      </w:r>
      <w:r w:rsidR="00E71554">
        <w:t>, not to Australian passport funds</w:t>
      </w:r>
      <w:r w:rsidR="00574F66">
        <w:t xml:space="preserve"> </w:t>
      </w:r>
      <w:r w:rsidR="00574F66">
        <w:rPr>
          <w:rStyle w:val="Referencingstyle"/>
        </w:rPr>
        <w:t>[</w:t>
      </w:r>
      <w:r w:rsidR="00197825">
        <w:rPr>
          <w:rStyle w:val="Referencingstyle"/>
        </w:rPr>
        <w:t>Schedule </w:t>
      </w:r>
      <w:r w:rsidR="00574F66">
        <w:rPr>
          <w:rStyle w:val="Referencingstyle"/>
        </w:rPr>
        <w:t xml:space="preserve">1, </w:t>
      </w:r>
      <w:r w:rsidR="00197825">
        <w:rPr>
          <w:rStyle w:val="Referencingstyle"/>
        </w:rPr>
        <w:t>item </w:t>
      </w:r>
      <w:r w:rsidR="00574F66">
        <w:rPr>
          <w:rStyle w:val="Referencingstyle"/>
        </w:rPr>
        <w:t xml:space="preserve">1, </w:t>
      </w:r>
      <w:r w:rsidR="00197825">
        <w:rPr>
          <w:rStyle w:val="Referencingstyle"/>
        </w:rPr>
        <w:t>subsections </w:t>
      </w:r>
      <w:r w:rsidR="00574F66">
        <w:rPr>
          <w:rStyle w:val="Referencingstyle"/>
        </w:rPr>
        <w:t>1213F(1) and 1213G(1)]</w:t>
      </w:r>
      <w:r>
        <w:t xml:space="preserve">. </w:t>
      </w:r>
      <w:r w:rsidR="008D4744">
        <w:t>A person may already</w:t>
      </w:r>
      <w:r w:rsidR="00410437">
        <w:t xml:space="preserve"> inspect and obtain copies of registers of members under </w:t>
      </w:r>
      <w:r w:rsidR="00574F66">
        <w:t xml:space="preserve">existing </w:t>
      </w:r>
      <w:r w:rsidR="00197825">
        <w:t>section </w:t>
      </w:r>
      <w:r w:rsidR="00410437">
        <w:t xml:space="preserve">173 of the </w:t>
      </w:r>
      <w:r w:rsidR="00197825">
        <w:t>Corporations </w:t>
      </w:r>
      <w:r w:rsidR="00410437">
        <w:t>Act</w:t>
      </w:r>
      <w:r w:rsidR="005E2B14">
        <w:t>.</w:t>
      </w:r>
      <w:r w:rsidR="00410437">
        <w:t xml:space="preserve"> </w:t>
      </w:r>
      <w:r w:rsidR="00E71554">
        <w:t xml:space="preserve">Similarly, </w:t>
      </w:r>
      <w:r w:rsidR="008D4744">
        <w:t>members</w:t>
      </w:r>
      <w:r w:rsidR="00E71554">
        <w:t xml:space="preserve"> have a right to </w:t>
      </w:r>
      <w:r w:rsidR="008D4744">
        <w:t>a</w:t>
      </w:r>
      <w:r w:rsidR="00E71554">
        <w:t xml:space="preserve"> copy </w:t>
      </w:r>
      <w:r w:rsidR="00410437">
        <w:t xml:space="preserve">of the constitution </w:t>
      </w:r>
      <w:r w:rsidR="005E2B14">
        <w:t xml:space="preserve">under </w:t>
      </w:r>
      <w:r w:rsidR="00574F66">
        <w:t xml:space="preserve">existing </w:t>
      </w:r>
      <w:r w:rsidR="00197825">
        <w:t>subsection </w:t>
      </w:r>
      <w:r w:rsidR="00E71554">
        <w:t>601GC(4)</w:t>
      </w:r>
      <w:r>
        <w:t>.</w:t>
      </w:r>
    </w:p>
    <w:p w14:paraId="5CCA54A3" w14:textId="59D95236" w:rsidR="00605C7E" w:rsidRDefault="00605C7E" w:rsidP="00A52B98">
      <w:pPr>
        <w:pStyle w:val="dotpoint"/>
        <w:numPr>
          <w:ilvl w:val="1"/>
          <w:numId w:val="25"/>
        </w:numPr>
      </w:pPr>
      <w:r>
        <w:t>Registers of members generally include member contact information</w:t>
      </w:r>
      <w:r w:rsidR="00197825">
        <w:t>,</w:t>
      </w:r>
      <w:r>
        <w:t xml:space="preserve"> as well as details of the shares or interests held. This constitutes private information, and providing access to third parties </w:t>
      </w:r>
      <w:r w:rsidR="007C2D0E">
        <w:t>requires</w:t>
      </w:r>
      <w:r>
        <w:t xml:space="preserve"> justifi</w:t>
      </w:r>
      <w:r w:rsidR="007C2D0E">
        <w:t>cation</w:t>
      </w:r>
      <w:r>
        <w:t xml:space="preserve">. </w:t>
      </w:r>
      <w:r w:rsidR="00F7751D">
        <w:t>The main reason for granting such access is that in important respects it is in the member’s best interest. For example, critical member powers, such as taking action against company directors or scheme managers, may depend on calling of a general meeting and a vote</w:t>
      </w:r>
      <w:r w:rsidR="006E0537">
        <w:t xml:space="preserve"> on the proposed action</w:t>
      </w:r>
      <w:r w:rsidR="00F7751D">
        <w:t xml:space="preserve">. </w:t>
      </w:r>
      <w:r w:rsidR="006E0537">
        <w:t>Having access to member contact details through the register is vital</w:t>
      </w:r>
      <w:r w:rsidR="00F7751D">
        <w:t xml:space="preserve"> in order to obtain the necessary number of signatures for calling a meeting. Similarly,</w:t>
      </w:r>
      <w:r w:rsidR="006E0537">
        <w:t xml:space="preserve"> a bidder intending to take over a company is required to send a statement setting out the price and other terms it is willing to offer to all existing members for their consideration. As a takeover offer may be a valuable way of maximising shareholder value it is in the members’ best interests that access to their contact details is </w:t>
      </w:r>
      <w:r w:rsidR="006E0537">
        <w:lastRenderedPageBreak/>
        <w:t xml:space="preserve">available to bidders. Existing member register regimes, such as the one in </w:t>
      </w:r>
      <w:r w:rsidR="00197825">
        <w:t>Part </w:t>
      </w:r>
      <w:r w:rsidR="006E0537">
        <w:t>2C of the Corporations Act, therefore generally grant third parties the right to such access.</w:t>
      </w:r>
    </w:p>
    <w:p w14:paraId="578CE0A1" w14:textId="706F6026" w:rsidR="00FF1496" w:rsidRDefault="00C243BF" w:rsidP="00A52B98">
      <w:pPr>
        <w:pStyle w:val="dotpoint"/>
        <w:numPr>
          <w:ilvl w:val="1"/>
          <w:numId w:val="25"/>
        </w:numPr>
      </w:pPr>
      <w:r>
        <w:t xml:space="preserve">Failure to provide a copy as requested is an offence carrying a penalty of </w:t>
      </w:r>
      <w:r w:rsidR="00197825">
        <w:t>60 </w:t>
      </w:r>
      <w:r>
        <w:t>penalty units. These offences are given extended geographical reach because any breaches would be committed by the operator of a notified foreign passport fund, which will be a foreign entity. The category of geographical reach provided (</w:t>
      </w:r>
      <w:r w:rsidR="00197825">
        <w:t>Category </w:t>
      </w:r>
      <w:r>
        <w:t xml:space="preserve">A as set out in </w:t>
      </w:r>
      <w:r w:rsidR="00197825">
        <w:t>section </w:t>
      </w:r>
      <w:r>
        <w:t>15.1 of the</w:t>
      </w:r>
      <w:r w:rsidR="00800E45">
        <w:t xml:space="preserve"> </w:t>
      </w:r>
      <w:r>
        <w:t>Criminal Code</w:t>
      </w:r>
      <w:r w:rsidR="00081C6F">
        <w:t>)</w:t>
      </w:r>
      <w:r>
        <w:t xml:space="preserve"> will allow th</w:t>
      </w:r>
      <w:r w:rsidR="00081C6F">
        <w:t>e offence to apply to these entities</w:t>
      </w:r>
      <w:r>
        <w:t>, but it is noted that there is a defence for the operator if there is no corresponding offence in the home jurisdiction.</w:t>
      </w:r>
      <w:r w:rsidR="00410437">
        <w:t xml:space="preserve"> </w:t>
      </w:r>
      <w:r w:rsidR="00800E45">
        <w:rPr>
          <w:rStyle w:val="Referencingstyle"/>
        </w:rPr>
        <w:t>[</w:t>
      </w:r>
      <w:r w:rsidR="00197825">
        <w:rPr>
          <w:rStyle w:val="Referencingstyle"/>
        </w:rPr>
        <w:t>Schedule </w:t>
      </w:r>
      <w:r w:rsidR="00800E45">
        <w:rPr>
          <w:rStyle w:val="Referencingstyle"/>
        </w:rPr>
        <w:t xml:space="preserve">1, </w:t>
      </w:r>
      <w:r w:rsidR="00197825">
        <w:rPr>
          <w:rStyle w:val="Referencingstyle"/>
        </w:rPr>
        <w:t>item </w:t>
      </w:r>
      <w:r w:rsidR="00800E45">
        <w:rPr>
          <w:rStyle w:val="Referencingstyle"/>
        </w:rPr>
        <w:t xml:space="preserve">1, </w:t>
      </w:r>
      <w:r w:rsidR="00197825">
        <w:rPr>
          <w:rStyle w:val="Referencingstyle"/>
        </w:rPr>
        <w:t>subsections </w:t>
      </w:r>
      <w:r w:rsidR="00800E45">
        <w:rPr>
          <w:rStyle w:val="Referencingstyle"/>
        </w:rPr>
        <w:t>1213F(1) and (8) and 1213G(1) and (8)]</w:t>
      </w:r>
      <w:r>
        <w:t xml:space="preserve"> </w:t>
      </w:r>
    </w:p>
    <w:p w14:paraId="2BBDA052" w14:textId="03A85439" w:rsidR="00632871" w:rsidRDefault="00632871" w:rsidP="00A52B98">
      <w:pPr>
        <w:pStyle w:val="dotpoint"/>
        <w:numPr>
          <w:ilvl w:val="1"/>
          <w:numId w:val="25"/>
        </w:numPr>
      </w:pPr>
      <w:r>
        <w:t xml:space="preserve">Failure to provide a copy is also subject to the infringement notice scheme in </w:t>
      </w:r>
      <w:r w:rsidR="00197825">
        <w:t>Part </w:t>
      </w:r>
      <w:r>
        <w:t xml:space="preserve">5 of the </w:t>
      </w:r>
      <w:r w:rsidRPr="00C95FD7">
        <w:rPr>
          <w:i/>
        </w:rPr>
        <w:t>Regulatory Powers</w:t>
      </w:r>
      <w:r>
        <w:rPr>
          <w:i/>
        </w:rPr>
        <w:t xml:space="preserve"> (Standard Provisions) </w:t>
      </w:r>
      <w:r w:rsidR="00197825">
        <w:rPr>
          <w:i/>
        </w:rPr>
        <w:t>Act </w:t>
      </w:r>
      <w:r>
        <w:rPr>
          <w:i/>
        </w:rPr>
        <w:t>2014</w:t>
      </w:r>
      <w:r>
        <w:t xml:space="preserve"> (the Regulatory </w:t>
      </w:r>
      <w:r w:rsidR="00197825">
        <w:t>Powers </w:t>
      </w:r>
      <w:r>
        <w:t xml:space="preserve">Act). ASIC is the infringement officer responsible for issuing infringement notices. ASIC also has all of the powers of the ‘chief executive’ under the Regulatory </w:t>
      </w:r>
      <w:r w:rsidR="00197825">
        <w:t>Powers </w:t>
      </w:r>
      <w:r>
        <w:t xml:space="preserve">Act, for example, it may extend the time period for paying a notice or withdraw a notice. </w:t>
      </w:r>
      <w:r>
        <w:rPr>
          <w:rStyle w:val="Referencingstyle"/>
        </w:rPr>
        <w:t>[</w:t>
      </w:r>
      <w:r w:rsidR="00197825">
        <w:rPr>
          <w:rStyle w:val="Referencingstyle"/>
        </w:rPr>
        <w:t>Schedule </w:t>
      </w:r>
      <w:r>
        <w:rPr>
          <w:rStyle w:val="Referencingstyle"/>
        </w:rPr>
        <w:t xml:space="preserve">1, </w:t>
      </w:r>
      <w:r w:rsidR="00197825">
        <w:rPr>
          <w:rStyle w:val="Referencingstyle"/>
        </w:rPr>
        <w:t>item </w:t>
      </w:r>
      <w:r>
        <w:rPr>
          <w:rStyle w:val="Referencingstyle"/>
        </w:rPr>
        <w:t xml:space="preserve">1, </w:t>
      </w:r>
      <w:r w:rsidR="00197825">
        <w:rPr>
          <w:rStyle w:val="Referencingstyle"/>
        </w:rPr>
        <w:t>section </w:t>
      </w:r>
      <w:r>
        <w:rPr>
          <w:rStyle w:val="Referencingstyle"/>
        </w:rPr>
        <w:t>1216]</w:t>
      </w:r>
      <w:r>
        <w:t xml:space="preserve"> </w:t>
      </w:r>
    </w:p>
    <w:p w14:paraId="624927D3" w14:textId="25304B45" w:rsidR="005705E9" w:rsidRPr="008F726E" w:rsidRDefault="005705E9" w:rsidP="00A52B98">
      <w:pPr>
        <w:pStyle w:val="base-text-paragraph"/>
        <w:numPr>
          <w:ilvl w:val="1"/>
          <w:numId w:val="25"/>
        </w:numPr>
      </w:pPr>
      <w:r w:rsidRPr="007F1BB7">
        <w:t>The</w:t>
      </w:r>
      <w:r w:rsidRPr="005705E9">
        <w:rPr>
          <w:b/>
          <w:i/>
        </w:rPr>
        <w:t xml:space="preserve"> </w:t>
      </w:r>
      <w:r>
        <w:t xml:space="preserve">imposition of a strict liability offence together with an infringement notice regime is consistent with the </w:t>
      </w:r>
      <w:r w:rsidR="00723747" w:rsidRPr="00A70474">
        <w:t>Attorney</w:t>
      </w:r>
      <w:r w:rsidR="00723747">
        <w:noBreakHyphen/>
      </w:r>
      <w:r w:rsidRPr="00A70474">
        <w:t xml:space="preserve">General’s Department, </w:t>
      </w:r>
      <w:r w:rsidRPr="005705E9">
        <w:rPr>
          <w:i/>
        </w:rPr>
        <w:t xml:space="preserve">Guide to Framing Commonwealth Offences </w:t>
      </w:r>
      <w:r w:rsidRPr="00A70474">
        <w:t>(the Guide</w:t>
      </w:r>
      <w:r>
        <w:t xml:space="preserve"> – see </w:t>
      </w:r>
      <w:r w:rsidR="00723747">
        <w:t>Chapters </w:t>
      </w:r>
      <w:r>
        <w:t>2 and 6</w:t>
      </w:r>
      <w:r w:rsidRPr="00A70474">
        <w:t>)</w:t>
      </w:r>
      <w:r w:rsidRPr="005705E9">
        <w:rPr>
          <w:i/>
        </w:rPr>
        <w:t>.</w:t>
      </w:r>
      <w:r>
        <w:t xml:space="preserve"> It enhances the effectiveness of the enforcement regime and protects members’ right to access information about their fund. Requiring proof of fault would undermine deterrence as the offence is relatively minor and involves funds which are not based in Australia. Further, it would be difficult to prove that an operator intentionally failed to provide a requested document because this is peculiarly within the operator’s knowledge. Finally, as this is a strict liability offence, assessing whether a breach has occurred is straightforward and can be decided on a review of the facts in the case. The penalty amount is also </w:t>
      </w:r>
      <w:r w:rsidR="00BB1B03">
        <w:t>consistent</w:t>
      </w:r>
      <w:r>
        <w:t xml:space="preserve"> with the </w:t>
      </w:r>
      <w:r w:rsidR="009F1C8A">
        <w:t>Guide</w:t>
      </w:r>
      <w:r>
        <w:t>.</w:t>
      </w:r>
    </w:p>
    <w:p w14:paraId="268B1DBC" w14:textId="23F82EE9" w:rsidR="00C3479A" w:rsidRDefault="00C3479A" w:rsidP="00C3479A">
      <w:pPr>
        <w:pStyle w:val="Heading4"/>
      </w:pPr>
      <w:r>
        <w:t>Process for making a request</w:t>
      </w:r>
    </w:p>
    <w:p w14:paraId="50A82F8B" w14:textId="60234563" w:rsidR="00C3479A" w:rsidRDefault="008D4744" w:rsidP="00A52B98">
      <w:pPr>
        <w:pStyle w:val="dotpoint"/>
        <w:numPr>
          <w:ilvl w:val="1"/>
          <w:numId w:val="25"/>
        </w:numPr>
      </w:pPr>
      <w:r>
        <w:t>Requests</w:t>
      </w:r>
      <w:r w:rsidR="00C40057">
        <w:t xml:space="preserve"> for</w:t>
      </w:r>
      <w:r>
        <w:t xml:space="preserve"> copies of</w:t>
      </w:r>
      <w:r w:rsidR="00C40057">
        <w:t xml:space="preserve"> registers and constitutions </w:t>
      </w:r>
      <w:r>
        <w:t>must be</w:t>
      </w:r>
      <w:r w:rsidR="007A528A">
        <w:t xml:space="preserve"> </w:t>
      </w:r>
      <w:r w:rsidR="00C3479A">
        <w:t>provid</w:t>
      </w:r>
      <w:r>
        <w:t>ed</w:t>
      </w:r>
      <w:r w:rsidR="00C3479A">
        <w:t xml:space="preserve"> in writing</w:t>
      </w:r>
      <w:r w:rsidR="007A528A">
        <w:t xml:space="preserve"> </w:t>
      </w:r>
      <w:r w:rsidR="00C3479A">
        <w:t>to the operator of the fund and</w:t>
      </w:r>
      <w:r w:rsidR="00786CA2">
        <w:t xml:space="preserve"> </w:t>
      </w:r>
      <w:r w:rsidR="00C3479A">
        <w:t>the operator’s cost of providing the copy</w:t>
      </w:r>
      <w:r w:rsidR="00561839">
        <w:t xml:space="preserve"> must be paid</w:t>
      </w:r>
      <w:r w:rsidR="00C3479A">
        <w:t xml:space="preserve">. </w:t>
      </w:r>
      <w:r w:rsidR="00574F66">
        <w:rPr>
          <w:rStyle w:val="Referencingstyle"/>
        </w:rPr>
        <w:t>[</w:t>
      </w:r>
      <w:r w:rsidR="00197825">
        <w:rPr>
          <w:rStyle w:val="Referencingstyle"/>
        </w:rPr>
        <w:t>Schedule </w:t>
      </w:r>
      <w:r w:rsidR="00574F66">
        <w:rPr>
          <w:rStyle w:val="Referencingstyle"/>
        </w:rPr>
        <w:t xml:space="preserve">1, </w:t>
      </w:r>
      <w:r w:rsidR="00197825">
        <w:rPr>
          <w:rStyle w:val="Referencingstyle"/>
        </w:rPr>
        <w:t>item </w:t>
      </w:r>
      <w:r w:rsidR="00574F66">
        <w:rPr>
          <w:rStyle w:val="Referencingstyle"/>
        </w:rPr>
        <w:t xml:space="preserve">1, </w:t>
      </w:r>
      <w:r w:rsidR="00197825">
        <w:rPr>
          <w:rStyle w:val="Referencingstyle"/>
        </w:rPr>
        <w:t>paragraphs </w:t>
      </w:r>
      <w:r w:rsidR="00574F66">
        <w:rPr>
          <w:rStyle w:val="Referencingstyle"/>
        </w:rPr>
        <w:t>1213F(1)(c) and 1213G(1)(c)</w:t>
      </w:r>
      <w:r w:rsidR="00561839">
        <w:rPr>
          <w:rStyle w:val="Referencingstyle"/>
        </w:rPr>
        <w:t>,</w:t>
      </w:r>
      <w:r w:rsidR="00574F66">
        <w:rPr>
          <w:rStyle w:val="Referencingstyle"/>
        </w:rPr>
        <w:t xml:space="preserve"> </w:t>
      </w:r>
      <w:r w:rsidR="00197825">
        <w:rPr>
          <w:rStyle w:val="Referencingstyle"/>
        </w:rPr>
        <w:t>subsection </w:t>
      </w:r>
      <w:r w:rsidR="00574F66">
        <w:rPr>
          <w:rStyle w:val="Referencingstyle"/>
        </w:rPr>
        <w:t>1213F(2)</w:t>
      </w:r>
      <w:r w:rsidR="00561839">
        <w:rPr>
          <w:rStyle w:val="Referencingstyle"/>
        </w:rPr>
        <w:t xml:space="preserve"> and </w:t>
      </w:r>
      <w:r w:rsidR="00197825">
        <w:rPr>
          <w:rStyle w:val="Referencingstyle"/>
        </w:rPr>
        <w:t>paragraph </w:t>
      </w:r>
      <w:r w:rsidR="00561839">
        <w:rPr>
          <w:rStyle w:val="Referencingstyle"/>
        </w:rPr>
        <w:t>1213G(2)(a)</w:t>
      </w:r>
      <w:r w:rsidR="00574F66">
        <w:rPr>
          <w:rStyle w:val="Referencingstyle"/>
        </w:rPr>
        <w:t>]</w:t>
      </w:r>
    </w:p>
    <w:p w14:paraId="4320CD8A" w14:textId="1EA5EC16" w:rsidR="00574F66" w:rsidRDefault="00C3479A" w:rsidP="00A52B98">
      <w:pPr>
        <w:pStyle w:val="dotpoint"/>
        <w:numPr>
          <w:ilvl w:val="1"/>
          <w:numId w:val="25"/>
        </w:numPr>
      </w:pPr>
      <w:r>
        <w:t>The amount charged for providing a copy of the constitution is determined by the operator, but it must be reasonable and cannot exceed the amount prescribed</w:t>
      </w:r>
      <w:r w:rsidR="00574F66">
        <w:t xml:space="preserve"> </w:t>
      </w:r>
      <w:r w:rsidR="00574F66">
        <w:rPr>
          <w:rStyle w:val="Referencingstyle"/>
        </w:rPr>
        <w:t>[</w:t>
      </w:r>
      <w:r w:rsidR="00197825">
        <w:rPr>
          <w:rStyle w:val="Referencingstyle"/>
        </w:rPr>
        <w:t>Schedule </w:t>
      </w:r>
      <w:r w:rsidR="00574F66">
        <w:rPr>
          <w:rStyle w:val="Referencingstyle"/>
        </w:rPr>
        <w:t xml:space="preserve">1, </w:t>
      </w:r>
      <w:r w:rsidR="00197825">
        <w:rPr>
          <w:rStyle w:val="Referencingstyle"/>
        </w:rPr>
        <w:t>item </w:t>
      </w:r>
      <w:r w:rsidR="00574F66">
        <w:rPr>
          <w:rStyle w:val="Referencingstyle"/>
        </w:rPr>
        <w:t xml:space="preserve">1, </w:t>
      </w:r>
      <w:r w:rsidR="00197825">
        <w:rPr>
          <w:rStyle w:val="Referencingstyle"/>
        </w:rPr>
        <w:t>paragraphs </w:t>
      </w:r>
      <w:r w:rsidR="00574F66">
        <w:rPr>
          <w:rStyle w:val="Referencingstyle"/>
        </w:rPr>
        <w:t>1213F(1)(c) and 1213G(1)(c)]</w:t>
      </w:r>
      <w:r>
        <w:t>. An amount is reasonable if it reflect</w:t>
      </w:r>
      <w:r w:rsidR="00DF6B23">
        <w:t>s</w:t>
      </w:r>
      <w:r>
        <w:t xml:space="preserve"> the operator’s </w:t>
      </w:r>
      <w:r w:rsidR="00255BA7">
        <w:lastRenderedPageBreak/>
        <w:t xml:space="preserve">reasonable </w:t>
      </w:r>
      <w:r>
        <w:t>cost</w:t>
      </w:r>
      <w:r w:rsidR="00574F66">
        <w:t>s, for example,</w:t>
      </w:r>
      <w:r>
        <w:t xml:space="preserve"> of processing the request, making a copy and postage</w:t>
      </w:r>
      <w:r w:rsidR="00F34914">
        <w:t>, but not of translating the document into English</w:t>
      </w:r>
      <w:r>
        <w:t xml:space="preserve">. The restrictions on the amount that can be charged are designed to ensure that there is no barrier to investors obtaining a copy of the constitution or register. </w:t>
      </w:r>
    </w:p>
    <w:p w14:paraId="5F58DCB1" w14:textId="70E6384A" w:rsidR="00FF1496" w:rsidRPr="00D863E6" w:rsidRDefault="00255BA7" w:rsidP="00D863E6">
      <w:pPr>
        <w:pStyle w:val="base-text-paragraph"/>
        <w:rPr>
          <w:rStyle w:val="Referencingstyle"/>
          <w:b w:val="0"/>
          <w:i w:val="0"/>
          <w:sz w:val="22"/>
        </w:rPr>
      </w:pPr>
      <w:r>
        <w:t>Copies may be provided electr</w:t>
      </w:r>
      <w:r w:rsidR="006C47E0">
        <w:t>on</w:t>
      </w:r>
      <w:r>
        <w:t xml:space="preserve">ically or </w:t>
      </w:r>
      <w:r w:rsidR="00D863E6">
        <w:t xml:space="preserve">in hard copy </w:t>
      </w:r>
      <w:r w:rsidR="00D863E6">
        <w:rPr>
          <w:rStyle w:val="Referencingstyle"/>
        </w:rPr>
        <w:t>[</w:t>
      </w:r>
      <w:r w:rsidR="00197825">
        <w:rPr>
          <w:rStyle w:val="Referencingstyle"/>
        </w:rPr>
        <w:t>Schedule </w:t>
      </w:r>
      <w:r w:rsidR="00D863E6">
        <w:rPr>
          <w:rStyle w:val="Referencingstyle"/>
        </w:rPr>
        <w:t xml:space="preserve">1, </w:t>
      </w:r>
      <w:r w:rsidR="00197825">
        <w:rPr>
          <w:rStyle w:val="Referencingstyle"/>
        </w:rPr>
        <w:t>item </w:t>
      </w:r>
      <w:r w:rsidR="00D863E6">
        <w:rPr>
          <w:rStyle w:val="Referencingstyle"/>
        </w:rPr>
        <w:t xml:space="preserve">1, </w:t>
      </w:r>
      <w:r w:rsidR="00197825">
        <w:rPr>
          <w:rStyle w:val="Referencingstyle"/>
        </w:rPr>
        <w:t>subsections </w:t>
      </w:r>
      <w:r w:rsidR="00D863E6">
        <w:rPr>
          <w:rStyle w:val="Referencingstyle"/>
        </w:rPr>
        <w:t xml:space="preserve">1213F(3) to (4) and 1213G(3) to (4)]. </w:t>
      </w:r>
      <w:r w:rsidR="00C3479A">
        <w:t xml:space="preserve">Different amounts may be </w:t>
      </w:r>
      <w:r w:rsidR="00574F66">
        <w:t>prescribed</w:t>
      </w:r>
      <w:r w:rsidR="00C3479A">
        <w:t xml:space="preserve"> depending on whether the copy is provided electronically</w:t>
      </w:r>
      <w:r w:rsidR="00197825">
        <w:t>,</w:t>
      </w:r>
      <w:r w:rsidR="00C3479A">
        <w:t xml:space="preserve"> or in hard copy. </w:t>
      </w:r>
      <w:r w:rsidR="00843EF7">
        <w:t>Where the co</w:t>
      </w:r>
      <w:r w:rsidR="00463864">
        <w:t>py</w:t>
      </w:r>
      <w:r w:rsidR="00843EF7">
        <w:t xml:space="preserve"> of the register is provided electronically,</w:t>
      </w:r>
      <w:r w:rsidR="00FF1496">
        <w:t xml:space="preserve"> the costs</w:t>
      </w:r>
      <w:r w:rsidR="00843EF7">
        <w:t xml:space="preserve"> should be</w:t>
      </w:r>
      <w:r w:rsidR="00FF1496">
        <w:t xml:space="preserve"> </w:t>
      </w:r>
      <w:r w:rsidR="00176D21">
        <w:t>minimal</w:t>
      </w:r>
      <w:r w:rsidR="00843EF7">
        <w:t>.</w:t>
      </w:r>
      <w:r w:rsidR="00FF1496">
        <w:t xml:space="preserve"> </w:t>
      </w:r>
    </w:p>
    <w:p w14:paraId="62A8EE68" w14:textId="79FE3C92" w:rsidR="00574F66" w:rsidRDefault="00C3479A" w:rsidP="00A52B98">
      <w:pPr>
        <w:pStyle w:val="dotpoint"/>
        <w:numPr>
          <w:ilvl w:val="1"/>
          <w:numId w:val="25"/>
        </w:numPr>
      </w:pPr>
      <w:r>
        <w:t>Requests for registers of members must also state the purpose for which the information is intended to be used</w:t>
      </w:r>
      <w:r w:rsidR="00197825">
        <w:t>. T</w:t>
      </w:r>
      <w:r>
        <w:t xml:space="preserve">his purpose must not be a prohibited purpose. </w:t>
      </w:r>
      <w:r w:rsidR="006942B9">
        <w:t xml:space="preserve">The prohibited purposes </w:t>
      </w:r>
      <w:r w:rsidR="002A4690">
        <w:t>may be set out in regulations.</w:t>
      </w:r>
      <w:r>
        <w:t xml:space="preserve"> </w:t>
      </w:r>
      <w:r w:rsidR="00574F66">
        <w:rPr>
          <w:rStyle w:val="Referencingstyle"/>
        </w:rPr>
        <w:t>[</w:t>
      </w:r>
      <w:r w:rsidR="00197825">
        <w:rPr>
          <w:rStyle w:val="Referencingstyle"/>
        </w:rPr>
        <w:t>Schedule </w:t>
      </w:r>
      <w:r w:rsidR="00574F66">
        <w:rPr>
          <w:rStyle w:val="Referencingstyle"/>
        </w:rPr>
        <w:t xml:space="preserve">1, </w:t>
      </w:r>
      <w:r w:rsidR="00197825">
        <w:rPr>
          <w:rStyle w:val="Referencingstyle"/>
        </w:rPr>
        <w:t>item </w:t>
      </w:r>
      <w:r w:rsidR="00574F66">
        <w:rPr>
          <w:rStyle w:val="Referencingstyle"/>
        </w:rPr>
        <w:t xml:space="preserve">1, </w:t>
      </w:r>
      <w:r w:rsidR="00197825">
        <w:rPr>
          <w:rStyle w:val="Referencingstyle"/>
        </w:rPr>
        <w:t>paragraphs </w:t>
      </w:r>
      <w:r w:rsidR="00574F66">
        <w:rPr>
          <w:rStyle w:val="Referencingstyle"/>
        </w:rPr>
        <w:t>1213</w:t>
      </w:r>
      <w:r w:rsidR="00FA2A2C">
        <w:rPr>
          <w:rStyle w:val="Referencingstyle"/>
        </w:rPr>
        <w:t>G</w:t>
      </w:r>
      <w:r w:rsidR="00574F66">
        <w:rPr>
          <w:rStyle w:val="Referencingstyle"/>
        </w:rPr>
        <w:t>(2)</w:t>
      </w:r>
      <w:r w:rsidR="00561839">
        <w:rPr>
          <w:rStyle w:val="Referencingstyle"/>
        </w:rPr>
        <w:t>(b) and (c)</w:t>
      </w:r>
      <w:r w:rsidR="00574F66">
        <w:rPr>
          <w:rStyle w:val="Referencingstyle"/>
        </w:rPr>
        <w:t>]</w:t>
      </w:r>
    </w:p>
    <w:p w14:paraId="661D9FCC" w14:textId="572834FC" w:rsidR="00C3479A" w:rsidRDefault="00C3479A" w:rsidP="00C3479A">
      <w:pPr>
        <w:pStyle w:val="Heading4"/>
      </w:pPr>
      <w:r>
        <w:t>Processing the request</w:t>
      </w:r>
    </w:p>
    <w:p w14:paraId="7D6F4EEA" w14:textId="0BE52FC0" w:rsidR="00574F66" w:rsidRDefault="007953E8" w:rsidP="00A52B98">
      <w:pPr>
        <w:pStyle w:val="dotpoint"/>
        <w:numPr>
          <w:ilvl w:val="1"/>
          <w:numId w:val="25"/>
        </w:numPr>
      </w:pPr>
      <w:r>
        <w:t xml:space="preserve">The operator must provide the copy of the register </w:t>
      </w:r>
      <w:r w:rsidR="00715283">
        <w:t>or the constitution</w:t>
      </w:r>
      <w:r w:rsidR="00787FB3">
        <w:t xml:space="preserve"> that has been requested</w:t>
      </w:r>
      <w:r w:rsidR="00715283">
        <w:t xml:space="preserve"> </w:t>
      </w:r>
      <w:r>
        <w:t>in English</w:t>
      </w:r>
      <w:r w:rsidR="006942B9">
        <w:t xml:space="preserve">, </w:t>
      </w:r>
      <w:r w:rsidR="00EE35F7">
        <w:t>unless the applicant requests a copy in an official language of the fund’s home economy</w:t>
      </w:r>
      <w:r>
        <w:t xml:space="preserve">. </w:t>
      </w:r>
      <w:r w:rsidR="00574F66">
        <w:rPr>
          <w:rStyle w:val="Referencingstyle"/>
        </w:rPr>
        <w:t>[</w:t>
      </w:r>
      <w:r w:rsidR="00197825">
        <w:rPr>
          <w:rStyle w:val="Referencingstyle"/>
        </w:rPr>
        <w:t>Schedule </w:t>
      </w:r>
      <w:r w:rsidR="00574F66">
        <w:rPr>
          <w:rStyle w:val="Referencingstyle"/>
        </w:rPr>
        <w:t xml:space="preserve">1, </w:t>
      </w:r>
      <w:r w:rsidR="00197825">
        <w:rPr>
          <w:rStyle w:val="Referencingstyle"/>
        </w:rPr>
        <w:t>item </w:t>
      </w:r>
      <w:r w:rsidR="00574F66">
        <w:rPr>
          <w:rStyle w:val="Referencingstyle"/>
        </w:rPr>
        <w:t xml:space="preserve">1, </w:t>
      </w:r>
      <w:r w:rsidR="00197825">
        <w:rPr>
          <w:rStyle w:val="Referencingstyle"/>
        </w:rPr>
        <w:t>subsections </w:t>
      </w:r>
      <w:r w:rsidR="00574F66">
        <w:rPr>
          <w:rStyle w:val="Referencingstyle"/>
        </w:rPr>
        <w:t>1213F(6)</w:t>
      </w:r>
      <w:r w:rsidR="00EE35F7">
        <w:rPr>
          <w:rStyle w:val="Referencingstyle"/>
        </w:rPr>
        <w:t xml:space="preserve"> and (7)</w:t>
      </w:r>
      <w:r w:rsidR="00574F66">
        <w:rPr>
          <w:rStyle w:val="Referencingstyle"/>
        </w:rPr>
        <w:t xml:space="preserve"> and 1213G(6)</w:t>
      </w:r>
      <w:r w:rsidR="00EE35F7">
        <w:rPr>
          <w:rStyle w:val="Referencingstyle"/>
        </w:rPr>
        <w:t xml:space="preserve"> and (7)</w:t>
      </w:r>
      <w:r w:rsidR="00574F66">
        <w:rPr>
          <w:rStyle w:val="Referencingstyle"/>
        </w:rPr>
        <w:t>]</w:t>
      </w:r>
    </w:p>
    <w:p w14:paraId="6B87CDD1" w14:textId="3A510736" w:rsidR="00574F66" w:rsidRDefault="006942B9" w:rsidP="00A52B98">
      <w:pPr>
        <w:pStyle w:val="dotpoint"/>
        <w:numPr>
          <w:ilvl w:val="1"/>
          <w:numId w:val="25"/>
        </w:numPr>
      </w:pPr>
      <w:r>
        <w:t xml:space="preserve">The </w:t>
      </w:r>
      <w:r w:rsidR="007953E8">
        <w:t xml:space="preserve">copy </w:t>
      </w:r>
      <w:r>
        <w:t>should be provided electronically</w:t>
      </w:r>
      <w:r w:rsidR="00763C20">
        <w:t>,</w:t>
      </w:r>
      <w:r>
        <w:t xml:space="preserve"> unless the applicant expressly requests a paper copy. This is designed to reduce the costs for the applicant and is consistent with the general trend towards ‘digital by default’.</w:t>
      </w:r>
      <w:r w:rsidR="007953E8">
        <w:t xml:space="preserve"> </w:t>
      </w:r>
      <w:r w:rsidR="00574F66">
        <w:rPr>
          <w:rStyle w:val="Referencingstyle"/>
        </w:rPr>
        <w:t>[</w:t>
      </w:r>
      <w:r w:rsidR="00763C20">
        <w:rPr>
          <w:rStyle w:val="Referencingstyle"/>
        </w:rPr>
        <w:t>Schedule </w:t>
      </w:r>
      <w:r w:rsidR="00574F66">
        <w:rPr>
          <w:rStyle w:val="Referencingstyle"/>
        </w:rPr>
        <w:t xml:space="preserve">1, </w:t>
      </w:r>
      <w:r w:rsidR="00763C20">
        <w:rPr>
          <w:rStyle w:val="Referencingstyle"/>
        </w:rPr>
        <w:t>item </w:t>
      </w:r>
      <w:r w:rsidR="00574F66">
        <w:rPr>
          <w:rStyle w:val="Referencingstyle"/>
        </w:rPr>
        <w:t xml:space="preserve">1, </w:t>
      </w:r>
      <w:r w:rsidR="00763C20">
        <w:rPr>
          <w:rStyle w:val="Referencingstyle"/>
        </w:rPr>
        <w:t>subsections </w:t>
      </w:r>
      <w:r w:rsidR="00574F66">
        <w:rPr>
          <w:rStyle w:val="Referencingstyle"/>
        </w:rPr>
        <w:t>1213F(3) to (4) and 1213G(3) to (4)]</w:t>
      </w:r>
    </w:p>
    <w:p w14:paraId="33559CD7" w14:textId="3F2D0CDD" w:rsidR="00262E7A" w:rsidRDefault="00262E7A" w:rsidP="00A52B98">
      <w:pPr>
        <w:pStyle w:val="dotpoint"/>
        <w:numPr>
          <w:ilvl w:val="1"/>
          <w:numId w:val="25"/>
        </w:numPr>
      </w:pPr>
      <w:r>
        <w:t>Electronic</w:t>
      </w:r>
      <w:r w:rsidR="006942B9">
        <w:t xml:space="preserve"> cop</w:t>
      </w:r>
      <w:r>
        <w:t>ies</w:t>
      </w:r>
      <w:r w:rsidR="006942B9">
        <w:t xml:space="preserve"> must be</w:t>
      </w:r>
      <w:r w:rsidR="007953E8">
        <w:t xml:space="preserve"> provided </w:t>
      </w:r>
      <w:r w:rsidR="006942B9">
        <w:t xml:space="preserve">within </w:t>
      </w:r>
      <w:r w:rsidR="00763C20">
        <w:t>seven </w:t>
      </w:r>
      <w:r w:rsidR="007953E8">
        <w:t xml:space="preserve">days </w:t>
      </w:r>
      <w:r>
        <w:t>after the application is made</w:t>
      </w:r>
      <w:r w:rsidR="00574F66">
        <w:t xml:space="preserve"> </w:t>
      </w:r>
      <w:r w:rsidR="00574F66">
        <w:rPr>
          <w:rStyle w:val="Referencingstyle"/>
        </w:rPr>
        <w:t>[</w:t>
      </w:r>
      <w:r w:rsidR="00763C20">
        <w:rPr>
          <w:rStyle w:val="Referencingstyle"/>
        </w:rPr>
        <w:t>Schedule </w:t>
      </w:r>
      <w:r w:rsidR="00574F66">
        <w:rPr>
          <w:rStyle w:val="Referencingstyle"/>
        </w:rPr>
        <w:t xml:space="preserve">1, </w:t>
      </w:r>
      <w:r w:rsidR="00763C20">
        <w:rPr>
          <w:rStyle w:val="Referencingstyle"/>
        </w:rPr>
        <w:t>item </w:t>
      </w:r>
      <w:r w:rsidR="00574F66">
        <w:rPr>
          <w:rStyle w:val="Referencingstyle"/>
        </w:rPr>
        <w:t xml:space="preserve">1, </w:t>
      </w:r>
      <w:r w:rsidR="00763C20">
        <w:rPr>
          <w:rStyle w:val="Referencingstyle"/>
        </w:rPr>
        <w:t>subsections </w:t>
      </w:r>
      <w:r w:rsidR="00574F66">
        <w:rPr>
          <w:rStyle w:val="Referencingstyle"/>
        </w:rPr>
        <w:t>1213F(4) and 1213G(4)]</w:t>
      </w:r>
      <w:r w:rsidR="006942B9">
        <w:t xml:space="preserve">. If the person expressly requested a hard copy, the copy must be posted within </w:t>
      </w:r>
      <w:r w:rsidR="00763C20">
        <w:t>seven </w:t>
      </w:r>
      <w:r w:rsidR="006942B9">
        <w:t>days</w:t>
      </w:r>
      <w:r w:rsidR="00763C20">
        <w:t>. However, the copy</w:t>
      </w:r>
      <w:r>
        <w:t xml:space="preserve"> may not be received by the applicant for several days or even weeks after it is posted</w:t>
      </w:r>
      <w:r w:rsidR="00574F66">
        <w:t xml:space="preserve"> </w:t>
      </w:r>
      <w:r w:rsidR="00574F66">
        <w:rPr>
          <w:rStyle w:val="Referencingstyle"/>
        </w:rPr>
        <w:t>[</w:t>
      </w:r>
      <w:r w:rsidR="00763C20">
        <w:rPr>
          <w:rStyle w:val="Referencingstyle"/>
        </w:rPr>
        <w:t>Schedule </w:t>
      </w:r>
      <w:r w:rsidR="00574F66">
        <w:rPr>
          <w:rStyle w:val="Referencingstyle"/>
        </w:rPr>
        <w:t xml:space="preserve">1, </w:t>
      </w:r>
      <w:r w:rsidR="00763C20">
        <w:rPr>
          <w:rStyle w:val="Referencingstyle"/>
        </w:rPr>
        <w:t>item </w:t>
      </w:r>
      <w:r w:rsidR="00574F66">
        <w:rPr>
          <w:rStyle w:val="Referencingstyle"/>
        </w:rPr>
        <w:t xml:space="preserve">1, </w:t>
      </w:r>
      <w:r w:rsidR="00763C20">
        <w:rPr>
          <w:rStyle w:val="Referencingstyle"/>
        </w:rPr>
        <w:t>subsections </w:t>
      </w:r>
      <w:r w:rsidR="00574F66">
        <w:rPr>
          <w:rStyle w:val="Referencingstyle"/>
        </w:rPr>
        <w:t>1213F(3) and 1213G(3)]</w:t>
      </w:r>
      <w:r>
        <w:t>.</w:t>
      </w:r>
      <w:r w:rsidR="007953E8">
        <w:t xml:space="preserve"> </w:t>
      </w:r>
      <w:r>
        <w:t>ASIC may allow an operator a longer period to provide a copy</w:t>
      </w:r>
      <w:r w:rsidR="00574F66">
        <w:t xml:space="preserve"> </w:t>
      </w:r>
      <w:r w:rsidR="00574F66">
        <w:rPr>
          <w:rStyle w:val="Referencingstyle"/>
        </w:rPr>
        <w:t>[</w:t>
      </w:r>
      <w:r w:rsidR="00763C20">
        <w:rPr>
          <w:rStyle w:val="Referencingstyle"/>
        </w:rPr>
        <w:t>Schedule </w:t>
      </w:r>
      <w:r w:rsidR="00574F66">
        <w:rPr>
          <w:rStyle w:val="Referencingstyle"/>
        </w:rPr>
        <w:t xml:space="preserve">1, </w:t>
      </w:r>
      <w:r w:rsidR="00763C20">
        <w:rPr>
          <w:rStyle w:val="Referencingstyle"/>
        </w:rPr>
        <w:t>item </w:t>
      </w:r>
      <w:r w:rsidR="00574F66">
        <w:rPr>
          <w:rStyle w:val="Referencingstyle"/>
        </w:rPr>
        <w:t xml:space="preserve">1, </w:t>
      </w:r>
      <w:r w:rsidR="00763C20">
        <w:rPr>
          <w:rStyle w:val="Referencingstyle"/>
        </w:rPr>
        <w:t>subsections </w:t>
      </w:r>
      <w:r w:rsidR="00574F66">
        <w:rPr>
          <w:rStyle w:val="Referencingstyle"/>
        </w:rPr>
        <w:t>1213F(5) and 1213G(5)]</w:t>
      </w:r>
      <w:r w:rsidR="006501B7">
        <w:t>.</w:t>
      </w:r>
    </w:p>
    <w:p w14:paraId="039D93D1" w14:textId="7FA102F3" w:rsidR="006626C9" w:rsidRDefault="00C40057" w:rsidP="006626C9">
      <w:pPr>
        <w:pStyle w:val="Heading3"/>
      </w:pPr>
      <w:r>
        <w:t xml:space="preserve">Restrictions on the use of </w:t>
      </w:r>
      <w:r w:rsidR="00CA48CE">
        <w:t xml:space="preserve">information from </w:t>
      </w:r>
      <w:r>
        <w:t>the register</w:t>
      </w:r>
      <w:r w:rsidR="00CA48CE">
        <w:t xml:space="preserve"> of members</w:t>
      </w:r>
    </w:p>
    <w:p w14:paraId="1266ACBA" w14:textId="13E35E77" w:rsidR="00EB1859" w:rsidRDefault="00887986" w:rsidP="00C40057">
      <w:pPr>
        <w:pStyle w:val="base-text-paragraph"/>
      </w:pPr>
      <w:r>
        <w:t>While it is in many circumstances beneficial to members that third parties can access their contact and other information on member registers, there is also the potential of abuse of this access</w:t>
      </w:r>
      <w:r w:rsidR="00444BA8">
        <w:t>,</w:t>
      </w:r>
      <w:r>
        <w:t xml:space="preserve"> which gives rise to the need for appropriate restrictions. </w:t>
      </w:r>
      <w:r w:rsidR="00CA48CE" w:rsidRPr="00500F73">
        <w:t>Generally p</w:t>
      </w:r>
      <w:r w:rsidR="00073792" w:rsidRPr="00500F73">
        <w:t>ersons</w:t>
      </w:r>
      <w:r w:rsidR="00C40057" w:rsidRPr="00500F73">
        <w:t xml:space="preserve"> are not permitted to request, or use, copies of the register</w:t>
      </w:r>
      <w:r w:rsidR="00CA48CE" w:rsidRPr="00500F73">
        <w:t xml:space="preserve"> of members </w:t>
      </w:r>
      <w:r w:rsidR="00073792" w:rsidRPr="00500F73">
        <w:t>to contact or send material to members. They are also prohibited from disclosing the information to another person if they know that the other person is likely to use</w:t>
      </w:r>
      <w:r w:rsidR="00E24AB0" w:rsidRPr="00500F73">
        <w:t xml:space="preserve"> the information</w:t>
      </w:r>
      <w:r w:rsidR="00073792" w:rsidRPr="00500F73">
        <w:t xml:space="preserve"> to contact or send material to members.</w:t>
      </w:r>
      <w:r w:rsidR="00D15974">
        <w:t xml:space="preserve"> </w:t>
      </w:r>
      <w:r w:rsidR="00635224">
        <w:t xml:space="preserve">The </w:t>
      </w:r>
      <w:r w:rsidR="00635224">
        <w:lastRenderedPageBreak/>
        <w:t>regulations</w:t>
      </w:r>
      <w:r w:rsidR="00D15974">
        <w:t xml:space="preserve"> may prescribe additional prohibited purposes.</w:t>
      </w:r>
      <w:r>
        <w:t xml:space="preserve"> This power is included as a precaution</w:t>
      </w:r>
      <w:r w:rsidR="00444BA8">
        <w:t>,</w:t>
      </w:r>
      <w:r>
        <w:t xml:space="preserve"> in case specific forms of abuse arise in future </w:t>
      </w:r>
      <w:r w:rsidR="00444BA8">
        <w:t xml:space="preserve">that </w:t>
      </w:r>
      <w:r>
        <w:t xml:space="preserve">need to be addressed urgently and quickly. There is a similar power in the existing member register regime in </w:t>
      </w:r>
      <w:r w:rsidR="00444BA8">
        <w:t>Part </w:t>
      </w:r>
      <w:r>
        <w:t>2C (</w:t>
      </w:r>
      <w:r w:rsidR="00444BA8" w:rsidRPr="003C65F0">
        <w:t>subsection </w:t>
      </w:r>
      <w:r w:rsidRPr="003C65F0">
        <w:t>177</w:t>
      </w:r>
      <w:r>
        <w:t>(1AA))</w:t>
      </w:r>
      <w:r w:rsidR="00444BA8">
        <w:t>,</w:t>
      </w:r>
      <w:r>
        <w:t xml:space="preserve"> which to date has not been put to use.</w:t>
      </w:r>
      <w:r w:rsidR="00073792" w:rsidRPr="00500F73">
        <w:t xml:space="preserve"> </w:t>
      </w:r>
      <w:r w:rsidR="00EB1859">
        <w:rPr>
          <w:rStyle w:val="Referencingstyle"/>
        </w:rPr>
        <w:t>[Schedule 1, item 1, subsection</w:t>
      </w:r>
      <w:r w:rsidR="00635224">
        <w:rPr>
          <w:rStyle w:val="Referencingstyle"/>
        </w:rPr>
        <w:t>s</w:t>
      </w:r>
      <w:r w:rsidR="00EB1859">
        <w:rPr>
          <w:rStyle w:val="Referencingstyle"/>
        </w:rPr>
        <w:t xml:space="preserve"> 1213H(1)</w:t>
      </w:r>
      <w:r w:rsidR="00635224">
        <w:rPr>
          <w:rStyle w:val="Referencingstyle"/>
        </w:rPr>
        <w:t xml:space="preserve"> and 1213H(3)</w:t>
      </w:r>
      <w:r w:rsidR="00EB1859">
        <w:rPr>
          <w:rStyle w:val="Referencingstyle"/>
        </w:rPr>
        <w:t>]</w:t>
      </w:r>
    </w:p>
    <w:p w14:paraId="2EA0D51A" w14:textId="14ABC710" w:rsidR="00B632E8" w:rsidRPr="008F726E" w:rsidRDefault="00B632E8" w:rsidP="00B632E8">
      <w:pPr>
        <w:pStyle w:val="base-text-paragraph"/>
      </w:pPr>
      <w:r w:rsidRPr="00500F73">
        <w:t>The restrictions on the use of information in the register of members are designed to protect the privacy of members of the fund and prevent their details being used for soliciting donations, advertising</w:t>
      </w:r>
      <w:r w:rsidR="00444BA8">
        <w:t>,</w:t>
      </w:r>
      <w:r w:rsidRPr="00500F73">
        <w:t xml:space="preserve"> or other improper purposes. </w:t>
      </w:r>
      <w:r>
        <w:t xml:space="preserve">The same restrictions apply to the use of registers of companies and registered schemes under </w:t>
      </w:r>
      <w:r w:rsidR="00444BA8">
        <w:t>section </w:t>
      </w:r>
      <w:r>
        <w:t>177 of the existing law.</w:t>
      </w:r>
    </w:p>
    <w:p w14:paraId="3C71F589" w14:textId="102ACE3B" w:rsidR="00B632E8" w:rsidRPr="00500F73" w:rsidRDefault="00B632E8" w:rsidP="00B632E8">
      <w:pPr>
        <w:pStyle w:val="base-text-paragraph"/>
      </w:pPr>
      <w:r w:rsidRPr="00500F73">
        <w:t xml:space="preserve">There are </w:t>
      </w:r>
      <w:r w:rsidR="00444BA8" w:rsidRPr="00500F73">
        <w:t>two</w:t>
      </w:r>
      <w:r w:rsidR="00444BA8">
        <w:t> </w:t>
      </w:r>
      <w:r w:rsidRPr="00500F73">
        <w:t>exceptions where the information in a register may be used to contact fund members. These are:</w:t>
      </w:r>
    </w:p>
    <w:p w14:paraId="7AE550C6" w14:textId="77777777" w:rsidR="00B632E8" w:rsidRPr="00500F73" w:rsidRDefault="00B632E8" w:rsidP="00B632E8">
      <w:pPr>
        <w:pStyle w:val="dotpoint"/>
      </w:pPr>
      <w:r w:rsidRPr="00500F73">
        <w:t>the material is relevant to member’s interest in the fund or the rights attaching to the interests; or</w:t>
      </w:r>
    </w:p>
    <w:p w14:paraId="4A58AB1F" w14:textId="1FC74C04" w:rsidR="00B632E8" w:rsidRDefault="00B632E8" w:rsidP="00B632E8">
      <w:pPr>
        <w:pStyle w:val="dotpoint"/>
      </w:pPr>
      <w:r>
        <w:t xml:space="preserve">the </w:t>
      </w:r>
      <w:r w:rsidR="007E2ED7">
        <w:t xml:space="preserve">operator of the </w:t>
      </w:r>
      <w:r w:rsidR="00BD4D69">
        <w:t xml:space="preserve">foreign passport </w:t>
      </w:r>
      <w:r>
        <w:t>fund has approved the person contacting the members.</w:t>
      </w:r>
    </w:p>
    <w:p w14:paraId="46A9B361" w14:textId="759CD933" w:rsidR="00B632E8" w:rsidRDefault="00BC117F" w:rsidP="00BC117F">
      <w:pPr>
        <w:pStyle w:val="base-text-paragraphnonumbers"/>
      </w:pPr>
      <w:r w:rsidRPr="00BC117F">
        <w:rPr>
          <w:rStyle w:val="Referencingstyle"/>
          <w:b w:val="0"/>
          <w:i w:val="0"/>
          <w:sz w:val="22"/>
        </w:rPr>
        <w:t>As</w:t>
      </w:r>
      <w:r>
        <w:rPr>
          <w:rStyle w:val="Referencingstyle"/>
          <w:b w:val="0"/>
          <w:i w:val="0"/>
          <w:sz w:val="22"/>
        </w:rPr>
        <w:t xml:space="preserve"> discussed above </w:t>
      </w:r>
      <w:r w:rsidR="00CB4F05">
        <w:rPr>
          <w:rStyle w:val="Referencingstyle"/>
          <w:b w:val="0"/>
          <w:i w:val="0"/>
          <w:sz w:val="22"/>
        </w:rPr>
        <w:t>these exceptions would allow actions (including the provision of information) that</w:t>
      </w:r>
      <w:r>
        <w:rPr>
          <w:rStyle w:val="Referencingstyle"/>
          <w:b w:val="0"/>
          <w:i w:val="0"/>
          <w:sz w:val="22"/>
        </w:rPr>
        <w:t xml:space="preserve"> </w:t>
      </w:r>
      <w:r w:rsidR="00CB4F05">
        <w:rPr>
          <w:rStyle w:val="Referencingstyle"/>
          <w:b w:val="0"/>
          <w:i w:val="0"/>
          <w:sz w:val="22"/>
        </w:rPr>
        <w:t xml:space="preserve">are in the members’ best interest, such as </w:t>
      </w:r>
      <w:r w:rsidR="006968C2">
        <w:rPr>
          <w:rStyle w:val="Referencingstyle"/>
          <w:b w:val="0"/>
          <w:i w:val="0"/>
          <w:sz w:val="22"/>
        </w:rPr>
        <w:t xml:space="preserve">mailing out of </w:t>
      </w:r>
      <w:r w:rsidR="00CB4F05">
        <w:rPr>
          <w:rStyle w:val="Referencingstyle"/>
          <w:b w:val="0"/>
          <w:i w:val="0"/>
          <w:sz w:val="22"/>
        </w:rPr>
        <w:t>invitations to support the calling of a meeting of members.</w:t>
      </w:r>
      <w:r>
        <w:rPr>
          <w:rStyle w:val="Referencingstyle"/>
        </w:rPr>
        <w:t xml:space="preserve"> </w:t>
      </w:r>
      <w:r w:rsidR="00B632E8">
        <w:rPr>
          <w:rStyle w:val="Referencingstyle"/>
        </w:rPr>
        <w:t>[</w:t>
      </w:r>
      <w:r w:rsidR="00DF5935">
        <w:rPr>
          <w:rStyle w:val="Referencingstyle"/>
        </w:rPr>
        <w:t>Schedule </w:t>
      </w:r>
      <w:r w:rsidR="00B632E8">
        <w:rPr>
          <w:rStyle w:val="Referencingstyle"/>
        </w:rPr>
        <w:t xml:space="preserve">1, </w:t>
      </w:r>
      <w:r w:rsidR="00DF5935">
        <w:rPr>
          <w:rStyle w:val="Referencingstyle"/>
        </w:rPr>
        <w:t>item </w:t>
      </w:r>
      <w:r w:rsidR="00B632E8">
        <w:rPr>
          <w:rStyle w:val="Referencingstyle"/>
        </w:rPr>
        <w:t xml:space="preserve">1, </w:t>
      </w:r>
      <w:r w:rsidR="00DF5935">
        <w:rPr>
          <w:rStyle w:val="Referencingstyle"/>
        </w:rPr>
        <w:t>subsection </w:t>
      </w:r>
      <w:r w:rsidR="00B632E8">
        <w:rPr>
          <w:rStyle w:val="Referencingstyle"/>
        </w:rPr>
        <w:t>1213H(2)]</w:t>
      </w:r>
    </w:p>
    <w:p w14:paraId="6FB0629B" w14:textId="5D2DCD60" w:rsidR="00D863E6" w:rsidRDefault="00B632E8" w:rsidP="00D863E6">
      <w:pPr>
        <w:pStyle w:val="base-text-paragraph"/>
      </w:pPr>
      <w:r>
        <w:t xml:space="preserve">Under the Criminal Code, a defendant wishing to rely on </w:t>
      </w:r>
      <w:r w:rsidR="00BD4D69">
        <w:t>an</w:t>
      </w:r>
      <w:r>
        <w:t xml:space="preserve"> </w:t>
      </w:r>
      <w:r w:rsidR="00BD4D69">
        <w:t>exception</w:t>
      </w:r>
      <w:r>
        <w:t xml:space="preserve"> bears </w:t>
      </w:r>
      <w:r w:rsidR="00BD4D69">
        <w:t xml:space="preserve">the </w:t>
      </w:r>
      <w:r>
        <w:t>evidential burden</w:t>
      </w:r>
      <w:r w:rsidR="00BD4D69">
        <w:t xml:space="preserve"> of</w:t>
      </w:r>
      <w:r>
        <w:t xml:space="preserve"> provid</w:t>
      </w:r>
      <w:r w:rsidR="00BD4D69">
        <w:t>ing</w:t>
      </w:r>
      <w:r>
        <w:t xml:space="preserve"> </w:t>
      </w:r>
      <w:r w:rsidRPr="002E55E7">
        <w:t xml:space="preserve">evidence that </w:t>
      </w:r>
      <w:r>
        <w:t>‘</w:t>
      </w:r>
      <w:r w:rsidRPr="002E55E7">
        <w:t>suggests a reasonable possibility</w:t>
      </w:r>
      <w:r>
        <w:t>’ that the e</w:t>
      </w:r>
      <w:r w:rsidR="00BD4D69">
        <w:t xml:space="preserve">xception </w:t>
      </w:r>
      <w:r>
        <w:t xml:space="preserve">applies (Criminal Code </w:t>
      </w:r>
      <w:r w:rsidR="00DF5935">
        <w:t>subsection </w:t>
      </w:r>
      <w:r>
        <w:t>13.3(3)).</w:t>
      </w:r>
      <w:r w:rsidR="00BD4D69">
        <w:t xml:space="preserve"> </w:t>
      </w:r>
      <w:r>
        <w:t>The new law does not amend the evidential burden of proof and the note is merely included for the avoidance of doubt.</w:t>
      </w:r>
      <w:r w:rsidRPr="00966D79">
        <w:t xml:space="preserve"> </w:t>
      </w:r>
      <w:r w:rsidR="00D863E6">
        <w:t>The rationale for the defendant bearing the evidential burden of proof for all exceptions is that the information is peculiarly within the defendant’s knowledge. In this case, the defendant is best placed to show that the material was relevant to the member’s interests</w:t>
      </w:r>
      <w:r w:rsidR="00DF5935">
        <w:t>,</w:t>
      </w:r>
      <w:r w:rsidR="00D863E6">
        <w:t xml:space="preserve"> or the fund had approved the person contacting the members. </w:t>
      </w:r>
      <w:r w:rsidR="00D863E6">
        <w:rPr>
          <w:rStyle w:val="Referencingstyle"/>
        </w:rPr>
        <w:t>[</w:t>
      </w:r>
      <w:r w:rsidR="00DF5935">
        <w:rPr>
          <w:rStyle w:val="Referencingstyle"/>
        </w:rPr>
        <w:t>Schedule </w:t>
      </w:r>
      <w:r w:rsidR="00D863E6">
        <w:rPr>
          <w:rStyle w:val="Referencingstyle"/>
        </w:rPr>
        <w:t xml:space="preserve">1, </w:t>
      </w:r>
      <w:r w:rsidR="00DF5935">
        <w:rPr>
          <w:rStyle w:val="Referencingstyle"/>
        </w:rPr>
        <w:t>item </w:t>
      </w:r>
      <w:r w:rsidR="00D863E6">
        <w:rPr>
          <w:rStyle w:val="Referencingstyle"/>
        </w:rPr>
        <w:t xml:space="preserve">1, note to </w:t>
      </w:r>
      <w:r w:rsidR="00DF5935">
        <w:rPr>
          <w:rStyle w:val="Referencingstyle"/>
        </w:rPr>
        <w:t>subsection </w:t>
      </w:r>
      <w:r w:rsidR="00D863E6">
        <w:rPr>
          <w:rStyle w:val="Referencingstyle"/>
        </w:rPr>
        <w:t>1213H(2)]</w:t>
      </w:r>
    </w:p>
    <w:p w14:paraId="02D8FE79" w14:textId="412CC90C" w:rsidR="003E31B4" w:rsidRDefault="0008359B" w:rsidP="00B632E8">
      <w:pPr>
        <w:pStyle w:val="base-text-paragraph"/>
      </w:pPr>
      <w:r>
        <w:t>B</w:t>
      </w:r>
      <w:r w:rsidRPr="00500F73">
        <w:t>reaches</w:t>
      </w:r>
      <w:r>
        <w:t xml:space="preserve"> of</w:t>
      </w:r>
      <w:r w:rsidRPr="00500F73">
        <w:t xml:space="preserve"> these prohibitions </w:t>
      </w:r>
      <w:r>
        <w:t>are</w:t>
      </w:r>
      <w:r w:rsidRPr="00500F73">
        <w:t xml:space="preserve"> a strict liability offence</w:t>
      </w:r>
      <w:r>
        <w:t xml:space="preserve">, punishable by a fine of </w:t>
      </w:r>
      <w:r w:rsidR="00856A12">
        <w:t>60 </w:t>
      </w:r>
      <w:r>
        <w:t xml:space="preserve">penalty units, and are also subject to the infringement notice scheme in </w:t>
      </w:r>
      <w:r w:rsidR="00856A12">
        <w:t>Part </w:t>
      </w:r>
      <w:r>
        <w:t xml:space="preserve">5 of the Regulatory </w:t>
      </w:r>
      <w:r w:rsidR="00DF5935">
        <w:t>Powers </w:t>
      </w:r>
      <w:r>
        <w:t xml:space="preserve">Act. ASIC is the infringement officer responsible for issuing infringement notices. ASIC also has all of the powers of the ‘chief executive’ under the Regulatory </w:t>
      </w:r>
      <w:r w:rsidR="00856A12">
        <w:t>Powers </w:t>
      </w:r>
      <w:r>
        <w:t xml:space="preserve">Act. The offence carries the same extended geographical reach of </w:t>
      </w:r>
      <w:r w:rsidR="00856A12">
        <w:t>Category </w:t>
      </w:r>
      <w:r>
        <w:t xml:space="preserve">A as set out in </w:t>
      </w:r>
      <w:r w:rsidR="00856A12">
        <w:t>section </w:t>
      </w:r>
      <w:r>
        <w:t xml:space="preserve">15.1 of the </w:t>
      </w:r>
      <w:r w:rsidR="00856A12">
        <w:lastRenderedPageBreak/>
        <w:t>Criminal </w:t>
      </w:r>
      <w:r>
        <w:t xml:space="preserve">Code which ensures that misuse of the information with respect to Australian members is captured, even if the offence is committed by a person overseas. </w:t>
      </w:r>
      <w:r w:rsidR="003E31B4" w:rsidRPr="003E31B4">
        <w:t>The</w:t>
      </w:r>
      <w:r w:rsidR="003E31B4" w:rsidRPr="003E31B4">
        <w:rPr>
          <w:b/>
          <w:i/>
        </w:rPr>
        <w:t xml:space="preserve"> </w:t>
      </w:r>
      <w:r w:rsidR="003E31B4" w:rsidRPr="003E31B4">
        <w:t xml:space="preserve">imposition of a strict liability offence together with an infringement notice regime is consistent with the Guide </w:t>
      </w:r>
      <w:r>
        <w:t>(</w:t>
      </w:r>
      <w:r w:rsidR="003E31B4" w:rsidRPr="003E31B4">
        <w:t xml:space="preserve">see </w:t>
      </w:r>
      <w:r w:rsidR="00856A12" w:rsidRPr="003E31B4">
        <w:t>Chapter</w:t>
      </w:r>
      <w:r w:rsidR="00856A12">
        <w:t>s </w:t>
      </w:r>
      <w:r w:rsidR="003E31B4" w:rsidRPr="003E31B4">
        <w:t>2</w:t>
      </w:r>
      <w:r w:rsidR="003E31B4">
        <w:t xml:space="preserve"> and 6</w:t>
      </w:r>
      <w:r w:rsidR="003E31B4" w:rsidRPr="003E31B4">
        <w:t>)</w:t>
      </w:r>
      <w:r w:rsidR="003E31B4" w:rsidRPr="003E31B4">
        <w:rPr>
          <w:i/>
        </w:rPr>
        <w:t>.</w:t>
      </w:r>
      <w:r w:rsidR="003E31B4" w:rsidRPr="003E31B4">
        <w:t xml:space="preserve"> It enhances the effectiveness of the enforcement regime </w:t>
      </w:r>
      <w:r w:rsidR="0058743A">
        <w:t>while</w:t>
      </w:r>
      <w:r w:rsidR="003E31B4" w:rsidRPr="003E31B4">
        <w:t xml:space="preserve"> protect</w:t>
      </w:r>
      <w:r w:rsidR="0058743A">
        <w:t>ing</w:t>
      </w:r>
      <w:r w:rsidR="003E31B4" w:rsidRPr="003E31B4">
        <w:t xml:space="preserve"> members’ right to </w:t>
      </w:r>
      <w:r>
        <w:t>privacy</w:t>
      </w:r>
      <w:r w:rsidR="003E31B4" w:rsidRPr="003E31B4">
        <w:t xml:space="preserve">. Requiring proof of fault would undermine deterrence as the offence is relatively minor and involves funds which are not based in Australia. Finally, as this is a strict liability offence, assessing whether a breach has occurred is straightforward and can be decided on a review of the facts in the case. The penalty amount is also </w:t>
      </w:r>
      <w:r w:rsidR="00BB1B03">
        <w:t>consistent</w:t>
      </w:r>
      <w:r w:rsidR="003E31B4" w:rsidRPr="003E31B4">
        <w:t xml:space="preserve"> with the </w:t>
      </w:r>
      <w:r w:rsidR="009F1C8A">
        <w:t>Guide</w:t>
      </w:r>
      <w:r w:rsidR="003E31B4" w:rsidRPr="003E31B4">
        <w:t>.</w:t>
      </w:r>
      <w:r w:rsidR="009A765B">
        <w:t xml:space="preserve"> </w:t>
      </w:r>
      <w:r w:rsidR="009A765B">
        <w:rPr>
          <w:rStyle w:val="Referencingstyle"/>
        </w:rPr>
        <w:t>[</w:t>
      </w:r>
      <w:r w:rsidR="00856A12">
        <w:rPr>
          <w:rStyle w:val="Referencingstyle"/>
        </w:rPr>
        <w:t>Schedule </w:t>
      </w:r>
      <w:r w:rsidR="009A765B">
        <w:rPr>
          <w:rStyle w:val="Referencingstyle"/>
        </w:rPr>
        <w:t xml:space="preserve">1, </w:t>
      </w:r>
      <w:r w:rsidR="00856A12">
        <w:rPr>
          <w:rStyle w:val="Referencingstyle"/>
        </w:rPr>
        <w:t>item </w:t>
      </w:r>
      <w:r w:rsidR="009A765B">
        <w:rPr>
          <w:rStyle w:val="Referencingstyle"/>
        </w:rPr>
        <w:t xml:space="preserve">1, </w:t>
      </w:r>
      <w:r w:rsidR="00856A12">
        <w:rPr>
          <w:rStyle w:val="Referencingstyle"/>
        </w:rPr>
        <w:t>subsections </w:t>
      </w:r>
      <w:r w:rsidR="009A765B">
        <w:rPr>
          <w:rStyle w:val="Referencingstyle"/>
        </w:rPr>
        <w:t>1213H(1),</w:t>
      </w:r>
      <w:r w:rsidR="00856A12">
        <w:rPr>
          <w:rStyle w:val="Referencingstyle"/>
        </w:rPr>
        <w:t xml:space="preserve"> </w:t>
      </w:r>
      <w:r w:rsidR="009A765B">
        <w:rPr>
          <w:rStyle w:val="Referencingstyle"/>
        </w:rPr>
        <w:t xml:space="preserve">(4) and (5) and </w:t>
      </w:r>
      <w:r w:rsidR="00856A12">
        <w:rPr>
          <w:rStyle w:val="Referencingstyle"/>
        </w:rPr>
        <w:t>section </w:t>
      </w:r>
      <w:r w:rsidR="009A765B">
        <w:rPr>
          <w:rStyle w:val="Referencingstyle"/>
        </w:rPr>
        <w:t>1216]</w:t>
      </w:r>
      <w:r w:rsidR="009A765B">
        <w:t xml:space="preserve"> </w:t>
      </w:r>
    </w:p>
    <w:p w14:paraId="0BE66398" w14:textId="2FD3F293" w:rsidR="00B632E8" w:rsidRPr="00B632E8" w:rsidRDefault="009022B8" w:rsidP="00B632E8">
      <w:pPr>
        <w:pStyle w:val="base-text-paragraph"/>
        <w:rPr>
          <w:rStyle w:val="Referencingstyle"/>
          <w:b w:val="0"/>
          <w:i w:val="0"/>
          <w:sz w:val="22"/>
        </w:rPr>
      </w:pPr>
      <w:r>
        <w:t xml:space="preserve">A person who breaches the prohibition on using the information in a register to contact members </w:t>
      </w:r>
      <w:r w:rsidR="00F34914">
        <w:t>may</w:t>
      </w:r>
      <w:r w:rsidR="00B632E8">
        <w:t xml:space="preserve"> also</w:t>
      </w:r>
      <w:r w:rsidR="00F34914">
        <w:t xml:space="preserve"> have to</w:t>
      </w:r>
      <w:r w:rsidR="00B632E8">
        <w:t xml:space="preserve"> </w:t>
      </w:r>
      <w:r>
        <w:t>compensate any member who suffers loss or damage because of the breach. Any profits made by the person committing the breach may be recovered by the fund as a debt owed to the fund. These provisions could be used for example against persons making offers to purchase interests from members at below market prices.</w:t>
      </w:r>
      <w:r w:rsidR="00B632E8" w:rsidRPr="00B632E8">
        <w:rPr>
          <w:rStyle w:val="Referencingstyle"/>
        </w:rPr>
        <w:t xml:space="preserve"> </w:t>
      </w:r>
      <w:r w:rsidR="00B632E8">
        <w:rPr>
          <w:rStyle w:val="Referencingstyle"/>
        </w:rPr>
        <w:t>[</w:t>
      </w:r>
      <w:r w:rsidR="00856A12">
        <w:rPr>
          <w:rStyle w:val="Referencingstyle"/>
        </w:rPr>
        <w:t>Schedule </w:t>
      </w:r>
      <w:r w:rsidR="00B632E8">
        <w:rPr>
          <w:rStyle w:val="Referencingstyle"/>
        </w:rPr>
        <w:t xml:space="preserve">1, </w:t>
      </w:r>
      <w:r w:rsidR="00856A12">
        <w:rPr>
          <w:rStyle w:val="Referencingstyle"/>
        </w:rPr>
        <w:t>item </w:t>
      </w:r>
      <w:r w:rsidR="00B632E8">
        <w:rPr>
          <w:rStyle w:val="Referencingstyle"/>
        </w:rPr>
        <w:t xml:space="preserve">1, </w:t>
      </w:r>
      <w:r w:rsidR="00856A12">
        <w:rPr>
          <w:rStyle w:val="Referencingstyle"/>
        </w:rPr>
        <w:t>subsections </w:t>
      </w:r>
      <w:r w:rsidR="00B632E8">
        <w:rPr>
          <w:rStyle w:val="Referencingstyle"/>
        </w:rPr>
        <w:t>1213H(</w:t>
      </w:r>
      <w:r w:rsidR="00191EB5">
        <w:rPr>
          <w:rStyle w:val="Referencingstyle"/>
        </w:rPr>
        <w:t>6</w:t>
      </w:r>
      <w:r w:rsidR="00723747">
        <w:rPr>
          <w:rStyle w:val="Referencingstyle"/>
        </w:rPr>
        <w:t>) to (</w:t>
      </w:r>
      <w:r w:rsidR="00191EB5">
        <w:rPr>
          <w:rStyle w:val="Referencingstyle"/>
        </w:rPr>
        <w:t>8</w:t>
      </w:r>
      <w:r w:rsidR="00B632E8">
        <w:rPr>
          <w:rStyle w:val="Referencingstyle"/>
        </w:rPr>
        <w:t>)]</w:t>
      </w:r>
    </w:p>
    <w:p w14:paraId="66BD0D7B" w14:textId="77777777" w:rsidR="001E74AC" w:rsidRDefault="001E74AC" w:rsidP="001E74AC">
      <w:pPr>
        <w:pStyle w:val="Heading2"/>
      </w:pPr>
      <w:r>
        <w:t>Consequential amendments</w:t>
      </w:r>
    </w:p>
    <w:p w14:paraId="513E830C" w14:textId="7320A955" w:rsidR="00973D0A" w:rsidRDefault="00856A12" w:rsidP="00A52B98">
      <w:pPr>
        <w:pStyle w:val="base-text-paragraph"/>
        <w:numPr>
          <w:ilvl w:val="1"/>
          <w:numId w:val="25"/>
        </w:numPr>
      </w:pPr>
      <w:r>
        <w:t>Annex </w:t>
      </w:r>
      <w:r w:rsidR="001E74AC">
        <w:t xml:space="preserve">3 of the MOC uses the term </w:t>
      </w:r>
      <w:r w:rsidR="001E74AC" w:rsidRPr="00973D0A">
        <w:rPr>
          <w:b/>
          <w:i/>
        </w:rPr>
        <w:t>constituent documents</w:t>
      </w:r>
      <w:r w:rsidR="001E74AC">
        <w:t xml:space="preserve">, rather than the term constitution. The constituent documents are the governing documents which establish and set out the rules for a fund, and are listed in </w:t>
      </w:r>
      <w:r>
        <w:t>section </w:t>
      </w:r>
      <w:r w:rsidR="001E74AC">
        <w:t xml:space="preserve">4 of </w:t>
      </w:r>
      <w:r>
        <w:t>Annex </w:t>
      </w:r>
      <w:r w:rsidR="001E74AC">
        <w:t>3 of the MOC.</w:t>
      </w:r>
      <w:r w:rsidR="00973D0A">
        <w:t xml:space="preserve"> </w:t>
      </w:r>
    </w:p>
    <w:p w14:paraId="08CFEEBC" w14:textId="69572E27" w:rsidR="001E74AC" w:rsidRPr="00DA2CFE" w:rsidRDefault="001E74AC" w:rsidP="00A52B98">
      <w:pPr>
        <w:pStyle w:val="base-text-paragraph"/>
        <w:numPr>
          <w:ilvl w:val="1"/>
          <w:numId w:val="25"/>
        </w:numPr>
        <w:rPr>
          <w:rStyle w:val="Referencingstyle"/>
          <w:b w:val="0"/>
          <w:i w:val="0"/>
          <w:sz w:val="22"/>
        </w:rPr>
      </w:pPr>
      <w:r>
        <w:t xml:space="preserve">For the avoidance of doubt, a note has been added to the definition of constitution in </w:t>
      </w:r>
      <w:r w:rsidR="00856A12">
        <w:t>section </w:t>
      </w:r>
      <w:r>
        <w:t xml:space="preserve">9 of the </w:t>
      </w:r>
      <w:r w:rsidR="00856A12">
        <w:t>Corporations </w:t>
      </w:r>
      <w:r>
        <w:t xml:space="preserve">Act to clarify that the constituent documents of a notified foreign passport fund are taken to be its constitution. </w:t>
      </w:r>
      <w:r>
        <w:rPr>
          <w:rStyle w:val="Referencingstyle"/>
        </w:rPr>
        <w:t>[</w:t>
      </w:r>
      <w:r w:rsidR="00856A12">
        <w:rPr>
          <w:rStyle w:val="Referencingstyle"/>
        </w:rPr>
        <w:t>Schedule </w:t>
      </w:r>
      <w:r>
        <w:rPr>
          <w:rStyle w:val="Referencingstyle"/>
        </w:rPr>
        <w:t xml:space="preserve">2, </w:t>
      </w:r>
      <w:r w:rsidR="00856A12">
        <w:rPr>
          <w:rStyle w:val="Referencingstyle"/>
        </w:rPr>
        <w:t>items </w:t>
      </w:r>
      <w:r>
        <w:rPr>
          <w:rStyle w:val="Referencingstyle"/>
        </w:rPr>
        <w:t xml:space="preserve">3 and 4, </w:t>
      </w:r>
      <w:r w:rsidR="00856A12">
        <w:rPr>
          <w:rStyle w:val="Referencingstyle"/>
        </w:rPr>
        <w:t>section </w:t>
      </w:r>
      <w:r>
        <w:rPr>
          <w:rStyle w:val="Referencingstyle"/>
        </w:rPr>
        <w:t>9]</w:t>
      </w:r>
    </w:p>
    <w:p w14:paraId="678A6D4E" w14:textId="77777777" w:rsidR="00DA2CFE" w:rsidRDefault="00DA2CFE" w:rsidP="00DA2CFE">
      <w:pPr>
        <w:pStyle w:val="Heading2"/>
      </w:pPr>
      <w:r>
        <w:t>Application and transitional provisions</w:t>
      </w:r>
    </w:p>
    <w:p w14:paraId="44902A5E" w14:textId="25DCD3DB" w:rsidR="00DA2CFE" w:rsidRDefault="00DA2CFE" w:rsidP="00DA2CFE">
      <w:pPr>
        <w:pStyle w:val="base-text-paragraph"/>
      </w:pPr>
      <w:r w:rsidRPr="00DA2CFE">
        <w:t xml:space="preserve">There are no application and transitional provisions for this </w:t>
      </w:r>
      <w:r>
        <w:t>Division.</w:t>
      </w:r>
    </w:p>
    <w:p w14:paraId="464EE798" w14:textId="77777777" w:rsidR="00DA2CFE" w:rsidRDefault="00DA2CFE" w:rsidP="00DA2CFE">
      <w:pPr>
        <w:pStyle w:val="base-text-paragraph"/>
        <w:numPr>
          <w:ilvl w:val="0"/>
          <w:numId w:val="0"/>
        </w:numPr>
        <w:ind w:left="1134"/>
      </w:pPr>
    </w:p>
    <w:p w14:paraId="750BE01B" w14:textId="77777777" w:rsidR="00654BB4" w:rsidRDefault="00654BB4" w:rsidP="00654BB4"/>
    <w:p w14:paraId="57389450" w14:textId="77777777" w:rsidR="00654BB4" w:rsidRDefault="00654BB4" w:rsidP="008E49A7">
      <w:pPr>
        <w:pStyle w:val="base-text-paragraph"/>
        <w:numPr>
          <w:ilvl w:val="0"/>
          <w:numId w:val="0"/>
        </w:numPr>
        <w:ind w:left="1134"/>
        <w:sectPr w:rsidR="00654BB4" w:rsidSect="00821379">
          <w:headerReference w:type="even" r:id="rId45"/>
          <w:headerReference w:type="default" r:id="rId46"/>
          <w:footerReference w:type="even" r:id="rId47"/>
          <w:footerReference w:type="default" r:id="rId48"/>
          <w:footerReference w:type="first" r:id="rId49"/>
          <w:type w:val="oddPage"/>
          <w:pgSz w:w="11906" w:h="16838" w:code="9"/>
          <w:pgMar w:top="2466" w:right="2098" w:bottom="2466" w:left="2098" w:header="1559" w:footer="1899" w:gutter="0"/>
          <w:cols w:space="708"/>
          <w:titlePg/>
          <w:docGrid w:linePitch="360"/>
        </w:sectPr>
      </w:pPr>
    </w:p>
    <w:p w14:paraId="06211366" w14:textId="746BE393" w:rsidR="0025601E" w:rsidRPr="00F51A71" w:rsidRDefault="0025601E" w:rsidP="00A52B98">
      <w:pPr>
        <w:pStyle w:val="ChapterHeading"/>
        <w:numPr>
          <w:ilvl w:val="0"/>
          <w:numId w:val="27"/>
        </w:numPr>
        <w:tabs>
          <w:tab w:val="clear" w:pos="1134"/>
          <w:tab w:val="num" w:pos="360"/>
        </w:tabs>
      </w:pPr>
      <w:r w:rsidRPr="00F51A71">
        <w:lastRenderedPageBreak/>
        <w:br/>
      </w:r>
      <w:bookmarkStart w:id="6" w:name="_Toc490750343"/>
      <w:r w:rsidR="00CF1577">
        <w:t xml:space="preserve">Compliance and </w:t>
      </w:r>
      <w:r w:rsidR="00A54C5F">
        <w:t>enforcement</w:t>
      </w:r>
      <w:bookmarkEnd w:id="6"/>
    </w:p>
    <w:p w14:paraId="3DF1EBC6" w14:textId="77777777" w:rsidR="0025601E" w:rsidRDefault="0025601E" w:rsidP="0025601E">
      <w:pPr>
        <w:pStyle w:val="Heading2"/>
      </w:pPr>
      <w:r>
        <w:t>Outline of chapter</w:t>
      </w:r>
    </w:p>
    <w:p w14:paraId="04EEDBDB" w14:textId="046C9DE4" w:rsidR="0025601E" w:rsidRDefault="00A54C5F" w:rsidP="00A52B98">
      <w:pPr>
        <w:pStyle w:val="base-text-paragraph"/>
        <w:numPr>
          <w:ilvl w:val="1"/>
          <w:numId w:val="27"/>
        </w:numPr>
      </w:pPr>
      <w:r>
        <w:t>Part </w:t>
      </w:r>
      <w:r w:rsidR="00973D0A">
        <w:t>8A.6</w:t>
      </w:r>
      <w:r w:rsidR="00CF1577">
        <w:t xml:space="preserve"> of the new law grants ASIC additional compliance and enforcement powers for</w:t>
      </w:r>
      <w:r w:rsidR="007F00C9">
        <w:t xml:space="preserve"> Australian</w:t>
      </w:r>
      <w:r w:rsidR="00CF1577">
        <w:t xml:space="preserve"> </w:t>
      </w:r>
      <w:r w:rsidR="006847D6">
        <w:t>passport fund</w:t>
      </w:r>
      <w:r w:rsidR="00CF1577">
        <w:t xml:space="preserve">s and </w:t>
      </w:r>
      <w:r w:rsidR="002E33CC">
        <w:t xml:space="preserve">notified </w:t>
      </w:r>
      <w:r w:rsidR="00B25390">
        <w:t>foreign passport fund</w:t>
      </w:r>
      <w:r w:rsidR="00CF1577">
        <w:t>s.</w:t>
      </w:r>
    </w:p>
    <w:p w14:paraId="53775351" w14:textId="77777777" w:rsidR="0025601E" w:rsidRDefault="0025601E" w:rsidP="0025601E">
      <w:pPr>
        <w:pStyle w:val="Heading2"/>
      </w:pPr>
      <w:r>
        <w:t>Summary of new law</w:t>
      </w:r>
    </w:p>
    <w:p w14:paraId="39E5F642" w14:textId="700E7816" w:rsidR="00D07CFC" w:rsidRDefault="005A7479" w:rsidP="00A52B98">
      <w:pPr>
        <w:pStyle w:val="base-text-paragraph"/>
        <w:numPr>
          <w:ilvl w:val="1"/>
          <w:numId w:val="27"/>
        </w:numPr>
      </w:pPr>
      <w:r>
        <w:t>There are two offences for breaches of the Passport Rules</w:t>
      </w:r>
      <w:r w:rsidR="00284D96">
        <w:t xml:space="preserve">: </w:t>
      </w:r>
    </w:p>
    <w:p w14:paraId="53132213" w14:textId="15A7455B" w:rsidR="00D07CFC" w:rsidRDefault="00D07CFC" w:rsidP="00D07CFC">
      <w:pPr>
        <w:pStyle w:val="dotpoint"/>
      </w:pPr>
      <w:r>
        <w:t xml:space="preserve">A person who </w:t>
      </w:r>
      <w:r w:rsidR="005A7479">
        <w:t>intent</w:t>
      </w:r>
      <w:r>
        <w:t>ionally or recklessly breaches the Passport Rules commits an offence punishable by</w:t>
      </w:r>
      <w:r w:rsidR="005A7479">
        <w:t xml:space="preserve"> a fine of up to 2,</w:t>
      </w:r>
      <w:r w:rsidR="00284D96">
        <w:t>000 </w:t>
      </w:r>
      <w:r w:rsidR="005A7479">
        <w:t xml:space="preserve">penalty units or </w:t>
      </w:r>
      <w:r w:rsidR="00284D96">
        <w:t>five </w:t>
      </w:r>
      <w:r w:rsidR="005A7479">
        <w:t>years imprisonment or both</w:t>
      </w:r>
      <w:r w:rsidR="003F5FCE">
        <w:t>.</w:t>
      </w:r>
      <w:r w:rsidR="001B2163">
        <w:t xml:space="preserve"> This offence may also attract a civil penalty.</w:t>
      </w:r>
    </w:p>
    <w:p w14:paraId="23C4399F" w14:textId="580CE9CD" w:rsidR="0025601E" w:rsidRDefault="006E1362" w:rsidP="00D07CFC">
      <w:pPr>
        <w:pStyle w:val="dotpoint"/>
      </w:pPr>
      <w:r>
        <w:t>Minor</w:t>
      </w:r>
      <w:r w:rsidR="00D07CFC">
        <w:t xml:space="preserve"> breaches</w:t>
      </w:r>
      <w:r>
        <w:t xml:space="preserve"> of</w:t>
      </w:r>
      <w:r w:rsidR="00D07CFC">
        <w:t xml:space="preserve"> the Passport Rules </w:t>
      </w:r>
      <w:r>
        <w:t>are</w:t>
      </w:r>
      <w:r w:rsidR="005A7479">
        <w:t xml:space="preserve"> strict liability offence</w:t>
      </w:r>
      <w:r>
        <w:t>s</w:t>
      </w:r>
      <w:r w:rsidR="005A7479">
        <w:t xml:space="preserve"> punishable by up to </w:t>
      </w:r>
      <w:r w:rsidR="00284D96">
        <w:t>60 </w:t>
      </w:r>
      <w:r w:rsidR="005A7479">
        <w:t xml:space="preserve">penalty units. </w:t>
      </w:r>
      <w:r w:rsidR="005A7479" w:rsidRPr="001B2163">
        <w:t xml:space="preserve">The strict liability offence is </w:t>
      </w:r>
      <w:r w:rsidR="005A7479">
        <w:t>subject to an infringement notice regime.</w:t>
      </w:r>
    </w:p>
    <w:p w14:paraId="5A2A6A44" w14:textId="585E90C8" w:rsidR="005A7479" w:rsidRDefault="005A7479" w:rsidP="00A52B98">
      <w:pPr>
        <w:pStyle w:val="base-text-paragraph"/>
        <w:numPr>
          <w:ilvl w:val="1"/>
          <w:numId w:val="27"/>
        </w:numPr>
      </w:pPr>
      <w:r>
        <w:t xml:space="preserve">Both offences apply to Australian passport funds, </w:t>
      </w:r>
      <w:r w:rsidR="002E33CC">
        <w:t xml:space="preserve">notified </w:t>
      </w:r>
      <w:r>
        <w:t>foreign passport funds</w:t>
      </w:r>
      <w:r w:rsidR="00284D96">
        <w:t>,</w:t>
      </w:r>
      <w:r>
        <w:t xml:space="preserve"> and any person connected to </w:t>
      </w:r>
      <w:r w:rsidR="00156447">
        <w:t xml:space="preserve">such </w:t>
      </w:r>
      <w:r>
        <w:t>fund</w:t>
      </w:r>
      <w:r w:rsidR="00156447">
        <w:t>s</w:t>
      </w:r>
      <w:r>
        <w:t>.</w:t>
      </w:r>
      <w:r w:rsidR="003F5FCE">
        <w:t xml:space="preserve"> </w:t>
      </w:r>
      <w:r w:rsidR="003F5FCE" w:rsidRPr="001B2163">
        <w:t xml:space="preserve">Australia has jurisdiction </w:t>
      </w:r>
      <w:r w:rsidR="001B2163" w:rsidRPr="001B2163">
        <w:t>over Australian citizens and bod</w:t>
      </w:r>
      <w:r w:rsidR="005970B0">
        <w:t>ies</w:t>
      </w:r>
      <w:r w:rsidR="001B2163" w:rsidRPr="001B2163">
        <w:t xml:space="preserve"> corporate </w:t>
      </w:r>
      <w:r w:rsidR="003F5FCE" w:rsidRPr="001B2163">
        <w:t xml:space="preserve">irrespective of whether the </w:t>
      </w:r>
      <w:r w:rsidR="00352D34" w:rsidRPr="001B2163">
        <w:t>physical elements of</w:t>
      </w:r>
      <w:r w:rsidR="003F5FCE" w:rsidRPr="001B2163">
        <w:t xml:space="preserve"> the offence occurred in Australia</w:t>
      </w:r>
      <w:r w:rsidR="00284D96">
        <w:t>,</w:t>
      </w:r>
      <w:r w:rsidR="003F5FCE" w:rsidRPr="001B2163">
        <w:t xml:space="preserve"> or oversea</w:t>
      </w:r>
      <w:r w:rsidR="00100475" w:rsidRPr="001B2163">
        <w:t>s</w:t>
      </w:r>
      <w:r w:rsidR="00284D96">
        <w:t>,</w:t>
      </w:r>
      <w:r w:rsidR="00352D34" w:rsidRPr="001B2163">
        <w:t xml:space="preserve"> </w:t>
      </w:r>
      <w:r w:rsidR="00CB3B3F" w:rsidRPr="001B2163">
        <w:t>and irrespective of the laws of the foreign country.</w:t>
      </w:r>
      <w:r w:rsidR="003F5FCE">
        <w:t xml:space="preserve"> </w:t>
      </w:r>
      <w:r w:rsidR="001B2163">
        <w:t>For foreign citizens and bod</w:t>
      </w:r>
      <w:r w:rsidR="005970B0">
        <w:t>ies</w:t>
      </w:r>
      <w:r w:rsidR="001B2163">
        <w:t xml:space="preserve"> corporate</w:t>
      </w:r>
      <w:r w:rsidR="00284D96">
        <w:t>,</w:t>
      </w:r>
      <w:r w:rsidR="001B2163">
        <w:t xml:space="preserve"> a defence is available if the conduct occurs overseas and there is no equivalent offence in the laws of the foreign jurisdiction.</w:t>
      </w:r>
      <w:r w:rsidR="003F5FCE">
        <w:t xml:space="preserve"> </w:t>
      </w:r>
    </w:p>
    <w:p w14:paraId="02902B6B" w14:textId="56D1415A" w:rsidR="00DB6573" w:rsidRDefault="00DB6573" w:rsidP="00A52B98">
      <w:pPr>
        <w:pStyle w:val="base-text-paragraph"/>
        <w:numPr>
          <w:ilvl w:val="1"/>
          <w:numId w:val="27"/>
        </w:numPr>
      </w:pPr>
      <w:r>
        <w:t>ASIC may also make a final or interim stop order against an Australian or notified foreign passport fund that is not complying, or is not likely to comply, with the relevant corporations legislation</w:t>
      </w:r>
      <w:r w:rsidR="00284D96">
        <w:t>,</w:t>
      </w:r>
      <w:r>
        <w:t xml:space="preserve"> or the Passport Rules </w:t>
      </w:r>
      <w:r w:rsidR="002E33CC">
        <w:t>for</w:t>
      </w:r>
      <w:r>
        <w:t xml:space="preserve"> this jurisdiction. </w:t>
      </w:r>
      <w:r w:rsidR="00AE7911">
        <w:t>Notified foreign passport funds that are not registered as foreign companies</w:t>
      </w:r>
      <w:r w:rsidR="00284D96">
        <w:t>,</w:t>
      </w:r>
      <w:r w:rsidR="00AE7911">
        <w:t xml:space="preserve"> or fail to appoint a local agent</w:t>
      </w:r>
      <w:r w:rsidR="00284D96">
        <w:t>,</w:t>
      </w:r>
      <w:r w:rsidR="00AE7911">
        <w:t xml:space="preserve"> may also be subject to a stop order. Finally, a</w:t>
      </w:r>
      <w:r w:rsidR="00156447">
        <w:t xml:space="preserve"> st</w:t>
      </w:r>
      <w:r>
        <w:t>op order may also be made against notified foreign passport funds from economies that have ceased to be participating economies, or have a different understanding about the application or implementation of the MOC to Australia.</w:t>
      </w:r>
    </w:p>
    <w:p w14:paraId="2B095330" w14:textId="50927DBC" w:rsidR="00DD0337" w:rsidRPr="008F726E" w:rsidRDefault="00DD0337" w:rsidP="00A52B98">
      <w:pPr>
        <w:pStyle w:val="base-text-paragraph"/>
        <w:numPr>
          <w:ilvl w:val="1"/>
          <w:numId w:val="27"/>
        </w:numPr>
      </w:pPr>
      <w:r>
        <w:lastRenderedPageBreak/>
        <w:t>The licensing</w:t>
      </w:r>
      <w:r w:rsidR="002E33CC">
        <w:t xml:space="preserve"> and</w:t>
      </w:r>
      <w:r>
        <w:t xml:space="preserve"> breach reporting requirements</w:t>
      </w:r>
      <w:r w:rsidR="002E33CC">
        <w:t>, ASIC’s banning powers, and the court’s power to award compensation have</w:t>
      </w:r>
      <w:r>
        <w:t xml:space="preserve"> been extended to </w:t>
      </w:r>
      <w:r w:rsidR="003345C4">
        <w:t>cover</w:t>
      </w:r>
      <w:r>
        <w:t xml:space="preserve"> </w:t>
      </w:r>
      <w:r w:rsidR="003345C4">
        <w:t>non</w:t>
      </w:r>
      <w:r w:rsidR="00856A12">
        <w:noBreakHyphen/>
      </w:r>
      <w:r>
        <w:t xml:space="preserve">compliance with the Passport Rules </w:t>
      </w:r>
      <w:r w:rsidR="00620A5C">
        <w:t>for</w:t>
      </w:r>
      <w:r>
        <w:t xml:space="preserve"> this jurisdiction and host economy laws.</w:t>
      </w:r>
    </w:p>
    <w:p w14:paraId="39E35185" w14:textId="77777777" w:rsidR="0025601E" w:rsidRDefault="0025601E" w:rsidP="0025601E">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25601E" w:rsidRPr="004666B8" w14:paraId="299D0A61" w14:textId="77777777" w:rsidTr="0025601E">
        <w:tc>
          <w:tcPr>
            <w:tcW w:w="3275" w:type="dxa"/>
          </w:tcPr>
          <w:p w14:paraId="60BB1D1A" w14:textId="77777777" w:rsidR="0025601E" w:rsidRPr="004666B8" w:rsidRDefault="0025601E" w:rsidP="0025601E">
            <w:pPr>
              <w:pStyle w:val="tableheaderwithintable"/>
              <w:rPr>
                <w:lang w:val="en-US" w:eastAsia="en-US"/>
              </w:rPr>
            </w:pPr>
            <w:r w:rsidRPr="004666B8">
              <w:rPr>
                <w:lang w:val="en-US" w:eastAsia="en-US"/>
              </w:rPr>
              <w:t>New law</w:t>
            </w:r>
          </w:p>
        </w:tc>
        <w:tc>
          <w:tcPr>
            <w:tcW w:w="3276" w:type="dxa"/>
          </w:tcPr>
          <w:p w14:paraId="05585AB8" w14:textId="77777777" w:rsidR="0025601E" w:rsidRPr="004666B8" w:rsidRDefault="0025601E" w:rsidP="0025601E">
            <w:pPr>
              <w:pStyle w:val="tableheaderwithintable"/>
              <w:rPr>
                <w:lang w:val="en-US" w:eastAsia="en-US"/>
              </w:rPr>
            </w:pPr>
            <w:r w:rsidRPr="004666B8">
              <w:rPr>
                <w:lang w:val="en-US" w:eastAsia="en-US"/>
              </w:rPr>
              <w:t>Current law</w:t>
            </w:r>
          </w:p>
        </w:tc>
      </w:tr>
      <w:tr w:rsidR="0025601E" w:rsidRPr="004666B8" w14:paraId="66ABA611" w14:textId="77777777" w:rsidTr="0025601E">
        <w:tc>
          <w:tcPr>
            <w:tcW w:w="3275" w:type="dxa"/>
          </w:tcPr>
          <w:p w14:paraId="08B3FD18" w14:textId="653A428F" w:rsidR="00455B9F" w:rsidRDefault="00455B9F" w:rsidP="00455B9F">
            <w:pPr>
              <w:pStyle w:val="tabletext"/>
            </w:pPr>
            <w:r>
              <w:t>A person who intentionally or recklessly breaches the Passport Rules commits an offence punishable by a fine of up to 2,</w:t>
            </w:r>
            <w:r w:rsidR="00284D96">
              <w:t>000 </w:t>
            </w:r>
            <w:r>
              <w:t xml:space="preserve">penalty units or </w:t>
            </w:r>
            <w:r w:rsidR="00284D96">
              <w:t>five </w:t>
            </w:r>
            <w:r>
              <w:t>years imprisonment or both.</w:t>
            </w:r>
          </w:p>
          <w:p w14:paraId="4BCF6BE0" w14:textId="4C0A8CBD" w:rsidR="00455B9F" w:rsidRDefault="00455B9F" w:rsidP="00455B9F">
            <w:pPr>
              <w:pStyle w:val="tabletext"/>
            </w:pPr>
            <w:r>
              <w:t xml:space="preserve">A person who breaches the Passport Rules but does not act intentionally or recklessly commits a strict liability offence punishable by up to </w:t>
            </w:r>
            <w:r w:rsidR="00284D96">
              <w:t>60 </w:t>
            </w:r>
            <w:r>
              <w:t xml:space="preserve">penalty units. </w:t>
            </w:r>
          </w:p>
          <w:p w14:paraId="08A3F44C" w14:textId="2A53BE98" w:rsidR="0025601E" w:rsidRPr="00455B9F" w:rsidRDefault="00455B9F" w:rsidP="003457FF">
            <w:pPr>
              <w:pStyle w:val="tabletext"/>
            </w:pPr>
            <w:r>
              <w:t>The strict liability offence is subject to an infringement notice regime.</w:t>
            </w:r>
          </w:p>
        </w:tc>
        <w:tc>
          <w:tcPr>
            <w:tcW w:w="3276" w:type="dxa"/>
          </w:tcPr>
          <w:p w14:paraId="14DFBEE9" w14:textId="73C0826D" w:rsidR="0025601E" w:rsidRPr="004666B8" w:rsidRDefault="00455B9F" w:rsidP="0025601E">
            <w:pPr>
              <w:pStyle w:val="tabletext"/>
              <w:rPr>
                <w:lang w:val="en-US" w:eastAsia="en-US"/>
              </w:rPr>
            </w:pPr>
            <w:r>
              <w:rPr>
                <w:lang w:val="en-US" w:eastAsia="en-US"/>
              </w:rPr>
              <w:t>No equivalent</w:t>
            </w:r>
          </w:p>
        </w:tc>
      </w:tr>
      <w:tr w:rsidR="00455B9F" w:rsidRPr="004666B8" w14:paraId="4189EE82" w14:textId="77777777" w:rsidTr="0025601E">
        <w:tc>
          <w:tcPr>
            <w:tcW w:w="3275" w:type="dxa"/>
          </w:tcPr>
          <w:p w14:paraId="6F3A4BFD" w14:textId="4E2D5D58" w:rsidR="00DB6573" w:rsidRDefault="00DB6573" w:rsidP="00455B9F">
            <w:pPr>
              <w:pStyle w:val="tabletext"/>
            </w:pPr>
            <w:r>
              <w:t>ASIC may make a</w:t>
            </w:r>
            <w:r w:rsidR="00DF4592">
              <w:t xml:space="preserve"> final or interim</w:t>
            </w:r>
            <w:r>
              <w:t xml:space="preserve"> stop order against an operator </w:t>
            </w:r>
            <w:r w:rsidR="00E45B12">
              <w:t>who</w:t>
            </w:r>
            <w:r>
              <w:t>:</w:t>
            </w:r>
          </w:p>
          <w:p w14:paraId="354ECDF7" w14:textId="3160F749" w:rsidR="00E45B12" w:rsidRDefault="00DB6573" w:rsidP="00DB6573">
            <w:pPr>
              <w:pStyle w:val="tabledotpoint"/>
            </w:pPr>
            <w:r>
              <w:t xml:space="preserve">is not complying, or </w:t>
            </w:r>
            <w:r w:rsidR="00E45B12">
              <w:t xml:space="preserve">is not </w:t>
            </w:r>
            <w:r>
              <w:t xml:space="preserve">likely to comply, with the relevant corporations laws or the Passport Rules in this jurisdiction; </w:t>
            </w:r>
          </w:p>
          <w:p w14:paraId="0F4853E3" w14:textId="1A210CDD" w:rsidR="00DB6573" w:rsidRDefault="00E45B12" w:rsidP="00DB6573">
            <w:pPr>
              <w:pStyle w:val="tabledotpoint"/>
            </w:pPr>
            <w:r>
              <w:t xml:space="preserve">ceases to be a registered foreign </w:t>
            </w:r>
            <w:r w:rsidR="005B0F99">
              <w:t>company</w:t>
            </w:r>
            <w:r>
              <w:t xml:space="preserve"> or fails to appoint a local agent; </w:t>
            </w:r>
            <w:r w:rsidR="00DB6573">
              <w:t>or</w:t>
            </w:r>
          </w:p>
          <w:p w14:paraId="17CC22D0" w14:textId="1651D471" w:rsidR="00455B9F" w:rsidRDefault="00D7451A" w:rsidP="00AB32DA">
            <w:pPr>
              <w:pStyle w:val="tabledotpoint"/>
            </w:pPr>
            <w:r>
              <w:t xml:space="preserve">in the case of a notified foreign passport fund, </w:t>
            </w:r>
            <w:r w:rsidR="00AB32DA">
              <w:t>is subject to any determination made by</w:t>
            </w:r>
            <w:r w:rsidR="00E45B12">
              <w:t xml:space="preserve"> </w:t>
            </w:r>
            <w:r w:rsidR="00DB6573">
              <w:t>the Minister.</w:t>
            </w:r>
          </w:p>
        </w:tc>
        <w:tc>
          <w:tcPr>
            <w:tcW w:w="3276" w:type="dxa"/>
          </w:tcPr>
          <w:p w14:paraId="0D6046D4" w14:textId="16D5479E" w:rsidR="00455B9F" w:rsidRDefault="00DF4592" w:rsidP="0025601E">
            <w:pPr>
              <w:pStyle w:val="tabletext"/>
              <w:rPr>
                <w:lang w:val="en-US" w:eastAsia="en-US"/>
              </w:rPr>
            </w:pPr>
            <w:r>
              <w:rPr>
                <w:lang w:val="en-US" w:eastAsia="en-US"/>
              </w:rPr>
              <w:t>No equivalent.</w:t>
            </w:r>
          </w:p>
        </w:tc>
      </w:tr>
    </w:tbl>
    <w:p w14:paraId="620EC792" w14:textId="18C741EF" w:rsidR="0025601E" w:rsidRDefault="0025601E" w:rsidP="0025601E">
      <w:pPr>
        <w:pStyle w:val="Heading2"/>
      </w:pPr>
      <w:r>
        <w:t>Detailed explanation of new law</w:t>
      </w:r>
    </w:p>
    <w:p w14:paraId="4B29CF4A" w14:textId="5B07AFF2" w:rsidR="00C95FD7" w:rsidRDefault="00C95FD7" w:rsidP="00C95FD7">
      <w:pPr>
        <w:pStyle w:val="Heading3"/>
      </w:pPr>
      <w:r>
        <w:t>Breaches of the Passport Rules</w:t>
      </w:r>
      <w:r w:rsidR="00244E1A">
        <w:t xml:space="preserve"> in this Jurisdiction</w:t>
      </w:r>
    </w:p>
    <w:p w14:paraId="4E696637" w14:textId="2089EF1D" w:rsidR="00ED67CE" w:rsidRDefault="009C0733" w:rsidP="00ED67CE">
      <w:pPr>
        <w:pStyle w:val="Heading4"/>
      </w:pPr>
      <w:r>
        <w:t>Penalties</w:t>
      </w:r>
      <w:r w:rsidR="00B85D38">
        <w:t xml:space="preserve"> </w:t>
      </w:r>
    </w:p>
    <w:p w14:paraId="49128459" w14:textId="4BC6153D" w:rsidR="00DB6BA1" w:rsidRDefault="00DB6BA1" w:rsidP="00A52B98">
      <w:pPr>
        <w:pStyle w:val="base-text-paragraph"/>
        <w:numPr>
          <w:ilvl w:val="1"/>
          <w:numId w:val="27"/>
        </w:numPr>
      </w:pPr>
      <w:r>
        <w:t>Breaches of the Passport Rules are an offence under the amen</w:t>
      </w:r>
      <w:r w:rsidR="003D7B7E">
        <w:t>dments in the Bill. It is generally not best practice for the content of an offence to be set out in another instrument (</w:t>
      </w:r>
      <w:r w:rsidR="00386942">
        <w:t xml:space="preserve">an arrangement </w:t>
      </w:r>
      <w:r w:rsidR="003D7B7E">
        <w:t>known as</w:t>
      </w:r>
      <w:r w:rsidR="00A70474">
        <w:t xml:space="preserve"> </w:t>
      </w:r>
      <w:r w:rsidR="00471442">
        <w:t xml:space="preserve">a </w:t>
      </w:r>
      <w:r w:rsidR="00A70474">
        <w:lastRenderedPageBreak/>
        <w:t xml:space="preserve">‘delegation of offence content’. See </w:t>
      </w:r>
      <w:r w:rsidR="00386942">
        <w:t xml:space="preserve">the Guide, </w:t>
      </w:r>
      <w:r w:rsidR="00284D96">
        <w:t>section </w:t>
      </w:r>
      <w:r w:rsidR="00471442">
        <w:t>2.3.4</w:t>
      </w:r>
      <w:r w:rsidR="00A70474">
        <w:t>).</w:t>
      </w:r>
      <w:r w:rsidR="00471442">
        <w:t xml:space="preserve"> The general concern is that such an arrangement may obscure the scope and effect of the offence for Parliament and those subject to the offence.</w:t>
      </w:r>
    </w:p>
    <w:p w14:paraId="3ACE11AC" w14:textId="5E6B5994" w:rsidR="000537A7" w:rsidRDefault="000537A7" w:rsidP="00A52B98">
      <w:pPr>
        <w:pStyle w:val="base-text-paragraph"/>
        <w:numPr>
          <w:ilvl w:val="1"/>
          <w:numId w:val="27"/>
        </w:numPr>
      </w:pPr>
      <w:r>
        <w:t>The Guide provides a number of circumstances in which it may nevertheless be appropriate for a delegation of offence content to occur, several of which apply to breaches of the Passport Rules. The first</w:t>
      </w:r>
      <w:r w:rsidR="00284D96">
        <w:t>,</w:t>
      </w:r>
      <w:r>
        <w:t xml:space="preserve"> is that the Australian Government has </w:t>
      </w:r>
      <w:r w:rsidR="009C0733">
        <w:t>committ</w:t>
      </w:r>
      <w:r>
        <w:t xml:space="preserve">ed to abide by the Passport Rules as an internationally agreed set of requirements, and to incorporate the Passport Rules in the domestic law. In doing so, it is necessary to support the implementation of the Passport Rules in Australia with the appropriate penalties. </w:t>
      </w:r>
      <w:r w:rsidR="00350A02">
        <w:t>Secondly</w:t>
      </w:r>
      <w:r>
        <w:t>, the Passport Rules contain a large number of technical and detailed requirements which are inappropriate for inclusion in an Act.</w:t>
      </w:r>
      <w:r w:rsidR="00350A02">
        <w:t xml:space="preserve"> Finally, it is likely that the content of the Passport Rules will have to be amended as the Passport arrangements are implemented, to deal with unanticipated consequences and changing market circumstances. The delegation of offence content in this context is therefore justified and complies with the </w:t>
      </w:r>
      <w:r w:rsidR="009F1C8A">
        <w:t>Guide</w:t>
      </w:r>
      <w:r w:rsidR="00350A02">
        <w:t>.</w:t>
      </w:r>
    </w:p>
    <w:p w14:paraId="078762D5" w14:textId="09299231" w:rsidR="000537A7" w:rsidRDefault="000537A7" w:rsidP="00A52B98">
      <w:pPr>
        <w:pStyle w:val="base-text-paragraph"/>
        <w:numPr>
          <w:ilvl w:val="1"/>
          <w:numId w:val="27"/>
        </w:numPr>
      </w:pPr>
      <w:r>
        <w:t>Furthermore, incorporati</w:t>
      </w:r>
      <w:r w:rsidR="009C0733">
        <w:t xml:space="preserve">on of the Passport Rules in the domestic law of Australia will occur in the form of a legislative instrument which </w:t>
      </w:r>
      <w:r w:rsidR="009C0733" w:rsidRPr="007752A6">
        <w:t>will be subject to consideration and scrutiny by Parliament</w:t>
      </w:r>
      <w:r w:rsidR="00D601BA" w:rsidRPr="007752A6">
        <w:t xml:space="preserve"> (see </w:t>
      </w:r>
      <w:r w:rsidR="00284D96" w:rsidRPr="007752A6">
        <w:t>paragraph</w:t>
      </w:r>
      <w:r w:rsidR="00284D96">
        <w:t> </w:t>
      </w:r>
      <w:r w:rsidR="00DA4348" w:rsidRPr="007752A6">
        <w:t>2.20</w:t>
      </w:r>
      <w:r w:rsidR="00D601BA" w:rsidRPr="007752A6">
        <w:t xml:space="preserve"> above)</w:t>
      </w:r>
      <w:r w:rsidR="009C0733" w:rsidRPr="007752A6">
        <w:t>. For this and the other reasons set out above, it is considered</w:t>
      </w:r>
      <w:r w:rsidR="009C0733">
        <w:t xml:space="preserve"> that</w:t>
      </w:r>
      <w:r w:rsidR="00D601BA">
        <w:t xml:space="preserve"> the delegation of offence content inherent in the offences included in the Bill with regard to breaches of the Passport Rules are consistent with the Guide.</w:t>
      </w:r>
    </w:p>
    <w:p w14:paraId="413F8127" w14:textId="1F597701" w:rsidR="00973D0A" w:rsidRDefault="00973D0A" w:rsidP="00A52B98">
      <w:pPr>
        <w:pStyle w:val="base-text-paragraph"/>
        <w:numPr>
          <w:ilvl w:val="1"/>
          <w:numId w:val="27"/>
        </w:numPr>
      </w:pPr>
      <w:r>
        <w:t>The new law sets out two offences for persons who breach the Passport Rules in this jurisdiction.</w:t>
      </w:r>
      <w:r w:rsidR="00E23C59">
        <w:t xml:space="preserve"> </w:t>
      </w:r>
      <w:r w:rsidR="00E23C59">
        <w:rPr>
          <w:rStyle w:val="Referencingstyle"/>
        </w:rPr>
        <w:t>[</w:t>
      </w:r>
      <w:r w:rsidR="00284D96">
        <w:rPr>
          <w:rStyle w:val="Referencingstyle"/>
        </w:rPr>
        <w:t>Schedule </w:t>
      </w:r>
      <w:r w:rsidR="00B0428A">
        <w:rPr>
          <w:rStyle w:val="Referencingstyle"/>
        </w:rPr>
        <w:t xml:space="preserve">1, </w:t>
      </w:r>
      <w:r w:rsidR="00284D96">
        <w:rPr>
          <w:rStyle w:val="Referencingstyle"/>
        </w:rPr>
        <w:t>item </w:t>
      </w:r>
      <w:r w:rsidR="00B0428A">
        <w:rPr>
          <w:rStyle w:val="Referencingstyle"/>
        </w:rPr>
        <w:t xml:space="preserve">1, </w:t>
      </w:r>
      <w:r w:rsidR="00284D96">
        <w:rPr>
          <w:rStyle w:val="Referencingstyle"/>
        </w:rPr>
        <w:t>section </w:t>
      </w:r>
      <w:r w:rsidR="00B0428A">
        <w:rPr>
          <w:rStyle w:val="Referencingstyle"/>
        </w:rPr>
        <w:t>1211C]</w:t>
      </w:r>
      <w:r w:rsidR="00B0428A">
        <w:t xml:space="preserve"> </w:t>
      </w:r>
    </w:p>
    <w:p w14:paraId="4AC4631C" w14:textId="3B724332" w:rsidR="00284090" w:rsidRDefault="00973D0A" w:rsidP="00A52B98">
      <w:pPr>
        <w:pStyle w:val="base-text-paragraph"/>
        <w:numPr>
          <w:ilvl w:val="1"/>
          <w:numId w:val="27"/>
        </w:numPr>
      </w:pPr>
      <w:r>
        <w:t>The first offence is a more serious offence that applies i</w:t>
      </w:r>
      <w:r w:rsidR="00ED67CE">
        <w:t>f the person ac</w:t>
      </w:r>
      <w:r>
        <w:t>ted intentionally or recklessly</w:t>
      </w:r>
      <w:r w:rsidR="00ED67CE">
        <w:t xml:space="preserve">. As that section does not specify the fault element, the default fault element </w:t>
      </w:r>
      <w:r w:rsidR="00D07CFC">
        <w:t xml:space="preserve">of ‘intention’ or ‘recklessness’ </w:t>
      </w:r>
      <w:r w:rsidR="00ED67CE">
        <w:t xml:space="preserve">in </w:t>
      </w:r>
      <w:r w:rsidR="00284D96">
        <w:t>section </w:t>
      </w:r>
      <w:r w:rsidR="00ED67CE">
        <w:t>5.6 of the Criminal Code applies.</w:t>
      </w:r>
      <w:r>
        <w:t xml:space="preserve"> </w:t>
      </w:r>
      <w:r w:rsidR="00284090">
        <w:t>The penalty for the more serious o</w:t>
      </w:r>
      <w:r w:rsidR="006E1362">
        <w:t>ffence is a fine of up to 2,000 </w:t>
      </w:r>
      <w:r w:rsidR="00284090">
        <w:t>penalty unit</w:t>
      </w:r>
      <w:r w:rsidR="00F93A96">
        <w:t>s</w:t>
      </w:r>
      <w:r w:rsidR="00964F9A">
        <w:t xml:space="preserve"> or</w:t>
      </w:r>
      <w:r w:rsidR="00284090">
        <w:t xml:space="preserve"> imprisonment for up to </w:t>
      </w:r>
      <w:r w:rsidR="00284D96">
        <w:t>five </w:t>
      </w:r>
      <w:r w:rsidR="00284090">
        <w:t>years or both.</w:t>
      </w:r>
      <w:r w:rsidR="007532CE">
        <w:t xml:space="preserve"> This penalty is consistent with those </w:t>
      </w:r>
      <w:r w:rsidR="00471FF9">
        <w:t>for</w:t>
      </w:r>
      <w:r w:rsidR="007532CE">
        <w:t xml:space="preserve"> similar offences applying to managed investment schemes in the </w:t>
      </w:r>
      <w:r w:rsidR="00284D96">
        <w:t>Corporations </w:t>
      </w:r>
      <w:r w:rsidR="007532CE">
        <w:t>Act (for example</w:t>
      </w:r>
      <w:r w:rsidR="00284D96">
        <w:t>,</w:t>
      </w:r>
      <w:r w:rsidR="00471FF9">
        <w:t xml:space="preserve"> in the case of a person intentionally or recklessly breaching their duties as an officer of a responsible entity (see </w:t>
      </w:r>
      <w:r w:rsidR="00284D96">
        <w:t>subsection </w:t>
      </w:r>
      <w:r w:rsidR="00471FF9">
        <w:t>601FD(4) and related penalty).</w:t>
      </w:r>
      <w:r>
        <w:t xml:space="preserve"> </w:t>
      </w:r>
      <w:r>
        <w:rPr>
          <w:rStyle w:val="Referencingstyle"/>
        </w:rPr>
        <w:t>[</w:t>
      </w:r>
      <w:r w:rsidR="00284D96">
        <w:rPr>
          <w:rStyle w:val="Referencingstyle"/>
        </w:rPr>
        <w:t>Schedule </w:t>
      </w:r>
      <w:r>
        <w:rPr>
          <w:rStyle w:val="Referencingstyle"/>
        </w:rPr>
        <w:t xml:space="preserve">1, </w:t>
      </w:r>
      <w:r w:rsidR="00284D96">
        <w:rPr>
          <w:rStyle w:val="Referencingstyle"/>
        </w:rPr>
        <w:t>item </w:t>
      </w:r>
      <w:r>
        <w:rPr>
          <w:rStyle w:val="Referencingstyle"/>
        </w:rPr>
        <w:t xml:space="preserve">1, </w:t>
      </w:r>
      <w:r w:rsidR="00284D96">
        <w:rPr>
          <w:rStyle w:val="Referencingstyle"/>
        </w:rPr>
        <w:t>subsection </w:t>
      </w:r>
      <w:r>
        <w:rPr>
          <w:rStyle w:val="Referencingstyle"/>
        </w:rPr>
        <w:t>1211C(</w:t>
      </w:r>
      <w:r w:rsidR="00B0428A">
        <w:rPr>
          <w:rStyle w:val="Referencingstyle"/>
        </w:rPr>
        <w:t>3</w:t>
      </w:r>
      <w:r>
        <w:rPr>
          <w:rStyle w:val="Referencingstyle"/>
        </w:rPr>
        <w:t>)]</w:t>
      </w:r>
    </w:p>
    <w:p w14:paraId="2CA38C96" w14:textId="655061B7" w:rsidR="00216284" w:rsidRPr="00A47011" w:rsidRDefault="00216284" w:rsidP="00A52B98">
      <w:pPr>
        <w:pStyle w:val="base-text-paragraph"/>
        <w:numPr>
          <w:ilvl w:val="1"/>
          <w:numId w:val="27"/>
        </w:numPr>
        <w:rPr>
          <w:rStyle w:val="Referencingstyle"/>
          <w:b w:val="0"/>
          <w:i w:val="0"/>
          <w:sz w:val="22"/>
        </w:rPr>
      </w:pPr>
      <w:r>
        <w:t xml:space="preserve">The </w:t>
      </w:r>
      <w:r w:rsidR="00A47011">
        <w:t>second less</w:t>
      </w:r>
      <w:r>
        <w:t xml:space="preserve"> serious offence </w:t>
      </w:r>
      <w:r w:rsidR="00A47011">
        <w:t xml:space="preserve">applies </w:t>
      </w:r>
      <w:r w:rsidR="00156447">
        <w:t>if there is</w:t>
      </w:r>
      <w:r w:rsidR="00A47011">
        <w:t xml:space="preserve"> no intention or recklessness</w:t>
      </w:r>
      <w:r>
        <w:t xml:space="preserve">. </w:t>
      </w:r>
      <w:r w:rsidR="00A47011">
        <w:t xml:space="preserve">It is a strict liability offence, that is, </w:t>
      </w:r>
      <w:r>
        <w:t xml:space="preserve">the prosecution does not need to prove fault </w:t>
      </w:r>
      <w:r w:rsidR="00525F2B">
        <w:t xml:space="preserve">elements (intention, knowledge, recklessness or negligence) </w:t>
      </w:r>
      <w:r>
        <w:t>for any of the physical elements of the offence. The defence of reasonable mistake of fact</w:t>
      </w:r>
      <w:r w:rsidR="00284D96">
        <w:t>,</w:t>
      </w:r>
      <w:r>
        <w:t xml:space="preserve"> and other general defences</w:t>
      </w:r>
      <w:r w:rsidR="00284D96">
        <w:t>,</w:t>
      </w:r>
      <w:r>
        <w:t xml:space="preserve"> remain available </w:t>
      </w:r>
      <w:r>
        <w:lastRenderedPageBreak/>
        <w:t xml:space="preserve">under </w:t>
      </w:r>
      <w:r w:rsidR="00284D96">
        <w:t>section </w:t>
      </w:r>
      <w:r>
        <w:t xml:space="preserve">6.1 of the Criminal Code. </w:t>
      </w:r>
      <w:r w:rsidR="00A47011">
        <w:rPr>
          <w:rStyle w:val="Referencingstyle"/>
        </w:rPr>
        <w:t>[</w:t>
      </w:r>
      <w:r w:rsidR="00284D96">
        <w:rPr>
          <w:rStyle w:val="Referencingstyle"/>
        </w:rPr>
        <w:t>Schedule </w:t>
      </w:r>
      <w:r w:rsidR="00A47011">
        <w:rPr>
          <w:rStyle w:val="Referencingstyle"/>
        </w:rPr>
        <w:t xml:space="preserve">1, </w:t>
      </w:r>
      <w:r w:rsidR="00284D96">
        <w:rPr>
          <w:rStyle w:val="Referencingstyle"/>
        </w:rPr>
        <w:t>item </w:t>
      </w:r>
      <w:r w:rsidR="00A47011">
        <w:rPr>
          <w:rStyle w:val="Referencingstyle"/>
        </w:rPr>
        <w:t xml:space="preserve">1, </w:t>
      </w:r>
      <w:r w:rsidR="00284D96">
        <w:rPr>
          <w:rStyle w:val="Referencingstyle"/>
        </w:rPr>
        <w:t>subsection </w:t>
      </w:r>
      <w:r w:rsidR="00A47011">
        <w:rPr>
          <w:rStyle w:val="Referencingstyle"/>
        </w:rPr>
        <w:t>1211C(</w:t>
      </w:r>
      <w:r w:rsidR="00B0428A">
        <w:rPr>
          <w:rStyle w:val="Referencingstyle"/>
        </w:rPr>
        <w:t>4</w:t>
      </w:r>
      <w:r w:rsidR="00A47011">
        <w:rPr>
          <w:rStyle w:val="Referencingstyle"/>
        </w:rPr>
        <w:t>)]</w:t>
      </w:r>
    </w:p>
    <w:p w14:paraId="629871DA" w14:textId="3DFE35A9" w:rsidR="00A47011" w:rsidRDefault="00A47011" w:rsidP="00A47011">
      <w:pPr>
        <w:pStyle w:val="base-text-paragraph"/>
      </w:pPr>
      <w:r w:rsidRPr="00A47011">
        <w:t xml:space="preserve">The penalty for the less serious offence is a fine of up to </w:t>
      </w:r>
      <w:r w:rsidR="00620A5C">
        <w:t>6</w:t>
      </w:r>
      <w:r w:rsidRPr="00A47011">
        <w:t>0</w:t>
      </w:r>
      <w:r w:rsidR="006E1362">
        <w:t> </w:t>
      </w:r>
      <w:r w:rsidRPr="00A47011">
        <w:t>penalty unit</w:t>
      </w:r>
      <w:r w:rsidR="00156447">
        <w:t>s</w:t>
      </w:r>
      <w:r w:rsidRPr="00A47011">
        <w:t>.</w:t>
      </w:r>
      <w:r w:rsidR="000D4CD3">
        <w:t xml:space="preserve"> There is no imprisonment penalty. The amount of the fine and the absence of an imprisonment penalty are consistent with the recommended penalties in the Guide</w:t>
      </w:r>
      <w:r w:rsidR="000D4CD3">
        <w:rPr>
          <w:rStyle w:val="Referencingstyle"/>
          <w:b w:val="0"/>
          <w:i w:val="0"/>
        </w:rPr>
        <w:t xml:space="preserve">. </w:t>
      </w:r>
      <w:r>
        <w:rPr>
          <w:rStyle w:val="Referencingstyle"/>
        </w:rPr>
        <w:t>[</w:t>
      </w:r>
      <w:r w:rsidR="00284D96">
        <w:rPr>
          <w:rStyle w:val="Referencingstyle"/>
        </w:rPr>
        <w:t>Schedule </w:t>
      </w:r>
      <w:r>
        <w:rPr>
          <w:rStyle w:val="Referencingstyle"/>
        </w:rPr>
        <w:t xml:space="preserve">1, </w:t>
      </w:r>
      <w:r w:rsidR="00284D96">
        <w:rPr>
          <w:rStyle w:val="Referencingstyle"/>
        </w:rPr>
        <w:t>item </w:t>
      </w:r>
      <w:r>
        <w:rPr>
          <w:rStyle w:val="Referencingstyle"/>
        </w:rPr>
        <w:t xml:space="preserve">1, </w:t>
      </w:r>
      <w:r w:rsidR="00284D96">
        <w:rPr>
          <w:rStyle w:val="Referencingstyle"/>
        </w:rPr>
        <w:t>subsection </w:t>
      </w:r>
      <w:r>
        <w:rPr>
          <w:rStyle w:val="Referencingstyle"/>
        </w:rPr>
        <w:t>1211C(</w:t>
      </w:r>
      <w:r w:rsidR="00CB5DAB">
        <w:rPr>
          <w:rStyle w:val="Referencingstyle"/>
        </w:rPr>
        <w:t>5</w:t>
      </w:r>
      <w:r>
        <w:rPr>
          <w:rStyle w:val="Referencingstyle"/>
        </w:rPr>
        <w:t>)]</w:t>
      </w:r>
    </w:p>
    <w:p w14:paraId="19552399" w14:textId="082F7BE7" w:rsidR="00216284" w:rsidRDefault="00216284" w:rsidP="00A52B98">
      <w:pPr>
        <w:pStyle w:val="base-text-paragraph"/>
        <w:numPr>
          <w:ilvl w:val="1"/>
          <w:numId w:val="27"/>
        </w:numPr>
      </w:pPr>
      <w:r>
        <w:t xml:space="preserve">While strict liability offences often sit uncomfortably with the presumption of innocence, they are appropriate if they pursue a legitimate aim and are proportionate to achieving that aim (see the </w:t>
      </w:r>
      <w:r w:rsidRPr="00137BC8">
        <w:t>Guide</w:t>
      </w:r>
      <w:r w:rsidR="00E517C8">
        <w:t xml:space="preserve">, </w:t>
      </w:r>
      <w:r w:rsidR="00284D96">
        <w:t>section </w:t>
      </w:r>
      <w:r w:rsidR="00AA56E2">
        <w:t>2.2.</w:t>
      </w:r>
      <w:r w:rsidR="00E517C8">
        <w:t>6</w:t>
      </w:r>
      <w:r w:rsidRPr="00137BC8">
        <w:t>)</w:t>
      </w:r>
      <w:r>
        <w:t xml:space="preserve">. The strict liability offence for </w:t>
      </w:r>
      <w:r w:rsidR="00F0673E">
        <w:t xml:space="preserve">less serious </w:t>
      </w:r>
      <w:r>
        <w:t xml:space="preserve">breaches of the Passport </w:t>
      </w:r>
      <w:r w:rsidR="00F0673E">
        <w:t>Rules</w:t>
      </w:r>
      <w:r>
        <w:t xml:space="preserve"> is consistent with the Guide. It is designed to ensure the integrity of the new regime, protect investors, and make it easier for ASIC to prosecute an offence.</w:t>
      </w:r>
      <w:r w:rsidRPr="007E2B76">
        <w:t xml:space="preserve"> </w:t>
      </w:r>
      <w:r w:rsidR="00AA56E2">
        <w:t xml:space="preserve">The Passport Rules contain a large number of detailed rules, especially with respect to investment restrictions, </w:t>
      </w:r>
      <w:r w:rsidR="000D4CD3">
        <w:t xml:space="preserve">and </w:t>
      </w:r>
      <w:r w:rsidR="00AA56E2">
        <w:t xml:space="preserve">it is conceivable that there may be a significant number of minor infringements. </w:t>
      </w:r>
      <w:r w:rsidR="00D72885">
        <w:t>Proof of fault is likely to be relatively easy to demonstrate, as the investment restrictions provide objective criteria which can be used to assess whether an infringement has occurred. A</w:t>
      </w:r>
      <w:r w:rsidR="000D4CD3">
        <w:t xml:space="preserve"> quick and effective means of dealing with these infringements is an essential element in preserving the integrity of the passport regime.</w:t>
      </w:r>
    </w:p>
    <w:p w14:paraId="72435489" w14:textId="03F81561" w:rsidR="00216284" w:rsidRDefault="00B0428A" w:rsidP="00A52B98">
      <w:pPr>
        <w:pStyle w:val="base-text-paragraph"/>
        <w:numPr>
          <w:ilvl w:val="1"/>
          <w:numId w:val="27"/>
        </w:numPr>
      </w:pPr>
      <w:r>
        <w:t>Breaches of the Passport Rules are also</w:t>
      </w:r>
      <w:r w:rsidR="00216284">
        <w:t xml:space="preserve"> subject to the infringement notice scheme established under the Regulatory </w:t>
      </w:r>
      <w:r w:rsidR="00284D96">
        <w:t>Powers </w:t>
      </w:r>
      <w:r w:rsidR="00216284">
        <w:t>Act. ASIC is the infringement officer responsible for issuing infringement notices. ASIC also has all of the powers of the ‘chief executive’ under the Regulatory Powers Act, for example, it may extend the time period for paying a notice or withdraw a notice.</w:t>
      </w:r>
      <w:r w:rsidR="00011658">
        <w:t xml:space="preserve"> ASIC may delegate these powers as permitted by </w:t>
      </w:r>
      <w:r w:rsidR="00284D96">
        <w:t>section </w:t>
      </w:r>
      <w:r w:rsidR="00011658">
        <w:t xml:space="preserve">102 of the </w:t>
      </w:r>
      <w:r w:rsidR="00284D96">
        <w:t>ASIC </w:t>
      </w:r>
      <w:r w:rsidR="00011658">
        <w:t>Act.</w:t>
      </w:r>
      <w:r w:rsidR="00A47011">
        <w:rPr>
          <w:rStyle w:val="Referencingstyle"/>
        </w:rPr>
        <w:t xml:space="preserve"> [</w:t>
      </w:r>
      <w:r w:rsidR="00284D96">
        <w:rPr>
          <w:rStyle w:val="Referencingstyle"/>
        </w:rPr>
        <w:t>Schedule </w:t>
      </w:r>
      <w:r w:rsidR="00A47011">
        <w:rPr>
          <w:rStyle w:val="Referencingstyle"/>
        </w:rPr>
        <w:t xml:space="preserve">1, </w:t>
      </w:r>
      <w:r w:rsidR="00284D96">
        <w:rPr>
          <w:rStyle w:val="Referencingstyle"/>
        </w:rPr>
        <w:t>item </w:t>
      </w:r>
      <w:r w:rsidR="00A47011">
        <w:rPr>
          <w:rStyle w:val="Referencingstyle"/>
        </w:rPr>
        <w:t xml:space="preserve">1, </w:t>
      </w:r>
      <w:r w:rsidR="00284D96">
        <w:rPr>
          <w:rStyle w:val="Referencingstyle"/>
        </w:rPr>
        <w:t>section </w:t>
      </w:r>
      <w:r w:rsidR="00A47011">
        <w:rPr>
          <w:rStyle w:val="Referencingstyle"/>
        </w:rPr>
        <w:t>121</w:t>
      </w:r>
      <w:r w:rsidR="0027497F">
        <w:rPr>
          <w:rStyle w:val="Referencingstyle"/>
        </w:rPr>
        <w:t>6</w:t>
      </w:r>
      <w:r w:rsidR="00A47011">
        <w:rPr>
          <w:rStyle w:val="Referencingstyle"/>
        </w:rPr>
        <w:t>]</w:t>
      </w:r>
    </w:p>
    <w:p w14:paraId="2D8F61D2" w14:textId="287C621D" w:rsidR="00216284" w:rsidRDefault="00F0673E" w:rsidP="00A52B98">
      <w:pPr>
        <w:pStyle w:val="base-text-paragraph"/>
        <w:numPr>
          <w:ilvl w:val="1"/>
          <w:numId w:val="27"/>
        </w:numPr>
      </w:pPr>
      <w:r>
        <w:t>The</w:t>
      </w:r>
      <w:r w:rsidR="00216284">
        <w:t xml:space="preserve"> infringement notice scheme </w:t>
      </w:r>
      <w:r w:rsidR="00E23C59">
        <w:t>follows</w:t>
      </w:r>
      <w:r w:rsidR="00655529">
        <w:t xml:space="preserve"> the guidance set out in </w:t>
      </w:r>
      <w:r>
        <w:t xml:space="preserve">the Guide. </w:t>
      </w:r>
      <w:r w:rsidR="00D131DB">
        <w:t>Because the Passport Rules</w:t>
      </w:r>
      <w:r w:rsidR="00E8412F">
        <w:t xml:space="preserve"> contain a large number of detailed requirements, for example with regard to investment </w:t>
      </w:r>
      <w:r w:rsidR="00226BD3">
        <w:t>restrictions for various asset classes, t</w:t>
      </w:r>
      <w:r w:rsidR="00216284">
        <w:t>he</w:t>
      </w:r>
      <w:r w:rsidR="00A47011">
        <w:t xml:space="preserve"> breaches covered by the less serious offence </w:t>
      </w:r>
      <w:r w:rsidR="00226BD3">
        <w:t>would be</w:t>
      </w:r>
      <w:r w:rsidR="00216284">
        <w:t xml:space="preserve"> relatively minor</w:t>
      </w:r>
      <w:r>
        <w:t xml:space="preserve"> and</w:t>
      </w:r>
      <w:r w:rsidR="00216284">
        <w:t xml:space="preserve"> </w:t>
      </w:r>
      <w:r w:rsidR="00226BD3">
        <w:t xml:space="preserve">it would not make sense for </w:t>
      </w:r>
      <w:r w:rsidR="00216284">
        <w:t xml:space="preserve">ASIC </w:t>
      </w:r>
      <w:r w:rsidR="00226BD3">
        <w:t>to have to</w:t>
      </w:r>
      <w:r w:rsidR="00216284">
        <w:t xml:space="preserve"> consider complex legal distinctions (such as the defendant’s mental state) to determine whether a breach has occurred. As there may be a high volume of breaches, an infringement notice regime is more efficient</w:t>
      </w:r>
      <w:r w:rsidR="00226BD3">
        <w:t xml:space="preserve"> to deal with this type of breach</w:t>
      </w:r>
      <w:r w:rsidR="00216284">
        <w:t xml:space="preserve">. </w:t>
      </w:r>
    </w:p>
    <w:p w14:paraId="34E65686" w14:textId="2F60833D" w:rsidR="00367D15" w:rsidRPr="00A52B98" w:rsidRDefault="00A47011" w:rsidP="00A52B98">
      <w:pPr>
        <w:pStyle w:val="base-text-paragraph"/>
        <w:numPr>
          <w:ilvl w:val="1"/>
          <w:numId w:val="27"/>
        </w:numPr>
        <w:rPr>
          <w:rStyle w:val="Referencingstyle"/>
          <w:b w:val="0"/>
          <w:i w:val="0"/>
          <w:sz w:val="22"/>
        </w:rPr>
      </w:pPr>
      <w:r>
        <w:t>Both of the</w:t>
      </w:r>
      <w:r w:rsidR="00D07CFC">
        <w:t xml:space="preserve"> offence</w:t>
      </w:r>
      <w:r>
        <w:t>s for breaches of the</w:t>
      </w:r>
      <w:r w:rsidR="00D07CFC">
        <w:t xml:space="preserve"> Passport Rules</w:t>
      </w:r>
      <w:r w:rsidR="00244E1A">
        <w:t xml:space="preserve"> in this jurisdiction</w:t>
      </w:r>
      <w:r w:rsidR="00D07CFC">
        <w:t xml:space="preserve"> </w:t>
      </w:r>
      <w:r>
        <w:t>apply to</w:t>
      </w:r>
      <w:r w:rsidR="00D07CFC">
        <w:t xml:space="preserve"> Australian passport funds, </w:t>
      </w:r>
      <w:r w:rsidR="002A0FA3">
        <w:t xml:space="preserve">notified </w:t>
      </w:r>
      <w:r w:rsidR="00D07CFC">
        <w:t>foreign passport funds</w:t>
      </w:r>
      <w:r w:rsidR="002A0FA3">
        <w:t xml:space="preserve"> (that is, funds which are</w:t>
      </w:r>
      <w:r w:rsidR="00DE5CD0">
        <w:t xml:space="preserve"> permitted</w:t>
      </w:r>
      <w:r w:rsidR="002A0FA3">
        <w:t xml:space="preserve"> to offer interests in Australia)</w:t>
      </w:r>
      <w:r w:rsidR="00D07CFC">
        <w:t>, and any person connected with one of these funds.</w:t>
      </w:r>
      <w:r w:rsidR="00802F52">
        <w:t xml:space="preserve"> In the case of notified foreign passport funds, the breach must also result, or be likely to result, </w:t>
      </w:r>
      <w:r w:rsidR="00802F52">
        <w:lastRenderedPageBreak/>
        <w:t>in financial losses or other disadvantages for Australian members of the fund.</w:t>
      </w:r>
      <w:r>
        <w:t xml:space="preserve"> </w:t>
      </w:r>
      <w:r>
        <w:rPr>
          <w:rStyle w:val="Referencingstyle"/>
        </w:rPr>
        <w:t>[</w:t>
      </w:r>
      <w:r w:rsidR="00284D96">
        <w:rPr>
          <w:rStyle w:val="Referencingstyle"/>
        </w:rPr>
        <w:t>Schedule </w:t>
      </w:r>
      <w:r>
        <w:rPr>
          <w:rStyle w:val="Referencingstyle"/>
        </w:rPr>
        <w:t xml:space="preserve">1, </w:t>
      </w:r>
      <w:r w:rsidR="00284D96">
        <w:rPr>
          <w:rStyle w:val="Referencingstyle"/>
        </w:rPr>
        <w:t>item </w:t>
      </w:r>
      <w:r>
        <w:rPr>
          <w:rStyle w:val="Referencingstyle"/>
        </w:rPr>
        <w:t xml:space="preserve">1, </w:t>
      </w:r>
      <w:r w:rsidR="00284D96">
        <w:rPr>
          <w:rStyle w:val="Referencingstyle"/>
        </w:rPr>
        <w:t>subsections </w:t>
      </w:r>
      <w:r>
        <w:rPr>
          <w:rStyle w:val="Referencingstyle"/>
        </w:rPr>
        <w:t>1211C</w:t>
      </w:r>
      <w:r w:rsidR="00E23C59">
        <w:rPr>
          <w:rStyle w:val="Referencingstyle"/>
        </w:rPr>
        <w:t>(1) and (2)</w:t>
      </w:r>
      <w:r>
        <w:rPr>
          <w:rStyle w:val="Referencingstyle"/>
        </w:rPr>
        <w:t>]</w:t>
      </w:r>
      <w:r w:rsidR="00A52B98">
        <w:rPr>
          <w:rStyle w:val="Referencingstyle"/>
        </w:rPr>
        <w:t xml:space="preserve"> </w:t>
      </w:r>
    </w:p>
    <w:p w14:paraId="59F64FE1" w14:textId="1DE7F66A" w:rsidR="00A52B98" w:rsidRDefault="00A52B98" w:rsidP="00A52B98">
      <w:pPr>
        <w:pStyle w:val="base-text-paragraph"/>
      </w:pPr>
      <w:r>
        <w:t>Consequential amendments have been made to give the court the power to order a person who breaches the Passport Rules to compensate another person or entity</w:t>
      </w:r>
      <w:r w:rsidR="00F30542">
        <w:t>, including a passport fund,</w:t>
      </w:r>
      <w:r>
        <w:t xml:space="preserve"> for damage suffered as a result of the breach. Damage suffered includes any diminution in the value of the fund’s property and any profits made by the person who breached the Passport Rules.</w:t>
      </w:r>
      <w:r w:rsidRPr="00A02C7E">
        <w:t xml:space="preserve"> </w:t>
      </w:r>
      <w:r>
        <w:t xml:space="preserve">The court must specify the amount of compensation. </w:t>
      </w:r>
      <w:r>
        <w:rPr>
          <w:rStyle w:val="Referencingstyle"/>
        </w:rPr>
        <w:t>[</w:t>
      </w:r>
      <w:r w:rsidR="00284D96">
        <w:rPr>
          <w:rStyle w:val="Referencingstyle"/>
        </w:rPr>
        <w:t>Schedule </w:t>
      </w:r>
      <w:r>
        <w:rPr>
          <w:rStyle w:val="Referencingstyle"/>
        </w:rPr>
        <w:t xml:space="preserve">2, </w:t>
      </w:r>
      <w:r w:rsidR="00284D96">
        <w:rPr>
          <w:rStyle w:val="Referencingstyle"/>
        </w:rPr>
        <w:t>item </w:t>
      </w:r>
      <w:r>
        <w:rPr>
          <w:rStyle w:val="Referencingstyle"/>
        </w:rPr>
        <w:t>2</w:t>
      </w:r>
      <w:r w:rsidR="00E919BE">
        <w:rPr>
          <w:rStyle w:val="Referencingstyle"/>
        </w:rPr>
        <w:t>1</w:t>
      </w:r>
      <w:r>
        <w:rPr>
          <w:rStyle w:val="Referencingstyle"/>
        </w:rPr>
        <w:t xml:space="preserve">, </w:t>
      </w:r>
      <w:r w:rsidR="00284D96">
        <w:rPr>
          <w:rStyle w:val="Referencingstyle"/>
        </w:rPr>
        <w:t>subsections </w:t>
      </w:r>
      <w:r w:rsidR="00E23C59">
        <w:rPr>
          <w:rStyle w:val="Referencingstyle"/>
        </w:rPr>
        <w:t>1317H(1)</w:t>
      </w:r>
      <w:r w:rsidR="000B0F95">
        <w:rPr>
          <w:rStyle w:val="Referencingstyle"/>
        </w:rPr>
        <w:t xml:space="preserve"> and</w:t>
      </w:r>
      <w:r>
        <w:rPr>
          <w:rStyle w:val="Referencingstyle"/>
        </w:rPr>
        <w:t xml:space="preserve"> 1317HC(1)</w:t>
      </w:r>
      <w:r w:rsidR="000B0F95">
        <w:rPr>
          <w:rStyle w:val="Referencingstyle"/>
        </w:rPr>
        <w:t xml:space="preserve"> to</w:t>
      </w:r>
      <w:r w:rsidR="00BB41AC">
        <w:rPr>
          <w:rStyle w:val="Referencingstyle"/>
        </w:rPr>
        <w:t xml:space="preserve"> (4)</w:t>
      </w:r>
      <w:r>
        <w:rPr>
          <w:rStyle w:val="Referencingstyle"/>
        </w:rPr>
        <w:t>]</w:t>
      </w:r>
    </w:p>
    <w:p w14:paraId="596347A6" w14:textId="7A7632EF" w:rsidR="00A52B98" w:rsidRDefault="00A52B98" w:rsidP="00A52B98">
      <w:pPr>
        <w:pStyle w:val="base-text-paragraph"/>
      </w:pPr>
      <w:r>
        <w:t xml:space="preserve">Applications may be made by a corporation or responsible entity for a registered scheme, a person who has suffered damage as a result of a contravention or the operator of a passport fund who has suffered damage. </w:t>
      </w:r>
      <w:r w:rsidRPr="00A02C7E">
        <w:rPr>
          <w:rStyle w:val="Referencingstyle"/>
        </w:rPr>
        <w:t>[</w:t>
      </w:r>
      <w:r w:rsidR="000B0F95">
        <w:rPr>
          <w:rStyle w:val="Referencingstyle"/>
        </w:rPr>
        <w:t>Schedule </w:t>
      </w:r>
      <w:r>
        <w:rPr>
          <w:rStyle w:val="Referencingstyle"/>
        </w:rPr>
        <w:t xml:space="preserve">2, </w:t>
      </w:r>
      <w:r w:rsidR="000B0F95">
        <w:rPr>
          <w:rStyle w:val="Referencingstyle"/>
        </w:rPr>
        <w:t>items </w:t>
      </w:r>
      <w:r>
        <w:rPr>
          <w:rStyle w:val="Referencingstyle"/>
        </w:rPr>
        <w:t>2</w:t>
      </w:r>
      <w:r w:rsidR="00E919BE">
        <w:rPr>
          <w:rStyle w:val="Referencingstyle"/>
        </w:rPr>
        <w:t>2</w:t>
      </w:r>
      <w:r>
        <w:rPr>
          <w:rStyle w:val="Referencingstyle"/>
        </w:rPr>
        <w:t xml:space="preserve"> and 2</w:t>
      </w:r>
      <w:r w:rsidR="00E919BE">
        <w:rPr>
          <w:rStyle w:val="Referencingstyle"/>
        </w:rPr>
        <w:t>3</w:t>
      </w:r>
      <w:r>
        <w:rPr>
          <w:rStyle w:val="Referencingstyle"/>
        </w:rPr>
        <w:t xml:space="preserve">, </w:t>
      </w:r>
      <w:r w:rsidR="000B0F95">
        <w:rPr>
          <w:rStyle w:val="Referencingstyle"/>
        </w:rPr>
        <w:t>subsections </w:t>
      </w:r>
      <w:r>
        <w:rPr>
          <w:rStyle w:val="Referencingstyle"/>
        </w:rPr>
        <w:t>1317J(2) and (2A)</w:t>
      </w:r>
      <w:r w:rsidRPr="00A02C7E">
        <w:rPr>
          <w:rStyle w:val="Referencingstyle"/>
        </w:rPr>
        <w:t>]</w:t>
      </w:r>
    </w:p>
    <w:p w14:paraId="50C08E22" w14:textId="542537BD" w:rsidR="00A52B98" w:rsidRDefault="00A52B98" w:rsidP="00744EA9">
      <w:pPr>
        <w:pStyle w:val="base-text-paragraph"/>
      </w:pPr>
      <w:r>
        <w:t>Compensation orders may be enforced as if they were a judgment of the court. The court has the same powers to grant relief from liability for contraventions of the new compensation order as for existing compensation powers.</w:t>
      </w:r>
      <w:r w:rsidRPr="006C5E41">
        <w:rPr>
          <w:rStyle w:val="Referencingstyle"/>
        </w:rPr>
        <w:t xml:space="preserve"> </w:t>
      </w:r>
      <w:r>
        <w:rPr>
          <w:rStyle w:val="Referencingstyle"/>
        </w:rPr>
        <w:t>[</w:t>
      </w:r>
      <w:r w:rsidR="000B0F95">
        <w:rPr>
          <w:rStyle w:val="Referencingstyle"/>
        </w:rPr>
        <w:t>Schedule </w:t>
      </w:r>
      <w:r>
        <w:rPr>
          <w:rStyle w:val="Referencingstyle"/>
        </w:rPr>
        <w:t xml:space="preserve">2, </w:t>
      </w:r>
      <w:r w:rsidR="000B0F95">
        <w:rPr>
          <w:rStyle w:val="Referencingstyle"/>
        </w:rPr>
        <w:t>items </w:t>
      </w:r>
      <w:r>
        <w:rPr>
          <w:rStyle w:val="Referencingstyle"/>
        </w:rPr>
        <w:t>2, 2</w:t>
      </w:r>
      <w:r w:rsidR="00E919BE">
        <w:rPr>
          <w:rStyle w:val="Referencingstyle"/>
        </w:rPr>
        <w:t>1</w:t>
      </w:r>
      <w:r>
        <w:rPr>
          <w:rStyle w:val="Referencingstyle"/>
        </w:rPr>
        <w:t xml:space="preserve"> and 2</w:t>
      </w:r>
      <w:r w:rsidR="00E919BE">
        <w:rPr>
          <w:rStyle w:val="Referencingstyle"/>
        </w:rPr>
        <w:t>3</w:t>
      </w:r>
      <w:r>
        <w:rPr>
          <w:rStyle w:val="Referencingstyle"/>
        </w:rPr>
        <w:t xml:space="preserve">, </w:t>
      </w:r>
      <w:r w:rsidR="000B0F95">
        <w:rPr>
          <w:rStyle w:val="Referencingstyle"/>
        </w:rPr>
        <w:t>section </w:t>
      </w:r>
      <w:r>
        <w:rPr>
          <w:rStyle w:val="Referencingstyle"/>
        </w:rPr>
        <w:t xml:space="preserve">9 and </w:t>
      </w:r>
      <w:r w:rsidR="000B0F95">
        <w:rPr>
          <w:rStyle w:val="Referencingstyle"/>
        </w:rPr>
        <w:t>subsections </w:t>
      </w:r>
      <w:r>
        <w:rPr>
          <w:rStyle w:val="Referencingstyle"/>
        </w:rPr>
        <w:t>1317HC(</w:t>
      </w:r>
      <w:r w:rsidR="00E23C59">
        <w:rPr>
          <w:rStyle w:val="Referencingstyle"/>
        </w:rPr>
        <w:t>5</w:t>
      </w:r>
      <w:r>
        <w:rPr>
          <w:rStyle w:val="Referencingstyle"/>
        </w:rPr>
        <w:t>) and 1317S(1)]</w:t>
      </w:r>
    </w:p>
    <w:p w14:paraId="32066473" w14:textId="35C0CCE7" w:rsidR="00A52B98" w:rsidRDefault="00A52B98" w:rsidP="00A52B98">
      <w:pPr>
        <w:pStyle w:val="base-text-paragraph"/>
        <w:numPr>
          <w:ilvl w:val="1"/>
          <w:numId w:val="27"/>
        </w:numPr>
      </w:pPr>
      <w:r>
        <w:t xml:space="preserve">A company or a related body corporate must not indemnify a person for a liability for a compensation order. </w:t>
      </w:r>
      <w:r w:rsidRPr="00A02C7E">
        <w:rPr>
          <w:rStyle w:val="Referencingstyle"/>
        </w:rPr>
        <w:t>[</w:t>
      </w:r>
      <w:r w:rsidR="000B0F95">
        <w:rPr>
          <w:rStyle w:val="Referencingstyle"/>
        </w:rPr>
        <w:t>Schedule </w:t>
      </w:r>
      <w:r>
        <w:rPr>
          <w:rStyle w:val="Referencingstyle"/>
        </w:rPr>
        <w:t xml:space="preserve">2, </w:t>
      </w:r>
      <w:r w:rsidR="000B0F95">
        <w:rPr>
          <w:rStyle w:val="Referencingstyle"/>
        </w:rPr>
        <w:t>item </w:t>
      </w:r>
      <w:r>
        <w:rPr>
          <w:rStyle w:val="Referencingstyle"/>
        </w:rPr>
        <w:t xml:space="preserve">13, </w:t>
      </w:r>
      <w:r w:rsidR="000B0F95">
        <w:rPr>
          <w:rStyle w:val="Referencingstyle"/>
        </w:rPr>
        <w:t>paragraph </w:t>
      </w:r>
      <w:r w:rsidRPr="00A02C7E">
        <w:rPr>
          <w:rStyle w:val="Referencingstyle"/>
        </w:rPr>
        <w:t>199A</w:t>
      </w:r>
      <w:r>
        <w:rPr>
          <w:rStyle w:val="Referencingstyle"/>
        </w:rPr>
        <w:t>(2)(b)</w:t>
      </w:r>
      <w:r w:rsidRPr="00A02C7E">
        <w:rPr>
          <w:rStyle w:val="Referencingstyle"/>
        </w:rPr>
        <w:t>]</w:t>
      </w:r>
    </w:p>
    <w:p w14:paraId="46E50405" w14:textId="0D73FF2A" w:rsidR="00A47011" w:rsidRDefault="00A47011" w:rsidP="00A47011">
      <w:pPr>
        <w:pStyle w:val="Heading4"/>
      </w:pPr>
      <w:r>
        <w:t>Extended geographic</w:t>
      </w:r>
      <w:r w:rsidR="005E37ED">
        <w:t>al</w:t>
      </w:r>
      <w:r>
        <w:t xml:space="preserve"> jurisdiction</w:t>
      </w:r>
    </w:p>
    <w:p w14:paraId="74B0BD98" w14:textId="1B153AFB" w:rsidR="00A47011" w:rsidRDefault="00DD40F6" w:rsidP="00E66632">
      <w:pPr>
        <w:pStyle w:val="base-text-paragraph"/>
      </w:pPr>
      <w:r>
        <w:t xml:space="preserve">Extended geographical jurisdiction </w:t>
      </w:r>
      <w:r w:rsidR="000B0F95">
        <w:t>Category </w:t>
      </w:r>
      <w:r>
        <w:t xml:space="preserve">A as set out in </w:t>
      </w:r>
      <w:r w:rsidR="000B0F95">
        <w:t>section </w:t>
      </w:r>
      <w:r>
        <w:t xml:space="preserve">15.1 of the Criminal Code applies to the two offences for breaching the Passport Rules. </w:t>
      </w:r>
      <w:r>
        <w:rPr>
          <w:rStyle w:val="Referencingstyle"/>
        </w:rPr>
        <w:t>[</w:t>
      </w:r>
      <w:r w:rsidR="000B0F95">
        <w:rPr>
          <w:rStyle w:val="Referencingstyle"/>
        </w:rPr>
        <w:t>Schedule </w:t>
      </w:r>
      <w:r w:rsidR="00C95A9E">
        <w:rPr>
          <w:rStyle w:val="Referencingstyle"/>
        </w:rPr>
        <w:t xml:space="preserve">1, </w:t>
      </w:r>
      <w:r w:rsidR="000B0F95">
        <w:rPr>
          <w:rStyle w:val="Referencingstyle"/>
        </w:rPr>
        <w:t>item </w:t>
      </w:r>
      <w:r w:rsidR="00C95A9E">
        <w:rPr>
          <w:rStyle w:val="Referencingstyle"/>
        </w:rPr>
        <w:t xml:space="preserve">1, </w:t>
      </w:r>
      <w:r w:rsidR="000B0F95">
        <w:rPr>
          <w:rStyle w:val="Referencingstyle"/>
        </w:rPr>
        <w:t>subsection </w:t>
      </w:r>
      <w:r w:rsidR="00C95A9E">
        <w:rPr>
          <w:rStyle w:val="Referencingstyle"/>
        </w:rPr>
        <w:t>1211C(5)]</w:t>
      </w:r>
    </w:p>
    <w:p w14:paraId="4D2B6CEA" w14:textId="30E42DDE" w:rsidR="00CC0B8D" w:rsidRDefault="00013B96" w:rsidP="00E66632">
      <w:pPr>
        <w:pStyle w:val="base-text-paragraph"/>
        <w:numPr>
          <w:ilvl w:val="1"/>
          <w:numId w:val="27"/>
        </w:numPr>
      </w:pPr>
      <w:r>
        <w:t>Under this category</w:t>
      </w:r>
      <w:r w:rsidR="000527B0">
        <w:t>,</w:t>
      </w:r>
      <w:r>
        <w:t xml:space="preserve"> the offences apply to Australian citizens</w:t>
      </w:r>
      <w:r w:rsidR="000527B0">
        <w:t>,</w:t>
      </w:r>
      <w:r>
        <w:t xml:space="preserve"> or bod</w:t>
      </w:r>
      <w:r w:rsidR="005970B0">
        <w:t>ies</w:t>
      </w:r>
      <w:r>
        <w:t xml:space="preserve"> corporate</w:t>
      </w:r>
      <w:r w:rsidR="000527B0">
        <w:t>,</w:t>
      </w:r>
      <w:r>
        <w:t xml:space="preserve"> </w:t>
      </w:r>
      <w:r w:rsidR="00CC01A4">
        <w:t>regardless of where</w:t>
      </w:r>
      <w:r w:rsidR="008E3405">
        <w:t xml:space="preserve"> the conduct giving rise to the offence occurs</w:t>
      </w:r>
      <w:r w:rsidR="00CC01A4">
        <w:t>, whether</w:t>
      </w:r>
      <w:r w:rsidR="008E3405">
        <w:t xml:space="preserve"> in Australia</w:t>
      </w:r>
      <w:r w:rsidR="00CC01A4">
        <w:t xml:space="preserve"> or overseas</w:t>
      </w:r>
      <w:r w:rsidR="008E3405">
        <w:t xml:space="preserve">. </w:t>
      </w:r>
      <w:r w:rsidR="00CC01A4">
        <w:t>In contrast to the circumstances of foreign nationals and bodies corporate (see next paragraph)</w:t>
      </w:r>
      <w:r w:rsidR="00485DC5">
        <w:t xml:space="preserve">, </w:t>
      </w:r>
      <w:r w:rsidR="00C52497">
        <w:t>n</w:t>
      </w:r>
      <w:r>
        <w:t>o defence</w:t>
      </w:r>
      <w:r w:rsidR="008E3405">
        <w:t xml:space="preserve"> is</w:t>
      </w:r>
      <w:r>
        <w:t xml:space="preserve"> available if there is no equivalent offence applying to the conduct in the domestic law of the </w:t>
      </w:r>
      <w:r w:rsidR="00CC01A4">
        <w:t xml:space="preserve">overseas </w:t>
      </w:r>
      <w:r>
        <w:t>jurisdiction where the conduct occurs.</w:t>
      </w:r>
    </w:p>
    <w:p w14:paraId="18A03A60" w14:textId="48E41E81" w:rsidR="00013B96" w:rsidRDefault="00013B96" w:rsidP="00E66632">
      <w:pPr>
        <w:pStyle w:val="base-text-paragraph"/>
        <w:numPr>
          <w:ilvl w:val="1"/>
          <w:numId w:val="27"/>
        </w:numPr>
      </w:pPr>
      <w:r>
        <w:t>The offences apply to foreign nationals and bod</w:t>
      </w:r>
      <w:r w:rsidR="005970B0">
        <w:t>ies</w:t>
      </w:r>
      <w:r>
        <w:t xml:space="preserve"> corporate if the conduct giving rise to the offences occurs in Australia. They also apply if the conduct occurs abroad, </w:t>
      </w:r>
      <w:r w:rsidR="00485DC5">
        <w:t>provided that a result of the conduct occurs in Australia. H</w:t>
      </w:r>
      <w:r>
        <w:t>owever, under these circumstances there is a defence available if there is no equivalent offence in the domestic law of the jurisdiction where the conduct occurs.</w:t>
      </w:r>
    </w:p>
    <w:p w14:paraId="0F27216E" w14:textId="72400974" w:rsidR="00841EAA" w:rsidRDefault="00841EAA" w:rsidP="00E66632">
      <w:pPr>
        <w:pStyle w:val="base-text-paragraph"/>
        <w:numPr>
          <w:ilvl w:val="1"/>
          <w:numId w:val="27"/>
        </w:numPr>
      </w:pPr>
      <w:r>
        <w:lastRenderedPageBreak/>
        <w:t>This could, for example, apply in the case of a person connected with a notified foreign passport fund breaching the Australian Passport Rules through conduct occurring in a foreign jurisdiction</w:t>
      </w:r>
      <w:r w:rsidR="000527B0">
        <w:t>,</w:t>
      </w:r>
      <w:r>
        <w:t xml:space="preserve"> such as the fund’s home economy. However, given that the Passport Rules in all participating economies are required to be consistent with the Passport Rules in </w:t>
      </w:r>
      <w:r w:rsidR="000527B0">
        <w:t>Annex </w:t>
      </w:r>
      <w:r>
        <w:t xml:space="preserve">3 of the MOC, it is </w:t>
      </w:r>
      <w:r w:rsidR="00176D21">
        <w:t>expected</w:t>
      </w:r>
      <w:r>
        <w:t xml:space="preserve"> that a breach of the Australian Passport Rules will also </w:t>
      </w:r>
      <w:r w:rsidR="00974CFF">
        <w:t>constitute</w:t>
      </w:r>
      <w:r>
        <w:t xml:space="preserve"> a breach of the foreign jurisdiction’s Passport Rules. The defence available under </w:t>
      </w:r>
      <w:r w:rsidR="000527B0">
        <w:t>Category </w:t>
      </w:r>
      <w:r>
        <w:t>A to foreign citizens and bod</w:t>
      </w:r>
      <w:r w:rsidR="005970B0">
        <w:t>ies</w:t>
      </w:r>
      <w:r>
        <w:t xml:space="preserve"> corporate would accordingly not be available under these circumstances. </w:t>
      </w:r>
    </w:p>
    <w:p w14:paraId="44AACB8A" w14:textId="06FBF491" w:rsidR="00B85D38" w:rsidRDefault="00B85D38" w:rsidP="00B85D38">
      <w:pPr>
        <w:pStyle w:val="Heading3"/>
      </w:pPr>
      <w:r>
        <w:t>Stop Orders</w:t>
      </w:r>
    </w:p>
    <w:p w14:paraId="6139B322" w14:textId="240F1D85" w:rsidR="00BD2CA4" w:rsidRPr="00AC27CD" w:rsidRDefault="00976C95" w:rsidP="00AC27CD">
      <w:pPr>
        <w:pStyle w:val="Heading4"/>
      </w:pPr>
      <w:r>
        <w:t>Stop Orders against Australian p</w:t>
      </w:r>
      <w:r w:rsidR="00BD2CA4" w:rsidRPr="00AC27CD">
        <w:t xml:space="preserve">assport </w:t>
      </w:r>
      <w:r>
        <w:t>f</w:t>
      </w:r>
      <w:r w:rsidR="00BD2CA4" w:rsidRPr="00AC27CD">
        <w:t>unds</w:t>
      </w:r>
    </w:p>
    <w:p w14:paraId="1AF42774" w14:textId="4FFF3992" w:rsidR="00F34DE9" w:rsidRDefault="005A7479" w:rsidP="00B85D38">
      <w:pPr>
        <w:pStyle w:val="base-text-paragraph"/>
      </w:pPr>
      <w:r>
        <w:t xml:space="preserve">ASIC may </w:t>
      </w:r>
      <w:r w:rsidR="00BD2CA4">
        <w:t xml:space="preserve">make a stop order against an Australian passport </w:t>
      </w:r>
      <w:r w:rsidR="006F4E8F">
        <w:t xml:space="preserve">fund </w:t>
      </w:r>
      <w:r>
        <w:t xml:space="preserve">if </w:t>
      </w:r>
      <w:r w:rsidR="00976C95">
        <w:t xml:space="preserve">it is satisfied that </w:t>
      </w:r>
      <w:r w:rsidR="006F4E8F">
        <w:t>the</w:t>
      </w:r>
      <w:r>
        <w:t xml:space="preserve"> fund</w:t>
      </w:r>
      <w:r w:rsidR="006F4E8F">
        <w:t>, or a person associated with the fund,</w:t>
      </w:r>
      <w:r>
        <w:t xml:space="preserve"> does not comply, or is not likely to comply, with the </w:t>
      </w:r>
      <w:r w:rsidR="00117A98">
        <w:t>Corporations Act, Passport Rules for this jurisdiction, ASIC Act or the associated regulations</w:t>
      </w:r>
      <w:r w:rsidRPr="00D62690">
        <w:t>.</w:t>
      </w:r>
      <w:r w:rsidR="00A26CA4">
        <w:t xml:space="preserve"> </w:t>
      </w:r>
      <w:r w:rsidR="00F34DE9">
        <w:t>The stop order may:</w:t>
      </w:r>
    </w:p>
    <w:p w14:paraId="7397228A" w14:textId="435FACAE" w:rsidR="00F34DE9" w:rsidRDefault="00F34DE9" w:rsidP="00F34DE9">
      <w:pPr>
        <w:pStyle w:val="dotpoint"/>
      </w:pPr>
      <w:r>
        <w:t>prohibit the passport fund or its operator from issuing interests in Australia;</w:t>
      </w:r>
    </w:p>
    <w:p w14:paraId="5AB709B5" w14:textId="7E122D59" w:rsidR="00F34DE9" w:rsidRDefault="00F34DE9" w:rsidP="00F34DE9">
      <w:pPr>
        <w:pStyle w:val="dotpoint"/>
      </w:pPr>
      <w:r>
        <w:t>prohibit the passport fund or its operator from issuing interests in another jurisdiction; or</w:t>
      </w:r>
    </w:p>
    <w:p w14:paraId="2B2AF0EA" w14:textId="3475E41D" w:rsidR="00F34DE9" w:rsidRDefault="00F34DE9" w:rsidP="00F34DE9">
      <w:pPr>
        <w:pStyle w:val="dotpoint"/>
      </w:pPr>
      <w:r>
        <w:t>require the fund or</w:t>
      </w:r>
      <w:r w:rsidR="008005BF">
        <w:t xml:space="preserve"> its</w:t>
      </w:r>
      <w:r>
        <w:t xml:space="preserve"> operator to take or cease any action </w:t>
      </w:r>
      <w:r w:rsidR="00491AD2">
        <w:t xml:space="preserve">reasonably </w:t>
      </w:r>
      <w:r>
        <w:t>ne</w:t>
      </w:r>
      <w:r w:rsidR="00491AD2">
        <w:t>cessary</w:t>
      </w:r>
      <w:r>
        <w:t xml:space="preserve"> to give effect to the prohibition on issuing interests.</w:t>
      </w:r>
    </w:p>
    <w:p w14:paraId="0B42FF6A" w14:textId="44E28A16" w:rsidR="00F34DE9" w:rsidRDefault="00F34DE9" w:rsidP="00F34DE9">
      <w:pPr>
        <w:pStyle w:val="dotpoint"/>
        <w:numPr>
          <w:ilvl w:val="0"/>
          <w:numId w:val="0"/>
        </w:numPr>
        <w:ind w:left="1134"/>
      </w:pPr>
      <w:r>
        <w:t xml:space="preserve">The stop order </w:t>
      </w:r>
      <w:r w:rsidR="00655529">
        <w:t xml:space="preserve">must be in writing and </w:t>
      </w:r>
      <w:r>
        <w:t>may be for the period specified in the order or an indefinite period.</w:t>
      </w:r>
      <w:r w:rsidR="00117A98">
        <w:t xml:space="preserve"> </w:t>
      </w:r>
      <w:r w:rsidR="00117A98">
        <w:rPr>
          <w:rStyle w:val="Referencingstyle"/>
        </w:rPr>
        <w:t>[</w:t>
      </w:r>
      <w:r w:rsidR="00062189">
        <w:rPr>
          <w:rStyle w:val="Referencingstyle"/>
        </w:rPr>
        <w:t>Schedule </w:t>
      </w:r>
      <w:r w:rsidR="00117A98">
        <w:rPr>
          <w:rStyle w:val="Referencingstyle"/>
        </w:rPr>
        <w:t xml:space="preserve">1, </w:t>
      </w:r>
      <w:r w:rsidR="00062189">
        <w:rPr>
          <w:rStyle w:val="Referencingstyle"/>
        </w:rPr>
        <w:t>item </w:t>
      </w:r>
      <w:r w:rsidR="00117A98">
        <w:rPr>
          <w:rStyle w:val="Referencingstyle"/>
        </w:rPr>
        <w:t xml:space="preserve">1, </w:t>
      </w:r>
      <w:r w:rsidR="00062189">
        <w:rPr>
          <w:rStyle w:val="Referencingstyle"/>
        </w:rPr>
        <w:t>subsections </w:t>
      </w:r>
      <w:r w:rsidR="00117A98">
        <w:rPr>
          <w:rStyle w:val="Referencingstyle"/>
        </w:rPr>
        <w:t>1215</w:t>
      </w:r>
      <w:r w:rsidR="001E09C9">
        <w:rPr>
          <w:rStyle w:val="Referencingstyle"/>
        </w:rPr>
        <w:t>(1)and (3)</w:t>
      </w:r>
      <w:r w:rsidR="00117A98">
        <w:rPr>
          <w:rStyle w:val="Referencingstyle"/>
        </w:rPr>
        <w:t>]</w:t>
      </w:r>
    </w:p>
    <w:p w14:paraId="14B6B83F" w14:textId="3D99A59B" w:rsidR="001F6658" w:rsidRPr="00754133" w:rsidRDefault="001F6658" w:rsidP="00754133">
      <w:pPr>
        <w:pStyle w:val="base-text-paragraph"/>
        <w:rPr>
          <w:rStyle w:val="Referencingstyle"/>
          <w:b w:val="0"/>
          <w:i w:val="0"/>
          <w:sz w:val="22"/>
        </w:rPr>
      </w:pPr>
      <w:r>
        <w:t xml:space="preserve">A stop order may specify that conduct of a particular kind will be regarded as constituting a breach of a </w:t>
      </w:r>
      <w:r w:rsidR="00697F9A">
        <w:t xml:space="preserve">particular </w:t>
      </w:r>
      <w:r>
        <w:t xml:space="preserve">provision </w:t>
      </w:r>
      <w:r w:rsidR="00697F9A">
        <w:t>in</w:t>
      </w:r>
      <w:r>
        <w:t xml:space="preserve"> the </w:t>
      </w:r>
      <w:r w:rsidR="00062189">
        <w:t>Corporations </w:t>
      </w:r>
      <w:r>
        <w:t xml:space="preserve">Act. </w:t>
      </w:r>
      <w:r>
        <w:rPr>
          <w:rStyle w:val="Referencingstyle"/>
        </w:rPr>
        <w:t>[</w:t>
      </w:r>
      <w:r w:rsidR="00062189">
        <w:rPr>
          <w:rStyle w:val="Referencingstyle"/>
        </w:rPr>
        <w:t>Schedule </w:t>
      </w:r>
      <w:r>
        <w:rPr>
          <w:rStyle w:val="Referencingstyle"/>
        </w:rPr>
        <w:t>1, item</w:t>
      </w:r>
      <w:r w:rsidR="00062189">
        <w:rPr>
          <w:rStyle w:val="Referencingstyle"/>
        </w:rPr>
        <w:t> </w:t>
      </w:r>
      <w:r>
        <w:rPr>
          <w:rStyle w:val="Referencingstyle"/>
        </w:rPr>
        <w:t xml:space="preserve">1, </w:t>
      </w:r>
      <w:r w:rsidR="00062189">
        <w:rPr>
          <w:rStyle w:val="Referencingstyle"/>
        </w:rPr>
        <w:t>subsection </w:t>
      </w:r>
      <w:r>
        <w:rPr>
          <w:rStyle w:val="Referencingstyle"/>
        </w:rPr>
        <w:t>1215(2)]</w:t>
      </w:r>
      <w:r w:rsidR="00754133">
        <w:rPr>
          <w:rStyle w:val="Referencingstyle"/>
        </w:rPr>
        <w:t xml:space="preserve"> </w:t>
      </w:r>
    </w:p>
    <w:p w14:paraId="08CCA06F" w14:textId="4437648A" w:rsidR="008C1BBF" w:rsidRDefault="00754133" w:rsidP="00976C95">
      <w:pPr>
        <w:pStyle w:val="base-text-paragraph"/>
      </w:pPr>
      <w:r>
        <w:t>Before making a stop order relating to an Australian passport fund, ASIC must offer procedural fairness to the operator of the fund and any interested persons, including by:</w:t>
      </w:r>
    </w:p>
    <w:p w14:paraId="6C1DCD5E" w14:textId="77777777" w:rsidR="00754133" w:rsidRPr="00BD2CA4" w:rsidRDefault="00754133" w:rsidP="00754133">
      <w:pPr>
        <w:pStyle w:val="dotpoint"/>
        <w:rPr>
          <w:b/>
          <w:i/>
          <w:u w:val="single"/>
        </w:rPr>
      </w:pPr>
      <w:r>
        <w:t xml:space="preserve">holding a hearing; and </w:t>
      </w:r>
    </w:p>
    <w:p w14:paraId="4E5C81B7" w14:textId="0BFE3231" w:rsidR="00754133" w:rsidRPr="00BD2CA4" w:rsidRDefault="00754133" w:rsidP="00754133">
      <w:pPr>
        <w:pStyle w:val="dotpoint"/>
        <w:rPr>
          <w:b/>
          <w:i/>
          <w:u w:val="single"/>
        </w:rPr>
      </w:pPr>
      <w:r>
        <w:t>giving the persons a reasonable opportunity to make written</w:t>
      </w:r>
      <w:r w:rsidR="00062189">
        <w:t>,</w:t>
      </w:r>
      <w:r>
        <w:t xml:space="preserve"> or oral submissions</w:t>
      </w:r>
      <w:r w:rsidR="00062189">
        <w:t>,</w:t>
      </w:r>
      <w:r>
        <w:t xml:space="preserve"> on whether an order should be made.</w:t>
      </w:r>
    </w:p>
    <w:p w14:paraId="581686E7" w14:textId="25A7F2E9" w:rsidR="00754133" w:rsidRPr="008005BF" w:rsidRDefault="00754133" w:rsidP="00754133">
      <w:pPr>
        <w:pStyle w:val="base-text-paragraphnonumbers"/>
        <w:rPr>
          <w:b/>
          <w:i/>
          <w:u w:val="single"/>
        </w:rPr>
      </w:pPr>
      <w:r>
        <w:lastRenderedPageBreak/>
        <w:t xml:space="preserve">These are the same due process requirements as those that apply to stop orders made by ASIC under section 739 of the </w:t>
      </w:r>
      <w:r w:rsidR="00062189">
        <w:t>Corporations </w:t>
      </w:r>
      <w:r>
        <w:t>Act. The legislation does not prescribe the form of the hearing, allowing it to be held by telephone</w:t>
      </w:r>
      <w:r w:rsidR="00062189">
        <w:t>,</w:t>
      </w:r>
      <w:r>
        <w:t xml:space="preserve"> or other technological means</w:t>
      </w:r>
      <w:r w:rsidR="00062189">
        <w:t>,</w:t>
      </w:r>
      <w:r>
        <w:t xml:space="preserve"> in order to reduce costs or afford convenience to participants. </w:t>
      </w:r>
      <w:r>
        <w:rPr>
          <w:rStyle w:val="Referencingstyle"/>
        </w:rPr>
        <w:t>[</w:t>
      </w:r>
      <w:r w:rsidR="00062189">
        <w:rPr>
          <w:rStyle w:val="Referencingstyle"/>
        </w:rPr>
        <w:t>Schedule </w:t>
      </w:r>
      <w:r>
        <w:rPr>
          <w:rStyle w:val="Referencingstyle"/>
        </w:rPr>
        <w:t xml:space="preserve">1, </w:t>
      </w:r>
      <w:r w:rsidR="00062189">
        <w:rPr>
          <w:rStyle w:val="Referencingstyle"/>
        </w:rPr>
        <w:t>item </w:t>
      </w:r>
      <w:r>
        <w:rPr>
          <w:rStyle w:val="Referencingstyle"/>
        </w:rPr>
        <w:t xml:space="preserve">1, </w:t>
      </w:r>
      <w:r w:rsidR="00062189">
        <w:rPr>
          <w:rStyle w:val="Referencingstyle"/>
        </w:rPr>
        <w:t>subsection </w:t>
      </w:r>
      <w:r>
        <w:rPr>
          <w:rStyle w:val="Referencingstyle"/>
        </w:rPr>
        <w:t>1215(4)]</w:t>
      </w:r>
    </w:p>
    <w:p w14:paraId="1485E948" w14:textId="371E9469" w:rsidR="008C1BBF" w:rsidRDefault="008C1BBF" w:rsidP="00976C95">
      <w:pPr>
        <w:pStyle w:val="base-text-paragraph"/>
      </w:pPr>
      <w:r>
        <w:t>A copy of the stop orders must be given to the operator of the fund</w:t>
      </w:r>
      <w:r>
        <w:rPr>
          <w:rStyle w:val="Referencingstyle"/>
          <w:b w:val="0"/>
          <w:i w:val="0"/>
        </w:rPr>
        <w:t xml:space="preserve">. </w:t>
      </w:r>
      <w:r>
        <w:t xml:space="preserve">The operator of the fund as well as any other person who is aware of the order must not contravene the order </w:t>
      </w:r>
      <w:r>
        <w:rPr>
          <w:rStyle w:val="Referencingstyle"/>
        </w:rPr>
        <w:t xml:space="preserve">[Schedule 1, item 1, subsection 1215C(5) and </w:t>
      </w:r>
      <w:r w:rsidR="00062189">
        <w:rPr>
          <w:rStyle w:val="Referencingstyle"/>
        </w:rPr>
        <w:t>section </w:t>
      </w:r>
      <w:r>
        <w:rPr>
          <w:rStyle w:val="Referencingstyle"/>
        </w:rPr>
        <w:t>1215D]</w:t>
      </w:r>
      <w:r>
        <w:rPr>
          <w:rStyle w:val="Referencingstyle"/>
          <w:b w:val="0"/>
          <w:i w:val="0"/>
        </w:rPr>
        <w:t>.</w:t>
      </w:r>
    </w:p>
    <w:p w14:paraId="6EA40DBE" w14:textId="0A62BEC5" w:rsidR="00976C95" w:rsidRDefault="00976C95" w:rsidP="00976C95">
      <w:pPr>
        <w:pStyle w:val="base-text-paragraph"/>
      </w:pPr>
      <w:r>
        <w:t xml:space="preserve">ASIC has the power to vary or revoke a stop order under </w:t>
      </w:r>
      <w:r w:rsidR="00FA08E7">
        <w:t>section </w:t>
      </w:r>
      <w:r>
        <w:t xml:space="preserve">33 of the </w:t>
      </w:r>
      <w:r>
        <w:rPr>
          <w:i/>
        </w:rPr>
        <w:t xml:space="preserve">Acts Interpretation </w:t>
      </w:r>
      <w:r w:rsidR="00FA08E7">
        <w:rPr>
          <w:i/>
        </w:rPr>
        <w:t>Act </w:t>
      </w:r>
      <w:r>
        <w:rPr>
          <w:i/>
        </w:rPr>
        <w:t>1901</w:t>
      </w:r>
      <w:r>
        <w:t xml:space="preserve">. This has been confirmed in the context of other stop order provisions in the </w:t>
      </w:r>
      <w:r w:rsidR="00FA08E7">
        <w:t>Corporations </w:t>
      </w:r>
      <w:r>
        <w:t xml:space="preserve">Act, such as </w:t>
      </w:r>
      <w:r w:rsidR="00FA08E7">
        <w:t>section </w:t>
      </w:r>
      <w:r>
        <w:t>1020E.</w:t>
      </w:r>
    </w:p>
    <w:p w14:paraId="1D8BF049" w14:textId="0FED9AEE" w:rsidR="00BD2CA4" w:rsidRDefault="00BD2CA4" w:rsidP="00BD2CA4">
      <w:pPr>
        <w:pStyle w:val="base-text-paragraph"/>
      </w:pPr>
      <w:r>
        <w:t xml:space="preserve">A person may </w:t>
      </w:r>
      <w:r w:rsidR="00976C95">
        <w:t>seek review of</w:t>
      </w:r>
      <w:r>
        <w:t xml:space="preserve"> a stop order under </w:t>
      </w:r>
      <w:r w:rsidR="00FA08E7">
        <w:t>Part </w:t>
      </w:r>
      <w:r>
        <w:t xml:space="preserve">9.4A of </w:t>
      </w:r>
      <w:r w:rsidR="00693576">
        <w:t xml:space="preserve">the </w:t>
      </w:r>
      <w:r>
        <w:t xml:space="preserve">Corporations Act and the </w:t>
      </w:r>
      <w:r w:rsidRPr="003C46EE">
        <w:rPr>
          <w:i/>
        </w:rPr>
        <w:t xml:space="preserve">Administrative Appeals Tribunals </w:t>
      </w:r>
      <w:r w:rsidR="00FA08E7" w:rsidRPr="003C46EE">
        <w:rPr>
          <w:i/>
        </w:rPr>
        <w:t>Act</w:t>
      </w:r>
      <w:r w:rsidR="00FA08E7">
        <w:rPr>
          <w:i/>
        </w:rPr>
        <w:t> </w:t>
      </w:r>
      <w:r w:rsidRPr="003C46EE">
        <w:rPr>
          <w:i/>
        </w:rPr>
        <w:t>1975</w:t>
      </w:r>
      <w:r>
        <w:t xml:space="preserve">. </w:t>
      </w:r>
    </w:p>
    <w:p w14:paraId="3AEDEDD5" w14:textId="6EF244B3" w:rsidR="006A608E" w:rsidRPr="008005BF" w:rsidRDefault="00BD2CA4" w:rsidP="008C1BBF">
      <w:pPr>
        <w:pStyle w:val="Heading4"/>
        <w:rPr>
          <w:u w:val="single"/>
        </w:rPr>
      </w:pPr>
      <w:r w:rsidRPr="008C1BBF">
        <w:t xml:space="preserve">Stop Orders against </w:t>
      </w:r>
      <w:r w:rsidR="00976C95" w:rsidRPr="008C1BBF">
        <w:t>n</w:t>
      </w:r>
      <w:r w:rsidRPr="008C1BBF">
        <w:t xml:space="preserve">otified </w:t>
      </w:r>
      <w:r w:rsidR="00976C95" w:rsidRPr="008C1BBF">
        <w:t>foreign passport f</w:t>
      </w:r>
      <w:r w:rsidRPr="008C1BBF">
        <w:t>unds</w:t>
      </w:r>
    </w:p>
    <w:p w14:paraId="3A07E8DF" w14:textId="343544E6" w:rsidR="008C1BBF" w:rsidRDefault="008C1BBF" w:rsidP="00693576">
      <w:pPr>
        <w:pStyle w:val="base-text-paragraph"/>
      </w:pPr>
      <w:r w:rsidRPr="008C1BBF">
        <w:t>ASIC may by written instrument make a stop order prohibiting</w:t>
      </w:r>
      <w:r>
        <w:t xml:space="preserve"> the operator of a notified foreign passport fund from offering interests in Australia. The stop order may also require the fund, or its operator, to take or cease any action reasonably necessary to give effect to the prohibition on issuing interests. It is important to note that the link between such ‘other action’ and the prohibition on issuing interests must be direct and tight in order to justify the imposition of an order to take or cease taking it. </w:t>
      </w:r>
      <w:r>
        <w:rPr>
          <w:rStyle w:val="Referencingstyle"/>
        </w:rPr>
        <w:t>[</w:t>
      </w:r>
      <w:r w:rsidR="00FA08E7">
        <w:rPr>
          <w:rStyle w:val="Referencingstyle"/>
        </w:rPr>
        <w:t>Schedule </w:t>
      </w:r>
      <w:r>
        <w:rPr>
          <w:rStyle w:val="Referencingstyle"/>
        </w:rPr>
        <w:t xml:space="preserve">1, </w:t>
      </w:r>
      <w:r w:rsidR="00FA08E7">
        <w:rPr>
          <w:rStyle w:val="Referencingstyle"/>
        </w:rPr>
        <w:t>item </w:t>
      </w:r>
      <w:r>
        <w:rPr>
          <w:rStyle w:val="Referencingstyle"/>
        </w:rPr>
        <w:t xml:space="preserve">1, </w:t>
      </w:r>
      <w:r w:rsidR="00FA08E7">
        <w:rPr>
          <w:rStyle w:val="Referencingstyle"/>
        </w:rPr>
        <w:t>subsection </w:t>
      </w:r>
      <w:r>
        <w:rPr>
          <w:rStyle w:val="Referencingstyle"/>
        </w:rPr>
        <w:t xml:space="preserve">1215A(1) and </w:t>
      </w:r>
      <w:r w:rsidR="00FA08E7">
        <w:rPr>
          <w:rStyle w:val="Referencingstyle"/>
        </w:rPr>
        <w:t>paragraphs </w:t>
      </w:r>
      <w:r>
        <w:rPr>
          <w:rStyle w:val="Referencingstyle"/>
        </w:rPr>
        <w:t>1215A(3)(e) and (f)]</w:t>
      </w:r>
    </w:p>
    <w:p w14:paraId="3F470004" w14:textId="045418CB" w:rsidR="001F6658" w:rsidRDefault="001F6658" w:rsidP="00693576">
      <w:pPr>
        <w:pStyle w:val="base-text-paragraph"/>
      </w:pPr>
      <w:r>
        <w:t xml:space="preserve">A stop order may specify that conduct of a particular kind will be regarded as constituting a breach of a </w:t>
      </w:r>
      <w:r w:rsidR="00FC1EED">
        <w:t xml:space="preserve">particular </w:t>
      </w:r>
      <w:r>
        <w:t xml:space="preserve">provision </w:t>
      </w:r>
      <w:r w:rsidR="00FC1EED">
        <w:t>in</w:t>
      </w:r>
      <w:r>
        <w:t xml:space="preserve"> the </w:t>
      </w:r>
      <w:r w:rsidR="00FA08E7">
        <w:t>Corporations </w:t>
      </w:r>
      <w:r>
        <w:t xml:space="preserve">Act. </w:t>
      </w:r>
      <w:r>
        <w:rPr>
          <w:rStyle w:val="Referencingstyle"/>
        </w:rPr>
        <w:t>[</w:t>
      </w:r>
      <w:r w:rsidR="00FA08E7">
        <w:rPr>
          <w:rStyle w:val="Referencingstyle"/>
        </w:rPr>
        <w:t>Schedule </w:t>
      </w:r>
      <w:r>
        <w:rPr>
          <w:rStyle w:val="Referencingstyle"/>
        </w:rPr>
        <w:t>1, item</w:t>
      </w:r>
      <w:r w:rsidR="00FA08E7">
        <w:rPr>
          <w:rStyle w:val="Referencingstyle"/>
        </w:rPr>
        <w:t> </w:t>
      </w:r>
      <w:r>
        <w:rPr>
          <w:rStyle w:val="Referencingstyle"/>
        </w:rPr>
        <w:t xml:space="preserve">1, </w:t>
      </w:r>
      <w:r w:rsidR="00FA08E7">
        <w:rPr>
          <w:rStyle w:val="Referencingstyle"/>
        </w:rPr>
        <w:t>subsection </w:t>
      </w:r>
      <w:r>
        <w:rPr>
          <w:rStyle w:val="Referencingstyle"/>
        </w:rPr>
        <w:t>1215A(2)]</w:t>
      </w:r>
    </w:p>
    <w:p w14:paraId="1CD8987C" w14:textId="4B78D571" w:rsidR="006A608E" w:rsidRDefault="00D7451A" w:rsidP="003951B0">
      <w:pPr>
        <w:pStyle w:val="base-text-paragraph"/>
      </w:pPr>
      <w:r>
        <w:t xml:space="preserve">The </w:t>
      </w:r>
      <w:r w:rsidR="003951B0">
        <w:t>notification requirements</w:t>
      </w:r>
      <w:r>
        <w:t>,</w:t>
      </w:r>
      <w:r w:rsidR="003951B0">
        <w:t xml:space="preserve"> right to merits review, and ASIC’s </w:t>
      </w:r>
      <w:r>
        <w:t xml:space="preserve">variation and revocation </w:t>
      </w:r>
      <w:r w:rsidR="003951B0">
        <w:t>power</w:t>
      </w:r>
      <w:r>
        <w:t xml:space="preserve">s </w:t>
      </w:r>
      <w:r w:rsidR="003951B0">
        <w:t>are the same as for</w:t>
      </w:r>
      <w:r w:rsidR="006A608E">
        <w:t xml:space="preserve"> Australian </w:t>
      </w:r>
      <w:r w:rsidR="006A608E" w:rsidRPr="007752A6">
        <w:t>passport funds</w:t>
      </w:r>
      <w:r w:rsidRPr="007752A6">
        <w:t xml:space="preserve"> (see </w:t>
      </w:r>
      <w:r w:rsidR="00A54C5F" w:rsidRPr="003C65F0">
        <w:t>paragraphs </w:t>
      </w:r>
      <w:r w:rsidR="006D16C4" w:rsidRPr="003C65F0">
        <w:t>5.29 and 5.30</w:t>
      </w:r>
      <w:r w:rsidRPr="007752A6">
        <w:t>)</w:t>
      </w:r>
      <w:r w:rsidR="00E919BE" w:rsidRPr="007752A6">
        <w:t>.</w:t>
      </w:r>
      <w:r w:rsidRPr="007752A6">
        <w:rPr>
          <w:rStyle w:val="Referencingstyle"/>
        </w:rPr>
        <w:t xml:space="preserve"> [</w:t>
      </w:r>
      <w:r w:rsidR="00A54C5F" w:rsidRPr="007752A6">
        <w:rPr>
          <w:rStyle w:val="Referencingstyle"/>
        </w:rPr>
        <w:t>Schedule</w:t>
      </w:r>
      <w:r w:rsidR="00A54C5F">
        <w:rPr>
          <w:rStyle w:val="Referencingstyle"/>
        </w:rPr>
        <w:t> </w:t>
      </w:r>
      <w:r w:rsidRPr="007752A6">
        <w:rPr>
          <w:rStyle w:val="Referencingstyle"/>
        </w:rPr>
        <w:t xml:space="preserve">1, </w:t>
      </w:r>
      <w:r w:rsidR="00A54C5F" w:rsidRPr="007752A6">
        <w:rPr>
          <w:rStyle w:val="Referencingstyle"/>
        </w:rPr>
        <w:t>item</w:t>
      </w:r>
      <w:r w:rsidR="00A54C5F">
        <w:rPr>
          <w:rStyle w:val="Referencingstyle"/>
        </w:rPr>
        <w:t> </w:t>
      </w:r>
      <w:r w:rsidRPr="007752A6">
        <w:rPr>
          <w:rStyle w:val="Referencingstyle"/>
        </w:rPr>
        <w:t xml:space="preserve">1, </w:t>
      </w:r>
      <w:r w:rsidR="00A54C5F" w:rsidRPr="007752A6">
        <w:rPr>
          <w:rStyle w:val="Referencingstyle"/>
        </w:rPr>
        <w:t>subsection</w:t>
      </w:r>
      <w:r w:rsidR="00A54C5F">
        <w:rPr>
          <w:rStyle w:val="Referencingstyle"/>
        </w:rPr>
        <w:t> </w:t>
      </w:r>
      <w:r>
        <w:rPr>
          <w:rStyle w:val="Referencingstyle"/>
        </w:rPr>
        <w:t>1215A(</w:t>
      </w:r>
      <w:r w:rsidR="006876BA">
        <w:rPr>
          <w:rStyle w:val="Referencingstyle"/>
        </w:rPr>
        <w:t>8</w:t>
      </w:r>
      <w:r>
        <w:rPr>
          <w:rStyle w:val="Referencingstyle"/>
        </w:rPr>
        <w:t>)]</w:t>
      </w:r>
      <w:r>
        <w:t xml:space="preserve"> </w:t>
      </w:r>
    </w:p>
    <w:p w14:paraId="66CA0BE1" w14:textId="22BF202A" w:rsidR="004D59F7" w:rsidRDefault="004D59F7" w:rsidP="0025709B">
      <w:pPr>
        <w:pStyle w:val="base-text-paragraph"/>
      </w:pPr>
      <w:r>
        <w:t xml:space="preserve">There are </w:t>
      </w:r>
      <w:r w:rsidR="00DA43F4">
        <w:t>three</w:t>
      </w:r>
      <w:r>
        <w:t xml:space="preserve"> situations where ASIC may make a stop order against a notified foreign passport fund:</w:t>
      </w:r>
    </w:p>
    <w:p w14:paraId="305BE907" w14:textId="77777777" w:rsidR="00DA43F4" w:rsidRDefault="00BD2CA4" w:rsidP="00BD2CA4">
      <w:pPr>
        <w:pStyle w:val="dotpoint"/>
      </w:pPr>
      <w:r>
        <w:t xml:space="preserve">the fund or its operators are not complying, or </w:t>
      </w:r>
      <w:r w:rsidR="006A608E">
        <w:t>are not likely to comply, with certain l</w:t>
      </w:r>
      <w:r>
        <w:t>aws and regulations</w:t>
      </w:r>
      <w:r w:rsidR="006A608E">
        <w:t xml:space="preserve"> in Australia or the fund’s home economy</w:t>
      </w:r>
      <w:r>
        <w:t>;</w:t>
      </w:r>
    </w:p>
    <w:p w14:paraId="5DB694AF" w14:textId="4BD54425" w:rsidR="00BD2CA4" w:rsidRDefault="00DA43F4" w:rsidP="00BD2CA4">
      <w:pPr>
        <w:pStyle w:val="dotpoint"/>
      </w:pPr>
      <w:r>
        <w:lastRenderedPageBreak/>
        <w:t xml:space="preserve">the operator of the fund has ceased to be registered as a foreign </w:t>
      </w:r>
      <w:r w:rsidR="00C52497">
        <w:t>company</w:t>
      </w:r>
      <w:r>
        <w:t xml:space="preserve">, or has not had a local agent for more than </w:t>
      </w:r>
      <w:r w:rsidR="00856A12">
        <w:t>21 </w:t>
      </w:r>
      <w:r>
        <w:t xml:space="preserve">days as set out in </w:t>
      </w:r>
      <w:r w:rsidR="00856A12">
        <w:t>section </w:t>
      </w:r>
      <w:r>
        <w:t xml:space="preserve">601CF in </w:t>
      </w:r>
      <w:r w:rsidR="00856A12">
        <w:t>Division </w:t>
      </w:r>
      <w:r w:rsidR="003341A6">
        <w:t>2 of Part</w:t>
      </w:r>
      <w:r w:rsidR="00C11F33">
        <w:t> </w:t>
      </w:r>
      <w:r w:rsidR="003341A6">
        <w:t>5B.2</w:t>
      </w:r>
      <w:r>
        <w:t xml:space="preserve"> of the </w:t>
      </w:r>
      <w:r w:rsidR="00856A12">
        <w:t>Corporations </w:t>
      </w:r>
      <w:r>
        <w:t>Act;</w:t>
      </w:r>
      <w:r w:rsidR="00AC27CD">
        <w:t xml:space="preserve"> or</w:t>
      </w:r>
    </w:p>
    <w:p w14:paraId="0EE81EF3" w14:textId="404B38F6" w:rsidR="004D59F7" w:rsidRDefault="00BD2CA4" w:rsidP="00BD2CA4">
      <w:pPr>
        <w:pStyle w:val="dotpoint"/>
      </w:pPr>
      <w:r>
        <w:t xml:space="preserve">the Minister </w:t>
      </w:r>
      <w:r w:rsidR="00AC27CD">
        <w:t>has made</w:t>
      </w:r>
      <w:r>
        <w:t xml:space="preserve"> a determination that </w:t>
      </w:r>
      <w:r w:rsidR="00D7451A">
        <w:t>applies to the fund</w:t>
      </w:r>
      <w:r w:rsidR="004D59F7">
        <w:t>.</w:t>
      </w:r>
    </w:p>
    <w:p w14:paraId="3EE3B0A5" w14:textId="3FDD10B7" w:rsidR="00EA5BFD" w:rsidRDefault="00EA5BFD" w:rsidP="00EA5BFD">
      <w:pPr>
        <w:pStyle w:val="dotpoint"/>
        <w:numPr>
          <w:ilvl w:val="0"/>
          <w:numId w:val="0"/>
        </w:numPr>
        <w:ind w:left="2268"/>
      </w:pPr>
      <w:r>
        <w:rPr>
          <w:rStyle w:val="Referencingstyle"/>
        </w:rPr>
        <w:t>[</w:t>
      </w:r>
      <w:r w:rsidR="00856A12">
        <w:rPr>
          <w:rStyle w:val="Referencingstyle"/>
        </w:rPr>
        <w:t>Schedule </w:t>
      </w:r>
      <w:r>
        <w:rPr>
          <w:rStyle w:val="Referencingstyle"/>
        </w:rPr>
        <w:t xml:space="preserve">1, </w:t>
      </w:r>
      <w:r w:rsidR="00856A12">
        <w:rPr>
          <w:rStyle w:val="Referencingstyle"/>
        </w:rPr>
        <w:t>item </w:t>
      </w:r>
      <w:r>
        <w:rPr>
          <w:rStyle w:val="Referencingstyle"/>
        </w:rPr>
        <w:t xml:space="preserve">1, </w:t>
      </w:r>
      <w:r w:rsidR="00856A12">
        <w:rPr>
          <w:rStyle w:val="Referencingstyle"/>
        </w:rPr>
        <w:t>paragraphs </w:t>
      </w:r>
      <w:r>
        <w:rPr>
          <w:rStyle w:val="Referencingstyle"/>
        </w:rPr>
        <w:t>1215</w:t>
      </w:r>
      <w:r w:rsidR="00140D67">
        <w:rPr>
          <w:rStyle w:val="Referencingstyle"/>
        </w:rPr>
        <w:t>A</w:t>
      </w:r>
      <w:r>
        <w:rPr>
          <w:rStyle w:val="Referencingstyle"/>
        </w:rPr>
        <w:t>(</w:t>
      </w:r>
      <w:r w:rsidR="006876BA">
        <w:rPr>
          <w:rStyle w:val="Referencingstyle"/>
        </w:rPr>
        <w:t>3</w:t>
      </w:r>
      <w:r>
        <w:rPr>
          <w:rStyle w:val="Referencingstyle"/>
        </w:rPr>
        <w:t>)]</w:t>
      </w:r>
      <w:r w:rsidR="006D16C4">
        <w:rPr>
          <w:rStyle w:val="Referencingstyle"/>
        </w:rPr>
        <w:t>(a), (b), (c), and (d)]</w:t>
      </w:r>
    </w:p>
    <w:p w14:paraId="68862424" w14:textId="1ED723CF" w:rsidR="004D59F7" w:rsidRPr="004D59F7" w:rsidRDefault="004D59F7" w:rsidP="004D59F7">
      <w:pPr>
        <w:pStyle w:val="base-text-paragraph"/>
        <w:numPr>
          <w:ilvl w:val="0"/>
          <w:numId w:val="0"/>
        </w:numPr>
        <w:ind w:left="1134"/>
        <w:rPr>
          <w:i/>
        </w:rPr>
      </w:pPr>
      <w:r w:rsidRPr="004D59F7">
        <w:rPr>
          <w:i/>
        </w:rPr>
        <w:t>Ground 1: Non</w:t>
      </w:r>
      <w:r w:rsidR="00856A12">
        <w:rPr>
          <w:i/>
        </w:rPr>
        <w:noBreakHyphen/>
      </w:r>
      <w:r w:rsidRPr="004D59F7">
        <w:rPr>
          <w:i/>
        </w:rPr>
        <w:t xml:space="preserve">compliance with </w:t>
      </w:r>
      <w:r w:rsidR="003951B0">
        <w:rPr>
          <w:i/>
        </w:rPr>
        <w:t>the law</w:t>
      </w:r>
    </w:p>
    <w:p w14:paraId="1C43EF09" w14:textId="782C8016" w:rsidR="004D59F7" w:rsidRDefault="004D59F7" w:rsidP="0025709B">
      <w:pPr>
        <w:pStyle w:val="base-text-paragraph"/>
      </w:pPr>
      <w:r>
        <w:t>ASIC may make a stop order if the fund, or its operator, is not complying, or not likely to comply with:</w:t>
      </w:r>
    </w:p>
    <w:p w14:paraId="34B6E54E" w14:textId="5675821B" w:rsidR="004D59F7" w:rsidRDefault="0044596A" w:rsidP="004D59F7">
      <w:pPr>
        <w:pStyle w:val="dotpoint"/>
      </w:pPr>
      <w:r>
        <w:t xml:space="preserve">the </w:t>
      </w:r>
      <w:r w:rsidR="004D59F7">
        <w:t>Corporations Act and Regulations</w:t>
      </w:r>
      <w:r w:rsidR="006D16C4">
        <w:t>, including the Passport Rules incorporated in Australian law</w:t>
      </w:r>
      <w:r w:rsidR="004D59F7">
        <w:t>;</w:t>
      </w:r>
    </w:p>
    <w:p w14:paraId="2287934C" w14:textId="46F50D82" w:rsidR="004D59F7" w:rsidRDefault="004D59F7" w:rsidP="004D59F7">
      <w:pPr>
        <w:pStyle w:val="dotpoint"/>
      </w:pPr>
      <w:r>
        <w:t>the ASIC Act and Regulations</w:t>
      </w:r>
      <w:r w:rsidRPr="004D59F7">
        <w:t>;</w:t>
      </w:r>
      <w:r w:rsidR="006D16C4">
        <w:t xml:space="preserve"> </w:t>
      </w:r>
      <w:r>
        <w:t>or</w:t>
      </w:r>
    </w:p>
    <w:p w14:paraId="3FFA774C" w14:textId="41CF3ED6" w:rsidR="004D59F7" w:rsidRDefault="004D59F7" w:rsidP="004D59F7">
      <w:pPr>
        <w:pStyle w:val="dotpoint"/>
      </w:pPr>
      <w:r>
        <w:t>the fund’s home economy laws and regulations, including the home economy’s Passport Rules.</w:t>
      </w:r>
    </w:p>
    <w:p w14:paraId="10BC7044" w14:textId="4482E214" w:rsidR="00140D67" w:rsidRDefault="00140D67" w:rsidP="00140D67">
      <w:pPr>
        <w:pStyle w:val="dotpoint"/>
        <w:numPr>
          <w:ilvl w:val="0"/>
          <w:numId w:val="0"/>
        </w:numPr>
        <w:ind w:left="1984"/>
      </w:pPr>
      <w:r>
        <w:rPr>
          <w:rStyle w:val="Referencingstyle"/>
        </w:rPr>
        <w:t>[</w:t>
      </w:r>
      <w:r w:rsidR="00856A12">
        <w:rPr>
          <w:rStyle w:val="Referencingstyle"/>
        </w:rPr>
        <w:t>Schedule </w:t>
      </w:r>
      <w:r>
        <w:rPr>
          <w:rStyle w:val="Referencingstyle"/>
        </w:rPr>
        <w:t xml:space="preserve">1, </w:t>
      </w:r>
      <w:r w:rsidR="00856A12">
        <w:rPr>
          <w:rStyle w:val="Referencingstyle"/>
        </w:rPr>
        <w:t>item </w:t>
      </w:r>
      <w:r>
        <w:rPr>
          <w:rStyle w:val="Referencingstyle"/>
        </w:rPr>
        <w:t xml:space="preserve">1, </w:t>
      </w:r>
      <w:r w:rsidR="00856A12">
        <w:rPr>
          <w:rStyle w:val="Referencingstyle"/>
        </w:rPr>
        <w:t>paragraph </w:t>
      </w:r>
      <w:r>
        <w:rPr>
          <w:rStyle w:val="Referencingstyle"/>
        </w:rPr>
        <w:t>1215A(</w:t>
      </w:r>
      <w:r w:rsidR="006876BA">
        <w:rPr>
          <w:rStyle w:val="Referencingstyle"/>
        </w:rPr>
        <w:t>3</w:t>
      </w:r>
      <w:r>
        <w:rPr>
          <w:rStyle w:val="Referencingstyle"/>
        </w:rPr>
        <w:t xml:space="preserve">)(a) and </w:t>
      </w:r>
      <w:r w:rsidR="00856A12">
        <w:rPr>
          <w:rStyle w:val="Referencingstyle"/>
        </w:rPr>
        <w:t>subsection </w:t>
      </w:r>
      <w:r>
        <w:rPr>
          <w:rStyle w:val="Referencingstyle"/>
        </w:rPr>
        <w:t>1215A(</w:t>
      </w:r>
      <w:r w:rsidR="006876BA">
        <w:rPr>
          <w:rStyle w:val="Referencingstyle"/>
        </w:rPr>
        <w:t>4</w:t>
      </w:r>
      <w:r>
        <w:rPr>
          <w:rStyle w:val="Referencingstyle"/>
        </w:rPr>
        <w:t>)]</w:t>
      </w:r>
    </w:p>
    <w:p w14:paraId="7849BA4A" w14:textId="284E1408" w:rsidR="00C051AC" w:rsidRDefault="00C051AC" w:rsidP="00C051AC">
      <w:pPr>
        <w:pStyle w:val="base-text-paragraph"/>
      </w:pPr>
      <w:r>
        <w:t>There are three additional factors that AS</w:t>
      </w:r>
      <w:r w:rsidR="00140D67">
        <w:t>IC must consider before making the</w:t>
      </w:r>
      <w:r>
        <w:t xml:space="preserve"> stop order. First, ASIC must consider the impact of the likely non</w:t>
      </w:r>
      <w:r w:rsidR="00856A12">
        <w:noBreakHyphen/>
      </w:r>
      <w:r>
        <w:t>compliance on the members and prospective members of the fund</w:t>
      </w:r>
      <w:r w:rsidR="00140D67">
        <w:t xml:space="preserve"> </w:t>
      </w:r>
      <w:r w:rsidR="00140D67">
        <w:rPr>
          <w:rStyle w:val="Referencingstyle"/>
        </w:rPr>
        <w:t>[</w:t>
      </w:r>
      <w:r w:rsidR="00856A12">
        <w:rPr>
          <w:rStyle w:val="Referencingstyle"/>
        </w:rPr>
        <w:t>Schedule </w:t>
      </w:r>
      <w:r w:rsidR="00140D67">
        <w:rPr>
          <w:rStyle w:val="Referencingstyle"/>
        </w:rPr>
        <w:t xml:space="preserve">1, </w:t>
      </w:r>
      <w:r w:rsidR="00856A12">
        <w:rPr>
          <w:rStyle w:val="Referencingstyle"/>
        </w:rPr>
        <w:t>item </w:t>
      </w:r>
      <w:r w:rsidR="00140D67">
        <w:rPr>
          <w:rStyle w:val="Referencingstyle"/>
        </w:rPr>
        <w:t xml:space="preserve">1, </w:t>
      </w:r>
      <w:r w:rsidR="00856A12">
        <w:rPr>
          <w:rStyle w:val="Referencingstyle"/>
        </w:rPr>
        <w:t>paragraph </w:t>
      </w:r>
      <w:r w:rsidR="00140D67">
        <w:rPr>
          <w:rStyle w:val="Referencingstyle"/>
        </w:rPr>
        <w:t>1215A(</w:t>
      </w:r>
      <w:r w:rsidR="006876BA">
        <w:rPr>
          <w:rStyle w:val="Referencingstyle"/>
        </w:rPr>
        <w:t>6</w:t>
      </w:r>
      <w:r w:rsidR="00140D67">
        <w:rPr>
          <w:rStyle w:val="Referencingstyle"/>
        </w:rPr>
        <w:t>)(a)]</w:t>
      </w:r>
      <w:r>
        <w:t xml:space="preserve">. Second, ASIC must consider whether the order is necessary having regard to any action taken </w:t>
      </w:r>
      <w:r w:rsidR="00525F2B">
        <w:t xml:space="preserve">or that may be taken </w:t>
      </w:r>
      <w:r>
        <w:t>by the home regulator</w:t>
      </w:r>
      <w:r w:rsidR="00140D67">
        <w:t xml:space="preserve"> </w:t>
      </w:r>
      <w:r w:rsidR="00140D67">
        <w:rPr>
          <w:rStyle w:val="Referencingstyle"/>
        </w:rPr>
        <w:t>[</w:t>
      </w:r>
      <w:r w:rsidR="00856A12">
        <w:rPr>
          <w:rStyle w:val="Referencingstyle"/>
        </w:rPr>
        <w:t>Schedule </w:t>
      </w:r>
      <w:r w:rsidR="00140D67">
        <w:rPr>
          <w:rStyle w:val="Referencingstyle"/>
        </w:rPr>
        <w:t xml:space="preserve">1, </w:t>
      </w:r>
      <w:r w:rsidR="00856A12">
        <w:rPr>
          <w:rStyle w:val="Referencingstyle"/>
        </w:rPr>
        <w:t>item </w:t>
      </w:r>
      <w:r w:rsidR="00140D67">
        <w:rPr>
          <w:rStyle w:val="Referencingstyle"/>
        </w:rPr>
        <w:t xml:space="preserve">1, </w:t>
      </w:r>
      <w:r w:rsidR="00856A12">
        <w:rPr>
          <w:rStyle w:val="Referencingstyle"/>
        </w:rPr>
        <w:t>paragraph </w:t>
      </w:r>
      <w:r w:rsidR="00140D67">
        <w:rPr>
          <w:rStyle w:val="Referencingstyle"/>
        </w:rPr>
        <w:t>1215A(</w:t>
      </w:r>
      <w:r w:rsidR="006876BA">
        <w:rPr>
          <w:rStyle w:val="Referencingstyle"/>
        </w:rPr>
        <w:t>6</w:t>
      </w:r>
      <w:r w:rsidR="00140D67">
        <w:rPr>
          <w:rStyle w:val="Referencingstyle"/>
        </w:rPr>
        <w:t>)(b)]</w:t>
      </w:r>
      <w:r w:rsidR="00140D67">
        <w:t>.</w:t>
      </w:r>
      <w:r>
        <w:t xml:space="preserve"> Finally, if ASIC is concerned about non</w:t>
      </w:r>
      <w:r w:rsidR="00856A12">
        <w:noBreakHyphen/>
      </w:r>
      <w:r>
        <w:t xml:space="preserve">compliance with the fund’s home economy laws and regulations, </w:t>
      </w:r>
      <w:r w:rsidR="004A5B9F">
        <w:t xml:space="preserve">including the Passport Rules for the home economy, </w:t>
      </w:r>
      <w:r w:rsidR="0025709B">
        <w:t xml:space="preserve">ASIC </w:t>
      </w:r>
      <w:r w:rsidR="00F72092">
        <w:t xml:space="preserve">must ask the home regulator for its opinion and </w:t>
      </w:r>
      <w:r w:rsidR="00693576">
        <w:t>give effect to that</w:t>
      </w:r>
      <w:r w:rsidR="00F72092">
        <w:t xml:space="preserve"> opinion </w:t>
      </w:r>
      <w:r w:rsidR="00693576">
        <w:t>if it is provided</w:t>
      </w:r>
      <w:r w:rsidR="00140D67">
        <w:t xml:space="preserve"> </w:t>
      </w:r>
      <w:r w:rsidR="00140D67">
        <w:rPr>
          <w:rStyle w:val="Referencingstyle"/>
        </w:rPr>
        <w:t>[</w:t>
      </w:r>
      <w:r w:rsidR="00A54C5F">
        <w:rPr>
          <w:rStyle w:val="Referencingstyle"/>
        </w:rPr>
        <w:t>Schedule </w:t>
      </w:r>
      <w:r w:rsidR="00140D67">
        <w:rPr>
          <w:rStyle w:val="Referencingstyle"/>
        </w:rPr>
        <w:t xml:space="preserve">1, </w:t>
      </w:r>
      <w:r w:rsidR="00A54C5F">
        <w:rPr>
          <w:rStyle w:val="Referencingstyle"/>
        </w:rPr>
        <w:t>item </w:t>
      </w:r>
      <w:r w:rsidR="00140D67">
        <w:rPr>
          <w:rStyle w:val="Referencingstyle"/>
        </w:rPr>
        <w:t xml:space="preserve">1, </w:t>
      </w:r>
      <w:r w:rsidR="00A54C5F">
        <w:rPr>
          <w:rStyle w:val="Referencingstyle"/>
        </w:rPr>
        <w:t>subsection </w:t>
      </w:r>
      <w:r w:rsidR="00140D67">
        <w:rPr>
          <w:rStyle w:val="Referencingstyle"/>
        </w:rPr>
        <w:t>1215A(</w:t>
      </w:r>
      <w:r w:rsidR="00D36DD0">
        <w:rPr>
          <w:rStyle w:val="Referencingstyle"/>
        </w:rPr>
        <w:t>5</w:t>
      </w:r>
      <w:r w:rsidR="00140D67">
        <w:rPr>
          <w:rStyle w:val="Referencingstyle"/>
        </w:rPr>
        <w:t>)]</w:t>
      </w:r>
      <w:r w:rsidR="004A5B9F">
        <w:t>.</w:t>
      </w:r>
    </w:p>
    <w:p w14:paraId="19ABDE74" w14:textId="3FB31B32" w:rsidR="00C72E5E" w:rsidRDefault="00C72E5E" w:rsidP="006F4E8F">
      <w:pPr>
        <w:pStyle w:val="base-text-paragraph"/>
      </w:pPr>
      <w:r>
        <w:t xml:space="preserve">Before making a stop order because Australian or home economy laws may not be complied with, ASIC is required to </w:t>
      </w:r>
      <w:r w:rsidR="00C52497">
        <w:t xml:space="preserve">hold a hearing and </w:t>
      </w:r>
      <w:r>
        <w:t xml:space="preserve">give any interested people an opportunity to make submissions. </w:t>
      </w:r>
      <w:r>
        <w:rPr>
          <w:rStyle w:val="Referencingstyle"/>
        </w:rPr>
        <w:t>[</w:t>
      </w:r>
      <w:r w:rsidR="00A54C5F">
        <w:rPr>
          <w:rStyle w:val="Referencingstyle"/>
        </w:rPr>
        <w:t>Schedule </w:t>
      </w:r>
      <w:r>
        <w:rPr>
          <w:rStyle w:val="Referencingstyle"/>
        </w:rPr>
        <w:t xml:space="preserve">1, </w:t>
      </w:r>
      <w:r w:rsidR="00A54C5F">
        <w:rPr>
          <w:rStyle w:val="Referencingstyle"/>
        </w:rPr>
        <w:t>item </w:t>
      </w:r>
      <w:r>
        <w:rPr>
          <w:rStyle w:val="Referencingstyle"/>
        </w:rPr>
        <w:t xml:space="preserve">1, </w:t>
      </w:r>
      <w:r w:rsidR="00A54C5F">
        <w:rPr>
          <w:rStyle w:val="Referencingstyle"/>
        </w:rPr>
        <w:t>subsection </w:t>
      </w:r>
      <w:r>
        <w:rPr>
          <w:rStyle w:val="Referencingstyle"/>
        </w:rPr>
        <w:t>1215A(7)]</w:t>
      </w:r>
    </w:p>
    <w:p w14:paraId="11AAB17C" w14:textId="59AB878F" w:rsidR="006F4E8F" w:rsidRDefault="00C051AC" w:rsidP="006F4E8F">
      <w:pPr>
        <w:pStyle w:val="base-text-paragraph"/>
      </w:pPr>
      <w:r>
        <w:t>Stop orders made against notified foreign passport funds for non</w:t>
      </w:r>
      <w:r w:rsidR="00A54C5F">
        <w:noBreakHyphen/>
      </w:r>
      <w:r>
        <w:t xml:space="preserve">compliance with the </w:t>
      </w:r>
      <w:r w:rsidR="00140D67">
        <w:t>law</w:t>
      </w:r>
      <w:r>
        <w:t xml:space="preserve"> are similar to stop orders made against Australian passport funds</w:t>
      </w:r>
      <w:r w:rsidR="00140D67">
        <w:t xml:space="preserve"> for non</w:t>
      </w:r>
      <w:r w:rsidR="00A54C5F">
        <w:noBreakHyphen/>
      </w:r>
      <w:r w:rsidR="00140D67">
        <w:t xml:space="preserve">compliance with the law. However, the applicable </w:t>
      </w:r>
      <w:r>
        <w:t xml:space="preserve">laws </w:t>
      </w:r>
      <w:r w:rsidR="00140D67">
        <w:t xml:space="preserve">and </w:t>
      </w:r>
      <w:r w:rsidR="003951B0">
        <w:t>additional</w:t>
      </w:r>
      <w:r w:rsidR="00140D67">
        <w:t xml:space="preserve"> considerations </w:t>
      </w:r>
      <w:r>
        <w:t>are different for notified foreign passport funds. These differences are summarised below</w:t>
      </w:r>
      <w:r w:rsidR="006F4E8F">
        <w:t>:</w:t>
      </w:r>
    </w:p>
    <w:p w14:paraId="206434BC" w14:textId="247C6F7D" w:rsidR="00C051AC" w:rsidRDefault="00AC27CD" w:rsidP="00AC27CD">
      <w:pPr>
        <w:pStyle w:val="TableHeadingoutsidetable"/>
      </w:pPr>
      <w:r>
        <w:lastRenderedPageBreak/>
        <w:t>: Stop Order for non</w:t>
      </w:r>
      <w:r w:rsidR="00A54C5F">
        <w:noBreakHyphen/>
      </w:r>
      <w:r>
        <w:t>compliance with relevant laws</w:t>
      </w:r>
    </w:p>
    <w:tbl>
      <w:tblPr>
        <w:tblStyle w:val="TableGrid"/>
        <w:tblW w:w="6776" w:type="dxa"/>
        <w:tblInd w:w="1384" w:type="dxa"/>
        <w:tblLook w:val="04A0" w:firstRow="1" w:lastRow="0" w:firstColumn="1" w:lastColumn="0" w:noHBand="0" w:noVBand="1"/>
      </w:tblPr>
      <w:tblGrid>
        <w:gridCol w:w="1248"/>
        <w:gridCol w:w="2438"/>
        <w:gridCol w:w="3090"/>
      </w:tblGrid>
      <w:tr w:rsidR="00AC27CD" w14:paraId="55C8C74F" w14:textId="77777777" w:rsidTr="00C815BE">
        <w:tc>
          <w:tcPr>
            <w:tcW w:w="1248" w:type="dxa"/>
          </w:tcPr>
          <w:p w14:paraId="23D2DB94" w14:textId="77777777" w:rsidR="00AC27CD" w:rsidRDefault="00AC27CD" w:rsidP="00AC27CD">
            <w:pPr>
              <w:pStyle w:val="base-text-paragraph"/>
              <w:numPr>
                <w:ilvl w:val="0"/>
                <w:numId w:val="0"/>
              </w:numPr>
            </w:pPr>
          </w:p>
        </w:tc>
        <w:tc>
          <w:tcPr>
            <w:tcW w:w="2438" w:type="dxa"/>
          </w:tcPr>
          <w:p w14:paraId="6B3E78A2" w14:textId="5F4B427D" w:rsidR="00AC27CD" w:rsidRDefault="00AC27CD" w:rsidP="00AC27CD">
            <w:pPr>
              <w:pStyle w:val="tableheaderwithintable"/>
            </w:pPr>
            <w:r>
              <w:t>Australian Passport Funds</w:t>
            </w:r>
          </w:p>
        </w:tc>
        <w:tc>
          <w:tcPr>
            <w:tcW w:w="3090" w:type="dxa"/>
          </w:tcPr>
          <w:p w14:paraId="56A6BDB6" w14:textId="65429A30" w:rsidR="00AC27CD" w:rsidRDefault="00AC27CD" w:rsidP="00AC27CD">
            <w:pPr>
              <w:pStyle w:val="tableheaderwithintable"/>
            </w:pPr>
            <w:r>
              <w:t>Notified Foreign Passport Funds</w:t>
            </w:r>
          </w:p>
        </w:tc>
      </w:tr>
      <w:tr w:rsidR="00AC27CD" w14:paraId="2BD8A230" w14:textId="77777777" w:rsidTr="00C815BE">
        <w:tc>
          <w:tcPr>
            <w:tcW w:w="1248" w:type="dxa"/>
          </w:tcPr>
          <w:p w14:paraId="38530531" w14:textId="060CFF87" w:rsidR="00AC27CD" w:rsidRPr="00AC27CD" w:rsidRDefault="00AC27CD" w:rsidP="00AC27CD">
            <w:pPr>
              <w:pStyle w:val="base-text-paragraph"/>
              <w:numPr>
                <w:ilvl w:val="0"/>
                <w:numId w:val="0"/>
              </w:numPr>
              <w:rPr>
                <w:b/>
                <w:i/>
                <w:sz w:val="20"/>
              </w:rPr>
            </w:pPr>
            <w:r w:rsidRPr="00AC27CD">
              <w:rPr>
                <w:b/>
                <w:i/>
                <w:sz w:val="20"/>
              </w:rPr>
              <w:t xml:space="preserve">Conditions for Making Order </w:t>
            </w:r>
          </w:p>
        </w:tc>
        <w:tc>
          <w:tcPr>
            <w:tcW w:w="2438" w:type="dxa"/>
          </w:tcPr>
          <w:p w14:paraId="3BB391BE" w14:textId="0B1339AC" w:rsidR="00AC27CD" w:rsidRDefault="00AC27CD" w:rsidP="003951B0">
            <w:pPr>
              <w:pStyle w:val="Bullet"/>
              <w:keepNext/>
              <w:keepLines/>
              <w:numPr>
                <w:ilvl w:val="0"/>
                <w:numId w:val="0"/>
              </w:numPr>
              <w:ind w:left="62" w:right="-52"/>
              <w:rPr>
                <w:sz w:val="20"/>
              </w:rPr>
            </w:pPr>
            <w:r>
              <w:rPr>
                <w:sz w:val="20"/>
              </w:rPr>
              <w:t>ASIC is satisfied that the relevant laws</w:t>
            </w:r>
            <w:r w:rsidR="009A5854">
              <w:rPr>
                <w:sz w:val="20"/>
              </w:rPr>
              <w:t xml:space="preserve"> (being Australian laws including the Passport Rules for this jurisdiction)</w:t>
            </w:r>
            <w:r>
              <w:rPr>
                <w:sz w:val="20"/>
              </w:rPr>
              <w:t xml:space="preserve"> are not being, or are not likely to be, complied with.</w:t>
            </w:r>
          </w:p>
          <w:p w14:paraId="63FB0243" w14:textId="77777777" w:rsidR="00AC27CD" w:rsidRPr="00AC27CD" w:rsidRDefault="00AC27CD" w:rsidP="00AC27CD">
            <w:pPr>
              <w:pStyle w:val="tabledotpoint"/>
              <w:numPr>
                <w:ilvl w:val="0"/>
                <w:numId w:val="0"/>
              </w:numPr>
              <w:ind w:left="284" w:hanging="284"/>
            </w:pPr>
          </w:p>
        </w:tc>
        <w:tc>
          <w:tcPr>
            <w:tcW w:w="3090" w:type="dxa"/>
          </w:tcPr>
          <w:p w14:paraId="72EB0C99" w14:textId="008A77EC" w:rsidR="00AC27CD" w:rsidRDefault="00AC27CD" w:rsidP="000906F0">
            <w:pPr>
              <w:pStyle w:val="Bullet"/>
              <w:keepNext/>
              <w:keepLines/>
              <w:ind w:right="-108"/>
              <w:rPr>
                <w:sz w:val="20"/>
              </w:rPr>
            </w:pPr>
            <w:r>
              <w:rPr>
                <w:sz w:val="20"/>
              </w:rPr>
              <w:t>ASIC is satisfied that the relevant laws</w:t>
            </w:r>
            <w:r w:rsidR="009A5854">
              <w:rPr>
                <w:sz w:val="20"/>
              </w:rPr>
              <w:t xml:space="preserve"> (being Australian and home economy laws)</w:t>
            </w:r>
            <w:r>
              <w:rPr>
                <w:sz w:val="20"/>
              </w:rPr>
              <w:t xml:space="preserve"> are not being, or are not likely to be, complied with.</w:t>
            </w:r>
          </w:p>
          <w:p w14:paraId="3E4F3CF9" w14:textId="77777777" w:rsidR="00AC27CD" w:rsidRDefault="00AC27CD" w:rsidP="000906F0">
            <w:pPr>
              <w:pStyle w:val="Bullet"/>
              <w:keepNext/>
              <w:keepLines/>
              <w:rPr>
                <w:sz w:val="20"/>
              </w:rPr>
            </w:pPr>
            <w:r>
              <w:rPr>
                <w:sz w:val="20"/>
              </w:rPr>
              <w:t>ASIC is satisfied that the order is necessary having regard to:</w:t>
            </w:r>
          </w:p>
          <w:p w14:paraId="00E2EBCF" w14:textId="77777777" w:rsidR="00AC27CD" w:rsidRPr="001D2460" w:rsidRDefault="00AC27CD" w:rsidP="000906F0">
            <w:pPr>
              <w:pStyle w:val="Dash"/>
              <w:keepNext/>
              <w:keepLines/>
              <w:tabs>
                <w:tab w:val="clear" w:pos="1040"/>
                <w:tab w:val="num" w:pos="601"/>
              </w:tabs>
              <w:ind w:left="601" w:right="-108" w:hanging="284"/>
              <w:rPr>
                <w:sz w:val="20"/>
              </w:rPr>
            </w:pPr>
            <w:r w:rsidRPr="001D2460">
              <w:rPr>
                <w:sz w:val="20"/>
              </w:rPr>
              <w:t xml:space="preserve">the impact on </w:t>
            </w:r>
            <w:r>
              <w:rPr>
                <w:sz w:val="20"/>
              </w:rPr>
              <w:t xml:space="preserve">fund </w:t>
            </w:r>
            <w:r w:rsidRPr="001D2460">
              <w:rPr>
                <w:sz w:val="20"/>
              </w:rPr>
              <w:t>members and potential members; and</w:t>
            </w:r>
          </w:p>
          <w:p w14:paraId="1C7D2564" w14:textId="0904DB07" w:rsidR="00AC27CD" w:rsidRPr="0025709B" w:rsidRDefault="00AC27CD" w:rsidP="000906F0">
            <w:pPr>
              <w:pStyle w:val="Dash"/>
              <w:keepNext/>
              <w:keepLines/>
              <w:tabs>
                <w:tab w:val="clear" w:pos="1040"/>
                <w:tab w:val="num" w:pos="601"/>
              </w:tabs>
              <w:ind w:left="601" w:right="6" w:hanging="284"/>
            </w:pPr>
            <w:r w:rsidRPr="001D2460">
              <w:rPr>
                <w:sz w:val="20"/>
              </w:rPr>
              <w:t xml:space="preserve">any action taken </w:t>
            </w:r>
            <w:r w:rsidR="001D60DD">
              <w:rPr>
                <w:sz w:val="20"/>
              </w:rPr>
              <w:t xml:space="preserve">or that may be taken </w:t>
            </w:r>
            <w:r w:rsidRPr="001D2460">
              <w:rPr>
                <w:sz w:val="20"/>
              </w:rPr>
              <w:t>by the home regulator.</w:t>
            </w:r>
          </w:p>
          <w:p w14:paraId="2F92BFE6" w14:textId="54CDCF86" w:rsidR="00AC27CD" w:rsidRPr="00AC27CD" w:rsidRDefault="00AC27CD" w:rsidP="00A54C5F">
            <w:pPr>
              <w:pStyle w:val="tabledotpoint"/>
            </w:pPr>
            <w:r w:rsidRPr="0025709B">
              <w:t>ASIC has sought</w:t>
            </w:r>
            <w:r>
              <w:t xml:space="preserve">, and </w:t>
            </w:r>
            <w:r w:rsidR="003341A6">
              <w:t>given effect to</w:t>
            </w:r>
            <w:r>
              <w:t>,</w:t>
            </w:r>
            <w:r w:rsidRPr="0025709B">
              <w:t xml:space="preserve"> the home regulator’</w:t>
            </w:r>
            <w:r>
              <w:t>s opinion</w:t>
            </w:r>
            <w:r w:rsidR="009A5854">
              <w:t xml:space="preserve"> with respect to non</w:t>
            </w:r>
            <w:r w:rsidR="00A54C5F">
              <w:noBreakHyphen/>
            </w:r>
            <w:r w:rsidR="009A5854">
              <w:t>compliance with home economy laws</w:t>
            </w:r>
            <w:r>
              <w:t>.</w:t>
            </w:r>
          </w:p>
        </w:tc>
      </w:tr>
      <w:tr w:rsidR="00AC27CD" w14:paraId="79040F58" w14:textId="77777777" w:rsidTr="00C815BE">
        <w:tc>
          <w:tcPr>
            <w:tcW w:w="1248" w:type="dxa"/>
          </w:tcPr>
          <w:p w14:paraId="1ADD59D9" w14:textId="5B48A29B" w:rsidR="00AC27CD" w:rsidRDefault="00AC27CD" w:rsidP="00AC27CD">
            <w:pPr>
              <w:pStyle w:val="tableheaderwithintable"/>
              <w:jc w:val="left"/>
            </w:pPr>
            <w:r>
              <w:t>Relevant Laws</w:t>
            </w:r>
          </w:p>
        </w:tc>
        <w:tc>
          <w:tcPr>
            <w:tcW w:w="2438" w:type="dxa"/>
          </w:tcPr>
          <w:p w14:paraId="0C930381" w14:textId="77777777" w:rsidR="00AC27CD" w:rsidRDefault="00AC27CD" w:rsidP="00AC27CD">
            <w:pPr>
              <w:pStyle w:val="tabledotpoint"/>
            </w:pPr>
            <w:r>
              <w:t>Corporations Act and Regulations</w:t>
            </w:r>
          </w:p>
          <w:p w14:paraId="7EFA349D" w14:textId="77777777" w:rsidR="00AC27CD" w:rsidRDefault="00AC27CD" w:rsidP="00AC27CD">
            <w:pPr>
              <w:pStyle w:val="tabledotpoint"/>
            </w:pPr>
            <w:r>
              <w:t>ASIC Act and Regulations</w:t>
            </w:r>
          </w:p>
          <w:p w14:paraId="38CCA031" w14:textId="6EE2E103" w:rsidR="00AC27CD" w:rsidRDefault="00AC27CD" w:rsidP="009E2684">
            <w:pPr>
              <w:pStyle w:val="tabledotpoint"/>
            </w:pPr>
            <w:r>
              <w:t xml:space="preserve">Passport Rules in this jurisdiction </w:t>
            </w:r>
          </w:p>
        </w:tc>
        <w:tc>
          <w:tcPr>
            <w:tcW w:w="3090" w:type="dxa"/>
          </w:tcPr>
          <w:p w14:paraId="1C60DC22" w14:textId="77777777" w:rsidR="00AC27CD" w:rsidRDefault="00AC27CD" w:rsidP="00AC27CD">
            <w:pPr>
              <w:pStyle w:val="tabledotpoint"/>
            </w:pPr>
            <w:r>
              <w:t>Corporations Act and Regulations</w:t>
            </w:r>
          </w:p>
          <w:p w14:paraId="4AE9C9E2" w14:textId="77777777" w:rsidR="00AC27CD" w:rsidRDefault="00AC27CD" w:rsidP="00AC27CD">
            <w:pPr>
              <w:pStyle w:val="tabledotpoint"/>
            </w:pPr>
            <w:r>
              <w:t>ASIC Act and Regulations</w:t>
            </w:r>
          </w:p>
          <w:p w14:paraId="05F2D286" w14:textId="2C126C3F" w:rsidR="00AC27CD" w:rsidRDefault="00AC27CD" w:rsidP="00AC27CD">
            <w:pPr>
              <w:pStyle w:val="tabledotpoint"/>
            </w:pPr>
            <w:r>
              <w:t xml:space="preserve">Passport Rules in this jurisdiction </w:t>
            </w:r>
          </w:p>
          <w:p w14:paraId="1D2A40C9" w14:textId="56C972F4" w:rsidR="00AC27CD" w:rsidRDefault="00AC27CD" w:rsidP="00AC27CD">
            <w:pPr>
              <w:pStyle w:val="tabledotpoint"/>
            </w:pPr>
            <w:r>
              <w:t>Home economy laws and regulations</w:t>
            </w:r>
            <w:r w:rsidR="00F13BBB">
              <w:t>, including the Passport Rules for the home economy</w:t>
            </w:r>
          </w:p>
        </w:tc>
      </w:tr>
    </w:tbl>
    <w:p w14:paraId="29B7C33D" w14:textId="42513DF6" w:rsidR="00AC27CD" w:rsidRDefault="00AC27CD" w:rsidP="00AC27CD">
      <w:pPr>
        <w:pStyle w:val="base-text-paragraph"/>
        <w:numPr>
          <w:ilvl w:val="0"/>
          <w:numId w:val="0"/>
        </w:numPr>
        <w:ind w:left="1134"/>
      </w:pPr>
    </w:p>
    <w:p w14:paraId="3A82EDFE" w14:textId="49A67402" w:rsidR="003341A6" w:rsidRPr="00C72E5E" w:rsidRDefault="003341A6" w:rsidP="00C72E5E">
      <w:pPr>
        <w:pStyle w:val="base-text-paragraph"/>
        <w:numPr>
          <w:ilvl w:val="0"/>
          <w:numId w:val="0"/>
        </w:numPr>
        <w:ind w:left="2098" w:hanging="964"/>
        <w:rPr>
          <w:i/>
        </w:rPr>
      </w:pPr>
      <w:r w:rsidRPr="00C72E5E">
        <w:rPr>
          <w:i/>
        </w:rPr>
        <w:t xml:space="preserve">Ground 2: Ceasing to be </w:t>
      </w:r>
      <w:r w:rsidR="00C72E5E" w:rsidRPr="00C72E5E">
        <w:rPr>
          <w:i/>
        </w:rPr>
        <w:t xml:space="preserve">a </w:t>
      </w:r>
      <w:r w:rsidRPr="00C72E5E">
        <w:rPr>
          <w:i/>
        </w:rPr>
        <w:t xml:space="preserve">registered foreign </w:t>
      </w:r>
      <w:r w:rsidR="00A24858">
        <w:rPr>
          <w:i/>
        </w:rPr>
        <w:t>company</w:t>
      </w:r>
      <w:r w:rsidRPr="00C72E5E">
        <w:rPr>
          <w:i/>
        </w:rPr>
        <w:t xml:space="preserve"> and</w:t>
      </w:r>
      <w:r w:rsidR="00C72E5E" w:rsidRPr="00C72E5E">
        <w:rPr>
          <w:i/>
        </w:rPr>
        <w:t xml:space="preserve"> failure to appoint a local agent</w:t>
      </w:r>
    </w:p>
    <w:p w14:paraId="723ED9AD" w14:textId="70B86D14" w:rsidR="00C72E5E" w:rsidRDefault="00C72E5E" w:rsidP="00C72E5E">
      <w:pPr>
        <w:pStyle w:val="base-text-paragraph"/>
      </w:pPr>
      <w:r>
        <w:t xml:space="preserve">Ceasing to be a registered foreign </w:t>
      </w:r>
      <w:r w:rsidR="00A24858">
        <w:t>company</w:t>
      </w:r>
      <w:r>
        <w:t xml:space="preserve"> or failure to appoint a local agent for more than </w:t>
      </w:r>
      <w:r w:rsidR="00FA08E7">
        <w:t>21 </w:t>
      </w:r>
      <w:r>
        <w:t>days constitute the second ground allowing ASIC to issue a stop order.</w:t>
      </w:r>
      <w:r w:rsidR="00A24858">
        <w:t xml:space="preserve"> The requirements in this regard are set out in </w:t>
      </w:r>
      <w:r w:rsidR="00FA08E7">
        <w:t>Division </w:t>
      </w:r>
      <w:r w:rsidR="00A24858">
        <w:t xml:space="preserve">2 of </w:t>
      </w:r>
      <w:r w:rsidR="00FA08E7">
        <w:t>Part </w:t>
      </w:r>
      <w:r w:rsidR="00A24858">
        <w:t xml:space="preserve">5B.2 of the </w:t>
      </w:r>
      <w:r w:rsidR="00FA08E7">
        <w:t>Corporations </w:t>
      </w:r>
      <w:r w:rsidR="00A24858">
        <w:t>Act.</w:t>
      </w:r>
      <w:r>
        <w:t xml:space="preserve"> In this situation ASIC is not required to hold a hearing or allow interested parties to make submissions. This differs to the procedure for stop orders made against </w:t>
      </w:r>
      <w:r>
        <w:lastRenderedPageBreak/>
        <w:t xml:space="preserve">funds which are not complying, or </w:t>
      </w:r>
      <w:r w:rsidR="00815CDA">
        <w:t xml:space="preserve">are </w:t>
      </w:r>
      <w:r>
        <w:t xml:space="preserve">not likely to comply, with the law. </w:t>
      </w:r>
      <w:r>
        <w:rPr>
          <w:rStyle w:val="Referencingstyle"/>
        </w:rPr>
        <w:t>[</w:t>
      </w:r>
      <w:r w:rsidR="00FA08E7">
        <w:rPr>
          <w:rStyle w:val="Referencingstyle"/>
        </w:rPr>
        <w:t>Schedule </w:t>
      </w:r>
      <w:r>
        <w:rPr>
          <w:rStyle w:val="Referencingstyle"/>
        </w:rPr>
        <w:t xml:space="preserve">1, </w:t>
      </w:r>
      <w:r w:rsidR="00FA08E7">
        <w:rPr>
          <w:rStyle w:val="Referencingstyle"/>
        </w:rPr>
        <w:t>item </w:t>
      </w:r>
      <w:r>
        <w:rPr>
          <w:rStyle w:val="Referencingstyle"/>
        </w:rPr>
        <w:t xml:space="preserve">1, </w:t>
      </w:r>
      <w:r w:rsidR="00FA08E7">
        <w:rPr>
          <w:rStyle w:val="Referencingstyle"/>
        </w:rPr>
        <w:t>paragraphs </w:t>
      </w:r>
      <w:r>
        <w:rPr>
          <w:rStyle w:val="Referencingstyle"/>
        </w:rPr>
        <w:t>1215A(3)(b) and (c)]</w:t>
      </w:r>
    </w:p>
    <w:p w14:paraId="121FD7D1" w14:textId="0D319665" w:rsidR="00AC27CD" w:rsidRDefault="00AC27CD" w:rsidP="00730DE8">
      <w:pPr>
        <w:pStyle w:val="base-text-paragraph"/>
        <w:numPr>
          <w:ilvl w:val="0"/>
          <w:numId w:val="0"/>
        </w:numPr>
        <w:ind w:left="1134"/>
        <w:rPr>
          <w:i/>
        </w:rPr>
      </w:pPr>
      <w:r>
        <w:rPr>
          <w:i/>
        </w:rPr>
        <w:t xml:space="preserve">Ground </w:t>
      </w:r>
      <w:r w:rsidR="00E45B12">
        <w:rPr>
          <w:i/>
        </w:rPr>
        <w:t>3</w:t>
      </w:r>
      <w:r>
        <w:rPr>
          <w:i/>
        </w:rPr>
        <w:t xml:space="preserve">: Minister’s determination </w:t>
      </w:r>
    </w:p>
    <w:p w14:paraId="0FB7EF01" w14:textId="468804C6" w:rsidR="008B6E8C" w:rsidRDefault="003951B0" w:rsidP="006F4E8F">
      <w:pPr>
        <w:pStyle w:val="base-text-paragraph"/>
      </w:pPr>
      <w:r>
        <w:t xml:space="preserve">The </w:t>
      </w:r>
      <w:r w:rsidR="00E45B12">
        <w:t>third</w:t>
      </w:r>
      <w:r>
        <w:t xml:space="preserve"> ground for making a stop order is if the</w:t>
      </w:r>
      <w:r w:rsidR="00AC27CD">
        <w:t xml:space="preserve"> Minister has </w:t>
      </w:r>
      <w:r>
        <w:t>determined</w:t>
      </w:r>
      <w:r w:rsidR="00AC27CD">
        <w:t xml:space="preserve"> that funds from a particular</w:t>
      </w:r>
      <w:r w:rsidR="00964F9A">
        <w:t xml:space="preserve"> home economy</w:t>
      </w:r>
      <w:r w:rsidR="003C46EE">
        <w:t xml:space="preserve"> </w:t>
      </w:r>
      <w:r w:rsidR="00AC27CD">
        <w:t>should be prohibited from offering interests in Aus</w:t>
      </w:r>
      <w:r w:rsidR="008B6E8C">
        <w:t xml:space="preserve">tralia, and the fund is from that particular home </w:t>
      </w:r>
      <w:r w:rsidR="003C46EE">
        <w:t>economy</w:t>
      </w:r>
      <w:r w:rsidR="008B6E8C">
        <w:t>.</w:t>
      </w:r>
      <w:r w:rsidR="00C72E5E">
        <w:t xml:space="preserve"> </w:t>
      </w:r>
      <w:r w:rsidR="00C72E5E">
        <w:rPr>
          <w:rStyle w:val="Referencingstyle"/>
        </w:rPr>
        <w:t>[</w:t>
      </w:r>
      <w:r w:rsidR="00FA08E7">
        <w:rPr>
          <w:rStyle w:val="Referencingstyle"/>
        </w:rPr>
        <w:t>Schedule </w:t>
      </w:r>
      <w:r w:rsidR="00C72E5E">
        <w:rPr>
          <w:rStyle w:val="Referencingstyle"/>
        </w:rPr>
        <w:t xml:space="preserve">1, </w:t>
      </w:r>
      <w:r w:rsidR="00FA08E7">
        <w:rPr>
          <w:rStyle w:val="Referencingstyle"/>
        </w:rPr>
        <w:t>item </w:t>
      </w:r>
      <w:r w:rsidR="00C72E5E">
        <w:rPr>
          <w:rStyle w:val="Referencingstyle"/>
        </w:rPr>
        <w:t xml:space="preserve">1, </w:t>
      </w:r>
      <w:r w:rsidR="00FA08E7">
        <w:rPr>
          <w:rStyle w:val="Referencingstyle"/>
        </w:rPr>
        <w:t>paragraph </w:t>
      </w:r>
      <w:r w:rsidR="00C72E5E">
        <w:rPr>
          <w:rStyle w:val="Referencingstyle"/>
        </w:rPr>
        <w:t>1215A(3)(d)]</w:t>
      </w:r>
      <w:r w:rsidR="00C72E5E">
        <w:t xml:space="preserve"> </w:t>
      </w:r>
    </w:p>
    <w:p w14:paraId="1D54B97B" w14:textId="185E17A7" w:rsidR="00C815BE" w:rsidRDefault="00C815BE" w:rsidP="006F4E8F">
      <w:pPr>
        <w:pStyle w:val="base-text-paragraph"/>
      </w:pPr>
      <w:r>
        <w:t>The Minister may make a determination because:</w:t>
      </w:r>
    </w:p>
    <w:p w14:paraId="181F5F46" w14:textId="3FE4AC61" w:rsidR="00C815BE" w:rsidRDefault="00C815BE" w:rsidP="00C815BE">
      <w:pPr>
        <w:pStyle w:val="dotpoint"/>
      </w:pPr>
      <w:r>
        <w:t>a difference has been raised under the MOC because Australia disagrees with another economy’s interpretation or application of the MOC;</w:t>
      </w:r>
    </w:p>
    <w:p w14:paraId="04CB3570" w14:textId="64E9FF8C" w:rsidR="00C815BE" w:rsidRDefault="00C815BE" w:rsidP="00C815BE">
      <w:pPr>
        <w:pStyle w:val="dotpoint"/>
      </w:pPr>
      <w:r>
        <w:t>an economy other than Australia has ceased to be a participating economy</w:t>
      </w:r>
      <w:r w:rsidRPr="00C815BE">
        <w:rPr>
          <w:rStyle w:val="Referencingstyle"/>
          <w:b w:val="0"/>
          <w:i w:val="0"/>
        </w:rPr>
        <w:t>;</w:t>
      </w:r>
    </w:p>
    <w:p w14:paraId="17127208" w14:textId="4FBC268F" w:rsidR="00C815BE" w:rsidRDefault="00C815BE" w:rsidP="00C815BE">
      <w:pPr>
        <w:pStyle w:val="dotpoint"/>
      </w:pPr>
      <w:r>
        <w:t>Australia has withdrawn from the MOC</w:t>
      </w:r>
      <w:r w:rsidRPr="00C95804">
        <w:t>;</w:t>
      </w:r>
      <w:r>
        <w:t xml:space="preserve"> or</w:t>
      </w:r>
    </w:p>
    <w:p w14:paraId="0696C4EB" w14:textId="4C948F3A" w:rsidR="00C815BE" w:rsidRDefault="00C815BE" w:rsidP="00C815BE">
      <w:pPr>
        <w:pStyle w:val="dotpoint"/>
      </w:pPr>
      <w:r>
        <w:t>the MOC has been terminated</w:t>
      </w:r>
      <w:r w:rsidR="00FA08E7">
        <w:t>.</w:t>
      </w:r>
      <w:r w:rsidR="00C95804">
        <w:t xml:space="preserve"> </w:t>
      </w:r>
      <w:r w:rsidR="00C95804">
        <w:rPr>
          <w:rStyle w:val="Referencingstyle"/>
        </w:rPr>
        <w:t>[</w:t>
      </w:r>
      <w:r w:rsidR="00FA08E7">
        <w:rPr>
          <w:rStyle w:val="Referencingstyle"/>
        </w:rPr>
        <w:t>Schedule </w:t>
      </w:r>
      <w:r w:rsidR="00C95804">
        <w:rPr>
          <w:rStyle w:val="Referencingstyle"/>
        </w:rPr>
        <w:t xml:space="preserve">1, </w:t>
      </w:r>
      <w:r w:rsidR="00FA08E7">
        <w:rPr>
          <w:rStyle w:val="Referencingstyle"/>
        </w:rPr>
        <w:t>item </w:t>
      </w:r>
      <w:r w:rsidR="00C95804">
        <w:rPr>
          <w:rStyle w:val="Referencingstyle"/>
        </w:rPr>
        <w:t xml:space="preserve">1, </w:t>
      </w:r>
      <w:r w:rsidR="00FA08E7">
        <w:rPr>
          <w:rStyle w:val="Referencingstyle"/>
        </w:rPr>
        <w:t xml:space="preserve">section </w:t>
      </w:r>
      <w:r w:rsidR="00C95804">
        <w:rPr>
          <w:rStyle w:val="Referencingstyle"/>
        </w:rPr>
        <w:t>1210</w:t>
      </w:r>
      <w:r w:rsidR="00CB5DAB">
        <w:rPr>
          <w:rStyle w:val="Referencingstyle"/>
        </w:rPr>
        <w:t>B</w:t>
      </w:r>
      <w:r w:rsidR="00C95804">
        <w:rPr>
          <w:rStyle w:val="Referencingstyle"/>
        </w:rPr>
        <w:t>]</w:t>
      </w:r>
    </w:p>
    <w:p w14:paraId="4A4029A9" w14:textId="568B17B8" w:rsidR="00C95804" w:rsidRDefault="00C95804" w:rsidP="006F4E8F">
      <w:pPr>
        <w:pStyle w:val="base-text-paragraph"/>
      </w:pPr>
      <w:r>
        <w:t xml:space="preserve">Further information about </w:t>
      </w:r>
      <w:r w:rsidR="009E2684">
        <w:t xml:space="preserve">the </w:t>
      </w:r>
      <w:r>
        <w:t>Minister’s</w:t>
      </w:r>
      <w:r w:rsidR="006D16C4">
        <w:t xml:space="preserve"> power to make such</w:t>
      </w:r>
      <w:r>
        <w:t xml:space="preserve"> </w:t>
      </w:r>
      <w:r w:rsidRPr="007752A6">
        <w:t xml:space="preserve">determinations </w:t>
      </w:r>
      <w:r w:rsidR="006D16C4" w:rsidRPr="007752A6">
        <w:t>can be found</w:t>
      </w:r>
      <w:r w:rsidRPr="007752A6">
        <w:t xml:space="preserve"> in </w:t>
      </w:r>
      <w:r w:rsidR="006E4C9A" w:rsidRPr="007752A6">
        <w:t>Chapter</w:t>
      </w:r>
      <w:r w:rsidR="006E4C9A">
        <w:t> </w:t>
      </w:r>
      <w:r w:rsidRPr="007752A6">
        <w:t xml:space="preserve">3 of </w:t>
      </w:r>
      <w:r w:rsidR="006E4C9A">
        <w:t>these explanatory materials</w:t>
      </w:r>
      <w:r>
        <w:t>.</w:t>
      </w:r>
    </w:p>
    <w:p w14:paraId="43075A49" w14:textId="794CA3DE" w:rsidR="003C46EE" w:rsidRDefault="00C815BE" w:rsidP="006F4E8F">
      <w:pPr>
        <w:pStyle w:val="base-text-paragraph"/>
      </w:pPr>
      <w:r>
        <w:t xml:space="preserve">In situations where the Minister has made a determination, </w:t>
      </w:r>
      <w:r w:rsidR="003C46EE">
        <w:t xml:space="preserve">ASIC does not need to </w:t>
      </w:r>
      <w:r w:rsidR="00B3631B">
        <w:t>give the operator a right to be heard</w:t>
      </w:r>
      <w:r w:rsidR="008741FC">
        <w:t xml:space="preserve"> before making a stop order</w:t>
      </w:r>
      <w:r w:rsidR="00B3631B">
        <w:t>.</w:t>
      </w:r>
      <w:r w:rsidR="008741FC">
        <w:t xml:space="preserve"> This differs to the procedure for stop orders made against funds which are not complying, or </w:t>
      </w:r>
      <w:r w:rsidR="00815CDA">
        <w:t xml:space="preserve">are </w:t>
      </w:r>
      <w:r w:rsidR="008741FC">
        <w:t>not likely to comply, with the law</w:t>
      </w:r>
      <w:r w:rsidR="006F4E8F">
        <w:t>.</w:t>
      </w:r>
    </w:p>
    <w:p w14:paraId="1CD37728" w14:textId="5272BBCA" w:rsidR="00AC27CD" w:rsidRDefault="00C95804" w:rsidP="00C95804">
      <w:pPr>
        <w:pStyle w:val="base-text-paragraph"/>
      </w:pPr>
      <w:r>
        <w:t>ASIC</w:t>
      </w:r>
      <w:r w:rsidR="00AC27CD">
        <w:t xml:space="preserve">’s power to </w:t>
      </w:r>
      <w:r>
        <w:t xml:space="preserve">issue </w:t>
      </w:r>
      <w:r w:rsidR="00AC27CD">
        <w:t>stop</w:t>
      </w:r>
      <w:r>
        <w:t xml:space="preserve"> orders when the Minister has made a determination complements ASIC’s power to </w:t>
      </w:r>
      <w:r w:rsidR="00DE5CD0">
        <w:t>reject notices of intentions</w:t>
      </w:r>
      <w:r>
        <w:t xml:space="preserve"> when the Minister has made a determination</w:t>
      </w:r>
      <w:r w:rsidR="009E2684">
        <w:t>.</w:t>
      </w:r>
      <w:r>
        <w:t xml:space="preserve"> </w:t>
      </w:r>
      <w:r>
        <w:rPr>
          <w:rStyle w:val="Referencingstyle"/>
        </w:rPr>
        <w:t>[</w:t>
      </w:r>
      <w:r w:rsidR="00FA08E7">
        <w:rPr>
          <w:rStyle w:val="Referencingstyle"/>
        </w:rPr>
        <w:t>Schedule </w:t>
      </w:r>
      <w:r>
        <w:rPr>
          <w:rStyle w:val="Referencingstyle"/>
        </w:rPr>
        <w:t xml:space="preserve">1, </w:t>
      </w:r>
      <w:r w:rsidR="00FA08E7">
        <w:rPr>
          <w:rStyle w:val="Referencingstyle"/>
        </w:rPr>
        <w:t>item </w:t>
      </w:r>
      <w:r>
        <w:rPr>
          <w:rStyle w:val="Referencingstyle"/>
        </w:rPr>
        <w:t xml:space="preserve">1, </w:t>
      </w:r>
      <w:r w:rsidR="00FA08E7">
        <w:rPr>
          <w:rStyle w:val="Referencingstyle"/>
        </w:rPr>
        <w:t>subsection </w:t>
      </w:r>
      <w:r>
        <w:rPr>
          <w:rStyle w:val="Referencingstyle"/>
        </w:rPr>
        <w:t>1213B(5)]</w:t>
      </w:r>
      <w:r w:rsidR="00AC27CD">
        <w:t xml:space="preserve"> </w:t>
      </w:r>
    </w:p>
    <w:p w14:paraId="0076D908" w14:textId="547BF360" w:rsidR="0058704D" w:rsidRPr="00C95804" w:rsidRDefault="0058704D" w:rsidP="0058704D">
      <w:pPr>
        <w:pStyle w:val="Heading4"/>
      </w:pPr>
      <w:r w:rsidRPr="00C95804">
        <w:t>Interim Stop Orders</w:t>
      </w:r>
    </w:p>
    <w:p w14:paraId="27B475F9" w14:textId="0CD0A40E" w:rsidR="00C46789" w:rsidRDefault="00C46789" w:rsidP="00C46789">
      <w:pPr>
        <w:pStyle w:val="base-text-paragraph"/>
      </w:pPr>
      <w:r>
        <w:t xml:space="preserve">ASIC may make interim stop orders before or during a hearing if it considers that any delay in making a stop order would be prejudicial to the public interest. This is the same as </w:t>
      </w:r>
      <w:r w:rsidR="00F671F4">
        <w:t>the condition</w:t>
      </w:r>
      <w:r w:rsidR="008741FC">
        <w:t xml:space="preserve"> </w:t>
      </w:r>
      <w:r w:rsidR="00F671F4">
        <w:t>for issuing</w:t>
      </w:r>
      <w:r>
        <w:t xml:space="preserve"> interim stop orders under </w:t>
      </w:r>
      <w:r w:rsidR="00FA08E7">
        <w:t>subsection </w:t>
      </w:r>
      <w:r>
        <w:t xml:space="preserve">739(3) of the </w:t>
      </w:r>
      <w:r w:rsidR="00FA08E7">
        <w:t>Corporations </w:t>
      </w:r>
      <w:r>
        <w:t>Act.</w:t>
      </w:r>
      <w:r w:rsidR="002F7447">
        <w:t xml:space="preserve"> In addition, ASIC must also consider that one or more of the grounds for issuing a stop order exist, as set out in </w:t>
      </w:r>
      <w:r w:rsidR="00FA08E7">
        <w:t>subsections </w:t>
      </w:r>
      <w:r w:rsidR="002F7447">
        <w:t>1215(3) (for Australian passport funds) and 1215A(3) (for notified foreign passport funds)</w:t>
      </w:r>
      <w:r w:rsidR="0095575D">
        <w:t>.</w:t>
      </w:r>
      <w:r>
        <w:t xml:space="preserve"> </w:t>
      </w:r>
      <w:r w:rsidR="00C95804">
        <w:rPr>
          <w:rStyle w:val="Referencingstyle"/>
        </w:rPr>
        <w:t>[</w:t>
      </w:r>
      <w:r w:rsidR="00FA08E7">
        <w:rPr>
          <w:rStyle w:val="Referencingstyle"/>
        </w:rPr>
        <w:t>Schedule </w:t>
      </w:r>
      <w:r w:rsidR="00C95804">
        <w:rPr>
          <w:rStyle w:val="Referencingstyle"/>
        </w:rPr>
        <w:t xml:space="preserve">1, </w:t>
      </w:r>
      <w:r w:rsidR="00FA08E7">
        <w:rPr>
          <w:rStyle w:val="Referencingstyle"/>
        </w:rPr>
        <w:t>item </w:t>
      </w:r>
      <w:r w:rsidR="00C95804">
        <w:rPr>
          <w:rStyle w:val="Referencingstyle"/>
        </w:rPr>
        <w:t xml:space="preserve">1, </w:t>
      </w:r>
      <w:r w:rsidR="00FA08E7">
        <w:rPr>
          <w:rStyle w:val="Referencingstyle"/>
        </w:rPr>
        <w:t>subsection </w:t>
      </w:r>
      <w:r w:rsidR="00C95804">
        <w:rPr>
          <w:rStyle w:val="Referencingstyle"/>
        </w:rPr>
        <w:t>1215B(1)]</w:t>
      </w:r>
    </w:p>
    <w:p w14:paraId="16534963" w14:textId="5361CDDE" w:rsidR="0058704D" w:rsidRPr="00EB592C" w:rsidRDefault="0058704D" w:rsidP="00C46789">
      <w:pPr>
        <w:pStyle w:val="base-text-paragraph"/>
      </w:pPr>
      <w:r w:rsidRPr="00EB592C">
        <w:lastRenderedPageBreak/>
        <w:t xml:space="preserve">Interim stop orders may apply to Australian passport funds or </w:t>
      </w:r>
      <w:r w:rsidR="00EB592C" w:rsidRPr="00EB592C">
        <w:t xml:space="preserve">notified </w:t>
      </w:r>
      <w:r w:rsidRPr="00EB592C">
        <w:t>foreign passport funds. It may prohibit the fund from issuing its interests in Australia or require the fund to take or cease to take any other action that ASIC considers reasonably necessary.</w:t>
      </w:r>
      <w:r w:rsidR="00DB36CD" w:rsidRPr="00DB36CD">
        <w:t xml:space="preserve"> </w:t>
      </w:r>
      <w:r w:rsidR="00E5705C">
        <w:t>As explained above, i</w:t>
      </w:r>
      <w:r w:rsidR="00DB36CD" w:rsidRPr="00DB36CD">
        <w:t>t is important to note that the link between such ‘other action’ and the</w:t>
      </w:r>
      <w:r w:rsidR="00DB36CD">
        <w:t xml:space="preserve"> interim</w:t>
      </w:r>
      <w:r w:rsidR="00DB36CD" w:rsidRPr="00DB36CD">
        <w:t xml:space="preserve"> prohibition on issuing interests must be direct and tight in order to justify the imposition of an order to take or cease taking it. </w:t>
      </w:r>
      <w:r w:rsidRPr="00EB592C">
        <w:t>If the fund is an Australian passport fund, the stop order may also prohibit the issue of interests outside of Australia.</w:t>
      </w:r>
    </w:p>
    <w:p w14:paraId="049E4E4F" w14:textId="20AF773F" w:rsidR="0058704D" w:rsidRDefault="0058704D" w:rsidP="00C46789">
      <w:pPr>
        <w:pStyle w:val="base-text-paragraph"/>
      </w:pPr>
      <w:r>
        <w:t xml:space="preserve">The maximum duration of an interim stop order made before a hearing is </w:t>
      </w:r>
      <w:r w:rsidR="00CC00CB">
        <w:t>21 </w:t>
      </w:r>
      <w:r>
        <w:t>days</w:t>
      </w:r>
      <w:r w:rsidR="00C95804">
        <w:t xml:space="preserve"> </w:t>
      </w:r>
      <w:r w:rsidR="00C95804">
        <w:rPr>
          <w:rStyle w:val="Referencingstyle"/>
        </w:rPr>
        <w:t>[</w:t>
      </w:r>
      <w:r w:rsidR="00CC00CB">
        <w:rPr>
          <w:rStyle w:val="Referencingstyle"/>
        </w:rPr>
        <w:t>Schedule </w:t>
      </w:r>
      <w:r w:rsidR="00C95804">
        <w:rPr>
          <w:rStyle w:val="Referencingstyle"/>
        </w:rPr>
        <w:t xml:space="preserve">1, </w:t>
      </w:r>
      <w:r w:rsidR="00CC00CB">
        <w:rPr>
          <w:rStyle w:val="Referencingstyle"/>
        </w:rPr>
        <w:t>item </w:t>
      </w:r>
      <w:r w:rsidR="00C95804">
        <w:rPr>
          <w:rStyle w:val="Referencingstyle"/>
        </w:rPr>
        <w:t xml:space="preserve">1, </w:t>
      </w:r>
      <w:r w:rsidR="00CC00CB">
        <w:rPr>
          <w:rStyle w:val="Referencingstyle"/>
        </w:rPr>
        <w:t>subparagraph </w:t>
      </w:r>
      <w:r w:rsidR="00C95804">
        <w:rPr>
          <w:rStyle w:val="Referencingstyle"/>
        </w:rPr>
        <w:t>1215B(2)(c)</w:t>
      </w:r>
      <w:r w:rsidR="00C57685">
        <w:rPr>
          <w:rStyle w:val="Referencingstyle"/>
        </w:rPr>
        <w:t>(ii)</w:t>
      </w:r>
      <w:r w:rsidR="00C95804">
        <w:rPr>
          <w:rStyle w:val="Referencingstyle"/>
        </w:rPr>
        <w:t>]</w:t>
      </w:r>
      <w:r>
        <w:t>. Stop orders made during a hearing last until the end of the hearing</w:t>
      </w:r>
      <w:r w:rsidR="00105A14">
        <w:t xml:space="preserve"> (</w:t>
      </w:r>
      <w:r>
        <w:t>unless sooner revoked</w:t>
      </w:r>
      <w:r w:rsidR="00105A14">
        <w:t xml:space="preserve">), even if the hearing lasts for more than </w:t>
      </w:r>
      <w:r w:rsidR="00CC00CB">
        <w:t>21 </w:t>
      </w:r>
      <w:r w:rsidR="00105A14">
        <w:t>days</w:t>
      </w:r>
      <w:r w:rsidR="00C95804">
        <w:t xml:space="preserve"> </w:t>
      </w:r>
      <w:r w:rsidR="00C95804">
        <w:rPr>
          <w:rStyle w:val="Referencingstyle"/>
        </w:rPr>
        <w:t>[</w:t>
      </w:r>
      <w:r w:rsidR="00CC00CB">
        <w:rPr>
          <w:rStyle w:val="Referencingstyle"/>
        </w:rPr>
        <w:t>Schedule </w:t>
      </w:r>
      <w:r w:rsidR="00C95804">
        <w:rPr>
          <w:rStyle w:val="Referencingstyle"/>
        </w:rPr>
        <w:t xml:space="preserve">1, </w:t>
      </w:r>
      <w:r w:rsidR="00CC00CB">
        <w:rPr>
          <w:rStyle w:val="Referencingstyle"/>
        </w:rPr>
        <w:t>item </w:t>
      </w:r>
      <w:r w:rsidR="00C95804">
        <w:rPr>
          <w:rStyle w:val="Referencingstyle"/>
        </w:rPr>
        <w:t xml:space="preserve">1, </w:t>
      </w:r>
      <w:r w:rsidR="00CC00CB">
        <w:rPr>
          <w:rStyle w:val="Referencingstyle"/>
        </w:rPr>
        <w:t>subparagraph </w:t>
      </w:r>
      <w:r w:rsidR="00C95804">
        <w:rPr>
          <w:rStyle w:val="Referencingstyle"/>
        </w:rPr>
        <w:t>1215B(</w:t>
      </w:r>
      <w:r w:rsidR="00C57685">
        <w:rPr>
          <w:rStyle w:val="Referencingstyle"/>
        </w:rPr>
        <w:t>2</w:t>
      </w:r>
      <w:r w:rsidR="00C95804">
        <w:rPr>
          <w:rStyle w:val="Referencingstyle"/>
        </w:rPr>
        <w:t>)</w:t>
      </w:r>
      <w:r w:rsidR="00C57685">
        <w:rPr>
          <w:rStyle w:val="Referencingstyle"/>
        </w:rPr>
        <w:t>(c)(i)</w:t>
      </w:r>
      <w:r w:rsidR="00C95804">
        <w:rPr>
          <w:rStyle w:val="Referencingstyle"/>
        </w:rPr>
        <w:t>]</w:t>
      </w:r>
      <w:r w:rsidR="00105A14">
        <w:t>.</w:t>
      </w:r>
    </w:p>
    <w:p w14:paraId="5FA76316" w14:textId="08F48DD0" w:rsidR="0058704D" w:rsidRDefault="0034771F" w:rsidP="00C46789">
      <w:pPr>
        <w:pStyle w:val="base-text-paragraph"/>
      </w:pPr>
      <w:r>
        <w:t xml:space="preserve">ASIC is not required to hold a hearing or give a person </w:t>
      </w:r>
      <w:r w:rsidR="00964F9A">
        <w:t xml:space="preserve">the opportunity </w:t>
      </w:r>
      <w:r>
        <w:t>to be heard before making an interim stop order. This denial of procedural fairness is justified by the temporary nature of the stop order and the need to protect the public against financial loss. There is precedent for ASIC issuing interim stop orders without giving the person a right to be heard (</w:t>
      </w:r>
      <w:r w:rsidR="00CA7FAA">
        <w:t>for example</w:t>
      </w:r>
      <w:r w:rsidR="00CC00CB">
        <w:t>,</w:t>
      </w:r>
      <w:r>
        <w:t xml:space="preserve"> </w:t>
      </w:r>
      <w:r w:rsidR="00CC00CB">
        <w:t>section </w:t>
      </w:r>
      <w:r>
        <w:t xml:space="preserve">739 of the </w:t>
      </w:r>
      <w:r w:rsidR="00CC00CB">
        <w:t>Corporations </w:t>
      </w:r>
      <w:r>
        <w:t>Act) and it has been sanctioned by the Australian Law Reform Commission</w:t>
      </w:r>
      <w:r w:rsidR="00447ED0">
        <w:rPr>
          <w:rStyle w:val="FootnoteReference"/>
        </w:rPr>
        <w:footnoteReference w:id="5"/>
      </w:r>
      <w:r>
        <w:t>.</w:t>
      </w:r>
      <w:r w:rsidR="00FB20C9">
        <w:t xml:space="preserve"> </w:t>
      </w:r>
      <w:r w:rsidR="00C95804">
        <w:rPr>
          <w:rStyle w:val="Referencingstyle"/>
        </w:rPr>
        <w:t>[</w:t>
      </w:r>
      <w:r w:rsidR="00CC00CB">
        <w:rPr>
          <w:rStyle w:val="Referencingstyle"/>
        </w:rPr>
        <w:t>Schedule </w:t>
      </w:r>
      <w:r w:rsidR="00C95804">
        <w:rPr>
          <w:rStyle w:val="Referencingstyle"/>
        </w:rPr>
        <w:t xml:space="preserve">1, </w:t>
      </w:r>
      <w:r w:rsidR="00CC00CB">
        <w:rPr>
          <w:rStyle w:val="Referencingstyle"/>
        </w:rPr>
        <w:t>item </w:t>
      </w:r>
      <w:r w:rsidR="00C95804">
        <w:rPr>
          <w:rStyle w:val="Referencingstyle"/>
        </w:rPr>
        <w:t xml:space="preserve">1, </w:t>
      </w:r>
      <w:r w:rsidR="00CC00CB">
        <w:rPr>
          <w:rStyle w:val="Referencingstyle"/>
        </w:rPr>
        <w:t>paragraph </w:t>
      </w:r>
      <w:r w:rsidR="00C95804">
        <w:rPr>
          <w:rStyle w:val="Referencingstyle"/>
        </w:rPr>
        <w:t>1215B(2)(a)]</w:t>
      </w:r>
    </w:p>
    <w:p w14:paraId="0DE63E32" w14:textId="222BAC47" w:rsidR="00556D78" w:rsidRDefault="00FB20C9" w:rsidP="0034771F">
      <w:pPr>
        <w:pStyle w:val="base-text-paragraph"/>
      </w:pPr>
      <w:r>
        <w:t>Interim stop orders must be in writing and given to the operator of the fund</w:t>
      </w:r>
      <w:r w:rsidR="00FE1CE1">
        <w:t xml:space="preserve"> as soon as reasonably practicable after </w:t>
      </w:r>
      <w:r w:rsidR="009E2684">
        <w:t>they are</w:t>
      </w:r>
      <w:r w:rsidR="00FE1CE1">
        <w:t xml:space="preserve"> made</w:t>
      </w:r>
      <w:r w:rsidR="00CC00CB">
        <w:t>.</w:t>
      </w:r>
      <w:r w:rsidR="00FE1CE1">
        <w:t xml:space="preserve"> </w:t>
      </w:r>
      <w:r w:rsidR="00FE1CE1">
        <w:rPr>
          <w:rStyle w:val="Referencingstyle"/>
        </w:rPr>
        <w:t>[</w:t>
      </w:r>
      <w:r w:rsidR="00CC00CB">
        <w:rPr>
          <w:rStyle w:val="Referencingstyle"/>
        </w:rPr>
        <w:t>Schedule </w:t>
      </w:r>
      <w:r w:rsidR="00FE1CE1">
        <w:rPr>
          <w:rStyle w:val="Referencingstyle"/>
        </w:rPr>
        <w:t xml:space="preserve">1, </w:t>
      </w:r>
      <w:r w:rsidR="00CC00CB">
        <w:rPr>
          <w:rStyle w:val="Referencingstyle"/>
        </w:rPr>
        <w:t>item </w:t>
      </w:r>
      <w:r w:rsidR="00FE1CE1">
        <w:rPr>
          <w:rStyle w:val="Referencingstyle"/>
        </w:rPr>
        <w:t xml:space="preserve">1, </w:t>
      </w:r>
      <w:r w:rsidR="00CC00CB">
        <w:rPr>
          <w:rStyle w:val="Referencingstyle"/>
        </w:rPr>
        <w:t>paragraph </w:t>
      </w:r>
      <w:r w:rsidR="00FE1CE1">
        <w:rPr>
          <w:rStyle w:val="Referencingstyle"/>
        </w:rPr>
        <w:t>1215B(2)(b) and subsection</w:t>
      </w:r>
      <w:r w:rsidR="00CC00CB">
        <w:rPr>
          <w:rStyle w:val="Referencingstyle"/>
        </w:rPr>
        <w:t> </w:t>
      </w:r>
      <w:r w:rsidR="00FE1CE1">
        <w:rPr>
          <w:rStyle w:val="Referencingstyle"/>
        </w:rPr>
        <w:t>1215B(</w:t>
      </w:r>
      <w:r w:rsidR="00C57685">
        <w:rPr>
          <w:rStyle w:val="Referencingstyle"/>
        </w:rPr>
        <w:t>3</w:t>
      </w:r>
      <w:r w:rsidR="00FE1CE1">
        <w:rPr>
          <w:rStyle w:val="Referencingstyle"/>
        </w:rPr>
        <w:t>)]</w:t>
      </w:r>
    </w:p>
    <w:p w14:paraId="38B1CF4D" w14:textId="0B6ED412" w:rsidR="00616EF2" w:rsidRDefault="00616EF2" w:rsidP="00C95804">
      <w:pPr>
        <w:pStyle w:val="Heading4"/>
        <w:rPr>
          <w:b w:val="0"/>
        </w:rPr>
      </w:pPr>
      <w:r>
        <w:rPr>
          <w:b w:val="0"/>
        </w:rPr>
        <w:t>Revocation of stop orders</w:t>
      </w:r>
    </w:p>
    <w:p w14:paraId="6FEDA8BA" w14:textId="56163E9E" w:rsidR="00616EF2" w:rsidRDefault="00616EF2" w:rsidP="00616EF2">
      <w:pPr>
        <w:pStyle w:val="base-text-paragraph"/>
      </w:pPr>
      <w:r>
        <w:t>Operators of Australian and notified foreign passport funds</w:t>
      </w:r>
      <w:r w:rsidR="00BF2615">
        <w:t xml:space="preserve"> may apply to ASIC to have a stop order removed because the grounds on which it was issued no longer exist. </w:t>
      </w:r>
      <w:r w:rsidR="00BF2615">
        <w:rPr>
          <w:rStyle w:val="Referencingstyle"/>
        </w:rPr>
        <w:t>[</w:t>
      </w:r>
      <w:r w:rsidR="00CC00CB">
        <w:rPr>
          <w:rStyle w:val="Referencingstyle"/>
        </w:rPr>
        <w:t>Schedule </w:t>
      </w:r>
      <w:r w:rsidR="00BF2615">
        <w:rPr>
          <w:rStyle w:val="Referencingstyle"/>
        </w:rPr>
        <w:t xml:space="preserve">1, </w:t>
      </w:r>
      <w:r w:rsidR="00CC00CB">
        <w:rPr>
          <w:rStyle w:val="Referencingstyle"/>
        </w:rPr>
        <w:t>item </w:t>
      </w:r>
      <w:r w:rsidR="00BF2615">
        <w:rPr>
          <w:rStyle w:val="Referencingstyle"/>
        </w:rPr>
        <w:t xml:space="preserve">1, </w:t>
      </w:r>
      <w:r w:rsidR="00CC00CB">
        <w:rPr>
          <w:rStyle w:val="Referencingstyle"/>
        </w:rPr>
        <w:t>subsections </w:t>
      </w:r>
      <w:r w:rsidR="00BF2615">
        <w:rPr>
          <w:rStyle w:val="Referencingstyle"/>
        </w:rPr>
        <w:t>1215C(1) and (2)]</w:t>
      </w:r>
      <w:r w:rsidR="00BF2615">
        <w:t xml:space="preserve"> </w:t>
      </w:r>
    </w:p>
    <w:p w14:paraId="60CE21D4" w14:textId="04A097CC" w:rsidR="00BF2615" w:rsidRDefault="00BF2615" w:rsidP="00616EF2">
      <w:pPr>
        <w:pStyle w:val="base-text-paragraph"/>
      </w:pPr>
      <w:r>
        <w:t xml:space="preserve">Any application must be in the form prescribed by ASIC and must explain why the operator believes that the grounds for the stop order no longer exist. </w:t>
      </w:r>
      <w:r>
        <w:rPr>
          <w:rStyle w:val="Referencingstyle"/>
        </w:rPr>
        <w:t>[</w:t>
      </w:r>
      <w:r w:rsidR="00CC00CB">
        <w:rPr>
          <w:rStyle w:val="Referencingstyle"/>
        </w:rPr>
        <w:t>Schedule </w:t>
      </w:r>
      <w:r>
        <w:rPr>
          <w:rStyle w:val="Referencingstyle"/>
        </w:rPr>
        <w:t xml:space="preserve">1, </w:t>
      </w:r>
      <w:r w:rsidR="00CC00CB">
        <w:rPr>
          <w:rStyle w:val="Referencingstyle"/>
        </w:rPr>
        <w:t>item </w:t>
      </w:r>
      <w:r>
        <w:rPr>
          <w:rStyle w:val="Referencingstyle"/>
        </w:rPr>
        <w:t xml:space="preserve">1, </w:t>
      </w:r>
      <w:r w:rsidR="00CC00CB">
        <w:rPr>
          <w:rStyle w:val="Referencingstyle"/>
        </w:rPr>
        <w:t>subsection </w:t>
      </w:r>
      <w:r>
        <w:rPr>
          <w:rStyle w:val="Referencingstyle"/>
        </w:rPr>
        <w:t>1215C(3)]</w:t>
      </w:r>
      <w:r>
        <w:t xml:space="preserve"> </w:t>
      </w:r>
    </w:p>
    <w:p w14:paraId="0BD028A0" w14:textId="3466CC22" w:rsidR="00BF2615" w:rsidRPr="00616EF2" w:rsidRDefault="00BF2615" w:rsidP="00616EF2">
      <w:pPr>
        <w:pStyle w:val="base-text-paragraph"/>
      </w:pPr>
      <w:r>
        <w:t xml:space="preserve">If ASIC on considering an application comes to the opinion that the grounds for the stop order no longer exist it must revoke the stop </w:t>
      </w:r>
      <w:r>
        <w:lastRenderedPageBreak/>
        <w:t xml:space="preserve">order. It is also made clear that ASIC may decide to vary or revoke a stop </w:t>
      </w:r>
      <w:r w:rsidRPr="007752A6">
        <w:t xml:space="preserve">order for another reason, as explained in </w:t>
      </w:r>
      <w:r w:rsidR="00CC00CB" w:rsidRPr="007752A6">
        <w:t>paragraph</w:t>
      </w:r>
      <w:r w:rsidR="00CC00CB">
        <w:t> </w:t>
      </w:r>
      <w:r w:rsidRPr="007752A6">
        <w:t>5.</w:t>
      </w:r>
      <w:r w:rsidR="007645E0" w:rsidRPr="007752A6">
        <w:t>29</w:t>
      </w:r>
      <w:r w:rsidRPr="007752A6">
        <w:t xml:space="preserve"> above. </w:t>
      </w:r>
      <w:r w:rsidRPr="007752A6">
        <w:rPr>
          <w:rStyle w:val="Referencingstyle"/>
        </w:rPr>
        <w:t>[</w:t>
      </w:r>
      <w:r w:rsidR="00CC00CB" w:rsidRPr="007752A6">
        <w:rPr>
          <w:rStyle w:val="Referencingstyle"/>
        </w:rPr>
        <w:t>Schedule</w:t>
      </w:r>
      <w:r w:rsidR="00CC00CB">
        <w:rPr>
          <w:rStyle w:val="Referencingstyle"/>
        </w:rPr>
        <w:t> </w:t>
      </w:r>
      <w:r w:rsidRPr="007752A6">
        <w:rPr>
          <w:rStyle w:val="Referencingstyle"/>
        </w:rPr>
        <w:t>1,</w:t>
      </w:r>
      <w:r>
        <w:rPr>
          <w:rStyle w:val="Referencingstyle"/>
        </w:rPr>
        <w:t xml:space="preserve"> </w:t>
      </w:r>
      <w:r w:rsidR="00CC00CB">
        <w:rPr>
          <w:rStyle w:val="Referencingstyle"/>
        </w:rPr>
        <w:t>item </w:t>
      </w:r>
      <w:r>
        <w:rPr>
          <w:rStyle w:val="Referencingstyle"/>
        </w:rPr>
        <w:t xml:space="preserve">1, </w:t>
      </w:r>
      <w:r w:rsidR="00CC00CB">
        <w:rPr>
          <w:rStyle w:val="Referencingstyle"/>
        </w:rPr>
        <w:t>subsections </w:t>
      </w:r>
      <w:r>
        <w:rPr>
          <w:rStyle w:val="Referencingstyle"/>
        </w:rPr>
        <w:t>1215C(4) and (5)]</w:t>
      </w:r>
      <w:r>
        <w:t xml:space="preserve"> </w:t>
      </w:r>
    </w:p>
    <w:p w14:paraId="09DDC052" w14:textId="77777777" w:rsidR="00C95804" w:rsidRDefault="00C95804" w:rsidP="00C95804">
      <w:pPr>
        <w:pStyle w:val="Heading4"/>
        <w:rPr>
          <w:b w:val="0"/>
        </w:rPr>
      </w:pPr>
      <w:r>
        <w:rPr>
          <w:b w:val="0"/>
        </w:rPr>
        <w:t>Compliance with Stop Orders</w:t>
      </w:r>
    </w:p>
    <w:p w14:paraId="2E1F7816" w14:textId="27EDBC41" w:rsidR="009675AC" w:rsidRDefault="009675AC" w:rsidP="00C95804">
      <w:pPr>
        <w:pStyle w:val="base-text-paragraph"/>
      </w:pPr>
      <w:r>
        <w:t xml:space="preserve">If the operator of a fund receives a notice from ASIC, the operator must comply with the stop order </w:t>
      </w:r>
      <w:r>
        <w:rPr>
          <w:rStyle w:val="Referencingstyle"/>
        </w:rPr>
        <w:t>[</w:t>
      </w:r>
      <w:r w:rsidR="00CC00CB">
        <w:rPr>
          <w:rStyle w:val="Referencingstyle"/>
        </w:rPr>
        <w:t>Schedule </w:t>
      </w:r>
      <w:r>
        <w:rPr>
          <w:rStyle w:val="Referencingstyle"/>
        </w:rPr>
        <w:t xml:space="preserve">1, </w:t>
      </w:r>
      <w:r w:rsidR="00CC00CB">
        <w:rPr>
          <w:rStyle w:val="Referencingstyle"/>
        </w:rPr>
        <w:t>item </w:t>
      </w:r>
      <w:r>
        <w:rPr>
          <w:rStyle w:val="Referencingstyle"/>
        </w:rPr>
        <w:t xml:space="preserve">1, </w:t>
      </w:r>
      <w:r w:rsidR="00CC00CB">
        <w:rPr>
          <w:rStyle w:val="Referencingstyle"/>
        </w:rPr>
        <w:t>subsections </w:t>
      </w:r>
      <w:r>
        <w:rPr>
          <w:rStyle w:val="Referencingstyle"/>
        </w:rPr>
        <w:t>121</w:t>
      </w:r>
      <w:r w:rsidR="004B68A1">
        <w:rPr>
          <w:rStyle w:val="Referencingstyle"/>
        </w:rPr>
        <w:t>5</w:t>
      </w:r>
      <w:r w:rsidR="00BF2615">
        <w:rPr>
          <w:rStyle w:val="Referencingstyle"/>
        </w:rPr>
        <w:t>D</w:t>
      </w:r>
      <w:r>
        <w:rPr>
          <w:rStyle w:val="Referencingstyle"/>
        </w:rPr>
        <w:t>(1) and (2)]</w:t>
      </w:r>
      <w:r>
        <w:t xml:space="preserve">. Failure to comply is an offence attracting a penalty of </w:t>
      </w:r>
      <w:r w:rsidR="00A54C5F">
        <w:t>100 </w:t>
      </w:r>
      <w:r>
        <w:t xml:space="preserve">penalty units or imprisonment for </w:t>
      </w:r>
      <w:r w:rsidR="00CC00CB">
        <w:t>two </w:t>
      </w:r>
      <w:r>
        <w:t xml:space="preserve">years or both </w:t>
      </w:r>
      <w:r>
        <w:rPr>
          <w:rStyle w:val="Referencingstyle"/>
        </w:rPr>
        <w:t>[</w:t>
      </w:r>
      <w:r w:rsidR="00CC00CB">
        <w:rPr>
          <w:rStyle w:val="Referencingstyle"/>
        </w:rPr>
        <w:t>Schedule </w:t>
      </w:r>
      <w:r>
        <w:rPr>
          <w:rStyle w:val="Referencingstyle"/>
        </w:rPr>
        <w:t xml:space="preserve">2, </w:t>
      </w:r>
      <w:r w:rsidR="00CC00CB">
        <w:rPr>
          <w:rStyle w:val="Referencingstyle"/>
        </w:rPr>
        <w:t>item </w:t>
      </w:r>
      <w:r>
        <w:rPr>
          <w:rStyle w:val="Referencingstyle"/>
        </w:rPr>
        <w:t>2</w:t>
      </w:r>
      <w:r w:rsidR="00D04820">
        <w:rPr>
          <w:rStyle w:val="Referencingstyle"/>
        </w:rPr>
        <w:t>5</w:t>
      </w:r>
      <w:r>
        <w:rPr>
          <w:rStyle w:val="Referencingstyle"/>
        </w:rPr>
        <w:t xml:space="preserve">, table </w:t>
      </w:r>
      <w:r w:rsidR="00CC00CB">
        <w:rPr>
          <w:rStyle w:val="Referencingstyle"/>
        </w:rPr>
        <w:t>row </w:t>
      </w:r>
      <w:r>
        <w:rPr>
          <w:rStyle w:val="Referencingstyle"/>
        </w:rPr>
        <w:t>328</w:t>
      </w:r>
      <w:r w:rsidR="008B5B48">
        <w:rPr>
          <w:rStyle w:val="Referencingstyle"/>
        </w:rPr>
        <w:t>B</w:t>
      </w:r>
      <w:r>
        <w:rPr>
          <w:rStyle w:val="Referencingstyle"/>
        </w:rPr>
        <w:t>]</w:t>
      </w:r>
      <w:r>
        <w:t>.</w:t>
      </w:r>
    </w:p>
    <w:p w14:paraId="6184E7E1" w14:textId="11BB70E2" w:rsidR="00AE225A" w:rsidRDefault="009675AC" w:rsidP="00AE225A">
      <w:pPr>
        <w:pStyle w:val="base-text-paragraph"/>
      </w:pPr>
      <w:r>
        <w:t>T</w:t>
      </w:r>
      <w:r w:rsidR="00C95804">
        <w:t xml:space="preserve">he operator is </w:t>
      </w:r>
      <w:r>
        <w:t xml:space="preserve">also </w:t>
      </w:r>
      <w:r w:rsidR="00C95804">
        <w:t xml:space="preserve">required to </w:t>
      </w:r>
      <w:r>
        <w:t xml:space="preserve">take reasonable steps to </w:t>
      </w:r>
      <w:r w:rsidR="00AE225A">
        <w:t>bring the stop order to the att</w:t>
      </w:r>
      <w:r w:rsidR="00C95804">
        <w:t>ention of any other person who might engage in conduct that is contrary to the order</w:t>
      </w:r>
      <w:r w:rsidR="00AE225A">
        <w:t xml:space="preserve"> </w:t>
      </w:r>
      <w:r w:rsidR="00AE225A">
        <w:rPr>
          <w:rStyle w:val="Referencingstyle"/>
        </w:rPr>
        <w:t>[</w:t>
      </w:r>
      <w:r w:rsidR="00CC00CB">
        <w:rPr>
          <w:rStyle w:val="Referencingstyle"/>
        </w:rPr>
        <w:t>Schedule </w:t>
      </w:r>
      <w:r w:rsidR="00AE225A">
        <w:rPr>
          <w:rStyle w:val="Referencingstyle"/>
        </w:rPr>
        <w:t xml:space="preserve">1, </w:t>
      </w:r>
      <w:r w:rsidR="00CC00CB">
        <w:rPr>
          <w:rStyle w:val="Referencingstyle"/>
        </w:rPr>
        <w:t>item </w:t>
      </w:r>
      <w:r w:rsidR="00AE225A">
        <w:rPr>
          <w:rStyle w:val="Referencingstyle"/>
        </w:rPr>
        <w:t xml:space="preserve">1, </w:t>
      </w:r>
      <w:r w:rsidR="00CC00CB">
        <w:rPr>
          <w:rStyle w:val="Referencingstyle"/>
        </w:rPr>
        <w:t>subsection </w:t>
      </w:r>
      <w:r w:rsidR="00AE225A">
        <w:rPr>
          <w:rStyle w:val="Referencingstyle"/>
        </w:rPr>
        <w:t>1251</w:t>
      </w:r>
      <w:r w:rsidR="00BF2615">
        <w:rPr>
          <w:rStyle w:val="Referencingstyle"/>
        </w:rPr>
        <w:t>D</w:t>
      </w:r>
      <w:r w:rsidR="00AE225A">
        <w:rPr>
          <w:rStyle w:val="Referencingstyle"/>
        </w:rPr>
        <w:t>(3)]</w:t>
      </w:r>
      <w:r w:rsidR="00C95804">
        <w:t xml:space="preserve">. Failure to do so is an offence, punishable by a fine of up to </w:t>
      </w:r>
      <w:r w:rsidR="00CC00CB">
        <w:t>100 </w:t>
      </w:r>
      <w:r w:rsidR="00C95804">
        <w:t>penalty unit</w:t>
      </w:r>
      <w:r w:rsidR="00AE225A">
        <w:t xml:space="preserve">s or imprisonment for </w:t>
      </w:r>
      <w:r w:rsidR="00CC00CB">
        <w:t>two </w:t>
      </w:r>
      <w:r w:rsidR="00AE225A">
        <w:t>years</w:t>
      </w:r>
      <w:r w:rsidR="00C95804">
        <w:t xml:space="preserve"> or both </w:t>
      </w:r>
      <w:r w:rsidR="00AE225A">
        <w:rPr>
          <w:rStyle w:val="Referencingstyle"/>
        </w:rPr>
        <w:t>[</w:t>
      </w:r>
      <w:r w:rsidR="00CC00CB">
        <w:rPr>
          <w:rStyle w:val="Referencingstyle"/>
        </w:rPr>
        <w:t>Schedule </w:t>
      </w:r>
      <w:r w:rsidR="00AE225A">
        <w:rPr>
          <w:rStyle w:val="Referencingstyle"/>
        </w:rPr>
        <w:t xml:space="preserve">2, </w:t>
      </w:r>
      <w:r w:rsidR="00CC00CB">
        <w:rPr>
          <w:rStyle w:val="Referencingstyle"/>
        </w:rPr>
        <w:t>item </w:t>
      </w:r>
      <w:r w:rsidR="00AE225A">
        <w:rPr>
          <w:rStyle w:val="Referencingstyle"/>
        </w:rPr>
        <w:t>2</w:t>
      </w:r>
      <w:r w:rsidR="00D04820">
        <w:rPr>
          <w:rStyle w:val="Referencingstyle"/>
        </w:rPr>
        <w:t>5</w:t>
      </w:r>
      <w:r w:rsidR="00AE225A">
        <w:rPr>
          <w:rStyle w:val="Referencingstyle"/>
        </w:rPr>
        <w:t xml:space="preserve">, table </w:t>
      </w:r>
      <w:r w:rsidR="00CC00CB">
        <w:rPr>
          <w:rStyle w:val="Referencingstyle"/>
        </w:rPr>
        <w:t>row </w:t>
      </w:r>
      <w:r w:rsidR="00AE225A">
        <w:rPr>
          <w:rStyle w:val="Referencingstyle"/>
        </w:rPr>
        <w:t>328</w:t>
      </w:r>
      <w:r w:rsidR="008B5B48">
        <w:rPr>
          <w:rStyle w:val="Referencingstyle"/>
        </w:rPr>
        <w:t>C</w:t>
      </w:r>
      <w:r w:rsidR="00AE225A">
        <w:rPr>
          <w:rStyle w:val="Referencingstyle"/>
        </w:rPr>
        <w:t>]</w:t>
      </w:r>
      <w:r w:rsidR="00AE225A">
        <w:t xml:space="preserve">. If the other person breaches the stop order after being given notice of it, they also commit </w:t>
      </w:r>
      <w:r w:rsidR="00743C95">
        <w:t xml:space="preserve">an </w:t>
      </w:r>
      <w:r w:rsidR="00AE225A">
        <w:t xml:space="preserve">offence, punishable by a fine of up to </w:t>
      </w:r>
      <w:r w:rsidR="00CC00CB">
        <w:t>100 </w:t>
      </w:r>
      <w:r w:rsidR="00AE225A">
        <w:t xml:space="preserve">penalty units or imprisonment for </w:t>
      </w:r>
      <w:r w:rsidR="00CC00CB">
        <w:t>two </w:t>
      </w:r>
      <w:r w:rsidR="00AE225A">
        <w:t xml:space="preserve">years or both </w:t>
      </w:r>
      <w:r w:rsidR="00AE225A">
        <w:rPr>
          <w:rStyle w:val="Referencingstyle"/>
        </w:rPr>
        <w:t>[</w:t>
      </w:r>
      <w:r w:rsidR="00CC00CB">
        <w:rPr>
          <w:rStyle w:val="Referencingstyle"/>
        </w:rPr>
        <w:t>Schedule </w:t>
      </w:r>
      <w:r w:rsidR="003D2047">
        <w:rPr>
          <w:rStyle w:val="Referencingstyle"/>
        </w:rPr>
        <w:t xml:space="preserve">1, </w:t>
      </w:r>
      <w:r w:rsidR="00CC00CB">
        <w:rPr>
          <w:rStyle w:val="Referencingstyle"/>
        </w:rPr>
        <w:t>item </w:t>
      </w:r>
      <w:r w:rsidR="003D2047">
        <w:rPr>
          <w:rStyle w:val="Referencingstyle"/>
        </w:rPr>
        <w:t xml:space="preserve">1, </w:t>
      </w:r>
      <w:r w:rsidR="00CC00CB">
        <w:rPr>
          <w:rStyle w:val="Referencingstyle"/>
        </w:rPr>
        <w:t>subsection </w:t>
      </w:r>
      <w:r w:rsidR="003D2047">
        <w:rPr>
          <w:rStyle w:val="Referencingstyle"/>
        </w:rPr>
        <w:t xml:space="preserve">1215D(4) and </w:t>
      </w:r>
      <w:r w:rsidR="00CC00CB">
        <w:rPr>
          <w:rStyle w:val="Referencingstyle"/>
        </w:rPr>
        <w:t>Schedule </w:t>
      </w:r>
      <w:r w:rsidR="00AE225A">
        <w:rPr>
          <w:rStyle w:val="Referencingstyle"/>
        </w:rPr>
        <w:t xml:space="preserve">2, </w:t>
      </w:r>
      <w:r w:rsidR="00CC00CB">
        <w:rPr>
          <w:rStyle w:val="Referencingstyle"/>
        </w:rPr>
        <w:t>item </w:t>
      </w:r>
      <w:r w:rsidR="00AE225A">
        <w:rPr>
          <w:rStyle w:val="Referencingstyle"/>
        </w:rPr>
        <w:t>2</w:t>
      </w:r>
      <w:r w:rsidR="00D04820">
        <w:rPr>
          <w:rStyle w:val="Referencingstyle"/>
        </w:rPr>
        <w:t>5</w:t>
      </w:r>
      <w:r w:rsidR="00AE225A">
        <w:rPr>
          <w:rStyle w:val="Referencingstyle"/>
        </w:rPr>
        <w:t xml:space="preserve">, table </w:t>
      </w:r>
      <w:r w:rsidR="00CC00CB">
        <w:rPr>
          <w:rStyle w:val="Referencingstyle"/>
        </w:rPr>
        <w:t>row </w:t>
      </w:r>
      <w:r w:rsidR="00AE225A">
        <w:rPr>
          <w:rStyle w:val="Referencingstyle"/>
        </w:rPr>
        <w:t>328</w:t>
      </w:r>
      <w:r w:rsidR="008B5B48">
        <w:rPr>
          <w:rStyle w:val="Referencingstyle"/>
        </w:rPr>
        <w:t>D</w:t>
      </w:r>
      <w:r w:rsidR="00AE225A">
        <w:rPr>
          <w:rStyle w:val="Referencingstyle"/>
        </w:rPr>
        <w:t>]</w:t>
      </w:r>
      <w:r w:rsidR="00743C95">
        <w:rPr>
          <w:rStyle w:val="Referencingstyle"/>
          <w:b w:val="0"/>
          <w:i w:val="0"/>
        </w:rPr>
        <w:t>.</w:t>
      </w:r>
    </w:p>
    <w:p w14:paraId="7F0CCD79" w14:textId="77777777" w:rsidR="0025601E" w:rsidRDefault="0025601E" w:rsidP="0025601E">
      <w:pPr>
        <w:pStyle w:val="Heading2"/>
      </w:pPr>
      <w:r>
        <w:t>Consequential amendments</w:t>
      </w:r>
    </w:p>
    <w:p w14:paraId="154D684C" w14:textId="6AD1493E" w:rsidR="00275208" w:rsidRPr="00275208" w:rsidRDefault="00275208" w:rsidP="00275208">
      <w:pPr>
        <w:pStyle w:val="Heading4"/>
      </w:pPr>
      <w:r>
        <w:t>Extension of licensing conditions, breach reporting and banning orders</w:t>
      </w:r>
    </w:p>
    <w:p w14:paraId="2597474F" w14:textId="446F53BA" w:rsidR="008A2102" w:rsidRPr="008A2102" w:rsidRDefault="008A2102" w:rsidP="008A2102">
      <w:pPr>
        <w:pStyle w:val="base-text-paragraph"/>
        <w:rPr>
          <w:rStyle w:val="Referencingstyle"/>
          <w:b w:val="0"/>
          <w:i w:val="0"/>
          <w:sz w:val="22"/>
        </w:rPr>
      </w:pPr>
      <w:r>
        <w:t>Consequential amendments have been made to extend the licen</w:t>
      </w:r>
      <w:r w:rsidR="005C3574">
        <w:t>s</w:t>
      </w:r>
      <w:r>
        <w:t xml:space="preserve">ing conditions and breach reporting requirements </w:t>
      </w:r>
      <w:r w:rsidR="00393B44">
        <w:t xml:space="preserve">applying to Australian financial services licensees </w:t>
      </w:r>
      <w:r>
        <w:t>to include compliance with the laws of each host economy for the fund and the Passport Rules for this jurisdiction. This also has the effect of extending ASIC’s exi</w:t>
      </w:r>
      <w:r w:rsidR="003610ED">
        <w:t>s</w:t>
      </w:r>
      <w:r>
        <w:t>ting power to ban a person for non</w:t>
      </w:r>
      <w:r w:rsidR="00A54C5F">
        <w:noBreakHyphen/>
      </w:r>
      <w:r>
        <w:t>compliance with the licen</w:t>
      </w:r>
      <w:r w:rsidR="00C14241">
        <w:t>s</w:t>
      </w:r>
      <w:r>
        <w:t xml:space="preserve">ing obligations or the financial services law. </w:t>
      </w:r>
      <w:r>
        <w:rPr>
          <w:rStyle w:val="Referencingstyle"/>
        </w:rPr>
        <w:t>[</w:t>
      </w:r>
      <w:r w:rsidR="00A54C5F">
        <w:rPr>
          <w:rStyle w:val="Referencingstyle"/>
        </w:rPr>
        <w:t>Schedule </w:t>
      </w:r>
      <w:r>
        <w:rPr>
          <w:rStyle w:val="Referencingstyle"/>
        </w:rPr>
        <w:t xml:space="preserve">2, </w:t>
      </w:r>
      <w:r w:rsidR="00A54C5F">
        <w:rPr>
          <w:rStyle w:val="Referencingstyle"/>
        </w:rPr>
        <w:t>items </w:t>
      </w:r>
      <w:r>
        <w:rPr>
          <w:rStyle w:val="Referencingstyle"/>
        </w:rPr>
        <w:t xml:space="preserve">14 to 16, </w:t>
      </w:r>
      <w:r w:rsidR="00A54C5F">
        <w:rPr>
          <w:rStyle w:val="Referencingstyle"/>
        </w:rPr>
        <w:t>paragraph </w:t>
      </w:r>
      <w:r>
        <w:rPr>
          <w:rStyle w:val="Referencingstyle"/>
        </w:rPr>
        <w:t xml:space="preserve">761A(ba), </w:t>
      </w:r>
      <w:r w:rsidR="00A54C5F">
        <w:rPr>
          <w:rStyle w:val="Referencingstyle"/>
        </w:rPr>
        <w:t>paragraph </w:t>
      </w:r>
      <w:r>
        <w:rPr>
          <w:rStyle w:val="Referencingstyle"/>
        </w:rPr>
        <w:t>912A(1)(cb)</w:t>
      </w:r>
      <w:r w:rsidRPr="008A2102">
        <w:rPr>
          <w:rStyle w:val="Referencingstyle"/>
        </w:rPr>
        <w:t xml:space="preserve"> </w:t>
      </w:r>
      <w:r>
        <w:rPr>
          <w:rStyle w:val="Referencingstyle"/>
        </w:rPr>
        <w:t xml:space="preserve">and </w:t>
      </w:r>
      <w:r w:rsidR="00A54C5F">
        <w:rPr>
          <w:rStyle w:val="Referencingstyle"/>
        </w:rPr>
        <w:t>subparagraph </w:t>
      </w:r>
      <w:r>
        <w:rPr>
          <w:rStyle w:val="Referencingstyle"/>
        </w:rPr>
        <w:t>912D(1)(a)(ii)]</w:t>
      </w:r>
    </w:p>
    <w:p w14:paraId="25BBACE3" w14:textId="061A7CFC" w:rsidR="008A2102" w:rsidRDefault="008A2102" w:rsidP="008A2102">
      <w:pPr>
        <w:pStyle w:val="base-text-paragraph"/>
      </w:pPr>
      <w:r>
        <w:t>The new law gives ASIC the power to ban an operator or person connected with an Australian passport</w:t>
      </w:r>
      <w:r w:rsidR="00743C95">
        <w:t xml:space="preserve"> fund if the host regulator is </w:t>
      </w:r>
      <w:r>
        <w:t>not of the opinion that the person or fund c</w:t>
      </w:r>
      <w:r w:rsidR="00743C95">
        <w:t>omplies, or is likely to comply</w:t>
      </w:r>
      <w:r>
        <w:t xml:space="preserve"> with the laws of the host economy. The host regulator must notify ASIC of its concern in writing. </w:t>
      </w:r>
      <w:r>
        <w:rPr>
          <w:rStyle w:val="Referencingstyle"/>
        </w:rPr>
        <w:t>[</w:t>
      </w:r>
      <w:r w:rsidR="00A54C5F">
        <w:rPr>
          <w:rStyle w:val="Referencingstyle"/>
        </w:rPr>
        <w:t>Schedule </w:t>
      </w:r>
      <w:r>
        <w:rPr>
          <w:rStyle w:val="Referencingstyle"/>
        </w:rPr>
        <w:t xml:space="preserve">2, </w:t>
      </w:r>
      <w:r w:rsidR="00A54C5F">
        <w:rPr>
          <w:rStyle w:val="Referencingstyle"/>
        </w:rPr>
        <w:t>item </w:t>
      </w:r>
      <w:r>
        <w:rPr>
          <w:rStyle w:val="Referencingstyle"/>
        </w:rPr>
        <w:t xml:space="preserve">18, </w:t>
      </w:r>
      <w:r w:rsidR="00F96CE7" w:rsidRPr="00263C59">
        <w:rPr>
          <w:rStyle w:val="Referencingstyle"/>
        </w:rPr>
        <w:t>sub</w:t>
      </w:r>
      <w:r w:rsidR="00A54C5F" w:rsidRPr="00263C59">
        <w:rPr>
          <w:rStyle w:val="Referencingstyle"/>
        </w:rPr>
        <w:t>paragraph </w:t>
      </w:r>
      <w:r w:rsidRPr="00263C59">
        <w:rPr>
          <w:rStyle w:val="Referencingstyle"/>
        </w:rPr>
        <w:t>920A(1)(i)</w:t>
      </w:r>
      <w:r w:rsidR="00895516" w:rsidRPr="00263C59">
        <w:rPr>
          <w:rStyle w:val="Referencingstyle"/>
        </w:rPr>
        <w:t>(i)</w:t>
      </w:r>
      <w:r w:rsidRPr="00263C59">
        <w:rPr>
          <w:rStyle w:val="Referencingstyle"/>
        </w:rPr>
        <w:t>]</w:t>
      </w:r>
    </w:p>
    <w:p w14:paraId="7038AD39" w14:textId="60D5AB7A" w:rsidR="008A2102" w:rsidRDefault="008A2102" w:rsidP="008A2102">
      <w:pPr>
        <w:pStyle w:val="base-text-paragraph"/>
      </w:pPr>
      <w:r>
        <w:t>Before banning a person</w:t>
      </w:r>
      <w:r w:rsidR="00275208">
        <w:t xml:space="preserve"> because of the host regulator’s concern,</w:t>
      </w:r>
      <w:r>
        <w:t xml:space="preserve"> ASIC must consider the potential impact of the failure, or potential failure to comply on members and potential members of the fund. This is in addition to the </w:t>
      </w:r>
      <w:r w:rsidR="00275208">
        <w:t xml:space="preserve">usual limitations on </w:t>
      </w:r>
      <w:r>
        <w:t>ASIC</w:t>
      </w:r>
      <w:r w:rsidR="00275208">
        <w:t>’s power to make</w:t>
      </w:r>
      <w:r>
        <w:t xml:space="preserve"> </w:t>
      </w:r>
      <w:r w:rsidR="00275208" w:rsidRPr="00C31377">
        <w:t xml:space="preserve">a banning order, including that ASIC must form the view that </w:t>
      </w:r>
      <w:r w:rsidR="00964F9A">
        <w:t xml:space="preserve">the </w:t>
      </w:r>
      <w:r w:rsidR="00275208" w:rsidRPr="00C31377">
        <w:t xml:space="preserve">public interest </w:t>
      </w:r>
      <w:r w:rsidR="00964F9A">
        <w:t>in</w:t>
      </w:r>
      <w:r w:rsidR="00964F9A" w:rsidRPr="00C31377">
        <w:t xml:space="preserve"> </w:t>
      </w:r>
      <w:r w:rsidR="00275208" w:rsidRPr="00C31377">
        <w:lastRenderedPageBreak/>
        <w:t>exercis</w:t>
      </w:r>
      <w:r w:rsidR="00964F9A">
        <w:t>ing</w:t>
      </w:r>
      <w:r w:rsidR="00275208" w:rsidRPr="00C31377">
        <w:t xml:space="preserve"> the banning power </w:t>
      </w:r>
      <w:r w:rsidR="00964F9A">
        <w:t>out</w:t>
      </w:r>
      <w:r w:rsidR="00275208" w:rsidRPr="00C31377">
        <w:t>weigh</w:t>
      </w:r>
      <w:r w:rsidR="00964F9A">
        <w:t>s</w:t>
      </w:r>
      <w:r w:rsidR="00275208" w:rsidRPr="00C31377">
        <w:t xml:space="preserve"> the detriment to the individual</w:t>
      </w:r>
      <w:r w:rsidR="00275208">
        <w:t xml:space="preserve">. </w:t>
      </w:r>
      <w:r>
        <w:rPr>
          <w:rStyle w:val="Referencingstyle"/>
        </w:rPr>
        <w:t>[</w:t>
      </w:r>
      <w:r w:rsidR="00A54C5F">
        <w:rPr>
          <w:rStyle w:val="Referencingstyle"/>
        </w:rPr>
        <w:t>Schedule </w:t>
      </w:r>
      <w:r>
        <w:rPr>
          <w:rStyle w:val="Referencingstyle"/>
        </w:rPr>
        <w:t xml:space="preserve">2, </w:t>
      </w:r>
      <w:r w:rsidR="00A54C5F">
        <w:rPr>
          <w:rStyle w:val="Referencingstyle"/>
        </w:rPr>
        <w:t>item </w:t>
      </w:r>
      <w:r>
        <w:rPr>
          <w:rStyle w:val="Referencingstyle"/>
        </w:rPr>
        <w:t xml:space="preserve">18, </w:t>
      </w:r>
      <w:r w:rsidR="00F96CE7" w:rsidRPr="00263C59">
        <w:rPr>
          <w:rStyle w:val="Referencingstyle"/>
        </w:rPr>
        <w:t>subparagraph </w:t>
      </w:r>
      <w:r w:rsidRPr="00263C59">
        <w:rPr>
          <w:rStyle w:val="Referencingstyle"/>
        </w:rPr>
        <w:t>920A(1)(i)(i</w:t>
      </w:r>
      <w:r w:rsidR="00895516" w:rsidRPr="00263C59">
        <w:rPr>
          <w:rStyle w:val="Referencingstyle"/>
        </w:rPr>
        <w:t>i</w:t>
      </w:r>
      <w:r w:rsidRPr="00263C59">
        <w:rPr>
          <w:rStyle w:val="Referencingstyle"/>
        </w:rPr>
        <w:t>)]</w:t>
      </w:r>
    </w:p>
    <w:p w14:paraId="10930F89" w14:textId="50E704E2" w:rsidR="00E5221A" w:rsidRPr="007337D8" w:rsidRDefault="00E5221A" w:rsidP="00E5221A">
      <w:pPr>
        <w:pStyle w:val="base-text-paragraph"/>
        <w:rPr>
          <w:rStyle w:val="Referencingstyle"/>
          <w:b w:val="0"/>
          <w:i w:val="0"/>
          <w:sz w:val="22"/>
        </w:rPr>
      </w:pPr>
      <w:r>
        <w:rPr>
          <w:rStyle w:val="Referencingstyle"/>
          <w:b w:val="0"/>
          <w:i w:val="0"/>
          <w:sz w:val="22"/>
        </w:rPr>
        <w:t xml:space="preserve">ASIC has been granted power to suspend or cancel the </w:t>
      </w:r>
      <w:r w:rsidR="00FB432F">
        <w:rPr>
          <w:rStyle w:val="Referencingstyle"/>
          <w:b w:val="0"/>
          <w:i w:val="0"/>
          <w:sz w:val="22"/>
        </w:rPr>
        <w:t xml:space="preserve">Australian financial services </w:t>
      </w:r>
      <w:r>
        <w:rPr>
          <w:rStyle w:val="Referencingstyle"/>
          <w:b w:val="0"/>
          <w:i w:val="0"/>
          <w:sz w:val="22"/>
        </w:rPr>
        <w:t xml:space="preserve">licence of an operator of a notified foreign passport fund if the members have suffered, or are likely to suffer, loss because the fund breached the </w:t>
      </w:r>
      <w:r w:rsidR="00A54C5F">
        <w:rPr>
          <w:rStyle w:val="Referencingstyle"/>
          <w:b w:val="0"/>
          <w:i w:val="0"/>
          <w:sz w:val="22"/>
        </w:rPr>
        <w:t>Corporations </w:t>
      </w:r>
      <w:r>
        <w:rPr>
          <w:rStyle w:val="Referencingstyle"/>
          <w:b w:val="0"/>
          <w:i w:val="0"/>
          <w:sz w:val="22"/>
        </w:rPr>
        <w:t xml:space="preserve">Act, </w:t>
      </w:r>
      <w:r w:rsidR="00A54C5F">
        <w:rPr>
          <w:rStyle w:val="Referencingstyle"/>
          <w:b w:val="0"/>
          <w:i w:val="0"/>
          <w:sz w:val="22"/>
        </w:rPr>
        <w:t>Corporations </w:t>
      </w:r>
      <w:r>
        <w:rPr>
          <w:rStyle w:val="Referencingstyle"/>
          <w:b w:val="0"/>
          <w:i w:val="0"/>
          <w:sz w:val="22"/>
        </w:rPr>
        <w:t>Regulations or the Passport Rules for this jurisdiction.</w:t>
      </w:r>
      <w:r w:rsidR="00FB432F">
        <w:rPr>
          <w:rStyle w:val="Referencingstyle"/>
          <w:b w:val="0"/>
          <w:i w:val="0"/>
          <w:sz w:val="22"/>
        </w:rPr>
        <w:t xml:space="preserve"> It is noted that operators of such funds may not necessarily </w:t>
      </w:r>
      <w:r w:rsidR="007B4EEE">
        <w:rPr>
          <w:rStyle w:val="Referencingstyle"/>
          <w:b w:val="0"/>
          <w:i w:val="0"/>
          <w:sz w:val="22"/>
        </w:rPr>
        <w:t xml:space="preserve">be required to </w:t>
      </w:r>
      <w:r w:rsidR="00FB432F">
        <w:rPr>
          <w:rStyle w:val="Referencingstyle"/>
          <w:b w:val="0"/>
          <w:i w:val="0"/>
          <w:sz w:val="22"/>
        </w:rPr>
        <w:t>have such a licence.</w:t>
      </w:r>
      <w:r>
        <w:rPr>
          <w:rStyle w:val="Referencingstyle"/>
          <w:b w:val="0"/>
          <w:i w:val="0"/>
          <w:sz w:val="22"/>
        </w:rPr>
        <w:t xml:space="preserve"> </w:t>
      </w:r>
      <w:r>
        <w:rPr>
          <w:rStyle w:val="Referencingstyle"/>
        </w:rPr>
        <w:t>[</w:t>
      </w:r>
      <w:r w:rsidR="00A54C5F">
        <w:rPr>
          <w:rStyle w:val="Referencingstyle"/>
        </w:rPr>
        <w:t>Schedule </w:t>
      </w:r>
      <w:r>
        <w:rPr>
          <w:rStyle w:val="Referencingstyle"/>
        </w:rPr>
        <w:t xml:space="preserve">2, </w:t>
      </w:r>
      <w:r w:rsidR="00A54C5F">
        <w:rPr>
          <w:rStyle w:val="Referencingstyle"/>
        </w:rPr>
        <w:t>item </w:t>
      </w:r>
      <w:r>
        <w:rPr>
          <w:rStyle w:val="Referencingstyle"/>
        </w:rPr>
        <w:t xml:space="preserve">17, </w:t>
      </w:r>
      <w:r w:rsidR="00A54C5F">
        <w:rPr>
          <w:rStyle w:val="Referencingstyle"/>
        </w:rPr>
        <w:t>paragraph </w:t>
      </w:r>
      <w:r>
        <w:rPr>
          <w:rStyle w:val="Referencingstyle"/>
        </w:rPr>
        <w:t>915B(3)(caa)]</w:t>
      </w:r>
    </w:p>
    <w:p w14:paraId="547D8D37" w14:textId="78AF7979" w:rsidR="008A2102" w:rsidRPr="00E5221A" w:rsidRDefault="008A2102" w:rsidP="00E5221A">
      <w:pPr>
        <w:pStyle w:val="base-text-paragraph"/>
        <w:rPr>
          <w:rStyle w:val="Referencingstyle"/>
          <w:b w:val="0"/>
          <w:i w:val="0"/>
          <w:sz w:val="22"/>
        </w:rPr>
      </w:pPr>
      <w:r>
        <w:t xml:space="preserve">Persons may seek merits review of ASIC’s decision </w:t>
      </w:r>
      <w:r w:rsidR="00275208">
        <w:t>to ban a person</w:t>
      </w:r>
      <w:r w:rsidR="00E5221A">
        <w:t xml:space="preserve"> or suspend or cancel a licence</w:t>
      </w:r>
      <w:r w:rsidR="00275208">
        <w:t xml:space="preserve"> under </w:t>
      </w:r>
      <w:r>
        <w:t xml:space="preserve">existing </w:t>
      </w:r>
      <w:r w:rsidR="00A54C5F">
        <w:t>section </w:t>
      </w:r>
      <w:r>
        <w:t xml:space="preserve">1317B of the </w:t>
      </w:r>
      <w:r w:rsidR="00A54C5F">
        <w:t>Corporations </w:t>
      </w:r>
      <w:r>
        <w:t>Act. The right to merits review exists irrespective of whether the person is an Australian or foreign resident or citizen</w:t>
      </w:r>
      <w:r w:rsidRPr="00C31377">
        <w:rPr>
          <w:rStyle w:val="Referencingstyle"/>
        </w:rPr>
        <w:t>.</w:t>
      </w:r>
      <w:r>
        <w:rPr>
          <w:rStyle w:val="Referencingstyle"/>
        </w:rPr>
        <w:t xml:space="preserve"> </w:t>
      </w:r>
    </w:p>
    <w:p w14:paraId="47B7D538" w14:textId="42306443" w:rsidR="00F552DA" w:rsidRPr="00F552DA" w:rsidRDefault="00F552DA" w:rsidP="00F552DA">
      <w:pPr>
        <w:pStyle w:val="base-text-paragraph"/>
        <w:numPr>
          <w:ilvl w:val="0"/>
          <w:numId w:val="0"/>
        </w:numPr>
        <w:ind w:left="1134"/>
        <w:rPr>
          <w:rStyle w:val="Referencingstyle"/>
          <w:b w:val="0"/>
          <w:i w:val="0"/>
          <w:sz w:val="22"/>
        </w:rPr>
      </w:pPr>
      <w:r>
        <w:rPr>
          <w:rStyle w:val="Referencingstyle"/>
          <w:sz w:val="22"/>
        </w:rPr>
        <w:t>Miscellaneous consequential</w:t>
      </w:r>
      <w:r w:rsidR="00743C95">
        <w:rPr>
          <w:rStyle w:val="Referencingstyle"/>
          <w:sz w:val="22"/>
        </w:rPr>
        <w:t xml:space="preserve"> amendments</w:t>
      </w:r>
    </w:p>
    <w:p w14:paraId="3B4B52EA" w14:textId="29A47DF3" w:rsidR="00F552DA" w:rsidRPr="008A2102" w:rsidRDefault="00F552DA" w:rsidP="008A2102">
      <w:pPr>
        <w:pStyle w:val="base-text-paragraph"/>
        <w:rPr>
          <w:rStyle w:val="Referencingstyle"/>
          <w:b w:val="0"/>
          <w:i w:val="0"/>
          <w:sz w:val="22"/>
        </w:rPr>
      </w:pPr>
      <w:r>
        <w:rPr>
          <w:rStyle w:val="Referencingstyle"/>
          <w:b w:val="0"/>
          <w:i w:val="0"/>
          <w:sz w:val="22"/>
        </w:rPr>
        <w:t xml:space="preserve">Consequential amendments have been made to include the new penalties in the list of </w:t>
      </w:r>
      <w:r w:rsidR="000A42F9">
        <w:rPr>
          <w:rStyle w:val="Referencingstyle"/>
          <w:b w:val="0"/>
          <w:i w:val="0"/>
          <w:sz w:val="22"/>
        </w:rPr>
        <w:t xml:space="preserve">general </w:t>
      </w:r>
      <w:r>
        <w:rPr>
          <w:rStyle w:val="Referencingstyle"/>
          <w:b w:val="0"/>
          <w:i w:val="0"/>
          <w:sz w:val="22"/>
        </w:rPr>
        <w:t xml:space="preserve">penalty provisions in existing </w:t>
      </w:r>
      <w:r w:rsidR="00A54C5F">
        <w:rPr>
          <w:rStyle w:val="Referencingstyle"/>
          <w:b w:val="0"/>
          <w:i w:val="0"/>
          <w:sz w:val="22"/>
        </w:rPr>
        <w:t>section </w:t>
      </w:r>
      <w:r>
        <w:rPr>
          <w:rStyle w:val="Referencingstyle"/>
          <w:b w:val="0"/>
          <w:i w:val="0"/>
          <w:sz w:val="22"/>
        </w:rPr>
        <w:t xml:space="preserve">1311 and insert a definition of the Regulatory </w:t>
      </w:r>
      <w:r w:rsidR="00A54C5F">
        <w:rPr>
          <w:rStyle w:val="Referencingstyle"/>
          <w:b w:val="0"/>
          <w:i w:val="0"/>
          <w:sz w:val="22"/>
        </w:rPr>
        <w:t>Powers </w:t>
      </w:r>
      <w:r>
        <w:rPr>
          <w:rStyle w:val="Referencingstyle"/>
          <w:b w:val="0"/>
          <w:i w:val="0"/>
          <w:sz w:val="22"/>
        </w:rPr>
        <w:t>Act into the dictionary</w:t>
      </w:r>
      <w:r w:rsidR="0032676F">
        <w:rPr>
          <w:rStyle w:val="Referencingstyle"/>
          <w:b w:val="0"/>
          <w:i w:val="0"/>
          <w:sz w:val="22"/>
        </w:rPr>
        <w:t xml:space="preserve"> in </w:t>
      </w:r>
      <w:r w:rsidR="00A54C5F">
        <w:rPr>
          <w:rStyle w:val="Referencingstyle"/>
          <w:b w:val="0"/>
          <w:i w:val="0"/>
          <w:sz w:val="22"/>
        </w:rPr>
        <w:t>section </w:t>
      </w:r>
      <w:r w:rsidR="0032676F">
        <w:rPr>
          <w:rStyle w:val="Referencingstyle"/>
          <w:b w:val="0"/>
          <w:i w:val="0"/>
          <w:sz w:val="22"/>
        </w:rPr>
        <w:t>9</w:t>
      </w:r>
      <w:r>
        <w:rPr>
          <w:rStyle w:val="Referencingstyle"/>
          <w:b w:val="0"/>
          <w:i w:val="0"/>
          <w:sz w:val="22"/>
        </w:rPr>
        <w:t xml:space="preserve">. </w:t>
      </w:r>
      <w:r>
        <w:rPr>
          <w:rStyle w:val="Referencingstyle"/>
        </w:rPr>
        <w:t>[</w:t>
      </w:r>
      <w:r w:rsidR="00A54C5F">
        <w:rPr>
          <w:rStyle w:val="Referencingstyle"/>
        </w:rPr>
        <w:t>Schedule </w:t>
      </w:r>
      <w:r>
        <w:rPr>
          <w:rStyle w:val="Referencingstyle"/>
        </w:rPr>
        <w:t xml:space="preserve">2, </w:t>
      </w:r>
      <w:r w:rsidR="00A54C5F">
        <w:rPr>
          <w:rStyle w:val="Referencingstyle"/>
        </w:rPr>
        <w:t>items </w:t>
      </w:r>
      <w:r>
        <w:rPr>
          <w:rStyle w:val="Referencingstyle"/>
        </w:rPr>
        <w:t xml:space="preserve">10 and </w:t>
      </w:r>
      <w:r w:rsidR="00F9233D">
        <w:rPr>
          <w:rStyle w:val="Referencingstyle"/>
        </w:rPr>
        <w:t>20</w:t>
      </w:r>
      <w:r>
        <w:rPr>
          <w:rStyle w:val="Referencingstyle"/>
        </w:rPr>
        <w:t xml:space="preserve">, </w:t>
      </w:r>
      <w:r w:rsidR="00A54C5F">
        <w:rPr>
          <w:rStyle w:val="Referencingstyle"/>
        </w:rPr>
        <w:t>section </w:t>
      </w:r>
      <w:r>
        <w:rPr>
          <w:rStyle w:val="Referencingstyle"/>
        </w:rPr>
        <w:t xml:space="preserve">9 and </w:t>
      </w:r>
      <w:r w:rsidR="00A54C5F">
        <w:rPr>
          <w:rStyle w:val="Referencingstyle"/>
        </w:rPr>
        <w:t>paragraph </w:t>
      </w:r>
      <w:r>
        <w:rPr>
          <w:rStyle w:val="Referencingstyle"/>
        </w:rPr>
        <w:t>1311(1A)(dd)]</w:t>
      </w:r>
      <w:r>
        <w:rPr>
          <w:rStyle w:val="Referencingstyle"/>
          <w:b w:val="0"/>
          <w:i w:val="0"/>
          <w:sz w:val="22"/>
        </w:rPr>
        <w:t xml:space="preserve"> </w:t>
      </w:r>
    </w:p>
    <w:p w14:paraId="3D3E7559" w14:textId="77777777" w:rsidR="0025601E" w:rsidRDefault="0025601E" w:rsidP="0025601E">
      <w:pPr>
        <w:pStyle w:val="Heading2"/>
      </w:pPr>
      <w:r>
        <w:t>Application and transitional provisions</w:t>
      </w:r>
    </w:p>
    <w:p w14:paraId="2028A329" w14:textId="10A249CB" w:rsidR="00973D0A" w:rsidRDefault="00DA2CFE" w:rsidP="00DA2CFE">
      <w:pPr>
        <w:pStyle w:val="base-text-paragraph"/>
      </w:pPr>
      <w:r w:rsidRPr="00DA2CFE">
        <w:t>There are no application and transitional provisions for this</w:t>
      </w:r>
      <w:r>
        <w:t xml:space="preserve"> Part.</w:t>
      </w:r>
    </w:p>
    <w:p w14:paraId="47FBF0B4" w14:textId="77777777" w:rsidR="00A54C5F" w:rsidRDefault="00A54C5F" w:rsidP="00EF40E0">
      <w:pPr>
        <w:sectPr w:rsidR="00A54C5F" w:rsidSect="00821379">
          <w:headerReference w:type="default" r:id="rId50"/>
          <w:type w:val="oddPage"/>
          <w:pgSz w:w="11906" w:h="16838" w:code="9"/>
          <w:pgMar w:top="2466" w:right="2098" w:bottom="2466" w:left="2098" w:header="1559" w:footer="1899" w:gutter="0"/>
          <w:cols w:space="708"/>
          <w:titlePg/>
          <w:docGrid w:linePitch="360"/>
        </w:sectPr>
      </w:pPr>
    </w:p>
    <w:p w14:paraId="1E465AD8" w14:textId="6BE8035A" w:rsidR="00973D0A" w:rsidRPr="00F51A71" w:rsidRDefault="00973D0A" w:rsidP="00A52B98">
      <w:pPr>
        <w:pStyle w:val="ChapterHeading"/>
        <w:numPr>
          <w:ilvl w:val="0"/>
          <w:numId w:val="25"/>
        </w:numPr>
        <w:tabs>
          <w:tab w:val="clear" w:pos="1134"/>
          <w:tab w:val="num" w:pos="360"/>
        </w:tabs>
      </w:pPr>
      <w:r w:rsidRPr="00F51A71">
        <w:lastRenderedPageBreak/>
        <w:br/>
      </w:r>
      <w:bookmarkStart w:id="7" w:name="_Toc490750344"/>
      <w:r>
        <w:t>Exemptions and modifications</w:t>
      </w:r>
      <w:bookmarkEnd w:id="7"/>
    </w:p>
    <w:p w14:paraId="0C17E3F1" w14:textId="77777777" w:rsidR="00973D0A" w:rsidRDefault="00973D0A" w:rsidP="00973D0A">
      <w:pPr>
        <w:pStyle w:val="Heading2"/>
      </w:pPr>
      <w:r>
        <w:t>Outline of chapter</w:t>
      </w:r>
    </w:p>
    <w:p w14:paraId="0B90555E" w14:textId="6C881822" w:rsidR="00973D0A" w:rsidRDefault="00A54C5F" w:rsidP="00973D0A">
      <w:pPr>
        <w:pStyle w:val="base-text-paragraph"/>
      </w:pPr>
      <w:r w:rsidRPr="007752A6">
        <w:t>Part</w:t>
      </w:r>
      <w:r>
        <w:t> </w:t>
      </w:r>
      <w:r w:rsidR="00973D0A" w:rsidRPr="007752A6">
        <w:t>8A.</w:t>
      </w:r>
      <w:r w:rsidR="0095575D" w:rsidRPr="007752A6">
        <w:t>8</w:t>
      </w:r>
      <w:r w:rsidR="00973D0A" w:rsidRPr="007752A6">
        <w:t xml:space="preserve"> of the new law grants ASIC the power to exempt</w:t>
      </w:r>
      <w:r w:rsidR="00973D0A">
        <w:t xml:space="preserve"> entities from the provisions in </w:t>
      </w:r>
      <w:r>
        <w:t>Chapter </w:t>
      </w:r>
      <w:r w:rsidR="00973D0A">
        <w:t xml:space="preserve">8A and the </w:t>
      </w:r>
      <w:r w:rsidR="005412C1">
        <w:t>Passport </w:t>
      </w:r>
      <w:r w:rsidR="00973D0A">
        <w:t>Rules</w:t>
      </w:r>
      <w:r w:rsidR="00FB432F">
        <w:t>, or modify any such provision as it applies to an entity</w:t>
      </w:r>
      <w:r w:rsidR="00973D0A">
        <w:t>. It also allows</w:t>
      </w:r>
      <w:r w:rsidR="00B114E9">
        <w:t xml:space="preserve"> </w:t>
      </w:r>
      <w:r w:rsidR="00F02C38">
        <w:t>the regulations to provide an exemption from</w:t>
      </w:r>
      <w:r w:rsidR="00973D0A">
        <w:t xml:space="preserve"> any provisions in the </w:t>
      </w:r>
      <w:r>
        <w:t>Corporations </w:t>
      </w:r>
      <w:r w:rsidR="00973D0A">
        <w:t>Act applying to passport funds</w:t>
      </w:r>
      <w:r w:rsidR="00F02C38">
        <w:t>, and for any such provisions</w:t>
      </w:r>
      <w:r w:rsidR="00973D0A">
        <w:t xml:space="preserve"> to be modified </w:t>
      </w:r>
      <w:r w:rsidR="00F02C38">
        <w:t>as specified in the</w:t>
      </w:r>
      <w:r w:rsidR="00973D0A">
        <w:t xml:space="preserve"> regulation</w:t>
      </w:r>
      <w:r w:rsidR="00EE0F78">
        <w:t>s</w:t>
      </w:r>
      <w:r w:rsidR="00973D0A">
        <w:t>.</w:t>
      </w:r>
    </w:p>
    <w:p w14:paraId="3B27AF32" w14:textId="77777777" w:rsidR="00973D0A" w:rsidRDefault="00973D0A" w:rsidP="00973D0A">
      <w:pPr>
        <w:pStyle w:val="Heading2"/>
      </w:pPr>
      <w:r>
        <w:t>Summary of new law</w:t>
      </w:r>
    </w:p>
    <w:p w14:paraId="7C78E5E8" w14:textId="30C86AF5" w:rsidR="00973D0A" w:rsidRDefault="00A54C5F" w:rsidP="00A52B98">
      <w:pPr>
        <w:pStyle w:val="base-text-paragraph"/>
        <w:numPr>
          <w:ilvl w:val="1"/>
          <w:numId w:val="26"/>
        </w:numPr>
      </w:pPr>
      <w:r w:rsidRPr="007752A6">
        <w:t>Part</w:t>
      </w:r>
      <w:r>
        <w:t> </w:t>
      </w:r>
      <w:r w:rsidR="00973D0A" w:rsidRPr="007752A6">
        <w:t>8A.</w:t>
      </w:r>
      <w:r w:rsidR="0095575D" w:rsidRPr="007752A6">
        <w:t>8</w:t>
      </w:r>
      <w:r w:rsidR="00973D0A" w:rsidRPr="007752A6">
        <w:t xml:space="preserve"> of the new law grants ASIC the power to exempt</w:t>
      </w:r>
      <w:r w:rsidR="00973D0A">
        <w:t xml:space="preserve"> entities from the provisions in </w:t>
      </w:r>
      <w:r>
        <w:t>Chapter </w:t>
      </w:r>
      <w:r w:rsidR="00973D0A">
        <w:t xml:space="preserve">8A and the </w:t>
      </w:r>
      <w:r w:rsidR="005412C1">
        <w:t>Passport </w:t>
      </w:r>
      <w:r w:rsidR="00973D0A">
        <w:t>Rules in this jurisdiction, or modify</w:t>
      </w:r>
      <w:r w:rsidR="00FB432F">
        <w:t>, omit</w:t>
      </w:r>
      <w:r w:rsidR="00973D0A">
        <w:t xml:space="preserve"> or vary these provisions. ASIC may also impose conditions on its exemptions. </w:t>
      </w:r>
    </w:p>
    <w:p w14:paraId="4518DFD4" w14:textId="307F41E7" w:rsidR="00973D0A" w:rsidRDefault="00973D0A" w:rsidP="00A52B98">
      <w:pPr>
        <w:pStyle w:val="base-text-paragraph"/>
        <w:numPr>
          <w:ilvl w:val="1"/>
          <w:numId w:val="25"/>
        </w:numPr>
      </w:pPr>
      <w:r>
        <w:t>ASIC may exempt or modify</w:t>
      </w:r>
      <w:r w:rsidR="00FB432F">
        <w:t>, omit or vary</w:t>
      </w:r>
      <w:r>
        <w:t xml:space="preserve"> the </w:t>
      </w:r>
      <w:r w:rsidR="005412C1">
        <w:t>Passport </w:t>
      </w:r>
      <w:r>
        <w:t xml:space="preserve">Rules in this jurisdiction for Australian passport funds only if all host regulators of the fund have agreed to the proposed exemption or modification. Exemptions and modifications which relate to the </w:t>
      </w:r>
      <w:r w:rsidR="005412C1">
        <w:t>Passport </w:t>
      </w:r>
      <w:r>
        <w:t xml:space="preserve">Rules in this jurisdiction and apply to foreign passport funds must be the same as an exemption or modification granted by the home regulator. </w:t>
      </w:r>
    </w:p>
    <w:p w14:paraId="664FAD18" w14:textId="77777777" w:rsidR="00973D0A" w:rsidRDefault="00973D0A" w:rsidP="00A52B98">
      <w:pPr>
        <w:pStyle w:val="base-text-paragraph"/>
        <w:numPr>
          <w:ilvl w:val="1"/>
          <w:numId w:val="25"/>
        </w:numPr>
      </w:pPr>
      <w:r>
        <w:t>ASIC must use a legislative instrument for exemptions and modifications that apply to all entities or all entities within a class. It may use a notifiable instrument for exemptions and modifications that only apply to specified entities.</w:t>
      </w:r>
    </w:p>
    <w:p w14:paraId="19B04CD6" w14:textId="74B433B5" w:rsidR="00973D0A" w:rsidRDefault="00973D0A" w:rsidP="00A52B98">
      <w:pPr>
        <w:pStyle w:val="base-text-paragraph"/>
        <w:numPr>
          <w:ilvl w:val="1"/>
          <w:numId w:val="25"/>
        </w:numPr>
      </w:pPr>
      <w:r>
        <w:t xml:space="preserve">The new law also allows for regulations to be made to </w:t>
      </w:r>
      <w:r w:rsidR="00F02C38">
        <w:t xml:space="preserve">provide exemptions from or </w:t>
      </w:r>
      <w:r>
        <w:t xml:space="preserve">modify the operation of </w:t>
      </w:r>
      <w:r w:rsidR="00A54C5F">
        <w:t>Chapter </w:t>
      </w:r>
      <w:r>
        <w:t>8A</w:t>
      </w:r>
      <w:r w:rsidR="00F02C38">
        <w:t xml:space="preserve">, the </w:t>
      </w:r>
      <w:r w:rsidR="00A54C5F">
        <w:t>Passport </w:t>
      </w:r>
      <w:r w:rsidR="00F02C38">
        <w:t>Rules</w:t>
      </w:r>
      <w:r>
        <w:t xml:space="preserve"> or a provision in any other chapter of the </w:t>
      </w:r>
      <w:r w:rsidR="00A54C5F">
        <w:t>Corporations </w:t>
      </w:r>
      <w:r>
        <w:t>Act</w:t>
      </w:r>
      <w:r w:rsidR="00073A25">
        <w:t xml:space="preserve"> or of the </w:t>
      </w:r>
      <w:r w:rsidR="00A54C5F">
        <w:t>ASIC </w:t>
      </w:r>
      <w:r w:rsidR="00073A25">
        <w:t>Act</w:t>
      </w:r>
      <w:r>
        <w:t xml:space="preserve"> that relates to passport funds.</w:t>
      </w:r>
    </w:p>
    <w:p w14:paraId="1B805C6D" w14:textId="30C64A5B" w:rsidR="00973D0A" w:rsidRDefault="00973D0A" w:rsidP="00973D0A">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973D0A" w:rsidRPr="004666B8" w14:paraId="19B6D4B8" w14:textId="77777777" w:rsidTr="00F552DA">
        <w:tc>
          <w:tcPr>
            <w:tcW w:w="3275" w:type="dxa"/>
          </w:tcPr>
          <w:p w14:paraId="26667B4B" w14:textId="77777777" w:rsidR="00973D0A" w:rsidRPr="004666B8" w:rsidRDefault="00973D0A" w:rsidP="00F552DA">
            <w:pPr>
              <w:pStyle w:val="tableheaderwithintable"/>
              <w:rPr>
                <w:lang w:val="en-US" w:eastAsia="en-US"/>
              </w:rPr>
            </w:pPr>
            <w:r w:rsidRPr="004666B8">
              <w:rPr>
                <w:lang w:val="en-US" w:eastAsia="en-US"/>
              </w:rPr>
              <w:t>New law</w:t>
            </w:r>
          </w:p>
        </w:tc>
        <w:tc>
          <w:tcPr>
            <w:tcW w:w="3276" w:type="dxa"/>
          </w:tcPr>
          <w:p w14:paraId="4494C0D7" w14:textId="77777777" w:rsidR="00973D0A" w:rsidRPr="004666B8" w:rsidRDefault="00973D0A" w:rsidP="00F552DA">
            <w:pPr>
              <w:pStyle w:val="tableheaderwithintable"/>
              <w:rPr>
                <w:lang w:val="en-US" w:eastAsia="en-US"/>
              </w:rPr>
            </w:pPr>
            <w:r w:rsidRPr="004666B8">
              <w:rPr>
                <w:lang w:val="en-US" w:eastAsia="en-US"/>
              </w:rPr>
              <w:t>Current law</w:t>
            </w:r>
          </w:p>
        </w:tc>
      </w:tr>
      <w:tr w:rsidR="00973D0A" w:rsidRPr="004666B8" w14:paraId="098D33ED" w14:textId="77777777" w:rsidTr="00F552DA">
        <w:tc>
          <w:tcPr>
            <w:tcW w:w="3275" w:type="dxa"/>
          </w:tcPr>
          <w:p w14:paraId="160B5DCE" w14:textId="61C21EE6" w:rsidR="00973D0A" w:rsidRDefault="00973D0A" w:rsidP="00F552DA">
            <w:pPr>
              <w:pStyle w:val="base-text-paragraph"/>
              <w:numPr>
                <w:ilvl w:val="0"/>
                <w:numId w:val="0"/>
              </w:numPr>
              <w:rPr>
                <w:sz w:val="20"/>
              </w:rPr>
            </w:pPr>
            <w:r w:rsidRPr="00266B10">
              <w:rPr>
                <w:sz w:val="20"/>
              </w:rPr>
              <w:t xml:space="preserve">ASIC has the power to exempt entities from the provisions in </w:t>
            </w:r>
            <w:r w:rsidR="005412C1" w:rsidRPr="00266B10">
              <w:rPr>
                <w:sz w:val="20"/>
              </w:rPr>
              <w:t>Chapter</w:t>
            </w:r>
            <w:r w:rsidR="005412C1">
              <w:rPr>
                <w:sz w:val="20"/>
              </w:rPr>
              <w:t> </w:t>
            </w:r>
            <w:r w:rsidRPr="00266B10">
              <w:rPr>
                <w:sz w:val="20"/>
              </w:rPr>
              <w:t xml:space="preserve">8A, or modify </w:t>
            </w:r>
            <w:r>
              <w:rPr>
                <w:sz w:val="20"/>
              </w:rPr>
              <w:t>their effect</w:t>
            </w:r>
            <w:r w:rsidRPr="00266B10">
              <w:rPr>
                <w:sz w:val="20"/>
              </w:rPr>
              <w:t xml:space="preserve">. </w:t>
            </w:r>
          </w:p>
          <w:p w14:paraId="4D1A5BD6" w14:textId="77777777" w:rsidR="00973D0A" w:rsidRPr="004666B8" w:rsidRDefault="00973D0A" w:rsidP="00F552DA">
            <w:pPr>
              <w:pStyle w:val="base-text-paragraph"/>
              <w:numPr>
                <w:ilvl w:val="0"/>
                <w:numId w:val="0"/>
              </w:numPr>
              <w:rPr>
                <w:lang w:val="en-US" w:eastAsia="en-US"/>
              </w:rPr>
            </w:pPr>
            <w:r>
              <w:rPr>
                <w:sz w:val="20"/>
              </w:rPr>
              <w:t>ASIC may impose conditions on its exemptions and seek a court order to enforce these conditions in a specified way.</w:t>
            </w:r>
            <w:r>
              <w:rPr>
                <w:lang w:val="en-US" w:eastAsia="en-US"/>
              </w:rPr>
              <w:t xml:space="preserve"> </w:t>
            </w:r>
          </w:p>
        </w:tc>
        <w:tc>
          <w:tcPr>
            <w:tcW w:w="3276" w:type="dxa"/>
          </w:tcPr>
          <w:p w14:paraId="0741FCD5" w14:textId="77777777" w:rsidR="00973D0A" w:rsidRPr="004666B8" w:rsidRDefault="00973D0A" w:rsidP="00F552DA">
            <w:pPr>
              <w:pStyle w:val="tabletext"/>
              <w:rPr>
                <w:lang w:val="en-US" w:eastAsia="en-US"/>
              </w:rPr>
            </w:pPr>
            <w:r>
              <w:rPr>
                <w:lang w:val="en-US" w:eastAsia="en-US"/>
              </w:rPr>
              <w:t>No equivalent.</w:t>
            </w:r>
          </w:p>
        </w:tc>
      </w:tr>
      <w:tr w:rsidR="00973D0A" w:rsidRPr="004666B8" w14:paraId="304D4416" w14:textId="77777777" w:rsidTr="00F552DA">
        <w:tc>
          <w:tcPr>
            <w:tcW w:w="3275" w:type="dxa"/>
          </w:tcPr>
          <w:p w14:paraId="090DB596" w14:textId="6F285896" w:rsidR="00973D0A" w:rsidRPr="00ED7617" w:rsidRDefault="00973D0A" w:rsidP="00F552DA">
            <w:pPr>
              <w:pStyle w:val="base-text-paragraph"/>
              <w:numPr>
                <w:ilvl w:val="0"/>
                <w:numId w:val="0"/>
              </w:numPr>
              <w:rPr>
                <w:sz w:val="20"/>
              </w:rPr>
            </w:pPr>
            <w:r w:rsidRPr="00266B10">
              <w:rPr>
                <w:sz w:val="20"/>
              </w:rPr>
              <w:t xml:space="preserve">ASIC has the power to exempt entities from </w:t>
            </w:r>
            <w:r>
              <w:rPr>
                <w:sz w:val="20"/>
              </w:rPr>
              <w:t xml:space="preserve">the </w:t>
            </w:r>
            <w:r w:rsidR="005412C1">
              <w:rPr>
                <w:sz w:val="20"/>
              </w:rPr>
              <w:t>Passport </w:t>
            </w:r>
            <w:r>
              <w:rPr>
                <w:sz w:val="20"/>
              </w:rPr>
              <w:t>Rules in this jurisdiction</w:t>
            </w:r>
            <w:r w:rsidRPr="00266B10">
              <w:rPr>
                <w:sz w:val="20"/>
              </w:rPr>
              <w:t xml:space="preserve">, or </w:t>
            </w:r>
            <w:r w:rsidRPr="00ED7617">
              <w:rPr>
                <w:sz w:val="20"/>
              </w:rPr>
              <w:t>modify their effect if:</w:t>
            </w:r>
          </w:p>
          <w:p w14:paraId="6DFBEE97" w14:textId="77777777" w:rsidR="00973D0A" w:rsidRPr="00ED7617" w:rsidRDefault="00973D0A" w:rsidP="00F552DA">
            <w:pPr>
              <w:pStyle w:val="dotpoint"/>
              <w:tabs>
                <w:tab w:val="clear" w:pos="2268"/>
                <w:tab w:val="num" w:pos="276"/>
              </w:tabs>
              <w:ind w:left="276" w:hanging="276"/>
              <w:rPr>
                <w:sz w:val="20"/>
              </w:rPr>
            </w:pPr>
            <w:r>
              <w:rPr>
                <w:sz w:val="20"/>
              </w:rPr>
              <w:t>f</w:t>
            </w:r>
            <w:r w:rsidRPr="00ED7617">
              <w:rPr>
                <w:sz w:val="20"/>
              </w:rPr>
              <w:t>or exemptions relating to Australian passport funds, the exemption has been agreed by all host regulators; or</w:t>
            </w:r>
          </w:p>
          <w:p w14:paraId="74FD1269" w14:textId="77777777" w:rsidR="00973D0A" w:rsidRPr="00ED7617" w:rsidRDefault="00973D0A" w:rsidP="00F552DA">
            <w:pPr>
              <w:pStyle w:val="dotpoint"/>
              <w:tabs>
                <w:tab w:val="clear" w:pos="2268"/>
                <w:tab w:val="num" w:pos="276"/>
              </w:tabs>
              <w:ind w:left="276" w:hanging="276"/>
              <w:rPr>
                <w:sz w:val="20"/>
              </w:rPr>
            </w:pPr>
            <w:r>
              <w:rPr>
                <w:sz w:val="20"/>
              </w:rPr>
              <w:t>f</w:t>
            </w:r>
            <w:r w:rsidRPr="00ED7617">
              <w:rPr>
                <w:sz w:val="20"/>
              </w:rPr>
              <w:t xml:space="preserve">or exemptions relating to </w:t>
            </w:r>
            <w:r>
              <w:rPr>
                <w:sz w:val="20"/>
              </w:rPr>
              <w:t xml:space="preserve">notified </w:t>
            </w:r>
            <w:r w:rsidRPr="00ED7617">
              <w:rPr>
                <w:sz w:val="20"/>
              </w:rPr>
              <w:t xml:space="preserve">foreign passport funds, the exemption is the same as an exemption or modification granted by the </w:t>
            </w:r>
            <w:r>
              <w:rPr>
                <w:sz w:val="20"/>
              </w:rPr>
              <w:t>foreign passport fund</w:t>
            </w:r>
            <w:r w:rsidRPr="00ED7617">
              <w:rPr>
                <w:sz w:val="20"/>
              </w:rPr>
              <w:t xml:space="preserve">’s home </w:t>
            </w:r>
            <w:r>
              <w:rPr>
                <w:sz w:val="20"/>
              </w:rPr>
              <w:t>regulator</w:t>
            </w:r>
            <w:r w:rsidRPr="00ED7617">
              <w:rPr>
                <w:sz w:val="20"/>
              </w:rPr>
              <w:t xml:space="preserve">. </w:t>
            </w:r>
          </w:p>
          <w:p w14:paraId="2BB83437" w14:textId="77777777" w:rsidR="00973D0A" w:rsidRPr="00266B10" w:rsidRDefault="00973D0A" w:rsidP="00F552DA">
            <w:pPr>
              <w:pStyle w:val="base-text-paragraph"/>
              <w:numPr>
                <w:ilvl w:val="0"/>
                <w:numId w:val="0"/>
              </w:numPr>
              <w:rPr>
                <w:sz w:val="20"/>
              </w:rPr>
            </w:pPr>
            <w:r>
              <w:rPr>
                <w:sz w:val="20"/>
              </w:rPr>
              <w:t>ASIC may impose conditions on its exemptions and seek a court order to enforce these conditions in a specified way.</w:t>
            </w:r>
          </w:p>
        </w:tc>
        <w:tc>
          <w:tcPr>
            <w:tcW w:w="3276" w:type="dxa"/>
          </w:tcPr>
          <w:p w14:paraId="54B7F560" w14:textId="77777777" w:rsidR="00973D0A" w:rsidRPr="004666B8" w:rsidRDefault="00973D0A" w:rsidP="00F552DA">
            <w:pPr>
              <w:pStyle w:val="tabletext"/>
              <w:rPr>
                <w:lang w:val="en-US" w:eastAsia="en-US"/>
              </w:rPr>
            </w:pPr>
            <w:r>
              <w:rPr>
                <w:lang w:val="en-US" w:eastAsia="en-US"/>
              </w:rPr>
              <w:t>No equivalent.</w:t>
            </w:r>
          </w:p>
        </w:tc>
      </w:tr>
      <w:tr w:rsidR="00973D0A" w:rsidRPr="004666B8" w14:paraId="2A120969" w14:textId="77777777" w:rsidTr="00F552DA">
        <w:tc>
          <w:tcPr>
            <w:tcW w:w="3275" w:type="dxa"/>
          </w:tcPr>
          <w:p w14:paraId="1F39BC29" w14:textId="5476CB06" w:rsidR="00973D0A" w:rsidRPr="00266B10" w:rsidRDefault="00973D0A" w:rsidP="005412C1">
            <w:pPr>
              <w:pStyle w:val="base-text-paragraph"/>
              <w:numPr>
                <w:ilvl w:val="0"/>
                <w:numId w:val="0"/>
              </w:numPr>
              <w:rPr>
                <w:sz w:val="20"/>
              </w:rPr>
            </w:pPr>
            <w:r>
              <w:rPr>
                <w:sz w:val="20"/>
              </w:rPr>
              <w:t xml:space="preserve">Regulations may </w:t>
            </w:r>
            <w:r w:rsidR="00F02C38">
              <w:rPr>
                <w:sz w:val="20"/>
              </w:rPr>
              <w:t xml:space="preserve">provide exemptions from or </w:t>
            </w:r>
            <w:r>
              <w:rPr>
                <w:sz w:val="20"/>
              </w:rPr>
              <w:t xml:space="preserve">modify the operation of </w:t>
            </w:r>
            <w:r w:rsidR="005412C1">
              <w:rPr>
                <w:sz w:val="20"/>
              </w:rPr>
              <w:t>Chapter </w:t>
            </w:r>
            <w:r>
              <w:rPr>
                <w:sz w:val="20"/>
              </w:rPr>
              <w:t xml:space="preserve">8A and any other provisions of the </w:t>
            </w:r>
            <w:r w:rsidR="005412C1">
              <w:rPr>
                <w:sz w:val="20"/>
              </w:rPr>
              <w:t>Corporations </w:t>
            </w:r>
            <w:r>
              <w:rPr>
                <w:sz w:val="20"/>
              </w:rPr>
              <w:t>Act</w:t>
            </w:r>
            <w:r w:rsidR="00073A25">
              <w:rPr>
                <w:sz w:val="20"/>
              </w:rPr>
              <w:t xml:space="preserve"> or the </w:t>
            </w:r>
            <w:r w:rsidR="005412C1">
              <w:rPr>
                <w:sz w:val="20"/>
              </w:rPr>
              <w:t>ASIC </w:t>
            </w:r>
            <w:r w:rsidR="00073A25">
              <w:rPr>
                <w:sz w:val="20"/>
              </w:rPr>
              <w:t>Act</w:t>
            </w:r>
            <w:r>
              <w:rPr>
                <w:sz w:val="20"/>
              </w:rPr>
              <w:t xml:space="preserve"> that relate to passport funds or a class of passport funds.</w:t>
            </w:r>
          </w:p>
        </w:tc>
        <w:tc>
          <w:tcPr>
            <w:tcW w:w="3276" w:type="dxa"/>
          </w:tcPr>
          <w:p w14:paraId="04F44545" w14:textId="77777777" w:rsidR="00973D0A" w:rsidRPr="004666B8" w:rsidRDefault="00973D0A" w:rsidP="00F552DA">
            <w:pPr>
              <w:pStyle w:val="tabletext"/>
              <w:rPr>
                <w:lang w:val="en-US" w:eastAsia="en-US"/>
              </w:rPr>
            </w:pPr>
            <w:r>
              <w:rPr>
                <w:lang w:val="en-US" w:eastAsia="en-US"/>
              </w:rPr>
              <w:t>No equivalent.</w:t>
            </w:r>
          </w:p>
        </w:tc>
      </w:tr>
    </w:tbl>
    <w:p w14:paraId="10FFD478" w14:textId="77777777" w:rsidR="00973D0A" w:rsidRDefault="00973D0A" w:rsidP="00973D0A">
      <w:pPr>
        <w:pStyle w:val="Heading2"/>
      </w:pPr>
      <w:r>
        <w:lastRenderedPageBreak/>
        <w:t>Detailed explanation of new law</w:t>
      </w:r>
    </w:p>
    <w:p w14:paraId="4186B278" w14:textId="77777777" w:rsidR="00973D0A" w:rsidRPr="00247098" w:rsidRDefault="00973D0A" w:rsidP="00973D0A">
      <w:pPr>
        <w:pStyle w:val="Heading3"/>
      </w:pPr>
      <w:r>
        <w:t>ASIC’s exemption and modification power</w:t>
      </w:r>
    </w:p>
    <w:p w14:paraId="67798C3E" w14:textId="350D55D0" w:rsidR="00973D0A" w:rsidRPr="007D26F8" w:rsidRDefault="00973D0A" w:rsidP="00A52B98">
      <w:pPr>
        <w:pStyle w:val="base-text-paragraph"/>
        <w:numPr>
          <w:ilvl w:val="1"/>
          <w:numId w:val="25"/>
        </w:numPr>
        <w:rPr>
          <w:rStyle w:val="Referencingstyle"/>
          <w:b w:val="0"/>
          <w:i w:val="0"/>
          <w:sz w:val="22"/>
        </w:rPr>
      </w:pPr>
      <w:r>
        <w:t xml:space="preserve">ASIC has the power to exempt entities from the provisions in </w:t>
      </w:r>
      <w:r w:rsidR="005412C1">
        <w:t>Chapter </w:t>
      </w:r>
      <w:r>
        <w:t>8A. It may also omit, modify or vary the effect of these provisions. The exemption may apply to nominated requirements or all of the requirements in the chapter.</w:t>
      </w:r>
      <w:r>
        <w:rPr>
          <w:rStyle w:val="Referencingstyle"/>
        </w:rPr>
        <w:t xml:space="preserve"> [Schedule 1, </w:t>
      </w:r>
      <w:r w:rsidR="005412C1">
        <w:rPr>
          <w:rStyle w:val="Referencingstyle"/>
        </w:rPr>
        <w:t>item </w:t>
      </w:r>
      <w:r>
        <w:rPr>
          <w:rStyle w:val="Referencingstyle"/>
        </w:rPr>
        <w:t xml:space="preserve">1, </w:t>
      </w:r>
      <w:r w:rsidR="005412C1">
        <w:rPr>
          <w:rStyle w:val="Referencingstyle"/>
        </w:rPr>
        <w:t>section </w:t>
      </w:r>
      <w:r>
        <w:rPr>
          <w:rStyle w:val="Referencingstyle"/>
        </w:rPr>
        <w:t>121</w:t>
      </w:r>
      <w:r w:rsidR="0095575D">
        <w:rPr>
          <w:rStyle w:val="Referencingstyle"/>
        </w:rPr>
        <w:t>7</w:t>
      </w:r>
      <w:r>
        <w:rPr>
          <w:rStyle w:val="Referencingstyle"/>
        </w:rPr>
        <w:t>]</w:t>
      </w:r>
    </w:p>
    <w:p w14:paraId="3D0620E2" w14:textId="7C5D1C06" w:rsidR="00973D0A" w:rsidRDefault="00973D0A" w:rsidP="00A52B98">
      <w:pPr>
        <w:pStyle w:val="base-text-paragraph"/>
        <w:numPr>
          <w:ilvl w:val="1"/>
          <w:numId w:val="25"/>
        </w:numPr>
      </w:pPr>
      <w:r>
        <w:t xml:space="preserve">The exemption and modification power is limited to the </w:t>
      </w:r>
      <w:r w:rsidRPr="007752A6">
        <w:t xml:space="preserve">provisions in </w:t>
      </w:r>
      <w:r w:rsidR="005412C1" w:rsidRPr="007752A6">
        <w:t>Chapter</w:t>
      </w:r>
      <w:r w:rsidR="005412C1">
        <w:t> </w:t>
      </w:r>
      <w:r w:rsidR="00766009" w:rsidRPr="007752A6">
        <w:t>8A</w:t>
      </w:r>
      <w:r w:rsidRPr="007752A6">
        <w:t>, the definition</w:t>
      </w:r>
      <w:r w:rsidR="00E64129" w:rsidRPr="007752A6">
        <w:t>s</w:t>
      </w:r>
      <w:r w:rsidRPr="007752A6">
        <w:t xml:space="preserve"> that apply to </w:t>
      </w:r>
      <w:r w:rsidR="005412C1" w:rsidRPr="007752A6">
        <w:t>Chapter</w:t>
      </w:r>
      <w:r w:rsidR="005412C1">
        <w:t> </w:t>
      </w:r>
      <w:r w:rsidR="00766009" w:rsidRPr="007752A6">
        <w:t>8A</w:t>
      </w:r>
      <w:r w:rsidRPr="007752A6">
        <w:t xml:space="preserve"> and</w:t>
      </w:r>
      <w:r>
        <w:t xml:space="preserve"> </w:t>
      </w:r>
      <w:r w:rsidRPr="007752A6">
        <w:t xml:space="preserve">regulations made for the purposes of </w:t>
      </w:r>
      <w:r w:rsidR="005412C1" w:rsidRPr="007752A6">
        <w:t>Chapter</w:t>
      </w:r>
      <w:r w:rsidR="005412C1">
        <w:t> </w:t>
      </w:r>
      <w:r w:rsidRPr="007752A6">
        <w:t xml:space="preserve">8A </w:t>
      </w:r>
      <w:r w:rsidRPr="007752A6">
        <w:rPr>
          <w:rStyle w:val="Referencingstyle"/>
        </w:rPr>
        <w:t xml:space="preserve">[Schedule 1, </w:t>
      </w:r>
      <w:r w:rsidR="005412C1" w:rsidRPr="007752A6">
        <w:rPr>
          <w:rStyle w:val="Referencingstyle"/>
        </w:rPr>
        <w:t>item</w:t>
      </w:r>
      <w:r w:rsidR="005412C1">
        <w:rPr>
          <w:rStyle w:val="Referencingstyle"/>
        </w:rPr>
        <w:t> </w:t>
      </w:r>
      <w:r w:rsidRPr="007752A6">
        <w:rPr>
          <w:rStyle w:val="Referencingstyle"/>
        </w:rPr>
        <w:t>1,</w:t>
      </w:r>
      <w:r>
        <w:rPr>
          <w:rStyle w:val="Referencingstyle"/>
        </w:rPr>
        <w:t xml:space="preserve"> </w:t>
      </w:r>
      <w:r w:rsidR="005412C1">
        <w:rPr>
          <w:rStyle w:val="Referencingstyle"/>
        </w:rPr>
        <w:t>paragraph </w:t>
      </w:r>
      <w:r>
        <w:rPr>
          <w:rStyle w:val="Referencingstyle"/>
        </w:rPr>
        <w:t>121</w:t>
      </w:r>
      <w:r w:rsidR="0095575D">
        <w:rPr>
          <w:rStyle w:val="Referencingstyle"/>
        </w:rPr>
        <w:t>7</w:t>
      </w:r>
      <w:r>
        <w:rPr>
          <w:rStyle w:val="Referencingstyle"/>
        </w:rPr>
        <w:t xml:space="preserve">(2)(a) and </w:t>
      </w:r>
      <w:r w:rsidR="00263C59" w:rsidRPr="00263C59">
        <w:rPr>
          <w:rStyle w:val="Referencingstyle"/>
        </w:rPr>
        <w:t>subsection </w:t>
      </w:r>
      <w:r w:rsidRPr="00263C59">
        <w:rPr>
          <w:rStyle w:val="Referencingstyle"/>
        </w:rPr>
        <w:t>121</w:t>
      </w:r>
      <w:r w:rsidR="0095575D" w:rsidRPr="00263C59">
        <w:rPr>
          <w:rStyle w:val="Referencingstyle"/>
        </w:rPr>
        <w:t>7</w:t>
      </w:r>
      <w:r w:rsidRPr="00263C59">
        <w:rPr>
          <w:rStyle w:val="Referencingstyle"/>
        </w:rPr>
        <w:t>(9)]</w:t>
      </w:r>
      <w:r>
        <w:t xml:space="preserve">. It does not extend to the other chapters in the </w:t>
      </w:r>
      <w:r w:rsidR="005412C1">
        <w:t>Corporations </w:t>
      </w:r>
      <w:r>
        <w:t xml:space="preserve">Act. This is similar to the scope of the exemption and modification power that applies to registered schemes in </w:t>
      </w:r>
      <w:r w:rsidR="005412C1">
        <w:t>Chapter </w:t>
      </w:r>
      <w:r>
        <w:t xml:space="preserve">5C. </w:t>
      </w:r>
    </w:p>
    <w:p w14:paraId="2F284955" w14:textId="5E17E2D2" w:rsidR="00973D0A" w:rsidRDefault="000755EC" w:rsidP="00A52B98">
      <w:pPr>
        <w:pStyle w:val="base-text-paragraph"/>
        <w:numPr>
          <w:ilvl w:val="1"/>
          <w:numId w:val="25"/>
        </w:numPr>
      </w:pPr>
      <w:r>
        <w:t>T</w:t>
      </w:r>
      <w:r w:rsidR="00973D0A">
        <w:t xml:space="preserve">he existing law already includes exemption and modification powers for </w:t>
      </w:r>
      <w:r w:rsidR="004E57BD">
        <w:t>some</w:t>
      </w:r>
      <w:r w:rsidR="00973D0A">
        <w:t xml:space="preserve"> of the other </w:t>
      </w:r>
      <w:r w:rsidR="004E57BD">
        <w:t>provisions</w:t>
      </w:r>
      <w:r w:rsidR="00973D0A">
        <w:t xml:space="preserve"> which potentially apply to passport funds. </w:t>
      </w:r>
    </w:p>
    <w:p w14:paraId="37920371" w14:textId="77777777" w:rsidR="00973D0A" w:rsidRDefault="00973D0A" w:rsidP="00A52B98">
      <w:pPr>
        <w:pStyle w:val="base-text-paragraph"/>
        <w:numPr>
          <w:ilvl w:val="1"/>
          <w:numId w:val="25"/>
        </w:numPr>
      </w:pPr>
      <w:r>
        <w:t>The exemption and modification power may relate to:</w:t>
      </w:r>
    </w:p>
    <w:p w14:paraId="779ADD6A" w14:textId="096431AA" w:rsidR="00973D0A" w:rsidRDefault="00973D0A" w:rsidP="00973D0A">
      <w:pPr>
        <w:pStyle w:val="dotpoint"/>
      </w:pPr>
      <w:r>
        <w:t>all entities or a specified class of entities (which may include operators, custodians, auditors etc.);</w:t>
      </w:r>
      <w:r w:rsidR="00715283">
        <w:t xml:space="preserve"> or</w:t>
      </w:r>
    </w:p>
    <w:p w14:paraId="5DC20492" w14:textId="2089E9BA" w:rsidR="00973D0A" w:rsidRDefault="00973D0A" w:rsidP="00715283">
      <w:pPr>
        <w:pStyle w:val="dotpoint"/>
      </w:pPr>
      <w:r>
        <w:t>all passport funds</w:t>
      </w:r>
      <w:r w:rsidR="000C0CEB">
        <w:t>,</w:t>
      </w:r>
      <w:r>
        <w:t xml:space="preserve"> a specified class of passport funds or specified funds.</w:t>
      </w:r>
    </w:p>
    <w:p w14:paraId="7736443B" w14:textId="1EB9D168" w:rsidR="00973D0A" w:rsidRDefault="00973D0A" w:rsidP="00973D0A">
      <w:pPr>
        <w:pStyle w:val="dotpoint"/>
        <w:numPr>
          <w:ilvl w:val="0"/>
          <w:numId w:val="0"/>
        </w:numPr>
        <w:ind w:left="2268"/>
      </w:pPr>
      <w:r>
        <w:rPr>
          <w:rStyle w:val="Referencingstyle"/>
        </w:rPr>
        <w:t xml:space="preserve">[Schedule 1, </w:t>
      </w:r>
      <w:r w:rsidR="005412C1">
        <w:rPr>
          <w:rStyle w:val="Referencingstyle"/>
        </w:rPr>
        <w:t>item </w:t>
      </w:r>
      <w:r>
        <w:rPr>
          <w:rStyle w:val="Referencingstyle"/>
        </w:rPr>
        <w:t xml:space="preserve">1, </w:t>
      </w:r>
      <w:r w:rsidR="005412C1">
        <w:rPr>
          <w:rStyle w:val="Referencingstyle"/>
        </w:rPr>
        <w:t>paragraphs </w:t>
      </w:r>
      <w:r>
        <w:rPr>
          <w:rStyle w:val="Referencingstyle"/>
        </w:rPr>
        <w:t>121</w:t>
      </w:r>
      <w:r w:rsidR="0095575D">
        <w:rPr>
          <w:rStyle w:val="Referencingstyle"/>
        </w:rPr>
        <w:t>7</w:t>
      </w:r>
      <w:r>
        <w:rPr>
          <w:rStyle w:val="Referencingstyle"/>
        </w:rPr>
        <w:t>(2)(b) to (d)]</w:t>
      </w:r>
    </w:p>
    <w:p w14:paraId="0E4BCDBD" w14:textId="6817349C" w:rsidR="00973D0A" w:rsidRDefault="00973D0A" w:rsidP="00973D0A">
      <w:pPr>
        <w:pStyle w:val="base-text-paragraph"/>
      </w:pPr>
      <w:r>
        <w:t xml:space="preserve">ASIC may impose conditions on its exemptions and apply to the </w:t>
      </w:r>
      <w:r w:rsidR="00E64129">
        <w:t>c</w:t>
      </w:r>
      <w:r>
        <w:t>ourt for a</w:t>
      </w:r>
      <w:r w:rsidRPr="007D26F8">
        <w:t>n</w:t>
      </w:r>
      <w:r>
        <w:t xml:space="preserve"> order compelling the entity to comply with the condition in a specified way. </w:t>
      </w:r>
      <w:r>
        <w:rPr>
          <w:rStyle w:val="Referencingstyle"/>
        </w:rPr>
        <w:t xml:space="preserve">[Schedule 1, </w:t>
      </w:r>
      <w:r w:rsidR="005412C1">
        <w:rPr>
          <w:rStyle w:val="Referencingstyle"/>
        </w:rPr>
        <w:t>item </w:t>
      </w:r>
      <w:r>
        <w:rPr>
          <w:rStyle w:val="Referencingstyle"/>
        </w:rPr>
        <w:t xml:space="preserve">1, </w:t>
      </w:r>
      <w:r w:rsidR="005412C1">
        <w:rPr>
          <w:rStyle w:val="Referencingstyle"/>
        </w:rPr>
        <w:t>subsections </w:t>
      </w:r>
      <w:r>
        <w:rPr>
          <w:rStyle w:val="Referencingstyle"/>
        </w:rPr>
        <w:t>121</w:t>
      </w:r>
      <w:r w:rsidR="0095575D">
        <w:rPr>
          <w:rStyle w:val="Referencingstyle"/>
        </w:rPr>
        <w:t>7</w:t>
      </w:r>
      <w:r>
        <w:rPr>
          <w:rStyle w:val="Referencingstyle"/>
        </w:rPr>
        <w:t>(3) to (5)]</w:t>
      </w:r>
    </w:p>
    <w:p w14:paraId="0D207FE3" w14:textId="00B20B8F" w:rsidR="00973D0A" w:rsidRPr="00595204" w:rsidRDefault="00973D0A" w:rsidP="00973D0A">
      <w:pPr>
        <w:pStyle w:val="base-text-paragraph"/>
      </w:pPr>
      <w:r>
        <w:t xml:space="preserve">If the exemption applies only to </w:t>
      </w:r>
      <w:r w:rsidR="004E57BD">
        <w:t>a single</w:t>
      </w:r>
      <w:r>
        <w:t xml:space="preserve"> </w:t>
      </w:r>
      <w:r w:rsidRPr="008D635B">
        <w:t>specified entit</w:t>
      </w:r>
      <w:r w:rsidR="004E57BD">
        <w:t>y</w:t>
      </w:r>
      <w:r>
        <w:t xml:space="preserve">, ASIC may use a notifiable instrument which is not subject to disallowance. </w:t>
      </w:r>
      <w:r w:rsidRPr="008D635B">
        <w:t xml:space="preserve">Notifiable instruments must be </w:t>
      </w:r>
      <w:r w:rsidR="004E57BD">
        <w:t>enter</w:t>
      </w:r>
      <w:r w:rsidRPr="008D635B">
        <w:t xml:space="preserve">ed on the </w:t>
      </w:r>
      <w:r w:rsidR="00E64129">
        <w:t>FRL</w:t>
      </w:r>
      <w:r>
        <w:rPr>
          <w:i/>
        </w:rPr>
        <w:t xml:space="preserve">. </w:t>
      </w:r>
      <w:r>
        <w:t>ASIC must</w:t>
      </w:r>
      <w:r w:rsidRPr="008D635B">
        <w:t xml:space="preserve"> </w:t>
      </w:r>
      <w:r>
        <w:t xml:space="preserve">also </w:t>
      </w:r>
      <w:r w:rsidRPr="008D635B">
        <w:t>notify the specified entities in writing as soon as reasonably practicable after making the notifiable instrument.</w:t>
      </w:r>
      <w:r w:rsidRPr="00F24688">
        <w:rPr>
          <w:rStyle w:val="Referencingstyle"/>
        </w:rPr>
        <w:t xml:space="preserve"> </w:t>
      </w:r>
      <w:r>
        <w:rPr>
          <w:rStyle w:val="Referencingstyle"/>
        </w:rPr>
        <w:t xml:space="preserve">[Schedule 1, </w:t>
      </w:r>
      <w:r w:rsidR="005412C1">
        <w:rPr>
          <w:rStyle w:val="Referencingstyle"/>
        </w:rPr>
        <w:t>item </w:t>
      </w:r>
      <w:r>
        <w:rPr>
          <w:rStyle w:val="Referencingstyle"/>
        </w:rPr>
        <w:t xml:space="preserve">1, </w:t>
      </w:r>
      <w:r w:rsidR="005412C1">
        <w:rPr>
          <w:rStyle w:val="Referencingstyle"/>
        </w:rPr>
        <w:t>subsections </w:t>
      </w:r>
      <w:r>
        <w:rPr>
          <w:rStyle w:val="Referencingstyle"/>
        </w:rPr>
        <w:t>121</w:t>
      </w:r>
      <w:r w:rsidR="0095575D">
        <w:rPr>
          <w:rStyle w:val="Referencingstyle"/>
        </w:rPr>
        <w:t>7</w:t>
      </w:r>
      <w:r>
        <w:rPr>
          <w:rStyle w:val="Referencingstyle"/>
        </w:rPr>
        <w:t>(7) to (8)]</w:t>
      </w:r>
    </w:p>
    <w:p w14:paraId="32D6F218" w14:textId="380861A7" w:rsidR="00973D0A" w:rsidRPr="00D85323" w:rsidRDefault="00973D0A" w:rsidP="00A52B98">
      <w:pPr>
        <w:pStyle w:val="base-text-paragraph"/>
        <w:numPr>
          <w:ilvl w:val="1"/>
          <w:numId w:val="25"/>
        </w:numPr>
      </w:pPr>
      <w:r>
        <w:t>If the exemption or modification relates to all entities or all entities within a class, ASIC must make a legislative instrument</w:t>
      </w:r>
      <w:r w:rsidRPr="00034835">
        <w:rPr>
          <w:rStyle w:val="Referencingstyle"/>
          <w:b w:val="0"/>
          <w:i w:val="0"/>
        </w:rPr>
        <w:t>.</w:t>
      </w:r>
      <w:r>
        <w:rPr>
          <w:rStyle w:val="Referencingstyle"/>
        </w:rPr>
        <w:t xml:space="preserve"> </w:t>
      </w:r>
      <w:r>
        <w:t xml:space="preserve">The legislative instrument is subject to disallowance and </w:t>
      </w:r>
      <w:r w:rsidR="004E57BD">
        <w:t>enter</w:t>
      </w:r>
      <w:r>
        <w:t>ed on the FRL</w:t>
      </w:r>
      <w:r w:rsidRPr="00034835">
        <w:rPr>
          <w:i/>
        </w:rPr>
        <w:t>.</w:t>
      </w:r>
      <w:r>
        <w:t xml:space="preserve"> It is not necessary for ASIC to provide a notice to the affected entities because ASIC </w:t>
      </w:r>
      <w:r w:rsidR="004E57BD">
        <w:t>may not</w:t>
      </w:r>
      <w:r>
        <w:t xml:space="preserve"> know the identity of all entities that are, or may be, affected. </w:t>
      </w:r>
      <w:r>
        <w:rPr>
          <w:rStyle w:val="Referencingstyle"/>
        </w:rPr>
        <w:t xml:space="preserve">[Schedule 1, </w:t>
      </w:r>
      <w:r w:rsidR="005412C1">
        <w:rPr>
          <w:rStyle w:val="Referencingstyle"/>
        </w:rPr>
        <w:t>item </w:t>
      </w:r>
      <w:r>
        <w:rPr>
          <w:rStyle w:val="Referencingstyle"/>
        </w:rPr>
        <w:t xml:space="preserve">1, </w:t>
      </w:r>
      <w:r w:rsidR="005412C1">
        <w:rPr>
          <w:rStyle w:val="Referencingstyle"/>
        </w:rPr>
        <w:t>subsection </w:t>
      </w:r>
      <w:r>
        <w:rPr>
          <w:rStyle w:val="Referencingstyle"/>
        </w:rPr>
        <w:t>121</w:t>
      </w:r>
      <w:r w:rsidR="0095575D">
        <w:rPr>
          <w:rStyle w:val="Referencingstyle"/>
        </w:rPr>
        <w:t>7</w:t>
      </w:r>
      <w:r>
        <w:rPr>
          <w:rStyle w:val="Referencingstyle"/>
        </w:rPr>
        <w:t>(6)]</w:t>
      </w:r>
    </w:p>
    <w:p w14:paraId="7B125942" w14:textId="3497253A" w:rsidR="00973D0A" w:rsidRDefault="005412C1" w:rsidP="00A52B98">
      <w:pPr>
        <w:pStyle w:val="base-text-paragraph"/>
        <w:numPr>
          <w:ilvl w:val="1"/>
          <w:numId w:val="25"/>
        </w:numPr>
      </w:pPr>
      <w:r w:rsidRPr="007752A6">
        <w:lastRenderedPageBreak/>
        <w:t>Table</w:t>
      </w:r>
      <w:r>
        <w:t> </w:t>
      </w:r>
      <w:r w:rsidR="000C0CEB" w:rsidRPr="007752A6">
        <w:t>6.1 below</w:t>
      </w:r>
      <w:r w:rsidR="00973D0A" w:rsidRPr="007752A6">
        <w:t xml:space="preserve"> compares the two mechanisms that ASIC may</w:t>
      </w:r>
      <w:r w:rsidR="00973D0A">
        <w:t xml:space="preserve"> use to make an exemption or modification.</w:t>
      </w:r>
    </w:p>
    <w:p w14:paraId="09F73151" w14:textId="77777777" w:rsidR="00973D0A" w:rsidRDefault="00973D0A" w:rsidP="00973D0A">
      <w:pPr>
        <w:pStyle w:val="TableHeadingoutsidetable"/>
      </w:pPr>
      <w:r>
        <w:t>: Mechanism for making an exemption or modification</w:t>
      </w:r>
    </w:p>
    <w:tbl>
      <w:tblPr>
        <w:tblStyle w:val="TableGrid"/>
        <w:tblW w:w="0" w:type="auto"/>
        <w:tblInd w:w="1242" w:type="dxa"/>
        <w:tblLook w:val="04A0" w:firstRow="1" w:lastRow="0" w:firstColumn="1" w:lastColumn="0" w:noHBand="0" w:noVBand="1"/>
      </w:tblPr>
      <w:tblGrid>
        <w:gridCol w:w="1418"/>
        <w:gridCol w:w="2524"/>
        <w:gridCol w:w="2742"/>
      </w:tblGrid>
      <w:tr w:rsidR="00973D0A" w14:paraId="0FF32983" w14:textId="77777777" w:rsidTr="00F552DA">
        <w:tc>
          <w:tcPr>
            <w:tcW w:w="1418" w:type="dxa"/>
          </w:tcPr>
          <w:p w14:paraId="6B2B98F6" w14:textId="77777777" w:rsidR="00973D0A" w:rsidRDefault="00973D0A" w:rsidP="00F552DA">
            <w:pPr>
              <w:pStyle w:val="TableHeadingoutsidetable"/>
              <w:numPr>
                <w:ilvl w:val="0"/>
                <w:numId w:val="0"/>
              </w:numPr>
            </w:pPr>
          </w:p>
        </w:tc>
        <w:tc>
          <w:tcPr>
            <w:tcW w:w="2524" w:type="dxa"/>
          </w:tcPr>
          <w:p w14:paraId="0297F97A" w14:textId="77777777" w:rsidR="00973D0A" w:rsidRDefault="00973D0A" w:rsidP="00F552DA">
            <w:pPr>
              <w:pStyle w:val="tableheaderwithintable"/>
            </w:pPr>
            <w:r>
              <w:t>(1) Legislative Instruments</w:t>
            </w:r>
          </w:p>
        </w:tc>
        <w:tc>
          <w:tcPr>
            <w:tcW w:w="2742" w:type="dxa"/>
          </w:tcPr>
          <w:p w14:paraId="1B4A6436" w14:textId="77777777" w:rsidR="00973D0A" w:rsidRDefault="00973D0A" w:rsidP="00F552DA">
            <w:pPr>
              <w:pStyle w:val="tableheaderwithintable"/>
            </w:pPr>
            <w:r>
              <w:t>(2) Notifiable Instruments</w:t>
            </w:r>
          </w:p>
        </w:tc>
      </w:tr>
      <w:tr w:rsidR="00973D0A" w14:paraId="342F57B4" w14:textId="77777777" w:rsidTr="00F552DA">
        <w:tc>
          <w:tcPr>
            <w:tcW w:w="1418" w:type="dxa"/>
          </w:tcPr>
          <w:p w14:paraId="7E8C526A" w14:textId="77777777" w:rsidR="00973D0A" w:rsidRPr="00F638B6" w:rsidRDefault="00973D0A" w:rsidP="00F552DA">
            <w:pPr>
              <w:pStyle w:val="TableHeadingoutsidetable"/>
              <w:numPr>
                <w:ilvl w:val="0"/>
                <w:numId w:val="0"/>
              </w:numPr>
              <w:rPr>
                <w:i/>
                <w:sz w:val="20"/>
              </w:rPr>
            </w:pPr>
            <w:r>
              <w:rPr>
                <w:i/>
                <w:sz w:val="20"/>
              </w:rPr>
              <w:t>Applies to:</w:t>
            </w:r>
          </w:p>
        </w:tc>
        <w:tc>
          <w:tcPr>
            <w:tcW w:w="2524" w:type="dxa"/>
          </w:tcPr>
          <w:p w14:paraId="6842A5D1" w14:textId="77777777" w:rsidR="00973D0A" w:rsidRDefault="00973D0A" w:rsidP="00F552DA">
            <w:pPr>
              <w:pStyle w:val="tabletext"/>
              <w:ind w:left="33"/>
            </w:pPr>
            <w:r>
              <w:t>All entities/passport funds or all entities/passport funds in a class</w:t>
            </w:r>
          </w:p>
        </w:tc>
        <w:tc>
          <w:tcPr>
            <w:tcW w:w="2742" w:type="dxa"/>
          </w:tcPr>
          <w:p w14:paraId="5FE01FC3" w14:textId="77777777" w:rsidR="00973D0A" w:rsidRDefault="00973D0A" w:rsidP="00F552DA">
            <w:pPr>
              <w:pStyle w:val="tabletext"/>
              <w:ind w:left="33"/>
            </w:pPr>
            <w:r>
              <w:t>Specified entities</w:t>
            </w:r>
          </w:p>
        </w:tc>
      </w:tr>
      <w:tr w:rsidR="00973D0A" w14:paraId="5628FAB7" w14:textId="77777777" w:rsidTr="00F552DA">
        <w:tc>
          <w:tcPr>
            <w:tcW w:w="1418" w:type="dxa"/>
          </w:tcPr>
          <w:p w14:paraId="17446265" w14:textId="77777777" w:rsidR="00973D0A" w:rsidRPr="00F638B6" w:rsidRDefault="00973D0A" w:rsidP="00F552DA">
            <w:pPr>
              <w:pStyle w:val="TableHeadingoutsidetable"/>
              <w:numPr>
                <w:ilvl w:val="0"/>
                <w:numId w:val="0"/>
              </w:numPr>
              <w:rPr>
                <w:i/>
                <w:sz w:val="20"/>
              </w:rPr>
            </w:pPr>
            <w:r w:rsidRPr="00F638B6">
              <w:rPr>
                <w:i/>
                <w:sz w:val="20"/>
              </w:rPr>
              <w:t>Disallowable?</w:t>
            </w:r>
          </w:p>
        </w:tc>
        <w:tc>
          <w:tcPr>
            <w:tcW w:w="2524" w:type="dxa"/>
          </w:tcPr>
          <w:p w14:paraId="357F738A" w14:textId="77777777" w:rsidR="00973D0A" w:rsidRDefault="00973D0A" w:rsidP="00F552DA">
            <w:pPr>
              <w:pStyle w:val="tabletext"/>
              <w:ind w:left="33"/>
            </w:pPr>
            <w:r>
              <w:t>Yes</w:t>
            </w:r>
          </w:p>
        </w:tc>
        <w:tc>
          <w:tcPr>
            <w:tcW w:w="2742" w:type="dxa"/>
          </w:tcPr>
          <w:p w14:paraId="75804D78" w14:textId="77777777" w:rsidR="00973D0A" w:rsidRDefault="00973D0A" w:rsidP="00F552DA">
            <w:pPr>
              <w:pStyle w:val="tabletext"/>
              <w:ind w:left="33"/>
            </w:pPr>
            <w:r>
              <w:t>No</w:t>
            </w:r>
          </w:p>
        </w:tc>
      </w:tr>
      <w:tr w:rsidR="00973D0A" w14:paraId="3B430B79" w14:textId="77777777" w:rsidTr="00F552DA">
        <w:tc>
          <w:tcPr>
            <w:tcW w:w="1418" w:type="dxa"/>
          </w:tcPr>
          <w:p w14:paraId="7D271D90" w14:textId="77777777" w:rsidR="00973D0A" w:rsidRPr="00F638B6" w:rsidRDefault="00973D0A" w:rsidP="00F552DA">
            <w:pPr>
              <w:pStyle w:val="TableHeadingoutsidetable"/>
              <w:numPr>
                <w:ilvl w:val="0"/>
                <w:numId w:val="0"/>
              </w:numPr>
              <w:rPr>
                <w:i/>
                <w:sz w:val="20"/>
              </w:rPr>
            </w:pPr>
            <w:r w:rsidRPr="00F638B6">
              <w:rPr>
                <w:i/>
                <w:sz w:val="20"/>
              </w:rPr>
              <w:t>Notification</w:t>
            </w:r>
          </w:p>
        </w:tc>
        <w:tc>
          <w:tcPr>
            <w:tcW w:w="2524" w:type="dxa"/>
          </w:tcPr>
          <w:p w14:paraId="60A60A68" w14:textId="77777777" w:rsidR="00973D0A" w:rsidRDefault="00973D0A" w:rsidP="00F552DA">
            <w:pPr>
              <w:pStyle w:val="tabletext"/>
              <w:ind w:left="33"/>
            </w:pPr>
            <w:r>
              <w:t>FRL</w:t>
            </w:r>
          </w:p>
        </w:tc>
        <w:tc>
          <w:tcPr>
            <w:tcW w:w="2742" w:type="dxa"/>
          </w:tcPr>
          <w:p w14:paraId="5CEA239A" w14:textId="77777777" w:rsidR="00973D0A" w:rsidRDefault="00973D0A" w:rsidP="00F552DA">
            <w:pPr>
              <w:pStyle w:val="tabledotpoint"/>
            </w:pPr>
            <w:r>
              <w:t>FRL</w:t>
            </w:r>
          </w:p>
          <w:p w14:paraId="1D64B366" w14:textId="77777777" w:rsidR="00973D0A" w:rsidRDefault="00973D0A" w:rsidP="00F552DA">
            <w:pPr>
              <w:pStyle w:val="tabledotpoint"/>
            </w:pPr>
            <w:r>
              <w:t>Written notification from ASIC</w:t>
            </w:r>
          </w:p>
        </w:tc>
      </w:tr>
    </w:tbl>
    <w:p w14:paraId="161BFC5F" w14:textId="2DB7D86A" w:rsidR="00973D0A" w:rsidRDefault="00973D0A" w:rsidP="00973D0A">
      <w:pPr>
        <w:pStyle w:val="base-text-paragraph"/>
      </w:pPr>
      <w:r>
        <w:t xml:space="preserve">The new exemption and modification powers allow ASIC to provide administrative relief in circumstances where the strict operation of the Act produces unintended or </w:t>
      </w:r>
      <w:r w:rsidR="00C639D8">
        <w:t xml:space="preserve">unforeseen </w:t>
      </w:r>
      <w:r>
        <w:t xml:space="preserve">results. Issues may arise that were not contemplated at the time of drafting because the Asia Region Funds Passport is a new regime, the funds industry is undergoing rapid innovation, and many foreign passport funds are structured differently to Australian </w:t>
      </w:r>
      <w:r w:rsidR="004E57BD">
        <w:t>managed investment schemes</w:t>
      </w:r>
      <w:r>
        <w:t xml:space="preserve"> or use vehicles which are not available in Australia. </w:t>
      </w:r>
      <w:r w:rsidR="00CC1793">
        <w:t>It is considered highly likely that in view of these circumstances unintended co</w:t>
      </w:r>
      <w:r w:rsidR="00E329B4">
        <w:t>nsequences will arise. A</w:t>
      </w:r>
      <w:r w:rsidR="00CC1793">
        <w:t>dministrative relief provided by ASIC may be the best approach for dealing with them in many instances</w:t>
      </w:r>
      <w:r w:rsidR="00E329B4">
        <w:t xml:space="preserve">, as the issues may be too individual and specific to justify addressing them through legislation. </w:t>
      </w:r>
    </w:p>
    <w:p w14:paraId="4AAD9311" w14:textId="77777777" w:rsidR="00973D0A" w:rsidRDefault="00973D0A" w:rsidP="00973D0A">
      <w:pPr>
        <w:pStyle w:val="base-text-paragraph"/>
      </w:pPr>
      <w:r>
        <w:t>The exemption and modification powers in the new law are subject to the usual safeguards, including administrative review by the Administrative Appeals Tribunal, judicial review and consideration in appropriate circumstances by the Commonwealth Ombudsman.</w:t>
      </w:r>
    </w:p>
    <w:p w14:paraId="7FEFC2BF" w14:textId="77777777" w:rsidR="00973D0A" w:rsidRPr="001D7941" w:rsidRDefault="00973D0A" w:rsidP="00973D0A">
      <w:pPr>
        <w:pStyle w:val="base-text-paragraph"/>
        <w:numPr>
          <w:ilvl w:val="0"/>
          <w:numId w:val="0"/>
        </w:numPr>
        <w:ind w:left="1134"/>
        <w:rPr>
          <w:b/>
          <w:i/>
        </w:rPr>
      </w:pPr>
      <w:r>
        <w:rPr>
          <w:b/>
          <w:i/>
        </w:rPr>
        <w:t>Exemptions relating to the Passport Rules</w:t>
      </w:r>
    </w:p>
    <w:p w14:paraId="2C0F15D8" w14:textId="0871D9DB" w:rsidR="00973D0A" w:rsidRDefault="00973D0A" w:rsidP="00A52B98">
      <w:pPr>
        <w:pStyle w:val="base-text-paragraph"/>
        <w:numPr>
          <w:ilvl w:val="1"/>
          <w:numId w:val="25"/>
        </w:numPr>
      </w:pPr>
      <w:r>
        <w:t xml:space="preserve">ASIC’s exemption and modification powers with respect to the Passport Rules are the same as its exemption and modification powers for </w:t>
      </w:r>
      <w:r w:rsidR="005412C1">
        <w:t>Chapter </w:t>
      </w:r>
      <w:r>
        <w:t xml:space="preserve">8A, except that there are certain preconditions that must be satisfied before ASIC </w:t>
      </w:r>
      <w:r w:rsidR="000C0CEB">
        <w:t xml:space="preserve">can </w:t>
      </w:r>
      <w:r>
        <w:t xml:space="preserve">exercise its powers. These conditions are designed to prevent one economy from unilaterally changing the </w:t>
      </w:r>
      <w:r w:rsidR="005412C1">
        <w:t>Passport </w:t>
      </w:r>
      <w:r>
        <w:t xml:space="preserve">Rules and are based on </w:t>
      </w:r>
      <w:r w:rsidR="005412C1">
        <w:t>subsection </w:t>
      </w:r>
      <w:r>
        <w:t xml:space="preserve">13(2) of </w:t>
      </w:r>
      <w:r w:rsidR="005412C1">
        <w:t>Annex </w:t>
      </w:r>
      <w:r>
        <w:t xml:space="preserve">2 of the MOC. </w:t>
      </w:r>
      <w:r>
        <w:rPr>
          <w:rStyle w:val="Referencingstyle"/>
        </w:rPr>
        <w:t xml:space="preserve">[Schedule 1, </w:t>
      </w:r>
      <w:r w:rsidR="005412C1">
        <w:rPr>
          <w:rStyle w:val="Referencingstyle"/>
        </w:rPr>
        <w:t>item </w:t>
      </w:r>
      <w:r>
        <w:rPr>
          <w:rStyle w:val="Referencingstyle"/>
        </w:rPr>
        <w:t xml:space="preserve">1, </w:t>
      </w:r>
      <w:r w:rsidR="005412C1">
        <w:rPr>
          <w:rStyle w:val="Referencingstyle"/>
        </w:rPr>
        <w:t>section </w:t>
      </w:r>
      <w:r>
        <w:rPr>
          <w:rStyle w:val="Referencingstyle"/>
        </w:rPr>
        <w:t>121</w:t>
      </w:r>
      <w:r w:rsidR="0095575D">
        <w:rPr>
          <w:rStyle w:val="Referencingstyle"/>
        </w:rPr>
        <w:t>7</w:t>
      </w:r>
      <w:r>
        <w:rPr>
          <w:rStyle w:val="Referencingstyle"/>
        </w:rPr>
        <w:t>A]</w:t>
      </w:r>
    </w:p>
    <w:p w14:paraId="59C5CE11" w14:textId="4F8C785C" w:rsidR="00973D0A" w:rsidRDefault="00973D0A" w:rsidP="00973D0A">
      <w:pPr>
        <w:pStyle w:val="base-text-paragraph"/>
      </w:pPr>
      <w:r>
        <w:t xml:space="preserve">The first precondition applies to exemptions or modifications for Australian funds. It requires the approval of all </w:t>
      </w:r>
      <w:r w:rsidRPr="0095575D">
        <w:rPr>
          <w:b/>
          <w:i/>
        </w:rPr>
        <w:t>host regulators</w:t>
      </w:r>
      <w:r>
        <w:t xml:space="preserve"> for the fund before the exemption or modification</w:t>
      </w:r>
      <w:r w:rsidR="00E53268">
        <w:t xml:space="preserve"> can take effect</w:t>
      </w:r>
      <w:r>
        <w:t xml:space="preserve">. </w:t>
      </w:r>
      <w:r>
        <w:rPr>
          <w:rStyle w:val="Referencingstyle"/>
        </w:rPr>
        <w:t xml:space="preserve">[Schedule 1, </w:t>
      </w:r>
      <w:r w:rsidR="00BF4670">
        <w:rPr>
          <w:rStyle w:val="Referencingstyle"/>
        </w:rPr>
        <w:t>item </w:t>
      </w:r>
      <w:r>
        <w:rPr>
          <w:rStyle w:val="Referencingstyle"/>
        </w:rPr>
        <w:t xml:space="preserve">1, </w:t>
      </w:r>
      <w:r w:rsidR="00BF4670">
        <w:rPr>
          <w:rStyle w:val="Referencingstyle"/>
        </w:rPr>
        <w:t>paragraph </w:t>
      </w:r>
      <w:r>
        <w:rPr>
          <w:rStyle w:val="Referencingstyle"/>
        </w:rPr>
        <w:t>121</w:t>
      </w:r>
      <w:r w:rsidR="0095575D">
        <w:rPr>
          <w:rStyle w:val="Referencingstyle"/>
        </w:rPr>
        <w:t>7</w:t>
      </w:r>
      <w:r>
        <w:rPr>
          <w:rStyle w:val="Referencingstyle"/>
        </w:rPr>
        <w:t>A(3)(a)]</w:t>
      </w:r>
    </w:p>
    <w:p w14:paraId="147F50C6" w14:textId="18799ACB" w:rsidR="00973D0A" w:rsidRDefault="00973D0A" w:rsidP="00973D0A">
      <w:pPr>
        <w:pStyle w:val="base-text-paragraph"/>
      </w:pPr>
      <w:r w:rsidRPr="0095575D">
        <w:rPr>
          <w:b/>
          <w:i/>
        </w:rPr>
        <w:lastRenderedPageBreak/>
        <w:t>Host regulators</w:t>
      </w:r>
      <w:r>
        <w:t xml:space="preserve"> include the regulators in countries where Australian funds </w:t>
      </w:r>
      <w:r w:rsidR="00DE5CD0">
        <w:t>are allowed</w:t>
      </w:r>
      <w:r>
        <w:t xml:space="preserve"> to offer interests or applied to offer interests (and not yet been rejected) </w:t>
      </w:r>
      <w:r>
        <w:rPr>
          <w:rStyle w:val="Referencingstyle"/>
        </w:rPr>
        <w:t xml:space="preserve">[Schedule 1, </w:t>
      </w:r>
      <w:r w:rsidR="00BF4670">
        <w:rPr>
          <w:rStyle w:val="Referencingstyle"/>
        </w:rPr>
        <w:t>item </w:t>
      </w:r>
      <w:r>
        <w:rPr>
          <w:rStyle w:val="Referencingstyle"/>
        </w:rPr>
        <w:t xml:space="preserve">1, </w:t>
      </w:r>
      <w:r w:rsidR="00BF4670">
        <w:rPr>
          <w:rStyle w:val="Referencingstyle"/>
        </w:rPr>
        <w:t>section </w:t>
      </w:r>
      <w:r>
        <w:rPr>
          <w:rStyle w:val="Referencingstyle"/>
        </w:rPr>
        <w:t>1210]</w:t>
      </w:r>
      <w:r>
        <w:t xml:space="preserve">. It is not necessary to obtain the approval of participating economies that are not host regulators. Nevertheless, if the fund </w:t>
      </w:r>
      <w:r w:rsidR="00DE5CD0">
        <w:t>wanted</w:t>
      </w:r>
      <w:r>
        <w:t xml:space="preserve"> to offer interests in one of these participating economies at a later point and the regulator of that participating economy did not accept the exemption, the regulator may </w:t>
      </w:r>
      <w:r w:rsidRPr="007752A6">
        <w:t xml:space="preserve">refuse the notice of intention to offer interests. </w:t>
      </w:r>
      <w:r w:rsidR="000755EC" w:rsidRPr="007752A6">
        <w:t>S</w:t>
      </w:r>
      <w:r w:rsidRPr="007752A6">
        <w:t xml:space="preserve">ee </w:t>
      </w:r>
      <w:r w:rsidR="006E4C9A" w:rsidRPr="007752A6">
        <w:t>Chapter</w:t>
      </w:r>
      <w:r w:rsidR="006E4C9A">
        <w:t> </w:t>
      </w:r>
      <w:r w:rsidRPr="007752A6">
        <w:t xml:space="preserve">3 of </w:t>
      </w:r>
      <w:r w:rsidR="006E4C9A">
        <w:t>these explanatory materials</w:t>
      </w:r>
      <w:r w:rsidR="006E4C9A" w:rsidRPr="007752A6" w:rsidDel="006E4C9A">
        <w:t xml:space="preserve"> </w:t>
      </w:r>
      <w:r>
        <w:t>for an explanation of this ground for refusing a notice of intention.</w:t>
      </w:r>
    </w:p>
    <w:p w14:paraId="734A734D" w14:textId="450F832C" w:rsidR="00973D0A" w:rsidRPr="00247098" w:rsidRDefault="00973D0A" w:rsidP="00A52B98">
      <w:pPr>
        <w:pStyle w:val="base-text-paragraph"/>
        <w:numPr>
          <w:ilvl w:val="1"/>
          <w:numId w:val="25"/>
        </w:numPr>
        <w:rPr>
          <w:rStyle w:val="Referencingstyle"/>
          <w:b w:val="0"/>
          <w:i w:val="0"/>
          <w:sz w:val="22"/>
        </w:rPr>
      </w:pPr>
      <w:r>
        <w:t xml:space="preserve">The second precondition applies to exemptions or modifications which relate to notified foreign passport funds. It prohibits ASIC from exercising its powers unless a similar exemption or modification has been granted by the </w:t>
      </w:r>
      <w:r w:rsidR="00E64129">
        <w:t xml:space="preserve">foreign passport </w:t>
      </w:r>
      <w:r>
        <w:t xml:space="preserve">fund’s home economy </w:t>
      </w:r>
      <w:r>
        <w:rPr>
          <w:rStyle w:val="Referencingstyle"/>
        </w:rPr>
        <w:t xml:space="preserve">[Schedule 1, </w:t>
      </w:r>
      <w:r w:rsidR="00BF4670">
        <w:rPr>
          <w:rStyle w:val="Referencingstyle"/>
        </w:rPr>
        <w:t>item </w:t>
      </w:r>
      <w:r>
        <w:rPr>
          <w:rStyle w:val="Referencingstyle"/>
        </w:rPr>
        <w:t xml:space="preserve">1, </w:t>
      </w:r>
      <w:r w:rsidR="00BF4670">
        <w:rPr>
          <w:rStyle w:val="Referencingstyle"/>
        </w:rPr>
        <w:t>paragraph </w:t>
      </w:r>
      <w:r>
        <w:rPr>
          <w:rStyle w:val="Referencingstyle"/>
        </w:rPr>
        <w:t>121</w:t>
      </w:r>
      <w:r w:rsidR="0095575D">
        <w:rPr>
          <w:rStyle w:val="Referencingstyle"/>
        </w:rPr>
        <w:t>7</w:t>
      </w:r>
      <w:r w:rsidR="005101C6">
        <w:rPr>
          <w:rStyle w:val="Referencingstyle"/>
        </w:rPr>
        <w:t>A</w:t>
      </w:r>
      <w:r>
        <w:rPr>
          <w:rStyle w:val="Referencingstyle"/>
        </w:rPr>
        <w:t>(3)(b)]</w:t>
      </w:r>
      <w:r>
        <w:t>. Under the MOC, the home economy will only be able to make an exemption or modification if it has been agreed by all host regulators.</w:t>
      </w:r>
      <w:r w:rsidRPr="00034835">
        <w:rPr>
          <w:rStyle w:val="Referencingstyle"/>
        </w:rPr>
        <w:t xml:space="preserve"> </w:t>
      </w:r>
    </w:p>
    <w:p w14:paraId="6B70E009" w14:textId="12645CCA" w:rsidR="00973D0A" w:rsidRDefault="00973D0A" w:rsidP="00973D0A">
      <w:pPr>
        <w:pStyle w:val="Heading3"/>
      </w:pPr>
      <w:r>
        <w:t>Regulation</w:t>
      </w:r>
      <w:r w:rsidR="005412C1">
        <w:noBreakHyphen/>
      </w:r>
      <w:r>
        <w:t>making power</w:t>
      </w:r>
    </w:p>
    <w:p w14:paraId="644FB6C6" w14:textId="78623AD1" w:rsidR="00973D0A" w:rsidRDefault="00973D0A" w:rsidP="00A52B98">
      <w:pPr>
        <w:pStyle w:val="base-text-paragraph"/>
        <w:numPr>
          <w:ilvl w:val="1"/>
          <w:numId w:val="25"/>
        </w:numPr>
        <w:shd w:val="clear" w:color="auto" w:fill="FFFFFF" w:themeFill="background1"/>
      </w:pPr>
      <w:r>
        <w:t xml:space="preserve">Regulations may </w:t>
      </w:r>
      <w:r w:rsidR="00F02C38">
        <w:t xml:space="preserve">provide exemptions from or </w:t>
      </w:r>
      <w:r>
        <w:t xml:space="preserve">modify the operation of </w:t>
      </w:r>
      <w:r w:rsidR="00BF4670">
        <w:t>Chapter </w:t>
      </w:r>
      <w:r>
        <w:t>8A</w:t>
      </w:r>
      <w:r w:rsidR="00F02C38">
        <w:t xml:space="preserve">, the </w:t>
      </w:r>
      <w:r w:rsidR="00BF4670">
        <w:t>Passport </w:t>
      </w:r>
      <w:r w:rsidR="00F02C38">
        <w:t>Rules</w:t>
      </w:r>
      <w:r>
        <w:t xml:space="preserve"> or a provision in any other chapter of the </w:t>
      </w:r>
      <w:r w:rsidR="00BF4670">
        <w:t>Corporations </w:t>
      </w:r>
      <w:r>
        <w:t>Act</w:t>
      </w:r>
      <w:r w:rsidR="00FC47AD">
        <w:t xml:space="preserve"> or the </w:t>
      </w:r>
      <w:r w:rsidR="00BF4670">
        <w:t>ASIC </w:t>
      </w:r>
      <w:r w:rsidR="00FC47AD">
        <w:t>Act</w:t>
      </w:r>
      <w:r>
        <w:t>.</w:t>
      </w:r>
      <w:r w:rsidR="0095575D">
        <w:t xml:space="preserve"> The exemptions or modifications may apply to a single passport fund, a class of passport funds or all passport funds, as well as to a single entity, a class of entities or all entities in relation to a passport fund.</w:t>
      </w:r>
      <w:r>
        <w:t xml:space="preserve"> This is broader than ASIC’s exemption and modification power which is confined to the new Chapter</w:t>
      </w:r>
      <w:r w:rsidR="00C11F33">
        <w:t> </w:t>
      </w:r>
      <w:r>
        <w:t xml:space="preserve">8A and the </w:t>
      </w:r>
      <w:r w:rsidR="00BF4670">
        <w:t>Passport </w:t>
      </w:r>
      <w:r>
        <w:t xml:space="preserve">Rules in this jurisdiction. </w:t>
      </w:r>
      <w:r>
        <w:rPr>
          <w:rStyle w:val="Referencingstyle"/>
        </w:rPr>
        <w:t>[</w:t>
      </w:r>
      <w:r w:rsidR="00BF4670">
        <w:rPr>
          <w:rStyle w:val="Referencingstyle"/>
        </w:rPr>
        <w:t>Schedule </w:t>
      </w:r>
      <w:r>
        <w:rPr>
          <w:rStyle w:val="Referencingstyle"/>
        </w:rPr>
        <w:t xml:space="preserve">1, </w:t>
      </w:r>
      <w:r w:rsidR="00BF4670">
        <w:rPr>
          <w:rStyle w:val="Referencingstyle"/>
        </w:rPr>
        <w:t>item </w:t>
      </w:r>
      <w:r>
        <w:rPr>
          <w:rStyle w:val="Referencingstyle"/>
        </w:rPr>
        <w:t xml:space="preserve">1, </w:t>
      </w:r>
      <w:r w:rsidR="00BF4670">
        <w:rPr>
          <w:rStyle w:val="Referencingstyle"/>
        </w:rPr>
        <w:t>section </w:t>
      </w:r>
      <w:r>
        <w:rPr>
          <w:rStyle w:val="Referencingstyle"/>
        </w:rPr>
        <w:t>121</w:t>
      </w:r>
      <w:r w:rsidR="0095575D">
        <w:rPr>
          <w:rStyle w:val="Referencingstyle"/>
        </w:rPr>
        <w:t>7</w:t>
      </w:r>
      <w:r>
        <w:rPr>
          <w:rStyle w:val="Referencingstyle"/>
        </w:rPr>
        <w:t>B]</w:t>
      </w:r>
    </w:p>
    <w:p w14:paraId="6BD9C2C5" w14:textId="7BF3FB42" w:rsidR="007478D6" w:rsidRDefault="007478D6" w:rsidP="00A52B98">
      <w:pPr>
        <w:pStyle w:val="base-text-paragraph"/>
        <w:numPr>
          <w:ilvl w:val="1"/>
          <w:numId w:val="25"/>
        </w:numPr>
        <w:shd w:val="clear" w:color="auto" w:fill="FFFFFF" w:themeFill="background1"/>
      </w:pPr>
      <w:r>
        <w:t>This power provides the flexibility required to deal with the unintended consequences that are almost certain to arise when a new regime</w:t>
      </w:r>
      <w:r w:rsidR="004C5B30">
        <w:t xml:space="preserve"> as broad as the Passport is introduced. </w:t>
      </w:r>
      <w:r w:rsidR="00563D03">
        <w:t>The modifications powers provided under this section represent a useful and necessary tool to deal with these circumstances.</w:t>
      </w:r>
    </w:p>
    <w:p w14:paraId="6123AD5C" w14:textId="77777777" w:rsidR="00973D0A" w:rsidRDefault="00973D0A" w:rsidP="00A52B98">
      <w:pPr>
        <w:pStyle w:val="base-text-paragraph"/>
        <w:numPr>
          <w:ilvl w:val="1"/>
          <w:numId w:val="25"/>
        </w:numPr>
        <w:shd w:val="clear" w:color="auto" w:fill="FFFFFF" w:themeFill="background1"/>
      </w:pPr>
      <w:r>
        <w:t>These regulations will be disallowable, are subject to the sunsetting regime and must be notified on the FRL.</w:t>
      </w:r>
    </w:p>
    <w:p w14:paraId="30BE7DB0" w14:textId="77777777" w:rsidR="00973D0A" w:rsidRDefault="00973D0A" w:rsidP="00973D0A">
      <w:pPr>
        <w:pStyle w:val="Heading2"/>
      </w:pPr>
      <w:r>
        <w:t>Consequential amendments</w:t>
      </w:r>
    </w:p>
    <w:p w14:paraId="6F6E2E67" w14:textId="2D7D9877" w:rsidR="00D85BEA" w:rsidRPr="00200C32" w:rsidRDefault="00DA2CFE" w:rsidP="00DA2CFE">
      <w:pPr>
        <w:pStyle w:val="base-text-paragraph"/>
      </w:pPr>
      <w:r w:rsidRPr="00DA2CFE">
        <w:t xml:space="preserve">There are no consequential amendments for this </w:t>
      </w:r>
      <w:r>
        <w:t>Part</w:t>
      </w:r>
      <w:r w:rsidR="007752A6">
        <w:t>.</w:t>
      </w:r>
    </w:p>
    <w:sectPr w:rsidR="00D85BEA" w:rsidRPr="00200C32" w:rsidSect="00821379">
      <w:headerReference w:type="default" r:id="rId51"/>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3CE98" w14:textId="77777777" w:rsidR="006726C7" w:rsidRDefault="006726C7">
      <w:r>
        <w:separator/>
      </w:r>
    </w:p>
  </w:endnote>
  <w:endnote w:type="continuationSeparator" w:id="0">
    <w:p w14:paraId="7DA22C1F" w14:textId="77777777" w:rsidR="006726C7" w:rsidRDefault="006726C7">
      <w:r>
        <w:continuationSeparator/>
      </w:r>
    </w:p>
  </w:endnote>
  <w:endnote w:type="continuationNotice" w:id="1">
    <w:p w14:paraId="3F216312" w14:textId="77777777" w:rsidR="006726C7" w:rsidRDefault="006726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19B53" w14:textId="77777777" w:rsidR="006726C7" w:rsidRDefault="006726C7" w:rsidP="00260FA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D4CC4" w14:textId="77777777" w:rsidR="006726C7" w:rsidRDefault="006726C7" w:rsidP="003D5919">
    <w:pPr>
      <w:pStyle w:val="rightfooter"/>
    </w:pPr>
    <w:r>
      <w:fldChar w:fldCharType="begin"/>
    </w:r>
    <w:r>
      <w:instrText xml:space="preserve"> PAGE   \* MERGEFORMAT </w:instrText>
    </w:r>
    <w:r>
      <w:fldChar w:fldCharType="separate"/>
    </w:r>
    <w:r w:rsidR="00327E96">
      <w:rPr>
        <w:noProof/>
      </w:rPr>
      <w:t>11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30D6F" w14:textId="77777777" w:rsidR="006726C7" w:rsidRDefault="006726C7" w:rsidP="003D5919">
    <w:pPr>
      <w:pStyle w:val="rightfooter"/>
    </w:pPr>
    <w:r>
      <w:fldChar w:fldCharType="begin"/>
    </w:r>
    <w:r>
      <w:instrText xml:space="preserve"> PAGE  \* Arabic  \* MERGEFORMAT </w:instrText>
    </w:r>
    <w:r>
      <w:fldChar w:fldCharType="separate"/>
    </w:r>
    <w:r w:rsidR="00327E96">
      <w:rPr>
        <w:noProof/>
      </w:rPr>
      <w:t>7</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97DF2" w14:textId="77777777" w:rsidR="006726C7" w:rsidRDefault="006726C7" w:rsidP="00856A12">
    <w:pPr>
      <w:pStyle w:val="leftfooter"/>
    </w:pPr>
    <w:r>
      <w:fldChar w:fldCharType="begin"/>
    </w:r>
    <w:r>
      <w:instrText xml:space="preserve"> PAGE   \* MERGEFORMAT </w:instrText>
    </w:r>
    <w:r>
      <w:fldChar w:fldCharType="separate"/>
    </w:r>
    <w:r w:rsidR="00327E96">
      <w:rPr>
        <w:noProof/>
      </w:rPr>
      <w:t>24</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BFEDE" w14:textId="77777777" w:rsidR="006726C7" w:rsidRDefault="006726C7" w:rsidP="00856A12">
    <w:pPr>
      <w:pStyle w:val="rightfooter"/>
    </w:pPr>
    <w:r>
      <w:fldChar w:fldCharType="begin"/>
    </w:r>
    <w:r>
      <w:instrText xml:space="preserve"> PAGE   \* MERGEFORMAT </w:instrText>
    </w:r>
    <w:r>
      <w:fldChar w:fldCharType="separate"/>
    </w:r>
    <w:r w:rsidR="00327E96">
      <w:rPr>
        <w:noProof/>
      </w:rPr>
      <w:t>23</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EE547" w14:textId="77777777" w:rsidR="006726C7" w:rsidRDefault="006726C7" w:rsidP="00856A12">
    <w:pPr>
      <w:pStyle w:val="rightfooter"/>
    </w:pPr>
    <w:r>
      <w:fldChar w:fldCharType="begin"/>
    </w:r>
    <w:r>
      <w:instrText xml:space="preserve"> PAGE  \* Arabic  \* MERGEFORMAT </w:instrText>
    </w:r>
    <w:r>
      <w:fldChar w:fldCharType="separate"/>
    </w:r>
    <w:r w:rsidR="00327E96">
      <w:rPr>
        <w:noProof/>
      </w:rPr>
      <w:t>13</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BC9B1" w14:textId="77777777" w:rsidR="006726C7" w:rsidRDefault="006726C7" w:rsidP="003D5919">
    <w:pPr>
      <w:pStyle w:val="leftfooter"/>
    </w:pPr>
    <w:r>
      <w:fldChar w:fldCharType="begin"/>
    </w:r>
    <w:r>
      <w:instrText xml:space="preserve"> PAGE   \* MERGEFORMAT </w:instrText>
    </w:r>
    <w:r>
      <w:fldChar w:fldCharType="separate"/>
    </w:r>
    <w:r w:rsidR="00327E96">
      <w:rPr>
        <w:noProof/>
      </w:rPr>
      <w:t>34</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CF745" w14:textId="77777777" w:rsidR="006726C7" w:rsidRDefault="006726C7" w:rsidP="003D5919">
    <w:pPr>
      <w:pStyle w:val="rightfooter"/>
    </w:pPr>
    <w:r>
      <w:fldChar w:fldCharType="begin"/>
    </w:r>
    <w:r>
      <w:instrText xml:space="preserve"> PAGE   \* MERGEFORMAT </w:instrText>
    </w:r>
    <w:r>
      <w:fldChar w:fldCharType="separate"/>
    </w:r>
    <w:r w:rsidR="00327E96">
      <w:rPr>
        <w:noProof/>
      </w:rPr>
      <w:t>37</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2BCF9" w14:textId="77777777" w:rsidR="006726C7" w:rsidRDefault="006726C7" w:rsidP="003D5919">
    <w:pPr>
      <w:pStyle w:val="rightfooter"/>
    </w:pPr>
    <w:r>
      <w:fldChar w:fldCharType="begin"/>
    </w:r>
    <w:r>
      <w:instrText xml:space="preserve"> PAGE  \* Arabic  \* MERGEFORMAT </w:instrText>
    </w:r>
    <w:r>
      <w:fldChar w:fldCharType="separate"/>
    </w:r>
    <w:r w:rsidR="00327E96">
      <w:rPr>
        <w:noProof/>
      </w:rPr>
      <w:t>25</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D9687" w14:textId="77777777" w:rsidR="006726C7" w:rsidRDefault="006726C7" w:rsidP="005A76CC">
    <w:pPr>
      <w:pStyle w:val="leftfooter"/>
    </w:pPr>
    <w:r>
      <w:fldChar w:fldCharType="begin"/>
    </w:r>
    <w:r>
      <w:instrText xml:space="preserve"> PAGE   \* MERGEFORMAT </w:instrText>
    </w:r>
    <w:r>
      <w:fldChar w:fldCharType="separate"/>
    </w:r>
    <w:r w:rsidR="00327E96">
      <w:rPr>
        <w:noProof/>
      </w:rPr>
      <w:t>62</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CC71D" w14:textId="77777777" w:rsidR="006726C7" w:rsidRDefault="006726C7" w:rsidP="005A76CC">
    <w:pPr>
      <w:pStyle w:val="rightfooter"/>
    </w:pPr>
    <w:r>
      <w:fldChar w:fldCharType="begin"/>
    </w:r>
    <w:r>
      <w:instrText xml:space="preserve"> PAGE   \* MERGEFORMAT </w:instrText>
    </w:r>
    <w:r>
      <w:fldChar w:fldCharType="separate"/>
    </w:r>
    <w:r w:rsidR="00327E96">
      <w:rPr>
        <w:noProof/>
      </w:rPr>
      <w:t>63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C38CD" w14:textId="77777777" w:rsidR="006726C7" w:rsidRDefault="006726C7" w:rsidP="00260FA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750C2" w14:textId="77777777" w:rsidR="006726C7" w:rsidRDefault="006726C7" w:rsidP="005A76CC">
    <w:pPr>
      <w:pStyle w:val="rightfooter"/>
    </w:pPr>
    <w:r>
      <w:fldChar w:fldCharType="begin"/>
    </w:r>
    <w:r>
      <w:instrText xml:space="preserve"> PAGE  \* Arabic  \* MERGEFORMAT </w:instrText>
    </w:r>
    <w:r>
      <w:fldChar w:fldCharType="separate"/>
    </w:r>
    <w:r w:rsidR="00327E96">
      <w:rPr>
        <w:noProof/>
      </w:rPr>
      <w:t>59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78FD1" w14:textId="77777777" w:rsidR="006726C7" w:rsidRDefault="006726C7" w:rsidP="00260FA6">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C5F69" w14:textId="77777777" w:rsidR="006726C7" w:rsidRDefault="006726C7" w:rsidP="00260FA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C20A1" w14:textId="77777777" w:rsidR="006726C7" w:rsidRPr="00B2068E" w:rsidRDefault="006726C7" w:rsidP="00260FA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83FCB" w14:textId="77777777" w:rsidR="006726C7" w:rsidRDefault="006726C7" w:rsidP="00260FA6">
    <w:pPr>
      <w:pStyle w:val="leftfooter"/>
    </w:pPr>
    <w:r>
      <w:fldChar w:fldCharType="begin"/>
    </w:r>
    <w:r>
      <w:instrText xml:space="preserve"> PAGE   \* MERGEFORMAT </w:instrText>
    </w:r>
    <w:r>
      <w:fldChar w:fldCharType="separate"/>
    </w:r>
    <w:r w:rsidR="00327E96">
      <w:rPr>
        <w:noProof/>
      </w:rPr>
      <w:t>6</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27C2B" w14:textId="77777777" w:rsidR="006726C7" w:rsidRDefault="006726C7" w:rsidP="00260FA6">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FBE34" w14:textId="77777777" w:rsidR="006726C7" w:rsidRDefault="006726C7" w:rsidP="00260FA6">
    <w:pPr>
      <w:pStyle w:val="rightfooter"/>
    </w:pPr>
    <w:r>
      <w:fldChar w:fldCharType="begin"/>
    </w:r>
    <w:r>
      <w:instrText xml:space="preserve"> PAGE  \* Arabic  \* MERGEFORMAT </w:instrText>
    </w:r>
    <w:r>
      <w:fldChar w:fldCharType="separate"/>
    </w:r>
    <w:r w:rsidR="00327E96">
      <w:rPr>
        <w:noProof/>
      </w:rPr>
      <w:t>5</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A8773" w14:textId="77777777" w:rsidR="006726C7" w:rsidRDefault="006726C7" w:rsidP="003D5919">
    <w:pPr>
      <w:pStyle w:val="leftfooter"/>
    </w:pPr>
    <w:r>
      <w:fldChar w:fldCharType="begin"/>
    </w:r>
    <w:r>
      <w:instrText xml:space="preserve"> PAGE   \* MERGEFORMAT </w:instrText>
    </w:r>
    <w:r>
      <w:fldChar w:fldCharType="separate"/>
    </w:r>
    <w:r w:rsidR="00327E96">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B13EC" w14:textId="77777777" w:rsidR="006726C7" w:rsidRDefault="006726C7">
      <w:r>
        <w:separator/>
      </w:r>
    </w:p>
  </w:footnote>
  <w:footnote w:type="continuationSeparator" w:id="0">
    <w:p w14:paraId="4A95B088" w14:textId="77777777" w:rsidR="006726C7" w:rsidRDefault="006726C7">
      <w:r>
        <w:continuationSeparator/>
      </w:r>
    </w:p>
  </w:footnote>
  <w:footnote w:type="continuationNotice" w:id="1">
    <w:p w14:paraId="4A336119" w14:textId="77777777" w:rsidR="006726C7" w:rsidRDefault="006726C7">
      <w:pPr>
        <w:spacing w:before="0" w:after="0"/>
      </w:pPr>
    </w:p>
  </w:footnote>
  <w:footnote w:id="2">
    <w:p w14:paraId="0AD68010" w14:textId="09540463" w:rsidR="006726C7" w:rsidRDefault="006726C7">
      <w:pPr>
        <w:pStyle w:val="FootnoteText"/>
      </w:pPr>
      <w:r>
        <w:rPr>
          <w:rStyle w:val="FootnoteReference"/>
        </w:rPr>
        <w:footnoteRef/>
      </w:r>
      <w:r>
        <w:t xml:space="preserve"> </w:t>
      </w:r>
      <w:r>
        <w:tab/>
        <w:t xml:space="preserve">Willis Towers Watson 2017, </w:t>
      </w:r>
      <w:r w:rsidRPr="00403595">
        <w:rPr>
          <w:i/>
        </w:rPr>
        <w:t>Global Pension Assets Study 2017</w:t>
      </w:r>
      <w:r>
        <w:t>, at 29.</w:t>
      </w:r>
    </w:p>
  </w:footnote>
  <w:footnote w:id="3">
    <w:p w14:paraId="5917A3A1" w14:textId="4C8C3186" w:rsidR="006726C7" w:rsidRDefault="006726C7">
      <w:pPr>
        <w:pStyle w:val="FootnoteText"/>
      </w:pPr>
      <w:r>
        <w:rPr>
          <w:rStyle w:val="FootnoteReference"/>
        </w:rPr>
        <w:footnoteRef/>
      </w:r>
      <w:r>
        <w:t xml:space="preserve"> </w:t>
      </w:r>
      <w:r>
        <w:tab/>
        <w:t>While Singapore has not signed the MOC to date, it has participated in the discussions leading to the formulation of the MOC and may become a signatory in the future.</w:t>
      </w:r>
    </w:p>
  </w:footnote>
  <w:footnote w:id="4">
    <w:p w14:paraId="14A532C8" w14:textId="0D585226" w:rsidR="006726C7" w:rsidRDefault="006726C7" w:rsidP="00403595">
      <w:pPr>
        <w:pStyle w:val="FootnoteText"/>
      </w:pPr>
      <w:r>
        <w:rPr>
          <w:rStyle w:val="FootnoteReference"/>
        </w:rPr>
        <w:footnoteRef/>
      </w:r>
      <w:r>
        <w:t xml:space="preserve"> </w:t>
      </w:r>
      <w:r>
        <w:tab/>
        <w:t>Note: Singapore is not currently a signatory to the MOC but has been added because it was a signatory to the earlier Statement of Intent.</w:t>
      </w:r>
    </w:p>
  </w:footnote>
  <w:footnote w:id="5">
    <w:p w14:paraId="701E0FD1" w14:textId="51148703" w:rsidR="006726C7" w:rsidRDefault="006726C7">
      <w:pPr>
        <w:pStyle w:val="FootnoteText"/>
      </w:pPr>
      <w:r>
        <w:rPr>
          <w:rStyle w:val="FootnoteReference"/>
        </w:rPr>
        <w:footnoteRef/>
      </w:r>
      <w:r>
        <w:t xml:space="preserve"> </w:t>
      </w:r>
      <w:r>
        <w:tab/>
        <w:t xml:space="preserve">See </w:t>
      </w:r>
      <w:r w:rsidRPr="00447ED0">
        <w:t>Australian Law Reform Commission</w:t>
      </w:r>
      <w:r>
        <w:t xml:space="preserve">, </w:t>
      </w:r>
      <w:r w:rsidRPr="00447ED0">
        <w:rPr>
          <w:i/>
        </w:rPr>
        <w:t>Traditional Rights and Freedoms—Encroachments by Commonwealth Laws (ALRC Report 129)</w:t>
      </w:r>
      <w:r>
        <w:t xml:space="preserve">, December 2015. The report is available at </w:t>
      </w:r>
      <w:r w:rsidRPr="00447ED0">
        <w:t>https://www.alrc.gov.au/publications/freedoms-alrc129</w:t>
      </w:r>
      <w:r>
        <w:t xml:space="preserve"> (accessed August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51114" w14:textId="77777777" w:rsidR="006726C7" w:rsidRDefault="006726C7" w:rsidP="00260FA6">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39DCC" w14:textId="1A364EE6" w:rsidR="006726C7" w:rsidRDefault="006726C7" w:rsidP="003D5919">
    <w:pPr>
      <w:pStyle w:val="rightheader"/>
    </w:pPr>
    <w:r>
      <w:t xml:space="preserve">Chapter 1: </w:t>
    </w:r>
    <w:r w:rsidRPr="000D4810">
      <w:t xml:space="preserve">Context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9ACD2" w14:textId="03F04362" w:rsidR="006726C7" w:rsidRDefault="006726C7" w:rsidP="00856A12">
    <w:pPr>
      <w:pStyle w:val="leftheader"/>
    </w:pPr>
    <w:r w:rsidRPr="005B22BA">
      <w:t>Corporations Amendment (Asia Region Funds Passport) Bill 2017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1EAA9" w14:textId="43F01CA8" w:rsidR="006726C7" w:rsidRDefault="006726C7" w:rsidP="00856A12">
    <w:pPr>
      <w:pStyle w:val="rightheader"/>
    </w:pPr>
    <w:r>
      <w:t>Chapter 2: Key definitions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3D46D" w14:textId="77777777" w:rsidR="006726C7" w:rsidRDefault="006726C7" w:rsidP="003D5919">
    <w:pPr>
      <w:pStyle w:val="leftheader"/>
    </w:pPr>
    <w:r>
      <w:t>Corporations Amendment (Asia Region Funds Passport) Bill 2017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2C1F4" w14:textId="06694698" w:rsidR="006726C7" w:rsidRDefault="006726C7" w:rsidP="003D5919">
    <w:pPr>
      <w:pStyle w:val="rightheader"/>
    </w:pPr>
    <w:r>
      <w:t>Chapter 3: Application and registration</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BA695" w14:textId="42259690" w:rsidR="006726C7" w:rsidRDefault="006726C7" w:rsidP="005A76CC">
    <w:pPr>
      <w:pStyle w:val="leftheader"/>
    </w:pPr>
    <w:r>
      <w:t>Corporations Amendment (Asia Region Funds Passport) Bill 2017</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BB855" w14:textId="4C18B701" w:rsidR="006726C7" w:rsidRDefault="006726C7" w:rsidP="005A76CC">
    <w:pPr>
      <w:pStyle w:val="rightheader"/>
    </w:pPr>
    <w:r>
      <w:t xml:space="preserve">Chapter 4: </w:t>
    </w:r>
    <w:r w:rsidRPr="00654BB4">
      <w:t>Members’ rights to certain records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0E472" w14:textId="22379C92" w:rsidR="006726C7" w:rsidRDefault="006726C7" w:rsidP="005A76CC">
    <w:pPr>
      <w:pStyle w:val="rightheader"/>
    </w:pPr>
    <w:r>
      <w:t>Chapter 5: Compliance and enforcement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932A0" w14:textId="6B271AF9" w:rsidR="006726C7" w:rsidRDefault="006726C7" w:rsidP="005A76CC">
    <w:pPr>
      <w:pStyle w:val="rightheader"/>
    </w:pPr>
    <w:r>
      <w:t>Chapter 6: Exemptions and modifications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EAD0E" w14:textId="77777777" w:rsidR="006726C7" w:rsidRDefault="006726C7" w:rsidP="00260FA6">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409C0" w14:textId="17774ADA" w:rsidR="006726C7" w:rsidRDefault="006726C7">
    <w:pPr>
      <w:pStyle w:val="Header"/>
    </w:pPr>
    <w:r>
      <w:rPr>
        <w:noProof/>
      </w:rPr>
      <w:pict w14:anchorId="101A931B">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4098"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EXPOSURE 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03A1D" w14:textId="77777777" w:rsidR="006726C7" w:rsidRDefault="006726C7" w:rsidP="00260FA6">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8BE04" w14:textId="77777777" w:rsidR="006726C7" w:rsidRDefault="006726C7" w:rsidP="00260FA6">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F480C" w14:textId="77777777" w:rsidR="006726C7" w:rsidRDefault="006726C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ABE98" w14:textId="31FB0BE3" w:rsidR="006726C7" w:rsidRDefault="006726C7" w:rsidP="00260FA6">
    <w:pPr>
      <w:pStyle w:val="leftheader"/>
    </w:pPr>
    <w:r>
      <w:t>Corporations Amendment (Asian Region Funds Passport) Bill 2017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720A6" w14:textId="77777777" w:rsidR="006726C7" w:rsidRDefault="006726C7" w:rsidP="00260FA6">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A33E4" w14:textId="4DABF553" w:rsidR="006726C7" w:rsidRDefault="006726C7" w:rsidP="003D5919">
    <w:pPr>
      <w:pStyle w:val="leftheader"/>
    </w:pPr>
    <w:r>
      <w:t>Corporations Amendment (Asia Region Funds Passport) Bill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6D98FC9A"/>
    <w:numStyleLink w:val="TableDotPointList"/>
  </w:abstractNum>
  <w:abstractNum w:abstractNumId="13">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25A84D13"/>
    <w:multiLevelType w:val="hybridMultilevel"/>
    <w:tmpl w:val="53A4324C"/>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6">
    <w:nsid w:val="31CB6A73"/>
    <w:multiLevelType w:val="multilevel"/>
    <w:tmpl w:val="D77EB6D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1EA2DEA"/>
    <w:multiLevelType w:val="multilevel"/>
    <w:tmpl w:val="C16E4BC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5658DA1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1BB6D9A"/>
    <w:multiLevelType w:val="multilevel"/>
    <w:tmpl w:val="00F88574"/>
    <w:lvl w:ilvl="0">
      <w:start w:val="1"/>
      <w:numFmt w:val="decimal"/>
      <w:lvlText w:val="%1."/>
      <w:lvlJc w:val="left"/>
      <w:pPr>
        <w:tabs>
          <w:tab w:val="num" w:pos="4065"/>
        </w:tabs>
        <w:ind w:left="4065" w:hanging="520"/>
      </w:pPr>
      <w:rPr>
        <w:rFonts w:hint="default"/>
      </w:rPr>
    </w:lvl>
    <w:lvl w:ilvl="1">
      <w:start w:val="1"/>
      <w:numFmt w:val="lowerLetter"/>
      <w:lvlText w:val="%2."/>
      <w:lvlJc w:val="left"/>
      <w:pPr>
        <w:tabs>
          <w:tab w:val="num" w:pos="1371"/>
        </w:tabs>
        <w:ind w:left="1371" w:hanging="520"/>
      </w:pPr>
      <w:rPr>
        <w:rFonts w:hint="default"/>
      </w:rPr>
    </w:lvl>
    <w:lvl w:ilvl="2">
      <w:start w:val="1"/>
      <w:numFmt w:val="decimal"/>
      <w:lvlText w:val="%1.%2.%3."/>
      <w:lvlJc w:val="left"/>
      <w:pPr>
        <w:tabs>
          <w:tab w:val="num" w:pos="1655"/>
        </w:tabs>
        <w:ind w:left="1655"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5DF6494"/>
    <w:multiLevelType w:val="multilevel"/>
    <w:tmpl w:val="A316FE50"/>
    <w:numStyleLink w:val="ChapterList"/>
  </w:abstractNum>
  <w:abstractNum w:abstractNumId="25">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25"/>
  </w:num>
  <w:num w:numId="14">
    <w:abstractNumId w:val="26"/>
  </w:num>
  <w:num w:numId="15">
    <w:abstractNumId w:val="18"/>
  </w:num>
  <w:num w:numId="16">
    <w:abstractNumId w:val="22"/>
  </w:num>
  <w:num w:numId="17">
    <w:abstractNumId w:val="23"/>
  </w:num>
  <w:num w:numId="18">
    <w:abstractNumId w:val="10"/>
  </w:num>
  <w:num w:numId="19">
    <w:abstractNumId w:val="12"/>
  </w:num>
  <w:num w:numId="20">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16"/>
  </w:num>
  <w:num w:numId="22">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7"/>
  </w:num>
  <w:num w:numId="25">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4"/>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7">
    <w:abstractNumId w:val="24"/>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5"/>
  </w:num>
  <w:num w:numId="29">
    <w:abstractNumId w:val="24"/>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0">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2"/>
  </w:num>
  <w:num w:numId="32">
    <w:abstractNumId w:val="21"/>
  </w:num>
  <w:num w:numId="33">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19"/>
  </w:num>
  <w:num w:numId="38">
    <w:abstractNumId w:val="24"/>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revisionView w:markup="0"/>
  <w:defaultTabStop w:val="720"/>
  <w:evenAndOddHeaders/>
  <w:noPunctuationKerning/>
  <w:characterSpacingControl w:val="doNotCompress"/>
  <w:hdrShapeDefaults>
    <o:shapedefaults v:ext="edit" spidmax="4099"/>
    <o:shapelayout v:ext="edit">
      <o:idmap v:ext="edit" data="4"/>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05B"/>
    <w:rsid w:val="00005CFC"/>
    <w:rsid w:val="00007720"/>
    <w:rsid w:val="000079B6"/>
    <w:rsid w:val="000100C3"/>
    <w:rsid w:val="000102F5"/>
    <w:rsid w:val="0001061B"/>
    <w:rsid w:val="00011017"/>
    <w:rsid w:val="00011658"/>
    <w:rsid w:val="00012C6F"/>
    <w:rsid w:val="00012F66"/>
    <w:rsid w:val="00013B96"/>
    <w:rsid w:val="00015DC7"/>
    <w:rsid w:val="00015EE9"/>
    <w:rsid w:val="0001690F"/>
    <w:rsid w:val="00020D9A"/>
    <w:rsid w:val="00021279"/>
    <w:rsid w:val="00021BB8"/>
    <w:rsid w:val="00023D4F"/>
    <w:rsid w:val="00023EF6"/>
    <w:rsid w:val="000248D1"/>
    <w:rsid w:val="000260E0"/>
    <w:rsid w:val="00027D6E"/>
    <w:rsid w:val="00030CFE"/>
    <w:rsid w:val="000327A2"/>
    <w:rsid w:val="0003305A"/>
    <w:rsid w:val="00034835"/>
    <w:rsid w:val="00034BE8"/>
    <w:rsid w:val="00040A69"/>
    <w:rsid w:val="00050170"/>
    <w:rsid w:val="00050681"/>
    <w:rsid w:val="000508C8"/>
    <w:rsid w:val="000527B0"/>
    <w:rsid w:val="00052F4E"/>
    <w:rsid w:val="000537A7"/>
    <w:rsid w:val="000544F7"/>
    <w:rsid w:val="00054AD3"/>
    <w:rsid w:val="0005600E"/>
    <w:rsid w:val="00060758"/>
    <w:rsid w:val="0006158A"/>
    <w:rsid w:val="00062189"/>
    <w:rsid w:val="000626EE"/>
    <w:rsid w:val="00063658"/>
    <w:rsid w:val="00064871"/>
    <w:rsid w:val="000649DB"/>
    <w:rsid w:val="00067E1D"/>
    <w:rsid w:val="000705A5"/>
    <w:rsid w:val="00070C69"/>
    <w:rsid w:val="000725C0"/>
    <w:rsid w:val="00073792"/>
    <w:rsid w:val="00073A25"/>
    <w:rsid w:val="000742DA"/>
    <w:rsid w:val="00074362"/>
    <w:rsid w:val="0007487A"/>
    <w:rsid w:val="00075250"/>
    <w:rsid w:val="000755EC"/>
    <w:rsid w:val="000762FD"/>
    <w:rsid w:val="00076543"/>
    <w:rsid w:val="00076835"/>
    <w:rsid w:val="00076E86"/>
    <w:rsid w:val="00081C6F"/>
    <w:rsid w:val="0008359B"/>
    <w:rsid w:val="000835C7"/>
    <w:rsid w:val="00083F1D"/>
    <w:rsid w:val="00084C75"/>
    <w:rsid w:val="00084DBC"/>
    <w:rsid w:val="00085C5D"/>
    <w:rsid w:val="0009055D"/>
    <w:rsid w:val="000906F0"/>
    <w:rsid w:val="000907E1"/>
    <w:rsid w:val="000915B4"/>
    <w:rsid w:val="000917D6"/>
    <w:rsid w:val="00092308"/>
    <w:rsid w:val="0009279B"/>
    <w:rsid w:val="00095EC3"/>
    <w:rsid w:val="000960B7"/>
    <w:rsid w:val="00096F21"/>
    <w:rsid w:val="000977D8"/>
    <w:rsid w:val="000A0AFD"/>
    <w:rsid w:val="000A1C49"/>
    <w:rsid w:val="000A2094"/>
    <w:rsid w:val="000A28A8"/>
    <w:rsid w:val="000A2B2E"/>
    <w:rsid w:val="000A3186"/>
    <w:rsid w:val="000A341E"/>
    <w:rsid w:val="000A3FCC"/>
    <w:rsid w:val="000A42F9"/>
    <w:rsid w:val="000A5B26"/>
    <w:rsid w:val="000A6CA1"/>
    <w:rsid w:val="000A6DBE"/>
    <w:rsid w:val="000A732E"/>
    <w:rsid w:val="000B0F95"/>
    <w:rsid w:val="000B1512"/>
    <w:rsid w:val="000B29B0"/>
    <w:rsid w:val="000B3051"/>
    <w:rsid w:val="000B567C"/>
    <w:rsid w:val="000B633D"/>
    <w:rsid w:val="000B63B1"/>
    <w:rsid w:val="000B7E26"/>
    <w:rsid w:val="000B7FBA"/>
    <w:rsid w:val="000C0563"/>
    <w:rsid w:val="000C06D9"/>
    <w:rsid w:val="000C0CEB"/>
    <w:rsid w:val="000C1526"/>
    <w:rsid w:val="000C2D81"/>
    <w:rsid w:val="000C3B5E"/>
    <w:rsid w:val="000C4909"/>
    <w:rsid w:val="000D064C"/>
    <w:rsid w:val="000D395C"/>
    <w:rsid w:val="000D4810"/>
    <w:rsid w:val="000D4CD3"/>
    <w:rsid w:val="000D54A6"/>
    <w:rsid w:val="000D5603"/>
    <w:rsid w:val="000D5EA3"/>
    <w:rsid w:val="000E089D"/>
    <w:rsid w:val="000E08C6"/>
    <w:rsid w:val="000E0D0D"/>
    <w:rsid w:val="000E145C"/>
    <w:rsid w:val="000E2D0F"/>
    <w:rsid w:val="000E5B9A"/>
    <w:rsid w:val="000E6674"/>
    <w:rsid w:val="000E6CDC"/>
    <w:rsid w:val="000E70D2"/>
    <w:rsid w:val="000E7C1C"/>
    <w:rsid w:val="000F0635"/>
    <w:rsid w:val="000F1FEF"/>
    <w:rsid w:val="000F2316"/>
    <w:rsid w:val="000F3230"/>
    <w:rsid w:val="000F3863"/>
    <w:rsid w:val="000F4AF2"/>
    <w:rsid w:val="000F51BF"/>
    <w:rsid w:val="000F653B"/>
    <w:rsid w:val="00100475"/>
    <w:rsid w:val="0010416F"/>
    <w:rsid w:val="00105A14"/>
    <w:rsid w:val="00106162"/>
    <w:rsid w:val="00106302"/>
    <w:rsid w:val="00106F7A"/>
    <w:rsid w:val="0010773E"/>
    <w:rsid w:val="00110AE5"/>
    <w:rsid w:val="001114E6"/>
    <w:rsid w:val="00113CD9"/>
    <w:rsid w:val="00113E19"/>
    <w:rsid w:val="00114406"/>
    <w:rsid w:val="0011610D"/>
    <w:rsid w:val="00117A98"/>
    <w:rsid w:val="00117B6A"/>
    <w:rsid w:val="00117DE3"/>
    <w:rsid w:val="00121EB0"/>
    <w:rsid w:val="00123962"/>
    <w:rsid w:val="00123BCE"/>
    <w:rsid w:val="00123D96"/>
    <w:rsid w:val="0012405D"/>
    <w:rsid w:val="00124D46"/>
    <w:rsid w:val="00124E15"/>
    <w:rsid w:val="00127850"/>
    <w:rsid w:val="001305EF"/>
    <w:rsid w:val="0013081E"/>
    <w:rsid w:val="00130CE8"/>
    <w:rsid w:val="00131E0C"/>
    <w:rsid w:val="001333B1"/>
    <w:rsid w:val="001362D9"/>
    <w:rsid w:val="00136A2B"/>
    <w:rsid w:val="00137BC8"/>
    <w:rsid w:val="00140706"/>
    <w:rsid w:val="00140D67"/>
    <w:rsid w:val="0014197C"/>
    <w:rsid w:val="00143105"/>
    <w:rsid w:val="00146246"/>
    <w:rsid w:val="00147843"/>
    <w:rsid w:val="00152D69"/>
    <w:rsid w:val="00154516"/>
    <w:rsid w:val="00156447"/>
    <w:rsid w:val="0015775C"/>
    <w:rsid w:val="00160B43"/>
    <w:rsid w:val="00161445"/>
    <w:rsid w:val="00161F0E"/>
    <w:rsid w:val="00163C14"/>
    <w:rsid w:val="00167B3C"/>
    <w:rsid w:val="00170C9F"/>
    <w:rsid w:val="00170D46"/>
    <w:rsid w:val="0017339F"/>
    <w:rsid w:val="00174200"/>
    <w:rsid w:val="00174A29"/>
    <w:rsid w:val="001757E2"/>
    <w:rsid w:val="00175D50"/>
    <w:rsid w:val="00176D21"/>
    <w:rsid w:val="001836ED"/>
    <w:rsid w:val="0018693E"/>
    <w:rsid w:val="00187085"/>
    <w:rsid w:val="001872FD"/>
    <w:rsid w:val="00190EA1"/>
    <w:rsid w:val="00191CF2"/>
    <w:rsid w:val="00191EB5"/>
    <w:rsid w:val="001945E8"/>
    <w:rsid w:val="00196B92"/>
    <w:rsid w:val="00196EA6"/>
    <w:rsid w:val="00197399"/>
    <w:rsid w:val="00197825"/>
    <w:rsid w:val="00197915"/>
    <w:rsid w:val="001A0FBD"/>
    <w:rsid w:val="001A3A62"/>
    <w:rsid w:val="001A5BBF"/>
    <w:rsid w:val="001A60AF"/>
    <w:rsid w:val="001A7A18"/>
    <w:rsid w:val="001B0707"/>
    <w:rsid w:val="001B1AA9"/>
    <w:rsid w:val="001B2163"/>
    <w:rsid w:val="001B2AE7"/>
    <w:rsid w:val="001B36F3"/>
    <w:rsid w:val="001B3F41"/>
    <w:rsid w:val="001B55B1"/>
    <w:rsid w:val="001B5AC6"/>
    <w:rsid w:val="001B5B57"/>
    <w:rsid w:val="001C1DAC"/>
    <w:rsid w:val="001C25A8"/>
    <w:rsid w:val="001C278B"/>
    <w:rsid w:val="001C40DA"/>
    <w:rsid w:val="001C50C1"/>
    <w:rsid w:val="001C6927"/>
    <w:rsid w:val="001C703C"/>
    <w:rsid w:val="001C772C"/>
    <w:rsid w:val="001C7CA8"/>
    <w:rsid w:val="001D2460"/>
    <w:rsid w:val="001D25C1"/>
    <w:rsid w:val="001D2769"/>
    <w:rsid w:val="001D5436"/>
    <w:rsid w:val="001D60DD"/>
    <w:rsid w:val="001D6EAC"/>
    <w:rsid w:val="001D7941"/>
    <w:rsid w:val="001E09C9"/>
    <w:rsid w:val="001E0A5D"/>
    <w:rsid w:val="001E16A1"/>
    <w:rsid w:val="001E244E"/>
    <w:rsid w:val="001E45A6"/>
    <w:rsid w:val="001E482E"/>
    <w:rsid w:val="001E5510"/>
    <w:rsid w:val="001E6545"/>
    <w:rsid w:val="001E74AC"/>
    <w:rsid w:val="001F0173"/>
    <w:rsid w:val="001F1C5C"/>
    <w:rsid w:val="001F5982"/>
    <w:rsid w:val="001F6658"/>
    <w:rsid w:val="002000D1"/>
    <w:rsid w:val="00200BBA"/>
    <w:rsid w:val="00200C32"/>
    <w:rsid w:val="00200E96"/>
    <w:rsid w:val="00201B36"/>
    <w:rsid w:val="00203A83"/>
    <w:rsid w:val="00204F7D"/>
    <w:rsid w:val="00206758"/>
    <w:rsid w:val="00206A8F"/>
    <w:rsid w:val="00206D2E"/>
    <w:rsid w:val="002071BF"/>
    <w:rsid w:val="00210407"/>
    <w:rsid w:val="00214865"/>
    <w:rsid w:val="00216284"/>
    <w:rsid w:val="002169AB"/>
    <w:rsid w:val="002177B6"/>
    <w:rsid w:val="00220540"/>
    <w:rsid w:val="00220D6C"/>
    <w:rsid w:val="00221D46"/>
    <w:rsid w:val="00222D57"/>
    <w:rsid w:val="0022418C"/>
    <w:rsid w:val="00225312"/>
    <w:rsid w:val="0022598F"/>
    <w:rsid w:val="00226BD3"/>
    <w:rsid w:val="00226F49"/>
    <w:rsid w:val="002278CD"/>
    <w:rsid w:val="00230C88"/>
    <w:rsid w:val="002317C9"/>
    <w:rsid w:val="00231CBA"/>
    <w:rsid w:val="00232FA4"/>
    <w:rsid w:val="00233986"/>
    <w:rsid w:val="00236254"/>
    <w:rsid w:val="00236A1C"/>
    <w:rsid w:val="00236D17"/>
    <w:rsid w:val="00237958"/>
    <w:rsid w:val="00241AA1"/>
    <w:rsid w:val="00242154"/>
    <w:rsid w:val="00244E1A"/>
    <w:rsid w:val="00247098"/>
    <w:rsid w:val="00250154"/>
    <w:rsid w:val="002513D8"/>
    <w:rsid w:val="00252BFB"/>
    <w:rsid w:val="0025345B"/>
    <w:rsid w:val="002538EC"/>
    <w:rsid w:val="00253E01"/>
    <w:rsid w:val="00254944"/>
    <w:rsid w:val="00254D59"/>
    <w:rsid w:val="00255BA7"/>
    <w:rsid w:val="0025601E"/>
    <w:rsid w:val="0025709B"/>
    <w:rsid w:val="002576C7"/>
    <w:rsid w:val="00260512"/>
    <w:rsid w:val="00260FA6"/>
    <w:rsid w:val="00262E7A"/>
    <w:rsid w:val="00263C59"/>
    <w:rsid w:val="00264B23"/>
    <w:rsid w:val="002653D1"/>
    <w:rsid w:val="0026596D"/>
    <w:rsid w:val="00266048"/>
    <w:rsid w:val="00266B10"/>
    <w:rsid w:val="00270091"/>
    <w:rsid w:val="002727CA"/>
    <w:rsid w:val="00272E50"/>
    <w:rsid w:val="00272FD3"/>
    <w:rsid w:val="002738CD"/>
    <w:rsid w:val="002748EB"/>
    <w:rsid w:val="0027497F"/>
    <w:rsid w:val="00275208"/>
    <w:rsid w:val="002764B0"/>
    <w:rsid w:val="00276973"/>
    <w:rsid w:val="0028094B"/>
    <w:rsid w:val="002811C6"/>
    <w:rsid w:val="00281368"/>
    <w:rsid w:val="0028177F"/>
    <w:rsid w:val="002831DF"/>
    <w:rsid w:val="00283F2C"/>
    <w:rsid w:val="00284090"/>
    <w:rsid w:val="00284D96"/>
    <w:rsid w:val="002857E2"/>
    <w:rsid w:val="002863D3"/>
    <w:rsid w:val="00286B3B"/>
    <w:rsid w:val="0029138E"/>
    <w:rsid w:val="00297015"/>
    <w:rsid w:val="00297875"/>
    <w:rsid w:val="002A0FA3"/>
    <w:rsid w:val="002A1A5D"/>
    <w:rsid w:val="002A331F"/>
    <w:rsid w:val="002A4690"/>
    <w:rsid w:val="002A4F1C"/>
    <w:rsid w:val="002A64A2"/>
    <w:rsid w:val="002A65A4"/>
    <w:rsid w:val="002A6CB8"/>
    <w:rsid w:val="002A796F"/>
    <w:rsid w:val="002B3E4D"/>
    <w:rsid w:val="002B5B1F"/>
    <w:rsid w:val="002B5E6F"/>
    <w:rsid w:val="002C004C"/>
    <w:rsid w:val="002C2DED"/>
    <w:rsid w:val="002C43E8"/>
    <w:rsid w:val="002C50C7"/>
    <w:rsid w:val="002C6A0D"/>
    <w:rsid w:val="002D2436"/>
    <w:rsid w:val="002D30B6"/>
    <w:rsid w:val="002D42B9"/>
    <w:rsid w:val="002D535E"/>
    <w:rsid w:val="002D6555"/>
    <w:rsid w:val="002E19D1"/>
    <w:rsid w:val="002E33CC"/>
    <w:rsid w:val="002E3A4D"/>
    <w:rsid w:val="002E3F2F"/>
    <w:rsid w:val="002E4C35"/>
    <w:rsid w:val="002E5FD3"/>
    <w:rsid w:val="002E62B9"/>
    <w:rsid w:val="002E7370"/>
    <w:rsid w:val="002E7F87"/>
    <w:rsid w:val="002F0B6F"/>
    <w:rsid w:val="002F2006"/>
    <w:rsid w:val="002F2244"/>
    <w:rsid w:val="002F3991"/>
    <w:rsid w:val="002F430B"/>
    <w:rsid w:val="002F510B"/>
    <w:rsid w:val="002F5D5D"/>
    <w:rsid w:val="002F6E31"/>
    <w:rsid w:val="002F7009"/>
    <w:rsid w:val="002F7447"/>
    <w:rsid w:val="002F75B0"/>
    <w:rsid w:val="00301CD2"/>
    <w:rsid w:val="0030256C"/>
    <w:rsid w:val="003050E3"/>
    <w:rsid w:val="00311525"/>
    <w:rsid w:val="00315F91"/>
    <w:rsid w:val="003160A6"/>
    <w:rsid w:val="00317549"/>
    <w:rsid w:val="003177D0"/>
    <w:rsid w:val="00320374"/>
    <w:rsid w:val="0032326C"/>
    <w:rsid w:val="00324077"/>
    <w:rsid w:val="00325BF0"/>
    <w:rsid w:val="00326747"/>
    <w:rsid w:val="0032676F"/>
    <w:rsid w:val="00327E96"/>
    <w:rsid w:val="003315B4"/>
    <w:rsid w:val="003341A6"/>
    <w:rsid w:val="003345C4"/>
    <w:rsid w:val="0034051F"/>
    <w:rsid w:val="00340B8A"/>
    <w:rsid w:val="00341272"/>
    <w:rsid w:val="003416B4"/>
    <w:rsid w:val="00341A39"/>
    <w:rsid w:val="0034279D"/>
    <w:rsid w:val="00344BFF"/>
    <w:rsid w:val="003457FF"/>
    <w:rsid w:val="00345CCB"/>
    <w:rsid w:val="00346BEB"/>
    <w:rsid w:val="0034771F"/>
    <w:rsid w:val="003501C2"/>
    <w:rsid w:val="003505E3"/>
    <w:rsid w:val="00350A02"/>
    <w:rsid w:val="00350F75"/>
    <w:rsid w:val="00352D34"/>
    <w:rsid w:val="0035396C"/>
    <w:rsid w:val="00355622"/>
    <w:rsid w:val="003610ED"/>
    <w:rsid w:val="0036326E"/>
    <w:rsid w:val="0036347A"/>
    <w:rsid w:val="0036787F"/>
    <w:rsid w:val="00367D15"/>
    <w:rsid w:val="003702B3"/>
    <w:rsid w:val="00370AE1"/>
    <w:rsid w:val="00370CF4"/>
    <w:rsid w:val="003719A4"/>
    <w:rsid w:val="00371EE2"/>
    <w:rsid w:val="00373433"/>
    <w:rsid w:val="003738DC"/>
    <w:rsid w:val="00374855"/>
    <w:rsid w:val="00374D27"/>
    <w:rsid w:val="00375FD8"/>
    <w:rsid w:val="0037627F"/>
    <w:rsid w:val="00376D9C"/>
    <w:rsid w:val="00376FAF"/>
    <w:rsid w:val="00377CD4"/>
    <w:rsid w:val="0038277E"/>
    <w:rsid w:val="003851F2"/>
    <w:rsid w:val="003861C8"/>
    <w:rsid w:val="00386942"/>
    <w:rsid w:val="00386A6F"/>
    <w:rsid w:val="003879B5"/>
    <w:rsid w:val="00387BAB"/>
    <w:rsid w:val="00390E94"/>
    <w:rsid w:val="00390FAF"/>
    <w:rsid w:val="00392A1A"/>
    <w:rsid w:val="003930EE"/>
    <w:rsid w:val="00393B44"/>
    <w:rsid w:val="0039400F"/>
    <w:rsid w:val="0039448D"/>
    <w:rsid w:val="00394B9C"/>
    <w:rsid w:val="00394ED7"/>
    <w:rsid w:val="003951B0"/>
    <w:rsid w:val="0039638C"/>
    <w:rsid w:val="00396CBD"/>
    <w:rsid w:val="0039797A"/>
    <w:rsid w:val="003A1669"/>
    <w:rsid w:val="003A311E"/>
    <w:rsid w:val="003A4722"/>
    <w:rsid w:val="003A547A"/>
    <w:rsid w:val="003A5A84"/>
    <w:rsid w:val="003A5B9B"/>
    <w:rsid w:val="003A5D7E"/>
    <w:rsid w:val="003A6195"/>
    <w:rsid w:val="003A64A3"/>
    <w:rsid w:val="003A7A85"/>
    <w:rsid w:val="003A7AFC"/>
    <w:rsid w:val="003B2C77"/>
    <w:rsid w:val="003B550D"/>
    <w:rsid w:val="003C0703"/>
    <w:rsid w:val="003C1301"/>
    <w:rsid w:val="003C1CB2"/>
    <w:rsid w:val="003C223E"/>
    <w:rsid w:val="003C4505"/>
    <w:rsid w:val="003C46EE"/>
    <w:rsid w:val="003C4E88"/>
    <w:rsid w:val="003C5BA3"/>
    <w:rsid w:val="003C65F0"/>
    <w:rsid w:val="003D2047"/>
    <w:rsid w:val="003D24D8"/>
    <w:rsid w:val="003D2EC6"/>
    <w:rsid w:val="003D5919"/>
    <w:rsid w:val="003D6FD9"/>
    <w:rsid w:val="003D734D"/>
    <w:rsid w:val="003D7B7E"/>
    <w:rsid w:val="003D7F02"/>
    <w:rsid w:val="003E0794"/>
    <w:rsid w:val="003E17F7"/>
    <w:rsid w:val="003E31B4"/>
    <w:rsid w:val="003E5EE9"/>
    <w:rsid w:val="003E60E6"/>
    <w:rsid w:val="003E68F7"/>
    <w:rsid w:val="003F045E"/>
    <w:rsid w:val="003F06C3"/>
    <w:rsid w:val="003F096C"/>
    <w:rsid w:val="003F2CDE"/>
    <w:rsid w:val="003F3DA2"/>
    <w:rsid w:val="003F4BD0"/>
    <w:rsid w:val="003F54ED"/>
    <w:rsid w:val="003F5FCE"/>
    <w:rsid w:val="00402A47"/>
    <w:rsid w:val="00402DE9"/>
    <w:rsid w:val="00403595"/>
    <w:rsid w:val="00403C1D"/>
    <w:rsid w:val="004041D1"/>
    <w:rsid w:val="004064C6"/>
    <w:rsid w:val="00410437"/>
    <w:rsid w:val="00411C02"/>
    <w:rsid w:val="0041320D"/>
    <w:rsid w:val="00415F7B"/>
    <w:rsid w:val="00420486"/>
    <w:rsid w:val="0042142F"/>
    <w:rsid w:val="00423D19"/>
    <w:rsid w:val="004245EE"/>
    <w:rsid w:val="0042465B"/>
    <w:rsid w:val="004256E2"/>
    <w:rsid w:val="00430521"/>
    <w:rsid w:val="0043366C"/>
    <w:rsid w:val="00433B1D"/>
    <w:rsid w:val="00433FD9"/>
    <w:rsid w:val="00435E9F"/>
    <w:rsid w:val="00436054"/>
    <w:rsid w:val="00436797"/>
    <w:rsid w:val="00441259"/>
    <w:rsid w:val="00441CE0"/>
    <w:rsid w:val="00441D38"/>
    <w:rsid w:val="00442FB9"/>
    <w:rsid w:val="0044345B"/>
    <w:rsid w:val="0044391B"/>
    <w:rsid w:val="00444BA8"/>
    <w:rsid w:val="0044596A"/>
    <w:rsid w:val="00447392"/>
    <w:rsid w:val="00447ED0"/>
    <w:rsid w:val="00450635"/>
    <w:rsid w:val="004511E4"/>
    <w:rsid w:val="00451432"/>
    <w:rsid w:val="00451BB3"/>
    <w:rsid w:val="00453196"/>
    <w:rsid w:val="004536C1"/>
    <w:rsid w:val="00455B9F"/>
    <w:rsid w:val="00457780"/>
    <w:rsid w:val="00457BC3"/>
    <w:rsid w:val="00460019"/>
    <w:rsid w:val="00461D73"/>
    <w:rsid w:val="00461E81"/>
    <w:rsid w:val="0046242B"/>
    <w:rsid w:val="00463864"/>
    <w:rsid w:val="00464B03"/>
    <w:rsid w:val="00465740"/>
    <w:rsid w:val="00465A34"/>
    <w:rsid w:val="00465C07"/>
    <w:rsid w:val="00466574"/>
    <w:rsid w:val="004673A2"/>
    <w:rsid w:val="00467433"/>
    <w:rsid w:val="00470181"/>
    <w:rsid w:val="004710EB"/>
    <w:rsid w:val="00471442"/>
    <w:rsid w:val="00471FF9"/>
    <w:rsid w:val="004720CC"/>
    <w:rsid w:val="004744D7"/>
    <w:rsid w:val="00475462"/>
    <w:rsid w:val="00475D9F"/>
    <w:rsid w:val="00480C91"/>
    <w:rsid w:val="004818F7"/>
    <w:rsid w:val="00481A0B"/>
    <w:rsid w:val="004836D2"/>
    <w:rsid w:val="00483A94"/>
    <w:rsid w:val="00483B22"/>
    <w:rsid w:val="00485B20"/>
    <w:rsid w:val="00485DC5"/>
    <w:rsid w:val="00487E57"/>
    <w:rsid w:val="00491AD2"/>
    <w:rsid w:val="00492FEB"/>
    <w:rsid w:val="00495765"/>
    <w:rsid w:val="004A096F"/>
    <w:rsid w:val="004A16F7"/>
    <w:rsid w:val="004A54A6"/>
    <w:rsid w:val="004A5B9F"/>
    <w:rsid w:val="004B1649"/>
    <w:rsid w:val="004B1D80"/>
    <w:rsid w:val="004B24F0"/>
    <w:rsid w:val="004B4EF7"/>
    <w:rsid w:val="004B530B"/>
    <w:rsid w:val="004B67D1"/>
    <w:rsid w:val="004B68A1"/>
    <w:rsid w:val="004B755A"/>
    <w:rsid w:val="004B7743"/>
    <w:rsid w:val="004C10B6"/>
    <w:rsid w:val="004C1468"/>
    <w:rsid w:val="004C2700"/>
    <w:rsid w:val="004C29E7"/>
    <w:rsid w:val="004C4660"/>
    <w:rsid w:val="004C5B30"/>
    <w:rsid w:val="004D068C"/>
    <w:rsid w:val="004D0ADA"/>
    <w:rsid w:val="004D3072"/>
    <w:rsid w:val="004D5718"/>
    <w:rsid w:val="004D59F7"/>
    <w:rsid w:val="004D6B85"/>
    <w:rsid w:val="004D7597"/>
    <w:rsid w:val="004E032E"/>
    <w:rsid w:val="004E1492"/>
    <w:rsid w:val="004E161F"/>
    <w:rsid w:val="004E1CF6"/>
    <w:rsid w:val="004E1EEB"/>
    <w:rsid w:val="004E29AD"/>
    <w:rsid w:val="004E2D90"/>
    <w:rsid w:val="004E3939"/>
    <w:rsid w:val="004E43EC"/>
    <w:rsid w:val="004E57BD"/>
    <w:rsid w:val="004E5D1F"/>
    <w:rsid w:val="004E6082"/>
    <w:rsid w:val="004F1BF5"/>
    <w:rsid w:val="004F2A56"/>
    <w:rsid w:val="004F5775"/>
    <w:rsid w:val="004F5FA3"/>
    <w:rsid w:val="004F6024"/>
    <w:rsid w:val="00500F73"/>
    <w:rsid w:val="0050209E"/>
    <w:rsid w:val="0050221B"/>
    <w:rsid w:val="00502494"/>
    <w:rsid w:val="00502551"/>
    <w:rsid w:val="00502E1A"/>
    <w:rsid w:val="00502F62"/>
    <w:rsid w:val="00504D4A"/>
    <w:rsid w:val="005052B0"/>
    <w:rsid w:val="0050579D"/>
    <w:rsid w:val="0050631F"/>
    <w:rsid w:val="0050652E"/>
    <w:rsid w:val="00506AE3"/>
    <w:rsid w:val="00507C75"/>
    <w:rsid w:val="005101C6"/>
    <w:rsid w:val="00511659"/>
    <w:rsid w:val="00511D06"/>
    <w:rsid w:val="00511FE6"/>
    <w:rsid w:val="00512195"/>
    <w:rsid w:val="00515E69"/>
    <w:rsid w:val="00516691"/>
    <w:rsid w:val="00516925"/>
    <w:rsid w:val="005177DF"/>
    <w:rsid w:val="00517B68"/>
    <w:rsid w:val="00523617"/>
    <w:rsid w:val="0052391F"/>
    <w:rsid w:val="00524AE0"/>
    <w:rsid w:val="005255EA"/>
    <w:rsid w:val="005257B8"/>
    <w:rsid w:val="00525F2B"/>
    <w:rsid w:val="00531026"/>
    <w:rsid w:val="005328D2"/>
    <w:rsid w:val="00535E90"/>
    <w:rsid w:val="00537ECC"/>
    <w:rsid w:val="00537F77"/>
    <w:rsid w:val="005408E6"/>
    <w:rsid w:val="005412C1"/>
    <w:rsid w:val="00541EAD"/>
    <w:rsid w:val="0054284D"/>
    <w:rsid w:val="00543710"/>
    <w:rsid w:val="00546E9E"/>
    <w:rsid w:val="00550BC0"/>
    <w:rsid w:val="00550FC2"/>
    <w:rsid w:val="00552487"/>
    <w:rsid w:val="005547E0"/>
    <w:rsid w:val="00555D38"/>
    <w:rsid w:val="005560CA"/>
    <w:rsid w:val="00556582"/>
    <w:rsid w:val="00556AA1"/>
    <w:rsid w:val="00556D78"/>
    <w:rsid w:val="00557FBC"/>
    <w:rsid w:val="00560C14"/>
    <w:rsid w:val="00561839"/>
    <w:rsid w:val="00562654"/>
    <w:rsid w:val="00562933"/>
    <w:rsid w:val="005633F4"/>
    <w:rsid w:val="00563D03"/>
    <w:rsid w:val="00565DF5"/>
    <w:rsid w:val="005665C4"/>
    <w:rsid w:val="00566719"/>
    <w:rsid w:val="005678F3"/>
    <w:rsid w:val="00567DD6"/>
    <w:rsid w:val="005705E9"/>
    <w:rsid w:val="005707D6"/>
    <w:rsid w:val="005741AB"/>
    <w:rsid w:val="00574F66"/>
    <w:rsid w:val="0057570E"/>
    <w:rsid w:val="00575754"/>
    <w:rsid w:val="005804A9"/>
    <w:rsid w:val="00580C19"/>
    <w:rsid w:val="00582F15"/>
    <w:rsid w:val="00583ACC"/>
    <w:rsid w:val="005849EE"/>
    <w:rsid w:val="00584A96"/>
    <w:rsid w:val="00584E00"/>
    <w:rsid w:val="00585175"/>
    <w:rsid w:val="00585AFF"/>
    <w:rsid w:val="00586783"/>
    <w:rsid w:val="005869FC"/>
    <w:rsid w:val="0058704D"/>
    <w:rsid w:val="0058743A"/>
    <w:rsid w:val="00587E64"/>
    <w:rsid w:val="005903E1"/>
    <w:rsid w:val="00590486"/>
    <w:rsid w:val="00590D1F"/>
    <w:rsid w:val="00591518"/>
    <w:rsid w:val="005917B2"/>
    <w:rsid w:val="005930A1"/>
    <w:rsid w:val="00593FCD"/>
    <w:rsid w:val="00594705"/>
    <w:rsid w:val="00595204"/>
    <w:rsid w:val="00595A14"/>
    <w:rsid w:val="005970B0"/>
    <w:rsid w:val="00597A1D"/>
    <w:rsid w:val="005A2D8C"/>
    <w:rsid w:val="005A4239"/>
    <w:rsid w:val="005A5268"/>
    <w:rsid w:val="005A5348"/>
    <w:rsid w:val="005A5BB3"/>
    <w:rsid w:val="005A7479"/>
    <w:rsid w:val="005A76CC"/>
    <w:rsid w:val="005B0F99"/>
    <w:rsid w:val="005B22BA"/>
    <w:rsid w:val="005B22C7"/>
    <w:rsid w:val="005B546F"/>
    <w:rsid w:val="005B6C30"/>
    <w:rsid w:val="005C0475"/>
    <w:rsid w:val="005C177F"/>
    <w:rsid w:val="005C1D23"/>
    <w:rsid w:val="005C283A"/>
    <w:rsid w:val="005C2B1A"/>
    <w:rsid w:val="005C2B70"/>
    <w:rsid w:val="005C2D39"/>
    <w:rsid w:val="005C3574"/>
    <w:rsid w:val="005C42DF"/>
    <w:rsid w:val="005C4629"/>
    <w:rsid w:val="005C46FD"/>
    <w:rsid w:val="005C6F3E"/>
    <w:rsid w:val="005C6FB4"/>
    <w:rsid w:val="005C726E"/>
    <w:rsid w:val="005C7382"/>
    <w:rsid w:val="005C7396"/>
    <w:rsid w:val="005D0F90"/>
    <w:rsid w:val="005D105A"/>
    <w:rsid w:val="005D1EF5"/>
    <w:rsid w:val="005D3385"/>
    <w:rsid w:val="005D3B01"/>
    <w:rsid w:val="005D5672"/>
    <w:rsid w:val="005D6A50"/>
    <w:rsid w:val="005D7A78"/>
    <w:rsid w:val="005E05DB"/>
    <w:rsid w:val="005E0EAB"/>
    <w:rsid w:val="005E241E"/>
    <w:rsid w:val="005E291E"/>
    <w:rsid w:val="005E2B14"/>
    <w:rsid w:val="005E2E31"/>
    <w:rsid w:val="005E37ED"/>
    <w:rsid w:val="005E741D"/>
    <w:rsid w:val="005E77E1"/>
    <w:rsid w:val="005E7E12"/>
    <w:rsid w:val="005F284C"/>
    <w:rsid w:val="005F4A97"/>
    <w:rsid w:val="005F7821"/>
    <w:rsid w:val="0060211C"/>
    <w:rsid w:val="00603C69"/>
    <w:rsid w:val="00604408"/>
    <w:rsid w:val="00604F5F"/>
    <w:rsid w:val="00605C7E"/>
    <w:rsid w:val="00605E70"/>
    <w:rsid w:val="00606786"/>
    <w:rsid w:val="0060690F"/>
    <w:rsid w:val="006071CA"/>
    <w:rsid w:val="006071E9"/>
    <w:rsid w:val="00610B29"/>
    <w:rsid w:val="00611995"/>
    <w:rsid w:val="00612BF9"/>
    <w:rsid w:val="00612C6D"/>
    <w:rsid w:val="006156B8"/>
    <w:rsid w:val="00615708"/>
    <w:rsid w:val="00616EF2"/>
    <w:rsid w:val="00620A5C"/>
    <w:rsid w:val="00620C5C"/>
    <w:rsid w:val="00621923"/>
    <w:rsid w:val="006232BF"/>
    <w:rsid w:val="00623CEC"/>
    <w:rsid w:val="00624A61"/>
    <w:rsid w:val="00626474"/>
    <w:rsid w:val="00627969"/>
    <w:rsid w:val="0063098E"/>
    <w:rsid w:val="006325DB"/>
    <w:rsid w:val="00632871"/>
    <w:rsid w:val="00635224"/>
    <w:rsid w:val="00636E93"/>
    <w:rsid w:val="00637CD8"/>
    <w:rsid w:val="00640E41"/>
    <w:rsid w:val="006411D7"/>
    <w:rsid w:val="006412C3"/>
    <w:rsid w:val="006418CA"/>
    <w:rsid w:val="006419DA"/>
    <w:rsid w:val="0064700F"/>
    <w:rsid w:val="00647C4D"/>
    <w:rsid w:val="00647FF1"/>
    <w:rsid w:val="006501B7"/>
    <w:rsid w:val="00650B04"/>
    <w:rsid w:val="006530EC"/>
    <w:rsid w:val="00653DA2"/>
    <w:rsid w:val="0065475C"/>
    <w:rsid w:val="00654BB4"/>
    <w:rsid w:val="006554C4"/>
    <w:rsid w:val="00655529"/>
    <w:rsid w:val="006566B6"/>
    <w:rsid w:val="0066016C"/>
    <w:rsid w:val="006626C9"/>
    <w:rsid w:val="006655F9"/>
    <w:rsid w:val="00666A26"/>
    <w:rsid w:val="006711B7"/>
    <w:rsid w:val="006712FD"/>
    <w:rsid w:val="006723A7"/>
    <w:rsid w:val="006726C7"/>
    <w:rsid w:val="006752C2"/>
    <w:rsid w:val="00675FE8"/>
    <w:rsid w:val="00676243"/>
    <w:rsid w:val="00676AC8"/>
    <w:rsid w:val="00677DA2"/>
    <w:rsid w:val="00677FE7"/>
    <w:rsid w:val="006822A3"/>
    <w:rsid w:val="006836C2"/>
    <w:rsid w:val="0068378F"/>
    <w:rsid w:val="006847D6"/>
    <w:rsid w:val="00685303"/>
    <w:rsid w:val="00685745"/>
    <w:rsid w:val="006857AE"/>
    <w:rsid w:val="00686DD8"/>
    <w:rsid w:val="006876BA"/>
    <w:rsid w:val="00687B98"/>
    <w:rsid w:val="00690675"/>
    <w:rsid w:val="00690E23"/>
    <w:rsid w:val="00690EDC"/>
    <w:rsid w:val="006910EF"/>
    <w:rsid w:val="006911B7"/>
    <w:rsid w:val="006916A8"/>
    <w:rsid w:val="00691C4E"/>
    <w:rsid w:val="0069313A"/>
    <w:rsid w:val="00693576"/>
    <w:rsid w:val="006942B9"/>
    <w:rsid w:val="0069471B"/>
    <w:rsid w:val="00695BCD"/>
    <w:rsid w:val="00695C31"/>
    <w:rsid w:val="00696888"/>
    <w:rsid w:val="006968C2"/>
    <w:rsid w:val="00696B97"/>
    <w:rsid w:val="00696BE0"/>
    <w:rsid w:val="00697F9A"/>
    <w:rsid w:val="006A083C"/>
    <w:rsid w:val="006A3BC0"/>
    <w:rsid w:val="006A3C7B"/>
    <w:rsid w:val="006A4718"/>
    <w:rsid w:val="006A4891"/>
    <w:rsid w:val="006A540A"/>
    <w:rsid w:val="006A608E"/>
    <w:rsid w:val="006A6943"/>
    <w:rsid w:val="006A7E78"/>
    <w:rsid w:val="006B03A6"/>
    <w:rsid w:val="006B4FCE"/>
    <w:rsid w:val="006B5FF4"/>
    <w:rsid w:val="006B6272"/>
    <w:rsid w:val="006B77F5"/>
    <w:rsid w:val="006C19FB"/>
    <w:rsid w:val="006C3CEB"/>
    <w:rsid w:val="006C47E0"/>
    <w:rsid w:val="006C5E41"/>
    <w:rsid w:val="006D0878"/>
    <w:rsid w:val="006D16C4"/>
    <w:rsid w:val="006D4184"/>
    <w:rsid w:val="006D4CA4"/>
    <w:rsid w:val="006D53F6"/>
    <w:rsid w:val="006D711C"/>
    <w:rsid w:val="006D737B"/>
    <w:rsid w:val="006D7B8E"/>
    <w:rsid w:val="006E01A2"/>
    <w:rsid w:val="006E0537"/>
    <w:rsid w:val="006E08FB"/>
    <w:rsid w:val="006E1362"/>
    <w:rsid w:val="006E167F"/>
    <w:rsid w:val="006E1BC3"/>
    <w:rsid w:val="006E205B"/>
    <w:rsid w:val="006E2BA1"/>
    <w:rsid w:val="006E2F61"/>
    <w:rsid w:val="006E4C9A"/>
    <w:rsid w:val="006E5BFC"/>
    <w:rsid w:val="006E60FD"/>
    <w:rsid w:val="006E6DF8"/>
    <w:rsid w:val="006E6FBA"/>
    <w:rsid w:val="006F2327"/>
    <w:rsid w:val="006F3A98"/>
    <w:rsid w:val="006F4478"/>
    <w:rsid w:val="006F4E8F"/>
    <w:rsid w:val="006F4FEE"/>
    <w:rsid w:val="006F533C"/>
    <w:rsid w:val="006F7AFB"/>
    <w:rsid w:val="007001D0"/>
    <w:rsid w:val="0070025F"/>
    <w:rsid w:val="00701290"/>
    <w:rsid w:val="00703C25"/>
    <w:rsid w:val="00703C7A"/>
    <w:rsid w:val="007063E4"/>
    <w:rsid w:val="00707710"/>
    <w:rsid w:val="00707D39"/>
    <w:rsid w:val="00710171"/>
    <w:rsid w:val="007112B4"/>
    <w:rsid w:val="00711FEB"/>
    <w:rsid w:val="007131EB"/>
    <w:rsid w:val="00713407"/>
    <w:rsid w:val="00713CFE"/>
    <w:rsid w:val="00715283"/>
    <w:rsid w:val="007155B4"/>
    <w:rsid w:val="007166DF"/>
    <w:rsid w:val="00717F2A"/>
    <w:rsid w:val="007204C3"/>
    <w:rsid w:val="00721A3C"/>
    <w:rsid w:val="007227E3"/>
    <w:rsid w:val="0072368D"/>
    <w:rsid w:val="00723747"/>
    <w:rsid w:val="007239C1"/>
    <w:rsid w:val="00724BAF"/>
    <w:rsid w:val="00725A82"/>
    <w:rsid w:val="00725B4F"/>
    <w:rsid w:val="00725DA3"/>
    <w:rsid w:val="0072605C"/>
    <w:rsid w:val="00727ECB"/>
    <w:rsid w:val="00730DE8"/>
    <w:rsid w:val="007328F1"/>
    <w:rsid w:val="007329C5"/>
    <w:rsid w:val="007332AA"/>
    <w:rsid w:val="007337D8"/>
    <w:rsid w:val="00734D77"/>
    <w:rsid w:val="00736240"/>
    <w:rsid w:val="00740A30"/>
    <w:rsid w:val="00741461"/>
    <w:rsid w:val="007439D0"/>
    <w:rsid w:val="00743C95"/>
    <w:rsid w:val="00744B46"/>
    <w:rsid w:val="00744EA9"/>
    <w:rsid w:val="007454F8"/>
    <w:rsid w:val="007478D6"/>
    <w:rsid w:val="00753239"/>
    <w:rsid w:val="007532CE"/>
    <w:rsid w:val="00754133"/>
    <w:rsid w:val="00754326"/>
    <w:rsid w:val="00756846"/>
    <w:rsid w:val="00756B70"/>
    <w:rsid w:val="00757CA0"/>
    <w:rsid w:val="00762AAE"/>
    <w:rsid w:val="00762C51"/>
    <w:rsid w:val="00762D28"/>
    <w:rsid w:val="00762D4D"/>
    <w:rsid w:val="00763C20"/>
    <w:rsid w:val="007645E0"/>
    <w:rsid w:val="007652BC"/>
    <w:rsid w:val="00765DE4"/>
    <w:rsid w:val="00766009"/>
    <w:rsid w:val="00766B32"/>
    <w:rsid w:val="00766EFB"/>
    <w:rsid w:val="00770956"/>
    <w:rsid w:val="00771184"/>
    <w:rsid w:val="00771BF9"/>
    <w:rsid w:val="0077385F"/>
    <w:rsid w:val="00773B17"/>
    <w:rsid w:val="00774214"/>
    <w:rsid w:val="007743B4"/>
    <w:rsid w:val="007752A6"/>
    <w:rsid w:val="007764C0"/>
    <w:rsid w:val="00776B5D"/>
    <w:rsid w:val="00776D75"/>
    <w:rsid w:val="007778A4"/>
    <w:rsid w:val="00777C64"/>
    <w:rsid w:val="00780072"/>
    <w:rsid w:val="00781F8F"/>
    <w:rsid w:val="007820F8"/>
    <w:rsid w:val="007837AE"/>
    <w:rsid w:val="00784539"/>
    <w:rsid w:val="00786CA2"/>
    <w:rsid w:val="007871CD"/>
    <w:rsid w:val="00787FB3"/>
    <w:rsid w:val="007905E3"/>
    <w:rsid w:val="00790795"/>
    <w:rsid w:val="007910A1"/>
    <w:rsid w:val="007914B5"/>
    <w:rsid w:val="00791951"/>
    <w:rsid w:val="00791CF2"/>
    <w:rsid w:val="007929B9"/>
    <w:rsid w:val="00792ECD"/>
    <w:rsid w:val="00793F75"/>
    <w:rsid w:val="007953E8"/>
    <w:rsid w:val="007960A0"/>
    <w:rsid w:val="007963D5"/>
    <w:rsid w:val="007966EF"/>
    <w:rsid w:val="00797800"/>
    <w:rsid w:val="007A02C8"/>
    <w:rsid w:val="007A0677"/>
    <w:rsid w:val="007A0A4B"/>
    <w:rsid w:val="007A127E"/>
    <w:rsid w:val="007A1BCB"/>
    <w:rsid w:val="007A29C9"/>
    <w:rsid w:val="007A3357"/>
    <w:rsid w:val="007A437C"/>
    <w:rsid w:val="007A4C99"/>
    <w:rsid w:val="007A528A"/>
    <w:rsid w:val="007B027E"/>
    <w:rsid w:val="007B047D"/>
    <w:rsid w:val="007B0CC6"/>
    <w:rsid w:val="007B188B"/>
    <w:rsid w:val="007B23EE"/>
    <w:rsid w:val="007B3687"/>
    <w:rsid w:val="007B389B"/>
    <w:rsid w:val="007B46C5"/>
    <w:rsid w:val="007B49BE"/>
    <w:rsid w:val="007B4EEE"/>
    <w:rsid w:val="007B62D8"/>
    <w:rsid w:val="007C1413"/>
    <w:rsid w:val="007C18F8"/>
    <w:rsid w:val="007C2D0E"/>
    <w:rsid w:val="007C7969"/>
    <w:rsid w:val="007D0426"/>
    <w:rsid w:val="007D0B11"/>
    <w:rsid w:val="007D0C59"/>
    <w:rsid w:val="007D1821"/>
    <w:rsid w:val="007D26F8"/>
    <w:rsid w:val="007D2D76"/>
    <w:rsid w:val="007D786F"/>
    <w:rsid w:val="007E25E0"/>
    <w:rsid w:val="007E2B76"/>
    <w:rsid w:val="007E2ED7"/>
    <w:rsid w:val="007E3BD5"/>
    <w:rsid w:val="007E3C31"/>
    <w:rsid w:val="007E3DAC"/>
    <w:rsid w:val="007E5A79"/>
    <w:rsid w:val="007F00C9"/>
    <w:rsid w:val="007F06C3"/>
    <w:rsid w:val="007F1BB7"/>
    <w:rsid w:val="007F20EC"/>
    <w:rsid w:val="007F5090"/>
    <w:rsid w:val="007F5735"/>
    <w:rsid w:val="007F5B1F"/>
    <w:rsid w:val="007F5F19"/>
    <w:rsid w:val="008005BF"/>
    <w:rsid w:val="00800E45"/>
    <w:rsid w:val="00801401"/>
    <w:rsid w:val="00801ACA"/>
    <w:rsid w:val="00801B76"/>
    <w:rsid w:val="008023EA"/>
    <w:rsid w:val="00802F52"/>
    <w:rsid w:val="00805319"/>
    <w:rsid w:val="00805FD4"/>
    <w:rsid w:val="00806123"/>
    <w:rsid w:val="008064D9"/>
    <w:rsid w:val="00806966"/>
    <w:rsid w:val="00810B5C"/>
    <w:rsid w:val="00813210"/>
    <w:rsid w:val="008147F1"/>
    <w:rsid w:val="00815CDA"/>
    <w:rsid w:val="008212B5"/>
    <w:rsid w:val="00821379"/>
    <w:rsid w:val="00825BF3"/>
    <w:rsid w:val="00826D95"/>
    <w:rsid w:val="00827079"/>
    <w:rsid w:val="0082736E"/>
    <w:rsid w:val="00827930"/>
    <w:rsid w:val="00830038"/>
    <w:rsid w:val="00830A28"/>
    <w:rsid w:val="00830C71"/>
    <w:rsid w:val="00832743"/>
    <w:rsid w:val="00832747"/>
    <w:rsid w:val="0083436D"/>
    <w:rsid w:val="00834441"/>
    <w:rsid w:val="00835001"/>
    <w:rsid w:val="008361ED"/>
    <w:rsid w:val="008368AF"/>
    <w:rsid w:val="00836DFD"/>
    <w:rsid w:val="00840066"/>
    <w:rsid w:val="00841EAA"/>
    <w:rsid w:val="00843EF7"/>
    <w:rsid w:val="00844687"/>
    <w:rsid w:val="00845BE1"/>
    <w:rsid w:val="00850FB5"/>
    <w:rsid w:val="00851B5A"/>
    <w:rsid w:val="00852340"/>
    <w:rsid w:val="00855169"/>
    <w:rsid w:val="00855667"/>
    <w:rsid w:val="00855D57"/>
    <w:rsid w:val="00856A12"/>
    <w:rsid w:val="008575A4"/>
    <w:rsid w:val="00860096"/>
    <w:rsid w:val="00860B11"/>
    <w:rsid w:val="00864F96"/>
    <w:rsid w:val="00867F0F"/>
    <w:rsid w:val="008707D1"/>
    <w:rsid w:val="0087210A"/>
    <w:rsid w:val="008723DF"/>
    <w:rsid w:val="00872C1F"/>
    <w:rsid w:val="008734F5"/>
    <w:rsid w:val="0087357A"/>
    <w:rsid w:val="008737A0"/>
    <w:rsid w:val="008741FC"/>
    <w:rsid w:val="008750FA"/>
    <w:rsid w:val="008752F1"/>
    <w:rsid w:val="008770C3"/>
    <w:rsid w:val="00883A53"/>
    <w:rsid w:val="0088460C"/>
    <w:rsid w:val="0088593B"/>
    <w:rsid w:val="00885BE8"/>
    <w:rsid w:val="00885D3A"/>
    <w:rsid w:val="00887986"/>
    <w:rsid w:val="00887EF5"/>
    <w:rsid w:val="00890245"/>
    <w:rsid w:val="008921FD"/>
    <w:rsid w:val="008923A4"/>
    <w:rsid w:val="00893298"/>
    <w:rsid w:val="0089399B"/>
    <w:rsid w:val="00894516"/>
    <w:rsid w:val="00894C68"/>
    <w:rsid w:val="00895516"/>
    <w:rsid w:val="00897CA7"/>
    <w:rsid w:val="008A0375"/>
    <w:rsid w:val="008A08C4"/>
    <w:rsid w:val="008A14BD"/>
    <w:rsid w:val="008A2102"/>
    <w:rsid w:val="008A5D37"/>
    <w:rsid w:val="008A5DBD"/>
    <w:rsid w:val="008B041A"/>
    <w:rsid w:val="008B0747"/>
    <w:rsid w:val="008B095D"/>
    <w:rsid w:val="008B10D7"/>
    <w:rsid w:val="008B31CE"/>
    <w:rsid w:val="008B56B5"/>
    <w:rsid w:val="008B5B48"/>
    <w:rsid w:val="008B6CD6"/>
    <w:rsid w:val="008B6E8C"/>
    <w:rsid w:val="008C13D6"/>
    <w:rsid w:val="008C1BBF"/>
    <w:rsid w:val="008C20BA"/>
    <w:rsid w:val="008C3008"/>
    <w:rsid w:val="008C359D"/>
    <w:rsid w:val="008C3C46"/>
    <w:rsid w:val="008C40F7"/>
    <w:rsid w:val="008C51F4"/>
    <w:rsid w:val="008C586B"/>
    <w:rsid w:val="008C68A9"/>
    <w:rsid w:val="008D0AE4"/>
    <w:rsid w:val="008D0B0F"/>
    <w:rsid w:val="008D16F2"/>
    <w:rsid w:val="008D4744"/>
    <w:rsid w:val="008D4C40"/>
    <w:rsid w:val="008D635B"/>
    <w:rsid w:val="008D75E9"/>
    <w:rsid w:val="008E17D0"/>
    <w:rsid w:val="008E19C1"/>
    <w:rsid w:val="008E3405"/>
    <w:rsid w:val="008E3494"/>
    <w:rsid w:val="008E4468"/>
    <w:rsid w:val="008E49A7"/>
    <w:rsid w:val="008E49D8"/>
    <w:rsid w:val="008E5C77"/>
    <w:rsid w:val="008E72CF"/>
    <w:rsid w:val="008E7F54"/>
    <w:rsid w:val="008F1A67"/>
    <w:rsid w:val="008F57DA"/>
    <w:rsid w:val="008F644A"/>
    <w:rsid w:val="008F726E"/>
    <w:rsid w:val="008F7650"/>
    <w:rsid w:val="008F7789"/>
    <w:rsid w:val="00901255"/>
    <w:rsid w:val="00901ED2"/>
    <w:rsid w:val="009022B8"/>
    <w:rsid w:val="00902333"/>
    <w:rsid w:val="00903155"/>
    <w:rsid w:val="00905369"/>
    <w:rsid w:val="00906287"/>
    <w:rsid w:val="00906494"/>
    <w:rsid w:val="00906E19"/>
    <w:rsid w:val="00910592"/>
    <w:rsid w:val="009125BB"/>
    <w:rsid w:val="0091286C"/>
    <w:rsid w:val="00913311"/>
    <w:rsid w:val="00913FB4"/>
    <w:rsid w:val="00914848"/>
    <w:rsid w:val="00915C64"/>
    <w:rsid w:val="00915FA5"/>
    <w:rsid w:val="0091690A"/>
    <w:rsid w:val="00917DED"/>
    <w:rsid w:val="009200B3"/>
    <w:rsid w:val="00921763"/>
    <w:rsid w:val="00922787"/>
    <w:rsid w:val="00924A03"/>
    <w:rsid w:val="0092621E"/>
    <w:rsid w:val="00926236"/>
    <w:rsid w:val="00926E36"/>
    <w:rsid w:val="0092784F"/>
    <w:rsid w:val="0093058B"/>
    <w:rsid w:val="00934AE1"/>
    <w:rsid w:val="00935C6B"/>
    <w:rsid w:val="00937737"/>
    <w:rsid w:val="00937B71"/>
    <w:rsid w:val="00940BFD"/>
    <w:rsid w:val="0094348F"/>
    <w:rsid w:val="00944C1F"/>
    <w:rsid w:val="009450B9"/>
    <w:rsid w:val="00945CFB"/>
    <w:rsid w:val="00945D5C"/>
    <w:rsid w:val="00945EC9"/>
    <w:rsid w:val="00945F64"/>
    <w:rsid w:val="009461AE"/>
    <w:rsid w:val="00946DC0"/>
    <w:rsid w:val="009476E5"/>
    <w:rsid w:val="00947F27"/>
    <w:rsid w:val="0095105B"/>
    <w:rsid w:val="0095290C"/>
    <w:rsid w:val="00952C5A"/>
    <w:rsid w:val="009530DE"/>
    <w:rsid w:val="00953F17"/>
    <w:rsid w:val="00954FCE"/>
    <w:rsid w:val="0095575D"/>
    <w:rsid w:val="00957FDF"/>
    <w:rsid w:val="009605B1"/>
    <w:rsid w:val="009615B2"/>
    <w:rsid w:val="00963750"/>
    <w:rsid w:val="0096411E"/>
    <w:rsid w:val="00964BC9"/>
    <w:rsid w:val="00964F9A"/>
    <w:rsid w:val="009650FD"/>
    <w:rsid w:val="00965FF1"/>
    <w:rsid w:val="00966979"/>
    <w:rsid w:val="009675AC"/>
    <w:rsid w:val="00967CAF"/>
    <w:rsid w:val="009726C4"/>
    <w:rsid w:val="00972A01"/>
    <w:rsid w:val="00973550"/>
    <w:rsid w:val="00973D0A"/>
    <w:rsid w:val="0097404F"/>
    <w:rsid w:val="0097479B"/>
    <w:rsid w:val="00974CFF"/>
    <w:rsid w:val="00974D91"/>
    <w:rsid w:val="009759C8"/>
    <w:rsid w:val="00976C95"/>
    <w:rsid w:val="00983901"/>
    <w:rsid w:val="00985A28"/>
    <w:rsid w:val="00986703"/>
    <w:rsid w:val="00991022"/>
    <w:rsid w:val="0099128D"/>
    <w:rsid w:val="00996003"/>
    <w:rsid w:val="009973BE"/>
    <w:rsid w:val="009977B4"/>
    <w:rsid w:val="00997812"/>
    <w:rsid w:val="009A0B8E"/>
    <w:rsid w:val="009A0D5A"/>
    <w:rsid w:val="009A22DD"/>
    <w:rsid w:val="009A2B11"/>
    <w:rsid w:val="009A30CF"/>
    <w:rsid w:val="009A32D0"/>
    <w:rsid w:val="009A4908"/>
    <w:rsid w:val="009A5854"/>
    <w:rsid w:val="009A59A8"/>
    <w:rsid w:val="009A5BCD"/>
    <w:rsid w:val="009A6846"/>
    <w:rsid w:val="009A765B"/>
    <w:rsid w:val="009B061E"/>
    <w:rsid w:val="009B0AB7"/>
    <w:rsid w:val="009B2AD6"/>
    <w:rsid w:val="009B3657"/>
    <w:rsid w:val="009B3C9B"/>
    <w:rsid w:val="009B6FBA"/>
    <w:rsid w:val="009C0733"/>
    <w:rsid w:val="009C1A93"/>
    <w:rsid w:val="009C23F1"/>
    <w:rsid w:val="009C34FF"/>
    <w:rsid w:val="009C380E"/>
    <w:rsid w:val="009C399A"/>
    <w:rsid w:val="009C783B"/>
    <w:rsid w:val="009D2C3E"/>
    <w:rsid w:val="009D2E14"/>
    <w:rsid w:val="009D540B"/>
    <w:rsid w:val="009D58A4"/>
    <w:rsid w:val="009D69A4"/>
    <w:rsid w:val="009D6FA9"/>
    <w:rsid w:val="009E0C76"/>
    <w:rsid w:val="009E2684"/>
    <w:rsid w:val="009E3D15"/>
    <w:rsid w:val="009E5ACA"/>
    <w:rsid w:val="009E6C76"/>
    <w:rsid w:val="009F1C8A"/>
    <w:rsid w:val="009F44A5"/>
    <w:rsid w:val="009F71FD"/>
    <w:rsid w:val="009F75E5"/>
    <w:rsid w:val="009F76D2"/>
    <w:rsid w:val="00A000D8"/>
    <w:rsid w:val="00A00853"/>
    <w:rsid w:val="00A01492"/>
    <w:rsid w:val="00A019F2"/>
    <w:rsid w:val="00A0213C"/>
    <w:rsid w:val="00A02C7E"/>
    <w:rsid w:val="00A0316B"/>
    <w:rsid w:val="00A03E30"/>
    <w:rsid w:val="00A0403D"/>
    <w:rsid w:val="00A0424B"/>
    <w:rsid w:val="00A04A9F"/>
    <w:rsid w:val="00A05D02"/>
    <w:rsid w:val="00A06459"/>
    <w:rsid w:val="00A0748B"/>
    <w:rsid w:val="00A07D8A"/>
    <w:rsid w:val="00A07DDF"/>
    <w:rsid w:val="00A10C4D"/>
    <w:rsid w:val="00A111F0"/>
    <w:rsid w:val="00A1128B"/>
    <w:rsid w:val="00A115CE"/>
    <w:rsid w:val="00A11CEF"/>
    <w:rsid w:val="00A1365F"/>
    <w:rsid w:val="00A144B0"/>
    <w:rsid w:val="00A1561B"/>
    <w:rsid w:val="00A17F5F"/>
    <w:rsid w:val="00A20183"/>
    <w:rsid w:val="00A20698"/>
    <w:rsid w:val="00A2073A"/>
    <w:rsid w:val="00A20F27"/>
    <w:rsid w:val="00A2225A"/>
    <w:rsid w:val="00A22C72"/>
    <w:rsid w:val="00A22CB6"/>
    <w:rsid w:val="00A23035"/>
    <w:rsid w:val="00A24858"/>
    <w:rsid w:val="00A25279"/>
    <w:rsid w:val="00A2692B"/>
    <w:rsid w:val="00A26CA4"/>
    <w:rsid w:val="00A276D9"/>
    <w:rsid w:val="00A27B13"/>
    <w:rsid w:val="00A27B94"/>
    <w:rsid w:val="00A30BA5"/>
    <w:rsid w:val="00A32143"/>
    <w:rsid w:val="00A332EA"/>
    <w:rsid w:val="00A3409E"/>
    <w:rsid w:val="00A37651"/>
    <w:rsid w:val="00A37F77"/>
    <w:rsid w:val="00A4184B"/>
    <w:rsid w:val="00A422BA"/>
    <w:rsid w:val="00A422C1"/>
    <w:rsid w:val="00A44E9C"/>
    <w:rsid w:val="00A462CC"/>
    <w:rsid w:val="00A463C8"/>
    <w:rsid w:val="00A466BC"/>
    <w:rsid w:val="00A47011"/>
    <w:rsid w:val="00A513EC"/>
    <w:rsid w:val="00A516CB"/>
    <w:rsid w:val="00A52A59"/>
    <w:rsid w:val="00A52B98"/>
    <w:rsid w:val="00A53EB2"/>
    <w:rsid w:val="00A54C5F"/>
    <w:rsid w:val="00A54CD3"/>
    <w:rsid w:val="00A575AE"/>
    <w:rsid w:val="00A60628"/>
    <w:rsid w:val="00A61078"/>
    <w:rsid w:val="00A61BA7"/>
    <w:rsid w:val="00A61C61"/>
    <w:rsid w:val="00A63F26"/>
    <w:rsid w:val="00A65D09"/>
    <w:rsid w:val="00A6659D"/>
    <w:rsid w:val="00A70474"/>
    <w:rsid w:val="00A7063E"/>
    <w:rsid w:val="00A713E2"/>
    <w:rsid w:val="00A722B0"/>
    <w:rsid w:val="00A73DE2"/>
    <w:rsid w:val="00A74EF4"/>
    <w:rsid w:val="00A756CF"/>
    <w:rsid w:val="00A809A0"/>
    <w:rsid w:val="00A81C54"/>
    <w:rsid w:val="00A83117"/>
    <w:rsid w:val="00A831AA"/>
    <w:rsid w:val="00A834B8"/>
    <w:rsid w:val="00A84D4E"/>
    <w:rsid w:val="00A855EB"/>
    <w:rsid w:val="00A86F1A"/>
    <w:rsid w:val="00A877D0"/>
    <w:rsid w:val="00A87FD5"/>
    <w:rsid w:val="00A9159F"/>
    <w:rsid w:val="00A91958"/>
    <w:rsid w:val="00A91E5C"/>
    <w:rsid w:val="00A92309"/>
    <w:rsid w:val="00A9275F"/>
    <w:rsid w:val="00A932A3"/>
    <w:rsid w:val="00A93921"/>
    <w:rsid w:val="00A96322"/>
    <w:rsid w:val="00A96CB6"/>
    <w:rsid w:val="00A97D92"/>
    <w:rsid w:val="00AA03D6"/>
    <w:rsid w:val="00AA1A23"/>
    <w:rsid w:val="00AA1D0E"/>
    <w:rsid w:val="00AA1E25"/>
    <w:rsid w:val="00AA20C9"/>
    <w:rsid w:val="00AA2141"/>
    <w:rsid w:val="00AA417D"/>
    <w:rsid w:val="00AA50D8"/>
    <w:rsid w:val="00AA5524"/>
    <w:rsid w:val="00AA56E2"/>
    <w:rsid w:val="00AB00F3"/>
    <w:rsid w:val="00AB2EA3"/>
    <w:rsid w:val="00AB32DA"/>
    <w:rsid w:val="00AB38C4"/>
    <w:rsid w:val="00AB520F"/>
    <w:rsid w:val="00AB5D7F"/>
    <w:rsid w:val="00AB710B"/>
    <w:rsid w:val="00AB7AAB"/>
    <w:rsid w:val="00AC185C"/>
    <w:rsid w:val="00AC27CD"/>
    <w:rsid w:val="00AC4575"/>
    <w:rsid w:val="00AC46EF"/>
    <w:rsid w:val="00AC6840"/>
    <w:rsid w:val="00AD0E04"/>
    <w:rsid w:val="00AD1AAD"/>
    <w:rsid w:val="00AD3089"/>
    <w:rsid w:val="00AD3A56"/>
    <w:rsid w:val="00AD4ABE"/>
    <w:rsid w:val="00AD4CDC"/>
    <w:rsid w:val="00AD6857"/>
    <w:rsid w:val="00AD687A"/>
    <w:rsid w:val="00AD6DC4"/>
    <w:rsid w:val="00AD6E17"/>
    <w:rsid w:val="00AE225A"/>
    <w:rsid w:val="00AE23F9"/>
    <w:rsid w:val="00AE27CE"/>
    <w:rsid w:val="00AE2BA5"/>
    <w:rsid w:val="00AE4585"/>
    <w:rsid w:val="00AE7911"/>
    <w:rsid w:val="00AE7955"/>
    <w:rsid w:val="00AF0656"/>
    <w:rsid w:val="00AF08CC"/>
    <w:rsid w:val="00AF0A9F"/>
    <w:rsid w:val="00AF0EB2"/>
    <w:rsid w:val="00AF0F0C"/>
    <w:rsid w:val="00AF2BF6"/>
    <w:rsid w:val="00AF3340"/>
    <w:rsid w:val="00AF3F7E"/>
    <w:rsid w:val="00AF5BAD"/>
    <w:rsid w:val="00AF65C7"/>
    <w:rsid w:val="00B00C37"/>
    <w:rsid w:val="00B0428A"/>
    <w:rsid w:val="00B058A0"/>
    <w:rsid w:val="00B06AA0"/>
    <w:rsid w:val="00B071EF"/>
    <w:rsid w:val="00B07898"/>
    <w:rsid w:val="00B07F86"/>
    <w:rsid w:val="00B103CC"/>
    <w:rsid w:val="00B10EF8"/>
    <w:rsid w:val="00B114E9"/>
    <w:rsid w:val="00B11FAB"/>
    <w:rsid w:val="00B12310"/>
    <w:rsid w:val="00B16AB3"/>
    <w:rsid w:val="00B16CED"/>
    <w:rsid w:val="00B171D6"/>
    <w:rsid w:val="00B206C1"/>
    <w:rsid w:val="00B2391D"/>
    <w:rsid w:val="00B25390"/>
    <w:rsid w:val="00B276EB"/>
    <w:rsid w:val="00B30DB1"/>
    <w:rsid w:val="00B31641"/>
    <w:rsid w:val="00B321BE"/>
    <w:rsid w:val="00B331C4"/>
    <w:rsid w:val="00B3403E"/>
    <w:rsid w:val="00B3456F"/>
    <w:rsid w:val="00B35399"/>
    <w:rsid w:val="00B3631B"/>
    <w:rsid w:val="00B36E14"/>
    <w:rsid w:val="00B37026"/>
    <w:rsid w:val="00B41650"/>
    <w:rsid w:val="00B41A3C"/>
    <w:rsid w:val="00B43936"/>
    <w:rsid w:val="00B43976"/>
    <w:rsid w:val="00B45049"/>
    <w:rsid w:val="00B461FB"/>
    <w:rsid w:val="00B46D8D"/>
    <w:rsid w:val="00B471A8"/>
    <w:rsid w:val="00B47294"/>
    <w:rsid w:val="00B4780B"/>
    <w:rsid w:val="00B47DF7"/>
    <w:rsid w:val="00B50526"/>
    <w:rsid w:val="00B51A2B"/>
    <w:rsid w:val="00B51BB5"/>
    <w:rsid w:val="00B5401C"/>
    <w:rsid w:val="00B55A34"/>
    <w:rsid w:val="00B606A8"/>
    <w:rsid w:val="00B6106F"/>
    <w:rsid w:val="00B61A03"/>
    <w:rsid w:val="00B61DE4"/>
    <w:rsid w:val="00B62578"/>
    <w:rsid w:val="00B6273D"/>
    <w:rsid w:val="00B632E8"/>
    <w:rsid w:val="00B64794"/>
    <w:rsid w:val="00B654ED"/>
    <w:rsid w:val="00B660F2"/>
    <w:rsid w:val="00B6719F"/>
    <w:rsid w:val="00B67600"/>
    <w:rsid w:val="00B70750"/>
    <w:rsid w:val="00B725B1"/>
    <w:rsid w:val="00B7388C"/>
    <w:rsid w:val="00B73B4C"/>
    <w:rsid w:val="00B7408F"/>
    <w:rsid w:val="00B7493C"/>
    <w:rsid w:val="00B75DB6"/>
    <w:rsid w:val="00B775B4"/>
    <w:rsid w:val="00B81246"/>
    <w:rsid w:val="00B85D38"/>
    <w:rsid w:val="00B929A2"/>
    <w:rsid w:val="00B92CEB"/>
    <w:rsid w:val="00B93631"/>
    <w:rsid w:val="00B93F78"/>
    <w:rsid w:val="00B94871"/>
    <w:rsid w:val="00B94E88"/>
    <w:rsid w:val="00B94FB4"/>
    <w:rsid w:val="00BA2235"/>
    <w:rsid w:val="00BA2903"/>
    <w:rsid w:val="00BA3BC1"/>
    <w:rsid w:val="00BA4BAB"/>
    <w:rsid w:val="00BA7252"/>
    <w:rsid w:val="00BA728F"/>
    <w:rsid w:val="00BB104F"/>
    <w:rsid w:val="00BB1B03"/>
    <w:rsid w:val="00BB3500"/>
    <w:rsid w:val="00BB41AC"/>
    <w:rsid w:val="00BB7071"/>
    <w:rsid w:val="00BC117F"/>
    <w:rsid w:val="00BC2814"/>
    <w:rsid w:val="00BC33C9"/>
    <w:rsid w:val="00BC3DB1"/>
    <w:rsid w:val="00BC63B1"/>
    <w:rsid w:val="00BC7EA8"/>
    <w:rsid w:val="00BD18EF"/>
    <w:rsid w:val="00BD1CA6"/>
    <w:rsid w:val="00BD2CA4"/>
    <w:rsid w:val="00BD4490"/>
    <w:rsid w:val="00BD4513"/>
    <w:rsid w:val="00BD4679"/>
    <w:rsid w:val="00BD4D69"/>
    <w:rsid w:val="00BD58E9"/>
    <w:rsid w:val="00BD6C3A"/>
    <w:rsid w:val="00BD7D6F"/>
    <w:rsid w:val="00BE1430"/>
    <w:rsid w:val="00BE1C25"/>
    <w:rsid w:val="00BE3FD0"/>
    <w:rsid w:val="00BE4C91"/>
    <w:rsid w:val="00BE63F7"/>
    <w:rsid w:val="00BE681A"/>
    <w:rsid w:val="00BE7CF4"/>
    <w:rsid w:val="00BF00F3"/>
    <w:rsid w:val="00BF1C59"/>
    <w:rsid w:val="00BF2615"/>
    <w:rsid w:val="00BF2D0E"/>
    <w:rsid w:val="00BF4506"/>
    <w:rsid w:val="00BF4670"/>
    <w:rsid w:val="00BF63D5"/>
    <w:rsid w:val="00BF6C9B"/>
    <w:rsid w:val="00C0245C"/>
    <w:rsid w:val="00C02FB1"/>
    <w:rsid w:val="00C03AF3"/>
    <w:rsid w:val="00C043EB"/>
    <w:rsid w:val="00C051AC"/>
    <w:rsid w:val="00C05595"/>
    <w:rsid w:val="00C111C7"/>
    <w:rsid w:val="00C11F33"/>
    <w:rsid w:val="00C1408B"/>
    <w:rsid w:val="00C14209"/>
    <w:rsid w:val="00C14241"/>
    <w:rsid w:val="00C1738A"/>
    <w:rsid w:val="00C179CD"/>
    <w:rsid w:val="00C2005D"/>
    <w:rsid w:val="00C243BF"/>
    <w:rsid w:val="00C244DD"/>
    <w:rsid w:val="00C26CB0"/>
    <w:rsid w:val="00C27414"/>
    <w:rsid w:val="00C27E4A"/>
    <w:rsid w:val="00C31377"/>
    <w:rsid w:val="00C32240"/>
    <w:rsid w:val="00C32B7E"/>
    <w:rsid w:val="00C33109"/>
    <w:rsid w:val="00C3479A"/>
    <w:rsid w:val="00C34AA7"/>
    <w:rsid w:val="00C36048"/>
    <w:rsid w:val="00C360DD"/>
    <w:rsid w:val="00C362A1"/>
    <w:rsid w:val="00C3674B"/>
    <w:rsid w:val="00C40057"/>
    <w:rsid w:val="00C4026D"/>
    <w:rsid w:val="00C41E3E"/>
    <w:rsid w:val="00C43B46"/>
    <w:rsid w:val="00C44B04"/>
    <w:rsid w:val="00C44D85"/>
    <w:rsid w:val="00C44E35"/>
    <w:rsid w:val="00C45FD6"/>
    <w:rsid w:val="00C46789"/>
    <w:rsid w:val="00C47207"/>
    <w:rsid w:val="00C4755D"/>
    <w:rsid w:val="00C511B0"/>
    <w:rsid w:val="00C52497"/>
    <w:rsid w:val="00C54D10"/>
    <w:rsid w:val="00C55D39"/>
    <w:rsid w:val="00C57685"/>
    <w:rsid w:val="00C60070"/>
    <w:rsid w:val="00C60877"/>
    <w:rsid w:val="00C639D8"/>
    <w:rsid w:val="00C643DF"/>
    <w:rsid w:val="00C65CFF"/>
    <w:rsid w:val="00C67B64"/>
    <w:rsid w:val="00C67F43"/>
    <w:rsid w:val="00C70804"/>
    <w:rsid w:val="00C71E57"/>
    <w:rsid w:val="00C72E5E"/>
    <w:rsid w:val="00C744BC"/>
    <w:rsid w:val="00C813F5"/>
    <w:rsid w:val="00C815BE"/>
    <w:rsid w:val="00C83A6B"/>
    <w:rsid w:val="00C841FB"/>
    <w:rsid w:val="00C85D9F"/>
    <w:rsid w:val="00C8648B"/>
    <w:rsid w:val="00C904A6"/>
    <w:rsid w:val="00C915CF"/>
    <w:rsid w:val="00C934B1"/>
    <w:rsid w:val="00C9365B"/>
    <w:rsid w:val="00C947E7"/>
    <w:rsid w:val="00C95804"/>
    <w:rsid w:val="00C95A9E"/>
    <w:rsid w:val="00C95FD7"/>
    <w:rsid w:val="00C96BDB"/>
    <w:rsid w:val="00C978EF"/>
    <w:rsid w:val="00CA48CE"/>
    <w:rsid w:val="00CA5C01"/>
    <w:rsid w:val="00CA5F63"/>
    <w:rsid w:val="00CA6292"/>
    <w:rsid w:val="00CA633A"/>
    <w:rsid w:val="00CA6A01"/>
    <w:rsid w:val="00CA6D39"/>
    <w:rsid w:val="00CA7CDA"/>
    <w:rsid w:val="00CA7EAB"/>
    <w:rsid w:val="00CA7FAA"/>
    <w:rsid w:val="00CB007F"/>
    <w:rsid w:val="00CB1884"/>
    <w:rsid w:val="00CB35FA"/>
    <w:rsid w:val="00CB3B3F"/>
    <w:rsid w:val="00CB3FD5"/>
    <w:rsid w:val="00CB4F05"/>
    <w:rsid w:val="00CB5DAB"/>
    <w:rsid w:val="00CB6473"/>
    <w:rsid w:val="00CB78D7"/>
    <w:rsid w:val="00CC00CB"/>
    <w:rsid w:val="00CC0112"/>
    <w:rsid w:val="00CC01A4"/>
    <w:rsid w:val="00CC09C5"/>
    <w:rsid w:val="00CC0B8D"/>
    <w:rsid w:val="00CC134C"/>
    <w:rsid w:val="00CC1793"/>
    <w:rsid w:val="00CC3137"/>
    <w:rsid w:val="00CC3451"/>
    <w:rsid w:val="00CC39E2"/>
    <w:rsid w:val="00CC5853"/>
    <w:rsid w:val="00CC5A10"/>
    <w:rsid w:val="00CD1620"/>
    <w:rsid w:val="00CD1FA8"/>
    <w:rsid w:val="00CD2DF3"/>
    <w:rsid w:val="00CD36DE"/>
    <w:rsid w:val="00CD50BA"/>
    <w:rsid w:val="00CD63A2"/>
    <w:rsid w:val="00CE0154"/>
    <w:rsid w:val="00CE1CB4"/>
    <w:rsid w:val="00CE1F4D"/>
    <w:rsid w:val="00CE27C1"/>
    <w:rsid w:val="00CE34F2"/>
    <w:rsid w:val="00CE4136"/>
    <w:rsid w:val="00CE5590"/>
    <w:rsid w:val="00CE6283"/>
    <w:rsid w:val="00CE79F1"/>
    <w:rsid w:val="00CF1577"/>
    <w:rsid w:val="00CF20E3"/>
    <w:rsid w:val="00CF30E1"/>
    <w:rsid w:val="00CF35E3"/>
    <w:rsid w:val="00CF3913"/>
    <w:rsid w:val="00CF5226"/>
    <w:rsid w:val="00CF5E61"/>
    <w:rsid w:val="00CF5EE9"/>
    <w:rsid w:val="00CF670E"/>
    <w:rsid w:val="00CF7B49"/>
    <w:rsid w:val="00D01826"/>
    <w:rsid w:val="00D01A50"/>
    <w:rsid w:val="00D01E95"/>
    <w:rsid w:val="00D023C6"/>
    <w:rsid w:val="00D04820"/>
    <w:rsid w:val="00D04974"/>
    <w:rsid w:val="00D04D2F"/>
    <w:rsid w:val="00D07CFC"/>
    <w:rsid w:val="00D1052A"/>
    <w:rsid w:val="00D109D3"/>
    <w:rsid w:val="00D10EC3"/>
    <w:rsid w:val="00D11455"/>
    <w:rsid w:val="00D11D73"/>
    <w:rsid w:val="00D1277C"/>
    <w:rsid w:val="00D131DB"/>
    <w:rsid w:val="00D132DC"/>
    <w:rsid w:val="00D138BF"/>
    <w:rsid w:val="00D1404C"/>
    <w:rsid w:val="00D15430"/>
    <w:rsid w:val="00D15974"/>
    <w:rsid w:val="00D20844"/>
    <w:rsid w:val="00D22517"/>
    <w:rsid w:val="00D22699"/>
    <w:rsid w:val="00D23324"/>
    <w:rsid w:val="00D267B9"/>
    <w:rsid w:val="00D26AB2"/>
    <w:rsid w:val="00D34729"/>
    <w:rsid w:val="00D35208"/>
    <w:rsid w:val="00D35CF3"/>
    <w:rsid w:val="00D361D6"/>
    <w:rsid w:val="00D363E1"/>
    <w:rsid w:val="00D36DD0"/>
    <w:rsid w:val="00D372B4"/>
    <w:rsid w:val="00D3747F"/>
    <w:rsid w:val="00D4029F"/>
    <w:rsid w:val="00D41147"/>
    <w:rsid w:val="00D42EC0"/>
    <w:rsid w:val="00D44969"/>
    <w:rsid w:val="00D44A83"/>
    <w:rsid w:val="00D44AD3"/>
    <w:rsid w:val="00D453EC"/>
    <w:rsid w:val="00D45C68"/>
    <w:rsid w:val="00D4696C"/>
    <w:rsid w:val="00D475EA"/>
    <w:rsid w:val="00D522E9"/>
    <w:rsid w:val="00D53126"/>
    <w:rsid w:val="00D551DE"/>
    <w:rsid w:val="00D601BA"/>
    <w:rsid w:val="00D617AC"/>
    <w:rsid w:val="00D62403"/>
    <w:rsid w:val="00D62690"/>
    <w:rsid w:val="00D632FB"/>
    <w:rsid w:val="00D66F0C"/>
    <w:rsid w:val="00D67ADC"/>
    <w:rsid w:val="00D707BA"/>
    <w:rsid w:val="00D712E1"/>
    <w:rsid w:val="00D7216E"/>
    <w:rsid w:val="00D72885"/>
    <w:rsid w:val="00D7451A"/>
    <w:rsid w:val="00D75546"/>
    <w:rsid w:val="00D75FB3"/>
    <w:rsid w:val="00D77741"/>
    <w:rsid w:val="00D777E0"/>
    <w:rsid w:val="00D8172C"/>
    <w:rsid w:val="00D82A53"/>
    <w:rsid w:val="00D85323"/>
    <w:rsid w:val="00D85B38"/>
    <w:rsid w:val="00D85BEA"/>
    <w:rsid w:val="00D863E6"/>
    <w:rsid w:val="00D90D9C"/>
    <w:rsid w:val="00D93657"/>
    <w:rsid w:val="00D9405B"/>
    <w:rsid w:val="00D962CE"/>
    <w:rsid w:val="00D96329"/>
    <w:rsid w:val="00D963F2"/>
    <w:rsid w:val="00D967BC"/>
    <w:rsid w:val="00D97782"/>
    <w:rsid w:val="00DA0619"/>
    <w:rsid w:val="00DA1B86"/>
    <w:rsid w:val="00DA2CFE"/>
    <w:rsid w:val="00DA4348"/>
    <w:rsid w:val="00DA43F4"/>
    <w:rsid w:val="00DA47E5"/>
    <w:rsid w:val="00DA6AAD"/>
    <w:rsid w:val="00DA72C6"/>
    <w:rsid w:val="00DA76CA"/>
    <w:rsid w:val="00DA79F2"/>
    <w:rsid w:val="00DB1028"/>
    <w:rsid w:val="00DB1F26"/>
    <w:rsid w:val="00DB208A"/>
    <w:rsid w:val="00DB2A19"/>
    <w:rsid w:val="00DB2E45"/>
    <w:rsid w:val="00DB36CD"/>
    <w:rsid w:val="00DB36FF"/>
    <w:rsid w:val="00DB4106"/>
    <w:rsid w:val="00DB4184"/>
    <w:rsid w:val="00DB5C9E"/>
    <w:rsid w:val="00DB6573"/>
    <w:rsid w:val="00DB6BA1"/>
    <w:rsid w:val="00DB7C31"/>
    <w:rsid w:val="00DC1C62"/>
    <w:rsid w:val="00DC1E85"/>
    <w:rsid w:val="00DC2D90"/>
    <w:rsid w:val="00DC38C9"/>
    <w:rsid w:val="00DC3CE5"/>
    <w:rsid w:val="00DC3D7A"/>
    <w:rsid w:val="00DC4062"/>
    <w:rsid w:val="00DC6BA5"/>
    <w:rsid w:val="00DD0337"/>
    <w:rsid w:val="00DD0FA9"/>
    <w:rsid w:val="00DD1F27"/>
    <w:rsid w:val="00DD21DC"/>
    <w:rsid w:val="00DD2EC4"/>
    <w:rsid w:val="00DD40F6"/>
    <w:rsid w:val="00DD6306"/>
    <w:rsid w:val="00DE17F0"/>
    <w:rsid w:val="00DE1FD6"/>
    <w:rsid w:val="00DE2AF9"/>
    <w:rsid w:val="00DE2E40"/>
    <w:rsid w:val="00DE34FE"/>
    <w:rsid w:val="00DE5CD0"/>
    <w:rsid w:val="00DF0F9E"/>
    <w:rsid w:val="00DF27A9"/>
    <w:rsid w:val="00DF3A04"/>
    <w:rsid w:val="00DF4592"/>
    <w:rsid w:val="00DF5935"/>
    <w:rsid w:val="00DF69D1"/>
    <w:rsid w:val="00DF6B23"/>
    <w:rsid w:val="00DF711E"/>
    <w:rsid w:val="00E01A29"/>
    <w:rsid w:val="00E04936"/>
    <w:rsid w:val="00E05C7D"/>
    <w:rsid w:val="00E062E7"/>
    <w:rsid w:val="00E06BBA"/>
    <w:rsid w:val="00E110EE"/>
    <w:rsid w:val="00E1366D"/>
    <w:rsid w:val="00E16A94"/>
    <w:rsid w:val="00E17838"/>
    <w:rsid w:val="00E2061C"/>
    <w:rsid w:val="00E21081"/>
    <w:rsid w:val="00E21293"/>
    <w:rsid w:val="00E221F8"/>
    <w:rsid w:val="00E23C59"/>
    <w:rsid w:val="00E24AB0"/>
    <w:rsid w:val="00E25D36"/>
    <w:rsid w:val="00E262D0"/>
    <w:rsid w:val="00E27364"/>
    <w:rsid w:val="00E277AF"/>
    <w:rsid w:val="00E31B34"/>
    <w:rsid w:val="00E329B4"/>
    <w:rsid w:val="00E33716"/>
    <w:rsid w:val="00E4113D"/>
    <w:rsid w:val="00E42698"/>
    <w:rsid w:val="00E4326D"/>
    <w:rsid w:val="00E43A3D"/>
    <w:rsid w:val="00E43A83"/>
    <w:rsid w:val="00E45B12"/>
    <w:rsid w:val="00E46A45"/>
    <w:rsid w:val="00E479E1"/>
    <w:rsid w:val="00E47DF5"/>
    <w:rsid w:val="00E505FF"/>
    <w:rsid w:val="00E509B6"/>
    <w:rsid w:val="00E517C8"/>
    <w:rsid w:val="00E521C5"/>
    <w:rsid w:val="00E5221A"/>
    <w:rsid w:val="00E53268"/>
    <w:rsid w:val="00E54185"/>
    <w:rsid w:val="00E554F3"/>
    <w:rsid w:val="00E55510"/>
    <w:rsid w:val="00E55B0B"/>
    <w:rsid w:val="00E55D1E"/>
    <w:rsid w:val="00E5705C"/>
    <w:rsid w:val="00E615E0"/>
    <w:rsid w:val="00E620B1"/>
    <w:rsid w:val="00E62E1E"/>
    <w:rsid w:val="00E62E8C"/>
    <w:rsid w:val="00E6333F"/>
    <w:rsid w:val="00E63A0A"/>
    <w:rsid w:val="00E64129"/>
    <w:rsid w:val="00E64629"/>
    <w:rsid w:val="00E647B6"/>
    <w:rsid w:val="00E65009"/>
    <w:rsid w:val="00E66237"/>
    <w:rsid w:val="00E66519"/>
    <w:rsid w:val="00E66632"/>
    <w:rsid w:val="00E6728E"/>
    <w:rsid w:val="00E6735C"/>
    <w:rsid w:val="00E71554"/>
    <w:rsid w:val="00E715EF"/>
    <w:rsid w:val="00E72868"/>
    <w:rsid w:val="00E7365D"/>
    <w:rsid w:val="00E747D0"/>
    <w:rsid w:val="00E74BDE"/>
    <w:rsid w:val="00E77DD2"/>
    <w:rsid w:val="00E801C8"/>
    <w:rsid w:val="00E80C57"/>
    <w:rsid w:val="00E8108C"/>
    <w:rsid w:val="00E82699"/>
    <w:rsid w:val="00E83357"/>
    <w:rsid w:val="00E83A82"/>
    <w:rsid w:val="00E8412F"/>
    <w:rsid w:val="00E84F9A"/>
    <w:rsid w:val="00E8506D"/>
    <w:rsid w:val="00E85785"/>
    <w:rsid w:val="00E8760A"/>
    <w:rsid w:val="00E87729"/>
    <w:rsid w:val="00E87788"/>
    <w:rsid w:val="00E9081A"/>
    <w:rsid w:val="00E919BE"/>
    <w:rsid w:val="00E91A7C"/>
    <w:rsid w:val="00E92140"/>
    <w:rsid w:val="00E92AA7"/>
    <w:rsid w:val="00E94A70"/>
    <w:rsid w:val="00E9502C"/>
    <w:rsid w:val="00E95D1F"/>
    <w:rsid w:val="00E96E5F"/>
    <w:rsid w:val="00E977D1"/>
    <w:rsid w:val="00EA463F"/>
    <w:rsid w:val="00EA58ED"/>
    <w:rsid w:val="00EA5A62"/>
    <w:rsid w:val="00EA5BFD"/>
    <w:rsid w:val="00EA5CAE"/>
    <w:rsid w:val="00EA68C0"/>
    <w:rsid w:val="00EA6EC9"/>
    <w:rsid w:val="00EA7EF6"/>
    <w:rsid w:val="00EB0EAC"/>
    <w:rsid w:val="00EB1859"/>
    <w:rsid w:val="00EB2737"/>
    <w:rsid w:val="00EB31BF"/>
    <w:rsid w:val="00EB3DFF"/>
    <w:rsid w:val="00EB592C"/>
    <w:rsid w:val="00EB689B"/>
    <w:rsid w:val="00EC2604"/>
    <w:rsid w:val="00EC2874"/>
    <w:rsid w:val="00EC4EB9"/>
    <w:rsid w:val="00EC6144"/>
    <w:rsid w:val="00EC6BD9"/>
    <w:rsid w:val="00ED0142"/>
    <w:rsid w:val="00ED50A3"/>
    <w:rsid w:val="00ED5BF6"/>
    <w:rsid w:val="00ED67CE"/>
    <w:rsid w:val="00ED7617"/>
    <w:rsid w:val="00EE00EC"/>
    <w:rsid w:val="00EE0F78"/>
    <w:rsid w:val="00EE1026"/>
    <w:rsid w:val="00EE2359"/>
    <w:rsid w:val="00EE28AB"/>
    <w:rsid w:val="00EE28B0"/>
    <w:rsid w:val="00EE35F7"/>
    <w:rsid w:val="00EE70AC"/>
    <w:rsid w:val="00EE7884"/>
    <w:rsid w:val="00EF40E0"/>
    <w:rsid w:val="00EF521D"/>
    <w:rsid w:val="00EF55F5"/>
    <w:rsid w:val="00EF57F0"/>
    <w:rsid w:val="00EF5946"/>
    <w:rsid w:val="00EF780E"/>
    <w:rsid w:val="00EF789C"/>
    <w:rsid w:val="00EF7BBA"/>
    <w:rsid w:val="00F02C38"/>
    <w:rsid w:val="00F0342E"/>
    <w:rsid w:val="00F03C7A"/>
    <w:rsid w:val="00F053A1"/>
    <w:rsid w:val="00F05754"/>
    <w:rsid w:val="00F0673E"/>
    <w:rsid w:val="00F06AC5"/>
    <w:rsid w:val="00F10166"/>
    <w:rsid w:val="00F11CBE"/>
    <w:rsid w:val="00F11ECE"/>
    <w:rsid w:val="00F123F8"/>
    <w:rsid w:val="00F12D06"/>
    <w:rsid w:val="00F13BBB"/>
    <w:rsid w:val="00F14312"/>
    <w:rsid w:val="00F15970"/>
    <w:rsid w:val="00F1601D"/>
    <w:rsid w:val="00F178C4"/>
    <w:rsid w:val="00F17C9E"/>
    <w:rsid w:val="00F21C08"/>
    <w:rsid w:val="00F233AA"/>
    <w:rsid w:val="00F2356D"/>
    <w:rsid w:val="00F23830"/>
    <w:rsid w:val="00F24688"/>
    <w:rsid w:val="00F25617"/>
    <w:rsid w:val="00F26F9F"/>
    <w:rsid w:val="00F30542"/>
    <w:rsid w:val="00F31677"/>
    <w:rsid w:val="00F33372"/>
    <w:rsid w:val="00F33429"/>
    <w:rsid w:val="00F34914"/>
    <w:rsid w:val="00F34DE9"/>
    <w:rsid w:val="00F3549F"/>
    <w:rsid w:val="00F35FF3"/>
    <w:rsid w:val="00F362D3"/>
    <w:rsid w:val="00F40188"/>
    <w:rsid w:val="00F40624"/>
    <w:rsid w:val="00F410F3"/>
    <w:rsid w:val="00F42BBE"/>
    <w:rsid w:val="00F46912"/>
    <w:rsid w:val="00F5071C"/>
    <w:rsid w:val="00F51A71"/>
    <w:rsid w:val="00F5221F"/>
    <w:rsid w:val="00F52451"/>
    <w:rsid w:val="00F54105"/>
    <w:rsid w:val="00F552DA"/>
    <w:rsid w:val="00F55439"/>
    <w:rsid w:val="00F605D2"/>
    <w:rsid w:val="00F60F0D"/>
    <w:rsid w:val="00F610A7"/>
    <w:rsid w:val="00F621D1"/>
    <w:rsid w:val="00F638B6"/>
    <w:rsid w:val="00F63F17"/>
    <w:rsid w:val="00F671F4"/>
    <w:rsid w:val="00F70252"/>
    <w:rsid w:val="00F72092"/>
    <w:rsid w:val="00F72CCF"/>
    <w:rsid w:val="00F73B8D"/>
    <w:rsid w:val="00F746BF"/>
    <w:rsid w:val="00F769FA"/>
    <w:rsid w:val="00F7751D"/>
    <w:rsid w:val="00F77E57"/>
    <w:rsid w:val="00F81660"/>
    <w:rsid w:val="00F8216E"/>
    <w:rsid w:val="00F821C0"/>
    <w:rsid w:val="00F8299B"/>
    <w:rsid w:val="00F853D1"/>
    <w:rsid w:val="00F8627A"/>
    <w:rsid w:val="00F86732"/>
    <w:rsid w:val="00F86907"/>
    <w:rsid w:val="00F87253"/>
    <w:rsid w:val="00F87534"/>
    <w:rsid w:val="00F87F97"/>
    <w:rsid w:val="00F9095F"/>
    <w:rsid w:val="00F916D2"/>
    <w:rsid w:val="00F918CE"/>
    <w:rsid w:val="00F9233D"/>
    <w:rsid w:val="00F92387"/>
    <w:rsid w:val="00F92FE2"/>
    <w:rsid w:val="00F93A96"/>
    <w:rsid w:val="00F956B9"/>
    <w:rsid w:val="00F95B90"/>
    <w:rsid w:val="00F96CE7"/>
    <w:rsid w:val="00FA08E7"/>
    <w:rsid w:val="00FA129E"/>
    <w:rsid w:val="00FA2A2C"/>
    <w:rsid w:val="00FA3792"/>
    <w:rsid w:val="00FA6528"/>
    <w:rsid w:val="00FA7680"/>
    <w:rsid w:val="00FA78C4"/>
    <w:rsid w:val="00FB0357"/>
    <w:rsid w:val="00FB0750"/>
    <w:rsid w:val="00FB20C9"/>
    <w:rsid w:val="00FB2696"/>
    <w:rsid w:val="00FB2A5A"/>
    <w:rsid w:val="00FB432F"/>
    <w:rsid w:val="00FB52A3"/>
    <w:rsid w:val="00FB53AE"/>
    <w:rsid w:val="00FC0162"/>
    <w:rsid w:val="00FC13A6"/>
    <w:rsid w:val="00FC1516"/>
    <w:rsid w:val="00FC1692"/>
    <w:rsid w:val="00FC1C21"/>
    <w:rsid w:val="00FC1EED"/>
    <w:rsid w:val="00FC2559"/>
    <w:rsid w:val="00FC47AD"/>
    <w:rsid w:val="00FC4B60"/>
    <w:rsid w:val="00FC4F6A"/>
    <w:rsid w:val="00FC52B9"/>
    <w:rsid w:val="00FC5ED5"/>
    <w:rsid w:val="00FC604E"/>
    <w:rsid w:val="00FC7EFB"/>
    <w:rsid w:val="00FD480B"/>
    <w:rsid w:val="00FD4B5C"/>
    <w:rsid w:val="00FD4D1C"/>
    <w:rsid w:val="00FD4D9F"/>
    <w:rsid w:val="00FD5562"/>
    <w:rsid w:val="00FD615E"/>
    <w:rsid w:val="00FD65A1"/>
    <w:rsid w:val="00FD6F5D"/>
    <w:rsid w:val="00FD722E"/>
    <w:rsid w:val="00FD7762"/>
    <w:rsid w:val="00FE06E9"/>
    <w:rsid w:val="00FE093A"/>
    <w:rsid w:val="00FE098C"/>
    <w:rsid w:val="00FE1CE1"/>
    <w:rsid w:val="00FE282D"/>
    <w:rsid w:val="00FE2ED4"/>
    <w:rsid w:val="00FE3FB5"/>
    <w:rsid w:val="00FE4340"/>
    <w:rsid w:val="00FE4477"/>
    <w:rsid w:val="00FE44B6"/>
    <w:rsid w:val="00FE45BE"/>
    <w:rsid w:val="00FE4717"/>
    <w:rsid w:val="00FE69E3"/>
    <w:rsid w:val="00FF0747"/>
    <w:rsid w:val="00FF0D5E"/>
    <w:rsid w:val="00FF1496"/>
    <w:rsid w:val="00FF29E8"/>
    <w:rsid w:val="00FF478C"/>
    <w:rsid w:val="00FF57B5"/>
    <w:rsid w:val="00FF580C"/>
    <w:rsid w:val="00FF7B6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6DD6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20"/>
      </w:numPr>
      <w:tabs>
        <w:tab w:val="num" w:pos="360"/>
      </w:tabs>
    </w:pPr>
    <w:rPr>
      <w:i w:val="0"/>
    </w:rPr>
  </w:style>
  <w:style w:type="paragraph" w:customStyle="1" w:styleId="base-text-paragraph">
    <w:name w:val="base-text-paragraph"/>
    <w:basedOn w:val="Normal"/>
    <w:link w:val="base-text-paragraphChar"/>
    <w:rsid w:val="00D85BEA"/>
    <w:pPr>
      <w:numPr>
        <w:ilvl w:val="1"/>
        <w:numId w:val="2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link w:val="exampletextChar"/>
    <w:rsid w:val="008752F1"/>
    <w:pPr>
      <w:ind w:left="1985"/>
    </w:pPr>
    <w:rPr>
      <w:sz w:val="20"/>
    </w:rPr>
  </w:style>
  <w:style w:type="paragraph" w:customStyle="1" w:styleId="ExampleHeading">
    <w:name w:val="Example Heading"/>
    <w:basedOn w:val="Normal"/>
    <w:next w:val="exampletext"/>
    <w:rsid w:val="009B0AB7"/>
    <w:pPr>
      <w:keepNext/>
      <w:numPr>
        <w:ilvl w:val="3"/>
        <w:numId w:val="20"/>
      </w:numPr>
      <w:tabs>
        <w:tab w:val="num" w:pos="360"/>
      </w:tabs>
      <w:ind w:left="0"/>
    </w:pPr>
    <w:rPr>
      <w:b/>
    </w:rPr>
  </w:style>
  <w:style w:type="paragraph" w:customStyle="1" w:styleId="Diagram">
    <w:name w:val="Diagram"/>
    <w:basedOn w:val="Normal"/>
    <w:next w:val="base-text-paragraphnonumbers"/>
    <w:rsid w:val="0036787F"/>
    <w:pPr>
      <w:keepNext/>
      <w:numPr>
        <w:ilvl w:val="2"/>
        <w:numId w:val="20"/>
      </w:numPr>
      <w:tabs>
        <w:tab w:val="num" w:pos="360"/>
      </w:tabs>
      <w:spacing w:before="0" w:after="0"/>
      <w:ind w:left="0"/>
    </w:pPr>
    <w:rPr>
      <w:b/>
    </w:rPr>
  </w:style>
  <w:style w:type="paragraph" w:customStyle="1" w:styleId="dotpoint">
    <w:name w:val="dot point"/>
    <w:basedOn w:val="Normal"/>
    <w:link w:val="dotpointChar"/>
    <w:rsid w:val="00D85BEA"/>
    <w:pPr>
      <w:numPr>
        <w:numId w:val="1"/>
      </w:numPr>
    </w:pPr>
  </w:style>
  <w:style w:type="paragraph" w:customStyle="1" w:styleId="dotpoint2">
    <w:name w:val="dot point 2"/>
    <w:basedOn w:val="Normal"/>
    <w:rsid w:val="00E62E8C"/>
    <w:pPr>
      <w:numPr>
        <w:ilvl w:val="1"/>
        <w:numId w:val="16"/>
      </w:numPr>
      <w:tabs>
        <w:tab w:val="clear" w:pos="2552"/>
        <w:tab w:val="num" w:pos="360"/>
      </w:tabs>
      <w:ind w:left="2268" w:firstLine="0"/>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9"/>
      </w:numPr>
    </w:pPr>
  </w:style>
  <w:style w:type="paragraph" w:customStyle="1" w:styleId="tabledotpoint2">
    <w:name w:val="table dot point 2"/>
    <w:basedOn w:val="tabletext"/>
    <w:rsid w:val="00A37F77"/>
    <w:pPr>
      <w:numPr>
        <w:ilvl w:val="1"/>
        <w:numId w:val="19"/>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637CD8"/>
    <w:rPr>
      <w:sz w:val="16"/>
      <w:szCs w:val="16"/>
    </w:rPr>
  </w:style>
  <w:style w:type="paragraph" w:styleId="CommentText">
    <w:name w:val="annotation text"/>
    <w:basedOn w:val="Normal"/>
    <w:link w:val="CommentTextChar"/>
    <w:uiPriority w:val="99"/>
    <w:rsid w:val="00637CD8"/>
    <w:rPr>
      <w:sz w:val="20"/>
    </w:rPr>
  </w:style>
  <w:style w:type="character" w:customStyle="1" w:styleId="CommentTextChar">
    <w:name w:val="Comment Text Char"/>
    <w:basedOn w:val="DefaultParagraphFont"/>
    <w:link w:val="CommentText"/>
    <w:uiPriority w:val="99"/>
    <w:rsid w:val="00637CD8"/>
  </w:style>
  <w:style w:type="paragraph" w:styleId="CommentSubject">
    <w:name w:val="annotation subject"/>
    <w:basedOn w:val="CommentText"/>
    <w:next w:val="CommentText"/>
    <w:link w:val="CommentSubjectChar"/>
    <w:rsid w:val="00637CD8"/>
    <w:rPr>
      <w:b/>
      <w:bCs/>
    </w:rPr>
  </w:style>
  <w:style w:type="character" w:customStyle="1" w:styleId="CommentSubjectChar">
    <w:name w:val="Comment Subject Char"/>
    <w:basedOn w:val="CommentTextChar"/>
    <w:link w:val="CommentSubject"/>
    <w:rsid w:val="00637CD8"/>
    <w:rPr>
      <w:b/>
      <w:bCs/>
    </w:rPr>
  </w:style>
  <w:style w:type="paragraph" w:styleId="BalloonText">
    <w:name w:val="Balloon Text"/>
    <w:basedOn w:val="Normal"/>
    <w:link w:val="BalloonTextChar"/>
    <w:rsid w:val="00637CD8"/>
    <w:pPr>
      <w:spacing w:before="0" w:after="0"/>
    </w:pPr>
    <w:rPr>
      <w:rFonts w:ascii="Tahoma" w:hAnsi="Tahoma" w:cs="Tahoma"/>
      <w:sz w:val="16"/>
      <w:szCs w:val="16"/>
    </w:rPr>
  </w:style>
  <w:style w:type="character" w:customStyle="1" w:styleId="BalloonTextChar">
    <w:name w:val="Balloon Text Char"/>
    <w:basedOn w:val="DefaultParagraphFont"/>
    <w:link w:val="BalloonText"/>
    <w:rsid w:val="00637CD8"/>
    <w:rPr>
      <w:rFonts w:ascii="Tahoma" w:hAnsi="Tahoma" w:cs="Tahoma"/>
      <w:sz w:val="16"/>
      <w:szCs w:val="16"/>
    </w:rPr>
  </w:style>
  <w:style w:type="paragraph" w:customStyle="1" w:styleId="Bullet">
    <w:name w:val="Bullet"/>
    <w:basedOn w:val="Normal"/>
    <w:link w:val="BulletChar"/>
    <w:rsid w:val="001E0A5D"/>
    <w:pPr>
      <w:numPr>
        <w:numId w:val="21"/>
      </w:numPr>
    </w:pPr>
  </w:style>
  <w:style w:type="character" w:customStyle="1" w:styleId="exampletextChar">
    <w:name w:val="example text Char"/>
    <w:basedOn w:val="DefaultParagraphFont"/>
    <w:link w:val="exampletext"/>
    <w:rsid w:val="001E0A5D"/>
  </w:style>
  <w:style w:type="character" w:customStyle="1" w:styleId="BulletChar">
    <w:name w:val="Bullet Char"/>
    <w:basedOn w:val="exampletextChar"/>
    <w:link w:val="Bullet"/>
    <w:rsid w:val="001E0A5D"/>
    <w:rPr>
      <w:sz w:val="22"/>
    </w:rPr>
  </w:style>
  <w:style w:type="paragraph" w:customStyle="1" w:styleId="Dash">
    <w:name w:val="Dash"/>
    <w:basedOn w:val="Normal"/>
    <w:link w:val="DashChar"/>
    <w:rsid w:val="001E0A5D"/>
    <w:pPr>
      <w:numPr>
        <w:ilvl w:val="1"/>
        <w:numId w:val="21"/>
      </w:numPr>
    </w:pPr>
  </w:style>
  <w:style w:type="character" w:customStyle="1" w:styleId="DashChar">
    <w:name w:val="Dash Char"/>
    <w:basedOn w:val="exampletextChar"/>
    <w:link w:val="Dash"/>
    <w:rsid w:val="001E0A5D"/>
    <w:rPr>
      <w:sz w:val="22"/>
    </w:rPr>
  </w:style>
  <w:style w:type="paragraph" w:customStyle="1" w:styleId="DoubleDot">
    <w:name w:val="Double Dot"/>
    <w:basedOn w:val="Normal"/>
    <w:link w:val="DoubleDotChar"/>
    <w:rsid w:val="001E0A5D"/>
    <w:pPr>
      <w:numPr>
        <w:ilvl w:val="2"/>
        <w:numId w:val="21"/>
      </w:numPr>
    </w:pPr>
  </w:style>
  <w:style w:type="character" w:customStyle="1" w:styleId="DoubleDotChar">
    <w:name w:val="Double Dot Char"/>
    <w:basedOn w:val="exampletextChar"/>
    <w:link w:val="DoubleDot"/>
    <w:rsid w:val="001E0A5D"/>
    <w:rPr>
      <w:sz w:val="22"/>
    </w:rPr>
  </w:style>
  <w:style w:type="paragraph" w:customStyle="1" w:styleId="t2Para">
    <w:name w:val="t2_Para"/>
    <w:basedOn w:val="Normal"/>
    <w:qFormat/>
    <w:rsid w:val="00830C71"/>
    <w:pPr>
      <w:keepLines/>
      <w:tabs>
        <w:tab w:val="right" w:pos="1531"/>
      </w:tabs>
      <w:spacing w:before="0" w:after="100" w:line="260" w:lineRule="exact"/>
      <w:ind w:left="1701" w:hanging="1701"/>
    </w:pPr>
    <w:rPr>
      <w:rFonts w:eastAsiaTheme="minorEastAsia"/>
      <w:sz w:val="24"/>
      <w:szCs w:val="24"/>
    </w:rPr>
  </w:style>
  <w:style w:type="paragraph" w:customStyle="1" w:styleId="OutlineNumbered1">
    <w:name w:val="Outline Numbered 1"/>
    <w:basedOn w:val="Normal"/>
    <w:link w:val="OutlineNumbered1Char"/>
    <w:rsid w:val="00546E9E"/>
    <w:pPr>
      <w:numPr>
        <w:numId w:val="24"/>
      </w:numPr>
    </w:pPr>
  </w:style>
  <w:style w:type="character" w:customStyle="1" w:styleId="dotpointChar">
    <w:name w:val="dot point Char"/>
    <w:basedOn w:val="DefaultParagraphFont"/>
    <w:link w:val="dotpoint"/>
    <w:rsid w:val="00546E9E"/>
    <w:rPr>
      <w:sz w:val="22"/>
    </w:rPr>
  </w:style>
  <w:style w:type="character" w:customStyle="1" w:styleId="OutlineNumbered1Char">
    <w:name w:val="Outline Numbered 1 Char"/>
    <w:basedOn w:val="dotpointChar"/>
    <w:link w:val="OutlineNumbered1"/>
    <w:rsid w:val="00546E9E"/>
    <w:rPr>
      <w:sz w:val="22"/>
    </w:rPr>
  </w:style>
  <w:style w:type="paragraph" w:customStyle="1" w:styleId="OutlineNumbered2">
    <w:name w:val="Outline Numbered 2"/>
    <w:basedOn w:val="Normal"/>
    <w:link w:val="OutlineNumbered2Char"/>
    <w:rsid w:val="00546E9E"/>
    <w:pPr>
      <w:numPr>
        <w:ilvl w:val="1"/>
        <w:numId w:val="24"/>
      </w:numPr>
    </w:pPr>
  </w:style>
  <w:style w:type="character" w:customStyle="1" w:styleId="OutlineNumbered2Char">
    <w:name w:val="Outline Numbered 2 Char"/>
    <w:basedOn w:val="dotpointChar"/>
    <w:link w:val="OutlineNumbered2"/>
    <w:rsid w:val="00546E9E"/>
    <w:rPr>
      <w:sz w:val="22"/>
    </w:rPr>
  </w:style>
  <w:style w:type="paragraph" w:customStyle="1" w:styleId="OutlineNumbered3">
    <w:name w:val="Outline Numbered 3"/>
    <w:basedOn w:val="Normal"/>
    <w:link w:val="OutlineNumbered3Char"/>
    <w:rsid w:val="00546E9E"/>
  </w:style>
  <w:style w:type="character" w:customStyle="1" w:styleId="OutlineNumbered3Char">
    <w:name w:val="Outline Numbered 3 Char"/>
    <w:basedOn w:val="dotpointChar"/>
    <w:link w:val="OutlineNumbered3"/>
    <w:rsid w:val="00546E9E"/>
    <w:rPr>
      <w:sz w:val="22"/>
    </w:rPr>
  </w:style>
  <w:style w:type="character" w:styleId="FootnoteReference">
    <w:name w:val="footnote reference"/>
    <w:basedOn w:val="DefaultParagraphFont"/>
    <w:rsid w:val="007166DF"/>
    <w:rPr>
      <w:vertAlign w:val="superscript"/>
    </w:rPr>
  </w:style>
  <w:style w:type="character" w:customStyle="1" w:styleId="docsearchterm">
    <w:name w:val="docsearchterm"/>
    <w:basedOn w:val="DefaultParagraphFont"/>
    <w:rsid w:val="00972A01"/>
  </w:style>
  <w:style w:type="paragraph" w:styleId="Revision">
    <w:name w:val="Revision"/>
    <w:hidden/>
    <w:uiPriority w:val="99"/>
    <w:semiHidden/>
    <w:rsid w:val="0015644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20"/>
      </w:numPr>
      <w:tabs>
        <w:tab w:val="num" w:pos="360"/>
      </w:tabs>
    </w:pPr>
    <w:rPr>
      <w:i w:val="0"/>
    </w:rPr>
  </w:style>
  <w:style w:type="paragraph" w:customStyle="1" w:styleId="base-text-paragraph">
    <w:name w:val="base-text-paragraph"/>
    <w:basedOn w:val="Normal"/>
    <w:link w:val="base-text-paragraphChar"/>
    <w:rsid w:val="00D85BEA"/>
    <w:pPr>
      <w:numPr>
        <w:ilvl w:val="1"/>
        <w:numId w:val="2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link w:val="exampletextChar"/>
    <w:rsid w:val="008752F1"/>
    <w:pPr>
      <w:ind w:left="1985"/>
    </w:pPr>
    <w:rPr>
      <w:sz w:val="20"/>
    </w:rPr>
  </w:style>
  <w:style w:type="paragraph" w:customStyle="1" w:styleId="ExampleHeading">
    <w:name w:val="Example Heading"/>
    <w:basedOn w:val="Normal"/>
    <w:next w:val="exampletext"/>
    <w:rsid w:val="009B0AB7"/>
    <w:pPr>
      <w:keepNext/>
      <w:numPr>
        <w:ilvl w:val="3"/>
        <w:numId w:val="20"/>
      </w:numPr>
      <w:tabs>
        <w:tab w:val="num" w:pos="360"/>
      </w:tabs>
      <w:ind w:left="0"/>
    </w:pPr>
    <w:rPr>
      <w:b/>
    </w:rPr>
  </w:style>
  <w:style w:type="paragraph" w:customStyle="1" w:styleId="Diagram">
    <w:name w:val="Diagram"/>
    <w:basedOn w:val="Normal"/>
    <w:next w:val="base-text-paragraphnonumbers"/>
    <w:rsid w:val="0036787F"/>
    <w:pPr>
      <w:keepNext/>
      <w:numPr>
        <w:ilvl w:val="2"/>
        <w:numId w:val="20"/>
      </w:numPr>
      <w:tabs>
        <w:tab w:val="num" w:pos="360"/>
      </w:tabs>
      <w:spacing w:before="0" w:after="0"/>
      <w:ind w:left="0"/>
    </w:pPr>
    <w:rPr>
      <w:b/>
    </w:rPr>
  </w:style>
  <w:style w:type="paragraph" w:customStyle="1" w:styleId="dotpoint">
    <w:name w:val="dot point"/>
    <w:basedOn w:val="Normal"/>
    <w:link w:val="dotpointChar"/>
    <w:rsid w:val="00D85BEA"/>
    <w:pPr>
      <w:numPr>
        <w:numId w:val="1"/>
      </w:numPr>
    </w:pPr>
  </w:style>
  <w:style w:type="paragraph" w:customStyle="1" w:styleId="dotpoint2">
    <w:name w:val="dot point 2"/>
    <w:basedOn w:val="Normal"/>
    <w:rsid w:val="00E62E8C"/>
    <w:pPr>
      <w:numPr>
        <w:ilvl w:val="1"/>
        <w:numId w:val="16"/>
      </w:numPr>
      <w:tabs>
        <w:tab w:val="clear" w:pos="2552"/>
        <w:tab w:val="num" w:pos="360"/>
      </w:tabs>
      <w:ind w:left="2268" w:firstLine="0"/>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9"/>
      </w:numPr>
    </w:pPr>
  </w:style>
  <w:style w:type="paragraph" w:customStyle="1" w:styleId="tabledotpoint2">
    <w:name w:val="table dot point 2"/>
    <w:basedOn w:val="tabletext"/>
    <w:rsid w:val="00A37F77"/>
    <w:pPr>
      <w:numPr>
        <w:ilvl w:val="1"/>
        <w:numId w:val="19"/>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637CD8"/>
    <w:rPr>
      <w:sz w:val="16"/>
      <w:szCs w:val="16"/>
    </w:rPr>
  </w:style>
  <w:style w:type="paragraph" w:styleId="CommentText">
    <w:name w:val="annotation text"/>
    <w:basedOn w:val="Normal"/>
    <w:link w:val="CommentTextChar"/>
    <w:uiPriority w:val="99"/>
    <w:rsid w:val="00637CD8"/>
    <w:rPr>
      <w:sz w:val="20"/>
    </w:rPr>
  </w:style>
  <w:style w:type="character" w:customStyle="1" w:styleId="CommentTextChar">
    <w:name w:val="Comment Text Char"/>
    <w:basedOn w:val="DefaultParagraphFont"/>
    <w:link w:val="CommentText"/>
    <w:uiPriority w:val="99"/>
    <w:rsid w:val="00637CD8"/>
  </w:style>
  <w:style w:type="paragraph" w:styleId="CommentSubject">
    <w:name w:val="annotation subject"/>
    <w:basedOn w:val="CommentText"/>
    <w:next w:val="CommentText"/>
    <w:link w:val="CommentSubjectChar"/>
    <w:rsid w:val="00637CD8"/>
    <w:rPr>
      <w:b/>
      <w:bCs/>
    </w:rPr>
  </w:style>
  <w:style w:type="character" w:customStyle="1" w:styleId="CommentSubjectChar">
    <w:name w:val="Comment Subject Char"/>
    <w:basedOn w:val="CommentTextChar"/>
    <w:link w:val="CommentSubject"/>
    <w:rsid w:val="00637CD8"/>
    <w:rPr>
      <w:b/>
      <w:bCs/>
    </w:rPr>
  </w:style>
  <w:style w:type="paragraph" w:styleId="BalloonText">
    <w:name w:val="Balloon Text"/>
    <w:basedOn w:val="Normal"/>
    <w:link w:val="BalloonTextChar"/>
    <w:rsid w:val="00637CD8"/>
    <w:pPr>
      <w:spacing w:before="0" w:after="0"/>
    </w:pPr>
    <w:rPr>
      <w:rFonts w:ascii="Tahoma" w:hAnsi="Tahoma" w:cs="Tahoma"/>
      <w:sz w:val="16"/>
      <w:szCs w:val="16"/>
    </w:rPr>
  </w:style>
  <w:style w:type="character" w:customStyle="1" w:styleId="BalloonTextChar">
    <w:name w:val="Balloon Text Char"/>
    <w:basedOn w:val="DefaultParagraphFont"/>
    <w:link w:val="BalloonText"/>
    <w:rsid w:val="00637CD8"/>
    <w:rPr>
      <w:rFonts w:ascii="Tahoma" w:hAnsi="Tahoma" w:cs="Tahoma"/>
      <w:sz w:val="16"/>
      <w:szCs w:val="16"/>
    </w:rPr>
  </w:style>
  <w:style w:type="paragraph" w:customStyle="1" w:styleId="Bullet">
    <w:name w:val="Bullet"/>
    <w:basedOn w:val="Normal"/>
    <w:link w:val="BulletChar"/>
    <w:rsid w:val="001E0A5D"/>
    <w:pPr>
      <w:numPr>
        <w:numId w:val="21"/>
      </w:numPr>
    </w:pPr>
  </w:style>
  <w:style w:type="character" w:customStyle="1" w:styleId="exampletextChar">
    <w:name w:val="example text Char"/>
    <w:basedOn w:val="DefaultParagraphFont"/>
    <w:link w:val="exampletext"/>
    <w:rsid w:val="001E0A5D"/>
  </w:style>
  <w:style w:type="character" w:customStyle="1" w:styleId="BulletChar">
    <w:name w:val="Bullet Char"/>
    <w:basedOn w:val="exampletextChar"/>
    <w:link w:val="Bullet"/>
    <w:rsid w:val="001E0A5D"/>
    <w:rPr>
      <w:sz w:val="22"/>
    </w:rPr>
  </w:style>
  <w:style w:type="paragraph" w:customStyle="1" w:styleId="Dash">
    <w:name w:val="Dash"/>
    <w:basedOn w:val="Normal"/>
    <w:link w:val="DashChar"/>
    <w:rsid w:val="001E0A5D"/>
    <w:pPr>
      <w:numPr>
        <w:ilvl w:val="1"/>
        <w:numId w:val="21"/>
      </w:numPr>
    </w:pPr>
  </w:style>
  <w:style w:type="character" w:customStyle="1" w:styleId="DashChar">
    <w:name w:val="Dash Char"/>
    <w:basedOn w:val="exampletextChar"/>
    <w:link w:val="Dash"/>
    <w:rsid w:val="001E0A5D"/>
    <w:rPr>
      <w:sz w:val="22"/>
    </w:rPr>
  </w:style>
  <w:style w:type="paragraph" w:customStyle="1" w:styleId="DoubleDot">
    <w:name w:val="Double Dot"/>
    <w:basedOn w:val="Normal"/>
    <w:link w:val="DoubleDotChar"/>
    <w:rsid w:val="001E0A5D"/>
    <w:pPr>
      <w:numPr>
        <w:ilvl w:val="2"/>
        <w:numId w:val="21"/>
      </w:numPr>
    </w:pPr>
  </w:style>
  <w:style w:type="character" w:customStyle="1" w:styleId="DoubleDotChar">
    <w:name w:val="Double Dot Char"/>
    <w:basedOn w:val="exampletextChar"/>
    <w:link w:val="DoubleDot"/>
    <w:rsid w:val="001E0A5D"/>
    <w:rPr>
      <w:sz w:val="22"/>
    </w:rPr>
  </w:style>
  <w:style w:type="paragraph" w:customStyle="1" w:styleId="t2Para">
    <w:name w:val="t2_Para"/>
    <w:basedOn w:val="Normal"/>
    <w:qFormat/>
    <w:rsid w:val="00830C71"/>
    <w:pPr>
      <w:keepLines/>
      <w:tabs>
        <w:tab w:val="right" w:pos="1531"/>
      </w:tabs>
      <w:spacing w:before="0" w:after="100" w:line="260" w:lineRule="exact"/>
      <w:ind w:left="1701" w:hanging="1701"/>
    </w:pPr>
    <w:rPr>
      <w:rFonts w:eastAsiaTheme="minorEastAsia"/>
      <w:sz w:val="24"/>
      <w:szCs w:val="24"/>
    </w:rPr>
  </w:style>
  <w:style w:type="paragraph" w:customStyle="1" w:styleId="OutlineNumbered1">
    <w:name w:val="Outline Numbered 1"/>
    <w:basedOn w:val="Normal"/>
    <w:link w:val="OutlineNumbered1Char"/>
    <w:rsid w:val="00546E9E"/>
    <w:pPr>
      <w:numPr>
        <w:numId w:val="24"/>
      </w:numPr>
    </w:pPr>
  </w:style>
  <w:style w:type="character" w:customStyle="1" w:styleId="dotpointChar">
    <w:name w:val="dot point Char"/>
    <w:basedOn w:val="DefaultParagraphFont"/>
    <w:link w:val="dotpoint"/>
    <w:rsid w:val="00546E9E"/>
    <w:rPr>
      <w:sz w:val="22"/>
    </w:rPr>
  </w:style>
  <w:style w:type="character" w:customStyle="1" w:styleId="OutlineNumbered1Char">
    <w:name w:val="Outline Numbered 1 Char"/>
    <w:basedOn w:val="dotpointChar"/>
    <w:link w:val="OutlineNumbered1"/>
    <w:rsid w:val="00546E9E"/>
    <w:rPr>
      <w:sz w:val="22"/>
    </w:rPr>
  </w:style>
  <w:style w:type="paragraph" w:customStyle="1" w:styleId="OutlineNumbered2">
    <w:name w:val="Outline Numbered 2"/>
    <w:basedOn w:val="Normal"/>
    <w:link w:val="OutlineNumbered2Char"/>
    <w:rsid w:val="00546E9E"/>
    <w:pPr>
      <w:numPr>
        <w:ilvl w:val="1"/>
        <w:numId w:val="24"/>
      </w:numPr>
    </w:pPr>
  </w:style>
  <w:style w:type="character" w:customStyle="1" w:styleId="OutlineNumbered2Char">
    <w:name w:val="Outline Numbered 2 Char"/>
    <w:basedOn w:val="dotpointChar"/>
    <w:link w:val="OutlineNumbered2"/>
    <w:rsid w:val="00546E9E"/>
    <w:rPr>
      <w:sz w:val="22"/>
    </w:rPr>
  </w:style>
  <w:style w:type="paragraph" w:customStyle="1" w:styleId="OutlineNumbered3">
    <w:name w:val="Outline Numbered 3"/>
    <w:basedOn w:val="Normal"/>
    <w:link w:val="OutlineNumbered3Char"/>
    <w:rsid w:val="00546E9E"/>
  </w:style>
  <w:style w:type="character" w:customStyle="1" w:styleId="OutlineNumbered3Char">
    <w:name w:val="Outline Numbered 3 Char"/>
    <w:basedOn w:val="dotpointChar"/>
    <w:link w:val="OutlineNumbered3"/>
    <w:rsid w:val="00546E9E"/>
    <w:rPr>
      <w:sz w:val="22"/>
    </w:rPr>
  </w:style>
  <w:style w:type="character" w:styleId="FootnoteReference">
    <w:name w:val="footnote reference"/>
    <w:basedOn w:val="DefaultParagraphFont"/>
    <w:rsid w:val="007166DF"/>
    <w:rPr>
      <w:vertAlign w:val="superscript"/>
    </w:rPr>
  </w:style>
  <w:style w:type="character" w:customStyle="1" w:styleId="docsearchterm">
    <w:name w:val="docsearchterm"/>
    <w:basedOn w:val="DefaultParagraphFont"/>
    <w:rsid w:val="00972A01"/>
  </w:style>
  <w:style w:type="paragraph" w:styleId="Revision">
    <w:name w:val="Revision"/>
    <w:hidden/>
    <w:uiPriority w:val="99"/>
    <w:semiHidden/>
    <w:rsid w:val="0015644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34270">
      <w:bodyDiv w:val="1"/>
      <w:marLeft w:val="0"/>
      <w:marRight w:val="0"/>
      <w:marTop w:val="0"/>
      <w:marBottom w:val="0"/>
      <w:divBdr>
        <w:top w:val="none" w:sz="0" w:space="0" w:color="auto"/>
        <w:left w:val="none" w:sz="0" w:space="0" w:color="auto"/>
        <w:bottom w:val="none" w:sz="0" w:space="0" w:color="auto"/>
        <w:right w:val="none" w:sz="0" w:space="0" w:color="auto"/>
      </w:divBdr>
    </w:div>
    <w:div w:id="130850883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header" Target="header17.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header" Target="header13.xml"/><Relationship Id="rId45" Type="http://schemas.openxmlformats.org/officeDocument/2006/relationships/header" Target="header15.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20.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oter" Target="footer17.xml"/><Relationship Id="rId52"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styles" Target="styles.xml"/><Relationship Id="rId51"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9f7bc583-7cbe-45b9-a2bd-8bbb6543b37e">
      <Value>24</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9f7bc583-7cbe-45b9-a2bd-8bbb6543b37e">2017RG-216-2177</_dlc_DocId>
    <_dlc_DocIdUrl xmlns="9f7bc583-7cbe-45b9-a2bd-8bbb6543b37e">
      <Url>http://tweb/sites/rg/ldp/_layouts/15/DocIdRedir.aspx?ID=2017RG-216-2177</Url>
      <Description>2017RG-216-2177</Description>
    </_dlc_DocIdUrl>
    <Nature_x0020_of_x0020_documents xmlns="507a8a59-704d-43cf-b103-02b0cd527a9d"/>
    <Number_x0020_version xmlns="507a8a59-704d-43cf-b103-02b0cd527a9d" xsi:nil="true"/>
    <LMU_x0020_number xmlns="507a8a59-704d-43cf-b103-02b0cd527a9d" xsi:nil="true"/>
    <Responsible_x0020_LDO_x0020_Officer xmlns="507a8a59-704d-43cf-b103-02b0cd527a9d">
      <UserInfo>
        <DisplayName/>
        <AccountId xsi:nil="true"/>
        <AccountType/>
      </UserInfo>
    </Responsible_x0020_LDO_x0020_Officer>
    <Status xmlns="507a8a59-704d-43cf-b103-02b0cd527a9d">Current</Status>
    <Parliamentary_x0020_session xmlns="507a8a59-704d-43cf-b103-02b0cd527a9d">45th</Parliamentary_x0020_session>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4837" ma:contentTypeDescription="" ma:contentTypeScope="" ma:versionID="4fb23dfdc8dbf5bae174202aee8c0add">
  <xsd:schema xmlns:xsd="http://www.w3.org/2001/XMLSchema" xmlns:xs="http://www.w3.org/2001/XMLSchema" xmlns:p="http://schemas.microsoft.com/office/2006/metadata/properties" xmlns:ns1="http://schemas.microsoft.com/sharepoint/v3" xmlns:ns2="9f7bc583-7cbe-45b9-a2bd-8bbb6543b37e" xmlns:ns3="507a8a59-704d-43cf-b103-02b0cd527a9d" xmlns:ns4="http://schemas.microsoft.com/sharepoint/v4" targetNamespace="http://schemas.microsoft.com/office/2006/metadata/properties" ma:root="true" ma:fieldsID="fa30cee221822adeabd79cc0220d6798" ns1:_="" ns2:_="" ns3:_="" ns4:_="">
    <xsd:import namespace="http://schemas.microsoft.com/sharepoint/v3"/>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Nature_x0020_of_x0020_documents" minOccurs="0"/>
                <xsd:element ref="ns3:Number_x0020_version" minOccurs="0"/>
                <xsd:element ref="ns3:Status"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Parliamentary"/>
                    <xsd:enumeration value="Policy"/>
                    <xsd:enumeration value="RIS"/>
                    <xsd:enumeration value="Stakeholder correspondence"/>
                    <xsd:enumeration value="Submission"/>
                    <xsd:enumeration value="Other"/>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Status" ma:index="21" nillable="true" ma:displayName="Status" ma:default="Current" ma:format="Dropdown" ma:internalName="Status">
      <xsd:simpleType>
        <xsd:restriction base="dms:Choice">
          <xsd:enumeration value="Current"/>
          <xsd:enumeration value="Completed"/>
          <xsd:enumeration value="Deferred"/>
          <xsd:enumeration value="Not progressing"/>
        </xsd:restriction>
      </xsd:simpleType>
    </xsd:element>
    <xsd:element name="Parliamentary_x0020_session" ma:index="22"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C36B2-2C51-41D5-A724-9BD531EF7570}">
  <ds:schemaRefs>
    <ds:schemaRef ds:uri="http://schemas.microsoft.com/sharepoint/v3/contenttype/forms"/>
  </ds:schemaRefs>
</ds:datastoreItem>
</file>

<file path=customXml/itemProps2.xml><?xml version="1.0" encoding="utf-8"?>
<ds:datastoreItem xmlns:ds="http://schemas.openxmlformats.org/officeDocument/2006/customXml" ds:itemID="{20583BBA-9A09-4713-87F1-3F1E1EA3ED38}">
  <ds:schemaRefs>
    <ds:schemaRef ds:uri="http://schemas.microsoft.com/sharepoint/v3"/>
    <ds:schemaRef ds:uri="http://schemas.microsoft.com/office/infopath/2007/PartnerControls"/>
    <ds:schemaRef ds:uri="http://schemas.microsoft.com/office/2006/documentManagement/types"/>
    <ds:schemaRef ds:uri="9f7bc583-7cbe-45b9-a2bd-8bbb6543b37e"/>
    <ds:schemaRef ds:uri="http://www.w3.org/XML/1998/namespace"/>
    <ds:schemaRef ds:uri="http://purl.org/dc/dcmitype/"/>
    <ds:schemaRef ds:uri="http://schemas.openxmlformats.org/package/2006/metadata/core-properties"/>
    <ds:schemaRef ds:uri="http://schemas.microsoft.com/sharepoint/v4"/>
    <ds:schemaRef ds:uri="http://purl.org/dc/elements/1.1/"/>
    <ds:schemaRef ds:uri="507a8a59-704d-43cf-b103-02b0cd527a9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97E4C02-1274-4355-8380-7BDE449454C2}"/>
</file>

<file path=customXml/itemProps4.xml><?xml version="1.0" encoding="utf-8"?>
<ds:datastoreItem xmlns:ds="http://schemas.openxmlformats.org/officeDocument/2006/customXml" ds:itemID="{7EFE4787-4C6A-4D03-89B6-2016313BC546}">
  <ds:schemaRefs>
    <ds:schemaRef ds:uri="http://schemas.microsoft.com/sharepoint/events"/>
  </ds:schemaRefs>
</ds:datastoreItem>
</file>

<file path=customXml/itemProps5.xml><?xml version="1.0" encoding="utf-8"?>
<ds:datastoreItem xmlns:ds="http://schemas.openxmlformats.org/officeDocument/2006/customXml" ds:itemID="{BEDD1981-6180-45D1-A752-5C3D05060177}">
  <ds:schemaRefs>
    <ds:schemaRef ds:uri="office.server.policy"/>
  </ds:schemaRefs>
</ds:datastoreItem>
</file>

<file path=customXml/itemProps6.xml><?xml version="1.0" encoding="utf-8"?>
<ds:datastoreItem xmlns:ds="http://schemas.openxmlformats.org/officeDocument/2006/customXml" ds:itemID="{9E6DB890-5FD3-45C0-809E-6F197319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16</TotalTime>
  <Pages>63</Pages>
  <Words>16616</Words>
  <Characters>94713</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111107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Bentwood, Sophie</dc:creator>
  <cp:lastModifiedBy>Callaway, Andrew</cp:lastModifiedBy>
  <cp:revision>12</cp:revision>
  <cp:lastPrinted>2017-01-18T04:15:00Z</cp:lastPrinted>
  <dcterms:created xsi:type="dcterms:W3CDTF">2017-08-18T01:43:00Z</dcterms:created>
  <dcterms:modified xsi:type="dcterms:W3CDTF">2017-08-18T05:53:00Z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0x01010036BB8DE7EC542E42A8B2E98CC20CB6970095AC4D68AD35B54B84C8F2EAD3D25E24</vt:lpwstr>
  </property>
  <property fmtid="{D5CDD505-2E9C-101B-9397-08002B2CF9AE}" pid="3" name="RecordPoint_WorkflowType">
    <vt:lpwstr>ActiveSubmitStub</vt:lpwstr>
  </property>
  <property fmtid="{D5CDD505-2E9C-101B-9397-08002B2CF9AE}" pid="4" name="RecordPoint_ActiveItemWebId">
    <vt:lpwstr>{09392e0d-4618-463d-b4d2-50a90b9447cf}</vt:lpwstr>
  </property>
  <property fmtid="{D5CDD505-2E9C-101B-9397-08002B2CF9AE}" pid="5" name="RecordPoint_ActiveItemSiteId">
    <vt:lpwstr>{5b52b9a5-e5b2-4521-8814-a1e24ca2869d}</vt:lpwstr>
  </property>
  <property fmtid="{D5CDD505-2E9C-101B-9397-08002B2CF9AE}" pid="6" name="RecordPoint_ActiveItemListId">
    <vt:lpwstr>{507a8a59-704d-43cf-b103-02b0cd527a9d}</vt:lpwstr>
  </property>
  <property fmtid="{D5CDD505-2E9C-101B-9397-08002B2CF9AE}" pid="7" name="RecordPoint_SubmissionDate">
    <vt:lpwstr/>
  </property>
  <property fmtid="{D5CDD505-2E9C-101B-9397-08002B2CF9AE}" pid="8" name="RecordPoint_ActiveItemMoved">
    <vt:lpwstr/>
  </property>
  <property fmtid="{D5CDD505-2E9C-101B-9397-08002B2CF9AE}" pid="9" name="RecordPoint_RecordFormat">
    <vt:lpwstr/>
  </property>
  <property fmtid="{D5CDD505-2E9C-101B-9397-08002B2CF9AE}" pid="10" name="TSYRecordClass">
    <vt:lpwstr>24;#TSY RA-9072 - Retain as national archives|d71911a4-1e32-4fc6-834f-26c4fc33e217</vt:lpwstr>
  </property>
  <property fmtid="{D5CDD505-2E9C-101B-9397-08002B2CF9AE}" pid="11" name="IMSFilesetProductType">
    <vt:lpwstr/>
  </property>
  <property fmtid="{D5CDD505-2E9C-101B-9397-08002B2CF9AE}" pid="12" name="File_x0020_search_x0020_keywords">
    <vt:lpwstr/>
  </property>
  <property fmtid="{D5CDD505-2E9C-101B-9397-08002B2CF9AE}" pid="13" name="IMS_x0020_Precedent">
    <vt:lpwstr/>
  </property>
  <property fmtid="{D5CDD505-2E9C-101B-9397-08002B2CF9AE}" pid="14" name="IMSEntity">
    <vt:lpwstr/>
  </property>
  <property fmtid="{D5CDD505-2E9C-101B-9397-08002B2CF9AE}" pid="15" name="Fileset search keywords">
    <vt:lpwstr/>
  </property>
  <property fmtid="{D5CDD505-2E9C-101B-9397-08002B2CF9AE}" pid="16" name="SecurityClassification">
    <vt:lpwstr>6;#Sensitive|19fd2cb8-3e97-4464-ae71-8c2c2095d028</vt:lpwstr>
  </property>
  <property fmtid="{D5CDD505-2E9C-101B-9397-08002B2CF9AE}" pid="17" name="IMSDocumentType">
    <vt:lpwstr/>
  </property>
  <property fmtid="{D5CDD505-2E9C-101B-9397-08002B2CF9AE}" pid="18" name="IMSFilesetEntity">
    <vt:lpwstr/>
  </property>
  <property fmtid="{D5CDD505-2E9C-101B-9397-08002B2CF9AE}" pid="19" name="IMSProductType">
    <vt:lpwstr/>
  </property>
  <property fmtid="{D5CDD505-2E9C-101B-9397-08002B2CF9AE}" pid="20" name="File search keywords">
    <vt:lpwstr/>
  </property>
  <property fmtid="{D5CDD505-2E9C-101B-9397-08002B2CF9AE}" pid="21" name="IMS Precedent">
    <vt:lpwstr/>
  </property>
  <property fmtid="{D5CDD505-2E9C-101B-9397-08002B2CF9AE}" pid="22" name="RecordPoint_RecordNumberSubmitted">
    <vt:lpwstr>R0001404136</vt:lpwstr>
  </property>
  <property fmtid="{D5CDD505-2E9C-101B-9397-08002B2CF9AE}" pid="23" name="RecordPoint_ActiveItemUniqueId">
    <vt:lpwstr>{e3e3c9d0-881d-41e7-9bed-64dd538a7107}</vt:lpwstr>
  </property>
  <property fmtid="{D5CDD505-2E9C-101B-9397-08002B2CF9AE}" pid="24" name="_dlc_DocIdItemGuid">
    <vt:lpwstr>e3e3c9d0-881d-41e7-9bed-64dd538a7107</vt:lpwstr>
  </property>
  <property fmtid="{D5CDD505-2E9C-101B-9397-08002B2CF9AE}" pid="25" name="RecordPoint_SubmissionCompleted">
    <vt:lpwstr>2017-08-18T21:14:56.0271174+10:00</vt:lpwstr>
  </property>
  <property fmtid="{D5CDD505-2E9C-101B-9397-08002B2CF9AE}" pid="26" name="_AdHocReviewCycleID">
    <vt:i4>-1171745484</vt:i4>
  </property>
  <property fmtid="{D5CDD505-2E9C-101B-9397-08002B2CF9AE}" pid="27" name="_NewReviewCycle">
    <vt:lpwstr/>
  </property>
  <property fmtid="{D5CDD505-2E9C-101B-9397-08002B2CF9AE}" pid="28" name="_EmailSubject">
    <vt:lpwstr>ARFP CCIVs consultation hub - changes and documents</vt:lpwstr>
  </property>
  <property fmtid="{D5CDD505-2E9C-101B-9397-08002B2CF9AE}" pid="29" name="_AuthorEmail">
    <vt:lpwstr>Jean.Skeat@treasury.gov.au</vt:lpwstr>
  </property>
  <property fmtid="{D5CDD505-2E9C-101B-9397-08002B2CF9AE}" pid="30" name="_AuthorEmailDisplayName">
    <vt:lpwstr>Skeat, Jean</vt:lpwstr>
  </property>
  <property fmtid="{D5CDD505-2E9C-101B-9397-08002B2CF9AE}" pid="31" name="_PreviousAdHocReviewCycleID">
    <vt:i4>-1303138345</vt:i4>
  </property>
</Properties>
</file>