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D9EEF" w14:textId="77777777" w:rsidR="000E0B74" w:rsidRPr="006D0240" w:rsidRDefault="000E0B74" w:rsidP="008E6292"/>
    <w:p w14:paraId="1A7707C0" w14:textId="77777777" w:rsidR="000E0B74" w:rsidRPr="006D0240" w:rsidRDefault="000E0B74" w:rsidP="00794499">
      <w:pPr>
        <w:pStyle w:val="Crest"/>
        <w:spacing w:after="3000"/>
        <w:jc w:val="right"/>
      </w:pPr>
    </w:p>
    <w:p w14:paraId="63710AD1" w14:textId="2C9D8494" w:rsidR="000E0B74" w:rsidRPr="006435A9" w:rsidRDefault="00D21A10" w:rsidP="006A1C91">
      <w:pPr>
        <w:pStyle w:val="Title"/>
      </w:pPr>
      <w:r>
        <w:t xml:space="preserve">Review of Unfair Contract Term Protections for </w:t>
      </w:r>
      <w:r w:rsidR="006A1C91">
        <w:t>Small </w:t>
      </w:r>
      <w:r w:rsidR="00A43AAF" w:rsidRPr="006435A9">
        <w:t>Business</w:t>
      </w:r>
    </w:p>
    <w:p w14:paraId="02B8EB5E" w14:textId="77777777" w:rsidR="000E0B74" w:rsidRPr="00D45AF8" w:rsidRDefault="00A43AAF" w:rsidP="006A1C91">
      <w:pPr>
        <w:pStyle w:val="Subtitle"/>
      </w:pPr>
      <w:r w:rsidRPr="006A1C91">
        <w:t>Discussion</w:t>
      </w:r>
      <w:r>
        <w:t xml:space="preserve"> Paper</w:t>
      </w:r>
    </w:p>
    <w:p w14:paraId="68B93294" w14:textId="00DB3782" w:rsidR="002F617F" w:rsidRPr="008767EB" w:rsidRDefault="00A43AAF" w:rsidP="008767EB">
      <w:pPr>
        <w:pStyle w:val="ReportDate"/>
        <w:ind w:right="0"/>
        <w:rPr>
          <w:rFonts w:ascii="Rockwell" w:hAnsi="Rockwell"/>
          <w:sz w:val="24"/>
        </w:rPr>
      </w:pPr>
      <w:r>
        <w:rPr>
          <w:rStyle w:val="ReportDateChar"/>
        </w:rPr>
        <w:t>November 2018</w:t>
      </w:r>
    </w:p>
    <w:p w14:paraId="6C1C92C0" w14:textId="77777777" w:rsidR="000E0B74" w:rsidRDefault="000E0B74" w:rsidP="000E0B74">
      <w:pPr>
        <w:rPr>
          <w:rFonts w:cs="Calibri"/>
          <w:sz w:val="20"/>
        </w:rPr>
      </w:pPr>
    </w:p>
    <w:p w14:paraId="1F36BAC0" w14:textId="77777777" w:rsidR="000E0B74" w:rsidRDefault="000E0B74" w:rsidP="000E0B74">
      <w:pPr>
        <w:sectPr w:rsidR="000E0B74" w:rsidSect="00E1136B">
          <w:headerReference w:type="default" r:id="rId14"/>
          <w:footerReference w:type="default" r:id="rId15"/>
          <w:pgSz w:w="11906" w:h="16838"/>
          <w:pgMar w:top="1418" w:right="1418" w:bottom="1418" w:left="1418" w:header="709" w:footer="709" w:gutter="0"/>
          <w:pgNumType w:fmt="lowerRoman" w:start="1"/>
          <w:cols w:space="720"/>
        </w:sectPr>
      </w:pPr>
    </w:p>
    <w:p w14:paraId="11A719EA" w14:textId="77777777" w:rsidR="000E0B74" w:rsidRDefault="000E0B74" w:rsidP="000E0B74">
      <w:pPr>
        <w:spacing w:before="240"/>
      </w:pPr>
      <w:r w:rsidRPr="00661BF0">
        <w:lastRenderedPageBreak/>
        <w:t xml:space="preserve">© Commonwealth of Australia </w:t>
      </w:r>
      <w:r w:rsidRPr="002428F4">
        <w:t>201</w:t>
      </w:r>
      <w:r w:rsidR="00A43AAF" w:rsidRPr="002428F4">
        <w:t>8</w:t>
      </w:r>
    </w:p>
    <w:p w14:paraId="5299E865" w14:textId="7066E5AD"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6"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0011388F">
        <w:t>and where otherwise stated</w:t>
      </w:r>
      <w:r w:rsidRPr="002F1BC2">
        <w:t>. The full licence terms are available from</w:t>
      </w:r>
      <w:r w:rsidRPr="00476F09">
        <w:rPr>
          <w:rFonts w:cstheme="minorHAnsi"/>
          <w:sz w:val="24"/>
          <w:szCs w:val="24"/>
        </w:rPr>
        <w:t xml:space="preserve"> </w:t>
      </w:r>
      <w:hyperlink r:id="rId17" w:history="1">
        <w:r w:rsidRPr="00D45AF8">
          <w:rPr>
            <w:rStyle w:val="Hyperlink"/>
          </w:rPr>
          <w:t>http://creativecommons.org/licenses/by/3.0/au/legalcode</w:t>
        </w:r>
      </w:hyperlink>
      <w:r w:rsidRPr="006627B4">
        <w:rPr>
          <w:rStyle w:val="Hyperlink"/>
        </w:rPr>
        <w:t>.</w:t>
      </w:r>
    </w:p>
    <w:p w14:paraId="757541FB" w14:textId="77777777" w:rsidR="000E0B74" w:rsidRDefault="000E0B74" w:rsidP="000E0B74">
      <w:pPr>
        <w:pStyle w:val="ChartGraphic"/>
        <w:jc w:val="left"/>
      </w:pPr>
      <w:r w:rsidRPr="00E56DFB">
        <w:rPr>
          <w:noProof/>
        </w:rPr>
        <w:drawing>
          <wp:inline distT="0" distB="0" distL="0" distR="0" wp14:anchorId="66FF8E2B" wp14:editId="74FE0892">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2E712B7A"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9"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469DB35F" w14:textId="77777777" w:rsidR="000E0B74" w:rsidRPr="002F1BC2" w:rsidRDefault="000E0B74" w:rsidP="000E0B74">
      <w:pPr>
        <w:ind w:left="709"/>
        <w:rPr>
          <w:i/>
        </w:rPr>
      </w:pPr>
      <w:r w:rsidRPr="002F1BC2">
        <w:rPr>
          <w:i/>
        </w:rPr>
        <w:t xml:space="preserve">Treasury material used </w:t>
      </w:r>
      <w:r>
        <w:rPr>
          <w:i/>
        </w:rPr>
        <w:t>‘</w:t>
      </w:r>
      <w:r w:rsidRPr="002F1BC2">
        <w:rPr>
          <w:i/>
        </w:rPr>
        <w:t>as supplied</w:t>
      </w:r>
      <w:r>
        <w:rPr>
          <w:i/>
        </w:rPr>
        <w:t>’.</w:t>
      </w:r>
    </w:p>
    <w:p w14:paraId="2AF72B5D" w14:textId="140FCE96" w:rsidR="000E0B74" w:rsidRPr="00476F09" w:rsidRDefault="000E0B74" w:rsidP="000E0B74">
      <w:pPr>
        <w:spacing w:before="24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008767EB">
        <w:t>he following attribution:</w:t>
      </w:r>
    </w:p>
    <w:p w14:paraId="67475F2E" w14:textId="79F52897" w:rsidR="000E0B74" w:rsidRPr="00A13A11" w:rsidRDefault="000E0B74" w:rsidP="000E0B74">
      <w:pPr>
        <w:ind w:firstLine="720"/>
      </w:pPr>
      <w:r w:rsidRPr="002F1BC2">
        <w:rPr>
          <w:i/>
        </w:rPr>
        <w:t xml:space="preserve">Source: The </w:t>
      </w:r>
      <w:r w:rsidRPr="002F1BC2">
        <w:rPr>
          <w:i/>
          <w:iCs/>
        </w:rPr>
        <w:t>Australian Gover</w:t>
      </w:r>
      <w:r w:rsidR="0011388F">
        <w:rPr>
          <w:i/>
          <w:iCs/>
        </w:rPr>
        <w:t>nment the Treasury</w:t>
      </w:r>
      <w:r>
        <w:t>.</w:t>
      </w:r>
    </w:p>
    <w:p w14:paraId="381B6418" w14:textId="77777777" w:rsidR="000E0B74" w:rsidRPr="006627B4" w:rsidRDefault="000E0B74" w:rsidP="000E0B74">
      <w:pPr>
        <w:spacing w:before="240"/>
      </w:pPr>
      <w:r w:rsidRPr="00CC63CC">
        <w:rPr>
          <w:b/>
        </w:rPr>
        <w:t>Derivative</w:t>
      </w:r>
      <w:r w:rsidRPr="006627B4">
        <w:t xml:space="preserve"> </w:t>
      </w:r>
      <w:r w:rsidRPr="00CC63CC">
        <w:rPr>
          <w:b/>
        </w:rPr>
        <w:t>material</w:t>
      </w:r>
    </w:p>
    <w:p w14:paraId="0DDBB447" w14:textId="2713B3ED" w:rsidR="000E0B74" w:rsidRPr="006627B4" w:rsidRDefault="000E0B74" w:rsidP="000E0B74">
      <w:r w:rsidRPr="006627B4">
        <w:t>If you have modified or transformed Treasury material, or derived new material from those of the Treasury in any way, then Treasury pre</w:t>
      </w:r>
      <w:r w:rsidR="008767EB">
        <w:t>fers the following attribution:</w:t>
      </w:r>
    </w:p>
    <w:p w14:paraId="409FCD2D" w14:textId="5118D2B4" w:rsidR="000E0B74" w:rsidRPr="006627B4" w:rsidRDefault="000E0B74" w:rsidP="000E0B74">
      <w:pPr>
        <w:ind w:firstLine="720"/>
      </w:pPr>
      <w:r w:rsidRPr="002F1BC2">
        <w:rPr>
          <w:i/>
        </w:rPr>
        <w:t>Based on The Australian Government the Treasury data</w:t>
      </w:r>
      <w:r>
        <w:t>.</w:t>
      </w:r>
    </w:p>
    <w:p w14:paraId="4D8F18D4" w14:textId="77777777" w:rsidR="000E0B74" w:rsidRPr="006627B4" w:rsidRDefault="000E0B74" w:rsidP="000E0B74">
      <w:pPr>
        <w:spacing w:before="240"/>
        <w:rPr>
          <w:b/>
        </w:rPr>
      </w:pPr>
      <w:r w:rsidRPr="006627B4">
        <w:rPr>
          <w:b/>
        </w:rPr>
        <w:t>Use of the Coat of Arms</w:t>
      </w:r>
    </w:p>
    <w:p w14:paraId="05B862EC" w14:textId="77777777"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20" w:history="1">
        <w:r w:rsidRPr="005A283B">
          <w:rPr>
            <w:rStyle w:val="Hyperlink"/>
          </w:rPr>
          <w:t>www.pmc.gov.au/government/commonwealth-coat-arm</w:t>
        </w:r>
      </w:hyperlink>
      <w:r w:rsidRPr="004A7BC2">
        <w:t>s).</w:t>
      </w:r>
    </w:p>
    <w:p w14:paraId="0DB7AC6A" w14:textId="77777777" w:rsidR="000E0B74" w:rsidRPr="006627B4" w:rsidRDefault="000E0B74" w:rsidP="000E0B74">
      <w:pPr>
        <w:spacing w:before="240"/>
        <w:rPr>
          <w:b/>
        </w:rPr>
      </w:pPr>
      <w:r>
        <w:rPr>
          <w:b/>
        </w:rPr>
        <w:t>Other u</w:t>
      </w:r>
      <w:r w:rsidRPr="006627B4">
        <w:rPr>
          <w:b/>
        </w:rPr>
        <w:t>ses</w:t>
      </w:r>
    </w:p>
    <w:p w14:paraId="5A5E0638" w14:textId="77777777" w:rsidR="000E0B74" w:rsidRPr="006627B4" w:rsidRDefault="000E0B74" w:rsidP="000E0B74">
      <w:r>
        <w:t>E</w:t>
      </w:r>
      <w:r w:rsidRPr="006627B4">
        <w:t>nquiries regarding this licence and any other use of this document are welcome at:</w:t>
      </w:r>
    </w:p>
    <w:p w14:paraId="64217685" w14:textId="77777777" w:rsidR="000E0B74" w:rsidRPr="002F1BC2" w:rsidRDefault="000E0B74" w:rsidP="000E0B74">
      <w:pPr>
        <w:ind w:left="720"/>
        <w:rPr>
          <w:rStyle w:val="Hyperlink"/>
        </w:rPr>
      </w:pPr>
      <w:r w:rsidRPr="006627B4">
        <w:t>Manager</w:t>
      </w:r>
      <w:r w:rsidR="009A668A">
        <w:br/>
      </w:r>
      <w: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21" w:history="1">
        <w:r w:rsidRPr="00B31CFB">
          <w:rPr>
            <w:rStyle w:val="Hyperlink"/>
          </w:rPr>
          <w:t>medialiaison@treasury.gov.au</w:t>
        </w:r>
      </w:hyperlink>
    </w:p>
    <w:p w14:paraId="72CCC6E5" w14:textId="77777777" w:rsidR="000E0B74" w:rsidRDefault="000E0B74" w:rsidP="000E0B74">
      <w:pPr>
        <w:pStyle w:val="SingleParagraph"/>
        <w:sectPr w:rsidR="000E0B74" w:rsidSect="00475B7B">
          <w:headerReference w:type="even" r:id="rId22"/>
          <w:headerReference w:type="default" r:id="rId23"/>
          <w:footerReference w:type="even" r:id="rId24"/>
          <w:pgSz w:w="11906" w:h="16838" w:code="9"/>
          <w:pgMar w:top="1418" w:right="1418" w:bottom="1418" w:left="1418" w:header="709" w:footer="709" w:gutter="0"/>
          <w:pgNumType w:fmt="lowerRoman"/>
          <w:cols w:space="708"/>
          <w:titlePg/>
          <w:docGrid w:linePitch="360"/>
        </w:sectPr>
      </w:pPr>
    </w:p>
    <w:bookmarkStart w:id="0" w:name="_Toc529957590" w:displacedByCustomXml="next"/>
    <w:bookmarkStart w:id="1" w:name="_Toc476214101" w:displacedByCustomXml="next"/>
    <w:sdt>
      <w:sdtPr>
        <w:rPr>
          <w:rFonts w:cs="Times New Roman"/>
          <w:color w:val="auto"/>
          <w:kern w:val="0"/>
          <w:sz w:val="22"/>
          <w:szCs w:val="20"/>
        </w:rPr>
        <w:id w:val="271440090"/>
        <w:docPartObj>
          <w:docPartGallery w:val="Table of Contents"/>
          <w:docPartUnique/>
        </w:docPartObj>
      </w:sdtPr>
      <w:sdtEndPr>
        <w:rPr>
          <w:noProof/>
        </w:rPr>
      </w:sdtEndPr>
      <w:sdtContent>
        <w:p w14:paraId="6FFDDA3D" w14:textId="55005056" w:rsidR="00C573EE" w:rsidRDefault="00C573EE" w:rsidP="006A1C91">
          <w:pPr>
            <w:pStyle w:val="Heading1"/>
          </w:pPr>
          <w:r w:rsidRPr="006A1C91">
            <w:t>Contents</w:t>
          </w:r>
          <w:bookmarkEnd w:id="0"/>
        </w:p>
        <w:p w14:paraId="01515F99" w14:textId="0047DB4B" w:rsidR="009D202F" w:rsidRDefault="00C573EE">
          <w:pPr>
            <w:pStyle w:val="TOC1"/>
            <w:rPr>
              <w:rFonts w:asciiTheme="minorHAnsi" w:eastAsiaTheme="minorEastAsia" w:hAnsiTheme="minorHAnsi" w:cstheme="minorBidi"/>
              <w:b w:val="0"/>
              <w:color w:val="auto"/>
            </w:rPr>
          </w:pPr>
          <w:r>
            <w:fldChar w:fldCharType="begin"/>
          </w:r>
          <w:r>
            <w:instrText xml:space="preserve"> TOC \o "1-3" \h \z \u </w:instrText>
          </w:r>
          <w:r>
            <w:fldChar w:fldCharType="separate"/>
          </w:r>
          <w:hyperlink w:anchor="_Toc529957591" w:history="1">
            <w:r w:rsidR="009D202F" w:rsidRPr="006E5D6A">
              <w:rPr>
                <w:rStyle w:val="Hyperlink"/>
              </w:rPr>
              <w:t>Consultation Process</w:t>
            </w:r>
            <w:r w:rsidR="009D202F">
              <w:rPr>
                <w:webHidden/>
              </w:rPr>
              <w:tab/>
            </w:r>
            <w:r w:rsidR="009D202F">
              <w:rPr>
                <w:webHidden/>
              </w:rPr>
              <w:fldChar w:fldCharType="begin"/>
            </w:r>
            <w:r w:rsidR="009D202F">
              <w:rPr>
                <w:webHidden/>
              </w:rPr>
              <w:instrText xml:space="preserve"> PAGEREF _Toc529957591 \h </w:instrText>
            </w:r>
            <w:r w:rsidR="009D202F">
              <w:rPr>
                <w:webHidden/>
              </w:rPr>
            </w:r>
            <w:r w:rsidR="009D202F">
              <w:rPr>
                <w:webHidden/>
              </w:rPr>
              <w:fldChar w:fldCharType="separate"/>
            </w:r>
            <w:r w:rsidR="009D202F">
              <w:rPr>
                <w:webHidden/>
              </w:rPr>
              <w:t>1</w:t>
            </w:r>
            <w:r w:rsidR="009D202F">
              <w:rPr>
                <w:webHidden/>
              </w:rPr>
              <w:fldChar w:fldCharType="end"/>
            </w:r>
          </w:hyperlink>
        </w:p>
        <w:p w14:paraId="29CD1B5E" w14:textId="77777777" w:rsidR="009D202F" w:rsidRDefault="00E253FC">
          <w:pPr>
            <w:pStyle w:val="TOC2"/>
            <w:rPr>
              <w:rFonts w:asciiTheme="minorHAnsi" w:eastAsiaTheme="minorEastAsia" w:hAnsiTheme="minorHAnsi" w:cstheme="minorBidi"/>
              <w:color w:val="auto"/>
              <w:szCs w:val="22"/>
            </w:rPr>
          </w:pPr>
          <w:hyperlink w:anchor="_Toc529957592" w:history="1">
            <w:r w:rsidR="009D202F" w:rsidRPr="006E5D6A">
              <w:rPr>
                <w:rStyle w:val="Hyperlink"/>
              </w:rPr>
              <w:t>Request for feedback and comments</w:t>
            </w:r>
            <w:r w:rsidR="009D202F">
              <w:rPr>
                <w:webHidden/>
              </w:rPr>
              <w:tab/>
            </w:r>
            <w:r w:rsidR="009D202F">
              <w:rPr>
                <w:webHidden/>
              </w:rPr>
              <w:fldChar w:fldCharType="begin"/>
            </w:r>
            <w:r w:rsidR="009D202F">
              <w:rPr>
                <w:webHidden/>
              </w:rPr>
              <w:instrText xml:space="preserve"> PAGEREF _Toc529957592 \h </w:instrText>
            </w:r>
            <w:r w:rsidR="009D202F">
              <w:rPr>
                <w:webHidden/>
              </w:rPr>
            </w:r>
            <w:r w:rsidR="009D202F">
              <w:rPr>
                <w:webHidden/>
              </w:rPr>
              <w:fldChar w:fldCharType="separate"/>
            </w:r>
            <w:r w:rsidR="009D202F">
              <w:rPr>
                <w:webHidden/>
              </w:rPr>
              <w:t>1</w:t>
            </w:r>
            <w:r w:rsidR="009D202F">
              <w:rPr>
                <w:webHidden/>
              </w:rPr>
              <w:fldChar w:fldCharType="end"/>
            </w:r>
          </w:hyperlink>
        </w:p>
        <w:p w14:paraId="55CDFFD6" w14:textId="77777777" w:rsidR="009D202F" w:rsidRDefault="00E253FC">
          <w:pPr>
            <w:pStyle w:val="TOC1"/>
            <w:tabs>
              <w:tab w:val="left" w:pos="660"/>
            </w:tabs>
            <w:rPr>
              <w:rFonts w:asciiTheme="minorHAnsi" w:eastAsiaTheme="minorEastAsia" w:hAnsiTheme="minorHAnsi" w:cstheme="minorBidi"/>
              <w:b w:val="0"/>
              <w:color w:val="auto"/>
            </w:rPr>
          </w:pPr>
          <w:hyperlink w:anchor="_Toc529957594" w:history="1">
            <w:r w:rsidR="009D202F" w:rsidRPr="006E5D6A">
              <w:rPr>
                <w:rStyle w:val="Hyperlink"/>
              </w:rPr>
              <w:t>1.</w:t>
            </w:r>
            <w:r w:rsidR="009D202F">
              <w:rPr>
                <w:rFonts w:asciiTheme="minorHAnsi" w:eastAsiaTheme="minorEastAsia" w:hAnsiTheme="minorHAnsi" w:cstheme="minorBidi"/>
                <w:b w:val="0"/>
                <w:color w:val="auto"/>
              </w:rPr>
              <w:tab/>
            </w:r>
            <w:r w:rsidR="009D202F" w:rsidRPr="006E5D6A">
              <w:rPr>
                <w:rStyle w:val="Hyperlink"/>
              </w:rPr>
              <w:t>Introduction</w:t>
            </w:r>
            <w:r w:rsidR="009D202F">
              <w:rPr>
                <w:webHidden/>
              </w:rPr>
              <w:tab/>
            </w:r>
            <w:r w:rsidR="009D202F">
              <w:rPr>
                <w:webHidden/>
              </w:rPr>
              <w:fldChar w:fldCharType="begin"/>
            </w:r>
            <w:r w:rsidR="009D202F">
              <w:rPr>
                <w:webHidden/>
              </w:rPr>
              <w:instrText xml:space="preserve"> PAGEREF _Toc529957594 \h </w:instrText>
            </w:r>
            <w:r w:rsidR="009D202F">
              <w:rPr>
                <w:webHidden/>
              </w:rPr>
            </w:r>
            <w:r w:rsidR="009D202F">
              <w:rPr>
                <w:webHidden/>
              </w:rPr>
              <w:fldChar w:fldCharType="separate"/>
            </w:r>
            <w:r w:rsidR="009D202F">
              <w:rPr>
                <w:webHidden/>
              </w:rPr>
              <w:t>2</w:t>
            </w:r>
            <w:r w:rsidR="009D202F">
              <w:rPr>
                <w:webHidden/>
              </w:rPr>
              <w:fldChar w:fldCharType="end"/>
            </w:r>
          </w:hyperlink>
        </w:p>
        <w:p w14:paraId="5ADC8C8F" w14:textId="77777777" w:rsidR="009D202F" w:rsidRDefault="00E253FC">
          <w:pPr>
            <w:pStyle w:val="TOC2"/>
            <w:tabs>
              <w:tab w:val="left" w:pos="660"/>
            </w:tabs>
            <w:rPr>
              <w:rFonts w:asciiTheme="minorHAnsi" w:eastAsiaTheme="minorEastAsia" w:hAnsiTheme="minorHAnsi" w:cstheme="minorBidi"/>
              <w:color w:val="auto"/>
              <w:szCs w:val="22"/>
            </w:rPr>
          </w:pPr>
          <w:hyperlink w:anchor="_Toc529957595" w:history="1">
            <w:r w:rsidR="009D202F" w:rsidRPr="006E5D6A">
              <w:rPr>
                <w:rStyle w:val="Hyperlink"/>
              </w:rPr>
              <w:t>1.1</w:t>
            </w:r>
            <w:r w:rsidR="009D202F">
              <w:rPr>
                <w:rFonts w:asciiTheme="minorHAnsi" w:eastAsiaTheme="minorEastAsia" w:hAnsiTheme="minorHAnsi" w:cstheme="minorBidi"/>
                <w:color w:val="auto"/>
                <w:szCs w:val="22"/>
              </w:rPr>
              <w:tab/>
            </w:r>
            <w:r w:rsidR="009D202F" w:rsidRPr="006E5D6A">
              <w:rPr>
                <w:rStyle w:val="Hyperlink"/>
              </w:rPr>
              <w:t>Unfair contract term protections</w:t>
            </w:r>
            <w:r w:rsidR="009D202F">
              <w:rPr>
                <w:webHidden/>
              </w:rPr>
              <w:tab/>
            </w:r>
            <w:r w:rsidR="009D202F">
              <w:rPr>
                <w:webHidden/>
              </w:rPr>
              <w:fldChar w:fldCharType="begin"/>
            </w:r>
            <w:r w:rsidR="009D202F">
              <w:rPr>
                <w:webHidden/>
              </w:rPr>
              <w:instrText xml:space="preserve"> PAGEREF _Toc529957595 \h </w:instrText>
            </w:r>
            <w:r w:rsidR="009D202F">
              <w:rPr>
                <w:webHidden/>
              </w:rPr>
            </w:r>
            <w:r w:rsidR="009D202F">
              <w:rPr>
                <w:webHidden/>
              </w:rPr>
              <w:fldChar w:fldCharType="separate"/>
            </w:r>
            <w:r w:rsidR="009D202F">
              <w:rPr>
                <w:webHidden/>
              </w:rPr>
              <w:t>2</w:t>
            </w:r>
            <w:r w:rsidR="009D202F">
              <w:rPr>
                <w:webHidden/>
              </w:rPr>
              <w:fldChar w:fldCharType="end"/>
            </w:r>
          </w:hyperlink>
        </w:p>
        <w:p w14:paraId="5A091F4B" w14:textId="77777777" w:rsidR="009D202F" w:rsidRDefault="00E253FC">
          <w:pPr>
            <w:pStyle w:val="TOC2"/>
            <w:tabs>
              <w:tab w:val="left" w:pos="660"/>
            </w:tabs>
            <w:rPr>
              <w:rFonts w:asciiTheme="minorHAnsi" w:eastAsiaTheme="minorEastAsia" w:hAnsiTheme="minorHAnsi" w:cstheme="minorBidi"/>
              <w:color w:val="auto"/>
              <w:szCs w:val="22"/>
            </w:rPr>
          </w:pPr>
          <w:hyperlink w:anchor="_Toc529957596" w:history="1">
            <w:r w:rsidR="009D202F" w:rsidRPr="006E5D6A">
              <w:rPr>
                <w:rStyle w:val="Hyperlink"/>
              </w:rPr>
              <w:t>1.2</w:t>
            </w:r>
            <w:r w:rsidR="009D202F">
              <w:rPr>
                <w:rFonts w:asciiTheme="minorHAnsi" w:eastAsiaTheme="minorEastAsia" w:hAnsiTheme="minorHAnsi" w:cstheme="minorBidi"/>
                <w:color w:val="auto"/>
                <w:szCs w:val="22"/>
              </w:rPr>
              <w:tab/>
            </w:r>
            <w:r w:rsidR="009D202F" w:rsidRPr="006E5D6A">
              <w:rPr>
                <w:rStyle w:val="Hyperlink"/>
              </w:rPr>
              <w:t>Extension of UCT protections to small business</w:t>
            </w:r>
            <w:r w:rsidR="009D202F">
              <w:rPr>
                <w:webHidden/>
              </w:rPr>
              <w:tab/>
            </w:r>
            <w:r w:rsidR="009D202F">
              <w:rPr>
                <w:webHidden/>
              </w:rPr>
              <w:fldChar w:fldCharType="begin"/>
            </w:r>
            <w:r w:rsidR="009D202F">
              <w:rPr>
                <w:webHidden/>
              </w:rPr>
              <w:instrText xml:space="preserve"> PAGEREF _Toc529957596 \h </w:instrText>
            </w:r>
            <w:r w:rsidR="009D202F">
              <w:rPr>
                <w:webHidden/>
              </w:rPr>
            </w:r>
            <w:r w:rsidR="009D202F">
              <w:rPr>
                <w:webHidden/>
              </w:rPr>
              <w:fldChar w:fldCharType="separate"/>
            </w:r>
            <w:r w:rsidR="009D202F">
              <w:rPr>
                <w:webHidden/>
              </w:rPr>
              <w:t>2</w:t>
            </w:r>
            <w:r w:rsidR="009D202F">
              <w:rPr>
                <w:webHidden/>
              </w:rPr>
              <w:fldChar w:fldCharType="end"/>
            </w:r>
          </w:hyperlink>
        </w:p>
        <w:p w14:paraId="2B0255D1" w14:textId="77777777" w:rsidR="009D202F" w:rsidRDefault="00E253FC">
          <w:pPr>
            <w:pStyle w:val="TOC1"/>
            <w:tabs>
              <w:tab w:val="left" w:pos="660"/>
            </w:tabs>
            <w:rPr>
              <w:rFonts w:asciiTheme="minorHAnsi" w:eastAsiaTheme="minorEastAsia" w:hAnsiTheme="minorHAnsi" w:cstheme="minorBidi"/>
              <w:b w:val="0"/>
              <w:color w:val="auto"/>
            </w:rPr>
          </w:pPr>
          <w:hyperlink w:anchor="_Toc529957597" w:history="1">
            <w:r w:rsidR="009D202F" w:rsidRPr="006E5D6A">
              <w:rPr>
                <w:rStyle w:val="Hyperlink"/>
              </w:rPr>
              <w:t>2.</w:t>
            </w:r>
            <w:r w:rsidR="009D202F">
              <w:rPr>
                <w:rFonts w:asciiTheme="minorHAnsi" w:eastAsiaTheme="minorEastAsia" w:hAnsiTheme="minorHAnsi" w:cstheme="minorBidi"/>
                <w:b w:val="0"/>
                <w:color w:val="auto"/>
              </w:rPr>
              <w:tab/>
            </w:r>
            <w:r w:rsidR="009D202F" w:rsidRPr="006E5D6A">
              <w:rPr>
                <w:rStyle w:val="Hyperlink"/>
              </w:rPr>
              <w:t>Purpose</w:t>
            </w:r>
            <w:r w:rsidR="009D202F">
              <w:rPr>
                <w:webHidden/>
              </w:rPr>
              <w:tab/>
            </w:r>
            <w:r w:rsidR="009D202F">
              <w:rPr>
                <w:webHidden/>
              </w:rPr>
              <w:fldChar w:fldCharType="begin"/>
            </w:r>
            <w:r w:rsidR="009D202F">
              <w:rPr>
                <w:webHidden/>
              </w:rPr>
              <w:instrText xml:space="preserve"> PAGEREF _Toc529957597 \h </w:instrText>
            </w:r>
            <w:r w:rsidR="009D202F">
              <w:rPr>
                <w:webHidden/>
              </w:rPr>
            </w:r>
            <w:r w:rsidR="009D202F">
              <w:rPr>
                <w:webHidden/>
              </w:rPr>
              <w:fldChar w:fldCharType="separate"/>
            </w:r>
            <w:r w:rsidR="009D202F">
              <w:rPr>
                <w:webHidden/>
              </w:rPr>
              <w:t>4</w:t>
            </w:r>
            <w:r w:rsidR="009D202F">
              <w:rPr>
                <w:webHidden/>
              </w:rPr>
              <w:fldChar w:fldCharType="end"/>
            </w:r>
          </w:hyperlink>
        </w:p>
        <w:p w14:paraId="13A2F70A" w14:textId="77777777" w:rsidR="009D202F" w:rsidRDefault="00E253FC">
          <w:pPr>
            <w:pStyle w:val="TOC1"/>
            <w:tabs>
              <w:tab w:val="left" w:pos="660"/>
            </w:tabs>
            <w:rPr>
              <w:rFonts w:asciiTheme="minorHAnsi" w:eastAsiaTheme="minorEastAsia" w:hAnsiTheme="minorHAnsi" w:cstheme="minorBidi"/>
              <w:b w:val="0"/>
              <w:color w:val="auto"/>
            </w:rPr>
          </w:pPr>
          <w:hyperlink w:anchor="_Toc529957598" w:history="1">
            <w:r w:rsidR="009D202F" w:rsidRPr="006E5D6A">
              <w:rPr>
                <w:rStyle w:val="Hyperlink"/>
              </w:rPr>
              <w:t>3.</w:t>
            </w:r>
            <w:r w:rsidR="009D202F">
              <w:rPr>
                <w:rFonts w:asciiTheme="minorHAnsi" w:eastAsiaTheme="minorEastAsia" w:hAnsiTheme="minorHAnsi" w:cstheme="minorBidi"/>
                <w:b w:val="0"/>
                <w:color w:val="auto"/>
              </w:rPr>
              <w:tab/>
            </w:r>
            <w:r w:rsidR="009D202F" w:rsidRPr="006E5D6A">
              <w:rPr>
                <w:rStyle w:val="Hyperlink"/>
              </w:rPr>
              <w:t>How do UCT protections operate?</w:t>
            </w:r>
            <w:r w:rsidR="009D202F">
              <w:rPr>
                <w:webHidden/>
              </w:rPr>
              <w:tab/>
            </w:r>
            <w:r w:rsidR="009D202F">
              <w:rPr>
                <w:webHidden/>
              </w:rPr>
              <w:fldChar w:fldCharType="begin"/>
            </w:r>
            <w:r w:rsidR="009D202F">
              <w:rPr>
                <w:webHidden/>
              </w:rPr>
              <w:instrText xml:space="preserve"> PAGEREF _Toc529957598 \h </w:instrText>
            </w:r>
            <w:r w:rsidR="009D202F">
              <w:rPr>
                <w:webHidden/>
              </w:rPr>
            </w:r>
            <w:r w:rsidR="009D202F">
              <w:rPr>
                <w:webHidden/>
              </w:rPr>
              <w:fldChar w:fldCharType="separate"/>
            </w:r>
            <w:r w:rsidR="009D202F">
              <w:rPr>
                <w:webHidden/>
              </w:rPr>
              <w:t>5</w:t>
            </w:r>
            <w:r w:rsidR="009D202F">
              <w:rPr>
                <w:webHidden/>
              </w:rPr>
              <w:fldChar w:fldCharType="end"/>
            </w:r>
          </w:hyperlink>
        </w:p>
        <w:p w14:paraId="6DEBF261" w14:textId="77777777" w:rsidR="009D202F" w:rsidRDefault="00E253FC">
          <w:pPr>
            <w:pStyle w:val="TOC2"/>
            <w:tabs>
              <w:tab w:val="left" w:pos="660"/>
            </w:tabs>
            <w:rPr>
              <w:rFonts w:asciiTheme="minorHAnsi" w:eastAsiaTheme="minorEastAsia" w:hAnsiTheme="minorHAnsi" w:cstheme="minorBidi"/>
              <w:color w:val="auto"/>
              <w:szCs w:val="22"/>
            </w:rPr>
          </w:pPr>
          <w:hyperlink w:anchor="_Toc529957599" w:history="1">
            <w:r w:rsidR="009D202F" w:rsidRPr="006E5D6A">
              <w:rPr>
                <w:rStyle w:val="Hyperlink"/>
              </w:rPr>
              <w:t>3.1</w:t>
            </w:r>
            <w:r w:rsidR="009D202F">
              <w:rPr>
                <w:rFonts w:asciiTheme="minorHAnsi" w:eastAsiaTheme="minorEastAsia" w:hAnsiTheme="minorHAnsi" w:cstheme="minorBidi"/>
                <w:color w:val="auto"/>
                <w:szCs w:val="22"/>
              </w:rPr>
              <w:tab/>
            </w:r>
            <w:r w:rsidR="009D202F" w:rsidRPr="006E5D6A">
              <w:rPr>
                <w:rStyle w:val="Hyperlink"/>
              </w:rPr>
              <w:t>What are standard form contracts?</w:t>
            </w:r>
            <w:r w:rsidR="009D202F">
              <w:rPr>
                <w:webHidden/>
              </w:rPr>
              <w:tab/>
            </w:r>
            <w:r w:rsidR="009D202F">
              <w:rPr>
                <w:webHidden/>
              </w:rPr>
              <w:fldChar w:fldCharType="begin"/>
            </w:r>
            <w:r w:rsidR="009D202F">
              <w:rPr>
                <w:webHidden/>
              </w:rPr>
              <w:instrText xml:space="preserve"> PAGEREF _Toc529957599 \h </w:instrText>
            </w:r>
            <w:r w:rsidR="009D202F">
              <w:rPr>
                <w:webHidden/>
              </w:rPr>
            </w:r>
            <w:r w:rsidR="009D202F">
              <w:rPr>
                <w:webHidden/>
              </w:rPr>
              <w:fldChar w:fldCharType="separate"/>
            </w:r>
            <w:r w:rsidR="009D202F">
              <w:rPr>
                <w:webHidden/>
              </w:rPr>
              <w:t>5</w:t>
            </w:r>
            <w:r w:rsidR="009D202F">
              <w:rPr>
                <w:webHidden/>
              </w:rPr>
              <w:fldChar w:fldCharType="end"/>
            </w:r>
          </w:hyperlink>
        </w:p>
        <w:p w14:paraId="0FBE527A" w14:textId="77777777" w:rsidR="009D202F" w:rsidRDefault="00E253FC">
          <w:pPr>
            <w:pStyle w:val="TOC2"/>
            <w:tabs>
              <w:tab w:val="left" w:pos="660"/>
            </w:tabs>
            <w:rPr>
              <w:rFonts w:asciiTheme="minorHAnsi" w:eastAsiaTheme="minorEastAsia" w:hAnsiTheme="minorHAnsi" w:cstheme="minorBidi"/>
              <w:color w:val="auto"/>
              <w:szCs w:val="22"/>
            </w:rPr>
          </w:pPr>
          <w:hyperlink w:anchor="_Toc529957600" w:history="1">
            <w:r w:rsidR="009D202F" w:rsidRPr="006E5D6A">
              <w:rPr>
                <w:rStyle w:val="Hyperlink"/>
              </w:rPr>
              <w:t>3.2</w:t>
            </w:r>
            <w:r w:rsidR="009D202F">
              <w:rPr>
                <w:rFonts w:asciiTheme="minorHAnsi" w:eastAsiaTheme="minorEastAsia" w:hAnsiTheme="minorHAnsi" w:cstheme="minorBidi"/>
                <w:color w:val="auto"/>
                <w:szCs w:val="22"/>
              </w:rPr>
              <w:tab/>
            </w:r>
            <w:r w:rsidR="009D202F" w:rsidRPr="006E5D6A">
              <w:rPr>
                <w:rStyle w:val="Hyperlink"/>
              </w:rPr>
              <w:t>Other related proposals</w:t>
            </w:r>
            <w:r w:rsidR="009D202F">
              <w:rPr>
                <w:webHidden/>
              </w:rPr>
              <w:tab/>
            </w:r>
            <w:r w:rsidR="009D202F">
              <w:rPr>
                <w:webHidden/>
              </w:rPr>
              <w:fldChar w:fldCharType="begin"/>
            </w:r>
            <w:r w:rsidR="009D202F">
              <w:rPr>
                <w:webHidden/>
              </w:rPr>
              <w:instrText xml:space="preserve"> PAGEREF _Toc529957600 \h </w:instrText>
            </w:r>
            <w:r w:rsidR="009D202F">
              <w:rPr>
                <w:webHidden/>
              </w:rPr>
            </w:r>
            <w:r w:rsidR="009D202F">
              <w:rPr>
                <w:webHidden/>
              </w:rPr>
              <w:fldChar w:fldCharType="separate"/>
            </w:r>
            <w:r w:rsidR="009D202F">
              <w:rPr>
                <w:webHidden/>
              </w:rPr>
              <w:t>6</w:t>
            </w:r>
            <w:r w:rsidR="009D202F">
              <w:rPr>
                <w:webHidden/>
              </w:rPr>
              <w:fldChar w:fldCharType="end"/>
            </w:r>
          </w:hyperlink>
        </w:p>
        <w:p w14:paraId="136EC0B4" w14:textId="77777777" w:rsidR="009D202F" w:rsidRDefault="00E253FC">
          <w:pPr>
            <w:pStyle w:val="TOC3"/>
            <w:rPr>
              <w:rFonts w:asciiTheme="minorHAnsi" w:eastAsiaTheme="minorEastAsia" w:hAnsiTheme="minorHAnsi" w:cstheme="minorBidi"/>
              <w:color w:val="auto"/>
              <w:szCs w:val="22"/>
            </w:rPr>
          </w:pPr>
          <w:hyperlink w:anchor="_Toc529957601" w:history="1">
            <w:r w:rsidR="009D202F" w:rsidRPr="006E5D6A">
              <w:rPr>
                <w:rStyle w:val="Hyperlink"/>
              </w:rPr>
              <w:t>Extending UCT provisions to insurance contracts</w:t>
            </w:r>
            <w:r w:rsidR="009D202F">
              <w:rPr>
                <w:webHidden/>
              </w:rPr>
              <w:tab/>
            </w:r>
            <w:r w:rsidR="009D202F">
              <w:rPr>
                <w:webHidden/>
              </w:rPr>
              <w:fldChar w:fldCharType="begin"/>
            </w:r>
            <w:r w:rsidR="009D202F">
              <w:rPr>
                <w:webHidden/>
              </w:rPr>
              <w:instrText xml:space="preserve"> PAGEREF _Toc529957601 \h </w:instrText>
            </w:r>
            <w:r w:rsidR="009D202F">
              <w:rPr>
                <w:webHidden/>
              </w:rPr>
            </w:r>
            <w:r w:rsidR="009D202F">
              <w:rPr>
                <w:webHidden/>
              </w:rPr>
              <w:fldChar w:fldCharType="separate"/>
            </w:r>
            <w:r w:rsidR="009D202F">
              <w:rPr>
                <w:webHidden/>
              </w:rPr>
              <w:t>6</w:t>
            </w:r>
            <w:r w:rsidR="009D202F">
              <w:rPr>
                <w:webHidden/>
              </w:rPr>
              <w:fldChar w:fldCharType="end"/>
            </w:r>
          </w:hyperlink>
        </w:p>
        <w:p w14:paraId="1AE37D94" w14:textId="77777777" w:rsidR="009D202F" w:rsidRDefault="00E253FC">
          <w:pPr>
            <w:pStyle w:val="TOC3"/>
            <w:rPr>
              <w:rFonts w:asciiTheme="minorHAnsi" w:eastAsiaTheme="minorEastAsia" w:hAnsiTheme="minorHAnsi" w:cstheme="minorBidi"/>
              <w:color w:val="auto"/>
              <w:szCs w:val="22"/>
            </w:rPr>
          </w:pPr>
          <w:hyperlink w:anchor="_Toc529957602" w:history="1">
            <w:r w:rsidR="009D202F" w:rsidRPr="006E5D6A">
              <w:rPr>
                <w:rStyle w:val="Hyperlink"/>
              </w:rPr>
              <w:t>Inquiry into the operation and effectiveness of the Franchising Code of Conduct</w:t>
            </w:r>
            <w:r w:rsidR="009D202F">
              <w:rPr>
                <w:webHidden/>
              </w:rPr>
              <w:tab/>
            </w:r>
            <w:r w:rsidR="009D202F">
              <w:rPr>
                <w:webHidden/>
              </w:rPr>
              <w:fldChar w:fldCharType="begin"/>
            </w:r>
            <w:r w:rsidR="009D202F">
              <w:rPr>
                <w:webHidden/>
              </w:rPr>
              <w:instrText xml:space="preserve"> PAGEREF _Toc529957602 \h </w:instrText>
            </w:r>
            <w:r w:rsidR="009D202F">
              <w:rPr>
                <w:webHidden/>
              </w:rPr>
            </w:r>
            <w:r w:rsidR="009D202F">
              <w:rPr>
                <w:webHidden/>
              </w:rPr>
              <w:fldChar w:fldCharType="separate"/>
            </w:r>
            <w:r w:rsidR="009D202F">
              <w:rPr>
                <w:webHidden/>
              </w:rPr>
              <w:t>6</w:t>
            </w:r>
            <w:r w:rsidR="009D202F">
              <w:rPr>
                <w:webHidden/>
              </w:rPr>
              <w:fldChar w:fldCharType="end"/>
            </w:r>
          </w:hyperlink>
        </w:p>
        <w:p w14:paraId="2455557C" w14:textId="77777777" w:rsidR="009D202F" w:rsidRDefault="00E253FC">
          <w:pPr>
            <w:pStyle w:val="TOC3"/>
            <w:rPr>
              <w:rFonts w:asciiTheme="minorHAnsi" w:eastAsiaTheme="minorEastAsia" w:hAnsiTheme="minorHAnsi" w:cstheme="minorBidi"/>
              <w:color w:val="auto"/>
              <w:szCs w:val="22"/>
            </w:rPr>
          </w:pPr>
          <w:hyperlink w:anchor="_Toc529957603" w:history="1">
            <w:r w:rsidR="009D202F" w:rsidRPr="006E5D6A">
              <w:rPr>
                <w:rStyle w:val="Hyperlink"/>
              </w:rPr>
              <w:t>Royal Commission into Misconduct in the Banking, Superannuation and Financial Services Industry</w:t>
            </w:r>
            <w:r w:rsidR="009D202F">
              <w:rPr>
                <w:webHidden/>
              </w:rPr>
              <w:tab/>
            </w:r>
            <w:r w:rsidR="009D202F">
              <w:rPr>
                <w:webHidden/>
              </w:rPr>
              <w:fldChar w:fldCharType="begin"/>
            </w:r>
            <w:r w:rsidR="009D202F">
              <w:rPr>
                <w:webHidden/>
              </w:rPr>
              <w:instrText xml:space="preserve"> PAGEREF _Toc529957603 \h </w:instrText>
            </w:r>
            <w:r w:rsidR="009D202F">
              <w:rPr>
                <w:webHidden/>
              </w:rPr>
            </w:r>
            <w:r w:rsidR="009D202F">
              <w:rPr>
                <w:webHidden/>
              </w:rPr>
              <w:fldChar w:fldCharType="separate"/>
            </w:r>
            <w:r w:rsidR="009D202F">
              <w:rPr>
                <w:webHidden/>
              </w:rPr>
              <w:t>6</w:t>
            </w:r>
            <w:r w:rsidR="009D202F">
              <w:rPr>
                <w:webHidden/>
              </w:rPr>
              <w:fldChar w:fldCharType="end"/>
            </w:r>
          </w:hyperlink>
        </w:p>
        <w:p w14:paraId="78BD2ACB" w14:textId="77777777" w:rsidR="009D202F" w:rsidRDefault="00E253FC">
          <w:pPr>
            <w:pStyle w:val="TOC1"/>
            <w:tabs>
              <w:tab w:val="left" w:pos="660"/>
            </w:tabs>
            <w:rPr>
              <w:rFonts w:asciiTheme="minorHAnsi" w:eastAsiaTheme="minorEastAsia" w:hAnsiTheme="minorHAnsi" w:cstheme="minorBidi"/>
              <w:b w:val="0"/>
              <w:color w:val="auto"/>
            </w:rPr>
          </w:pPr>
          <w:hyperlink w:anchor="_Toc529957604" w:history="1">
            <w:r w:rsidR="009D202F" w:rsidRPr="006E5D6A">
              <w:rPr>
                <w:rStyle w:val="Hyperlink"/>
              </w:rPr>
              <w:t>4.</w:t>
            </w:r>
            <w:r w:rsidR="009D202F">
              <w:rPr>
                <w:rFonts w:asciiTheme="minorHAnsi" w:eastAsiaTheme="minorEastAsia" w:hAnsiTheme="minorHAnsi" w:cstheme="minorBidi"/>
                <w:b w:val="0"/>
                <w:color w:val="auto"/>
              </w:rPr>
              <w:tab/>
            </w:r>
            <w:r w:rsidR="009D202F" w:rsidRPr="006E5D6A">
              <w:rPr>
                <w:rStyle w:val="Hyperlink"/>
              </w:rPr>
              <w:t>Issues for discussion</w:t>
            </w:r>
            <w:r w:rsidR="009D202F">
              <w:rPr>
                <w:webHidden/>
              </w:rPr>
              <w:tab/>
            </w:r>
            <w:r w:rsidR="009D202F">
              <w:rPr>
                <w:webHidden/>
              </w:rPr>
              <w:fldChar w:fldCharType="begin"/>
            </w:r>
            <w:r w:rsidR="009D202F">
              <w:rPr>
                <w:webHidden/>
              </w:rPr>
              <w:instrText xml:space="preserve"> PAGEREF _Toc529957604 \h </w:instrText>
            </w:r>
            <w:r w:rsidR="009D202F">
              <w:rPr>
                <w:webHidden/>
              </w:rPr>
            </w:r>
            <w:r w:rsidR="009D202F">
              <w:rPr>
                <w:webHidden/>
              </w:rPr>
              <w:fldChar w:fldCharType="separate"/>
            </w:r>
            <w:r w:rsidR="009D202F">
              <w:rPr>
                <w:webHidden/>
              </w:rPr>
              <w:t>7</w:t>
            </w:r>
            <w:r w:rsidR="009D202F">
              <w:rPr>
                <w:webHidden/>
              </w:rPr>
              <w:fldChar w:fldCharType="end"/>
            </w:r>
          </w:hyperlink>
        </w:p>
        <w:p w14:paraId="0C1FA928" w14:textId="77777777" w:rsidR="009D202F" w:rsidRDefault="00E253FC">
          <w:pPr>
            <w:pStyle w:val="TOC2"/>
            <w:tabs>
              <w:tab w:val="left" w:pos="660"/>
            </w:tabs>
            <w:rPr>
              <w:rFonts w:asciiTheme="minorHAnsi" w:eastAsiaTheme="minorEastAsia" w:hAnsiTheme="minorHAnsi" w:cstheme="minorBidi"/>
              <w:color w:val="auto"/>
              <w:szCs w:val="22"/>
            </w:rPr>
          </w:pPr>
          <w:hyperlink w:anchor="_Toc529957605" w:history="1">
            <w:r w:rsidR="009D202F" w:rsidRPr="006E5D6A">
              <w:rPr>
                <w:rStyle w:val="Hyperlink"/>
              </w:rPr>
              <w:t>4.1</w:t>
            </w:r>
            <w:r w:rsidR="009D202F">
              <w:rPr>
                <w:rFonts w:asciiTheme="minorHAnsi" w:eastAsiaTheme="minorEastAsia" w:hAnsiTheme="minorHAnsi" w:cstheme="minorBidi"/>
                <w:color w:val="auto"/>
                <w:szCs w:val="22"/>
              </w:rPr>
              <w:tab/>
            </w:r>
            <w:r w:rsidR="009D202F" w:rsidRPr="006E5D6A">
              <w:rPr>
                <w:rStyle w:val="Hyperlink"/>
              </w:rPr>
              <w:t>Thresholds</w:t>
            </w:r>
            <w:r w:rsidR="009D202F">
              <w:rPr>
                <w:webHidden/>
              </w:rPr>
              <w:tab/>
            </w:r>
            <w:r w:rsidR="009D202F">
              <w:rPr>
                <w:webHidden/>
              </w:rPr>
              <w:fldChar w:fldCharType="begin"/>
            </w:r>
            <w:r w:rsidR="009D202F">
              <w:rPr>
                <w:webHidden/>
              </w:rPr>
              <w:instrText xml:space="preserve"> PAGEREF _Toc529957605 \h </w:instrText>
            </w:r>
            <w:r w:rsidR="009D202F">
              <w:rPr>
                <w:webHidden/>
              </w:rPr>
            </w:r>
            <w:r w:rsidR="009D202F">
              <w:rPr>
                <w:webHidden/>
              </w:rPr>
              <w:fldChar w:fldCharType="separate"/>
            </w:r>
            <w:r w:rsidR="009D202F">
              <w:rPr>
                <w:webHidden/>
              </w:rPr>
              <w:t>7</w:t>
            </w:r>
            <w:r w:rsidR="009D202F">
              <w:rPr>
                <w:webHidden/>
              </w:rPr>
              <w:fldChar w:fldCharType="end"/>
            </w:r>
          </w:hyperlink>
        </w:p>
        <w:p w14:paraId="35A91D4D" w14:textId="77777777" w:rsidR="009D202F" w:rsidRDefault="00E253FC">
          <w:pPr>
            <w:pStyle w:val="TOC3"/>
            <w:rPr>
              <w:rFonts w:asciiTheme="minorHAnsi" w:eastAsiaTheme="minorEastAsia" w:hAnsiTheme="minorHAnsi" w:cstheme="minorBidi"/>
              <w:color w:val="auto"/>
              <w:szCs w:val="22"/>
            </w:rPr>
          </w:pPr>
          <w:hyperlink w:anchor="_Toc529957606" w:history="1">
            <w:r w:rsidR="009D202F" w:rsidRPr="006E5D6A">
              <w:rPr>
                <w:rStyle w:val="Hyperlink"/>
              </w:rPr>
              <w:t>Number of employees</w:t>
            </w:r>
            <w:r w:rsidR="009D202F">
              <w:rPr>
                <w:webHidden/>
              </w:rPr>
              <w:tab/>
            </w:r>
            <w:r w:rsidR="009D202F">
              <w:rPr>
                <w:webHidden/>
              </w:rPr>
              <w:fldChar w:fldCharType="begin"/>
            </w:r>
            <w:r w:rsidR="009D202F">
              <w:rPr>
                <w:webHidden/>
              </w:rPr>
              <w:instrText xml:space="preserve"> PAGEREF _Toc529957606 \h </w:instrText>
            </w:r>
            <w:r w:rsidR="009D202F">
              <w:rPr>
                <w:webHidden/>
              </w:rPr>
            </w:r>
            <w:r w:rsidR="009D202F">
              <w:rPr>
                <w:webHidden/>
              </w:rPr>
              <w:fldChar w:fldCharType="separate"/>
            </w:r>
            <w:r w:rsidR="009D202F">
              <w:rPr>
                <w:webHidden/>
              </w:rPr>
              <w:t>7</w:t>
            </w:r>
            <w:r w:rsidR="009D202F">
              <w:rPr>
                <w:webHidden/>
              </w:rPr>
              <w:fldChar w:fldCharType="end"/>
            </w:r>
          </w:hyperlink>
        </w:p>
        <w:p w14:paraId="33D5EE89" w14:textId="77777777" w:rsidR="009D202F" w:rsidRDefault="00E253FC">
          <w:pPr>
            <w:pStyle w:val="TOC3"/>
            <w:rPr>
              <w:rFonts w:asciiTheme="minorHAnsi" w:eastAsiaTheme="minorEastAsia" w:hAnsiTheme="minorHAnsi" w:cstheme="minorBidi"/>
              <w:color w:val="auto"/>
              <w:szCs w:val="22"/>
            </w:rPr>
          </w:pPr>
          <w:hyperlink w:anchor="_Toc529957607" w:history="1">
            <w:r w:rsidR="009D202F" w:rsidRPr="006E5D6A">
              <w:rPr>
                <w:rStyle w:val="Hyperlink"/>
              </w:rPr>
              <w:t>Monetary value of a contract</w:t>
            </w:r>
            <w:r w:rsidR="009D202F">
              <w:rPr>
                <w:webHidden/>
              </w:rPr>
              <w:tab/>
            </w:r>
            <w:r w:rsidR="009D202F">
              <w:rPr>
                <w:webHidden/>
              </w:rPr>
              <w:fldChar w:fldCharType="begin"/>
            </w:r>
            <w:r w:rsidR="009D202F">
              <w:rPr>
                <w:webHidden/>
              </w:rPr>
              <w:instrText xml:space="preserve"> PAGEREF _Toc529957607 \h </w:instrText>
            </w:r>
            <w:r w:rsidR="009D202F">
              <w:rPr>
                <w:webHidden/>
              </w:rPr>
            </w:r>
            <w:r w:rsidR="009D202F">
              <w:rPr>
                <w:webHidden/>
              </w:rPr>
              <w:fldChar w:fldCharType="separate"/>
            </w:r>
            <w:r w:rsidR="009D202F">
              <w:rPr>
                <w:webHidden/>
              </w:rPr>
              <w:t>8</w:t>
            </w:r>
            <w:r w:rsidR="009D202F">
              <w:rPr>
                <w:webHidden/>
              </w:rPr>
              <w:fldChar w:fldCharType="end"/>
            </w:r>
          </w:hyperlink>
        </w:p>
        <w:p w14:paraId="312CD643" w14:textId="77777777" w:rsidR="009D202F" w:rsidRDefault="00E253FC">
          <w:pPr>
            <w:pStyle w:val="TOC2"/>
            <w:tabs>
              <w:tab w:val="left" w:pos="660"/>
            </w:tabs>
            <w:rPr>
              <w:rFonts w:asciiTheme="minorHAnsi" w:eastAsiaTheme="minorEastAsia" w:hAnsiTheme="minorHAnsi" w:cstheme="minorBidi"/>
              <w:color w:val="auto"/>
              <w:szCs w:val="22"/>
            </w:rPr>
          </w:pPr>
          <w:hyperlink w:anchor="_Toc529957608" w:history="1">
            <w:r w:rsidR="009D202F" w:rsidRPr="006E5D6A">
              <w:rPr>
                <w:rStyle w:val="Hyperlink"/>
              </w:rPr>
              <w:t>4.2</w:t>
            </w:r>
            <w:r w:rsidR="009D202F">
              <w:rPr>
                <w:rFonts w:asciiTheme="minorHAnsi" w:eastAsiaTheme="minorEastAsia" w:hAnsiTheme="minorHAnsi" w:cstheme="minorBidi"/>
                <w:color w:val="auto"/>
                <w:szCs w:val="22"/>
              </w:rPr>
              <w:tab/>
            </w:r>
            <w:r w:rsidR="009D202F" w:rsidRPr="006E5D6A">
              <w:rPr>
                <w:rStyle w:val="Hyperlink"/>
              </w:rPr>
              <w:t>Coverage</w:t>
            </w:r>
            <w:r w:rsidR="009D202F">
              <w:rPr>
                <w:webHidden/>
              </w:rPr>
              <w:tab/>
            </w:r>
            <w:r w:rsidR="009D202F">
              <w:rPr>
                <w:webHidden/>
              </w:rPr>
              <w:fldChar w:fldCharType="begin"/>
            </w:r>
            <w:r w:rsidR="009D202F">
              <w:rPr>
                <w:webHidden/>
              </w:rPr>
              <w:instrText xml:space="preserve"> PAGEREF _Toc529957608 \h </w:instrText>
            </w:r>
            <w:r w:rsidR="009D202F">
              <w:rPr>
                <w:webHidden/>
              </w:rPr>
            </w:r>
            <w:r w:rsidR="009D202F">
              <w:rPr>
                <w:webHidden/>
              </w:rPr>
              <w:fldChar w:fldCharType="separate"/>
            </w:r>
            <w:r w:rsidR="009D202F">
              <w:rPr>
                <w:webHidden/>
              </w:rPr>
              <w:t>8</w:t>
            </w:r>
            <w:r w:rsidR="009D202F">
              <w:rPr>
                <w:webHidden/>
              </w:rPr>
              <w:fldChar w:fldCharType="end"/>
            </w:r>
          </w:hyperlink>
        </w:p>
        <w:p w14:paraId="20248FAD" w14:textId="77777777" w:rsidR="009D202F" w:rsidRDefault="00E253FC">
          <w:pPr>
            <w:pStyle w:val="TOC2"/>
            <w:tabs>
              <w:tab w:val="left" w:pos="660"/>
            </w:tabs>
            <w:rPr>
              <w:rFonts w:asciiTheme="minorHAnsi" w:eastAsiaTheme="minorEastAsia" w:hAnsiTheme="minorHAnsi" w:cstheme="minorBidi"/>
              <w:color w:val="auto"/>
              <w:szCs w:val="22"/>
            </w:rPr>
          </w:pPr>
          <w:hyperlink w:anchor="_Toc529957609" w:history="1">
            <w:r w:rsidR="009D202F" w:rsidRPr="006E5D6A">
              <w:rPr>
                <w:rStyle w:val="Hyperlink"/>
              </w:rPr>
              <w:t>4.3</w:t>
            </w:r>
            <w:r w:rsidR="009D202F">
              <w:rPr>
                <w:rFonts w:asciiTheme="minorHAnsi" w:eastAsiaTheme="minorEastAsia" w:hAnsiTheme="minorHAnsi" w:cstheme="minorBidi"/>
                <w:color w:val="auto"/>
                <w:szCs w:val="22"/>
              </w:rPr>
              <w:tab/>
            </w:r>
            <w:r w:rsidR="009D202F" w:rsidRPr="006E5D6A">
              <w:rPr>
                <w:rStyle w:val="Hyperlink"/>
              </w:rPr>
              <w:t>Exemptions</w:t>
            </w:r>
            <w:r w:rsidR="009D202F">
              <w:rPr>
                <w:webHidden/>
              </w:rPr>
              <w:tab/>
            </w:r>
            <w:r w:rsidR="009D202F">
              <w:rPr>
                <w:webHidden/>
              </w:rPr>
              <w:fldChar w:fldCharType="begin"/>
            </w:r>
            <w:r w:rsidR="009D202F">
              <w:rPr>
                <w:webHidden/>
              </w:rPr>
              <w:instrText xml:space="preserve"> PAGEREF _Toc529957609 \h </w:instrText>
            </w:r>
            <w:r w:rsidR="009D202F">
              <w:rPr>
                <w:webHidden/>
              </w:rPr>
            </w:r>
            <w:r w:rsidR="009D202F">
              <w:rPr>
                <w:webHidden/>
              </w:rPr>
              <w:fldChar w:fldCharType="separate"/>
            </w:r>
            <w:r w:rsidR="009D202F">
              <w:rPr>
                <w:webHidden/>
              </w:rPr>
              <w:t>9</w:t>
            </w:r>
            <w:r w:rsidR="009D202F">
              <w:rPr>
                <w:webHidden/>
              </w:rPr>
              <w:fldChar w:fldCharType="end"/>
            </w:r>
          </w:hyperlink>
        </w:p>
        <w:p w14:paraId="35A89054" w14:textId="77777777" w:rsidR="009D202F" w:rsidRDefault="00E253FC">
          <w:pPr>
            <w:pStyle w:val="TOC2"/>
            <w:tabs>
              <w:tab w:val="left" w:pos="660"/>
            </w:tabs>
            <w:rPr>
              <w:rFonts w:asciiTheme="minorHAnsi" w:eastAsiaTheme="minorEastAsia" w:hAnsiTheme="minorHAnsi" w:cstheme="minorBidi"/>
              <w:color w:val="auto"/>
              <w:szCs w:val="22"/>
            </w:rPr>
          </w:pPr>
          <w:hyperlink w:anchor="_Toc529957610" w:history="1">
            <w:r w:rsidR="009D202F" w:rsidRPr="006E5D6A">
              <w:rPr>
                <w:rStyle w:val="Hyperlink"/>
              </w:rPr>
              <w:t>4.4</w:t>
            </w:r>
            <w:r w:rsidR="009D202F">
              <w:rPr>
                <w:rFonts w:asciiTheme="minorHAnsi" w:eastAsiaTheme="minorEastAsia" w:hAnsiTheme="minorHAnsi" w:cstheme="minorBidi"/>
                <w:color w:val="auto"/>
                <w:szCs w:val="22"/>
              </w:rPr>
              <w:tab/>
            </w:r>
            <w:r w:rsidR="009D202F" w:rsidRPr="006E5D6A">
              <w:rPr>
                <w:rStyle w:val="Hyperlink"/>
              </w:rPr>
              <w:t>Overall effect</w:t>
            </w:r>
            <w:r w:rsidR="009D202F">
              <w:rPr>
                <w:webHidden/>
              </w:rPr>
              <w:tab/>
            </w:r>
            <w:r w:rsidR="009D202F">
              <w:rPr>
                <w:webHidden/>
              </w:rPr>
              <w:fldChar w:fldCharType="begin"/>
            </w:r>
            <w:r w:rsidR="009D202F">
              <w:rPr>
                <w:webHidden/>
              </w:rPr>
              <w:instrText xml:space="preserve"> PAGEREF _Toc529957610 \h </w:instrText>
            </w:r>
            <w:r w:rsidR="009D202F">
              <w:rPr>
                <w:webHidden/>
              </w:rPr>
            </w:r>
            <w:r w:rsidR="009D202F">
              <w:rPr>
                <w:webHidden/>
              </w:rPr>
              <w:fldChar w:fldCharType="separate"/>
            </w:r>
            <w:r w:rsidR="009D202F">
              <w:rPr>
                <w:webHidden/>
              </w:rPr>
              <w:t>10</w:t>
            </w:r>
            <w:r w:rsidR="009D202F">
              <w:rPr>
                <w:webHidden/>
              </w:rPr>
              <w:fldChar w:fldCharType="end"/>
            </w:r>
          </w:hyperlink>
        </w:p>
        <w:p w14:paraId="1EB5AE00" w14:textId="77777777" w:rsidR="009D202F" w:rsidRDefault="00E253FC">
          <w:pPr>
            <w:pStyle w:val="TOC3"/>
            <w:rPr>
              <w:rFonts w:asciiTheme="minorHAnsi" w:eastAsiaTheme="minorEastAsia" w:hAnsiTheme="minorHAnsi" w:cstheme="minorBidi"/>
              <w:color w:val="auto"/>
              <w:szCs w:val="22"/>
            </w:rPr>
          </w:pPr>
          <w:hyperlink w:anchor="_Toc529957611" w:history="1">
            <w:r w:rsidR="009D202F" w:rsidRPr="006E5D6A">
              <w:rPr>
                <w:rStyle w:val="Hyperlink"/>
              </w:rPr>
              <w:t>Australian Competition and Consumer Commission</w:t>
            </w:r>
            <w:r w:rsidR="009D202F">
              <w:rPr>
                <w:webHidden/>
              </w:rPr>
              <w:tab/>
            </w:r>
            <w:r w:rsidR="009D202F">
              <w:rPr>
                <w:webHidden/>
              </w:rPr>
              <w:fldChar w:fldCharType="begin"/>
            </w:r>
            <w:r w:rsidR="009D202F">
              <w:rPr>
                <w:webHidden/>
              </w:rPr>
              <w:instrText xml:space="preserve"> PAGEREF _Toc529957611 \h </w:instrText>
            </w:r>
            <w:r w:rsidR="009D202F">
              <w:rPr>
                <w:webHidden/>
              </w:rPr>
            </w:r>
            <w:r w:rsidR="009D202F">
              <w:rPr>
                <w:webHidden/>
              </w:rPr>
              <w:fldChar w:fldCharType="separate"/>
            </w:r>
            <w:r w:rsidR="009D202F">
              <w:rPr>
                <w:webHidden/>
              </w:rPr>
              <w:t>10</w:t>
            </w:r>
            <w:r w:rsidR="009D202F">
              <w:rPr>
                <w:webHidden/>
              </w:rPr>
              <w:fldChar w:fldCharType="end"/>
            </w:r>
          </w:hyperlink>
        </w:p>
        <w:p w14:paraId="3AE0F46A" w14:textId="77777777" w:rsidR="009D202F" w:rsidRDefault="00E253FC">
          <w:pPr>
            <w:pStyle w:val="TOC3"/>
            <w:rPr>
              <w:rFonts w:asciiTheme="minorHAnsi" w:eastAsiaTheme="minorEastAsia" w:hAnsiTheme="minorHAnsi" w:cstheme="minorBidi"/>
              <w:color w:val="auto"/>
              <w:szCs w:val="22"/>
            </w:rPr>
          </w:pPr>
          <w:hyperlink w:anchor="_Toc529957612" w:history="1">
            <w:r w:rsidR="009D202F" w:rsidRPr="006E5D6A">
              <w:rPr>
                <w:rStyle w:val="Hyperlink"/>
              </w:rPr>
              <w:t>Australian Securities and Investments Commission</w:t>
            </w:r>
            <w:r w:rsidR="009D202F">
              <w:rPr>
                <w:webHidden/>
              </w:rPr>
              <w:tab/>
            </w:r>
            <w:r w:rsidR="009D202F">
              <w:rPr>
                <w:webHidden/>
              </w:rPr>
              <w:fldChar w:fldCharType="begin"/>
            </w:r>
            <w:r w:rsidR="009D202F">
              <w:rPr>
                <w:webHidden/>
              </w:rPr>
              <w:instrText xml:space="preserve"> PAGEREF _Toc529957612 \h </w:instrText>
            </w:r>
            <w:r w:rsidR="009D202F">
              <w:rPr>
                <w:webHidden/>
              </w:rPr>
            </w:r>
            <w:r w:rsidR="009D202F">
              <w:rPr>
                <w:webHidden/>
              </w:rPr>
              <w:fldChar w:fldCharType="separate"/>
            </w:r>
            <w:r w:rsidR="009D202F">
              <w:rPr>
                <w:webHidden/>
              </w:rPr>
              <w:t>11</w:t>
            </w:r>
            <w:r w:rsidR="009D202F">
              <w:rPr>
                <w:webHidden/>
              </w:rPr>
              <w:fldChar w:fldCharType="end"/>
            </w:r>
          </w:hyperlink>
        </w:p>
        <w:p w14:paraId="630D6C1C" w14:textId="77777777" w:rsidR="009D202F" w:rsidRDefault="00E253FC">
          <w:pPr>
            <w:pStyle w:val="TOC3"/>
            <w:rPr>
              <w:rFonts w:asciiTheme="minorHAnsi" w:eastAsiaTheme="minorEastAsia" w:hAnsiTheme="minorHAnsi" w:cstheme="minorBidi"/>
              <w:color w:val="auto"/>
              <w:szCs w:val="22"/>
            </w:rPr>
          </w:pPr>
          <w:hyperlink w:anchor="_Toc529957613" w:history="1">
            <w:r w:rsidR="009D202F" w:rsidRPr="006E5D6A">
              <w:rPr>
                <w:rStyle w:val="Hyperlink"/>
              </w:rPr>
              <w:t>Examples of unfair terms</w:t>
            </w:r>
            <w:r w:rsidR="009D202F">
              <w:rPr>
                <w:webHidden/>
              </w:rPr>
              <w:tab/>
            </w:r>
            <w:r w:rsidR="009D202F">
              <w:rPr>
                <w:webHidden/>
              </w:rPr>
              <w:fldChar w:fldCharType="begin"/>
            </w:r>
            <w:r w:rsidR="009D202F">
              <w:rPr>
                <w:webHidden/>
              </w:rPr>
              <w:instrText xml:space="preserve"> PAGEREF _Toc529957613 \h </w:instrText>
            </w:r>
            <w:r w:rsidR="009D202F">
              <w:rPr>
                <w:webHidden/>
              </w:rPr>
            </w:r>
            <w:r w:rsidR="009D202F">
              <w:rPr>
                <w:webHidden/>
              </w:rPr>
              <w:fldChar w:fldCharType="separate"/>
            </w:r>
            <w:r w:rsidR="009D202F">
              <w:rPr>
                <w:webHidden/>
              </w:rPr>
              <w:t>11</w:t>
            </w:r>
            <w:r w:rsidR="009D202F">
              <w:rPr>
                <w:webHidden/>
              </w:rPr>
              <w:fldChar w:fldCharType="end"/>
            </w:r>
          </w:hyperlink>
        </w:p>
        <w:p w14:paraId="69AEEEE2" w14:textId="23E7CF37" w:rsidR="000E0B74" w:rsidRPr="00054B50" w:rsidRDefault="00C573EE" w:rsidP="00054B50">
          <w:pPr>
            <w:sectPr w:rsidR="000E0B74" w:rsidRPr="00054B50" w:rsidSect="007151A0">
              <w:pgSz w:w="11906" w:h="16838" w:code="9"/>
              <w:pgMar w:top="1418" w:right="1418" w:bottom="1418" w:left="1418" w:header="709" w:footer="709" w:gutter="0"/>
              <w:pgNumType w:fmt="lowerRoman"/>
              <w:cols w:space="708"/>
              <w:titlePg/>
              <w:docGrid w:linePitch="360"/>
            </w:sectPr>
          </w:pPr>
          <w:r>
            <w:rPr>
              <w:b/>
              <w:bCs/>
              <w:noProof/>
            </w:rPr>
            <w:fldChar w:fldCharType="end"/>
          </w:r>
        </w:p>
      </w:sdtContent>
    </w:sdt>
    <w:bookmarkEnd w:id="1" w:displacedByCustomXml="prev"/>
    <w:p w14:paraId="770F3EB9" w14:textId="2DFF10A8" w:rsidR="000E0B74" w:rsidRDefault="000E0B74" w:rsidP="008767EB">
      <w:pPr>
        <w:pStyle w:val="Heading1"/>
      </w:pPr>
      <w:bookmarkStart w:id="2" w:name="_Toc476214102"/>
      <w:bookmarkStart w:id="3" w:name="_Toc527630516"/>
      <w:bookmarkStart w:id="4" w:name="_Toc529957591"/>
      <w:bookmarkStart w:id="5" w:name="_Toc432067103"/>
      <w:r>
        <w:lastRenderedPageBreak/>
        <w:t xml:space="preserve">Consultation </w:t>
      </w:r>
      <w:r w:rsidRPr="008767EB">
        <w:t>Process</w:t>
      </w:r>
      <w:bookmarkEnd w:id="2"/>
      <w:bookmarkEnd w:id="3"/>
      <w:bookmarkEnd w:id="4"/>
    </w:p>
    <w:p w14:paraId="1EE62B42" w14:textId="77777777" w:rsidR="000E0B74" w:rsidRDefault="000E0B74" w:rsidP="008767EB">
      <w:pPr>
        <w:pStyle w:val="Heading2"/>
      </w:pPr>
      <w:bookmarkStart w:id="6" w:name="_Toc476214103"/>
      <w:bookmarkStart w:id="7" w:name="_Toc527377433"/>
      <w:bookmarkStart w:id="8" w:name="_Toc527470650"/>
      <w:bookmarkStart w:id="9" w:name="_Toc527541486"/>
      <w:bookmarkStart w:id="10" w:name="_Toc527541833"/>
      <w:bookmarkStart w:id="11" w:name="_Toc527630517"/>
      <w:bookmarkStart w:id="12" w:name="_Toc529957592"/>
      <w:r>
        <w:t xml:space="preserve">Request for </w:t>
      </w:r>
      <w:r w:rsidRPr="008767EB">
        <w:t>feedback</w:t>
      </w:r>
      <w:r>
        <w:t xml:space="preserve"> and comments</w:t>
      </w:r>
      <w:bookmarkEnd w:id="6"/>
      <w:bookmarkEnd w:id="7"/>
      <w:bookmarkEnd w:id="8"/>
      <w:bookmarkEnd w:id="9"/>
      <w:bookmarkEnd w:id="10"/>
      <w:bookmarkEnd w:id="11"/>
      <w:bookmarkEnd w:id="12"/>
    </w:p>
    <w:p w14:paraId="1C2ABBBC" w14:textId="7996F370" w:rsidR="00EE74B7" w:rsidRDefault="00EE74B7" w:rsidP="000E0B74">
      <w:r>
        <w:t>This consultat</w:t>
      </w:r>
      <w:r w:rsidR="0011388F">
        <w:t xml:space="preserve">ion </w:t>
      </w:r>
      <w:r w:rsidR="00BC0043">
        <w:t>paper invites</w:t>
      </w:r>
      <w:r>
        <w:t xml:space="preserve"> interested parties to provide feedback on the </w:t>
      </w:r>
      <w:r w:rsidR="00EA7868">
        <w:t xml:space="preserve">effectiveness of the extension of </w:t>
      </w:r>
      <w:r>
        <w:t xml:space="preserve">unfair contract term protections to small business. The consultation </w:t>
      </w:r>
      <w:r w:rsidR="00BC0043">
        <w:t xml:space="preserve">process </w:t>
      </w:r>
      <w:r>
        <w:t>will run for a period of four weeks. If you would like to make a written submission, please prov</w:t>
      </w:r>
      <w:r w:rsidR="008767EB">
        <w:t>ide it before the closing date.</w:t>
      </w:r>
    </w:p>
    <w:p w14:paraId="65DEEB08" w14:textId="06BBB21C" w:rsidR="00EE74B7" w:rsidRDefault="00EE74B7" w:rsidP="000E0B74">
      <w:r>
        <w:t xml:space="preserve">Throughout this paper there are questions for you to consider in your submission. There is no obligation to answer any or all of the questions. There is no limit to the length of submissions. </w:t>
      </w:r>
      <w:r w:rsidR="0065511B">
        <w:t>Submissions should be uploaded using the consu</w:t>
      </w:r>
      <w:bookmarkStart w:id="13" w:name="_GoBack"/>
      <w:bookmarkEnd w:id="13"/>
      <w:r w:rsidR="0065511B">
        <w:t>ltation page of the Treasury website. For accessibility reasons, please upload submission</w:t>
      </w:r>
      <w:r w:rsidR="008767EB">
        <w:t>s in a Word, RTF or PDF format.</w:t>
      </w:r>
    </w:p>
    <w:p w14:paraId="11C696BB" w14:textId="70342C52" w:rsidR="000E0B74" w:rsidRPr="006A1C91" w:rsidRDefault="007167BE" w:rsidP="006A1C91">
      <w:pPr>
        <w:pStyle w:val="Heading3noTOC"/>
      </w:pPr>
      <w:bookmarkStart w:id="14" w:name="_Toc527377434"/>
      <w:bookmarkStart w:id="15" w:name="_Toc527456215"/>
      <w:bookmarkStart w:id="16" w:name="_Toc527470651"/>
      <w:bookmarkStart w:id="17" w:name="_Toc527541487"/>
      <w:bookmarkStart w:id="18" w:name="_Toc527541834"/>
      <w:bookmarkStart w:id="19" w:name="_Toc527630518"/>
      <w:bookmarkStart w:id="20" w:name="_Toc529957593"/>
      <w:r w:rsidRPr="006A1C91">
        <w:t xml:space="preserve">Closing date for submissions: </w:t>
      </w:r>
      <w:r w:rsidR="00B157BC">
        <w:t>2</w:t>
      </w:r>
      <w:r w:rsidR="00B157BC" w:rsidRPr="00B157BC">
        <w:t>1</w:t>
      </w:r>
      <w:r w:rsidR="00C573EE" w:rsidRPr="00B157BC">
        <w:t xml:space="preserve"> </w:t>
      </w:r>
      <w:r w:rsidR="00E253FC">
        <w:t>Decem</w:t>
      </w:r>
      <w:r w:rsidR="00C573EE" w:rsidRPr="00B157BC">
        <w:t>ber 2018</w:t>
      </w:r>
      <w:bookmarkEnd w:id="14"/>
      <w:bookmarkEnd w:id="15"/>
      <w:bookmarkEnd w:id="16"/>
      <w:bookmarkEnd w:id="17"/>
      <w:bookmarkEnd w:id="18"/>
      <w:bookmarkEnd w:id="19"/>
      <w:bookmarkEnd w:id="20"/>
    </w:p>
    <w:tbl>
      <w:tblPr>
        <w:tblStyle w:val="TableGrid"/>
        <w:tblW w:w="0" w:type="auto"/>
        <w:tblLook w:val="04A0" w:firstRow="1" w:lastRow="0" w:firstColumn="1" w:lastColumn="0" w:noHBand="0" w:noVBand="1"/>
      </w:tblPr>
      <w:tblGrid>
        <w:gridCol w:w="1526"/>
        <w:gridCol w:w="7654"/>
      </w:tblGrid>
      <w:tr w:rsidR="000E0B74" w:rsidRPr="00B85F47" w14:paraId="02A9B90F" w14:textId="77777777" w:rsidTr="00B85F47">
        <w:tc>
          <w:tcPr>
            <w:tcW w:w="1526" w:type="dxa"/>
            <w:shd w:val="clear" w:color="auto" w:fill="auto"/>
          </w:tcPr>
          <w:p w14:paraId="0C939FF5" w14:textId="77777777" w:rsidR="000E0B74" w:rsidRPr="00B85F47" w:rsidRDefault="000E0B74" w:rsidP="0017089D">
            <w:pPr>
              <w:rPr>
                <w:sz w:val="22"/>
                <w:szCs w:val="22"/>
              </w:rPr>
            </w:pPr>
            <w:r w:rsidRPr="00B85F47">
              <w:rPr>
                <w:sz w:val="22"/>
                <w:szCs w:val="22"/>
              </w:rPr>
              <w:t>Mail</w:t>
            </w:r>
          </w:p>
          <w:p w14:paraId="166C1F2C" w14:textId="77777777" w:rsidR="008D7F38" w:rsidRPr="00B85F47" w:rsidRDefault="008D7F38" w:rsidP="0017089D">
            <w:pPr>
              <w:rPr>
                <w:sz w:val="22"/>
                <w:szCs w:val="22"/>
              </w:rPr>
            </w:pPr>
          </w:p>
          <w:p w14:paraId="4CF4920E" w14:textId="77777777" w:rsidR="008D7F38" w:rsidRPr="00B85F47" w:rsidRDefault="008D7F38" w:rsidP="0017089D">
            <w:pPr>
              <w:rPr>
                <w:sz w:val="22"/>
                <w:szCs w:val="22"/>
              </w:rPr>
            </w:pPr>
          </w:p>
        </w:tc>
        <w:tc>
          <w:tcPr>
            <w:tcW w:w="7654" w:type="dxa"/>
            <w:shd w:val="clear" w:color="auto" w:fill="auto"/>
          </w:tcPr>
          <w:p w14:paraId="5D941054" w14:textId="42399230" w:rsidR="000E0B74" w:rsidRPr="006D7EF1" w:rsidRDefault="0065511B" w:rsidP="0017089D">
            <w:pPr>
              <w:pStyle w:val="SingleParagraph"/>
              <w:rPr>
                <w:rFonts w:cs="Arial"/>
                <w:sz w:val="22"/>
                <w:szCs w:val="22"/>
              </w:rPr>
            </w:pPr>
            <w:r w:rsidRPr="006D7EF1">
              <w:rPr>
                <w:rFonts w:cs="Arial"/>
                <w:sz w:val="22"/>
                <w:szCs w:val="22"/>
              </w:rPr>
              <w:t>Manager</w:t>
            </w:r>
          </w:p>
          <w:p w14:paraId="14436047" w14:textId="00DBA703" w:rsidR="000E0B74" w:rsidRPr="006D7EF1" w:rsidRDefault="0065511B" w:rsidP="0017089D">
            <w:pPr>
              <w:pStyle w:val="SingleParagraph"/>
              <w:rPr>
                <w:rFonts w:cs="Arial"/>
                <w:sz w:val="22"/>
                <w:szCs w:val="22"/>
              </w:rPr>
            </w:pPr>
            <w:r w:rsidRPr="006D7EF1">
              <w:rPr>
                <w:rFonts w:cs="Arial"/>
                <w:sz w:val="22"/>
                <w:szCs w:val="22"/>
              </w:rPr>
              <w:t>Unfair Contract Terms Review</w:t>
            </w:r>
          </w:p>
          <w:p w14:paraId="5FCAC45A" w14:textId="6B326663" w:rsidR="0065511B" w:rsidRPr="006D7EF1" w:rsidRDefault="0065511B" w:rsidP="0017089D">
            <w:pPr>
              <w:pStyle w:val="SingleParagraph"/>
              <w:rPr>
                <w:rFonts w:cs="Arial"/>
                <w:sz w:val="22"/>
                <w:szCs w:val="22"/>
              </w:rPr>
            </w:pPr>
            <w:r w:rsidRPr="006D7EF1">
              <w:rPr>
                <w:rFonts w:cs="Arial"/>
                <w:sz w:val="22"/>
                <w:szCs w:val="22"/>
              </w:rPr>
              <w:t xml:space="preserve">Consumer and Corporations Policy Division </w:t>
            </w:r>
          </w:p>
          <w:p w14:paraId="77D13DA2" w14:textId="77777777" w:rsidR="000E0B74" w:rsidRPr="00B85F47" w:rsidRDefault="000E0B74" w:rsidP="0017089D">
            <w:pPr>
              <w:pStyle w:val="SingleParagraph"/>
              <w:rPr>
                <w:rFonts w:cs="Arial"/>
                <w:sz w:val="22"/>
                <w:szCs w:val="22"/>
              </w:rPr>
            </w:pPr>
            <w:r w:rsidRPr="00B85F47">
              <w:rPr>
                <w:rFonts w:cs="Arial"/>
                <w:sz w:val="22"/>
                <w:szCs w:val="22"/>
              </w:rPr>
              <w:t>The Treasury</w:t>
            </w:r>
          </w:p>
          <w:p w14:paraId="313678BF" w14:textId="77777777" w:rsidR="000E0B74" w:rsidRPr="00B85F47" w:rsidRDefault="000E0B74" w:rsidP="0017089D">
            <w:pPr>
              <w:pStyle w:val="SingleParagraph"/>
              <w:rPr>
                <w:rFonts w:cs="Arial"/>
                <w:sz w:val="22"/>
                <w:szCs w:val="22"/>
              </w:rPr>
            </w:pPr>
            <w:r w:rsidRPr="00B85F47">
              <w:rPr>
                <w:rFonts w:cs="Arial"/>
                <w:sz w:val="22"/>
                <w:szCs w:val="22"/>
              </w:rPr>
              <w:t>Langton Crescent</w:t>
            </w:r>
          </w:p>
          <w:p w14:paraId="11C30BD6" w14:textId="77777777" w:rsidR="000E0B74" w:rsidRPr="00B85F47" w:rsidRDefault="000E0B74" w:rsidP="0017089D">
            <w:pPr>
              <w:pStyle w:val="SingleParagraph"/>
              <w:rPr>
                <w:sz w:val="22"/>
                <w:szCs w:val="22"/>
              </w:rPr>
            </w:pPr>
            <w:r w:rsidRPr="00B85F47">
              <w:rPr>
                <w:sz w:val="22"/>
                <w:szCs w:val="22"/>
              </w:rPr>
              <w:t>PARKES ACT 2600</w:t>
            </w:r>
          </w:p>
        </w:tc>
      </w:tr>
      <w:tr w:rsidR="000E0B74" w:rsidRPr="00B85F47" w14:paraId="7387397B" w14:textId="77777777" w:rsidTr="00B85F47">
        <w:tc>
          <w:tcPr>
            <w:tcW w:w="1526" w:type="dxa"/>
            <w:shd w:val="clear" w:color="auto" w:fill="auto"/>
          </w:tcPr>
          <w:p w14:paraId="442D1D49" w14:textId="77777777" w:rsidR="000E0B74" w:rsidRPr="00B85F47" w:rsidRDefault="000E0B74" w:rsidP="0017089D">
            <w:pPr>
              <w:rPr>
                <w:sz w:val="22"/>
                <w:szCs w:val="22"/>
              </w:rPr>
            </w:pPr>
            <w:r w:rsidRPr="00B85F47">
              <w:rPr>
                <w:sz w:val="22"/>
                <w:szCs w:val="22"/>
              </w:rPr>
              <w:t>Enquiries</w:t>
            </w:r>
          </w:p>
        </w:tc>
        <w:tc>
          <w:tcPr>
            <w:tcW w:w="7654" w:type="dxa"/>
            <w:shd w:val="clear" w:color="auto" w:fill="auto"/>
          </w:tcPr>
          <w:p w14:paraId="11C95324" w14:textId="5E053808" w:rsidR="000E0B74" w:rsidRPr="006D7EF1" w:rsidRDefault="00E253FC" w:rsidP="0017089D">
            <w:pPr>
              <w:rPr>
                <w:sz w:val="22"/>
                <w:szCs w:val="22"/>
              </w:rPr>
            </w:pPr>
            <w:hyperlink r:id="rId25" w:history="1">
              <w:r w:rsidR="0065511B" w:rsidRPr="006D7EF1">
                <w:rPr>
                  <w:rStyle w:val="Hyperlink"/>
                  <w:rFonts w:cs="Arial"/>
                  <w:sz w:val="22"/>
                  <w:szCs w:val="22"/>
                </w:rPr>
                <w:t>consumerlaw@treasury.gov.au</w:t>
              </w:r>
            </w:hyperlink>
          </w:p>
        </w:tc>
      </w:tr>
      <w:tr w:rsidR="000E0B74" w:rsidRPr="00B85F47" w14:paraId="405FE8D2" w14:textId="77777777" w:rsidTr="00B85F47">
        <w:tc>
          <w:tcPr>
            <w:tcW w:w="1526" w:type="dxa"/>
            <w:shd w:val="clear" w:color="auto" w:fill="auto"/>
          </w:tcPr>
          <w:p w14:paraId="25B526BC" w14:textId="77777777" w:rsidR="000E0B74" w:rsidRPr="00B85F47" w:rsidRDefault="000E0B74" w:rsidP="0017089D">
            <w:pPr>
              <w:rPr>
                <w:sz w:val="22"/>
                <w:szCs w:val="22"/>
              </w:rPr>
            </w:pPr>
            <w:r w:rsidRPr="00B85F47">
              <w:rPr>
                <w:sz w:val="22"/>
                <w:szCs w:val="22"/>
              </w:rPr>
              <w:t>Phone</w:t>
            </w:r>
          </w:p>
        </w:tc>
        <w:tc>
          <w:tcPr>
            <w:tcW w:w="7654" w:type="dxa"/>
            <w:shd w:val="clear" w:color="auto" w:fill="auto"/>
          </w:tcPr>
          <w:p w14:paraId="319BC84C" w14:textId="327DB28B" w:rsidR="000E0B74" w:rsidRPr="00B85F47" w:rsidRDefault="000E0B74" w:rsidP="0065511B">
            <w:pPr>
              <w:rPr>
                <w:sz w:val="22"/>
                <w:szCs w:val="22"/>
              </w:rPr>
            </w:pPr>
            <w:r w:rsidRPr="00B85F47">
              <w:rPr>
                <w:rFonts w:cs="Arial"/>
                <w:sz w:val="22"/>
                <w:szCs w:val="22"/>
              </w:rPr>
              <w:t xml:space="preserve">02 6263 </w:t>
            </w:r>
            <w:r w:rsidR="0065511B">
              <w:rPr>
                <w:sz w:val="22"/>
              </w:rPr>
              <w:t>2111</w:t>
            </w:r>
          </w:p>
        </w:tc>
      </w:tr>
    </w:tbl>
    <w:bookmarkEnd w:id="5"/>
    <w:p w14:paraId="3CD3BC23" w14:textId="58BB4CE4" w:rsidR="0065511B" w:rsidRDefault="0065511B" w:rsidP="0065511B">
      <w:pPr>
        <w:pStyle w:val="Default"/>
        <w:rPr>
          <w:sz w:val="22"/>
          <w:szCs w:val="22"/>
        </w:rPr>
      </w:pPr>
      <w:r>
        <w:rPr>
          <w:sz w:val="22"/>
          <w:szCs w:val="22"/>
        </w:rPr>
        <w:t xml:space="preserve">All information (including name and address details) contained in submissions will be made available to the public on the Treasury website, unless it is indicated that you would like all or part of your submission to remain confidential. Automatically generated confidentiality statements in emails do not suffice for this purpose. Respondents who would like part of their submissions to remain confidential should provide this information marked </w:t>
      </w:r>
      <w:r w:rsidR="008767EB">
        <w:rPr>
          <w:sz w:val="22"/>
          <w:szCs w:val="22"/>
        </w:rPr>
        <w:t>as such in a separate document.</w:t>
      </w:r>
    </w:p>
    <w:p w14:paraId="1E15C244" w14:textId="64BB6CAF" w:rsidR="00E10D39" w:rsidRPr="008767EB" w:rsidRDefault="0065511B" w:rsidP="008767EB">
      <w:r>
        <w:rPr>
          <w:szCs w:val="22"/>
        </w:rPr>
        <w:t xml:space="preserve">A request made under the </w:t>
      </w:r>
      <w:r>
        <w:rPr>
          <w:i/>
          <w:iCs/>
          <w:szCs w:val="22"/>
        </w:rPr>
        <w:t xml:space="preserve">Freedom of Information Act 1982 </w:t>
      </w:r>
      <w:r>
        <w:rPr>
          <w:szCs w:val="22"/>
        </w:rPr>
        <w:t>(Commonwealth) for a submission marked ‘confidential’ to be made available will be determined in accordance with that Act.</w:t>
      </w:r>
      <w:r w:rsidR="00E10D39">
        <w:br w:type="page"/>
      </w:r>
    </w:p>
    <w:p w14:paraId="43CA7721" w14:textId="406343B6" w:rsidR="000E0B74" w:rsidRDefault="000E0B74" w:rsidP="008767EB">
      <w:pPr>
        <w:pStyle w:val="Heading1Numbered"/>
      </w:pPr>
      <w:bookmarkStart w:id="21" w:name="_Toc306887371"/>
      <w:bookmarkStart w:id="22" w:name="_Toc432064635"/>
      <w:bookmarkStart w:id="23" w:name="_Toc476214105"/>
      <w:bookmarkStart w:id="24" w:name="_Toc527630519"/>
      <w:bookmarkStart w:id="25" w:name="_Toc529957594"/>
      <w:r>
        <w:lastRenderedPageBreak/>
        <w:t>Introduction</w:t>
      </w:r>
      <w:bookmarkEnd w:id="21"/>
      <w:bookmarkEnd w:id="22"/>
      <w:bookmarkEnd w:id="23"/>
      <w:bookmarkEnd w:id="24"/>
      <w:bookmarkEnd w:id="25"/>
    </w:p>
    <w:p w14:paraId="49491151" w14:textId="23C9AB1E" w:rsidR="000E0B74" w:rsidRDefault="00F87DA2" w:rsidP="008767EB">
      <w:pPr>
        <w:pStyle w:val="Heading2Numbered"/>
      </w:pPr>
      <w:bookmarkStart w:id="26" w:name="_Toc527630520"/>
      <w:bookmarkStart w:id="27" w:name="_Toc529957595"/>
      <w:r>
        <w:t xml:space="preserve">Unfair contract term </w:t>
      </w:r>
      <w:r w:rsidR="00AA05D4">
        <w:t>protections</w:t>
      </w:r>
      <w:bookmarkEnd w:id="26"/>
      <w:bookmarkEnd w:id="27"/>
    </w:p>
    <w:p w14:paraId="6968884E" w14:textId="07435F1D" w:rsidR="003F6526" w:rsidRDefault="00AA05D4" w:rsidP="000B580B">
      <w:r w:rsidRPr="007B0788">
        <w:t xml:space="preserve">On 1 July 2010, protections for consumers against </w:t>
      </w:r>
      <w:r w:rsidR="00497254">
        <w:t>unfair contract terms (</w:t>
      </w:r>
      <w:r w:rsidRPr="007B0788">
        <w:t>UCTs</w:t>
      </w:r>
      <w:r w:rsidR="00497254">
        <w:t>)</w:t>
      </w:r>
      <w:r w:rsidRPr="007B0788">
        <w:t xml:space="preserve"> in standard form contracts</w:t>
      </w:r>
      <w:r w:rsidR="00AD1343">
        <w:t xml:space="preserve"> </w:t>
      </w:r>
      <w:r w:rsidRPr="007B0788">
        <w:t xml:space="preserve">were introduced into </w:t>
      </w:r>
      <w:r w:rsidR="00497254">
        <w:t xml:space="preserve">the </w:t>
      </w:r>
      <w:r w:rsidRPr="007B0788">
        <w:rPr>
          <w:i/>
        </w:rPr>
        <w:t>Trade Practices Act 1974</w:t>
      </w:r>
      <w:r w:rsidRPr="007B0788">
        <w:t xml:space="preserve"> (now </w:t>
      </w:r>
      <w:r w:rsidR="005D20E0">
        <w:t xml:space="preserve">the </w:t>
      </w:r>
      <w:r w:rsidRPr="007B0788">
        <w:t>Australian Consumer Law (ACL))</w:t>
      </w:r>
      <w:r w:rsidRPr="007B0788">
        <w:rPr>
          <w:i/>
        </w:rPr>
        <w:t xml:space="preserve"> </w:t>
      </w:r>
      <w:r w:rsidR="00F87DA2" w:rsidRPr="007B0788">
        <w:t>and the</w:t>
      </w:r>
      <w:r w:rsidRPr="007B0788">
        <w:t xml:space="preserve"> </w:t>
      </w:r>
      <w:r w:rsidRPr="007B0788">
        <w:rPr>
          <w:i/>
        </w:rPr>
        <w:t>Australian Securities and Investments Commission Act 2001</w:t>
      </w:r>
      <w:r w:rsidR="005D20E0">
        <w:t xml:space="preserve"> (the ASIC Act</w:t>
      </w:r>
      <w:r w:rsidRPr="007B0788">
        <w:t>).</w:t>
      </w:r>
      <w:r w:rsidR="00AD1343">
        <w:t xml:space="preserve"> </w:t>
      </w:r>
      <w:r w:rsidR="003F6526">
        <w:t xml:space="preserve">This formed part of the response to the Productivity Commission’s 2008 </w:t>
      </w:r>
      <w:r w:rsidR="003F6526" w:rsidRPr="009A7C7D">
        <w:rPr>
          <w:i/>
        </w:rPr>
        <w:t>Review of Australia’s Consumer Policy Framework</w:t>
      </w:r>
      <w:r w:rsidR="00D47190">
        <w:rPr>
          <w:rStyle w:val="FootnoteReference"/>
          <w:bCs/>
          <w:i/>
        </w:rPr>
        <w:footnoteReference w:id="2"/>
      </w:r>
      <w:r w:rsidR="003F6526">
        <w:t xml:space="preserve">, which recommended incorporating a provision in the consumer law </w:t>
      </w:r>
      <w:r w:rsidR="006A1C91">
        <w:t>to address UCT related issues.</w:t>
      </w:r>
    </w:p>
    <w:p w14:paraId="3258EE96" w14:textId="04F75781" w:rsidR="003F6526" w:rsidRDefault="003F6526" w:rsidP="000B580B">
      <w:r>
        <w:t xml:space="preserve">The extension of the UCT protections to small businesses </w:t>
      </w:r>
      <w:r w:rsidR="00AF60A0" w:rsidRPr="00AF60A0">
        <w:t xml:space="preserve">delivered one of the Government’s key commitments to extend UCT protections to small businesses that often faced the same vulnerabilities and difficulties as consumers </w:t>
      </w:r>
      <w:r w:rsidR="006A1C91">
        <w:t>in a contractual relationship.</w:t>
      </w:r>
    </w:p>
    <w:p w14:paraId="2209FA54" w14:textId="4643D716" w:rsidR="00AA05D4" w:rsidRDefault="00AD1343" w:rsidP="000B580B">
      <w:r>
        <w:t xml:space="preserve">The ACL </w:t>
      </w:r>
      <w:r w:rsidR="00F637B5">
        <w:t>provisions address</w:t>
      </w:r>
      <w:r>
        <w:t xml:space="preserve"> UCTs for goods, services and land, and the ASIC Act </w:t>
      </w:r>
      <w:r w:rsidR="00F637B5">
        <w:t>provisions address</w:t>
      </w:r>
      <w:r w:rsidR="00BD381C">
        <w:t xml:space="preserve"> UCTs for f</w:t>
      </w:r>
      <w:r w:rsidR="006A1C91">
        <w:t>inancial products and services.</w:t>
      </w:r>
    </w:p>
    <w:p w14:paraId="669E5F9A" w14:textId="07F68E24" w:rsidR="00381968" w:rsidRPr="00313DC9" w:rsidRDefault="00381968" w:rsidP="000B580B">
      <w:r w:rsidRPr="00313DC9">
        <w:t>U</w:t>
      </w:r>
      <w:r>
        <w:t xml:space="preserve">CTs </w:t>
      </w:r>
      <w:r w:rsidRPr="00313DC9">
        <w:t xml:space="preserve">are </w:t>
      </w:r>
      <w:r w:rsidR="00EC680D">
        <w:t xml:space="preserve">defined in the relevant legislation as </w:t>
      </w:r>
      <w:r w:rsidRPr="00313DC9">
        <w:t>those</w:t>
      </w:r>
      <w:r>
        <w:t xml:space="preserve"> contract terms</w:t>
      </w:r>
      <w:r w:rsidRPr="00313DC9">
        <w:t xml:space="preserve"> that:</w:t>
      </w:r>
    </w:p>
    <w:p w14:paraId="64C6858A" w14:textId="77777777" w:rsidR="00381968" w:rsidRPr="005813C9" w:rsidRDefault="00381968" w:rsidP="000B580B">
      <w:pPr>
        <w:pStyle w:val="Bullet"/>
      </w:pPr>
      <w:r w:rsidRPr="005813C9">
        <w:t>would cause significant imbalance in the parties’ rights and obligations arising under the contract;</w:t>
      </w:r>
    </w:p>
    <w:p w14:paraId="2EFDDCDF" w14:textId="3662B73E" w:rsidR="00381968" w:rsidRPr="005813C9" w:rsidRDefault="00381968" w:rsidP="000B580B">
      <w:pPr>
        <w:pStyle w:val="Bullet"/>
      </w:pPr>
      <w:r w:rsidRPr="005813C9">
        <w:t>are not reasonably necessary in order to protect the legitimate interest</w:t>
      </w:r>
      <w:r w:rsidR="00EC680D">
        <w:t>s of the party who would be a</w:t>
      </w:r>
      <w:r w:rsidRPr="005813C9">
        <w:t>dvantaged by the term</w:t>
      </w:r>
      <w:r>
        <w:t>;</w:t>
      </w:r>
      <w:r w:rsidRPr="005813C9">
        <w:t xml:space="preserve"> and</w:t>
      </w:r>
    </w:p>
    <w:p w14:paraId="5C0F1367" w14:textId="77777777" w:rsidR="00381968" w:rsidRPr="005813C9" w:rsidRDefault="00381968" w:rsidP="000B580B">
      <w:pPr>
        <w:pStyle w:val="Bullet"/>
      </w:pPr>
      <w:r w:rsidRPr="005813C9">
        <w:t>would cause detriment (financia</w:t>
      </w:r>
      <w:r>
        <w:t>l or otherwise) to a party if they</w:t>
      </w:r>
      <w:r w:rsidRPr="005813C9">
        <w:t xml:space="preserve"> were to be relied upon.</w:t>
      </w:r>
    </w:p>
    <w:p w14:paraId="05050F38" w14:textId="0AB65BA5" w:rsidR="00AA05D4" w:rsidRDefault="00AA05D4" w:rsidP="008767EB">
      <w:pPr>
        <w:pStyle w:val="Heading2Numbered"/>
      </w:pPr>
      <w:bookmarkStart w:id="28" w:name="_Toc527630521"/>
      <w:bookmarkStart w:id="29" w:name="_Toc529957596"/>
      <w:r>
        <w:t>Extension of UCT protections to small business</w:t>
      </w:r>
      <w:bookmarkEnd w:id="28"/>
      <w:bookmarkEnd w:id="29"/>
    </w:p>
    <w:p w14:paraId="0A6D0C61" w14:textId="21FD9FB4" w:rsidR="00381968" w:rsidRDefault="00381968" w:rsidP="00497254">
      <w:pPr>
        <w:rPr>
          <w:bCs/>
        </w:rPr>
      </w:pPr>
      <w:bookmarkStart w:id="30" w:name="_Toc527377438"/>
      <w:bookmarkStart w:id="31" w:name="_Toc527456219"/>
      <w:r>
        <w:rPr>
          <w:bCs/>
        </w:rPr>
        <w:t xml:space="preserve">Like individual consumers, many </w:t>
      </w:r>
      <w:r w:rsidRPr="00313DC9">
        <w:rPr>
          <w:bCs/>
        </w:rPr>
        <w:t>small businesses lack the time</w:t>
      </w:r>
      <w:r>
        <w:rPr>
          <w:bCs/>
        </w:rPr>
        <w:t xml:space="preserve">, </w:t>
      </w:r>
      <w:r w:rsidRPr="00313DC9">
        <w:rPr>
          <w:bCs/>
        </w:rPr>
        <w:t>resources</w:t>
      </w:r>
      <w:r>
        <w:rPr>
          <w:bCs/>
        </w:rPr>
        <w:t xml:space="preserve">, </w:t>
      </w:r>
      <w:r w:rsidRPr="00313DC9">
        <w:rPr>
          <w:bCs/>
        </w:rPr>
        <w:t>legal or technical expertise</w:t>
      </w:r>
      <w:r>
        <w:rPr>
          <w:bCs/>
        </w:rPr>
        <w:t xml:space="preserve"> and bargaining power to negotiate changes to terms specif</w:t>
      </w:r>
      <w:r w:rsidR="006A1C91">
        <w:rPr>
          <w:bCs/>
        </w:rPr>
        <w:t>ied in standard form contracts.</w:t>
      </w:r>
    </w:p>
    <w:p w14:paraId="74957C95" w14:textId="7A14C378" w:rsidR="00497254" w:rsidRPr="00313DC9" w:rsidRDefault="00381968" w:rsidP="00497254">
      <w:pPr>
        <w:rPr>
          <w:bCs/>
        </w:rPr>
      </w:pPr>
      <w:r>
        <w:rPr>
          <w:bCs/>
        </w:rPr>
        <w:t xml:space="preserve">In November 2016, the </w:t>
      </w:r>
      <w:r w:rsidR="00497254" w:rsidRPr="00313DC9">
        <w:rPr>
          <w:bCs/>
          <w:i/>
        </w:rPr>
        <w:t>Treasury Legislation Amendment (Small Business and Unfair Contract Terms) Act 2015</w:t>
      </w:r>
      <w:r w:rsidRPr="00381968">
        <w:rPr>
          <w:bCs/>
        </w:rPr>
        <w:t xml:space="preserve"> </w:t>
      </w:r>
      <w:r w:rsidR="00A32FC1">
        <w:rPr>
          <w:bCs/>
        </w:rPr>
        <w:t xml:space="preserve">(the Act) </w:t>
      </w:r>
      <w:r>
        <w:rPr>
          <w:bCs/>
        </w:rPr>
        <w:t>took effect to</w:t>
      </w:r>
      <w:r w:rsidR="006A1C91">
        <w:rPr>
          <w:bCs/>
        </w:rPr>
        <w:t>:</w:t>
      </w:r>
    </w:p>
    <w:p w14:paraId="25D9468F" w14:textId="377089A3" w:rsidR="00497254" w:rsidRPr="00313DC9" w:rsidRDefault="00497254" w:rsidP="00497254">
      <w:pPr>
        <w:pStyle w:val="Bullet"/>
      </w:pPr>
      <w:r>
        <w:t>extend</w:t>
      </w:r>
      <w:r w:rsidRPr="00313DC9">
        <w:t xml:space="preserve"> the consumer UCT protections in the ACL and the ASIC Act to small business contracts that meet the prescribed criteria; and</w:t>
      </w:r>
    </w:p>
    <w:p w14:paraId="1B749B1E" w14:textId="77777777" w:rsidR="00497254" w:rsidRDefault="00497254" w:rsidP="00497254">
      <w:pPr>
        <w:pStyle w:val="Bullet"/>
      </w:pPr>
      <w:r>
        <w:t>make</w:t>
      </w:r>
      <w:r w:rsidRPr="00313DC9">
        <w:t xml:space="preserve"> provision for exempting certain small business contracts from the operation of the legislation, where those contracts are subject to prescribed laws that are deemed equivalent to the UCT protections in the ASIC Act or the ACL, and which are enforceable.</w:t>
      </w:r>
    </w:p>
    <w:p w14:paraId="7F1BEB7D" w14:textId="6F9B984F" w:rsidR="00E85382" w:rsidRDefault="00E85382" w:rsidP="00E85382">
      <w:r>
        <w:t>The Explanatory M</w:t>
      </w:r>
      <w:r w:rsidRPr="00313DC9">
        <w:t xml:space="preserve">emorandum accompanying the </w:t>
      </w:r>
      <w:r>
        <w:t>Act</w:t>
      </w:r>
      <w:r w:rsidRPr="00313DC9">
        <w:t xml:space="preserve"> </w:t>
      </w:r>
      <w:r w:rsidR="006A1C91">
        <w:t>noted:</w:t>
      </w:r>
    </w:p>
    <w:p w14:paraId="253B1018" w14:textId="6D2607A7" w:rsidR="00E85382" w:rsidRPr="00313DC9" w:rsidRDefault="00E85382" w:rsidP="000B580B">
      <w:pPr>
        <w:pStyle w:val="Quote"/>
      </w:pPr>
      <w:r w:rsidRPr="00313DC9">
        <w:t xml:space="preserve">“The objective of this reform is to promote fairness in contractual dealings with small businesses with regard to standard form contracts. This will reduce small business detriment and have positive impacts on the broader economy by </w:t>
      </w:r>
      <w:r w:rsidRPr="000B580B">
        <w:t>increasing</w:t>
      </w:r>
      <w:r w:rsidRPr="00313DC9">
        <w:t xml:space="preserve"> small business certainty and confidence, and providing for a more efficient allocation of risk. Small businesses, in dealing with other businesses through standard form contracts, should have confidence that the contract they are offered is fair and reasonable and that the risks are allocated efficiently”.</w:t>
      </w:r>
    </w:p>
    <w:p w14:paraId="2EE7E4F7" w14:textId="623FFAFD" w:rsidR="006D64C2" w:rsidRDefault="00D308AA" w:rsidP="006D64C2">
      <w:r>
        <w:t xml:space="preserve">The </w:t>
      </w:r>
      <w:r w:rsidR="00367E76">
        <w:t xml:space="preserve">protections apply to small business contracts that meet </w:t>
      </w:r>
      <w:r w:rsidR="006A1C91">
        <w:t>prescribed criteria. These are:</w:t>
      </w:r>
    </w:p>
    <w:p w14:paraId="5F598985" w14:textId="77C7A6CD" w:rsidR="00D2064E" w:rsidRPr="00D2064E" w:rsidRDefault="00D308AA" w:rsidP="006D64C2">
      <w:pPr>
        <w:pStyle w:val="Bullet"/>
      </w:pPr>
      <w:r>
        <w:t>the contra</w:t>
      </w:r>
      <w:r w:rsidR="006A1C91">
        <w:t>ct is a standard form contract;</w:t>
      </w:r>
    </w:p>
    <w:p w14:paraId="03C955F0" w14:textId="16937AE7" w:rsidR="00D2064E" w:rsidRPr="00D2064E" w:rsidRDefault="00D308AA" w:rsidP="000E0B3C">
      <w:pPr>
        <w:pStyle w:val="Bullet"/>
      </w:pPr>
      <w:r>
        <w:rPr>
          <w:bCs/>
        </w:rPr>
        <w:lastRenderedPageBreak/>
        <w:t>at the time the contract is entered</w:t>
      </w:r>
      <w:r w:rsidR="00866230">
        <w:rPr>
          <w:bCs/>
        </w:rPr>
        <w:t xml:space="preserve"> into</w:t>
      </w:r>
      <w:r>
        <w:rPr>
          <w:bCs/>
        </w:rPr>
        <w:t xml:space="preserve">, at least one party to the contract is a business that employs fewer than 20 persons; </w:t>
      </w:r>
      <w:r w:rsidR="005D20E0">
        <w:rPr>
          <w:bCs/>
        </w:rPr>
        <w:t>and</w:t>
      </w:r>
    </w:p>
    <w:p w14:paraId="735CF845" w14:textId="2E64E03C" w:rsidR="00D308AA" w:rsidRDefault="00D308AA" w:rsidP="000E0B3C">
      <w:pPr>
        <w:pStyle w:val="Bullet"/>
        <w:rPr>
          <w:bCs/>
        </w:rPr>
      </w:pPr>
      <w:r>
        <w:rPr>
          <w:bCs/>
        </w:rPr>
        <w:t>the upfront price payable under the contract does not exceed</w:t>
      </w:r>
      <w:r w:rsidRPr="00313DC9">
        <w:rPr>
          <w:bCs/>
        </w:rPr>
        <w:t xml:space="preserve"> $300,000</w:t>
      </w:r>
      <w:r w:rsidR="00866230">
        <w:rPr>
          <w:bCs/>
        </w:rPr>
        <w:t>,</w:t>
      </w:r>
      <w:r w:rsidRPr="00313DC9">
        <w:rPr>
          <w:bCs/>
        </w:rPr>
        <w:t xml:space="preserve"> or $1 million if the contrac</w:t>
      </w:r>
      <w:r w:rsidR="006A1C91">
        <w:rPr>
          <w:bCs/>
        </w:rPr>
        <w:t>t runs for more than 12 months.</w:t>
      </w:r>
    </w:p>
    <w:bookmarkEnd w:id="30"/>
    <w:bookmarkEnd w:id="31"/>
    <w:p w14:paraId="37BFDFCD" w14:textId="410DAF83" w:rsidR="00AA05D4" w:rsidRPr="00313DC9" w:rsidRDefault="006C71C3" w:rsidP="00313DC9">
      <w:pPr>
        <w:rPr>
          <w:bCs/>
        </w:rPr>
      </w:pPr>
      <w:r>
        <w:rPr>
          <w:bCs/>
        </w:rPr>
        <w:br w:type="page"/>
      </w:r>
    </w:p>
    <w:p w14:paraId="132A3296" w14:textId="020EB95F" w:rsidR="000E0B74" w:rsidRDefault="000E0B74" w:rsidP="008767EB">
      <w:pPr>
        <w:pStyle w:val="Heading1Numbered"/>
      </w:pPr>
      <w:bookmarkStart w:id="32" w:name="_Toc306887372"/>
      <w:bookmarkStart w:id="33" w:name="_Toc432064636"/>
      <w:bookmarkStart w:id="34" w:name="_Toc476214106"/>
      <w:bookmarkStart w:id="35" w:name="_Toc527630526"/>
      <w:bookmarkStart w:id="36" w:name="_Toc529957597"/>
      <w:r>
        <w:lastRenderedPageBreak/>
        <w:t>Purpose</w:t>
      </w:r>
      <w:bookmarkEnd w:id="32"/>
      <w:bookmarkEnd w:id="33"/>
      <w:bookmarkEnd w:id="34"/>
      <w:bookmarkEnd w:id="35"/>
      <w:bookmarkEnd w:id="36"/>
    </w:p>
    <w:p w14:paraId="5C689DE2" w14:textId="0D1D2797" w:rsidR="00E85382" w:rsidRDefault="00CF40FE" w:rsidP="000B580B">
      <w:r>
        <w:t>During the</w:t>
      </w:r>
      <w:r w:rsidR="00D22125">
        <w:t xml:space="preserve"> passage of the Act </w:t>
      </w:r>
      <w:r>
        <w:t>through</w:t>
      </w:r>
      <w:r w:rsidR="00D22125">
        <w:t xml:space="preserve"> Parliament in late 2015, t</w:t>
      </w:r>
      <w:r w:rsidR="00B27697" w:rsidRPr="00313DC9">
        <w:t xml:space="preserve">he Government agreed to undertake a review of the </w:t>
      </w:r>
      <w:r w:rsidR="00E85382">
        <w:t>extension to small business within two years</w:t>
      </w:r>
      <w:r w:rsidR="00D22125">
        <w:t xml:space="preserve"> after its commencement</w:t>
      </w:r>
      <w:r w:rsidR="00E85382">
        <w:t>.</w:t>
      </w:r>
      <w:r w:rsidR="00D22125">
        <w:t xml:space="preserve"> The legislation </w:t>
      </w:r>
      <w:r w:rsidR="001106B6">
        <w:t xml:space="preserve">commenced on </w:t>
      </w:r>
      <w:r w:rsidR="00D22125">
        <w:t>12 November 2016.</w:t>
      </w:r>
    </w:p>
    <w:p w14:paraId="6602715B" w14:textId="21D8FD40" w:rsidR="001450CF" w:rsidRDefault="001450CF" w:rsidP="000B580B">
      <w:r w:rsidRPr="00313DC9">
        <w:t>This discussion paper is seeking feedback from stakeholders</w:t>
      </w:r>
      <w:r w:rsidR="00CD0A0E" w:rsidRPr="00313DC9">
        <w:t xml:space="preserve"> on the impact of the extension of UCT</w:t>
      </w:r>
      <w:r w:rsidR="00A66F4A">
        <w:t xml:space="preserve"> protections to small business</w:t>
      </w:r>
      <w:r w:rsidR="00922BD4">
        <w:t xml:space="preserve"> and </w:t>
      </w:r>
      <w:r w:rsidR="00CD0A0E" w:rsidRPr="00313DC9">
        <w:t xml:space="preserve">whether the objective set </w:t>
      </w:r>
      <w:r w:rsidR="00BC41BD">
        <w:t>for</w:t>
      </w:r>
      <w:r w:rsidR="00CD0A0E" w:rsidRPr="00313DC9">
        <w:t xml:space="preserve"> the original reform has been met. It is also seeking views </w:t>
      </w:r>
      <w:r w:rsidR="00922BD4">
        <w:t>about</w:t>
      </w:r>
      <w:r w:rsidR="00CD0A0E" w:rsidRPr="00313DC9">
        <w:t xml:space="preserve"> whether any changes are required to improve the current frame</w:t>
      </w:r>
      <w:r w:rsidR="008767EB">
        <w:t>work.</w:t>
      </w:r>
    </w:p>
    <w:p w14:paraId="62A4ED87" w14:textId="77054B01" w:rsidR="00CC2A3E" w:rsidRDefault="00922BD4" w:rsidP="000B580B">
      <w:r>
        <w:t xml:space="preserve">If, following consideration of the review findings, the Government considers that </w:t>
      </w:r>
      <w:r w:rsidR="00CC2A3E">
        <w:t>legislative amendments are required, it will seek agreement from states and territories to make those amendments before introducing relevant bills to the Australian Pa</w:t>
      </w:r>
      <w:r w:rsidR="008767EB">
        <w:t>rliament.</w:t>
      </w:r>
    </w:p>
    <w:p w14:paraId="54E35605" w14:textId="28F761F6" w:rsidR="000E0B74" w:rsidRPr="00EE780F" w:rsidRDefault="00EE780F" w:rsidP="00E10D39">
      <w:pPr>
        <w:rPr>
          <w:bCs/>
        </w:rPr>
      </w:pPr>
      <w:r>
        <w:rPr>
          <w:bCs/>
        </w:rPr>
        <w:br w:type="page"/>
      </w:r>
    </w:p>
    <w:p w14:paraId="04D2EB67" w14:textId="7F547F23" w:rsidR="004F57BE" w:rsidRDefault="004F57BE" w:rsidP="008767EB">
      <w:pPr>
        <w:pStyle w:val="Heading1Numbered"/>
      </w:pPr>
      <w:bookmarkStart w:id="37" w:name="_Toc529957598"/>
      <w:r>
        <w:lastRenderedPageBreak/>
        <w:t>How do UCT protections operate?</w:t>
      </w:r>
      <w:bookmarkEnd w:id="37"/>
    </w:p>
    <w:p w14:paraId="14D60692" w14:textId="63636167" w:rsidR="004F57BE" w:rsidRPr="00313DC9" w:rsidRDefault="004F57BE" w:rsidP="000B580B">
      <w:pPr>
        <w:rPr>
          <w:bCs/>
        </w:rPr>
      </w:pPr>
      <w:r>
        <w:t xml:space="preserve">The UCT protections allow a court to declare a term of a standard form contract to be unfair and, therefore, void. Contracts </w:t>
      </w:r>
      <w:r w:rsidR="00922BD4">
        <w:t xml:space="preserve">between businesses are </w:t>
      </w:r>
      <w:r>
        <w:t xml:space="preserve">covered where </w:t>
      </w:r>
      <w:r w:rsidRPr="001A3E4B">
        <w:t xml:space="preserve">one </w:t>
      </w:r>
      <w:r w:rsidR="00922BD4" w:rsidRPr="001A3E4B">
        <w:t xml:space="preserve">or more </w:t>
      </w:r>
      <w:r w:rsidRPr="001A3E4B">
        <w:t>of</w:t>
      </w:r>
      <w:r>
        <w:t xml:space="preserve"> the businesses </w:t>
      </w:r>
      <w:r w:rsidRPr="00313DC9">
        <w:rPr>
          <w:bCs/>
        </w:rPr>
        <w:t>employs fewer than 20 people and the</w:t>
      </w:r>
      <w:r w:rsidR="00EC680D">
        <w:rPr>
          <w:bCs/>
        </w:rPr>
        <w:t xml:space="preserve"> upfront price payable under the</w:t>
      </w:r>
      <w:r w:rsidRPr="00313DC9">
        <w:rPr>
          <w:bCs/>
        </w:rPr>
        <w:t xml:space="preserve"> contract is </w:t>
      </w:r>
      <w:r w:rsidR="00EC680D">
        <w:rPr>
          <w:bCs/>
        </w:rPr>
        <w:t>under</w:t>
      </w:r>
      <w:r w:rsidRPr="00313DC9">
        <w:rPr>
          <w:bCs/>
        </w:rPr>
        <w:t xml:space="preserve"> $300,000 in a single year or $1 million if the contrac</w:t>
      </w:r>
      <w:r w:rsidR="008767EB">
        <w:rPr>
          <w:bCs/>
        </w:rPr>
        <w:t>t runs for more than 12 months.</w:t>
      </w:r>
    </w:p>
    <w:p w14:paraId="63C1F5EB" w14:textId="41770F16" w:rsidR="004F57BE" w:rsidRDefault="004F57BE" w:rsidP="004F57BE">
      <w:pPr>
        <w:rPr>
          <w:bCs/>
        </w:rPr>
      </w:pPr>
      <w:r w:rsidRPr="00313DC9">
        <w:rPr>
          <w:bCs/>
        </w:rPr>
        <w:t>The law applies to standard form small business contracts entered into or renewed on or after 12</w:t>
      </w:r>
      <w:r>
        <w:rPr>
          <w:bCs/>
        </w:rPr>
        <w:t> </w:t>
      </w:r>
      <w:r w:rsidRPr="00313DC9">
        <w:rPr>
          <w:bCs/>
        </w:rPr>
        <w:t>November 2016. If a contract was varied on or after 12 November 2016, the law applies to the varied terms.</w:t>
      </w:r>
    </w:p>
    <w:p w14:paraId="3F230196" w14:textId="79BFE534" w:rsidR="00491EB0" w:rsidRDefault="00491EB0" w:rsidP="000B580B">
      <w:r w:rsidRPr="00491EB0">
        <w:t xml:space="preserve">Enforcement of the unfair contract terms protections is shared between the </w:t>
      </w:r>
      <w:r w:rsidR="006C71C3" w:rsidRPr="006C71C3">
        <w:t>Australian Competition and Consumer Commission</w:t>
      </w:r>
      <w:r w:rsidR="006A1C91">
        <w:t xml:space="preserve"> (ACCC)</w:t>
      </w:r>
      <w:r w:rsidR="00DD37E6">
        <w:t xml:space="preserve">, </w:t>
      </w:r>
      <w:r w:rsidR="006A1C91" w:rsidRPr="006A1C91">
        <w:t>Australian Securities and Investments Commission</w:t>
      </w:r>
      <w:r w:rsidR="006A1C91">
        <w:t xml:space="preserve"> (</w:t>
      </w:r>
      <w:r w:rsidR="00DD37E6">
        <w:t>ASIC</w:t>
      </w:r>
      <w:r w:rsidR="006A1C91">
        <w:t>)</w:t>
      </w:r>
      <w:r w:rsidR="00DD37E6">
        <w:t xml:space="preserve"> and the state and t</w:t>
      </w:r>
      <w:r w:rsidRPr="00491EB0">
        <w:t xml:space="preserve">erritory </w:t>
      </w:r>
      <w:r w:rsidR="00565C71">
        <w:t>consumer protection agencies</w:t>
      </w:r>
      <w:r w:rsidRPr="00491EB0">
        <w:t>.</w:t>
      </w:r>
      <w:r w:rsidR="002109EB">
        <w:t xml:space="preserve"> However, regulators do not have power to impose penalties for the imposition of UCTs that are ultimately voided, because the current regime does not prohibit the inclusion of UCTs in </w:t>
      </w:r>
      <w:r w:rsidR="001106B6">
        <w:t xml:space="preserve">a </w:t>
      </w:r>
      <w:r w:rsidR="002109EB">
        <w:t>standard for</w:t>
      </w:r>
      <w:r w:rsidR="001106B6">
        <w:t>m contract</w:t>
      </w:r>
      <w:r w:rsidR="002109EB">
        <w:t>.</w:t>
      </w:r>
      <w:r w:rsidRPr="00491EB0">
        <w:t xml:space="preserve"> Individual consumers may also be entitled to take their complaint to the small cla</w:t>
      </w:r>
      <w:r w:rsidR="00DD37E6">
        <w:t>ims court or tribunal in their state or t</w:t>
      </w:r>
      <w:r w:rsidRPr="00491EB0">
        <w:t>erritory, or to take private legal action.</w:t>
      </w:r>
    </w:p>
    <w:p w14:paraId="2F7AC91F" w14:textId="2786B783" w:rsidR="00422EAA" w:rsidRDefault="00730460" w:rsidP="000B580B">
      <w:r>
        <w:t xml:space="preserve">In October 2018, </w:t>
      </w:r>
      <w:r w:rsidR="003541B0">
        <w:t>ASIC and the ACCC</w:t>
      </w:r>
      <w:r>
        <w:t xml:space="preserve"> </w:t>
      </w:r>
      <w:r w:rsidR="006E39CC">
        <w:t>were given investigative powers</w:t>
      </w:r>
      <w:r w:rsidR="002325A8">
        <w:t xml:space="preserve"> </w:t>
      </w:r>
      <w:r w:rsidR="001A3E4B">
        <w:t xml:space="preserve">to </w:t>
      </w:r>
      <w:r w:rsidR="00EC680D">
        <w:t xml:space="preserve">compulsorily </w:t>
      </w:r>
      <w:r w:rsidR="002325A8">
        <w:t xml:space="preserve">obtain information, documents and evidence </w:t>
      </w:r>
      <w:r w:rsidR="006E39CC">
        <w:t>to determine if a term in a contract may be unfair.</w:t>
      </w:r>
      <w:r w:rsidR="006F525F" w:rsidRPr="006F525F">
        <w:rPr>
          <w:rStyle w:val="FootnoteReference"/>
          <w:bCs/>
        </w:rPr>
        <w:t xml:space="preserve"> </w:t>
      </w:r>
      <w:r w:rsidR="006F525F">
        <w:rPr>
          <w:rStyle w:val="FootnoteReference"/>
          <w:bCs/>
        </w:rPr>
        <w:footnoteReference w:id="3"/>
      </w:r>
      <w:r w:rsidR="009D202F">
        <w:t xml:space="preserve"> </w:t>
      </w:r>
      <w:r w:rsidR="006E39CC">
        <w:t xml:space="preserve">This will help the regulators to </w:t>
      </w:r>
      <w:r w:rsidR="00EC680D">
        <w:t>investigate</w:t>
      </w:r>
      <w:r w:rsidR="006E39CC">
        <w:t xml:space="preserve"> UCT </w:t>
      </w:r>
      <w:r w:rsidR="00EC680D">
        <w:t>allegations</w:t>
      </w:r>
      <w:r w:rsidR="006E39CC">
        <w:t xml:space="preserve">. </w:t>
      </w:r>
      <w:r w:rsidR="004B2D8A">
        <w:t xml:space="preserve">Previously, the </w:t>
      </w:r>
      <w:r w:rsidR="00EC680D">
        <w:t xml:space="preserve">compulsory information gathering </w:t>
      </w:r>
      <w:r w:rsidR="004B2D8A">
        <w:t>powers of the regulators were not applicable to UCTs as these powers were triggered by ‘contraventions’ or ‘possible contraventions’ of the law. As the use of UCTs is not prohibited by the law it is not possible to breach or contravene these provisions in the law.</w:t>
      </w:r>
    </w:p>
    <w:p w14:paraId="407679F6" w14:textId="65E94D98" w:rsidR="00422EAA" w:rsidRPr="008767EB" w:rsidRDefault="00EC680D" w:rsidP="000B580B">
      <w:r w:rsidRPr="00422EAA">
        <w:t>These new powers apply only in relation to contracts entered into on or after the day the relevant provisions commenced.</w:t>
      </w:r>
      <w:bookmarkStart w:id="38" w:name="_Toc528588407"/>
      <w:bookmarkStart w:id="39" w:name="_Toc528762800"/>
      <w:bookmarkStart w:id="40" w:name="_Toc528588408"/>
      <w:bookmarkStart w:id="41" w:name="_Toc528762801"/>
      <w:bookmarkEnd w:id="38"/>
      <w:bookmarkEnd w:id="39"/>
      <w:bookmarkEnd w:id="40"/>
      <w:bookmarkEnd w:id="41"/>
    </w:p>
    <w:p w14:paraId="6B84E499" w14:textId="69E63B1B" w:rsidR="004F57BE" w:rsidRDefault="004F57BE" w:rsidP="008767EB">
      <w:pPr>
        <w:pStyle w:val="Heading2Numbered"/>
      </w:pPr>
      <w:bookmarkStart w:id="42" w:name="_Toc529957599"/>
      <w:r>
        <w:t>What are standard form contracts?</w:t>
      </w:r>
      <w:bookmarkEnd w:id="42"/>
    </w:p>
    <w:p w14:paraId="3211B593" w14:textId="071608E9" w:rsidR="004F57BE" w:rsidRDefault="004F57BE" w:rsidP="000B580B">
      <w:r w:rsidRPr="00313DC9">
        <w:t>Standard form contracts are</w:t>
      </w:r>
      <w:r>
        <w:t xml:space="preserve"> commonly used </w:t>
      </w:r>
      <w:r w:rsidR="00422EAA">
        <w:t xml:space="preserve">throughout the economy </w:t>
      </w:r>
      <w:r>
        <w:t>and are a cost effective option when conducting business, as they allow parties to avoid the transaction costs associ</w:t>
      </w:r>
      <w:r w:rsidR="008767EB">
        <w:t>ated with negotiated contracts.</w:t>
      </w:r>
    </w:p>
    <w:p w14:paraId="45FD67E9" w14:textId="720898BA" w:rsidR="004F57BE" w:rsidRDefault="004F57BE" w:rsidP="000B580B">
      <w:r>
        <w:t>Some parties can lack the resources or skills to fully understand the implications of contract terms, and businesses that offer standard form contracts often do so on</w:t>
      </w:r>
      <w:r w:rsidR="008767EB">
        <w:t xml:space="preserve"> a ‘take it or leave it’ basis.</w:t>
      </w:r>
    </w:p>
    <w:p w14:paraId="6442C395" w14:textId="3C69114F" w:rsidR="004F57BE" w:rsidRPr="00313DC9" w:rsidRDefault="004F57BE" w:rsidP="000B580B">
      <w:r w:rsidRPr="00313DC9">
        <w:t xml:space="preserve">Generally, a contract is considered to be </w:t>
      </w:r>
      <w:r>
        <w:t xml:space="preserve">in </w:t>
      </w:r>
      <w:r w:rsidRPr="00313DC9">
        <w:t>standard form if one of the parties has not had the opportunity to negotiate or change the terms of the contract when agreeing to it.</w:t>
      </w:r>
    </w:p>
    <w:p w14:paraId="5F908B90" w14:textId="18BDCE7E" w:rsidR="004F57BE" w:rsidRDefault="004F57BE" w:rsidP="008767EB">
      <w:pPr>
        <w:pStyle w:val="Heading2Numbered"/>
      </w:pPr>
      <w:bookmarkStart w:id="43" w:name="_Toc529957600"/>
      <w:r>
        <w:lastRenderedPageBreak/>
        <w:t>Other related proposals</w:t>
      </w:r>
      <w:bookmarkEnd w:id="43"/>
    </w:p>
    <w:p w14:paraId="50BB1DDB" w14:textId="35754A47" w:rsidR="00C62FD7" w:rsidRPr="00C62FD7" w:rsidRDefault="00C62FD7" w:rsidP="008767EB">
      <w:pPr>
        <w:pStyle w:val="Heading3"/>
      </w:pPr>
      <w:bookmarkStart w:id="44" w:name="_Toc529957601"/>
      <w:r w:rsidRPr="00C62FD7">
        <w:t>Extending UCT provisions to insurance contracts</w:t>
      </w:r>
      <w:bookmarkEnd w:id="44"/>
    </w:p>
    <w:p w14:paraId="453B0852" w14:textId="7A740C9F" w:rsidR="00C62FD7" w:rsidRDefault="004F57BE" w:rsidP="000B580B">
      <w:pPr>
        <w:rPr>
          <w:i/>
        </w:rPr>
      </w:pPr>
      <w:r>
        <w:t>T</w:t>
      </w:r>
      <w:r w:rsidRPr="00313DC9">
        <w:t xml:space="preserve">he UCT protections </w:t>
      </w:r>
      <w:r>
        <w:t xml:space="preserve">currently </w:t>
      </w:r>
      <w:r w:rsidRPr="00313DC9">
        <w:t>do not apply to insurance contracts</w:t>
      </w:r>
      <w:r w:rsidR="00C62FD7">
        <w:t xml:space="preserve">. In </w:t>
      </w:r>
      <w:r w:rsidRPr="00313DC9">
        <w:t>2017, the Legislative and Governance Forum on Consumer Affairs</w:t>
      </w:r>
      <w:r w:rsidR="00801F98">
        <w:rPr>
          <w:rStyle w:val="FootnoteReference"/>
          <w:bCs/>
        </w:rPr>
        <w:footnoteReference w:id="4"/>
      </w:r>
      <w:r w:rsidRPr="00313DC9">
        <w:t xml:space="preserve"> agreed to apply the UCT protections to contracts regulated by the </w:t>
      </w:r>
      <w:r w:rsidRPr="005813C9">
        <w:rPr>
          <w:i/>
        </w:rPr>
        <w:t>Insurance Contracts Act 1984</w:t>
      </w:r>
      <w:r w:rsidR="008767EB">
        <w:rPr>
          <w:i/>
        </w:rPr>
        <w:t>.</w:t>
      </w:r>
    </w:p>
    <w:p w14:paraId="06CD8384" w14:textId="3B8C849F" w:rsidR="00C62FD7" w:rsidRDefault="00C62FD7" w:rsidP="000B580B">
      <w:r w:rsidRPr="00C62FD7">
        <w:t>The</w:t>
      </w:r>
      <w:r>
        <w:rPr>
          <w:i/>
        </w:rPr>
        <w:t xml:space="preserve"> </w:t>
      </w:r>
      <w:r>
        <w:t xml:space="preserve">Government subsequently </w:t>
      </w:r>
      <w:r w:rsidR="004F57BE" w:rsidRPr="00313DC9">
        <w:t xml:space="preserve">released a </w:t>
      </w:r>
      <w:r>
        <w:t xml:space="preserve">consultation paper </w:t>
      </w:r>
      <w:r w:rsidR="004F57BE" w:rsidRPr="003541B0">
        <w:rPr>
          <w:i/>
        </w:rPr>
        <w:t>Extending Unfair Contract Terms Protections to Insurance Contracts</w:t>
      </w:r>
      <w:r w:rsidR="004F57BE">
        <w:rPr>
          <w:rStyle w:val="FootnoteReference"/>
          <w:bCs/>
        </w:rPr>
        <w:footnoteReference w:id="5"/>
      </w:r>
      <w:r w:rsidR="004F57BE" w:rsidRPr="00313DC9">
        <w:t xml:space="preserve"> in June 2018</w:t>
      </w:r>
      <w:r>
        <w:t>. S</w:t>
      </w:r>
      <w:r w:rsidR="004F57BE" w:rsidRPr="00313DC9">
        <w:t>ubmission</w:t>
      </w:r>
      <w:r w:rsidR="003541B0">
        <w:t>s on the paper closed in August </w:t>
      </w:r>
      <w:r w:rsidR="004F57BE" w:rsidRPr="00313DC9">
        <w:t>2018</w:t>
      </w:r>
      <w:r>
        <w:t>.</w:t>
      </w:r>
      <w:r w:rsidR="00422EAA" w:rsidRPr="00422EAA">
        <w:t xml:space="preserve"> Following the consultation process further work is being undertaken to refine the model</w:t>
      </w:r>
      <w:r w:rsidR="003B3768">
        <w:t xml:space="preserve"> proposed</w:t>
      </w:r>
      <w:r w:rsidR="00422EAA">
        <w:t xml:space="preserve"> in the paper</w:t>
      </w:r>
      <w:r w:rsidR="00422EAA" w:rsidRPr="00422EAA">
        <w:t>.</w:t>
      </w:r>
    </w:p>
    <w:p w14:paraId="6FAF58F6" w14:textId="73971A01" w:rsidR="00C62FD7" w:rsidRPr="00C62FD7" w:rsidRDefault="00C62FD7" w:rsidP="008767EB">
      <w:pPr>
        <w:pStyle w:val="Heading3"/>
      </w:pPr>
      <w:bookmarkStart w:id="45" w:name="_Toc529957602"/>
      <w:r w:rsidRPr="00C62FD7">
        <w:t xml:space="preserve">Inquiry into the operation and effectiveness of </w:t>
      </w:r>
      <w:r w:rsidRPr="008767EB">
        <w:t>the</w:t>
      </w:r>
      <w:r w:rsidRPr="00C62FD7">
        <w:t xml:space="preserve"> Franchising Code of Conduct</w:t>
      </w:r>
      <w:bookmarkEnd w:id="45"/>
    </w:p>
    <w:p w14:paraId="153B08B1" w14:textId="4D0FE286" w:rsidR="00C62FD7" w:rsidRDefault="004F57BE" w:rsidP="000B580B">
      <w:r w:rsidRPr="00313DC9">
        <w:t>The Parliamentary Joint Committee</w:t>
      </w:r>
      <w:r>
        <w:t xml:space="preserve"> on Corporations and Financial Services</w:t>
      </w:r>
      <w:r w:rsidRPr="00313DC9">
        <w:t xml:space="preserve"> is currently inquiring into the operation and effectiveness of the Franchising Code of Conduct</w:t>
      </w:r>
      <w:r>
        <w:rPr>
          <w:rStyle w:val="FootnoteReference"/>
          <w:bCs/>
        </w:rPr>
        <w:footnoteReference w:id="6"/>
      </w:r>
      <w:r w:rsidRPr="00313DC9">
        <w:t xml:space="preserve">, including the workability of UCT protections for franchising agreements. The focus of the inquiry is on addressing structural issues relating to franchising agreements in Australia and </w:t>
      </w:r>
      <w:r w:rsidR="00D22125">
        <w:t>challenges</w:t>
      </w:r>
      <w:r w:rsidR="00D22125" w:rsidRPr="00313DC9">
        <w:t xml:space="preserve"> </w:t>
      </w:r>
      <w:r w:rsidR="00D22125">
        <w:t>with</w:t>
      </w:r>
      <w:r w:rsidR="009D202F">
        <w:t xml:space="preserve"> </w:t>
      </w:r>
      <w:r w:rsidRPr="00313DC9">
        <w:t xml:space="preserve">the operation </w:t>
      </w:r>
      <w:r w:rsidR="00D22125">
        <w:t xml:space="preserve">and enforcement </w:t>
      </w:r>
      <w:r w:rsidRPr="00313DC9">
        <w:t xml:space="preserve">of the Code and related legislation (including UCT protections). The Committee is expected to release a final report on the effectiveness of the Code by 6 December 2018. </w:t>
      </w:r>
      <w:r w:rsidR="00801F98">
        <w:t>Treasury will incorporate relevant information and findings from the Committee’s repor</w:t>
      </w:r>
      <w:r w:rsidR="008767EB">
        <w:t>t when finalising this review.</w:t>
      </w:r>
    </w:p>
    <w:p w14:paraId="14C92873" w14:textId="04217575" w:rsidR="00C62FD7" w:rsidRPr="00730460" w:rsidRDefault="00C62FD7" w:rsidP="008767EB">
      <w:pPr>
        <w:pStyle w:val="Heading3"/>
      </w:pPr>
      <w:bookmarkStart w:id="46" w:name="_Toc529957603"/>
      <w:r w:rsidRPr="00730460">
        <w:t>Royal Commission into Misconduct in the Banking, Superannuation and Financial Services Industry</w:t>
      </w:r>
      <w:bookmarkEnd w:id="46"/>
    </w:p>
    <w:p w14:paraId="407261AD" w14:textId="0E868A4D" w:rsidR="00425DF4" w:rsidRPr="0015273A" w:rsidRDefault="00EC680D" w:rsidP="0015273A">
      <w:pPr>
        <w:rPr>
          <w:bCs/>
        </w:rPr>
      </w:pPr>
      <w:r>
        <w:rPr>
          <w:bCs/>
        </w:rPr>
        <w:t>As part of t</w:t>
      </w:r>
      <w:r w:rsidR="004F57BE">
        <w:rPr>
          <w:bCs/>
        </w:rPr>
        <w:t>he Royal Commission into Misconduct in the Banking, Superannuation and Financial Services Industry</w:t>
      </w:r>
      <w:r>
        <w:rPr>
          <w:bCs/>
        </w:rPr>
        <w:t>, Commissioner Hayne</w:t>
      </w:r>
      <w:r w:rsidR="004F57BE">
        <w:rPr>
          <w:bCs/>
        </w:rPr>
        <w:t xml:space="preserve"> is inquiring </w:t>
      </w:r>
      <w:r w:rsidR="00C62FD7">
        <w:rPr>
          <w:bCs/>
        </w:rPr>
        <w:t xml:space="preserve">into </w:t>
      </w:r>
      <w:r w:rsidR="004F57BE">
        <w:rPr>
          <w:bCs/>
        </w:rPr>
        <w:t>the implementation of the UCT protections to small business with a focus of the compliance and enforcement activities of the regulators. The Commission released its Interim Report</w:t>
      </w:r>
      <w:r w:rsidR="004F57BE">
        <w:rPr>
          <w:rStyle w:val="FootnoteReference"/>
          <w:bCs/>
        </w:rPr>
        <w:footnoteReference w:id="7"/>
      </w:r>
      <w:r w:rsidR="004F57BE">
        <w:rPr>
          <w:bCs/>
        </w:rPr>
        <w:t xml:space="preserve"> on 28 September 2018 and is scheduled to submit its Final Report to the Govern</w:t>
      </w:r>
      <w:r w:rsidR="00A32FC1">
        <w:rPr>
          <w:bCs/>
        </w:rPr>
        <w:t>or-General</w:t>
      </w:r>
      <w:r w:rsidR="004F57BE">
        <w:rPr>
          <w:bCs/>
        </w:rPr>
        <w:t xml:space="preserve"> by 1 February 2019.</w:t>
      </w:r>
      <w:r w:rsidR="004F57BE">
        <w:rPr>
          <w:bCs/>
        </w:rPr>
        <w:br w:type="page"/>
      </w:r>
      <w:bookmarkStart w:id="47" w:name="_Toc306887373"/>
      <w:bookmarkStart w:id="48" w:name="_Toc432064637"/>
      <w:bookmarkStart w:id="49" w:name="_Toc476214107"/>
    </w:p>
    <w:p w14:paraId="6527A652" w14:textId="3A7FF415" w:rsidR="0015273A" w:rsidRPr="008767EB" w:rsidRDefault="000E0B74" w:rsidP="008767EB">
      <w:pPr>
        <w:pStyle w:val="Heading1Numbered"/>
      </w:pPr>
      <w:bookmarkStart w:id="50" w:name="_Toc527630527"/>
      <w:bookmarkStart w:id="51" w:name="_Toc529957604"/>
      <w:r>
        <w:lastRenderedPageBreak/>
        <w:t>Issues for discussion</w:t>
      </w:r>
      <w:bookmarkStart w:id="52" w:name="_Toc527541844"/>
      <w:bookmarkStart w:id="53" w:name="_Toc527630528"/>
      <w:bookmarkStart w:id="54" w:name="_Toc527632690"/>
      <w:bookmarkStart w:id="55" w:name="_Toc527636862"/>
      <w:bookmarkStart w:id="56" w:name="_Toc528588416"/>
      <w:bookmarkStart w:id="57" w:name="_Toc528762809"/>
      <w:bookmarkStart w:id="58" w:name="_Toc527630530"/>
      <w:bookmarkEnd w:id="47"/>
      <w:bookmarkEnd w:id="48"/>
      <w:bookmarkEnd w:id="49"/>
      <w:bookmarkEnd w:id="50"/>
      <w:bookmarkEnd w:id="52"/>
      <w:bookmarkEnd w:id="53"/>
      <w:bookmarkEnd w:id="54"/>
      <w:bookmarkEnd w:id="55"/>
      <w:bookmarkEnd w:id="56"/>
      <w:bookmarkEnd w:id="57"/>
      <w:bookmarkEnd w:id="51"/>
    </w:p>
    <w:p w14:paraId="1F3BBB2B" w14:textId="5DC83860" w:rsidR="00425DF4" w:rsidRDefault="00425DF4" w:rsidP="008767EB">
      <w:pPr>
        <w:pStyle w:val="Heading2Numbered"/>
      </w:pPr>
      <w:bookmarkStart w:id="59" w:name="_Toc529957605"/>
      <w:r>
        <w:t>Thresholds</w:t>
      </w:r>
      <w:bookmarkEnd w:id="58"/>
      <w:bookmarkEnd w:id="59"/>
    </w:p>
    <w:p w14:paraId="471DAB96" w14:textId="32C367BB" w:rsidR="00E83C30" w:rsidRPr="00313DC9" w:rsidRDefault="003839B7" w:rsidP="000B580B">
      <w:r>
        <w:t xml:space="preserve">It is important </w:t>
      </w:r>
      <w:r w:rsidR="00E058F1">
        <w:t>that</w:t>
      </w:r>
      <w:r>
        <w:t xml:space="preserve"> legislation be unambiguous </w:t>
      </w:r>
      <w:r w:rsidR="00E058F1">
        <w:t>to assist compliance and enforcement</w:t>
      </w:r>
      <w:r w:rsidR="00057665">
        <w:t>.</w:t>
      </w:r>
      <w:r w:rsidR="009D202F">
        <w:t xml:space="preserve"> </w:t>
      </w:r>
      <w:r w:rsidR="00BF1341" w:rsidRPr="00313DC9">
        <w:t>The current UCT protections apply to businesses that ha</w:t>
      </w:r>
      <w:r w:rsidR="00D42F8E">
        <w:t>ve</w:t>
      </w:r>
      <w:r w:rsidR="00BF1341" w:rsidRPr="00313DC9">
        <w:t xml:space="preserve"> fewer than 20 employees at the time of entering </w:t>
      </w:r>
      <w:r w:rsidR="00D42F8E">
        <w:t>a</w:t>
      </w:r>
      <w:r w:rsidR="00D42F8E" w:rsidRPr="00313DC9">
        <w:t xml:space="preserve"> </w:t>
      </w:r>
      <w:r w:rsidR="00BF1341" w:rsidRPr="00313DC9">
        <w:t>contract where the value of the contract did not exceed $300,000 (or $1 million for contracts longer than 1</w:t>
      </w:r>
      <w:r w:rsidR="00D14823">
        <w:t xml:space="preserve">2 months). This effectively sets two </w:t>
      </w:r>
      <w:r w:rsidR="00BF1341" w:rsidRPr="00313DC9">
        <w:t xml:space="preserve">thresholds for </w:t>
      </w:r>
      <w:r w:rsidR="00D14823">
        <w:t xml:space="preserve">the application of </w:t>
      </w:r>
      <w:r w:rsidR="00BF1341" w:rsidRPr="00313DC9">
        <w:t>UCT protections</w:t>
      </w:r>
      <w:r w:rsidR="00D42F8E">
        <w:t xml:space="preserve"> -</w:t>
      </w:r>
      <w:r w:rsidR="00BF1341" w:rsidRPr="00313DC9">
        <w:t xml:space="preserve"> </w:t>
      </w:r>
      <w:r w:rsidR="00D42F8E">
        <w:t xml:space="preserve">the </w:t>
      </w:r>
      <w:r w:rsidR="00BF1341" w:rsidRPr="00313DC9">
        <w:t xml:space="preserve">number of employees </w:t>
      </w:r>
      <w:r w:rsidR="00D42F8E">
        <w:t xml:space="preserve">of the business </w:t>
      </w:r>
      <w:r w:rsidR="00BF1341" w:rsidRPr="00313DC9">
        <w:t xml:space="preserve">and </w:t>
      </w:r>
      <w:r w:rsidR="00D42F8E">
        <w:t xml:space="preserve">the </w:t>
      </w:r>
      <w:r w:rsidR="00C85391">
        <w:t>monetary value of the</w:t>
      </w:r>
      <w:r w:rsidR="008767EB">
        <w:t xml:space="preserve"> contract.</w:t>
      </w:r>
    </w:p>
    <w:p w14:paraId="3ABEC01F" w14:textId="4E98F58E" w:rsidR="00E83C30" w:rsidRDefault="00BF1341" w:rsidP="008767EB">
      <w:pPr>
        <w:pStyle w:val="Heading3"/>
      </w:pPr>
      <w:bookmarkStart w:id="60" w:name="_Toc527630531"/>
      <w:bookmarkStart w:id="61" w:name="_Toc529957606"/>
      <w:r w:rsidRPr="008767EB">
        <w:t>Number</w:t>
      </w:r>
      <w:r>
        <w:t xml:space="preserve"> of employees</w:t>
      </w:r>
      <w:bookmarkEnd w:id="60"/>
      <w:bookmarkEnd w:id="61"/>
    </w:p>
    <w:p w14:paraId="3D084D54" w14:textId="0046EE9C" w:rsidR="00121D26" w:rsidRPr="00313DC9" w:rsidRDefault="005D0B88" w:rsidP="000B580B">
      <w:r>
        <w:t>The n</w:t>
      </w:r>
      <w:r w:rsidR="000A2B97" w:rsidRPr="00313DC9">
        <w:t xml:space="preserve">umber of employees </w:t>
      </w:r>
      <w:r>
        <w:t xml:space="preserve">of a business </w:t>
      </w:r>
      <w:r w:rsidR="000A2B97" w:rsidRPr="00313DC9">
        <w:t xml:space="preserve">is often used as </w:t>
      </w:r>
      <w:r>
        <w:t>a</w:t>
      </w:r>
      <w:r w:rsidR="000A2B97" w:rsidRPr="00313DC9" w:rsidDel="005D0B88">
        <w:t xml:space="preserve"> </w:t>
      </w:r>
      <w:r>
        <w:t>method of</w:t>
      </w:r>
      <w:r w:rsidR="000A2B97" w:rsidRPr="00313DC9">
        <w:t xml:space="preserve"> defin</w:t>
      </w:r>
      <w:r>
        <w:t>ing</w:t>
      </w:r>
      <w:r w:rsidR="000A2B97" w:rsidRPr="00313DC9">
        <w:t xml:space="preserve"> a small business. </w:t>
      </w:r>
      <w:r w:rsidR="00D55EB4" w:rsidRPr="00313DC9">
        <w:t xml:space="preserve">The employee number for defining small business under UCT protections is consistent with the small business definition adopted by the Australian Bureau of Statistics, the </w:t>
      </w:r>
      <w:r w:rsidR="00D55EB4" w:rsidRPr="00D14823">
        <w:rPr>
          <w:i/>
        </w:rPr>
        <w:t>Corporations Act 2001</w:t>
      </w:r>
      <w:r w:rsidR="00D55EB4" w:rsidRPr="00313DC9">
        <w:t xml:space="preserve"> and Section 12BC of the </w:t>
      </w:r>
      <w:r w:rsidR="00C94FC7" w:rsidRPr="009C5B1C">
        <w:t>ASIC Act</w:t>
      </w:r>
      <w:r w:rsidR="00C94FC7">
        <w:rPr>
          <w:rStyle w:val="FootnoteReference"/>
          <w:bCs/>
          <w:i/>
        </w:rPr>
        <w:footnoteReference w:id="8"/>
      </w:r>
      <w:r w:rsidR="00D55EB4" w:rsidRPr="00313DC9">
        <w:t>. The Senate Standing Committees on Economics al</w:t>
      </w:r>
      <w:r w:rsidR="00121D26" w:rsidRPr="00313DC9">
        <w:t xml:space="preserve">so </w:t>
      </w:r>
      <w:r w:rsidR="00D55EB4" w:rsidRPr="00313DC9">
        <w:t xml:space="preserve">endorsed the use of </w:t>
      </w:r>
      <w:r>
        <w:t xml:space="preserve">an </w:t>
      </w:r>
      <w:r w:rsidR="00D55EB4" w:rsidRPr="00313DC9">
        <w:t>employee headcount of 20 in defining small business for UCT protections</w:t>
      </w:r>
      <w:r>
        <w:t xml:space="preserve"> in its examination of the bill</w:t>
      </w:r>
      <w:r w:rsidR="006F525F">
        <w:t>.</w:t>
      </w:r>
      <w:r w:rsidR="006F525F">
        <w:rPr>
          <w:rStyle w:val="FootnoteReference"/>
          <w:bCs/>
        </w:rPr>
        <w:footnoteReference w:id="9"/>
      </w:r>
      <w:r w:rsidR="006F525F">
        <w:t xml:space="preserve"> </w:t>
      </w:r>
      <w:r w:rsidR="00FE4E20">
        <w:t xml:space="preserve">As at </w:t>
      </w:r>
      <w:r w:rsidR="00876A55">
        <w:t xml:space="preserve">June </w:t>
      </w:r>
      <w:r w:rsidR="00FE4E20">
        <w:t xml:space="preserve">2017, there were </w:t>
      </w:r>
      <w:r w:rsidR="00876A55">
        <w:t>approximately 2.2</w:t>
      </w:r>
      <w:r w:rsidR="00FE4E20">
        <w:t xml:space="preserve"> million actively trading businesses having employees fewer than 20</w:t>
      </w:r>
      <w:r w:rsidR="000E0B3C">
        <w:t xml:space="preserve"> in Australia</w:t>
      </w:r>
      <w:r w:rsidR="00FE4E20">
        <w:t>.</w:t>
      </w:r>
      <w:r w:rsidR="006F525F" w:rsidRPr="006F525F">
        <w:rPr>
          <w:rStyle w:val="FootnoteReference"/>
          <w:bCs/>
        </w:rPr>
        <w:t xml:space="preserve"> </w:t>
      </w:r>
      <w:r w:rsidR="006F525F">
        <w:rPr>
          <w:rStyle w:val="FootnoteReference"/>
          <w:bCs/>
        </w:rPr>
        <w:footnoteReference w:id="10"/>
      </w:r>
      <w:r w:rsidR="009D202F">
        <w:t xml:space="preserve"> </w:t>
      </w:r>
      <w:r w:rsidR="00A2597A">
        <w:t>Alternatively,</w:t>
      </w:r>
      <w:r w:rsidR="00A2597A" w:rsidRPr="00313DC9">
        <w:t xml:space="preserve"> </w:t>
      </w:r>
      <w:r w:rsidR="00A2597A">
        <w:t xml:space="preserve">the Australian Financial Complaints Authority defines a small business as an organisation with less than 100 employees, and the </w:t>
      </w:r>
      <w:r w:rsidR="00A2597A" w:rsidRPr="00475A6F">
        <w:rPr>
          <w:i/>
        </w:rPr>
        <w:t>Australian Small Business and Family Enterprise Ombudsman Act 2015</w:t>
      </w:r>
      <w:r w:rsidR="00A2597A">
        <w:t xml:space="preserve"> adopts 100 employees as one of the thresholds to define a small business.</w:t>
      </w:r>
    </w:p>
    <w:p w14:paraId="7566A4B3" w14:textId="119C4CBB" w:rsidR="00121D26" w:rsidRPr="00313DC9" w:rsidRDefault="00A2597A" w:rsidP="000B580B">
      <w:r>
        <w:t>T</w:t>
      </w:r>
      <w:r w:rsidR="00D122EC" w:rsidRPr="00313DC9">
        <w:t>he Government</w:t>
      </w:r>
      <w:r w:rsidR="00121D26" w:rsidRPr="00313DC9">
        <w:t xml:space="preserve"> is aware of the concerns </w:t>
      </w:r>
      <w:r w:rsidR="00D14823">
        <w:t>raised</w:t>
      </w:r>
      <w:r w:rsidR="00121D26" w:rsidRPr="00313DC9">
        <w:t xml:space="preserve"> by a number of industry stakeholders</w:t>
      </w:r>
      <w:r w:rsidR="00862951">
        <w:t xml:space="preserve"> </w:t>
      </w:r>
      <w:r w:rsidR="00862951" w:rsidRPr="00313DC9">
        <w:t xml:space="preserve">when the </w:t>
      </w:r>
      <w:r w:rsidR="00862951">
        <w:t>legislation was</w:t>
      </w:r>
      <w:r w:rsidR="00862951" w:rsidRPr="00313DC9">
        <w:t xml:space="preserve"> introduced</w:t>
      </w:r>
      <w:r w:rsidR="00121D26" w:rsidRPr="00313DC9">
        <w:t xml:space="preserve"> </w:t>
      </w:r>
      <w:r w:rsidR="00EC680D">
        <w:t xml:space="preserve">relating </w:t>
      </w:r>
      <w:r w:rsidR="00862951">
        <w:t>to</w:t>
      </w:r>
      <w:r w:rsidR="00121D26" w:rsidRPr="00313DC9">
        <w:t xml:space="preserve"> the </w:t>
      </w:r>
      <w:r w:rsidR="007547D2">
        <w:t>head</w:t>
      </w:r>
      <w:r w:rsidR="00D14823">
        <w:t xml:space="preserve">count </w:t>
      </w:r>
      <w:r w:rsidR="00121D26" w:rsidRPr="00313DC9">
        <w:t>approach used to define small business under UCT protections.</w:t>
      </w:r>
    </w:p>
    <w:p w14:paraId="10956B89" w14:textId="4251B2AC" w:rsidR="00121D26" w:rsidRDefault="00BB7EBB" w:rsidP="000B580B">
      <w:r w:rsidRPr="00313DC9">
        <w:t>T</w:t>
      </w:r>
      <w:r w:rsidR="00121D26" w:rsidRPr="00313DC9">
        <w:t xml:space="preserve">he Explanatory Memorandum </w:t>
      </w:r>
      <w:r w:rsidR="000E0B3C">
        <w:t>accompanying the Act</w:t>
      </w:r>
      <w:r w:rsidR="00121D26" w:rsidRPr="00313DC9">
        <w:t xml:space="preserve"> </w:t>
      </w:r>
      <w:r w:rsidR="008859AD">
        <w:t>discussed</w:t>
      </w:r>
      <w:r w:rsidR="008859AD" w:rsidRPr="00313DC9">
        <w:t xml:space="preserve"> </w:t>
      </w:r>
      <w:r w:rsidR="00121D26" w:rsidRPr="00313DC9">
        <w:t>an alternative definition of small business by using annual business turnover.</w:t>
      </w:r>
      <w:r w:rsidRPr="00313DC9">
        <w:t xml:space="preserve"> For instance, the Australian Tax Office defines a small business as a business with an annual turnover (excluding GST) less than $2 million.</w:t>
      </w:r>
      <w:r w:rsidR="00C35E25">
        <w:t xml:space="preserve"> However, a business turnover definition was not preferred by the Government at the time </w:t>
      </w:r>
      <w:r w:rsidR="000E0B3C">
        <w:t>on the basis that</w:t>
      </w:r>
      <w:r w:rsidR="00C35E25">
        <w:t xml:space="preserve"> it </w:t>
      </w:r>
      <w:r w:rsidR="000E0B3C">
        <w:t xml:space="preserve">may </w:t>
      </w:r>
      <w:r w:rsidR="006C507C">
        <w:t>provide</w:t>
      </w:r>
      <w:r w:rsidR="00C35E25">
        <w:t xml:space="preserve"> a less clear indicator of human resources capacity and could exclude small businesses in low margin and high turnover sectors (for example, petrol retailers).</w:t>
      </w:r>
    </w:p>
    <w:tbl>
      <w:tblPr>
        <w:tblW w:w="5000" w:type="pct"/>
        <w:shd w:val="clear" w:color="auto" w:fill="E3E7F0"/>
        <w:tblLook w:val="01E0" w:firstRow="1" w:lastRow="1" w:firstColumn="1" w:lastColumn="1" w:noHBand="0" w:noVBand="0"/>
      </w:tblPr>
      <w:tblGrid>
        <w:gridCol w:w="9286"/>
      </w:tblGrid>
      <w:tr w:rsidR="007C2F7F" w14:paraId="18F47C83" w14:textId="16C42218" w:rsidTr="00E2768D">
        <w:tc>
          <w:tcPr>
            <w:tcW w:w="5000" w:type="pct"/>
            <w:shd w:val="clear" w:color="auto" w:fill="E3E7F0"/>
          </w:tcPr>
          <w:p w14:paraId="4C4A6A52" w14:textId="425B27A8" w:rsidR="007C2F7F" w:rsidRPr="000553FE" w:rsidRDefault="007C2F7F" w:rsidP="007C2F7F">
            <w:pPr>
              <w:pStyle w:val="BoxHeading"/>
              <w:rPr>
                <w:b w:val="0"/>
              </w:rPr>
            </w:pPr>
            <w:r>
              <w:t>Discussion questions</w:t>
            </w:r>
          </w:p>
          <w:p w14:paraId="5DDD96F1" w14:textId="1DCD4067" w:rsidR="007C2F7F" w:rsidRPr="008950C5" w:rsidRDefault="007C2F7F" w:rsidP="007C2F7F">
            <w:pPr>
              <w:pStyle w:val="OutlineNumbered1"/>
            </w:pPr>
            <w:bookmarkStart w:id="62" w:name="tempbookmark"/>
            <w:r w:rsidRPr="007C2F7F">
              <w:t>Does the headcount approach work in practice? If so, is an employee number of 20, appropriate to define a small business for the purpose of UCT protections? If not, what are alternative approaches and what would be the benefit of adopting them?</w:t>
            </w:r>
            <w:bookmarkEnd w:id="62"/>
          </w:p>
        </w:tc>
      </w:tr>
    </w:tbl>
    <w:p w14:paraId="7FECCC96" w14:textId="77777777" w:rsidR="000B580B" w:rsidRPr="00313DC9" w:rsidRDefault="000B580B" w:rsidP="007C2F7F"/>
    <w:p w14:paraId="5FD61E18" w14:textId="53405603" w:rsidR="00BF1341" w:rsidRDefault="005B16EE" w:rsidP="008767EB">
      <w:pPr>
        <w:pStyle w:val="Heading3"/>
      </w:pPr>
      <w:bookmarkStart w:id="63" w:name="_Toc527630532"/>
      <w:bookmarkStart w:id="64" w:name="_Toc529957607"/>
      <w:r>
        <w:lastRenderedPageBreak/>
        <w:t>Monetary v</w:t>
      </w:r>
      <w:r w:rsidR="00BF1341">
        <w:t xml:space="preserve">alue of a </w:t>
      </w:r>
      <w:r w:rsidR="00BF1341" w:rsidRPr="008767EB">
        <w:t>contract</w:t>
      </w:r>
      <w:bookmarkEnd w:id="63"/>
      <w:bookmarkEnd w:id="64"/>
    </w:p>
    <w:p w14:paraId="64F70C70" w14:textId="01759838" w:rsidR="00D60D99" w:rsidRPr="00313DC9" w:rsidRDefault="005D0B88" w:rsidP="000B580B">
      <w:r>
        <w:t>C</w:t>
      </w:r>
      <w:r w:rsidR="008E062F" w:rsidRPr="00313DC9">
        <w:t xml:space="preserve">onsistent with the proposal </w:t>
      </w:r>
      <w:r>
        <w:t>contained in</w:t>
      </w:r>
      <w:r w:rsidRPr="00313DC9">
        <w:t xml:space="preserve"> </w:t>
      </w:r>
      <w:r w:rsidR="008E062F" w:rsidRPr="00313DC9">
        <w:t>the Decision Regulation Impact Statement</w:t>
      </w:r>
      <w:r w:rsidR="008E062F" w:rsidRPr="00E81827">
        <w:rPr>
          <w:rStyle w:val="FootnoteReference"/>
        </w:rPr>
        <w:footnoteReference w:id="11"/>
      </w:r>
      <w:r>
        <w:t xml:space="preserve"> that preceded the development of the Act</w:t>
      </w:r>
      <w:r w:rsidR="008E062F" w:rsidRPr="00313DC9">
        <w:t>, the Government initially proposed that the UCT protections would only</w:t>
      </w:r>
      <w:r w:rsidR="006E69C2">
        <w:t xml:space="preserve"> be</w:t>
      </w:r>
      <w:r w:rsidR="008E062F" w:rsidRPr="00313DC9">
        <w:t xml:space="preserve"> applicable to contracts which have an upfront price </w:t>
      </w:r>
      <w:r w:rsidR="009B5F6F">
        <w:t xml:space="preserve">that </w:t>
      </w:r>
      <w:r w:rsidR="008E062F" w:rsidRPr="00313DC9">
        <w:t>does not exceed either $100,000</w:t>
      </w:r>
      <w:r w:rsidR="006E69C2">
        <w:t>,</w:t>
      </w:r>
      <w:r w:rsidR="008E062F" w:rsidRPr="00313DC9">
        <w:t xml:space="preserve"> or </w:t>
      </w:r>
      <w:r w:rsidR="00E81827">
        <w:t>$</w:t>
      </w:r>
      <w:r w:rsidR="008E062F" w:rsidRPr="00313DC9">
        <w:t xml:space="preserve">250,000 if their duration is more than 12 months. </w:t>
      </w:r>
      <w:r w:rsidR="00D60D99" w:rsidRPr="00313DC9">
        <w:t xml:space="preserve">However, as the Senate Standing Committees on Economics recommended, the Government increased the value threshold substantially to the current </w:t>
      </w:r>
      <w:r w:rsidR="006A1C91">
        <w:t>monetary value.</w:t>
      </w:r>
    </w:p>
    <w:p w14:paraId="73972FCD" w14:textId="6E299AC8" w:rsidR="00E00AE8" w:rsidRDefault="006E69C2" w:rsidP="00D122EC">
      <w:pPr>
        <w:rPr>
          <w:bCs/>
        </w:rPr>
      </w:pPr>
      <w:r>
        <w:rPr>
          <w:bCs/>
        </w:rPr>
        <w:t>During the operation of the Act</w:t>
      </w:r>
      <w:r w:rsidR="00E00AE8">
        <w:rPr>
          <w:bCs/>
        </w:rPr>
        <w:t>,</w:t>
      </w:r>
      <w:r w:rsidR="00D60D99" w:rsidRPr="00313DC9">
        <w:rPr>
          <w:bCs/>
        </w:rPr>
        <w:t xml:space="preserve"> industry and regulators </w:t>
      </w:r>
      <w:r>
        <w:rPr>
          <w:bCs/>
        </w:rPr>
        <w:t xml:space="preserve">have </w:t>
      </w:r>
      <w:r w:rsidR="00D60D99" w:rsidRPr="00313DC9">
        <w:rPr>
          <w:bCs/>
        </w:rPr>
        <w:t>indicated that businesses have mixed views on the thresholds</w:t>
      </w:r>
      <w:r w:rsidR="00786B76" w:rsidRPr="00313DC9">
        <w:rPr>
          <w:bCs/>
        </w:rPr>
        <w:t xml:space="preserve">: </w:t>
      </w:r>
      <w:r w:rsidR="009B5F6F">
        <w:rPr>
          <w:bCs/>
        </w:rPr>
        <w:t xml:space="preserve">the views include </w:t>
      </w:r>
      <w:r>
        <w:rPr>
          <w:bCs/>
        </w:rPr>
        <w:t>preference</w:t>
      </w:r>
      <w:r w:rsidR="009B5F6F">
        <w:rPr>
          <w:bCs/>
        </w:rPr>
        <w:t>s</w:t>
      </w:r>
      <w:r>
        <w:rPr>
          <w:bCs/>
        </w:rPr>
        <w:t xml:space="preserve"> to </w:t>
      </w:r>
      <w:r w:rsidR="00786B76" w:rsidRPr="00313DC9">
        <w:rPr>
          <w:bCs/>
        </w:rPr>
        <w:t>retain</w:t>
      </w:r>
      <w:r>
        <w:rPr>
          <w:bCs/>
        </w:rPr>
        <w:t xml:space="preserve"> the current values</w:t>
      </w:r>
      <w:r w:rsidR="00786B76" w:rsidRPr="00313DC9">
        <w:rPr>
          <w:bCs/>
        </w:rPr>
        <w:t xml:space="preserve">, </w:t>
      </w:r>
      <w:r>
        <w:rPr>
          <w:bCs/>
        </w:rPr>
        <w:t xml:space="preserve">to </w:t>
      </w:r>
      <w:r w:rsidR="00786B76" w:rsidRPr="00313DC9">
        <w:rPr>
          <w:bCs/>
        </w:rPr>
        <w:t>increase</w:t>
      </w:r>
      <w:r>
        <w:rPr>
          <w:bCs/>
        </w:rPr>
        <w:t xml:space="preserve"> or</w:t>
      </w:r>
      <w:r w:rsidR="00786B76" w:rsidRPr="00313DC9">
        <w:rPr>
          <w:bCs/>
        </w:rPr>
        <w:t xml:space="preserve"> reduce </w:t>
      </w:r>
      <w:r>
        <w:rPr>
          <w:bCs/>
        </w:rPr>
        <w:t>the values and to</w:t>
      </w:r>
      <w:r w:rsidR="00786B76" w:rsidRPr="00313DC9">
        <w:rPr>
          <w:bCs/>
        </w:rPr>
        <w:t xml:space="preserve"> remove</w:t>
      </w:r>
      <w:r>
        <w:rPr>
          <w:bCs/>
        </w:rPr>
        <w:t xml:space="preserve"> them entirely</w:t>
      </w:r>
      <w:r w:rsidR="00786B76" w:rsidRPr="00313DC9">
        <w:rPr>
          <w:bCs/>
        </w:rPr>
        <w:t>.</w:t>
      </w:r>
    </w:p>
    <w:p w14:paraId="42C6CD72" w14:textId="766209F2" w:rsidR="00D60D99" w:rsidRDefault="00D27FDE" w:rsidP="00D122EC">
      <w:pPr>
        <w:rPr>
          <w:bCs/>
        </w:rPr>
      </w:pPr>
      <w:r>
        <w:rPr>
          <w:bCs/>
        </w:rPr>
        <w:t xml:space="preserve">As the </w:t>
      </w:r>
      <w:r w:rsidRPr="00D27FDE">
        <w:rPr>
          <w:bCs/>
        </w:rPr>
        <w:t>Senate Standing Committees on Economics</w:t>
      </w:r>
      <w:r>
        <w:rPr>
          <w:bCs/>
        </w:rPr>
        <w:t xml:space="preserve"> pointed out, a value threshold places the onus on small businesses to undertake due diligence for high-value transactions.</w:t>
      </w:r>
      <w:r w:rsidR="006F525F" w:rsidRPr="006F525F">
        <w:rPr>
          <w:rStyle w:val="FootnoteReference"/>
          <w:bCs/>
        </w:rPr>
        <w:t xml:space="preserve"> </w:t>
      </w:r>
      <w:r w:rsidR="006F525F">
        <w:rPr>
          <w:rStyle w:val="FootnoteReference"/>
          <w:bCs/>
        </w:rPr>
        <w:footnoteReference w:id="12"/>
      </w:r>
      <w:r>
        <w:rPr>
          <w:bCs/>
        </w:rPr>
        <w:t xml:space="preserve"> </w:t>
      </w:r>
      <w:r w:rsidR="009B5F6F">
        <w:rPr>
          <w:bCs/>
        </w:rPr>
        <w:t>This is to avoid a moral hazard situation occurring where a small business relied solely on the UCT protections without undertaking the necessary due diligence before signing a contract.</w:t>
      </w:r>
      <w:r w:rsidR="009D202F">
        <w:rPr>
          <w:bCs/>
        </w:rPr>
        <w:t xml:space="preserve"> </w:t>
      </w:r>
      <w:r w:rsidR="00786B76" w:rsidRPr="00313DC9">
        <w:rPr>
          <w:bCs/>
        </w:rPr>
        <w:t xml:space="preserve">While the </w:t>
      </w:r>
      <w:r>
        <w:rPr>
          <w:bCs/>
        </w:rPr>
        <w:t>legislation</w:t>
      </w:r>
      <w:r w:rsidR="00786B76" w:rsidRPr="00313DC9">
        <w:rPr>
          <w:bCs/>
        </w:rPr>
        <w:t xml:space="preserve"> appear</w:t>
      </w:r>
      <w:r>
        <w:rPr>
          <w:bCs/>
        </w:rPr>
        <w:t>s</w:t>
      </w:r>
      <w:r w:rsidR="00786B76" w:rsidRPr="00313DC9">
        <w:rPr>
          <w:bCs/>
        </w:rPr>
        <w:t xml:space="preserve"> to strike </w:t>
      </w:r>
      <w:r w:rsidR="006E69C2">
        <w:rPr>
          <w:bCs/>
        </w:rPr>
        <w:t>an appropriate</w:t>
      </w:r>
      <w:r w:rsidR="00E504D0" w:rsidRPr="00313DC9">
        <w:rPr>
          <w:bCs/>
        </w:rPr>
        <w:t xml:space="preserve"> </w:t>
      </w:r>
      <w:r w:rsidR="00786B76" w:rsidRPr="00313DC9">
        <w:rPr>
          <w:bCs/>
        </w:rPr>
        <w:t>balance</w:t>
      </w:r>
      <w:r>
        <w:rPr>
          <w:bCs/>
        </w:rPr>
        <w:t>,</w:t>
      </w:r>
      <w:r w:rsidR="004044E9" w:rsidRPr="00313DC9">
        <w:rPr>
          <w:bCs/>
        </w:rPr>
        <w:t xml:space="preserve"> </w:t>
      </w:r>
      <w:r w:rsidR="00E504D0" w:rsidRPr="00313DC9">
        <w:rPr>
          <w:bCs/>
        </w:rPr>
        <w:t xml:space="preserve">feedback </w:t>
      </w:r>
      <w:r w:rsidR="00F019E4">
        <w:rPr>
          <w:bCs/>
        </w:rPr>
        <w:t xml:space="preserve">will inform Government consideration as to </w:t>
      </w:r>
      <w:r w:rsidR="00E504D0" w:rsidRPr="00313DC9">
        <w:rPr>
          <w:bCs/>
        </w:rPr>
        <w:t>whether any improvements</w:t>
      </w:r>
      <w:r w:rsidR="00C75A92" w:rsidRPr="00313DC9">
        <w:rPr>
          <w:bCs/>
        </w:rPr>
        <w:t xml:space="preserve"> or adjustments</w:t>
      </w:r>
      <w:r w:rsidR="00E504D0" w:rsidRPr="00313DC9">
        <w:rPr>
          <w:bCs/>
        </w:rPr>
        <w:t xml:space="preserve"> </w:t>
      </w:r>
      <w:r w:rsidR="00275EC7" w:rsidRPr="00313DC9">
        <w:rPr>
          <w:bCs/>
        </w:rPr>
        <w:t>are required</w:t>
      </w:r>
      <w:r w:rsidR="004044E9" w:rsidRPr="00313DC9">
        <w:rPr>
          <w:bCs/>
        </w:rPr>
        <w:t xml:space="preserve"> for </w:t>
      </w:r>
      <w:r w:rsidR="00E81827">
        <w:rPr>
          <w:bCs/>
        </w:rPr>
        <w:t>the value threshold</w:t>
      </w:r>
      <w:r w:rsidR="006A1C91">
        <w:rPr>
          <w:bCs/>
        </w:rPr>
        <w:t>.</w:t>
      </w:r>
    </w:p>
    <w:p w14:paraId="0CF76FBF" w14:textId="25269B33" w:rsidR="00D27FDE" w:rsidRDefault="00F019E4" w:rsidP="00D122EC">
      <w:pPr>
        <w:rPr>
          <w:bCs/>
        </w:rPr>
      </w:pPr>
      <w:r>
        <w:rPr>
          <w:bCs/>
        </w:rPr>
        <w:t xml:space="preserve">During development of the legislation, some stakeholders noted the possible </w:t>
      </w:r>
      <w:r w:rsidR="00E4009F">
        <w:rPr>
          <w:bCs/>
        </w:rPr>
        <w:t xml:space="preserve">avoidance of the UCT protections by </w:t>
      </w:r>
      <w:r w:rsidR="00B84EF8">
        <w:rPr>
          <w:bCs/>
        </w:rPr>
        <w:t xml:space="preserve">businesses </w:t>
      </w:r>
      <w:r w:rsidR="00E4009F">
        <w:rPr>
          <w:bCs/>
        </w:rPr>
        <w:t xml:space="preserve">purposely increasing the value of contracts. For example, large businesses could increase the value of contracts </w:t>
      </w:r>
      <w:r w:rsidR="00E00AE8">
        <w:rPr>
          <w:bCs/>
        </w:rPr>
        <w:t xml:space="preserve">above the threshold </w:t>
      </w:r>
      <w:r w:rsidR="00E4009F">
        <w:rPr>
          <w:bCs/>
        </w:rPr>
        <w:t xml:space="preserve">by a notional amount or bundle </w:t>
      </w:r>
      <w:r w:rsidR="00194C4C">
        <w:rPr>
          <w:bCs/>
        </w:rPr>
        <w:t xml:space="preserve">small value contracts into a </w:t>
      </w:r>
      <w:r w:rsidR="00B84EF8">
        <w:rPr>
          <w:bCs/>
        </w:rPr>
        <w:t xml:space="preserve">single high </w:t>
      </w:r>
      <w:r w:rsidR="00194C4C">
        <w:rPr>
          <w:bCs/>
        </w:rPr>
        <w:t xml:space="preserve">value contract. The Government </w:t>
      </w:r>
      <w:r w:rsidR="00B84EF8">
        <w:rPr>
          <w:bCs/>
        </w:rPr>
        <w:t xml:space="preserve">has not seen any evidence that this is currently </w:t>
      </w:r>
      <w:r w:rsidR="00194C4C">
        <w:rPr>
          <w:bCs/>
        </w:rPr>
        <w:t>happening in the market.</w:t>
      </w:r>
    </w:p>
    <w:tbl>
      <w:tblPr>
        <w:tblW w:w="5000" w:type="pct"/>
        <w:shd w:val="clear" w:color="auto" w:fill="E3E7F0"/>
        <w:tblLook w:val="01E0" w:firstRow="1" w:lastRow="1" w:firstColumn="1" w:lastColumn="1" w:noHBand="0" w:noVBand="0"/>
      </w:tblPr>
      <w:tblGrid>
        <w:gridCol w:w="9286"/>
      </w:tblGrid>
      <w:tr w:rsidR="007C2F7F" w14:paraId="7DDF275F" w14:textId="77777777" w:rsidTr="00C80A26">
        <w:tc>
          <w:tcPr>
            <w:tcW w:w="5000" w:type="pct"/>
            <w:shd w:val="clear" w:color="auto" w:fill="E3E7F0"/>
          </w:tcPr>
          <w:p w14:paraId="296217E3" w14:textId="24F524CB" w:rsidR="007C2F7F" w:rsidRPr="000553FE" w:rsidRDefault="007C2F7F" w:rsidP="00C80A26">
            <w:pPr>
              <w:pStyle w:val="BoxHeading"/>
              <w:rPr>
                <w:b w:val="0"/>
              </w:rPr>
            </w:pPr>
            <w:r>
              <w:t>Discussion questions</w:t>
            </w:r>
          </w:p>
          <w:p w14:paraId="3796F54B" w14:textId="77777777" w:rsidR="007C2F7F" w:rsidRDefault="007C2F7F" w:rsidP="007C2F7F">
            <w:pPr>
              <w:pStyle w:val="OutlineNumbered1"/>
            </w:pPr>
            <w:r w:rsidRPr="007C2F7F">
              <w:t>Does the value threshold appropriately cover contracts that warrant UCT protections? If not, how should the thresholds be altered and why?</w:t>
            </w:r>
          </w:p>
          <w:p w14:paraId="333B1D48" w14:textId="57B70EBB" w:rsidR="007C2F7F" w:rsidRPr="008950C5" w:rsidRDefault="007C2F7F" w:rsidP="007C2F7F">
            <w:pPr>
              <w:pStyle w:val="OutlineNumbered1"/>
            </w:pPr>
            <w:r w:rsidRPr="007C2F7F">
              <w:t>Do you have experience or are you aware of any contracting practices designed or undertaken to avoid the UCT protections?</w:t>
            </w:r>
          </w:p>
        </w:tc>
      </w:tr>
    </w:tbl>
    <w:p w14:paraId="6BF67A92" w14:textId="596966DA" w:rsidR="00425DF4" w:rsidRDefault="00425DF4" w:rsidP="008767EB">
      <w:pPr>
        <w:pStyle w:val="Heading2Numbered"/>
      </w:pPr>
      <w:bookmarkStart w:id="65" w:name="_Toc527630533"/>
      <w:bookmarkStart w:id="66" w:name="_Toc529957608"/>
      <w:r>
        <w:t>Coverage</w:t>
      </w:r>
      <w:bookmarkEnd w:id="65"/>
      <w:bookmarkEnd w:id="66"/>
    </w:p>
    <w:p w14:paraId="067E2BFB" w14:textId="4B41D272" w:rsidR="00B84EF8" w:rsidRDefault="00927F77" w:rsidP="00927F77">
      <w:pPr>
        <w:rPr>
          <w:bCs/>
        </w:rPr>
      </w:pPr>
      <w:r w:rsidRPr="00313DC9">
        <w:rPr>
          <w:bCs/>
        </w:rPr>
        <w:t>The UCT protections are currently only applicable to standard form contracts</w:t>
      </w:r>
      <w:r w:rsidR="00B84EF8">
        <w:rPr>
          <w:bCs/>
        </w:rPr>
        <w:t xml:space="preserve">. In these instances, </w:t>
      </w:r>
      <w:r w:rsidRPr="00313DC9">
        <w:rPr>
          <w:bCs/>
        </w:rPr>
        <w:t xml:space="preserve">one of the parties </w:t>
      </w:r>
      <w:r w:rsidR="00B84EF8">
        <w:rPr>
          <w:bCs/>
        </w:rPr>
        <w:t xml:space="preserve">typically has </w:t>
      </w:r>
      <w:r w:rsidRPr="00313DC9">
        <w:rPr>
          <w:bCs/>
        </w:rPr>
        <w:t xml:space="preserve">limited bargaining power relating to the transaction or does not have </w:t>
      </w:r>
      <w:r w:rsidR="00B45F5A">
        <w:rPr>
          <w:bCs/>
        </w:rPr>
        <w:t xml:space="preserve">an </w:t>
      </w:r>
      <w:r w:rsidRPr="00313DC9">
        <w:rPr>
          <w:bCs/>
        </w:rPr>
        <w:t>effective opportunity to negotiate the terms of the transaction.</w:t>
      </w:r>
    </w:p>
    <w:p w14:paraId="314F0E3F" w14:textId="2AE54423" w:rsidR="00EA58A2" w:rsidRPr="00313DC9" w:rsidRDefault="003C4F70" w:rsidP="00927F77">
      <w:pPr>
        <w:rPr>
          <w:bCs/>
        </w:rPr>
      </w:pPr>
      <w:r w:rsidRPr="00313DC9">
        <w:rPr>
          <w:bCs/>
        </w:rPr>
        <w:t xml:space="preserve">Standard </w:t>
      </w:r>
      <w:r w:rsidR="002E6258">
        <w:rPr>
          <w:bCs/>
        </w:rPr>
        <w:t>form contracts are normally pre</w:t>
      </w:r>
      <w:r w:rsidR="002E6258">
        <w:rPr>
          <w:bCs/>
        </w:rPr>
        <w:noBreakHyphen/>
      </w:r>
      <w:r w:rsidRPr="00313DC9">
        <w:rPr>
          <w:bCs/>
        </w:rPr>
        <w:t>prepared by one party</w:t>
      </w:r>
      <w:r w:rsidR="00B84EF8">
        <w:rPr>
          <w:bCs/>
        </w:rPr>
        <w:t xml:space="preserve"> and are typically offered on a </w:t>
      </w:r>
      <w:r w:rsidRPr="00313DC9">
        <w:rPr>
          <w:bCs/>
        </w:rPr>
        <w:t xml:space="preserve">‘take it or leave it’ </w:t>
      </w:r>
      <w:r w:rsidR="00B84EF8">
        <w:rPr>
          <w:bCs/>
        </w:rPr>
        <w:t xml:space="preserve">basis to </w:t>
      </w:r>
      <w:r w:rsidRPr="00313DC9">
        <w:rPr>
          <w:bCs/>
        </w:rPr>
        <w:t>the counterparty.</w:t>
      </w:r>
      <w:r w:rsidR="00EA58A2" w:rsidRPr="00313DC9">
        <w:rPr>
          <w:bCs/>
        </w:rPr>
        <w:t xml:space="preserve"> Standard form contracts are widely used in Australia when businesses and consumers purchase goods</w:t>
      </w:r>
      <w:r w:rsidR="00331467">
        <w:rPr>
          <w:bCs/>
        </w:rPr>
        <w:t xml:space="preserve"> and services as they are cost</w:t>
      </w:r>
      <w:r w:rsidR="00EA58A2" w:rsidRPr="00313DC9">
        <w:rPr>
          <w:bCs/>
        </w:rPr>
        <w:t xml:space="preserve"> effective</w:t>
      </w:r>
      <w:r w:rsidR="006C507C">
        <w:rPr>
          <w:bCs/>
        </w:rPr>
        <w:t xml:space="preserve">; avoiding </w:t>
      </w:r>
      <w:r w:rsidR="00EA58A2" w:rsidRPr="00313DC9">
        <w:rPr>
          <w:bCs/>
        </w:rPr>
        <w:t>unnece</w:t>
      </w:r>
      <w:r w:rsidR="008767EB">
        <w:rPr>
          <w:bCs/>
        </w:rPr>
        <w:t>ssary transaction costs.</w:t>
      </w:r>
    </w:p>
    <w:p w14:paraId="07FBD9A6" w14:textId="3873C583" w:rsidR="00057665" w:rsidRDefault="0063346A" w:rsidP="005E09A9">
      <w:pPr>
        <w:keepNext/>
        <w:rPr>
          <w:bCs/>
        </w:rPr>
      </w:pPr>
      <w:r w:rsidRPr="00313DC9">
        <w:rPr>
          <w:bCs/>
        </w:rPr>
        <w:lastRenderedPageBreak/>
        <w:t xml:space="preserve">While the </w:t>
      </w:r>
      <w:r w:rsidR="00E81827">
        <w:rPr>
          <w:bCs/>
        </w:rPr>
        <w:t>ACL</w:t>
      </w:r>
      <w:r w:rsidR="00ED1904">
        <w:rPr>
          <w:bCs/>
        </w:rPr>
        <w:t xml:space="preserve"> and the ASIC Act</w:t>
      </w:r>
      <w:r w:rsidRPr="00313DC9">
        <w:rPr>
          <w:bCs/>
        </w:rPr>
        <w:t xml:space="preserve"> do not </w:t>
      </w:r>
      <w:r w:rsidR="00A549F1">
        <w:rPr>
          <w:bCs/>
        </w:rPr>
        <w:t>contain</w:t>
      </w:r>
      <w:r w:rsidRPr="00313DC9">
        <w:rPr>
          <w:bCs/>
        </w:rPr>
        <w:t xml:space="preserve"> a legal definition for what is a standard form contract, </w:t>
      </w:r>
      <w:r w:rsidR="00ED1904">
        <w:rPr>
          <w:bCs/>
        </w:rPr>
        <w:t>they</w:t>
      </w:r>
      <w:r w:rsidR="00ED1904" w:rsidRPr="00313DC9">
        <w:rPr>
          <w:bCs/>
        </w:rPr>
        <w:t xml:space="preserve"> </w:t>
      </w:r>
      <w:r w:rsidRPr="00313DC9">
        <w:rPr>
          <w:bCs/>
        </w:rPr>
        <w:t xml:space="preserve">set out a number of matters for a court to consider </w:t>
      </w:r>
      <w:r w:rsidR="002E6258">
        <w:rPr>
          <w:bCs/>
        </w:rPr>
        <w:t>in determining</w:t>
      </w:r>
      <w:r w:rsidRPr="00313DC9">
        <w:rPr>
          <w:bCs/>
        </w:rPr>
        <w:t xml:space="preserve"> if a contract is a standard form contract</w:t>
      </w:r>
      <w:r w:rsidR="00A549F1">
        <w:rPr>
          <w:bCs/>
        </w:rPr>
        <w:t>. These are:</w:t>
      </w:r>
    </w:p>
    <w:p w14:paraId="16AAEE00" w14:textId="07DC5BF2" w:rsidR="00057665" w:rsidRDefault="0063346A" w:rsidP="005E09A9">
      <w:pPr>
        <w:pStyle w:val="Bullet"/>
        <w:keepNext/>
      </w:pPr>
      <w:r w:rsidRPr="00313DC9">
        <w:t>whether one of the parties has all or most of the bargaining power relating to the transaction</w:t>
      </w:r>
      <w:r w:rsidR="008767EB">
        <w:t>;</w:t>
      </w:r>
    </w:p>
    <w:p w14:paraId="648BD8B6" w14:textId="040428F1" w:rsidR="00057665" w:rsidRDefault="00057665" w:rsidP="00F667C6">
      <w:pPr>
        <w:pStyle w:val="Bullet"/>
      </w:pPr>
      <w:r>
        <w:t>whether the contract was prepared by one party before any discussi</w:t>
      </w:r>
      <w:r w:rsidR="008767EB">
        <w:t>on relation to the transaction;</w:t>
      </w:r>
    </w:p>
    <w:p w14:paraId="46BD1700" w14:textId="7CF63BB1" w:rsidR="00057665" w:rsidRDefault="00057665" w:rsidP="00F667C6">
      <w:pPr>
        <w:pStyle w:val="Bullet"/>
      </w:pPr>
      <w:r>
        <w:t xml:space="preserve">where another party was, in effect, required either to accept or reject the terms of the </w:t>
      </w:r>
      <w:r w:rsidR="008767EB">
        <w:t>contract in the form presented;</w:t>
      </w:r>
    </w:p>
    <w:p w14:paraId="48107E4F" w14:textId="00736805" w:rsidR="00057665" w:rsidRDefault="00057665" w:rsidP="00F667C6">
      <w:pPr>
        <w:pStyle w:val="Bullet"/>
      </w:pPr>
      <w:r>
        <w:t>whether another party was given an effective opportunity to negot</w:t>
      </w:r>
      <w:r w:rsidR="008767EB">
        <w:t>iate the terms of the contract;</w:t>
      </w:r>
    </w:p>
    <w:p w14:paraId="608305B1" w14:textId="3B27A8AA" w:rsidR="00057665" w:rsidRDefault="00057665" w:rsidP="00F667C6">
      <w:pPr>
        <w:pStyle w:val="Bullet"/>
      </w:pPr>
      <w:r>
        <w:t>whether the terms of the contract take into account the specific characteristics of another party or t</w:t>
      </w:r>
      <w:r w:rsidR="008767EB">
        <w:t>he particular transactions; and</w:t>
      </w:r>
    </w:p>
    <w:p w14:paraId="72C2FEB9" w14:textId="7F39AE21" w:rsidR="00B84EF8" w:rsidRDefault="00057665" w:rsidP="00F667C6">
      <w:pPr>
        <w:pStyle w:val="Bullet"/>
      </w:pPr>
      <w:r>
        <w:t>any other matter prescribed by the regulation</w:t>
      </w:r>
      <w:r w:rsidR="000128A4">
        <w:t>.</w:t>
      </w:r>
    </w:p>
    <w:p w14:paraId="12A5B435" w14:textId="4B195F31" w:rsidR="002E7EA4" w:rsidRDefault="002E7EA4" w:rsidP="00927F77">
      <w:pPr>
        <w:rPr>
          <w:bCs/>
        </w:rPr>
      </w:pPr>
      <w:r>
        <w:rPr>
          <w:bCs/>
        </w:rPr>
        <w:t>Provisions of the law require that, if a party to a proceeding alleges that a contract is a standard form contract, it is presumed to be a standard form contract unless another party to t</w:t>
      </w:r>
      <w:r w:rsidR="008767EB">
        <w:rPr>
          <w:bCs/>
        </w:rPr>
        <w:t>he proceeding proves otherwise.</w:t>
      </w:r>
    </w:p>
    <w:p w14:paraId="4047BBAD" w14:textId="0988606E" w:rsidR="00516643" w:rsidRDefault="002E7EA4" w:rsidP="00927F77">
      <w:pPr>
        <w:rPr>
          <w:bCs/>
        </w:rPr>
      </w:pPr>
      <w:r>
        <w:rPr>
          <w:bCs/>
        </w:rPr>
        <w:t>However</w:t>
      </w:r>
      <w:r w:rsidR="00B84EF8" w:rsidDel="002E7EA4">
        <w:rPr>
          <w:bCs/>
        </w:rPr>
        <w:t xml:space="preserve">, </w:t>
      </w:r>
      <w:r w:rsidR="00B84EF8">
        <w:rPr>
          <w:bCs/>
        </w:rPr>
        <w:t>i</w:t>
      </w:r>
      <w:r w:rsidR="00516643" w:rsidRPr="00313DC9">
        <w:rPr>
          <w:bCs/>
        </w:rPr>
        <w:t xml:space="preserve">t is ultimately a </w:t>
      </w:r>
      <w:r w:rsidR="00B84EF8">
        <w:rPr>
          <w:bCs/>
        </w:rPr>
        <w:t xml:space="preserve">matter for a court to determine </w:t>
      </w:r>
      <w:r w:rsidR="00516643" w:rsidRPr="00313DC9">
        <w:rPr>
          <w:bCs/>
        </w:rPr>
        <w:t>whether a contract is a standard form contract</w:t>
      </w:r>
      <w:r w:rsidR="00B84EF8">
        <w:rPr>
          <w:bCs/>
        </w:rPr>
        <w:t xml:space="preserve">. </w:t>
      </w:r>
      <w:r w:rsidR="00FF5905" w:rsidRPr="00AB328B">
        <w:rPr>
          <w:bCs/>
        </w:rPr>
        <w:t>Some small businesses</w:t>
      </w:r>
      <w:r w:rsidR="006C507C" w:rsidRPr="00AB328B">
        <w:t>,</w:t>
      </w:r>
      <w:r w:rsidR="006C507C">
        <w:rPr>
          <w:bCs/>
        </w:rPr>
        <w:t xml:space="preserve"> w</w:t>
      </w:r>
      <w:r w:rsidR="00B84EF8">
        <w:rPr>
          <w:bCs/>
        </w:rPr>
        <w:t xml:space="preserve">hen entering into a contract, </w:t>
      </w:r>
      <w:r w:rsidR="00FF5905">
        <w:rPr>
          <w:bCs/>
        </w:rPr>
        <w:t>may</w:t>
      </w:r>
      <w:r w:rsidR="006C507C">
        <w:rPr>
          <w:bCs/>
        </w:rPr>
        <w:t xml:space="preserve"> </w:t>
      </w:r>
      <w:r w:rsidR="00B84EF8">
        <w:rPr>
          <w:bCs/>
        </w:rPr>
        <w:t xml:space="preserve">benefit from greater certainty </w:t>
      </w:r>
      <w:r w:rsidR="00A549F1">
        <w:rPr>
          <w:bCs/>
        </w:rPr>
        <w:t>as to</w:t>
      </w:r>
      <w:r w:rsidR="00F667C6">
        <w:rPr>
          <w:bCs/>
        </w:rPr>
        <w:t xml:space="preserve"> </w:t>
      </w:r>
      <w:r w:rsidR="00B84EF8">
        <w:rPr>
          <w:bCs/>
        </w:rPr>
        <w:t xml:space="preserve">whether the contract they intend to sign </w:t>
      </w:r>
      <w:r w:rsidR="00516643" w:rsidRPr="00313DC9">
        <w:rPr>
          <w:bCs/>
        </w:rPr>
        <w:t xml:space="preserve">is likely to </w:t>
      </w:r>
      <w:r w:rsidR="00B84EF8">
        <w:rPr>
          <w:bCs/>
        </w:rPr>
        <w:t xml:space="preserve">fall within the protections of the </w:t>
      </w:r>
      <w:r w:rsidR="00516643" w:rsidRPr="00313DC9">
        <w:rPr>
          <w:bCs/>
        </w:rPr>
        <w:t>UCT regime</w:t>
      </w:r>
      <w:r w:rsidR="009C5B1C">
        <w:rPr>
          <w:bCs/>
        </w:rPr>
        <w:t xml:space="preserve"> where a </w:t>
      </w:r>
      <w:r w:rsidR="004829E0">
        <w:rPr>
          <w:bCs/>
        </w:rPr>
        <w:t xml:space="preserve">claim that a contract is a standard form contract </w:t>
      </w:r>
      <w:r w:rsidR="009C5B1C">
        <w:rPr>
          <w:bCs/>
        </w:rPr>
        <w:t>may be challenged</w:t>
      </w:r>
      <w:r w:rsidR="008767EB">
        <w:rPr>
          <w:bCs/>
        </w:rPr>
        <w:t>.</w:t>
      </w:r>
    </w:p>
    <w:tbl>
      <w:tblPr>
        <w:tblW w:w="5000" w:type="pct"/>
        <w:shd w:val="clear" w:color="auto" w:fill="E3E7F0"/>
        <w:tblLook w:val="01E0" w:firstRow="1" w:lastRow="1" w:firstColumn="1" w:lastColumn="1" w:noHBand="0" w:noVBand="0"/>
      </w:tblPr>
      <w:tblGrid>
        <w:gridCol w:w="9286"/>
      </w:tblGrid>
      <w:tr w:rsidR="007C2F7F" w14:paraId="5A7DCBD3" w14:textId="77777777" w:rsidTr="00C80A26">
        <w:tc>
          <w:tcPr>
            <w:tcW w:w="5000" w:type="pct"/>
            <w:shd w:val="clear" w:color="auto" w:fill="E3E7F0"/>
          </w:tcPr>
          <w:p w14:paraId="06B3A571" w14:textId="4819626C" w:rsidR="007C2F7F" w:rsidRPr="000553FE" w:rsidRDefault="007C2F7F" w:rsidP="00C80A26">
            <w:pPr>
              <w:pStyle w:val="BoxHeading"/>
              <w:rPr>
                <w:b w:val="0"/>
              </w:rPr>
            </w:pPr>
            <w:r>
              <w:t>Discussion questions</w:t>
            </w:r>
          </w:p>
          <w:p w14:paraId="34DE9819" w14:textId="76A8B3AC" w:rsidR="007C2F7F" w:rsidRPr="008950C5" w:rsidRDefault="007C2F7F" w:rsidP="007C2F7F">
            <w:pPr>
              <w:pStyle w:val="OutlineNumbered1"/>
            </w:pPr>
            <w:r w:rsidRPr="007C2F7F">
              <w:t>In your experience, what factors and circumstances make it difficult to determine whether a contract is a standard form contract? What clarifications would assist with making this determination? Can you provide examples?</w:t>
            </w:r>
          </w:p>
        </w:tc>
      </w:tr>
    </w:tbl>
    <w:p w14:paraId="00B1A11D" w14:textId="5DF7CF03" w:rsidR="00754732" w:rsidRDefault="00425DF4" w:rsidP="008767EB">
      <w:pPr>
        <w:pStyle w:val="Heading2Numbered"/>
      </w:pPr>
      <w:bookmarkStart w:id="67" w:name="_Toc527630534"/>
      <w:bookmarkStart w:id="68" w:name="_Toc529957609"/>
      <w:r>
        <w:t>Exemptions</w:t>
      </w:r>
      <w:bookmarkEnd w:id="67"/>
      <w:bookmarkEnd w:id="68"/>
    </w:p>
    <w:p w14:paraId="4D1A4ADB" w14:textId="77777777" w:rsidR="00BC3B1A" w:rsidRDefault="00754732" w:rsidP="00754732">
      <w:pPr>
        <w:rPr>
          <w:bCs/>
        </w:rPr>
      </w:pPr>
      <w:r w:rsidRPr="00313DC9">
        <w:rPr>
          <w:bCs/>
        </w:rPr>
        <w:t>The UCT protections do not apply to terms that</w:t>
      </w:r>
      <w:r w:rsidR="00BC3B1A">
        <w:rPr>
          <w:bCs/>
        </w:rPr>
        <w:t>:</w:t>
      </w:r>
    </w:p>
    <w:p w14:paraId="0D8E69EB" w14:textId="4A8D1644" w:rsidR="00BC3B1A" w:rsidRDefault="00754732" w:rsidP="00F22550">
      <w:pPr>
        <w:pStyle w:val="Bullet"/>
      </w:pPr>
      <w:r w:rsidRPr="00313DC9">
        <w:t>define the main subject matter of the contract</w:t>
      </w:r>
      <w:r w:rsidR="00BC3B1A">
        <w:t>;</w:t>
      </w:r>
    </w:p>
    <w:p w14:paraId="6B85B0D4" w14:textId="0153487D" w:rsidR="00BC3B1A" w:rsidRDefault="00754732" w:rsidP="00F22550">
      <w:pPr>
        <w:pStyle w:val="Bullet"/>
      </w:pPr>
      <w:r w:rsidRPr="00313DC9">
        <w:t>set the upfront price payable under the contract</w:t>
      </w:r>
      <w:r w:rsidR="00BC3B1A">
        <w:t>;</w:t>
      </w:r>
      <w:r w:rsidR="008767EB">
        <w:t xml:space="preserve"> and</w:t>
      </w:r>
    </w:p>
    <w:p w14:paraId="6E154BB0" w14:textId="1EF6A0AD" w:rsidR="00215790" w:rsidRPr="00313DC9" w:rsidRDefault="00754732" w:rsidP="00F22550">
      <w:pPr>
        <w:pStyle w:val="Bullet"/>
      </w:pPr>
      <w:r w:rsidRPr="00313DC9">
        <w:t>are required, or expressly permitted, by a law of the Commonwealth, a state or territory.</w:t>
      </w:r>
    </w:p>
    <w:p w14:paraId="25CDA08E" w14:textId="3D5892C3" w:rsidR="00B43877" w:rsidRDefault="003E2670" w:rsidP="00754732">
      <w:pPr>
        <w:rPr>
          <w:bCs/>
        </w:rPr>
      </w:pPr>
      <w:r>
        <w:rPr>
          <w:bCs/>
        </w:rPr>
        <w:t>There is also an exemption mechanism that allows certain contracts to be excluded from the protections</w:t>
      </w:r>
      <w:r w:rsidR="008C34EA">
        <w:rPr>
          <w:bCs/>
        </w:rPr>
        <w:t>,</w:t>
      </w:r>
      <w:r>
        <w:rPr>
          <w:bCs/>
        </w:rPr>
        <w:t xml:space="preserve"> where</w:t>
      </w:r>
      <w:r w:rsidR="008C34EA">
        <w:rPr>
          <w:bCs/>
        </w:rPr>
        <w:t xml:space="preserve"> those contracts are</w:t>
      </w:r>
      <w:r>
        <w:rPr>
          <w:bCs/>
        </w:rPr>
        <w:t xml:space="preserve"> </w:t>
      </w:r>
      <w:r w:rsidR="008C34EA">
        <w:rPr>
          <w:bCs/>
        </w:rPr>
        <w:t>subject to</w:t>
      </w:r>
      <w:r>
        <w:rPr>
          <w:bCs/>
        </w:rPr>
        <w:t xml:space="preserve"> equivalent and enforceable protection</w:t>
      </w:r>
      <w:r w:rsidR="008C34EA">
        <w:rPr>
          <w:bCs/>
        </w:rPr>
        <w:t>s</w:t>
      </w:r>
      <w:r>
        <w:rPr>
          <w:bCs/>
        </w:rPr>
        <w:t xml:space="preserve"> under </w:t>
      </w:r>
      <w:r w:rsidR="008C34EA">
        <w:rPr>
          <w:bCs/>
        </w:rPr>
        <w:t xml:space="preserve">a </w:t>
      </w:r>
      <w:r>
        <w:rPr>
          <w:bCs/>
        </w:rPr>
        <w:t>law</w:t>
      </w:r>
      <w:r w:rsidR="008C34EA">
        <w:rPr>
          <w:bCs/>
        </w:rPr>
        <w:t xml:space="preserve"> that is prescribed by regulation</w:t>
      </w:r>
      <w:r>
        <w:rPr>
          <w:bCs/>
        </w:rPr>
        <w:t>.</w:t>
      </w:r>
      <w:r w:rsidR="006C4498">
        <w:rPr>
          <w:bCs/>
        </w:rPr>
        <w:t xml:space="preserve"> Th</w:t>
      </w:r>
      <w:r w:rsidR="008C34EA">
        <w:rPr>
          <w:bCs/>
        </w:rPr>
        <w:t>is</w:t>
      </w:r>
      <w:r w:rsidR="006C4498">
        <w:rPr>
          <w:bCs/>
        </w:rPr>
        <w:t xml:space="preserve"> mechanism </w:t>
      </w:r>
      <w:r w:rsidR="008C34EA">
        <w:rPr>
          <w:bCs/>
        </w:rPr>
        <w:t>applies</w:t>
      </w:r>
      <w:r w:rsidR="006C4498">
        <w:rPr>
          <w:bCs/>
        </w:rPr>
        <w:t xml:space="preserve"> </w:t>
      </w:r>
      <w:r w:rsidR="008C34EA">
        <w:rPr>
          <w:bCs/>
        </w:rPr>
        <w:t>to</w:t>
      </w:r>
      <w:r w:rsidR="006C4498">
        <w:rPr>
          <w:bCs/>
        </w:rPr>
        <w:t xml:space="preserve"> both of the ACL and the ASIC Act</w:t>
      </w:r>
      <w:r w:rsidR="006C4498">
        <w:rPr>
          <w:rStyle w:val="FootnoteReference"/>
          <w:bCs/>
        </w:rPr>
        <w:footnoteReference w:id="13"/>
      </w:r>
      <w:r w:rsidR="006C4498">
        <w:rPr>
          <w:bCs/>
        </w:rPr>
        <w:t xml:space="preserve">. The purpose of this mechanism is to avoid regulatory duplication. Industry self-regulation </w:t>
      </w:r>
      <w:r w:rsidR="008C34EA">
        <w:rPr>
          <w:bCs/>
        </w:rPr>
        <w:t>is not</w:t>
      </w:r>
      <w:r w:rsidR="006C4498">
        <w:rPr>
          <w:bCs/>
        </w:rPr>
        <w:t xml:space="preserve"> </w:t>
      </w:r>
      <w:r w:rsidR="00B4437C">
        <w:rPr>
          <w:bCs/>
        </w:rPr>
        <w:t>exempted</w:t>
      </w:r>
      <w:r w:rsidR="006C4498">
        <w:rPr>
          <w:bCs/>
        </w:rPr>
        <w:t xml:space="preserve"> as </w:t>
      </w:r>
      <w:r w:rsidR="00B919D8">
        <w:rPr>
          <w:bCs/>
        </w:rPr>
        <w:t>it is</w:t>
      </w:r>
      <w:r w:rsidR="006C4498">
        <w:rPr>
          <w:bCs/>
        </w:rPr>
        <w:t xml:space="preserve"> not enforceable. </w:t>
      </w:r>
      <w:r>
        <w:rPr>
          <w:bCs/>
        </w:rPr>
        <w:t>To date,</w:t>
      </w:r>
      <w:r w:rsidR="000128A4">
        <w:rPr>
          <w:bCs/>
        </w:rPr>
        <w:t xml:space="preserve"> no contracts </w:t>
      </w:r>
      <w:r w:rsidR="00331467">
        <w:rPr>
          <w:bCs/>
        </w:rPr>
        <w:t xml:space="preserve">have been made </w:t>
      </w:r>
      <w:r w:rsidR="003D244F">
        <w:rPr>
          <w:bCs/>
        </w:rPr>
        <w:t>exempt from the UCT protection</w:t>
      </w:r>
      <w:r w:rsidR="00B919D8">
        <w:rPr>
          <w:bCs/>
        </w:rPr>
        <w:t>s</w:t>
      </w:r>
      <w:r w:rsidR="003D244F">
        <w:rPr>
          <w:bCs/>
        </w:rPr>
        <w:t xml:space="preserve"> under </w:t>
      </w:r>
      <w:r w:rsidR="008C34EA">
        <w:rPr>
          <w:bCs/>
        </w:rPr>
        <w:t xml:space="preserve">the </w:t>
      </w:r>
      <w:r>
        <w:rPr>
          <w:bCs/>
        </w:rPr>
        <w:t>mechanism.</w:t>
      </w:r>
    </w:p>
    <w:p w14:paraId="611866A1" w14:textId="7E8DD24A" w:rsidR="003E2670" w:rsidRDefault="00B4437C" w:rsidP="00754732">
      <w:pPr>
        <w:rPr>
          <w:bCs/>
        </w:rPr>
      </w:pPr>
      <w:r>
        <w:rPr>
          <w:bCs/>
        </w:rPr>
        <w:t xml:space="preserve">In addition, the UCT provisions do not apply to contracts of marine salvage or towage, ship charter parties, contracts for the carriage of goods by ship, or provisions in the constitution </w:t>
      </w:r>
      <w:r w:rsidR="008C34EA">
        <w:rPr>
          <w:bCs/>
        </w:rPr>
        <w:t>of a company, managed investment scheme</w:t>
      </w:r>
      <w:r w:rsidR="00B919D8">
        <w:rPr>
          <w:bCs/>
        </w:rPr>
        <w:t>s</w:t>
      </w:r>
      <w:r w:rsidR="008C34EA">
        <w:rPr>
          <w:bCs/>
        </w:rPr>
        <w:t xml:space="preserve"> or other </w:t>
      </w:r>
      <w:r w:rsidR="00B919D8">
        <w:rPr>
          <w:bCs/>
        </w:rPr>
        <w:t>similar</w:t>
      </w:r>
      <w:r w:rsidR="008C34EA">
        <w:rPr>
          <w:bCs/>
        </w:rPr>
        <w:t xml:space="preserve"> bod</w:t>
      </w:r>
      <w:r w:rsidR="00B919D8">
        <w:rPr>
          <w:bCs/>
        </w:rPr>
        <w:t>ies</w:t>
      </w:r>
      <w:r w:rsidR="008C34EA">
        <w:rPr>
          <w:bCs/>
        </w:rPr>
        <w:t>.</w:t>
      </w:r>
    </w:p>
    <w:p w14:paraId="14F5D6D1" w14:textId="54B32C68" w:rsidR="00730460" w:rsidRDefault="00215790" w:rsidP="00754732">
      <w:pPr>
        <w:rPr>
          <w:bCs/>
        </w:rPr>
      </w:pPr>
      <w:r w:rsidRPr="00313DC9">
        <w:rPr>
          <w:bCs/>
        </w:rPr>
        <w:lastRenderedPageBreak/>
        <w:t>The Government is aware of suggestions made by industry stakeholders when the protections were introduced</w:t>
      </w:r>
      <w:r w:rsidR="001C1E10">
        <w:rPr>
          <w:bCs/>
        </w:rPr>
        <w:t>,</w:t>
      </w:r>
      <w:r w:rsidRPr="00313DC9">
        <w:rPr>
          <w:bCs/>
        </w:rPr>
        <w:t xml:space="preserve"> </w:t>
      </w:r>
      <w:r w:rsidR="00BC3B1A">
        <w:rPr>
          <w:bCs/>
        </w:rPr>
        <w:t>that</w:t>
      </w:r>
      <w:r w:rsidRPr="00313DC9" w:rsidDel="00BC3B1A">
        <w:rPr>
          <w:bCs/>
        </w:rPr>
        <w:t xml:space="preserve"> </w:t>
      </w:r>
      <w:r w:rsidRPr="00313DC9">
        <w:rPr>
          <w:bCs/>
        </w:rPr>
        <w:t xml:space="preserve">certain business contracts or terms </w:t>
      </w:r>
      <w:r w:rsidR="00BC3B1A">
        <w:rPr>
          <w:bCs/>
        </w:rPr>
        <w:t xml:space="preserve">should be exempted </w:t>
      </w:r>
      <w:r w:rsidRPr="00313DC9">
        <w:rPr>
          <w:bCs/>
        </w:rPr>
        <w:t>from the UCT protections.</w:t>
      </w:r>
      <w:r w:rsidR="003D244F">
        <w:rPr>
          <w:bCs/>
        </w:rPr>
        <w:t xml:space="preserve"> </w:t>
      </w:r>
      <w:r w:rsidR="00D33032">
        <w:rPr>
          <w:bCs/>
        </w:rPr>
        <w:t>Situations mentioned by industry stakeholders included:</w:t>
      </w:r>
      <w:r w:rsidR="009D202F">
        <w:rPr>
          <w:bCs/>
        </w:rPr>
        <w:t xml:space="preserve"> </w:t>
      </w:r>
      <w:r w:rsidR="00D33032">
        <w:rPr>
          <w:bCs/>
        </w:rPr>
        <w:t>w</w:t>
      </w:r>
      <w:r w:rsidR="003D244F">
        <w:rPr>
          <w:bCs/>
        </w:rPr>
        <w:t>h</w:t>
      </w:r>
      <w:r w:rsidR="000E695E">
        <w:rPr>
          <w:bCs/>
        </w:rPr>
        <w:t>ere</w:t>
      </w:r>
      <w:r w:rsidR="003D244F">
        <w:rPr>
          <w:bCs/>
        </w:rPr>
        <w:t xml:space="preserve"> contracts are in a standard form, </w:t>
      </w:r>
      <w:r w:rsidR="000E695E">
        <w:rPr>
          <w:bCs/>
        </w:rPr>
        <w:t>but</w:t>
      </w:r>
      <w:r w:rsidR="002A4DFD">
        <w:rPr>
          <w:bCs/>
        </w:rPr>
        <w:t xml:space="preserve"> are not used in a ‘</w:t>
      </w:r>
      <w:r w:rsidR="003D244F">
        <w:rPr>
          <w:bCs/>
        </w:rPr>
        <w:t>take it or leave</w:t>
      </w:r>
      <w:r w:rsidR="002A4DFD">
        <w:rPr>
          <w:bCs/>
        </w:rPr>
        <w:t xml:space="preserve"> it’</w:t>
      </w:r>
      <w:r w:rsidR="00D33032">
        <w:rPr>
          <w:bCs/>
        </w:rPr>
        <w:t xml:space="preserve"> fashion and are subject to individual negotiation; </w:t>
      </w:r>
      <w:r w:rsidR="00A92196">
        <w:rPr>
          <w:bCs/>
        </w:rPr>
        <w:t>where</w:t>
      </w:r>
      <w:r w:rsidR="00D33032">
        <w:rPr>
          <w:bCs/>
        </w:rPr>
        <w:t xml:space="preserve"> terms included in a standard form contract </w:t>
      </w:r>
      <w:r w:rsidR="00A92196">
        <w:rPr>
          <w:bCs/>
        </w:rPr>
        <w:t xml:space="preserve">are </w:t>
      </w:r>
      <w:r w:rsidR="00D33032">
        <w:rPr>
          <w:bCs/>
        </w:rPr>
        <w:t xml:space="preserve">drafted in line with </w:t>
      </w:r>
      <w:r w:rsidR="000E695E">
        <w:rPr>
          <w:bCs/>
        </w:rPr>
        <w:t xml:space="preserve">an </w:t>
      </w:r>
      <w:r w:rsidR="00D33032">
        <w:rPr>
          <w:bCs/>
        </w:rPr>
        <w:t>industry code</w:t>
      </w:r>
      <w:r w:rsidR="00A92196">
        <w:rPr>
          <w:bCs/>
        </w:rPr>
        <w:t xml:space="preserve">; and where </w:t>
      </w:r>
      <w:r w:rsidR="001940C1">
        <w:rPr>
          <w:bCs/>
        </w:rPr>
        <w:t xml:space="preserve">‘minimum standards’ prescribed by state and territory laws </w:t>
      </w:r>
      <w:r w:rsidR="00A92196">
        <w:rPr>
          <w:bCs/>
        </w:rPr>
        <w:t>may conflict with the UCT protections or cause uncertainty for businesses.</w:t>
      </w:r>
    </w:p>
    <w:tbl>
      <w:tblPr>
        <w:tblW w:w="5000" w:type="pct"/>
        <w:shd w:val="clear" w:color="auto" w:fill="E3E7F0"/>
        <w:tblLook w:val="01E0" w:firstRow="1" w:lastRow="1" w:firstColumn="1" w:lastColumn="1" w:noHBand="0" w:noVBand="0"/>
      </w:tblPr>
      <w:tblGrid>
        <w:gridCol w:w="9286"/>
      </w:tblGrid>
      <w:tr w:rsidR="007C2F7F" w14:paraId="64AC1247" w14:textId="77777777" w:rsidTr="00C80A26">
        <w:tc>
          <w:tcPr>
            <w:tcW w:w="5000" w:type="pct"/>
            <w:shd w:val="clear" w:color="auto" w:fill="E3E7F0"/>
          </w:tcPr>
          <w:p w14:paraId="5EEA8B8C" w14:textId="77777777" w:rsidR="007C2F7F" w:rsidRPr="000553FE" w:rsidRDefault="007C2F7F" w:rsidP="00C80A26">
            <w:pPr>
              <w:pStyle w:val="BoxHeading"/>
              <w:rPr>
                <w:b w:val="0"/>
              </w:rPr>
            </w:pPr>
            <w:r>
              <w:t>Discussion questions</w:t>
            </w:r>
          </w:p>
          <w:p w14:paraId="64D5D805" w14:textId="77777777" w:rsidR="007C2F7F" w:rsidRDefault="007C2F7F" w:rsidP="007C2F7F">
            <w:pPr>
              <w:pStyle w:val="OutlineNumbered1"/>
            </w:pPr>
            <w:r w:rsidRPr="007C2F7F">
              <w:t>Are the exemptions appropriate? Can you provide examples of where the exemptions to the UCT protections have been ineffective? Is there evidence that would justify an expansion of the exemptions, for example, as a result of regulatory overlap?</w:t>
            </w:r>
          </w:p>
          <w:p w14:paraId="66F874F7" w14:textId="4018C833" w:rsidR="007C2F7F" w:rsidRPr="008950C5" w:rsidRDefault="007C2F7F" w:rsidP="007C2F7F">
            <w:pPr>
              <w:pStyle w:val="OutlineNumbered1"/>
            </w:pPr>
            <w:r w:rsidRPr="007C2F7F">
              <w:t>Should industry ‘minimum standards’ prescribed by state and territory laws be exempt from the UCT protections? Is there data and evidence to support your opinion?</w:t>
            </w:r>
          </w:p>
        </w:tc>
      </w:tr>
    </w:tbl>
    <w:p w14:paraId="19C42EEF" w14:textId="148445CB" w:rsidR="00425DF4" w:rsidRDefault="00D9152A" w:rsidP="008767EB">
      <w:pPr>
        <w:pStyle w:val="Heading2Numbered"/>
      </w:pPr>
      <w:bookmarkStart w:id="69" w:name="_Toc527630535"/>
      <w:bookmarkStart w:id="70" w:name="_Toc529957610"/>
      <w:r>
        <w:t xml:space="preserve">Overall </w:t>
      </w:r>
      <w:r w:rsidR="00640AF2">
        <w:t>effect</w:t>
      </w:r>
      <w:bookmarkEnd w:id="69"/>
      <w:bookmarkEnd w:id="70"/>
    </w:p>
    <w:p w14:paraId="4A581790" w14:textId="243F3784" w:rsidR="008452BB" w:rsidRDefault="00D9152A" w:rsidP="00425DF4">
      <w:pPr>
        <w:rPr>
          <w:bCs/>
        </w:rPr>
      </w:pPr>
      <w:r w:rsidRPr="00313DC9">
        <w:rPr>
          <w:bCs/>
        </w:rPr>
        <w:t xml:space="preserve">Since the UCT protections </w:t>
      </w:r>
      <w:r w:rsidR="00980C32">
        <w:rPr>
          <w:bCs/>
        </w:rPr>
        <w:t xml:space="preserve">were </w:t>
      </w:r>
      <w:r w:rsidRPr="00313DC9">
        <w:rPr>
          <w:bCs/>
        </w:rPr>
        <w:t>extended to small business two years ago,</w:t>
      </w:r>
      <w:r w:rsidR="00FA06E5">
        <w:rPr>
          <w:bCs/>
        </w:rPr>
        <w:t xml:space="preserve"> </w:t>
      </w:r>
      <w:r w:rsidR="003835FB">
        <w:rPr>
          <w:bCs/>
        </w:rPr>
        <w:t xml:space="preserve">there has been a range of enforcement </w:t>
      </w:r>
      <w:r w:rsidR="001B5730">
        <w:rPr>
          <w:bCs/>
        </w:rPr>
        <w:t>and compliance activities</w:t>
      </w:r>
      <w:r w:rsidR="003835FB">
        <w:rPr>
          <w:bCs/>
        </w:rPr>
        <w:t xml:space="preserve"> by </w:t>
      </w:r>
      <w:r w:rsidR="00FA06E5">
        <w:t>regulators</w:t>
      </w:r>
      <w:r w:rsidR="00331467">
        <w:t>.</w:t>
      </w:r>
    </w:p>
    <w:p w14:paraId="249A8881" w14:textId="35E2BA77" w:rsidR="008452BB" w:rsidRDefault="006B3BC1" w:rsidP="008767EB">
      <w:pPr>
        <w:pStyle w:val="Heading3"/>
      </w:pPr>
      <w:bookmarkStart w:id="71" w:name="_Toc529957611"/>
      <w:r w:rsidRPr="006B3BC1">
        <w:t>Australian Competition and Consumer Commission</w:t>
      </w:r>
      <w:bookmarkEnd w:id="71"/>
    </w:p>
    <w:p w14:paraId="0BD40179" w14:textId="68F5FAD1" w:rsidR="00EF1D62" w:rsidRDefault="006B0DD1" w:rsidP="00425DF4">
      <w:pPr>
        <w:rPr>
          <w:bCs/>
        </w:rPr>
      </w:pPr>
      <w:r>
        <w:rPr>
          <w:bCs/>
        </w:rPr>
        <w:t>T</w:t>
      </w:r>
      <w:r w:rsidR="00881EF6">
        <w:rPr>
          <w:bCs/>
        </w:rPr>
        <w:t>he ACCC has successfully taken litigation against two</w:t>
      </w:r>
      <w:r>
        <w:rPr>
          <w:bCs/>
        </w:rPr>
        <w:t xml:space="preserve"> businesses under the UCT regime. I</w:t>
      </w:r>
      <w:r w:rsidR="00CF12B7">
        <w:rPr>
          <w:bCs/>
        </w:rPr>
        <w:t>n</w:t>
      </w:r>
      <w:r w:rsidR="00762F4E">
        <w:rPr>
          <w:bCs/>
        </w:rPr>
        <w:t xml:space="preserve"> October </w:t>
      </w:r>
      <w:r w:rsidR="00CF12B7">
        <w:rPr>
          <w:bCs/>
        </w:rPr>
        <w:t xml:space="preserve">2017, </w:t>
      </w:r>
      <w:r w:rsidR="00205C99" w:rsidRPr="00313DC9">
        <w:rPr>
          <w:bCs/>
        </w:rPr>
        <w:t>the Federal Court declared that eight terms in the st</w:t>
      </w:r>
      <w:r w:rsidR="00762F4E">
        <w:rPr>
          <w:bCs/>
        </w:rPr>
        <w:t>andard form contract used by JJ </w:t>
      </w:r>
      <w:r w:rsidR="00205C99" w:rsidRPr="00313DC9">
        <w:rPr>
          <w:bCs/>
        </w:rPr>
        <w:t xml:space="preserve">Richards &amp; Sons Pty </w:t>
      </w:r>
      <w:r w:rsidR="00762F4E">
        <w:rPr>
          <w:bCs/>
        </w:rPr>
        <w:t xml:space="preserve">Ltd </w:t>
      </w:r>
      <w:r w:rsidR="001106B6">
        <w:rPr>
          <w:bCs/>
        </w:rPr>
        <w:t xml:space="preserve">(a provider of waste management) </w:t>
      </w:r>
      <w:r w:rsidR="00762F4E">
        <w:rPr>
          <w:bCs/>
        </w:rPr>
        <w:t>to engage small businesses we</w:t>
      </w:r>
      <w:r w:rsidR="00205C99" w:rsidRPr="00313DC9">
        <w:rPr>
          <w:bCs/>
        </w:rPr>
        <w:t>re unfair and therefore void</w:t>
      </w:r>
      <w:r>
        <w:rPr>
          <w:bCs/>
        </w:rPr>
        <w:t>.</w:t>
      </w:r>
      <w:r w:rsidR="000013C0" w:rsidRPr="000013C0">
        <w:rPr>
          <w:rStyle w:val="FootnoteReference"/>
        </w:rPr>
        <w:t xml:space="preserve"> </w:t>
      </w:r>
      <w:r w:rsidR="000013C0" w:rsidRPr="00726238">
        <w:rPr>
          <w:rStyle w:val="FootnoteReference"/>
        </w:rPr>
        <w:footnoteReference w:id="14"/>
      </w:r>
      <w:r>
        <w:rPr>
          <w:bCs/>
        </w:rPr>
        <w:t xml:space="preserve"> I</w:t>
      </w:r>
      <w:r w:rsidR="00CF12B7">
        <w:rPr>
          <w:bCs/>
        </w:rPr>
        <w:t xml:space="preserve">n July 2018, </w:t>
      </w:r>
      <w:r w:rsidR="00BF067E">
        <w:rPr>
          <w:bCs/>
        </w:rPr>
        <w:t xml:space="preserve">the Federal Court ruled that two Servcorp Ltd </w:t>
      </w:r>
      <w:r w:rsidR="001106B6">
        <w:rPr>
          <w:bCs/>
        </w:rPr>
        <w:t xml:space="preserve">(a provider of serviced office space) </w:t>
      </w:r>
      <w:r w:rsidR="00BF067E">
        <w:rPr>
          <w:bCs/>
        </w:rPr>
        <w:t>subsidiaries agreements with small business customers contained 12 unfair terms</w:t>
      </w:r>
      <w:r w:rsidR="00156940">
        <w:rPr>
          <w:bCs/>
        </w:rPr>
        <w:t>.</w:t>
      </w:r>
      <w:r w:rsidR="000013C0" w:rsidRPr="000013C0">
        <w:rPr>
          <w:rStyle w:val="FootnoteReference"/>
          <w:bCs/>
        </w:rPr>
        <w:t xml:space="preserve"> </w:t>
      </w:r>
      <w:r w:rsidR="000013C0">
        <w:rPr>
          <w:rStyle w:val="FootnoteReference"/>
          <w:bCs/>
        </w:rPr>
        <w:footnoteReference w:id="15"/>
      </w:r>
      <w:r w:rsidR="00156940">
        <w:rPr>
          <w:bCs/>
        </w:rPr>
        <w:t xml:space="preserve"> </w:t>
      </w:r>
      <w:r>
        <w:rPr>
          <w:bCs/>
        </w:rPr>
        <w:t>In addition, i</w:t>
      </w:r>
      <w:r w:rsidR="00156940">
        <w:rPr>
          <w:bCs/>
        </w:rPr>
        <w:t xml:space="preserve">n June 2018, the ACCC commenced court proceedings against </w:t>
      </w:r>
      <w:r w:rsidR="00FA251F">
        <w:rPr>
          <w:bCs/>
        </w:rPr>
        <w:t>a business</w:t>
      </w:r>
      <w:r w:rsidR="00156940">
        <w:rPr>
          <w:bCs/>
        </w:rPr>
        <w:t xml:space="preserve"> for allegedly entering into standard form contracts with potato farmers which include UCTs.</w:t>
      </w:r>
    </w:p>
    <w:p w14:paraId="6A72D552" w14:textId="5E6FB15C" w:rsidR="00331467" w:rsidRPr="00331467" w:rsidRDefault="00331467" w:rsidP="00331467">
      <w:pPr>
        <w:rPr>
          <w:bCs/>
        </w:rPr>
      </w:pPr>
      <w:r w:rsidRPr="00331467">
        <w:rPr>
          <w:bCs/>
        </w:rPr>
        <w:t xml:space="preserve">The ACCC has also resolved a number of UCT concerns through public administrative resolutions, including </w:t>
      </w:r>
      <w:r w:rsidR="008767EB">
        <w:rPr>
          <w:bCs/>
        </w:rPr>
        <w:t>court enforceable undertakings.</w:t>
      </w:r>
    </w:p>
    <w:p w14:paraId="526E87C6" w14:textId="6FC94F33" w:rsidR="00331467" w:rsidRPr="00331467" w:rsidRDefault="00331467" w:rsidP="00331467">
      <w:pPr>
        <w:rPr>
          <w:bCs/>
        </w:rPr>
      </w:pPr>
      <w:r>
        <w:rPr>
          <w:bCs/>
        </w:rPr>
        <w:t>I</w:t>
      </w:r>
      <w:r w:rsidRPr="00331467">
        <w:rPr>
          <w:bCs/>
        </w:rPr>
        <w:t>n May 2017 following engagement with the ACCC, Sensis Pty Ltd agreed to amend particular terms in its Product Contract Terms that the ACCC was concerned were likely to constitute UCTs once the legislation commenced.</w:t>
      </w:r>
      <w:r w:rsidRPr="00331467">
        <w:rPr>
          <w:bCs/>
          <w:vertAlign w:val="superscript"/>
        </w:rPr>
        <w:footnoteReference w:id="16"/>
      </w:r>
    </w:p>
    <w:p w14:paraId="14435C7E" w14:textId="0181ECD4" w:rsidR="00331467" w:rsidRPr="00313DC9" w:rsidRDefault="00331467" w:rsidP="00425DF4">
      <w:pPr>
        <w:rPr>
          <w:bCs/>
        </w:rPr>
      </w:pPr>
      <w:r w:rsidRPr="00331467">
        <w:rPr>
          <w:bCs/>
        </w:rPr>
        <w:t>In March 2018, the ACCC accepted a court enforceable undertaking from Cardtronics Australasia Pty Ltd</w:t>
      </w:r>
      <w:r w:rsidRPr="00331467">
        <w:rPr>
          <w:b/>
          <w:bCs/>
        </w:rPr>
        <w:t xml:space="preserve"> </w:t>
      </w:r>
      <w:r w:rsidRPr="00331467">
        <w:rPr>
          <w:bCs/>
        </w:rPr>
        <w:t>that it would amend terms likely to be UCTs in contracts governing non-bank ATMs deployed on the premises of small businesses.</w:t>
      </w:r>
      <w:r w:rsidRPr="00331467">
        <w:rPr>
          <w:bCs/>
          <w:vertAlign w:val="superscript"/>
        </w:rPr>
        <w:footnoteReference w:id="17"/>
      </w:r>
      <w:r w:rsidRPr="00331467">
        <w:rPr>
          <w:bCs/>
        </w:rPr>
        <w:t xml:space="preserve"> Also in March 2018, the ACCC announced that grain marketing organisation AWB Harvest Finance Pools Pty Ltd had made changes to its standard form grain pool contracts to address terms the ACCC considered were likely to be UCTs.</w:t>
      </w:r>
      <w:r w:rsidRPr="00331467">
        <w:rPr>
          <w:bCs/>
          <w:vertAlign w:val="superscript"/>
        </w:rPr>
        <w:footnoteReference w:id="18"/>
      </w:r>
      <w:r w:rsidRPr="00331467">
        <w:rPr>
          <w:bCs/>
        </w:rPr>
        <w:t xml:space="preserve"> In July 2018, the ACCC announced that Warrnambool Cheese and Butter Factory Company Holdings Limited had altered </w:t>
      </w:r>
      <w:r w:rsidRPr="00331467">
        <w:rPr>
          <w:bCs/>
        </w:rPr>
        <w:lastRenderedPageBreak/>
        <w:t>terms in its milk supply agreements and milk supply handbook to address terms the ACCC considered were likely to be UCTs.</w:t>
      </w:r>
      <w:r w:rsidRPr="00331467">
        <w:rPr>
          <w:bCs/>
          <w:vertAlign w:val="superscript"/>
        </w:rPr>
        <w:footnoteReference w:id="19"/>
      </w:r>
    </w:p>
    <w:p w14:paraId="6EE37098" w14:textId="7CBD2919" w:rsidR="008452BB" w:rsidRDefault="006A1C91" w:rsidP="008767EB">
      <w:pPr>
        <w:pStyle w:val="Heading3"/>
      </w:pPr>
      <w:bookmarkStart w:id="72" w:name="_Toc529957612"/>
      <w:r w:rsidRPr="006A1C91">
        <w:t>Australian Securities and Investments Commission</w:t>
      </w:r>
      <w:bookmarkEnd w:id="72"/>
    </w:p>
    <w:p w14:paraId="5681E17F" w14:textId="20C6508C" w:rsidR="008452BB" w:rsidRDefault="008452BB" w:rsidP="008452BB">
      <w:r>
        <w:t>On 9 March 2017, ASIC and the Australian Small Business and Family Enterprise Ombudsman announced that a joint review of small business standard form contr</w:t>
      </w:r>
      <w:r w:rsidR="008425DD">
        <w:t>acts had revealed that there had</w:t>
      </w:r>
      <w:r>
        <w:t xml:space="preserve"> been a failure by eight lenders to take sufficient steps to comply with their obligations under the un</w:t>
      </w:r>
      <w:r w:rsidR="005B1854">
        <w:t xml:space="preserve">fair contract terms provisions. </w:t>
      </w:r>
      <w:r w:rsidR="00E257A0">
        <w:t>After negotiations with ASIC, i</w:t>
      </w:r>
      <w:r>
        <w:t xml:space="preserve">n August 2017, </w:t>
      </w:r>
      <w:r w:rsidR="00E257A0">
        <w:t xml:space="preserve">the four major banks agreed to </w:t>
      </w:r>
      <w:r w:rsidR="001B5730">
        <w:t xml:space="preserve">specific </w:t>
      </w:r>
      <w:r w:rsidR="00E257A0">
        <w:t>c</w:t>
      </w:r>
      <w:r>
        <w:t>hange</w:t>
      </w:r>
      <w:r w:rsidR="001B5730">
        <w:t>s to</w:t>
      </w:r>
      <w:r>
        <w:t xml:space="preserve"> the standard terms in thei</w:t>
      </w:r>
      <w:r w:rsidR="00E257A0">
        <w:t>r small business loan contracts</w:t>
      </w:r>
      <w:r w:rsidR="001B5730">
        <w:t xml:space="preserve"> to address terms that raised concerns under the unfair contract terms law</w:t>
      </w:r>
      <w:r w:rsidR="00E257A0">
        <w:t>.</w:t>
      </w:r>
      <w:r w:rsidR="000013C0" w:rsidRPr="000013C0">
        <w:rPr>
          <w:rStyle w:val="FootnoteReference"/>
        </w:rPr>
        <w:t xml:space="preserve"> </w:t>
      </w:r>
      <w:r w:rsidR="000013C0">
        <w:rPr>
          <w:rStyle w:val="FootnoteReference"/>
        </w:rPr>
        <w:footnoteReference w:id="20"/>
      </w:r>
    </w:p>
    <w:p w14:paraId="0659C038" w14:textId="4ABB266D" w:rsidR="001B5730" w:rsidRDefault="001B5730" w:rsidP="001B5730">
      <w:r>
        <w:t>On 15 March 2018, ASIC released a report setting out the details of the changes made by the big four banks to remove unfair terms from small business loan contracts of up to $1 million.</w:t>
      </w:r>
      <w:r w:rsidR="000013C0" w:rsidRPr="000013C0">
        <w:rPr>
          <w:rStyle w:val="FootnoteReference"/>
        </w:rPr>
        <w:t xml:space="preserve"> </w:t>
      </w:r>
      <w:r w:rsidR="000013C0">
        <w:rPr>
          <w:rStyle w:val="FootnoteReference"/>
        </w:rPr>
        <w:footnoteReference w:id="21"/>
      </w:r>
      <w:r w:rsidRPr="00DB166D">
        <w:t xml:space="preserve"> </w:t>
      </w:r>
      <w:r>
        <w:t>The report</w:t>
      </w:r>
      <w:r w:rsidRPr="00DB166D">
        <w:t xml:space="preserve"> also provides general guidance for other lende</w:t>
      </w:r>
      <w:r>
        <w:t>rs to small business borrowers by outlining</w:t>
      </w:r>
      <w:r w:rsidRPr="00DB166D">
        <w:t xml:space="preserve"> the types of terms that raise concerns under the unfair contract terms law and the ways</w:t>
      </w:r>
      <w:r w:rsidR="0082389B">
        <w:t xml:space="preserve"> these terms can be addressed.</w:t>
      </w:r>
    </w:p>
    <w:p w14:paraId="17B018DD" w14:textId="20E6D6D5" w:rsidR="001B5730" w:rsidRDefault="007848A4" w:rsidP="00425DF4">
      <w:r>
        <w:t>In September 2018, following an ASIC review, Prospa Advance Pty Limited amended terms in its standard form small business loan contract which were considered unfair to borrowers and guarantors. Prospa has agreed that all customers who entered into</w:t>
      </w:r>
      <w:r w:rsidR="002A4DFD">
        <w:t xml:space="preserve"> or renewed contracts from 12 </w:t>
      </w:r>
      <w:r>
        <w:t xml:space="preserve">November 2016 will be </w:t>
      </w:r>
      <w:r w:rsidR="008A70D8">
        <w:t>subject</w:t>
      </w:r>
      <w:r>
        <w:t xml:space="preserve"> to those amendments.</w:t>
      </w:r>
      <w:r w:rsidR="000013C0" w:rsidRPr="000013C0">
        <w:rPr>
          <w:rStyle w:val="FootnoteReference"/>
        </w:rPr>
        <w:t xml:space="preserve"> </w:t>
      </w:r>
      <w:r w:rsidR="000013C0">
        <w:rPr>
          <w:rStyle w:val="FootnoteReference"/>
        </w:rPr>
        <w:footnoteReference w:id="22"/>
      </w:r>
    </w:p>
    <w:p w14:paraId="36447AAF" w14:textId="0699FDA5" w:rsidR="001B5730" w:rsidRDefault="001B5730" w:rsidP="001B5730">
      <w:r>
        <w:t>ASIC’s surveillance of lenders’ small business loan contracts to examine whether their loan contracts c</w:t>
      </w:r>
      <w:r w:rsidR="008767EB">
        <w:t>ontain unfair terms is ongoing.</w:t>
      </w:r>
    </w:p>
    <w:p w14:paraId="7A94BB21" w14:textId="46EC4B07" w:rsidR="00913CD2" w:rsidRDefault="00913CD2" w:rsidP="0082389B">
      <w:pPr>
        <w:pStyle w:val="Heading3"/>
      </w:pPr>
      <w:bookmarkStart w:id="73" w:name="_Toc529957613"/>
      <w:r>
        <w:t xml:space="preserve">Examples of </w:t>
      </w:r>
      <w:r w:rsidRPr="008767EB">
        <w:t>unfair</w:t>
      </w:r>
      <w:r w:rsidR="008767EB">
        <w:t xml:space="preserve"> terms</w:t>
      </w:r>
      <w:bookmarkEnd w:id="73"/>
    </w:p>
    <w:p w14:paraId="7ED49FE5" w14:textId="307B3BD7" w:rsidR="00663048" w:rsidRDefault="00913CD2" w:rsidP="00425DF4">
      <w:r>
        <w:t xml:space="preserve">The compliance and enforcement activities </w:t>
      </w:r>
      <w:r w:rsidR="00B91C71">
        <w:t>under</w:t>
      </w:r>
      <w:r>
        <w:t xml:space="preserve">taken by the regulators </w:t>
      </w:r>
      <w:r w:rsidR="00714CB7">
        <w:t xml:space="preserve">over the last two years </w:t>
      </w:r>
      <w:r w:rsidR="00B74123">
        <w:t>have broaden</w:t>
      </w:r>
      <w:r w:rsidR="00475A6F">
        <w:t>ed</w:t>
      </w:r>
      <w:r w:rsidR="00B74123">
        <w:t xml:space="preserve"> business</w:t>
      </w:r>
      <w:r w:rsidR="00714CB7">
        <w:t xml:space="preserve"> understanding o</w:t>
      </w:r>
      <w:r w:rsidR="00475A6F">
        <w:t>f</w:t>
      </w:r>
      <w:r>
        <w:t xml:space="preserve"> UCTs, </w:t>
      </w:r>
      <w:r w:rsidR="00714CB7">
        <w:t>in particular</w:t>
      </w:r>
      <w:r w:rsidR="00714CB7" w:rsidRPr="00714CB7">
        <w:t xml:space="preserve"> </w:t>
      </w:r>
      <w:r w:rsidR="00714CB7">
        <w:t>th</w:t>
      </w:r>
      <w:r w:rsidR="00475A6F">
        <w:t>rough</w:t>
      </w:r>
      <w:r w:rsidR="00714CB7">
        <w:t xml:space="preserve"> litigat</w:t>
      </w:r>
      <w:r w:rsidR="00475A6F">
        <w:t>ed</w:t>
      </w:r>
      <w:r w:rsidR="00714CB7">
        <w:t xml:space="preserve"> cases. Section 25 of the ACL and Section 12BH of the ASIC Act set out some examples of unfair terms. In light of the decisions made by the courts, it may be appropriate to consider if additional examples need to be added to </w:t>
      </w:r>
      <w:r w:rsidR="00BC06BF">
        <w:t xml:space="preserve">enhance </w:t>
      </w:r>
      <w:r w:rsidR="00714CB7" w:rsidDel="00BC06BF">
        <w:t>clarity</w:t>
      </w:r>
      <w:r w:rsidR="00714CB7">
        <w:t>.</w:t>
      </w:r>
    </w:p>
    <w:tbl>
      <w:tblPr>
        <w:tblW w:w="5000" w:type="pct"/>
        <w:shd w:val="clear" w:color="auto" w:fill="E3E7F0"/>
        <w:tblLook w:val="01E0" w:firstRow="1" w:lastRow="1" w:firstColumn="1" w:lastColumn="1" w:noHBand="0" w:noVBand="0"/>
      </w:tblPr>
      <w:tblGrid>
        <w:gridCol w:w="9286"/>
      </w:tblGrid>
      <w:tr w:rsidR="00835367" w14:paraId="73184FA6" w14:textId="77777777" w:rsidTr="00C80A26">
        <w:tc>
          <w:tcPr>
            <w:tcW w:w="5000" w:type="pct"/>
            <w:shd w:val="clear" w:color="auto" w:fill="E3E7F0"/>
          </w:tcPr>
          <w:p w14:paraId="7568FC3F" w14:textId="77777777" w:rsidR="00835367" w:rsidRPr="000553FE" w:rsidRDefault="00835367" w:rsidP="00C80A26">
            <w:pPr>
              <w:pStyle w:val="BoxHeading"/>
              <w:rPr>
                <w:b w:val="0"/>
              </w:rPr>
            </w:pPr>
            <w:r>
              <w:t>Discussion questions</w:t>
            </w:r>
          </w:p>
          <w:p w14:paraId="57A204BB" w14:textId="4CDCD118" w:rsidR="00835367" w:rsidRDefault="00835367" w:rsidP="00835367">
            <w:pPr>
              <w:pStyle w:val="OutlineNumbered1"/>
            </w:pPr>
            <w:r w:rsidRPr="00835367">
              <w:t>Do you think the current UCT regime offers appropriate level of protections to small businesses?</w:t>
            </w:r>
          </w:p>
          <w:p w14:paraId="17AD4CF2" w14:textId="77777777" w:rsidR="00835367" w:rsidRDefault="00835367" w:rsidP="00835367">
            <w:pPr>
              <w:pStyle w:val="OutlineNumbered1"/>
            </w:pPr>
            <w:r w:rsidRPr="00835367">
              <w:t>Do you think additional examples are needed to clarify unfair terms?</w:t>
            </w:r>
          </w:p>
          <w:p w14:paraId="7D9C5FE8" w14:textId="754C8509" w:rsidR="00835367" w:rsidRPr="008950C5" w:rsidRDefault="00835367" w:rsidP="00835367">
            <w:pPr>
              <w:pStyle w:val="OutlineNumbered1"/>
            </w:pPr>
            <w:r w:rsidRPr="00835367">
              <w:t>Are there any other issues relevant to the Government’s review of UCT protections for small business that impact on the effectiveness of the regime?</w:t>
            </w:r>
          </w:p>
        </w:tc>
      </w:tr>
    </w:tbl>
    <w:p w14:paraId="1B27F570" w14:textId="5D17B194" w:rsidR="002D488F" w:rsidRDefault="002D488F" w:rsidP="00425DF4"/>
    <w:sectPr w:rsidR="002D488F" w:rsidSect="00E1136B">
      <w:headerReference w:type="even" r:id="rId26"/>
      <w:headerReference w:type="default" r:id="rId27"/>
      <w:footerReference w:type="even" r:id="rId28"/>
      <w:footerReference w:type="default" r:id="rId29"/>
      <w:headerReference w:type="first" r:id="rId30"/>
      <w:footerReference w:type="first" r:id="rId31"/>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2DA1F" w14:textId="77777777" w:rsidR="009C5B1C" w:rsidRDefault="009C5B1C">
      <w:pPr>
        <w:spacing w:before="0" w:after="0"/>
      </w:pPr>
      <w:r>
        <w:separator/>
      </w:r>
    </w:p>
  </w:endnote>
  <w:endnote w:type="continuationSeparator" w:id="0">
    <w:p w14:paraId="69234A6A" w14:textId="77777777" w:rsidR="009C5B1C" w:rsidRDefault="009C5B1C">
      <w:pPr>
        <w:spacing w:before="0" w:after="0"/>
      </w:pPr>
      <w:r>
        <w:continuationSeparator/>
      </w:r>
    </w:p>
  </w:endnote>
  <w:endnote w:type="continuationNotice" w:id="1">
    <w:p w14:paraId="0A44FCF0" w14:textId="77777777" w:rsidR="009C5B1C" w:rsidRDefault="009C5B1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altName w:val="Times New Roman"/>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C628D" w14:textId="77777777" w:rsidR="009C5B1C" w:rsidRPr="00E1136B" w:rsidRDefault="009C5B1C" w:rsidP="00E1136B">
    <w:pPr>
      <w:pStyle w:val="Footer"/>
    </w:pPr>
    <w:r>
      <w:rPr>
        <w:noProof/>
      </w:rPr>
      <w:drawing>
        <wp:anchor distT="0" distB="0" distL="114300" distR="114300" simplePos="0" relativeHeight="251658241" behindDoc="1" locked="0" layoutInCell="1" allowOverlap="1" wp14:anchorId="691DA742" wp14:editId="31A679E7">
          <wp:simplePos x="0" y="0"/>
          <wp:positionH relativeFrom="page">
            <wp:align>center</wp:align>
          </wp:positionH>
          <wp:positionV relativeFrom="page">
            <wp:posOffset>4860925</wp:posOffset>
          </wp:positionV>
          <wp:extent cx="7199640" cy="5675760"/>
          <wp:effectExtent l="0" t="0" r="127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40" cy="567576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E253FC">
      <w:rPr>
        <w:noProof/>
      </w:rPr>
      <w:t>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390F2" w14:textId="77777777" w:rsidR="009C5B1C" w:rsidRPr="00E77C89" w:rsidRDefault="009C5B1C" w:rsidP="0017089D">
    <w:r>
      <w:fldChar w:fldCharType="begin"/>
    </w:r>
    <w:r>
      <w:instrText xml:space="preserve"> PAGE  \* Arabic  \* MERGEFORMAT </w:instrText>
    </w:r>
    <w:r>
      <w:fldChar w:fldCharType="separate"/>
    </w:r>
    <w: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F3E6C" w14:textId="77777777" w:rsidR="009C5B1C" w:rsidRPr="00E77C89" w:rsidRDefault="009C5B1C" w:rsidP="0017089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AF7B3" w14:textId="77777777" w:rsidR="009C5B1C" w:rsidRPr="00E1136B" w:rsidRDefault="009C5B1C" w:rsidP="00E1136B">
    <w:pPr>
      <w:pStyle w:val="Footer"/>
    </w:pPr>
    <w:r>
      <w:fldChar w:fldCharType="begin"/>
    </w:r>
    <w:r>
      <w:instrText xml:space="preserve"> PAGE   \* MERGEFORMAT </w:instrText>
    </w:r>
    <w:r>
      <w:fldChar w:fldCharType="separate"/>
    </w:r>
    <w:r w:rsidR="00E253FC">
      <w:rPr>
        <w:noProof/>
      </w:rPr>
      <w:t>1</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D927F" w14:textId="77777777" w:rsidR="009C5B1C" w:rsidRDefault="009C5B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F8D46" w14:textId="77777777" w:rsidR="009C5B1C" w:rsidRDefault="009C5B1C">
      <w:pPr>
        <w:spacing w:before="0" w:after="0"/>
      </w:pPr>
      <w:r>
        <w:separator/>
      </w:r>
    </w:p>
  </w:footnote>
  <w:footnote w:type="continuationSeparator" w:id="0">
    <w:p w14:paraId="06B8CDB1" w14:textId="77777777" w:rsidR="009C5B1C" w:rsidRDefault="009C5B1C">
      <w:pPr>
        <w:spacing w:before="0" w:after="0"/>
      </w:pPr>
      <w:r>
        <w:continuationSeparator/>
      </w:r>
    </w:p>
  </w:footnote>
  <w:footnote w:type="continuationNotice" w:id="1">
    <w:p w14:paraId="76913419" w14:textId="77777777" w:rsidR="009C5B1C" w:rsidRDefault="009C5B1C">
      <w:pPr>
        <w:spacing w:before="0" w:after="0"/>
      </w:pPr>
    </w:p>
  </w:footnote>
  <w:footnote w:id="2">
    <w:p w14:paraId="073C9228" w14:textId="37FCBFB5" w:rsidR="00D47190" w:rsidRPr="005E09A9" w:rsidRDefault="00D47190" w:rsidP="00513066">
      <w:pPr>
        <w:pStyle w:val="FootnoteText"/>
      </w:pPr>
      <w:r w:rsidRPr="005E09A9">
        <w:rPr>
          <w:rStyle w:val="FootnoteReference"/>
          <w:vertAlign w:val="baseline"/>
        </w:rPr>
        <w:footnoteRef/>
      </w:r>
      <w:r w:rsidRPr="005E09A9">
        <w:t xml:space="preserve"> </w:t>
      </w:r>
      <w:r w:rsidR="00513066" w:rsidRPr="005E09A9">
        <w:tab/>
      </w:r>
      <w:r w:rsidRPr="005E09A9">
        <w:t xml:space="preserve">Available at: </w:t>
      </w:r>
      <w:hyperlink r:id="rId1" w:history="1">
        <w:r w:rsidRPr="005E09A9">
          <w:rPr>
            <w:rStyle w:val="Hyperlink"/>
          </w:rPr>
          <w:t>https://www.pc.gov.au/inquiries/completed/consumer-policy</w:t>
        </w:r>
      </w:hyperlink>
    </w:p>
  </w:footnote>
  <w:footnote w:id="3">
    <w:p w14:paraId="1E695670" w14:textId="24AD7E18" w:rsidR="009C5B1C" w:rsidRPr="005E09A9" w:rsidRDefault="009C5B1C" w:rsidP="00513066">
      <w:pPr>
        <w:pStyle w:val="FootnoteText"/>
      </w:pPr>
      <w:r w:rsidRPr="005E09A9">
        <w:rPr>
          <w:rStyle w:val="FootnoteReference"/>
          <w:vertAlign w:val="baseline"/>
        </w:rPr>
        <w:footnoteRef/>
      </w:r>
      <w:r w:rsidRPr="005E09A9">
        <w:t xml:space="preserve"> </w:t>
      </w:r>
      <w:r w:rsidR="00513066" w:rsidRPr="005E09A9">
        <w:tab/>
      </w:r>
      <w:r w:rsidRPr="005E09A9">
        <w:rPr>
          <w:i/>
        </w:rPr>
        <w:t>Treasury Laws Amendment (Australian Consumer Law Review) Act 2018</w:t>
      </w:r>
      <w:r w:rsidRPr="005E09A9">
        <w:t xml:space="preserve">, available at: </w:t>
      </w:r>
      <w:hyperlink r:id="rId2" w:history="1">
        <w:r w:rsidRPr="005E09A9">
          <w:rPr>
            <w:rStyle w:val="Hyperlink"/>
          </w:rPr>
          <w:t>https://www.aph.gov.au/Parliamentary_Business/Bills_Legislation/Bills_Search_Results/Result?bId=r6097</w:t>
        </w:r>
      </w:hyperlink>
      <w:r w:rsidRPr="005E09A9">
        <w:t xml:space="preserve"> </w:t>
      </w:r>
    </w:p>
  </w:footnote>
  <w:footnote w:id="4">
    <w:p w14:paraId="53410BCA" w14:textId="2550D338" w:rsidR="009C5B1C" w:rsidRPr="005E09A9" w:rsidRDefault="009C5B1C" w:rsidP="00513066">
      <w:pPr>
        <w:pStyle w:val="FootnoteText"/>
      </w:pPr>
      <w:r w:rsidRPr="005E09A9">
        <w:rPr>
          <w:rStyle w:val="FootnoteReference"/>
          <w:vertAlign w:val="baseline"/>
        </w:rPr>
        <w:footnoteRef/>
      </w:r>
      <w:r w:rsidRPr="005E09A9">
        <w:t xml:space="preserve"> </w:t>
      </w:r>
      <w:r w:rsidR="00513066" w:rsidRPr="005E09A9">
        <w:tab/>
      </w:r>
      <w:r w:rsidRPr="005E09A9">
        <w:t>The Legislative and Governance Forum on Consumer Affairs consists of all Commonwealth, State, Territory and New Zealand Ministers responsible for fair trading and consumer protection laws. The role of the forum is to consider consumer affairs and fair trading matters of national significance and, where possible, develop a consi</w:t>
      </w:r>
      <w:r w:rsidR="006A1C91" w:rsidRPr="005E09A9">
        <w:t>stent approach to those issues.</w:t>
      </w:r>
    </w:p>
  </w:footnote>
  <w:footnote w:id="5">
    <w:p w14:paraId="4BDC2714" w14:textId="44037D7F" w:rsidR="009C5B1C" w:rsidRPr="005E09A9" w:rsidRDefault="009C5B1C" w:rsidP="004F57BE">
      <w:pPr>
        <w:pStyle w:val="FootnoteText"/>
      </w:pPr>
      <w:r w:rsidRPr="005E09A9">
        <w:rPr>
          <w:rStyle w:val="FootnoteReference"/>
          <w:vertAlign w:val="baseline"/>
        </w:rPr>
        <w:footnoteRef/>
      </w:r>
      <w:r w:rsidRPr="005E09A9">
        <w:t xml:space="preserve"> </w:t>
      </w:r>
      <w:r w:rsidR="00513066" w:rsidRPr="005E09A9">
        <w:tab/>
      </w:r>
      <w:r w:rsidRPr="005E09A9">
        <w:t xml:space="preserve">Available at: </w:t>
      </w:r>
      <w:hyperlink r:id="rId3" w:history="1">
        <w:r w:rsidRPr="005E09A9">
          <w:rPr>
            <w:rStyle w:val="Hyperlink"/>
          </w:rPr>
          <w:t>https://treasury.gov.au/consultation/c2018-t284394/</w:t>
        </w:r>
      </w:hyperlink>
      <w:r w:rsidRPr="005E09A9">
        <w:t xml:space="preserve"> </w:t>
      </w:r>
    </w:p>
  </w:footnote>
  <w:footnote w:id="6">
    <w:p w14:paraId="57D4029B" w14:textId="66DDCC5D" w:rsidR="009C5B1C" w:rsidRPr="005E09A9" w:rsidRDefault="009C5B1C" w:rsidP="004F57BE">
      <w:pPr>
        <w:pStyle w:val="FootnoteText"/>
      </w:pPr>
      <w:r w:rsidRPr="005E09A9">
        <w:rPr>
          <w:rStyle w:val="FootnoteReference"/>
          <w:vertAlign w:val="baseline"/>
        </w:rPr>
        <w:footnoteRef/>
      </w:r>
      <w:r w:rsidRPr="005E09A9">
        <w:t xml:space="preserve"> </w:t>
      </w:r>
      <w:r w:rsidR="00513066" w:rsidRPr="005E09A9">
        <w:tab/>
      </w:r>
      <w:r w:rsidRPr="005E09A9">
        <w:t xml:space="preserve">Further information on the inquiry is available at: </w:t>
      </w:r>
      <w:hyperlink r:id="rId4" w:history="1">
        <w:r w:rsidRPr="005E09A9">
          <w:rPr>
            <w:rStyle w:val="Hyperlink"/>
          </w:rPr>
          <w:t>https://www.aph.gov.au/Parliamentary_Business/Committees/Joint/Corporations_and_Financial_Services/Franchising</w:t>
        </w:r>
      </w:hyperlink>
    </w:p>
  </w:footnote>
  <w:footnote w:id="7">
    <w:p w14:paraId="7B74D410" w14:textId="65F5EC97" w:rsidR="009C5B1C" w:rsidRPr="005E09A9" w:rsidRDefault="009C5B1C" w:rsidP="004F57BE">
      <w:pPr>
        <w:pStyle w:val="FootnoteText"/>
      </w:pPr>
      <w:r w:rsidRPr="005E09A9">
        <w:rPr>
          <w:rStyle w:val="FootnoteReference"/>
          <w:vertAlign w:val="baseline"/>
        </w:rPr>
        <w:footnoteRef/>
      </w:r>
      <w:r w:rsidRPr="005E09A9">
        <w:t xml:space="preserve"> </w:t>
      </w:r>
      <w:r w:rsidR="00513066" w:rsidRPr="005E09A9">
        <w:tab/>
      </w:r>
      <w:r w:rsidRPr="005E09A9">
        <w:t xml:space="preserve">Available at: </w:t>
      </w:r>
      <w:hyperlink r:id="rId5" w:history="1">
        <w:r w:rsidRPr="005E09A9">
          <w:rPr>
            <w:rStyle w:val="Hyperlink"/>
          </w:rPr>
          <w:t>https://financialservices.royalcommission.gov.au/Pages/interim-report.aspx</w:t>
        </w:r>
      </w:hyperlink>
      <w:r w:rsidRPr="005E09A9">
        <w:t xml:space="preserve"> </w:t>
      </w:r>
    </w:p>
  </w:footnote>
  <w:footnote w:id="8">
    <w:p w14:paraId="4C14BF92" w14:textId="46130411" w:rsidR="009C5B1C" w:rsidRPr="005E09A9" w:rsidRDefault="009C5B1C">
      <w:pPr>
        <w:pStyle w:val="FootnoteText"/>
      </w:pPr>
      <w:r w:rsidRPr="005E09A9">
        <w:rPr>
          <w:rStyle w:val="FootnoteReference"/>
          <w:vertAlign w:val="baseline"/>
        </w:rPr>
        <w:footnoteRef/>
      </w:r>
      <w:r w:rsidRPr="005E09A9">
        <w:t xml:space="preserve"> </w:t>
      </w:r>
      <w:r w:rsidR="00513066" w:rsidRPr="005E09A9">
        <w:tab/>
      </w:r>
      <w:r w:rsidRPr="005E09A9">
        <w:t>Section 12BC of the ASIC Act and section 761G of the Corporations Act also prescribe that if a business is a manufacturing business and employs less than 100 employees, the</w:t>
      </w:r>
      <w:r w:rsidR="00513066" w:rsidRPr="005E09A9">
        <w:t xml:space="preserve"> business is a small business.</w:t>
      </w:r>
    </w:p>
  </w:footnote>
  <w:footnote w:id="9">
    <w:p w14:paraId="2FA9F7CD" w14:textId="628FDECF" w:rsidR="009C5B1C" w:rsidRPr="005E09A9" w:rsidRDefault="009C5B1C" w:rsidP="006F525F">
      <w:pPr>
        <w:pStyle w:val="FootnoteText"/>
      </w:pPr>
      <w:r w:rsidRPr="005E09A9">
        <w:rPr>
          <w:rStyle w:val="FootnoteReference"/>
          <w:vertAlign w:val="baseline"/>
        </w:rPr>
        <w:footnoteRef/>
      </w:r>
      <w:r w:rsidRPr="005E09A9">
        <w:t xml:space="preserve"> </w:t>
      </w:r>
      <w:r w:rsidR="00513066" w:rsidRPr="005E09A9">
        <w:tab/>
      </w:r>
      <w:r w:rsidRPr="005E09A9">
        <w:t>Senate Standing Committees on Economics, Inquiry into Treasury Legislation Amendment (Small Business and Unfair Contract Terms) Bill 2015, 14 September 2015.</w:t>
      </w:r>
    </w:p>
  </w:footnote>
  <w:footnote w:id="10">
    <w:p w14:paraId="631F507F" w14:textId="43ACDCF4" w:rsidR="009C5B1C" w:rsidRPr="005E09A9" w:rsidRDefault="009C5B1C" w:rsidP="006F525F">
      <w:pPr>
        <w:pStyle w:val="FootnoteText"/>
      </w:pPr>
      <w:r w:rsidRPr="005E09A9">
        <w:rPr>
          <w:rStyle w:val="FootnoteReference"/>
          <w:vertAlign w:val="baseline"/>
        </w:rPr>
        <w:footnoteRef/>
      </w:r>
      <w:r w:rsidRPr="005E09A9">
        <w:t xml:space="preserve"> </w:t>
      </w:r>
      <w:r w:rsidR="005E09A9" w:rsidRPr="005E09A9">
        <w:tab/>
      </w:r>
      <w:r w:rsidRPr="005E09A9">
        <w:t xml:space="preserve">ABS, </w:t>
      </w:r>
      <w:r w:rsidRPr="005E09A9">
        <w:rPr>
          <w:i/>
        </w:rPr>
        <w:t>8165.0 – Counts of Australian Businesses, including Entries and Exits</w:t>
      </w:r>
      <w:r w:rsidRPr="005E09A9">
        <w:t>, 20 February 2018.</w:t>
      </w:r>
    </w:p>
  </w:footnote>
  <w:footnote w:id="11">
    <w:p w14:paraId="44994F1E" w14:textId="6A641AB3" w:rsidR="009C5B1C" w:rsidRPr="005E09A9" w:rsidRDefault="009C5B1C">
      <w:pPr>
        <w:pStyle w:val="FootnoteText"/>
      </w:pPr>
      <w:r w:rsidRPr="005E09A9">
        <w:rPr>
          <w:rStyle w:val="FootnoteReference"/>
          <w:vertAlign w:val="baseline"/>
        </w:rPr>
        <w:footnoteRef/>
      </w:r>
      <w:r w:rsidRPr="005E09A9">
        <w:t xml:space="preserve"> </w:t>
      </w:r>
      <w:r w:rsidR="00513066" w:rsidRPr="005E09A9">
        <w:tab/>
      </w:r>
      <w:r w:rsidRPr="005E09A9">
        <w:t xml:space="preserve">Consumer Affairs Australia and New Zealand, </w:t>
      </w:r>
      <w:r w:rsidRPr="005E09A9">
        <w:rPr>
          <w:i/>
        </w:rPr>
        <w:t>Decision Regulation Impact Statement for Extending Unfair Contract Term Protections to Small Businesses</w:t>
      </w:r>
      <w:r w:rsidR="00513066" w:rsidRPr="005E09A9">
        <w:t>, 11 June 2015.</w:t>
      </w:r>
    </w:p>
  </w:footnote>
  <w:footnote w:id="12">
    <w:p w14:paraId="5B0529D7" w14:textId="4332BF94" w:rsidR="009C5B1C" w:rsidRPr="005E09A9" w:rsidRDefault="009C5B1C" w:rsidP="006F525F">
      <w:pPr>
        <w:pStyle w:val="FootnoteText"/>
      </w:pPr>
      <w:r w:rsidRPr="005E09A9">
        <w:rPr>
          <w:rStyle w:val="FootnoteReference"/>
          <w:vertAlign w:val="baseline"/>
        </w:rPr>
        <w:footnoteRef/>
      </w:r>
      <w:r w:rsidRPr="005E09A9">
        <w:t xml:space="preserve"> </w:t>
      </w:r>
      <w:r w:rsidR="00513066" w:rsidRPr="005E09A9">
        <w:tab/>
      </w:r>
      <w:r w:rsidRPr="005E09A9">
        <w:t>Senate Standing Committees on Economics, Inquiry into Treasury Legislation Amendment (Small Business and Unfair Contract Terms) Bill 2015, 14 September 2015.</w:t>
      </w:r>
    </w:p>
  </w:footnote>
  <w:footnote w:id="13">
    <w:p w14:paraId="6A4A0BD2" w14:textId="7FB3C0B4" w:rsidR="009C5B1C" w:rsidRPr="005E09A9" w:rsidRDefault="009C5B1C">
      <w:pPr>
        <w:pStyle w:val="FootnoteText"/>
      </w:pPr>
      <w:r w:rsidRPr="005E09A9">
        <w:rPr>
          <w:rStyle w:val="FootnoteReference"/>
          <w:vertAlign w:val="baseline"/>
        </w:rPr>
        <w:footnoteRef/>
      </w:r>
      <w:r w:rsidRPr="005E09A9">
        <w:t xml:space="preserve"> </w:t>
      </w:r>
      <w:r w:rsidR="00513066" w:rsidRPr="005E09A9">
        <w:tab/>
      </w:r>
      <w:r w:rsidRPr="005E09A9">
        <w:t>Subsection 28(4) of the ACL and subsection 12BL(2) and paragraph 12BL(3)(a) of Divisio</w:t>
      </w:r>
      <w:r w:rsidR="00513066" w:rsidRPr="005E09A9">
        <w:t>n 2 of Part 2 of the ASIC Act.</w:t>
      </w:r>
    </w:p>
  </w:footnote>
  <w:footnote w:id="14">
    <w:p w14:paraId="510C5E76" w14:textId="1DCC0D0F" w:rsidR="009C5B1C" w:rsidRPr="005E09A9" w:rsidRDefault="009C5B1C" w:rsidP="000013C0">
      <w:pPr>
        <w:pStyle w:val="FootnoteText"/>
      </w:pPr>
      <w:r w:rsidRPr="005E09A9">
        <w:rPr>
          <w:rStyle w:val="FootnoteReference"/>
          <w:vertAlign w:val="baseline"/>
        </w:rPr>
        <w:footnoteRef/>
      </w:r>
      <w:r w:rsidRPr="005E09A9">
        <w:t xml:space="preserve"> </w:t>
      </w:r>
      <w:r w:rsidR="00513066" w:rsidRPr="005E09A9">
        <w:tab/>
      </w:r>
      <w:r w:rsidRPr="005E09A9">
        <w:t xml:space="preserve">ACCC v JJ Richards </w:t>
      </w:r>
      <w:r w:rsidR="00513066" w:rsidRPr="005E09A9">
        <w:t>&amp; Sons Pty Ltd [2017] FCA 1224.</w:t>
      </w:r>
    </w:p>
  </w:footnote>
  <w:footnote w:id="15">
    <w:p w14:paraId="41E1626A" w14:textId="24D61060" w:rsidR="009C5B1C" w:rsidRPr="005E09A9" w:rsidRDefault="009C5B1C" w:rsidP="000013C0">
      <w:pPr>
        <w:pStyle w:val="FootnoteText"/>
      </w:pPr>
      <w:r w:rsidRPr="005E09A9">
        <w:rPr>
          <w:rStyle w:val="FootnoteReference"/>
          <w:vertAlign w:val="baseline"/>
        </w:rPr>
        <w:footnoteRef/>
      </w:r>
      <w:r w:rsidRPr="005E09A9">
        <w:t xml:space="preserve"> </w:t>
      </w:r>
      <w:r w:rsidR="00513066" w:rsidRPr="005E09A9">
        <w:tab/>
      </w:r>
      <w:r w:rsidRPr="005E09A9">
        <w:t>ACCC v Servcorp Limited [2018] FCA 1044.</w:t>
      </w:r>
    </w:p>
  </w:footnote>
  <w:footnote w:id="16">
    <w:p w14:paraId="312BC356" w14:textId="433EF8A2" w:rsidR="009C5B1C" w:rsidRPr="005E09A9" w:rsidRDefault="009C5B1C" w:rsidP="00331467">
      <w:pPr>
        <w:pStyle w:val="FootnoteText"/>
      </w:pPr>
      <w:r w:rsidRPr="005E09A9">
        <w:rPr>
          <w:rStyle w:val="FootnoteReference"/>
          <w:vertAlign w:val="baseline"/>
        </w:rPr>
        <w:footnoteRef/>
      </w:r>
      <w:r w:rsidRPr="005E09A9">
        <w:t xml:space="preserve"> </w:t>
      </w:r>
      <w:r w:rsidR="00513066" w:rsidRPr="005E09A9">
        <w:tab/>
      </w:r>
      <w:hyperlink r:id="rId6" w:history="1">
        <w:r w:rsidRPr="005E09A9">
          <w:rPr>
            <w:rStyle w:val="Hyperlink"/>
          </w:rPr>
          <w:t>https://www.accc.gov.au/media-release/sensis-provides-undertaking-and-amends-contract-terms</w:t>
        </w:r>
      </w:hyperlink>
      <w:r w:rsidRPr="005E09A9">
        <w:t xml:space="preserve"> </w:t>
      </w:r>
    </w:p>
  </w:footnote>
  <w:footnote w:id="17">
    <w:p w14:paraId="76F19281" w14:textId="03487CD6" w:rsidR="009C5B1C" w:rsidRPr="005E09A9" w:rsidRDefault="009C5B1C" w:rsidP="00331467">
      <w:pPr>
        <w:pStyle w:val="FootnoteText"/>
      </w:pPr>
      <w:r w:rsidRPr="005E09A9">
        <w:rPr>
          <w:rStyle w:val="FootnoteReference"/>
          <w:vertAlign w:val="baseline"/>
        </w:rPr>
        <w:footnoteRef/>
      </w:r>
      <w:r w:rsidRPr="005E09A9">
        <w:t xml:space="preserve"> </w:t>
      </w:r>
      <w:r w:rsidR="00513066" w:rsidRPr="005E09A9">
        <w:tab/>
      </w:r>
      <w:hyperlink r:id="rId7" w:history="1">
        <w:r w:rsidRPr="005E09A9">
          <w:rPr>
            <w:rStyle w:val="Hyperlink"/>
          </w:rPr>
          <w:t>https://www.accc.gov.au/media-release/cardtronics-to-amend-unfair-atm-contracts</w:t>
        </w:r>
      </w:hyperlink>
    </w:p>
  </w:footnote>
  <w:footnote w:id="18">
    <w:p w14:paraId="2C8E5E05" w14:textId="0CA9E3BB" w:rsidR="009C5B1C" w:rsidRPr="005E09A9" w:rsidRDefault="009C5B1C" w:rsidP="00331467">
      <w:pPr>
        <w:pStyle w:val="FootnoteText"/>
      </w:pPr>
      <w:r w:rsidRPr="005E09A9">
        <w:rPr>
          <w:rStyle w:val="FootnoteReference"/>
          <w:vertAlign w:val="baseline"/>
        </w:rPr>
        <w:footnoteRef/>
      </w:r>
      <w:r w:rsidRPr="005E09A9">
        <w:t xml:space="preserve"> </w:t>
      </w:r>
      <w:r w:rsidR="00513066" w:rsidRPr="005E09A9">
        <w:tab/>
      </w:r>
      <w:hyperlink r:id="rId8" w:history="1">
        <w:r w:rsidRPr="005E09A9">
          <w:rPr>
            <w:rStyle w:val="Hyperlink"/>
          </w:rPr>
          <w:t>https://www.accc.gov.au/media-release/awb-amends-contract-terms-following-accc-concern</w:t>
        </w:r>
      </w:hyperlink>
      <w:r w:rsidRPr="005E09A9">
        <w:t xml:space="preserve"> </w:t>
      </w:r>
    </w:p>
  </w:footnote>
  <w:footnote w:id="19">
    <w:p w14:paraId="6CB9A2BB" w14:textId="6C922252" w:rsidR="009C5B1C" w:rsidRPr="005E09A9" w:rsidRDefault="009C5B1C" w:rsidP="00331467">
      <w:pPr>
        <w:pStyle w:val="FootnoteText"/>
      </w:pPr>
      <w:r w:rsidRPr="005E09A9">
        <w:rPr>
          <w:rStyle w:val="FootnoteReference"/>
          <w:vertAlign w:val="baseline"/>
        </w:rPr>
        <w:footnoteRef/>
      </w:r>
      <w:r w:rsidRPr="005E09A9">
        <w:t xml:space="preserve"> </w:t>
      </w:r>
      <w:r w:rsidR="00513066" w:rsidRPr="005E09A9">
        <w:tab/>
      </w:r>
      <w:hyperlink r:id="rId9" w:history="1">
        <w:r w:rsidRPr="005E09A9">
          <w:rPr>
            <w:rStyle w:val="Hyperlink"/>
          </w:rPr>
          <w:t>https://www.accc.gov.au/media-release/warrnambool-cheese-and-butter-amends-contract-terms</w:t>
        </w:r>
      </w:hyperlink>
      <w:r w:rsidRPr="005E09A9">
        <w:t xml:space="preserve"> </w:t>
      </w:r>
    </w:p>
  </w:footnote>
  <w:footnote w:id="20">
    <w:p w14:paraId="7D8A3E9F" w14:textId="65DEC327" w:rsidR="009C5B1C" w:rsidRPr="005E09A9" w:rsidRDefault="009C5B1C" w:rsidP="000013C0">
      <w:pPr>
        <w:pStyle w:val="FootnoteText"/>
      </w:pPr>
      <w:r w:rsidRPr="005E09A9">
        <w:rPr>
          <w:rStyle w:val="FootnoteReference"/>
          <w:vertAlign w:val="baseline"/>
        </w:rPr>
        <w:footnoteRef/>
      </w:r>
      <w:r w:rsidRPr="005E09A9">
        <w:t xml:space="preserve"> </w:t>
      </w:r>
      <w:r w:rsidR="00513066" w:rsidRPr="005E09A9">
        <w:tab/>
      </w:r>
      <w:hyperlink r:id="rId10" w:history="1">
        <w:r w:rsidR="003B4A7E" w:rsidRPr="00EA5057">
          <w:rPr>
            <w:rStyle w:val="Hyperlink"/>
          </w:rPr>
          <w:t>https://asic.gov.au/about-asic/news-centre/find-a-media-release/2017-releases/17-278mr-big-four-banks-change-loan-contracts-to-eliminate-unfair-terms/</w:t>
        </w:r>
      </w:hyperlink>
      <w:r w:rsidR="003B4A7E">
        <w:t xml:space="preserve"> </w:t>
      </w:r>
    </w:p>
  </w:footnote>
  <w:footnote w:id="21">
    <w:p w14:paraId="16AC310A" w14:textId="50A9EA0C" w:rsidR="009C5B1C" w:rsidRPr="005E09A9" w:rsidRDefault="009C5B1C" w:rsidP="000013C0">
      <w:pPr>
        <w:pStyle w:val="FootnoteText"/>
      </w:pPr>
      <w:r w:rsidRPr="005E09A9">
        <w:rPr>
          <w:rStyle w:val="FootnoteReference"/>
          <w:vertAlign w:val="baseline"/>
        </w:rPr>
        <w:footnoteRef/>
      </w:r>
      <w:r w:rsidRPr="005E09A9">
        <w:t xml:space="preserve"> </w:t>
      </w:r>
      <w:r w:rsidR="00513066" w:rsidRPr="005E09A9">
        <w:tab/>
      </w:r>
      <w:r w:rsidRPr="005E09A9">
        <w:t xml:space="preserve">ASIC, Report 565: </w:t>
      </w:r>
      <w:r w:rsidRPr="005E09A9">
        <w:rPr>
          <w:i/>
        </w:rPr>
        <w:t>Unfair contract terms and small business loans</w:t>
      </w:r>
      <w:r w:rsidRPr="005E09A9">
        <w:t xml:space="preserve">, 15 March 2018. </w:t>
      </w:r>
    </w:p>
  </w:footnote>
  <w:footnote w:id="22">
    <w:p w14:paraId="3F9136F7" w14:textId="44DB8F7A" w:rsidR="009C5B1C" w:rsidRDefault="009C5B1C" w:rsidP="000013C0">
      <w:pPr>
        <w:pStyle w:val="FootnoteText"/>
      </w:pPr>
      <w:r w:rsidRPr="005E09A9">
        <w:rPr>
          <w:rStyle w:val="FootnoteReference"/>
          <w:vertAlign w:val="baseline"/>
        </w:rPr>
        <w:footnoteRef/>
      </w:r>
      <w:r w:rsidRPr="005E09A9">
        <w:t xml:space="preserve"> </w:t>
      </w:r>
      <w:r w:rsidR="00513066" w:rsidRPr="005E09A9">
        <w:tab/>
      </w:r>
      <w:hyperlink r:id="rId11" w:history="1">
        <w:r w:rsidRPr="005E09A9">
          <w:rPr>
            <w:rStyle w:val="Hyperlink"/>
          </w:rPr>
          <w:t>https://asic.gov.au/about-asic/news-centre/find-a-media-release/2018-releases/18-262mr-prospa-removes-unfair-loan-terms-for-small-business-borrowers-and-guarantors/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22097" w14:textId="28563D33" w:rsidR="009C5B1C" w:rsidRDefault="009C5B1C">
    <w:pPr>
      <w:pStyle w:val="Header"/>
    </w:pPr>
    <w:r>
      <w:rPr>
        <w:noProof/>
      </w:rPr>
      <w:drawing>
        <wp:anchor distT="0" distB="0" distL="114300" distR="114300" simplePos="0" relativeHeight="251658240" behindDoc="1" locked="0" layoutInCell="1" allowOverlap="1" wp14:anchorId="5AC47436" wp14:editId="3DAB20FF">
          <wp:simplePos x="0" y="0"/>
          <wp:positionH relativeFrom="page">
            <wp:align>center</wp:align>
          </wp:positionH>
          <wp:positionV relativeFrom="page">
            <wp:posOffset>180340</wp:posOffset>
          </wp:positionV>
          <wp:extent cx="7199640" cy="1079640"/>
          <wp:effectExtent l="0" t="0" r="127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40" cy="107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46517" w14:textId="77777777" w:rsidR="009C5B1C" w:rsidRPr="001F3912" w:rsidRDefault="009C5B1C" w:rsidP="0017089D">
    <w:r>
      <w:fldChar w:fldCharType="begin"/>
    </w:r>
    <w:r>
      <w:instrText xml:space="preserve"> macrobutton nomacro [Click and add Publication Title]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0BF81" w14:textId="77777777" w:rsidR="009C5B1C" w:rsidRPr="001F3912" w:rsidRDefault="009C5B1C" w:rsidP="0017089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3CF37" w14:textId="77777777" w:rsidR="009C5B1C" w:rsidRPr="001F3912" w:rsidRDefault="009C5B1C" w:rsidP="0017089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C0278" w14:textId="13F364F2" w:rsidR="009C5B1C" w:rsidRPr="001F3912" w:rsidRDefault="00B157BC" w:rsidP="001606CF">
    <w:pPr>
      <w:pStyle w:val="Header"/>
    </w:pPr>
    <w:fldSimple w:instr=" STYLEREF  Title  \* MERGEFORMAT ">
      <w:r w:rsidR="00E253FC">
        <w:rPr>
          <w:noProof/>
        </w:rPr>
        <w:t>Review of Unfair Contract Term Protections for Small Business</w:t>
      </w:r>
    </w:fldSimple>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A9603" w14:textId="77777777" w:rsidR="009C5B1C" w:rsidRDefault="009C5B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750D4DE"/>
    <w:lvl w:ilvl="0">
      <w:start w:val="1"/>
      <w:numFmt w:val="decimal"/>
      <w:lvlText w:val="%1."/>
      <w:lvlJc w:val="left"/>
      <w:pPr>
        <w:tabs>
          <w:tab w:val="num" w:pos="1492"/>
        </w:tabs>
        <w:ind w:left="1492" w:hanging="360"/>
      </w:pPr>
    </w:lvl>
  </w:abstractNum>
  <w:abstractNum w:abstractNumId="1">
    <w:nsid w:val="FFFFFF7D"/>
    <w:multiLevelType w:val="singleLevel"/>
    <w:tmpl w:val="9648CF7C"/>
    <w:lvl w:ilvl="0">
      <w:start w:val="1"/>
      <w:numFmt w:val="decimal"/>
      <w:lvlText w:val="%1."/>
      <w:lvlJc w:val="left"/>
      <w:pPr>
        <w:tabs>
          <w:tab w:val="num" w:pos="1209"/>
        </w:tabs>
        <w:ind w:left="1209" w:hanging="360"/>
      </w:pPr>
    </w:lvl>
  </w:abstractNum>
  <w:abstractNum w:abstractNumId="2">
    <w:nsid w:val="FFFFFF7E"/>
    <w:multiLevelType w:val="singleLevel"/>
    <w:tmpl w:val="3CF284EC"/>
    <w:lvl w:ilvl="0">
      <w:start w:val="1"/>
      <w:numFmt w:val="decimal"/>
      <w:lvlText w:val="%1."/>
      <w:lvlJc w:val="left"/>
      <w:pPr>
        <w:tabs>
          <w:tab w:val="num" w:pos="926"/>
        </w:tabs>
        <w:ind w:left="926" w:hanging="360"/>
      </w:pPr>
    </w:lvl>
  </w:abstractNum>
  <w:abstractNum w:abstractNumId="3">
    <w:nsid w:val="FFFFFF7F"/>
    <w:multiLevelType w:val="singleLevel"/>
    <w:tmpl w:val="38DE1254"/>
    <w:lvl w:ilvl="0">
      <w:start w:val="1"/>
      <w:numFmt w:val="decimal"/>
      <w:lvlText w:val="%1."/>
      <w:lvlJc w:val="left"/>
      <w:pPr>
        <w:tabs>
          <w:tab w:val="num" w:pos="643"/>
        </w:tabs>
        <w:ind w:left="643" w:hanging="360"/>
      </w:pPr>
    </w:lvl>
  </w:abstractNum>
  <w:abstractNum w:abstractNumId="4">
    <w:nsid w:val="FFFFFF80"/>
    <w:multiLevelType w:val="singleLevel"/>
    <w:tmpl w:val="7A6616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8AED3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26E8BB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D817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B1A3C52"/>
    <w:lvl w:ilvl="0">
      <w:start w:val="1"/>
      <w:numFmt w:val="decimal"/>
      <w:lvlText w:val="%1."/>
      <w:lvlJc w:val="left"/>
      <w:pPr>
        <w:tabs>
          <w:tab w:val="num" w:pos="360"/>
        </w:tabs>
        <w:ind w:left="360" w:hanging="360"/>
      </w:pPr>
    </w:lvl>
  </w:abstractNum>
  <w:abstractNum w:abstractNumId="9">
    <w:nsid w:val="FFFFFF89"/>
    <w:multiLevelType w:val="singleLevel"/>
    <w:tmpl w:val="26D89F38"/>
    <w:lvl w:ilvl="0">
      <w:start w:val="1"/>
      <w:numFmt w:val="bullet"/>
      <w:lvlText w:val=""/>
      <w:lvlJc w:val="left"/>
      <w:pPr>
        <w:tabs>
          <w:tab w:val="num" w:pos="360"/>
        </w:tabs>
        <w:ind w:left="360" w:hanging="360"/>
      </w:pPr>
      <w:rPr>
        <w:rFonts w:ascii="Symbol" w:hAnsi="Symbol" w:hint="default"/>
      </w:rPr>
    </w:lvl>
  </w:abstractNum>
  <w:abstractNum w:abstractNumId="1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nsid w:val="098D286E"/>
    <w:multiLevelType w:val="multilevel"/>
    <w:tmpl w:val="7C8680D0"/>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19A677F"/>
    <w:multiLevelType w:val="hybridMultilevel"/>
    <w:tmpl w:val="980A60DC"/>
    <w:lvl w:ilvl="0" w:tplc="1988C498">
      <w:start w:val="1"/>
      <w:numFmt w:val="decimal"/>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270785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4D0366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6CC4E5D"/>
    <w:multiLevelType w:val="multilevel"/>
    <w:tmpl w:val="D10E9CF6"/>
    <w:numStyleLink w:val="OneLevelList"/>
  </w:abstractNum>
  <w:abstractNum w:abstractNumId="18">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7826BF0"/>
    <w:multiLevelType w:val="multilevel"/>
    <w:tmpl w:val="2A44CE48"/>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08C2710"/>
    <w:multiLevelType w:val="multilevel"/>
    <w:tmpl w:val="0D72367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1">
    <w:nsid w:val="3238442C"/>
    <w:multiLevelType w:val="multilevel"/>
    <w:tmpl w:val="FEB87FB6"/>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0F5316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10D2021"/>
    <w:multiLevelType w:val="multilevel"/>
    <w:tmpl w:val="72F8140E"/>
    <w:numStyleLink w:val="OutlineList"/>
  </w:abstractNum>
  <w:abstractNum w:abstractNumId="25">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abstractNumId w:val="20"/>
  </w:num>
  <w:num w:numId="2">
    <w:abstractNumId w:val="10"/>
  </w:num>
  <w:num w:numId="3">
    <w:abstractNumId w:val="22"/>
  </w:num>
  <w:num w:numId="4">
    <w:abstractNumId w:val="13"/>
  </w:num>
  <w:num w:numId="5">
    <w:abstractNumId w:val="17"/>
  </w:num>
  <w:num w:numId="6">
    <w:abstractNumId w:val="24"/>
  </w:num>
  <w:num w:numId="7">
    <w:abstractNumId w:val="21"/>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18"/>
  </w:num>
  <w:num w:numId="9">
    <w:abstractNumId w:val="12"/>
  </w:num>
  <w:num w:numId="10">
    <w:abstractNumId w:val="19"/>
  </w:num>
  <w:num w:numId="11">
    <w:abstractNumId w:val="25"/>
  </w:num>
  <w:num w:numId="12">
    <w:abstractNumId w:val="24"/>
  </w:num>
  <w:num w:numId="13">
    <w:abstractNumId w:val="19"/>
  </w:num>
  <w:num w:numId="14">
    <w:abstractNumId w:val="21"/>
  </w:num>
  <w:num w:numId="15">
    <w:abstractNumId w:val="20"/>
  </w:num>
  <w:num w:numId="16">
    <w:abstractNumId w:val="14"/>
  </w:num>
  <w:num w:numId="17">
    <w:abstractNumId w:val="15"/>
  </w:num>
  <w:num w:numId="18">
    <w:abstractNumId w:val="23"/>
  </w:num>
  <w:num w:numId="19">
    <w:abstractNumId w:val="11"/>
  </w:num>
  <w:num w:numId="20">
    <w:abstractNumId w:val="16"/>
  </w:num>
  <w:num w:numId="21">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AAF"/>
    <w:rsid w:val="000013C0"/>
    <w:rsid w:val="00011725"/>
    <w:rsid w:val="000128A4"/>
    <w:rsid w:val="00012C62"/>
    <w:rsid w:val="00020BA8"/>
    <w:rsid w:val="0002233C"/>
    <w:rsid w:val="00025410"/>
    <w:rsid w:val="0002544D"/>
    <w:rsid w:val="000306CA"/>
    <w:rsid w:val="0003460F"/>
    <w:rsid w:val="00034E23"/>
    <w:rsid w:val="00041887"/>
    <w:rsid w:val="00041A8B"/>
    <w:rsid w:val="0004274D"/>
    <w:rsid w:val="00044C0A"/>
    <w:rsid w:val="0004717C"/>
    <w:rsid w:val="00054B50"/>
    <w:rsid w:val="00056880"/>
    <w:rsid w:val="00057665"/>
    <w:rsid w:val="000675D1"/>
    <w:rsid w:val="0007102C"/>
    <w:rsid w:val="00073521"/>
    <w:rsid w:val="000739B3"/>
    <w:rsid w:val="0007626E"/>
    <w:rsid w:val="000775DE"/>
    <w:rsid w:val="00077DC5"/>
    <w:rsid w:val="000858F2"/>
    <w:rsid w:val="00087FAF"/>
    <w:rsid w:val="00093136"/>
    <w:rsid w:val="000A2B97"/>
    <w:rsid w:val="000A41D4"/>
    <w:rsid w:val="000B580B"/>
    <w:rsid w:val="000C5F40"/>
    <w:rsid w:val="000D648E"/>
    <w:rsid w:val="000E0B3C"/>
    <w:rsid w:val="000E0B74"/>
    <w:rsid w:val="000E3921"/>
    <w:rsid w:val="000E695E"/>
    <w:rsid w:val="000F0BF8"/>
    <w:rsid w:val="000F7517"/>
    <w:rsid w:val="00100AD2"/>
    <w:rsid w:val="001015B9"/>
    <w:rsid w:val="001106B6"/>
    <w:rsid w:val="0011388F"/>
    <w:rsid w:val="00116B54"/>
    <w:rsid w:val="00121D26"/>
    <w:rsid w:val="00122B17"/>
    <w:rsid w:val="00124754"/>
    <w:rsid w:val="0014091C"/>
    <w:rsid w:val="001450CF"/>
    <w:rsid w:val="001520AD"/>
    <w:rsid w:val="0015273A"/>
    <w:rsid w:val="00156940"/>
    <w:rsid w:val="001606CF"/>
    <w:rsid w:val="0016128D"/>
    <w:rsid w:val="0017089D"/>
    <w:rsid w:val="0019101A"/>
    <w:rsid w:val="00192E9C"/>
    <w:rsid w:val="001940C1"/>
    <w:rsid w:val="00194C4C"/>
    <w:rsid w:val="001A3E4B"/>
    <w:rsid w:val="001A63C0"/>
    <w:rsid w:val="001A64BE"/>
    <w:rsid w:val="001A741D"/>
    <w:rsid w:val="001B5730"/>
    <w:rsid w:val="001C1E10"/>
    <w:rsid w:val="001C2F66"/>
    <w:rsid w:val="001C358D"/>
    <w:rsid w:val="001E5F78"/>
    <w:rsid w:val="001F1CB0"/>
    <w:rsid w:val="001F3C5C"/>
    <w:rsid w:val="00205C99"/>
    <w:rsid w:val="002109EB"/>
    <w:rsid w:val="0021263E"/>
    <w:rsid w:val="00215790"/>
    <w:rsid w:val="00220298"/>
    <w:rsid w:val="0022190E"/>
    <w:rsid w:val="00231049"/>
    <w:rsid w:val="002314D2"/>
    <w:rsid w:val="002315BD"/>
    <w:rsid w:val="002325A8"/>
    <w:rsid w:val="00232D21"/>
    <w:rsid w:val="002372A6"/>
    <w:rsid w:val="00241E59"/>
    <w:rsid w:val="002428F4"/>
    <w:rsid w:val="00246884"/>
    <w:rsid w:val="00257AEE"/>
    <w:rsid w:val="00263B6C"/>
    <w:rsid w:val="0026496A"/>
    <w:rsid w:val="00265DBC"/>
    <w:rsid w:val="0027590B"/>
    <w:rsid w:val="00275EC7"/>
    <w:rsid w:val="00276E99"/>
    <w:rsid w:val="00283B16"/>
    <w:rsid w:val="00285969"/>
    <w:rsid w:val="00293C77"/>
    <w:rsid w:val="002940EC"/>
    <w:rsid w:val="002942DC"/>
    <w:rsid w:val="002A4DFD"/>
    <w:rsid w:val="002A57FA"/>
    <w:rsid w:val="002B3829"/>
    <w:rsid w:val="002B5C39"/>
    <w:rsid w:val="002D488F"/>
    <w:rsid w:val="002D7123"/>
    <w:rsid w:val="002E6258"/>
    <w:rsid w:val="002E7EA4"/>
    <w:rsid w:val="002F617F"/>
    <w:rsid w:val="00305F35"/>
    <w:rsid w:val="003065D2"/>
    <w:rsid w:val="003122F4"/>
    <w:rsid w:val="00313DC9"/>
    <w:rsid w:val="003268D5"/>
    <w:rsid w:val="00331467"/>
    <w:rsid w:val="00331616"/>
    <w:rsid w:val="00334712"/>
    <w:rsid w:val="00343C1F"/>
    <w:rsid w:val="00344779"/>
    <w:rsid w:val="00345F6A"/>
    <w:rsid w:val="003511B2"/>
    <w:rsid w:val="003541B0"/>
    <w:rsid w:val="00354D27"/>
    <w:rsid w:val="00367E76"/>
    <w:rsid w:val="00381968"/>
    <w:rsid w:val="003832D7"/>
    <w:rsid w:val="003835FB"/>
    <w:rsid w:val="003839B7"/>
    <w:rsid w:val="003839F0"/>
    <w:rsid w:val="003858A6"/>
    <w:rsid w:val="0038637B"/>
    <w:rsid w:val="0039129A"/>
    <w:rsid w:val="00392DCC"/>
    <w:rsid w:val="003B3768"/>
    <w:rsid w:val="003B4A7E"/>
    <w:rsid w:val="003C04E0"/>
    <w:rsid w:val="003C4F70"/>
    <w:rsid w:val="003D18FF"/>
    <w:rsid w:val="003D244F"/>
    <w:rsid w:val="003E2670"/>
    <w:rsid w:val="003E4D87"/>
    <w:rsid w:val="003F4CAA"/>
    <w:rsid w:val="003F6526"/>
    <w:rsid w:val="003F6F45"/>
    <w:rsid w:val="003F71F2"/>
    <w:rsid w:val="003F74F1"/>
    <w:rsid w:val="004044E9"/>
    <w:rsid w:val="00416762"/>
    <w:rsid w:val="00417EE4"/>
    <w:rsid w:val="00420F33"/>
    <w:rsid w:val="00422EAA"/>
    <w:rsid w:val="00425935"/>
    <w:rsid w:val="00425DF4"/>
    <w:rsid w:val="00444146"/>
    <w:rsid w:val="00445265"/>
    <w:rsid w:val="00447553"/>
    <w:rsid w:val="004559CE"/>
    <w:rsid w:val="00475A6F"/>
    <w:rsid w:val="00475B7B"/>
    <w:rsid w:val="00475F4D"/>
    <w:rsid w:val="004829E0"/>
    <w:rsid w:val="00482AD1"/>
    <w:rsid w:val="00483049"/>
    <w:rsid w:val="00491EB0"/>
    <w:rsid w:val="00492FCB"/>
    <w:rsid w:val="004938D1"/>
    <w:rsid w:val="004951A8"/>
    <w:rsid w:val="00497254"/>
    <w:rsid w:val="004A6845"/>
    <w:rsid w:val="004A7BC2"/>
    <w:rsid w:val="004B2D8A"/>
    <w:rsid w:val="004F0427"/>
    <w:rsid w:val="004F1164"/>
    <w:rsid w:val="004F1DA7"/>
    <w:rsid w:val="004F57BE"/>
    <w:rsid w:val="004F7574"/>
    <w:rsid w:val="00502266"/>
    <w:rsid w:val="00507F3E"/>
    <w:rsid w:val="00513066"/>
    <w:rsid w:val="00516643"/>
    <w:rsid w:val="00516785"/>
    <w:rsid w:val="0052419D"/>
    <w:rsid w:val="00530165"/>
    <w:rsid w:val="005301F8"/>
    <w:rsid w:val="005312FC"/>
    <w:rsid w:val="0053603D"/>
    <w:rsid w:val="0054719E"/>
    <w:rsid w:val="005476DE"/>
    <w:rsid w:val="00565C71"/>
    <w:rsid w:val="00573AB1"/>
    <w:rsid w:val="005813C9"/>
    <w:rsid w:val="005868DE"/>
    <w:rsid w:val="005A6BAB"/>
    <w:rsid w:val="005B16EE"/>
    <w:rsid w:val="005B1854"/>
    <w:rsid w:val="005B4377"/>
    <w:rsid w:val="005C57E6"/>
    <w:rsid w:val="005C7E89"/>
    <w:rsid w:val="005D0B88"/>
    <w:rsid w:val="005D20E0"/>
    <w:rsid w:val="005D2504"/>
    <w:rsid w:val="005E09A9"/>
    <w:rsid w:val="0060595B"/>
    <w:rsid w:val="00605AFD"/>
    <w:rsid w:val="006069DB"/>
    <w:rsid w:val="00607C7C"/>
    <w:rsid w:val="006123D4"/>
    <w:rsid w:val="0062779E"/>
    <w:rsid w:val="006313C3"/>
    <w:rsid w:val="0063346A"/>
    <w:rsid w:val="006351B8"/>
    <w:rsid w:val="00637C14"/>
    <w:rsid w:val="00640AF2"/>
    <w:rsid w:val="006435A9"/>
    <w:rsid w:val="00646592"/>
    <w:rsid w:val="0065511B"/>
    <w:rsid w:val="00656356"/>
    <w:rsid w:val="00663048"/>
    <w:rsid w:val="006755BF"/>
    <w:rsid w:val="00681551"/>
    <w:rsid w:val="00686165"/>
    <w:rsid w:val="00691CB5"/>
    <w:rsid w:val="006A1C91"/>
    <w:rsid w:val="006A6EE1"/>
    <w:rsid w:val="006A7153"/>
    <w:rsid w:val="006B0DD1"/>
    <w:rsid w:val="006B3BC1"/>
    <w:rsid w:val="006B5E7C"/>
    <w:rsid w:val="006C2AF5"/>
    <w:rsid w:val="006C4498"/>
    <w:rsid w:val="006C507C"/>
    <w:rsid w:val="006C645D"/>
    <w:rsid w:val="006C71C3"/>
    <w:rsid w:val="006D42C7"/>
    <w:rsid w:val="006D64C2"/>
    <w:rsid w:val="006D65BD"/>
    <w:rsid w:val="006D7EF1"/>
    <w:rsid w:val="006E39CC"/>
    <w:rsid w:val="006E3CC3"/>
    <w:rsid w:val="006E69C2"/>
    <w:rsid w:val="006F525F"/>
    <w:rsid w:val="006F656C"/>
    <w:rsid w:val="00707014"/>
    <w:rsid w:val="00714CB7"/>
    <w:rsid w:val="007151A0"/>
    <w:rsid w:val="007167BE"/>
    <w:rsid w:val="00726238"/>
    <w:rsid w:val="00730460"/>
    <w:rsid w:val="00745A87"/>
    <w:rsid w:val="00753067"/>
    <w:rsid w:val="00754732"/>
    <w:rsid w:val="007547D2"/>
    <w:rsid w:val="00757B46"/>
    <w:rsid w:val="00762F4E"/>
    <w:rsid w:val="00767641"/>
    <w:rsid w:val="007848A4"/>
    <w:rsid w:val="0078509F"/>
    <w:rsid w:val="00786B76"/>
    <w:rsid w:val="00794499"/>
    <w:rsid w:val="007A1D6C"/>
    <w:rsid w:val="007C2F7F"/>
    <w:rsid w:val="007C6496"/>
    <w:rsid w:val="007D5AA6"/>
    <w:rsid w:val="007E2AB9"/>
    <w:rsid w:val="007E6456"/>
    <w:rsid w:val="007F2B36"/>
    <w:rsid w:val="007F2F1F"/>
    <w:rsid w:val="00801F98"/>
    <w:rsid w:val="0080261A"/>
    <w:rsid w:val="00814E58"/>
    <w:rsid w:val="00815B4C"/>
    <w:rsid w:val="00815E53"/>
    <w:rsid w:val="0082273F"/>
    <w:rsid w:val="0082389B"/>
    <w:rsid w:val="00834243"/>
    <w:rsid w:val="00835367"/>
    <w:rsid w:val="008425DD"/>
    <w:rsid w:val="008452BB"/>
    <w:rsid w:val="00847BB8"/>
    <w:rsid w:val="00855618"/>
    <w:rsid w:val="00857969"/>
    <w:rsid w:val="00861D39"/>
    <w:rsid w:val="00862951"/>
    <w:rsid w:val="00866230"/>
    <w:rsid w:val="0087069C"/>
    <w:rsid w:val="0087223E"/>
    <w:rsid w:val="008767EB"/>
    <w:rsid w:val="00876A55"/>
    <w:rsid w:val="00877810"/>
    <w:rsid w:val="00881EF6"/>
    <w:rsid w:val="008859AD"/>
    <w:rsid w:val="008920E9"/>
    <w:rsid w:val="008A1187"/>
    <w:rsid w:val="008A70D8"/>
    <w:rsid w:val="008A7AB8"/>
    <w:rsid w:val="008B1499"/>
    <w:rsid w:val="008C34EA"/>
    <w:rsid w:val="008D339F"/>
    <w:rsid w:val="008D7F38"/>
    <w:rsid w:val="008E062F"/>
    <w:rsid w:val="008E6292"/>
    <w:rsid w:val="008F5933"/>
    <w:rsid w:val="008F5F84"/>
    <w:rsid w:val="0091271F"/>
    <w:rsid w:val="00913CD2"/>
    <w:rsid w:val="009223D0"/>
    <w:rsid w:val="00922BD4"/>
    <w:rsid w:val="00925AA5"/>
    <w:rsid w:val="00927F77"/>
    <w:rsid w:val="0094019D"/>
    <w:rsid w:val="00942C11"/>
    <w:rsid w:val="00964F12"/>
    <w:rsid w:val="009732EC"/>
    <w:rsid w:val="00980C32"/>
    <w:rsid w:val="009821CE"/>
    <w:rsid w:val="009852CF"/>
    <w:rsid w:val="009A658F"/>
    <w:rsid w:val="009A668A"/>
    <w:rsid w:val="009A7C7D"/>
    <w:rsid w:val="009B0DAE"/>
    <w:rsid w:val="009B5F6F"/>
    <w:rsid w:val="009C5B1C"/>
    <w:rsid w:val="009D202F"/>
    <w:rsid w:val="009D577D"/>
    <w:rsid w:val="009F1A57"/>
    <w:rsid w:val="009F27D7"/>
    <w:rsid w:val="009F5E62"/>
    <w:rsid w:val="00A004D1"/>
    <w:rsid w:val="00A16E03"/>
    <w:rsid w:val="00A177DF"/>
    <w:rsid w:val="00A2597A"/>
    <w:rsid w:val="00A260CD"/>
    <w:rsid w:val="00A30959"/>
    <w:rsid w:val="00A32FC1"/>
    <w:rsid w:val="00A3749B"/>
    <w:rsid w:val="00A43AAF"/>
    <w:rsid w:val="00A531FB"/>
    <w:rsid w:val="00A549F1"/>
    <w:rsid w:val="00A54D51"/>
    <w:rsid w:val="00A62E42"/>
    <w:rsid w:val="00A62F01"/>
    <w:rsid w:val="00A64A71"/>
    <w:rsid w:val="00A66F4A"/>
    <w:rsid w:val="00A92196"/>
    <w:rsid w:val="00AA05D4"/>
    <w:rsid w:val="00AB328B"/>
    <w:rsid w:val="00AC55C0"/>
    <w:rsid w:val="00AD098D"/>
    <w:rsid w:val="00AD1343"/>
    <w:rsid w:val="00AE2F90"/>
    <w:rsid w:val="00AF22E3"/>
    <w:rsid w:val="00AF60A0"/>
    <w:rsid w:val="00B157BC"/>
    <w:rsid w:val="00B16E7A"/>
    <w:rsid w:val="00B27697"/>
    <w:rsid w:val="00B3149D"/>
    <w:rsid w:val="00B43877"/>
    <w:rsid w:val="00B4437C"/>
    <w:rsid w:val="00B45F5A"/>
    <w:rsid w:val="00B74123"/>
    <w:rsid w:val="00B770FF"/>
    <w:rsid w:val="00B82EF9"/>
    <w:rsid w:val="00B84EF8"/>
    <w:rsid w:val="00B85F47"/>
    <w:rsid w:val="00B85FAD"/>
    <w:rsid w:val="00B87927"/>
    <w:rsid w:val="00B919D8"/>
    <w:rsid w:val="00B91C71"/>
    <w:rsid w:val="00B92619"/>
    <w:rsid w:val="00BA06E7"/>
    <w:rsid w:val="00BA1697"/>
    <w:rsid w:val="00BB7EBB"/>
    <w:rsid w:val="00BC0043"/>
    <w:rsid w:val="00BC06BF"/>
    <w:rsid w:val="00BC3B1A"/>
    <w:rsid w:val="00BC41BD"/>
    <w:rsid w:val="00BC50FA"/>
    <w:rsid w:val="00BD381C"/>
    <w:rsid w:val="00BD5650"/>
    <w:rsid w:val="00BD66B1"/>
    <w:rsid w:val="00BF067E"/>
    <w:rsid w:val="00BF1341"/>
    <w:rsid w:val="00BF4FCC"/>
    <w:rsid w:val="00C30297"/>
    <w:rsid w:val="00C35E25"/>
    <w:rsid w:val="00C40589"/>
    <w:rsid w:val="00C45EE9"/>
    <w:rsid w:val="00C54E4E"/>
    <w:rsid w:val="00C573EE"/>
    <w:rsid w:val="00C6172E"/>
    <w:rsid w:val="00C62F7E"/>
    <w:rsid w:val="00C62FD7"/>
    <w:rsid w:val="00C65BE3"/>
    <w:rsid w:val="00C663AB"/>
    <w:rsid w:val="00C75A92"/>
    <w:rsid w:val="00C80F7D"/>
    <w:rsid w:val="00C85314"/>
    <w:rsid w:val="00C85391"/>
    <w:rsid w:val="00C8577F"/>
    <w:rsid w:val="00C927D8"/>
    <w:rsid w:val="00C94FC7"/>
    <w:rsid w:val="00CA0A9B"/>
    <w:rsid w:val="00CA43C7"/>
    <w:rsid w:val="00CA46D6"/>
    <w:rsid w:val="00CA4BC0"/>
    <w:rsid w:val="00CB1A0E"/>
    <w:rsid w:val="00CB31AD"/>
    <w:rsid w:val="00CB3F8D"/>
    <w:rsid w:val="00CC2A3E"/>
    <w:rsid w:val="00CC3C12"/>
    <w:rsid w:val="00CC559D"/>
    <w:rsid w:val="00CD0A0E"/>
    <w:rsid w:val="00CD654B"/>
    <w:rsid w:val="00CD6BD4"/>
    <w:rsid w:val="00CE223E"/>
    <w:rsid w:val="00CF12B7"/>
    <w:rsid w:val="00CF40FE"/>
    <w:rsid w:val="00D0228D"/>
    <w:rsid w:val="00D122EC"/>
    <w:rsid w:val="00D12720"/>
    <w:rsid w:val="00D145F5"/>
    <w:rsid w:val="00D146A5"/>
    <w:rsid w:val="00D14823"/>
    <w:rsid w:val="00D2064E"/>
    <w:rsid w:val="00D21A10"/>
    <w:rsid w:val="00D22125"/>
    <w:rsid w:val="00D27FDE"/>
    <w:rsid w:val="00D308AA"/>
    <w:rsid w:val="00D33032"/>
    <w:rsid w:val="00D355F0"/>
    <w:rsid w:val="00D42F8E"/>
    <w:rsid w:val="00D45AF8"/>
    <w:rsid w:val="00D47190"/>
    <w:rsid w:val="00D51C05"/>
    <w:rsid w:val="00D55EB4"/>
    <w:rsid w:val="00D60D99"/>
    <w:rsid w:val="00D73FBB"/>
    <w:rsid w:val="00D81DAB"/>
    <w:rsid w:val="00D83BD9"/>
    <w:rsid w:val="00D9152A"/>
    <w:rsid w:val="00D95FB9"/>
    <w:rsid w:val="00DA686B"/>
    <w:rsid w:val="00DB7F09"/>
    <w:rsid w:val="00DC00E8"/>
    <w:rsid w:val="00DC4293"/>
    <w:rsid w:val="00DD37E6"/>
    <w:rsid w:val="00DD76C1"/>
    <w:rsid w:val="00DE35FE"/>
    <w:rsid w:val="00DF5839"/>
    <w:rsid w:val="00E00AE8"/>
    <w:rsid w:val="00E058F1"/>
    <w:rsid w:val="00E10D39"/>
    <w:rsid w:val="00E1136B"/>
    <w:rsid w:val="00E148DE"/>
    <w:rsid w:val="00E20A21"/>
    <w:rsid w:val="00E22D51"/>
    <w:rsid w:val="00E253FC"/>
    <w:rsid w:val="00E257A0"/>
    <w:rsid w:val="00E257AA"/>
    <w:rsid w:val="00E3522F"/>
    <w:rsid w:val="00E35FA1"/>
    <w:rsid w:val="00E4009F"/>
    <w:rsid w:val="00E504D0"/>
    <w:rsid w:val="00E50E7C"/>
    <w:rsid w:val="00E51545"/>
    <w:rsid w:val="00E55326"/>
    <w:rsid w:val="00E6360B"/>
    <w:rsid w:val="00E711D7"/>
    <w:rsid w:val="00E721AF"/>
    <w:rsid w:val="00E81827"/>
    <w:rsid w:val="00E83C30"/>
    <w:rsid w:val="00E85382"/>
    <w:rsid w:val="00E8610E"/>
    <w:rsid w:val="00E902B0"/>
    <w:rsid w:val="00E902E8"/>
    <w:rsid w:val="00EA58A2"/>
    <w:rsid w:val="00EA72D0"/>
    <w:rsid w:val="00EA7868"/>
    <w:rsid w:val="00EB030F"/>
    <w:rsid w:val="00EB6209"/>
    <w:rsid w:val="00EC680D"/>
    <w:rsid w:val="00EC6B16"/>
    <w:rsid w:val="00EC7629"/>
    <w:rsid w:val="00EC7C1F"/>
    <w:rsid w:val="00ED1904"/>
    <w:rsid w:val="00ED296C"/>
    <w:rsid w:val="00EE677F"/>
    <w:rsid w:val="00EE74B7"/>
    <w:rsid w:val="00EE780F"/>
    <w:rsid w:val="00EF1D62"/>
    <w:rsid w:val="00F0082D"/>
    <w:rsid w:val="00F019E4"/>
    <w:rsid w:val="00F07C90"/>
    <w:rsid w:val="00F20469"/>
    <w:rsid w:val="00F22550"/>
    <w:rsid w:val="00F22A68"/>
    <w:rsid w:val="00F4679A"/>
    <w:rsid w:val="00F51702"/>
    <w:rsid w:val="00F51C1C"/>
    <w:rsid w:val="00F576DC"/>
    <w:rsid w:val="00F637B5"/>
    <w:rsid w:val="00F667C6"/>
    <w:rsid w:val="00F66B9F"/>
    <w:rsid w:val="00F70E80"/>
    <w:rsid w:val="00F71A0E"/>
    <w:rsid w:val="00F80D13"/>
    <w:rsid w:val="00F87DA2"/>
    <w:rsid w:val="00F92279"/>
    <w:rsid w:val="00FA06E5"/>
    <w:rsid w:val="00FA251F"/>
    <w:rsid w:val="00FB64AA"/>
    <w:rsid w:val="00FC422F"/>
    <w:rsid w:val="00FC6ADA"/>
    <w:rsid w:val="00FE1659"/>
    <w:rsid w:val="00FE171F"/>
    <w:rsid w:val="00FE4E20"/>
    <w:rsid w:val="00FF1398"/>
    <w:rsid w:val="00FF4F39"/>
    <w:rsid w:val="00FF590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C84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F7F"/>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E1136B"/>
    <w:pPr>
      <w:spacing w:before="480"/>
      <w:outlineLvl w:val="0"/>
    </w:pPr>
    <w:rPr>
      <w:bCs w:val="0"/>
      <w:sz w:val="48"/>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3E4D87"/>
    <w:pPr>
      <w:spacing w:before="240"/>
      <w:outlineLvl w:val="2"/>
    </w:pPr>
    <w:rPr>
      <w:bCs w:val="0"/>
      <w:color w:val="7F7F7F"/>
      <w:sz w:val="28"/>
      <w:szCs w:val="26"/>
    </w:rPr>
  </w:style>
  <w:style w:type="paragraph" w:styleId="Heading4">
    <w:name w:val="heading 4"/>
    <w:basedOn w:val="HeadingBase"/>
    <w:next w:val="Normal"/>
    <w:link w:val="Heading4Char"/>
    <w:qFormat/>
    <w:rsid w:val="000E0B74"/>
    <w:pPr>
      <w:outlineLvl w:val="3"/>
    </w:pPr>
    <w:rPr>
      <w:bCs w:val="0"/>
      <w:color w:val="336E98"/>
      <w:sz w:val="26"/>
      <w:szCs w:val="26"/>
    </w:rPr>
  </w:style>
  <w:style w:type="paragraph" w:styleId="Heading5">
    <w:name w:val="heading 5"/>
    <w:basedOn w:val="HeadingBase"/>
    <w:next w:val="Normal"/>
    <w:link w:val="Heading5Char"/>
    <w:qFormat/>
    <w:rsid w:val="003E4D87"/>
    <w:pPr>
      <w:outlineLvl w:val="4"/>
    </w:pPr>
    <w:rPr>
      <w:b/>
      <w:bCs w:val="0"/>
      <w:iCs/>
    </w:rPr>
  </w:style>
  <w:style w:type="paragraph" w:styleId="Heading6">
    <w:name w:val="heading 6"/>
    <w:basedOn w:val="HeadingBase"/>
    <w:next w:val="Normal"/>
    <w:link w:val="Heading6Char"/>
    <w:qFormat/>
    <w:rsid w:val="003E4D87"/>
    <w:p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136B"/>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3E4D87"/>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rsid w:val="003E4D87"/>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3"/>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aliases w:val="Body,b,b + line,b1,level 1,Bullet + line"/>
    <w:basedOn w:val="Normal"/>
    <w:link w:val="BulletChar"/>
    <w:qFormat/>
    <w:rsid w:val="000E0B74"/>
    <w:pPr>
      <w:numPr>
        <w:numId w:val="1"/>
      </w:numPr>
      <w:spacing w:before="0"/>
    </w:p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056880"/>
    <w:pPr>
      <w:keepNext/>
      <w:spacing w:before="0" w:after="360"/>
      <w:ind w:right="139"/>
      <w:jc w:val="right"/>
    </w:pPr>
    <w:rPr>
      <w:color w:val="004A7F"/>
      <w:sz w:val="44"/>
    </w:rPr>
  </w:style>
  <w:style w:type="paragraph" w:customStyle="1" w:styleId="Dash">
    <w:name w:val="Dash"/>
    <w:basedOn w:val="Normal"/>
    <w:qFormat/>
    <w:rsid w:val="000E0B74"/>
    <w:pPr>
      <w:numPr>
        <w:ilvl w:val="1"/>
        <w:numId w:val="1"/>
      </w:numPr>
      <w:spacing w:before="0"/>
      <w:ind w:left="568"/>
    </w:pPr>
  </w:style>
  <w:style w:type="paragraph" w:customStyle="1" w:styleId="DoubleDot">
    <w:name w:val="Double Dot"/>
    <w:basedOn w:val="Normal"/>
    <w:qFormat/>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0E0B74"/>
    <w:pPr>
      <w:keepNext/>
      <w:tabs>
        <w:tab w:val="clear" w:pos="4513"/>
        <w:tab w:val="clear" w:pos="9026"/>
      </w:tabs>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D45AF8"/>
    <w:rPr>
      <w:color w:val="004A7F"/>
      <w:u w:val="none"/>
    </w:rPr>
  </w:style>
  <w:style w:type="paragraph" w:customStyle="1" w:styleId="OutlineNumbered1">
    <w:name w:val="Outline Numbered 1"/>
    <w:basedOn w:val="Normal"/>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E35FA1"/>
    <w:pPr>
      <w:numPr>
        <w:numId w:val="13"/>
      </w:numPr>
      <w:tabs>
        <w:tab w:val="clear" w:pos="720"/>
        <w:tab w:val="left"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656356"/>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656356"/>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E55326"/>
    <w:pPr>
      <w:tabs>
        <w:tab w:val="right" w:leader="dot" w:pos="9072"/>
      </w:tabs>
      <w:spacing w:before="20" w:after="0"/>
      <w:ind w:left="284" w:right="-2"/>
    </w:pPr>
    <w:rPr>
      <w:rFonts w:cs="Calibri"/>
      <w:noProof/>
      <w:color w:val="7F7F7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4"/>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E0B74"/>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0E0B74"/>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E1136B"/>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E1136B"/>
    <w:rPr>
      <w:rFonts w:ascii="Calibri" w:eastAsiaTheme="majorEastAsia" w:hAnsi="Calibri" w:cstheme="majorBidi"/>
      <w:iCs/>
      <w:color w:val="7F7F7F" w:themeColor="text1" w:themeTint="80"/>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263B6C"/>
    <w:pPr>
      <w:keepNext/>
      <w:spacing w:after="120" w:line="240" w:lineRule="auto"/>
    </w:pPr>
    <w:rPr>
      <w:rFonts w:ascii="Calibri" w:eastAsia="Times New Roman" w:hAnsi="Calibri" w:cs="Arial"/>
      <w:bCs/>
      <w:color w:val="004A7F"/>
      <w:kern w:val="32"/>
      <w:szCs w:val="36"/>
      <w:lang w:eastAsia="en-AU"/>
    </w:rPr>
  </w:style>
  <w:style w:type="character" w:customStyle="1" w:styleId="ReportDateChar">
    <w:name w:val="Report Date Char"/>
    <w:basedOn w:val="DefaultParagraphFont"/>
    <w:link w:val="ReportDate"/>
    <w:rsid w:val="00925AA5"/>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ind w:right="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basedOn w:val="DefaultParagraphFont"/>
    <w:uiPriority w:val="99"/>
    <w:rsid w:val="000F7517"/>
    <w:rPr>
      <w:rFonts w:ascii="Calibri" w:hAnsi="Calibri"/>
      <w:sz w:val="20"/>
      <w:vertAlign w:val="superscript"/>
    </w:rPr>
  </w:style>
  <w:style w:type="paragraph" w:styleId="FootnoteText">
    <w:name w:val="footnote text"/>
    <w:basedOn w:val="Normal"/>
    <w:link w:val="FootnoteTextChar"/>
    <w:uiPriority w:val="99"/>
    <w:rsid w:val="00513066"/>
    <w:pPr>
      <w:tabs>
        <w:tab w:val="left" w:pos="567"/>
      </w:tabs>
      <w:spacing w:before="0" w:after="0"/>
      <w:ind w:left="567" w:hanging="567"/>
    </w:pPr>
    <w:rPr>
      <w:sz w:val="20"/>
    </w:rPr>
  </w:style>
  <w:style w:type="character" w:customStyle="1" w:styleId="FootnoteTextChar">
    <w:name w:val="Footnote Text Char"/>
    <w:basedOn w:val="DefaultParagraphFont"/>
    <w:link w:val="FootnoteText"/>
    <w:uiPriority w:val="99"/>
    <w:rsid w:val="00513066"/>
    <w:rPr>
      <w:rFonts w:ascii="Calibri" w:eastAsia="Times New Roman" w:hAnsi="Calibri" w:cs="Times New Roman"/>
      <w:sz w:val="20"/>
      <w:szCs w:val="20"/>
      <w:lang w:eastAsia="en-AU"/>
    </w:rPr>
  </w:style>
  <w:style w:type="paragraph" w:customStyle="1" w:styleId="Heading3noTOC">
    <w:name w:val="Heading 3 no TOC"/>
    <w:basedOn w:val="Heading3"/>
    <w:qFormat/>
    <w:rsid w:val="00257AEE"/>
    <w:rPr>
      <w:rFonts w:cs="Calibri"/>
    </w:rPr>
  </w:style>
  <w:style w:type="paragraph" w:styleId="BalloonText">
    <w:name w:val="Balloon Text"/>
    <w:basedOn w:val="Normal"/>
    <w:link w:val="BalloonTextChar"/>
    <w:uiPriority w:val="99"/>
    <w:semiHidden/>
    <w:unhideWhenUsed/>
    <w:rsid w:val="00475B7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paragraph" w:styleId="TOCHeading">
    <w:name w:val="TOC Heading"/>
    <w:basedOn w:val="Heading1"/>
    <w:next w:val="Normal"/>
    <w:uiPriority w:val="39"/>
    <w:unhideWhenUsed/>
    <w:qFormat/>
    <w:rsid w:val="00C573EE"/>
    <w:pPr>
      <w:keepLines/>
      <w:spacing w:after="0" w:line="276" w:lineRule="auto"/>
      <w:outlineLvl w:val="9"/>
    </w:pPr>
    <w:rPr>
      <w:rFonts w:asciiTheme="majorHAnsi" w:eastAsiaTheme="majorEastAsia" w:hAnsiTheme="majorHAnsi" w:cstheme="majorBidi"/>
      <w:b/>
      <w:bCs/>
      <w:color w:val="2E74B5" w:themeColor="accent1" w:themeShade="BF"/>
      <w:kern w:val="0"/>
      <w:sz w:val="28"/>
      <w:szCs w:val="28"/>
      <w:lang w:val="en-US" w:eastAsia="ja-JP"/>
    </w:rPr>
  </w:style>
  <w:style w:type="paragraph" w:customStyle="1" w:styleId="Default">
    <w:name w:val="Default"/>
    <w:rsid w:val="0065511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47BB8"/>
    <w:pPr>
      <w:ind w:left="720"/>
      <w:contextualSpacing/>
    </w:pPr>
  </w:style>
  <w:style w:type="character" w:styleId="CommentReference">
    <w:name w:val="annotation reference"/>
    <w:basedOn w:val="DefaultParagraphFont"/>
    <w:uiPriority w:val="99"/>
    <w:semiHidden/>
    <w:unhideWhenUsed/>
    <w:rsid w:val="00497254"/>
    <w:rPr>
      <w:sz w:val="16"/>
      <w:szCs w:val="16"/>
    </w:rPr>
  </w:style>
  <w:style w:type="paragraph" w:styleId="CommentText">
    <w:name w:val="annotation text"/>
    <w:basedOn w:val="Normal"/>
    <w:link w:val="CommentTextChar"/>
    <w:uiPriority w:val="99"/>
    <w:semiHidden/>
    <w:unhideWhenUsed/>
    <w:rsid w:val="00497254"/>
    <w:rPr>
      <w:sz w:val="20"/>
    </w:rPr>
  </w:style>
  <w:style w:type="character" w:customStyle="1" w:styleId="CommentTextChar">
    <w:name w:val="Comment Text Char"/>
    <w:basedOn w:val="DefaultParagraphFont"/>
    <w:link w:val="CommentText"/>
    <w:uiPriority w:val="99"/>
    <w:semiHidden/>
    <w:rsid w:val="00497254"/>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97254"/>
    <w:rPr>
      <w:b/>
      <w:bCs/>
    </w:rPr>
  </w:style>
  <w:style w:type="character" w:customStyle="1" w:styleId="CommentSubjectChar">
    <w:name w:val="Comment Subject Char"/>
    <w:basedOn w:val="CommentTextChar"/>
    <w:link w:val="CommentSubject"/>
    <w:uiPriority w:val="99"/>
    <w:semiHidden/>
    <w:rsid w:val="00497254"/>
    <w:rPr>
      <w:rFonts w:ascii="Calibri" w:eastAsia="Times New Roman" w:hAnsi="Calibri" w:cs="Times New Roman"/>
      <w:b/>
      <w:bCs/>
      <w:sz w:val="20"/>
      <w:szCs w:val="20"/>
      <w:lang w:eastAsia="en-AU"/>
    </w:rPr>
  </w:style>
  <w:style w:type="character" w:styleId="FollowedHyperlink">
    <w:name w:val="FollowedHyperlink"/>
    <w:basedOn w:val="DefaultParagraphFont"/>
    <w:uiPriority w:val="99"/>
    <w:semiHidden/>
    <w:unhideWhenUsed/>
    <w:rsid w:val="004F7574"/>
    <w:rPr>
      <w:color w:val="954F72" w:themeColor="followedHyperlink"/>
      <w:u w:val="single"/>
    </w:rPr>
  </w:style>
  <w:style w:type="character" w:customStyle="1" w:styleId="BulletChar">
    <w:name w:val="Bullet Char"/>
    <w:aliases w:val="b Char Char,b Char,b + line Char Char,Body Char,b + line Char,b1 Char,level 1 Char"/>
    <w:basedOn w:val="DefaultParagraphFont"/>
    <w:link w:val="Bullet"/>
    <w:locked/>
    <w:rsid w:val="00491EB0"/>
    <w:rPr>
      <w:rFonts w:ascii="Calibri" w:eastAsia="Times New Roman" w:hAnsi="Calibri" w:cs="Times New Roman"/>
      <w:szCs w:val="20"/>
      <w:lang w:eastAsia="en-AU"/>
    </w:rPr>
  </w:style>
  <w:style w:type="paragraph" w:styleId="Quote">
    <w:name w:val="Quote"/>
    <w:basedOn w:val="Normal"/>
    <w:next w:val="Normal"/>
    <w:link w:val="QuoteChar"/>
    <w:uiPriority w:val="29"/>
    <w:qFormat/>
    <w:rsid w:val="000B580B"/>
    <w:pPr>
      <w:ind w:left="720"/>
    </w:pPr>
    <w:rPr>
      <w:i/>
      <w:iCs/>
      <w:color w:val="000000" w:themeColor="text1"/>
    </w:rPr>
  </w:style>
  <w:style w:type="character" w:customStyle="1" w:styleId="QuoteChar">
    <w:name w:val="Quote Char"/>
    <w:basedOn w:val="DefaultParagraphFont"/>
    <w:link w:val="Quote"/>
    <w:uiPriority w:val="29"/>
    <w:rsid w:val="000B580B"/>
    <w:rPr>
      <w:rFonts w:ascii="Calibri" w:eastAsia="Times New Roman" w:hAnsi="Calibri" w:cs="Times New Roman"/>
      <w:i/>
      <w:iCs/>
      <w:color w:val="000000" w:themeColor="text1"/>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F7F"/>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E1136B"/>
    <w:pPr>
      <w:spacing w:before="480"/>
      <w:outlineLvl w:val="0"/>
    </w:pPr>
    <w:rPr>
      <w:bCs w:val="0"/>
      <w:sz w:val="48"/>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3E4D87"/>
    <w:pPr>
      <w:spacing w:before="240"/>
      <w:outlineLvl w:val="2"/>
    </w:pPr>
    <w:rPr>
      <w:bCs w:val="0"/>
      <w:color w:val="7F7F7F"/>
      <w:sz w:val="28"/>
      <w:szCs w:val="26"/>
    </w:rPr>
  </w:style>
  <w:style w:type="paragraph" w:styleId="Heading4">
    <w:name w:val="heading 4"/>
    <w:basedOn w:val="HeadingBase"/>
    <w:next w:val="Normal"/>
    <w:link w:val="Heading4Char"/>
    <w:qFormat/>
    <w:rsid w:val="000E0B74"/>
    <w:pPr>
      <w:outlineLvl w:val="3"/>
    </w:pPr>
    <w:rPr>
      <w:bCs w:val="0"/>
      <w:color w:val="336E98"/>
      <w:sz w:val="26"/>
      <w:szCs w:val="26"/>
    </w:rPr>
  </w:style>
  <w:style w:type="paragraph" w:styleId="Heading5">
    <w:name w:val="heading 5"/>
    <w:basedOn w:val="HeadingBase"/>
    <w:next w:val="Normal"/>
    <w:link w:val="Heading5Char"/>
    <w:qFormat/>
    <w:rsid w:val="003E4D87"/>
    <w:pPr>
      <w:outlineLvl w:val="4"/>
    </w:pPr>
    <w:rPr>
      <w:b/>
      <w:bCs w:val="0"/>
      <w:iCs/>
    </w:rPr>
  </w:style>
  <w:style w:type="paragraph" w:styleId="Heading6">
    <w:name w:val="heading 6"/>
    <w:basedOn w:val="HeadingBase"/>
    <w:next w:val="Normal"/>
    <w:link w:val="Heading6Char"/>
    <w:qFormat/>
    <w:rsid w:val="003E4D87"/>
    <w:p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136B"/>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3E4D87"/>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rsid w:val="003E4D87"/>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3"/>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aliases w:val="Body,b,b + line,b1,level 1,Bullet + line"/>
    <w:basedOn w:val="Normal"/>
    <w:link w:val="BulletChar"/>
    <w:qFormat/>
    <w:rsid w:val="000E0B74"/>
    <w:pPr>
      <w:numPr>
        <w:numId w:val="1"/>
      </w:numPr>
      <w:spacing w:before="0"/>
    </w:p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056880"/>
    <w:pPr>
      <w:keepNext/>
      <w:spacing w:before="0" w:after="360"/>
      <w:ind w:right="139"/>
      <w:jc w:val="right"/>
    </w:pPr>
    <w:rPr>
      <w:color w:val="004A7F"/>
      <w:sz w:val="44"/>
    </w:rPr>
  </w:style>
  <w:style w:type="paragraph" w:customStyle="1" w:styleId="Dash">
    <w:name w:val="Dash"/>
    <w:basedOn w:val="Normal"/>
    <w:qFormat/>
    <w:rsid w:val="000E0B74"/>
    <w:pPr>
      <w:numPr>
        <w:ilvl w:val="1"/>
        <w:numId w:val="1"/>
      </w:numPr>
      <w:spacing w:before="0"/>
      <w:ind w:left="568"/>
    </w:pPr>
  </w:style>
  <w:style w:type="paragraph" w:customStyle="1" w:styleId="DoubleDot">
    <w:name w:val="Double Dot"/>
    <w:basedOn w:val="Normal"/>
    <w:qFormat/>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0E0B74"/>
    <w:pPr>
      <w:keepNext/>
      <w:tabs>
        <w:tab w:val="clear" w:pos="4513"/>
        <w:tab w:val="clear" w:pos="9026"/>
      </w:tabs>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D45AF8"/>
    <w:rPr>
      <w:color w:val="004A7F"/>
      <w:u w:val="none"/>
    </w:rPr>
  </w:style>
  <w:style w:type="paragraph" w:customStyle="1" w:styleId="OutlineNumbered1">
    <w:name w:val="Outline Numbered 1"/>
    <w:basedOn w:val="Normal"/>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E35FA1"/>
    <w:pPr>
      <w:numPr>
        <w:numId w:val="13"/>
      </w:numPr>
      <w:tabs>
        <w:tab w:val="clear" w:pos="720"/>
        <w:tab w:val="left"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656356"/>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656356"/>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E55326"/>
    <w:pPr>
      <w:tabs>
        <w:tab w:val="right" w:leader="dot" w:pos="9072"/>
      </w:tabs>
      <w:spacing w:before="20" w:after="0"/>
      <w:ind w:left="284" w:right="-2"/>
    </w:pPr>
    <w:rPr>
      <w:rFonts w:cs="Calibri"/>
      <w:noProof/>
      <w:color w:val="7F7F7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4"/>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E0B74"/>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0E0B74"/>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E1136B"/>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E1136B"/>
    <w:rPr>
      <w:rFonts w:ascii="Calibri" w:eastAsiaTheme="majorEastAsia" w:hAnsi="Calibri" w:cstheme="majorBidi"/>
      <w:iCs/>
      <w:color w:val="7F7F7F" w:themeColor="text1" w:themeTint="80"/>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263B6C"/>
    <w:pPr>
      <w:keepNext/>
      <w:spacing w:after="120" w:line="240" w:lineRule="auto"/>
    </w:pPr>
    <w:rPr>
      <w:rFonts w:ascii="Calibri" w:eastAsia="Times New Roman" w:hAnsi="Calibri" w:cs="Arial"/>
      <w:bCs/>
      <w:color w:val="004A7F"/>
      <w:kern w:val="32"/>
      <w:szCs w:val="36"/>
      <w:lang w:eastAsia="en-AU"/>
    </w:rPr>
  </w:style>
  <w:style w:type="character" w:customStyle="1" w:styleId="ReportDateChar">
    <w:name w:val="Report Date Char"/>
    <w:basedOn w:val="DefaultParagraphFont"/>
    <w:link w:val="ReportDate"/>
    <w:rsid w:val="00925AA5"/>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ind w:right="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basedOn w:val="DefaultParagraphFont"/>
    <w:uiPriority w:val="99"/>
    <w:rsid w:val="000F7517"/>
    <w:rPr>
      <w:rFonts w:ascii="Calibri" w:hAnsi="Calibri"/>
      <w:sz w:val="20"/>
      <w:vertAlign w:val="superscript"/>
    </w:rPr>
  </w:style>
  <w:style w:type="paragraph" w:styleId="FootnoteText">
    <w:name w:val="footnote text"/>
    <w:basedOn w:val="Normal"/>
    <w:link w:val="FootnoteTextChar"/>
    <w:uiPriority w:val="99"/>
    <w:rsid w:val="00513066"/>
    <w:pPr>
      <w:tabs>
        <w:tab w:val="left" w:pos="567"/>
      </w:tabs>
      <w:spacing w:before="0" w:after="0"/>
      <w:ind w:left="567" w:hanging="567"/>
    </w:pPr>
    <w:rPr>
      <w:sz w:val="20"/>
    </w:rPr>
  </w:style>
  <w:style w:type="character" w:customStyle="1" w:styleId="FootnoteTextChar">
    <w:name w:val="Footnote Text Char"/>
    <w:basedOn w:val="DefaultParagraphFont"/>
    <w:link w:val="FootnoteText"/>
    <w:uiPriority w:val="99"/>
    <w:rsid w:val="00513066"/>
    <w:rPr>
      <w:rFonts w:ascii="Calibri" w:eastAsia="Times New Roman" w:hAnsi="Calibri" w:cs="Times New Roman"/>
      <w:sz w:val="20"/>
      <w:szCs w:val="20"/>
      <w:lang w:eastAsia="en-AU"/>
    </w:rPr>
  </w:style>
  <w:style w:type="paragraph" w:customStyle="1" w:styleId="Heading3noTOC">
    <w:name w:val="Heading 3 no TOC"/>
    <w:basedOn w:val="Heading3"/>
    <w:qFormat/>
    <w:rsid w:val="00257AEE"/>
    <w:rPr>
      <w:rFonts w:cs="Calibri"/>
    </w:rPr>
  </w:style>
  <w:style w:type="paragraph" w:styleId="BalloonText">
    <w:name w:val="Balloon Text"/>
    <w:basedOn w:val="Normal"/>
    <w:link w:val="BalloonTextChar"/>
    <w:uiPriority w:val="99"/>
    <w:semiHidden/>
    <w:unhideWhenUsed/>
    <w:rsid w:val="00475B7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paragraph" w:styleId="TOCHeading">
    <w:name w:val="TOC Heading"/>
    <w:basedOn w:val="Heading1"/>
    <w:next w:val="Normal"/>
    <w:uiPriority w:val="39"/>
    <w:unhideWhenUsed/>
    <w:qFormat/>
    <w:rsid w:val="00C573EE"/>
    <w:pPr>
      <w:keepLines/>
      <w:spacing w:after="0" w:line="276" w:lineRule="auto"/>
      <w:outlineLvl w:val="9"/>
    </w:pPr>
    <w:rPr>
      <w:rFonts w:asciiTheme="majorHAnsi" w:eastAsiaTheme="majorEastAsia" w:hAnsiTheme="majorHAnsi" w:cstheme="majorBidi"/>
      <w:b/>
      <w:bCs/>
      <w:color w:val="2E74B5" w:themeColor="accent1" w:themeShade="BF"/>
      <w:kern w:val="0"/>
      <w:sz w:val="28"/>
      <w:szCs w:val="28"/>
      <w:lang w:val="en-US" w:eastAsia="ja-JP"/>
    </w:rPr>
  </w:style>
  <w:style w:type="paragraph" w:customStyle="1" w:styleId="Default">
    <w:name w:val="Default"/>
    <w:rsid w:val="0065511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47BB8"/>
    <w:pPr>
      <w:ind w:left="720"/>
      <w:contextualSpacing/>
    </w:pPr>
  </w:style>
  <w:style w:type="character" w:styleId="CommentReference">
    <w:name w:val="annotation reference"/>
    <w:basedOn w:val="DefaultParagraphFont"/>
    <w:uiPriority w:val="99"/>
    <w:semiHidden/>
    <w:unhideWhenUsed/>
    <w:rsid w:val="00497254"/>
    <w:rPr>
      <w:sz w:val="16"/>
      <w:szCs w:val="16"/>
    </w:rPr>
  </w:style>
  <w:style w:type="paragraph" w:styleId="CommentText">
    <w:name w:val="annotation text"/>
    <w:basedOn w:val="Normal"/>
    <w:link w:val="CommentTextChar"/>
    <w:uiPriority w:val="99"/>
    <w:semiHidden/>
    <w:unhideWhenUsed/>
    <w:rsid w:val="00497254"/>
    <w:rPr>
      <w:sz w:val="20"/>
    </w:rPr>
  </w:style>
  <w:style w:type="character" w:customStyle="1" w:styleId="CommentTextChar">
    <w:name w:val="Comment Text Char"/>
    <w:basedOn w:val="DefaultParagraphFont"/>
    <w:link w:val="CommentText"/>
    <w:uiPriority w:val="99"/>
    <w:semiHidden/>
    <w:rsid w:val="00497254"/>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97254"/>
    <w:rPr>
      <w:b/>
      <w:bCs/>
    </w:rPr>
  </w:style>
  <w:style w:type="character" w:customStyle="1" w:styleId="CommentSubjectChar">
    <w:name w:val="Comment Subject Char"/>
    <w:basedOn w:val="CommentTextChar"/>
    <w:link w:val="CommentSubject"/>
    <w:uiPriority w:val="99"/>
    <w:semiHidden/>
    <w:rsid w:val="00497254"/>
    <w:rPr>
      <w:rFonts w:ascii="Calibri" w:eastAsia="Times New Roman" w:hAnsi="Calibri" w:cs="Times New Roman"/>
      <w:b/>
      <w:bCs/>
      <w:sz w:val="20"/>
      <w:szCs w:val="20"/>
      <w:lang w:eastAsia="en-AU"/>
    </w:rPr>
  </w:style>
  <w:style w:type="character" w:styleId="FollowedHyperlink">
    <w:name w:val="FollowedHyperlink"/>
    <w:basedOn w:val="DefaultParagraphFont"/>
    <w:uiPriority w:val="99"/>
    <w:semiHidden/>
    <w:unhideWhenUsed/>
    <w:rsid w:val="004F7574"/>
    <w:rPr>
      <w:color w:val="954F72" w:themeColor="followedHyperlink"/>
      <w:u w:val="single"/>
    </w:rPr>
  </w:style>
  <w:style w:type="character" w:customStyle="1" w:styleId="BulletChar">
    <w:name w:val="Bullet Char"/>
    <w:aliases w:val="b Char Char,b Char,b + line Char Char,Body Char,b + line Char,b1 Char,level 1 Char"/>
    <w:basedOn w:val="DefaultParagraphFont"/>
    <w:link w:val="Bullet"/>
    <w:locked/>
    <w:rsid w:val="00491EB0"/>
    <w:rPr>
      <w:rFonts w:ascii="Calibri" w:eastAsia="Times New Roman" w:hAnsi="Calibri" w:cs="Times New Roman"/>
      <w:szCs w:val="20"/>
      <w:lang w:eastAsia="en-AU"/>
    </w:rPr>
  </w:style>
  <w:style w:type="paragraph" w:styleId="Quote">
    <w:name w:val="Quote"/>
    <w:basedOn w:val="Normal"/>
    <w:next w:val="Normal"/>
    <w:link w:val="QuoteChar"/>
    <w:uiPriority w:val="29"/>
    <w:qFormat/>
    <w:rsid w:val="000B580B"/>
    <w:pPr>
      <w:ind w:left="720"/>
    </w:pPr>
    <w:rPr>
      <w:i/>
      <w:iCs/>
      <w:color w:val="000000" w:themeColor="text1"/>
    </w:rPr>
  </w:style>
  <w:style w:type="character" w:customStyle="1" w:styleId="QuoteChar">
    <w:name w:val="Quote Char"/>
    <w:basedOn w:val="DefaultParagraphFont"/>
    <w:link w:val="Quote"/>
    <w:uiPriority w:val="29"/>
    <w:rsid w:val="000B580B"/>
    <w:rPr>
      <w:rFonts w:ascii="Calibri" w:eastAsia="Times New Roman" w:hAnsi="Calibri" w:cs="Times New Roman"/>
      <w:i/>
      <w:iCs/>
      <w:color w:val="000000" w:themeColor="text1"/>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medialiaison@treasury.gov.a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creativecommons.org/licenses/by/3.0/au/legalcode" TargetMode="External"/><Relationship Id="rId25" Type="http://schemas.openxmlformats.org/officeDocument/2006/relationships/hyperlink" Target="mailto:consumerlaw@treasury.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reativecommons.org/licenses/by/3.0/au/deed.en" TargetMode="External"/><Relationship Id="rId20" Type="http://schemas.openxmlformats.org/officeDocument/2006/relationships/hyperlink" Target="http://www.pmc.gov.au/government/commonwealth-coat-ar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http://creativecommons.org/licenses/by/3.0/au/deed.en" TargetMode="External"/><Relationship Id="rId31" Type="http://schemas.openxmlformats.org/officeDocument/2006/relationships/footer" Target="footer5.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header" Target="header5.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s://www.accc.gov.au/media-release/awb-amends-contract-terms-following-accc-concern" TargetMode="External"/><Relationship Id="rId3" Type="http://schemas.openxmlformats.org/officeDocument/2006/relationships/hyperlink" Target="https://treasury.gov.au/consultation/c2018-t284394/" TargetMode="External"/><Relationship Id="rId7" Type="http://schemas.openxmlformats.org/officeDocument/2006/relationships/hyperlink" Target="https://www.accc.gov.au/media-release/cardtronics-to-amend-unfair-atm-contracts" TargetMode="External"/><Relationship Id="rId2" Type="http://schemas.openxmlformats.org/officeDocument/2006/relationships/hyperlink" Target="https://www.aph.gov.au/Parliamentary_Business/Bills_Legislation/Bills_Search_Results/Result?bId=r6097" TargetMode="External"/><Relationship Id="rId1" Type="http://schemas.openxmlformats.org/officeDocument/2006/relationships/hyperlink" Target="https://www.pc.gov.au/inquiries/completed/consumer-policy" TargetMode="External"/><Relationship Id="rId6" Type="http://schemas.openxmlformats.org/officeDocument/2006/relationships/hyperlink" Target="https://www.accc.gov.au/media-release/sensis-provides-undertaking-and-amends-contract-terms" TargetMode="External"/><Relationship Id="rId11" Type="http://schemas.openxmlformats.org/officeDocument/2006/relationships/hyperlink" Target="https://asic.gov.au/about-asic/news-centre/find-a-media-release/2018-releases/18-262mr-prospa-removes-unfair-loan-terms-for-small-business-borrowers-and-guarantors/" TargetMode="External"/><Relationship Id="rId5" Type="http://schemas.openxmlformats.org/officeDocument/2006/relationships/hyperlink" Target="https://financialservices.royalcommission.gov.au/Pages/interim-report.aspx" TargetMode="External"/><Relationship Id="rId10" Type="http://schemas.openxmlformats.org/officeDocument/2006/relationships/hyperlink" Target="https://asic.gov.au/about-asic/news-centre/find-a-media-release/2017-releases/17-278mr-big-four-banks-change-loan-contracts-to-eliminate-unfair-terms/" TargetMode="External"/><Relationship Id="rId4" Type="http://schemas.openxmlformats.org/officeDocument/2006/relationships/hyperlink" Target="https://www.aph.gov.au/Parliamentary_Business/Committees/Joint/Corporations_and_Financial_Services/Franchising" TargetMode="External"/><Relationship Id="rId9" Type="http://schemas.openxmlformats.org/officeDocument/2006/relationships/hyperlink" Target="https://www.accc.gov.au/media-release/warrnambool-cheese-and-butter-amends-contract-te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Consultation%20Discussion%20Pap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D32F813FF339BB439A8099CD5BC8C9D4" ma:contentTypeVersion="15695" ma:contentTypeDescription="" ma:contentTypeScope="" ma:versionID="aef865075cd10b44033bb37a2a8e988b">
  <xsd:schema xmlns:xsd="http://www.w3.org/2001/XMLSchema" xmlns:xs="http://www.w3.org/2001/XMLSchema" xmlns:p="http://schemas.microsoft.com/office/2006/metadata/properties" xmlns:ns1="http://schemas.microsoft.com/sharepoint/v3" xmlns:ns2="0f563589-9cf9-4143-b1eb-fb0534803d38" xmlns:ns3="eb47d8b7-fefc-4923-b53c-9685ba6b7210" targetNamespace="http://schemas.microsoft.com/office/2006/metadata/properties" ma:root="true" ma:fieldsID="3068d29b9d648fd606c098e9b6dc71df" ns1:_="" ns2:_="" ns3:_="">
    <xsd:import namespace="http://schemas.microsoft.com/sharepoint/v3"/>
    <xsd:import namespace="0f563589-9cf9-4143-b1eb-fb0534803d38"/>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186</Value>
    </TaxCatchAll>
    <_dlc_DocId xmlns="0f563589-9cf9-4143-b1eb-fb0534803d38">2018CSSG-528562461-1742</_dlc_DocId>
    <_dlc_DocIdUrl xmlns="0f563589-9cf9-4143-b1eb-fb0534803d38">
      <Url>http://tweb/sites/cssg/ped/pu/pt/_layouts/15/DocIdRedir.aspx?ID=2018CSSG-528562461-1742</Url>
      <Description>2018CSSG-528562461-1742</Description>
    </_dlc_DocIdUrl>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documentManagement>
</p:properti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5cc967dd-c912-4b3c-bade-a8b03f189c59">
      <p:Name>Auditing</p:Name>
      <p:Description>Audits user actions on documents and list items to the Audit Log.</p:Description>
      <p:CustomData>
        <Audit>
          <Update/>
          <DeleteRestore/>
        </Audit>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7E4A2-819E-4048-8B1A-71EACA89E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eb47d8b7-fefc-4923-b53c-9685ba6b7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540F4E-E0DF-40F6-94EB-AB93A6E75696}">
  <ds:schemaRefs>
    <ds:schemaRef ds:uri="http://schemas.microsoft.com/sharepoint/v3/contenttype/forms"/>
  </ds:schemaRefs>
</ds:datastoreItem>
</file>

<file path=customXml/itemProps3.xml><?xml version="1.0" encoding="utf-8"?>
<ds:datastoreItem xmlns:ds="http://schemas.openxmlformats.org/officeDocument/2006/customXml" ds:itemID="{FB065EFF-AAF7-4E81-B328-025D296F4A8E}">
  <ds:schemaRefs>
    <ds:schemaRef ds:uri="http://purl.org/dc/terms/"/>
    <ds:schemaRef ds:uri="http://purl.org/dc/elements/1.1/"/>
    <ds:schemaRef ds:uri="http://schemas.openxmlformats.org/package/2006/metadata/core-properties"/>
    <ds:schemaRef ds:uri="http://schemas.microsoft.com/sharepoint/v3"/>
    <ds:schemaRef ds:uri="http://www.w3.org/XML/1998/namespace"/>
    <ds:schemaRef ds:uri="http://purl.org/dc/dcmitype/"/>
    <ds:schemaRef ds:uri="eb47d8b7-fefc-4923-b53c-9685ba6b7210"/>
    <ds:schemaRef ds:uri="http://schemas.microsoft.com/office/2006/documentManagement/types"/>
    <ds:schemaRef ds:uri="http://schemas.microsoft.com/office/infopath/2007/PartnerControls"/>
    <ds:schemaRef ds:uri="0f563589-9cf9-4143-b1eb-fb0534803d38"/>
    <ds:schemaRef ds:uri="http://schemas.microsoft.com/office/2006/metadata/properties"/>
  </ds:schemaRefs>
</ds:datastoreItem>
</file>

<file path=customXml/itemProps4.xml><?xml version="1.0" encoding="utf-8"?>
<ds:datastoreItem xmlns:ds="http://schemas.openxmlformats.org/officeDocument/2006/customXml" ds:itemID="{26FCA0D4-3899-440F-9BC2-A79116504E91}">
  <ds:schemaRefs>
    <ds:schemaRef ds:uri="office.server.policy"/>
  </ds:schemaRefs>
</ds:datastoreItem>
</file>

<file path=customXml/itemProps5.xml><?xml version="1.0" encoding="utf-8"?>
<ds:datastoreItem xmlns:ds="http://schemas.openxmlformats.org/officeDocument/2006/customXml" ds:itemID="{EB81B127-0788-4761-B4F2-A76814846139}">
  <ds:schemaRefs>
    <ds:schemaRef ds:uri="http://schemas.microsoft.com/sharepoint/events"/>
  </ds:schemaRefs>
</ds:datastoreItem>
</file>

<file path=customXml/itemProps6.xml><?xml version="1.0" encoding="utf-8"?>
<ds:datastoreItem xmlns:ds="http://schemas.openxmlformats.org/officeDocument/2006/customXml" ds:itemID="{73470DE6-07F8-4312-A543-191C91ABB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Consultation Discussion Paper.dotm</Template>
  <TotalTime>1</TotalTime>
  <Pages>14</Pages>
  <Words>4074</Words>
  <Characters>23227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27247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 Philip</dc:creator>
  <cp:lastModifiedBy>Scarano, David</cp:lastModifiedBy>
  <cp:revision>3</cp:revision>
  <cp:lastPrinted>2018-11-13T03:36:00Z</cp:lastPrinted>
  <dcterms:created xsi:type="dcterms:W3CDTF">2018-11-21T04:27:00Z</dcterms:created>
  <dcterms:modified xsi:type="dcterms:W3CDTF">2018-11-21T04:29:00Z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0x010100605AAC981168BE40A9BD548B81A50DF600D32F813FF339BB439A8099CD5BC8C9D4</vt:lpwstr>
  </property>
  <property fmtid="{D5CDD505-2E9C-101B-9397-08002B2CF9AE}" pid="3" name="RecordPoint_ActiveItemUniqueId">
    <vt:lpwstr>{d6fa318c-f3cc-46b0-a676-0df3f633e522}</vt:lpwstr>
  </property>
  <property fmtid="{D5CDD505-2E9C-101B-9397-08002B2CF9AE}" pid="4" name="TSYRecordClass">
    <vt:lpwstr>75</vt:lpwstr>
  </property>
  <property fmtid="{D5CDD505-2E9C-101B-9397-08002B2CF9AE}" pid="5" name="RecordPoint_WorkflowType">
    <vt:lpwstr>ActiveSubmitStub</vt:lpwstr>
  </property>
  <property fmtid="{D5CDD505-2E9C-101B-9397-08002B2CF9AE}" pid="6" name="_dlc_DocIdItemGuid">
    <vt:lpwstr>d6fa318c-f3cc-46b0-a676-0df3f633e522</vt:lpwstr>
  </property>
  <property fmtid="{D5CDD505-2E9C-101B-9397-08002B2CF9AE}" pid="7" name="RecordPoint_ActiveItemListId">
    <vt:lpwstr>{1a5197ea-2690-47fd-a085-19629528b6d0}</vt:lpwstr>
  </property>
  <property fmtid="{D5CDD505-2E9C-101B-9397-08002B2CF9AE}" pid="8" name="RecordPoint_ActiveItemWebId">
    <vt:lpwstr>{e237d495-0881-4849-ae62-ddc8a8132df5}</vt:lpwstr>
  </property>
  <property fmtid="{D5CDD505-2E9C-101B-9397-08002B2CF9AE}" pid="9" name="RecordPoint_ActiveItemSiteId">
    <vt:lpwstr>{de902461-0703-410e-906b-a2e3a4f5dd57}</vt:lpwstr>
  </property>
  <property fmtid="{D5CDD505-2E9C-101B-9397-08002B2CF9AE}" pid="10" name="RecordPoint_RecordNumberSubmitted">
    <vt:lpwstr/>
  </property>
  <property fmtid="{D5CDD505-2E9C-101B-9397-08002B2CF9AE}" pid="11" name="RecordPoint_SubmissionCompleted">
    <vt:lpwstr/>
  </property>
  <property fmtid="{D5CDD505-2E9C-101B-9397-08002B2CF9AE}" pid="12" name="_AdHocReviewCycleID">
    <vt:i4>-1064950859</vt:i4>
  </property>
  <property fmtid="{D5CDD505-2E9C-101B-9397-08002B2CF9AE}" pid="13" name="_NewReviewCycle">
    <vt:lpwstr/>
  </property>
  <property fmtid="{D5CDD505-2E9C-101B-9397-08002B2CF9AE}" pid="14" name="_EmailSubject">
    <vt:lpwstr>Update - Faults #342379 [SEC=UNCLASSIFIED]</vt:lpwstr>
  </property>
  <property fmtid="{D5CDD505-2E9C-101B-9397-08002B2CF9AE}" pid="15" name="_AuthorEmail">
    <vt:lpwstr>Philip.Hu@TREASURY.GOV.AU</vt:lpwstr>
  </property>
  <property fmtid="{D5CDD505-2E9C-101B-9397-08002B2CF9AE}" pid="16" name="_AuthorEmailDisplayName">
    <vt:lpwstr>Hu, Philip</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_PreviousAdHocReviewCycleID">
    <vt:i4>1117694143</vt:i4>
  </property>
</Properties>
</file>