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6AE84" w14:textId="77777777" w:rsidR="00905701" w:rsidRDefault="00905701" w:rsidP="00B17774">
      <w:pPr>
        <w:pStyle w:val="Baseparagraphcentred"/>
      </w:pPr>
      <w:bookmarkStart w:id="0" w:name="_GoBack"/>
      <w:bookmarkEnd w:id="0"/>
    </w:p>
    <w:p w14:paraId="3D1B2FC3" w14:textId="77777777" w:rsidR="00905701" w:rsidRDefault="00905701" w:rsidP="00D57063">
      <w:pPr>
        <w:pStyle w:val="Baseparagraphcentred"/>
      </w:pPr>
    </w:p>
    <w:p w14:paraId="29DCA25C" w14:textId="77777777" w:rsidR="00905701" w:rsidRDefault="00905701" w:rsidP="00B17774">
      <w:pPr>
        <w:pStyle w:val="Baseparagraphcentred"/>
      </w:pPr>
    </w:p>
    <w:p w14:paraId="17DDC6AF" w14:textId="77777777" w:rsidR="00905701" w:rsidRDefault="00905701" w:rsidP="00B17774">
      <w:pPr>
        <w:pStyle w:val="Baseparagraphcentred"/>
      </w:pPr>
    </w:p>
    <w:p w14:paraId="4F051AD1" w14:textId="77777777" w:rsidR="00905701" w:rsidRDefault="00905701" w:rsidP="00B17774">
      <w:pPr>
        <w:pStyle w:val="Baseparagraphcentred"/>
      </w:pPr>
    </w:p>
    <w:p w14:paraId="3713238B" w14:textId="77777777" w:rsidR="00905701" w:rsidRDefault="00905701" w:rsidP="00D57063">
      <w:pPr>
        <w:pStyle w:val="Baseparagraphcentred"/>
      </w:pPr>
    </w:p>
    <w:p w14:paraId="137E0FFB" w14:textId="77777777" w:rsidR="00905701" w:rsidRDefault="00905701" w:rsidP="00B17774">
      <w:pPr>
        <w:pStyle w:val="Baseparagraphcentred"/>
      </w:pPr>
    </w:p>
    <w:p w14:paraId="68DEEAF8" w14:textId="77777777" w:rsidR="00905701" w:rsidRDefault="00905701" w:rsidP="00B17774">
      <w:pPr>
        <w:pStyle w:val="Baseparagraphcentred"/>
      </w:pPr>
    </w:p>
    <w:p w14:paraId="4BC92891" w14:textId="500848D5" w:rsidR="00B17774" w:rsidRDefault="00B17774" w:rsidP="00B17774">
      <w:pPr>
        <w:pStyle w:val="Baseparagraphcentred"/>
      </w:pPr>
    </w:p>
    <w:p w14:paraId="16362614" w14:textId="77777777" w:rsidR="001C1E5A" w:rsidRDefault="001C1E5A" w:rsidP="00B17774">
      <w:pPr>
        <w:pStyle w:val="Baseparagraphcentred"/>
      </w:pPr>
    </w:p>
    <w:p w14:paraId="7F261638" w14:textId="1EDDC1B9" w:rsidR="00B17774" w:rsidRPr="001C1E5A" w:rsidRDefault="0076637E" w:rsidP="00B17774">
      <w:pPr>
        <w:pStyle w:val="BillName"/>
      </w:pPr>
      <w:bookmarkStart w:id="1" w:name="BillName"/>
      <w:bookmarkEnd w:id="1"/>
      <w:r w:rsidRPr="00AA3F3D">
        <w:t>Treasury Laws Amendment (Corporate Collective Investment Vehicle) Bill 2018</w:t>
      </w:r>
    </w:p>
    <w:p w14:paraId="732F507C" w14:textId="77777777" w:rsidR="00B17774" w:rsidRDefault="00B17774" w:rsidP="00B17774">
      <w:pPr>
        <w:pStyle w:val="Baseparagraphcentred"/>
      </w:pPr>
    </w:p>
    <w:p w14:paraId="792FA5B2" w14:textId="77777777" w:rsidR="00B17774" w:rsidRDefault="00B17774" w:rsidP="00B17774">
      <w:pPr>
        <w:pStyle w:val="Baseparagraphcentred"/>
      </w:pPr>
    </w:p>
    <w:p w14:paraId="33F49939" w14:textId="77777777" w:rsidR="00B17774" w:rsidRDefault="00B17774" w:rsidP="00B17774">
      <w:pPr>
        <w:pStyle w:val="Baseparagraphcentred"/>
      </w:pPr>
    </w:p>
    <w:p w14:paraId="49A6E76A" w14:textId="77777777" w:rsidR="00B17774" w:rsidRDefault="00B17774" w:rsidP="00B17774">
      <w:pPr>
        <w:pStyle w:val="Baseparagraphcentred"/>
      </w:pPr>
    </w:p>
    <w:p w14:paraId="2BEC4459" w14:textId="77777777" w:rsidR="00905701" w:rsidRDefault="00905701" w:rsidP="00B17774">
      <w:pPr>
        <w:pStyle w:val="Baseparagraphcentred"/>
      </w:pPr>
      <w:r>
        <w:t>EXPOSURE DRAFT EXPLANATORY MATERIALS</w:t>
      </w:r>
    </w:p>
    <w:p w14:paraId="1D0EBE42" w14:textId="4E12379C" w:rsidR="00B17774" w:rsidRDefault="00B17774" w:rsidP="00B17774">
      <w:pPr>
        <w:pStyle w:val="Baseparagraphcentred"/>
      </w:pPr>
    </w:p>
    <w:p w14:paraId="6CD7E8BF" w14:textId="77777777" w:rsidR="001C1E5A" w:rsidRDefault="001C1E5A" w:rsidP="00B17774">
      <w:pPr>
        <w:pStyle w:val="Baseparagraphcentred"/>
      </w:pPr>
    </w:p>
    <w:p w14:paraId="59A5AA44" w14:textId="77777777" w:rsidR="00B17774" w:rsidRDefault="00B17774" w:rsidP="00B17774">
      <w:pPr>
        <w:pStyle w:val="Baseparagraphcentred"/>
      </w:pPr>
    </w:p>
    <w:p w14:paraId="5FFA46B5" w14:textId="77777777" w:rsidR="00905701" w:rsidRDefault="00905701" w:rsidP="00D57063">
      <w:pPr>
        <w:pStyle w:val="ParaCentredNoSpacing"/>
      </w:pPr>
    </w:p>
    <w:p w14:paraId="2A23AFC8" w14:textId="77777777" w:rsidR="00905701" w:rsidRDefault="00905701" w:rsidP="00773B68">
      <w:pPr>
        <w:pStyle w:val="ParaCentredNoSpacing"/>
      </w:pPr>
    </w:p>
    <w:p w14:paraId="691DA798" w14:textId="2373BCEE" w:rsidR="001C1E5A" w:rsidRDefault="001C1E5A" w:rsidP="00773B68">
      <w:pPr>
        <w:pStyle w:val="ParaCentredNoSpacing"/>
      </w:pPr>
    </w:p>
    <w:p w14:paraId="50769A65" w14:textId="77777777" w:rsidR="00B17774" w:rsidRDefault="00B17774" w:rsidP="00B17774"/>
    <w:p w14:paraId="710E02FC" w14:textId="77777777" w:rsidR="00813A51" w:rsidRDefault="00813A51" w:rsidP="00B17774">
      <w:pPr>
        <w:sectPr w:rsidR="00813A51" w:rsidSect="00905701">
          <w:headerReference w:type="even" r:id="rId14"/>
          <w:headerReference w:type="default" r:id="rId15"/>
          <w:footerReference w:type="even" r:id="rId16"/>
          <w:footerReference w:type="default" r:id="rId17"/>
          <w:headerReference w:type="first" r:id="rId18"/>
          <w:footerReference w:type="first" r:id="rId19"/>
          <w:pgSz w:w="9979" w:h="14175" w:code="34"/>
          <w:pgMar w:top="567" w:right="1134" w:bottom="567" w:left="1134" w:header="709" w:footer="709" w:gutter="0"/>
          <w:cols w:space="708"/>
          <w:titlePg/>
          <w:docGrid w:linePitch="360"/>
        </w:sectPr>
      </w:pPr>
    </w:p>
    <w:p w14:paraId="419565C6" w14:textId="77777777" w:rsidR="00B17774" w:rsidRPr="003E0794" w:rsidRDefault="00B17774" w:rsidP="00B17774">
      <w:pPr>
        <w:pStyle w:val="TOCHeading"/>
      </w:pPr>
      <w:r w:rsidRPr="003E0794">
        <w:lastRenderedPageBreak/>
        <w:t>Table of contents</w:t>
      </w:r>
    </w:p>
    <w:p w14:paraId="4BA0CFD3" w14:textId="77777777" w:rsidR="00905701"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905701">
        <w:t>Glossary</w:t>
      </w:r>
      <w:r w:rsidR="00905701">
        <w:tab/>
      </w:r>
      <w:r w:rsidR="00905701">
        <w:fldChar w:fldCharType="begin"/>
      </w:r>
      <w:r w:rsidR="00905701">
        <w:instrText xml:space="preserve"> PAGEREF _Toc526434626 \h </w:instrText>
      </w:r>
      <w:r w:rsidR="00905701">
        <w:fldChar w:fldCharType="separate"/>
      </w:r>
      <w:r w:rsidR="00275132">
        <w:t>1</w:t>
      </w:r>
      <w:r w:rsidR="00905701">
        <w:fldChar w:fldCharType="end"/>
      </w:r>
    </w:p>
    <w:p w14:paraId="7351A665" w14:textId="77777777" w:rsidR="00905701" w:rsidRDefault="0090570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_Toc526434627 \h </w:instrText>
      </w:r>
      <w:r>
        <w:rPr>
          <w:noProof/>
        </w:rPr>
      </w:r>
      <w:r>
        <w:rPr>
          <w:noProof/>
        </w:rPr>
        <w:fldChar w:fldCharType="separate"/>
      </w:r>
      <w:r w:rsidR="00275132">
        <w:rPr>
          <w:noProof/>
        </w:rPr>
        <w:t>3</w:t>
      </w:r>
      <w:r>
        <w:rPr>
          <w:noProof/>
        </w:rPr>
        <w:fldChar w:fldCharType="end"/>
      </w:r>
    </w:p>
    <w:p w14:paraId="1E695B3E" w14:textId="77777777" w:rsidR="00905701" w:rsidRDefault="00905701">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Depositary independence</w:t>
      </w:r>
      <w:r>
        <w:rPr>
          <w:noProof/>
        </w:rPr>
        <w:tab/>
      </w:r>
      <w:r>
        <w:rPr>
          <w:noProof/>
        </w:rPr>
        <w:fldChar w:fldCharType="begin"/>
      </w:r>
      <w:r>
        <w:rPr>
          <w:noProof/>
        </w:rPr>
        <w:instrText xml:space="preserve"> PAGEREF _Toc526434628 \h </w:instrText>
      </w:r>
      <w:r>
        <w:rPr>
          <w:noProof/>
        </w:rPr>
      </w:r>
      <w:r>
        <w:rPr>
          <w:noProof/>
        </w:rPr>
        <w:fldChar w:fldCharType="separate"/>
      </w:r>
      <w:r w:rsidR="00275132">
        <w:rPr>
          <w:noProof/>
        </w:rPr>
        <w:t>9</w:t>
      </w:r>
      <w:r>
        <w:rPr>
          <w:noProof/>
        </w:rPr>
        <w:fldChar w:fldCharType="end"/>
      </w:r>
    </w:p>
    <w:p w14:paraId="4ADE183D" w14:textId="77777777" w:rsidR="00905701" w:rsidRDefault="00905701">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External Administration</w:t>
      </w:r>
      <w:r>
        <w:rPr>
          <w:noProof/>
        </w:rPr>
        <w:tab/>
      </w:r>
      <w:r>
        <w:rPr>
          <w:noProof/>
        </w:rPr>
        <w:fldChar w:fldCharType="begin"/>
      </w:r>
      <w:r>
        <w:rPr>
          <w:noProof/>
        </w:rPr>
        <w:instrText xml:space="preserve"> PAGEREF _Toc526434629 \h </w:instrText>
      </w:r>
      <w:r>
        <w:rPr>
          <w:noProof/>
        </w:rPr>
      </w:r>
      <w:r>
        <w:rPr>
          <w:noProof/>
        </w:rPr>
        <w:fldChar w:fldCharType="separate"/>
      </w:r>
      <w:r w:rsidR="00275132">
        <w:rPr>
          <w:noProof/>
        </w:rPr>
        <w:t>17</w:t>
      </w:r>
      <w:r>
        <w:rPr>
          <w:noProof/>
        </w:rPr>
        <w:fldChar w:fldCharType="end"/>
      </w:r>
    </w:p>
    <w:p w14:paraId="4554B746" w14:textId="77777777" w:rsidR="00905701" w:rsidRDefault="00905701">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Deregistration of CCIVs and sub-funds</w:t>
      </w:r>
      <w:r>
        <w:rPr>
          <w:noProof/>
        </w:rPr>
        <w:tab/>
      </w:r>
      <w:r>
        <w:rPr>
          <w:noProof/>
        </w:rPr>
        <w:fldChar w:fldCharType="begin"/>
      </w:r>
      <w:r>
        <w:rPr>
          <w:noProof/>
        </w:rPr>
        <w:instrText xml:space="preserve"> PAGEREF _Toc526434630 \h </w:instrText>
      </w:r>
      <w:r>
        <w:rPr>
          <w:noProof/>
        </w:rPr>
      </w:r>
      <w:r>
        <w:rPr>
          <w:noProof/>
        </w:rPr>
        <w:fldChar w:fldCharType="separate"/>
      </w:r>
      <w:r w:rsidR="00275132">
        <w:rPr>
          <w:noProof/>
        </w:rPr>
        <w:t>63</w:t>
      </w:r>
      <w:r>
        <w:rPr>
          <w:noProof/>
        </w:rPr>
        <w:fldChar w:fldCharType="end"/>
      </w:r>
    </w:p>
    <w:p w14:paraId="5E07CD79" w14:textId="77777777" w:rsidR="00905701" w:rsidRDefault="00905701">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Takeovers, compulsory acquisitions and buy-outs, continuous disclosure and fundraising</w:t>
      </w:r>
      <w:r>
        <w:rPr>
          <w:noProof/>
        </w:rPr>
        <w:tab/>
      </w:r>
      <w:r>
        <w:rPr>
          <w:noProof/>
        </w:rPr>
        <w:fldChar w:fldCharType="begin"/>
      </w:r>
      <w:r>
        <w:rPr>
          <w:noProof/>
        </w:rPr>
        <w:instrText xml:space="preserve"> PAGEREF _Toc526434631 \h </w:instrText>
      </w:r>
      <w:r>
        <w:rPr>
          <w:noProof/>
        </w:rPr>
      </w:r>
      <w:r>
        <w:rPr>
          <w:noProof/>
        </w:rPr>
        <w:fldChar w:fldCharType="separate"/>
      </w:r>
      <w:r w:rsidR="00275132">
        <w:rPr>
          <w:noProof/>
        </w:rPr>
        <w:t>77</w:t>
      </w:r>
      <w:r>
        <w:rPr>
          <w:noProof/>
        </w:rPr>
        <w:fldChar w:fldCharType="end"/>
      </w:r>
    </w:p>
    <w:p w14:paraId="6C627B03" w14:textId="77777777" w:rsidR="00905701" w:rsidRDefault="00905701">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Asia Region Funds Passport</w:t>
      </w:r>
      <w:r>
        <w:rPr>
          <w:noProof/>
        </w:rPr>
        <w:tab/>
      </w:r>
      <w:r>
        <w:rPr>
          <w:noProof/>
        </w:rPr>
        <w:fldChar w:fldCharType="begin"/>
      </w:r>
      <w:r>
        <w:rPr>
          <w:noProof/>
        </w:rPr>
        <w:instrText xml:space="preserve"> PAGEREF _Toc526434632 \h </w:instrText>
      </w:r>
      <w:r>
        <w:rPr>
          <w:noProof/>
        </w:rPr>
      </w:r>
      <w:r>
        <w:rPr>
          <w:noProof/>
        </w:rPr>
        <w:fldChar w:fldCharType="separate"/>
      </w:r>
      <w:r w:rsidR="00275132">
        <w:rPr>
          <w:noProof/>
        </w:rPr>
        <w:t>83</w:t>
      </w:r>
      <w:r>
        <w:rPr>
          <w:noProof/>
        </w:rPr>
        <w:fldChar w:fldCharType="end"/>
      </w:r>
    </w:p>
    <w:p w14:paraId="19161D0D" w14:textId="77777777" w:rsidR="00905701" w:rsidRDefault="00905701">
      <w:pPr>
        <w:pStyle w:val="TOC1"/>
        <w:rPr>
          <w:rFonts w:asciiTheme="minorHAnsi" w:eastAsiaTheme="minorEastAsia" w:hAnsiTheme="minorHAnsi" w:cstheme="minorBidi"/>
          <w:noProof/>
          <w:sz w:val="22"/>
          <w:szCs w:val="22"/>
        </w:rPr>
      </w:pPr>
      <w:r>
        <w:rPr>
          <w:noProof/>
        </w:rPr>
        <w:t>Chapter 7</w:t>
      </w:r>
      <w:r>
        <w:rPr>
          <w:rFonts w:asciiTheme="minorHAnsi" w:eastAsiaTheme="minorEastAsia" w:hAnsiTheme="minorHAnsi" w:cstheme="minorBidi"/>
          <w:noProof/>
          <w:sz w:val="22"/>
          <w:szCs w:val="22"/>
        </w:rPr>
        <w:tab/>
      </w:r>
      <w:r>
        <w:rPr>
          <w:noProof/>
        </w:rPr>
        <w:t>Other amendments</w:t>
      </w:r>
      <w:r>
        <w:rPr>
          <w:noProof/>
        </w:rPr>
        <w:tab/>
      </w:r>
      <w:r>
        <w:rPr>
          <w:noProof/>
        </w:rPr>
        <w:fldChar w:fldCharType="begin"/>
      </w:r>
      <w:r>
        <w:rPr>
          <w:noProof/>
        </w:rPr>
        <w:instrText xml:space="preserve"> PAGEREF _Toc526434633 \h </w:instrText>
      </w:r>
      <w:r>
        <w:rPr>
          <w:noProof/>
        </w:rPr>
      </w:r>
      <w:r>
        <w:rPr>
          <w:noProof/>
        </w:rPr>
        <w:fldChar w:fldCharType="separate"/>
      </w:r>
      <w:r w:rsidR="00275132">
        <w:rPr>
          <w:noProof/>
        </w:rPr>
        <w:t>87</w:t>
      </w:r>
      <w:r>
        <w:rPr>
          <w:noProof/>
        </w:rPr>
        <w:fldChar w:fldCharType="end"/>
      </w:r>
    </w:p>
    <w:p w14:paraId="233752A6" w14:textId="77777777" w:rsidR="00E5385B" w:rsidRDefault="00734F84" w:rsidP="00295ABD">
      <w:pPr>
        <w:rPr>
          <w:rFonts w:ascii="Helvetica" w:hAnsi="Helvetica"/>
          <w:noProof/>
          <w:sz w:val="24"/>
        </w:rPr>
      </w:pPr>
      <w:r>
        <w:rPr>
          <w:rFonts w:ascii="Helvetica" w:hAnsi="Helvetica"/>
          <w:noProof/>
          <w:sz w:val="24"/>
        </w:rPr>
        <w:fldChar w:fldCharType="end"/>
      </w:r>
    </w:p>
    <w:p w14:paraId="1C6A74F0" w14:textId="77777777" w:rsidR="00B17774" w:rsidRDefault="00B17774" w:rsidP="00B17774">
      <w:pPr>
        <w:pStyle w:val="Hiddentext"/>
      </w:pPr>
    </w:p>
    <w:p w14:paraId="3B14CB5E" w14:textId="77777777" w:rsidR="00B17774" w:rsidRDefault="00B17774" w:rsidP="00B17774">
      <w:pPr>
        <w:pStyle w:val="base-text-paragraphnonumbers"/>
        <w:sectPr w:rsidR="00B17774" w:rsidSect="00905701">
          <w:headerReference w:type="even" r:id="rId20"/>
          <w:headerReference w:type="default" r:id="rId21"/>
          <w:footerReference w:type="even" r:id="rId22"/>
          <w:footerReference w:type="default" r:id="rId23"/>
          <w:headerReference w:type="first" r:id="rId24"/>
          <w:footerReference w:type="first" r:id="rId25"/>
          <w:type w:val="oddPage"/>
          <w:pgSz w:w="9979" w:h="14175" w:code="34"/>
          <w:pgMar w:top="567" w:right="1134" w:bottom="567" w:left="1134" w:header="709" w:footer="709" w:gutter="0"/>
          <w:cols w:space="708"/>
          <w:titlePg/>
          <w:docGrid w:linePitch="360"/>
        </w:sectPr>
      </w:pPr>
    </w:p>
    <w:p w14:paraId="27CAA71F" w14:textId="77777777" w:rsidR="00B17774" w:rsidRPr="00567602" w:rsidRDefault="00B17774" w:rsidP="00567602">
      <w:pPr>
        <w:pStyle w:val="Chapterheadingsubdocument"/>
      </w:pPr>
      <w:bookmarkStart w:id="2" w:name="_Toc518478016"/>
      <w:bookmarkStart w:id="3" w:name="_Toc518553956"/>
      <w:bookmarkStart w:id="4" w:name="_Toc518555036"/>
      <w:bookmarkStart w:id="5" w:name="_Toc518641551"/>
      <w:bookmarkStart w:id="6" w:name="_Toc518648954"/>
      <w:bookmarkStart w:id="7" w:name="_Toc518656685"/>
      <w:bookmarkStart w:id="8" w:name="_Toc518895260"/>
      <w:bookmarkStart w:id="9" w:name="_Toc518914532"/>
      <w:bookmarkStart w:id="10" w:name="_Toc518918657"/>
      <w:bookmarkStart w:id="11" w:name="_Toc518920389"/>
      <w:bookmarkStart w:id="12" w:name="_Toc518980308"/>
      <w:bookmarkStart w:id="13" w:name="_Toc518998497"/>
      <w:bookmarkStart w:id="14" w:name="_Toc519001231"/>
      <w:bookmarkStart w:id="15" w:name="_Toc519002102"/>
      <w:bookmarkStart w:id="16" w:name="_Toc519263664"/>
      <w:bookmarkStart w:id="17" w:name="_Toc519514152"/>
      <w:bookmarkStart w:id="18" w:name="_Toc525049777"/>
      <w:bookmarkStart w:id="19" w:name="_Toc525051808"/>
      <w:bookmarkStart w:id="20" w:name="_Toc525140695"/>
      <w:bookmarkStart w:id="21" w:name="_Toc525219816"/>
      <w:bookmarkStart w:id="22" w:name="_Toc525226356"/>
      <w:bookmarkStart w:id="23" w:name="_Toc525894365"/>
      <w:bookmarkStart w:id="24" w:name="_Toc525898816"/>
      <w:bookmarkStart w:id="25" w:name="_Toc525898860"/>
      <w:bookmarkStart w:id="26" w:name="_Toc526434097"/>
      <w:bookmarkStart w:id="27" w:name="_Toc526434626"/>
      <w:r w:rsidRPr="00567602">
        <w:rPr>
          <w:rStyle w:val="ChapterNameOnly"/>
        </w:rPr>
        <w:lastRenderedPageBreak/>
        <w:t>Glossary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CA89FAC" w14:textId="0B9E1F8B" w:rsidR="002F2F50" w:rsidRDefault="00B17774" w:rsidP="004C6E40">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2F2F50" w:rsidRPr="00123D96" w14:paraId="7C2B56E5" w14:textId="77777777" w:rsidTr="00AA3F3D">
        <w:trPr>
          <w:tblHeader/>
        </w:trPr>
        <w:tc>
          <w:tcPr>
            <w:tcW w:w="2721" w:type="dxa"/>
          </w:tcPr>
          <w:p w14:paraId="06DEF727" w14:textId="77777777" w:rsidR="002F2F50" w:rsidRPr="00123D96" w:rsidRDefault="002F2F50" w:rsidP="00F92FD8">
            <w:pPr>
              <w:pStyle w:val="tableheaderwithintable"/>
            </w:pPr>
            <w:r w:rsidRPr="00123D96">
              <w:t>Abbreviation</w:t>
            </w:r>
          </w:p>
        </w:tc>
        <w:tc>
          <w:tcPr>
            <w:tcW w:w="3885" w:type="dxa"/>
          </w:tcPr>
          <w:p w14:paraId="32BC4838" w14:textId="77777777" w:rsidR="002F2F50" w:rsidRPr="00123D96" w:rsidRDefault="002F2F50" w:rsidP="00F92FD8">
            <w:pPr>
              <w:pStyle w:val="tableheaderwithintable"/>
            </w:pPr>
            <w:r w:rsidRPr="00123D96">
              <w:t>Definition</w:t>
            </w:r>
          </w:p>
        </w:tc>
      </w:tr>
      <w:tr w:rsidR="00893C5D" w:rsidRPr="007D30B1" w14:paraId="466CCE24" w14:textId="77777777" w:rsidTr="00AA3F3D">
        <w:tc>
          <w:tcPr>
            <w:tcW w:w="2721" w:type="dxa"/>
          </w:tcPr>
          <w:p w14:paraId="1089B90C" w14:textId="5B0A4C38" w:rsidR="00893C5D" w:rsidRPr="00AA3F3D" w:rsidRDefault="00893C5D" w:rsidP="007D30B1">
            <w:pPr>
              <w:pStyle w:val="Glossarytabletext"/>
              <w:rPr>
                <w:lang w:eastAsia="en-US"/>
              </w:rPr>
            </w:pPr>
            <w:r w:rsidRPr="00AA3F3D">
              <w:rPr>
                <w:lang w:eastAsia="en-US"/>
              </w:rPr>
              <w:t>AAT</w:t>
            </w:r>
          </w:p>
        </w:tc>
        <w:tc>
          <w:tcPr>
            <w:tcW w:w="3885" w:type="dxa"/>
          </w:tcPr>
          <w:p w14:paraId="0E8CB0F1" w14:textId="0F08C733" w:rsidR="00893C5D" w:rsidRPr="00AA3F3D" w:rsidRDefault="00893C5D" w:rsidP="007D30B1">
            <w:pPr>
              <w:pStyle w:val="Glossarytabletext"/>
              <w:rPr>
                <w:lang w:eastAsia="en-US"/>
              </w:rPr>
            </w:pPr>
            <w:r w:rsidRPr="00AA3F3D">
              <w:rPr>
                <w:lang w:eastAsia="en-US"/>
              </w:rPr>
              <w:t>Administrative Appeals Tribunal</w:t>
            </w:r>
          </w:p>
        </w:tc>
      </w:tr>
      <w:tr w:rsidR="002F2F50" w:rsidRPr="002F2F50" w14:paraId="09065837" w14:textId="77777777" w:rsidTr="00F92FD8">
        <w:tc>
          <w:tcPr>
            <w:tcW w:w="2721" w:type="dxa"/>
          </w:tcPr>
          <w:p w14:paraId="2A538DB6" w14:textId="77777777" w:rsidR="002F2F50" w:rsidRPr="00AA3F3D" w:rsidRDefault="002F2F50" w:rsidP="00F92FD8">
            <w:pPr>
              <w:pStyle w:val="Glossarytabletext"/>
              <w:rPr>
                <w:lang w:eastAsia="en-US"/>
              </w:rPr>
            </w:pPr>
            <w:r w:rsidRPr="00AA3F3D">
              <w:rPr>
                <w:lang w:eastAsia="en-US"/>
              </w:rPr>
              <w:t>ARFN</w:t>
            </w:r>
          </w:p>
        </w:tc>
        <w:tc>
          <w:tcPr>
            <w:tcW w:w="3885" w:type="dxa"/>
          </w:tcPr>
          <w:p w14:paraId="62704B51" w14:textId="77777777" w:rsidR="002F2F50" w:rsidRPr="00AA3F3D" w:rsidRDefault="002F2F50" w:rsidP="00F92FD8">
            <w:pPr>
              <w:pStyle w:val="Glossarytabletext"/>
              <w:rPr>
                <w:lang w:eastAsia="en-US"/>
              </w:rPr>
            </w:pPr>
            <w:r w:rsidRPr="00AA3F3D">
              <w:rPr>
                <w:lang w:eastAsia="en-US"/>
              </w:rPr>
              <w:t>Australian registered fund number</w:t>
            </w:r>
          </w:p>
        </w:tc>
      </w:tr>
      <w:tr w:rsidR="000271F7" w:rsidRPr="002F2F50" w14:paraId="1FD03085" w14:textId="77777777" w:rsidTr="00F92FD8">
        <w:tc>
          <w:tcPr>
            <w:tcW w:w="2721" w:type="dxa"/>
          </w:tcPr>
          <w:p w14:paraId="53E40A31" w14:textId="7637028F" w:rsidR="000271F7" w:rsidRPr="00AA3F3D" w:rsidRDefault="000271F7" w:rsidP="00F92FD8">
            <w:pPr>
              <w:pStyle w:val="Glossarytabletext"/>
              <w:rPr>
                <w:lang w:eastAsia="en-US"/>
              </w:rPr>
            </w:pPr>
            <w:r w:rsidRPr="00AA3F3D">
              <w:rPr>
                <w:lang w:eastAsia="en-US"/>
              </w:rPr>
              <w:t>ARFP</w:t>
            </w:r>
          </w:p>
        </w:tc>
        <w:tc>
          <w:tcPr>
            <w:tcW w:w="3885" w:type="dxa"/>
          </w:tcPr>
          <w:p w14:paraId="6E67D12A" w14:textId="2300A2F6" w:rsidR="000271F7" w:rsidRPr="00AA3F3D" w:rsidRDefault="000271F7" w:rsidP="00F92FD8">
            <w:pPr>
              <w:pStyle w:val="Glossarytabletext"/>
              <w:rPr>
                <w:lang w:eastAsia="en-US"/>
              </w:rPr>
            </w:pPr>
            <w:r w:rsidRPr="00AA3F3D">
              <w:rPr>
                <w:lang w:eastAsia="en-US"/>
              </w:rPr>
              <w:t>Asia Region Funds Passport</w:t>
            </w:r>
          </w:p>
        </w:tc>
      </w:tr>
      <w:tr w:rsidR="00F04051" w:rsidRPr="002F2F50" w14:paraId="11291CDB" w14:textId="77777777" w:rsidTr="00F92FD8">
        <w:tc>
          <w:tcPr>
            <w:tcW w:w="2721" w:type="dxa"/>
          </w:tcPr>
          <w:p w14:paraId="17319AB3" w14:textId="438586E3" w:rsidR="00F04051" w:rsidRPr="00AA3F3D" w:rsidRDefault="00F04051" w:rsidP="00F92FD8">
            <w:pPr>
              <w:pStyle w:val="Glossarytabletext"/>
              <w:rPr>
                <w:lang w:eastAsia="en-US"/>
              </w:rPr>
            </w:pPr>
            <w:r>
              <w:rPr>
                <w:lang w:eastAsia="en-US"/>
              </w:rPr>
              <w:t>ARFP Act</w:t>
            </w:r>
          </w:p>
        </w:tc>
        <w:tc>
          <w:tcPr>
            <w:tcW w:w="3885" w:type="dxa"/>
          </w:tcPr>
          <w:p w14:paraId="6508797A" w14:textId="6889387F" w:rsidR="00F04051" w:rsidRPr="00AA3F3D" w:rsidRDefault="00F04051" w:rsidP="00F92FD8">
            <w:pPr>
              <w:pStyle w:val="Glossarytabletext"/>
              <w:rPr>
                <w:lang w:eastAsia="en-US"/>
              </w:rPr>
            </w:pPr>
            <w:r w:rsidRPr="00397BE3">
              <w:rPr>
                <w:i/>
              </w:rPr>
              <w:t>Corporations Amendment (Asia Region Funds Passport) Act 2018</w:t>
            </w:r>
          </w:p>
        </w:tc>
      </w:tr>
      <w:tr w:rsidR="002F2F50" w:rsidRPr="002F2F50" w14:paraId="0C9E6490" w14:textId="77777777" w:rsidTr="00F92FD8">
        <w:tc>
          <w:tcPr>
            <w:tcW w:w="2721" w:type="dxa"/>
          </w:tcPr>
          <w:p w14:paraId="5372FE23" w14:textId="77777777" w:rsidR="002F2F50" w:rsidRPr="00AA3F3D" w:rsidRDefault="002F2F50" w:rsidP="00F92FD8">
            <w:pPr>
              <w:pStyle w:val="Glossarytabletext"/>
              <w:rPr>
                <w:lang w:eastAsia="en-US"/>
              </w:rPr>
            </w:pPr>
            <w:r w:rsidRPr="00AA3F3D">
              <w:rPr>
                <w:lang w:eastAsia="en-US"/>
              </w:rPr>
              <w:t>ASIC</w:t>
            </w:r>
          </w:p>
        </w:tc>
        <w:tc>
          <w:tcPr>
            <w:tcW w:w="3885" w:type="dxa"/>
          </w:tcPr>
          <w:p w14:paraId="7D8C5B7A" w14:textId="1E5F3CF1" w:rsidR="002F2F50" w:rsidRPr="00AA3F3D" w:rsidRDefault="002F2F50" w:rsidP="00F92FD8">
            <w:pPr>
              <w:pStyle w:val="Glossarytabletext"/>
              <w:rPr>
                <w:lang w:eastAsia="en-US"/>
              </w:rPr>
            </w:pPr>
            <w:r w:rsidRPr="00AA3F3D">
              <w:rPr>
                <w:lang w:eastAsia="en-US"/>
              </w:rPr>
              <w:t>Australian Securities and Investment</w:t>
            </w:r>
            <w:r w:rsidR="000A522E" w:rsidRPr="00AA3F3D">
              <w:rPr>
                <w:lang w:eastAsia="en-US"/>
              </w:rPr>
              <w:t>s</w:t>
            </w:r>
            <w:r w:rsidRPr="00AA3F3D">
              <w:rPr>
                <w:lang w:eastAsia="en-US"/>
              </w:rPr>
              <w:t xml:space="preserve"> Commission</w:t>
            </w:r>
          </w:p>
        </w:tc>
      </w:tr>
      <w:tr w:rsidR="00C95AE6" w:rsidRPr="002F2F50" w14:paraId="169F674E" w14:textId="77777777" w:rsidTr="00F92FD8">
        <w:tc>
          <w:tcPr>
            <w:tcW w:w="2721" w:type="dxa"/>
          </w:tcPr>
          <w:p w14:paraId="2178F05F" w14:textId="644EA5AA" w:rsidR="00C95AE6" w:rsidRPr="00AA3F3D" w:rsidRDefault="00C95AE6" w:rsidP="00F92FD8">
            <w:pPr>
              <w:pStyle w:val="Glossarytabletext"/>
              <w:rPr>
                <w:lang w:eastAsia="en-US"/>
              </w:rPr>
            </w:pPr>
            <w:r w:rsidRPr="00AA3F3D">
              <w:rPr>
                <w:lang w:eastAsia="en-US"/>
              </w:rPr>
              <w:t>ASIC Act</w:t>
            </w:r>
          </w:p>
        </w:tc>
        <w:tc>
          <w:tcPr>
            <w:tcW w:w="3885" w:type="dxa"/>
          </w:tcPr>
          <w:p w14:paraId="37AA2D7A" w14:textId="5E4CEE25" w:rsidR="00C95AE6" w:rsidRPr="00AA3F3D" w:rsidRDefault="00C95AE6" w:rsidP="00F92FD8">
            <w:pPr>
              <w:pStyle w:val="Glossarytabletext"/>
              <w:rPr>
                <w:lang w:eastAsia="en-US"/>
              </w:rPr>
            </w:pPr>
            <w:r w:rsidRPr="00AA3F3D">
              <w:rPr>
                <w:i/>
                <w:lang w:eastAsia="en-US"/>
              </w:rPr>
              <w:t>Australian Securities and Investments Commission Act 2001</w:t>
            </w:r>
          </w:p>
        </w:tc>
      </w:tr>
      <w:tr w:rsidR="002F2F50" w:rsidRPr="002F2F50" w14:paraId="78AEDE0A" w14:textId="77777777" w:rsidTr="00F92FD8">
        <w:tc>
          <w:tcPr>
            <w:tcW w:w="2721" w:type="dxa"/>
          </w:tcPr>
          <w:p w14:paraId="6B2F5F81" w14:textId="77777777" w:rsidR="002F2F50" w:rsidRPr="00AA3F3D" w:rsidRDefault="002F2F50" w:rsidP="00F92FD8">
            <w:pPr>
              <w:pStyle w:val="Glossarytabletext"/>
              <w:rPr>
                <w:lang w:eastAsia="en-US"/>
              </w:rPr>
            </w:pPr>
            <w:r w:rsidRPr="00AA3F3D">
              <w:rPr>
                <w:lang w:eastAsia="en-US"/>
              </w:rPr>
              <w:t>CCIV</w:t>
            </w:r>
          </w:p>
        </w:tc>
        <w:tc>
          <w:tcPr>
            <w:tcW w:w="3885" w:type="dxa"/>
          </w:tcPr>
          <w:p w14:paraId="136FB527" w14:textId="77777777" w:rsidR="002F2F50" w:rsidRPr="00AA3F3D" w:rsidRDefault="002F2F50" w:rsidP="00F92FD8">
            <w:pPr>
              <w:pStyle w:val="Glossarytabletext"/>
              <w:rPr>
                <w:lang w:eastAsia="en-US"/>
              </w:rPr>
            </w:pPr>
            <w:r w:rsidRPr="00AA3F3D">
              <w:rPr>
                <w:lang w:eastAsia="en-US"/>
              </w:rPr>
              <w:t>Corporate collective investment vehicle</w:t>
            </w:r>
          </w:p>
          <w:p w14:paraId="3F855230" w14:textId="34964ABA" w:rsidR="002F2F50" w:rsidRPr="00AA3F3D" w:rsidRDefault="002F2F50" w:rsidP="00F92FD8">
            <w:pPr>
              <w:pStyle w:val="Glossarytabletext"/>
              <w:rPr>
                <w:lang w:eastAsia="en-US"/>
              </w:rPr>
            </w:pPr>
            <w:r w:rsidRPr="00AA3F3D">
              <w:rPr>
                <w:lang w:eastAsia="en-US"/>
              </w:rPr>
              <w:t>A reference to ‘CCIV’ in the explanatory materials is a reference to both retail and wholesale CCIVs unless otherwise specified</w:t>
            </w:r>
          </w:p>
        </w:tc>
      </w:tr>
      <w:tr w:rsidR="00061ADE" w:rsidRPr="002F2F50" w14:paraId="69341083" w14:textId="77777777" w:rsidTr="00F92FD8">
        <w:tc>
          <w:tcPr>
            <w:tcW w:w="2721" w:type="dxa"/>
          </w:tcPr>
          <w:p w14:paraId="7E542828" w14:textId="4A826E38" w:rsidR="00061ADE" w:rsidRPr="00AA3F3D" w:rsidRDefault="00061ADE" w:rsidP="00F92FD8">
            <w:pPr>
              <w:pStyle w:val="Glossarytabletext"/>
              <w:rPr>
                <w:lang w:eastAsia="en-US"/>
              </w:rPr>
            </w:pPr>
            <w:r w:rsidRPr="00AA3F3D">
              <w:rPr>
                <w:lang w:eastAsia="en-US"/>
              </w:rPr>
              <w:t>Criminal Code</w:t>
            </w:r>
          </w:p>
        </w:tc>
        <w:tc>
          <w:tcPr>
            <w:tcW w:w="3885" w:type="dxa"/>
          </w:tcPr>
          <w:p w14:paraId="7D95719A" w14:textId="08CB3503" w:rsidR="00061ADE" w:rsidRPr="00AA3F3D" w:rsidRDefault="00061ADE" w:rsidP="00F92FD8">
            <w:pPr>
              <w:pStyle w:val="Glossarytabletext"/>
              <w:rPr>
                <w:lang w:eastAsia="en-US"/>
              </w:rPr>
            </w:pPr>
            <w:r w:rsidRPr="00AA3F3D">
              <w:rPr>
                <w:lang w:eastAsia="en-US"/>
              </w:rPr>
              <w:t xml:space="preserve">Schedule to the </w:t>
            </w:r>
            <w:r w:rsidRPr="00AA3F3D">
              <w:rPr>
                <w:i/>
                <w:lang w:eastAsia="en-US"/>
              </w:rPr>
              <w:t>Criminal Code Act 1995</w:t>
            </w:r>
          </w:p>
        </w:tc>
      </w:tr>
      <w:tr w:rsidR="001417E6" w:rsidRPr="002F2F50" w14:paraId="3A9DD1E6" w14:textId="77777777" w:rsidTr="00CB0549">
        <w:tc>
          <w:tcPr>
            <w:tcW w:w="2721" w:type="dxa"/>
          </w:tcPr>
          <w:p w14:paraId="6AFB9236" w14:textId="77777777" w:rsidR="001417E6" w:rsidRPr="00AA3F3D" w:rsidRDefault="001417E6" w:rsidP="00CB0549">
            <w:pPr>
              <w:pStyle w:val="Glossarytabletext"/>
              <w:rPr>
                <w:lang w:eastAsia="en-US"/>
              </w:rPr>
            </w:pPr>
            <w:r w:rsidRPr="00AA3F3D">
              <w:rPr>
                <w:lang w:eastAsia="en-US"/>
              </w:rPr>
              <w:t>Guide</w:t>
            </w:r>
          </w:p>
        </w:tc>
        <w:tc>
          <w:tcPr>
            <w:tcW w:w="3885" w:type="dxa"/>
          </w:tcPr>
          <w:p w14:paraId="50251B86" w14:textId="436E3FC9" w:rsidR="001417E6" w:rsidRPr="00AA3F3D" w:rsidRDefault="001417E6" w:rsidP="00D94124">
            <w:pPr>
              <w:pStyle w:val="Glossarytabletext"/>
              <w:rPr>
                <w:lang w:eastAsia="en-US"/>
              </w:rPr>
            </w:pPr>
            <w:r w:rsidRPr="00AA3F3D">
              <w:rPr>
                <w:lang w:eastAsia="en-US"/>
              </w:rPr>
              <w:t xml:space="preserve">Attorney-General’s Department, </w:t>
            </w:r>
            <w:r w:rsidRPr="00AA3F3D">
              <w:rPr>
                <w:i/>
                <w:lang w:eastAsia="en-US"/>
              </w:rPr>
              <w:t>A Guide to Framing Commonwealth Offences, Infringement Notices and Enforcement Powers</w:t>
            </w:r>
            <w:r w:rsidRPr="00AA3F3D">
              <w:rPr>
                <w:lang w:eastAsia="en-US"/>
              </w:rPr>
              <w:t>, September 2011</w:t>
            </w:r>
          </w:p>
        </w:tc>
      </w:tr>
      <w:tr w:rsidR="002F2F50" w:rsidRPr="002F2F50" w14:paraId="06EFC0E5" w14:textId="77777777" w:rsidTr="00F92FD8">
        <w:tc>
          <w:tcPr>
            <w:tcW w:w="2721" w:type="dxa"/>
          </w:tcPr>
          <w:p w14:paraId="4D28E024" w14:textId="77777777" w:rsidR="002F2F50" w:rsidRPr="00AA3F3D" w:rsidRDefault="002F2F50" w:rsidP="00F92FD8">
            <w:pPr>
              <w:pStyle w:val="Glossarytabletext"/>
              <w:rPr>
                <w:lang w:eastAsia="en-US"/>
              </w:rPr>
            </w:pPr>
            <w:r w:rsidRPr="00AA3F3D">
              <w:rPr>
                <w:lang w:eastAsia="en-US"/>
              </w:rPr>
              <w:t>OEIC</w:t>
            </w:r>
          </w:p>
        </w:tc>
        <w:tc>
          <w:tcPr>
            <w:tcW w:w="3885" w:type="dxa"/>
          </w:tcPr>
          <w:p w14:paraId="342B9494" w14:textId="3C5DAA5A" w:rsidR="002F2F50" w:rsidRPr="00AA3F3D" w:rsidRDefault="002F2F50" w:rsidP="00F92FD8">
            <w:pPr>
              <w:pStyle w:val="Glossarytabletext"/>
              <w:rPr>
                <w:lang w:eastAsia="en-US"/>
              </w:rPr>
            </w:pPr>
            <w:r w:rsidRPr="00B83CDE">
              <w:t>A company that is an Open</w:t>
            </w:r>
            <w:r w:rsidR="00EF6C2C">
              <w:noBreakHyphen/>
            </w:r>
            <w:r w:rsidRPr="00B83CDE">
              <w:t>Ended Investment Company regulated under legislation of the United Kingdom</w:t>
            </w:r>
          </w:p>
        </w:tc>
      </w:tr>
      <w:tr w:rsidR="002F2F50" w:rsidRPr="002F2F50" w14:paraId="399B844C" w14:textId="77777777" w:rsidTr="00F92FD8">
        <w:tc>
          <w:tcPr>
            <w:tcW w:w="2721" w:type="dxa"/>
          </w:tcPr>
          <w:p w14:paraId="5A0C9779" w14:textId="77777777" w:rsidR="002F2F50" w:rsidRPr="00AA3F3D" w:rsidRDefault="002F2F50" w:rsidP="00F92FD8">
            <w:pPr>
              <w:pStyle w:val="Glossarytabletext"/>
              <w:rPr>
                <w:lang w:eastAsia="en-US"/>
              </w:rPr>
            </w:pPr>
            <w:r w:rsidRPr="00AA3F3D">
              <w:rPr>
                <w:lang w:eastAsia="en-US"/>
              </w:rPr>
              <w:t>PDS</w:t>
            </w:r>
          </w:p>
        </w:tc>
        <w:tc>
          <w:tcPr>
            <w:tcW w:w="3885" w:type="dxa"/>
          </w:tcPr>
          <w:p w14:paraId="301BE7E2" w14:textId="77777777" w:rsidR="002F2F50" w:rsidRPr="00AA3F3D" w:rsidRDefault="002F2F50" w:rsidP="00F92FD8">
            <w:pPr>
              <w:pStyle w:val="Glossarytabletext"/>
              <w:rPr>
                <w:lang w:eastAsia="en-US"/>
              </w:rPr>
            </w:pPr>
            <w:r w:rsidRPr="00AA3F3D">
              <w:rPr>
                <w:lang w:eastAsia="en-US"/>
              </w:rPr>
              <w:t>Product disclosure statement</w:t>
            </w:r>
          </w:p>
        </w:tc>
      </w:tr>
      <w:tr w:rsidR="001417E6" w:rsidRPr="002F2F50" w14:paraId="26847F7A" w14:textId="77777777" w:rsidTr="00F92FD8">
        <w:tc>
          <w:tcPr>
            <w:tcW w:w="2721" w:type="dxa"/>
          </w:tcPr>
          <w:p w14:paraId="7A9F2BAF" w14:textId="660E2742" w:rsidR="001417E6" w:rsidRPr="00AA3F3D" w:rsidRDefault="001417E6" w:rsidP="00F92FD8">
            <w:pPr>
              <w:pStyle w:val="Glossarytabletext"/>
              <w:rPr>
                <w:lang w:eastAsia="en-US"/>
              </w:rPr>
            </w:pPr>
            <w:r w:rsidRPr="00AA3F3D">
              <w:rPr>
                <w:lang w:eastAsia="en-US"/>
              </w:rPr>
              <w:t>PPSA</w:t>
            </w:r>
          </w:p>
        </w:tc>
        <w:tc>
          <w:tcPr>
            <w:tcW w:w="3885" w:type="dxa"/>
          </w:tcPr>
          <w:p w14:paraId="475BC43F" w14:textId="7622A252" w:rsidR="001417E6" w:rsidRPr="00AA3F3D" w:rsidRDefault="001417E6" w:rsidP="001417E6">
            <w:pPr>
              <w:pStyle w:val="Glossarytabletext"/>
              <w:rPr>
                <w:i/>
                <w:lang w:eastAsia="en-US"/>
              </w:rPr>
            </w:pPr>
            <w:r w:rsidRPr="00AA3F3D">
              <w:rPr>
                <w:i/>
                <w:lang w:eastAsia="en-US"/>
              </w:rPr>
              <w:t>Personal Property Securities Act 2009</w:t>
            </w:r>
          </w:p>
        </w:tc>
      </w:tr>
      <w:tr w:rsidR="002F2F50" w:rsidRPr="002F2F50" w14:paraId="613A8F60" w14:textId="77777777" w:rsidTr="00F92FD8">
        <w:tc>
          <w:tcPr>
            <w:tcW w:w="2721" w:type="dxa"/>
          </w:tcPr>
          <w:p w14:paraId="1E2F1E1F" w14:textId="77777777" w:rsidR="002F2F50" w:rsidRPr="00AA3F3D" w:rsidRDefault="002F2F50" w:rsidP="00F92FD8">
            <w:pPr>
              <w:pStyle w:val="Glossarytabletext"/>
              <w:rPr>
                <w:lang w:eastAsia="en-US"/>
              </w:rPr>
            </w:pPr>
            <w:r w:rsidRPr="00AA3F3D">
              <w:rPr>
                <w:lang w:eastAsia="en-US"/>
              </w:rPr>
              <w:t>The Act</w:t>
            </w:r>
          </w:p>
        </w:tc>
        <w:tc>
          <w:tcPr>
            <w:tcW w:w="3885" w:type="dxa"/>
          </w:tcPr>
          <w:p w14:paraId="10A33BD2" w14:textId="77777777" w:rsidR="002F2F50" w:rsidRPr="00AA3F3D" w:rsidRDefault="002F2F50" w:rsidP="00F92FD8">
            <w:pPr>
              <w:pStyle w:val="Glossarytabletext"/>
              <w:rPr>
                <w:lang w:eastAsia="en-US"/>
              </w:rPr>
            </w:pPr>
            <w:r w:rsidRPr="00AA3F3D">
              <w:rPr>
                <w:i/>
                <w:lang w:eastAsia="en-US"/>
              </w:rPr>
              <w:t>Corporations Act 2001</w:t>
            </w:r>
          </w:p>
        </w:tc>
      </w:tr>
      <w:tr w:rsidR="002F2F50" w:rsidRPr="002F2F50" w14:paraId="4F77C29B" w14:textId="77777777" w:rsidTr="00F92FD8">
        <w:tc>
          <w:tcPr>
            <w:tcW w:w="2721" w:type="dxa"/>
          </w:tcPr>
          <w:p w14:paraId="1E9B3689" w14:textId="058F51EC" w:rsidR="002F2F50" w:rsidRPr="00AA3F3D" w:rsidRDefault="002F2F50" w:rsidP="0092434A">
            <w:pPr>
              <w:pStyle w:val="Glossarytabletext"/>
              <w:rPr>
                <w:lang w:eastAsia="en-US"/>
              </w:rPr>
            </w:pPr>
            <w:r w:rsidRPr="00AA3F3D">
              <w:rPr>
                <w:lang w:eastAsia="en-US"/>
              </w:rPr>
              <w:t>T</w:t>
            </w:r>
            <w:r w:rsidR="0092434A" w:rsidRPr="00AA3F3D">
              <w:rPr>
                <w:lang w:eastAsia="en-US"/>
              </w:rPr>
              <w:t>ranche 1 Exposure</w:t>
            </w:r>
            <w:r w:rsidRPr="00AA3F3D">
              <w:rPr>
                <w:lang w:eastAsia="en-US"/>
              </w:rPr>
              <w:t xml:space="preserve"> Bill</w:t>
            </w:r>
          </w:p>
        </w:tc>
        <w:tc>
          <w:tcPr>
            <w:tcW w:w="3885" w:type="dxa"/>
          </w:tcPr>
          <w:p w14:paraId="4387E562" w14:textId="16203C42" w:rsidR="002F2F50" w:rsidRPr="00AA3F3D" w:rsidRDefault="002F2F50" w:rsidP="00F92FD8">
            <w:pPr>
              <w:pStyle w:val="Glossarytabletext"/>
              <w:rPr>
                <w:lang w:eastAsia="en-US"/>
              </w:rPr>
            </w:pPr>
            <w:r w:rsidRPr="00AA3F3D">
              <w:rPr>
                <w:lang w:eastAsia="en-US"/>
              </w:rPr>
              <w:t>Exposure draft of the Treasury Laws Amendment (Corporate Collective Investment Vehicle) Bill 201</w:t>
            </w:r>
            <w:r w:rsidR="000D2E77" w:rsidRPr="00AA3F3D">
              <w:rPr>
                <w:lang w:eastAsia="en-US"/>
              </w:rPr>
              <w:t>8</w:t>
            </w:r>
            <w:r w:rsidR="0092434A" w:rsidRPr="00AA3F3D">
              <w:rPr>
                <w:lang w:eastAsia="en-US"/>
              </w:rPr>
              <w:t xml:space="preserve"> released for </w:t>
            </w:r>
            <w:r w:rsidR="00591A0D" w:rsidRPr="00AA3F3D">
              <w:rPr>
                <w:lang w:eastAsia="en-US"/>
              </w:rPr>
              <w:t>consultation</w:t>
            </w:r>
            <w:r w:rsidR="0092434A" w:rsidRPr="00AA3F3D">
              <w:rPr>
                <w:lang w:eastAsia="en-US"/>
              </w:rPr>
              <w:t xml:space="preserve"> on 13 June 2018</w:t>
            </w:r>
          </w:p>
        </w:tc>
      </w:tr>
      <w:tr w:rsidR="00703F74" w:rsidRPr="002F2F50" w14:paraId="50527A4F" w14:textId="77777777" w:rsidTr="00F92FD8">
        <w:tc>
          <w:tcPr>
            <w:tcW w:w="2721" w:type="dxa"/>
          </w:tcPr>
          <w:p w14:paraId="3310AD6F" w14:textId="7B063188" w:rsidR="00703F74" w:rsidRPr="00AA3F3D" w:rsidRDefault="00703F74" w:rsidP="0092434A">
            <w:pPr>
              <w:pStyle w:val="Glossarytabletext"/>
              <w:rPr>
                <w:highlight w:val="yellow"/>
                <w:lang w:eastAsia="en-US"/>
              </w:rPr>
            </w:pPr>
            <w:r w:rsidRPr="00AA3F3D">
              <w:rPr>
                <w:lang w:eastAsia="en-US"/>
              </w:rPr>
              <w:t>Tranche 2 Exposure Bill</w:t>
            </w:r>
          </w:p>
        </w:tc>
        <w:tc>
          <w:tcPr>
            <w:tcW w:w="3885" w:type="dxa"/>
          </w:tcPr>
          <w:p w14:paraId="21DA5743" w14:textId="28E3C388" w:rsidR="00703F74" w:rsidRPr="00AA3F3D" w:rsidRDefault="00641FCA" w:rsidP="00F92FD8">
            <w:pPr>
              <w:pStyle w:val="Glossarytabletext"/>
              <w:rPr>
                <w:highlight w:val="yellow"/>
                <w:lang w:eastAsia="en-US"/>
              </w:rPr>
            </w:pPr>
            <w:r>
              <w:t xml:space="preserve">Exposure draft of the </w:t>
            </w:r>
            <w:r w:rsidRPr="00AA3F3D">
              <w:rPr>
                <w:lang w:eastAsia="en-US"/>
              </w:rPr>
              <w:t>Treasury Laws Amendment (Corporate Collective Investment Vehicle) Bill 201</w:t>
            </w:r>
            <w:r w:rsidR="0076637E" w:rsidRPr="00AA3F3D">
              <w:rPr>
                <w:lang w:eastAsia="en-US"/>
              </w:rPr>
              <w:t>8</w:t>
            </w:r>
            <w:r w:rsidRPr="00AA3F3D">
              <w:rPr>
                <w:lang w:eastAsia="en-US"/>
              </w:rPr>
              <w:t xml:space="preserve"> released for </w:t>
            </w:r>
            <w:r w:rsidR="00591A0D" w:rsidRPr="00AA3F3D">
              <w:rPr>
                <w:lang w:eastAsia="en-US"/>
              </w:rPr>
              <w:t>consultation</w:t>
            </w:r>
            <w:r w:rsidRPr="00AA3F3D">
              <w:rPr>
                <w:lang w:eastAsia="en-US"/>
              </w:rPr>
              <w:t xml:space="preserve"> on </w:t>
            </w:r>
            <w:r w:rsidR="00473873" w:rsidRPr="00AA3F3D">
              <w:rPr>
                <w:lang w:eastAsia="en-US"/>
              </w:rPr>
              <w:t>1</w:t>
            </w:r>
            <w:r w:rsidR="00C67FB3" w:rsidRPr="00AA3F3D">
              <w:rPr>
                <w:lang w:eastAsia="en-US"/>
              </w:rPr>
              <w:t>9</w:t>
            </w:r>
            <w:r w:rsidRPr="00AA3F3D">
              <w:rPr>
                <w:lang w:eastAsia="en-US"/>
              </w:rPr>
              <w:t> July 2018</w:t>
            </w:r>
          </w:p>
        </w:tc>
      </w:tr>
      <w:tr w:rsidR="000271F7" w:rsidRPr="002F2F50" w14:paraId="36C32260" w14:textId="77777777" w:rsidTr="00F92FD8">
        <w:tc>
          <w:tcPr>
            <w:tcW w:w="2721" w:type="dxa"/>
          </w:tcPr>
          <w:p w14:paraId="0B79A742" w14:textId="187EC416" w:rsidR="000271F7" w:rsidRPr="00AA3F3D" w:rsidRDefault="000271F7" w:rsidP="00AA3F3D">
            <w:pPr>
              <w:pStyle w:val="Glossarytabletext"/>
              <w:keepNext/>
              <w:rPr>
                <w:lang w:eastAsia="en-US"/>
              </w:rPr>
            </w:pPr>
            <w:r w:rsidRPr="00AA3F3D">
              <w:rPr>
                <w:lang w:eastAsia="en-US"/>
              </w:rPr>
              <w:lastRenderedPageBreak/>
              <w:t>Tranche 3 Exposure Bill</w:t>
            </w:r>
          </w:p>
        </w:tc>
        <w:tc>
          <w:tcPr>
            <w:tcW w:w="3885" w:type="dxa"/>
          </w:tcPr>
          <w:p w14:paraId="5512368A" w14:textId="164E85A4" w:rsidR="000271F7" w:rsidRDefault="000271F7" w:rsidP="00D3447D">
            <w:pPr>
              <w:pStyle w:val="Glossarytabletext"/>
              <w:keepNext/>
            </w:pPr>
            <w:r>
              <w:t xml:space="preserve">Exposure draft of the </w:t>
            </w:r>
            <w:r w:rsidRPr="00AA3F3D">
              <w:rPr>
                <w:lang w:eastAsia="en-US"/>
              </w:rPr>
              <w:t xml:space="preserve">Treasury Laws Amendment (Corporate Collective Investment Vehicle) Bill 2018 released for consultation on </w:t>
            </w:r>
            <w:r w:rsidR="00D3447D">
              <w:rPr>
                <w:lang w:eastAsia="en-US"/>
              </w:rPr>
              <w:t>12 October 2018</w:t>
            </w:r>
          </w:p>
        </w:tc>
      </w:tr>
      <w:tr w:rsidR="0092434A" w:rsidRPr="002F2F50" w14:paraId="296991E5" w14:textId="77777777" w:rsidTr="00F92FD8">
        <w:tc>
          <w:tcPr>
            <w:tcW w:w="2721" w:type="dxa"/>
          </w:tcPr>
          <w:p w14:paraId="73A0EF81" w14:textId="2C28A9B5" w:rsidR="0092434A" w:rsidRPr="00AA3F3D" w:rsidRDefault="0092434A" w:rsidP="00F92FD8">
            <w:pPr>
              <w:pStyle w:val="Glossarytabletext"/>
              <w:rPr>
                <w:highlight w:val="yellow"/>
                <w:lang w:eastAsia="en-US"/>
              </w:rPr>
            </w:pPr>
            <w:r w:rsidRPr="00AA3F3D">
              <w:rPr>
                <w:lang w:eastAsia="en-US"/>
              </w:rPr>
              <w:t>Tranche 1 Explanatory Materials</w:t>
            </w:r>
          </w:p>
        </w:tc>
        <w:tc>
          <w:tcPr>
            <w:tcW w:w="3885" w:type="dxa"/>
          </w:tcPr>
          <w:p w14:paraId="00110E98" w14:textId="05B58486" w:rsidR="0092434A" w:rsidRPr="002F2F50" w:rsidRDefault="0092434A" w:rsidP="00F92FD8">
            <w:pPr>
              <w:pStyle w:val="Glossarytabletext"/>
              <w:rPr>
                <w:highlight w:val="yellow"/>
              </w:rPr>
            </w:pPr>
            <w:r>
              <w:t>Explanatory materials</w:t>
            </w:r>
            <w:r w:rsidR="00B0128A">
              <w:t xml:space="preserve"> accompanying the Tranche 1 Exposure Bill and</w:t>
            </w:r>
            <w:r>
              <w:t xml:space="preserve"> released for exposure on 13 June 2018</w:t>
            </w:r>
            <w:r w:rsidR="00B0128A">
              <w:t xml:space="preserve"> </w:t>
            </w:r>
          </w:p>
        </w:tc>
      </w:tr>
      <w:tr w:rsidR="000271F7" w:rsidRPr="002F2F50" w14:paraId="2AEF905E" w14:textId="77777777" w:rsidTr="00F92FD8">
        <w:tc>
          <w:tcPr>
            <w:tcW w:w="2721" w:type="dxa"/>
          </w:tcPr>
          <w:p w14:paraId="2A2C92C3" w14:textId="34EBA662" w:rsidR="000271F7" w:rsidRPr="00AA3F3D" w:rsidRDefault="000271F7" w:rsidP="00C95AE6">
            <w:pPr>
              <w:pStyle w:val="Glossarytabletext"/>
              <w:keepNext/>
              <w:rPr>
                <w:lang w:eastAsia="en-US"/>
              </w:rPr>
            </w:pPr>
            <w:r w:rsidRPr="00AA3F3D">
              <w:rPr>
                <w:lang w:eastAsia="en-US"/>
              </w:rPr>
              <w:t>Tranche 2 Explanatory Materials</w:t>
            </w:r>
          </w:p>
        </w:tc>
        <w:tc>
          <w:tcPr>
            <w:tcW w:w="3885" w:type="dxa"/>
          </w:tcPr>
          <w:p w14:paraId="0B071CFB" w14:textId="241FDE38" w:rsidR="000271F7" w:rsidRDefault="000271F7" w:rsidP="00C95AE6">
            <w:pPr>
              <w:pStyle w:val="Glossarytabletext"/>
              <w:keepNext/>
            </w:pPr>
            <w:r>
              <w:t xml:space="preserve">Explanatory materials accompanying the Tranche 1 Exposure Bill and released for exposure on 19 July 2018 </w:t>
            </w:r>
          </w:p>
        </w:tc>
      </w:tr>
      <w:tr w:rsidR="000271F7" w:rsidRPr="002F2F50" w14:paraId="4BCD4DE9" w14:textId="77777777" w:rsidTr="004C6E40">
        <w:tc>
          <w:tcPr>
            <w:tcW w:w="2721" w:type="dxa"/>
            <w:shd w:val="clear" w:color="auto" w:fill="auto"/>
          </w:tcPr>
          <w:p w14:paraId="4071A4A0" w14:textId="77777777" w:rsidR="000271F7" w:rsidRPr="00AA3F3D" w:rsidRDefault="000271F7" w:rsidP="00F92FD8">
            <w:pPr>
              <w:pStyle w:val="Glossarytabletext"/>
              <w:rPr>
                <w:lang w:eastAsia="en-US"/>
              </w:rPr>
            </w:pPr>
            <w:r w:rsidRPr="00AA3F3D">
              <w:rPr>
                <w:lang w:eastAsia="en-US"/>
              </w:rPr>
              <w:t xml:space="preserve">UCITS </w:t>
            </w:r>
          </w:p>
        </w:tc>
        <w:tc>
          <w:tcPr>
            <w:tcW w:w="3885" w:type="dxa"/>
            <w:shd w:val="clear" w:color="auto" w:fill="auto"/>
          </w:tcPr>
          <w:p w14:paraId="62C572AD" w14:textId="0EAA7E0D" w:rsidR="000271F7" w:rsidRPr="00AA3F3D" w:rsidRDefault="000271F7" w:rsidP="00F92FD8">
            <w:pPr>
              <w:pStyle w:val="Glossarytabletext"/>
              <w:rPr>
                <w:lang w:eastAsia="en-US"/>
              </w:rPr>
            </w:pPr>
            <w:r w:rsidRPr="004C6E40">
              <w:t>Undertakings for Collective Investment in Transferable Securities (UCITS) Directive (a regulatory framework adopted by the European Union)</w:t>
            </w:r>
          </w:p>
        </w:tc>
      </w:tr>
    </w:tbl>
    <w:p w14:paraId="0FD54DE1" w14:textId="77777777" w:rsidR="00D57063" w:rsidRDefault="00D57063" w:rsidP="00B17774">
      <w:pPr>
        <w:sectPr w:rsidR="00D57063" w:rsidSect="00905701">
          <w:headerReference w:type="even" r:id="rId26"/>
          <w:headerReference w:type="default" r:id="rId27"/>
          <w:footerReference w:type="even" r:id="rId28"/>
          <w:footerReference w:type="default" r:id="rId29"/>
          <w:footerReference w:type="first" r:id="rId30"/>
          <w:type w:val="oddPage"/>
          <w:pgSz w:w="9979" w:h="14175" w:code="34"/>
          <w:pgMar w:top="567" w:right="1134" w:bottom="567" w:left="1134" w:header="709" w:footer="709" w:gutter="0"/>
          <w:pgNumType w:start="1"/>
          <w:cols w:space="708"/>
          <w:titlePg/>
          <w:docGrid w:linePitch="360"/>
        </w:sectPr>
      </w:pPr>
    </w:p>
    <w:p w14:paraId="73B65153" w14:textId="0C5B9265" w:rsidR="00B17774" w:rsidRPr="007C2B20" w:rsidRDefault="00840701" w:rsidP="000C2A9D">
      <w:pPr>
        <w:pStyle w:val="ChapterHeading"/>
      </w:pPr>
      <w:r w:rsidRPr="000C2A9D">
        <w:br/>
      </w:r>
      <w:bookmarkStart w:id="28" w:name="_Toc518478018"/>
      <w:bookmarkStart w:id="29" w:name="_Toc518553958"/>
      <w:bookmarkStart w:id="30" w:name="_Toc518555038"/>
      <w:bookmarkStart w:id="31" w:name="_Toc518641553"/>
      <w:bookmarkStart w:id="32" w:name="_Toc518648956"/>
      <w:bookmarkStart w:id="33" w:name="_Toc518656687"/>
      <w:bookmarkStart w:id="34" w:name="_Toc518895262"/>
      <w:bookmarkStart w:id="35" w:name="_Toc518914534"/>
      <w:bookmarkStart w:id="36" w:name="_Toc518918659"/>
      <w:bookmarkStart w:id="37" w:name="_Toc518920391"/>
      <w:bookmarkStart w:id="38" w:name="_Toc518980310"/>
      <w:bookmarkStart w:id="39" w:name="_Toc518998499"/>
      <w:bookmarkStart w:id="40" w:name="_Toc519001233"/>
      <w:bookmarkStart w:id="41" w:name="_Toc519002104"/>
      <w:bookmarkStart w:id="42" w:name="_Toc519263666"/>
      <w:bookmarkStart w:id="43" w:name="_Toc519514154"/>
      <w:bookmarkStart w:id="44" w:name="_Toc525049779"/>
      <w:bookmarkStart w:id="45" w:name="_Toc525051810"/>
      <w:bookmarkStart w:id="46" w:name="_Toc525140697"/>
      <w:bookmarkStart w:id="47" w:name="_Toc525219818"/>
      <w:bookmarkStart w:id="48" w:name="_Toc525226358"/>
      <w:bookmarkStart w:id="49" w:name="_Toc525894367"/>
      <w:bookmarkStart w:id="50" w:name="_Toc525898818"/>
      <w:bookmarkStart w:id="51" w:name="_Toc525898862"/>
      <w:bookmarkStart w:id="52" w:name="_Toc526434099"/>
      <w:bookmarkStart w:id="53" w:name="_Toc526434627"/>
      <w:r w:rsidR="00591A0D">
        <w:rPr>
          <w:rStyle w:val="ChapterNameOnly"/>
        </w:rPr>
        <w:t>Introduction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45AD749" w14:textId="77777777" w:rsidR="00B17774" w:rsidRDefault="00B17774" w:rsidP="00B17774">
      <w:pPr>
        <w:pStyle w:val="Heading2"/>
      </w:pPr>
      <w:r>
        <w:t>Outline of chapter</w:t>
      </w:r>
    </w:p>
    <w:p w14:paraId="1C01E835" w14:textId="4AEA05E1" w:rsidR="00B17774" w:rsidRDefault="00591A0D" w:rsidP="00711D0C">
      <w:pPr>
        <w:numPr>
          <w:ilvl w:val="1"/>
          <w:numId w:val="6"/>
        </w:numPr>
      </w:pPr>
      <w:r>
        <w:t xml:space="preserve">The </w:t>
      </w:r>
      <w:r w:rsidRPr="00AA3F3D">
        <w:rPr>
          <w:lang w:eastAsia="en-US"/>
        </w:rPr>
        <w:t xml:space="preserve">Tranche </w:t>
      </w:r>
      <w:r w:rsidR="00E479BA" w:rsidRPr="00AA3F3D">
        <w:rPr>
          <w:lang w:eastAsia="en-US"/>
        </w:rPr>
        <w:t xml:space="preserve">3 </w:t>
      </w:r>
      <w:r w:rsidRPr="00AA3F3D">
        <w:rPr>
          <w:lang w:eastAsia="en-US"/>
        </w:rPr>
        <w:t>Exposure Bill provides for further aspects of the regulatory framework for CCIVs, building on the Tranche 1 Exposure Bill that was released for consultation on 13</w:t>
      </w:r>
      <w:r w:rsidR="00F52616" w:rsidRPr="00AA3F3D">
        <w:rPr>
          <w:lang w:eastAsia="en-US"/>
        </w:rPr>
        <w:t> </w:t>
      </w:r>
      <w:r w:rsidRPr="00AA3F3D">
        <w:rPr>
          <w:lang w:eastAsia="en-US"/>
        </w:rPr>
        <w:t>June</w:t>
      </w:r>
      <w:r w:rsidR="00F52616" w:rsidRPr="00AA3F3D">
        <w:rPr>
          <w:lang w:eastAsia="en-US"/>
        </w:rPr>
        <w:t> </w:t>
      </w:r>
      <w:r w:rsidRPr="00AA3F3D">
        <w:rPr>
          <w:lang w:eastAsia="en-US"/>
        </w:rPr>
        <w:t>2018</w:t>
      </w:r>
      <w:r w:rsidR="00E479BA" w:rsidRPr="00AA3F3D">
        <w:rPr>
          <w:lang w:eastAsia="en-US"/>
        </w:rPr>
        <w:t xml:space="preserve"> and the Tranche 2 Exposure Bill that was released for consultation on 19 July 2018</w:t>
      </w:r>
      <w:r w:rsidRPr="00AA3F3D">
        <w:rPr>
          <w:lang w:eastAsia="en-US"/>
        </w:rPr>
        <w:t>.</w:t>
      </w:r>
    </w:p>
    <w:p w14:paraId="6E0A6C46" w14:textId="3D198EE9" w:rsidR="00591A0D" w:rsidRDefault="00591A0D" w:rsidP="00711D0C">
      <w:pPr>
        <w:numPr>
          <w:ilvl w:val="1"/>
          <w:numId w:val="6"/>
        </w:numPr>
      </w:pPr>
      <w:r w:rsidRPr="00AA3F3D">
        <w:rPr>
          <w:lang w:eastAsia="en-US"/>
        </w:rPr>
        <w:t xml:space="preserve">This </w:t>
      </w:r>
      <w:r w:rsidR="00101CEF">
        <w:rPr>
          <w:lang w:eastAsia="en-US"/>
        </w:rPr>
        <w:t>C</w:t>
      </w:r>
      <w:r w:rsidRPr="00AA3F3D">
        <w:rPr>
          <w:lang w:eastAsia="en-US"/>
        </w:rPr>
        <w:t xml:space="preserve">hapter of the </w:t>
      </w:r>
      <w:r w:rsidR="00CD41C7" w:rsidRPr="00AA3F3D">
        <w:rPr>
          <w:lang w:eastAsia="en-US"/>
        </w:rPr>
        <w:t>explanatory materials</w:t>
      </w:r>
      <w:r w:rsidRPr="00AA3F3D">
        <w:rPr>
          <w:lang w:eastAsia="en-US"/>
        </w:rPr>
        <w:t xml:space="preserve"> for the Tranche </w:t>
      </w:r>
      <w:r w:rsidR="00E479BA" w:rsidRPr="00AA3F3D">
        <w:rPr>
          <w:lang w:eastAsia="en-US"/>
        </w:rPr>
        <w:t xml:space="preserve">3 </w:t>
      </w:r>
      <w:r w:rsidRPr="00AA3F3D">
        <w:rPr>
          <w:lang w:eastAsia="en-US"/>
        </w:rPr>
        <w:t xml:space="preserve">Exposure Bill provides an overview </w:t>
      </w:r>
      <w:r w:rsidR="00373C47" w:rsidRPr="00AA3F3D">
        <w:rPr>
          <w:lang w:eastAsia="en-US"/>
        </w:rPr>
        <w:t>of these further aspects.</w:t>
      </w:r>
    </w:p>
    <w:p w14:paraId="1036072F" w14:textId="77777777" w:rsidR="00B17774" w:rsidRDefault="00B17774" w:rsidP="00B17774">
      <w:pPr>
        <w:pStyle w:val="Heading2"/>
      </w:pPr>
      <w:r>
        <w:t>Context of amendments</w:t>
      </w:r>
    </w:p>
    <w:p w14:paraId="66B6326A" w14:textId="5D1DD388" w:rsidR="009559AF" w:rsidRDefault="00373C47" w:rsidP="00711D0C">
      <w:pPr>
        <w:pStyle w:val="base-text-paragraph"/>
      </w:pPr>
      <w:r>
        <w:t xml:space="preserve">The general context </w:t>
      </w:r>
      <w:r w:rsidR="00A230CD">
        <w:t>for</w:t>
      </w:r>
      <w:r>
        <w:t xml:space="preserve"> the amendments establishing the regulatory framework for CCIVs is outlined in Chapter 1 of the Tranche 1 Explanatory Materials</w:t>
      </w:r>
      <w:r w:rsidR="009559AF">
        <w:t xml:space="preserve">. </w:t>
      </w:r>
    </w:p>
    <w:p w14:paraId="520CE864" w14:textId="6DEF0E64" w:rsidR="00830ED1" w:rsidRDefault="00830ED1" w:rsidP="00711D0C">
      <w:pPr>
        <w:pStyle w:val="base-text-paragraph"/>
      </w:pPr>
      <w:r>
        <w:t>The Tranche 1 Exposure Bill included:</w:t>
      </w:r>
    </w:p>
    <w:p w14:paraId="0AE2D490" w14:textId="501D2437" w:rsidR="00830ED1" w:rsidRDefault="00830ED1" w:rsidP="004C6E40">
      <w:pPr>
        <w:pStyle w:val="dotpoint"/>
      </w:pPr>
      <w:r>
        <w:t xml:space="preserve">revised </w:t>
      </w:r>
      <w:r w:rsidRPr="00830ED1">
        <w:t>core provisions establishing how the CCIV and its sub</w:t>
      </w:r>
      <w:r w:rsidR="00EF6C2C">
        <w:noBreakHyphen/>
      </w:r>
      <w:r w:rsidRPr="00830ED1">
        <w:t>funds operate</w:t>
      </w:r>
      <w:r>
        <w:t>;</w:t>
      </w:r>
      <w:r w:rsidR="00B51243">
        <w:t xml:space="preserve"> and</w:t>
      </w:r>
    </w:p>
    <w:p w14:paraId="685C8D6F" w14:textId="598CAAC5" w:rsidR="00830ED1" w:rsidRDefault="00830ED1" w:rsidP="004C6E40">
      <w:pPr>
        <w:pStyle w:val="dotpoint"/>
      </w:pPr>
      <w:r>
        <w:t>a</w:t>
      </w:r>
      <w:r w:rsidRPr="00830ED1">
        <w:t>mendments to apply Chapters 2A to 2P of the Act (such as the meetings rules and members’ rights and remedies) to CCIVs</w:t>
      </w:r>
      <w:r w:rsidR="00B51243">
        <w:t>.</w:t>
      </w:r>
    </w:p>
    <w:p w14:paraId="068F27D7" w14:textId="6F2C8EF0" w:rsidR="001827E7" w:rsidRDefault="00B51243" w:rsidP="00711D0C">
      <w:pPr>
        <w:pStyle w:val="base-text-paragraph"/>
      </w:pPr>
      <w:r>
        <w:t>T</w:t>
      </w:r>
      <w:r w:rsidR="001827E7" w:rsidRPr="001827E7">
        <w:t xml:space="preserve">he </w:t>
      </w:r>
      <w:r w:rsidR="001827E7">
        <w:t>Tranche 1 Explanatory Materials</w:t>
      </w:r>
      <w:r w:rsidR="001827E7" w:rsidRPr="001827E7">
        <w:t xml:space="preserve"> </w:t>
      </w:r>
      <w:r>
        <w:t xml:space="preserve">included an outline </w:t>
      </w:r>
      <w:r w:rsidR="001827E7" w:rsidRPr="001827E7">
        <w:t>of the proposed legislative approach to depositary independence</w:t>
      </w:r>
      <w:r w:rsidR="001827E7">
        <w:t>.</w:t>
      </w:r>
      <w:r w:rsidR="005812F6">
        <w:t xml:space="preserve"> The Tranche 3 Exposure Bill includes draft legislation giving effect to depositary independence, taking into account the outcomes of consultation on the earlier proposal.</w:t>
      </w:r>
    </w:p>
    <w:p w14:paraId="151F455B" w14:textId="36B21D0F" w:rsidR="00722718" w:rsidRDefault="009559AF" w:rsidP="00711D0C">
      <w:pPr>
        <w:pStyle w:val="base-text-paragraph"/>
      </w:pPr>
      <w:r>
        <w:t>The Tranche 2 Exposure Bill include</w:t>
      </w:r>
      <w:r w:rsidR="00E479BA">
        <w:t>d</w:t>
      </w:r>
      <w:r>
        <w:t xml:space="preserve"> further provisions concerning</w:t>
      </w:r>
      <w:r w:rsidR="00722718">
        <w:t>:</w:t>
      </w:r>
    </w:p>
    <w:p w14:paraId="04451550" w14:textId="6A11A223" w:rsidR="00722718" w:rsidRDefault="009559AF" w:rsidP="004C6E40">
      <w:pPr>
        <w:pStyle w:val="dotpoint"/>
      </w:pPr>
      <w:r>
        <w:t xml:space="preserve">external administration of a </w:t>
      </w:r>
      <w:r w:rsidR="00E479BA">
        <w:t xml:space="preserve">sub-fund </w:t>
      </w:r>
      <w:r>
        <w:t>in a wind up situation;</w:t>
      </w:r>
    </w:p>
    <w:p w14:paraId="2564D0DF" w14:textId="1BF5CA3B" w:rsidR="00722718" w:rsidRDefault="009559AF" w:rsidP="004C6E40">
      <w:pPr>
        <w:pStyle w:val="dotpoint"/>
      </w:pPr>
      <w:r>
        <w:t>the application of the financial services regime in Chapter 7 of the Act to CCIVs; and</w:t>
      </w:r>
    </w:p>
    <w:p w14:paraId="75709B45" w14:textId="5AF6BE89" w:rsidR="009559AF" w:rsidRDefault="00A0477E" w:rsidP="004C6E40">
      <w:pPr>
        <w:pStyle w:val="dotpoint"/>
      </w:pPr>
      <w:r>
        <w:t>the establishment of contraventions of the law by a CCIV and the corporate director’s liability for such contraventions</w:t>
      </w:r>
      <w:r w:rsidR="009559AF">
        <w:t xml:space="preserve">. </w:t>
      </w:r>
    </w:p>
    <w:p w14:paraId="020FEAED" w14:textId="4AD8025D" w:rsidR="00E479BA" w:rsidRDefault="009559AF" w:rsidP="00E479BA">
      <w:pPr>
        <w:pStyle w:val="base-text-paragraph"/>
      </w:pPr>
      <w:r>
        <w:t>The</w:t>
      </w:r>
      <w:r w:rsidR="00E479BA">
        <w:t xml:space="preserve"> Tranche 2</w:t>
      </w:r>
      <w:r>
        <w:t xml:space="preserve"> </w:t>
      </w:r>
      <w:r w:rsidR="00C61523">
        <w:t>Explanatory Materials</w:t>
      </w:r>
      <w:r>
        <w:t xml:space="preserve"> also outline</w:t>
      </w:r>
      <w:r w:rsidR="00C95AE6">
        <w:t>d</w:t>
      </w:r>
      <w:r>
        <w:t xml:space="preserve"> the proposed penalties framework for CCIVs</w:t>
      </w:r>
      <w:r w:rsidR="00C95AE6">
        <w:t>,</w:t>
      </w:r>
      <w:r>
        <w:t xml:space="preserve"> and the proposed approach to takeovers, compulsory acquisitions and buy</w:t>
      </w:r>
      <w:r w:rsidR="00A0477E">
        <w:t>-</w:t>
      </w:r>
      <w:r>
        <w:t xml:space="preserve">outs of a CCIV. </w:t>
      </w:r>
    </w:p>
    <w:p w14:paraId="2FA142EE" w14:textId="6A6806AB" w:rsidR="00E479BA" w:rsidRDefault="00E479BA" w:rsidP="00AA3F3D">
      <w:pPr>
        <w:pStyle w:val="base-text-paragraph"/>
        <w:keepNext/>
        <w:numPr>
          <w:ilvl w:val="1"/>
          <w:numId w:val="6"/>
        </w:numPr>
      </w:pPr>
      <w:r>
        <w:t>The Tranche 3 Exposure Bill contains further provisions relating to:</w:t>
      </w:r>
    </w:p>
    <w:p w14:paraId="0B41A2AA" w14:textId="4765C6E6" w:rsidR="002D3259" w:rsidRDefault="002D3259" w:rsidP="00F76C66">
      <w:pPr>
        <w:pStyle w:val="dotpoint"/>
      </w:pPr>
      <w:r>
        <w:t xml:space="preserve">the independence requirement for </w:t>
      </w:r>
      <w:r w:rsidR="00A0477E">
        <w:t xml:space="preserve">the depositary </w:t>
      </w:r>
      <w:r>
        <w:t>of a CCIV;</w:t>
      </w:r>
    </w:p>
    <w:p w14:paraId="4F641311" w14:textId="268C3654" w:rsidR="00E479BA" w:rsidRDefault="00E479BA" w:rsidP="00F76C66">
      <w:pPr>
        <w:pStyle w:val="dotpoint"/>
      </w:pPr>
      <w:r>
        <w:t>the external administration procedures for a sub-fund (including schemes of arrangement</w:t>
      </w:r>
      <w:r w:rsidR="00A0477E">
        <w:t>,</w:t>
      </w:r>
      <w:r>
        <w:t xml:space="preserve"> receivership and a refined approach for winding up)</w:t>
      </w:r>
      <w:r w:rsidR="00C61523">
        <w:t>;</w:t>
      </w:r>
    </w:p>
    <w:p w14:paraId="327B9DBF" w14:textId="355E7FEC" w:rsidR="00E479BA" w:rsidRDefault="00E479BA" w:rsidP="00F76C66">
      <w:pPr>
        <w:pStyle w:val="dotpoint"/>
      </w:pPr>
      <w:r>
        <w:t>takeovers, compulsory acquisitions and buy</w:t>
      </w:r>
      <w:r w:rsidR="00A0477E">
        <w:t>-</w:t>
      </w:r>
      <w:r>
        <w:t>outs</w:t>
      </w:r>
      <w:r w:rsidR="00A0477E">
        <w:t>, disclosure</w:t>
      </w:r>
      <w:r w:rsidR="00C61523">
        <w:t xml:space="preserve"> and fundraising;</w:t>
      </w:r>
    </w:p>
    <w:p w14:paraId="29DDC861" w14:textId="77777777" w:rsidR="002D3259" w:rsidRDefault="002D3259" w:rsidP="00F76C66">
      <w:pPr>
        <w:pStyle w:val="dotpoint"/>
      </w:pPr>
      <w:r>
        <w:t xml:space="preserve">amendments to Chapter 9 of the Act; </w:t>
      </w:r>
    </w:p>
    <w:p w14:paraId="45AE397A" w14:textId="5A02C094" w:rsidR="00E479BA" w:rsidRDefault="000271F7" w:rsidP="00F76C66">
      <w:pPr>
        <w:pStyle w:val="dotpoint"/>
      </w:pPr>
      <w:r>
        <w:t>the application of the ARFP regime to CCIVs</w:t>
      </w:r>
      <w:r w:rsidR="00C61523">
        <w:t>;</w:t>
      </w:r>
      <w:r w:rsidR="0017193C">
        <w:t xml:space="preserve"> and</w:t>
      </w:r>
    </w:p>
    <w:p w14:paraId="2C6ABF62" w14:textId="7D43EACE" w:rsidR="00C95AE6" w:rsidRDefault="005812F6" w:rsidP="00F76C66">
      <w:pPr>
        <w:pStyle w:val="dotpoint"/>
      </w:pPr>
      <w:r>
        <w:t xml:space="preserve">consequential </w:t>
      </w:r>
      <w:r w:rsidR="00C95AE6">
        <w:t>amendments to the ASIC Act</w:t>
      </w:r>
      <w:r w:rsidR="00C61523">
        <w:t>.</w:t>
      </w:r>
    </w:p>
    <w:p w14:paraId="358E7E1A" w14:textId="77777777" w:rsidR="00B17774" w:rsidRDefault="00B17774" w:rsidP="00B17774">
      <w:pPr>
        <w:pStyle w:val="Heading2"/>
      </w:pPr>
      <w:r>
        <w:t>Summary of new law</w:t>
      </w:r>
    </w:p>
    <w:p w14:paraId="36888AD4" w14:textId="7BA59F12" w:rsidR="00B17774" w:rsidRPr="008F726E" w:rsidRDefault="006E233B" w:rsidP="00711D0C">
      <w:pPr>
        <w:pStyle w:val="base-text-paragraph"/>
      </w:pPr>
      <w:r>
        <w:t xml:space="preserve">Legislative references in these </w:t>
      </w:r>
      <w:r w:rsidR="00E162C0">
        <w:t>e</w:t>
      </w:r>
      <w:r>
        <w:t xml:space="preserve">xplanatory </w:t>
      </w:r>
      <w:r w:rsidR="00E162C0">
        <w:t>m</w:t>
      </w:r>
      <w:r>
        <w:t xml:space="preserve">aterials </w:t>
      </w:r>
      <w:r w:rsidR="00825FED">
        <w:t xml:space="preserve">are to the </w:t>
      </w:r>
      <w:r w:rsidR="00825FED">
        <w:rPr>
          <w:i/>
        </w:rPr>
        <w:t>Corporations Act 2001</w:t>
      </w:r>
      <w:r w:rsidR="00825FED">
        <w:t xml:space="preserve"> unless otherwise specified.</w:t>
      </w:r>
    </w:p>
    <w:p w14:paraId="01FEBBFB" w14:textId="653F241E" w:rsidR="00C61523" w:rsidRDefault="00C61523" w:rsidP="000B54BA">
      <w:pPr>
        <w:pStyle w:val="Heading3"/>
      </w:pPr>
      <w:r>
        <w:t>Depositary independence</w:t>
      </w:r>
    </w:p>
    <w:p w14:paraId="2069516F" w14:textId="36A2DF82" w:rsidR="001A1012" w:rsidRPr="005877D6" w:rsidRDefault="001A1012" w:rsidP="001A1012">
      <w:pPr>
        <w:pStyle w:val="base-text-paragraph"/>
      </w:pPr>
      <w:r w:rsidRPr="005877D6">
        <w:rPr>
          <w:lang w:eastAsia="en-US"/>
        </w:rPr>
        <w:t xml:space="preserve">The depositary of a CCIV, any other entity performing depositary functions and any related bodies corporate of these entities must meet the independence requirement in relation to entities that direct investment decisions for the CCIV (in particular, the corporate director). </w:t>
      </w:r>
    </w:p>
    <w:p w14:paraId="0365DAB5" w14:textId="21654DBA" w:rsidR="001A1012" w:rsidRPr="005877D6" w:rsidRDefault="001A1012" w:rsidP="001A1012">
      <w:pPr>
        <w:pStyle w:val="base-text-paragraph"/>
      </w:pPr>
      <w:r w:rsidRPr="005877D6">
        <w:rPr>
          <w:lang w:eastAsia="en-US"/>
        </w:rPr>
        <w:t>The independence requirement consists of three tests: a structural independence test, a voting/control test and an independent director test.</w:t>
      </w:r>
    </w:p>
    <w:p w14:paraId="7583FAE3" w14:textId="77777777" w:rsidR="001A1012" w:rsidRPr="005877D6" w:rsidRDefault="001A1012" w:rsidP="001A1012">
      <w:pPr>
        <w:pStyle w:val="base-text-paragraph"/>
      </w:pPr>
      <w:r w:rsidRPr="005877D6">
        <w:rPr>
          <w:lang w:eastAsia="en-US"/>
        </w:rPr>
        <w:t xml:space="preserve">If the depositary, any other entity performing depositary functions or any of their related bodies corporate fail any of the above three tests, then the depositary itself fails the independence requirement. </w:t>
      </w:r>
    </w:p>
    <w:p w14:paraId="56F57A25" w14:textId="03668C6C" w:rsidR="001A1012" w:rsidRDefault="001A1012" w:rsidP="00AA3F3D">
      <w:pPr>
        <w:pStyle w:val="base-text-paragraph"/>
      </w:pPr>
      <w:r w:rsidRPr="005877D6">
        <w:rPr>
          <w:lang w:eastAsia="en-US"/>
        </w:rPr>
        <w:t>If the depositary of a CCIV or any other entity performing depositary functions performs any other functions for the CCIV, then it must also comply with any functional independence requirements prescribed in the regulations</w:t>
      </w:r>
      <w:r w:rsidR="0040723B">
        <w:rPr>
          <w:lang w:eastAsia="en-US"/>
        </w:rPr>
        <w:t>.</w:t>
      </w:r>
    </w:p>
    <w:p w14:paraId="213E49CD" w14:textId="77777777" w:rsidR="00F60473" w:rsidRDefault="000B54BA" w:rsidP="000B54BA">
      <w:pPr>
        <w:pStyle w:val="Heading3"/>
      </w:pPr>
      <w:r>
        <w:t>External administration of a CCIV</w:t>
      </w:r>
    </w:p>
    <w:p w14:paraId="4EC6DBCC" w14:textId="0C22688C" w:rsidR="00F60473" w:rsidRDefault="00DD7B95" w:rsidP="00FB34BF">
      <w:pPr>
        <w:pStyle w:val="base-text-paragraph"/>
      </w:pPr>
      <w:r>
        <w:t xml:space="preserve">External administration applies on a sub-fund-by-sub-fund basis. </w:t>
      </w:r>
      <w:r w:rsidR="00FB34BF">
        <w:t xml:space="preserve">This is achieved by </w:t>
      </w:r>
      <w:r w:rsidR="00412AC1">
        <w:t xml:space="preserve">applying </w:t>
      </w:r>
      <w:r>
        <w:t>five translation rules</w:t>
      </w:r>
      <w:r w:rsidR="00412AC1">
        <w:t xml:space="preserve"> to the existing external administration provisions in Chapter 5</w:t>
      </w:r>
      <w:r>
        <w:t>.</w:t>
      </w:r>
    </w:p>
    <w:p w14:paraId="0F6DCB80" w14:textId="4108AD79" w:rsidR="00DD7B95" w:rsidRDefault="00DD7B95" w:rsidP="00F76C66">
      <w:pPr>
        <w:pStyle w:val="dotpoint"/>
      </w:pPr>
      <w:r>
        <w:t xml:space="preserve">The first translation rule replaces a reference </w:t>
      </w:r>
      <w:r w:rsidR="00DB0567">
        <w:t xml:space="preserve">in the provisions </w:t>
      </w:r>
      <w:r>
        <w:t>to the company undergoing external administration (the relevant company) with a reference to the sub-fund.</w:t>
      </w:r>
    </w:p>
    <w:p w14:paraId="0224B12A" w14:textId="0D8EEE1E" w:rsidR="00DD7B95" w:rsidRDefault="00DD7B95" w:rsidP="00F76C66">
      <w:pPr>
        <w:pStyle w:val="dotpoint"/>
      </w:pPr>
      <w:r>
        <w:t xml:space="preserve">The second translation rule replaces a reference </w:t>
      </w:r>
      <w:r w:rsidR="00DB0567">
        <w:t xml:space="preserve">in the provisions </w:t>
      </w:r>
      <w:r>
        <w:t>to the ‘directors’ of the relevant company with a reference to the corporate director.</w:t>
      </w:r>
    </w:p>
    <w:p w14:paraId="54AD4C8F" w14:textId="5FC0ED16" w:rsidR="00DD7B95" w:rsidRDefault="00DD7B95" w:rsidP="00F76C66">
      <w:pPr>
        <w:pStyle w:val="dotpoint"/>
      </w:pPr>
      <w:r>
        <w:t xml:space="preserve">The third translation rule replaces a reference </w:t>
      </w:r>
      <w:r w:rsidR="00DB0567">
        <w:t xml:space="preserve">in the provisions </w:t>
      </w:r>
      <w:r>
        <w:t>to the ‘officers’ of the relevant company with a reference to the corporate director, a shadow director or an external administrator of a sub-fund.</w:t>
      </w:r>
    </w:p>
    <w:p w14:paraId="5DED29D2" w14:textId="36B1E728" w:rsidR="00DD7B95" w:rsidRDefault="00DD7B95" w:rsidP="00F76C66">
      <w:pPr>
        <w:pStyle w:val="dotpoint"/>
      </w:pPr>
      <w:r>
        <w:t xml:space="preserve">The fourth and fifth translation rules replace a reference </w:t>
      </w:r>
      <w:r w:rsidR="00DB0567">
        <w:t xml:space="preserve">in the provisions </w:t>
      </w:r>
      <w:r>
        <w:t>to the ‘shares’ or ‘debentures’ of the relevant company</w:t>
      </w:r>
      <w:r w:rsidR="00412AC1">
        <w:t xml:space="preserve"> with a reference</w:t>
      </w:r>
      <w:r>
        <w:t xml:space="preserve"> to the shares or debentures referable to the sub-fund.</w:t>
      </w:r>
    </w:p>
    <w:p w14:paraId="3B40656F" w14:textId="301AB8A6" w:rsidR="00FB34BF" w:rsidRDefault="00FB34BF" w:rsidP="00F60473">
      <w:pPr>
        <w:pStyle w:val="base-text-paragraph"/>
      </w:pPr>
      <w:r>
        <w:t xml:space="preserve">In the arrangement and reconstruction provisions in Part 5.1, the consequence of applying the translation rules is that sub-funds may be rearranged within a CCIV or transferred between CCIVs. The new law also grants the Court additional powers to make orders </w:t>
      </w:r>
      <w:r w:rsidR="009E0825">
        <w:t>in the CCIV context</w:t>
      </w:r>
      <w:r>
        <w:t xml:space="preserve">. This includes </w:t>
      </w:r>
      <w:r w:rsidR="009E0825">
        <w:t xml:space="preserve">the power to make </w:t>
      </w:r>
      <w:r>
        <w:t xml:space="preserve">orders in relation to the assets and liabilities of </w:t>
      </w:r>
      <w:r w:rsidR="009E0825">
        <w:t>a</w:t>
      </w:r>
      <w:r>
        <w:t xml:space="preserve"> sub-fund.</w:t>
      </w:r>
    </w:p>
    <w:p w14:paraId="03CC6230" w14:textId="25AF549B" w:rsidR="00DD7B95" w:rsidRDefault="00FB34BF" w:rsidP="00F60473">
      <w:pPr>
        <w:pStyle w:val="base-text-paragraph"/>
      </w:pPr>
      <w:r>
        <w:t>In the receivership provisions, receiv</w:t>
      </w:r>
      <w:r w:rsidR="009C4E11">
        <w:t>ers are taken to be appointed for</w:t>
      </w:r>
      <w:r>
        <w:t xml:space="preserve"> each sub-fund separately </w:t>
      </w:r>
      <w:r w:rsidR="009E0825">
        <w:t>where</w:t>
      </w:r>
      <w:r>
        <w:t xml:space="preserve"> the asset has been allocated to more than one sub-fund. Receivers have special powers to instruct the depositary and challenge allocation determinations before the Court.</w:t>
      </w:r>
    </w:p>
    <w:p w14:paraId="0648624D" w14:textId="4663A7B2" w:rsidR="00FB34BF" w:rsidRDefault="00FB34BF" w:rsidP="00F60473">
      <w:pPr>
        <w:pStyle w:val="base-text-paragraph"/>
      </w:pPr>
      <w:r>
        <w:t>The most significant consequence of applying the winding up provisions on a sub-fund-by-sub-fund basis is that the creditor must specify the sub-funds in a statutory demand or an application for the Court to order winding up. To ensure that a creditor is not disadvantaged, the creditor is given power to request information from the corporate director about the</w:t>
      </w:r>
      <w:r w:rsidR="009E0825">
        <w:t xml:space="preserve"> identity of the sub-fund</w:t>
      </w:r>
      <w:r>
        <w:t xml:space="preserve"> and the proportion of the debt allocated to each sub-fund. Further, if the CCIV challenges the identity of the sub-fund in a statutory demand or an application for a Court-ordered winding up, the Court has the power to vary the statutory demand or application so that it specifies the correct sub-fund.</w:t>
      </w:r>
    </w:p>
    <w:p w14:paraId="615C4214" w14:textId="06DEE375" w:rsidR="009E0825" w:rsidRDefault="009E0825" w:rsidP="00F60473">
      <w:pPr>
        <w:pStyle w:val="base-text-paragraph"/>
      </w:pPr>
      <w:r>
        <w:t>The new law also sets out the powers of a liquidator, corporate director and depositary when a sub-fund is being wound up. A liquidator only has the power to perform a function to the extent that it relates to the sub-fund that is being wound up. The corporate director continues to make all allocation determinations and exercise its normal powers for the sub-funds that are not being wound up.</w:t>
      </w:r>
    </w:p>
    <w:p w14:paraId="49E38267" w14:textId="78252A4F" w:rsidR="00F60473" w:rsidRDefault="00F60473" w:rsidP="00F60473">
      <w:pPr>
        <w:pStyle w:val="Heading3"/>
      </w:pPr>
      <w:r>
        <w:t>Deregis</w:t>
      </w:r>
      <w:r w:rsidR="003A4B45">
        <w:t>tering</w:t>
      </w:r>
      <w:r>
        <w:t xml:space="preserve"> a sub-fund and a CCIV </w:t>
      </w:r>
    </w:p>
    <w:p w14:paraId="0D25E0D0" w14:textId="77777777" w:rsidR="00A67379" w:rsidRDefault="008C4538" w:rsidP="008C4538">
      <w:pPr>
        <w:pStyle w:val="base-text-paragraph"/>
      </w:pPr>
      <w:r>
        <w:t xml:space="preserve">There are three processes for deregistering a sub-fund. </w:t>
      </w:r>
    </w:p>
    <w:p w14:paraId="3B60CCC5" w14:textId="012E487C" w:rsidR="008C4538" w:rsidRDefault="008C4538" w:rsidP="008C4538">
      <w:pPr>
        <w:pStyle w:val="base-text-paragraph"/>
      </w:pPr>
      <w:r>
        <w:t>First, a</w:t>
      </w:r>
      <w:r w:rsidR="00F60473">
        <w:t xml:space="preserve"> sub-fund</w:t>
      </w:r>
      <w:r w:rsidR="005A2120">
        <w:t xml:space="preserve"> may be voluntarily deregistered </w:t>
      </w:r>
      <w:r>
        <w:t>on application by the CCIV, the corporate director or the liquidator of the sub-fund, if:</w:t>
      </w:r>
    </w:p>
    <w:p w14:paraId="0B9C76D7" w14:textId="77777777" w:rsidR="008C4538" w:rsidRDefault="008C4538" w:rsidP="008C4538">
      <w:pPr>
        <w:pStyle w:val="dotpoint"/>
      </w:pPr>
      <w:r>
        <w:t>the CCIV is not a party to any legal proceedings that relate to the sub-fund; and</w:t>
      </w:r>
    </w:p>
    <w:p w14:paraId="70ECF5FF" w14:textId="02577E1E" w:rsidR="005C242B" w:rsidRDefault="008C4538" w:rsidP="008C4538">
      <w:pPr>
        <w:pStyle w:val="dotpoint"/>
      </w:pPr>
      <w:r>
        <w:t>the sub-fund has no remaining assets or liabilities.</w:t>
      </w:r>
      <w:r w:rsidR="005C242B">
        <w:t xml:space="preserve"> </w:t>
      </w:r>
    </w:p>
    <w:p w14:paraId="2FFADACE" w14:textId="7ED7FECD" w:rsidR="008C4538" w:rsidRDefault="008C4538" w:rsidP="00F60473">
      <w:pPr>
        <w:pStyle w:val="base-text-paragraph"/>
      </w:pPr>
      <w:r>
        <w:t>Second, d</w:t>
      </w:r>
      <w:r w:rsidR="00F60473">
        <w:t>eregistration</w:t>
      </w:r>
      <w:r w:rsidR="005A2120">
        <w:t xml:space="preserve"> of a sub-fund</w:t>
      </w:r>
      <w:r w:rsidR="00F60473">
        <w:t xml:space="preserve"> may be initiated by ASIC </w:t>
      </w:r>
      <w:r>
        <w:t>in certain circumstances, such as if the CCIV has not lodged any documents relating to the sub-fund for 19 months and ASIC has no reason to believe that the part of the business</w:t>
      </w:r>
      <w:r w:rsidR="006E4839">
        <w:t xml:space="preserve"> of the CCIV</w:t>
      </w:r>
      <w:r>
        <w:t xml:space="preserve"> relating to the sub-fund is being carried on. Where ASIC initiates deregistration</w:t>
      </w:r>
      <w:r w:rsidR="00A67379">
        <w:t xml:space="preserve"> of a sub-fund</w:t>
      </w:r>
      <w:r>
        <w:t xml:space="preserve">, the CCIV must be given an opportunity to show cause as to why </w:t>
      </w:r>
      <w:r w:rsidR="00A67379">
        <w:t xml:space="preserve">the sub-fund </w:t>
      </w:r>
      <w:r>
        <w:t>should not be deregistered.</w:t>
      </w:r>
    </w:p>
    <w:p w14:paraId="42B1590E" w14:textId="04262852" w:rsidR="005A2120" w:rsidRDefault="008C4538" w:rsidP="00F60473">
      <w:pPr>
        <w:pStyle w:val="base-text-paragraph"/>
      </w:pPr>
      <w:r>
        <w:t xml:space="preserve">Finally, a sub-fund must be deregistered if the Court orders its deregistration following </w:t>
      </w:r>
      <w:r w:rsidRPr="00AA3F3D">
        <w:rPr>
          <w:lang w:eastAsia="en-US"/>
        </w:rPr>
        <w:t xml:space="preserve">the conclusion of a reconstruction under Part 5.1, the release of a liquidator or the </w:t>
      </w:r>
      <w:proofErr w:type="spellStart"/>
      <w:r w:rsidRPr="00AA3F3D">
        <w:rPr>
          <w:lang w:eastAsia="en-US"/>
        </w:rPr>
        <w:t>lodgment</w:t>
      </w:r>
      <w:proofErr w:type="spellEnd"/>
      <w:r w:rsidRPr="00AA3F3D">
        <w:rPr>
          <w:lang w:eastAsia="en-US"/>
        </w:rPr>
        <w:t xml:space="preserve"> of an end of administration return.</w:t>
      </w:r>
      <w:r>
        <w:t xml:space="preserve"> </w:t>
      </w:r>
    </w:p>
    <w:p w14:paraId="70658033" w14:textId="60FEEE49" w:rsidR="00A67379" w:rsidRDefault="00A67379" w:rsidP="00F60473">
      <w:pPr>
        <w:pStyle w:val="base-text-paragraph"/>
      </w:pPr>
      <w:r>
        <w:t>A CCIV must be deregistered by ASIC after the CCIV’s last sub-fund has been deregistered. This is the only way a CCIV may be deregistered.</w:t>
      </w:r>
    </w:p>
    <w:p w14:paraId="07E722C5" w14:textId="6C0D0702" w:rsidR="00B130C7" w:rsidRPr="00B130C7" w:rsidRDefault="005C242B" w:rsidP="00B130C7">
      <w:pPr>
        <w:pStyle w:val="base-text-paragraph"/>
      </w:pPr>
      <w:r>
        <w:t xml:space="preserve">The consequences of deregistering a sub-fund or deregistering a CCIV </w:t>
      </w:r>
      <w:r w:rsidR="007E405C">
        <w:t xml:space="preserve">generally </w:t>
      </w:r>
      <w:r>
        <w:t>mirror the consequences of deregistering other ty</w:t>
      </w:r>
      <w:r w:rsidR="008C4538">
        <w:t xml:space="preserve">pes of companies </w:t>
      </w:r>
      <w:r w:rsidR="00A67379">
        <w:t xml:space="preserve">under </w:t>
      </w:r>
      <w:r w:rsidR="008C4538">
        <w:t>Chapter 5A. On deregistration, a sub-fund ceases to be established and a CCIV ceases to exist.</w:t>
      </w:r>
      <w:r w:rsidR="005A2120">
        <w:t xml:space="preserve"> </w:t>
      </w:r>
      <w:r w:rsidR="00B130C7">
        <w:t>Any assets of the sub-fund vest in the Commonwealth or ASIC.</w:t>
      </w:r>
      <w:r w:rsidR="00B130C7" w:rsidRPr="00B130C7">
        <w:t xml:space="preserve"> </w:t>
      </w:r>
      <w:r w:rsidR="00B130C7" w:rsidRPr="00AA3F3D">
        <w:rPr>
          <w:lang w:eastAsia="en-US"/>
        </w:rPr>
        <w:t>The books of the sub-fund or the CCIV must be retained for three years after deregistration.</w:t>
      </w:r>
    </w:p>
    <w:p w14:paraId="09841614" w14:textId="4AD2D767" w:rsidR="00B130C7" w:rsidRDefault="00B130C7" w:rsidP="00B130C7">
      <w:pPr>
        <w:pStyle w:val="base-text-paragraph"/>
      </w:pPr>
      <w:r w:rsidRPr="00AA3F3D">
        <w:rPr>
          <w:lang w:eastAsia="en-US"/>
        </w:rPr>
        <w:t>A sub-fund may be reinstated. If the CCIV</w:t>
      </w:r>
      <w:r w:rsidRPr="00B130C7">
        <w:t xml:space="preserve"> </w:t>
      </w:r>
      <w:r>
        <w:t xml:space="preserve">has been deregistered, the CCIV must also be reinstated on the reinstatement of </w:t>
      </w:r>
      <w:r w:rsidR="007E405C">
        <w:t>the</w:t>
      </w:r>
      <w:r>
        <w:t xml:space="preserve"> sub-fund. In most circumstances, the persons that were the corporate director and depositary immediately before deregistration of the CCIV are also reinstated. </w:t>
      </w:r>
    </w:p>
    <w:p w14:paraId="1AC21B17" w14:textId="159E780A" w:rsidR="00972DF9" w:rsidRDefault="00972DF9" w:rsidP="00C95AE6">
      <w:pPr>
        <w:pStyle w:val="Heading3"/>
      </w:pPr>
      <w:r>
        <w:t>Takeovers, compulsory acquisitions and buy</w:t>
      </w:r>
      <w:r w:rsidR="00633E0C">
        <w:t>-</w:t>
      </w:r>
      <w:r>
        <w:t>outs</w:t>
      </w:r>
      <w:r w:rsidR="00633E0C">
        <w:t>, disclosure</w:t>
      </w:r>
      <w:r>
        <w:t xml:space="preserve"> and fundraising</w:t>
      </w:r>
    </w:p>
    <w:p w14:paraId="610FBE34" w14:textId="039F020B" w:rsidR="003E2450" w:rsidRDefault="003E2450" w:rsidP="00AA3F3D">
      <w:pPr>
        <w:pStyle w:val="base-text-paragraph"/>
      </w:pPr>
      <w:r w:rsidRPr="00AA3F3D">
        <w:rPr>
          <w:lang w:eastAsia="en-US"/>
        </w:rPr>
        <w:t xml:space="preserve">The </w:t>
      </w:r>
      <w:r>
        <w:rPr>
          <w:lang w:eastAsia="en-US"/>
        </w:rPr>
        <w:t xml:space="preserve">acquisition of a relevant interest in a CCIV </w:t>
      </w:r>
      <w:r w:rsidRPr="00AA3F3D">
        <w:rPr>
          <w:lang w:eastAsia="en-US"/>
        </w:rPr>
        <w:t xml:space="preserve">is not regulated by </w:t>
      </w:r>
      <w:r>
        <w:rPr>
          <w:lang w:eastAsia="en-US"/>
        </w:rPr>
        <w:t xml:space="preserve">procedural </w:t>
      </w:r>
      <w:r w:rsidRPr="00AA3F3D">
        <w:rPr>
          <w:lang w:eastAsia="en-US"/>
        </w:rPr>
        <w:t>rules</w:t>
      </w:r>
      <w:r>
        <w:rPr>
          <w:lang w:eastAsia="en-US"/>
        </w:rPr>
        <w:t xml:space="preserve"> and obligations regarding takeovers, compulsory acquisitions and buy-outs (set out</w:t>
      </w:r>
      <w:r w:rsidRPr="00AA3F3D">
        <w:rPr>
          <w:lang w:eastAsia="en-US"/>
        </w:rPr>
        <w:t xml:space="preserve"> in Chapters 6 to 6</w:t>
      </w:r>
      <w:r>
        <w:rPr>
          <w:lang w:eastAsia="en-US"/>
        </w:rPr>
        <w:t>B</w:t>
      </w:r>
      <w:r>
        <w:t xml:space="preserve"> of the Act).  Chapter 6C also does not apply to CCIVs, as CCIVs are prohibited from being listed.</w:t>
      </w:r>
    </w:p>
    <w:p w14:paraId="4FE89D42" w14:textId="77777777" w:rsidR="00633E0C" w:rsidRDefault="00633E0C" w:rsidP="00AA3F3D">
      <w:pPr>
        <w:pStyle w:val="base-text-paragraph"/>
      </w:pPr>
      <w:r>
        <w:t>The Takeovers Panel’s jurisdiction to declare circumstances in relation to the affairs of a company to be unacceptable circumstances does not apply in relation to the affairs of a CCIV. This means that the Takeovers Panel does not have power to intervene in the affairs of a CCIV, including in relation to a takeover of a CCIV.</w:t>
      </w:r>
    </w:p>
    <w:p w14:paraId="316D782F" w14:textId="77777777" w:rsidR="00633E0C" w:rsidRDefault="00633E0C" w:rsidP="00AA3F3D">
      <w:pPr>
        <w:pStyle w:val="base-text-paragraph"/>
      </w:pPr>
      <w:r>
        <w:t>The fact that the rules relating to takeovers, compulsory acquisitions and buy-outs in Chapters 6 to 6B do not apply to the acquisition of interests in a CCIV does not exempt CCIVs from complying with these rules when it is proposing to acquire interests in another entity that is subject to these rules (that is, when the CCIV itself is the bidder in a takeover process).</w:t>
      </w:r>
    </w:p>
    <w:p w14:paraId="4E74E3BF" w14:textId="77777777" w:rsidR="00633E0C" w:rsidRDefault="00633E0C" w:rsidP="00AA3F3D">
      <w:pPr>
        <w:pStyle w:val="base-text-paragraph"/>
      </w:pPr>
      <w:r>
        <w:t>If a CCIV is a disclosing entity, then it must comply with the continuous disclosure requirements in section 675 of the Act in the same way as a disclosing entity whose interests are managed investment products.</w:t>
      </w:r>
    </w:p>
    <w:p w14:paraId="4B2CE7D7" w14:textId="77777777" w:rsidR="00633E0C" w:rsidRDefault="00633E0C" w:rsidP="00AA3F3D">
      <w:pPr>
        <w:pStyle w:val="base-text-paragraph"/>
      </w:pPr>
      <w:r>
        <w:t>CCIVs are not subject to the disclosure requirements under Chapter 6D of the Act. Instead, CCIVs are subject to the PDS disclosure regime under Part 7.9 of the Act, as modified by Part 8B.17 of the Tranche 2 Exposure Bill.</w:t>
      </w:r>
    </w:p>
    <w:p w14:paraId="6DAEE9CA" w14:textId="339D2229" w:rsidR="003E2450" w:rsidRDefault="00633E0C" w:rsidP="00AA3F3D">
      <w:pPr>
        <w:pStyle w:val="base-text-paragraph"/>
      </w:pPr>
      <w:r>
        <w:t xml:space="preserve">A person must not offer securities in a CCIV that does not exist, or securities that are referable to a sub-fund that is not established, if the offer would give rise to an obligation to give a PDS. This is the case even if the person is proposing to incorporate the CCIV or register the sub-fund.     </w:t>
      </w:r>
      <w:r w:rsidR="003E2450">
        <w:t xml:space="preserve"> </w:t>
      </w:r>
    </w:p>
    <w:p w14:paraId="1214362D" w14:textId="4D57DA78" w:rsidR="00B602E8" w:rsidRDefault="00B602E8" w:rsidP="00B602E8">
      <w:pPr>
        <w:pStyle w:val="Heading3"/>
      </w:pPr>
      <w:r>
        <w:t xml:space="preserve">Amendments to </w:t>
      </w:r>
      <w:r w:rsidR="00703FA0">
        <w:t>Chapter 9 of the Act</w:t>
      </w:r>
    </w:p>
    <w:p w14:paraId="2C6F161E" w14:textId="442E742E" w:rsidR="00B602E8" w:rsidRDefault="008E42F7" w:rsidP="00B602E8">
      <w:pPr>
        <w:pStyle w:val="base-text-paragraph"/>
        <w:numPr>
          <w:ilvl w:val="1"/>
          <w:numId w:val="63"/>
        </w:numPr>
      </w:pPr>
      <w:r>
        <w:t xml:space="preserve">Chapter 9 of the Act includes </w:t>
      </w:r>
      <w:r w:rsidR="00417E09">
        <w:t xml:space="preserve">a number of </w:t>
      </w:r>
      <w:r>
        <w:t>miscellaneous provisions</w:t>
      </w:r>
      <w:r w:rsidR="00417E09">
        <w:t>, including</w:t>
      </w:r>
      <w:r>
        <w:t xml:space="preserve"> relating to </w:t>
      </w:r>
      <w:r w:rsidR="00417E09">
        <w:t xml:space="preserve">registers, auditors and offences. Modifications to </w:t>
      </w:r>
      <w:r w:rsidR="006E4839">
        <w:t xml:space="preserve">certain </w:t>
      </w:r>
      <w:r w:rsidR="00417E09">
        <w:t xml:space="preserve">provisions in Chapter 9 ensure that these administrative provisions work appropriately in relation to CCIVs and corporate directors. </w:t>
      </w:r>
    </w:p>
    <w:p w14:paraId="1879530E" w14:textId="77777777" w:rsidR="00DD7B95" w:rsidRDefault="00DD7B95" w:rsidP="00DD7B95">
      <w:pPr>
        <w:pStyle w:val="Heading3"/>
      </w:pPr>
      <w:r>
        <w:t xml:space="preserve">Asia Region Funds Passport regime </w:t>
      </w:r>
    </w:p>
    <w:p w14:paraId="01740BFE" w14:textId="100EDB40" w:rsidR="00DD7B95" w:rsidRPr="00274D33" w:rsidRDefault="00DD7B95" w:rsidP="009C3EA6">
      <w:pPr>
        <w:pStyle w:val="base-text-paragraph"/>
        <w:numPr>
          <w:ilvl w:val="1"/>
          <w:numId w:val="69"/>
        </w:numPr>
      </w:pPr>
      <w:r>
        <w:t xml:space="preserve">The provisions relating to </w:t>
      </w:r>
      <w:r w:rsidR="00DF4978">
        <w:t>ARFP</w:t>
      </w:r>
      <w:r>
        <w:t xml:space="preserve"> have been extended to cover CCIVs. The corporate director of a retail CCIV may lodge an application with ASIC to register a sub-fund of the CCIV as an Australian passport fund.</w:t>
      </w:r>
      <w:r w:rsidRPr="00387FC1">
        <w:t xml:space="preserve"> If the </w:t>
      </w:r>
      <w:r w:rsidRPr="003801D6">
        <w:t xml:space="preserve">conditions for </w:t>
      </w:r>
      <w:r w:rsidRPr="00A05534">
        <w:t>re</w:t>
      </w:r>
      <w:r w:rsidRPr="00274D33">
        <w:t>gistration are satisfied, the sub-fund then becomes an Australian passport fund and the corporate director becomes the operator of the fund.</w:t>
      </w:r>
    </w:p>
    <w:p w14:paraId="441C8E8B" w14:textId="1FBE8609" w:rsidR="00C95AE6" w:rsidRDefault="00C95AE6" w:rsidP="00C95AE6">
      <w:pPr>
        <w:pStyle w:val="Heading3"/>
      </w:pPr>
      <w:r>
        <w:t>Amendments to the ASIC Act</w:t>
      </w:r>
    </w:p>
    <w:p w14:paraId="16954264" w14:textId="4D70D21B" w:rsidR="00C95AE6" w:rsidRDefault="00417E09" w:rsidP="00C95AE6">
      <w:pPr>
        <w:pStyle w:val="base-text-paragraph"/>
      </w:pPr>
      <w:r>
        <w:t xml:space="preserve">The ASIC Act provides the basis for many of ASIC’s powers of investigation and enforcement. It also establishes ASIC’s jurisdiction over unconscionable conduct that relates to financial services. Amendments to the ASIC Act ensure that the definition of financial services in the ASIC Act applies correctly, and that ASIC’s powers and functions work effectively in relation to CCIVs. </w:t>
      </w:r>
    </w:p>
    <w:p w14:paraId="43643342" w14:textId="56C5647A" w:rsidR="003A6145" w:rsidRDefault="003A6145" w:rsidP="00F60473">
      <w:pPr>
        <w:pStyle w:val="base-text-paragraph"/>
        <w:sectPr w:rsidR="003A6145" w:rsidSect="00905701">
          <w:footerReference w:type="even" r:id="rId31"/>
          <w:footerReference w:type="default" r:id="rId32"/>
          <w:footerReference w:type="first" r:id="rId33"/>
          <w:type w:val="oddPage"/>
          <w:pgSz w:w="9979" w:h="14175" w:code="34"/>
          <w:pgMar w:top="567" w:right="1134" w:bottom="567" w:left="1134" w:header="709" w:footer="709" w:gutter="0"/>
          <w:cols w:space="708"/>
          <w:titlePg/>
          <w:docGrid w:linePitch="360"/>
        </w:sectPr>
      </w:pPr>
    </w:p>
    <w:p w14:paraId="048160BB" w14:textId="1D135592" w:rsidR="00E954C0" w:rsidRPr="007C2B20" w:rsidRDefault="00E954C0" w:rsidP="00E954C0">
      <w:pPr>
        <w:pStyle w:val="ChapterHeading"/>
        <w:numPr>
          <w:ilvl w:val="0"/>
          <w:numId w:val="53"/>
        </w:numPr>
      </w:pPr>
      <w:r>
        <w:rPr>
          <w:rStyle w:val="ChapterNameOnly"/>
        </w:rPr>
        <w:br/>
      </w:r>
      <w:bookmarkStart w:id="54" w:name="_Toc526434100"/>
      <w:bookmarkStart w:id="55" w:name="_Toc526434628"/>
      <w:r>
        <w:rPr>
          <w:rStyle w:val="ChapterNameOnly"/>
        </w:rPr>
        <w:t>Depositary independence</w:t>
      </w:r>
      <w:bookmarkEnd w:id="54"/>
      <w:bookmarkEnd w:id="55"/>
    </w:p>
    <w:p w14:paraId="726890DD" w14:textId="77777777" w:rsidR="00E954C0" w:rsidRDefault="00E954C0" w:rsidP="00E954C0">
      <w:pPr>
        <w:pStyle w:val="Heading2"/>
      </w:pPr>
      <w:r>
        <w:t>Outline of chapter</w:t>
      </w:r>
    </w:p>
    <w:p w14:paraId="308A7190" w14:textId="77777777" w:rsidR="00E954C0" w:rsidRDefault="00E954C0" w:rsidP="00E954C0">
      <w:pPr>
        <w:numPr>
          <w:ilvl w:val="1"/>
          <w:numId w:val="53"/>
        </w:numPr>
      </w:pPr>
      <w:r>
        <w:t>This Chapter outlines the independence requirements for the depositary of a CCIV.</w:t>
      </w:r>
    </w:p>
    <w:p w14:paraId="4A335DC8" w14:textId="77777777" w:rsidR="00E954C0" w:rsidRDefault="00E954C0" w:rsidP="00E954C0">
      <w:pPr>
        <w:pStyle w:val="Heading2"/>
      </w:pPr>
      <w:r>
        <w:t>Context of amendments</w:t>
      </w:r>
    </w:p>
    <w:p w14:paraId="2FA18B89" w14:textId="77777777" w:rsidR="00E954C0" w:rsidRDefault="00E954C0" w:rsidP="00E954C0">
      <w:pPr>
        <w:pStyle w:val="base-text-paragraph"/>
        <w:numPr>
          <w:ilvl w:val="1"/>
          <w:numId w:val="4"/>
        </w:numPr>
      </w:pPr>
      <w:r>
        <w:t>The depositary of a CCIV is an important consumer protection: the depositary safeguards the assets of the CCIV and oversees certain aspects of the operations of the CCIV. While some aspects of the depositary’s functions are currently performed by custodians, the depositary is a new concept in Australian funds management with a broader range of functions than custodians under the MIS regime.</w:t>
      </w:r>
    </w:p>
    <w:p w14:paraId="6372E45A" w14:textId="77777777" w:rsidR="00E954C0" w:rsidRDefault="00E954C0" w:rsidP="00E954C0">
      <w:pPr>
        <w:pStyle w:val="base-text-paragraph"/>
        <w:numPr>
          <w:ilvl w:val="1"/>
          <w:numId w:val="4"/>
        </w:numPr>
      </w:pPr>
      <w:r>
        <w:t xml:space="preserve">The depositary of a CCIV is intended to serve a similar purpose to depositaries in other jurisdictions. The requirements for the depositary of a CCIV have generally been adapted from the European Union’s UCITS regime for collective investment funds and from the United Kingdom’s OEIC regime. </w:t>
      </w:r>
    </w:p>
    <w:p w14:paraId="49AF4BE1" w14:textId="77777777" w:rsidR="00E954C0" w:rsidRDefault="00E954C0" w:rsidP="00E954C0">
      <w:pPr>
        <w:pStyle w:val="base-text-paragraph"/>
        <w:numPr>
          <w:ilvl w:val="1"/>
          <w:numId w:val="53"/>
        </w:numPr>
      </w:pPr>
      <w:r>
        <w:t>The legislative framework for the depositary of a CCIV (other than the independence requirements) was consulted on in the Tranche 1 Exposure Draft. The proposed independence requirements for the depositary of a CCIV were outlined in the Tranche 1 Explanatory Materials. The provisions contained in the Tranche 3 exposure draft takes into account the outcomes of consultation on Tranche 1.</w:t>
      </w:r>
    </w:p>
    <w:p w14:paraId="64FEC1E4" w14:textId="77777777" w:rsidR="00E954C0" w:rsidRDefault="00E954C0" w:rsidP="00E954C0">
      <w:pPr>
        <w:pStyle w:val="Heading2"/>
      </w:pPr>
      <w:r>
        <w:t>Summary of new law</w:t>
      </w:r>
    </w:p>
    <w:p w14:paraId="1C6128CA" w14:textId="77777777" w:rsidR="00E954C0" w:rsidRDefault="00E954C0" w:rsidP="00E954C0">
      <w:pPr>
        <w:pStyle w:val="base-text-paragraph"/>
        <w:numPr>
          <w:ilvl w:val="1"/>
          <w:numId w:val="53"/>
        </w:numPr>
      </w:pPr>
      <w:r>
        <w:rPr>
          <w:lang w:eastAsia="en-US"/>
        </w:rPr>
        <w:t>The depositary of a CCIV, any other entity performing depositary functions and any related bodies corporate of these entities must meet the independence requirement in relation to entities that direct investment decisions for the CCIV (in particular, the corporate director).</w:t>
      </w:r>
    </w:p>
    <w:p w14:paraId="56668282" w14:textId="77777777" w:rsidR="00E954C0" w:rsidRDefault="00E954C0" w:rsidP="00E954C0">
      <w:pPr>
        <w:pStyle w:val="base-text-paragraph"/>
        <w:numPr>
          <w:ilvl w:val="1"/>
          <w:numId w:val="53"/>
        </w:numPr>
      </w:pPr>
      <w:r>
        <w:rPr>
          <w:lang w:eastAsia="en-US"/>
        </w:rPr>
        <w:t>The independence requirement consists of three tests: a structural independence test, a voting/control test and an independent director test.</w:t>
      </w:r>
    </w:p>
    <w:p w14:paraId="35A986C0" w14:textId="77777777" w:rsidR="00E954C0" w:rsidRDefault="00E954C0" w:rsidP="00E954C0">
      <w:pPr>
        <w:pStyle w:val="base-text-paragraph"/>
        <w:numPr>
          <w:ilvl w:val="1"/>
          <w:numId w:val="53"/>
        </w:numPr>
      </w:pPr>
      <w:r>
        <w:rPr>
          <w:lang w:eastAsia="en-US"/>
        </w:rPr>
        <w:t xml:space="preserve">If the depositary, any other entity performing depositary functions or any of their related bodies corporate fail any of the above three tests, then the depositary itself fails the independence requirement. </w:t>
      </w:r>
    </w:p>
    <w:p w14:paraId="43A33F34" w14:textId="77777777" w:rsidR="00E954C0" w:rsidRPr="008F726E" w:rsidRDefault="00E954C0" w:rsidP="00E954C0">
      <w:pPr>
        <w:pStyle w:val="base-text-paragraph"/>
        <w:numPr>
          <w:ilvl w:val="1"/>
          <w:numId w:val="53"/>
        </w:numPr>
      </w:pPr>
      <w:r>
        <w:rPr>
          <w:lang w:eastAsia="en-US"/>
        </w:rPr>
        <w:t>If the depositary of a CCIV or any other entity performing depositary functions performs any other functions for the CCIV, then it must also comply with any functional independence requirements prescribed in the regulations.</w:t>
      </w:r>
    </w:p>
    <w:p w14:paraId="68BC845B" w14:textId="77777777" w:rsidR="00E954C0" w:rsidRDefault="00E954C0" w:rsidP="00E954C0">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E954C0" w:rsidRPr="004666B8" w14:paraId="3A9CE121" w14:textId="77777777" w:rsidTr="000453C7">
        <w:trPr>
          <w:tblHeader/>
        </w:trPr>
        <w:tc>
          <w:tcPr>
            <w:tcW w:w="3275" w:type="dxa"/>
          </w:tcPr>
          <w:p w14:paraId="232E886D" w14:textId="77777777" w:rsidR="00E954C0" w:rsidRPr="00AA3F3D" w:rsidRDefault="00E954C0" w:rsidP="00E954C0">
            <w:pPr>
              <w:pStyle w:val="tableheaderwithintable"/>
              <w:rPr>
                <w:lang w:eastAsia="en-US"/>
              </w:rPr>
            </w:pPr>
            <w:r w:rsidRPr="00AA3F3D">
              <w:rPr>
                <w:lang w:eastAsia="en-US"/>
              </w:rPr>
              <w:t>New law</w:t>
            </w:r>
          </w:p>
        </w:tc>
        <w:tc>
          <w:tcPr>
            <w:tcW w:w="3276" w:type="dxa"/>
          </w:tcPr>
          <w:p w14:paraId="4B34909E" w14:textId="77777777" w:rsidR="00E954C0" w:rsidRPr="00AA3F3D" w:rsidRDefault="00E954C0" w:rsidP="00E954C0">
            <w:pPr>
              <w:pStyle w:val="tableheaderwithintable"/>
              <w:rPr>
                <w:lang w:eastAsia="en-US"/>
              </w:rPr>
            </w:pPr>
            <w:r w:rsidRPr="00AA3F3D">
              <w:rPr>
                <w:lang w:eastAsia="en-US"/>
              </w:rPr>
              <w:t>Current law</w:t>
            </w:r>
          </w:p>
        </w:tc>
      </w:tr>
      <w:tr w:rsidR="00E954C0" w:rsidRPr="004666B8" w14:paraId="6AB1674D" w14:textId="77777777" w:rsidTr="00E954C0">
        <w:tc>
          <w:tcPr>
            <w:tcW w:w="3275" w:type="dxa"/>
          </w:tcPr>
          <w:p w14:paraId="2F757FC3" w14:textId="77777777" w:rsidR="00E954C0" w:rsidRDefault="00E954C0" w:rsidP="00E954C0">
            <w:pPr>
              <w:pStyle w:val="tabletext"/>
              <w:rPr>
                <w:lang w:eastAsia="en-US"/>
              </w:rPr>
            </w:pPr>
            <w:r>
              <w:rPr>
                <w:lang w:eastAsia="en-US"/>
              </w:rPr>
              <w:t xml:space="preserve">The depositary of a CCIV, any entity performing depositary functions and any related bodies corporate of these entities must meet the independence requirement. </w:t>
            </w:r>
          </w:p>
          <w:p w14:paraId="49B32E56" w14:textId="77777777" w:rsidR="00E954C0" w:rsidRDefault="00E954C0" w:rsidP="00E954C0">
            <w:pPr>
              <w:pStyle w:val="tabletext"/>
              <w:rPr>
                <w:lang w:eastAsia="en-US"/>
              </w:rPr>
            </w:pPr>
          </w:p>
          <w:p w14:paraId="7A05728E" w14:textId="77777777" w:rsidR="00E954C0" w:rsidRDefault="00E954C0" w:rsidP="00E954C0">
            <w:pPr>
              <w:pStyle w:val="tabletext"/>
              <w:rPr>
                <w:lang w:eastAsia="en-US"/>
              </w:rPr>
            </w:pPr>
            <w:r>
              <w:rPr>
                <w:lang w:eastAsia="en-US"/>
              </w:rPr>
              <w:t>The independence requirement consists of three tests:</w:t>
            </w:r>
          </w:p>
          <w:p w14:paraId="3E089F35" w14:textId="77777777" w:rsidR="00E954C0" w:rsidRDefault="00E954C0" w:rsidP="00E954C0">
            <w:pPr>
              <w:pStyle w:val="tabletext"/>
              <w:numPr>
                <w:ilvl w:val="0"/>
                <w:numId w:val="71"/>
              </w:numPr>
              <w:ind w:left="360"/>
              <w:rPr>
                <w:lang w:eastAsia="en-US"/>
              </w:rPr>
            </w:pPr>
            <w:r>
              <w:rPr>
                <w:lang w:eastAsia="en-US"/>
              </w:rPr>
              <w:t>a structural independence test;</w:t>
            </w:r>
          </w:p>
          <w:p w14:paraId="6BD08433" w14:textId="77777777" w:rsidR="00E954C0" w:rsidRDefault="00E954C0" w:rsidP="00E954C0">
            <w:pPr>
              <w:pStyle w:val="tabletext"/>
              <w:numPr>
                <w:ilvl w:val="0"/>
                <w:numId w:val="71"/>
              </w:numPr>
              <w:ind w:left="360"/>
              <w:rPr>
                <w:lang w:eastAsia="en-US"/>
              </w:rPr>
            </w:pPr>
            <w:r>
              <w:rPr>
                <w:lang w:eastAsia="en-US"/>
              </w:rPr>
              <w:t>a voting/control test; and</w:t>
            </w:r>
          </w:p>
          <w:p w14:paraId="396C9176" w14:textId="77777777" w:rsidR="00E954C0" w:rsidRPr="00AA3F3D" w:rsidRDefault="00E954C0" w:rsidP="00E954C0">
            <w:pPr>
              <w:pStyle w:val="tabletext"/>
              <w:numPr>
                <w:ilvl w:val="0"/>
                <w:numId w:val="71"/>
              </w:numPr>
              <w:ind w:left="360"/>
              <w:rPr>
                <w:lang w:eastAsia="en-US"/>
              </w:rPr>
            </w:pPr>
            <w:r>
              <w:rPr>
                <w:lang w:eastAsia="en-US"/>
              </w:rPr>
              <w:t xml:space="preserve">an independent director test. </w:t>
            </w:r>
          </w:p>
        </w:tc>
        <w:tc>
          <w:tcPr>
            <w:tcW w:w="3276" w:type="dxa"/>
          </w:tcPr>
          <w:p w14:paraId="15153C27" w14:textId="77777777" w:rsidR="00E954C0" w:rsidRPr="00AA3F3D" w:rsidRDefault="00E954C0" w:rsidP="00E954C0">
            <w:pPr>
              <w:pStyle w:val="tabletext"/>
              <w:rPr>
                <w:lang w:eastAsia="en-US"/>
              </w:rPr>
            </w:pPr>
            <w:r w:rsidRPr="00AA3F3D">
              <w:rPr>
                <w:lang w:eastAsia="en-US"/>
              </w:rPr>
              <w:t>No equivalent.</w:t>
            </w:r>
          </w:p>
        </w:tc>
      </w:tr>
      <w:tr w:rsidR="00E954C0" w:rsidRPr="004666B8" w14:paraId="22695434" w14:textId="77777777" w:rsidTr="00E954C0">
        <w:tc>
          <w:tcPr>
            <w:tcW w:w="3275" w:type="dxa"/>
          </w:tcPr>
          <w:p w14:paraId="32D4EB96" w14:textId="77777777" w:rsidR="00E954C0" w:rsidRDefault="00E954C0" w:rsidP="00E954C0">
            <w:pPr>
              <w:pStyle w:val="tabletext"/>
              <w:rPr>
                <w:lang w:eastAsia="en-US"/>
              </w:rPr>
            </w:pPr>
            <w:r>
              <w:rPr>
                <w:lang w:eastAsia="en-US"/>
              </w:rPr>
              <w:t>If the depositary, any other entity performing depositary functions or any of their related bodies corporate fail any of the above three tests, then the depositary itself fails the independence requirement.</w:t>
            </w:r>
          </w:p>
        </w:tc>
        <w:tc>
          <w:tcPr>
            <w:tcW w:w="3276" w:type="dxa"/>
          </w:tcPr>
          <w:p w14:paraId="2D5EA193" w14:textId="77777777" w:rsidR="00E954C0" w:rsidRPr="00AA3F3D" w:rsidRDefault="00E954C0" w:rsidP="00E954C0">
            <w:pPr>
              <w:pStyle w:val="tabletext"/>
              <w:rPr>
                <w:lang w:eastAsia="en-US"/>
              </w:rPr>
            </w:pPr>
            <w:r w:rsidRPr="00AA3F3D">
              <w:rPr>
                <w:lang w:eastAsia="en-US"/>
              </w:rPr>
              <w:t>No equivalent.</w:t>
            </w:r>
          </w:p>
        </w:tc>
      </w:tr>
      <w:tr w:rsidR="00E954C0" w:rsidRPr="004666B8" w14:paraId="2F0487A4" w14:textId="77777777" w:rsidTr="00E954C0">
        <w:tc>
          <w:tcPr>
            <w:tcW w:w="3275" w:type="dxa"/>
          </w:tcPr>
          <w:p w14:paraId="3DD01387" w14:textId="77777777" w:rsidR="00E954C0" w:rsidRDefault="00E954C0" w:rsidP="00E954C0">
            <w:pPr>
              <w:pStyle w:val="tabletext"/>
              <w:rPr>
                <w:lang w:eastAsia="en-US"/>
              </w:rPr>
            </w:pPr>
            <w:r>
              <w:rPr>
                <w:lang w:eastAsia="en-US"/>
              </w:rPr>
              <w:t>If the depositary of a CCIV or any other entity performing depositary functions performs any other functions for the CCIV, then it must also comply with any functional independence requirements prescribed in the regulations.</w:t>
            </w:r>
          </w:p>
        </w:tc>
        <w:tc>
          <w:tcPr>
            <w:tcW w:w="3276" w:type="dxa"/>
          </w:tcPr>
          <w:p w14:paraId="7289E434" w14:textId="77777777" w:rsidR="00E954C0" w:rsidRDefault="00E954C0" w:rsidP="00E954C0">
            <w:pPr>
              <w:pStyle w:val="tabletext"/>
              <w:rPr>
                <w:lang w:eastAsia="en-US"/>
              </w:rPr>
            </w:pPr>
            <w:r w:rsidRPr="00AA3F3D">
              <w:rPr>
                <w:lang w:eastAsia="en-US"/>
              </w:rPr>
              <w:t>No equivalent.</w:t>
            </w:r>
          </w:p>
        </w:tc>
      </w:tr>
    </w:tbl>
    <w:p w14:paraId="5BD475DE" w14:textId="77777777" w:rsidR="00E954C0" w:rsidRDefault="00E954C0" w:rsidP="00E954C0">
      <w:pPr>
        <w:pStyle w:val="Heading2"/>
      </w:pPr>
      <w:r>
        <w:t>Detailed explanation of new law</w:t>
      </w:r>
    </w:p>
    <w:p w14:paraId="00BAB6F2" w14:textId="77777777" w:rsidR="00E954C0" w:rsidRPr="00AA3F3D" w:rsidRDefault="00E954C0" w:rsidP="00E954C0">
      <w:pPr>
        <w:pStyle w:val="base-text-paragraph"/>
        <w:numPr>
          <w:ilvl w:val="1"/>
          <w:numId w:val="53"/>
        </w:numPr>
        <w:rPr>
          <w:b/>
          <w:i/>
          <w:sz w:val="18"/>
        </w:rPr>
      </w:pPr>
      <w:r w:rsidRPr="004153FB">
        <w:t>The</w:t>
      </w:r>
      <w:r>
        <w:t xml:space="preserve"> </w:t>
      </w:r>
      <w:r w:rsidRPr="004153FB">
        <w:t xml:space="preserve">independence </w:t>
      </w:r>
      <w:r>
        <w:t>requirement for the depositary</w:t>
      </w:r>
      <w:r w:rsidRPr="004153FB">
        <w:t xml:space="preserve"> </w:t>
      </w:r>
      <w:r>
        <w:t xml:space="preserve">of a CCIV is designed to ensure that the depositary of a CCIV </w:t>
      </w:r>
      <w:r w:rsidRPr="004153FB">
        <w:t xml:space="preserve">(and any </w:t>
      </w:r>
      <w:r>
        <w:t>other entity</w:t>
      </w:r>
      <w:r w:rsidRPr="004153FB">
        <w:t xml:space="preserve"> performing depositary functions) </w:t>
      </w:r>
      <w:r>
        <w:t>cannot be controlled or influenced by the corporate director or another entity directing investment decisions in relation to the CCIV.</w:t>
      </w:r>
      <w:r w:rsidRPr="00AA3F3D">
        <w:rPr>
          <w:rStyle w:val="Referencingstyle"/>
        </w:rPr>
        <w:t xml:space="preserve"> </w:t>
      </w:r>
    </w:p>
    <w:p w14:paraId="1609079B" w14:textId="77777777" w:rsidR="00E954C0" w:rsidRDefault="00E954C0" w:rsidP="00E954C0">
      <w:pPr>
        <w:pStyle w:val="base-text-paragraph"/>
        <w:numPr>
          <w:ilvl w:val="1"/>
          <w:numId w:val="53"/>
        </w:numPr>
      </w:pPr>
      <w:r>
        <w:t xml:space="preserve">The independence requirement imposes restrictions on the relationships between two groups: entities that perform depositary functions and any of their related bodies corporate in one group; and entities that direct investment decisions for the CCIV and any of their related bodies corporate in the other. </w:t>
      </w:r>
    </w:p>
    <w:p w14:paraId="737586CB" w14:textId="77777777" w:rsidR="00E954C0" w:rsidRDefault="00E954C0" w:rsidP="00E954C0">
      <w:pPr>
        <w:pStyle w:val="base-text-paragraph"/>
        <w:numPr>
          <w:ilvl w:val="1"/>
          <w:numId w:val="53"/>
        </w:numPr>
      </w:pPr>
      <w:r>
        <w:t>The entities that perform depositary functions are:</w:t>
      </w:r>
    </w:p>
    <w:p w14:paraId="7EC11C01" w14:textId="77777777" w:rsidR="00E954C0" w:rsidRDefault="00E954C0" w:rsidP="009C3EA6">
      <w:pPr>
        <w:pStyle w:val="dotpoint"/>
      </w:pPr>
      <w:r>
        <w:t>the depositary; and</w:t>
      </w:r>
    </w:p>
    <w:p w14:paraId="515C5D5B" w14:textId="77777777" w:rsidR="00E954C0" w:rsidRDefault="00E954C0" w:rsidP="009C3EA6">
      <w:pPr>
        <w:pStyle w:val="dotpoint"/>
      </w:pPr>
      <w:r>
        <w:t xml:space="preserve">an agent appointed, or a person otherwise engaged, by the depositary under section 1234H (including any person taken to be an agent or person otherwise engaged by the depositary under subsection 1234H(2)) (see paragraphs 4.67 to 4.71 of the Tranche 1 Explanatory Materials). </w:t>
      </w:r>
    </w:p>
    <w:p w14:paraId="5F7643CC" w14:textId="77777777" w:rsidR="00E954C0" w:rsidRPr="00AA3F3D" w:rsidRDefault="00E954C0" w:rsidP="00E954C0">
      <w:pPr>
        <w:pStyle w:val="base-text-paragraph"/>
        <w:numPr>
          <w:ilvl w:val="0"/>
          <w:numId w:val="0"/>
        </w:numPr>
        <w:ind w:left="1134"/>
        <w:rPr>
          <w:rStyle w:val="Referencingstyle"/>
        </w:rPr>
      </w:pPr>
      <w:r w:rsidRPr="00AA3F3D">
        <w:rPr>
          <w:rStyle w:val="Referencingstyle"/>
        </w:rPr>
        <w:t xml:space="preserve">[Schedule </w:t>
      </w:r>
      <w:r>
        <w:rPr>
          <w:rStyle w:val="Referencingstyle"/>
        </w:rPr>
        <w:t>1</w:t>
      </w:r>
      <w:r w:rsidRPr="00AA3F3D">
        <w:rPr>
          <w:rStyle w:val="Referencingstyle"/>
        </w:rPr>
        <w:t xml:space="preserve">, item </w:t>
      </w:r>
      <w:r>
        <w:rPr>
          <w:rStyle w:val="Referencingstyle"/>
        </w:rPr>
        <w:t>1</w:t>
      </w:r>
      <w:r w:rsidRPr="00AA3F3D">
        <w:rPr>
          <w:rStyle w:val="Referencingstyle"/>
        </w:rPr>
        <w:t xml:space="preserve">, </w:t>
      </w:r>
      <w:r>
        <w:rPr>
          <w:rStyle w:val="Referencingstyle"/>
        </w:rPr>
        <w:t>subsection</w:t>
      </w:r>
      <w:r w:rsidRPr="00AA3F3D">
        <w:rPr>
          <w:rStyle w:val="Referencingstyle"/>
        </w:rPr>
        <w:t xml:space="preserve"> 1234D(2)] </w:t>
      </w:r>
    </w:p>
    <w:p w14:paraId="5713DDD9" w14:textId="77777777" w:rsidR="00E954C0" w:rsidRDefault="00E954C0" w:rsidP="00E954C0">
      <w:pPr>
        <w:pStyle w:val="base-text-paragraph"/>
        <w:numPr>
          <w:ilvl w:val="1"/>
          <w:numId w:val="53"/>
        </w:numPr>
      </w:pPr>
      <w:r>
        <w:t xml:space="preserve">The </w:t>
      </w:r>
      <w:r w:rsidRPr="00D3272B">
        <w:t>entities</w:t>
      </w:r>
      <w:r>
        <w:t xml:space="preserve"> that direct investment decisions for the CCIV are:</w:t>
      </w:r>
    </w:p>
    <w:p w14:paraId="3032A786" w14:textId="77777777" w:rsidR="00E954C0" w:rsidRDefault="00E954C0" w:rsidP="009C3EA6">
      <w:pPr>
        <w:pStyle w:val="dotpoint"/>
      </w:pPr>
      <w:r>
        <w:t>the corporate director; and</w:t>
      </w:r>
    </w:p>
    <w:p w14:paraId="2251836B" w14:textId="77777777" w:rsidR="00E954C0" w:rsidRDefault="00E954C0" w:rsidP="009C3EA6">
      <w:pPr>
        <w:pStyle w:val="dotpoint"/>
      </w:pPr>
      <w:r>
        <w:t xml:space="preserve">an agent appointed, or a person otherwise engaged, by the corporate director under section 1237K (including any person taken to be an agent or otherwise engaged by the corporate director under subsection 1237K(2)) to perform portfolio management functions or investment risk management functions for the CCIV (see paragraphs 5.63 to 5.68 of the Tranche 1 Explanatory Materials). </w:t>
      </w:r>
    </w:p>
    <w:p w14:paraId="2C2B5B24" w14:textId="77777777" w:rsidR="00E954C0" w:rsidRDefault="00E954C0" w:rsidP="00E954C0">
      <w:pPr>
        <w:pStyle w:val="base-text-paragraph"/>
        <w:numPr>
          <w:ilvl w:val="0"/>
          <w:numId w:val="0"/>
        </w:numPr>
        <w:ind w:left="1134"/>
      </w:pPr>
      <w:r w:rsidRPr="00AB052C">
        <w:rPr>
          <w:rStyle w:val="Referencingstyle"/>
        </w:rPr>
        <w:t>[</w:t>
      </w:r>
      <w:r w:rsidRPr="00AA3F3D">
        <w:rPr>
          <w:rStyle w:val="Referencingstyle"/>
        </w:rPr>
        <w:t xml:space="preserve">Schedule </w:t>
      </w:r>
      <w:r>
        <w:rPr>
          <w:rStyle w:val="Referencingstyle"/>
        </w:rPr>
        <w:t>1</w:t>
      </w:r>
      <w:r w:rsidRPr="00AA3F3D">
        <w:rPr>
          <w:rStyle w:val="Referencingstyle"/>
        </w:rPr>
        <w:t xml:space="preserve">, item </w:t>
      </w:r>
      <w:r>
        <w:rPr>
          <w:rStyle w:val="Referencingstyle"/>
        </w:rPr>
        <w:t xml:space="preserve">1, </w:t>
      </w:r>
      <w:r w:rsidRPr="00A31900">
        <w:rPr>
          <w:rStyle w:val="Referencingstyle"/>
        </w:rPr>
        <w:t>subsection</w:t>
      </w:r>
      <w:r>
        <w:rPr>
          <w:rStyle w:val="Referencingstyle"/>
        </w:rPr>
        <w:t xml:space="preserve"> </w:t>
      </w:r>
      <w:r w:rsidRPr="00AB052C">
        <w:rPr>
          <w:rStyle w:val="Referencingstyle"/>
        </w:rPr>
        <w:t>1234DA(2)]</w:t>
      </w:r>
      <w:r>
        <w:rPr>
          <w:rStyle w:val="Referencingstyle"/>
        </w:rPr>
        <w:t xml:space="preserve"> </w:t>
      </w:r>
    </w:p>
    <w:p w14:paraId="1654418F" w14:textId="77777777" w:rsidR="00E954C0" w:rsidRDefault="00E954C0" w:rsidP="00E954C0">
      <w:pPr>
        <w:pStyle w:val="base-text-paragraph"/>
        <w:numPr>
          <w:ilvl w:val="1"/>
          <w:numId w:val="53"/>
        </w:numPr>
      </w:pPr>
      <w:r>
        <w:t>The terms ‘portfolio management functions’ and ‘investment management functions’ are designed to capture entities that, along with the corporate director, are the controlling mind and decision-makers in relation to an asset, or assets, of the CCIV (or a sub-fund of the CCIV).</w:t>
      </w:r>
      <w:r w:rsidRPr="00C91C7E">
        <w:t xml:space="preserve"> </w:t>
      </w:r>
    </w:p>
    <w:p w14:paraId="3963B762" w14:textId="77777777" w:rsidR="00E954C0" w:rsidRPr="00410F69" w:rsidRDefault="00E954C0" w:rsidP="00E954C0">
      <w:pPr>
        <w:pStyle w:val="base-text-paragraph"/>
        <w:numPr>
          <w:ilvl w:val="1"/>
          <w:numId w:val="53"/>
        </w:numPr>
        <w:rPr>
          <w:rStyle w:val="Referencingstyle"/>
          <w:b w:val="0"/>
          <w:i w:val="0"/>
          <w:sz w:val="22"/>
        </w:rPr>
      </w:pPr>
      <w:r w:rsidRPr="00FA5B27">
        <w:t>An ent</w:t>
      </w:r>
      <w:r w:rsidRPr="003801D6">
        <w:t>ity is not taken to direct investment decisions merely because it is managing foreign currency or managing bank deposits.</w:t>
      </w:r>
      <w:r>
        <w:t xml:space="preserve"> These functions are considered administrative in nature.</w:t>
      </w:r>
      <w:r w:rsidRPr="003145F5">
        <w:rPr>
          <w:rStyle w:val="Referencingstyle"/>
        </w:rPr>
        <w:t xml:space="preserve"> </w:t>
      </w:r>
      <w:r w:rsidRPr="00AB052C">
        <w:rPr>
          <w:rStyle w:val="Referencingstyle"/>
        </w:rPr>
        <w:t>[</w:t>
      </w:r>
      <w:r w:rsidRPr="00AA3F3D">
        <w:rPr>
          <w:rStyle w:val="Referencingstyle"/>
        </w:rPr>
        <w:t xml:space="preserve">Schedule </w:t>
      </w:r>
      <w:r>
        <w:rPr>
          <w:rStyle w:val="Referencingstyle"/>
        </w:rPr>
        <w:t>1</w:t>
      </w:r>
      <w:r w:rsidRPr="00AA3F3D">
        <w:rPr>
          <w:rStyle w:val="Referencingstyle"/>
        </w:rPr>
        <w:t xml:space="preserve">, item </w:t>
      </w:r>
      <w:r>
        <w:rPr>
          <w:rStyle w:val="Referencingstyle"/>
        </w:rPr>
        <w:t>1</w:t>
      </w:r>
      <w:r w:rsidRPr="00A31900">
        <w:rPr>
          <w:rStyle w:val="Referencingstyle"/>
        </w:rPr>
        <w:t>, subsection</w:t>
      </w:r>
      <w:r>
        <w:rPr>
          <w:rStyle w:val="Referencingstyle"/>
        </w:rPr>
        <w:t xml:space="preserve"> 1234DA(3</w:t>
      </w:r>
      <w:r w:rsidRPr="00AB052C">
        <w:rPr>
          <w:rStyle w:val="Referencingstyle"/>
        </w:rPr>
        <w:t>)]</w:t>
      </w:r>
      <w:r>
        <w:rPr>
          <w:rStyle w:val="Referencingstyle"/>
        </w:rPr>
        <w:t xml:space="preserve"> </w:t>
      </w:r>
    </w:p>
    <w:p w14:paraId="417EF96D" w14:textId="77777777" w:rsidR="00E954C0" w:rsidRDefault="00E954C0" w:rsidP="00E954C0">
      <w:pPr>
        <w:pStyle w:val="base-text-paragraph"/>
        <w:numPr>
          <w:ilvl w:val="1"/>
          <w:numId w:val="53"/>
        </w:numPr>
      </w:pPr>
      <w:r>
        <w:t xml:space="preserve">If the entity that performs depositary functions, or the entity that directs investment decisions for the CCIV, is a body corporate, then the independence requirements are also imposed on their related bodies corporate. </w:t>
      </w:r>
    </w:p>
    <w:p w14:paraId="3F33A7BC" w14:textId="77777777" w:rsidR="00E954C0" w:rsidRDefault="00E954C0" w:rsidP="00E954C0">
      <w:pPr>
        <w:pStyle w:val="base-text-paragraph"/>
        <w:numPr>
          <w:ilvl w:val="1"/>
          <w:numId w:val="53"/>
        </w:numPr>
      </w:pPr>
      <w:r>
        <w:t>Although this discussion refers to ‘entities’ that perform depositary functions for the CCIV, or direct investment decisions for the CCIV, there is nothing in the law that restricts the type of legal person that can be appointed or engaged to carry out these activities in relation to the CCIV.</w:t>
      </w:r>
      <w:r>
        <w:rPr>
          <w:rStyle w:val="FootnoteReference"/>
        </w:rPr>
        <w:footnoteReference w:id="2"/>
      </w:r>
      <w:r>
        <w:t xml:space="preserve"> For example, there is nothing in the law that prevents a natural person from performing these activities. If a natural person is so appointed or engaged, then the requirements apply to them to the greatest extent possible. </w:t>
      </w:r>
    </w:p>
    <w:p w14:paraId="3BB6A8AB" w14:textId="77777777" w:rsidR="00E954C0" w:rsidRDefault="00E954C0" w:rsidP="00E954C0">
      <w:pPr>
        <w:pStyle w:val="Heading3"/>
      </w:pPr>
      <w:r>
        <w:t>The independence requirement</w:t>
      </w:r>
    </w:p>
    <w:p w14:paraId="69718C00" w14:textId="77777777" w:rsidR="00E954C0" w:rsidRDefault="00E954C0" w:rsidP="00E954C0">
      <w:pPr>
        <w:pStyle w:val="base-text-paragraph"/>
        <w:numPr>
          <w:ilvl w:val="1"/>
          <w:numId w:val="53"/>
        </w:numPr>
      </w:pPr>
      <w:r>
        <w:t>The independence requirement consists of three tests:</w:t>
      </w:r>
    </w:p>
    <w:p w14:paraId="4414BAB6" w14:textId="77777777" w:rsidR="00E954C0" w:rsidRDefault="00E954C0" w:rsidP="009C3EA6">
      <w:pPr>
        <w:pStyle w:val="dotpoint"/>
      </w:pPr>
      <w:r>
        <w:t>a structural independence test;</w:t>
      </w:r>
    </w:p>
    <w:p w14:paraId="6A4BA25E" w14:textId="77777777" w:rsidR="00E954C0" w:rsidRDefault="00E954C0" w:rsidP="009C3EA6">
      <w:pPr>
        <w:pStyle w:val="dotpoint"/>
      </w:pPr>
      <w:r>
        <w:t>a voting/control test; and</w:t>
      </w:r>
    </w:p>
    <w:p w14:paraId="72A0F093" w14:textId="77777777" w:rsidR="00E954C0" w:rsidRDefault="00E954C0" w:rsidP="009C3EA6">
      <w:pPr>
        <w:pStyle w:val="dotpoint"/>
      </w:pPr>
      <w:r>
        <w:t>an independent director test.</w:t>
      </w:r>
    </w:p>
    <w:p w14:paraId="233A1DFB" w14:textId="77777777" w:rsidR="00E954C0" w:rsidRPr="00AB052C" w:rsidRDefault="00E954C0" w:rsidP="00E954C0">
      <w:pPr>
        <w:pStyle w:val="base-text-paragraph"/>
        <w:numPr>
          <w:ilvl w:val="0"/>
          <w:numId w:val="0"/>
        </w:numPr>
        <w:ind w:left="1134"/>
        <w:rPr>
          <w:b/>
          <w:i/>
          <w:sz w:val="18"/>
        </w:rPr>
      </w:pPr>
      <w:r w:rsidRPr="00AB052C">
        <w:rPr>
          <w:rStyle w:val="Referencingstyle"/>
        </w:rPr>
        <w:t xml:space="preserve">[Schedule </w:t>
      </w:r>
      <w:r>
        <w:rPr>
          <w:rStyle w:val="Referencingstyle"/>
        </w:rPr>
        <w:t>1</w:t>
      </w:r>
      <w:r w:rsidRPr="00AB052C">
        <w:rPr>
          <w:rStyle w:val="Referencingstyle"/>
        </w:rPr>
        <w:t>, it</w:t>
      </w:r>
      <w:r>
        <w:rPr>
          <w:rStyle w:val="Referencingstyle"/>
        </w:rPr>
        <w:t xml:space="preserve">em 1, subsection </w:t>
      </w:r>
      <w:r w:rsidRPr="00AB052C">
        <w:rPr>
          <w:rStyle w:val="Referencingstyle"/>
        </w:rPr>
        <w:t xml:space="preserve">1234D(1)] </w:t>
      </w:r>
    </w:p>
    <w:p w14:paraId="079CF34A" w14:textId="77777777" w:rsidR="00E954C0" w:rsidRPr="003145F5" w:rsidRDefault="00E954C0" w:rsidP="00E954C0">
      <w:pPr>
        <w:pStyle w:val="base-text-paragraph"/>
        <w:keepNext/>
        <w:numPr>
          <w:ilvl w:val="1"/>
          <w:numId w:val="53"/>
        </w:numPr>
      </w:pPr>
      <w:r>
        <w:t xml:space="preserve">The entities performing depositary functions and any of their related bodies corporate must all meet the independence requirement. If any entity performing depositary functions, or any of its related bodies corporate, fail any of the above three tests then the depositary itself fails the independence requirement. </w:t>
      </w:r>
    </w:p>
    <w:p w14:paraId="2B2E0DD7" w14:textId="77777777" w:rsidR="00E954C0" w:rsidRDefault="00E954C0" w:rsidP="00E954C0">
      <w:pPr>
        <w:pStyle w:val="base-text-paragraph"/>
        <w:keepNext/>
        <w:numPr>
          <w:ilvl w:val="1"/>
          <w:numId w:val="53"/>
        </w:numPr>
      </w:pPr>
      <w:r>
        <w:t>The corporate director is then obligated to take steps to remove and replace the depositary with a temporary depositary (see section 1235F of the Tranche 1 Exposure Bill and paragraphs 4.130 to 4.134 of the Tranche 1 Explanatory Materials).</w:t>
      </w:r>
    </w:p>
    <w:p w14:paraId="20D5AE2D" w14:textId="77777777" w:rsidR="00E954C0" w:rsidRDefault="00E954C0" w:rsidP="00E954C0">
      <w:pPr>
        <w:pStyle w:val="Heading4"/>
      </w:pPr>
      <w:r>
        <w:t xml:space="preserve">Structural independence test </w:t>
      </w:r>
    </w:p>
    <w:p w14:paraId="4087A93F" w14:textId="77777777" w:rsidR="00E954C0" w:rsidRDefault="00E954C0" w:rsidP="00E954C0">
      <w:pPr>
        <w:pStyle w:val="base-text-paragraph"/>
        <w:numPr>
          <w:ilvl w:val="1"/>
          <w:numId w:val="53"/>
        </w:numPr>
      </w:pPr>
      <w:r>
        <w:t xml:space="preserve">The structural independence test prohibits any entity performing depositary functions and any of their related bodies corporate from directing investment decisions for the CCIV. </w:t>
      </w:r>
      <w:r w:rsidRPr="00AA3F3D">
        <w:rPr>
          <w:rStyle w:val="Referencingstyle"/>
        </w:rPr>
        <w:t>[</w:t>
      </w:r>
      <w:r w:rsidRPr="00AB052C">
        <w:rPr>
          <w:rStyle w:val="Referencingstyle"/>
        </w:rPr>
        <w:t xml:space="preserve">Schedule </w:t>
      </w:r>
      <w:r>
        <w:rPr>
          <w:rStyle w:val="Referencingstyle"/>
        </w:rPr>
        <w:t>1</w:t>
      </w:r>
      <w:r w:rsidRPr="00AB052C">
        <w:rPr>
          <w:rStyle w:val="Referencingstyle"/>
        </w:rPr>
        <w:t>, it</w:t>
      </w:r>
      <w:r>
        <w:rPr>
          <w:rStyle w:val="Referencingstyle"/>
        </w:rPr>
        <w:t>em 1</w:t>
      </w:r>
      <w:r w:rsidRPr="00AA3F3D">
        <w:rPr>
          <w:rStyle w:val="Referencingstyle"/>
        </w:rPr>
        <w:t xml:space="preserve">, </w:t>
      </w:r>
      <w:r>
        <w:rPr>
          <w:rStyle w:val="Referencingstyle"/>
        </w:rPr>
        <w:t>sub</w:t>
      </w:r>
      <w:r w:rsidRPr="00AA3F3D">
        <w:rPr>
          <w:rStyle w:val="Referencingstyle"/>
        </w:rPr>
        <w:t>section</w:t>
      </w:r>
      <w:r>
        <w:rPr>
          <w:rStyle w:val="Referencingstyle"/>
        </w:rPr>
        <w:t> </w:t>
      </w:r>
      <w:r w:rsidRPr="00AA3F3D">
        <w:rPr>
          <w:rStyle w:val="Referencingstyle"/>
        </w:rPr>
        <w:t>1234DA</w:t>
      </w:r>
      <w:r>
        <w:rPr>
          <w:rStyle w:val="Referencingstyle"/>
        </w:rPr>
        <w:t>(1)</w:t>
      </w:r>
      <w:r w:rsidRPr="00AA3F3D">
        <w:rPr>
          <w:rStyle w:val="Referencingstyle"/>
        </w:rPr>
        <w:t>]</w:t>
      </w:r>
      <w:r>
        <w:t xml:space="preserve"> </w:t>
      </w:r>
    </w:p>
    <w:p w14:paraId="2F74B8DE" w14:textId="77777777" w:rsidR="00E954C0" w:rsidRDefault="00E954C0" w:rsidP="00E954C0">
      <w:pPr>
        <w:pStyle w:val="base-text-paragraph"/>
        <w:numPr>
          <w:ilvl w:val="1"/>
          <w:numId w:val="53"/>
        </w:numPr>
      </w:pPr>
      <w:r>
        <w:t>This means that the depositary, any other entity performing depositary functions, and any of these entities’ related bodies corporate cannot:</w:t>
      </w:r>
    </w:p>
    <w:p w14:paraId="2BE4F477" w14:textId="77777777" w:rsidR="00E954C0" w:rsidRDefault="00E954C0" w:rsidP="009C3EA6">
      <w:pPr>
        <w:pStyle w:val="dotpoint"/>
      </w:pPr>
      <w:r>
        <w:t>be appointed as corporate director of the CCIV; or</w:t>
      </w:r>
    </w:p>
    <w:p w14:paraId="09834E94" w14:textId="77777777" w:rsidR="00E954C0" w:rsidRDefault="00E954C0" w:rsidP="009C3EA6">
      <w:pPr>
        <w:pStyle w:val="dotpoint"/>
      </w:pPr>
      <w:r>
        <w:t xml:space="preserve">be appointed or engaged to perform portfolio management or investment risk management functions in relation to the CCIV. </w:t>
      </w:r>
    </w:p>
    <w:p w14:paraId="0D6A32F9" w14:textId="77777777" w:rsidR="00E954C0" w:rsidRDefault="00E954C0" w:rsidP="00E954C0">
      <w:pPr>
        <w:pStyle w:val="Heading4"/>
      </w:pPr>
      <w:r>
        <w:t>Voting/control test</w:t>
      </w:r>
    </w:p>
    <w:p w14:paraId="3E323E91" w14:textId="77777777" w:rsidR="00E954C0" w:rsidRDefault="00E954C0" w:rsidP="00E954C0">
      <w:pPr>
        <w:pStyle w:val="base-text-paragraph"/>
        <w:numPr>
          <w:ilvl w:val="1"/>
          <w:numId w:val="53"/>
        </w:numPr>
      </w:pPr>
      <w:r>
        <w:t>The voting/control test is designed to ensure that entities directing investment decisions for the CCIV cannot unduly influence or control an entity performing depositary functions or its related bodies corporate.</w:t>
      </w:r>
    </w:p>
    <w:p w14:paraId="28971ECA" w14:textId="77777777" w:rsidR="00E954C0" w:rsidRDefault="00E954C0" w:rsidP="00E954C0">
      <w:pPr>
        <w:pStyle w:val="base-text-paragraph"/>
        <w:numPr>
          <w:ilvl w:val="1"/>
          <w:numId w:val="53"/>
        </w:numPr>
      </w:pPr>
      <w:r>
        <w:t xml:space="preserve">If the entity performing depositary functions is an entity that may hold a general meeting at which votes may be cast, such as a company, then all of the votes that any entity that directs investment decisions for the CCIV and any of their related bodies corporate combined must not exceed 20 per cent of the total votes that may be cast in a general meeting of the entity performing depositary functions or its related body corporate. </w:t>
      </w:r>
      <w:r w:rsidRPr="00AA3F3D">
        <w:rPr>
          <w:rStyle w:val="Referencingstyle"/>
        </w:rPr>
        <w:t>[</w:t>
      </w:r>
      <w:r w:rsidRPr="00AB052C">
        <w:rPr>
          <w:rStyle w:val="Referencingstyle"/>
        </w:rPr>
        <w:t xml:space="preserve">Schedule </w:t>
      </w:r>
      <w:r>
        <w:rPr>
          <w:rStyle w:val="Referencingstyle"/>
        </w:rPr>
        <w:t>1</w:t>
      </w:r>
      <w:r w:rsidRPr="00AB052C">
        <w:rPr>
          <w:rStyle w:val="Referencingstyle"/>
        </w:rPr>
        <w:t>, it</w:t>
      </w:r>
      <w:r>
        <w:rPr>
          <w:rStyle w:val="Referencingstyle"/>
        </w:rPr>
        <w:t>em 1</w:t>
      </w:r>
      <w:r w:rsidRPr="00AA3F3D">
        <w:rPr>
          <w:rStyle w:val="Referencingstyle"/>
        </w:rPr>
        <w:t>, paragraph 1234DB(1)(a) and subsection 1234DB(2)]</w:t>
      </w:r>
    </w:p>
    <w:p w14:paraId="4884E441" w14:textId="77777777" w:rsidR="00E954C0" w:rsidRDefault="00E954C0" w:rsidP="00E954C0">
      <w:pPr>
        <w:pStyle w:val="base-text-paragraph"/>
        <w:numPr>
          <w:ilvl w:val="1"/>
          <w:numId w:val="53"/>
        </w:numPr>
      </w:pPr>
      <w:r>
        <w:t xml:space="preserve">When considering whether the 20 per cent threshold has been exceeded, all of the votes of any entities directing investment decisions for the CCIV (such as the corporate director or an entity performing portfolio management functions or investment risk management functions) and any of these entities’ related bodies corporate are calculated in the aggregate. </w:t>
      </w:r>
    </w:p>
    <w:p w14:paraId="2D356649" w14:textId="24FDEB43" w:rsidR="00E954C0" w:rsidRPr="00AA3F3D" w:rsidRDefault="00E954C0" w:rsidP="00E954C0">
      <w:pPr>
        <w:pStyle w:val="base-text-paragraph"/>
        <w:numPr>
          <w:ilvl w:val="1"/>
          <w:numId w:val="53"/>
        </w:numPr>
        <w:rPr>
          <w:rStyle w:val="Referencingstyle"/>
          <w:b w:val="0"/>
          <w:i w:val="0"/>
          <w:sz w:val="22"/>
        </w:rPr>
      </w:pPr>
      <w:r>
        <w:t xml:space="preserve">Certain matters are to be disregarded when calculating votes at a general meeting of an entity. </w:t>
      </w:r>
      <w:r w:rsidRPr="00AA3F3D">
        <w:rPr>
          <w:rStyle w:val="Referencingstyle"/>
        </w:rPr>
        <w:t>[</w:t>
      </w:r>
      <w:r w:rsidRPr="00AB052C">
        <w:rPr>
          <w:rStyle w:val="Referencingstyle"/>
        </w:rPr>
        <w:t xml:space="preserve">Schedule </w:t>
      </w:r>
      <w:r>
        <w:rPr>
          <w:rStyle w:val="Referencingstyle"/>
        </w:rPr>
        <w:t>1</w:t>
      </w:r>
      <w:r w:rsidRPr="00AB052C">
        <w:rPr>
          <w:rStyle w:val="Referencingstyle"/>
        </w:rPr>
        <w:t>, it</w:t>
      </w:r>
      <w:r>
        <w:rPr>
          <w:rStyle w:val="Referencingstyle"/>
        </w:rPr>
        <w:t>em 1</w:t>
      </w:r>
      <w:r w:rsidRPr="00AA3F3D">
        <w:rPr>
          <w:rStyle w:val="Referencingstyle"/>
        </w:rPr>
        <w:t>, subsection 1234DB(</w:t>
      </w:r>
      <w:r w:rsidR="00DA3256">
        <w:rPr>
          <w:rStyle w:val="Referencingstyle"/>
        </w:rPr>
        <w:t>3</w:t>
      </w:r>
      <w:r w:rsidRPr="00AA3F3D">
        <w:rPr>
          <w:rStyle w:val="Referencingstyle"/>
        </w:rPr>
        <w:t>)]</w:t>
      </w:r>
      <w:r>
        <w:rPr>
          <w:rStyle w:val="Referencingstyle"/>
        </w:rPr>
        <w:t xml:space="preserve"> </w:t>
      </w:r>
    </w:p>
    <w:p w14:paraId="74A1BBBC" w14:textId="77777777" w:rsidR="00E954C0" w:rsidRPr="005877D6" w:rsidRDefault="00E954C0" w:rsidP="00E954C0">
      <w:pPr>
        <w:pStyle w:val="base-text-paragraph"/>
        <w:numPr>
          <w:ilvl w:val="1"/>
          <w:numId w:val="53"/>
        </w:numPr>
      </w:pPr>
      <w:r>
        <w:t xml:space="preserve">If it is not possible to calculate the votes to be cast at a general meeting of the entity performing depositary functions, then the entities directing investment decisions in the CCIV’s control over that entity is instead relevant. The depositary will fail the voting/control test if an entity directing investment decisions controls an entity performing depositary functions. </w:t>
      </w:r>
      <w:r w:rsidRPr="00AA3F3D">
        <w:rPr>
          <w:rStyle w:val="Referencingstyle"/>
        </w:rPr>
        <w:t>[</w:t>
      </w:r>
      <w:r w:rsidRPr="00AB052C">
        <w:rPr>
          <w:rStyle w:val="Referencingstyle"/>
        </w:rPr>
        <w:t xml:space="preserve">Schedule </w:t>
      </w:r>
      <w:r>
        <w:rPr>
          <w:rStyle w:val="Referencingstyle"/>
        </w:rPr>
        <w:t>1</w:t>
      </w:r>
      <w:r w:rsidRPr="00AB052C">
        <w:rPr>
          <w:rStyle w:val="Referencingstyle"/>
        </w:rPr>
        <w:t>, it</w:t>
      </w:r>
      <w:r>
        <w:rPr>
          <w:rStyle w:val="Referencingstyle"/>
        </w:rPr>
        <w:t>em 1</w:t>
      </w:r>
      <w:r w:rsidRPr="00AA3F3D">
        <w:rPr>
          <w:rStyle w:val="Referencingstyle"/>
        </w:rPr>
        <w:t>, paragraph</w:t>
      </w:r>
      <w:r>
        <w:rPr>
          <w:rStyle w:val="Referencingstyle"/>
        </w:rPr>
        <w:t> </w:t>
      </w:r>
      <w:r w:rsidRPr="00AA3F3D">
        <w:rPr>
          <w:rStyle w:val="Referencingstyle"/>
        </w:rPr>
        <w:t>1234DB(1)(b)]</w:t>
      </w:r>
      <w:r>
        <w:t xml:space="preserve"> </w:t>
      </w:r>
    </w:p>
    <w:p w14:paraId="7BAC047E" w14:textId="77777777" w:rsidR="00E954C0" w:rsidRDefault="00E954C0" w:rsidP="00E954C0">
      <w:pPr>
        <w:pStyle w:val="ExampleHeading"/>
      </w:pPr>
    </w:p>
    <w:p w14:paraId="113556E1" w14:textId="3C3727FB" w:rsidR="00E954C0" w:rsidRDefault="00E954C0" w:rsidP="00E954C0">
      <w:pPr>
        <w:pStyle w:val="exampletext"/>
      </w:pPr>
      <w:proofErr w:type="spellStart"/>
      <w:r>
        <w:t>Ironbank</w:t>
      </w:r>
      <w:proofErr w:type="spellEnd"/>
      <w:r>
        <w:t xml:space="preserve"> CCIV has appointed Cer</w:t>
      </w:r>
      <w:r w:rsidR="00DA3256">
        <w:t>s</w:t>
      </w:r>
      <w:r>
        <w:t>ei CD Ltd as its corporate director and Stark Depositary Services Ltd as its depositary.</w:t>
      </w:r>
    </w:p>
    <w:p w14:paraId="4652A804" w14:textId="6C28464E" w:rsidR="00E954C0" w:rsidRPr="00AA3F3D" w:rsidRDefault="00DA3256" w:rsidP="00E954C0">
      <w:pPr>
        <w:pStyle w:val="exampletext"/>
      </w:pPr>
      <w:r w:rsidRPr="00FA5B27">
        <w:t>Cer</w:t>
      </w:r>
      <w:r>
        <w:t>s</w:t>
      </w:r>
      <w:r w:rsidRPr="00FA5B27">
        <w:t>ei</w:t>
      </w:r>
      <w:r w:rsidR="00E954C0" w:rsidRPr="003801D6">
        <w:t xml:space="preserve"> CD Ltd </w:t>
      </w:r>
      <w:r w:rsidR="00E954C0" w:rsidRPr="00274D33">
        <w:t>is part of a corporate group.</w:t>
      </w:r>
      <w:r w:rsidR="00E954C0">
        <w:t xml:space="preserve"> </w:t>
      </w:r>
      <w:r w:rsidR="00E954C0" w:rsidRPr="00274D33">
        <w:t xml:space="preserve">Its parent company is Lannister </w:t>
      </w:r>
      <w:r w:rsidR="00E954C0" w:rsidRPr="00AA3F3D">
        <w:t>Ltd.</w:t>
      </w:r>
      <w:r w:rsidR="00E954C0">
        <w:t xml:space="preserve"> </w:t>
      </w:r>
      <w:r w:rsidRPr="00AA3F3D">
        <w:t>Cer</w:t>
      </w:r>
      <w:r>
        <w:t>s</w:t>
      </w:r>
      <w:r w:rsidRPr="00AA3F3D">
        <w:t>ei</w:t>
      </w:r>
      <w:r w:rsidR="00E954C0" w:rsidRPr="00AA3F3D">
        <w:t xml:space="preserve"> C</w:t>
      </w:r>
      <w:r w:rsidR="00E954C0">
        <w:t>D Ltd</w:t>
      </w:r>
      <w:r w:rsidR="00E954C0" w:rsidRPr="00AA3F3D">
        <w:t xml:space="preserve"> has decided to outsource portfolio management functions for the CCIV to Tywin IM Ltd.</w:t>
      </w:r>
      <w:r w:rsidR="00E954C0">
        <w:t xml:space="preserve"> </w:t>
      </w:r>
    </w:p>
    <w:p w14:paraId="6C0476B8" w14:textId="77777777" w:rsidR="00E954C0" w:rsidRPr="00AA3F3D" w:rsidRDefault="00E954C0" w:rsidP="00E954C0">
      <w:pPr>
        <w:pStyle w:val="exampletext"/>
      </w:pPr>
      <w:r w:rsidRPr="00AA3F3D">
        <w:t>Tywin IM Ltd is a subsidiary of Westeros Management Services Ltd.</w:t>
      </w:r>
    </w:p>
    <w:p w14:paraId="024B65D0" w14:textId="601E0F8D" w:rsidR="00E954C0" w:rsidRPr="00AA3F3D" w:rsidRDefault="00DA3256" w:rsidP="00E954C0">
      <w:pPr>
        <w:pStyle w:val="exampletext"/>
      </w:pPr>
      <w:r w:rsidRPr="00AA3F3D">
        <w:t>Cer</w:t>
      </w:r>
      <w:r>
        <w:t>s</w:t>
      </w:r>
      <w:r w:rsidRPr="00AA3F3D">
        <w:t xml:space="preserve">ei </w:t>
      </w:r>
      <w:r w:rsidR="00E954C0" w:rsidRPr="00AA3F3D">
        <w:t>CD Ltd does not own any shares in Stark Depositary Services Ltd.</w:t>
      </w:r>
      <w:r w:rsidR="00E954C0">
        <w:t xml:space="preserve"> </w:t>
      </w:r>
      <w:r w:rsidR="00E954C0" w:rsidRPr="00AA3F3D">
        <w:t>However, Lannister Ltd and other companies in the Lannister corporate group hold shares in Stark Depositary Ltd such that, when considered together in the aggregate, they can cast 5</w:t>
      </w:r>
      <w:r w:rsidR="00E954C0">
        <w:t xml:space="preserve"> per cent</w:t>
      </w:r>
      <w:r w:rsidR="00E954C0" w:rsidRPr="00AA3F3D">
        <w:t xml:space="preserve"> of the total votes at a general meeting of Stark Depositary Services Ltd. </w:t>
      </w:r>
    </w:p>
    <w:p w14:paraId="218D7E82" w14:textId="77777777" w:rsidR="00E954C0" w:rsidRPr="00AA3F3D" w:rsidRDefault="00E954C0" w:rsidP="00E954C0">
      <w:pPr>
        <w:pStyle w:val="exampletext"/>
      </w:pPr>
      <w:r w:rsidRPr="00AA3F3D">
        <w:t>This, in itself, does not cause the depositary to fail the voting/control test.</w:t>
      </w:r>
    </w:p>
    <w:p w14:paraId="4C3AFF92" w14:textId="77777777" w:rsidR="00E954C0" w:rsidRPr="00AA3F3D" w:rsidRDefault="00E954C0" w:rsidP="00E954C0">
      <w:pPr>
        <w:pStyle w:val="exampletext"/>
      </w:pPr>
      <w:r w:rsidRPr="00AA3F3D">
        <w:t>However, Westeros Management Services Ltd also holds shares in Stark Depositary Services Ltd such that it is able to cast 16</w:t>
      </w:r>
      <w:r>
        <w:t xml:space="preserve"> per cent</w:t>
      </w:r>
      <w:r w:rsidRPr="00AA3F3D">
        <w:t xml:space="preserve"> of the total votes at a general meeting of Stark Depositary Services Ltd.</w:t>
      </w:r>
    </w:p>
    <w:p w14:paraId="0E6B5351" w14:textId="77777777" w:rsidR="00E954C0" w:rsidRPr="00AA3F3D" w:rsidRDefault="00E954C0" w:rsidP="00E954C0">
      <w:pPr>
        <w:pStyle w:val="exampletext"/>
        <w:keepNext/>
      </w:pPr>
      <w:r w:rsidRPr="00AA3F3D">
        <w:t xml:space="preserve">This causes Stark Depositary Services Ltd to fail the voting/control test, despite the fact that: </w:t>
      </w:r>
    </w:p>
    <w:p w14:paraId="466804A5" w14:textId="77777777" w:rsidR="00E954C0" w:rsidRPr="00AA3F3D" w:rsidRDefault="00E954C0" w:rsidP="009C3EA6">
      <w:pPr>
        <w:pStyle w:val="exampledotpoint1"/>
        <w:ind w:left="2269" w:hanging="284"/>
      </w:pPr>
      <w:r w:rsidRPr="00AA3F3D">
        <w:t xml:space="preserve">none of the entities appointed to perform functions for the CCIV hold any shares in Stark Depositary Services Ltd; and </w:t>
      </w:r>
    </w:p>
    <w:p w14:paraId="1F870CF4" w14:textId="77777777" w:rsidR="00E954C0" w:rsidRPr="00AA3F3D" w:rsidRDefault="00E954C0" w:rsidP="009C3EA6">
      <w:pPr>
        <w:pStyle w:val="exampledotpoint1"/>
        <w:ind w:left="2269" w:hanging="284"/>
      </w:pPr>
      <w:r w:rsidRPr="00AA3F3D">
        <w:t>no entity, in its own right, exceeds the 20</w:t>
      </w:r>
      <w:r>
        <w:t xml:space="preserve"> per cent</w:t>
      </w:r>
      <w:r w:rsidRPr="00AA3F3D">
        <w:t xml:space="preserve"> threshold.</w:t>
      </w:r>
    </w:p>
    <w:p w14:paraId="1B08AC68" w14:textId="77777777" w:rsidR="00E954C0" w:rsidRPr="00AA3F3D" w:rsidRDefault="00E954C0" w:rsidP="00E954C0">
      <w:pPr>
        <w:pStyle w:val="exampletext"/>
      </w:pPr>
      <w:r w:rsidRPr="00AA3F3D">
        <w:t>In considering whether the 20</w:t>
      </w:r>
      <w:r>
        <w:t xml:space="preserve"> per cent</w:t>
      </w:r>
      <w:r w:rsidRPr="00AA3F3D">
        <w:t xml:space="preserve"> threshold has been exceed</w:t>
      </w:r>
      <w:r>
        <w:t>ed</w:t>
      </w:r>
      <w:r w:rsidRPr="00AA3F3D">
        <w:t>, the voting/control test calculates all of the combined votes of:</w:t>
      </w:r>
    </w:p>
    <w:p w14:paraId="36CADB5D" w14:textId="7C477FBE" w:rsidR="00E954C0" w:rsidRPr="00AA3F3D" w:rsidRDefault="00DA3256" w:rsidP="009C3EA6">
      <w:pPr>
        <w:pStyle w:val="exampledotpoint1"/>
      </w:pPr>
      <w:r w:rsidRPr="00AA3F3D">
        <w:t>Cer</w:t>
      </w:r>
      <w:r>
        <w:t>s</w:t>
      </w:r>
      <w:r w:rsidRPr="00AA3F3D">
        <w:t xml:space="preserve">ei </w:t>
      </w:r>
      <w:r w:rsidR="00E954C0" w:rsidRPr="00AA3F3D">
        <w:t>CD Ltd (as corporate director);</w:t>
      </w:r>
    </w:p>
    <w:p w14:paraId="1F4E4080" w14:textId="3D0565A2" w:rsidR="00E954C0" w:rsidRPr="00AA3F3D" w:rsidRDefault="00E954C0" w:rsidP="009C3EA6">
      <w:pPr>
        <w:pStyle w:val="exampledotpoint1"/>
      </w:pPr>
      <w:r w:rsidRPr="00AA3F3D">
        <w:t xml:space="preserve">Lannister Ltd (as parent company of </w:t>
      </w:r>
      <w:r w:rsidR="00DA3256" w:rsidRPr="00AA3F3D">
        <w:t>Cer</w:t>
      </w:r>
      <w:r w:rsidR="00DA3256">
        <w:t>s</w:t>
      </w:r>
      <w:r w:rsidR="00DA3256" w:rsidRPr="00AA3F3D">
        <w:t xml:space="preserve">ei </w:t>
      </w:r>
      <w:r>
        <w:t xml:space="preserve">CD </w:t>
      </w:r>
      <w:r w:rsidRPr="00AA3F3D">
        <w:t xml:space="preserve">Ltd) and all of the other related bodies corporate of </w:t>
      </w:r>
      <w:r w:rsidR="00DA3256" w:rsidRPr="00AA3F3D">
        <w:t>Cer</w:t>
      </w:r>
      <w:r w:rsidR="00DA3256">
        <w:t>s</w:t>
      </w:r>
      <w:r w:rsidR="00DA3256" w:rsidRPr="00AA3F3D">
        <w:t xml:space="preserve">ei </w:t>
      </w:r>
      <w:r>
        <w:t xml:space="preserve">CD </w:t>
      </w:r>
      <w:r w:rsidRPr="00AA3F3D">
        <w:t>Ltd in the Lannister corporate group;</w:t>
      </w:r>
    </w:p>
    <w:p w14:paraId="180D2D71" w14:textId="77777777" w:rsidR="00E954C0" w:rsidRPr="00AA3F3D" w:rsidRDefault="00E954C0" w:rsidP="009C3EA6">
      <w:pPr>
        <w:pStyle w:val="exampledotpoint1"/>
      </w:pPr>
      <w:r w:rsidRPr="00AA3F3D">
        <w:t>Tywin IM Ltd (as an entity directing investment decisions for the CCIV); and</w:t>
      </w:r>
    </w:p>
    <w:p w14:paraId="4C9511B4" w14:textId="77777777" w:rsidR="00E954C0" w:rsidRPr="00AA3F3D" w:rsidRDefault="00E954C0" w:rsidP="009C3EA6">
      <w:pPr>
        <w:pStyle w:val="exampledotpoint1"/>
      </w:pPr>
      <w:r w:rsidRPr="00AA3F3D">
        <w:t>Westero</w:t>
      </w:r>
      <w:r>
        <w:t>s</w:t>
      </w:r>
      <w:r w:rsidRPr="00AA3F3D">
        <w:t xml:space="preserve"> Management Services Ltd (as parent company of Tywin IM Ltd).</w:t>
      </w:r>
    </w:p>
    <w:p w14:paraId="0DD51570" w14:textId="77777777" w:rsidR="00E954C0" w:rsidRPr="00AA3F3D" w:rsidRDefault="00E954C0" w:rsidP="00E954C0">
      <w:pPr>
        <w:pStyle w:val="ExampleHeading"/>
      </w:pPr>
    </w:p>
    <w:p w14:paraId="42A42482" w14:textId="77777777" w:rsidR="00E954C0" w:rsidRPr="00AA3F3D" w:rsidRDefault="00E954C0" w:rsidP="00E954C0">
      <w:pPr>
        <w:pStyle w:val="exampletext"/>
      </w:pPr>
      <w:proofErr w:type="spellStart"/>
      <w:r w:rsidRPr="00AA3F3D">
        <w:t>Ironbank</w:t>
      </w:r>
      <w:proofErr w:type="spellEnd"/>
      <w:r w:rsidRPr="00AA3F3D">
        <w:t xml:space="preserve"> CCIV has appointed </w:t>
      </w:r>
      <w:proofErr w:type="spellStart"/>
      <w:r w:rsidRPr="00AA3F3D">
        <w:t>Oberyn</w:t>
      </w:r>
      <w:proofErr w:type="spellEnd"/>
      <w:r w:rsidRPr="00AA3F3D">
        <w:t xml:space="preserve"> CD Ltd as its corporate director and Tyrion Depositary Services Ltd as its depositary.</w:t>
      </w:r>
    </w:p>
    <w:p w14:paraId="2E195942" w14:textId="77777777" w:rsidR="00E954C0" w:rsidRPr="00AA3F3D" w:rsidRDefault="00E954C0" w:rsidP="00E954C0">
      <w:pPr>
        <w:pStyle w:val="exampletext"/>
      </w:pPr>
      <w:proofErr w:type="spellStart"/>
      <w:r w:rsidRPr="00AA3F3D">
        <w:t>Oberyn</w:t>
      </w:r>
      <w:proofErr w:type="spellEnd"/>
      <w:r w:rsidRPr="00AA3F3D">
        <w:t xml:space="preserve"> CD Ltd is a subsidiary of Martell Ltd.</w:t>
      </w:r>
    </w:p>
    <w:p w14:paraId="1D81FE23" w14:textId="77777777" w:rsidR="00E954C0" w:rsidRPr="00AA3F3D" w:rsidRDefault="00E954C0" w:rsidP="00E954C0">
      <w:pPr>
        <w:pStyle w:val="exampletext"/>
      </w:pPr>
      <w:r w:rsidRPr="00AA3F3D">
        <w:t xml:space="preserve">Tyrion Depositary Services has decided to appoint two agents to provide custody services on its behalf: Bronn Custodian Ltd and </w:t>
      </w:r>
      <w:proofErr w:type="spellStart"/>
      <w:r w:rsidRPr="00AA3F3D">
        <w:t>Podrick</w:t>
      </w:r>
      <w:proofErr w:type="spellEnd"/>
      <w:r w:rsidRPr="00AA3F3D">
        <w:t xml:space="preserve"> Custody.</w:t>
      </w:r>
      <w:r>
        <w:t xml:space="preserve"> </w:t>
      </w:r>
      <w:proofErr w:type="spellStart"/>
      <w:r w:rsidRPr="00AA3F3D">
        <w:t>Podrick</w:t>
      </w:r>
      <w:proofErr w:type="spellEnd"/>
      <w:r w:rsidRPr="00AA3F3D">
        <w:t xml:space="preserve"> Custody is a foreign company.</w:t>
      </w:r>
    </w:p>
    <w:p w14:paraId="1EFF514B" w14:textId="77777777" w:rsidR="00E954C0" w:rsidRPr="00AA3F3D" w:rsidRDefault="00E954C0" w:rsidP="00E954C0">
      <w:pPr>
        <w:pStyle w:val="exampletext"/>
      </w:pPr>
      <w:proofErr w:type="spellStart"/>
      <w:r w:rsidRPr="00AA3F3D">
        <w:t>Oberyn</w:t>
      </w:r>
      <w:proofErr w:type="spellEnd"/>
      <w:r w:rsidRPr="00AA3F3D">
        <w:t xml:space="preserve"> CD holds shares in Bronn Custodian Ltd such that it can cast 13</w:t>
      </w:r>
      <w:r>
        <w:t xml:space="preserve"> per cent</w:t>
      </w:r>
      <w:r w:rsidRPr="00AA3F3D">
        <w:t xml:space="preserve"> of the total votes at a general meeting of Bronn Custodian Ltd.</w:t>
      </w:r>
      <w:r>
        <w:t xml:space="preserve"> </w:t>
      </w:r>
    </w:p>
    <w:p w14:paraId="43DE7626" w14:textId="77777777" w:rsidR="00E954C0" w:rsidRPr="00AA3F3D" w:rsidRDefault="00E954C0" w:rsidP="00E954C0">
      <w:pPr>
        <w:pStyle w:val="exampletext"/>
      </w:pPr>
      <w:r w:rsidRPr="00AA3F3D">
        <w:t>Martell Ltd holds shares in Tyrion Depositary Services Ltd, such that it can cast 8% of the total votes at a general meeting of Tyrion Depositary Services Ltd.</w:t>
      </w:r>
    </w:p>
    <w:p w14:paraId="486769B8" w14:textId="77777777" w:rsidR="00E954C0" w:rsidRPr="00AA3F3D" w:rsidRDefault="00E954C0" w:rsidP="00E954C0">
      <w:pPr>
        <w:pStyle w:val="exampletext"/>
      </w:pPr>
      <w:r w:rsidRPr="00AA3F3D">
        <w:t>This does not cause Tyrion Depositary Services to fail the voting/control test, even though the entities that direct investment decisions for the CCIV and their related bodies corporate hold more than 20</w:t>
      </w:r>
      <w:r>
        <w:t xml:space="preserve"> per cent</w:t>
      </w:r>
      <w:r w:rsidRPr="00AA3F3D">
        <w:t xml:space="preserve"> of the votes in all of the entities that perform depositary functions.</w:t>
      </w:r>
      <w:r>
        <w:t xml:space="preserve"> </w:t>
      </w:r>
      <w:r w:rsidRPr="00AA3F3D">
        <w:t>This is because the voting/control test is applied to each entity that performs depositary services in its own right – it does not consider the votes in all of the entities in the aggregate.</w:t>
      </w:r>
    </w:p>
    <w:p w14:paraId="424F907C" w14:textId="77777777" w:rsidR="00E954C0" w:rsidRPr="00AA3F3D" w:rsidRDefault="00E954C0" w:rsidP="00E954C0">
      <w:pPr>
        <w:pStyle w:val="exampletext"/>
      </w:pPr>
      <w:r w:rsidRPr="00AA3F3D">
        <w:t xml:space="preserve">The votes in </w:t>
      </w:r>
      <w:proofErr w:type="spellStart"/>
      <w:r w:rsidRPr="00AA3F3D">
        <w:t>Podrick</w:t>
      </w:r>
      <w:proofErr w:type="spellEnd"/>
      <w:r w:rsidRPr="00AA3F3D">
        <w:t xml:space="preserve"> Custody cannot be calculated, because it is a foreign company that does not hold general meetings.</w:t>
      </w:r>
      <w:r>
        <w:t xml:space="preserve"> </w:t>
      </w:r>
      <w:r w:rsidRPr="00AA3F3D">
        <w:t>Accordingly, when considering whether Tyrion Depositary Servi</w:t>
      </w:r>
      <w:r>
        <w:t>c</w:t>
      </w:r>
      <w:r w:rsidRPr="00AA3F3D">
        <w:t xml:space="preserve">es Ltd has failed the voting/control test, the entities that direct investment decisions’ practical control over </w:t>
      </w:r>
      <w:proofErr w:type="spellStart"/>
      <w:r w:rsidRPr="00AA3F3D">
        <w:t>Podrick</w:t>
      </w:r>
      <w:proofErr w:type="spellEnd"/>
      <w:r w:rsidRPr="00AA3F3D">
        <w:t xml:space="preserve"> Custody will instead be relevant.</w:t>
      </w:r>
    </w:p>
    <w:p w14:paraId="0166BA52" w14:textId="77777777" w:rsidR="00E954C0" w:rsidRDefault="00E954C0" w:rsidP="00E954C0">
      <w:pPr>
        <w:pStyle w:val="Heading4"/>
      </w:pPr>
      <w:r>
        <w:t>Independent director test</w:t>
      </w:r>
    </w:p>
    <w:p w14:paraId="5D068406" w14:textId="77777777" w:rsidR="00E954C0" w:rsidRDefault="00E954C0" w:rsidP="00E954C0">
      <w:pPr>
        <w:pStyle w:val="base-text-paragraph"/>
        <w:numPr>
          <w:ilvl w:val="1"/>
          <w:numId w:val="53"/>
        </w:numPr>
      </w:pPr>
      <w:r>
        <w:t>An entity that is performing depositary functions (including the depositary itself) must:</w:t>
      </w:r>
    </w:p>
    <w:p w14:paraId="5E03C8C6" w14:textId="77777777" w:rsidR="00E954C0" w:rsidRDefault="00E954C0" w:rsidP="009C3EA6">
      <w:pPr>
        <w:pStyle w:val="dotpoint"/>
      </w:pPr>
      <w:r>
        <w:t>if it has fewer than 6 directors, have at least one director who is not also a director of an entity directing investment decisions for the CCIV; or</w:t>
      </w:r>
    </w:p>
    <w:p w14:paraId="523A3D21" w14:textId="77777777" w:rsidR="00E954C0" w:rsidRDefault="00E954C0" w:rsidP="009C3EA6">
      <w:pPr>
        <w:pStyle w:val="dotpoint"/>
      </w:pPr>
      <w:r>
        <w:t xml:space="preserve">if it has 6 or more directors, have at least 2 directors who are not also a director of an entity directing investment decisions for the CCIV. </w:t>
      </w:r>
    </w:p>
    <w:p w14:paraId="1F47F5BB" w14:textId="77777777" w:rsidR="00E954C0" w:rsidRPr="00AA3F3D" w:rsidRDefault="00E954C0" w:rsidP="00E954C0">
      <w:pPr>
        <w:pStyle w:val="base-text-paragraph"/>
        <w:numPr>
          <w:ilvl w:val="0"/>
          <w:numId w:val="0"/>
        </w:numPr>
        <w:ind w:left="1134"/>
        <w:rPr>
          <w:rStyle w:val="Referencingstyle"/>
        </w:rPr>
      </w:pPr>
      <w:r w:rsidRPr="00AA3F3D">
        <w:rPr>
          <w:rStyle w:val="Referencingstyle"/>
        </w:rPr>
        <w:t>[</w:t>
      </w:r>
      <w:r w:rsidRPr="00AB052C">
        <w:rPr>
          <w:rStyle w:val="Referencingstyle"/>
        </w:rPr>
        <w:t xml:space="preserve">Schedule </w:t>
      </w:r>
      <w:r>
        <w:rPr>
          <w:rStyle w:val="Referencingstyle"/>
        </w:rPr>
        <w:t>1</w:t>
      </w:r>
      <w:r w:rsidRPr="00AB052C">
        <w:rPr>
          <w:rStyle w:val="Referencingstyle"/>
        </w:rPr>
        <w:t>, it</w:t>
      </w:r>
      <w:r>
        <w:rPr>
          <w:rStyle w:val="Referencingstyle"/>
        </w:rPr>
        <w:t>em 1</w:t>
      </w:r>
      <w:r w:rsidRPr="00AA3F3D">
        <w:rPr>
          <w:rStyle w:val="Referencingstyle"/>
        </w:rPr>
        <w:t xml:space="preserve">, subsection 1234DC(1)] </w:t>
      </w:r>
    </w:p>
    <w:p w14:paraId="26AAB923" w14:textId="77777777" w:rsidR="00E954C0" w:rsidRDefault="00E954C0" w:rsidP="00E954C0">
      <w:pPr>
        <w:pStyle w:val="base-text-paragraph"/>
        <w:numPr>
          <w:ilvl w:val="1"/>
          <w:numId w:val="53"/>
        </w:numPr>
      </w:pPr>
      <w:r>
        <w:t xml:space="preserve">If the entity performing depositary functions does not have directors (because, for example, it is a natural person or a type of legal entity that does not have directors), then it is not subject to the independent director test. </w:t>
      </w:r>
      <w:r w:rsidRPr="00AA3F3D">
        <w:rPr>
          <w:rStyle w:val="Referencingstyle"/>
        </w:rPr>
        <w:t>[</w:t>
      </w:r>
      <w:r w:rsidRPr="00AB052C">
        <w:rPr>
          <w:rStyle w:val="Referencingstyle"/>
        </w:rPr>
        <w:t xml:space="preserve">Schedule </w:t>
      </w:r>
      <w:r>
        <w:rPr>
          <w:rStyle w:val="Referencingstyle"/>
        </w:rPr>
        <w:t>1</w:t>
      </w:r>
      <w:r w:rsidRPr="00AB052C">
        <w:rPr>
          <w:rStyle w:val="Referencingstyle"/>
        </w:rPr>
        <w:t>, it</w:t>
      </w:r>
      <w:r>
        <w:rPr>
          <w:rStyle w:val="Referencingstyle"/>
        </w:rPr>
        <w:t>em 1</w:t>
      </w:r>
      <w:r w:rsidRPr="00AA3F3D">
        <w:rPr>
          <w:rStyle w:val="Referencingstyle"/>
        </w:rPr>
        <w:t>, subsection</w:t>
      </w:r>
      <w:r>
        <w:rPr>
          <w:rStyle w:val="Referencingstyle"/>
        </w:rPr>
        <w:t> </w:t>
      </w:r>
      <w:r w:rsidRPr="00AA3F3D">
        <w:rPr>
          <w:rStyle w:val="Referencingstyle"/>
        </w:rPr>
        <w:t>1234DC(2)]</w:t>
      </w:r>
      <w:r>
        <w:t xml:space="preserve"> </w:t>
      </w:r>
    </w:p>
    <w:p w14:paraId="7E8D4203" w14:textId="77777777" w:rsidR="00E954C0" w:rsidRDefault="00E954C0" w:rsidP="00E954C0">
      <w:pPr>
        <w:pStyle w:val="Heading3"/>
      </w:pPr>
      <w:r>
        <w:t>Functional independence requirements</w:t>
      </w:r>
    </w:p>
    <w:p w14:paraId="0C2A662D" w14:textId="77777777" w:rsidR="00E954C0" w:rsidRDefault="00E954C0" w:rsidP="00E954C0">
      <w:pPr>
        <w:pStyle w:val="base-text-paragraph"/>
        <w:numPr>
          <w:ilvl w:val="1"/>
          <w:numId w:val="53"/>
        </w:numPr>
      </w:pPr>
      <w:r>
        <w:t xml:space="preserve">Although an entity performing depositary functions is prohibited from directing investment decisions for the CCIV (such that it cannot perform portfolio management functions or investment risk management functions for the CCIV), there is nothing in the law that prevents it from performing any other functions for the CCIV (such as fund administration). </w:t>
      </w:r>
    </w:p>
    <w:p w14:paraId="519E9434" w14:textId="77777777" w:rsidR="00E954C0" w:rsidRDefault="00E954C0" w:rsidP="00E954C0">
      <w:pPr>
        <w:pStyle w:val="base-text-paragraph"/>
        <w:numPr>
          <w:ilvl w:val="1"/>
          <w:numId w:val="53"/>
        </w:numPr>
      </w:pPr>
      <w:r>
        <w:t>The regulations may prescribe requirements that must be complied with in circumstances where an entity is both:</w:t>
      </w:r>
    </w:p>
    <w:p w14:paraId="4BA87026" w14:textId="77777777" w:rsidR="00E954C0" w:rsidRDefault="00E954C0" w:rsidP="009C3EA6">
      <w:pPr>
        <w:pStyle w:val="dotpoint"/>
      </w:pPr>
      <w:r>
        <w:t>performing depositary functions (as the depositary itself or an agent or person engaged by the depositary or taken to be an agent or engaged by the depositary under section 1234H); and</w:t>
      </w:r>
    </w:p>
    <w:p w14:paraId="17E332CE" w14:textId="77777777" w:rsidR="00E954C0" w:rsidRDefault="00E954C0" w:rsidP="009C3EA6">
      <w:pPr>
        <w:pStyle w:val="dotpoint"/>
      </w:pPr>
      <w:r>
        <w:t>an agent appointed, or otherwise engaged, by the corporate director (or taken to be an agent or otherwise engaged by the corporate director) under section 1237K to perform functions in relation to the CCIV.</w:t>
      </w:r>
    </w:p>
    <w:p w14:paraId="0220C9E1" w14:textId="77777777" w:rsidR="00E954C0" w:rsidRPr="00AA3F3D" w:rsidRDefault="00E954C0" w:rsidP="00E954C0">
      <w:pPr>
        <w:pStyle w:val="base-text-paragraph"/>
        <w:numPr>
          <w:ilvl w:val="0"/>
          <w:numId w:val="0"/>
        </w:numPr>
        <w:ind w:left="1134"/>
        <w:rPr>
          <w:rStyle w:val="Referencingstyle"/>
        </w:rPr>
      </w:pPr>
      <w:r w:rsidRPr="00AA3F3D">
        <w:rPr>
          <w:rStyle w:val="Referencingstyle"/>
        </w:rPr>
        <w:t>[</w:t>
      </w:r>
      <w:r w:rsidRPr="00AB052C">
        <w:rPr>
          <w:rStyle w:val="Referencingstyle"/>
        </w:rPr>
        <w:t xml:space="preserve">Schedule </w:t>
      </w:r>
      <w:r>
        <w:rPr>
          <w:rStyle w:val="Referencingstyle"/>
        </w:rPr>
        <w:t>1</w:t>
      </w:r>
      <w:r w:rsidRPr="00AB052C">
        <w:rPr>
          <w:rStyle w:val="Referencingstyle"/>
        </w:rPr>
        <w:t>, it</w:t>
      </w:r>
      <w:r>
        <w:rPr>
          <w:rStyle w:val="Referencingstyle"/>
        </w:rPr>
        <w:t>em 1</w:t>
      </w:r>
      <w:r w:rsidRPr="00AA3F3D">
        <w:rPr>
          <w:rStyle w:val="Referencingstyle"/>
        </w:rPr>
        <w:t xml:space="preserve">, subsections 1234QA(1) and (2)] </w:t>
      </w:r>
    </w:p>
    <w:p w14:paraId="3EED6354" w14:textId="3A3424D8" w:rsidR="00E954C0" w:rsidRDefault="00E954C0" w:rsidP="00E954C0">
      <w:pPr>
        <w:pStyle w:val="base-text-paragraph"/>
        <w:numPr>
          <w:ilvl w:val="1"/>
          <w:numId w:val="53"/>
        </w:numPr>
      </w:pPr>
      <w:r>
        <w:t>A failure to comply with the functional independence requirements is a strict liability offence with a penalty of up to 60 penalty units. The imposition of a strict liability offence and the penalty is consistent with the Guide. A strict liability offence is required to ensure the integrity of regime for depositaries, as the failure to comply with the functional independence requirements could jeopardise the depositary’s ability to perform its oversight and custody functions in an independent manner (free from the influence of entities directing investment decisions for the CCIV).</w:t>
      </w:r>
      <w:r w:rsidR="00DA3256">
        <w:t xml:space="preserve"> </w:t>
      </w:r>
      <w:r w:rsidR="00DA3256" w:rsidRPr="000453C7">
        <w:rPr>
          <w:i/>
        </w:rPr>
        <w:t>[</w:t>
      </w:r>
      <w:r w:rsidR="00DA3256" w:rsidRPr="00AB052C">
        <w:rPr>
          <w:rStyle w:val="Referencingstyle"/>
        </w:rPr>
        <w:t xml:space="preserve">Schedule </w:t>
      </w:r>
      <w:r w:rsidR="00DA3256">
        <w:rPr>
          <w:rStyle w:val="Referencingstyle"/>
        </w:rPr>
        <w:t>1</w:t>
      </w:r>
      <w:r w:rsidR="00DA3256" w:rsidRPr="00AB052C">
        <w:rPr>
          <w:rStyle w:val="Referencingstyle"/>
        </w:rPr>
        <w:t>, it</w:t>
      </w:r>
      <w:r w:rsidR="00DA3256">
        <w:rPr>
          <w:rStyle w:val="Referencingstyle"/>
        </w:rPr>
        <w:t>em 1</w:t>
      </w:r>
      <w:r w:rsidR="00DA3256" w:rsidRPr="00AA3F3D">
        <w:rPr>
          <w:rStyle w:val="Referencingstyle"/>
        </w:rPr>
        <w:t>, subsections 1234QA(</w:t>
      </w:r>
      <w:r w:rsidR="005C68C1">
        <w:rPr>
          <w:rStyle w:val="Referencingstyle"/>
        </w:rPr>
        <w:t>3</w:t>
      </w:r>
      <w:r w:rsidR="00DA3256" w:rsidRPr="00AA3F3D">
        <w:rPr>
          <w:rStyle w:val="Referencingstyle"/>
        </w:rPr>
        <w:t>)</w:t>
      </w:r>
      <w:r w:rsidR="00DA3256">
        <w:rPr>
          <w:rStyle w:val="Referencingstyle"/>
        </w:rPr>
        <w:t>]</w:t>
      </w:r>
    </w:p>
    <w:p w14:paraId="2CC7E78F" w14:textId="77777777" w:rsidR="003A5672" w:rsidRDefault="003A5672" w:rsidP="00B17774">
      <w:pPr>
        <w:sectPr w:rsidR="003A5672" w:rsidSect="00905701">
          <w:footerReference w:type="even" r:id="rId34"/>
          <w:footerReference w:type="default" r:id="rId35"/>
          <w:footerReference w:type="first" r:id="rId36"/>
          <w:type w:val="oddPage"/>
          <w:pgSz w:w="9979" w:h="14175" w:code="34"/>
          <w:pgMar w:top="567" w:right="1134" w:bottom="567" w:left="1134" w:header="709" w:footer="709" w:gutter="0"/>
          <w:cols w:space="708"/>
          <w:titlePg/>
          <w:docGrid w:linePitch="360"/>
        </w:sectPr>
      </w:pPr>
    </w:p>
    <w:p w14:paraId="0C0B181E" w14:textId="3C7C3792" w:rsidR="003A5672" w:rsidRPr="007C2B20" w:rsidRDefault="003A5672" w:rsidP="00711D0C">
      <w:pPr>
        <w:pStyle w:val="ChapterHeading"/>
        <w:numPr>
          <w:ilvl w:val="0"/>
          <w:numId w:val="26"/>
        </w:numPr>
      </w:pPr>
      <w:r w:rsidRPr="000C2A9D">
        <w:br/>
      </w:r>
      <w:bookmarkStart w:id="56" w:name="_Toc525049780"/>
      <w:bookmarkStart w:id="57" w:name="_Toc525051811"/>
      <w:bookmarkStart w:id="58" w:name="_Toc525140698"/>
      <w:bookmarkStart w:id="59" w:name="_Toc525219819"/>
      <w:bookmarkStart w:id="60" w:name="_Toc525226359"/>
      <w:bookmarkStart w:id="61" w:name="_Toc525894368"/>
      <w:bookmarkStart w:id="62" w:name="_Toc525898819"/>
      <w:bookmarkStart w:id="63" w:name="_Toc525898863"/>
      <w:bookmarkStart w:id="64" w:name="_Ref526429882"/>
      <w:bookmarkStart w:id="65" w:name="_Toc526434101"/>
      <w:bookmarkStart w:id="66" w:name="_Toc526434629"/>
      <w:r>
        <w:rPr>
          <w:rStyle w:val="ChapterNameOnly"/>
        </w:rPr>
        <w:t>External Administration</w:t>
      </w:r>
      <w:bookmarkEnd w:id="56"/>
      <w:bookmarkEnd w:id="57"/>
      <w:bookmarkEnd w:id="58"/>
      <w:bookmarkEnd w:id="59"/>
      <w:bookmarkEnd w:id="60"/>
      <w:bookmarkEnd w:id="61"/>
      <w:bookmarkEnd w:id="62"/>
      <w:bookmarkEnd w:id="63"/>
      <w:bookmarkEnd w:id="64"/>
      <w:bookmarkEnd w:id="65"/>
      <w:bookmarkEnd w:id="66"/>
    </w:p>
    <w:p w14:paraId="20A8EF19" w14:textId="77777777" w:rsidR="003A5672" w:rsidRDefault="003A5672" w:rsidP="00B17774">
      <w:pPr>
        <w:pStyle w:val="Heading2"/>
      </w:pPr>
      <w:r>
        <w:t>Outline of chapter</w:t>
      </w:r>
    </w:p>
    <w:p w14:paraId="0BE94E67" w14:textId="2321E68C" w:rsidR="003A5672" w:rsidRDefault="00A367E6" w:rsidP="00711D0C">
      <w:pPr>
        <w:numPr>
          <w:ilvl w:val="1"/>
          <w:numId w:val="26"/>
        </w:numPr>
      </w:pPr>
      <w:r>
        <w:t xml:space="preserve">Chapter 2 outlines the process for winding up </w:t>
      </w:r>
      <w:r w:rsidR="00A61BE8">
        <w:t xml:space="preserve">a </w:t>
      </w:r>
      <w:r>
        <w:t>sub-fund. It also explains how the other external administration processes apply in the CCIV context.</w:t>
      </w:r>
    </w:p>
    <w:p w14:paraId="1071815D" w14:textId="77777777" w:rsidR="003A5672" w:rsidRDefault="003A5672" w:rsidP="00B17774">
      <w:pPr>
        <w:pStyle w:val="Heading2"/>
      </w:pPr>
      <w:r>
        <w:t>Context of amendments</w:t>
      </w:r>
    </w:p>
    <w:p w14:paraId="122AEE25" w14:textId="00558128" w:rsidR="00A367E6" w:rsidRDefault="00A367E6" w:rsidP="00A367E6">
      <w:pPr>
        <w:pStyle w:val="base-text-paragraph"/>
      </w:pPr>
      <w:r>
        <w:t xml:space="preserve">The regulatory requirements for schemes of arrangement, receivership, winding up and voluntary administration for Australian companies – collectively referred to as external administration – are contained in Chapter 5 of the Act. The amendments contained in Parts 8B.12 of the Tranche </w:t>
      </w:r>
      <w:r w:rsidR="00E54A10">
        <w:t xml:space="preserve">3 </w:t>
      </w:r>
      <w:r>
        <w:t>Exposure Bill modify the application of the external administration framework so that, in the case of CCIVs</w:t>
      </w:r>
      <w:r w:rsidR="00A61BE8">
        <w:t>,</w:t>
      </w:r>
      <w:r>
        <w:t xml:space="preserve"> external administration applies to each sub</w:t>
      </w:r>
      <w:r>
        <w:noBreakHyphen/>
        <w:t xml:space="preserve">fund of a CCIV rather than to the CCIV as a whole. </w:t>
      </w:r>
      <w:r w:rsidR="0088213C">
        <w:t>This ensures the strict segregation of the assets and liabilities of a sub-fund is preserved throughout the external administration process.</w:t>
      </w:r>
    </w:p>
    <w:p w14:paraId="13FEC9E6" w14:textId="5A48E7A7" w:rsidR="00A367E6" w:rsidRDefault="00A367E6" w:rsidP="00A367E6">
      <w:pPr>
        <w:pStyle w:val="base-text-paragraph"/>
      </w:pPr>
      <w:r>
        <w:t xml:space="preserve">The provisions in </w:t>
      </w:r>
      <w:r w:rsidRPr="003F7083">
        <w:t>Part</w:t>
      </w:r>
      <w:r w:rsidR="00FA26F1" w:rsidRPr="003F7083">
        <w:t xml:space="preserve"> </w:t>
      </w:r>
      <w:r w:rsidR="00E54A10">
        <w:t xml:space="preserve">8B.12 </w:t>
      </w:r>
      <w:r>
        <w:t xml:space="preserve">draw </w:t>
      </w:r>
      <w:r w:rsidR="00A61BE8">
        <w:t xml:space="preserve">in part </w:t>
      </w:r>
      <w:r>
        <w:t xml:space="preserve">on the approach adopted for external administration of health benefits funds under the </w:t>
      </w:r>
      <w:r>
        <w:rPr>
          <w:i/>
        </w:rPr>
        <w:t>Private Health Insurance (Prudential Supervision) Act 2015</w:t>
      </w:r>
      <w:r w:rsidRPr="000F48C2">
        <w:t>. Health benefits funds have</w:t>
      </w:r>
      <w:r>
        <w:t xml:space="preserve"> some</w:t>
      </w:r>
      <w:r w:rsidRPr="000F48C2">
        <w:t xml:space="preserve"> similarities</w:t>
      </w:r>
      <w:r>
        <w:t xml:space="preserve"> to sub</w:t>
      </w:r>
      <w:r>
        <w:noBreakHyphen/>
        <w:t xml:space="preserve">funds of a CCIV </w:t>
      </w:r>
      <w:r w:rsidR="0088213C">
        <w:t xml:space="preserve">in that </w:t>
      </w:r>
      <w:r>
        <w:t>they are not separate legal entities.</w:t>
      </w:r>
    </w:p>
    <w:p w14:paraId="309448D5" w14:textId="590F270E" w:rsidR="00A367E6" w:rsidRPr="000F48C2" w:rsidRDefault="00A367E6" w:rsidP="00A367E6">
      <w:pPr>
        <w:pStyle w:val="base-text-paragraph"/>
      </w:pPr>
      <w:r>
        <w:t xml:space="preserve">This approach contrasts with the approach </w:t>
      </w:r>
      <w:r w:rsidR="00E54A10">
        <w:t>used in</w:t>
      </w:r>
      <w:r>
        <w:t xml:space="preserve"> the United Kingdom’s OEIC regime, where sub</w:t>
      </w:r>
      <w:r>
        <w:noBreakHyphen/>
        <w:t>funds are deemed to have separate legal personality for the purposes of external administration (but not for any other purpose). The United Kingdom’s approach has not been adopted because it would artificially distinguish between the legal personality of sub</w:t>
      </w:r>
      <w:r>
        <w:noBreakHyphen/>
        <w:t xml:space="preserve">funds before and during external administration. </w:t>
      </w:r>
    </w:p>
    <w:p w14:paraId="5E1D4751" w14:textId="77777777" w:rsidR="003A5672" w:rsidRDefault="003A5672" w:rsidP="00B17774">
      <w:pPr>
        <w:pStyle w:val="Heading2"/>
      </w:pPr>
      <w:r>
        <w:t>Summary of new law</w:t>
      </w:r>
    </w:p>
    <w:p w14:paraId="532BB5BC" w14:textId="28761E13" w:rsidR="00FA26F1" w:rsidRDefault="00FA26F1" w:rsidP="00711D0C">
      <w:pPr>
        <w:pStyle w:val="base-text-paragraph"/>
        <w:numPr>
          <w:ilvl w:val="1"/>
          <w:numId w:val="26"/>
        </w:numPr>
      </w:pPr>
      <w:r>
        <w:t>Part 8B.12 applies the external administration provisions on a sub-fund-by-sub-fund basis by using five translation rules. Most significantly, the first translation rule require</w:t>
      </w:r>
      <w:r w:rsidR="00F47599">
        <w:t>s</w:t>
      </w:r>
      <w:r>
        <w:t xml:space="preserve"> references </w:t>
      </w:r>
      <w:r w:rsidR="00D2214C">
        <w:t xml:space="preserve">in the provisions </w:t>
      </w:r>
      <w:r>
        <w:t xml:space="preserve">to the company undergoing external administration to be read as a reference to the sub-fund. </w:t>
      </w:r>
    </w:p>
    <w:p w14:paraId="2445E6FD" w14:textId="13558038" w:rsidR="003A5672" w:rsidRDefault="00F47599" w:rsidP="00711D0C">
      <w:pPr>
        <w:pStyle w:val="base-text-paragraph"/>
        <w:numPr>
          <w:ilvl w:val="1"/>
          <w:numId w:val="26"/>
        </w:numPr>
      </w:pPr>
      <w:r>
        <w:t>Division 1 of Part 8B.12 contains general rules for construing terms and expressions.</w:t>
      </w:r>
    </w:p>
    <w:p w14:paraId="3AA627E6" w14:textId="281D354B" w:rsidR="00F47599" w:rsidRDefault="00F47599" w:rsidP="00711D0C">
      <w:pPr>
        <w:pStyle w:val="base-text-paragraph"/>
        <w:numPr>
          <w:ilvl w:val="1"/>
          <w:numId w:val="26"/>
        </w:numPr>
      </w:pPr>
      <w:r>
        <w:t>Division 2 of Part 8B.12 sets out the translation rules for the arrangement and reconstruction provisions. It also expands the Court’s power to make orders in situations where the arrangement an</w:t>
      </w:r>
      <w:r w:rsidR="0030459F">
        <w:t>d reconstruction involves a sub-fund</w:t>
      </w:r>
      <w:r>
        <w:t>.</w:t>
      </w:r>
    </w:p>
    <w:p w14:paraId="61C4E3BF" w14:textId="202BCE07" w:rsidR="00F47599" w:rsidRDefault="00F47599" w:rsidP="00711D0C">
      <w:pPr>
        <w:pStyle w:val="base-text-paragraph"/>
        <w:numPr>
          <w:ilvl w:val="1"/>
          <w:numId w:val="26"/>
        </w:numPr>
      </w:pPr>
      <w:r>
        <w:t>Division 3 of Part 8B.12 contains the translation rules for receivership and sets out the special duties and powers of receivers of sub-funds.</w:t>
      </w:r>
    </w:p>
    <w:p w14:paraId="646C4151" w14:textId="53E7CB5A" w:rsidR="00F47599" w:rsidRDefault="00F47599" w:rsidP="00711D0C">
      <w:pPr>
        <w:pStyle w:val="base-text-paragraph"/>
        <w:numPr>
          <w:ilvl w:val="1"/>
          <w:numId w:val="26"/>
        </w:numPr>
      </w:pPr>
      <w:r>
        <w:t>Division 4 of Part 8B.12 covers the winding up</w:t>
      </w:r>
      <w:r w:rsidR="0030459F">
        <w:t xml:space="preserve"> provisions</w:t>
      </w:r>
      <w:r>
        <w:t xml:space="preserve">. It sets out the translation rules and the powers of the corporate director, liquidator and depositary when a sub-fund is being wound up. It also makes bespoke amendments to the process for serving a statutory demand and applying to the Court for </w:t>
      </w:r>
      <w:r w:rsidR="0030459F">
        <w:t xml:space="preserve">an order for </w:t>
      </w:r>
      <w:r>
        <w:t>winding up.</w:t>
      </w:r>
    </w:p>
    <w:p w14:paraId="46FB8F61" w14:textId="47E6CA34" w:rsidR="00F47599" w:rsidRPr="008F726E" w:rsidRDefault="00F47599" w:rsidP="00711D0C">
      <w:pPr>
        <w:pStyle w:val="base-text-paragraph"/>
        <w:numPr>
          <w:ilvl w:val="1"/>
          <w:numId w:val="26"/>
        </w:numPr>
      </w:pPr>
      <w:r>
        <w:t>Divisions 5 to 7 of Part 8B.12 cover the insolvent trading provisions in Divisions 3 to 6 of Part 5.7B, offence provisions in Part 5.8 and miscellaneous machinery provisions in Part 5.9. Several of t</w:t>
      </w:r>
      <w:r w:rsidR="0030459F">
        <w:t>he offence provisions in these P</w:t>
      </w:r>
      <w:r>
        <w:t>arts (including the duty to prevent insolvent trading) are owed by the natural person directors of the corporate director.</w:t>
      </w:r>
    </w:p>
    <w:p w14:paraId="28BB355A" w14:textId="77777777" w:rsidR="003A5672" w:rsidRDefault="003A5672"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2987"/>
      </w:tblGrid>
      <w:tr w:rsidR="003A5672" w:rsidRPr="004666B8" w14:paraId="78F91780" w14:textId="77777777" w:rsidTr="009E51EA">
        <w:trPr>
          <w:tblHeader/>
        </w:trPr>
        <w:tc>
          <w:tcPr>
            <w:tcW w:w="3275" w:type="dxa"/>
          </w:tcPr>
          <w:p w14:paraId="30FA9570" w14:textId="77777777" w:rsidR="003A5672" w:rsidRPr="00AA3F3D" w:rsidRDefault="003A5672" w:rsidP="003A5672">
            <w:pPr>
              <w:pStyle w:val="tableheaderwithintable"/>
              <w:rPr>
                <w:lang w:eastAsia="en-US"/>
              </w:rPr>
            </w:pPr>
            <w:r w:rsidRPr="00AA3F3D">
              <w:rPr>
                <w:lang w:eastAsia="en-US"/>
              </w:rPr>
              <w:t>New law</w:t>
            </w:r>
          </w:p>
        </w:tc>
        <w:tc>
          <w:tcPr>
            <w:tcW w:w="3276" w:type="dxa"/>
          </w:tcPr>
          <w:p w14:paraId="1843B811" w14:textId="77777777" w:rsidR="003A5672" w:rsidRPr="00AA3F3D" w:rsidRDefault="003A5672" w:rsidP="003A5672">
            <w:pPr>
              <w:pStyle w:val="tableheaderwithintable"/>
              <w:rPr>
                <w:lang w:eastAsia="en-US"/>
              </w:rPr>
            </w:pPr>
            <w:r w:rsidRPr="00AA3F3D">
              <w:rPr>
                <w:lang w:eastAsia="en-US"/>
              </w:rPr>
              <w:t>Current law</w:t>
            </w:r>
          </w:p>
        </w:tc>
      </w:tr>
      <w:tr w:rsidR="00480660" w:rsidRPr="004666B8" w14:paraId="41CE2CDF" w14:textId="77777777" w:rsidTr="003A5672">
        <w:tc>
          <w:tcPr>
            <w:tcW w:w="3275" w:type="dxa"/>
          </w:tcPr>
          <w:p w14:paraId="47EE24A9" w14:textId="36379152" w:rsidR="00480660" w:rsidRPr="00AA3F3D" w:rsidRDefault="005110DF" w:rsidP="003F7083">
            <w:pPr>
              <w:pStyle w:val="tabletext"/>
              <w:spacing w:before="120" w:after="120"/>
              <w:rPr>
                <w:b/>
                <w:lang w:eastAsia="en-US"/>
              </w:rPr>
            </w:pPr>
            <w:r w:rsidRPr="00AA3F3D">
              <w:rPr>
                <w:b/>
                <w:lang w:eastAsia="en-US"/>
              </w:rPr>
              <w:t>Core principle</w:t>
            </w:r>
          </w:p>
          <w:p w14:paraId="1A53D6A5" w14:textId="6104AD73" w:rsidR="00480660" w:rsidRPr="00AA3F3D" w:rsidRDefault="00480660" w:rsidP="003F7083">
            <w:pPr>
              <w:pStyle w:val="tabletext"/>
              <w:spacing w:before="120" w:after="120"/>
              <w:rPr>
                <w:lang w:eastAsia="en-US"/>
              </w:rPr>
            </w:pPr>
            <w:r w:rsidRPr="00AA3F3D">
              <w:rPr>
                <w:lang w:eastAsia="en-US"/>
              </w:rPr>
              <w:t>The external administration provisions apply on a sub-fund-by-sub-fund basis.</w:t>
            </w:r>
          </w:p>
        </w:tc>
        <w:tc>
          <w:tcPr>
            <w:tcW w:w="3276" w:type="dxa"/>
          </w:tcPr>
          <w:p w14:paraId="1D5E32C3" w14:textId="05117B3F" w:rsidR="00480660" w:rsidRPr="00AA3F3D" w:rsidRDefault="00480660" w:rsidP="003A5672">
            <w:pPr>
              <w:pStyle w:val="tabletext"/>
              <w:rPr>
                <w:lang w:eastAsia="en-US"/>
              </w:rPr>
            </w:pPr>
            <w:r w:rsidRPr="00AA3F3D">
              <w:rPr>
                <w:lang w:eastAsia="en-US"/>
              </w:rPr>
              <w:t>No equivalent.</w:t>
            </w:r>
          </w:p>
        </w:tc>
      </w:tr>
      <w:tr w:rsidR="003A5672" w:rsidRPr="004666B8" w14:paraId="19918976" w14:textId="77777777" w:rsidTr="00AA3F3D">
        <w:trPr>
          <w:trHeight w:val="1838"/>
        </w:trPr>
        <w:tc>
          <w:tcPr>
            <w:tcW w:w="3275" w:type="dxa"/>
          </w:tcPr>
          <w:p w14:paraId="3BE79855" w14:textId="0AB8C9CF" w:rsidR="00BC69DD" w:rsidRPr="00AA3F3D" w:rsidRDefault="00C84010" w:rsidP="003F7083">
            <w:pPr>
              <w:pStyle w:val="tabletext"/>
              <w:spacing w:before="120" w:after="120"/>
              <w:rPr>
                <w:b/>
                <w:lang w:eastAsia="en-US"/>
              </w:rPr>
            </w:pPr>
            <w:r w:rsidRPr="00AA3F3D">
              <w:rPr>
                <w:b/>
                <w:lang w:eastAsia="en-US"/>
              </w:rPr>
              <w:t>General t</w:t>
            </w:r>
            <w:r w:rsidR="00BC69DD" w:rsidRPr="00AA3F3D">
              <w:rPr>
                <w:b/>
                <w:lang w:eastAsia="en-US"/>
              </w:rPr>
              <w:t>ranslation rules</w:t>
            </w:r>
          </w:p>
          <w:p w14:paraId="5DEABDE4" w14:textId="451A673F" w:rsidR="00445AEE" w:rsidRPr="00AA3F3D" w:rsidRDefault="00BC69DD" w:rsidP="003F7083">
            <w:pPr>
              <w:pStyle w:val="tabletext"/>
              <w:spacing w:before="120" w:after="120"/>
              <w:rPr>
                <w:lang w:eastAsia="en-US"/>
              </w:rPr>
            </w:pPr>
            <w:r w:rsidRPr="00AA3F3D">
              <w:rPr>
                <w:lang w:eastAsia="en-US"/>
              </w:rPr>
              <w:t xml:space="preserve">The first translation rule replaces a reference </w:t>
            </w:r>
            <w:r w:rsidR="00D2214C">
              <w:rPr>
                <w:lang w:eastAsia="en-US"/>
              </w:rPr>
              <w:t xml:space="preserve">in the provisions </w:t>
            </w:r>
            <w:r w:rsidRPr="00AA3F3D">
              <w:rPr>
                <w:lang w:eastAsia="en-US"/>
              </w:rPr>
              <w:t xml:space="preserve">to the company undergoing external administration (the </w:t>
            </w:r>
            <w:r w:rsidRPr="00AA3F3D">
              <w:rPr>
                <w:b/>
                <w:i/>
                <w:lang w:eastAsia="en-US"/>
              </w:rPr>
              <w:t>relevant company</w:t>
            </w:r>
            <w:r w:rsidRPr="00AA3F3D">
              <w:rPr>
                <w:lang w:eastAsia="en-US"/>
              </w:rPr>
              <w:t>) with a reference to the sub-fund.</w:t>
            </w:r>
          </w:p>
          <w:p w14:paraId="295AC8E9" w14:textId="570B3D81" w:rsidR="00BC69DD" w:rsidRPr="00AA3F3D" w:rsidRDefault="00BC69DD">
            <w:pPr>
              <w:pStyle w:val="tabletext"/>
              <w:rPr>
                <w:lang w:eastAsia="en-US"/>
              </w:rPr>
            </w:pPr>
            <w:r w:rsidRPr="00AA3F3D">
              <w:rPr>
                <w:lang w:eastAsia="en-US"/>
              </w:rPr>
              <w:t xml:space="preserve">The second translation rule replaces a reference </w:t>
            </w:r>
            <w:r w:rsidR="00D2214C">
              <w:rPr>
                <w:lang w:eastAsia="en-US"/>
              </w:rPr>
              <w:t xml:space="preserve">in the provisions </w:t>
            </w:r>
            <w:r w:rsidRPr="00AA3F3D">
              <w:rPr>
                <w:lang w:eastAsia="en-US"/>
              </w:rPr>
              <w:t>to the ‘directors’ of the relevant company with a reference to the corporate director.</w:t>
            </w:r>
          </w:p>
          <w:p w14:paraId="60E467E8" w14:textId="45EE0BAA" w:rsidR="00BC69DD" w:rsidRPr="00AA3F3D" w:rsidRDefault="00BC69DD" w:rsidP="003F7083">
            <w:pPr>
              <w:pStyle w:val="tabletext"/>
              <w:spacing w:before="120" w:after="120"/>
              <w:rPr>
                <w:lang w:eastAsia="en-US"/>
              </w:rPr>
            </w:pPr>
            <w:r w:rsidRPr="00AA3F3D">
              <w:rPr>
                <w:lang w:eastAsia="en-US"/>
              </w:rPr>
              <w:t xml:space="preserve">The third translation rule replaces a reference </w:t>
            </w:r>
            <w:r w:rsidR="00D2214C">
              <w:rPr>
                <w:lang w:eastAsia="en-US"/>
              </w:rPr>
              <w:t xml:space="preserve">in the provisions </w:t>
            </w:r>
            <w:r w:rsidRPr="00AA3F3D">
              <w:rPr>
                <w:lang w:eastAsia="en-US"/>
              </w:rPr>
              <w:t>to the ‘officers’ of the relevant company with a reference to the corporate director, a shadow director or an external administrator of a sub-fund.</w:t>
            </w:r>
          </w:p>
          <w:p w14:paraId="0707739A" w14:textId="103E077C" w:rsidR="003A5672" w:rsidRPr="00AA3F3D" w:rsidRDefault="00BC69DD" w:rsidP="003F7083">
            <w:pPr>
              <w:pStyle w:val="tabletext"/>
              <w:spacing w:before="120" w:after="120"/>
              <w:rPr>
                <w:lang w:eastAsia="en-US"/>
              </w:rPr>
            </w:pPr>
            <w:r w:rsidRPr="00AA3F3D">
              <w:rPr>
                <w:lang w:eastAsia="en-US"/>
              </w:rPr>
              <w:t xml:space="preserve">The fourth and fifth translation rules replace a reference </w:t>
            </w:r>
            <w:r w:rsidR="00D2214C">
              <w:rPr>
                <w:lang w:eastAsia="en-US"/>
              </w:rPr>
              <w:t xml:space="preserve">in the provisions </w:t>
            </w:r>
            <w:r w:rsidRPr="00AA3F3D">
              <w:rPr>
                <w:lang w:eastAsia="en-US"/>
              </w:rPr>
              <w:t>to the ‘shares’ or ‘debentures’ of the relevant company to the shares or debentures referable to the sub-fund.</w:t>
            </w:r>
          </w:p>
        </w:tc>
        <w:tc>
          <w:tcPr>
            <w:tcW w:w="3276" w:type="dxa"/>
          </w:tcPr>
          <w:p w14:paraId="43EA9637" w14:textId="15D5A874" w:rsidR="003A5672" w:rsidRPr="00AA3F3D" w:rsidRDefault="00C84010" w:rsidP="003A5672">
            <w:pPr>
              <w:pStyle w:val="tabletext"/>
              <w:rPr>
                <w:lang w:eastAsia="en-US"/>
              </w:rPr>
            </w:pPr>
            <w:r w:rsidRPr="00AA3F3D">
              <w:rPr>
                <w:lang w:eastAsia="en-US"/>
              </w:rPr>
              <w:t>No equivalent.</w:t>
            </w:r>
          </w:p>
        </w:tc>
      </w:tr>
      <w:tr w:rsidR="00C84010" w:rsidRPr="004666B8" w14:paraId="56B90878" w14:textId="77777777" w:rsidTr="003A5672">
        <w:tc>
          <w:tcPr>
            <w:tcW w:w="3275" w:type="dxa"/>
          </w:tcPr>
          <w:p w14:paraId="06FD7678" w14:textId="77777777" w:rsidR="00CF6215" w:rsidRPr="00AA3F3D" w:rsidRDefault="00CF6215" w:rsidP="003F7083">
            <w:pPr>
              <w:pStyle w:val="tabletext"/>
              <w:spacing w:before="120" w:after="120"/>
              <w:rPr>
                <w:b/>
                <w:lang w:eastAsia="en-US"/>
              </w:rPr>
            </w:pPr>
            <w:r w:rsidRPr="00AA3F3D">
              <w:rPr>
                <w:b/>
                <w:lang w:eastAsia="en-US"/>
              </w:rPr>
              <w:t>Arrangements and reconstructions</w:t>
            </w:r>
          </w:p>
          <w:p w14:paraId="22843D37" w14:textId="77777777" w:rsidR="005110DF" w:rsidRPr="00AA3F3D" w:rsidRDefault="005110DF" w:rsidP="00AA3F3D">
            <w:pPr>
              <w:rPr>
                <w:i/>
                <w:sz w:val="20"/>
              </w:rPr>
            </w:pPr>
            <w:r w:rsidRPr="00AA3F3D">
              <w:rPr>
                <w:i/>
                <w:sz w:val="20"/>
              </w:rPr>
              <w:t>Sub-fund by sub-fund application</w:t>
            </w:r>
          </w:p>
          <w:p w14:paraId="68AE8539" w14:textId="014C4DEE" w:rsidR="00445AEE" w:rsidRPr="00AA3F3D" w:rsidRDefault="005110DF" w:rsidP="003F7083">
            <w:pPr>
              <w:pStyle w:val="tabletext"/>
              <w:spacing w:before="120" w:after="120"/>
              <w:rPr>
                <w:lang w:eastAsia="en-US"/>
              </w:rPr>
            </w:pPr>
            <w:r w:rsidRPr="00AA3F3D">
              <w:rPr>
                <w:lang w:eastAsia="en-US"/>
              </w:rPr>
              <w:t>The general translation rules apply to the arrangement and reconstruction provisions in Part 5.1</w:t>
            </w:r>
            <w:r w:rsidR="00781592" w:rsidRPr="00AA3F3D">
              <w:rPr>
                <w:lang w:eastAsia="en-US"/>
              </w:rPr>
              <w:t xml:space="preserve"> (and related provisions)</w:t>
            </w:r>
            <w:r w:rsidRPr="00AA3F3D">
              <w:rPr>
                <w:lang w:eastAsia="en-US"/>
              </w:rPr>
              <w:t xml:space="preserve">. </w:t>
            </w:r>
          </w:p>
          <w:p w14:paraId="428E3460" w14:textId="39EBDC97" w:rsidR="005110DF" w:rsidRPr="00AA3F3D" w:rsidRDefault="005110DF" w:rsidP="003F7083">
            <w:pPr>
              <w:pStyle w:val="tabletext"/>
              <w:spacing w:before="120" w:after="120"/>
              <w:rPr>
                <w:lang w:eastAsia="en-US"/>
              </w:rPr>
            </w:pPr>
            <w:r w:rsidRPr="00AA3F3D">
              <w:rPr>
                <w:lang w:eastAsia="en-US"/>
              </w:rPr>
              <w:t xml:space="preserve">The second translation rule is also extended for the reconstructions and amalgamation </w:t>
            </w:r>
            <w:r w:rsidR="0030459F">
              <w:rPr>
                <w:lang w:eastAsia="en-US"/>
              </w:rPr>
              <w:t>provisions</w:t>
            </w:r>
            <w:r w:rsidRPr="00AA3F3D">
              <w:rPr>
                <w:lang w:eastAsia="en-US"/>
              </w:rPr>
              <w:t xml:space="preserve">. This extension </w:t>
            </w:r>
            <w:r w:rsidR="0030459F">
              <w:rPr>
                <w:lang w:eastAsia="en-US"/>
              </w:rPr>
              <w:t>require</w:t>
            </w:r>
            <w:r w:rsidR="000E22E7">
              <w:rPr>
                <w:lang w:eastAsia="en-US"/>
              </w:rPr>
              <w:t>s</w:t>
            </w:r>
            <w:r w:rsidR="0030459F" w:rsidRPr="00AA3F3D">
              <w:rPr>
                <w:lang w:eastAsia="en-US"/>
              </w:rPr>
              <w:t xml:space="preserve"> </w:t>
            </w:r>
            <w:r w:rsidRPr="00AA3F3D">
              <w:rPr>
                <w:lang w:eastAsia="en-US"/>
              </w:rPr>
              <w:t xml:space="preserve">references to the ‘director’ </w:t>
            </w:r>
            <w:r w:rsidR="0030459F">
              <w:rPr>
                <w:lang w:eastAsia="en-US"/>
              </w:rPr>
              <w:t xml:space="preserve">to be read </w:t>
            </w:r>
            <w:r w:rsidRPr="00AA3F3D">
              <w:rPr>
                <w:lang w:eastAsia="en-US"/>
              </w:rPr>
              <w:t xml:space="preserve">as including the natural person directors of the corporate director, in addition to the corporate director. </w:t>
            </w:r>
          </w:p>
          <w:p w14:paraId="207436E9" w14:textId="77777777" w:rsidR="00F221EE" w:rsidRPr="00AA3F3D" w:rsidRDefault="00CF6215" w:rsidP="003F7083">
            <w:pPr>
              <w:pStyle w:val="tabletext"/>
              <w:spacing w:before="120" w:after="120"/>
              <w:rPr>
                <w:lang w:eastAsia="en-US"/>
              </w:rPr>
            </w:pPr>
            <w:r w:rsidRPr="00AA3F3D">
              <w:rPr>
                <w:lang w:eastAsia="en-US"/>
              </w:rPr>
              <w:t>Arrangements and reconstructions involving multiple sub-funds are treated as separate arrangements for the purposes of Part 5.1.</w:t>
            </w:r>
          </w:p>
          <w:p w14:paraId="0F518E74" w14:textId="5C841FA1" w:rsidR="00EE4B4B" w:rsidRPr="00AA3F3D" w:rsidRDefault="00EE4B4B" w:rsidP="00AA3F3D">
            <w:pPr>
              <w:rPr>
                <w:i/>
                <w:sz w:val="20"/>
              </w:rPr>
            </w:pPr>
            <w:r w:rsidRPr="00AA3F3D">
              <w:rPr>
                <w:i/>
                <w:sz w:val="20"/>
              </w:rPr>
              <w:t>Persons prohibited from administering an arrangement</w:t>
            </w:r>
          </w:p>
          <w:p w14:paraId="2684625C" w14:textId="3A9709EE" w:rsidR="00EE4B4B" w:rsidRDefault="00EE4B4B" w:rsidP="003F7083">
            <w:pPr>
              <w:pStyle w:val="tabletext"/>
              <w:spacing w:before="120" w:after="120"/>
              <w:rPr>
                <w:lang w:val="en-US" w:eastAsia="en-US"/>
              </w:rPr>
            </w:pPr>
            <w:r>
              <w:rPr>
                <w:lang w:val="en-US" w:eastAsia="en-US"/>
              </w:rPr>
              <w:t>The natural person directors of a corporate director and the depositary must not administer an arrangement or compromise.</w:t>
            </w:r>
          </w:p>
          <w:p w14:paraId="21D6CCCE" w14:textId="224B326D" w:rsidR="00480660" w:rsidRPr="00AA3F3D" w:rsidRDefault="00480660" w:rsidP="00AA3F3D">
            <w:pPr>
              <w:rPr>
                <w:i/>
                <w:sz w:val="20"/>
              </w:rPr>
            </w:pPr>
            <w:r w:rsidRPr="00AA3F3D">
              <w:rPr>
                <w:i/>
                <w:sz w:val="20"/>
              </w:rPr>
              <w:t>Additional Court powers</w:t>
            </w:r>
          </w:p>
          <w:p w14:paraId="381716F5" w14:textId="7B9C7D51" w:rsidR="00C84010" w:rsidRPr="00AA3F3D" w:rsidRDefault="00F221EE" w:rsidP="003F7083">
            <w:pPr>
              <w:pStyle w:val="tabletext"/>
              <w:spacing w:before="120" w:after="120"/>
            </w:pPr>
            <w:r w:rsidRPr="00AA3F3D">
              <w:rPr>
                <w:lang w:eastAsia="en-US"/>
              </w:rPr>
              <w:t>The Court has additional powers to make order</w:t>
            </w:r>
            <w:r w:rsidR="0030459F">
              <w:rPr>
                <w:lang w:eastAsia="en-US"/>
              </w:rPr>
              <w:t>s</w:t>
            </w:r>
            <w:r w:rsidRPr="00AA3F3D">
              <w:rPr>
                <w:lang w:eastAsia="en-US"/>
              </w:rPr>
              <w:t xml:space="preserve"> when the arrangement or reconstruction involves sub-funds. This includes </w:t>
            </w:r>
            <w:r>
              <w:t xml:space="preserve">the power to make any order it considers appropriate in relation to the assets and liabilities of the sub-fund. </w:t>
            </w:r>
          </w:p>
        </w:tc>
        <w:tc>
          <w:tcPr>
            <w:tcW w:w="3276" w:type="dxa"/>
          </w:tcPr>
          <w:p w14:paraId="68D88D7E" w14:textId="218435A2" w:rsidR="00C84010" w:rsidRPr="00AA3F3D" w:rsidRDefault="00CF6215" w:rsidP="003A5672">
            <w:pPr>
              <w:pStyle w:val="tabletext"/>
              <w:rPr>
                <w:lang w:eastAsia="en-US"/>
              </w:rPr>
            </w:pPr>
            <w:r w:rsidRPr="00AA3F3D">
              <w:rPr>
                <w:lang w:eastAsia="en-US"/>
              </w:rPr>
              <w:t>No equivalent.</w:t>
            </w:r>
          </w:p>
        </w:tc>
      </w:tr>
      <w:tr w:rsidR="00C84010" w:rsidRPr="004666B8" w14:paraId="57A57B49" w14:textId="77777777" w:rsidTr="003A5672">
        <w:tc>
          <w:tcPr>
            <w:tcW w:w="3275" w:type="dxa"/>
          </w:tcPr>
          <w:p w14:paraId="268B5F0D" w14:textId="090B1DC4" w:rsidR="00F221EE" w:rsidRPr="00AA3F3D" w:rsidRDefault="00F221EE" w:rsidP="003F7083">
            <w:pPr>
              <w:pStyle w:val="tabletext"/>
              <w:spacing w:before="120" w:after="120"/>
              <w:rPr>
                <w:b/>
                <w:lang w:eastAsia="en-US"/>
              </w:rPr>
            </w:pPr>
            <w:r w:rsidRPr="00AA3F3D">
              <w:rPr>
                <w:b/>
                <w:lang w:eastAsia="en-US"/>
              </w:rPr>
              <w:t>Receivers and other controllers of property</w:t>
            </w:r>
          </w:p>
          <w:p w14:paraId="4E4F4816" w14:textId="28BD590F" w:rsidR="005110DF" w:rsidRPr="00AA3F3D" w:rsidRDefault="005110DF" w:rsidP="00AA3F3D">
            <w:pPr>
              <w:rPr>
                <w:i/>
                <w:sz w:val="20"/>
              </w:rPr>
            </w:pPr>
            <w:r w:rsidRPr="00AA3F3D">
              <w:rPr>
                <w:i/>
                <w:sz w:val="20"/>
              </w:rPr>
              <w:t>Sub-fund by sub-fund application</w:t>
            </w:r>
          </w:p>
          <w:p w14:paraId="390B7EC5" w14:textId="2727C8EE" w:rsidR="005110DF" w:rsidRPr="00AA3F3D" w:rsidRDefault="005110DF" w:rsidP="003F7083">
            <w:pPr>
              <w:pStyle w:val="tabletext"/>
              <w:spacing w:before="120" w:after="120"/>
              <w:rPr>
                <w:lang w:eastAsia="en-US"/>
              </w:rPr>
            </w:pPr>
            <w:r w:rsidRPr="00AA3F3D">
              <w:rPr>
                <w:lang w:eastAsia="en-US"/>
              </w:rPr>
              <w:t>The general translation rules apply to the receivership provisions in Part 5.2</w:t>
            </w:r>
            <w:r w:rsidR="00781592" w:rsidRPr="00AA3F3D">
              <w:rPr>
                <w:lang w:eastAsia="en-US"/>
              </w:rPr>
              <w:t xml:space="preserve"> and Division 2B of Part 5.7B (and related provisions)</w:t>
            </w:r>
            <w:r w:rsidRPr="00AA3F3D">
              <w:rPr>
                <w:lang w:eastAsia="en-US"/>
              </w:rPr>
              <w:t>.</w:t>
            </w:r>
          </w:p>
          <w:p w14:paraId="2D84EA65" w14:textId="77777777" w:rsidR="00480660" w:rsidRPr="00AA3F3D" w:rsidRDefault="00BA4E54" w:rsidP="003F7083">
            <w:pPr>
              <w:pStyle w:val="tabletext"/>
              <w:spacing w:before="120" w:after="120"/>
              <w:rPr>
                <w:lang w:eastAsia="en-US"/>
              </w:rPr>
            </w:pPr>
            <w:r w:rsidRPr="00AA3F3D">
              <w:rPr>
                <w:lang w:eastAsia="en-US"/>
              </w:rPr>
              <w:t xml:space="preserve">If a controller is appointed in relation to property </w:t>
            </w:r>
            <w:r w:rsidR="00480660" w:rsidRPr="00AA3F3D">
              <w:rPr>
                <w:lang w:eastAsia="en-US"/>
              </w:rPr>
              <w:t>allocated to more than one sub-fund, it is treated as two separate appointments.</w:t>
            </w:r>
          </w:p>
          <w:p w14:paraId="50FF3D42" w14:textId="15266A97" w:rsidR="00EE4B4B" w:rsidRPr="00AA3F3D" w:rsidRDefault="00EE4B4B" w:rsidP="00AA3F3D">
            <w:pPr>
              <w:rPr>
                <w:i/>
                <w:sz w:val="20"/>
              </w:rPr>
            </w:pPr>
            <w:r w:rsidRPr="00AA3F3D">
              <w:rPr>
                <w:i/>
                <w:sz w:val="20"/>
              </w:rPr>
              <w:t>Persons prohibited from acting as a receiver</w:t>
            </w:r>
          </w:p>
          <w:p w14:paraId="063CD547" w14:textId="439E2F2B" w:rsidR="00EE4B4B" w:rsidRDefault="00EE4B4B" w:rsidP="003F7083">
            <w:pPr>
              <w:pStyle w:val="tabletext"/>
              <w:spacing w:before="120" w:after="120"/>
              <w:rPr>
                <w:lang w:val="en-US" w:eastAsia="en-US"/>
              </w:rPr>
            </w:pPr>
            <w:r>
              <w:rPr>
                <w:lang w:val="en-US" w:eastAsia="en-US"/>
              </w:rPr>
              <w:t>The natural person directors of a corporate director and the depositary are prohibited from acting as a receiver.</w:t>
            </w:r>
          </w:p>
          <w:p w14:paraId="17D7839C" w14:textId="4D137128" w:rsidR="00480660" w:rsidRPr="00AA3F3D" w:rsidRDefault="00480660" w:rsidP="00AA3F3D">
            <w:pPr>
              <w:rPr>
                <w:i/>
                <w:sz w:val="20"/>
              </w:rPr>
            </w:pPr>
            <w:r w:rsidRPr="00AA3F3D">
              <w:rPr>
                <w:i/>
                <w:sz w:val="20"/>
              </w:rPr>
              <w:t>Controller’s relationship with the depositary</w:t>
            </w:r>
          </w:p>
          <w:p w14:paraId="6F939913" w14:textId="77777777" w:rsidR="00480660" w:rsidRPr="00AA3F3D" w:rsidRDefault="00480660" w:rsidP="003F7083">
            <w:pPr>
              <w:pStyle w:val="tabletext"/>
              <w:spacing w:before="120" w:after="120"/>
              <w:rPr>
                <w:lang w:eastAsia="en-US"/>
              </w:rPr>
            </w:pPr>
            <w:r w:rsidRPr="00AA3F3D">
              <w:rPr>
                <w:lang w:eastAsia="en-US"/>
              </w:rPr>
              <w:t>The controller must notify the depositary of its appointment and if it ceases to act.</w:t>
            </w:r>
          </w:p>
          <w:p w14:paraId="69EC90A4" w14:textId="5B67D35C" w:rsidR="00480660" w:rsidRPr="00AA3F3D" w:rsidRDefault="00480660" w:rsidP="003F7083">
            <w:pPr>
              <w:pStyle w:val="tabletext"/>
              <w:spacing w:before="120" w:after="120"/>
              <w:rPr>
                <w:lang w:eastAsia="en-US"/>
              </w:rPr>
            </w:pPr>
            <w:r w:rsidRPr="00AA3F3D">
              <w:rPr>
                <w:lang w:eastAsia="en-US"/>
              </w:rPr>
              <w:t>The controller’s functions and powers prevail over those of the corporate director.</w:t>
            </w:r>
          </w:p>
          <w:p w14:paraId="446F59D9" w14:textId="3BA69D06" w:rsidR="00480660" w:rsidRPr="00AA3F3D" w:rsidRDefault="00480660" w:rsidP="00AA3F3D">
            <w:pPr>
              <w:rPr>
                <w:i/>
                <w:sz w:val="20"/>
              </w:rPr>
            </w:pPr>
            <w:r w:rsidRPr="00AA3F3D">
              <w:rPr>
                <w:i/>
                <w:sz w:val="20"/>
              </w:rPr>
              <w:t>Dealing with assets</w:t>
            </w:r>
          </w:p>
          <w:p w14:paraId="1FCE8C72" w14:textId="5718AF30" w:rsidR="00480660" w:rsidRPr="00AA3F3D" w:rsidRDefault="00480660" w:rsidP="003F7083">
            <w:pPr>
              <w:pStyle w:val="tabletext"/>
              <w:spacing w:before="120" w:after="120"/>
              <w:rPr>
                <w:lang w:eastAsia="en-US"/>
              </w:rPr>
            </w:pPr>
            <w:r w:rsidRPr="00AA3F3D">
              <w:rPr>
                <w:lang w:eastAsia="en-US"/>
              </w:rPr>
              <w:t xml:space="preserve">Receivers may instruct the depositary in relation to dealing with assets of the sub-fund </w:t>
            </w:r>
            <w:r w:rsidR="0030459F">
              <w:rPr>
                <w:lang w:eastAsia="en-US"/>
              </w:rPr>
              <w:t>in receivership</w:t>
            </w:r>
            <w:r w:rsidRPr="00AA3F3D">
              <w:rPr>
                <w:lang w:eastAsia="en-US"/>
              </w:rPr>
              <w:t xml:space="preserve">. </w:t>
            </w:r>
          </w:p>
          <w:p w14:paraId="5AD55023" w14:textId="77777777" w:rsidR="00480660" w:rsidRPr="00AA3F3D" w:rsidRDefault="00480660" w:rsidP="003F7083">
            <w:pPr>
              <w:pStyle w:val="tabletext"/>
              <w:spacing w:before="120" w:after="120"/>
              <w:rPr>
                <w:lang w:eastAsia="en-US"/>
              </w:rPr>
            </w:pPr>
            <w:r w:rsidRPr="00AA3F3D">
              <w:rPr>
                <w:lang w:eastAsia="en-US"/>
              </w:rPr>
              <w:t>Receivers and other controllers may challenge an allocation determination before the Court.</w:t>
            </w:r>
          </w:p>
          <w:p w14:paraId="12A45D1D" w14:textId="64A93FD1" w:rsidR="00C84010" w:rsidRPr="00AA3F3D" w:rsidRDefault="00480660" w:rsidP="003F7083">
            <w:pPr>
              <w:pStyle w:val="tabletext"/>
              <w:spacing w:before="120" w:after="120"/>
              <w:rPr>
                <w:lang w:eastAsia="en-US"/>
              </w:rPr>
            </w:pPr>
            <w:r w:rsidRPr="00AA3F3D">
              <w:rPr>
                <w:lang w:eastAsia="en-US"/>
              </w:rPr>
              <w:t xml:space="preserve">The controller may inspect the allocation register and any other books of the CCIV to the extent that inspection is necessary </w:t>
            </w:r>
            <w:r w:rsidR="005110DF" w:rsidRPr="00AA3F3D">
              <w:rPr>
                <w:lang w:eastAsia="en-US"/>
              </w:rPr>
              <w:t>to attain the objectives for which the controller was appointed.</w:t>
            </w:r>
          </w:p>
        </w:tc>
        <w:tc>
          <w:tcPr>
            <w:tcW w:w="3276" w:type="dxa"/>
          </w:tcPr>
          <w:p w14:paraId="4694DB14" w14:textId="77777777" w:rsidR="00C84010" w:rsidRPr="00AA3F3D" w:rsidRDefault="00C84010" w:rsidP="003A5672">
            <w:pPr>
              <w:pStyle w:val="tabletext"/>
              <w:rPr>
                <w:lang w:eastAsia="en-US"/>
              </w:rPr>
            </w:pPr>
          </w:p>
        </w:tc>
      </w:tr>
      <w:tr w:rsidR="00C84010" w:rsidRPr="004666B8" w14:paraId="244E900A" w14:textId="77777777" w:rsidTr="003A5672">
        <w:tc>
          <w:tcPr>
            <w:tcW w:w="3275" w:type="dxa"/>
          </w:tcPr>
          <w:p w14:paraId="135AA351" w14:textId="5BE2F5A1" w:rsidR="005110DF" w:rsidRPr="00AA3F3D" w:rsidRDefault="005110DF" w:rsidP="003F7083">
            <w:pPr>
              <w:pStyle w:val="tabletext"/>
              <w:spacing w:before="120" w:after="120"/>
              <w:rPr>
                <w:b/>
                <w:lang w:eastAsia="en-US"/>
              </w:rPr>
            </w:pPr>
            <w:r w:rsidRPr="00AA3F3D">
              <w:rPr>
                <w:b/>
                <w:lang w:eastAsia="en-US"/>
              </w:rPr>
              <w:t>Winding up of sub-funds</w:t>
            </w:r>
          </w:p>
          <w:p w14:paraId="4034E753" w14:textId="4A7951C1" w:rsidR="00C84010" w:rsidRPr="00AA3F3D" w:rsidRDefault="005110DF" w:rsidP="003F7083">
            <w:pPr>
              <w:pStyle w:val="tabletext"/>
              <w:spacing w:before="120" w:after="120"/>
              <w:rPr>
                <w:lang w:eastAsia="en-US"/>
              </w:rPr>
            </w:pPr>
            <w:r w:rsidRPr="00AA3F3D">
              <w:rPr>
                <w:lang w:eastAsia="en-US"/>
              </w:rPr>
              <w:t>The general translation rules apply to the winding up provisions</w:t>
            </w:r>
            <w:r w:rsidR="00781592" w:rsidRPr="00AA3F3D">
              <w:rPr>
                <w:lang w:eastAsia="en-US"/>
              </w:rPr>
              <w:t xml:space="preserve"> in </w:t>
            </w:r>
            <w:r w:rsidR="00781592" w:rsidRPr="00AA3F3D">
              <w:rPr>
                <w:rStyle w:val="Referencingstyle"/>
                <w:b w:val="0"/>
                <w:i w:val="0"/>
                <w:sz w:val="20"/>
              </w:rPr>
              <w:t>Parts 5.4 to 5.6, Divisions 2 and 2A of Part 5.7B and Schedule 2 to the Act</w:t>
            </w:r>
            <w:r w:rsidR="00781592" w:rsidRPr="00AA3F3D">
              <w:rPr>
                <w:lang w:eastAsia="en-US"/>
              </w:rPr>
              <w:t xml:space="preserve"> (and related provisions)</w:t>
            </w:r>
            <w:r w:rsidRPr="00AA3F3D">
              <w:rPr>
                <w:lang w:eastAsia="en-US"/>
              </w:rPr>
              <w:t>.</w:t>
            </w:r>
          </w:p>
          <w:p w14:paraId="481ED633" w14:textId="77777777" w:rsidR="009036A0" w:rsidRPr="00AA3F3D" w:rsidRDefault="009036A0" w:rsidP="00AA3F3D">
            <w:pPr>
              <w:rPr>
                <w:i/>
                <w:sz w:val="20"/>
              </w:rPr>
            </w:pPr>
            <w:r w:rsidRPr="00AA3F3D">
              <w:rPr>
                <w:i/>
                <w:sz w:val="20"/>
              </w:rPr>
              <w:t>Statutory demands</w:t>
            </w:r>
          </w:p>
          <w:p w14:paraId="1EF5651D" w14:textId="77777777" w:rsidR="009036A0" w:rsidRPr="00AA3F3D" w:rsidRDefault="009036A0" w:rsidP="003F7083">
            <w:pPr>
              <w:pStyle w:val="tabletext"/>
              <w:spacing w:before="120" w:after="120"/>
              <w:rPr>
                <w:lang w:eastAsia="en-US"/>
              </w:rPr>
            </w:pPr>
            <w:r w:rsidRPr="00AA3F3D">
              <w:rPr>
                <w:lang w:eastAsia="en-US"/>
              </w:rPr>
              <w:t>A statutory demand served on a CCIV must specify the name of the sub-funds of the CCIV to which the debt relates and the proportion of the debt that relates to each sub-fund.</w:t>
            </w:r>
          </w:p>
          <w:p w14:paraId="290876CD" w14:textId="77777777" w:rsidR="009036A0" w:rsidRPr="00AA3F3D" w:rsidRDefault="009036A0" w:rsidP="003F7083">
            <w:pPr>
              <w:pStyle w:val="tabletext"/>
              <w:spacing w:before="120" w:after="120"/>
              <w:rPr>
                <w:lang w:eastAsia="en-US"/>
              </w:rPr>
            </w:pPr>
            <w:r w:rsidRPr="00AA3F3D">
              <w:rPr>
                <w:lang w:eastAsia="en-US"/>
              </w:rPr>
              <w:t>A creditor may seek information about the name of the sub-funds and the proportion of the debt allocated to each sub-fund from the corporate director.</w:t>
            </w:r>
          </w:p>
          <w:p w14:paraId="5208515F" w14:textId="1652486B" w:rsidR="009036A0" w:rsidRPr="00AA3F3D" w:rsidRDefault="009036A0" w:rsidP="003F7083">
            <w:pPr>
              <w:pStyle w:val="tabletext"/>
              <w:spacing w:before="120" w:after="120"/>
              <w:rPr>
                <w:lang w:eastAsia="en-US"/>
              </w:rPr>
            </w:pPr>
            <w:r w:rsidRPr="00AA3F3D">
              <w:rPr>
                <w:lang w:eastAsia="en-US"/>
              </w:rPr>
              <w:t xml:space="preserve">A CCIV may </w:t>
            </w:r>
            <w:r w:rsidR="00CB5682" w:rsidRPr="00AA3F3D">
              <w:rPr>
                <w:lang w:eastAsia="en-US"/>
              </w:rPr>
              <w:t>dispute</w:t>
            </w:r>
          </w:p>
          <w:p w14:paraId="120C8807" w14:textId="046663FD" w:rsidR="009036A0" w:rsidRPr="00AA3F3D" w:rsidRDefault="009036A0" w:rsidP="003F7083">
            <w:pPr>
              <w:pStyle w:val="tabledotpoint"/>
              <w:spacing w:before="120" w:after="120"/>
              <w:rPr>
                <w:b/>
                <w:i/>
                <w:lang w:eastAsia="en-US"/>
              </w:rPr>
            </w:pPr>
            <w:r w:rsidRPr="00AA3F3D">
              <w:rPr>
                <w:lang w:eastAsia="en-US"/>
              </w:rPr>
              <w:t xml:space="preserve">the identity of the sub-funds or the proportion of the debt; </w:t>
            </w:r>
            <w:r w:rsidR="0030459F">
              <w:rPr>
                <w:lang w:eastAsia="en-US"/>
              </w:rPr>
              <w:t>or</w:t>
            </w:r>
          </w:p>
          <w:p w14:paraId="2DE4F6F1" w14:textId="3758944D" w:rsidR="009036A0" w:rsidRPr="00AA3F3D" w:rsidRDefault="009036A0" w:rsidP="003F7083">
            <w:pPr>
              <w:pStyle w:val="tabledotpoint"/>
              <w:spacing w:before="120" w:after="120"/>
              <w:rPr>
                <w:b/>
                <w:i/>
                <w:lang w:eastAsia="en-US"/>
              </w:rPr>
            </w:pPr>
            <w:r w:rsidRPr="00AA3F3D">
              <w:rPr>
                <w:lang w:eastAsia="en-US"/>
              </w:rPr>
              <w:t>the amount or existence of the debt.</w:t>
            </w:r>
          </w:p>
          <w:p w14:paraId="06F5116D" w14:textId="52DCEA53" w:rsidR="0078216C" w:rsidRPr="00AA3F3D" w:rsidRDefault="00CB5682" w:rsidP="003F7083">
            <w:pPr>
              <w:pStyle w:val="tabledotpoint"/>
              <w:numPr>
                <w:ilvl w:val="0"/>
                <w:numId w:val="0"/>
              </w:numPr>
              <w:spacing w:before="120" w:after="120"/>
              <w:rPr>
                <w:lang w:eastAsia="en-US"/>
              </w:rPr>
            </w:pPr>
            <w:r w:rsidRPr="00AA3F3D">
              <w:rPr>
                <w:lang w:eastAsia="en-US"/>
              </w:rPr>
              <w:t xml:space="preserve">If the statutory demand fails to identify the correct sub-fund or the correct proportion, the Court may make an order varying the statutory demand. </w:t>
            </w:r>
          </w:p>
          <w:p w14:paraId="1DDFFE35" w14:textId="77777777" w:rsidR="0078216C" w:rsidRPr="00AA3F3D" w:rsidRDefault="0078216C" w:rsidP="00AA3F3D">
            <w:pPr>
              <w:rPr>
                <w:i/>
                <w:sz w:val="20"/>
              </w:rPr>
            </w:pPr>
            <w:r w:rsidRPr="00AA3F3D">
              <w:rPr>
                <w:i/>
                <w:sz w:val="20"/>
              </w:rPr>
              <w:t>Applications to wind up a sub-fund</w:t>
            </w:r>
          </w:p>
          <w:p w14:paraId="7A2BF49E" w14:textId="77777777" w:rsidR="0078216C" w:rsidRPr="00AA3F3D" w:rsidRDefault="0078216C" w:rsidP="003F7083">
            <w:pPr>
              <w:pStyle w:val="tabledotpoint"/>
              <w:numPr>
                <w:ilvl w:val="0"/>
                <w:numId w:val="0"/>
              </w:numPr>
              <w:spacing w:before="120" w:after="120"/>
              <w:rPr>
                <w:lang w:eastAsia="en-US"/>
              </w:rPr>
            </w:pPr>
            <w:r w:rsidRPr="00AA3F3D">
              <w:rPr>
                <w:lang w:eastAsia="en-US"/>
              </w:rPr>
              <w:t>An application to wind up a sub-fund in insolvency must specify the sub-fund.</w:t>
            </w:r>
          </w:p>
          <w:p w14:paraId="5AC43AB7" w14:textId="442D005B" w:rsidR="00CB5682" w:rsidRPr="00AA3F3D" w:rsidRDefault="00CB5682" w:rsidP="003F7083">
            <w:pPr>
              <w:pStyle w:val="tabledotpoint"/>
              <w:numPr>
                <w:ilvl w:val="0"/>
                <w:numId w:val="0"/>
              </w:numPr>
              <w:spacing w:before="120" w:after="120"/>
              <w:rPr>
                <w:lang w:eastAsia="en-US"/>
              </w:rPr>
            </w:pPr>
            <w:r w:rsidRPr="00AA3F3D">
              <w:rPr>
                <w:lang w:eastAsia="en-US"/>
              </w:rPr>
              <w:t>The CCIV</w:t>
            </w:r>
            <w:r w:rsidR="000B4F53" w:rsidRPr="00AA3F3D">
              <w:rPr>
                <w:lang w:eastAsia="en-US"/>
              </w:rPr>
              <w:t xml:space="preserve"> may dispute the name of the sub-fund if the application does not rely on a failure to comply with a statutory demand. </w:t>
            </w:r>
            <w:r w:rsidR="0030459F">
              <w:rPr>
                <w:lang w:eastAsia="en-US"/>
              </w:rPr>
              <w:t>If the Court accepts the CCIV’s submissions, t</w:t>
            </w:r>
            <w:r w:rsidR="0030459F" w:rsidRPr="00AA3F3D">
              <w:rPr>
                <w:lang w:eastAsia="en-US"/>
              </w:rPr>
              <w:t xml:space="preserve">he </w:t>
            </w:r>
            <w:r w:rsidR="000B4F53" w:rsidRPr="00AA3F3D">
              <w:rPr>
                <w:lang w:eastAsia="en-US"/>
              </w:rPr>
              <w:t>Court may substitute the name of the sub-fund on the application.</w:t>
            </w:r>
          </w:p>
          <w:p w14:paraId="5C65A720" w14:textId="77777777" w:rsidR="00BB0763" w:rsidRPr="00AA3F3D" w:rsidRDefault="00BB0763" w:rsidP="00AA3F3D">
            <w:pPr>
              <w:rPr>
                <w:i/>
                <w:sz w:val="20"/>
              </w:rPr>
            </w:pPr>
            <w:r w:rsidRPr="00AA3F3D">
              <w:rPr>
                <w:i/>
                <w:sz w:val="20"/>
              </w:rPr>
              <w:t>Persons prohibited from acting as a liquidator or provisional liquidator</w:t>
            </w:r>
          </w:p>
          <w:p w14:paraId="0BDD9894" w14:textId="35B5FD59" w:rsidR="00C84010" w:rsidRDefault="00BB0763" w:rsidP="003F7083">
            <w:pPr>
              <w:pStyle w:val="tabledotpoint"/>
              <w:numPr>
                <w:ilvl w:val="0"/>
                <w:numId w:val="0"/>
              </w:numPr>
              <w:spacing w:before="120" w:after="120"/>
              <w:rPr>
                <w:lang w:val="en-US" w:eastAsia="en-US"/>
              </w:rPr>
            </w:pPr>
            <w:r w:rsidRPr="00AA3F3D">
              <w:rPr>
                <w:lang w:eastAsia="en-US"/>
              </w:rPr>
              <w:t>The natural person directors of a corporate director and the depositary</w:t>
            </w:r>
            <w:r w:rsidR="000E22E7">
              <w:rPr>
                <w:lang w:eastAsia="en-US"/>
              </w:rPr>
              <w:t xml:space="preserve"> of a CCIV</w:t>
            </w:r>
            <w:r w:rsidRPr="00AA3F3D">
              <w:rPr>
                <w:lang w:eastAsia="en-US"/>
              </w:rPr>
              <w:t xml:space="preserve"> are disqualified from acting as a liquidator or provisional liquidator</w:t>
            </w:r>
            <w:r w:rsidR="000E22E7">
              <w:rPr>
                <w:lang w:eastAsia="en-US"/>
              </w:rPr>
              <w:t xml:space="preserve"> of a sub-fund of the CCIV</w:t>
            </w:r>
            <w:r w:rsidRPr="00AA3F3D">
              <w:rPr>
                <w:lang w:eastAsia="en-US"/>
              </w:rPr>
              <w:t>.</w:t>
            </w:r>
          </w:p>
          <w:p w14:paraId="3DA08AAC" w14:textId="06CE4A97" w:rsidR="00EE4B4B" w:rsidRPr="00AA3F3D" w:rsidRDefault="00EE4B4B" w:rsidP="00AA3F3D">
            <w:pPr>
              <w:rPr>
                <w:i/>
                <w:sz w:val="20"/>
              </w:rPr>
            </w:pPr>
            <w:r w:rsidRPr="00AA3F3D">
              <w:rPr>
                <w:i/>
                <w:sz w:val="20"/>
              </w:rPr>
              <w:t>Powers of liquidator</w:t>
            </w:r>
            <w:r w:rsidR="00725863" w:rsidRPr="00AA3F3D">
              <w:rPr>
                <w:i/>
                <w:sz w:val="20"/>
              </w:rPr>
              <w:t>, corporate director and depositary</w:t>
            </w:r>
          </w:p>
          <w:p w14:paraId="49EA66A5" w14:textId="754A94D9" w:rsidR="00EE4B4B" w:rsidRDefault="00725863" w:rsidP="003F7083">
            <w:pPr>
              <w:pStyle w:val="tabledotpoint"/>
              <w:numPr>
                <w:ilvl w:val="0"/>
                <w:numId w:val="0"/>
              </w:numPr>
              <w:spacing w:before="120" w:after="120"/>
              <w:rPr>
                <w:lang w:val="en-US" w:eastAsia="en-US"/>
              </w:rPr>
            </w:pPr>
            <w:r w:rsidRPr="00AA3F3D">
              <w:rPr>
                <w:lang w:val="en-US" w:eastAsia="en-US"/>
              </w:rPr>
              <w:t>A liquidator</w:t>
            </w:r>
            <w:r>
              <w:rPr>
                <w:lang w:val="en-US" w:eastAsia="en-US"/>
              </w:rPr>
              <w:t xml:space="preserve"> or provisional liquidator may only exercise a power or perform a function to the extent that it relates solely to the carry</w:t>
            </w:r>
            <w:r w:rsidR="00A62684">
              <w:rPr>
                <w:lang w:val="en-US" w:eastAsia="en-US"/>
              </w:rPr>
              <w:t>i</w:t>
            </w:r>
            <w:r>
              <w:rPr>
                <w:lang w:val="en-US" w:eastAsia="en-US"/>
              </w:rPr>
              <w:t>n</w:t>
            </w:r>
            <w:r w:rsidR="00A62684">
              <w:rPr>
                <w:lang w:val="en-US" w:eastAsia="en-US"/>
              </w:rPr>
              <w:t>g</w:t>
            </w:r>
            <w:r>
              <w:rPr>
                <w:lang w:val="en-US" w:eastAsia="en-US"/>
              </w:rPr>
              <w:t xml:space="preserve"> on </w:t>
            </w:r>
            <w:r w:rsidR="00A62684">
              <w:rPr>
                <w:lang w:val="en-US" w:eastAsia="en-US"/>
              </w:rPr>
              <w:t>of</w:t>
            </w:r>
            <w:r>
              <w:rPr>
                <w:lang w:val="en-US" w:eastAsia="en-US"/>
              </w:rPr>
              <w:t xml:space="preserve"> the sub-fund that is being wound up.</w:t>
            </w:r>
          </w:p>
          <w:p w14:paraId="5111D07E" w14:textId="39300D61" w:rsidR="00445AEE" w:rsidRDefault="00725863" w:rsidP="003F7083">
            <w:pPr>
              <w:pStyle w:val="tabledotpoint"/>
              <w:numPr>
                <w:ilvl w:val="0"/>
                <w:numId w:val="0"/>
              </w:numPr>
              <w:spacing w:before="120" w:after="120"/>
              <w:rPr>
                <w:lang w:val="en-US" w:eastAsia="en-US"/>
              </w:rPr>
            </w:pPr>
            <w:r>
              <w:rPr>
                <w:lang w:val="en-US" w:eastAsia="en-US"/>
              </w:rPr>
              <w:t xml:space="preserve">The corporate director remains in office but must not exercise a function or power that relates solely </w:t>
            </w:r>
            <w:r w:rsidR="00A62684">
              <w:rPr>
                <w:lang w:val="en-US" w:eastAsia="en-US"/>
              </w:rPr>
              <w:t>to</w:t>
            </w:r>
            <w:r>
              <w:rPr>
                <w:lang w:val="en-US" w:eastAsia="en-US"/>
              </w:rPr>
              <w:t xml:space="preserve"> the sub-fund that is being wound up.</w:t>
            </w:r>
          </w:p>
          <w:p w14:paraId="39D568E4" w14:textId="77777777" w:rsidR="00725863" w:rsidRDefault="00725863" w:rsidP="003F7083">
            <w:pPr>
              <w:pStyle w:val="tabledotpoint"/>
              <w:numPr>
                <w:ilvl w:val="0"/>
                <w:numId w:val="0"/>
              </w:numPr>
              <w:spacing w:before="120" w:after="120"/>
              <w:rPr>
                <w:lang w:val="en-US" w:eastAsia="en-US"/>
              </w:rPr>
            </w:pPr>
            <w:r>
              <w:rPr>
                <w:lang w:val="en-US" w:eastAsia="en-US"/>
              </w:rPr>
              <w:t>The liquidator does not have the power to determine the proportion of assets and liabilities that are allocated to each sub-fund but it may:</w:t>
            </w:r>
          </w:p>
          <w:p w14:paraId="0D3461FD" w14:textId="77777777" w:rsidR="00725863" w:rsidRDefault="00725863" w:rsidP="003F7083">
            <w:pPr>
              <w:pStyle w:val="tabledotpoint"/>
              <w:spacing w:before="120" w:after="120"/>
              <w:rPr>
                <w:lang w:val="en-US" w:eastAsia="en-US"/>
              </w:rPr>
            </w:pPr>
            <w:r>
              <w:rPr>
                <w:lang w:val="en-US" w:eastAsia="en-US"/>
              </w:rPr>
              <w:t>direct the corporate director to make an allocation determination; or</w:t>
            </w:r>
          </w:p>
          <w:p w14:paraId="55D5280E" w14:textId="77777777" w:rsidR="00725863" w:rsidRDefault="00725863" w:rsidP="003F7083">
            <w:pPr>
              <w:pStyle w:val="tabledotpoint"/>
              <w:spacing w:before="120" w:after="120"/>
              <w:rPr>
                <w:lang w:val="en-US" w:eastAsia="en-US"/>
              </w:rPr>
            </w:pPr>
            <w:r>
              <w:rPr>
                <w:lang w:val="en-US" w:eastAsia="en-US"/>
              </w:rPr>
              <w:t xml:space="preserve">challenge an allocation determination before the Court. </w:t>
            </w:r>
          </w:p>
          <w:p w14:paraId="653B37C4" w14:textId="1E521535" w:rsidR="00274D33" w:rsidRDefault="00274D33" w:rsidP="003F7083">
            <w:pPr>
              <w:pStyle w:val="tabledotpoint"/>
              <w:numPr>
                <w:ilvl w:val="0"/>
                <w:numId w:val="0"/>
              </w:numPr>
              <w:spacing w:before="120" w:after="120"/>
              <w:rPr>
                <w:lang w:val="en-US" w:eastAsia="en-US"/>
              </w:rPr>
            </w:pPr>
            <w:r>
              <w:rPr>
                <w:lang w:val="en-US" w:eastAsia="en-US"/>
              </w:rPr>
              <w:t>The liquidator has the power to instruct the depositary about the assets of the sub-fund that is being wound up. The liquidator may also seek reasonable assistance from the depositary.</w:t>
            </w:r>
          </w:p>
          <w:p w14:paraId="2FA96580" w14:textId="77777777" w:rsidR="00274D33" w:rsidRPr="00AA3F3D" w:rsidRDefault="00274D33" w:rsidP="00AA3F3D">
            <w:pPr>
              <w:rPr>
                <w:i/>
                <w:sz w:val="20"/>
              </w:rPr>
            </w:pPr>
            <w:r w:rsidRPr="00AA3F3D">
              <w:rPr>
                <w:i/>
                <w:sz w:val="20"/>
              </w:rPr>
              <w:t>Auditor’s functions</w:t>
            </w:r>
          </w:p>
          <w:p w14:paraId="46898F00" w14:textId="4E356B69" w:rsidR="00274D33" w:rsidRDefault="00274D33" w:rsidP="003F7083">
            <w:pPr>
              <w:pStyle w:val="tabledotpoint"/>
              <w:numPr>
                <w:ilvl w:val="0"/>
                <w:numId w:val="0"/>
              </w:numPr>
              <w:spacing w:before="120" w:after="120"/>
            </w:pPr>
            <w:r>
              <w:t>An auditor does not need to undertake any audit activities for the sub</w:t>
            </w:r>
            <w:r>
              <w:noBreakHyphen/>
              <w:t xml:space="preserve">fund that is </w:t>
            </w:r>
            <w:r w:rsidR="00A62684">
              <w:t>being</w:t>
            </w:r>
            <w:r>
              <w:t xml:space="preserve"> w</w:t>
            </w:r>
            <w:r w:rsidR="00A62684">
              <w:t>ou</w:t>
            </w:r>
            <w:r>
              <w:t>nd up.</w:t>
            </w:r>
          </w:p>
          <w:p w14:paraId="54FBE6C5" w14:textId="77777777" w:rsidR="00037622" w:rsidRDefault="00037622" w:rsidP="00037622">
            <w:pPr>
              <w:rPr>
                <w:i/>
                <w:sz w:val="20"/>
              </w:rPr>
            </w:pPr>
            <w:r>
              <w:rPr>
                <w:i/>
                <w:sz w:val="20"/>
              </w:rPr>
              <w:t>Books</w:t>
            </w:r>
          </w:p>
          <w:p w14:paraId="5ED10216" w14:textId="72668BFC" w:rsidR="00037622" w:rsidRDefault="00037622" w:rsidP="00037622">
            <w:pPr>
              <w:rPr>
                <w:sz w:val="20"/>
              </w:rPr>
            </w:pPr>
            <w:r>
              <w:rPr>
                <w:sz w:val="20"/>
              </w:rPr>
              <w:t>The corporate director must deliver to the liquidator all books relating solely to the sub</w:t>
            </w:r>
            <w:r>
              <w:rPr>
                <w:sz w:val="20"/>
              </w:rPr>
              <w:noBreakHyphen/>
              <w:t xml:space="preserve">fund being wound up. </w:t>
            </w:r>
          </w:p>
          <w:p w14:paraId="4D161F9B" w14:textId="4DCD72A4" w:rsidR="008D1C1F" w:rsidRDefault="00037622" w:rsidP="003F7083">
            <w:pPr>
              <w:pStyle w:val="tabledotpoint"/>
              <w:numPr>
                <w:ilvl w:val="0"/>
                <w:numId w:val="0"/>
              </w:numPr>
              <w:spacing w:before="120" w:after="120"/>
            </w:pPr>
            <w:r>
              <w:t>The corporate director may inspect the books held by the liquidator, and the liquidator may inspect the books held by the corporate director or the depositary (to the extent that the books are necessary for the person to perform their functions).</w:t>
            </w:r>
          </w:p>
          <w:p w14:paraId="2B36E36B" w14:textId="642DBD9D" w:rsidR="00AA3F3D" w:rsidRDefault="008D1C1F" w:rsidP="003F7083">
            <w:pPr>
              <w:pStyle w:val="tabledotpoint"/>
              <w:numPr>
                <w:ilvl w:val="0"/>
                <w:numId w:val="0"/>
              </w:numPr>
              <w:spacing w:before="120" w:after="120"/>
              <w:rPr>
                <w:lang w:val="en-US" w:eastAsia="en-US"/>
              </w:rPr>
            </w:pPr>
            <w:r>
              <w:rPr>
                <w:lang w:val="en-US" w:eastAsia="en-US"/>
              </w:rPr>
              <w:t>A liquidator, provisional liquidator or ASIC may apply to the Court for a search and inspection</w:t>
            </w:r>
            <w:r w:rsidR="00A62684">
              <w:rPr>
                <w:lang w:val="en-US" w:eastAsia="en-US"/>
              </w:rPr>
              <w:t xml:space="preserve"> for any books of the CCIV</w:t>
            </w:r>
            <w:r>
              <w:rPr>
                <w:lang w:val="en-US" w:eastAsia="en-US"/>
              </w:rPr>
              <w:t xml:space="preserve"> They may also apply for a search and seizure warrant for books of the CCIV that relate solely to the sub-fund that is being wound up.</w:t>
            </w:r>
          </w:p>
          <w:p w14:paraId="44546395" w14:textId="77777777" w:rsidR="00445AEE" w:rsidRDefault="00445AEE" w:rsidP="003F7083">
            <w:pPr>
              <w:pStyle w:val="tabledotpoint"/>
              <w:numPr>
                <w:ilvl w:val="0"/>
                <w:numId w:val="0"/>
              </w:numPr>
              <w:spacing w:before="120" w:after="120"/>
              <w:rPr>
                <w:i/>
                <w:lang w:val="en-US" w:eastAsia="en-US"/>
              </w:rPr>
            </w:pPr>
            <w:r>
              <w:rPr>
                <w:i/>
                <w:lang w:val="en-US" w:eastAsia="en-US"/>
              </w:rPr>
              <w:t>Proof and ranking of claims</w:t>
            </w:r>
          </w:p>
          <w:p w14:paraId="222F6BDB" w14:textId="287A6E6A" w:rsidR="00445AEE" w:rsidRDefault="00445AEE" w:rsidP="003F7083">
            <w:pPr>
              <w:pStyle w:val="tabledotpoint"/>
              <w:numPr>
                <w:ilvl w:val="0"/>
                <w:numId w:val="0"/>
              </w:numPr>
              <w:spacing w:before="120" w:after="120"/>
              <w:rPr>
                <w:lang w:val="en-US" w:eastAsia="en-US"/>
              </w:rPr>
            </w:pPr>
            <w:r>
              <w:rPr>
                <w:lang w:val="en-US" w:eastAsia="en-US"/>
              </w:rPr>
              <w:t xml:space="preserve">The liquidator must consider whether a debt or claim submitted to it is a liability of the sub-fund. </w:t>
            </w:r>
          </w:p>
          <w:p w14:paraId="5CC10F32" w14:textId="77777777" w:rsidR="00445AEE" w:rsidRDefault="00445AEE" w:rsidP="003F7083">
            <w:pPr>
              <w:pStyle w:val="tabledotpoint"/>
              <w:numPr>
                <w:ilvl w:val="0"/>
                <w:numId w:val="0"/>
              </w:numPr>
              <w:spacing w:before="120" w:after="120"/>
              <w:rPr>
                <w:lang w:val="en-US" w:eastAsia="en-US"/>
              </w:rPr>
            </w:pPr>
            <w:r>
              <w:rPr>
                <w:lang w:val="en-US" w:eastAsia="en-US"/>
              </w:rPr>
              <w:t xml:space="preserve">If the debt is not a liability of the sub-fund, the debt is not admissible to proof. </w:t>
            </w:r>
          </w:p>
          <w:p w14:paraId="7689DF71" w14:textId="7570D2F1" w:rsidR="00445AEE" w:rsidRDefault="00445AEE" w:rsidP="003F7083">
            <w:pPr>
              <w:pStyle w:val="tabledotpoint"/>
              <w:numPr>
                <w:ilvl w:val="0"/>
                <w:numId w:val="0"/>
              </w:numPr>
              <w:spacing w:before="120" w:after="120"/>
              <w:rPr>
                <w:lang w:val="en-US" w:eastAsia="en-US"/>
              </w:rPr>
            </w:pPr>
            <w:r>
              <w:rPr>
                <w:lang w:val="en-US" w:eastAsia="en-US"/>
              </w:rPr>
              <w:t>If the debt is a liability of the sub-fund, the liquidator must determine the value of the debt or refer the question to the Court.</w:t>
            </w:r>
          </w:p>
          <w:p w14:paraId="52232795" w14:textId="77777777" w:rsidR="005021E2" w:rsidRDefault="005021E2" w:rsidP="003F7083">
            <w:pPr>
              <w:pStyle w:val="tabledotpoint"/>
              <w:numPr>
                <w:ilvl w:val="0"/>
                <w:numId w:val="0"/>
              </w:numPr>
              <w:spacing w:before="120" w:after="120"/>
              <w:rPr>
                <w:i/>
                <w:lang w:val="en-US" w:eastAsia="en-US"/>
              </w:rPr>
            </w:pPr>
            <w:r>
              <w:rPr>
                <w:i/>
                <w:lang w:val="en-US" w:eastAsia="en-US"/>
              </w:rPr>
              <w:t>Voidable transactions</w:t>
            </w:r>
          </w:p>
          <w:p w14:paraId="29B256A6" w14:textId="0B6B0315" w:rsidR="005021E2" w:rsidRPr="003F7083" w:rsidRDefault="005021E2" w:rsidP="003F7083">
            <w:pPr>
              <w:pStyle w:val="tabledotpoint"/>
              <w:numPr>
                <w:ilvl w:val="0"/>
                <w:numId w:val="0"/>
              </w:numPr>
              <w:spacing w:before="120" w:after="120"/>
              <w:rPr>
                <w:lang w:val="en-US" w:eastAsia="en-US"/>
              </w:rPr>
            </w:pPr>
            <w:r>
              <w:rPr>
                <w:lang w:val="en-US" w:eastAsia="en-US"/>
              </w:rPr>
              <w:t>‘Unreasonable director-related transactions’ include certain payments, dispositions and issues made to either the corporate director or a natural person director. These transactions are voidable.</w:t>
            </w:r>
          </w:p>
          <w:p w14:paraId="75E33223" w14:textId="77777777" w:rsidR="005021E2" w:rsidRDefault="005021E2" w:rsidP="003F7083">
            <w:pPr>
              <w:pStyle w:val="tabledotpoint"/>
              <w:numPr>
                <w:ilvl w:val="0"/>
                <w:numId w:val="0"/>
              </w:numPr>
              <w:spacing w:before="120" w:after="120"/>
              <w:rPr>
                <w:i/>
                <w:lang w:val="en-US" w:eastAsia="en-US"/>
              </w:rPr>
            </w:pPr>
            <w:r>
              <w:rPr>
                <w:i/>
                <w:lang w:val="en-US" w:eastAsia="en-US"/>
              </w:rPr>
              <w:t>Operating a CCIV while disqualified</w:t>
            </w:r>
          </w:p>
          <w:p w14:paraId="02778461" w14:textId="1E3AD5A7" w:rsidR="005021E2" w:rsidRPr="003F7083" w:rsidRDefault="005021E2" w:rsidP="003F7083">
            <w:pPr>
              <w:pStyle w:val="tabledotpoint"/>
              <w:numPr>
                <w:ilvl w:val="0"/>
                <w:numId w:val="0"/>
              </w:numPr>
              <w:spacing w:before="120" w:after="120"/>
              <w:rPr>
                <w:i/>
                <w:lang w:val="en-US" w:eastAsia="en-US"/>
              </w:rPr>
            </w:pPr>
            <w:r>
              <w:rPr>
                <w:lang w:val="en-US" w:eastAsia="en-US"/>
              </w:rPr>
              <w:t>A person who operates a CCIV while a sub-fund is being wound up or within four years of the date that sub-fund enters into winding up may be personally liable for the sub-fund’s debts.</w:t>
            </w:r>
          </w:p>
        </w:tc>
        <w:tc>
          <w:tcPr>
            <w:tcW w:w="3276" w:type="dxa"/>
          </w:tcPr>
          <w:p w14:paraId="3E1E1D15" w14:textId="0D448B5A" w:rsidR="00C84010" w:rsidRPr="00AA3F3D" w:rsidRDefault="000B4F53" w:rsidP="003A5672">
            <w:pPr>
              <w:pStyle w:val="tabletext"/>
              <w:rPr>
                <w:lang w:eastAsia="en-US"/>
              </w:rPr>
            </w:pPr>
            <w:r w:rsidRPr="00AA3F3D">
              <w:rPr>
                <w:lang w:eastAsia="en-US"/>
              </w:rPr>
              <w:t>No equivalent.</w:t>
            </w:r>
          </w:p>
        </w:tc>
      </w:tr>
      <w:tr w:rsidR="009472C4" w:rsidRPr="004666B8" w14:paraId="7DA5B319" w14:textId="77777777" w:rsidTr="003A5672">
        <w:tc>
          <w:tcPr>
            <w:tcW w:w="3275" w:type="dxa"/>
          </w:tcPr>
          <w:p w14:paraId="3B7258A0" w14:textId="12983966" w:rsidR="009472C4" w:rsidRPr="00AA3F3D" w:rsidRDefault="009472C4" w:rsidP="003F7083">
            <w:pPr>
              <w:pStyle w:val="tabletext"/>
              <w:spacing w:before="120" w:after="120"/>
              <w:rPr>
                <w:b/>
                <w:lang w:eastAsia="en-US"/>
              </w:rPr>
            </w:pPr>
            <w:r>
              <w:rPr>
                <w:b/>
                <w:lang w:eastAsia="en-US"/>
              </w:rPr>
              <w:t>Property recovery provisions</w:t>
            </w:r>
          </w:p>
          <w:p w14:paraId="61D1FC66" w14:textId="17683A57" w:rsidR="009472C4" w:rsidRPr="00AA3F3D" w:rsidRDefault="00970F1D" w:rsidP="003F7083">
            <w:pPr>
              <w:pStyle w:val="tabletext"/>
              <w:spacing w:before="120" w:after="120"/>
              <w:rPr>
                <w:b/>
                <w:lang w:eastAsia="en-US"/>
              </w:rPr>
            </w:pPr>
            <w:r>
              <w:rPr>
                <w:lang w:eastAsia="en-US"/>
              </w:rPr>
              <w:t xml:space="preserve">The translation rules apply to the </w:t>
            </w:r>
            <w:r w:rsidRPr="00AA3F3D">
              <w:rPr>
                <w:lang w:eastAsia="en-US"/>
              </w:rPr>
              <w:t>provisions relating to recovery of property and insolvent trading</w:t>
            </w:r>
            <w:r>
              <w:rPr>
                <w:lang w:eastAsia="en-US"/>
              </w:rPr>
              <w:t xml:space="preserve"> in Divisions 3, 4, 5 and 6 of Part 5.7B. However, t</w:t>
            </w:r>
            <w:r w:rsidR="009472C4" w:rsidRPr="00AA3F3D">
              <w:rPr>
                <w:lang w:eastAsia="en-US"/>
              </w:rPr>
              <w:t xml:space="preserve">he second and third translation rules are modified </w:t>
            </w:r>
            <w:r>
              <w:rPr>
                <w:lang w:eastAsia="en-US"/>
              </w:rPr>
              <w:t>to</w:t>
            </w:r>
            <w:r w:rsidR="009472C4" w:rsidRPr="00AA3F3D">
              <w:rPr>
                <w:lang w:eastAsia="en-US"/>
              </w:rPr>
              <w:t xml:space="preserve"> ensure that the natural person directors (rather than the </w:t>
            </w:r>
            <w:r>
              <w:rPr>
                <w:lang w:eastAsia="en-US"/>
              </w:rPr>
              <w:t>corporate director) owe the duty to prevent insolvent trading</w:t>
            </w:r>
            <w:r w:rsidR="009472C4" w:rsidRPr="00AA3F3D">
              <w:rPr>
                <w:lang w:eastAsia="en-US"/>
              </w:rPr>
              <w:t xml:space="preserve">. </w:t>
            </w:r>
          </w:p>
        </w:tc>
        <w:tc>
          <w:tcPr>
            <w:tcW w:w="3276" w:type="dxa"/>
          </w:tcPr>
          <w:p w14:paraId="4FCCC4C6" w14:textId="77777777" w:rsidR="009472C4" w:rsidRPr="00AA3F3D" w:rsidRDefault="009472C4" w:rsidP="003A5672">
            <w:pPr>
              <w:pStyle w:val="tabletext"/>
              <w:rPr>
                <w:lang w:eastAsia="en-US"/>
              </w:rPr>
            </w:pPr>
          </w:p>
        </w:tc>
      </w:tr>
      <w:tr w:rsidR="0002555E" w:rsidRPr="004666B8" w14:paraId="22CE8349" w14:textId="77777777" w:rsidTr="003A5672">
        <w:tc>
          <w:tcPr>
            <w:tcW w:w="3275" w:type="dxa"/>
          </w:tcPr>
          <w:p w14:paraId="65C4825C" w14:textId="732382AE" w:rsidR="0002555E" w:rsidRDefault="0002555E">
            <w:pPr>
              <w:pStyle w:val="tabletext"/>
              <w:spacing w:before="120" w:after="120"/>
              <w:rPr>
                <w:b/>
                <w:lang w:eastAsia="en-US"/>
              </w:rPr>
            </w:pPr>
            <w:r w:rsidRPr="003F7083">
              <w:rPr>
                <w:b/>
                <w:lang w:eastAsia="en-US"/>
              </w:rPr>
              <w:t xml:space="preserve">Offence </w:t>
            </w:r>
            <w:r>
              <w:rPr>
                <w:b/>
                <w:lang w:eastAsia="en-US"/>
              </w:rPr>
              <w:t xml:space="preserve">and miscellaneous </w:t>
            </w:r>
            <w:r w:rsidRPr="003F7083">
              <w:rPr>
                <w:b/>
                <w:lang w:eastAsia="en-US"/>
              </w:rPr>
              <w:t>provisions</w:t>
            </w:r>
          </w:p>
          <w:p w14:paraId="6E2D0A5D" w14:textId="77777777" w:rsidR="0002555E" w:rsidRDefault="0002555E">
            <w:pPr>
              <w:pStyle w:val="tabletext"/>
              <w:spacing w:before="120" w:after="120"/>
              <w:rPr>
                <w:lang w:eastAsia="en-US"/>
              </w:rPr>
            </w:pPr>
            <w:r w:rsidRPr="003F7083">
              <w:rPr>
                <w:lang w:eastAsia="en-US"/>
              </w:rPr>
              <w:t>The general translation rules apply to the external administration offences in Part 5.8</w:t>
            </w:r>
            <w:r>
              <w:rPr>
                <w:lang w:eastAsia="en-US"/>
              </w:rPr>
              <w:t xml:space="preserve"> and the miscellaneous provisions in Part 5.9</w:t>
            </w:r>
            <w:r w:rsidRPr="003F7083">
              <w:rPr>
                <w:lang w:eastAsia="en-US"/>
              </w:rPr>
              <w:t>.</w:t>
            </w:r>
          </w:p>
          <w:p w14:paraId="2DCD9B3E" w14:textId="130F7777" w:rsidR="0002555E" w:rsidRPr="003F7083" w:rsidRDefault="0002555E">
            <w:pPr>
              <w:pStyle w:val="tabletext"/>
              <w:spacing w:before="120" w:after="120"/>
              <w:rPr>
                <w:lang w:eastAsia="en-US"/>
              </w:rPr>
            </w:pPr>
            <w:r>
              <w:rPr>
                <w:lang w:eastAsia="en-US"/>
              </w:rPr>
              <w:t>The offence for fraud by officers (existing section 596) and the Court’s power to summons a person for mandatory examination (existing section 596A) also apply to the natural person directors of the corporate director.</w:t>
            </w:r>
          </w:p>
        </w:tc>
        <w:tc>
          <w:tcPr>
            <w:tcW w:w="3276" w:type="dxa"/>
          </w:tcPr>
          <w:p w14:paraId="43C9765C" w14:textId="77777777" w:rsidR="0002555E" w:rsidRPr="00AA3F3D" w:rsidRDefault="0002555E" w:rsidP="003A5672">
            <w:pPr>
              <w:pStyle w:val="tabletext"/>
              <w:rPr>
                <w:lang w:eastAsia="en-US"/>
              </w:rPr>
            </w:pPr>
          </w:p>
        </w:tc>
      </w:tr>
    </w:tbl>
    <w:p w14:paraId="7F53204C" w14:textId="77777777" w:rsidR="003A5672" w:rsidRDefault="003A5672" w:rsidP="00B17774">
      <w:pPr>
        <w:pStyle w:val="Heading2"/>
      </w:pPr>
      <w:r>
        <w:t>Detailed explanation of new law</w:t>
      </w:r>
    </w:p>
    <w:p w14:paraId="08D774B6" w14:textId="6EA1EA09" w:rsidR="003A5672" w:rsidRPr="00F80E6B" w:rsidRDefault="003A5672" w:rsidP="003A5672">
      <w:pPr>
        <w:pStyle w:val="Heading3"/>
      </w:pPr>
      <w:r>
        <w:t>General principles</w:t>
      </w:r>
      <w:r w:rsidR="00FB5227">
        <w:t xml:space="preserve"> </w:t>
      </w:r>
    </w:p>
    <w:p w14:paraId="189ED993" w14:textId="772C524E" w:rsidR="00A06114" w:rsidRPr="00387FC1" w:rsidRDefault="00A06114" w:rsidP="00A06114">
      <w:pPr>
        <w:pStyle w:val="Heading4"/>
        <w:rPr>
          <w:rStyle w:val="Referencingstyle"/>
          <w:b/>
          <w:i/>
          <w:sz w:val="22"/>
        </w:rPr>
      </w:pPr>
      <w:r>
        <w:rPr>
          <w:rStyle w:val="Referencingstyle"/>
          <w:b/>
          <w:i/>
          <w:sz w:val="22"/>
        </w:rPr>
        <w:t>Provisions apply on a sub-fund-by-sub-fund</w:t>
      </w:r>
      <w:r w:rsidR="009036FF">
        <w:rPr>
          <w:rStyle w:val="Referencingstyle"/>
          <w:b/>
          <w:i/>
          <w:sz w:val="22"/>
        </w:rPr>
        <w:t xml:space="preserve"> </w:t>
      </w:r>
      <w:r>
        <w:rPr>
          <w:rStyle w:val="Referencingstyle"/>
          <w:b/>
          <w:i/>
          <w:sz w:val="22"/>
        </w:rPr>
        <w:t>basis</w:t>
      </w:r>
    </w:p>
    <w:p w14:paraId="4CA51D98" w14:textId="47CB5DFA" w:rsidR="003A5672" w:rsidRPr="00A06114" w:rsidRDefault="003A5672" w:rsidP="00711D0C">
      <w:pPr>
        <w:pStyle w:val="base-text-paragraph"/>
        <w:rPr>
          <w:rStyle w:val="Referencingstyle"/>
          <w:b w:val="0"/>
          <w:i w:val="0"/>
          <w:sz w:val="22"/>
        </w:rPr>
      </w:pPr>
      <w:r w:rsidRPr="00FA5B27">
        <w:t xml:space="preserve">The provisions relating to </w:t>
      </w:r>
      <w:r w:rsidR="002C6F95">
        <w:t>external administration</w:t>
      </w:r>
      <w:r>
        <w:t xml:space="preserve"> apply on a sub</w:t>
      </w:r>
      <w:r w:rsidR="00EB249A">
        <w:noBreakHyphen/>
      </w:r>
      <w:r>
        <w:t>fund</w:t>
      </w:r>
      <w:r w:rsidR="00EB249A">
        <w:noBreakHyphen/>
      </w:r>
      <w:r>
        <w:t>by</w:t>
      </w:r>
      <w:r w:rsidR="00EB249A">
        <w:noBreakHyphen/>
      </w:r>
      <w:r>
        <w:t>sub</w:t>
      </w:r>
      <w:r w:rsidR="00EB249A">
        <w:noBreakHyphen/>
      </w:r>
      <w:r>
        <w:t>fund basis. This is designed to preserve the segregat</w:t>
      </w:r>
      <w:r w:rsidR="00AE15A3">
        <w:t>ed application</w:t>
      </w:r>
      <w:r>
        <w:t xml:space="preserve"> of assets </w:t>
      </w:r>
      <w:r w:rsidR="00AE15A3">
        <w:t xml:space="preserve">of </w:t>
      </w:r>
      <w:r w:rsidR="00E54A10">
        <w:t>each</w:t>
      </w:r>
      <w:r w:rsidR="00AE15A3">
        <w:t xml:space="preserve"> sub</w:t>
      </w:r>
      <w:r w:rsidR="00EB249A">
        <w:noBreakHyphen/>
      </w:r>
      <w:r w:rsidR="00AE15A3">
        <w:t>fund</w:t>
      </w:r>
      <w:r>
        <w:t>. It also accommodates the possibility that different sub</w:t>
      </w:r>
      <w:r>
        <w:noBreakHyphen/>
        <w:t xml:space="preserve">funds of a CCIV could enter an external administration process at different times. </w:t>
      </w:r>
      <w:r>
        <w:rPr>
          <w:rStyle w:val="Referencingstyle"/>
        </w:rPr>
        <w:t>[Schedule </w:t>
      </w:r>
      <w:r w:rsidR="00F46200">
        <w:rPr>
          <w:rStyle w:val="Referencingstyle"/>
        </w:rPr>
        <w:t>2</w:t>
      </w:r>
      <w:r>
        <w:rPr>
          <w:rStyle w:val="Referencingstyle"/>
        </w:rPr>
        <w:t xml:space="preserve">, item </w:t>
      </w:r>
      <w:r w:rsidR="00152294">
        <w:rPr>
          <w:rStyle w:val="Referencingstyle"/>
        </w:rPr>
        <w:t>1</w:t>
      </w:r>
      <w:r>
        <w:rPr>
          <w:rStyle w:val="Referencingstyle"/>
        </w:rPr>
        <w:t xml:space="preserve">, sections </w:t>
      </w:r>
      <w:r w:rsidR="00152294">
        <w:rPr>
          <w:rStyle w:val="Referencingstyle"/>
        </w:rPr>
        <w:t>12-035</w:t>
      </w:r>
      <w:r>
        <w:rPr>
          <w:rStyle w:val="Referencingstyle"/>
        </w:rPr>
        <w:t xml:space="preserve"> and </w:t>
      </w:r>
      <w:r w:rsidR="00152294">
        <w:rPr>
          <w:rStyle w:val="Referencingstyle"/>
        </w:rPr>
        <w:t>12-095</w:t>
      </w:r>
      <w:r>
        <w:rPr>
          <w:rStyle w:val="Referencingstyle"/>
        </w:rPr>
        <w:t xml:space="preserve">] </w:t>
      </w:r>
    </w:p>
    <w:p w14:paraId="644ACB3B" w14:textId="292244FC" w:rsidR="00A06114" w:rsidRDefault="00A06114" w:rsidP="00711D0C">
      <w:pPr>
        <w:pStyle w:val="base-text-paragraph"/>
      </w:pPr>
      <w:r>
        <w:t>Notwithstanding that the provisions apply on a sub-fund-by-sub-fund basis, they recognise that the CCIV is the only legal entity. Unlike the OEIC regime in the United Kingdom, sub</w:t>
      </w:r>
      <w:r>
        <w:noBreakHyphen/>
        <w:t>funds are not deemed to have separate legal personality for winding up. This ensures that the legal character of a sub</w:t>
      </w:r>
      <w:r>
        <w:noBreakHyphen/>
        <w:t>fund remains consistent throughout its life and a sub</w:t>
      </w:r>
      <w:r>
        <w:noBreakHyphen/>
        <w:t xml:space="preserve">fund does not become imbued with legal personality when </w:t>
      </w:r>
      <w:r w:rsidR="009E1D72">
        <w:t>it enters into external administration</w:t>
      </w:r>
      <w:r>
        <w:t>.</w:t>
      </w:r>
    </w:p>
    <w:p w14:paraId="2CCD1532" w14:textId="52B2D82F" w:rsidR="003A5672" w:rsidRPr="00C141BF" w:rsidRDefault="003A5672" w:rsidP="003A5672">
      <w:pPr>
        <w:pStyle w:val="Heading4"/>
        <w:rPr>
          <w:rStyle w:val="Referencingstyle"/>
          <w:b/>
          <w:i/>
          <w:sz w:val="22"/>
        </w:rPr>
      </w:pPr>
      <w:r>
        <w:rPr>
          <w:rStyle w:val="Referencingstyle"/>
          <w:b/>
          <w:i/>
          <w:sz w:val="22"/>
        </w:rPr>
        <w:t>Translation rules</w:t>
      </w:r>
    </w:p>
    <w:p w14:paraId="6A35EBB9" w14:textId="27B37181" w:rsidR="003A5672" w:rsidRPr="00D36EB3" w:rsidRDefault="003A5672" w:rsidP="00711D0C">
      <w:pPr>
        <w:pStyle w:val="base-text-paragraph"/>
        <w:rPr>
          <w:rStyle w:val="Referencingstyle"/>
          <w:b w:val="0"/>
          <w:i w:val="0"/>
          <w:sz w:val="22"/>
        </w:rPr>
      </w:pPr>
      <w:bookmarkStart w:id="67" w:name="_Ref522519915"/>
      <w:r w:rsidRPr="00387FC1">
        <w:t xml:space="preserve">The main mechanism </w:t>
      </w:r>
      <w:r w:rsidR="00077854">
        <w:t>that is used to apply</w:t>
      </w:r>
      <w:r>
        <w:t xml:space="preserve"> the </w:t>
      </w:r>
      <w:r w:rsidR="00077854">
        <w:t xml:space="preserve">external administration </w:t>
      </w:r>
      <w:r>
        <w:t>provisions on a sub</w:t>
      </w:r>
      <w:r>
        <w:noBreakHyphen/>
        <w:t>fund</w:t>
      </w:r>
      <w:r>
        <w:noBreakHyphen/>
        <w:t>by</w:t>
      </w:r>
      <w:r>
        <w:noBreakHyphen/>
        <w:t>sub</w:t>
      </w:r>
      <w:r>
        <w:noBreakHyphen/>
        <w:t>fund basis is t</w:t>
      </w:r>
      <w:r w:rsidR="00077854">
        <w:t>he translation rules.</w:t>
      </w:r>
      <w:r>
        <w:t xml:space="preserve"> </w:t>
      </w:r>
      <w:r w:rsidR="00077854">
        <w:t xml:space="preserve">These rules </w:t>
      </w:r>
      <w:r w:rsidR="00103E1F">
        <w:t>ensure that the existing external administration provisions</w:t>
      </w:r>
      <w:r w:rsidR="00FE49F4">
        <w:t>,</w:t>
      </w:r>
      <w:r w:rsidR="00103E1F">
        <w:t xml:space="preserve"> as they relate to companies</w:t>
      </w:r>
      <w:r w:rsidR="00FE49F4">
        <w:t>,</w:t>
      </w:r>
      <w:r w:rsidR="00103E1F">
        <w:t xml:space="preserve"> can be applied to sub-funds of a CCIV by </w:t>
      </w:r>
      <w:r>
        <w:t>substitut</w:t>
      </w:r>
      <w:r w:rsidR="00103E1F">
        <w:t>ing</w:t>
      </w:r>
      <w:r>
        <w:t xml:space="preserve"> references to </w:t>
      </w:r>
      <w:r w:rsidR="00103E1F">
        <w:t>certain key words</w:t>
      </w:r>
      <w:r>
        <w:t xml:space="preserve"> with references to </w:t>
      </w:r>
      <w:r w:rsidR="00103E1F">
        <w:t>alternative words that are relevant in the CCIV context</w:t>
      </w:r>
      <w:r>
        <w:t>.</w:t>
      </w:r>
      <w:r w:rsidRPr="003A5672">
        <w:rPr>
          <w:rStyle w:val="Referencingstyle"/>
        </w:rPr>
        <w:t xml:space="preserve"> </w:t>
      </w:r>
      <w:r>
        <w:rPr>
          <w:rStyle w:val="Referencingstyle"/>
        </w:rPr>
        <w:t>[Schedule </w:t>
      </w:r>
      <w:r w:rsidR="00152294">
        <w:rPr>
          <w:rStyle w:val="Referencingstyle"/>
        </w:rPr>
        <w:t>2</w:t>
      </w:r>
      <w:r>
        <w:rPr>
          <w:rStyle w:val="Referencingstyle"/>
        </w:rPr>
        <w:t xml:space="preserve">, item </w:t>
      </w:r>
      <w:r w:rsidR="00152294">
        <w:rPr>
          <w:rStyle w:val="Referencingstyle"/>
        </w:rPr>
        <w:t>1</w:t>
      </w:r>
      <w:r>
        <w:rPr>
          <w:rStyle w:val="Referencingstyle"/>
        </w:rPr>
        <w:t xml:space="preserve">, sections </w:t>
      </w:r>
      <w:r w:rsidR="00152294">
        <w:rPr>
          <w:rStyle w:val="Referencingstyle"/>
        </w:rPr>
        <w:t>12-015</w:t>
      </w:r>
      <w:r>
        <w:rPr>
          <w:rStyle w:val="Referencingstyle"/>
        </w:rPr>
        <w:t xml:space="preserve">, </w:t>
      </w:r>
      <w:r w:rsidR="00152294">
        <w:rPr>
          <w:rStyle w:val="Referencingstyle"/>
        </w:rPr>
        <w:t>12-060</w:t>
      </w:r>
      <w:r>
        <w:rPr>
          <w:rStyle w:val="Referencingstyle"/>
        </w:rPr>
        <w:t xml:space="preserve">, </w:t>
      </w:r>
      <w:r w:rsidR="00152294">
        <w:rPr>
          <w:rStyle w:val="Referencingstyle"/>
        </w:rPr>
        <w:t>12-105</w:t>
      </w:r>
      <w:r>
        <w:rPr>
          <w:rStyle w:val="Referencingstyle"/>
        </w:rPr>
        <w:t xml:space="preserve">, </w:t>
      </w:r>
      <w:r w:rsidR="00152294">
        <w:rPr>
          <w:rStyle w:val="Referencingstyle"/>
        </w:rPr>
        <w:t>12-260</w:t>
      </w:r>
      <w:r w:rsidR="00077854">
        <w:rPr>
          <w:rStyle w:val="Referencingstyle"/>
        </w:rPr>
        <w:t xml:space="preserve">, </w:t>
      </w:r>
      <w:r w:rsidR="00152294">
        <w:rPr>
          <w:rStyle w:val="Referencingstyle"/>
        </w:rPr>
        <w:t>12-275</w:t>
      </w:r>
      <w:r>
        <w:rPr>
          <w:rStyle w:val="Referencingstyle"/>
        </w:rPr>
        <w:t xml:space="preserve"> and </w:t>
      </w:r>
      <w:r w:rsidR="00152294">
        <w:rPr>
          <w:rStyle w:val="Referencingstyle"/>
        </w:rPr>
        <w:t>12-290</w:t>
      </w:r>
      <w:r>
        <w:rPr>
          <w:rStyle w:val="Referencingstyle"/>
        </w:rPr>
        <w:t>]</w:t>
      </w:r>
      <w:bookmarkEnd w:id="67"/>
    </w:p>
    <w:p w14:paraId="331D7BA1" w14:textId="03A3257C" w:rsidR="009A7D47" w:rsidRPr="006C0F41" w:rsidRDefault="009A7D47" w:rsidP="009A7D47">
      <w:pPr>
        <w:pStyle w:val="base-text-paragraph"/>
      </w:pPr>
      <w:r w:rsidRPr="006C0F41">
        <w:t xml:space="preserve">The translation rules also </w:t>
      </w:r>
      <w:r>
        <w:t>apply</w:t>
      </w:r>
      <w:r w:rsidRPr="006C0F41">
        <w:t xml:space="preserve"> </w:t>
      </w:r>
      <w:r>
        <w:t>irrespective of whether the section uses the singular of the word or the plural</w:t>
      </w:r>
      <w:r w:rsidR="000E4BD8">
        <w:t xml:space="preserve">, </w:t>
      </w:r>
      <w:r w:rsidR="0004736A">
        <w:t>for example,</w:t>
      </w:r>
      <w:r>
        <w:t xml:space="preserve"> it applies to both references to ‘a share in the company’ and ‘shares in the company’. Refer to section 23 of the </w:t>
      </w:r>
      <w:r>
        <w:rPr>
          <w:i/>
        </w:rPr>
        <w:t>Acts Interpretation Act 1901</w:t>
      </w:r>
      <w:r>
        <w:t>.</w:t>
      </w:r>
    </w:p>
    <w:p w14:paraId="50094B12" w14:textId="2A162D3E" w:rsidR="009A7D47" w:rsidRDefault="009A7D47" w:rsidP="00D36EB3">
      <w:pPr>
        <w:pStyle w:val="base-text-paragraph"/>
      </w:pPr>
      <w:r>
        <w:t xml:space="preserve">The translation rules </w:t>
      </w:r>
      <w:r w:rsidR="00FE49F4">
        <w:t>applying</w:t>
      </w:r>
      <w:r>
        <w:t xml:space="preserve"> to each of the Chapter 5 external administration procedures </w:t>
      </w:r>
      <w:r w:rsidR="00D92D7B">
        <w:t>for CCIVs (that is, schemes of arrangement, receivership, winding up and voluntary administration)</w:t>
      </w:r>
      <w:r>
        <w:t xml:space="preserve"> are broadly equivalent. </w:t>
      </w:r>
      <w:r w:rsidR="000E4BD8">
        <w:t xml:space="preserve">The main difference relates to whether references to ‘directors’ and ‘officers’ include the natural person directors of the corporate director. </w:t>
      </w:r>
      <w:r>
        <w:t xml:space="preserve">Subtle differences </w:t>
      </w:r>
      <w:r w:rsidR="000E4BD8">
        <w:t>also</w:t>
      </w:r>
      <w:r>
        <w:t xml:space="preserve"> exist </w:t>
      </w:r>
      <w:r w:rsidR="0004736A">
        <w:t>to reflect differences in</w:t>
      </w:r>
      <w:r>
        <w:t xml:space="preserve"> the language in </w:t>
      </w:r>
      <w:r w:rsidR="00EB5C45">
        <w:t>the various</w:t>
      </w:r>
      <w:r>
        <w:t xml:space="preserve"> part</w:t>
      </w:r>
      <w:r w:rsidR="00EB5C45">
        <w:t>s</w:t>
      </w:r>
      <w:r>
        <w:t xml:space="preserve"> of Chapter 5</w:t>
      </w:r>
      <w:r w:rsidR="00B669D6">
        <w:t>.</w:t>
      </w:r>
      <w:r>
        <w:t xml:space="preserve"> </w:t>
      </w:r>
      <w:r w:rsidR="00B669D6">
        <w:t>F</w:t>
      </w:r>
      <w:r>
        <w:t>or example, the entity subject to the external administration</w:t>
      </w:r>
      <w:r w:rsidR="00D32E85">
        <w:t xml:space="preserve"> procedure is referred to as </w:t>
      </w:r>
      <w:r>
        <w:t>a ‘corporation’ in Part 5.2</w:t>
      </w:r>
      <w:r w:rsidR="00D32E85">
        <w:t xml:space="preserve"> and a ‘company’ in Part 5.8</w:t>
      </w:r>
      <w:r>
        <w:t>. These differences are noted in the discussion</w:t>
      </w:r>
      <w:r w:rsidR="00D92D7B" w:rsidRPr="00D92D7B">
        <w:t xml:space="preserve"> </w:t>
      </w:r>
      <w:r w:rsidR="00D92D7B">
        <w:t>below</w:t>
      </w:r>
      <w:r>
        <w:t>.</w:t>
      </w:r>
    </w:p>
    <w:p w14:paraId="7E332F89" w14:textId="43A61B68" w:rsidR="00097AE1" w:rsidRPr="00DB212C" w:rsidRDefault="00097AE1" w:rsidP="00097AE1">
      <w:pPr>
        <w:pStyle w:val="Heading6"/>
        <w:rPr>
          <w:i/>
          <w:u w:val="none"/>
        </w:rPr>
      </w:pPr>
      <w:bookmarkStart w:id="68" w:name="_Ref522537766"/>
      <w:r w:rsidRPr="00DB212C">
        <w:rPr>
          <w:i/>
          <w:u w:val="none"/>
        </w:rPr>
        <w:t>First translation rule</w:t>
      </w:r>
      <w:r w:rsidR="00DB212C">
        <w:rPr>
          <w:i/>
          <w:u w:val="none"/>
        </w:rPr>
        <w:t xml:space="preserve"> – references to the company</w:t>
      </w:r>
    </w:p>
    <w:p w14:paraId="1959E095" w14:textId="7E1CE141" w:rsidR="003B7D2D" w:rsidRDefault="003A5672" w:rsidP="00711D0C">
      <w:pPr>
        <w:pStyle w:val="base-text-paragraph"/>
      </w:pPr>
      <w:r>
        <w:t xml:space="preserve">The first translation rule substitutes </w:t>
      </w:r>
      <w:r w:rsidR="00C02C5F">
        <w:t>a reference</w:t>
      </w:r>
      <w:r w:rsidR="00A0468D">
        <w:t xml:space="preserve"> in the provisions</w:t>
      </w:r>
      <w:r>
        <w:t xml:space="preserve"> to </w:t>
      </w:r>
      <w:r w:rsidR="00856A19">
        <w:t>the</w:t>
      </w:r>
      <w:r w:rsidR="00B1742D">
        <w:t xml:space="preserve"> company</w:t>
      </w:r>
      <w:r>
        <w:t xml:space="preserve"> </w:t>
      </w:r>
      <w:r w:rsidR="00C02C5F">
        <w:t>that</w:t>
      </w:r>
      <w:r w:rsidR="00856A19">
        <w:t xml:space="preserve"> is, or is to</w:t>
      </w:r>
      <w:r w:rsidR="00C02C5F">
        <w:t xml:space="preserve"> be</w:t>
      </w:r>
      <w:r w:rsidR="00856A19">
        <w:t xml:space="preserve">, the subject of </w:t>
      </w:r>
      <w:r w:rsidR="00C02C5F">
        <w:t>an</w:t>
      </w:r>
      <w:r w:rsidR="00856A19">
        <w:t xml:space="preserve"> external administration procedure </w:t>
      </w:r>
      <w:r>
        <w:t xml:space="preserve">with </w:t>
      </w:r>
      <w:r w:rsidR="00C02C5F">
        <w:t>a reference</w:t>
      </w:r>
      <w:r>
        <w:t xml:space="preserve"> to ‘the sub-fund’. </w:t>
      </w:r>
      <w:r w:rsidR="003B7D2D">
        <w:t xml:space="preserve">The company that is, or is to be, subject to the external administration procedure is referred to as the </w:t>
      </w:r>
      <w:r w:rsidR="003B7D2D" w:rsidRPr="00FE4A24">
        <w:rPr>
          <w:b/>
          <w:i/>
        </w:rPr>
        <w:t>relevant company</w:t>
      </w:r>
      <w:r w:rsidR="003B7D2D">
        <w:t>.</w:t>
      </w:r>
      <w:r w:rsidR="00FE4A24">
        <w:t xml:space="preserve"> For example, in the context of the winding up provisions in Parts 5.4 to 5.6, the relevant company is the company that is to be, or has been</w:t>
      </w:r>
      <w:r w:rsidR="00A0468D">
        <w:t>,</w:t>
      </w:r>
      <w:r w:rsidR="00FE4A24">
        <w:t xml:space="preserve"> wound up or is the subject of an application for</w:t>
      </w:r>
      <w:r w:rsidR="0021239F">
        <w:t xml:space="preserve"> a</w:t>
      </w:r>
      <w:r w:rsidR="00FE4A24">
        <w:t xml:space="preserve"> winding up</w:t>
      </w:r>
      <w:r w:rsidR="0021239F">
        <w:t xml:space="preserve"> order</w:t>
      </w:r>
      <w:r w:rsidR="00FE4A24">
        <w:t>.</w:t>
      </w:r>
      <w:r w:rsidR="00D32E85" w:rsidRPr="00D32E85">
        <w:rPr>
          <w:rStyle w:val="Referencingstyle"/>
        </w:rPr>
        <w:t xml:space="preserve"> </w:t>
      </w:r>
      <w:r w:rsidR="00D32E85">
        <w:rPr>
          <w:rStyle w:val="Referencingstyle"/>
        </w:rPr>
        <w:t>[Schedule </w:t>
      </w:r>
      <w:r w:rsidR="00152294">
        <w:rPr>
          <w:rStyle w:val="Referencingstyle"/>
        </w:rPr>
        <w:t>2</w:t>
      </w:r>
      <w:r w:rsidR="00D32E85">
        <w:rPr>
          <w:rStyle w:val="Referencingstyle"/>
        </w:rPr>
        <w:t>, item</w:t>
      </w:r>
      <w:r w:rsidR="00B669D6">
        <w:rPr>
          <w:rStyle w:val="Referencingstyle"/>
        </w:rPr>
        <w:t> </w:t>
      </w:r>
      <w:r w:rsidR="00152294">
        <w:rPr>
          <w:rStyle w:val="Referencingstyle"/>
        </w:rPr>
        <w:t>1</w:t>
      </w:r>
      <w:r w:rsidR="00D32E85">
        <w:rPr>
          <w:rStyle w:val="Referencingstyle"/>
        </w:rPr>
        <w:t xml:space="preserve">, item 1 of </w:t>
      </w:r>
      <w:r w:rsidR="00B669D6">
        <w:rPr>
          <w:rStyle w:val="Referencingstyle"/>
        </w:rPr>
        <w:t xml:space="preserve">the tables in </w:t>
      </w:r>
      <w:r w:rsidR="00D32E85">
        <w:rPr>
          <w:rStyle w:val="Referencingstyle"/>
        </w:rPr>
        <w:t xml:space="preserve">subsections </w:t>
      </w:r>
      <w:r w:rsidR="00D05818">
        <w:rPr>
          <w:rStyle w:val="Referencingstyle"/>
        </w:rPr>
        <w:t>12-015</w:t>
      </w:r>
      <w:r w:rsidR="00D32E85">
        <w:rPr>
          <w:rStyle w:val="Referencingstyle"/>
        </w:rPr>
        <w:t xml:space="preserve">(4), </w:t>
      </w:r>
      <w:r w:rsidR="00D05818">
        <w:rPr>
          <w:rStyle w:val="Referencingstyle"/>
        </w:rPr>
        <w:t>12-060</w:t>
      </w:r>
      <w:r w:rsidR="00D32E85">
        <w:rPr>
          <w:rStyle w:val="Referencingstyle"/>
        </w:rPr>
        <w:t xml:space="preserve">(4), </w:t>
      </w:r>
      <w:r w:rsidR="00D05818">
        <w:rPr>
          <w:rStyle w:val="Referencingstyle"/>
        </w:rPr>
        <w:t>12</w:t>
      </w:r>
      <w:r w:rsidR="00186865">
        <w:rPr>
          <w:rStyle w:val="Referencingstyle"/>
        </w:rPr>
        <w:noBreakHyphen/>
      </w:r>
      <w:r w:rsidR="00D05818">
        <w:rPr>
          <w:rStyle w:val="Referencingstyle"/>
        </w:rPr>
        <w:t>105</w:t>
      </w:r>
      <w:r w:rsidR="00D32E85">
        <w:rPr>
          <w:rStyle w:val="Referencingstyle"/>
        </w:rPr>
        <w:t xml:space="preserve">(4), </w:t>
      </w:r>
      <w:r w:rsidR="00D05818">
        <w:rPr>
          <w:rStyle w:val="Referencingstyle"/>
        </w:rPr>
        <w:t>12-260</w:t>
      </w:r>
      <w:r w:rsidR="00D32E85">
        <w:rPr>
          <w:rStyle w:val="Referencingstyle"/>
        </w:rPr>
        <w:t xml:space="preserve">(4), </w:t>
      </w:r>
      <w:r w:rsidR="00D05818">
        <w:rPr>
          <w:rStyle w:val="Referencingstyle"/>
        </w:rPr>
        <w:t>12-275</w:t>
      </w:r>
      <w:r w:rsidR="00D32E85">
        <w:rPr>
          <w:rStyle w:val="Referencingstyle"/>
        </w:rPr>
        <w:t xml:space="preserve">(4) and </w:t>
      </w:r>
      <w:r w:rsidR="00D05818">
        <w:rPr>
          <w:rStyle w:val="Referencingstyle"/>
        </w:rPr>
        <w:t>12-290</w:t>
      </w:r>
      <w:r w:rsidR="00D32E85">
        <w:rPr>
          <w:rStyle w:val="Referencingstyle"/>
        </w:rPr>
        <w:t>(3)]</w:t>
      </w:r>
    </w:p>
    <w:p w14:paraId="7473CC2B" w14:textId="5C518187" w:rsidR="00C02C5F" w:rsidRDefault="00C02C5F" w:rsidP="00FE4A24">
      <w:pPr>
        <w:pStyle w:val="base-text-paragraph"/>
      </w:pPr>
      <w:r>
        <w:t xml:space="preserve">The first translation rule applies irrespective of whether the </w:t>
      </w:r>
      <w:r w:rsidR="003B7D2D">
        <w:t xml:space="preserve">relevant </w:t>
      </w:r>
      <w:r>
        <w:t xml:space="preserve">company is referred to </w:t>
      </w:r>
      <w:r w:rsidR="00D32E85">
        <w:t xml:space="preserve">as a company, a body corporate </w:t>
      </w:r>
      <w:r>
        <w:t xml:space="preserve">or in some other way. It also applies where the reference to the company is implicit, for example, in </w:t>
      </w:r>
      <w:r w:rsidR="00D32E85">
        <w:t>paragraph 459P(1)(b) where the provision refers to a ‘creditor’ and it is implied that it is a ‘a creditor of the relevant company’</w:t>
      </w:r>
      <w:r>
        <w:t>.</w:t>
      </w:r>
      <w:r w:rsidRPr="00C02C5F">
        <w:rPr>
          <w:rStyle w:val="Referencingstyle"/>
        </w:rPr>
        <w:t xml:space="preserve"> </w:t>
      </w:r>
      <w:r>
        <w:rPr>
          <w:rStyle w:val="Referencingstyle"/>
        </w:rPr>
        <w:t xml:space="preserve">[Schedule 1, item </w:t>
      </w:r>
      <w:r w:rsidR="00D05818">
        <w:rPr>
          <w:rStyle w:val="Referencingstyle"/>
        </w:rPr>
        <w:t>1</w:t>
      </w:r>
      <w:r>
        <w:rPr>
          <w:rStyle w:val="Referencingstyle"/>
        </w:rPr>
        <w:t xml:space="preserve">, item 1 of subsections </w:t>
      </w:r>
      <w:r w:rsidR="00D05818">
        <w:rPr>
          <w:rStyle w:val="Referencingstyle"/>
        </w:rPr>
        <w:t>12-015</w:t>
      </w:r>
      <w:r>
        <w:rPr>
          <w:rStyle w:val="Referencingstyle"/>
        </w:rPr>
        <w:t xml:space="preserve">(4), </w:t>
      </w:r>
      <w:r w:rsidR="00D05818">
        <w:rPr>
          <w:rStyle w:val="Referencingstyle"/>
        </w:rPr>
        <w:t>12-060</w:t>
      </w:r>
      <w:r>
        <w:rPr>
          <w:rStyle w:val="Referencingstyle"/>
        </w:rPr>
        <w:t xml:space="preserve">(4), </w:t>
      </w:r>
      <w:r w:rsidR="00D05818">
        <w:rPr>
          <w:rStyle w:val="Referencingstyle"/>
        </w:rPr>
        <w:t>12-105</w:t>
      </w:r>
      <w:r>
        <w:rPr>
          <w:rStyle w:val="Referencingstyle"/>
        </w:rPr>
        <w:t xml:space="preserve">(4), </w:t>
      </w:r>
      <w:r w:rsidR="00D05818">
        <w:rPr>
          <w:rStyle w:val="Referencingstyle"/>
        </w:rPr>
        <w:t>12-260</w:t>
      </w:r>
      <w:r>
        <w:rPr>
          <w:rStyle w:val="Referencingstyle"/>
        </w:rPr>
        <w:t xml:space="preserve">(4), </w:t>
      </w:r>
      <w:r w:rsidR="00D05818">
        <w:rPr>
          <w:rStyle w:val="Referencingstyle"/>
        </w:rPr>
        <w:t>12</w:t>
      </w:r>
      <w:r w:rsidR="00186865">
        <w:rPr>
          <w:rStyle w:val="Referencingstyle"/>
        </w:rPr>
        <w:noBreakHyphen/>
      </w:r>
      <w:r w:rsidR="00D05818">
        <w:rPr>
          <w:rStyle w:val="Referencingstyle"/>
        </w:rPr>
        <w:t>275</w:t>
      </w:r>
      <w:r>
        <w:rPr>
          <w:rStyle w:val="Referencingstyle"/>
        </w:rPr>
        <w:t xml:space="preserve">(4) and </w:t>
      </w:r>
      <w:r w:rsidR="00D05818">
        <w:rPr>
          <w:rStyle w:val="Referencingstyle"/>
        </w:rPr>
        <w:t>12-290</w:t>
      </w:r>
      <w:r w:rsidR="00010316">
        <w:rPr>
          <w:rStyle w:val="Referencingstyle"/>
        </w:rPr>
        <w:t>(3)]</w:t>
      </w:r>
    </w:p>
    <w:p w14:paraId="536252E7" w14:textId="3DE30AFC" w:rsidR="003A5672" w:rsidRDefault="00C02C5F" w:rsidP="00711D0C">
      <w:pPr>
        <w:pStyle w:val="base-text-paragraph"/>
      </w:pPr>
      <w:r>
        <w:t xml:space="preserve">The </w:t>
      </w:r>
      <w:r w:rsidR="0021239F">
        <w:t xml:space="preserve">first translation rule shifts </w:t>
      </w:r>
      <w:r w:rsidR="00B14E8E">
        <w:t>the focus of the provisions from the CCIV to the sub-fund.</w:t>
      </w:r>
      <w:r w:rsidR="00077854">
        <w:t xml:space="preserve"> It recognises that part of the business of the CCIV relates to the sub-fund</w:t>
      </w:r>
      <w:r w:rsidR="00317000">
        <w:t>,</w:t>
      </w:r>
      <w:r w:rsidR="00077854">
        <w:t xml:space="preserve"> </w:t>
      </w:r>
      <w:r w:rsidR="00317000">
        <w:t>which</w:t>
      </w:r>
      <w:r w:rsidR="00077854">
        <w:t xml:space="preserve"> can be wound up (or undergo another external administration process) independently of the parts of the business that relate to </w:t>
      </w:r>
      <w:r w:rsidR="0021239F">
        <w:t xml:space="preserve">the </w:t>
      </w:r>
      <w:r w:rsidR="00077854">
        <w:t>other sub-funds.</w:t>
      </w:r>
      <w:r w:rsidR="00B14E8E" w:rsidRPr="00B14E8E">
        <w:rPr>
          <w:rStyle w:val="Referencingstyle"/>
        </w:rPr>
        <w:t xml:space="preserve"> </w:t>
      </w:r>
      <w:bookmarkEnd w:id="68"/>
    </w:p>
    <w:p w14:paraId="68CB4B57" w14:textId="22FEBD92" w:rsidR="00097AE1" w:rsidRDefault="00097AE1" w:rsidP="00097AE1">
      <w:pPr>
        <w:pStyle w:val="base-text-paragraph"/>
      </w:pPr>
      <w:r>
        <w:t>There are two situations where the first translation rule does not apply</w:t>
      </w:r>
      <w:r w:rsidR="00D32E85">
        <w:t>, namely, where</w:t>
      </w:r>
      <w:r>
        <w:t>:</w:t>
      </w:r>
    </w:p>
    <w:p w14:paraId="2AB91DF3" w14:textId="32C60675" w:rsidR="00097AE1" w:rsidRDefault="000F67FD" w:rsidP="00097AE1">
      <w:pPr>
        <w:pStyle w:val="dotpoint"/>
      </w:pPr>
      <w:r>
        <w:t xml:space="preserve">the reference is to </w:t>
      </w:r>
      <w:r w:rsidR="00097AE1">
        <w:t xml:space="preserve">a company other than the ‘relevant company’ (see, </w:t>
      </w:r>
      <w:r w:rsidR="00317000">
        <w:t>for example</w:t>
      </w:r>
      <w:r w:rsidR="00097AE1">
        <w:t xml:space="preserve">, section </w:t>
      </w:r>
      <w:r w:rsidR="00F070FA">
        <w:t>588V</w:t>
      </w:r>
      <w:r w:rsidR="00097AE1">
        <w:t xml:space="preserve"> which refers to a ‘</w:t>
      </w:r>
      <w:r w:rsidR="00F070FA">
        <w:t>holding company</w:t>
      </w:r>
      <w:r w:rsidR="00097AE1">
        <w:t>’)</w:t>
      </w:r>
      <w:r>
        <w:t>; and</w:t>
      </w:r>
      <w:r w:rsidR="0021239F">
        <w:t xml:space="preserve"> </w:t>
      </w:r>
    </w:p>
    <w:p w14:paraId="6562B20D" w14:textId="6AEACE5E" w:rsidR="00097AE1" w:rsidRDefault="000F67FD" w:rsidP="00097AE1">
      <w:pPr>
        <w:pStyle w:val="dotpoint"/>
      </w:pPr>
      <w:r>
        <w:t>t</w:t>
      </w:r>
      <w:r w:rsidR="00097AE1">
        <w:t>he</w:t>
      </w:r>
      <w:r>
        <w:t xml:space="preserve"> reference is to the</w:t>
      </w:r>
      <w:r w:rsidR="00097AE1">
        <w:t xml:space="preserve"> ‘relevant company’ but </w:t>
      </w:r>
      <w:r w:rsidR="0021239F">
        <w:t>the context requires</w:t>
      </w:r>
      <w:r w:rsidR="00097AE1">
        <w:t xml:space="preserve"> the entity </w:t>
      </w:r>
      <w:r w:rsidR="0021239F">
        <w:t>to have</w:t>
      </w:r>
      <w:r w:rsidR="00097AE1">
        <w:t xml:space="preserve"> </w:t>
      </w:r>
      <w:r w:rsidR="0021239F">
        <w:t xml:space="preserve">the </w:t>
      </w:r>
      <w:r w:rsidR="00097AE1">
        <w:t>capacity and powers</w:t>
      </w:r>
      <w:r w:rsidR="0021239F">
        <w:t xml:space="preserve"> of a legal person</w:t>
      </w:r>
      <w:r w:rsidR="00706A4B">
        <w:t xml:space="preserve"> (see examples and further discussion below)</w:t>
      </w:r>
      <w:r w:rsidR="00097AE1">
        <w:t>.</w:t>
      </w:r>
    </w:p>
    <w:p w14:paraId="4017FD51" w14:textId="295456F6" w:rsidR="0021239F" w:rsidRDefault="0021239F" w:rsidP="0021239F">
      <w:pPr>
        <w:pStyle w:val="base-text-paragraph"/>
        <w:numPr>
          <w:ilvl w:val="0"/>
          <w:numId w:val="0"/>
        </w:numPr>
        <w:ind w:left="1134"/>
      </w:pPr>
      <w:r>
        <w:rPr>
          <w:rStyle w:val="Referencingstyle"/>
        </w:rPr>
        <w:t>[Schedule </w:t>
      </w:r>
      <w:r w:rsidR="00851D62">
        <w:rPr>
          <w:rStyle w:val="Referencingstyle"/>
        </w:rPr>
        <w:t>2</w:t>
      </w:r>
      <w:r>
        <w:rPr>
          <w:rStyle w:val="Referencingstyle"/>
        </w:rPr>
        <w:t xml:space="preserve">, item </w:t>
      </w:r>
      <w:r w:rsidR="00D05818">
        <w:rPr>
          <w:rStyle w:val="Referencingstyle"/>
        </w:rPr>
        <w:t>1</w:t>
      </w:r>
      <w:r>
        <w:rPr>
          <w:rStyle w:val="Referencingstyle"/>
        </w:rPr>
        <w:t xml:space="preserve">, item 1 of subsections </w:t>
      </w:r>
      <w:r w:rsidR="00851D62">
        <w:rPr>
          <w:rStyle w:val="Referencingstyle"/>
        </w:rPr>
        <w:t>12-015</w:t>
      </w:r>
      <w:r>
        <w:rPr>
          <w:rStyle w:val="Referencingstyle"/>
        </w:rPr>
        <w:t xml:space="preserve">(4) and (5), </w:t>
      </w:r>
      <w:r w:rsidR="00851D62">
        <w:rPr>
          <w:rStyle w:val="Referencingstyle"/>
        </w:rPr>
        <w:t>12-060</w:t>
      </w:r>
      <w:r>
        <w:rPr>
          <w:rStyle w:val="Referencingstyle"/>
        </w:rPr>
        <w:t xml:space="preserve">(4) and (5), </w:t>
      </w:r>
      <w:r w:rsidR="00851D62">
        <w:rPr>
          <w:rStyle w:val="Referencingstyle"/>
        </w:rPr>
        <w:t>12-105</w:t>
      </w:r>
      <w:r>
        <w:rPr>
          <w:rStyle w:val="Referencingstyle"/>
        </w:rPr>
        <w:t xml:space="preserve">(4) and (5), </w:t>
      </w:r>
      <w:r w:rsidR="00851D62">
        <w:rPr>
          <w:rStyle w:val="Referencingstyle"/>
        </w:rPr>
        <w:t>12</w:t>
      </w:r>
      <w:r w:rsidR="00186865">
        <w:rPr>
          <w:rStyle w:val="Referencingstyle"/>
        </w:rPr>
        <w:noBreakHyphen/>
      </w:r>
      <w:r w:rsidR="00851D62">
        <w:rPr>
          <w:rStyle w:val="Referencingstyle"/>
        </w:rPr>
        <w:t>260</w:t>
      </w:r>
      <w:r>
        <w:rPr>
          <w:rStyle w:val="Referencingstyle"/>
        </w:rPr>
        <w:t xml:space="preserve">(4) and (5), </w:t>
      </w:r>
      <w:r w:rsidR="00851D62">
        <w:rPr>
          <w:rStyle w:val="Referencingstyle"/>
        </w:rPr>
        <w:t>12-275</w:t>
      </w:r>
      <w:r>
        <w:rPr>
          <w:rStyle w:val="Referencingstyle"/>
        </w:rPr>
        <w:t xml:space="preserve">(4) and (5) and </w:t>
      </w:r>
      <w:r w:rsidR="00851D62">
        <w:rPr>
          <w:rStyle w:val="Referencingstyle"/>
        </w:rPr>
        <w:t>12-290</w:t>
      </w:r>
      <w:r w:rsidR="00010316">
        <w:rPr>
          <w:rStyle w:val="Referencingstyle"/>
        </w:rPr>
        <w:t>(3) and (4)]</w:t>
      </w:r>
      <w:r w:rsidR="00010316">
        <w:rPr>
          <w:rStyle w:val="Referencingstyle"/>
          <w:highlight w:val="yellow"/>
        </w:rPr>
        <w:t xml:space="preserve"> </w:t>
      </w:r>
    </w:p>
    <w:p w14:paraId="7050677A" w14:textId="57DCC0B4" w:rsidR="00362E4C" w:rsidRDefault="00362E4C" w:rsidP="00711D0C">
      <w:pPr>
        <w:pStyle w:val="base-text-paragraph"/>
      </w:pPr>
      <w:r>
        <w:t xml:space="preserve">Examples of the types of provisions </w:t>
      </w:r>
      <w:r w:rsidR="00706A4B">
        <w:t xml:space="preserve">that </w:t>
      </w:r>
      <w:r>
        <w:t>refer to the legal capacity and powers of the company include references to the company:</w:t>
      </w:r>
    </w:p>
    <w:p w14:paraId="7DAC6176" w14:textId="380D006F" w:rsidR="00362E4C" w:rsidRDefault="00362E4C" w:rsidP="00362E4C">
      <w:pPr>
        <w:pStyle w:val="dotpoint"/>
      </w:pPr>
      <w:r>
        <w:t>entering into a transaction</w:t>
      </w:r>
      <w:r w:rsidR="00C80B2A">
        <w:t>;</w:t>
      </w:r>
    </w:p>
    <w:p w14:paraId="6E1DE1E8" w14:textId="65D686E0" w:rsidR="00C80B2A" w:rsidRDefault="00C80B2A" w:rsidP="00362E4C">
      <w:pPr>
        <w:pStyle w:val="dotpoint"/>
      </w:pPr>
      <w:r>
        <w:t>paying compensation;</w:t>
      </w:r>
    </w:p>
    <w:p w14:paraId="0B707353" w14:textId="33923237" w:rsidR="00C80B2A" w:rsidRDefault="00C80B2A" w:rsidP="00362E4C">
      <w:pPr>
        <w:pStyle w:val="dotpoint"/>
      </w:pPr>
      <w:r>
        <w:t>being bound by a compromise or arrangement;</w:t>
      </w:r>
    </w:p>
    <w:p w14:paraId="1430D852" w14:textId="7201366F" w:rsidR="00362E4C" w:rsidRDefault="00362E4C" w:rsidP="00362E4C">
      <w:pPr>
        <w:pStyle w:val="dotpoint"/>
      </w:pPr>
      <w:r>
        <w:t>dealing with property</w:t>
      </w:r>
      <w:r w:rsidR="00C80B2A">
        <w:t>;</w:t>
      </w:r>
    </w:p>
    <w:p w14:paraId="76FF8F21" w14:textId="0A9D456B" w:rsidR="00362E4C" w:rsidRDefault="00362E4C" w:rsidP="00362E4C">
      <w:pPr>
        <w:pStyle w:val="dotpoint"/>
      </w:pPr>
      <w:r>
        <w:t xml:space="preserve">bringing </w:t>
      </w:r>
      <w:r w:rsidR="00C80B2A">
        <w:t xml:space="preserve">or being a party to </w:t>
      </w:r>
      <w:r>
        <w:t>proceedings in court</w:t>
      </w:r>
      <w:r w:rsidR="00C80B2A">
        <w:t>;</w:t>
      </w:r>
    </w:p>
    <w:p w14:paraId="55320FC8" w14:textId="4E7CE0C1" w:rsidR="00362E4C" w:rsidRDefault="00362E4C" w:rsidP="00362E4C">
      <w:pPr>
        <w:pStyle w:val="dotpoint"/>
      </w:pPr>
      <w:r>
        <w:t>executing a document or instrument</w:t>
      </w:r>
      <w:r w:rsidR="00C80B2A">
        <w:t>;</w:t>
      </w:r>
    </w:p>
    <w:p w14:paraId="1F680FB3" w14:textId="27C71F83" w:rsidR="00362E4C" w:rsidRDefault="00362E4C" w:rsidP="00362E4C">
      <w:pPr>
        <w:pStyle w:val="dotpoint"/>
      </w:pPr>
      <w:r>
        <w:t>giving or receiving a document or notice</w:t>
      </w:r>
      <w:r w:rsidR="00C80B2A">
        <w:t>;</w:t>
      </w:r>
    </w:p>
    <w:p w14:paraId="749CB89F" w14:textId="1D109E70" w:rsidR="00362E4C" w:rsidRDefault="00362E4C" w:rsidP="00362E4C">
      <w:pPr>
        <w:pStyle w:val="dotpoint"/>
      </w:pPr>
      <w:r>
        <w:t>making an application to the Court or ASIC</w:t>
      </w:r>
      <w:r w:rsidR="00C80B2A">
        <w:t>;</w:t>
      </w:r>
    </w:p>
    <w:p w14:paraId="7A33A1FE" w14:textId="77777777" w:rsidR="00097AE1" w:rsidRDefault="00C80B2A" w:rsidP="00362E4C">
      <w:pPr>
        <w:pStyle w:val="dotpoint"/>
      </w:pPr>
      <w:r>
        <w:t xml:space="preserve">having a bank account; </w:t>
      </w:r>
    </w:p>
    <w:p w14:paraId="6902337A" w14:textId="76834D06" w:rsidR="00362E4C" w:rsidRDefault="00097AE1" w:rsidP="00362E4C">
      <w:pPr>
        <w:pStyle w:val="dotpoint"/>
      </w:pPr>
      <w:r>
        <w:t xml:space="preserve">having a constitution (as a sub-fund does not have a constitution); </w:t>
      </w:r>
      <w:r w:rsidR="00C80B2A">
        <w:t>and</w:t>
      </w:r>
    </w:p>
    <w:p w14:paraId="3DA8B646" w14:textId="219AEADB" w:rsidR="00C80B2A" w:rsidRDefault="00C80B2A" w:rsidP="00362E4C">
      <w:pPr>
        <w:pStyle w:val="dotpoint"/>
      </w:pPr>
      <w:r>
        <w:t>contravening a provision of the Act.</w:t>
      </w:r>
    </w:p>
    <w:p w14:paraId="60070E9E" w14:textId="05A05ED1" w:rsidR="00097AE1" w:rsidRDefault="0021239F" w:rsidP="0021239F">
      <w:pPr>
        <w:pStyle w:val="base-text-paragraph"/>
      </w:pPr>
      <w:r>
        <w:t xml:space="preserve">In sections which assume legal personality, references to the company continue to be read as references to the CCIV. However, </w:t>
      </w:r>
      <w:r w:rsidR="00706A4B">
        <w:t>to the extent that it is possible</w:t>
      </w:r>
      <w:r>
        <w:t>, the operation of these sections is confined to the sub-fund. This approach recognises that the sub</w:t>
      </w:r>
      <w:r w:rsidR="00706A4B">
        <w:noBreakHyphen/>
      </w:r>
      <w:r>
        <w:t xml:space="preserve">fund is not a legal entity, while still ensuring that external administration applies </w:t>
      </w:r>
      <w:r w:rsidR="00A67C8C">
        <w:t xml:space="preserve">on </w:t>
      </w:r>
      <w:r>
        <w:t>a sub-fund-by-sub-fund basis.</w:t>
      </w:r>
      <w:r w:rsidR="00097AE1" w:rsidRPr="00097AE1">
        <w:rPr>
          <w:rStyle w:val="Referencingstyle"/>
        </w:rPr>
        <w:t xml:space="preserve"> </w:t>
      </w:r>
      <w:r w:rsidR="00097AE1">
        <w:rPr>
          <w:rStyle w:val="Referencingstyle"/>
        </w:rPr>
        <w:t xml:space="preserve">[Schedule 1, item </w:t>
      </w:r>
      <w:r w:rsidR="00851D62">
        <w:rPr>
          <w:rStyle w:val="Referencingstyle"/>
        </w:rPr>
        <w:t>1</w:t>
      </w:r>
      <w:r w:rsidR="00097AE1">
        <w:rPr>
          <w:rStyle w:val="Referencingstyle"/>
        </w:rPr>
        <w:t xml:space="preserve">, subsections </w:t>
      </w:r>
      <w:r w:rsidR="00851D62">
        <w:rPr>
          <w:rStyle w:val="Referencingstyle"/>
        </w:rPr>
        <w:t>12-015</w:t>
      </w:r>
      <w:r w:rsidR="00097AE1">
        <w:rPr>
          <w:rStyle w:val="Referencingstyle"/>
        </w:rPr>
        <w:t xml:space="preserve">(6), </w:t>
      </w:r>
      <w:r w:rsidR="00851D62">
        <w:rPr>
          <w:rStyle w:val="Referencingstyle"/>
        </w:rPr>
        <w:t>12-060</w:t>
      </w:r>
      <w:r w:rsidR="00097AE1">
        <w:rPr>
          <w:rStyle w:val="Referencingstyle"/>
        </w:rPr>
        <w:t xml:space="preserve">(6), </w:t>
      </w:r>
      <w:r w:rsidR="00851D62">
        <w:rPr>
          <w:rStyle w:val="Referencingstyle"/>
        </w:rPr>
        <w:t>12-105</w:t>
      </w:r>
      <w:r w:rsidR="00097AE1">
        <w:rPr>
          <w:rStyle w:val="Referencingstyle"/>
        </w:rPr>
        <w:t xml:space="preserve">(6), </w:t>
      </w:r>
      <w:r w:rsidR="00DC2519">
        <w:rPr>
          <w:rStyle w:val="Referencingstyle"/>
        </w:rPr>
        <w:t>12</w:t>
      </w:r>
      <w:r w:rsidR="00186865">
        <w:rPr>
          <w:rStyle w:val="Referencingstyle"/>
        </w:rPr>
        <w:noBreakHyphen/>
      </w:r>
      <w:r w:rsidR="00DC2519">
        <w:rPr>
          <w:rStyle w:val="Referencingstyle"/>
        </w:rPr>
        <w:t>260</w:t>
      </w:r>
      <w:r w:rsidR="00097AE1">
        <w:rPr>
          <w:rStyle w:val="Referencingstyle"/>
        </w:rPr>
        <w:t xml:space="preserve">(6), </w:t>
      </w:r>
      <w:r w:rsidR="00DC2519">
        <w:rPr>
          <w:rStyle w:val="Referencingstyle"/>
        </w:rPr>
        <w:t>12-275</w:t>
      </w:r>
      <w:r w:rsidR="00097AE1">
        <w:rPr>
          <w:rStyle w:val="Referencingstyle"/>
        </w:rPr>
        <w:t xml:space="preserve">(6) and </w:t>
      </w:r>
      <w:r w:rsidR="00DC2519">
        <w:rPr>
          <w:rStyle w:val="Referencingstyle"/>
        </w:rPr>
        <w:t>1290</w:t>
      </w:r>
      <w:r w:rsidR="00010316">
        <w:rPr>
          <w:rStyle w:val="Referencingstyle"/>
        </w:rPr>
        <w:t>(5)]</w:t>
      </w:r>
    </w:p>
    <w:p w14:paraId="38809515" w14:textId="2E65D18F" w:rsidR="00097AE1" w:rsidRDefault="006A2D23" w:rsidP="006A2D23">
      <w:pPr>
        <w:pStyle w:val="ExampleHeading"/>
      </w:pPr>
      <w:r>
        <w:t>: Applying the first translation rule</w:t>
      </w:r>
    </w:p>
    <w:p w14:paraId="5A0935E7" w14:textId="4C841CC3" w:rsidR="006A2D23" w:rsidRDefault="006A2D23" w:rsidP="006A2D23">
      <w:pPr>
        <w:pStyle w:val="exampletext"/>
      </w:pPr>
      <w:r>
        <w:t>Section 459A states that ‘[o]n application under section 459P, the Court may order that an insolvent company be wound up in insolvency’.</w:t>
      </w:r>
    </w:p>
    <w:p w14:paraId="2976C584" w14:textId="751915C7" w:rsidR="006A2D23" w:rsidRDefault="006A2D23" w:rsidP="006A2D23">
      <w:pPr>
        <w:pStyle w:val="exampletext"/>
      </w:pPr>
      <w:r>
        <w:t>Applying the first translation rule, the reference to the insolvent ‘company’ must be read as a reference to the insolvent ‘sub-fund’. In other words, the Court must make an order that refers to a single sub-fund of the CCIV, rather than the CCIV as a whole.</w:t>
      </w:r>
    </w:p>
    <w:p w14:paraId="49203EE1" w14:textId="71C266B3" w:rsidR="006A2D23" w:rsidRDefault="006A2D23" w:rsidP="006A2D23">
      <w:pPr>
        <w:pStyle w:val="ExampleHeading"/>
      </w:pPr>
      <w:r>
        <w:t>: Situation where the first translation rule does not apply</w:t>
      </w:r>
    </w:p>
    <w:p w14:paraId="1DEBAB96" w14:textId="77777777" w:rsidR="006A2D23" w:rsidRDefault="006A2D23" w:rsidP="006A2D23">
      <w:pPr>
        <w:pStyle w:val="exampletext"/>
      </w:pPr>
      <w:r>
        <w:t>Section 471B provides that:</w:t>
      </w:r>
    </w:p>
    <w:p w14:paraId="5E655D8A" w14:textId="77196F8F" w:rsidR="006A2D23" w:rsidRPr="00F83D6E" w:rsidRDefault="006A2D23" w:rsidP="006C2E12">
      <w:pPr>
        <w:pStyle w:val="exampletext"/>
        <w:ind w:left="2160"/>
      </w:pPr>
      <w:r w:rsidRPr="00F83D6E">
        <w:t xml:space="preserve">While a </w:t>
      </w:r>
      <w:r w:rsidRPr="00F83D6E">
        <w:rPr>
          <w:u w:val="single"/>
        </w:rPr>
        <w:t>company</w:t>
      </w:r>
      <w:r w:rsidRPr="00F83D6E">
        <w:t xml:space="preserve"> is being wound up in insolvency or by the Court, or a provisional liquidator of a </w:t>
      </w:r>
      <w:r w:rsidRPr="00F83D6E">
        <w:rPr>
          <w:u w:val="single"/>
        </w:rPr>
        <w:t>company</w:t>
      </w:r>
      <w:r w:rsidRPr="00F83D6E">
        <w:t xml:space="preserve"> is acting, a person cannot begin or proceed with:</w:t>
      </w:r>
    </w:p>
    <w:p w14:paraId="44EC7F0F" w14:textId="77777777" w:rsidR="006C2E12" w:rsidRDefault="006A2D23" w:rsidP="006C2E12">
      <w:pPr>
        <w:pStyle w:val="exampletext"/>
        <w:ind w:left="2160"/>
      </w:pPr>
      <w:r w:rsidRPr="00F83D6E">
        <w:t xml:space="preserve">(a) a proceeding in a court against the </w:t>
      </w:r>
      <w:r w:rsidRPr="00F83D6E">
        <w:rPr>
          <w:u w:val="single"/>
        </w:rPr>
        <w:t>company</w:t>
      </w:r>
      <w:r w:rsidRPr="00F83D6E">
        <w:t xml:space="preserve"> ….</w:t>
      </w:r>
      <w:r w:rsidR="006C2E12">
        <w:t xml:space="preserve"> </w:t>
      </w:r>
    </w:p>
    <w:p w14:paraId="545F1A64" w14:textId="3FD34C2C" w:rsidR="006A2D23" w:rsidRPr="006C2E12" w:rsidRDefault="006C2E12" w:rsidP="006C2E12">
      <w:pPr>
        <w:pStyle w:val="exampletext"/>
        <w:ind w:left="2160"/>
      </w:pPr>
      <w:r>
        <w:t>(emphasis added)</w:t>
      </w:r>
    </w:p>
    <w:p w14:paraId="7CA1520C" w14:textId="6F91F562" w:rsidR="006A2D23" w:rsidRDefault="006C2E12" w:rsidP="006A2D23">
      <w:pPr>
        <w:pStyle w:val="exampletext"/>
      </w:pPr>
      <w:r>
        <w:t>Applying the first translation rule, the first and second reference to a company should be read as a reference to the sub-fund that is being wound up and a provisional liquidator of that sub-fund.</w:t>
      </w:r>
    </w:p>
    <w:p w14:paraId="4D7FB560" w14:textId="1C8D434B" w:rsidR="006C2E12" w:rsidRDefault="006C2E12" w:rsidP="006A2D23">
      <w:pPr>
        <w:pStyle w:val="exampletext"/>
      </w:pPr>
      <w:r>
        <w:t xml:space="preserve">The first translation rule does not apply to paragraph (a) because only a legal person can be sued. This reference should continue to refer to the company, but its operation should be confined to the sub-fund in wind up. For example, it </w:t>
      </w:r>
      <w:r w:rsidR="0021239F">
        <w:t>captures</w:t>
      </w:r>
      <w:r>
        <w:t xml:space="preserve"> proceedings in a court that relate to assets allocated to the sub-fund that is being wound up, but not proceedings that relate solely to assets and liabilities allocated to other sub-funds.</w:t>
      </w:r>
    </w:p>
    <w:p w14:paraId="700E5AD4" w14:textId="1B2DA6B6" w:rsidR="00097AE1" w:rsidRPr="00DB212C" w:rsidRDefault="00097AE1" w:rsidP="003E59EC">
      <w:pPr>
        <w:pStyle w:val="base-text-paragraph"/>
        <w:keepNext/>
        <w:numPr>
          <w:ilvl w:val="0"/>
          <w:numId w:val="0"/>
        </w:numPr>
        <w:ind w:left="1134"/>
        <w:rPr>
          <w:i/>
        </w:rPr>
      </w:pPr>
      <w:r w:rsidRPr="00DB212C">
        <w:rPr>
          <w:i/>
        </w:rPr>
        <w:t xml:space="preserve">Second </w:t>
      </w:r>
      <w:r w:rsidR="00DB212C">
        <w:rPr>
          <w:i/>
        </w:rPr>
        <w:t xml:space="preserve">and third </w:t>
      </w:r>
      <w:r w:rsidR="00DB212C" w:rsidRPr="00DB212C">
        <w:rPr>
          <w:i/>
        </w:rPr>
        <w:t>translation rule</w:t>
      </w:r>
      <w:r w:rsidR="00DB212C">
        <w:rPr>
          <w:i/>
        </w:rPr>
        <w:t>s – references to director, officer etc.</w:t>
      </w:r>
    </w:p>
    <w:p w14:paraId="5C1ED310" w14:textId="41C9E2CA" w:rsidR="00204EFF" w:rsidRDefault="00B14E8E" w:rsidP="00711D0C">
      <w:pPr>
        <w:pStyle w:val="base-text-paragraph"/>
      </w:pPr>
      <w:r>
        <w:t xml:space="preserve">The second translation rule replaces </w:t>
      </w:r>
      <w:r w:rsidR="00611DE6">
        <w:t>a reference</w:t>
      </w:r>
      <w:r w:rsidR="00A63E08">
        <w:t xml:space="preserve"> in the provisions</w:t>
      </w:r>
      <w:r>
        <w:t xml:space="preserve"> to </w:t>
      </w:r>
      <w:r w:rsidR="00611DE6">
        <w:t xml:space="preserve">‘director’, </w:t>
      </w:r>
      <w:r>
        <w:t>‘directors’ and ‘board’ with a reference to the ‘corporate director</w:t>
      </w:r>
      <w:r w:rsidR="00611DE6">
        <w:t xml:space="preserve"> of the CCIV</w:t>
      </w:r>
      <w:r>
        <w:t xml:space="preserve">’. </w:t>
      </w:r>
      <w:r w:rsidR="008415EA">
        <w:rPr>
          <w:rStyle w:val="Referencingstyle"/>
        </w:rPr>
        <w:t>[Schedule </w:t>
      </w:r>
      <w:r w:rsidR="00B3148B">
        <w:rPr>
          <w:rStyle w:val="Referencingstyle"/>
        </w:rPr>
        <w:t>2</w:t>
      </w:r>
      <w:r w:rsidR="008415EA">
        <w:rPr>
          <w:rStyle w:val="Referencingstyle"/>
        </w:rPr>
        <w:t>,</w:t>
      </w:r>
      <w:r w:rsidR="008A7153">
        <w:rPr>
          <w:rStyle w:val="Referencingstyle"/>
        </w:rPr>
        <w:t xml:space="preserve"> </w:t>
      </w:r>
      <w:r w:rsidR="008415EA">
        <w:rPr>
          <w:rStyle w:val="Referencingstyle"/>
        </w:rPr>
        <w:t>item</w:t>
      </w:r>
      <w:r w:rsidR="00B3148B">
        <w:rPr>
          <w:rStyle w:val="Referencingstyle"/>
        </w:rPr>
        <w:t>1</w:t>
      </w:r>
      <w:r w:rsidR="008415EA">
        <w:rPr>
          <w:rStyle w:val="Referencingstyle"/>
        </w:rPr>
        <w:t xml:space="preserve">, item 2 of subsections </w:t>
      </w:r>
      <w:r w:rsidR="00B3148B">
        <w:rPr>
          <w:rStyle w:val="Referencingstyle"/>
        </w:rPr>
        <w:t>12-015</w:t>
      </w:r>
      <w:r w:rsidR="008415EA">
        <w:rPr>
          <w:rStyle w:val="Referencingstyle"/>
        </w:rPr>
        <w:t xml:space="preserve">(4), </w:t>
      </w:r>
      <w:r w:rsidR="00B3148B">
        <w:rPr>
          <w:rStyle w:val="Referencingstyle"/>
        </w:rPr>
        <w:t>12-060</w:t>
      </w:r>
      <w:r w:rsidR="008415EA">
        <w:rPr>
          <w:rStyle w:val="Referencingstyle"/>
        </w:rPr>
        <w:t xml:space="preserve">(4), </w:t>
      </w:r>
      <w:r w:rsidR="00B3148B">
        <w:rPr>
          <w:rStyle w:val="Referencingstyle"/>
        </w:rPr>
        <w:t>12-105</w:t>
      </w:r>
      <w:r w:rsidR="008415EA">
        <w:rPr>
          <w:rStyle w:val="Referencingstyle"/>
        </w:rPr>
        <w:t xml:space="preserve">(4), </w:t>
      </w:r>
      <w:r w:rsidR="00B3148B">
        <w:rPr>
          <w:rStyle w:val="Referencingstyle"/>
        </w:rPr>
        <w:t>12-260</w:t>
      </w:r>
      <w:r w:rsidR="008415EA">
        <w:rPr>
          <w:rStyle w:val="Referencingstyle"/>
        </w:rPr>
        <w:t xml:space="preserve">(4) and </w:t>
      </w:r>
      <w:r w:rsidR="00B3148B">
        <w:rPr>
          <w:rStyle w:val="Referencingstyle"/>
        </w:rPr>
        <w:t>12-290</w:t>
      </w:r>
      <w:r w:rsidR="008415EA">
        <w:rPr>
          <w:rStyle w:val="Referencingstyle"/>
        </w:rPr>
        <w:t>(</w:t>
      </w:r>
      <w:r w:rsidR="00010316">
        <w:rPr>
          <w:rStyle w:val="Referencingstyle"/>
        </w:rPr>
        <w:t>3</w:t>
      </w:r>
      <w:r w:rsidR="008415EA">
        <w:rPr>
          <w:rStyle w:val="Referencingstyle"/>
        </w:rPr>
        <w:t>)]</w:t>
      </w:r>
    </w:p>
    <w:p w14:paraId="4F217195" w14:textId="5075C98A" w:rsidR="00F070FA" w:rsidRDefault="00B14E8E" w:rsidP="00711D0C">
      <w:pPr>
        <w:pStyle w:val="base-text-paragraph"/>
      </w:pPr>
      <w:r>
        <w:t>Th</w:t>
      </w:r>
      <w:r w:rsidR="00204EFF">
        <w:t>e second</w:t>
      </w:r>
      <w:r>
        <w:t xml:space="preserve"> translation rule is necessary as CCIVs, unlike other companies, do not appoint natural person directors (see paragraph </w:t>
      </w:r>
      <w:r w:rsidR="00C8675F">
        <w:t>5.14</w:t>
      </w:r>
      <w:r w:rsidR="00204EFF">
        <w:t xml:space="preserve"> of the Tranche 1 </w:t>
      </w:r>
      <w:r w:rsidR="000F67FD">
        <w:t>Explanatory</w:t>
      </w:r>
      <w:r w:rsidR="00204EFF">
        <w:t xml:space="preserve"> Material</w:t>
      </w:r>
      <w:r w:rsidR="000F67FD">
        <w:t>s</w:t>
      </w:r>
      <w:r>
        <w:t xml:space="preserve">). </w:t>
      </w:r>
      <w:r w:rsidR="00204EFF">
        <w:t xml:space="preserve">The </w:t>
      </w:r>
      <w:r w:rsidR="008415EA">
        <w:t xml:space="preserve">effect of the </w:t>
      </w:r>
      <w:r w:rsidR="00204EFF">
        <w:t>second translation</w:t>
      </w:r>
      <w:r w:rsidR="00C8675F">
        <w:t xml:space="preserve"> rule</w:t>
      </w:r>
      <w:r w:rsidR="00A63E08">
        <w:t xml:space="preserve"> is that</w:t>
      </w:r>
      <w:r w:rsidR="00204EFF">
        <w:t xml:space="preserve"> </w:t>
      </w:r>
      <w:r>
        <w:t xml:space="preserve">references to directors </w:t>
      </w:r>
      <w:r w:rsidR="00592562">
        <w:t xml:space="preserve">generally </w:t>
      </w:r>
      <w:r>
        <w:t xml:space="preserve">do not </w:t>
      </w:r>
      <w:r w:rsidR="008415EA">
        <w:t>include</w:t>
      </w:r>
      <w:r>
        <w:t xml:space="preserve"> natural person directors of the corporate director.</w:t>
      </w:r>
      <w:r w:rsidRPr="00B14E8E">
        <w:t xml:space="preserve"> </w:t>
      </w:r>
    </w:p>
    <w:p w14:paraId="34A550FC" w14:textId="78FFB59F" w:rsidR="008A5DBF" w:rsidRPr="00DB212C" w:rsidRDefault="00B14E8E" w:rsidP="00711D0C">
      <w:pPr>
        <w:pStyle w:val="base-text-paragraph"/>
      </w:pPr>
      <w:r w:rsidRPr="00DB212C">
        <w:t xml:space="preserve">The third translation rule clarifies that </w:t>
      </w:r>
      <w:r w:rsidR="00473811">
        <w:t>a reference</w:t>
      </w:r>
      <w:r w:rsidRPr="00DB212C">
        <w:t xml:space="preserve"> to the ‘officer</w:t>
      </w:r>
      <w:r w:rsidR="003B7D2D" w:rsidRPr="00DB212C">
        <w:t>’</w:t>
      </w:r>
      <w:r w:rsidRPr="00DB212C">
        <w:t xml:space="preserve"> of the </w:t>
      </w:r>
      <w:r w:rsidR="003B7D2D" w:rsidRPr="00DB212C">
        <w:t>relevant company</w:t>
      </w:r>
      <w:r w:rsidRPr="00DB212C">
        <w:t xml:space="preserve"> refers to the</w:t>
      </w:r>
      <w:r w:rsidR="008A5DBF" w:rsidRPr="00DB212C">
        <w:t>:</w:t>
      </w:r>
    </w:p>
    <w:p w14:paraId="7D4337D3" w14:textId="1CC1F993" w:rsidR="00611DE6" w:rsidRPr="00DB212C" w:rsidRDefault="00B14E8E" w:rsidP="008A5DBF">
      <w:pPr>
        <w:pStyle w:val="dotpoint"/>
      </w:pPr>
      <w:r w:rsidRPr="00DB212C">
        <w:t>corporate director</w:t>
      </w:r>
      <w:r w:rsidR="008A5DBF" w:rsidRPr="00DB212C">
        <w:t xml:space="preserve"> of the CCIV; </w:t>
      </w:r>
    </w:p>
    <w:p w14:paraId="50163219" w14:textId="21AC04AE" w:rsidR="008A5DBF" w:rsidRPr="00DB212C" w:rsidRDefault="00611DE6" w:rsidP="008A5DBF">
      <w:pPr>
        <w:pStyle w:val="dotpoint"/>
      </w:pPr>
      <w:r w:rsidRPr="00DB212C">
        <w:t>a shadow director of the CCIV</w:t>
      </w:r>
      <w:r w:rsidR="005D612D">
        <w:t>;</w:t>
      </w:r>
      <w:r w:rsidR="005D612D">
        <w:rPr>
          <w:rStyle w:val="FootnoteReference"/>
        </w:rPr>
        <w:footnoteReference w:id="3"/>
      </w:r>
      <w:r w:rsidRPr="00DB212C">
        <w:t xml:space="preserve"> </w:t>
      </w:r>
      <w:r w:rsidR="008A5DBF" w:rsidRPr="00DB212C">
        <w:t>or</w:t>
      </w:r>
    </w:p>
    <w:p w14:paraId="122E651B" w14:textId="008793CE" w:rsidR="004260FD" w:rsidRPr="00DB212C" w:rsidRDefault="00611DE6" w:rsidP="008A5DBF">
      <w:pPr>
        <w:pStyle w:val="dotpoint"/>
      </w:pPr>
      <w:r w:rsidRPr="00DB212C">
        <w:t xml:space="preserve">a receiver, receiver and manager, </w:t>
      </w:r>
      <w:r w:rsidR="008A5DBF" w:rsidRPr="00DB212C">
        <w:t>administrator o</w:t>
      </w:r>
      <w:r w:rsidRPr="00DB212C">
        <w:t xml:space="preserve">f a deed of company arrangement, </w:t>
      </w:r>
      <w:r w:rsidR="008A5DBF" w:rsidRPr="00DB212C">
        <w:t>liquidator or tru</w:t>
      </w:r>
      <w:r w:rsidRPr="00DB212C">
        <w:t>stee administering a compromise for the sub-fund that is in external administration</w:t>
      </w:r>
      <w:r w:rsidR="008A5DBF" w:rsidRPr="00DB212C">
        <w:t>.</w:t>
      </w:r>
    </w:p>
    <w:p w14:paraId="00121C18" w14:textId="31BCD174" w:rsidR="004260FD" w:rsidRPr="00DB212C" w:rsidRDefault="004260FD" w:rsidP="004260FD">
      <w:pPr>
        <w:pStyle w:val="base-text-paragraph"/>
        <w:numPr>
          <w:ilvl w:val="0"/>
          <w:numId w:val="0"/>
        </w:numPr>
        <w:ind w:left="1984"/>
      </w:pPr>
      <w:r w:rsidRPr="00DB212C">
        <w:rPr>
          <w:rStyle w:val="Referencingstyle"/>
        </w:rPr>
        <w:t>[Schedule </w:t>
      </w:r>
      <w:r w:rsidR="00B3148B">
        <w:rPr>
          <w:rStyle w:val="Referencingstyle"/>
        </w:rPr>
        <w:t>2</w:t>
      </w:r>
      <w:r w:rsidRPr="00DB212C">
        <w:rPr>
          <w:rStyle w:val="Referencingstyle"/>
        </w:rPr>
        <w:t xml:space="preserve">, item </w:t>
      </w:r>
      <w:r w:rsidR="00B3148B">
        <w:rPr>
          <w:rStyle w:val="Referencingstyle"/>
        </w:rPr>
        <w:t>1</w:t>
      </w:r>
      <w:r w:rsidRPr="00DB212C">
        <w:rPr>
          <w:rStyle w:val="Referencingstyle"/>
        </w:rPr>
        <w:t xml:space="preserve">, item </w:t>
      </w:r>
      <w:r w:rsidR="007A23F4" w:rsidRPr="00DB212C">
        <w:rPr>
          <w:rStyle w:val="Referencingstyle"/>
        </w:rPr>
        <w:t>3</w:t>
      </w:r>
      <w:r w:rsidRPr="00DB212C">
        <w:rPr>
          <w:rStyle w:val="Referencingstyle"/>
        </w:rPr>
        <w:t xml:space="preserve"> of subsections </w:t>
      </w:r>
      <w:r w:rsidR="00B3148B">
        <w:rPr>
          <w:rStyle w:val="Referencingstyle"/>
        </w:rPr>
        <w:t>12-015</w:t>
      </w:r>
      <w:r w:rsidRPr="00DB212C">
        <w:rPr>
          <w:rStyle w:val="Referencingstyle"/>
        </w:rPr>
        <w:t xml:space="preserve">(4), </w:t>
      </w:r>
      <w:r w:rsidR="00B3148B">
        <w:rPr>
          <w:rStyle w:val="Referencingstyle"/>
        </w:rPr>
        <w:t>12-060</w:t>
      </w:r>
      <w:r w:rsidRPr="00DB212C">
        <w:rPr>
          <w:rStyle w:val="Referencingstyle"/>
        </w:rPr>
        <w:t xml:space="preserve">(4), </w:t>
      </w:r>
      <w:r w:rsidR="00B3148B">
        <w:rPr>
          <w:rStyle w:val="Referencingstyle"/>
        </w:rPr>
        <w:t>12-105</w:t>
      </w:r>
      <w:r w:rsidRPr="00DB212C">
        <w:rPr>
          <w:rStyle w:val="Referencingstyle"/>
        </w:rPr>
        <w:t xml:space="preserve">(4), </w:t>
      </w:r>
      <w:r w:rsidR="00B3148B">
        <w:rPr>
          <w:rStyle w:val="Referencingstyle"/>
        </w:rPr>
        <w:t>12-260</w:t>
      </w:r>
      <w:r w:rsidRPr="00DB212C">
        <w:rPr>
          <w:rStyle w:val="Referencingstyle"/>
        </w:rPr>
        <w:t xml:space="preserve">(4) and </w:t>
      </w:r>
      <w:r w:rsidR="00B3148B">
        <w:rPr>
          <w:rStyle w:val="Referencingstyle"/>
        </w:rPr>
        <w:t>12</w:t>
      </w:r>
      <w:r w:rsidR="00186865">
        <w:rPr>
          <w:rStyle w:val="Referencingstyle"/>
        </w:rPr>
        <w:noBreakHyphen/>
      </w:r>
      <w:r w:rsidR="00B3148B">
        <w:rPr>
          <w:rStyle w:val="Referencingstyle"/>
        </w:rPr>
        <w:t>290</w:t>
      </w:r>
      <w:r w:rsidRPr="00DB212C">
        <w:rPr>
          <w:rStyle w:val="Referencingstyle"/>
        </w:rPr>
        <w:t>(</w:t>
      </w:r>
      <w:r w:rsidR="00010316">
        <w:rPr>
          <w:rStyle w:val="Referencingstyle"/>
        </w:rPr>
        <w:t>3</w:t>
      </w:r>
      <w:r w:rsidRPr="00DB212C">
        <w:rPr>
          <w:rStyle w:val="Referencingstyle"/>
        </w:rPr>
        <w:t>)]</w:t>
      </w:r>
    </w:p>
    <w:p w14:paraId="19EDB0C1" w14:textId="1B4F3B68" w:rsidR="004260FD" w:rsidRDefault="004260FD" w:rsidP="00711D0C">
      <w:pPr>
        <w:pStyle w:val="base-text-paragraph"/>
      </w:pPr>
      <w:r w:rsidRPr="00B32E9C">
        <w:t>This third translation rule recognises that a CCIV may only appo</w:t>
      </w:r>
      <w:r w:rsidR="0073388E">
        <w:t>int a single corporate director</w:t>
      </w:r>
      <w:r w:rsidR="0024222A">
        <w:t>,</w:t>
      </w:r>
      <w:r w:rsidRPr="00B32E9C">
        <w:t xml:space="preserve"> but </w:t>
      </w:r>
      <w:r w:rsidR="0024222A">
        <w:t>that</w:t>
      </w:r>
      <w:r w:rsidRPr="00B32E9C">
        <w:t xml:space="preserve"> a different external administrator may be appoint</w:t>
      </w:r>
      <w:r w:rsidR="0073388E">
        <w:t>ed for each sub</w:t>
      </w:r>
      <w:r w:rsidR="009C4DA9">
        <w:noBreakHyphen/>
      </w:r>
      <w:r w:rsidR="0073388E">
        <w:t xml:space="preserve">fund </w:t>
      </w:r>
      <w:r w:rsidR="0024222A">
        <w:t xml:space="preserve">(as </w:t>
      </w:r>
      <w:r w:rsidR="0073388E">
        <w:t>Chapter 5 applies</w:t>
      </w:r>
      <w:r w:rsidRPr="00B32E9C">
        <w:t xml:space="preserve"> </w:t>
      </w:r>
      <w:r w:rsidR="00931D5D">
        <w:t xml:space="preserve">to CCIVs </w:t>
      </w:r>
      <w:r w:rsidRPr="00B32E9C">
        <w:t>on a sub-fund-by-sub-fund basis</w:t>
      </w:r>
      <w:r w:rsidR="0024222A">
        <w:t>)</w:t>
      </w:r>
      <w:r w:rsidRPr="00B32E9C">
        <w:t xml:space="preserve">. </w:t>
      </w:r>
    </w:p>
    <w:p w14:paraId="6E591913" w14:textId="45357922" w:rsidR="00667058" w:rsidRDefault="00667058" w:rsidP="00667058">
      <w:pPr>
        <w:pStyle w:val="base-text-paragraph"/>
      </w:pPr>
      <w:r>
        <w:t>There are some exceptions to the second and third transaction rules. These</w:t>
      </w:r>
      <w:r w:rsidR="00B1071F">
        <w:t> </w:t>
      </w:r>
      <w:r w:rsidR="00A42F4A">
        <w:t>provide</w:t>
      </w:r>
      <w:r>
        <w:t xml:space="preserve"> that the natural person directors of the corporate director:</w:t>
      </w:r>
    </w:p>
    <w:p w14:paraId="6B23E5C9" w14:textId="77777777" w:rsidR="00667058" w:rsidRPr="00677534" w:rsidRDefault="00667058" w:rsidP="00667058">
      <w:pPr>
        <w:pStyle w:val="dotpoint"/>
      </w:pPr>
      <w:r w:rsidRPr="00677534">
        <w:t xml:space="preserve">are each taken to be a director of a sub-fund for the purposes of the arrangement and reconstruction provisions (see paragraph </w:t>
      </w:r>
      <w:r w:rsidRPr="00677534">
        <w:fldChar w:fldCharType="begin"/>
      </w:r>
      <w:r w:rsidRPr="00677534">
        <w:instrText xml:space="preserve"> REF _Ref525826142 \r \h </w:instrText>
      </w:r>
      <w:r>
        <w:instrText xml:space="preserve"> \* MERGEFORMAT </w:instrText>
      </w:r>
      <w:r w:rsidRPr="00677534">
        <w:fldChar w:fldCharType="separate"/>
      </w:r>
      <w:r w:rsidR="00275132">
        <w:t>3.46</w:t>
      </w:r>
      <w:r w:rsidRPr="00677534">
        <w:fldChar w:fldCharType="end"/>
      </w:r>
      <w:r w:rsidRPr="00677534">
        <w:t xml:space="preserve"> of these explanatory materials for a</w:t>
      </w:r>
      <w:r>
        <w:t>n</w:t>
      </w:r>
      <w:r w:rsidRPr="00677534">
        <w:t xml:space="preserve"> </w:t>
      </w:r>
      <w:r>
        <w:t>explanation</w:t>
      </w:r>
      <w:r w:rsidRPr="00677534">
        <w:t xml:space="preserve"> of the special second translation rule that applies to the arrangements and reconstructions provisions)</w:t>
      </w:r>
    </w:p>
    <w:p w14:paraId="5B3341D6" w14:textId="77777777" w:rsidR="00667058" w:rsidRPr="00677534" w:rsidRDefault="00667058" w:rsidP="00667058">
      <w:pPr>
        <w:pStyle w:val="dotpoint"/>
      </w:pPr>
      <w:r w:rsidRPr="00AA3F3D">
        <w:t xml:space="preserve">are ineligible to act as a receiver or a liquidator (see paragraphs </w:t>
      </w:r>
      <w:r w:rsidRPr="00AA3F3D">
        <w:fldChar w:fldCharType="begin"/>
      </w:r>
      <w:r w:rsidRPr="00AA3F3D">
        <w:instrText xml:space="preserve"> REF _Ref524423442 \r \h  \* MERGEFORMAT </w:instrText>
      </w:r>
      <w:r w:rsidRPr="00AA3F3D">
        <w:fldChar w:fldCharType="separate"/>
      </w:r>
      <w:r w:rsidR="00275132">
        <w:t>3.56</w:t>
      </w:r>
      <w:r w:rsidRPr="00AA3F3D">
        <w:fldChar w:fldCharType="end"/>
      </w:r>
      <w:r w:rsidRPr="00AA3F3D">
        <w:t xml:space="preserve"> and </w:t>
      </w:r>
      <w:r w:rsidRPr="00AA3F3D">
        <w:fldChar w:fldCharType="begin"/>
      </w:r>
      <w:r w:rsidRPr="00AA3F3D">
        <w:instrText xml:space="preserve"> REF _Ref524423458 \r \h  \* MERGEFORMAT </w:instrText>
      </w:r>
      <w:r w:rsidRPr="00AA3F3D">
        <w:fldChar w:fldCharType="separate"/>
      </w:r>
      <w:r w:rsidR="00275132">
        <w:t>3.103</w:t>
      </w:r>
      <w:r w:rsidRPr="00AA3F3D">
        <w:fldChar w:fldCharType="end"/>
      </w:r>
      <w:r w:rsidRPr="00AA3F3D">
        <w:t>)</w:t>
      </w:r>
      <w:r w:rsidRPr="00677534">
        <w:t>;</w:t>
      </w:r>
    </w:p>
    <w:p w14:paraId="58718548" w14:textId="33BC28D5" w:rsidR="00667058" w:rsidRPr="003F7083" w:rsidRDefault="005444B6" w:rsidP="00667058">
      <w:pPr>
        <w:pStyle w:val="dotpoint"/>
      </w:pPr>
      <w:r>
        <w:t>are</w:t>
      </w:r>
      <w:r w:rsidRPr="003F7083">
        <w:t xml:space="preserve"> </w:t>
      </w:r>
      <w:r w:rsidR="00667058" w:rsidRPr="003F7083">
        <w:t xml:space="preserve">required to </w:t>
      </w:r>
      <w:r w:rsidR="003B137E" w:rsidRPr="003F7083">
        <w:t xml:space="preserve">provide reasonable assistance to </w:t>
      </w:r>
      <w:r w:rsidR="00667058" w:rsidRPr="003F7083">
        <w:t xml:space="preserve">the liquidator </w:t>
      </w:r>
      <w:r w:rsidR="003B137E" w:rsidRPr="003F7083">
        <w:t>under</w:t>
      </w:r>
      <w:r w:rsidR="00667058" w:rsidRPr="003F7083">
        <w:t xml:space="preserve"> existing section 530A (see paragraph </w:t>
      </w:r>
      <w:r w:rsidR="003B137E" w:rsidRPr="003F7083">
        <w:fldChar w:fldCharType="begin"/>
      </w:r>
      <w:r w:rsidR="003B137E" w:rsidRPr="003F7083">
        <w:instrText xml:space="preserve"> REF _Ref525900141 \r \h </w:instrText>
      </w:r>
      <w:r w:rsidR="00BA6EBB">
        <w:instrText xml:space="preserve"> \* MERGEFORMAT </w:instrText>
      </w:r>
      <w:r w:rsidR="003B137E" w:rsidRPr="003F7083">
        <w:fldChar w:fldCharType="separate"/>
      </w:r>
      <w:r w:rsidR="00275132">
        <w:t>3.114</w:t>
      </w:r>
      <w:r w:rsidR="003B137E" w:rsidRPr="003F7083">
        <w:fldChar w:fldCharType="end"/>
      </w:r>
      <w:r w:rsidR="00667058" w:rsidRPr="003F7083">
        <w:t>);</w:t>
      </w:r>
    </w:p>
    <w:p w14:paraId="1613137E" w14:textId="5F18A85F" w:rsidR="00667058" w:rsidRDefault="00667058" w:rsidP="00667058">
      <w:pPr>
        <w:pStyle w:val="dotpoint"/>
      </w:pPr>
      <w:r w:rsidRPr="00677534">
        <w:t xml:space="preserve">each individually owe a duty to ensure that a CCIV does not trade in relation to a sub-fund when the sub-fund is insolvent (see paragraph </w:t>
      </w:r>
      <w:r w:rsidRPr="00677534">
        <w:fldChar w:fldCharType="begin"/>
      </w:r>
      <w:r w:rsidRPr="00677534">
        <w:instrText xml:space="preserve"> REF _Ref525826177 \r \h </w:instrText>
      </w:r>
      <w:r>
        <w:instrText xml:space="preserve"> \* MERGEFORMAT </w:instrText>
      </w:r>
      <w:r w:rsidRPr="00677534">
        <w:fldChar w:fldCharType="separate"/>
      </w:r>
      <w:r w:rsidR="00275132">
        <w:t>3.168</w:t>
      </w:r>
      <w:r w:rsidRPr="00677534">
        <w:fldChar w:fldCharType="end"/>
      </w:r>
      <w:r w:rsidRPr="00677534">
        <w:t xml:space="preserve"> for a</w:t>
      </w:r>
      <w:r>
        <w:t>n</w:t>
      </w:r>
      <w:r w:rsidRPr="00677534">
        <w:t xml:space="preserve"> </w:t>
      </w:r>
      <w:r>
        <w:t>explanation</w:t>
      </w:r>
      <w:r w:rsidRPr="00677534">
        <w:t xml:space="preserve"> of the </w:t>
      </w:r>
      <w:r>
        <w:t xml:space="preserve">special </w:t>
      </w:r>
      <w:r w:rsidRPr="00677534">
        <w:t xml:space="preserve">second translation rule for the </w:t>
      </w:r>
      <w:r>
        <w:t>property recovery</w:t>
      </w:r>
      <w:r w:rsidRPr="00677534">
        <w:t xml:space="preserve"> provisions)</w:t>
      </w:r>
      <w:r>
        <w:t>;</w:t>
      </w:r>
    </w:p>
    <w:p w14:paraId="74DF97AC" w14:textId="5477371D" w:rsidR="00667058" w:rsidRPr="00677534" w:rsidRDefault="00667058" w:rsidP="00667058">
      <w:pPr>
        <w:pStyle w:val="dotpoint"/>
      </w:pPr>
      <w:r w:rsidRPr="00677534">
        <w:t xml:space="preserve">may commit an offence under existing section 596 if they use fraud to induce a person to give credit to the CCIV, gift the sub-fund’s property with the intent to defraud or engage in certain other similar conduct (see paragraph </w:t>
      </w:r>
      <w:r w:rsidRPr="00677534">
        <w:fldChar w:fldCharType="begin"/>
      </w:r>
      <w:r w:rsidRPr="00677534">
        <w:instrText xml:space="preserve"> REF _Ref524510816 \r \h </w:instrText>
      </w:r>
      <w:r>
        <w:instrText xml:space="preserve"> \* MERGEFORMAT </w:instrText>
      </w:r>
      <w:r w:rsidRPr="00677534">
        <w:fldChar w:fldCharType="separate"/>
      </w:r>
      <w:r w:rsidR="00275132">
        <w:t>3.173</w:t>
      </w:r>
      <w:r w:rsidRPr="00677534">
        <w:fldChar w:fldCharType="end"/>
      </w:r>
      <w:r w:rsidRPr="00677534">
        <w:t>); and</w:t>
      </w:r>
    </w:p>
    <w:p w14:paraId="40CA8597" w14:textId="77777777" w:rsidR="00667058" w:rsidRPr="00677534" w:rsidRDefault="00667058" w:rsidP="00667058">
      <w:pPr>
        <w:pStyle w:val="dotpoint"/>
      </w:pPr>
      <w:r w:rsidRPr="00AA3F3D">
        <w:t xml:space="preserve">may be mandatorily summonsed up to two years after the end of the external administration procedure under existing section 596A (see paragraph </w:t>
      </w:r>
      <w:r w:rsidRPr="00677534">
        <w:fldChar w:fldCharType="begin"/>
      </w:r>
      <w:r w:rsidRPr="00677534">
        <w:instrText xml:space="preserve"> REF _Ref524510816 \r \h </w:instrText>
      </w:r>
      <w:r>
        <w:instrText xml:space="preserve"> \* MERGEFORMAT </w:instrText>
      </w:r>
      <w:r w:rsidRPr="00677534">
        <w:fldChar w:fldCharType="separate"/>
      </w:r>
      <w:r w:rsidR="00275132">
        <w:t>3.173</w:t>
      </w:r>
      <w:r w:rsidRPr="00677534">
        <w:fldChar w:fldCharType="end"/>
      </w:r>
      <w:r w:rsidRPr="00AA3F3D">
        <w:t>).</w:t>
      </w:r>
      <w:r w:rsidRPr="00677534">
        <w:t xml:space="preserve"> </w:t>
      </w:r>
    </w:p>
    <w:p w14:paraId="2EF4CAC3" w14:textId="72D21920" w:rsidR="00B32E9C" w:rsidRDefault="00C16C7B" w:rsidP="00C16C7B">
      <w:pPr>
        <w:pStyle w:val="ExampleHeading"/>
      </w:pPr>
      <w:r>
        <w:t>: Applying the third translation rule</w:t>
      </w:r>
    </w:p>
    <w:p w14:paraId="41CD63BE" w14:textId="5D268018" w:rsidR="00ED4E2B" w:rsidRDefault="003D0FB3" w:rsidP="00C16C7B">
      <w:pPr>
        <w:pStyle w:val="exampletext"/>
      </w:pPr>
      <w:r>
        <w:t>A</w:t>
      </w:r>
      <w:r w:rsidR="00ED4E2B">
        <w:t xml:space="preserve"> CCIV has two sub-funds. The corporate director of the CCIV is Director Services Ltd and </w:t>
      </w:r>
      <w:r w:rsidR="00617BBE">
        <w:t>the CCIV has</w:t>
      </w:r>
      <w:r w:rsidR="00ED4E2B">
        <w:t xml:space="preserve"> no shadow directors. A receiver has been appointed to the first sub-fund. The second sub-fund is about to be wound up.</w:t>
      </w:r>
    </w:p>
    <w:p w14:paraId="3B8184D8" w14:textId="520651E4" w:rsidR="00C16C7B" w:rsidRDefault="00ED4E2B" w:rsidP="00C16C7B">
      <w:pPr>
        <w:pStyle w:val="exampletext"/>
      </w:pPr>
      <w:r>
        <w:t>Paragraph</w:t>
      </w:r>
      <w:r w:rsidR="00C16C7B">
        <w:t xml:space="preserve"> </w:t>
      </w:r>
      <w:r>
        <w:t>532(</w:t>
      </w:r>
      <w:r w:rsidR="005D612D">
        <w:t>2</w:t>
      </w:r>
      <w:r w:rsidRPr="00AA3F3D">
        <w:t>)(c)</w:t>
      </w:r>
      <w:r w:rsidR="00C16C7B" w:rsidRPr="00AA3F3D">
        <w:t xml:space="preserve"> </w:t>
      </w:r>
      <w:r w:rsidR="00617BBE">
        <w:t xml:space="preserve">of the existing law </w:t>
      </w:r>
      <w:r>
        <w:t xml:space="preserve">prohibits a person from being appointed as the liquidator of a company if the person is ‘an </w:t>
      </w:r>
      <w:r w:rsidRPr="00ED4E2B">
        <w:rPr>
          <w:u w:val="single"/>
        </w:rPr>
        <w:t>officer</w:t>
      </w:r>
      <w:r>
        <w:t xml:space="preserve"> or employee of the company (otherwise than by reason of being a liquidator of the company or of a related body corporate)’ (emphasis added).</w:t>
      </w:r>
    </w:p>
    <w:p w14:paraId="02AC7DCE" w14:textId="290D11E1" w:rsidR="00ED4E2B" w:rsidRDefault="00ED4E2B" w:rsidP="00C16C7B">
      <w:pPr>
        <w:pStyle w:val="exampletext"/>
      </w:pPr>
      <w:r>
        <w:t>Applying the third translation</w:t>
      </w:r>
      <w:r w:rsidR="009B0BDA">
        <w:t xml:space="preserve"> rule</w:t>
      </w:r>
      <w:r>
        <w:t xml:space="preserve">, Director Services Ltd cannot be appointed as the liquidator for the second sub-fund. </w:t>
      </w:r>
    </w:p>
    <w:p w14:paraId="7E1AA7FA" w14:textId="3517DA7B" w:rsidR="00ED4E2B" w:rsidRPr="00C16C7B" w:rsidRDefault="00ED4E2B" w:rsidP="00C16C7B">
      <w:pPr>
        <w:pStyle w:val="exampletext"/>
      </w:pPr>
      <w:r>
        <w:t>Paragraph 532(1A)(c)</w:t>
      </w:r>
      <w:r w:rsidR="00617BBE">
        <w:t>, when read subject to the third translation rule,</w:t>
      </w:r>
      <w:r>
        <w:t xml:space="preserve"> does not prohibit the receiver of the first sub-fund from being appointed as the liquidator of the second sub-fund. </w:t>
      </w:r>
      <w:r w:rsidR="00617BBE">
        <w:t>This is because a reference to an ‘officer’ only includes the receiver of the sub-fund that is to be wound up, not a receiver appointed in respect of another sub</w:t>
      </w:r>
      <w:r w:rsidR="00A42F4A">
        <w:noBreakHyphen/>
      </w:r>
      <w:r w:rsidR="00617BBE">
        <w:t>fund.</w:t>
      </w:r>
    </w:p>
    <w:p w14:paraId="43A3E3C0" w14:textId="1DECEB95" w:rsidR="00B32E9C" w:rsidRPr="00B32E9C" w:rsidRDefault="00B32E9C" w:rsidP="00B32E9C">
      <w:pPr>
        <w:pStyle w:val="base-text-paragraph"/>
        <w:numPr>
          <w:ilvl w:val="0"/>
          <w:numId w:val="0"/>
        </w:numPr>
        <w:ind w:left="1134"/>
      </w:pPr>
      <w:r>
        <w:rPr>
          <w:i/>
        </w:rPr>
        <w:t xml:space="preserve">Fourth </w:t>
      </w:r>
      <w:r w:rsidR="003D0FB3">
        <w:rPr>
          <w:i/>
        </w:rPr>
        <w:t xml:space="preserve">and fifth </w:t>
      </w:r>
      <w:r>
        <w:rPr>
          <w:i/>
        </w:rPr>
        <w:t>translation rule</w:t>
      </w:r>
      <w:r w:rsidR="0073388E">
        <w:rPr>
          <w:i/>
        </w:rPr>
        <w:t>s</w:t>
      </w:r>
    </w:p>
    <w:p w14:paraId="0C56AAE6" w14:textId="6C2E45DC" w:rsidR="00821B15" w:rsidRPr="003D0FB3" w:rsidRDefault="00BC49DA" w:rsidP="00711D0C">
      <w:pPr>
        <w:pStyle w:val="base-text-paragraph"/>
        <w:rPr>
          <w:rStyle w:val="Referencingstyle"/>
          <w:b w:val="0"/>
          <w:i w:val="0"/>
          <w:sz w:val="22"/>
        </w:rPr>
      </w:pPr>
      <w:r w:rsidRPr="00FA5B27">
        <w:t>The fourth translation rule substitutes a reference to ‘shares</w:t>
      </w:r>
      <w:r w:rsidR="003B7D2D">
        <w:t>’</w:t>
      </w:r>
      <w:r w:rsidR="000D3EF0">
        <w:t xml:space="preserve"> in the </w:t>
      </w:r>
      <w:r w:rsidR="003B7D2D">
        <w:t>relevant company</w:t>
      </w:r>
      <w:r>
        <w:t xml:space="preserve"> with a reference to the ‘shares referable to the sub-fund’</w:t>
      </w:r>
      <w:r w:rsidR="000D3EF0">
        <w:t xml:space="preserve">. </w:t>
      </w:r>
      <w:r w:rsidR="003D0FB3">
        <w:t>This</w:t>
      </w:r>
      <w:r w:rsidR="000D3EF0">
        <w:t xml:space="preserve"> recognise</w:t>
      </w:r>
      <w:r w:rsidR="003D0FB3">
        <w:t>s</w:t>
      </w:r>
      <w:r w:rsidR="000D3EF0">
        <w:t xml:space="preserve"> that</w:t>
      </w:r>
      <w:r>
        <w:t xml:space="preserve"> </w:t>
      </w:r>
      <w:r w:rsidR="000D3EF0">
        <w:t>a</w:t>
      </w:r>
      <w:r>
        <w:t xml:space="preserve">ll shares are shares </w:t>
      </w:r>
      <w:r w:rsidR="00A42F4A">
        <w:t xml:space="preserve">of </w:t>
      </w:r>
      <w:r>
        <w:t>a CCIV but the rights attaching to those shares must relate to only on</w:t>
      </w:r>
      <w:r w:rsidR="00A51F94">
        <w:t xml:space="preserve">e sub-fund. Refer to paragraph </w:t>
      </w:r>
      <w:r w:rsidR="00821B15">
        <w:t>3.25</w:t>
      </w:r>
      <w:r>
        <w:t xml:space="preserve"> </w:t>
      </w:r>
      <w:r w:rsidR="00A51F94">
        <w:t xml:space="preserve">of the Tranche 1 Explanatory Materials </w:t>
      </w:r>
      <w:r>
        <w:t>for a</w:t>
      </w:r>
      <w:r w:rsidR="00821B15">
        <w:t>n explanation of the meaning of shares being referable to a sub-fund</w:t>
      </w:r>
      <w:r>
        <w:t>.</w:t>
      </w:r>
      <w:r w:rsidR="00821B15">
        <w:t xml:space="preserve"> </w:t>
      </w:r>
      <w:r w:rsidR="00821B15">
        <w:rPr>
          <w:rStyle w:val="Referencingstyle"/>
        </w:rPr>
        <w:t>[Schedule </w:t>
      </w:r>
      <w:r w:rsidR="00B3148B">
        <w:rPr>
          <w:rStyle w:val="Referencingstyle"/>
        </w:rPr>
        <w:t>2</w:t>
      </w:r>
      <w:r w:rsidR="00821B15">
        <w:rPr>
          <w:rStyle w:val="Referencingstyle"/>
        </w:rPr>
        <w:t xml:space="preserve">, item </w:t>
      </w:r>
      <w:r w:rsidR="00B3148B">
        <w:rPr>
          <w:rStyle w:val="Referencingstyle"/>
        </w:rPr>
        <w:t>1</w:t>
      </w:r>
      <w:r w:rsidR="00821B15">
        <w:rPr>
          <w:rStyle w:val="Referencingstyle"/>
        </w:rPr>
        <w:t>, item</w:t>
      </w:r>
      <w:r w:rsidR="00667058">
        <w:rPr>
          <w:rStyle w:val="Referencingstyle"/>
        </w:rPr>
        <w:t> </w:t>
      </w:r>
      <w:r w:rsidR="00821B15">
        <w:rPr>
          <w:rStyle w:val="Referencingstyle"/>
        </w:rPr>
        <w:t xml:space="preserve">4 of subsections </w:t>
      </w:r>
      <w:r w:rsidR="00B3148B">
        <w:rPr>
          <w:rStyle w:val="Referencingstyle"/>
        </w:rPr>
        <w:t>12-015</w:t>
      </w:r>
      <w:r w:rsidR="00821B15">
        <w:rPr>
          <w:rStyle w:val="Referencingstyle"/>
        </w:rPr>
        <w:t xml:space="preserve">(4), </w:t>
      </w:r>
      <w:r w:rsidR="00B3148B">
        <w:rPr>
          <w:rStyle w:val="Referencingstyle"/>
        </w:rPr>
        <w:t>12-060</w:t>
      </w:r>
      <w:r w:rsidR="00821B15">
        <w:rPr>
          <w:rStyle w:val="Referencingstyle"/>
        </w:rPr>
        <w:t xml:space="preserve">(4), </w:t>
      </w:r>
      <w:r w:rsidR="00B3148B">
        <w:rPr>
          <w:rStyle w:val="Referencingstyle"/>
        </w:rPr>
        <w:t>12-105</w:t>
      </w:r>
      <w:r w:rsidR="00821B15">
        <w:rPr>
          <w:rStyle w:val="Referencingstyle"/>
        </w:rPr>
        <w:t xml:space="preserve">(4), </w:t>
      </w:r>
      <w:r w:rsidR="00B3148B">
        <w:rPr>
          <w:rStyle w:val="Referencingstyle"/>
        </w:rPr>
        <w:t>12-260</w:t>
      </w:r>
      <w:r w:rsidR="00821B15">
        <w:rPr>
          <w:rStyle w:val="Referencingstyle"/>
        </w:rPr>
        <w:t>(4)</w:t>
      </w:r>
      <w:r w:rsidR="00611DE6">
        <w:rPr>
          <w:rStyle w:val="Referencingstyle"/>
        </w:rPr>
        <w:t xml:space="preserve">, </w:t>
      </w:r>
      <w:r w:rsidR="00B3148B">
        <w:rPr>
          <w:rStyle w:val="Referencingstyle"/>
        </w:rPr>
        <w:t>12-275</w:t>
      </w:r>
      <w:r w:rsidR="00611DE6">
        <w:rPr>
          <w:rStyle w:val="Referencingstyle"/>
        </w:rPr>
        <w:t>(4</w:t>
      </w:r>
      <w:r w:rsidR="008A7153">
        <w:rPr>
          <w:rStyle w:val="Referencingstyle"/>
        </w:rPr>
        <w:t xml:space="preserve">) </w:t>
      </w:r>
      <w:r w:rsidR="00821B15">
        <w:rPr>
          <w:rStyle w:val="Referencingstyle"/>
        </w:rPr>
        <w:t xml:space="preserve">and </w:t>
      </w:r>
      <w:r w:rsidR="00B3148B">
        <w:rPr>
          <w:rStyle w:val="Referencingstyle"/>
        </w:rPr>
        <w:t>12-290</w:t>
      </w:r>
      <w:r w:rsidR="00821B15">
        <w:rPr>
          <w:rStyle w:val="Referencingstyle"/>
        </w:rPr>
        <w:t>(</w:t>
      </w:r>
      <w:r w:rsidR="00010316">
        <w:rPr>
          <w:rStyle w:val="Referencingstyle"/>
        </w:rPr>
        <w:t>3</w:t>
      </w:r>
      <w:r w:rsidR="00821B15">
        <w:rPr>
          <w:rStyle w:val="Referencingstyle"/>
        </w:rPr>
        <w:t>)]</w:t>
      </w:r>
    </w:p>
    <w:p w14:paraId="3944A04A" w14:textId="121B19F4" w:rsidR="003D0FB3" w:rsidRPr="00010316" w:rsidRDefault="003D0FB3" w:rsidP="003D0FB3">
      <w:pPr>
        <w:pStyle w:val="base-text-paragraph"/>
        <w:rPr>
          <w:rStyle w:val="Referencingstyle"/>
          <w:b w:val="0"/>
          <w:i w:val="0"/>
          <w:sz w:val="22"/>
        </w:rPr>
      </w:pPr>
      <w:r w:rsidRPr="00FA5B27">
        <w:t>Similarly, the fifth translation rule replaces references to the ‘debentures’ of a relevant company with references to the ‘debentures referable</w:t>
      </w:r>
      <w:r w:rsidRPr="003801D6">
        <w:t xml:space="preserve"> to the sub-fund’. </w:t>
      </w:r>
      <w:r>
        <w:rPr>
          <w:rStyle w:val="Referencingstyle"/>
        </w:rPr>
        <w:t>[Schedule </w:t>
      </w:r>
      <w:r w:rsidR="00B3148B">
        <w:rPr>
          <w:rStyle w:val="Referencingstyle"/>
        </w:rPr>
        <w:t>2</w:t>
      </w:r>
      <w:r>
        <w:rPr>
          <w:rStyle w:val="Referencingstyle"/>
        </w:rPr>
        <w:t xml:space="preserve">, item 1, item 5 of subsections </w:t>
      </w:r>
      <w:r w:rsidR="00B3148B">
        <w:rPr>
          <w:rStyle w:val="Referencingstyle"/>
        </w:rPr>
        <w:t>12-015</w:t>
      </w:r>
      <w:r>
        <w:rPr>
          <w:rStyle w:val="Referencingstyle"/>
        </w:rPr>
        <w:t xml:space="preserve">(4), </w:t>
      </w:r>
      <w:r w:rsidR="00B3148B">
        <w:rPr>
          <w:rStyle w:val="Referencingstyle"/>
        </w:rPr>
        <w:t>12-060</w:t>
      </w:r>
      <w:r>
        <w:rPr>
          <w:rStyle w:val="Referencingstyle"/>
        </w:rPr>
        <w:t xml:space="preserve">(4), </w:t>
      </w:r>
      <w:r w:rsidR="00B3148B">
        <w:rPr>
          <w:rStyle w:val="Referencingstyle"/>
        </w:rPr>
        <w:t>12-105</w:t>
      </w:r>
      <w:r w:rsidR="00010316">
        <w:rPr>
          <w:rStyle w:val="Referencingstyle"/>
        </w:rPr>
        <w:t xml:space="preserve">(4), </w:t>
      </w:r>
      <w:r w:rsidR="00B3148B">
        <w:rPr>
          <w:rStyle w:val="Referencingstyle"/>
        </w:rPr>
        <w:t>12-260</w:t>
      </w:r>
      <w:r w:rsidR="00010316">
        <w:rPr>
          <w:rStyle w:val="Referencingstyle"/>
        </w:rPr>
        <w:t xml:space="preserve">(4) and </w:t>
      </w:r>
      <w:r w:rsidR="00B3148B">
        <w:rPr>
          <w:rStyle w:val="Referencingstyle"/>
        </w:rPr>
        <w:t>12-275</w:t>
      </w:r>
      <w:r w:rsidR="00010316">
        <w:rPr>
          <w:rStyle w:val="Referencingstyle"/>
        </w:rPr>
        <w:t>(4)</w:t>
      </w:r>
      <w:r>
        <w:rPr>
          <w:rStyle w:val="Referencingstyle"/>
        </w:rPr>
        <w:t>]</w:t>
      </w:r>
    </w:p>
    <w:p w14:paraId="776B238C" w14:textId="7B4B4897" w:rsidR="00010316" w:rsidRPr="00010316" w:rsidRDefault="00A51F94" w:rsidP="00010316">
      <w:pPr>
        <w:pStyle w:val="base-text-paragraph"/>
        <w:rPr>
          <w:b/>
          <w:i/>
          <w:szCs w:val="22"/>
        </w:rPr>
      </w:pPr>
      <w:r>
        <w:rPr>
          <w:rStyle w:val="Referencingstyle"/>
          <w:b w:val="0"/>
          <w:i w:val="0"/>
          <w:sz w:val="22"/>
          <w:szCs w:val="22"/>
        </w:rPr>
        <w:t>The fifth</w:t>
      </w:r>
      <w:r w:rsidR="00010316" w:rsidRPr="00010316">
        <w:rPr>
          <w:rStyle w:val="Referencingstyle"/>
          <w:b w:val="0"/>
          <w:i w:val="0"/>
          <w:sz w:val="22"/>
          <w:szCs w:val="22"/>
        </w:rPr>
        <w:t xml:space="preserve"> translation rule is not required for the </w:t>
      </w:r>
      <w:r w:rsidR="00BE3B83">
        <w:rPr>
          <w:rStyle w:val="Referencingstyle"/>
          <w:b w:val="0"/>
          <w:i w:val="0"/>
          <w:sz w:val="22"/>
          <w:szCs w:val="22"/>
        </w:rPr>
        <w:t xml:space="preserve">property recovery provisions or the offence or </w:t>
      </w:r>
      <w:r w:rsidR="00010316" w:rsidRPr="00010316">
        <w:rPr>
          <w:rStyle w:val="Referencingstyle"/>
          <w:b w:val="0"/>
          <w:i w:val="0"/>
          <w:sz w:val="22"/>
          <w:szCs w:val="22"/>
        </w:rPr>
        <w:t xml:space="preserve">miscellaneous </w:t>
      </w:r>
      <w:r w:rsidR="00BE3B83">
        <w:rPr>
          <w:rStyle w:val="Referencingstyle"/>
          <w:b w:val="0"/>
          <w:i w:val="0"/>
          <w:sz w:val="22"/>
          <w:szCs w:val="22"/>
        </w:rPr>
        <w:t>p</w:t>
      </w:r>
      <w:r w:rsidR="00010316" w:rsidRPr="00010316">
        <w:rPr>
          <w:rStyle w:val="Referencingstyle"/>
          <w:b w:val="0"/>
          <w:i w:val="0"/>
          <w:sz w:val="22"/>
          <w:szCs w:val="22"/>
        </w:rPr>
        <w:t>rovisions in Part</w:t>
      </w:r>
      <w:r w:rsidR="00BE3B83">
        <w:rPr>
          <w:rStyle w:val="Referencingstyle"/>
          <w:b w:val="0"/>
          <w:i w:val="0"/>
          <w:sz w:val="22"/>
          <w:szCs w:val="22"/>
        </w:rPr>
        <w:t>s 5.7B, 5.8 and</w:t>
      </w:r>
      <w:r w:rsidR="00010316" w:rsidRPr="00010316">
        <w:rPr>
          <w:rStyle w:val="Referencingstyle"/>
          <w:b w:val="0"/>
          <w:i w:val="0"/>
          <w:sz w:val="22"/>
          <w:szCs w:val="22"/>
        </w:rPr>
        <w:t xml:space="preserve"> 5.9 as the</w:t>
      </w:r>
      <w:r>
        <w:rPr>
          <w:rStyle w:val="Referencingstyle"/>
          <w:b w:val="0"/>
          <w:i w:val="0"/>
          <w:sz w:val="22"/>
          <w:szCs w:val="22"/>
        </w:rPr>
        <w:t>re is no reference</w:t>
      </w:r>
      <w:r w:rsidR="00010316" w:rsidRPr="00010316">
        <w:rPr>
          <w:rStyle w:val="Referencingstyle"/>
          <w:b w:val="0"/>
          <w:i w:val="0"/>
          <w:sz w:val="22"/>
          <w:szCs w:val="22"/>
        </w:rPr>
        <w:t xml:space="preserve"> to ‘debentures’</w:t>
      </w:r>
      <w:r>
        <w:rPr>
          <w:rStyle w:val="Referencingstyle"/>
          <w:b w:val="0"/>
          <w:i w:val="0"/>
          <w:sz w:val="22"/>
          <w:szCs w:val="22"/>
        </w:rPr>
        <w:t xml:space="preserve"> in these Parts</w:t>
      </w:r>
      <w:r w:rsidR="00010316" w:rsidRPr="00010316">
        <w:rPr>
          <w:rStyle w:val="Referencingstyle"/>
          <w:b w:val="0"/>
          <w:i w:val="0"/>
          <w:sz w:val="22"/>
          <w:szCs w:val="22"/>
        </w:rPr>
        <w:t xml:space="preserve">. </w:t>
      </w:r>
    </w:p>
    <w:p w14:paraId="520406C4" w14:textId="4306C89D" w:rsidR="003D0FB3" w:rsidRDefault="003D0FB3" w:rsidP="003D0FB3">
      <w:pPr>
        <w:pStyle w:val="ExampleHeading"/>
      </w:pPr>
      <w:r>
        <w:t>: Applying the fourth translation rule</w:t>
      </w:r>
    </w:p>
    <w:p w14:paraId="2BE2916B" w14:textId="08620051" w:rsidR="003D0FB3" w:rsidRDefault="003D0FB3" w:rsidP="003D0FB3">
      <w:pPr>
        <w:pStyle w:val="exampletext"/>
      </w:pPr>
      <w:r>
        <w:t xml:space="preserve">A CCIV has two sub-funds. The Court </w:t>
      </w:r>
      <w:r w:rsidR="0067378B">
        <w:t>orders</w:t>
      </w:r>
      <w:r>
        <w:t xml:space="preserve"> the </w:t>
      </w:r>
      <w:r w:rsidR="0067378B">
        <w:t>winding up of the first sub-fund</w:t>
      </w:r>
      <w:r>
        <w:t>. The</w:t>
      </w:r>
      <w:r w:rsidR="00A42F4A">
        <w:t> </w:t>
      </w:r>
      <w:r>
        <w:t>CCIV</w:t>
      </w:r>
      <w:r w:rsidR="0067378B">
        <w:t xml:space="preserve"> then</w:t>
      </w:r>
      <w:r>
        <w:t xml:space="preserve"> transfers shares in the second sub-fund.</w:t>
      </w:r>
    </w:p>
    <w:p w14:paraId="7F847D24" w14:textId="061C70F6" w:rsidR="003D0FB3" w:rsidRDefault="003D0FB3" w:rsidP="003D0FB3">
      <w:pPr>
        <w:pStyle w:val="exampletext"/>
      </w:pPr>
      <w:r>
        <w:t>Existing section 486A voids certain transfer</w:t>
      </w:r>
      <w:r w:rsidR="00B35D10">
        <w:t>s</w:t>
      </w:r>
      <w:r>
        <w:t xml:space="preserve"> of shares in a company that are made after the commencement of winding up by the Court.</w:t>
      </w:r>
    </w:p>
    <w:p w14:paraId="714849FC" w14:textId="021EEDA4" w:rsidR="003D0FB3" w:rsidRDefault="003D0FB3" w:rsidP="003D0FB3">
      <w:pPr>
        <w:pStyle w:val="exampletext"/>
      </w:pPr>
      <w:r>
        <w:t>Applying the fourth translation rule, the reference to shares is read as a reference to the shares referable to the first sub-fund. Therefore, the transfer of shares in the second sub-fund is not void, notwithstanding that it occurred after the first sub-fund commenced winding up.</w:t>
      </w:r>
    </w:p>
    <w:p w14:paraId="25271D79" w14:textId="4605B85F" w:rsidR="003D0FB3" w:rsidRDefault="003D0FB3" w:rsidP="003D0FB3">
      <w:pPr>
        <w:pStyle w:val="base-text-paragraph"/>
        <w:numPr>
          <w:ilvl w:val="0"/>
          <w:numId w:val="0"/>
        </w:numPr>
        <w:ind w:left="1134"/>
      </w:pPr>
      <w:r>
        <w:rPr>
          <w:i/>
        </w:rPr>
        <w:t>Sixth and seventh translation rules</w:t>
      </w:r>
    </w:p>
    <w:p w14:paraId="54E96FC6" w14:textId="2F199D93" w:rsidR="000539A2" w:rsidRPr="00010316" w:rsidRDefault="000539A2" w:rsidP="000539A2">
      <w:pPr>
        <w:pStyle w:val="base-text-paragraph"/>
      </w:pPr>
      <w:r w:rsidRPr="00010316">
        <w:t xml:space="preserve">The sixth </w:t>
      </w:r>
      <w:r w:rsidR="003B7D2D" w:rsidRPr="00010316">
        <w:t xml:space="preserve">and seventh </w:t>
      </w:r>
      <w:r w:rsidRPr="00010316">
        <w:t>translation rule</w:t>
      </w:r>
      <w:r w:rsidR="003B7D2D" w:rsidRPr="00010316">
        <w:t>s</w:t>
      </w:r>
      <w:r w:rsidRPr="00010316">
        <w:t xml:space="preserve"> replace references to </w:t>
      </w:r>
      <w:r w:rsidR="003B7D2D" w:rsidRPr="00010316">
        <w:t>‘</w:t>
      </w:r>
      <w:r w:rsidRPr="00010316">
        <w:t>a general meeting</w:t>
      </w:r>
      <w:r w:rsidR="003B7D2D" w:rsidRPr="00010316">
        <w:t>’</w:t>
      </w:r>
      <w:r w:rsidRPr="00010316">
        <w:t xml:space="preserve"> of the</w:t>
      </w:r>
      <w:r w:rsidR="003B7D2D" w:rsidRPr="00010316">
        <w:t xml:space="preserve"> relevant </w:t>
      </w:r>
      <w:r w:rsidRPr="00010316">
        <w:t>company</w:t>
      </w:r>
      <w:r w:rsidR="00A42F4A">
        <w:t>,</w:t>
      </w:r>
      <w:r w:rsidRPr="00010316">
        <w:t xml:space="preserve"> </w:t>
      </w:r>
      <w:r w:rsidR="003B7D2D" w:rsidRPr="00010316">
        <w:t xml:space="preserve">and </w:t>
      </w:r>
      <w:r w:rsidR="00A42F4A">
        <w:t>to</w:t>
      </w:r>
      <w:r w:rsidR="003B7D2D" w:rsidRPr="00010316">
        <w:t xml:space="preserve"> the relevant company ‘in general meeting’ </w:t>
      </w:r>
      <w:r w:rsidRPr="00010316">
        <w:t xml:space="preserve">with a reference to </w:t>
      </w:r>
      <w:r w:rsidR="003B7D2D" w:rsidRPr="00010316">
        <w:t>‘</w:t>
      </w:r>
      <w:r w:rsidRPr="00010316">
        <w:t xml:space="preserve">a meeting of </w:t>
      </w:r>
      <w:r w:rsidR="00A17C15">
        <w:t xml:space="preserve">members of </w:t>
      </w:r>
      <w:r w:rsidRPr="00010316">
        <w:t>the sub-fund</w:t>
      </w:r>
      <w:r w:rsidR="003B7D2D" w:rsidRPr="00010316">
        <w:t xml:space="preserve">’ and ‘the members of the sub-fund at a meeting of </w:t>
      </w:r>
      <w:r w:rsidR="00D6490A">
        <w:t xml:space="preserve">members of </w:t>
      </w:r>
      <w:r w:rsidR="003B7D2D" w:rsidRPr="00010316">
        <w:t>the sub-fund’</w:t>
      </w:r>
      <w:r w:rsidR="00D36EB3" w:rsidRPr="00010316">
        <w:t>. The rules for member</w:t>
      </w:r>
      <w:r w:rsidRPr="00010316">
        <w:t>s</w:t>
      </w:r>
      <w:r w:rsidR="00D36EB3" w:rsidRPr="00010316">
        <w:t>’</w:t>
      </w:r>
      <w:r w:rsidRPr="00010316">
        <w:t xml:space="preserve"> meeting</w:t>
      </w:r>
      <w:r w:rsidR="00D579DE">
        <w:t>s</w:t>
      </w:r>
      <w:r w:rsidRPr="00010316">
        <w:t xml:space="preserve"> of sub-fund</w:t>
      </w:r>
      <w:r w:rsidR="00D579DE">
        <w:t>s</w:t>
      </w:r>
      <w:r w:rsidRPr="00010316">
        <w:t xml:space="preserve"> are explained in</w:t>
      </w:r>
      <w:r w:rsidR="003B7D2D" w:rsidRPr="00010316">
        <w:t xml:space="preserve"> Chapter 7 of</w:t>
      </w:r>
      <w:r w:rsidRPr="00010316">
        <w:t xml:space="preserve"> the Tranche 1 Explanatory Material</w:t>
      </w:r>
      <w:r w:rsidR="003B7D2D" w:rsidRPr="00010316">
        <w:t>s.</w:t>
      </w:r>
      <w:r w:rsidRPr="00010316">
        <w:t xml:space="preserve"> </w:t>
      </w:r>
      <w:r w:rsidRPr="00010316">
        <w:rPr>
          <w:rStyle w:val="Referencingstyle"/>
        </w:rPr>
        <w:t>[Schedule </w:t>
      </w:r>
      <w:r w:rsidR="00B3148B">
        <w:rPr>
          <w:rStyle w:val="Referencingstyle"/>
        </w:rPr>
        <w:t>2</w:t>
      </w:r>
      <w:r w:rsidRPr="00010316">
        <w:rPr>
          <w:rStyle w:val="Referencingstyle"/>
        </w:rPr>
        <w:t xml:space="preserve">, item </w:t>
      </w:r>
      <w:r w:rsidR="00B3148B">
        <w:rPr>
          <w:rStyle w:val="Referencingstyle"/>
        </w:rPr>
        <w:t>1</w:t>
      </w:r>
      <w:r w:rsidRPr="00010316">
        <w:rPr>
          <w:rStyle w:val="Referencingstyle"/>
        </w:rPr>
        <w:t>, item</w:t>
      </w:r>
      <w:r w:rsidR="003B7D2D" w:rsidRPr="00010316">
        <w:rPr>
          <w:rStyle w:val="Referencingstyle"/>
        </w:rPr>
        <w:t>s</w:t>
      </w:r>
      <w:r w:rsidR="00186865">
        <w:rPr>
          <w:rStyle w:val="Referencingstyle"/>
        </w:rPr>
        <w:t> </w:t>
      </w:r>
      <w:r w:rsidRPr="00010316">
        <w:rPr>
          <w:rStyle w:val="Referencingstyle"/>
        </w:rPr>
        <w:t xml:space="preserve">6 </w:t>
      </w:r>
      <w:r w:rsidR="003B7D2D" w:rsidRPr="00010316">
        <w:rPr>
          <w:rStyle w:val="Referencingstyle"/>
        </w:rPr>
        <w:t xml:space="preserve">and 7 </w:t>
      </w:r>
      <w:r w:rsidR="00532B3A" w:rsidRPr="00010316">
        <w:rPr>
          <w:rStyle w:val="Referencingstyle"/>
        </w:rPr>
        <w:t xml:space="preserve">of subsection </w:t>
      </w:r>
      <w:r w:rsidR="00B3148B">
        <w:rPr>
          <w:rStyle w:val="Referencingstyle"/>
        </w:rPr>
        <w:t>12-105</w:t>
      </w:r>
      <w:r w:rsidR="00532B3A" w:rsidRPr="00010316">
        <w:rPr>
          <w:rStyle w:val="Referencingstyle"/>
        </w:rPr>
        <w:t>(4)</w:t>
      </w:r>
      <w:r w:rsidRPr="00010316">
        <w:rPr>
          <w:rStyle w:val="Referencingstyle"/>
        </w:rPr>
        <w:t>]</w:t>
      </w:r>
    </w:p>
    <w:p w14:paraId="5B56DE42" w14:textId="26BB4BCD" w:rsidR="00532B3A" w:rsidRDefault="00532B3A" w:rsidP="00711D0C">
      <w:pPr>
        <w:pStyle w:val="base-text-paragraph"/>
      </w:pPr>
      <w:r>
        <w:t>The sixth and seventh translation rules are only required in the parts of Chapter</w:t>
      </w:r>
      <w:r w:rsidR="00667058">
        <w:t> </w:t>
      </w:r>
      <w:r>
        <w:t xml:space="preserve">5 that relate to winding up. The Corporations legislation does not refer to ‘general meetings’ in the context of any other </w:t>
      </w:r>
      <w:r w:rsidR="004A463F">
        <w:t>external administration procedures.</w:t>
      </w:r>
    </w:p>
    <w:p w14:paraId="73715052" w14:textId="6CC23527" w:rsidR="00E11DAD" w:rsidRDefault="00E11DAD" w:rsidP="00E11DAD">
      <w:pPr>
        <w:pStyle w:val="ExampleHeading"/>
      </w:pPr>
      <w:r>
        <w:t>: Applying the seventh translation rule</w:t>
      </w:r>
    </w:p>
    <w:p w14:paraId="5D235A84" w14:textId="6993FE60" w:rsidR="00E11DAD" w:rsidRDefault="00E11DAD" w:rsidP="00E11DAD">
      <w:pPr>
        <w:pStyle w:val="exampletext"/>
      </w:pPr>
      <w:r>
        <w:t>Subsection 495(1) of the existing law requires the ‘company in general meeting’ to appoint a liquidator for a voluntary wind up.</w:t>
      </w:r>
    </w:p>
    <w:p w14:paraId="2E75A08A" w14:textId="53A9CD84" w:rsidR="00E11DAD" w:rsidRDefault="00E11DAD" w:rsidP="00E11DAD">
      <w:pPr>
        <w:pStyle w:val="exampletext"/>
      </w:pPr>
      <w:r>
        <w:t>Applying the seventh translation</w:t>
      </w:r>
      <w:r w:rsidR="00D579DE">
        <w:t xml:space="preserve"> rule</w:t>
      </w:r>
      <w:r>
        <w:t>, the liquidator may be appointed at a members’ meeting of the sub-fund. There is no need call a general meeting of the CCIV.</w:t>
      </w:r>
    </w:p>
    <w:p w14:paraId="440AB56F" w14:textId="40820228" w:rsidR="00CF5A75" w:rsidRDefault="00CF5A75" w:rsidP="00362E4C">
      <w:pPr>
        <w:pStyle w:val="Heading5"/>
      </w:pPr>
      <w:r>
        <w:t>Terms defined in relation to a company</w:t>
      </w:r>
    </w:p>
    <w:p w14:paraId="470E4B1F" w14:textId="36B1A3FD" w:rsidR="006C0F41" w:rsidRDefault="006C0F41" w:rsidP="00711D0C">
      <w:pPr>
        <w:pStyle w:val="base-text-paragraph"/>
      </w:pPr>
      <w:r>
        <w:t xml:space="preserve">A special translation rule </w:t>
      </w:r>
      <w:r w:rsidR="00D52EB7">
        <w:t>applies</w:t>
      </w:r>
      <w:r>
        <w:t xml:space="preserve"> to terms or expressions that are only define</w:t>
      </w:r>
      <w:r w:rsidR="00D52EB7">
        <w:t>d in relation to a company or bo</w:t>
      </w:r>
      <w:r>
        <w:t xml:space="preserve">dy corporate. This rule states that the company definition </w:t>
      </w:r>
      <w:r w:rsidR="00AE15A3">
        <w:t xml:space="preserve">is </w:t>
      </w:r>
      <w:r>
        <w:t xml:space="preserve">applied but the CCIV </w:t>
      </w:r>
      <w:r w:rsidR="00AE15A3">
        <w:t>is</w:t>
      </w:r>
      <w:r>
        <w:t xml:space="preserve"> </w:t>
      </w:r>
      <w:r w:rsidR="003A5672">
        <w:t>treated as if it ha</w:t>
      </w:r>
      <w:r>
        <w:t>d</w:t>
      </w:r>
      <w:r w:rsidR="003A5672">
        <w:t xml:space="preserve"> only the sub</w:t>
      </w:r>
      <w:r w:rsidR="003A5672">
        <w:noBreakHyphen/>
        <w:t xml:space="preserve">fund that is </w:t>
      </w:r>
      <w:r>
        <w:t>in external administration</w:t>
      </w:r>
      <w:r w:rsidR="003A5672">
        <w:t>. All of the other sub</w:t>
      </w:r>
      <w:r w:rsidR="003A5672">
        <w:noBreakHyphen/>
        <w:t xml:space="preserve">funds </w:t>
      </w:r>
      <w:r w:rsidR="00CB5078">
        <w:t xml:space="preserve">of the CCIV </w:t>
      </w:r>
      <w:r w:rsidR="003A5672">
        <w:t xml:space="preserve">are disregarded. </w:t>
      </w:r>
      <w:r w:rsidR="003A5672">
        <w:rPr>
          <w:rStyle w:val="Referencingstyle"/>
        </w:rPr>
        <w:t>[</w:t>
      </w:r>
      <w:r>
        <w:rPr>
          <w:rStyle w:val="Referencingstyle"/>
        </w:rPr>
        <w:t>Schedule </w:t>
      </w:r>
      <w:r w:rsidR="00B3148B">
        <w:rPr>
          <w:rStyle w:val="Referencingstyle"/>
        </w:rPr>
        <w:t>2</w:t>
      </w:r>
      <w:r>
        <w:rPr>
          <w:rStyle w:val="Referencingstyle"/>
        </w:rPr>
        <w:t xml:space="preserve">, item </w:t>
      </w:r>
      <w:r w:rsidR="00B3148B">
        <w:rPr>
          <w:rStyle w:val="Referencingstyle"/>
        </w:rPr>
        <w:t>1</w:t>
      </w:r>
      <w:r>
        <w:rPr>
          <w:rStyle w:val="Referencingstyle"/>
        </w:rPr>
        <w:t xml:space="preserve">, subsection </w:t>
      </w:r>
      <w:r w:rsidR="00B3148B">
        <w:rPr>
          <w:rStyle w:val="Referencingstyle"/>
        </w:rPr>
        <w:t>12-000</w:t>
      </w:r>
      <w:r>
        <w:rPr>
          <w:rStyle w:val="Referencingstyle"/>
        </w:rPr>
        <w:t>(</w:t>
      </w:r>
      <w:r w:rsidR="00461AA9">
        <w:rPr>
          <w:rStyle w:val="Referencingstyle"/>
        </w:rPr>
        <w:t>2</w:t>
      </w:r>
      <w:r>
        <w:rPr>
          <w:rStyle w:val="Referencingstyle"/>
        </w:rPr>
        <w:t>)]</w:t>
      </w:r>
    </w:p>
    <w:p w14:paraId="1AC464C6" w14:textId="05DA8B5D" w:rsidR="00CF5A75" w:rsidRDefault="00AE15A3" w:rsidP="00711D0C">
      <w:pPr>
        <w:pStyle w:val="base-text-paragraph"/>
      </w:pPr>
      <w:r>
        <w:t>E</w:t>
      </w:r>
      <w:r w:rsidR="00CF5A75">
        <w:t>xamples of terms that are defined only in relation to a company or body corporate include:</w:t>
      </w:r>
    </w:p>
    <w:p w14:paraId="5C8F5CDA" w14:textId="6357F9BD" w:rsidR="00AE15A3" w:rsidRDefault="00CB5078" w:rsidP="00AE15A3">
      <w:pPr>
        <w:pStyle w:val="dotpoint"/>
      </w:pPr>
      <w:r>
        <w:t>r</w:t>
      </w:r>
      <w:r w:rsidR="00AE15A3">
        <w:t>elated entity in relation to a body corporate</w:t>
      </w:r>
      <w:r>
        <w:t>;</w:t>
      </w:r>
    </w:p>
    <w:p w14:paraId="3FFFBC29" w14:textId="4F5C3EFB" w:rsidR="00AE15A3" w:rsidRDefault="00CB5078" w:rsidP="00AE15A3">
      <w:pPr>
        <w:pStyle w:val="dotpoint"/>
      </w:pPr>
      <w:r>
        <w:t>h</w:t>
      </w:r>
      <w:r w:rsidR="00AE15A3">
        <w:t>olding company</w:t>
      </w:r>
      <w:r>
        <w:t xml:space="preserve">; </w:t>
      </w:r>
    </w:p>
    <w:p w14:paraId="53BE79B9" w14:textId="28140043" w:rsidR="00CF5A75" w:rsidRDefault="00CB5078" w:rsidP="00CF5A75">
      <w:pPr>
        <w:pStyle w:val="dotpoint"/>
      </w:pPr>
      <w:r>
        <w:t>s</w:t>
      </w:r>
      <w:r w:rsidR="00CF5A75">
        <w:t>ubsidiary of a company</w:t>
      </w:r>
      <w:r w:rsidR="00A844DE">
        <w:t>;</w:t>
      </w:r>
      <w:r w:rsidR="00A844DE" w:rsidRPr="00A844DE">
        <w:t xml:space="preserve"> </w:t>
      </w:r>
      <w:r w:rsidR="00A844DE">
        <w:t>and</w:t>
      </w:r>
    </w:p>
    <w:p w14:paraId="0230DE7C" w14:textId="0D672959" w:rsidR="00A844DE" w:rsidRDefault="00A844DE" w:rsidP="00CF5A75">
      <w:pPr>
        <w:pStyle w:val="dotpoint"/>
      </w:pPr>
      <w:r>
        <w:t>affairs of a body corporate.</w:t>
      </w:r>
    </w:p>
    <w:p w14:paraId="02D3BC22" w14:textId="20159E12" w:rsidR="00CF5A75" w:rsidRDefault="00CF5A75" w:rsidP="00711D0C">
      <w:pPr>
        <w:pStyle w:val="base-text-paragraph"/>
      </w:pPr>
      <w:r>
        <w:t>Some terms are defined both in relation to a company and in relation to a sub</w:t>
      </w:r>
      <w:r w:rsidR="00532F11">
        <w:noBreakHyphen/>
      </w:r>
      <w:r>
        <w:t xml:space="preserve">fund. The </w:t>
      </w:r>
      <w:r w:rsidR="00AE15A3">
        <w:t xml:space="preserve">special </w:t>
      </w:r>
      <w:r>
        <w:t>rule</w:t>
      </w:r>
      <w:r w:rsidR="00AE15A3">
        <w:t xml:space="preserve"> for terms defined in relation to </w:t>
      </w:r>
      <w:r w:rsidR="00DB4BF5">
        <w:t>a</w:t>
      </w:r>
      <w:r w:rsidR="00AE15A3">
        <w:t xml:space="preserve"> company</w:t>
      </w:r>
      <w:r>
        <w:t xml:space="preserve"> </w:t>
      </w:r>
      <w:r w:rsidR="00AE15A3">
        <w:t>is</w:t>
      </w:r>
      <w:r>
        <w:t xml:space="preserve"> not used in these instances. Instead, the definition of the term in relation to a sub-fund is used in the ordinary way. The main terms used in Chapter 5 which are defined in relation to </w:t>
      </w:r>
      <w:r w:rsidR="00AE15A3">
        <w:t>a sub</w:t>
      </w:r>
      <w:r w:rsidR="00532F11">
        <w:noBreakHyphen/>
      </w:r>
      <w:r w:rsidR="00AE15A3">
        <w:t>fund</w:t>
      </w:r>
      <w:r w:rsidR="00D52EB7">
        <w:t xml:space="preserve"> are set out in </w:t>
      </w:r>
      <w:r w:rsidR="00D52EB7">
        <w:fldChar w:fldCharType="begin"/>
      </w:r>
      <w:r w:rsidR="00D52EB7">
        <w:instrText xml:space="preserve"> REF _Ref524285852 \r \h </w:instrText>
      </w:r>
      <w:r w:rsidR="00D52EB7">
        <w:fldChar w:fldCharType="separate"/>
      </w:r>
      <w:r w:rsidR="00275132">
        <w:t>Table 3.1</w:t>
      </w:r>
      <w:r w:rsidR="00D52EB7">
        <w:fldChar w:fldCharType="end"/>
      </w:r>
      <w:r>
        <w:t>.</w:t>
      </w:r>
      <w:r w:rsidR="00D52EB7" w:rsidRPr="00D52EB7">
        <w:rPr>
          <w:rStyle w:val="Referencingstyle"/>
        </w:rPr>
        <w:t xml:space="preserve"> </w:t>
      </w:r>
      <w:r w:rsidR="00D52EB7">
        <w:rPr>
          <w:rStyle w:val="Referencingstyle"/>
        </w:rPr>
        <w:t>[Schedule </w:t>
      </w:r>
      <w:r w:rsidR="00F56C37">
        <w:rPr>
          <w:rStyle w:val="Referencingstyle"/>
        </w:rPr>
        <w:t>2</w:t>
      </w:r>
      <w:r w:rsidR="00D52EB7">
        <w:rPr>
          <w:rStyle w:val="Referencingstyle"/>
        </w:rPr>
        <w:t xml:space="preserve">, item </w:t>
      </w:r>
      <w:r w:rsidR="00F56C37">
        <w:rPr>
          <w:rStyle w:val="Referencingstyle"/>
        </w:rPr>
        <w:t>1</w:t>
      </w:r>
      <w:r w:rsidR="00D52EB7">
        <w:rPr>
          <w:rStyle w:val="Referencingstyle"/>
        </w:rPr>
        <w:t xml:space="preserve">, subsection </w:t>
      </w:r>
      <w:r w:rsidR="00F56C37">
        <w:rPr>
          <w:rStyle w:val="Referencingstyle"/>
        </w:rPr>
        <w:t>12-000</w:t>
      </w:r>
      <w:r w:rsidR="00461AA9">
        <w:rPr>
          <w:rStyle w:val="Referencingstyle"/>
        </w:rPr>
        <w:t>(1</w:t>
      </w:r>
      <w:r w:rsidR="00D52EB7">
        <w:rPr>
          <w:rStyle w:val="Referencingstyle"/>
        </w:rPr>
        <w:t>)]</w:t>
      </w:r>
    </w:p>
    <w:p w14:paraId="390572E1" w14:textId="77777777" w:rsidR="00CF5A75" w:rsidRDefault="00CF5A75" w:rsidP="00CF5A75">
      <w:pPr>
        <w:pStyle w:val="TableHeadingoutsidetable"/>
      </w:pPr>
      <w:bookmarkStart w:id="69" w:name="_Ref524285852"/>
      <w:r>
        <w:t>: Terms defined in relation to a sub-fund</w:t>
      </w:r>
      <w:bookmarkEnd w:id="69"/>
    </w:p>
    <w:tbl>
      <w:tblPr>
        <w:tblStyle w:val="EMTable"/>
        <w:tblW w:w="0" w:type="auto"/>
        <w:tblInd w:w="1083" w:type="dxa"/>
        <w:tblLook w:val="04A0" w:firstRow="1" w:lastRow="0" w:firstColumn="1" w:lastColumn="0" w:noHBand="0" w:noVBand="1"/>
      </w:tblPr>
      <w:tblGrid>
        <w:gridCol w:w="2115"/>
        <w:gridCol w:w="4117"/>
      </w:tblGrid>
      <w:tr w:rsidR="001F7821" w14:paraId="612D2DBB" w14:textId="77777777" w:rsidTr="001F7821">
        <w:trPr>
          <w:cnfStyle w:val="100000000000" w:firstRow="1" w:lastRow="0" w:firstColumn="0" w:lastColumn="0" w:oddVBand="0" w:evenVBand="0" w:oddHBand="0" w:evenHBand="0" w:firstRowFirstColumn="0" w:firstRowLastColumn="0" w:lastRowFirstColumn="0" w:lastRowLastColumn="0"/>
        </w:trPr>
        <w:tc>
          <w:tcPr>
            <w:tcW w:w="2235" w:type="dxa"/>
          </w:tcPr>
          <w:p w14:paraId="046A358C" w14:textId="39BCD8F4" w:rsidR="00CF5A75" w:rsidRPr="00AE15A3" w:rsidRDefault="00CF5A75" w:rsidP="00CF5A75">
            <w:pPr>
              <w:pStyle w:val="tableheaderwithintable"/>
              <w:rPr>
                <w:b/>
                <w:i/>
              </w:rPr>
            </w:pPr>
            <w:r w:rsidRPr="0014414E">
              <w:rPr>
                <w:b/>
                <w:i/>
              </w:rPr>
              <w:t>Term</w:t>
            </w:r>
          </w:p>
        </w:tc>
        <w:tc>
          <w:tcPr>
            <w:tcW w:w="4558" w:type="dxa"/>
          </w:tcPr>
          <w:p w14:paraId="7994EBF6" w14:textId="1CDBCCC1" w:rsidR="00CF5A75" w:rsidRPr="00AE15A3" w:rsidRDefault="00CF5A75" w:rsidP="00CF5A75">
            <w:pPr>
              <w:pStyle w:val="tableheaderwithintable"/>
              <w:rPr>
                <w:b/>
                <w:i/>
              </w:rPr>
            </w:pPr>
            <w:r w:rsidRPr="0014414E">
              <w:rPr>
                <w:b/>
                <w:i/>
              </w:rPr>
              <w:t>Definition</w:t>
            </w:r>
          </w:p>
        </w:tc>
      </w:tr>
      <w:tr w:rsidR="001F7821" w14:paraId="61B489AE" w14:textId="77777777" w:rsidTr="001F7821">
        <w:tblPrEx>
          <w:tblCellMar>
            <w:top w:w="0" w:type="dxa"/>
            <w:left w:w="108" w:type="dxa"/>
          </w:tblCellMar>
        </w:tblPrEx>
        <w:tc>
          <w:tcPr>
            <w:tcW w:w="2235" w:type="dxa"/>
          </w:tcPr>
          <w:p w14:paraId="401EC786" w14:textId="6612B8CB" w:rsidR="001F7821" w:rsidRDefault="001F7821" w:rsidP="00CF5A75">
            <w:pPr>
              <w:pStyle w:val="tabletext"/>
            </w:pPr>
            <w:r>
              <w:t>Assets in relation to a sub-fund</w:t>
            </w:r>
          </w:p>
        </w:tc>
        <w:tc>
          <w:tcPr>
            <w:tcW w:w="4558" w:type="dxa"/>
          </w:tcPr>
          <w:p w14:paraId="77D92D87" w14:textId="44E39F09" w:rsidR="001F7821" w:rsidRDefault="009F591A" w:rsidP="009F591A">
            <w:pPr>
              <w:pStyle w:val="tabletext"/>
            </w:pPr>
            <w:r>
              <w:t xml:space="preserve">The assets of the CCIV that relate solely to the business of the sub-fund and the proportion of assets of the CCIV that have been allocated to the sub-fund (see Chapter </w:t>
            </w:r>
            <w:r w:rsidR="00D25C7E">
              <w:t xml:space="preserve">3 of the Tranche 1 </w:t>
            </w:r>
            <w:r w:rsidR="00201D3B">
              <w:t>E</w:t>
            </w:r>
            <w:r w:rsidR="00D25C7E">
              <w:t xml:space="preserve">xplanatory </w:t>
            </w:r>
            <w:r w:rsidR="00201D3B">
              <w:t>M</w:t>
            </w:r>
            <w:r w:rsidR="006936CD">
              <w:t>aterials</w:t>
            </w:r>
            <w:r>
              <w:t xml:space="preserve"> for a discussion of the allocation rules</w:t>
            </w:r>
            <w:r w:rsidR="006936CD">
              <w:t xml:space="preserve"> for assets and liabilities of a CCIV</w:t>
            </w:r>
            <w:r>
              <w:t>).</w:t>
            </w:r>
          </w:p>
        </w:tc>
      </w:tr>
      <w:tr w:rsidR="001F7821" w14:paraId="38F7DC32" w14:textId="77777777" w:rsidTr="001F7821">
        <w:tblPrEx>
          <w:tblCellMar>
            <w:top w:w="0" w:type="dxa"/>
            <w:left w:w="108" w:type="dxa"/>
          </w:tblCellMar>
        </w:tblPrEx>
        <w:tc>
          <w:tcPr>
            <w:tcW w:w="2235" w:type="dxa"/>
          </w:tcPr>
          <w:p w14:paraId="1D405865" w14:textId="374ABFDC" w:rsidR="00CF5A75" w:rsidRDefault="00CF5A75" w:rsidP="00CF5A75">
            <w:pPr>
              <w:pStyle w:val="tabletext"/>
            </w:pPr>
            <w:r>
              <w:t>Creditor of a sub-fund</w:t>
            </w:r>
          </w:p>
        </w:tc>
        <w:tc>
          <w:tcPr>
            <w:tcW w:w="4558" w:type="dxa"/>
          </w:tcPr>
          <w:p w14:paraId="488BDF07" w14:textId="3B32CF1B" w:rsidR="00CF5A75" w:rsidRDefault="001F7821" w:rsidP="00CF5A75">
            <w:pPr>
              <w:pStyle w:val="tabletext"/>
            </w:pPr>
            <w:r>
              <w:t>A c</w:t>
            </w:r>
            <w:r w:rsidR="00CF5A75">
              <w:t>reditor of a CCIV if the debt or claim is</w:t>
            </w:r>
            <w:r w:rsidR="00532B3A">
              <w:t xml:space="preserve"> to any extent</w:t>
            </w:r>
            <w:r w:rsidR="00CF5A75">
              <w:t xml:space="preserve"> a liability of the sub-fund</w:t>
            </w:r>
            <w:r>
              <w:t>.</w:t>
            </w:r>
          </w:p>
        </w:tc>
      </w:tr>
      <w:tr w:rsidR="006C2E12" w14:paraId="51BD7F47" w14:textId="77777777" w:rsidTr="001F7821">
        <w:tblPrEx>
          <w:tblCellMar>
            <w:top w:w="0" w:type="dxa"/>
            <w:left w:w="108" w:type="dxa"/>
          </w:tblCellMar>
        </w:tblPrEx>
        <w:tc>
          <w:tcPr>
            <w:tcW w:w="2235" w:type="dxa"/>
          </w:tcPr>
          <w:p w14:paraId="13074241" w14:textId="5ACB07B6" w:rsidR="006C2E12" w:rsidRDefault="006C2E12" w:rsidP="00532B3A">
            <w:pPr>
              <w:pStyle w:val="tabletext"/>
            </w:pPr>
            <w:r>
              <w:t xml:space="preserve">Contributory </w:t>
            </w:r>
            <w:r w:rsidR="00532B3A">
              <w:t>in relation to</w:t>
            </w:r>
            <w:r>
              <w:t xml:space="preserve"> a sub-fund</w:t>
            </w:r>
          </w:p>
        </w:tc>
        <w:tc>
          <w:tcPr>
            <w:tcW w:w="4558" w:type="dxa"/>
          </w:tcPr>
          <w:p w14:paraId="18856D44" w14:textId="06ABA90C" w:rsidR="006C2E12" w:rsidRDefault="00532B3A" w:rsidP="00532B3A">
            <w:pPr>
              <w:pStyle w:val="tabletext"/>
            </w:pPr>
            <w:r>
              <w:t>A person who is a contributory of the CCIV if the person is liable as a member or past member of the sub-fund or is a holder of shares referable to the sub-fund</w:t>
            </w:r>
            <w:r w:rsidR="000F7A0D">
              <w:t>.</w:t>
            </w:r>
          </w:p>
        </w:tc>
      </w:tr>
      <w:tr w:rsidR="006C2E12" w14:paraId="2F6E4C76" w14:textId="77777777" w:rsidTr="001F7821">
        <w:tblPrEx>
          <w:tblCellMar>
            <w:top w:w="0" w:type="dxa"/>
            <w:left w:w="108" w:type="dxa"/>
          </w:tblCellMar>
        </w:tblPrEx>
        <w:tc>
          <w:tcPr>
            <w:tcW w:w="2235" w:type="dxa"/>
          </w:tcPr>
          <w:p w14:paraId="360680FB" w14:textId="161B4E16" w:rsidR="006C2E12" w:rsidRDefault="006C2E12" w:rsidP="00CF5A75">
            <w:pPr>
              <w:pStyle w:val="tabletext"/>
            </w:pPr>
            <w:r>
              <w:t>Extraordinary resolution</w:t>
            </w:r>
          </w:p>
        </w:tc>
        <w:tc>
          <w:tcPr>
            <w:tcW w:w="4558" w:type="dxa"/>
          </w:tcPr>
          <w:p w14:paraId="328EE830" w14:textId="0D71DF06" w:rsidR="006C2E12" w:rsidRDefault="00320121" w:rsidP="00CF5A75">
            <w:pPr>
              <w:pStyle w:val="tabletext"/>
            </w:pPr>
            <w:r>
              <w:t>A r</w:t>
            </w:r>
            <w:r w:rsidR="000F7A0D">
              <w:t>esolution passed by at least 50 per cent</w:t>
            </w:r>
            <w:r>
              <w:t xml:space="preserve"> of the votes cast by members entitled to vote on the resolution (that is, members of the sub-fund) including members who are not present in person or by proxy.</w:t>
            </w:r>
          </w:p>
        </w:tc>
      </w:tr>
      <w:tr w:rsidR="001F7821" w14:paraId="608E0A16" w14:textId="77777777" w:rsidTr="001F7821">
        <w:tblPrEx>
          <w:tblCellMar>
            <w:top w:w="0" w:type="dxa"/>
            <w:left w:w="108" w:type="dxa"/>
          </w:tblCellMar>
        </w:tblPrEx>
        <w:tc>
          <w:tcPr>
            <w:tcW w:w="2235" w:type="dxa"/>
          </w:tcPr>
          <w:p w14:paraId="2D06AEF2" w14:textId="466FEE9E" w:rsidR="001F7821" w:rsidRDefault="001F7821" w:rsidP="00CF5A75">
            <w:pPr>
              <w:pStyle w:val="tabletext"/>
            </w:pPr>
            <w:r>
              <w:t>Insolvent in relation to a fund</w:t>
            </w:r>
          </w:p>
        </w:tc>
        <w:tc>
          <w:tcPr>
            <w:tcW w:w="4558" w:type="dxa"/>
          </w:tcPr>
          <w:p w14:paraId="747250AE" w14:textId="7B6A923A" w:rsidR="001F7821" w:rsidRDefault="009F591A" w:rsidP="00CF5A75">
            <w:pPr>
              <w:pStyle w:val="tabletext"/>
            </w:pPr>
            <w:r>
              <w:t>A sub-fund is insolvent if the CCIV is not able to pay the debts that are liabilities of the sub-fund as, and when, they become due and payable.</w:t>
            </w:r>
          </w:p>
        </w:tc>
      </w:tr>
      <w:tr w:rsidR="001F7821" w14:paraId="2FE2705D" w14:textId="77777777" w:rsidTr="001F7821">
        <w:tblPrEx>
          <w:tblCellMar>
            <w:top w:w="0" w:type="dxa"/>
            <w:left w:w="108" w:type="dxa"/>
          </w:tblCellMar>
        </w:tblPrEx>
        <w:tc>
          <w:tcPr>
            <w:tcW w:w="2235" w:type="dxa"/>
          </w:tcPr>
          <w:p w14:paraId="65EBF2E1" w14:textId="1CFD6399" w:rsidR="001F7821" w:rsidRDefault="001F7821" w:rsidP="00CF5A75">
            <w:pPr>
              <w:pStyle w:val="tabletext"/>
            </w:pPr>
            <w:r>
              <w:t>Liabilities in relation to a sub-fund</w:t>
            </w:r>
          </w:p>
        </w:tc>
        <w:tc>
          <w:tcPr>
            <w:tcW w:w="4558" w:type="dxa"/>
          </w:tcPr>
          <w:p w14:paraId="27D19F8B" w14:textId="69CDAE03" w:rsidR="001F7821" w:rsidRDefault="001F7821" w:rsidP="000F7A0D">
            <w:pPr>
              <w:pStyle w:val="tabletext"/>
            </w:pPr>
            <w:r>
              <w:t xml:space="preserve">The liabilities of the CCIV that relate solely to the business of the sub-fund and the proportion of </w:t>
            </w:r>
            <w:r w:rsidR="009F591A">
              <w:t>liabilities of the CCIV</w:t>
            </w:r>
            <w:r>
              <w:t xml:space="preserve"> </w:t>
            </w:r>
            <w:r w:rsidR="00E3252D">
              <w:t xml:space="preserve">relating to more than one sub-fund </w:t>
            </w:r>
            <w:r>
              <w:t>that ha</w:t>
            </w:r>
            <w:r w:rsidR="009F591A">
              <w:t>ve</w:t>
            </w:r>
            <w:r>
              <w:t xml:space="preserve"> been allocated to the sub-fund</w:t>
            </w:r>
            <w:r w:rsidR="009F591A">
              <w:t xml:space="preserve"> (see Chapter </w:t>
            </w:r>
            <w:r w:rsidR="000F7A0D">
              <w:t xml:space="preserve">3.32 to 3.51 of the Tranche 1 </w:t>
            </w:r>
            <w:r w:rsidR="00532F11">
              <w:t>E</w:t>
            </w:r>
            <w:r w:rsidR="000F7A0D">
              <w:t xml:space="preserve">xplanatory </w:t>
            </w:r>
            <w:r w:rsidR="00532F11">
              <w:t>M</w:t>
            </w:r>
            <w:r w:rsidR="000F7A0D">
              <w:t>aterials</w:t>
            </w:r>
            <w:r w:rsidR="009F591A">
              <w:t xml:space="preserve"> for a discussion of the allocation rules).</w:t>
            </w:r>
          </w:p>
        </w:tc>
      </w:tr>
      <w:tr w:rsidR="001F7821" w14:paraId="50A836D4" w14:textId="77777777" w:rsidTr="001F7821">
        <w:tblPrEx>
          <w:tblCellMar>
            <w:top w:w="0" w:type="dxa"/>
            <w:left w:w="108" w:type="dxa"/>
          </w:tblCellMar>
        </w:tblPrEx>
        <w:tc>
          <w:tcPr>
            <w:tcW w:w="2235" w:type="dxa"/>
          </w:tcPr>
          <w:p w14:paraId="17C73D0A" w14:textId="7EA637A2" w:rsidR="001F7821" w:rsidRDefault="001F7821" w:rsidP="00CF5A75">
            <w:pPr>
              <w:pStyle w:val="tabletext"/>
            </w:pPr>
            <w:r>
              <w:t>Member in relation a sub-fund</w:t>
            </w:r>
          </w:p>
        </w:tc>
        <w:tc>
          <w:tcPr>
            <w:tcW w:w="4558" w:type="dxa"/>
          </w:tcPr>
          <w:p w14:paraId="517D5810" w14:textId="0CC0449E" w:rsidR="001F7821" w:rsidRDefault="001F7821" w:rsidP="00FD27D6">
            <w:pPr>
              <w:pStyle w:val="tabletext"/>
            </w:pPr>
            <w:r>
              <w:t>A person who is a member of the CCIV and holds one or more shares referable to the sub-fund.</w:t>
            </w:r>
          </w:p>
        </w:tc>
      </w:tr>
      <w:tr w:rsidR="00934C47" w14:paraId="1D9BC94C" w14:textId="77777777" w:rsidTr="001F7821">
        <w:tblPrEx>
          <w:tblCellMar>
            <w:top w:w="0" w:type="dxa"/>
            <w:left w:w="108" w:type="dxa"/>
          </w:tblCellMar>
        </w:tblPrEx>
        <w:tc>
          <w:tcPr>
            <w:tcW w:w="2235" w:type="dxa"/>
          </w:tcPr>
          <w:p w14:paraId="22E5A02C" w14:textId="5C573780" w:rsidR="00934C47" w:rsidRDefault="00934C47" w:rsidP="00CF5A75">
            <w:pPr>
              <w:pStyle w:val="tabletext"/>
            </w:pPr>
            <w:r>
              <w:t>Property of a sub-fund</w:t>
            </w:r>
          </w:p>
        </w:tc>
        <w:tc>
          <w:tcPr>
            <w:tcW w:w="4558" w:type="dxa"/>
          </w:tcPr>
          <w:p w14:paraId="5E3E7859" w14:textId="6B83843D" w:rsidR="00934C47" w:rsidRDefault="00934C47" w:rsidP="00CF5A75">
            <w:pPr>
              <w:pStyle w:val="tabletext"/>
            </w:pPr>
            <w:r>
              <w:t>Something that is property of the CCIV and an asset of the sub-fund of the CCIV.</w:t>
            </w:r>
          </w:p>
        </w:tc>
      </w:tr>
      <w:tr w:rsidR="001F7821" w14:paraId="634E57A1" w14:textId="77777777" w:rsidTr="001F7821">
        <w:tblPrEx>
          <w:tblCellMar>
            <w:top w:w="0" w:type="dxa"/>
            <w:left w:w="108" w:type="dxa"/>
          </w:tblCellMar>
        </w:tblPrEx>
        <w:tc>
          <w:tcPr>
            <w:tcW w:w="2235" w:type="dxa"/>
          </w:tcPr>
          <w:p w14:paraId="604C34C3" w14:textId="51F39939" w:rsidR="001F7821" w:rsidRDefault="001F7821" w:rsidP="00CF5A75">
            <w:pPr>
              <w:pStyle w:val="tabletext"/>
            </w:pPr>
            <w:r>
              <w:t>Secured creditor</w:t>
            </w:r>
            <w:r w:rsidR="00AE15A3">
              <w:t xml:space="preserve"> of a sub-fund of a CCIV</w:t>
            </w:r>
          </w:p>
        </w:tc>
        <w:tc>
          <w:tcPr>
            <w:tcW w:w="4558" w:type="dxa"/>
          </w:tcPr>
          <w:p w14:paraId="6690FD32" w14:textId="037E79D0" w:rsidR="001F7821" w:rsidRDefault="001F7821" w:rsidP="00CF5A75">
            <w:pPr>
              <w:pStyle w:val="tabletext"/>
            </w:pPr>
            <w:r>
              <w:t>A secured creditor of the CCIV if the debt owing to the creditor is a liability of the sub-fund.</w:t>
            </w:r>
          </w:p>
        </w:tc>
      </w:tr>
      <w:tr w:rsidR="009F591A" w14:paraId="6D56E5DA" w14:textId="77777777" w:rsidTr="001F7821">
        <w:tblPrEx>
          <w:tblCellMar>
            <w:top w:w="0" w:type="dxa"/>
            <w:left w:w="108" w:type="dxa"/>
          </w:tblCellMar>
        </w:tblPrEx>
        <w:tc>
          <w:tcPr>
            <w:tcW w:w="2235" w:type="dxa"/>
          </w:tcPr>
          <w:p w14:paraId="4F84ADFA" w14:textId="5BA97BED" w:rsidR="009F591A" w:rsidRDefault="009F591A" w:rsidP="00CF5A75">
            <w:pPr>
              <w:pStyle w:val="tabletext"/>
            </w:pPr>
            <w:r>
              <w:t xml:space="preserve">Solvent in relation to a </w:t>
            </w:r>
            <w:r w:rsidR="00E3252D">
              <w:t>sub-</w:t>
            </w:r>
            <w:r>
              <w:t>fund</w:t>
            </w:r>
          </w:p>
        </w:tc>
        <w:tc>
          <w:tcPr>
            <w:tcW w:w="4558" w:type="dxa"/>
          </w:tcPr>
          <w:p w14:paraId="30133EA4" w14:textId="682EF3D8" w:rsidR="009F591A" w:rsidRDefault="009F591A" w:rsidP="009F591A">
            <w:pPr>
              <w:pStyle w:val="tabletext"/>
            </w:pPr>
            <w:r>
              <w:t>A sub-fund is solvent if the CCIV is able to pay the debts that are liabilities of the sub-fund as, and when, they become due and payable.</w:t>
            </w:r>
          </w:p>
        </w:tc>
      </w:tr>
      <w:tr w:rsidR="006C2E12" w14:paraId="719A7714" w14:textId="77777777" w:rsidTr="001F7821">
        <w:tblPrEx>
          <w:tblCellMar>
            <w:top w:w="0" w:type="dxa"/>
            <w:left w:w="108" w:type="dxa"/>
          </w:tblCellMar>
        </w:tblPrEx>
        <w:tc>
          <w:tcPr>
            <w:tcW w:w="2235" w:type="dxa"/>
          </w:tcPr>
          <w:p w14:paraId="1D9D733B" w14:textId="1444EFD6" w:rsidR="006C2E12" w:rsidRDefault="006C2E12" w:rsidP="00CF5A75">
            <w:pPr>
              <w:pStyle w:val="tabletext"/>
            </w:pPr>
            <w:r>
              <w:t>Special resolution</w:t>
            </w:r>
            <w:r w:rsidR="00320121">
              <w:t>, in relation to a sub-fund of a CCIV</w:t>
            </w:r>
          </w:p>
        </w:tc>
        <w:tc>
          <w:tcPr>
            <w:tcW w:w="4558" w:type="dxa"/>
          </w:tcPr>
          <w:p w14:paraId="3C5A5C7A" w14:textId="6B58EA1E" w:rsidR="006C2E12" w:rsidRDefault="00320121" w:rsidP="00320121">
            <w:pPr>
              <w:pStyle w:val="tabletext"/>
            </w:pPr>
            <w:r>
              <w:t xml:space="preserve">A resolution passed by at least 75% of the votes cast by members entitled to vote on the resolution (that is, members of the sub-fund) </w:t>
            </w:r>
          </w:p>
        </w:tc>
      </w:tr>
    </w:tbl>
    <w:p w14:paraId="4705E1BC" w14:textId="36928BE6" w:rsidR="00CF5A75" w:rsidRPr="001F7821" w:rsidRDefault="00CF5A75" w:rsidP="00CF5A75">
      <w:pPr>
        <w:pStyle w:val="TableHeadingoutsidetable"/>
        <w:numPr>
          <w:ilvl w:val="0"/>
          <w:numId w:val="0"/>
        </w:numPr>
        <w:ind w:left="1134"/>
        <w:rPr>
          <w:rStyle w:val="Referencingstyle"/>
          <w:b/>
        </w:rPr>
      </w:pPr>
      <w:r w:rsidRPr="001F7821">
        <w:rPr>
          <w:rStyle w:val="Referencingstyle"/>
          <w:b/>
        </w:rPr>
        <w:t xml:space="preserve"> </w:t>
      </w:r>
      <w:r w:rsidR="003A5672" w:rsidRPr="001F7821">
        <w:rPr>
          <w:rStyle w:val="Referencingstyle"/>
          <w:b/>
        </w:rPr>
        <w:t>[</w:t>
      </w:r>
      <w:r w:rsidR="001F7821" w:rsidRPr="001F7821">
        <w:rPr>
          <w:rStyle w:val="Referencingstyle"/>
          <w:b/>
        </w:rPr>
        <w:t>Schedule </w:t>
      </w:r>
      <w:r w:rsidR="00B3148B">
        <w:rPr>
          <w:rStyle w:val="Referencingstyle"/>
          <w:b/>
        </w:rPr>
        <w:t>2</w:t>
      </w:r>
      <w:r w:rsidR="001F7821" w:rsidRPr="001F7821">
        <w:rPr>
          <w:rStyle w:val="Referencingstyle"/>
          <w:b/>
        </w:rPr>
        <w:t xml:space="preserve">, item </w:t>
      </w:r>
      <w:r w:rsidR="00B3148B">
        <w:rPr>
          <w:rStyle w:val="Referencingstyle"/>
          <w:b/>
        </w:rPr>
        <w:t>1</w:t>
      </w:r>
      <w:r w:rsidR="001F7821" w:rsidRPr="001F7821">
        <w:rPr>
          <w:rStyle w:val="Referencingstyle"/>
          <w:b/>
        </w:rPr>
        <w:t xml:space="preserve">, </w:t>
      </w:r>
      <w:r w:rsidR="001F7821">
        <w:rPr>
          <w:rStyle w:val="Referencingstyle"/>
          <w:b/>
        </w:rPr>
        <w:t>section 9, definition</w:t>
      </w:r>
      <w:r w:rsidR="00320121">
        <w:rPr>
          <w:rStyle w:val="Referencingstyle"/>
          <w:b/>
        </w:rPr>
        <w:t>s</w:t>
      </w:r>
      <w:r w:rsidR="001F7821">
        <w:rPr>
          <w:rStyle w:val="Referencingstyle"/>
          <w:b/>
        </w:rPr>
        <w:t xml:space="preserve"> of ‘assets’, </w:t>
      </w:r>
      <w:r w:rsidR="00532B3A">
        <w:rPr>
          <w:rStyle w:val="Referencingstyle"/>
          <w:b/>
        </w:rPr>
        <w:t xml:space="preserve">‘contributory in relation to a sub-fund’, </w:t>
      </w:r>
      <w:r w:rsidR="001F7821">
        <w:rPr>
          <w:rStyle w:val="Referencingstyle"/>
          <w:b/>
        </w:rPr>
        <w:t xml:space="preserve">‘creditor of a sub-fund’, </w:t>
      </w:r>
      <w:r w:rsidR="00320121">
        <w:rPr>
          <w:rStyle w:val="Referencingstyle"/>
          <w:b/>
        </w:rPr>
        <w:t xml:space="preserve">‘extraordinary resolution’, </w:t>
      </w:r>
      <w:r w:rsidR="001F7821">
        <w:rPr>
          <w:rStyle w:val="Referencingstyle"/>
          <w:b/>
        </w:rPr>
        <w:t>‘insolvent’, ‘liabilities’, ‘member</w:t>
      </w:r>
      <w:r w:rsidR="00934C47">
        <w:rPr>
          <w:rStyle w:val="Referencingstyle"/>
          <w:b/>
        </w:rPr>
        <w:t>’</w:t>
      </w:r>
      <w:r w:rsidR="00320121">
        <w:rPr>
          <w:rStyle w:val="Referencingstyle"/>
          <w:b/>
        </w:rPr>
        <w:t xml:space="preserve">, </w:t>
      </w:r>
      <w:r w:rsidR="001F7821">
        <w:rPr>
          <w:rStyle w:val="Referencingstyle"/>
          <w:b/>
        </w:rPr>
        <w:t>‘solvent’</w:t>
      </w:r>
      <w:r w:rsidR="00320121">
        <w:rPr>
          <w:rStyle w:val="Referencingstyle"/>
          <w:b/>
        </w:rPr>
        <w:t xml:space="preserve"> and ‘special resolution’</w:t>
      </w:r>
      <w:r w:rsidR="001F7821">
        <w:rPr>
          <w:rStyle w:val="Referencingstyle"/>
          <w:b/>
        </w:rPr>
        <w:t xml:space="preserve">, </w:t>
      </w:r>
      <w:r w:rsidR="00934C47">
        <w:rPr>
          <w:rStyle w:val="Referencingstyle"/>
          <w:b/>
        </w:rPr>
        <w:t xml:space="preserve">section 51E, definition of ‘secured creditor’, section 51F, </w:t>
      </w:r>
      <w:r w:rsidR="001F7821">
        <w:rPr>
          <w:rStyle w:val="Referencingstyle"/>
          <w:b/>
        </w:rPr>
        <w:t>sections 1233C, 1233J, 1233P and 1246A]</w:t>
      </w:r>
    </w:p>
    <w:p w14:paraId="07D82343" w14:textId="2643F362" w:rsidR="003A5672" w:rsidRPr="00F80E6B" w:rsidRDefault="00FE40BE" w:rsidP="003A5672">
      <w:pPr>
        <w:pStyle w:val="Heading5"/>
      </w:pPr>
      <w:r>
        <w:t>Other modifications</w:t>
      </w:r>
    </w:p>
    <w:p w14:paraId="0A4921E2" w14:textId="309C6226" w:rsidR="003B2AED" w:rsidRPr="00AE15A3" w:rsidRDefault="00FE40BE" w:rsidP="00AE15A3">
      <w:pPr>
        <w:pStyle w:val="base-text-paragraph"/>
        <w:rPr>
          <w:rStyle w:val="Referencingstyle"/>
          <w:b w:val="0"/>
          <w:i w:val="0"/>
          <w:sz w:val="22"/>
        </w:rPr>
      </w:pPr>
      <w:r w:rsidRPr="00FA5B27">
        <w:t xml:space="preserve">The new law </w:t>
      </w:r>
      <w:r w:rsidR="008167B1">
        <w:t>provides that</w:t>
      </w:r>
      <w:r>
        <w:t xml:space="preserve"> any other modifications </w:t>
      </w:r>
      <w:r w:rsidR="00E3252D">
        <w:t xml:space="preserve">that are necessary </w:t>
      </w:r>
      <w:r w:rsidR="00140284">
        <w:t xml:space="preserve">may </w:t>
      </w:r>
      <w:r w:rsidR="008A68CD">
        <w:t>be made</w:t>
      </w:r>
      <w:r>
        <w:t xml:space="preserve"> </w:t>
      </w:r>
      <w:r w:rsidR="008A68CD">
        <w:t xml:space="preserve">so that the provisions </w:t>
      </w:r>
      <w:r>
        <w:t>apply to a sub-fund instead of a company.</w:t>
      </w:r>
      <w:r w:rsidR="003A5672">
        <w:t xml:space="preserve"> </w:t>
      </w:r>
      <w:r>
        <w:t xml:space="preserve">This provides </w:t>
      </w:r>
      <w:r w:rsidR="00140284">
        <w:t xml:space="preserve">the </w:t>
      </w:r>
      <w:r>
        <w:t>flexibility</w:t>
      </w:r>
      <w:r w:rsidR="008A68CD">
        <w:t xml:space="preserve"> to </w:t>
      </w:r>
      <w:r w:rsidR="00140284">
        <w:t>deal with</w:t>
      </w:r>
      <w:r w:rsidR="008A68CD">
        <w:t xml:space="preserve"> any circumstances that are not directly addressed by the Bill</w:t>
      </w:r>
      <w:r>
        <w:t xml:space="preserve">. It </w:t>
      </w:r>
      <w:r w:rsidR="008A68CD">
        <w:t>reflects</w:t>
      </w:r>
      <w:r>
        <w:t xml:space="preserve"> a precedent used in other parts of the Act where it is not possible to </w:t>
      </w:r>
      <w:r w:rsidR="008A68CD">
        <w:t xml:space="preserve">account </w:t>
      </w:r>
      <w:r w:rsidR="00140284">
        <w:t xml:space="preserve">expressly </w:t>
      </w:r>
      <w:r w:rsidR="008A68CD">
        <w:t>for</w:t>
      </w:r>
      <w:r>
        <w:t xml:space="preserve"> all possible scenarios (see, for example, paragraph 233(2)(b) and subsection 324BD(2) of the Act).</w:t>
      </w:r>
      <w:r w:rsidR="00AE15A3">
        <w:t xml:space="preserve"> </w:t>
      </w:r>
      <w:r w:rsidR="003B2AED" w:rsidRPr="000758ED">
        <w:rPr>
          <w:rStyle w:val="Referencingstyle"/>
        </w:rPr>
        <w:t xml:space="preserve">[Schedule </w:t>
      </w:r>
      <w:r w:rsidR="00B956C1">
        <w:rPr>
          <w:rStyle w:val="Referencingstyle"/>
        </w:rPr>
        <w:t>2</w:t>
      </w:r>
      <w:r w:rsidR="003B2AED" w:rsidRPr="000758ED">
        <w:rPr>
          <w:rStyle w:val="Referencingstyle"/>
        </w:rPr>
        <w:t xml:space="preserve">, item </w:t>
      </w:r>
      <w:r w:rsidR="00B956C1">
        <w:rPr>
          <w:rStyle w:val="Referencingstyle"/>
        </w:rPr>
        <w:t>1</w:t>
      </w:r>
      <w:r w:rsidR="003B2AED">
        <w:rPr>
          <w:rStyle w:val="Referencingstyle"/>
        </w:rPr>
        <w:t xml:space="preserve">, subparagraphs </w:t>
      </w:r>
      <w:r w:rsidR="00B956C1">
        <w:rPr>
          <w:rStyle w:val="Referencingstyle"/>
        </w:rPr>
        <w:t>12-015</w:t>
      </w:r>
      <w:r w:rsidR="003B2AED">
        <w:rPr>
          <w:rStyle w:val="Referencingstyle"/>
        </w:rPr>
        <w:t>(1)(</w:t>
      </w:r>
      <w:r w:rsidR="00D52EB7">
        <w:rPr>
          <w:rStyle w:val="Referencingstyle"/>
        </w:rPr>
        <w:t>b</w:t>
      </w:r>
      <w:r w:rsidR="003B2AED">
        <w:rPr>
          <w:rStyle w:val="Referencingstyle"/>
        </w:rPr>
        <w:t xml:space="preserve">)(ii), </w:t>
      </w:r>
      <w:r w:rsidR="00B956C1">
        <w:rPr>
          <w:rStyle w:val="Referencingstyle"/>
        </w:rPr>
        <w:t>12</w:t>
      </w:r>
      <w:r w:rsidR="00186865">
        <w:rPr>
          <w:rStyle w:val="Referencingstyle"/>
        </w:rPr>
        <w:noBreakHyphen/>
      </w:r>
      <w:r w:rsidR="00B956C1">
        <w:rPr>
          <w:rStyle w:val="Referencingstyle"/>
        </w:rPr>
        <w:t>060</w:t>
      </w:r>
      <w:r w:rsidR="003B2AED">
        <w:rPr>
          <w:rStyle w:val="Referencingstyle"/>
        </w:rPr>
        <w:t>(1)(</w:t>
      </w:r>
      <w:r w:rsidR="00D52EB7">
        <w:rPr>
          <w:rStyle w:val="Referencingstyle"/>
        </w:rPr>
        <w:t>b</w:t>
      </w:r>
      <w:r w:rsidR="003B2AED">
        <w:rPr>
          <w:rStyle w:val="Referencingstyle"/>
        </w:rPr>
        <w:t xml:space="preserve">)(ii), </w:t>
      </w:r>
      <w:r w:rsidR="00B956C1">
        <w:rPr>
          <w:rStyle w:val="Referencingstyle"/>
        </w:rPr>
        <w:t>12-105</w:t>
      </w:r>
      <w:r w:rsidR="003B2AED">
        <w:rPr>
          <w:rStyle w:val="Referencingstyle"/>
        </w:rPr>
        <w:t>(1)(</w:t>
      </w:r>
      <w:r w:rsidR="00D52EB7">
        <w:rPr>
          <w:rStyle w:val="Referencingstyle"/>
        </w:rPr>
        <w:t>b</w:t>
      </w:r>
      <w:r w:rsidR="003B2AED">
        <w:rPr>
          <w:rStyle w:val="Referencingstyle"/>
        </w:rPr>
        <w:t xml:space="preserve">)(ii), </w:t>
      </w:r>
      <w:r w:rsidR="00B956C1">
        <w:rPr>
          <w:rStyle w:val="Referencingstyle"/>
        </w:rPr>
        <w:t>12-260</w:t>
      </w:r>
      <w:r w:rsidR="003B2AED">
        <w:rPr>
          <w:rStyle w:val="Referencingstyle"/>
        </w:rPr>
        <w:t>(1)(</w:t>
      </w:r>
      <w:r w:rsidR="00D52EB7">
        <w:rPr>
          <w:rStyle w:val="Referencingstyle"/>
        </w:rPr>
        <w:t>b</w:t>
      </w:r>
      <w:r w:rsidR="003B2AED">
        <w:rPr>
          <w:rStyle w:val="Referencingstyle"/>
        </w:rPr>
        <w:t xml:space="preserve">)(ii) and </w:t>
      </w:r>
      <w:r w:rsidR="00B956C1">
        <w:rPr>
          <w:rStyle w:val="Referencingstyle"/>
        </w:rPr>
        <w:t>12-290</w:t>
      </w:r>
      <w:r w:rsidR="003B2AED">
        <w:rPr>
          <w:rStyle w:val="Referencingstyle"/>
        </w:rPr>
        <w:t>(1)(</w:t>
      </w:r>
      <w:r w:rsidR="00D52EB7">
        <w:rPr>
          <w:rStyle w:val="Referencingstyle"/>
        </w:rPr>
        <w:t>b</w:t>
      </w:r>
      <w:r w:rsidR="003B2AED">
        <w:rPr>
          <w:rStyle w:val="Referencingstyle"/>
        </w:rPr>
        <w:t>)(ii)]</w:t>
      </w:r>
    </w:p>
    <w:p w14:paraId="7F712C2C" w14:textId="42DEB431" w:rsidR="00FE40BE" w:rsidRDefault="003B2AED" w:rsidP="00711D0C">
      <w:pPr>
        <w:pStyle w:val="base-text-paragraph"/>
      </w:pPr>
      <w:r>
        <w:t xml:space="preserve"> </w:t>
      </w:r>
      <w:r w:rsidR="00FE40BE">
        <w:t xml:space="preserve">When determining whether a modification is </w:t>
      </w:r>
      <w:r w:rsidR="00140284">
        <w:t>necessary</w:t>
      </w:r>
      <w:r w:rsidR="00FE40BE">
        <w:t xml:space="preserve">, the </w:t>
      </w:r>
      <w:r w:rsidR="007D1C42">
        <w:t xml:space="preserve">following </w:t>
      </w:r>
      <w:r w:rsidR="00FE40BE">
        <w:t xml:space="preserve">factors </w:t>
      </w:r>
      <w:r w:rsidR="007D1C42">
        <w:t>could be considered</w:t>
      </w:r>
      <w:r w:rsidR="00FE40BE">
        <w:t>:</w:t>
      </w:r>
    </w:p>
    <w:p w14:paraId="64E14055" w14:textId="52307705" w:rsidR="003B2AED" w:rsidRDefault="00D52EB7" w:rsidP="003B2AED">
      <w:pPr>
        <w:pStyle w:val="dotpoint"/>
      </w:pPr>
      <w:r>
        <w:t>the</w:t>
      </w:r>
      <w:r w:rsidR="00F97CA1">
        <w:t xml:space="preserve"> unique characteristics</w:t>
      </w:r>
      <w:r w:rsidR="003B2AED">
        <w:t xml:space="preserve"> which distinguish </w:t>
      </w:r>
      <w:r>
        <w:t>CCIVs</w:t>
      </w:r>
      <w:r w:rsidR="003B2AED">
        <w:t xml:space="preserve"> from other types of companies;</w:t>
      </w:r>
    </w:p>
    <w:p w14:paraId="73FDDA5B" w14:textId="207DB3F0" w:rsidR="003B2AED" w:rsidRDefault="00D52EB7" w:rsidP="003B2AED">
      <w:pPr>
        <w:pStyle w:val="dotpoint"/>
      </w:pPr>
      <w:r>
        <w:t xml:space="preserve">the fact </w:t>
      </w:r>
      <w:r w:rsidR="00FE40BE">
        <w:t>that a sub-fund is not a legal person</w:t>
      </w:r>
      <w:r w:rsidR="003B2AED">
        <w:t>; and</w:t>
      </w:r>
    </w:p>
    <w:p w14:paraId="080A962E" w14:textId="036C16BD" w:rsidR="003B2AED" w:rsidRDefault="00AE15A3" w:rsidP="003B2AED">
      <w:pPr>
        <w:pStyle w:val="dotpoint"/>
      </w:pPr>
      <w:r>
        <w:t xml:space="preserve">the </w:t>
      </w:r>
      <w:r w:rsidR="00F97CA1">
        <w:t>object</w:t>
      </w:r>
      <w:r w:rsidR="003B2AED">
        <w:t xml:space="preserve"> of the translation rules, namely, to prese</w:t>
      </w:r>
      <w:r>
        <w:t>rve the segregated application</w:t>
      </w:r>
      <w:r w:rsidR="003B2AED">
        <w:t xml:space="preserve"> of assets </w:t>
      </w:r>
      <w:r>
        <w:t>of a</w:t>
      </w:r>
      <w:r w:rsidR="003B2AED">
        <w:t xml:space="preserve"> sub-fund</w:t>
      </w:r>
      <w:r>
        <w:t>.</w:t>
      </w:r>
    </w:p>
    <w:p w14:paraId="2A0FE736" w14:textId="08AF04AB" w:rsidR="003A5672" w:rsidRDefault="003A5672" w:rsidP="003A5672">
      <w:pPr>
        <w:pStyle w:val="base-text-paragraph"/>
        <w:numPr>
          <w:ilvl w:val="0"/>
          <w:numId w:val="0"/>
        </w:numPr>
        <w:ind w:left="1134"/>
        <w:rPr>
          <w:i/>
        </w:rPr>
      </w:pPr>
      <w:r>
        <w:rPr>
          <w:i/>
        </w:rPr>
        <w:t xml:space="preserve">Provisions to which the </w:t>
      </w:r>
      <w:r w:rsidR="003B2AED">
        <w:rPr>
          <w:i/>
        </w:rPr>
        <w:t>translation rules</w:t>
      </w:r>
      <w:r>
        <w:rPr>
          <w:i/>
        </w:rPr>
        <w:t xml:space="preserve"> apply</w:t>
      </w:r>
    </w:p>
    <w:p w14:paraId="5250521A" w14:textId="7CC7DD2C" w:rsidR="000D3252" w:rsidRDefault="003A5672" w:rsidP="00711D0C">
      <w:pPr>
        <w:pStyle w:val="base-text-paragraph"/>
      </w:pPr>
      <w:r>
        <w:t xml:space="preserve">The </w:t>
      </w:r>
      <w:r w:rsidR="00DD7AD6">
        <w:t>translation rules</w:t>
      </w:r>
      <w:r>
        <w:t xml:space="preserve"> apply to </w:t>
      </w:r>
      <w:r w:rsidR="00DD7AD6">
        <w:t>most</w:t>
      </w:r>
      <w:r>
        <w:t xml:space="preserve"> </w:t>
      </w:r>
      <w:r w:rsidR="00DD7AD6">
        <w:t xml:space="preserve">of the </w:t>
      </w:r>
      <w:r>
        <w:t>provi</w:t>
      </w:r>
      <w:r w:rsidR="00DD7AD6">
        <w:t xml:space="preserve">sions in Chapter 5 of the Act </w:t>
      </w:r>
      <w:r w:rsidR="00F5534F">
        <w:t xml:space="preserve">that </w:t>
      </w:r>
      <w:r w:rsidR="00DD7AD6">
        <w:t>relate to arrangements and reconstructions, receivership, winding up, recovery of property and external administration offences</w:t>
      </w:r>
      <w:r w:rsidR="00C06414">
        <w:t xml:space="preserve"> (see Table 2.2)</w:t>
      </w:r>
      <w:r w:rsidR="00DD7AD6">
        <w:t xml:space="preserve">. </w:t>
      </w:r>
      <w:r w:rsidR="000D3252">
        <w:rPr>
          <w:rStyle w:val="Referencingstyle"/>
        </w:rPr>
        <w:t>[Schedule </w:t>
      </w:r>
      <w:r w:rsidR="00B956C1">
        <w:rPr>
          <w:rStyle w:val="Referencingstyle"/>
        </w:rPr>
        <w:t>2</w:t>
      </w:r>
      <w:r w:rsidR="000D3252">
        <w:rPr>
          <w:rStyle w:val="Referencingstyle"/>
        </w:rPr>
        <w:t>,</w:t>
      </w:r>
      <w:r w:rsidR="00B956C1">
        <w:rPr>
          <w:rStyle w:val="Referencingstyle"/>
        </w:rPr>
        <w:t xml:space="preserve"> </w:t>
      </w:r>
      <w:r w:rsidR="000D3252">
        <w:rPr>
          <w:rStyle w:val="Referencingstyle"/>
        </w:rPr>
        <w:t xml:space="preserve">item </w:t>
      </w:r>
      <w:r w:rsidR="00B956C1">
        <w:rPr>
          <w:rStyle w:val="Referencingstyle"/>
        </w:rPr>
        <w:t>1</w:t>
      </w:r>
      <w:r w:rsidR="000D3252">
        <w:rPr>
          <w:rStyle w:val="Referencingstyle"/>
        </w:rPr>
        <w:t>, paragraphs</w:t>
      </w:r>
      <w:r w:rsidR="00F5534F">
        <w:rPr>
          <w:rStyle w:val="Referencingstyle"/>
        </w:rPr>
        <w:t> </w:t>
      </w:r>
      <w:r w:rsidR="00B956C1">
        <w:rPr>
          <w:rStyle w:val="Referencingstyle"/>
        </w:rPr>
        <w:t>12-015</w:t>
      </w:r>
      <w:r w:rsidR="000D3252">
        <w:rPr>
          <w:rStyle w:val="Referencingstyle"/>
        </w:rPr>
        <w:t xml:space="preserve">(3)(a), </w:t>
      </w:r>
      <w:r w:rsidR="00B956C1">
        <w:rPr>
          <w:rStyle w:val="Referencingstyle"/>
        </w:rPr>
        <w:t>12-060</w:t>
      </w:r>
      <w:r w:rsidR="000D3252">
        <w:rPr>
          <w:rStyle w:val="Referencingstyle"/>
        </w:rPr>
        <w:t>(3)</w:t>
      </w:r>
      <w:r w:rsidR="000D3252" w:rsidRPr="000D3252">
        <w:rPr>
          <w:rStyle w:val="Referencingstyle"/>
        </w:rPr>
        <w:t xml:space="preserve"> </w:t>
      </w:r>
      <w:r w:rsidR="000D3252">
        <w:rPr>
          <w:rStyle w:val="Referencingstyle"/>
        </w:rPr>
        <w:t xml:space="preserve">(a), </w:t>
      </w:r>
      <w:r w:rsidR="00B956C1">
        <w:rPr>
          <w:rStyle w:val="Referencingstyle"/>
        </w:rPr>
        <w:t>12-105</w:t>
      </w:r>
      <w:r w:rsidR="000D3252">
        <w:rPr>
          <w:rStyle w:val="Referencingstyle"/>
        </w:rPr>
        <w:t>(3)</w:t>
      </w:r>
      <w:r w:rsidR="000D3252" w:rsidRPr="000D3252">
        <w:rPr>
          <w:rStyle w:val="Referencingstyle"/>
        </w:rPr>
        <w:t xml:space="preserve"> </w:t>
      </w:r>
      <w:r w:rsidR="000D3252">
        <w:rPr>
          <w:rStyle w:val="Referencingstyle"/>
        </w:rPr>
        <w:t xml:space="preserve">(a), </w:t>
      </w:r>
      <w:r w:rsidR="00B956C1">
        <w:rPr>
          <w:rStyle w:val="Referencingstyle"/>
        </w:rPr>
        <w:t>12-260</w:t>
      </w:r>
      <w:r w:rsidR="000D3252">
        <w:rPr>
          <w:rStyle w:val="Referencingstyle"/>
        </w:rPr>
        <w:t xml:space="preserve">(3)(a) and </w:t>
      </w:r>
      <w:r w:rsidR="00B956C1">
        <w:rPr>
          <w:rStyle w:val="Referencingstyle"/>
        </w:rPr>
        <w:t>12-290</w:t>
      </w:r>
      <w:r w:rsidR="000D3252">
        <w:rPr>
          <w:rStyle w:val="Referencingstyle"/>
        </w:rPr>
        <w:t>(</w:t>
      </w:r>
      <w:r w:rsidR="00010316">
        <w:rPr>
          <w:rStyle w:val="Referencingstyle"/>
        </w:rPr>
        <w:t>2</w:t>
      </w:r>
      <w:r w:rsidR="00A06114">
        <w:rPr>
          <w:rStyle w:val="Referencingstyle"/>
        </w:rPr>
        <w:t>)(a</w:t>
      </w:r>
      <w:r w:rsidR="000D3252">
        <w:rPr>
          <w:rStyle w:val="Referencingstyle"/>
        </w:rPr>
        <w:t>)]</w:t>
      </w:r>
    </w:p>
    <w:p w14:paraId="1D933FE8" w14:textId="0B7592CC" w:rsidR="000D3252" w:rsidRDefault="000D3252" w:rsidP="000D3252">
      <w:pPr>
        <w:pStyle w:val="TableHeadingoutsidetable"/>
      </w:pPr>
      <w:bookmarkStart w:id="70" w:name="_Ref522176422"/>
      <w:r>
        <w:t xml:space="preserve">: Provisions in Chapter 5 </w:t>
      </w:r>
      <w:r w:rsidR="00AE15A3">
        <w:t>where</w:t>
      </w:r>
      <w:r>
        <w:t xml:space="preserve"> the translation rule</w:t>
      </w:r>
      <w:r w:rsidR="00F5534F">
        <w:t>s</w:t>
      </w:r>
      <w:r>
        <w:t xml:space="preserve"> apply</w:t>
      </w:r>
      <w:bookmarkEnd w:id="70"/>
    </w:p>
    <w:tbl>
      <w:tblPr>
        <w:tblStyle w:val="EMTable"/>
        <w:tblW w:w="0" w:type="auto"/>
        <w:tblInd w:w="1134" w:type="dxa"/>
        <w:tblLook w:val="04A0" w:firstRow="1" w:lastRow="0" w:firstColumn="1" w:lastColumn="0" w:noHBand="0" w:noVBand="1"/>
      </w:tblPr>
      <w:tblGrid>
        <w:gridCol w:w="3131"/>
        <w:gridCol w:w="3050"/>
      </w:tblGrid>
      <w:tr w:rsidR="000D3252" w14:paraId="40D471C1" w14:textId="77777777" w:rsidTr="000D3252">
        <w:trPr>
          <w:cnfStyle w:val="100000000000" w:firstRow="1" w:lastRow="0" w:firstColumn="0" w:lastColumn="0" w:oddVBand="0" w:evenVBand="0" w:oddHBand="0" w:evenHBand="0" w:firstRowFirstColumn="0" w:firstRowLastColumn="0" w:lastRowFirstColumn="0" w:lastRowLastColumn="0"/>
        </w:trPr>
        <w:tc>
          <w:tcPr>
            <w:tcW w:w="3963" w:type="dxa"/>
          </w:tcPr>
          <w:p w14:paraId="12DB1B79" w14:textId="0230AB61" w:rsidR="000D3252" w:rsidRPr="000D3252" w:rsidRDefault="000D3252" w:rsidP="000D3252">
            <w:pPr>
              <w:pStyle w:val="tableheaderwithintable"/>
              <w:rPr>
                <w:b/>
                <w:i/>
              </w:rPr>
            </w:pPr>
            <w:r w:rsidRPr="0014414E">
              <w:rPr>
                <w:b/>
                <w:i/>
              </w:rPr>
              <w:t>Subject Matter</w:t>
            </w:r>
          </w:p>
        </w:tc>
        <w:tc>
          <w:tcPr>
            <w:tcW w:w="3964" w:type="dxa"/>
          </w:tcPr>
          <w:p w14:paraId="7AB9B151" w14:textId="202B69E1" w:rsidR="000D3252" w:rsidRPr="000D3252" w:rsidRDefault="000D3252" w:rsidP="000D3252">
            <w:pPr>
              <w:pStyle w:val="tableheaderwithintable"/>
              <w:rPr>
                <w:b/>
                <w:i/>
              </w:rPr>
            </w:pPr>
            <w:r w:rsidRPr="0014414E">
              <w:rPr>
                <w:b/>
                <w:i/>
              </w:rPr>
              <w:t>Provisions</w:t>
            </w:r>
          </w:p>
        </w:tc>
      </w:tr>
      <w:tr w:rsidR="000D3252" w14:paraId="247CE9CA" w14:textId="77777777" w:rsidTr="000D3252">
        <w:tblPrEx>
          <w:tblCellMar>
            <w:top w:w="0" w:type="dxa"/>
            <w:left w:w="108" w:type="dxa"/>
          </w:tblCellMar>
        </w:tblPrEx>
        <w:tc>
          <w:tcPr>
            <w:tcW w:w="3963" w:type="dxa"/>
          </w:tcPr>
          <w:p w14:paraId="311CC039" w14:textId="4362D18F" w:rsidR="000D3252" w:rsidRDefault="00A83117" w:rsidP="000D3252">
            <w:pPr>
              <w:pStyle w:val="tabletext"/>
            </w:pPr>
            <w:r>
              <w:t>Arrangements and reconstructions</w:t>
            </w:r>
          </w:p>
        </w:tc>
        <w:tc>
          <w:tcPr>
            <w:tcW w:w="3964" w:type="dxa"/>
          </w:tcPr>
          <w:p w14:paraId="37070CA5" w14:textId="3D6AFA3A" w:rsidR="000D3252" w:rsidRDefault="006E0000" w:rsidP="00CF7BBD">
            <w:pPr>
              <w:pStyle w:val="tabletext"/>
            </w:pPr>
            <w:r>
              <w:t>Part 5.1 other than subsections 411(1A), (1B) and (1C) and paragraph 411(17)(a)</w:t>
            </w:r>
          </w:p>
        </w:tc>
      </w:tr>
      <w:tr w:rsidR="000D3252" w14:paraId="21F11A4A" w14:textId="77777777" w:rsidTr="000D3252">
        <w:tblPrEx>
          <w:tblCellMar>
            <w:top w:w="0" w:type="dxa"/>
            <w:left w:w="108" w:type="dxa"/>
          </w:tblCellMar>
        </w:tblPrEx>
        <w:tc>
          <w:tcPr>
            <w:tcW w:w="3963" w:type="dxa"/>
          </w:tcPr>
          <w:p w14:paraId="6721A7AC" w14:textId="6CC4D03E" w:rsidR="000D3252" w:rsidRDefault="00A83117" w:rsidP="000D3252">
            <w:pPr>
              <w:pStyle w:val="tabletext"/>
            </w:pPr>
            <w:r>
              <w:t>Receivership</w:t>
            </w:r>
          </w:p>
        </w:tc>
        <w:tc>
          <w:tcPr>
            <w:tcW w:w="3964" w:type="dxa"/>
          </w:tcPr>
          <w:p w14:paraId="112A61A8" w14:textId="1E676EF5" w:rsidR="000D3252" w:rsidRDefault="008257B0" w:rsidP="000D3252">
            <w:pPr>
              <w:pStyle w:val="tabletext"/>
            </w:pPr>
            <w:r>
              <w:t>Part 5.2 (other than section 418)</w:t>
            </w:r>
            <w:r w:rsidR="006376E1">
              <w:t xml:space="preserve"> and Division</w:t>
            </w:r>
            <w:r w:rsidR="00F5534F">
              <w:t> </w:t>
            </w:r>
            <w:r w:rsidR="006376E1">
              <w:t>2B of Part 5.7B</w:t>
            </w:r>
          </w:p>
        </w:tc>
      </w:tr>
      <w:tr w:rsidR="000D3252" w14:paraId="3B44E66C" w14:textId="77777777" w:rsidTr="000D3252">
        <w:tblPrEx>
          <w:tblCellMar>
            <w:top w:w="0" w:type="dxa"/>
            <w:left w:w="108" w:type="dxa"/>
          </w:tblCellMar>
        </w:tblPrEx>
        <w:tc>
          <w:tcPr>
            <w:tcW w:w="3963" w:type="dxa"/>
          </w:tcPr>
          <w:p w14:paraId="398A3B76" w14:textId="74CB1EA7" w:rsidR="000D3252" w:rsidRDefault="00722F0F" w:rsidP="000D3252">
            <w:pPr>
              <w:pStyle w:val="tabletext"/>
            </w:pPr>
            <w:r>
              <w:t>Winding up</w:t>
            </w:r>
          </w:p>
        </w:tc>
        <w:tc>
          <w:tcPr>
            <w:tcW w:w="3964" w:type="dxa"/>
          </w:tcPr>
          <w:p w14:paraId="0717E8A6" w14:textId="1527B3D1" w:rsidR="000D3252" w:rsidRDefault="00722F0F" w:rsidP="00856A19">
            <w:pPr>
              <w:pStyle w:val="tabletext"/>
            </w:pPr>
            <w:r>
              <w:t xml:space="preserve">Section </w:t>
            </w:r>
            <w:r w:rsidR="00CD1A2A">
              <w:t xml:space="preserve">53, </w:t>
            </w:r>
            <w:r>
              <w:t xml:space="preserve">91, </w:t>
            </w:r>
            <w:r w:rsidR="00856A19">
              <w:t xml:space="preserve">Paragraph 233(1)(a) </w:t>
            </w:r>
            <w:r>
              <w:t>Parts 5.4</w:t>
            </w:r>
            <w:r w:rsidR="00856A19">
              <w:t>, 5.4A, 5.4</w:t>
            </w:r>
            <w:r>
              <w:t>B, 5.5, 5.6</w:t>
            </w:r>
            <w:r w:rsidR="00CD1A2A">
              <w:t>, Divisions 2 and 2A of Part 5.7B</w:t>
            </w:r>
            <w:r>
              <w:t xml:space="preserve"> and Schedule 2</w:t>
            </w:r>
            <w:r w:rsidR="00856A19">
              <w:t xml:space="preserve"> (apart from </w:t>
            </w:r>
            <w:r w:rsidR="008257B0">
              <w:t>section 4</w:t>
            </w:r>
            <w:r w:rsidR="00856A19">
              <w:t>59T</w:t>
            </w:r>
            <w:r w:rsidR="008257B0">
              <w:t xml:space="preserve"> and Division 8 of Part 5.6</w:t>
            </w:r>
            <w:r w:rsidR="00F97CA1">
              <w:t>)</w:t>
            </w:r>
            <w:r w:rsidR="008257B0">
              <w:t>.</w:t>
            </w:r>
          </w:p>
        </w:tc>
      </w:tr>
      <w:tr w:rsidR="000D3252" w14:paraId="2466434D" w14:textId="77777777" w:rsidTr="000D3252">
        <w:tblPrEx>
          <w:tblCellMar>
            <w:top w:w="0" w:type="dxa"/>
            <w:left w:w="108" w:type="dxa"/>
          </w:tblCellMar>
        </w:tblPrEx>
        <w:tc>
          <w:tcPr>
            <w:tcW w:w="3963" w:type="dxa"/>
          </w:tcPr>
          <w:p w14:paraId="5D4886F6" w14:textId="32A8EFB6" w:rsidR="000D3252" w:rsidRDefault="00140284" w:rsidP="000D3252">
            <w:pPr>
              <w:pStyle w:val="tabletext"/>
            </w:pPr>
            <w:r>
              <w:t>Property recovery</w:t>
            </w:r>
            <w:r w:rsidR="00640AA0">
              <w:t xml:space="preserve"> provisions</w:t>
            </w:r>
          </w:p>
        </w:tc>
        <w:tc>
          <w:tcPr>
            <w:tcW w:w="3964" w:type="dxa"/>
          </w:tcPr>
          <w:p w14:paraId="426E8161" w14:textId="1600F25C" w:rsidR="000D3252" w:rsidRDefault="00640AA0" w:rsidP="000D3252">
            <w:pPr>
              <w:pStyle w:val="tabletext"/>
            </w:pPr>
            <w:r>
              <w:t>Division 3, 4, 5 and 6 of Part 5.7B</w:t>
            </w:r>
          </w:p>
        </w:tc>
      </w:tr>
      <w:tr w:rsidR="008257B0" w14:paraId="5F027AD3" w14:textId="77777777" w:rsidTr="000D3252">
        <w:tblPrEx>
          <w:tblCellMar>
            <w:top w:w="0" w:type="dxa"/>
            <w:left w:w="108" w:type="dxa"/>
          </w:tblCellMar>
        </w:tblPrEx>
        <w:tc>
          <w:tcPr>
            <w:tcW w:w="3963" w:type="dxa"/>
          </w:tcPr>
          <w:p w14:paraId="72B0F292" w14:textId="56B99E61" w:rsidR="008257B0" w:rsidRDefault="008257B0" w:rsidP="000D3252">
            <w:pPr>
              <w:pStyle w:val="tabletext"/>
            </w:pPr>
            <w:r>
              <w:t>External administration offences</w:t>
            </w:r>
          </w:p>
        </w:tc>
        <w:tc>
          <w:tcPr>
            <w:tcW w:w="3964" w:type="dxa"/>
          </w:tcPr>
          <w:p w14:paraId="0956B8F6" w14:textId="29FDCEEC" w:rsidR="008257B0" w:rsidRDefault="008257B0" w:rsidP="000D3252">
            <w:pPr>
              <w:pStyle w:val="tabletext"/>
            </w:pPr>
            <w:r>
              <w:t>Part 5.8</w:t>
            </w:r>
          </w:p>
        </w:tc>
      </w:tr>
      <w:tr w:rsidR="008257B0" w14:paraId="34B5388F" w14:textId="77777777" w:rsidTr="000D3252">
        <w:tblPrEx>
          <w:tblCellMar>
            <w:top w:w="0" w:type="dxa"/>
            <w:left w:w="108" w:type="dxa"/>
          </w:tblCellMar>
        </w:tblPrEx>
        <w:tc>
          <w:tcPr>
            <w:tcW w:w="3963" w:type="dxa"/>
          </w:tcPr>
          <w:p w14:paraId="7D2ED919" w14:textId="037E9FB7" w:rsidR="008257B0" w:rsidRDefault="008257B0" w:rsidP="000D3252">
            <w:pPr>
              <w:pStyle w:val="tabletext"/>
            </w:pPr>
            <w:r>
              <w:t>Court’s power to summon a person and other miscellaneous offences</w:t>
            </w:r>
          </w:p>
        </w:tc>
        <w:tc>
          <w:tcPr>
            <w:tcW w:w="3964" w:type="dxa"/>
          </w:tcPr>
          <w:p w14:paraId="094B9C3B" w14:textId="6BBA2F38" w:rsidR="008257B0" w:rsidRDefault="008257B0" w:rsidP="000D3252">
            <w:pPr>
              <w:pStyle w:val="tabletext"/>
            </w:pPr>
            <w:r>
              <w:t>Part 5.9</w:t>
            </w:r>
          </w:p>
        </w:tc>
      </w:tr>
    </w:tbl>
    <w:p w14:paraId="65189CFB" w14:textId="68FA36BB" w:rsidR="0001239C" w:rsidRDefault="00C06414" w:rsidP="00D779CD">
      <w:pPr>
        <w:pStyle w:val="base-text-paragraph"/>
        <w:numPr>
          <w:ilvl w:val="1"/>
          <w:numId w:val="39"/>
        </w:numPr>
      </w:pPr>
      <w:r>
        <w:t>R</w:t>
      </w:r>
      <w:r w:rsidR="00F97CA1">
        <w:t xml:space="preserve">egulations </w:t>
      </w:r>
      <w:r>
        <w:t>may</w:t>
      </w:r>
      <w:r w:rsidR="00F97CA1">
        <w:t xml:space="preserve"> </w:t>
      </w:r>
      <w:r>
        <w:t xml:space="preserve">be made to </w:t>
      </w:r>
      <w:proofErr w:type="spellStart"/>
      <w:r>
        <w:t>disapply</w:t>
      </w:r>
      <w:proofErr w:type="spellEnd"/>
      <w:r w:rsidR="00F97CA1">
        <w:t xml:space="preserve"> the translation rules </w:t>
      </w:r>
      <w:r>
        <w:t xml:space="preserve">for specified </w:t>
      </w:r>
      <w:r w:rsidR="00F97CA1">
        <w:t>provisions</w:t>
      </w:r>
      <w:r w:rsidR="0001239C">
        <w:t xml:space="preserve">. This regulation making power </w:t>
      </w:r>
      <w:r w:rsidR="005C737A">
        <w:t xml:space="preserve">ensures </w:t>
      </w:r>
      <w:r w:rsidR="00F5534F">
        <w:t xml:space="preserve">that </w:t>
      </w:r>
      <w:r w:rsidR="005C737A">
        <w:t>adjustments can be made</w:t>
      </w:r>
      <w:r w:rsidR="0001239C">
        <w:t xml:space="preserve"> </w:t>
      </w:r>
      <w:r w:rsidR="00140284">
        <w:t>if</w:t>
      </w:r>
      <w:r w:rsidR="0001239C">
        <w:t xml:space="preserve"> the translation rules produce a</w:t>
      </w:r>
      <w:r w:rsidR="00140284">
        <w:t>n unanticipated</w:t>
      </w:r>
      <w:r w:rsidR="0001239C">
        <w:t xml:space="preserve"> result </w:t>
      </w:r>
      <w:r w:rsidR="00140284">
        <w:t>in a particular section</w:t>
      </w:r>
      <w:r w:rsidR="00F5534F">
        <w:t>,</w:t>
      </w:r>
      <w:r w:rsidR="00140284">
        <w:t xml:space="preserve"> or when later amendments are made to Chapter 5</w:t>
      </w:r>
      <w:r w:rsidR="0001239C">
        <w:t xml:space="preserve">. </w:t>
      </w:r>
      <w:r w:rsidR="00140284">
        <w:t>Flexibility is important as</w:t>
      </w:r>
      <w:r w:rsidR="0001239C">
        <w:t xml:space="preserve"> CCIV</w:t>
      </w:r>
      <w:r w:rsidR="00140284">
        <w:t xml:space="preserve">s are a new type of vehicle and </w:t>
      </w:r>
      <w:r w:rsidR="0001239C">
        <w:t xml:space="preserve">are structured differently to the other types of companies </w:t>
      </w:r>
      <w:r w:rsidR="00F5534F">
        <w:t xml:space="preserve">that are </w:t>
      </w:r>
      <w:r w:rsidR="0001239C">
        <w:t>subject to Chapter</w:t>
      </w:r>
      <w:r w:rsidR="00F5534F">
        <w:t> </w:t>
      </w:r>
      <w:r w:rsidR="0001239C">
        <w:t xml:space="preserve">5. </w:t>
      </w:r>
      <w:r w:rsidR="0001239C">
        <w:rPr>
          <w:rStyle w:val="Referencingstyle"/>
        </w:rPr>
        <w:t>[Schedule </w:t>
      </w:r>
      <w:r w:rsidR="00B956C1">
        <w:rPr>
          <w:rStyle w:val="Referencingstyle"/>
        </w:rPr>
        <w:t>2</w:t>
      </w:r>
      <w:r w:rsidR="0001239C">
        <w:rPr>
          <w:rStyle w:val="Referencingstyle"/>
        </w:rPr>
        <w:t>,</w:t>
      </w:r>
      <w:r w:rsidR="008A7153">
        <w:rPr>
          <w:rStyle w:val="Referencingstyle"/>
        </w:rPr>
        <w:t xml:space="preserve"> </w:t>
      </w:r>
      <w:r w:rsidR="0001239C">
        <w:rPr>
          <w:rStyle w:val="Referencingstyle"/>
        </w:rPr>
        <w:t xml:space="preserve">item </w:t>
      </w:r>
      <w:r w:rsidR="00B956C1">
        <w:rPr>
          <w:rStyle w:val="Referencingstyle"/>
        </w:rPr>
        <w:t>1</w:t>
      </w:r>
      <w:r w:rsidR="0001239C">
        <w:rPr>
          <w:rStyle w:val="Referencingstyle"/>
        </w:rPr>
        <w:t xml:space="preserve">, paragraphs </w:t>
      </w:r>
      <w:r w:rsidR="00B956C1">
        <w:rPr>
          <w:rStyle w:val="Referencingstyle"/>
        </w:rPr>
        <w:t>12-015</w:t>
      </w:r>
      <w:r w:rsidR="0001239C">
        <w:rPr>
          <w:rStyle w:val="Referencingstyle"/>
        </w:rPr>
        <w:t>(3)(</w:t>
      </w:r>
      <w:r w:rsidR="00D779CD">
        <w:rPr>
          <w:rStyle w:val="Referencingstyle"/>
        </w:rPr>
        <w:t>e</w:t>
      </w:r>
      <w:r w:rsidR="0001239C">
        <w:rPr>
          <w:rStyle w:val="Referencingstyle"/>
        </w:rPr>
        <w:t xml:space="preserve">), </w:t>
      </w:r>
      <w:r w:rsidR="00B956C1">
        <w:rPr>
          <w:rStyle w:val="Referencingstyle"/>
        </w:rPr>
        <w:t>12-060</w:t>
      </w:r>
      <w:r w:rsidR="0001239C">
        <w:rPr>
          <w:rStyle w:val="Referencingstyle"/>
        </w:rPr>
        <w:t>(3)</w:t>
      </w:r>
      <w:r>
        <w:rPr>
          <w:rStyle w:val="Referencingstyle"/>
        </w:rPr>
        <w:t>(c</w:t>
      </w:r>
      <w:r w:rsidR="00D779CD">
        <w:rPr>
          <w:rStyle w:val="Referencingstyle"/>
        </w:rPr>
        <w:t xml:space="preserve">), </w:t>
      </w:r>
      <w:r w:rsidR="00B956C1">
        <w:rPr>
          <w:rStyle w:val="Referencingstyle"/>
        </w:rPr>
        <w:t>12-105</w:t>
      </w:r>
      <w:r w:rsidR="00D779CD">
        <w:rPr>
          <w:rStyle w:val="Referencingstyle"/>
        </w:rPr>
        <w:t>(3)</w:t>
      </w:r>
      <w:r w:rsidR="0001239C">
        <w:rPr>
          <w:rStyle w:val="Referencingstyle"/>
        </w:rPr>
        <w:t>(</w:t>
      </w:r>
      <w:r w:rsidR="00D779CD">
        <w:rPr>
          <w:rStyle w:val="Referencingstyle"/>
        </w:rPr>
        <w:t>c</w:t>
      </w:r>
      <w:r w:rsidR="0001239C">
        <w:rPr>
          <w:rStyle w:val="Referencingstyle"/>
        </w:rPr>
        <w:t xml:space="preserve">), </w:t>
      </w:r>
      <w:r w:rsidR="00B956C1">
        <w:rPr>
          <w:rStyle w:val="Referencingstyle"/>
        </w:rPr>
        <w:t>12-260</w:t>
      </w:r>
      <w:r w:rsidR="0001239C">
        <w:rPr>
          <w:rStyle w:val="Referencingstyle"/>
        </w:rPr>
        <w:t xml:space="preserve">(3)(b) and </w:t>
      </w:r>
      <w:r w:rsidR="00B956C1">
        <w:rPr>
          <w:rStyle w:val="Referencingstyle"/>
        </w:rPr>
        <w:t>12-290</w:t>
      </w:r>
      <w:r w:rsidR="0001239C" w:rsidRPr="00010316">
        <w:rPr>
          <w:rStyle w:val="Referencingstyle"/>
          <w:shd w:val="clear" w:color="auto" w:fill="FFFFFF" w:themeFill="background1"/>
        </w:rPr>
        <w:t>(</w:t>
      </w:r>
      <w:r w:rsidR="00010316" w:rsidRPr="00010316">
        <w:rPr>
          <w:rStyle w:val="Referencingstyle"/>
          <w:shd w:val="clear" w:color="auto" w:fill="FFFFFF" w:themeFill="background1"/>
        </w:rPr>
        <w:t>2</w:t>
      </w:r>
      <w:r w:rsidR="0001239C" w:rsidRPr="00010316">
        <w:rPr>
          <w:rStyle w:val="Referencingstyle"/>
          <w:shd w:val="clear" w:color="auto" w:fill="FFFFFF" w:themeFill="background1"/>
        </w:rPr>
        <w:t>)(</w:t>
      </w:r>
      <w:r w:rsidR="00010316" w:rsidRPr="00010316">
        <w:rPr>
          <w:rStyle w:val="Referencingstyle"/>
          <w:shd w:val="clear" w:color="auto" w:fill="FFFFFF" w:themeFill="background1"/>
        </w:rPr>
        <w:t>a</w:t>
      </w:r>
      <w:r w:rsidR="0001239C" w:rsidRPr="00010316">
        <w:rPr>
          <w:rStyle w:val="Referencingstyle"/>
          <w:shd w:val="clear" w:color="auto" w:fill="FFFFFF" w:themeFill="background1"/>
        </w:rPr>
        <w:t>)]</w:t>
      </w:r>
      <w:r w:rsidR="0001239C">
        <w:t xml:space="preserve"> </w:t>
      </w:r>
    </w:p>
    <w:p w14:paraId="4F51C743" w14:textId="5C62B98D" w:rsidR="00A06114" w:rsidRDefault="000D3252" w:rsidP="00711D0C">
      <w:pPr>
        <w:pStyle w:val="base-text-paragraph"/>
      </w:pPr>
      <w:r>
        <w:t xml:space="preserve">The </w:t>
      </w:r>
      <w:r w:rsidR="004744A0">
        <w:t>translation rules also apply to</w:t>
      </w:r>
      <w:r>
        <w:t xml:space="preserve"> other provisions </w:t>
      </w:r>
      <w:r w:rsidR="00D52EB7">
        <w:t xml:space="preserve">in the </w:t>
      </w:r>
      <w:r w:rsidR="006376E1">
        <w:t xml:space="preserve">Corporations Act and ASIC Act </w:t>
      </w:r>
      <w:r w:rsidR="00F5534F">
        <w:t xml:space="preserve">that </w:t>
      </w:r>
      <w:r>
        <w:t>relate to the operation of one of the provisions</w:t>
      </w:r>
      <w:r w:rsidRPr="000D3252">
        <w:t xml:space="preserve"> </w:t>
      </w:r>
      <w:r>
        <w:t xml:space="preserve">listed in </w:t>
      </w:r>
      <w:r>
        <w:fldChar w:fldCharType="begin"/>
      </w:r>
      <w:r>
        <w:instrText xml:space="preserve"> REF _Ref522176422 \r \h </w:instrText>
      </w:r>
      <w:r>
        <w:fldChar w:fldCharType="separate"/>
      </w:r>
      <w:r w:rsidR="00275132">
        <w:t>Table 3.2</w:t>
      </w:r>
      <w:r>
        <w:fldChar w:fldCharType="end"/>
      </w:r>
      <w:r>
        <w:t xml:space="preserve">. </w:t>
      </w:r>
      <w:r w:rsidR="00D52EB7">
        <w:t>The</w:t>
      </w:r>
      <w:r w:rsidR="00F5534F">
        <w:t> </w:t>
      </w:r>
      <w:r w:rsidR="00D52EB7">
        <w:t xml:space="preserve">Corporations </w:t>
      </w:r>
      <w:r w:rsidR="006376E1">
        <w:t xml:space="preserve">Act </w:t>
      </w:r>
      <w:r w:rsidR="00D52EB7">
        <w:t>is</w:t>
      </w:r>
      <w:r w:rsidR="00A06114">
        <w:t xml:space="preserve"> defined in section 9 of the Act to include the </w:t>
      </w:r>
      <w:r w:rsidR="00D52EB7">
        <w:t>Corporations Regulation</w:t>
      </w:r>
      <w:r w:rsidR="00F5534F">
        <w:t>s</w:t>
      </w:r>
      <w:r w:rsidR="00786FB0">
        <w:t>, the Passport Rules for this jurisdiction</w:t>
      </w:r>
      <w:r w:rsidR="00D52EB7">
        <w:t>,</w:t>
      </w:r>
      <w:r w:rsidR="00A06114">
        <w:t xml:space="preserve"> </w:t>
      </w:r>
      <w:r w:rsidR="006376E1">
        <w:t xml:space="preserve">and </w:t>
      </w:r>
      <w:r w:rsidR="00A06114">
        <w:t>the Insolvency Practice Rules</w:t>
      </w:r>
      <w:r w:rsidR="006376E1">
        <w:t>. Similarly</w:t>
      </w:r>
      <w:r w:rsidR="00D52EB7">
        <w:t>, the ASIC Act</w:t>
      </w:r>
      <w:r w:rsidR="006376E1">
        <w:t xml:space="preserve"> includes the</w:t>
      </w:r>
      <w:r w:rsidR="00D52EB7">
        <w:t xml:space="preserve"> regulations made under the ASIC Act</w:t>
      </w:r>
      <w:r w:rsidR="00A06114">
        <w:t>.</w:t>
      </w:r>
      <w:r w:rsidR="00A06114" w:rsidRPr="00A06114">
        <w:rPr>
          <w:rStyle w:val="Referencingstyle"/>
        </w:rPr>
        <w:t xml:space="preserve"> </w:t>
      </w:r>
      <w:r w:rsidR="00A06114">
        <w:rPr>
          <w:rStyle w:val="Referencingstyle"/>
        </w:rPr>
        <w:t>[Schedule </w:t>
      </w:r>
      <w:r w:rsidR="00B956C1">
        <w:rPr>
          <w:rStyle w:val="Referencingstyle"/>
        </w:rPr>
        <w:t>2</w:t>
      </w:r>
      <w:r w:rsidR="00A06114">
        <w:rPr>
          <w:rStyle w:val="Referencingstyle"/>
        </w:rPr>
        <w:t>,</w:t>
      </w:r>
      <w:r w:rsidR="00B956C1">
        <w:rPr>
          <w:rStyle w:val="Referencingstyle"/>
        </w:rPr>
        <w:t xml:space="preserve"> </w:t>
      </w:r>
      <w:r w:rsidR="00A06114">
        <w:rPr>
          <w:rStyle w:val="Referencingstyle"/>
        </w:rPr>
        <w:t xml:space="preserve">item </w:t>
      </w:r>
      <w:r w:rsidR="00B956C1">
        <w:rPr>
          <w:rStyle w:val="Referencingstyle"/>
        </w:rPr>
        <w:t>1</w:t>
      </w:r>
      <w:r w:rsidR="00A06114">
        <w:rPr>
          <w:rStyle w:val="Referencingstyle"/>
        </w:rPr>
        <w:t xml:space="preserve">, paragraphs </w:t>
      </w:r>
      <w:r w:rsidR="00B956C1">
        <w:rPr>
          <w:rStyle w:val="Referencingstyle"/>
        </w:rPr>
        <w:t>12-015</w:t>
      </w:r>
      <w:r w:rsidR="00A06114">
        <w:rPr>
          <w:rStyle w:val="Referencingstyle"/>
        </w:rPr>
        <w:t>(</w:t>
      </w:r>
      <w:r w:rsidR="0001239C">
        <w:rPr>
          <w:rStyle w:val="Referencingstyle"/>
        </w:rPr>
        <w:t>2</w:t>
      </w:r>
      <w:r w:rsidR="00A06114">
        <w:rPr>
          <w:rStyle w:val="Referencingstyle"/>
        </w:rPr>
        <w:t xml:space="preserve">)(b), </w:t>
      </w:r>
      <w:r w:rsidR="00B956C1">
        <w:rPr>
          <w:rStyle w:val="Referencingstyle"/>
        </w:rPr>
        <w:t>12-060</w:t>
      </w:r>
      <w:r w:rsidR="00A06114">
        <w:rPr>
          <w:rStyle w:val="Referencingstyle"/>
        </w:rPr>
        <w:t>(</w:t>
      </w:r>
      <w:r w:rsidR="0001239C">
        <w:rPr>
          <w:rStyle w:val="Referencingstyle"/>
        </w:rPr>
        <w:t>2</w:t>
      </w:r>
      <w:r w:rsidR="00A06114">
        <w:rPr>
          <w:rStyle w:val="Referencingstyle"/>
        </w:rPr>
        <w:t xml:space="preserve">)(b), </w:t>
      </w:r>
      <w:r w:rsidR="00B956C1">
        <w:rPr>
          <w:rStyle w:val="Referencingstyle"/>
        </w:rPr>
        <w:t>12-105</w:t>
      </w:r>
      <w:r w:rsidR="00A06114">
        <w:rPr>
          <w:rStyle w:val="Referencingstyle"/>
        </w:rPr>
        <w:t>(</w:t>
      </w:r>
      <w:r w:rsidR="0001239C">
        <w:rPr>
          <w:rStyle w:val="Referencingstyle"/>
        </w:rPr>
        <w:t>2</w:t>
      </w:r>
      <w:r w:rsidR="00A06114">
        <w:rPr>
          <w:rStyle w:val="Referencingstyle"/>
        </w:rPr>
        <w:t xml:space="preserve">)(b), </w:t>
      </w:r>
      <w:r w:rsidR="00B956C1">
        <w:rPr>
          <w:rStyle w:val="Referencingstyle"/>
        </w:rPr>
        <w:t>12-260</w:t>
      </w:r>
      <w:r w:rsidR="00A06114">
        <w:rPr>
          <w:rStyle w:val="Referencingstyle"/>
        </w:rPr>
        <w:t>(</w:t>
      </w:r>
      <w:r w:rsidR="0001239C">
        <w:rPr>
          <w:rStyle w:val="Referencingstyle"/>
        </w:rPr>
        <w:t>2</w:t>
      </w:r>
      <w:r w:rsidR="00A06114">
        <w:rPr>
          <w:rStyle w:val="Referencingstyle"/>
        </w:rPr>
        <w:t xml:space="preserve">)(b) and </w:t>
      </w:r>
      <w:r w:rsidR="00B956C1">
        <w:rPr>
          <w:rStyle w:val="Referencingstyle"/>
        </w:rPr>
        <w:t>12-290</w:t>
      </w:r>
      <w:r w:rsidR="00A06114">
        <w:rPr>
          <w:rStyle w:val="Referencingstyle"/>
        </w:rPr>
        <w:t>(</w:t>
      </w:r>
      <w:r w:rsidR="0001239C">
        <w:rPr>
          <w:rStyle w:val="Referencingstyle"/>
        </w:rPr>
        <w:t>2</w:t>
      </w:r>
      <w:r w:rsidR="00A06114">
        <w:rPr>
          <w:rStyle w:val="Referencingstyle"/>
        </w:rPr>
        <w:t>)(b)]</w:t>
      </w:r>
      <w:r w:rsidR="00A06114">
        <w:t xml:space="preserve"> </w:t>
      </w:r>
    </w:p>
    <w:p w14:paraId="6C0CBF04" w14:textId="295A0B87" w:rsidR="00DD7AD6" w:rsidRPr="00175FF3" w:rsidRDefault="000D3252" w:rsidP="00711D0C">
      <w:pPr>
        <w:pStyle w:val="base-text-paragraph"/>
        <w:rPr>
          <w:rStyle w:val="Referencingstyle"/>
          <w:b w:val="0"/>
          <w:i w:val="0"/>
          <w:sz w:val="22"/>
        </w:rPr>
      </w:pPr>
      <w:bookmarkStart w:id="71" w:name="_Ref522519921"/>
      <w:r w:rsidRPr="00FA5B27">
        <w:t>The</w:t>
      </w:r>
      <w:r w:rsidR="00DD7AD6">
        <w:t xml:space="preserve"> provisions </w:t>
      </w:r>
      <w:r>
        <w:t xml:space="preserve">to which the translation rules apply </w:t>
      </w:r>
      <w:r w:rsidR="00DD7AD6">
        <w:t xml:space="preserve">are referred to as the </w:t>
      </w:r>
      <w:r w:rsidR="00DD7AD6" w:rsidRPr="00A06114">
        <w:rPr>
          <w:b/>
          <w:i/>
        </w:rPr>
        <w:t>arrangement and reconstructions provisions</w:t>
      </w:r>
      <w:r w:rsidR="00DD7AD6">
        <w:t xml:space="preserve"> (for provisions relating to arrangements and reconstructions), </w:t>
      </w:r>
      <w:r w:rsidRPr="00A06114">
        <w:rPr>
          <w:b/>
          <w:i/>
        </w:rPr>
        <w:t xml:space="preserve">receiver provisions </w:t>
      </w:r>
      <w:r>
        <w:t xml:space="preserve">(for provisions relating to receivership), </w:t>
      </w:r>
      <w:r w:rsidRPr="00A06114">
        <w:rPr>
          <w:b/>
          <w:i/>
        </w:rPr>
        <w:t xml:space="preserve">winding up provisions </w:t>
      </w:r>
      <w:r>
        <w:t xml:space="preserve">(for provisions relating to winding up), </w:t>
      </w:r>
      <w:r w:rsidRPr="00A06114">
        <w:rPr>
          <w:b/>
          <w:i/>
        </w:rPr>
        <w:t>property recovery provisions</w:t>
      </w:r>
      <w:r>
        <w:t xml:space="preserve"> (for provisions relating to property recovery) </w:t>
      </w:r>
      <w:r w:rsidRPr="00A06114">
        <w:rPr>
          <w:b/>
          <w:i/>
        </w:rPr>
        <w:t>external administration offences provisions</w:t>
      </w:r>
      <w:r>
        <w:t xml:space="preserve"> (for provisions relating to Chapter 5 offences)</w:t>
      </w:r>
      <w:r w:rsidR="009860CB">
        <w:t xml:space="preserve"> and </w:t>
      </w:r>
      <w:r w:rsidR="009860CB">
        <w:rPr>
          <w:b/>
          <w:i/>
        </w:rPr>
        <w:t>external administration miscellaneous provisions</w:t>
      </w:r>
      <w:r w:rsidR="009860CB">
        <w:t xml:space="preserve"> (for provisions relating to the miscellaneous provisions in Part 5.9)</w:t>
      </w:r>
      <w:r>
        <w:t xml:space="preserve">. This terminology is modelled on existing subsection 233(2) of the Act which refers to ‘winding up provisions’. </w:t>
      </w:r>
      <w:r>
        <w:rPr>
          <w:rStyle w:val="Referencingstyle"/>
        </w:rPr>
        <w:t>[Schedule </w:t>
      </w:r>
      <w:r w:rsidR="00B956C1">
        <w:rPr>
          <w:rStyle w:val="Referencingstyle"/>
        </w:rPr>
        <w:t>2</w:t>
      </w:r>
      <w:r>
        <w:rPr>
          <w:rStyle w:val="Referencingstyle"/>
        </w:rPr>
        <w:t xml:space="preserve">, item </w:t>
      </w:r>
      <w:r w:rsidR="00B956C1">
        <w:rPr>
          <w:rStyle w:val="Referencingstyle"/>
        </w:rPr>
        <w:t>1</w:t>
      </w:r>
      <w:r>
        <w:rPr>
          <w:rStyle w:val="Referencingstyle"/>
        </w:rPr>
        <w:t xml:space="preserve">, subsections </w:t>
      </w:r>
      <w:r w:rsidR="00B956C1">
        <w:rPr>
          <w:rStyle w:val="Referencingstyle"/>
        </w:rPr>
        <w:t>12-015</w:t>
      </w:r>
      <w:r>
        <w:rPr>
          <w:rStyle w:val="Referencingstyle"/>
        </w:rPr>
        <w:t xml:space="preserve">, </w:t>
      </w:r>
      <w:r w:rsidR="00B956C1">
        <w:rPr>
          <w:rStyle w:val="Referencingstyle"/>
        </w:rPr>
        <w:t>12</w:t>
      </w:r>
      <w:r w:rsidR="00F56C37">
        <w:rPr>
          <w:rStyle w:val="Referencingstyle"/>
        </w:rPr>
        <w:noBreakHyphen/>
      </w:r>
      <w:r w:rsidR="00B956C1">
        <w:rPr>
          <w:rStyle w:val="Referencingstyle"/>
        </w:rPr>
        <w:t>060</w:t>
      </w:r>
      <w:r>
        <w:rPr>
          <w:rStyle w:val="Referencingstyle"/>
        </w:rPr>
        <w:t xml:space="preserve">(3), </w:t>
      </w:r>
      <w:r w:rsidR="00B956C1">
        <w:rPr>
          <w:rStyle w:val="Referencingstyle"/>
        </w:rPr>
        <w:t>12-105</w:t>
      </w:r>
      <w:r>
        <w:rPr>
          <w:rStyle w:val="Referencingstyle"/>
        </w:rPr>
        <w:t xml:space="preserve">(3), </w:t>
      </w:r>
      <w:r w:rsidR="00B956C1">
        <w:rPr>
          <w:rStyle w:val="Referencingstyle"/>
        </w:rPr>
        <w:t>12-260</w:t>
      </w:r>
      <w:r>
        <w:rPr>
          <w:rStyle w:val="Referencingstyle"/>
        </w:rPr>
        <w:t xml:space="preserve">(3) and </w:t>
      </w:r>
      <w:r w:rsidR="00B956C1">
        <w:rPr>
          <w:rStyle w:val="Referencingstyle"/>
        </w:rPr>
        <w:t>12-290</w:t>
      </w:r>
      <w:r>
        <w:rPr>
          <w:rStyle w:val="Referencingstyle"/>
        </w:rPr>
        <w:t>(</w:t>
      </w:r>
      <w:r w:rsidR="00BE3B83">
        <w:rPr>
          <w:rStyle w:val="Referencingstyle"/>
        </w:rPr>
        <w:t>2</w:t>
      </w:r>
      <w:r>
        <w:rPr>
          <w:rStyle w:val="Referencingstyle"/>
        </w:rPr>
        <w:t>)]</w:t>
      </w:r>
      <w:bookmarkEnd w:id="71"/>
    </w:p>
    <w:p w14:paraId="0B85A7C3" w14:textId="26B78400" w:rsidR="00175FF3" w:rsidRDefault="00175FF3" w:rsidP="00175FF3">
      <w:pPr>
        <w:pStyle w:val="Heading4"/>
        <w:rPr>
          <w:rStyle w:val="Referencingstyle"/>
          <w:b/>
          <w:i/>
          <w:sz w:val="22"/>
        </w:rPr>
      </w:pPr>
      <w:r>
        <w:rPr>
          <w:rStyle w:val="Referencingstyle"/>
          <w:b/>
          <w:i/>
          <w:sz w:val="22"/>
        </w:rPr>
        <w:t>References to debts</w:t>
      </w:r>
      <w:r w:rsidR="001F21AA">
        <w:rPr>
          <w:rStyle w:val="Referencingstyle"/>
          <w:b/>
          <w:i/>
          <w:sz w:val="22"/>
        </w:rPr>
        <w:t xml:space="preserve"> and claims</w:t>
      </w:r>
    </w:p>
    <w:p w14:paraId="4323AA91" w14:textId="195EED15" w:rsidR="00175FF3" w:rsidRDefault="002459BC" w:rsidP="00711D0C">
      <w:pPr>
        <w:pStyle w:val="base-text-paragraph"/>
        <w:rPr>
          <w:rStyle w:val="Referencingstyle"/>
          <w:b w:val="0"/>
          <w:i w:val="0"/>
          <w:sz w:val="22"/>
        </w:rPr>
      </w:pPr>
      <w:r>
        <w:rPr>
          <w:rStyle w:val="Referencingstyle"/>
          <w:b w:val="0"/>
          <w:i w:val="0"/>
          <w:sz w:val="22"/>
        </w:rPr>
        <w:t>In the winding up provisions, r</w:t>
      </w:r>
      <w:r w:rsidR="00175FF3" w:rsidRPr="001F21AA">
        <w:rPr>
          <w:rStyle w:val="Referencingstyle"/>
          <w:b w:val="0"/>
          <w:i w:val="0"/>
          <w:sz w:val="22"/>
        </w:rPr>
        <w:t xml:space="preserve">eferences to </w:t>
      </w:r>
      <w:r w:rsidR="00BC69DD">
        <w:rPr>
          <w:rStyle w:val="Referencingstyle"/>
          <w:b w:val="0"/>
          <w:i w:val="0"/>
          <w:sz w:val="22"/>
        </w:rPr>
        <w:t>‘</w:t>
      </w:r>
      <w:r w:rsidR="00175FF3" w:rsidRPr="001F21AA">
        <w:rPr>
          <w:rStyle w:val="Referencingstyle"/>
          <w:b w:val="0"/>
          <w:i w:val="0"/>
          <w:sz w:val="22"/>
        </w:rPr>
        <w:t>debts</w:t>
      </w:r>
      <w:r w:rsidR="00BC69DD">
        <w:rPr>
          <w:rStyle w:val="Referencingstyle"/>
          <w:b w:val="0"/>
          <w:i w:val="0"/>
          <w:sz w:val="22"/>
        </w:rPr>
        <w:t>’</w:t>
      </w:r>
      <w:r w:rsidR="004A463F" w:rsidRPr="001F21AA">
        <w:rPr>
          <w:rStyle w:val="Referencingstyle"/>
          <w:b w:val="0"/>
          <w:i w:val="0"/>
          <w:sz w:val="22"/>
        </w:rPr>
        <w:t xml:space="preserve"> of the CCIV refer to </w:t>
      </w:r>
      <w:r w:rsidR="001F21AA" w:rsidRPr="001F21AA">
        <w:rPr>
          <w:rStyle w:val="Referencingstyle"/>
          <w:b w:val="0"/>
          <w:i w:val="0"/>
          <w:sz w:val="22"/>
        </w:rPr>
        <w:t>‘</w:t>
      </w:r>
      <w:r w:rsidR="004A463F" w:rsidRPr="001F21AA">
        <w:rPr>
          <w:rStyle w:val="Referencingstyle"/>
          <w:b w:val="0"/>
          <w:i w:val="0"/>
          <w:sz w:val="22"/>
        </w:rPr>
        <w:t>liabilities of a sub-fund</w:t>
      </w:r>
      <w:r w:rsidR="001F21AA" w:rsidRPr="001F21AA">
        <w:rPr>
          <w:rStyle w:val="Referencingstyle"/>
          <w:b w:val="0"/>
          <w:i w:val="0"/>
          <w:sz w:val="22"/>
        </w:rPr>
        <w:t>’</w:t>
      </w:r>
      <w:r w:rsidR="004A463F" w:rsidRPr="001F21AA">
        <w:rPr>
          <w:rStyle w:val="Referencingstyle"/>
          <w:b w:val="0"/>
          <w:i w:val="0"/>
          <w:sz w:val="22"/>
        </w:rPr>
        <w:t xml:space="preserve">, that is, liabilities </w:t>
      </w:r>
      <w:r w:rsidR="005C737A">
        <w:rPr>
          <w:rStyle w:val="Referencingstyle"/>
          <w:b w:val="0"/>
          <w:i w:val="0"/>
          <w:sz w:val="22"/>
        </w:rPr>
        <w:t>of the CCIV</w:t>
      </w:r>
      <w:r w:rsidR="004A463F" w:rsidRPr="001F21AA">
        <w:rPr>
          <w:rStyle w:val="Referencingstyle"/>
          <w:b w:val="0"/>
          <w:i w:val="0"/>
          <w:sz w:val="22"/>
        </w:rPr>
        <w:t xml:space="preserve"> that have been allocated to the </w:t>
      </w:r>
      <w:r w:rsidR="005C737A">
        <w:rPr>
          <w:rStyle w:val="Referencingstyle"/>
          <w:b w:val="0"/>
          <w:i w:val="0"/>
          <w:sz w:val="22"/>
        </w:rPr>
        <w:t>sub-fund in accordance with the allocation rules for assets and liabilities</w:t>
      </w:r>
      <w:r w:rsidR="004A463F" w:rsidRPr="001F21AA">
        <w:rPr>
          <w:rStyle w:val="Referencingstyle"/>
          <w:b w:val="0"/>
          <w:i w:val="0"/>
          <w:sz w:val="22"/>
        </w:rPr>
        <w:t>.</w:t>
      </w:r>
      <w:r>
        <w:rPr>
          <w:rStyle w:val="Referencingstyle"/>
          <w:b w:val="0"/>
          <w:i w:val="0"/>
          <w:sz w:val="22"/>
        </w:rPr>
        <w:t xml:space="preserve"> R</w:t>
      </w:r>
      <w:r w:rsidR="001F21AA" w:rsidRPr="001F21AA">
        <w:rPr>
          <w:rStyle w:val="Referencingstyle"/>
          <w:b w:val="0"/>
          <w:i w:val="0"/>
          <w:sz w:val="22"/>
        </w:rPr>
        <w:t xml:space="preserve">eferences to a claim against the CCIV are read as references to ‘claims against a sub-fund’ to the extent that the claim is a liability of the sub-fund. </w:t>
      </w:r>
      <w:r w:rsidR="00843CC5">
        <w:rPr>
          <w:rStyle w:val="Referencingstyle"/>
        </w:rPr>
        <w:t>[Schedule </w:t>
      </w:r>
      <w:r w:rsidR="00B956C1">
        <w:rPr>
          <w:rStyle w:val="Referencingstyle"/>
        </w:rPr>
        <w:t>2</w:t>
      </w:r>
      <w:r w:rsidR="00843CC5">
        <w:rPr>
          <w:rStyle w:val="Referencingstyle"/>
        </w:rPr>
        <w:t>,</w:t>
      </w:r>
      <w:r w:rsidR="00B956C1">
        <w:rPr>
          <w:rStyle w:val="Referencingstyle"/>
        </w:rPr>
        <w:t xml:space="preserve"> </w:t>
      </w:r>
      <w:r w:rsidR="00843CC5">
        <w:rPr>
          <w:rStyle w:val="Referencingstyle"/>
        </w:rPr>
        <w:t xml:space="preserve">item </w:t>
      </w:r>
      <w:r w:rsidR="00B956C1">
        <w:rPr>
          <w:rStyle w:val="Referencingstyle"/>
        </w:rPr>
        <w:t>1</w:t>
      </w:r>
      <w:r w:rsidR="00843CC5">
        <w:rPr>
          <w:rStyle w:val="Referencingstyle"/>
        </w:rPr>
        <w:t xml:space="preserve">, section </w:t>
      </w:r>
      <w:r w:rsidR="00B956C1">
        <w:rPr>
          <w:rStyle w:val="Referencingstyle"/>
        </w:rPr>
        <w:t>12</w:t>
      </w:r>
      <w:r w:rsidR="00843CC5">
        <w:rPr>
          <w:rStyle w:val="Referencingstyle"/>
        </w:rPr>
        <w:t>-110]</w:t>
      </w:r>
    </w:p>
    <w:p w14:paraId="29B7DB29" w14:textId="4EC39140" w:rsidR="00843CC5" w:rsidRPr="009A7D47" w:rsidRDefault="00843CC5" w:rsidP="00711D0C">
      <w:pPr>
        <w:pStyle w:val="base-text-paragraph"/>
        <w:rPr>
          <w:rStyle w:val="Referencingstyle"/>
          <w:sz w:val="22"/>
        </w:rPr>
      </w:pPr>
      <w:r>
        <w:rPr>
          <w:rStyle w:val="Referencingstyle"/>
          <w:b w:val="0"/>
          <w:i w:val="0"/>
          <w:sz w:val="22"/>
        </w:rPr>
        <w:t xml:space="preserve">Similarly, </w:t>
      </w:r>
      <w:r w:rsidR="002459BC">
        <w:rPr>
          <w:rStyle w:val="Referencingstyle"/>
          <w:b w:val="0"/>
          <w:i w:val="0"/>
          <w:sz w:val="22"/>
        </w:rPr>
        <w:t xml:space="preserve">in the property recovery provisions, </w:t>
      </w:r>
      <w:r>
        <w:rPr>
          <w:rStyle w:val="Referencingstyle"/>
          <w:b w:val="0"/>
          <w:i w:val="0"/>
          <w:sz w:val="22"/>
        </w:rPr>
        <w:t xml:space="preserve">references to </w:t>
      </w:r>
      <w:r w:rsidR="00BC69DD">
        <w:rPr>
          <w:rStyle w:val="Referencingstyle"/>
          <w:b w:val="0"/>
          <w:i w:val="0"/>
          <w:sz w:val="22"/>
        </w:rPr>
        <w:t>‘</w:t>
      </w:r>
      <w:r>
        <w:rPr>
          <w:rStyle w:val="Referencingstyle"/>
          <w:b w:val="0"/>
          <w:i w:val="0"/>
          <w:sz w:val="22"/>
        </w:rPr>
        <w:t>incurring debts</w:t>
      </w:r>
      <w:r w:rsidR="00BC69DD">
        <w:rPr>
          <w:rStyle w:val="Referencingstyle"/>
          <w:b w:val="0"/>
          <w:i w:val="0"/>
          <w:sz w:val="22"/>
        </w:rPr>
        <w:t>’</w:t>
      </w:r>
      <w:r>
        <w:rPr>
          <w:rStyle w:val="Referencingstyle"/>
          <w:b w:val="0"/>
          <w:i w:val="0"/>
          <w:sz w:val="22"/>
        </w:rPr>
        <w:t xml:space="preserve"> cover liabilities of the sub-fund incurred by the CCIV.</w:t>
      </w:r>
      <w:r w:rsidRPr="00843CC5">
        <w:rPr>
          <w:rStyle w:val="Referencingstyle"/>
        </w:rPr>
        <w:t xml:space="preserve"> </w:t>
      </w:r>
      <w:r>
        <w:rPr>
          <w:rStyle w:val="Referencingstyle"/>
        </w:rPr>
        <w:t>[Schedule </w:t>
      </w:r>
      <w:r w:rsidR="00B956C1">
        <w:rPr>
          <w:rStyle w:val="Referencingstyle"/>
        </w:rPr>
        <w:t>2</w:t>
      </w:r>
      <w:r>
        <w:rPr>
          <w:rStyle w:val="Referencingstyle"/>
        </w:rPr>
        <w:t xml:space="preserve">, item </w:t>
      </w:r>
      <w:r w:rsidR="00B956C1">
        <w:rPr>
          <w:rStyle w:val="Referencingstyle"/>
        </w:rPr>
        <w:t>1</w:t>
      </w:r>
      <w:r>
        <w:rPr>
          <w:rStyle w:val="Referencingstyle"/>
        </w:rPr>
        <w:t xml:space="preserve">, section </w:t>
      </w:r>
      <w:r w:rsidR="00B956C1">
        <w:rPr>
          <w:rStyle w:val="Referencingstyle"/>
        </w:rPr>
        <w:t>12</w:t>
      </w:r>
      <w:r w:rsidR="00186865">
        <w:rPr>
          <w:rStyle w:val="Referencingstyle"/>
        </w:rPr>
        <w:noBreakHyphen/>
      </w:r>
      <w:r w:rsidR="00B956C1">
        <w:rPr>
          <w:rStyle w:val="Referencingstyle"/>
        </w:rPr>
        <w:t>265</w:t>
      </w:r>
      <w:r>
        <w:rPr>
          <w:rStyle w:val="Referencingstyle"/>
        </w:rPr>
        <w:t>]</w:t>
      </w:r>
    </w:p>
    <w:p w14:paraId="00C2B4B3" w14:textId="6D6EEE9A" w:rsidR="002459BC" w:rsidRDefault="002459BC" w:rsidP="00711D0C">
      <w:pPr>
        <w:pStyle w:val="base-text-paragraph"/>
        <w:rPr>
          <w:rStyle w:val="Referencingstyle"/>
          <w:b w:val="0"/>
          <w:i w:val="0"/>
          <w:sz w:val="22"/>
        </w:rPr>
      </w:pPr>
      <w:r w:rsidRPr="009A7D47">
        <w:rPr>
          <w:rStyle w:val="Referencingstyle"/>
          <w:b w:val="0"/>
          <w:i w:val="0"/>
          <w:sz w:val="22"/>
        </w:rPr>
        <w:t>The arrangement and reconstruction provisions,</w:t>
      </w:r>
      <w:r w:rsidRPr="009A7D47">
        <w:rPr>
          <w:rStyle w:val="Referencingstyle"/>
          <w:sz w:val="22"/>
        </w:rPr>
        <w:t xml:space="preserve"> </w:t>
      </w:r>
      <w:r w:rsidR="009A7D47" w:rsidRPr="009A7D47">
        <w:t>property recovery provisions, external administration offences provisions and external administration miscellaneous provisions</w:t>
      </w:r>
      <w:r w:rsidRPr="009A7D47">
        <w:rPr>
          <w:rStyle w:val="Referencingstyle"/>
          <w:sz w:val="22"/>
        </w:rPr>
        <w:t xml:space="preserve"> </w:t>
      </w:r>
      <w:r w:rsidRPr="009A7D47">
        <w:rPr>
          <w:rStyle w:val="Referencingstyle"/>
          <w:b w:val="0"/>
          <w:i w:val="0"/>
          <w:sz w:val="22"/>
        </w:rPr>
        <w:t>do not refer to</w:t>
      </w:r>
      <w:r w:rsidRPr="009A7D47">
        <w:rPr>
          <w:rStyle w:val="Referencingstyle"/>
          <w:sz w:val="22"/>
        </w:rPr>
        <w:t xml:space="preserve"> </w:t>
      </w:r>
      <w:r>
        <w:rPr>
          <w:rStyle w:val="Referencingstyle"/>
          <w:b w:val="0"/>
          <w:i w:val="0"/>
          <w:sz w:val="22"/>
        </w:rPr>
        <w:t>debts or claims</w:t>
      </w:r>
      <w:r w:rsidR="009A7D47">
        <w:rPr>
          <w:rStyle w:val="Referencingstyle"/>
          <w:b w:val="0"/>
          <w:i w:val="0"/>
          <w:sz w:val="22"/>
        </w:rPr>
        <w:t>.</w:t>
      </w:r>
      <w:r>
        <w:rPr>
          <w:rStyle w:val="Referencingstyle"/>
          <w:b w:val="0"/>
          <w:i w:val="0"/>
          <w:sz w:val="22"/>
        </w:rPr>
        <w:t xml:space="preserve"> </w:t>
      </w:r>
      <w:r w:rsidR="009A7D47">
        <w:rPr>
          <w:rStyle w:val="Referencingstyle"/>
          <w:b w:val="0"/>
          <w:i w:val="0"/>
          <w:sz w:val="22"/>
        </w:rPr>
        <w:t>A</w:t>
      </w:r>
      <w:r>
        <w:rPr>
          <w:rStyle w:val="Referencingstyle"/>
          <w:b w:val="0"/>
          <w:i w:val="0"/>
          <w:sz w:val="22"/>
        </w:rPr>
        <w:t>ccordingly</w:t>
      </w:r>
      <w:r w:rsidR="005539BB">
        <w:rPr>
          <w:rStyle w:val="Referencingstyle"/>
          <w:b w:val="0"/>
          <w:i w:val="0"/>
          <w:sz w:val="22"/>
        </w:rPr>
        <w:t>,</w:t>
      </w:r>
      <w:r>
        <w:rPr>
          <w:rStyle w:val="Referencingstyle"/>
          <w:b w:val="0"/>
          <w:i w:val="0"/>
          <w:sz w:val="22"/>
        </w:rPr>
        <w:t xml:space="preserve"> a corresponding rule is</w:t>
      </w:r>
      <w:r w:rsidR="009A7D47">
        <w:rPr>
          <w:rStyle w:val="Referencingstyle"/>
          <w:b w:val="0"/>
          <w:i w:val="0"/>
          <w:sz w:val="22"/>
        </w:rPr>
        <w:t xml:space="preserve"> not required for these parts of Chapter 5</w:t>
      </w:r>
      <w:r>
        <w:rPr>
          <w:rStyle w:val="Referencingstyle"/>
          <w:b w:val="0"/>
          <w:i w:val="0"/>
          <w:sz w:val="22"/>
        </w:rPr>
        <w:t>.</w:t>
      </w:r>
    </w:p>
    <w:p w14:paraId="1C319D23" w14:textId="0371AAF5" w:rsidR="001F21AA" w:rsidRPr="001F21AA" w:rsidRDefault="001F21AA" w:rsidP="00711D0C">
      <w:pPr>
        <w:pStyle w:val="base-text-paragraph"/>
        <w:rPr>
          <w:rStyle w:val="Referencingstyle"/>
          <w:b w:val="0"/>
          <w:i w:val="0"/>
          <w:sz w:val="22"/>
        </w:rPr>
      </w:pPr>
      <w:r>
        <w:rPr>
          <w:rStyle w:val="Referencingstyle"/>
          <w:b w:val="0"/>
          <w:i w:val="0"/>
          <w:sz w:val="22"/>
        </w:rPr>
        <w:t xml:space="preserve">Refer to paragraphs 3.45 to 3.51 of the Tranche 1 </w:t>
      </w:r>
      <w:r w:rsidR="00CB5682">
        <w:rPr>
          <w:rStyle w:val="Referencingstyle"/>
          <w:b w:val="0"/>
          <w:i w:val="0"/>
          <w:sz w:val="22"/>
        </w:rPr>
        <w:t>Explanatory Materials</w:t>
      </w:r>
      <w:r>
        <w:rPr>
          <w:rStyle w:val="Referencingstyle"/>
          <w:b w:val="0"/>
          <w:i w:val="0"/>
          <w:sz w:val="22"/>
        </w:rPr>
        <w:t xml:space="preserve"> for an explanation of the allocation rules and the meaning of the term ‘liabilities of a sub-fund’.</w:t>
      </w:r>
    </w:p>
    <w:p w14:paraId="28C8557B" w14:textId="2B37158A" w:rsidR="003210E3" w:rsidRDefault="003210E3" w:rsidP="003210E3">
      <w:pPr>
        <w:pStyle w:val="Heading4"/>
        <w:rPr>
          <w:rStyle w:val="Referencingstyle"/>
          <w:b/>
          <w:i/>
          <w:sz w:val="22"/>
        </w:rPr>
      </w:pPr>
      <w:r>
        <w:rPr>
          <w:rStyle w:val="Referencingstyle"/>
          <w:b/>
          <w:i/>
          <w:sz w:val="22"/>
        </w:rPr>
        <w:t xml:space="preserve">References to </w:t>
      </w:r>
      <w:r w:rsidR="00BC69DD">
        <w:rPr>
          <w:rStyle w:val="Referencingstyle"/>
          <w:b/>
          <w:i/>
          <w:sz w:val="22"/>
        </w:rPr>
        <w:t xml:space="preserve">‘a </w:t>
      </w:r>
      <w:r>
        <w:rPr>
          <w:rStyle w:val="Referencingstyle"/>
          <w:b/>
          <w:i/>
          <w:sz w:val="22"/>
        </w:rPr>
        <w:t>Chapter 5 body corporate</w:t>
      </w:r>
      <w:r w:rsidR="00BC69DD">
        <w:rPr>
          <w:rStyle w:val="Referencingstyle"/>
          <w:b/>
          <w:i/>
          <w:sz w:val="22"/>
        </w:rPr>
        <w:t>’</w:t>
      </w:r>
    </w:p>
    <w:p w14:paraId="4B2E85AD" w14:textId="441D1098" w:rsidR="003210E3" w:rsidRPr="001F21AA" w:rsidRDefault="003210E3" w:rsidP="00711D0C">
      <w:pPr>
        <w:pStyle w:val="base-text-paragraph"/>
        <w:rPr>
          <w:rStyle w:val="Referencingstyle"/>
          <w:b w:val="0"/>
          <w:i w:val="0"/>
          <w:sz w:val="22"/>
        </w:rPr>
      </w:pPr>
      <w:r>
        <w:rPr>
          <w:rStyle w:val="Referencingstyle"/>
          <w:b w:val="0"/>
          <w:i w:val="0"/>
          <w:sz w:val="22"/>
        </w:rPr>
        <w:t xml:space="preserve">A CCIV is a </w:t>
      </w:r>
      <w:r w:rsidR="00BC69DD">
        <w:rPr>
          <w:rStyle w:val="Referencingstyle"/>
          <w:b w:val="0"/>
          <w:i w:val="0"/>
          <w:sz w:val="22"/>
        </w:rPr>
        <w:t>‘</w:t>
      </w:r>
      <w:r>
        <w:rPr>
          <w:rStyle w:val="Referencingstyle"/>
          <w:b w:val="0"/>
          <w:i w:val="0"/>
          <w:sz w:val="22"/>
        </w:rPr>
        <w:t>Chapter 5 body corporate</w:t>
      </w:r>
      <w:r w:rsidR="00BC69DD">
        <w:rPr>
          <w:rStyle w:val="Referencingstyle"/>
          <w:b w:val="0"/>
          <w:i w:val="0"/>
          <w:sz w:val="22"/>
        </w:rPr>
        <w:t>’</w:t>
      </w:r>
      <w:r>
        <w:rPr>
          <w:rStyle w:val="Referencingstyle"/>
          <w:b w:val="0"/>
          <w:i w:val="0"/>
          <w:sz w:val="22"/>
        </w:rPr>
        <w:t xml:space="preserve"> if any of its sub-funds are undergoing an external administration procedure. In other words, a CCIV is a </w:t>
      </w:r>
      <w:r w:rsidR="00BC69DD">
        <w:rPr>
          <w:rStyle w:val="Referencingstyle"/>
          <w:b w:val="0"/>
          <w:i w:val="0"/>
          <w:sz w:val="22"/>
        </w:rPr>
        <w:t>‘</w:t>
      </w:r>
      <w:r>
        <w:rPr>
          <w:rStyle w:val="Referencingstyle"/>
          <w:b w:val="0"/>
          <w:i w:val="0"/>
          <w:sz w:val="22"/>
        </w:rPr>
        <w:t>Chapter 5 body corporate</w:t>
      </w:r>
      <w:r w:rsidR="00BC69DD">
        <w:rPr>
          <w:rStyle w:val="Referencingstyle"/>
          <w:b w:val="0"/>
          <w:i w:val="0"/>
          <w:sz w:val="22"/>
        </w:rPr>
        <w:t>’</w:t>
      </w:r>
      <w:r>
        <w:rPr>
          <w:rStyle w:val="Referencingstyle"/>
          <w:b w:val="0"/>
          <w:i w:val="0"/>
          <w:sz w:val="22"/>
        </w:rPr>
        <w:t xml:space="preserve"> if one or more of its sub-funds is being wound up, a receiver has been appointed to property of the CCIV</w:t>
      </w:r>
      <w:r w:rsidR="00F5534F">
        <w:rPr>
          <w:rStyle w:val="Referencingstyle"/>
          <w:b w:val="0"/>
          <w:i w:val="0"/>
          <w:sz w:val="22"/>
        </w:rPr>
        <w:t>,</w:t>
      </w:r>
      <w:r>
        <w:rPr>
          <w:rStyle w:val="Referencingstyle"/>
          <w:b w:val="0"/>
          <w:i w:val="0"/>
          <w:sz w:val="22"/>
        </w:rPr>
        <w:t xml:space="preserve"> or the CCIV </w:t>
      </w:r>
      <w:r w:rsidR="00BC69DD">
        <w:rPr>
          <w:rStyle w:val="Referencingstyle"/>
          <w:b w:val="0"/>
          <w:i w:val="0"/>
          <w:sz w:val="22"/>
        </w:rPr>
        <w:t>enters</w:t>
      </w:r>
      <w:r>
        <w:rPr>
          <w:rStyle w:val="Referencingstyle"/>
          <w:b w:val="0"/>
          <w:i w:val="0"/>
          <w:sz w:val="22"/>
        </w:rPr>
        <w:t xml:space="preserve"> into a compromise or arrangement which </w:t>
      </w:r>
      <w:r w:rsidR="00BC69DD">
        <w:rPr>
          <w:rStyle w:val="Referencingstyle"/>
          <w:b w:val="0"/>
          <w:i w:val="0"/>
          <w:sz w:val="22"/>
        </w:rPr>
        <w:t>involves</w:t>
      </w:r>
      <w:r>
        <w:rPr>
          <w:rStyle w:val="Referencingstyle"/>
          <w:b w:val="0"/>
          <w:i w:val="0"/>
          <w:sz w:val="22"/>
        </w:rPr>
        <w:t xml:space="preserve"> one or more of its sub-funds. </w:t>
      </w:r>
      <w:r>
        <w:rPr>
          <w:rStyle w:val="Referencingstyle"/>
        </w:rPr>
        <w:t>[Schedule </w:t>
      </w:r>
      <w:r w:rsidR="00B956C1">
        <w:rPr>
          <w:rStyle w:val="Referencingstyle"/>
        </w:rPr>
        <w:t>2</w:t>
      </w:r>
      <w:r>
        <w:rPr>
          <w:rStyle w:val="Referencingstyle"/>
        </w:rPr>
        <w:t xml:space="preserve">, item </w:t>
      </w:r>
      <w:r w:rsidR="00B956C1">
        <w:rPr>
          <w:rStyle w:val="Referencingstyle"/>
        </w:rPr>
        <w:t>1</w:t>
      </w:r>
      <w:r>
        <w:rPr>
          <w:rStyle w:val="Referencingstyle"/>
        </w:rPr>
        <w:t>, section 9, definition of ‘</w:t>
      </w:r>
      <w:r w:rsidR="009129A5">
        <w:rPr>
          <w:rStyle w:val="Referencingstyle"/>
        </w:rPr>
        <w:t>Chapter 5 body corp</w:t>
      </w:r>
      <w:r>
        <w:rPr>
          <w:rStyle w:val="Referencingstyle"/>
        </w:rPr>
        <w:t>o</w:t>
      </w:r>
      <w:r w:rsidR="009129A5">
        <w:rPr>
          <w:rStyle w:val="Referencingstyle"/>
        </w:rPr>
        <w:t>r</w:t>
      </w:r>
      <w:r>
        <w:rPr>
          <w:rStyle w:val="Referencingstyle"/>
        </w:rPr>
        <w:t>ate’]</w:t>
      </w:r>
    </w:p>
    <w:p w14:paraId="59722872" w14:textId="41C1DCF7" w:rsidR="006E0000" w:rsidRDefault="006E0000" w:rsidP="00A06114">
      <w:pPr>
        <w:pStyle w:val="Heading3"/>
      </w:pPr>
      <w:r>
        <w:t xml:space="preserve">Arrangements and reconstructions </w:t>
      </w:r>
    </w:p>
    <w:p w14:paraId="6ACF423D" w14:textId="1EFFB321" w:rsidR="00F95B64" w:rsidRPr="00FA5B27" w:rsidRDefault="005E3820" w:rsidP="00F95B64">
      <w:pPr>
        <w:pStyle w:val="base-text-paragraph"/>
        <w:numPr>
          <w:ilvl w:val="1"/>
          <w:numId w:val="6"/>
        </w:numPr>
        <w:rPr>
          <w:rStyle w:val="Referencingstyle"/>
          <w:b w:val="0"/>
          <w:i w:val="0"/>
          <w:sz w:val="22"/>
        </w:rPr>
      </w:pPr>
      <w:bookmarkStart w:id="72" w:name="_Ref525826142"/>
      <w:r w:rsidRPr="00FA5B27">
        <w:t>A</w:t>
      </w:r>
      <w:r w:rsidR="00F95B64" w:rsidRPr="00F95B64">
        <w:rPr>
          <w:rStyle w:val="Referencingstyle"/>
          <w:b w:val="0"/>
          <w:i w:val="0"/>
          <w:sz w:val="22"/>
        </w:rPr>
        <w:t>rrangements and reconstructions of sub-funds of CCIVs occur in the same way as arrangements and reconstructions of Part 5.1 bodies.</w:t>
      </w:r>
      <w:r>
        <w:rPr>
          <w:rStyle w:val="Referencingstyle"/>
          <w:b w:val="0"/>
          <w:i w:val="0"/>
          <w:sz w:val="22"/>
        </w:rPr>
        <w:t xml:space="preserve"> This is largely achieved by applying the </w:t>
      </w:r>
      <w:r w:rsidR="00F95B64">
        <w:rPr>
          <w:rStyle w:val="Referencingstyle"/>
          <w:b w:val="0"/>
          <w:i w:val="0"/>
          <w:sz w:val="22"/>
        </w:rPr>
        <w:t xml:space="preserve">translation rules </w:t>
      </w:r>
      <w:r>
        <w:rPr>
          <w:rStyle w:val="Referencingstyle"/>
          <w:b w:val="0"/>
          <w:i w:val="0"/>
          <w:sz w:val="22"/>
        </w:rPr>
        <w:t>explained</w:t>
      </w:r>
      <w:r w:rsidR="00F95B64">
        <w:rPr>
          <w:rStyle w:val="Referencingstyle"/>
          <w:b w:val="0"/>
          <w:i w:val="0"/>
          <w:sz w:val="22"/>
        </w:rPr>
        <w:t xml:space="preserve"> at </w:t>
      </w:r>
      <w:r w:rsidR="00F95B64">
        <w:t xml:space="preserve">paragraphs </w:t>
      </w:r>
      <w:r w:rsidR="00F95B64" w:rsidRPr="00F95B64">
        <w:rPr>
          <w:rStyle w:val="Referencingstyle"/>
          <w:b w:val="0"/>
          <w:i w:val="0"/>
          <w:sz w:val="22"/>
        </w:rPr>
        <w:fldChar w:fldCharType="begin"/>
      </w:r>
      <w:r w:rsidR="00F95B64" w:rsidRPr="00F95B64">
        <w:rPr>
          <w:rStyle w:val="Referencingstyle"/>
          <w:b w:val="0"/>
          <w:i w:val="0"/>
          <w:sz w:val="22"/>
        </w:rPr>
        <w:instrText xml:space="preserve"> REF _Ref522519915 \r \h </w:instrText>
      </w:r>
      <w:r w:rsidR="00F95B64" w:rsidRPr="00F95B64">
        <w:rPr>
          <w:rStyle w:val="Referencingstyle"/>
          <w:b w:val="0"/>
          <w:i w:val="0"/>
          <w:sz w:val="22"/>
        </w:rPr>
      </w:r>
      <w:r w:rsidR="00F95B64" w:rsidRPr="00F95B64">
        <w:rPr>
          <w:rStyle w:val="Referencingstyle"/>
          <w:b w:val="0"/>
          <w:i w:val="0"/>
          <w:sz w:val="22"/>
        </w:rPr>
        <w:fldChar w:fldCharType="separate"/>
      </w:r>
      <w:r w:rsidR="00275132">
        <w:rPr>
          <w:rStyle w:val="Referencingstyle"/>
          <w:b w:val="0"/>
          <w:i w:val="0"/>
          <w:sz w:val="22"/>
        </w:rPr>
        <w:t>3.13</w:t>
      </w:r>
      <w:r w:rsidR="00F95B64" w:rsidRPr="00F95B64">
        <w:rPr>
          <w:rStyle w:val="Referencingstyle"/>
          <w:b w:val="0"/>
          <w:i w:val="0"/>
          <w:sz w:val="22"/>
        </w:rPr>
        <w:fldChar w:fldCharType="end"/>
      </w:r>
      <w:r w:rsidR="00F95B64" w:rsidRPr="00F95B64">
        <w:rPr>
          <w:rStyle w:val="Referencingstyle"/>
          <w:b w:val="0"/>
          <w:i w:val="0"/>
          <w:sz w:val="22"/>
        </w:rPr>
        <w:t xml:space="preserve"> to </w:t>
      </w:r>
      <w:r w:rsidR="00F95B64" w:rsidRPr="00F95B64">
        <w:rPr>
          <w:rStyle w:val="Referencingstyle"/>
          <w:b w:val="0"/>
          <w:i w:val="0"/>
          <w:sz w:val="22"/>
        </w:rPr>
        <w:fldChar w:fldCharType="begin"/>
      </w:r>
      <w:r w:rsidR="00F95B64" w:rsidRPr="00F95B64">
        <w:rPr>
          <w:rStyle w:val="Referencingstyle"/>
          <w:b w:val="0"/>
          <w:i w:val="0"/>
          <w:sz w:val="22"/>
        </w:rPr>
        <w:instrText xml:space="preserve"> REF _Ref522519921 \r \h </w:instrText>
      </w:r>
      <w:r w:rsidR="00F95B64" w:rsidRPr="00F95B64">
        <w:rPr>
          <w:rStyle w:val="Referencingstyle"/>
          <w:b w:val="0"/>
          <w:i w:val="0"/>
          <w:sz w:val="22"/>
        </w:rPr>
      </w:r>
      <w:r w:rsidR="00F95B64" w:rsidRPr="00F95B64">
        <w:rPr>
          <w:rStyle w:val="Referencingstyle"/>
          <w:b w:val="0"/>
          <w:i w:val="0"/>
          <w:sz w:val="22"/>
        </w:rPr>
        <w:fldChar w:fldCharType="separate"/>
      </w:r>
      <w:r w:rsidR="00275132">
        <w:rPr>
          <w:rStyle w:val="Referencingstyle"/>
          <w:b w:val="0"/>
          <w:i w:val="0"/>
          <w:sz w:val="22"/>
        </w:rPr>
        <w:t>3.40</w:t>
      </w:r>
      <w:r w:rsidR="00F95B64" w:rsidRPr="00F95B64">
        <w:rPr>
          <w:rStyle w:val="Referencingstyle"/>
          <w:b w:val="0"/>
          <w:i w:val="0"/>
          <w:sz w:val="22"/>
        </w:rPr>
        <w:fldChar w:fldCharType="end"/>
      </w:r>
      <w:r w:rsidR="00F95B64" w:rsidRPr="00F95B64">
        <w:rPr>
          <w:rStyle w:val="Referencingstyle"/>
          <w:b w:val="0"/>
          <w:i w:val="0"/>
          <w:sz w:val="22"/>
        </w:rPr>
        <w:t xml:space="preserve"> of these explanatory materials</w:t>
      </w:r>
      <w:r>
        <w:rPr>
          <w:rStyle w:val="Referencingstyle"/>
          <w:b w:val="0"/>
          <w:i w:val="0"/>
          <w:sz w:val="22"/>
        </w:rPr>
        <w:t>.</w:t>
      </w:r>
      <w:r w:rsidRPr="00F95B64">
        <w:rPr>
          <w:rStyle w:val="Referencingstyle"/>
          <w:b w:val="0"/>
          <w:i w:val="0"/>
          <w:sz w:val="22"/>
        </w:rPr>
        <w:t xml:space="preserve"> </w:t>
      </w:r>
      <w:r w:rsidR="00F95B64">
        <w:rPr>
          <w:rStyle w:val="Referencingstyle"/>
        </w:rPr>
        <w:t>[Schedule </w:t>
      </w:r>
      <w:r w:rsidR="00B956C1">
        <w:rPr>
          <w:rStyle w:val="Referencingstyle"/>
        </w:rPr>
        <w:t>2</w:t>
      </w:r>
      <w:r w:rsidR="00F95B64">
        <w:rPr>
          <w:rStyle w:val="Referencingstyle"/>
        </w:rPr>
        <w:t>,</w:t>
      </w:r>
      <w:r w:rsidR="00186865" w:rsidDel="00186865">
        <w:rPr>
          <w:rStyle w:val="Referencingstyle"/>
        </w:rPr>
        <w:t xml:space="preserve"> </w:t>
      </w:r>
      <w:r w:rsidR="00F95B64">
        <w:rPr>
          <w:rStyle w:val="Referencingstyle"/>
        </w:rPr>
        <w:t xml:space="preserve">item </w:t>
      </w:r>
      <w:r w:rsidR="00B956C1">
        <w:rPr>
          <w:rStyle w:val="Referencingstyle"/>
        </w:rPr>
        <w:t>1</w:t>
      </w:r>
      <w:r w:rsidR="00F95B64">
        <w:rPr>
          <w:rStyle w:val="Referencingstyle"/>
        </w:rPr>
        <w:t xml:space="preserve">, section </w:t>
      </w:r>
      <w:r w:rsidR="00B956C1">
        <w:rPr>
          <w:rStyle w:val="Referencingstyle"/>
        </w:rPr>
        <w:t>12-005</w:t>
      </w:r>
      <w:r>
        <w:rPr>
          <w:rStyle w:val="Referencingstyle"/>
        </w:rPr>
        <w:t xml:space="preserve"> and </w:t>
      </w:r>
      <w:r w:rsidR="00B956C1">
        <w:rPr>
          <w:rStyle w:val="Referencingstyle"/>
        </w:rPr>
        <w:t>12-015</w:t>
      </w:r>
      <w:r w:rsidR="00F95B64">
        <w:rPr>
          <w:rStyle w:val="Referencingstyle"/>
        </w:rPr>
        <w:t>]</w:t>
      </w:r>
      <w:bookmarkEnd w:id="72"/>
    </w:p>
    <w:p w14:paraId="38380D1A" w14:textId="3F88AC37" w:rsidR="005E3820" w:rsidRPr="003C2677" w:rsidRDefault="005E3820" w:rsidP="003C2677">
      <w:pPr>
        <w:pStyle w:val="base-text-paragraph"/>
        <w:numPr>
          <w:ilvl w:val="1"/>
          <w:numId w:val="6"/>
        </w:numPr>
        <w:rPr>
          <w:rStyle w:val="Referencingstyle"/>
          <w:b w:val="0"/>
          <w:i w:val="0"/>
          <w:sz w:val="22"/>
        </w:rPr>
      </w:pPr>
      <w:r w:rsidRPr="003C2677">
        <w:rPr>
          <w:rStyle w:val="Referencingstyle"/>
          <w:b w:val="0"/>
          <w:i w:val="0"/>
          <w:sz w:val="22"/>
        </w:rPr>
        <w:t>Arrangements and reconstructions involving multiple sub-funds may proceed but they are treated as two separate arrangements for the purposes of Part 5.1. This</w:t>
      </w:r>
      <w:r w:rsidR="00EA75DB">
        <w:rPr>
          <w:rStyle w:val="Referencingstyle"/>
          <w:b w:val="0"/>
          <w:i w:val="0"/>
          <w:sz w:val="22"/>
        </w:rPr>
        <w:t> </w:t>
      </w:r>
      <w:r w:rsidRPr="003C2677">
        <w:rPr>
          <w:rStyle w:val="Referencingstyle"/>
          <w:b w:val="0"/>
          <w:i w:val="0"/>
          <w:sz w:val="22"/>
        </w:rPr>
        <w:t>ensures that separate meetings are held for each sub-fund</w:t>
      </w:r>
      <w:r w:rsidR="008A7153" w:rsidRPr="003C2677">
        <w:rPr>
          <w:rStyle w:val="Referencingstyle"/>
          <w:b w:val="0"/>
          <w:i w:val="0"/>
          <w:sz w:val="22"/>
        </w:rPr>
        <w:t>.</w:t>
      </w:r>
      <w:r w:rsidR="008A7153">
        <w:rPr>
          <w:rStyle w:val="Referencingstyle"/>
          <w:b w:val="0"/>
          <w:i w:val="0"/>
          <w:sz w:val="22"/>
        </w:rPr>
        <w:t xml:space="preserve"> </w:t>
      </w:r>
      <w:r>
        <w:rPr>
          <w:rStyle w:val="Referencingstyle"/>
        </w:rPr>
        <w:t>[Schedule </w:t>
      </w:r>
      <w:r w:rsidR="00B956C1">
        <w:rPr>
          <w:rStyle w:val="Referencingstyle"/>
        </w:rPr>
        <w:t>2</w:t>
      </w:r>
      <w:r>
        <w:rPr>
          <w:rStyle w:val="Referencingstyle"/>
        </w:rPr>
        <w:t xml:space="preserve">, item </w:t>
      </w:r>
      <w:r w:rsidR="00B956C1">
        <w:rPr>
          <w:rStyle w:val="Referencingstyle"/>
        </w:rPr>
        <w:t>1</w:t>
      </w:r>
      <w:r>
        <w:rPr>
          <w:rStyle w:val="Referencingstyle"/>
        </w:rPr>
        <w:t>, sections</w:t>
      </w:r>
      <w:r w:rsidR="00EA75DB">
        <w:rPr>
          <w:rStyle w:val="Referencingstyle"/>
        </w:rPr>
        <w:t> </w:t>
      </w:r>
      <w:r w:rsidR="00B956C1">
        <w:rPr>
          <w:rStyle w:val="Referencingstyle"/>
        </w:rPr>
        <w:t>12-015</w:t>
      </w:r>
      <w:r>
        <w:rPr>
          <w:rStyle w:val="Referencingstyle"/>
        </w:rPr>
        <w:t>]</w:t>
      </w:r>
    </w:p>
    <w:p w14:paraId="692580E2" w14:textId="781851E8" w:rsidR="003C2677" w:rsidRPr="00FA5B27" w:rsidRDefault="003C2677" w:rsidP="00AA3F3D">
      <w:pPr>
        <w:pStyle w:val="ExampleHeading"/>
        <w:rPr>
          <w:rStyle w:val="Referencingstyle"/>
          <w:i w:val="0"/>
          <w:sz w:val="22"/>
        </w:rPr>
      </w:pPr>
      <w:r w:rsidRPr="003C2677">
        <w:rPr>
          <w:rStyle w:val="Referencingstyle"/>
          <w:b/>
          <w:i w:val="0"/>
          <w:sz w:val="22"/>
        </w:rPr>
        <w:t xml:space="preserve">: </w:t>
      </w:r>
      <w:r w:rsidR="00521FAC">
        <w:rPr>
          <w:rStyle w:val="Referencingstyle"/>
          <w:b/>
          <w:i w:val="0"/>
          <w:sz w:val="22"/>
        </w:rPr>
        <w:t>A ‘demerger’ of a sub-fund</w:t>
      </w:r>
    </w:p>
    <w:p w14:paraId="0F4C3E90" w14:textId="64EB8B60" w:rsidR="00521FAC" w:rsidRDefault="00521FAC" w:rsidP="00521FAC">
      <w:pPr>
        <w:pStyle w:val="exampletext"/>
      </w:pPr>
      <w:proofErr w:type="spellStart"/>
      <w:r>
        <w:t>Casterley</w:t>
      </w:r>
      <w:proofErr w:type="spellEnd"/>
      <w:r>
        <w:t xml:space="preserve"> </w:t>
      </w:r>
      <w:r w:rsidR="00CF6215">
        <w:t>H</w:t>
      </w:r>
      <w:r>
        <w:t xml:space="preserve">ouse CCIV has two sub-funds and wishes to spin off one sub-fund into a new CCIV. </w:t>
      </w:r>
    </w:p>
    <w:p w14:paraId="4E118607" w14:textId="599C0046" w:rsidR="00521FAC" w:rsidRDefault="00521FAC" w:rsidP="00521FAC">
      <w:pPr>
        <w:pStyle w:val="exampletext"/>
      </w:pPr>
      <w:r>
        <w:rPr>
          <w:noProof/>
        </w:rPr>
        <w:drawing>
          <wp:inline distT="0" distB="0" distL="0" distR="0" wp14:anchorId="50C35339" wp14:editId="16559369">
            <wp:extent cx="1958454" cy="80600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958150" cy="805881"/>
                    </a:xfrm>
                    <a:prstGeom prst="rect">
                      <a:avLst/>
                    </a:prstGeom>
                  </pic:spPr>
                </pic:pic>
              </a:graphicData>
            </a:graphic>
          </wp:inline>
        </w:drawing>
      </w:r>
    </w:p>
    <w:p w14:paraId="3669A851" w14:textId="1D1166C9" w:rsidR="00521FAC" w:rsidRDefault="00CF6215" w:rsidP="00521FAC">
      <w:pPr>
        <w:pStyle w:val="exampletext"/>
      </w:pPr>
      <w:proofErr w:type="spellStart"/>
      <w:r>
        <w:t>Casterley</w:t>
      </w:r>
      <w:proofErr w:type="spellEnd"/>
      <w:r>
        <w:t xml:space="preserve"> House</w:t>
      </w:r>
      <w:r w:rsidR="00521FAC">
        <w:t xml:space="preserve"> may use Part 5.1 to achieve this. </w:t>
      </w:r>
      <w:r w:rsidR="00EA75DB">
        <w:t>T</w:t>
      </w:r>
      <w:r w:rsidR="00521FAC">
        <w:t>he new CCIV</w:t>
      </w:r>
      <w:r w:rsidR="00EA75DB">
        <w:t xml:space="preserve"> would also need to be registered</w:t>
      </w:r>
      <w:r w:rsidR="00521FAC">
        <w:t>.</w:t>
      </w:r>
    </w:p>
    <w:p w14:paraId="78DA54CE" w14:textId="77777777" w:rsidR="00521FAC" w:rsidRPr="003C2677" w:rsidRDefault="00521FAC" w:rsidP="00521FAC">
      <w:pPr>
        <w:pStyle w:val="ExampleHeading"/>
        <w:rPr>
          <w:rStyle w:val="Referencingstyle"/>
          <w:b/>
          <w:i w:val="0"/>
          <w:sz w:val="22"/>
        </w:rPr>
      </w:pPr>
      <w:r w:rsidRPr="003C2677">
        <w:rPr>
          <w:rStyle w:val="Referencingstyle"/>
          <w:b/>
          <w:i w:val="0"/>
          <w:sz w:val="22"/>
        </w:rPr>
        <w:t xml:space="preserve">: </w:t>
      </w:r>
      <w:r>
        <w:rPr>
          <w:rStyle w:val="Referencingstyle"/>
          <w:b/>
          <w:i w:val="0"/>
          <w:sz w:val="22"/>
        </w:rPr>
        <w:t>A ‘friendly takeover’ of a sub-fund</w:t>
      </w:r>
    </w:p>
    <w:p w14:paraId="30A8113F" w14:textId="0C00D586" w:rsidR="00521FAC" w:rsidRDefault="00785F2F" w:rsidP="00521FAC">
      <w:pPr>
        <w:pStyle w:val="exampletext"/>
      </w:pPr>
      <w:proofErr w:type="spellStart"/>
      <w:r>
        <w:t>Ravenclaw</w:t>
      </w:r>
      <w:proofErr w:type="spellEnd"/>
      <w:r>
        <w:t xml:space="preserve"> </w:t>
      </w:r>
      <w:r w:rsidR="00521FAC">
        <w:t xml:space="preserve">CCIV also has two sub-funds. </w:t>
      </w:r>
      <w:proofErr w:type="spellStart"/>
      <w:r>
        <w:t>Hufflepuff</w:t>
      </w:r>
      <w:proofErr w:type="spellEnd"/>
      <w:r>
        <w:t xml:space="preserve"> </w:t>
      </w:r>
      <w:r w:rsidR="00521FAC">
        <w:t xml:space="preserve">CCIV approaches </w:t>
      </w:r>
      <w:proofErr w:type="spellStart"/>
      <w:r>
        <w:t>Ravenclaw</w:t>
      </w:r>
      <w:proofErr w:type="spellEnd"/>
      <w:r>
        <w:t xml:space="preserve"> </w:t>
      </w:r>
      <w:r w:rsidR="00521FAC">
        <w:t xml:space="preserve">CCIV with a proposition that involves moving one of the sub-funds into </w:t>
      </w:r>
      <w:proofErr w:type="spellStart"/>
      <w:r>
        <w:t>Hufflepuff</w:t>
      </w:r>
      <w:proofErr w:type="spellEnd"/>
      <w:r>
        <w:t xml:space="preserve"> </w:t>
      </w:r>
      <w:r w:rsidR="00521FAC">
        <w:t>CCIV.</w:t>
      </w:r>
    </w:p>
    <w:p w14:paraId="045A28D4" w14:textId="4FD20723" w:rsidR="00521FAC" w:rsidRDefault="00521FAC" w:rsidP="00521FAC">
      <w:pPr>
        <w:pStyle w:val="exampletext"/>
      </w:pPr>
      <w:r>
        <w:rPr>
          <w:noProof/>
        </w:rPr>
        <w:drawing>
          <wp:inline distT="0" distB="0" distL="0" distR="0" wp14:anchorId="47689A7D" wp14:editId="12FB7FE9">
            <wp:extent cx="2410497" cy="73025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t="17857"/>
                    <a:stretch/>
                  </pic:blipFill>
                  <pic:spPr bwMode="auto">
                    <a:xfrm>
                      <a:off x="0" y="0"/>
                      <a:ext cx="2416012" cy="731921"/>
                    </a:xfrm>
                    <a:prstGeom prst="rect">
                      <a:avLst/>
                    </a:prstGeom>
                    <a:ln>
                      <a:noFill/>
                    </a:ln>
                    <a:extLst>
                      <a:ext uri="{53640926-AAD7-44D8-BBD7-CCE9431645EC}">
                        <a14:shadowObscured xmlns:a14="http://schemas.microsoft.com/office/drawing/2010/main"/>
                      </a:ext>
                    </a:extLst>
                  </pic:spPr>
                </pic:pic>
              </a:graphicData>
            </a:graphic>
          </wp:inline>
        </w:drawing>
      </w:r>
    </w:p>
    <w:p w14:paraId="39AC953E" w14:textId="74BB2E34" w:rsidR="003C2677" w:rsidRDefault="00521FAC" w:rsidP="00521FAC">
      <w:pPr>
        <w:pStyle w:val="exampletext"/>
      </w:pPr>
      <w:r>
        <w:t>Part 5.1 may be used to facilitate this ‘friendly takeover’.</w:t>
      </w:r>
    </w:p>
    <w:p w14:paraId="5CFCFC9A" w14:textId="50F88BC4" w:rsidR="00521FAC" w:rsidRPr="003C2677" w:rsidRDefault="00521FAC" w:rsidP="00521FAC">
      <w:pPr>
        <w:pStyle w:val="ExampleHeading"/>
        <w:rPr>
          <w:rStyle w:val="Referencingstyle"/>
          <w:b/>
          <w:i w:val="0"/>
          <w:sz w:val="22"/>
        </w:rPr>
      </w:pPr>
      <w:r w:rsidRPr="003C2677">
        <w:rPr>
          <w:rStyle w:val="Referencingstyle"/>
          <w:b/>
          <w:i w:val="0"/>
          <w:sz w:val="22"/>
        </w:rPr>
        <w:t xml:space="preserve">: </w:t>
      </w:r>
      <w:r>
        <w:rPr>
          <w:rStyle w:val="Referencingstyle"/>
          <w:b/>
          <w:i w:val="0"/>
          <w:sz w:val="22"/>
        </w:rPr>
        <w:t xml:space="preserve">An internal </w:t>
      </w:r>
      <w:r w:rsidR="00CF6215">
        <w:rPr>
          <w:rStyle w:val="Referencingstyle"/>
          <w:b/>
          <w:i w:val="0"/>
          <w:sz w:val="22"/>
        </w:rPr>
        <w:t>reorganisation</w:t>
      </w:r>
      <w:r>
        <w:rPr>
          <w:rStyle w:val="Referencingstyle"/>
          <w:b/>
          <w:i w:val="0"/>
          <w:sz w:val="22"/>
        </w:rPr>
        <w:t xml:space="preserve"> of a CCIV</w:t>
      </w:r>
    </w:p>
    <w:p w14:paraId="7738FEB6" w14:textId="77777777" w:rsidR="00012E83" w:rsidRDefault="00521FAC" w:rsidP="00521FAC">
      <w:pPr>
        <w:pStyle w:val="exampletext"/>
      </w:pPr>
      <w:r>
        <w:t xml:space="preserve">High Flying CCIV </w:t>
      </w:r>
      <w:r w:rsidR="00012E83">
        <w:t xml:space="preserve">wishes to amalgamate two of its sub-funds into a single sub-fund. </w:t>
      </w:r>
    </w:p>
    <w:p w14:paraId="6276F14C" w14:textId="77777777" w:rsidR="00012E83" w:rsidRDefault="00012E83" w:rsidP="00521FAC">
      <w:pPr>
        <w:pStyle w:val="exampletext"/>
      </w:pPr>
      <w:r>
        <w:rPr>
          <w:noProof/>
        </w:rPr>
        <w:drawing>
          <wp:inline distT="0" distB="0" distL="0" distR="0" wp14:anchorId="3337BD98" wp14:editId="7C714B07">
            <wp:extent cx="1870252"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872931" cy="1163715"/>
                    </a:xfrm>
                    <a:prstGeom prst="rect">
                      <a:avLst/>
                    </a:prstGeom>
                  </pic:spPr>
                </pic:pic>
              </a:graphicData>
            </a:graphic>
          </wp:inline>
        </w:drawing>
      </w:r>
    </w:p>
    <w:p w14:paraId="455B3D05" w14:textId="4A10469A" w:rsidR="003C2677" w:rsidRDefault="00012E83" w:rsidP="00012E83">
      <w:pPr>
        <w:pStyle w:val="exampletext"/>
      </w:pPr>
      <w:r>
        <w:t xml:space="preserve">Part 5.1 can be used to facilitate this internal reorganisation. For the purposes of applying Part 5.1, the reorganisation is treated as two separate arrangements – one involving sub-fund 1 and one involving sub-fund 2. Sub-funds 1 and 2 </w:t>
      </w:r>
      <w:r w:rsidR="00CF6215">
        <w:t>must</w:t>
      </w:r>
      <w:r>
        <w:t xml:space="preserve"> vote separately on the proposal.</w:t>
      </w:r>
    </w:p>
    <w:p w14:paraId="6B3AA1A4" w14:textId="102EC02A" w:rsidR="005E3820" w:rsidRPr="00AA3F3D" w:rsidRDefault="005E3820" w:rsidP="00AA3F3D">
      <w:pPr>
        <w:pStyle w:val="base-text-paragraph"/>
        <w:numPr>
          <w:ilvl w:val="0"/>
          <w:numId w:val="0"/>
        </w:numPr>
        <w:ind w:left="1134"/>
        <w:rPr>
          <w:rStyle w:val="Referencingstyle"/>
          <w:sz w:val="22"/>
        </w:rPr>
      </w:pPr>
      <w:r>
        <w:rPr>
          <w:rStyle w:val="Referencingstyle"/>
          <w:sz w:val="22"/>
        </w:rPr>
        <w:t>References to the ‘director’</w:t>
      </w:r>
    </w:p>
    <w:p w14:paraId="2C2D069D" w14:textId="7D7647BC" w:rsidR="00F95B64" w:rsidRPr="00F95B64" w:rsidRDefault="00F95B64" w:rsidP="00F95B64">
      <w:pPr>
        <w:pStyle w:val="base-text-paragraph"/>
        <w:numPr>
          <w:ilvl w:val="1"/>
          <w:numId w:val="6"/>
        </w:numPr>
        <w:rPr>
          <w:rStyle w:val="Referencingstyle"/>
          <w:b w:val="0"/>
          <w:i w:val="0"/>
          <w:sz w:val="22"/>
        </w:rPr>
      </w:pPr>
      <w:r>
        <w:rPr>
          <w:rStyle w:val="Referencingstyle"/>
          <w:b w:val="0"/>
          <w:i w:val="0"/>
          <w:sz w:val="22"/>
        </w:rPr>
        <w:t>The second translation rule is extended so that a reference to the ‘director’ of a Part 5.1 body includes both the corporate director and the natural person directors of the corporate director. This is consistent with existing section 410 which extends references to the director in Part 5.1 to the ‘directors of the body or any one or more of them’.</w:t>
      </w:r>
      <w:r w:rsidRPr="00F95B64">
        <w:rPr>
          <w:rStyle w:val="Referencingstyle"/>
        </w:rPr>
        <w:t xml:space="preserve"> </w:t>
      </w:r>
      <w:r>
        <w:rPr>
          <w:rStyle w:val="Referencingstyle"/>
        </w:rPr>
        <w:t>[Schedule </w:t>
      </w:r>
      <w:r w:rsidR="00F96A61">
        <w:rPr>
          <w:rStyle w:val="Referencingstyle"/>
        </w:rPr>
        <w:t>2</w:t>
      </w:r>
      <w:r>
        <w:rPr>
          <w:rStyle w:val="Referencingstyle"/>
        </w:rPr>
        <w:t xml:space="preserve">, item </w:t>
      </w:r>
      <w:r w:rsidR="00F96A61">
        <w:rPr>
          <w:rStyle w:val="Referencingstyle"/>
        </w:rPr>
        <w:t>1</w:t>
      </w:r>
      <w:r>
        <w:rPr>
          <w:rStyle w:val="Referencingstyle"/>
        </w:rPr>
        <w:t xml:space="preserve">, </w:t>
      </w:r>
      <w:r w:rsidR="005D669A">
        <w:rPr>
          <w:rStyle w:val="Referencingstyle"/>
        </w:rPr>
        <w:t>subsection</w:t>
      </w:r>
      <w:r>
        <w:rPr>
          <w:rStyle w:val="Referencingstyle"/>
        </w:rPr>
        <w:t xml:space="preserve"> </w:t>
      </w:r>
      <w:r w:rsidR="00F96A61">
        <w:rPr>
          <w:rStyle w:val="Referencingstyle"/>
        </w:rPr>
        <w:t>12-015</w:t>
      </w:r>
      <w:r w:rsidR="005D669A">
        <w:rPr>
          <w:rStyle w:val="Referencingstyle"/>
        </w:rPr>
        <w:t>(3), item</w:t>
      </w:r>
      <w:r w:rsidR="00547B79">
        <w:rPr>
          <w:rStyle w:val="Referencingstyle"/>
        </w:rPr>
        <w:t> </w:t>
      </w:r>
      <w:r w:rsidR="00CF6215">
        <w:rPr>
          <w:rStyle w:val="Referencingstyle"/>
        </w:rPr>
        <w:t>2</w:t>
      </w:r>
      <w:r>
        <w:rPr>
          <w:rStyle w:val="Referencingstyle"/>
        </w:rPr>
        <w:t>]</w:t>
      </w:r>
    </w:p>
    <w:p w14:paraId="56637074" w14:textId="77777777" w:rsidR="00F95B64" w:rsidRDefault="00F95B64" w:rsidP="00F95B64">
      <w:pPr>
        <w:pStyle w:val="base-text-paragraph"/>
        <w:rPr>
          <w:rStyle w:val="Referencingstyle"/>
          <w:b w:val="0"/>
          <w:i w:val="0"/>
          <w:sz w:val="22"/>
        </w:rPr>
      </w:pPr>
      <w:r>
        <w:rPr>
          <w:rStyle w:val="Referencingstyle"/>
          <w:b w:val="0"/>
          <w:i w:val="0"/>
          <w:sz w:val="22"/>
        </w:rPr>
        <w:t>The consequence of extending the second translation rule to include the natural person directors of the corporate director are that:</w:t>
      </w:r>
    </w:p>
    <w:p w14:paraId="3FDDED8E" w14:textId="7D48F426" w:rsidR="00F95B64" w:rsidRDefault="00F95B64" w:rsidP="00F95B64">
      <w:pPr>
        <w:pStyle w:val="dotpoint"/>
      </w:pPr>
      <w:r>
        <w:t>the natural person directors each owe the obligations in Part 5.1, such as the obligation to instruct an accountant or solicitor if the members resolve to do so (see subsection 411(13</w:t>
      </w:r>
      <w:r w:rsidR="00CF6215">
        <w:t>)</w:t>
      </w:r>
      <w:r>
        <w:t xml:space="preserve">); </w:t>
      </w:r>
    </w:p>
    <w:p w14:paraId="3FEF2B24" w14:textId="77777777" w:rsidR="00F95B64" w:rsidRDefault="00F95B64" w:rsidP="00F95B64">
      <w:pPr>
        <w:pStyle w:val="dotpoint"/>
      </w:pPr>
      <w:r>
        <w:t>the material interests of the natural person directors must also be disclosed in explanatory statements (see subsection 411(1)); and</w:t>
      </w:r>
    </w:p>
    <w:p w14:paraId="5556D3A7" w14:textId="77777777" w:rsidR="00F95B64" w:rsidRDefault="00F95B64" w:rsidP="00F95B64">
      <w:pPr>
        <w:pStyle w:val="dotpoint"/>
      </w:pPr>
      <w:r>
        <w:t>the natural person directors are prohibited from administering a compromise or arrangement (see subsection 411(7)).</w:t>
      </w:r>
    </w:p>
    <w:p w14:paraId="030F8EF3" w14:textId="48F632E5" w:rsidR="005D669A" w:rsidRPr="005D669A" w:rsidRDefault="005D669A" w:rsidP="00AA3F3D">
      <w:pPr>
        <w:pStyle w:val="base-text-paragraph"/>
        <w:rPr>
          <w:rStyle w:val="Referencingstyle"/>
          <w:b w:val="0"/>
          <w:i w:val="0"/>
          <w:sz w:val="22"/>
        </w:rPr>
      </w:pPr>
      <w:r w:rsidRPr="00FA5B27">
        <w:t>A depositary of the CCIV is also prohibited from administering an arrangement or compromise.</w:t>
      </w:r>
      <w:r w:rsidRPr="005D669A">
        <w:rPr>
          <w:rStyle w:val="Referencingstyle"/>
        </w:rPr>
        <w:t xml:space="preserve"> </w:t>
      </w:r>
      <w:r>
        <w:rPr>
          <w:rStyle w:val="Referencingstyle"/>
        </w:rPr>
        <w:t>[Schedule </w:t>
      </w:r>
      <w:r w:rsidR="00F96A61">
        <w:rPr>
          <w:rStyle w:val="Referencingstyle"/>
        </w:rPr>
        <w:t>2</w:t>
      </w:r>
      <w:r>
        <w:rPr>
          <w:rStyle w:val="Referencingstyle"/>
        </w:rPr>
        <w:t xml:space="preserve">, item </w:t>
      </w:r>
      <w:r w:rsidR="00F96A61">
        <w:rPr>
          <w:rStyle w:val="Referencingstyle"/>
        </w:rPr>
        <w:t>1</w:t>
      </w:r>
      <w:r>
        <w:rPr>
          <w:rStyle w:val="Referencingstyle"/>
        </w:rPr>
        <w:t xml:space="preserve">, section </w:t>
      </w:r>
      <w:r w:rsidR="00F96A61">
        <w:rPr>
          <w:rStyle w:val="Referencingstyle"/>
        </w:rPr>
        <w:t>12-020</w:t>
      </w:r>
      <w:r>
        <w:rPr>
          <w:rStyle w:val="Referencingstyle"/>
        </w:rPr>
        <w:t>]</w:t>
      </w:r>
    </w:p>
    <w:p w14:paraId="2AD6C6B9" w14:textId="21BD2743" w:rsidR="005E3820" w:rsidRPr="00AA3F3D" w:rsidRDefault="005E3820" w:rsidP="00AA3F3D">
      <w:pPr>
        <w:pStyle w:val="base-text-paragraph"/>
        <w:numPr>
          <w:ilvl w:val="0"/>
          <w:numId w:val="0"/>
        </w:numPr>
        <w:ind w:left="1134"/>
        <w:rPr>
          <w:b/>
          <w:i/>
        </w:rPr>
      </w:pPr>
      <w:r>
        <w:rPr>
          <w:b/>
          <w:i/>
        </w:rPr>
        <w:t>Court’s powers</w:t>
      </w:r>
    </w:p>
    <w:p w14:paraId="4A5F8980" w14:textId="7F630BD8" w:rsidR="008C4D90" w:rsidRDefault="005E3820" w:rsidP="00AA3F3D">
      <w:pPr>
        <w:pStyle w:val="base-text-paragraph"/>
      </w:pPr>
      <w:r>
        <w:t>T</w:t>
      </w:r>
      <w:r w:rsidR="005D669A">
        <w:t xml:space="preserve">he Court’s powers to facilitate reconstructions and amalgamations of Part 5.1 bodies </w:t>
      </w:r>
      <w:r w:rsidR="002A452D">
        <w:t xml:space="preserve">have been expanded so that the Court may also make orders when the property or undertakings of one sub-fund are transferred to another sub-fund of the same CCIV. These orders could relate to deregistration of a sub-fund, the allotment or appropriation of shares or any of the other matters listed in section 413. </w:t>
      </w:r>
      <w:r w:rsidR="0023039A">
        <w:rPr>
          <w:rStyle w:val="Referencingstyle"/>
        </w:rPr>
        <w:t>[Schedule </w:t>
      </w:r>
      <w:r w:rsidR="00F96A61">
        <w:rPr>
          <w:rStyle w:val="Referencingstyle"/>
        </w:rPr>
        <w:t>2</w:t>
      </w:r>
      <w:r w:rsidR="0023039A">
        <w:rPr>
          <w:rStyle w:val="Referencingstyle"/>
        </w:rPr>
        <w:t xml:space="preserve">, item </w:t>
      </w:r>
      <w:r w:rsidR="00F96A61">
        <w:rPr>
          <w:rStyle w:val="Referencingstyle"/>
        </w:rPr>
        <w:t>1</w:t>
      </w:r>
      <w:r w:rsidR="0023039A">
        <w:rPr>
          <w:rStyle w:val="Referencingstyle"/>
        </w:rPr>
        <w:t>, section</w:t>
      </w:r>
      <w:r w:rsidR="00EA75DB">
        <w:rPr>
          <w:rStyle w:val="Referencingstyle"/>
        </w:rPr>
        <w:t> </w:t>
      </w:r>
      <w:r w:rsidR="00F96A61">
        <w:rPr>
          <w:rStyle w:val="Referencingstyle"/>
        </w:rPr>
        <w:t>12-025</w:t>
      </w:r>
      <w:r w:rsidR="0023039A">
        <w:rPr>
          <w:rStyle w:val="Referencingstyle"/>
        </w:rPr>
        <w:t>]</w:t>
      </w:r>
    </w:p>
    <w:p w14:paraId="20D3702E" w14:textId="5202B655" w:rsidR="005E3820" w:rsidRPr="003C2677" w:rsidRDefault="008C4D90" w:rsidP="005E3820">
      <w:pPr>
        <w:pStyle w:val="base-text-paragraph"/>
        <w:rPr>
          <w:rStyle w:val="Referencingstyle"/>
          <w:b w:val="0"/>
          <w:i w:val="0"/>
          <w:sz w:val="22"/>
        </w:rPr>
      </w:pPr>
      <w:r w:rsidRPr="00FA5B27">
        <w:t>The Court also has the power to make any orde</w:t>
      </w:r>
      <w:r w:rsidRPr="003801D6">
        <w:t xml:space="preserve">r it considers appropriate in relation to the assets and liabilities of a sub-fund involved in the </w:t>
      </w:r>
      <w:r>
        <w:t>compromise or amalgamation</w:t>
      </w:r>
      <w:r w:rsidR="0023039A">
        <w:t>.</w:t>
      </w:r>
      <w:r w:rsidR="002A452D">
        <w:t xml:space="preserve"> </w:t>
      </w:r>
      <w:r w:rsidR="003C2677">
        <w:t>Part 5.1 may be used to facilitate a variety of reconstructions and amalgamations and this power give</w:t>
      </w:r>
      <w:r w:rsidR="00F221EE">
        <w:t>s</w:t>
      </w:r>
      <w:r w:rsidR="003C2677">
        <w:t xml:space="preserve"> the Court the flexibility to make whatever orders are required in the circumstances. </w:t>
      </w:r>
      <w:r w:rsidR="005E3820">
        <w:rPr>
          <w:rStyle w:val="Referencingstyle"/>
        </w:rPr>
        <w:t>[Schedule </w:t>
      </w:r>
      <w:r w:rsidR="00F96A61">
        <w:rPr>
          <w:rStyle w:val="Referencingstyle"/>
        </w:rPr>
        <w:t>2</w:t>
      </w:r>
      <w:r w:rsidR="005E3820">
        <w:rPr>
          <w:rStyle w:val="Referencingstyle"/>
        </w:rPr>
        <w:t xml:space="preserve">, item </w:t>
      </w:r>
      <w:r w:rsidR="00F96A61">
        <w:rPr>
          <w:rStyle w:val="Referencingstyle"/>
        </w:rPr>
        <w:t>1</w:t>
      </w:r>
      <w:r w:rsidR="005E3820">
        <w:rPr>
          <w:rStyle w:val="Referencingstyle"/>
        </w:rPr>
        <w:t xml:space="preserve">, section </w:t>
      </w:r>
      <w:r w:rsidR="00F96A61">
        <w:rPr>
          <w:rStyle w:val="Referencingstyle"/>
        </w:rPr>
        <w:t>12-030</w:t>
      </w:r>
      <w:r w:rsidR="005E3820">
        <w:rPr>
          <w:rStyle w:val="Referencingstyle"/>
        </w:rPr>
        <w:t>]</w:t>
      </w:r>
    </w:p>
    <w:p w14:paraId="7B808452" w14:textId="77777777" w:rsidR="00A06114" w:rsidRDefault="00A06114" w:rsidP="00A06114">
      <w:pPr>
        <w:pStyle w:val="Heading3"/>
      </w:pPr>
      <w:r>
        <w:t xml:space="preserve">Receivers and other controllers of </w:t>
      </w:r>
      <w:r w:rsidR="00C01B11">
        <w:t xml:space="preserve">property of </w:t>
      </w:r>
      <w:r>
        <w:t>sub-funds</w:t>
      </w:r>
    </w:p>
    <w:p w14:paraId="2C52C01B" w14:textId="2993DE36" w:rsidR="00A06114" w:rsidRPr="00FA5B27" w:rsidRDefault="00FA0E01" w:rsidP="00A06114">
      <w:pPr>
        <w:pStyle w:val="base-text-paragraph"/>
        <w:rPr>
          <w:rStyle w:val="Referencingstyle"/>
          <w:b w:val="0"/>
          <w:i w:val="0"/>
          <w:sz w:val="22"/>
        </w:rPr>
      </w:pPr>
      <w:r w:rsidRPr="00FA5B27">
        <w:t xml:space="preserve">The receivership provisions in Part 5.2 </w:t>
      </w:r>
      <w:r w:rsidR="00781592">
        <w:t xml:space="preserve">and Division 2B of Part 5.7B </w:t>
      </w:r>
      <w:r>
        <w:t xml:space="preserve">operate on a sub-fund-by-sub-fund basis and must be read in accordance with the translation rules. For an explanation of the translation rules, see paragraphs </w:t>
      </w:r>
      <w:r>
        <w:rPr>
          <w:rStyle w:val="Referencingstyle"/>
          <w:b w:val="0"/>
          <w:i w:val="0"/>
          <w:sz w:val="22"/>
        </w:rPr>
        <w:fldChar w:fldCharType="begin"/>
      </w:r>
      <w:r>
        <w:rPr>
          <w:rStyle w:val="Referencingstyle"/>
          <w:b w:val="0"/>
          <w:i w:val="0"/>
          <w:sz w:val="22"/>
        </w:rPr>
        <w:instrText xml:space="preserve"> REF _Ref522519915 \r \h </w:instrText>
      </w:r>
      <w:r>
        <w:rPr>
          <w:rStyle w:val="Referencingstyle"/>
          <w:b w:val="0"/>
          <w:i w:val="0"/>
          <w:sz w:val="22"/>
        </w:rPr>
      </w:r>
      <w:r>
        <w:rPr>
          <w:rStyle w:val="Referencingstyle"/>
          <w:b w:val="0"/>
          <w:i w:val="0"/>
          <w:sz w:val="22"/>
        </w:rPr>
        <w:fldChar w:fldCharType="separate"/>
      </w:r>
      <w:r w:rsidR="00275132">
        <w:rPr>
          <w:rStyle w:val="Referencingstyle"/>
          <w:b w:val="0"/>
          <w:i w:val="0"/>
          <w:sz w:val="22"/>
        </w:rPr>
        <w:t>3.13</w:t>
      </w:r>
      <w:r>
        <w:rPr>
          <w:rStyle w:val="Referencingstyle"/>
          <w:b w:val="0"/>
          <w:i w:val="0"/>
          <w:sz w:val="22"/>
        </w:rPr>
        <w:fldChar w:fldCharType="end"/>
      </w:r>
      <w:r>
        <w:rPr>
          <w:rStyle w:val="Referencingstyle"/>
          <w:b w:val="0"/>
          <w:i w:val="0"/>
          <w:sz w:val="22"/>
        </w:rPr>
        <w:t xml:space="preserve"> to </w:t>
      </w:r>
      <w:r>
        <w:rPr>
          <w:rStyle w:val="Referencingstyle"/>
          <w:b w:val="0"/>
          <w:i w:val="0"/>
          <w:sz w:val="22"/>
        </w:rPr>
        <w:fldChar w:fldCharType="begin"/>
      </w:r>
      <w:r>
        <w:rPr>
          <w:rStyle w:val="Referencingstyle"/>
          <w:b w:val="0"/>
          <w:i w:val="0"/>
          <w:sz w:val="22"/>
        </w:rPr>
        <w:instrText xml:space="preserve"> REF _Ref522519921 \r \h </w:instrText>
      </w:r>
      <w:r>
        <w:rPr>
          <w:rStyle w:val="Referencingstyle"/>
          <w:b w:val="0"/>
          <w:i w:val="0"/>
          <w:sz w:val="22"/>
        </w:rPr>
      </w:r>
      <w:r>
        <w:rPr>
          <w:rStyle w:val="Referencingstyle"/>
          <w:b w:val="0"/>
          <w:i w:val="0"/>
          <w:sz w:val="22"/>
        </w:rPr>
        <w:fldChar w:fldCharType="separate"/>
      </w:r>
      <w:r w:rsidR="00275132">
        <w:rPr>
          <w:rStyle w:val="Referencingstyle"/>
          <w:b w:val="0"/>
          <w:i w:val="0"/>
          <w:sz w:val="22"/>
        </w:rPr>
        <w:t>3.40</w:t>
      </w:r>
      <w:r>
        <w:rPr>
          <w:rStyle w:val="Referencingstyle"/>
          <w:b w:val="0"/>
          <w:i w:val="0"/>
          <w:sz w:val="22"/>
        </w:rPr>
        <w:fldChar w:fldCharType="end"/>
      </w:r>
      <w:r>
        <w:rPr>
          <w:rStyle w:val="Referencingstyle"/>
          <w:b w:val="0"/>
          <w:i w:val="0"/>
          <w:sz w:val="22"/>
        </w:rPr>
        <w:t xml:space="preserve"> of these explanatory materials.</w:t>
      </w:r>
      <w:r w:rsidRPr="00FA0E01">
        <w:rPr>
          <w:rStyle w:val="Referencingstyle"/>
        </w:rPr>
        <w:t xml:space="preserve"> </w:t>
      </w:r>
      <w:r>
        <w:rPr>
          <w:rStyle w:val="Referencingstyle"/>
        </w:rPr>
        <w:t>[Schedule </w:t>
      </w:r>
      <w:r w:rsidR="00F96A61">
        <w:rPr>
          <w:rStyle w:val="Referencingstyle"/>
        </w:rPr>
        <w:t>2</w:t>
      </w:r>
      <w:r>
        <w:rPr>
          <w:rStyle w:val="Referencingstyle"/>
        </w:rPr>
        <w:t xml:space="preserve">, item </w:t>
      </w:r>
      <w:r w:rsidR="00F96A61">
        <w:rPr>
          <w:rStyle w:val="Referencingstyle"/>
        </w:rPr>
        <w:t>1</w:t>
      </w:r>
      <w:r>
        <w:rPr>
          <w:rStyle w:val="Referencingstyle"/>
        </w:rPr>
        <w:t>, section</w:t>
      </w:r>
      <w:r w:rsidR="0088176B">
        <w:rPr>
          <w:rStyle w:val="Referencingstyle"/>
        </w:rPr>
        <w:t xml:space="preserve">s </w:t>
      </w:r>
      <w:r w:rsidR="00F96A61">
        <w:rPr>
          <w:rStyle w:val="Referencingstyle"/>
        </w:rPr>
        <w:t>12-035</w:t>
      </w:r>
      <w:r w:rsidR="0088176B">
        <w:rPr>
          <w:rStyle w:val="Referencingstyle"/>
        </w:rPr>
        <w:t xml:space="preserve"> an</w:t>
      </w:r>
      <w:r w:rsidR="003C74C7">
        <w:rPr>
          <w:rStyle w:val="Referencingstyle"/>
        </w:rPr>
        <w:t>d</w:t>
      </w:r>
      <w:r>
        <w:rPr>
          <w:rStyle w:val="Referencingstyle"/>
        </w:rPr>
        <w:t xml:space="preserve"> </w:t>
      </w:r>
      <w:r w:rsidR="00F96A61">
        <w:rPr>
          <w:rStyle w:val="Referencingstyle"/>
        </w:rPr>
        <w:t>12-060</w:t>
      </w:r>
      <w:r w:rsidR="008338D0">
        <w:rPr>
          <w:rStyle w:val="Referencingstyle"/>
        </w:rPr>
        <w:t xml:space="preserve">, Schedule 2, item </w:t>
      </w:r>
      <w:r w:rsidR="002101F1">
        <w:rPr>
          <w:rStyle w:val="Referencingstyle"/>
        </w:rPr>
        <w:t>15,</w:t>
      </w:r>
      <w:r w:rsidR="00B02F91">
        <w:rPr>
          <w:rStyle w:val="Referencingstyle"/>
        </w:rPr>
        <w:t xml:space="preserve">note after the heading </w:t>
      </w:r>
      <w:r w:rsidR="009C0CE0">
        <w:rPr>
          <w:rStyle w:val="Referencingstyle"/>
        </w:rPr>
        <w:t>‘</w:t>
      </w:r>
      <w:r w:rsidR="002101F1">
        <w:rPr>
          <w:rStyle w:val="Referencingstyle"/>
        </w:rPr>
        <w:t>Part 5.2</w:t>
      </w:r>
      <w:r w:rsidR="009C0CE0">
        <w:rPr>
          <w:rStyle w:val="Referencingstyle"/>
        </w:rPr>
        <w:t>’</w:t>
      </w:r>
      <w:r>
        <w:rPr>
          <w:rStyle w:val="Referencingstyle"/>
        </w:rPr>
        <w:t>]</w:t>
      </w:r>
    </w:p>
    <w:p w14:paraId="49F12A34" w14:textId="7239E728" w:rsidR="0096531C" w:rsidRDefault="0096531C" w:rsidP="0096531C">
      <w:pPr>
        <w:pStyle w:val="Heading4"/>
      </w:pPr>
      <w:r>
        <w:t>Appointment of a controller</w:t>
      </w:r>
    </w:p>
    <w:p w14:paraId="6FCF4304" w14:textId="6445F2D4" w:rsidR="00FA0E01" w:rsidRDefault="00FA0E01" w:rsidP="00A06114">
      <w:pPr>
        <w:pStyle w:val="base-text-paragraph"/>
      </w:pPr>
      <w:r>
        <w:t>A controller of property</w:t>
      </w:r>
      <w:r w:rsidR="00881CA7">
        <w:t xml:space="preserve"> may only be appointed in relation to property of a particular sub-fund of a CCIV.</w:t>
      </w:r>
      <w:r w:rsidR="00A80171">
        <w:t xml:space="preserve"> If a </w:t>
      </w:r>
      <w:r w:rsidR="0096531C">
        <w:t>controller</w:t>
      </w:r>
      <w:r w:rsidR="00A80171">
        <w:t xml:space="preserve"> is appointed in relation to property allocated to more than one sub-fund, it is treated as two separate appointments (one</w:t>
      </w:r>
      <w:r w:rsidR="004962CE">
        <w:t> </w:t>
      </w:r>
      <w:r w:rsidR="00A80171">
        <w:t xml:space="preserve">appointment relating to the first item of property and one appointment relating to the second). </w:t>
      </w:r>
      <w:r w:rsidR="00A0082A">
        <w:rPr>
          <w:rStyle w:val="Referencingstyle"/>
        </w:rPr>
        <w:t>[Schedule </w:t>
      </w:r>
      <w:r w:rsidR="00F96A61">
        <w:rPr>
          <w:rStyle w:val="Referencingstyle"/>
        </w:rPr>
        <w:t>2</w:t>
      </w:r>
      <w:r w:rsidR="00A0082A">
        <w:rPr>
          <w:rStyle w:val="Referencingstyle"/>
        </w:rPr>
        <w:t xml:space="preserve">, item </w:t>
      </w:r>
      <w:r w:rsidR="00F96A61">
        <w:rPr>
          <w:rStyle w:val="Referencingstyle"/>
        </w:rPr>
        <w:t>1</w:t>
      </w:r>
      <w:r w:rsidR="00A0082A">
        <w:rPr>
          <w:rStyle w:val="Referencingstyle"/>
        </w:rPr>
        <w:t>,</w:t>
      </w:r>
      <w:r w:rsidR="00323453">
        <w:rPr>
          <w:rStyle w:val="Referencingstyle"/>
        </w:rPr>
        <w:t xml:space="preserve"> section </w:t>
      </w:r>
      <w:r w:rsidR="00F96A61">
        <w:rPr>
          <w:rStyle w:val="Referencingstyle"/>
        </w:rPr>
        <w:t>12-040</w:t>
      </w:r>
      <w:r w:rsidR="00323453">
        <w:rPr>
          <w:rStyle w:val="Referencingstyle"/>
        </w:rPr>
        <w:t>, definition of ‘property’</w:t>
      </w:r>
      <w:r w:rsidR="00A0082A">
        <w:rPr>
          <w:rStyle w:val="Referencingstyle"/>
        </w:rPr>
        <w:t xml:space="preserve"> </w:t>
      </w:r>
      <w:r w:rsidR="00323453">
        <w:rPr>
          <w:rStyle w:val="Referencingstyle"/>
        </w:rPr>
        <w:t xml:space="preserve">and </w:t>
      </w:r>
      <w:r w:rsidR="00A0082A">
        <w:rPr>
          <w:rStyle w:val="Referencingstyle"/>
        </w:rPr>
        <w:t xml:space="preserve">section </w:t>
      </w:r>
      <w:r w:rsidR="00F96A61">
        <w:rPr>
          <w:rStyle w:val="Referencingstyle"/>
        </w:rPr>
        <w:t>12-045</w:t>
      </w:r>
      <w:r w:rsidR="00A0082A">
        <w:rPr>
          <w:rStyle w:val="Referencingstyle"/>
        </w:rPr>
        <w:t>]</w:t>
      </w:r>
    </w:p>
    <w:p w14:paraId="614CCED8" w14:textId="1E31B512" w:rsidR="00C56BF2" w:rsidRDefault="0096531C" w:rsidP="00C56BF2">
      <w:pPr>
        <w:pStyle w:val="base-text-paragraph"/>
      </w:pPr>
      <w:r>
        <w:t>Controllers of property are person</w:t>
      </w:r>
      <w:r w:rsidR="007C26BB">
        <w:t>s who assume</w:t>
      </w:r>
      <w:r>
        <w:t xml:space="preserve"> control of property subject to a security interest even if they have no management function. They include mortgagees in possession, a receiver and a receiver and manager</w:t>
      </w:r>
      <w:r w:rsidR="00C56BF2">
        <w:t xml:space="preserve">. The </w:t>
      </w:r>
      <w:r w:rsidR="00A3667A">
        <w:t>Act</w:t>
      </w:r>
      <w:r w:rsidR="00C56BF2">
        <w:t xml:space="preserve"> and the new law use the term </w:t>
      </w:r>
      <w:r w:rsidR="00C56BF2" w:rsidRPr="007C26BB">
        <w:rPr>
          <w:b/>
          <w:i/>
        </w:rPr>
        <w:t>receiver</w:t>
      </w:r>
      <w:r w:rsidR="00C56BF2">
        <w:t xml:space="preserve"> to refer to both ‘receivers’ and ‘receivers and managers’ (see also existing section 416). </w:t>
      </w:r>
      <w:r w:rsidR="00C56BF2">
        <w:rPr>
          <w:rStyle w:val="Referencingstyle"/>
        </w:rPr>
        <w:t>[Schedule </w:t>
      </w:r>
      <w:r w:rsidR="00F96A61">
        <w:rPr>
          <w:rStyle w:val="Referencingstyle"/>
        </w:rPr>
        <w:t>2</w:t>
      </w:r>
      <w:r w:rsidR="00C56BF2">
        <w:rPr>
          <w:rStyle w:val="Referencingstyle"/>
        </w:rPr>
        <w:t xml:space="preserve">, item </w:t>
      </w:r>
      <w:r w:rsidR="00F96A61">
        <w:rPr>
          <w:rStyle w:val="Referencingstyle"/>
        </w:rPr>
        <w:t>1</w:t>
      </w:r>
      <w:r w:rsidR="00C56BF2">
        <w:rPr>
          <w:rStyle w:val="Referencingstyle"/>
        </w:rPr>
        <w:t xml:space="preserve">, section </w:t>
      </w:r>
      <w:r w:rsidR="00F96A61">
        <w:rPr>
          <w:rStyle w:val="Referencingstyle"/>
        </w:rPr>
        <w:t>12-040</w:t>
      </w:r>
      <w:r w:rsidR="00323453">
        <w:rPr>
          <w:rStyle w:val="Referencingstyle"/>
        </w:rPr>
        <w:t>, definition of ‘receiver’</w:t>
      </w:r>
      <w:r w:rsidR="00C56BF2">
        <w:rPr>
          <w:rStyle w:val="Referencingstyle"/>
        </w:rPr>
        <w:t>]</w:t>
      </w:r>
    </w:p>
    <w:p w14:paraId="0DF6BCD2" w14:textId="55D9B3BE" w:rsidR="00A0082A" w:rsidRPr="006B6EC6" w:rsidRDefault="00C56BF2" w:rsidP="00A0082A">
      <w:pPr>
        <w:pStyle w:val="base-text-paragraph"/>
        <w:rPr>
          <w:rStyle w:val="Referencingstyle"/>
          <w:b w:val="0"/>
          <w:i w:val="0"/>
          <w:sz w:val="22"/>
        </w:rPr>
      </w:pPr>
      <w:r w:rsidRPr="00FA5B27">
        <w:t xml:space="preserve"> </w:t>
      </w:r>
      <w:bookmarkStart w:id="73" w:name="_Ref524423442"/>
      <w:r w:rsidR="00A0082A">
        <w:t>The persons who are disqualified from being appointed as a receiver of a sub</w:t>
      </w:r>
      <w:r w:rsidR="004962CE">
        <w:noBreakHyphen/>
      </w:r>
      <w:r w:rsidR="00A0082A">
        <w:t xml:space="preserve">fund </w:t>
      </w:r>
      <w:r w:rsidR="008367CB">
        <w:t>generally follow</w:t>
      </w:r>
      <w:r w:rsidR="00A0082A">
        <w:t xml:space="preserve"> the persons who are disqualified from being receiver</w:t>
      </w:r>
      <w:r w:rsidR="007C26BB">
        <w:t>s of other types of companies</w:t>
      </w:r>
      <w:r w:rsidR="00A0082A">
        <w:t xml:space="preserve"> in existing section 418. These persons include the corporate director, </w:t>
      </w:r>
      <w:r w:rsidR="006924DA" w:rsidRPr="00AA3F3D">
        <w:t>the natural person directors of the corporate director</w:t>
      </w:r>
      <w:r w:rsidR="006924DA" w:rsidRPr="00FA5B27">
        <w:t xml:space="preserve">, </w:t>
      </w:r>
      <w:r w:rsidR="00A0082A">
        <w:t xml:space="preserve">the depositary, the auditor of the CCIV or the sub-fund, </w:t>
      </w:r>
      <w:r w:rsidR="00A1589F">
        <w:t xml:space="preserve">certain persons connected with a related body corporate of the CCIV, </w:t>
      </w:r>
      <w:r w:rsidR="00A0082A">
        <w:t>a secured party in relation to any property of the sub-fund</w:t>
      </w:r>
      <w:r w:rsidR="0096531C">
        <w:t xml:space="preserve"> </w:t>
      </w:r>
      <w:r w:rsidR="00A1589F">
        <w:t xml:space="preserve">or </w:t>
      </w:r>
      <w:r w:rsidR="0096531C">
        <w:t>the secured party’s director, secretary, senior manager or employee</w:t>
      </w:r>
      <w:r w:rsidR="00A0082A">
        <w:t>.</w:t>
      </w:r>
      <w:r w:rsidR="007C26BB">
        <w:t xml:space="preserve"> </w:t>
      </w:r>
      <w:r w:rsidR="00A1589F">
        <w:t>Persons who were the c</w:t>
      </w:r>
      <w:r w:rsidR="007C26BB">
        <w:t>orporate director</w:t>
      </w:r>
      <w:r w:rsidR="00A1589F">
        <w:t>,</w:t>
      </w:r>
      <w:r w:rsidR="007C26BB">
        <w:t xml:space="preserve"> </w:t>
      </w:r>
      <w:r w:rsidR="006924DA" w:rsidRPr="00AA3F3D">
        <w:t>a director of the corporate director</w:t>
      </w:r>
      <w:r w:rsidR="006924DA" w:rsidRPr="00FA5B27">
        <w:t xml:space="preserve">, </w:t>
      </w:r>
      <w:r w:rsidR="007C26BB">
        <w:t xml:space="preserve">promoter </w:t>
      </w:r>
      <w:r w:rsidR="00A1589F">
        <w:t>or</w:t>
      </w:r>
      <w:r w:rsidR="007C26BB">
        <w:t xml:space="preserve"> </w:t>
      </w:r>
      <w:r w:rsidR="00A1589F">
        <w:t xml:space="preserve">connected with </w:t>
      </w:r>
      <w:r w:rsidR="007C26BB">
        <w:t>a related body corporate of the CCIV within the last 12 months are also prohibited from acting as a receiver unless ASIC grants permission</w:t>
      </w:r>
      <w:r w:rsidR="00A1589F">
        <w:t xml:space="preserve"> in a written direction</w:t>
      </w:r>
      <w:r w:rsidR="007C26BB">
        <w:t xml:space="preserve">. </w:t>
      </w:r>
      <w:r w:rsidR="00A0082A">
        <w:rPr>
          <w:rStyle w:val="Referencingstyle"/>
        </w:rPr>
        <w:t>[Schedule </w:t>
      </w:r>
      <w:r w:rsidR="007C5FEF">
        <w:rPr>
          <w:rStyle w:val="Referencingstyle"/>
        </w:rPr>
        <w:t>2</w:t>
      </w:r>
      <w:r w:rsidR="00A0082A">
        <w:rPr>
          <w:rStyle w:val="Referencingstyle"/>
        </w:rPr>
        <w:t xml:space="preserve">, item </w:t>
      </w:r>
      <w:r w:rsidR="007C5FEF">
        <w:rPr>
          <w:rStyle w:val="Referencingstyle"/>
        </w:rPr>
        <w:t>1</w:t>
      </w:r>
      <w:r w:rsidR="00A0082A">
        <w:rPr>
          <w:rStyle w:val="Referencingstyle"/>
        </w:rPr>
        <w:t>, section</w:t>
      </w:r>
      <w:r w:rsidR="004962CE">
        <w:rPr>
          <w:rStyle w:val="Referencingstyle"/>
        </w:rPr>
        <w:t> </w:t>
      </w:r>
      <w:r w:rsidR="007C5FEF">
        <w:rPr>
          <w:rStyle w:val="Referencingstyle"/>
        </w:rPr>
        <w:t>12</w:t>
      </w:r>
      <w:r w:rsidR="00186865">
        <w:rPr>
          <w:rStyle w:val="Referencingstyle"/>
        </w:rPr>
        <w:noBreakHyphen/>
      </w:r>
      <w:r w:rsidR="007C5FEF">
        <w:rPr>
          <w:rStyle w:val="Referencingstyle"/>
        </w:rPr>
        <w:t>050</w:t>
      </w:r>
      <w:r w:rsidR="00A0082A">
        <w:rPr>
          <w:rStyle w:val="Referencingstyle"/>
        </w:rPr>
        <w:t>]</w:t>
      </w:r>
      <w:bookmarkEnd w:id="73"/>
    </w:p>
    <w:p w14:paraId="74D9B8A0" w14:textId="664C1E70" w:rsidR="006B6EC6" w:rsidRPr="00C56BF2" w:rsidRDefault="006B6EC6" w:rsidP="00A0082A">
      <w:pPr>
        <w:pStyle w:val="base-text-paragraph"/>
        <w:rPr>
          <w:rStyle w:val="Referencingstyle"/>
          <w:b w:val="0"/>
          <w:i w:val="0"/>
          <w:sz w:val="22"/>
        </w:rPr>
      </w:pPr>
      <w:r w:rsidRPr="006B6EC6">
        <w:rPr>
          <w:rStyle w:val="Referencingstyle"/>
          <w:b w:val="0"/>
          <w:i w:val="0"/>
          <w:sz w:val="22"/>
          <w:szCs w:val="22"/>
        </w:rPr>
        <w:t>The person appointed to act as the receiver must either be a registered liquidator or authorised by, or under, a State, Territory or Commonwealth law to act as a receiver of property of the particular sub-fund.</w:t>
      </w:r>
      <w:r>
        <w:rPr>
          <w:rStyle w:val="Referencingstyle"/>
        </w:rPr>
        <w:t xml:space="preserve"> [Schedule </w:t>
      </w:r>
      <w:r w:rsidR="007C5FEF">
        <w:rPr>
          <w:rStyle w:val="Referencingstyle"/>
        </w:rPr>
        <w:t>2</w:t>
      </w:r>
      <w:r>
        <w:rPr>
          <w:rStyle w:val="Referencingstyle"/>
        </w:rPr>
        <w:t xml:space="preserve">, item </w:t>
      </w:r>
      <w:r w:rsidR="007C5FEF">
        <w:rPr>
          <w:rStyle w:val="Referencingstyle"/>
        </w:rPr>
        <w:t>1</w:t>
      </w:r>
      <w:r>
        <w:rPr>
          <w:rStyle w:val="Referencingstyle"/>
        </w:rPr>
        <w:t>, paragraph</w:t>
      </w:r>
      <w:r w:rsidR="00186865">
        <w:rPr>
          <w:rStyle w:val="Referencingstyle"/>
        </w:rPr>
        <w:t> </w:t>
      </w:r>
      <w:r w:rsidR="007C5FEF">
        <w:rPr>
          <w:rStyle w:val="Referencingstyle"/>
        </w:rPr>
        <w:t>12</w:t>
      </w:r>
      <w:r w:rsidR="00186865">
        <w:rPr>
          <w:rStyle w:val="Referencingstyle"/>
        </w:rPr>
        <w:noBreakHyphen/>
      </w:r>
      <w:r w:rsidR="007C5FEF">
        <w:rPr>
          <w:rStyle w:val="Referencingstyle"/>
        </w:rPr>
        <w:t>050</w:t>
      </w:r>
      <w:r>
        <w:rPr>
          <w:rStyle w:val="Referencingstyle"/>
        </w:rPr>
        <w:t xml:space="preserve">(1)(f) and subsection </w:t>
      </w:r>
      <w:r w:rsidR="007C5FEF">
        <w:rPr>
          <w:rStyle w:val="Referencingstyle"/>
        </w:rPr>
        <w:t>12-050</w:t>
      </w:r>
      <w:r>
        <w:rPr>
          <w:rStyle w:val="Referencingstyle"/>
        </w:rPr>
        <w:t>(2)]</w:t>
      </w:r>
    </w:p>
    <w:p w14:paraId="26C75947" w14:textId="0BE4844C" w:rsidR="0096531C" w:rsidRDefault="006A41FE" w:rsidP="0096531C">
      <w:pPr>
        <w:pStyle w:val="Heading4"/>
      </w:pPr>
      <w:r>
        <w:t>Controller’s r</w:t>
      </w:r>
      <w:r w:rsidR="0096531C">
        <w:t>elationship with the depositary</w:t>
      </w:r>
    </w:p>
    <w:p w14:paraId="74F8F8A3" w14:textId="623D2FA6" w:rsidR="00BE06D0" w:rsidRPr="00BE06D0" w:rsidRDefault="0096531C" w:rsidP="00BE06D0">
      <w:pPr>
        <w:pStyle w:val="base-text-paragraph"/>
        <w:rPr>
          <w:rStyle w:val="Referencingstyle"/>
          <w:b w:val="0"/>
          <w:i w:val="0"/>
          <w:sz w:val="22"/>
        </w:rPr>
      </w:pPr>
      <w:r w:rsidRPr="00FA5B27">
        <w:t xml:space="preserve">If the CCIV has a depositary, the </w:t>
      </w:r>
      <w:r w:rsidRPr="00AA3F3D">
        <w:t>controller</w:t>
      </w:r>
      <w:r w:rsidRPr="00FA5B27">
        <w:t xml:space="preserve"> must notify the depositary of its appointment in writing as soon as practicable</w:t>
      </w:r>
      <w:r w:rsidRPr="003801D6">
        <w:t xml:space="preserve"> and in any event within </w:t>
      </w:r>
      <w:r w:rsidR="005F3E3E">
        <w:t>three</w:t>
      </w:r>
      <w:r>
        <w:t xml:space="preserve"> </w:t>
      </w:r>
      <w:r w:rsidR="00CF526B">
        <w:t xml:space="preserve">business </w:t>
      </w:r>
      <w:r>
        <w:t xml:space="preserve">days after the appointment. The controller must also notify the depositary within </w:t>
      </w:r>
      <w:r w:rsidR="005F3E3E">
        <w:t>seven</w:t>
      </w:r>
      <w:r>
        <w:t xml:space="preserve"> </w:t>
      </w:r>
      <w:r w:rsidR="00CF526B">
        <w:t xml:space="preserve">business </w:t>
      </w:r>
      <w:r>
        <w:t>days if it ceases to act</w:t>
      </w:r>
      <w:r w:rsidR="000653A8">
        <w:t xml:space="preserve"> in the role</w:t>
      </w:r>
      <w:r>
        <w:t>.</w:t>
      </w:r>
      <w:r w:rsidRPr="0096531C">
        <w:rPr>
          <w:rStyle w:val="Referencingstyle"/>
        </w:rPr>
        <w:t xml:space="preserve"> </w:t>
      </w:r>
      <w:r>
        <w:rPr>
          <w:rStyle w:val="Referencingstyle"/>
        </w:rPr>
        <w:t>[Schedule </w:t>
      </w:r>
      <w:r w:rsidR="007C5FEF">
        <w:rPr>
          <w:rStyle w:val="Referencingstyle"/>
        </w:rPr>
        <w:t>2</w:t>
      </w:r>
      <w:r>
        <w:rPr>
          <w:rStyle w:val="Referencingstyle"/>
        </w:rPr>
        <w:t xml:space="preserve">, item </w:t>
      </w:r>
      <w:r w:rsidR="007C5FEF">
        <w:rPr>
          <w:rStyle w:val="Referencingstyle"/>
        </w:rPr>
        <w:t>1</w:t>
      </w:r>
      <w:r>
        <w:rPr>
          <w:rStyle w:val="Referencingstyle"/>
        </w:rPr>
        <w:t xml:space="preserve">, section </w:t>
      </w:r>
      <w:r w:rsidR="007C5FEF">
        <w:rPr>
          <w:rStyle w:val="Referencingstyle"/>
        </w:rPr>
        <w:t>12-055</w:t>
      </w:r>
      <w:r>
        <w:rPr>
          <w:rStyle w:val="Referencingstyle"/>
        </w:rPr>
        <w:t>]</w:t>
      </w:r>
    </w:p>
    <w:p w14:paraId="2CBA1CD0" w14:textId="0FFE990A" w:rsidR="00C56BF2" w:rsidRPr="00BE06D0" w:rsidRDefault="0096531C" w:rsidP="00BE06D0">
      <w:pPr>
        <w:pStyle w:val="base-text-paragraph"/>
        <w:rPr>
          <w:rStyle w:val="Referencingstyle"/>
          <w:b w:val="0"/>
          <w:i w:val="0"/>
          <w:sz w:val="22"/>
        </w:rPr>
      </w:pPr>
      <w:r w:rsidRPr="00FA5B27">
        <w:t>The receiver may instruct the depositary</w:t>
      </w:r>
      <w:r w:rsidR="00C56BF2">
        <w:t xml:space="preserve"> in relation to dealing with assets of the sub-fund in respect of which the receiver was appointed.</w:t>
      </w:r>
      <w:r w:rsidR="000828C2">
        <w:t xml:space="preserve"> </w:t>
      </w:r>
      <w:r w:rsidR="00C56BF2">
        <w:t>This power does not extend to mortgagees in possession and other controller</w:t>
      </w:r>
      <w:bookmarkStart w:id="74" w:name="bkSelection"/>
      <w:r w:rsidR="00C56BF2" w:rsidRPr="000828C2">
        <w:t>s</w:t>
      </w:r>
      <w:bookmarkEnd w:id="74"/>
      <w:r w:rsidR="00C56BF2">
        <w:t xml:space="preserve"> who are not receivers. </w:t>
      </w:r>
      <w:r w:rsidR="00C56BF2">
        <w:rPr>
          <w:rStyle w:val="Referencingstyle"/>
        </w:rPr>
        <w:t>[Schedule </w:t>
      </w:r>
      <w:r w:rsidR="007C5FEF">
        <w:rPr>
          <w:rStyle w:val="Referencingstyle"/>
        </w:rPr>
        <w:t>2</w:t>
      </w:r>
      <w:r w:rsidR="00C56BF2">
        <w:rPr>
          <w:rStyle w:val="Referencingstyle"/>
        </w:rPr>
        <w:t xml:space="preserve">, item </w:t>
      </w:r>
      <w:r w:rsidR="007C5FEF">
        <w:rPr>
          <w:rStyle w:val="Referencingstyle"/>
        </w:rPr>
        <w:t>1</w:t>
      </w:r>
      <w:r w:rsidR="00C56BF2">
        <w:rPr>
          <w:rStyle w:val="Referencingstyle"/>
        </w:rPr>
        <w:t xml:space="preserve">, section </w:t>
      </w:r>
      <w:r w:rsidR="007C5FEF">
        <w:rPr>
          <w:rStyle w:val="Referencingstyle"/>
        </w:rPr>
        <w:t>12-070</w:t>
      </w:r>
      <w:r w:rsidR="00C56BF2">
        <w:rPr>
          <w:rStyle w:val="Referencingstyle"/>
        </w:rPr>
        <w:t>]</w:t>
      </w:r>
    </w:p>
    <w:p w14:paraId="453222C0" w14:textId="2FB398A8" w:rsidR="000828C2" w:rsidRPr="00C56BF2" w:rsidRDefault="000828C2" w:rsidP="00C56BF2">
      <w:pPr>
        <w:pStyle w:val="base-text-paragraph"/>
        <w:rPr>
          <w:rStyle w:val="Referencingstyle"/>
          <w:b w:val="0"/>
          <w:i w:val="0"/>
          <w:sz w:val="22"/>
        </w:rPr>
      </w:pPr>
      <w:r w:rsidRPr="00FA5B27">
        <w:t>If there is a confl</w:t>
      </w:r>
      <w:r w:rsidRPr="003801D6">
        <w:t>ict between the receiver and depositary’s functions or power</w:t>
      </w:r>
      <w:r w:rsidR="00BE06D0">
        <w:t>s</w:t>
      </w:r>
      <w:r>
        <w:t>, the functions or powers of the receiver prevail</w:t>
      </w:r>
      <w:r w:rsidR="002207B5">
        <w:t xml:space="preserve"> (see also paragraph </w:t>
      </w:r>
      <w:r w:rsidR="002207B5">
        <w:fldChar w:fldCharType="begin"/>
      </w:r>
      <w:r w:rsidR="002207B5">
        <w:instrText xml:space="preserve"> REF _Ref522708484 \r \h </w:instrText>
      </w:r>
      <w:r w:rsidR="002207B5">
        <w:fldChar w:fldCharType="separate"/>
      </w:r>
      <w:r w:rsidR="00275132">
        <w:t>3.129</w:t>
      </w:r>
      <w:r w:rsidR="002207B5">
        <w:fldChar w:fldCharType="end"/>
      </w:r>
      <w:r w:rsidR="002207B5">
        <w:t xml:space="preserve"> of the</w:t>
      </w:r>
      <w:r w:rsidR="004962CE">
        <w:t>se</w:t>
      </w:r>
      <w:r w:rsidR="002207B5">
        <w:t xml:space="preserve"> explanatory materials)</w:t>
      </w:r>
      <w:r>
        <w:t xml:space="preserve">. </w:t>
      </w:r>
      <w:r>
        <w:rPr>
          <w:rStyle w:val="Referencingstyle"/>
        </w:rPr>
        <w:t>[Schedule </w:t>
      </w:r>
      <w:r w:rsidR="00C82D4C">
        <w:rPr>
          <w:rStyle w:val="Referencingstyle"/>
        </w:rPr>
        <w:t>2</w:t>
      </w:r>
      <w:r>
        <w:rPr>
          <w:rStyle w:val="Referencingstyle"/>
        </w:rPr>
        <w:t xml:space="preserve">, item </w:t>
      </w:r>
      <w:r w:rsidR="00954017">
        <w:rPr>
          <w:rStyle w:val="Referencingstyle"/>
        </w:rPr>
        <w:t>3</w:t>
      </w:r>
      <w:r>
        <w:rPr>
          <w:rStyle w:val="Referencingstyle"/>
        </w:rPr>
        <w:t>, section 1234R]</w:t>
      </w:r>
    </w:p>
    <w:p w14:paraId="308C6720" w14:textId="77777777" w:rsidR="006A41FE" w:rsidRDefault="006A41FE" w:rsidP="00C56BF2">
      <w:pPr>
        <w:pStyle w:val="Heading4"/>
      </w:pPr>
      <w:r>
        <w:t>Dealing with assets of the sub-fund</w:t>
      </w:r>
    </w:p>
    <w:p w14:paraId="72071C85" w14:textId="77E7913B" w:rsidR="006A41FE" w:rsidRPr="006A41FE" w:rsidRDefault="006A41FE" w:rsidP="006A41FE">
      <w:pPr>
        <w:pStyle w:val="base-text-paragraph"/>
        <w:rPr>
          <w:rStyle w:val="Referencingstyle"/>
          <w:b w:val="0"/>
          <w:i w:val="0"/>
          <w:sz w:val="22"/>
        </w:rPr>
      </w:pPr>
      <w:r w:rsidRPr="00FA5B27">
        <w:t xml:space="preserve">The appointment of a receiver does not affect the operation of the allocation rules or the rules relating to the segregated application of assets (see </w:t>
      </w:r>
      <w:r w:rsidR="000653A8">
        <w:t>Chapter 3</w:t>
      </w:r>
      <w:r>
        <w:t xml:space="preserve"> of the Tranche 1 </w:t>
      </w:r>
      <w:r w:rsidR="004962CE">
        <w:t>E</w:t>
      </w:r>
      <w:r>
        <w:t xml:space="preserve">xplanatory </w:t>
      </w:r>
      <w:r w:rsidR="004962CE">
        <w:t>M</w:t>
      </w:r>
      <w:r>
        <w:t xml:space="preserve">aterials for a discussion of these rules). For example, the receiver cannot make any determinations with respect to the allocation of assets or liabilities to a particular sub-fund. </w:t>
      </w:r>
    </w:p>
    <w:p w14:paraId="65185A4F" w14:textId="3F1723BC" w:rsidR="00111880" w:rsidRDefault="00111880" w:rsidP="006A41FE">
      <w:pPr>
        <w:pStyle w:val="base-text-paragraph"/>
      </w:pPr>
      <w:r>
        <w:t>A receiver, or other controller, may challenge an allocation determination before the Court. For an explanation of this power, see paragraph</w:t>
      </w:r>
      <w:r w:rsidR="00B27FEE">
        <w:t>s</w:t>
      </w:r>
      <w:r>
        <w:t xml:space="preserve"> </w:t>
      </w:r>
      <w:r w:rsidR="00781592">
        <w:rPr>
          <w:rStyle w:val="Referencingstyle"/>
          <w:b w:val="0"/>
          <w:i w:val="0"/>
          <w:sz w:val="22"/>
        </w:rPr>
        <w:fldChar w:fldCharType="begin"/>
      </w:r>
      <w:r w:rsidR="00781592">
        <w:rPr>
          <w:rStyle w:val="Referencingstyle"/>
          <w:b w:val="0"/>
          <w:i w:val="0"/>
          <w:sz w:val="22"/>
        </w:rPr>
        <w:instrText xml:space="preserve"> REF _Ref524683043 \r \h </w:instrText>
      </w:r>
      <w:r w:rsidR="00781592">
        <w:rPr>
          <w:rStyle w:val="Referencingstyle"/>
          <w:b w:val="0"/>
          <w:i w:val="0"/>
          <w:sz w:val="22"/>
        </w:rPr>
      </w:r>
      <w:r w:rsidR="00781592">
        <w:rPr>
          <w:rStyle w:val="Referencingstyle"/>
          <w:b w:val="0"/>
          <w:i w:val="0"/>
          <w:sz w:val="22"/>
        </w:rPr>
        <w:fldChar w:fldCharType="separate"/>
      </w:r>
      <w:r w:rsidR="00275132">
        <w:rPr>
          <w:rStyle w:val="Referencingstyle"/>
          <w:b w:val="0"/>
          <w:i w:val="0"/>
          <w:sz w:val="22"/>
        </w:rPr>
        <w:t>3.121</w:t>
      </w:r>
      <w:r w:rsidR="00781592">
        <w:rPr>
          <w:rStyle w:val="Referencingstyle"/>
          <w:b w:val="0"/>
          <w:i w:val="0"/>
          <w:sz w:val="22"/>
        </w:rPr>
        <w:fldChar w:fldCharType="end"/>
      </w:r>
      <w:r w:rsidR="00781592">
        <w:rPr>
          <w:rStyle w:val="Referencingstyle"/>
          <w:b w:val="0"/>
          <w:i w:val="0"/>
          <w:sz w:val="22"/>
        </w:rPr>
        <w:t xml:space="preserve"> to </w:t>
      </w:r>
      <w:r w:rsidR="00781592">
        <w:rPr>
          <w:rStyle w:val="Referencingstyle"/>
          <w:b w:val="0"/>
          <w:i w:val="0"/>
          <w:sz w:val="22"/>
        </w:rPr>
        <w:fldChar w:fldCharType="begin"/>
      </w:r>
      <w:r w:rsidR="00781592">
        <w:rPr>
          <w:rStyle w:val="Referencingstyle"/>
          <w:b w:val="0"/>
          <w:i w:val="0"/>
          <w:sz w:val="22"/>
        </w:rPr>
        <w:instrText xml:space="preserve"> REF _Ref524683044 \r \h </w:instrText>
      </w:r>
      <w:r w:rsidR="00781592">
        <w:rPr>
          <w:rStyle w:val="Referencingstyle"/>
          <w:b w:val="0"/>
          <w:i w:val="0"/>
          <w:sz w:val="22"/>
        </w:rPr>
      </w:r>
      <w:r w:rsidR="00781592">
        <w:rPr>
          <w:rStyle w:val="Referencingstyle"/>
          <w:b w:val="0"/>
          <w:i w:val="0"/>
          <w:sz w:val="22"/>
        </w:rPr>
        <w:fldChar w:fldCharType="separate"/>
      </w:r>
      <w:r w:rsidR="00275132">
        <w:rPr>
          <w:rStyle w:val="Referencingstyle"/>
          <w:b w:val="0"/>
          <w:i w:val="0"/>
          <w:sz w:val="22"/>
        </w:rPr>
        <w:t>3.123</w:t>
      </w:r>
      <w:r w:rsidR="00781592">
        <w:rPr>
          <w:rStyle w:val="Referencingstyle"/>
          <w:b w:val="0"/>
          <w:i w:val="0"/>
          <w:sz w:val="22"/>
        </w:rPr>
        <w:fldChar w:fldCharType="end"/>
      </w:r>
      <w:r>
        <w:t xml:space="preserve">. </w:t>
      </w:r>
      <w:r>
        <w:rPr>
          <w:rStyle w:val="Referencingstyle"/>
        </w:rPr>
        <w:t>[Schedule </w:t>
      </w:r>
      <w:r w:rsidR="00000335">
        <w:rPr>
          <w:rStyle w:val="Referencingstyle"/>
        </w:rPr>
        <w:t>2</w:t>
      </w:r>
      <w:r>
        <w:rPr>
          <w:rStyle w:val="Referencingstyle"/>
        </w:rPr>
        <w:t xml:space="preserve">, item </w:t>
      </w:r>
      <w:r w:rsidR="00000335">
        <w:rPr>
          <w:rStyle w:val="Referencingstyle"/>
        </w:rPr>
        <w:t>1</w:t>
      </w:r>
      <w:r>
        <w:rPr>
          <w:rStyle w:val="Referencingstyle"/>
        </w:rPr>
        <w:t xml:space="preserve">, section </w:t>
      </w:r>
      <w:r w:rsidR="00000335">
        <w:rPr>
          <w:rStyle w:val="Referencingstyle"/>
        </w:rPr>
        <w:t>12-235</w:t>
      </w:r>
      <w:r>
        <w:rPr>
          <w:rStyle w:val="Referencingstyle"/>
        </w:rPr>
        <w:t>]</w:t>
      </w:r>
    </w:p>
    <w:p w14:paraId="6FF40E9B" w14:textId="6F4AF59B" w:rsidR="006A41FE" w:rsidRPr="00CD42EB" w:rsidRDefault="008338D0" w:rsidP="006A41FE">
      <w:pPr>
        <w:pStyle w:val="base-text-paragraph"/>
        <w:rPr>
          <w:rStyle w:val="Referencingstyle"/>
          <w:b w:val="0"/>
          <w:i w:val="0"/>
          <w:sz w:val="22"/>
        </w:rPr>
      </w:pPr>
      <w:r w:rsidRPr="00FA5B27">
        <w:t>If a receiver is appointed on behalf of the holders of any debentures of</w:t>
      </w:r>
      <w:r w:rsidRPr="003801D6">
        <w:t xml:space="preserve"> the sub</w:t>
      </w:r>
      <w:r w:rsidR="004962CE">
        <w:noBreakHyphen/>
      </w:r>
      <w:r w:rsidRPr="003801D6">
        <w:t xml:space="preserve">fund, certain liabilities of the sub-fund (including auditor’s fees) need to be paid in priority to any claim for principal or interest in respect of the debentures. This reflects the position for receivers </w:t>
      </w:r>
      <w:r w:rsidR="00A1589F">
        <w:t>of</w:t>
      </w:r>
      <w:r>
        <w:t xml:space="preserve"> other types of companies in existing section 433</w:t>
      </w:r>
      <w:r w:rsidR="008A7153">
        <w:t xml:space="preserve">. </w:t>
      </w:r>
      <w:r>
        <w:rPr>
          <w:rStyle w:val="Referencingstyle"/>
        </w:rPr>
        <w:t>[Schedule </w:t>
      </w:r>
      <w:r w:rsidR="00984BE2">
        <w:rPr>
          <w:rStyle w:val="Referencingstyle"/>
        </w:rPr>
        <w:t>2</w:t>
      </w:r>
      <w:r>
        <w:rPr>
          <w:rStyle w:val="Referencingstyle"/>
        </w:rPr>
        <w:t>, item</w:t>
      </w:r>
      <w:r w:rsidR="004962CE">
        <w:rPr>
          <w:rStyle w:val="Referencingstyle"/>
        </w:rPr>
        <w:t> </w:t>
      </w:r>
      <w:r w:rsidR="00984BE2">
        <w:rPr>
          <w:rStyle w:val="Referencingstyle"/>
        </w:rPr>
        <w:t>1</w:t>
      </w:r>
      <w:r>
        <w:rPr>
          <w:rStyle w:val="Referencingstyle"/>
        </w:rPr>
        <w:t xml:space="preserve">, section </w:t>
      </w:r>
      <w:r w:rsidR="00984BE2">
        <w:rPr>
          <w:rStyle w:val="Referencingstyle"/>
        </w:rPr>
        <w:t>12-085</w:t>
      </w:r>
      <w:r>
        <w:rPr>
          <w:rStyle w:val="Referencingstyle"/>
        </w:rPr>
        <w:t>]</w:t>
      </w:r>
    </w:p>
    <w:p w14:paraId="68BAA79C" w14:textId="155CF558" w:rsidR="00C56BF2" w:rsidRPr="00C56BF2" w:rsidRDefault="00C56BF2" w:rsidP="00C56BF2">
      <w:pPr>
        <w:pStyle w:val="Heading4"/>
      </w:pPr>
      <w:r w:rsidRPr="00C56BF2">
        <w:t>Rights to inspect books</w:t>
      </w:r>
      <w:r>
        <w:t xml:space="preserve"> and access reports</w:t>
      </w:r>
    </w:p>
    <w:p w14:paraId="2F77EC2A" w14:textId="63757D97" w:rsidR="003753B2" w:rsidRDefault="003753B2" w:rsidP="00A06114">
      <w:pPr>
        <w:pStyle w:val="base-text-paragraph"/>
      </w:pPr>
      <w:r>
        <w:t>The corporate director must provide a controller with a report about the sub</w:t>
      </w:r>
      <w:r w:rsidR="004962CE">
        <w:noBreakHyphen/>
      </w:r>
      <w:r>
        <w:t xml:space="preserve">fund’s affairs under existing section 429. </w:t>
      </w:r>
    </w:p>
    <w:p w14:paraId="67D17046" w14:textId="244F0568" w:rsidR="00A0082A" w:rsidRDefault="003753B2" w:rsidP="00A06114">
      <w:pPr>
        <w:pStyle w:val="base-text-paragraph"/>
      </w:pPr>
      <w:r>
        <w:t>If the controller requires additional information, it may require a further report from the current or former corporate director, the corporate director’s officers or employees or any other persons who participated in the registration of the sub-fund (if</w:t>
      </w:r>
      <w:r w:rsidR="004962CE">
        <w:t> </w:t>
      </w:r>
      <w:r>
        <w:t xml:space="preserve">the sub-fund was registered within one year </w:t>
      </w:r>
      <w:r w:rsidR="004962CE">
        <w:t xml:space="preserve">of </w:t>
      </w:r>
      <w:r>
        <w:t>the date of the controller’s appointment). This further report may relate to the affai</w:t>
      </w:r>
      <w:r w:rsidR="00145764">
        <w:t xml:space="preserve">rs of the sub-fund or any </w:t>
      </w:r>
      <w:r>
        <w:t>other sub-fund to the extent that the information is required by the controller for the purpose of attaining the objectives for which the person was appointed.</w:t>
      </w:r>
      <w:r w:rsidR="00C56BF2">
        <w:t xml:space="preserve"> </w:t>
      </w:r>
      <w:r w:rsidR="00145764">
        <w:rPr>
          <w:rStyle w:val="Referencingstyle"/>
        </w:rPr>
        <w:t>[Sch</w:t>
      </w:r>
      <w:r w:rsidR="00C27A4D">
        <w:rPr>
          <w:rStyle w:val="Referencingstyle"/>
        </w:rPr>
        <w:t>edule </w:t>
      </w:r>
      <w:r w:rsidR="00984BE2">
        <w:rPr>
          <w:rStyle w:val="Referencingstyle"/>
        </w:rPr>
        <w:t>2</w:t>
      </w:r>
      <w:r w:rsidR="00C27A4D">
        <w:rPr>
          <w:rStyle w:val="Referencingstyle"/>
        </w:rPr>
        <w:t xml:space="preserve">, item </w:t>
      </w:r>
      <w:r w:rsidR="00984BE2">
        <w:rPr>
          <w:rStyle w:val="Referencingstyle"/>
        </w:rPr>
        <w:t>2</w:t>
      </w:r>
      <w:r w:rsidR="00C27A4D">
        <w:rPr>
          <w:rStyle w:val="Referencingstyle"/>
        </w:rPr>
        <w:t>, section</w:t>
      </w:r>
      <w:r w:rsidR="004962CE">
        <w:rPr>
          <w:rStyle w:val="Referencingstyle"/>
        </w:rPr>
        <w:t> </w:t>
      </w:r>
      <w:r w:rsidR="00984BE2">
        <w:rPr>
          <w:rStyle w:val="Referencingstyle"/>
        </w:rPr>
        <w:t>12</w:t>
      </w:r>
      <w:r w:rsidR="007D7127">
        <w:rPr>
          <w:rStyle w:val="Referencingstyle"/>
        </w:rPr>
        <w:noBreakHyphen/>
      </w:r>
      <w:r w:rsidR="00984BE2">
        <w:rPr>
          <w:rStyle w:val="Referencingstyle"/>
        </w:rPr>
        <w:t>075</w:t>
      </w:r>
      <w:r w:rsidR="00145764">
        <w:rPr>
          <w:rStyle w:val="Referencingstyle"/>
        </w:rPr>
        <w:t>]</w:t>
      </w:r>
      <w:r w:rsidR="00C56BF2">
        <w:t xml:space="preserve"> </w:t>
      </w:r>
    </w:p>
    <w:p w14:paraId="1C76D7E7" w14:textId="3DF464DC" w:rsidR="0015247A" w:rsidRDefault="00A1589F" w:rsidP="00A06114">
      <w:pPr>
        <w:pStyle w:val="base-text-paragraph"/>
      </w:pPr>
      <w:r>
        <w:t xml:space="preserve">The controller has a </w:t>
      </w:r>
      <w:r w:rsidR="00145764">
        <w:t>right</w:t>
      </w:r>
      <w:r w:rsidR="00C27A4D">
        <w:t>,</w:t>
      </w:r>
      <w:r w:rsidR="00145764">
        <w:t xml:space="preserve"> </w:t>
      </w:r>
      <w:r w:rsidR="00C27A4D">
        <w:t xml:space="preserve">under existing section 431, </w:t>
      </w:r>
      <w:r w:rsidR="00145764">
        <w:t>to inspect any books of the sub-</w:t>
      </w:r>
      <w:r w:rsidR="008A7153">
        <w:t xml:space="preserve">fund </w:t>
      </w:r>
      <w:r w:rsidR="0015247A">
        <w:t xml:space="preserve">that relate to the property </w:t>
      </w:r>
      <w:r w:rsidR="00145764">
        <w:t>in respect of which the</w:t>
      </w:r>
      <w:r w:rsidR="0015247A">
        <w:t xml:space="preserve"> controller was appointed</w:t>
      </w:r>
      <w:r w:rsidR="00145764">
        <w:t xml:space="preserve"> (read subject to the translation rules). In addition, bespoke amendments are made to extend the controller’s inspection rights to include the right to inspect</w:t>
      </w:r>
      <w:r w:rsidR="0015247A">
        <w:t>:</w:t>
      </w:r>
    </w:p>
    <w:p w14:paraId="082481FF" w14:textId="20D3C4FD" w:rsidR="0015247A" w:rsidRDefault="00145764" w:rsidP="0015247A">
      <w:pPr>
        <w:pStyle w:val="dotpoint"/>
      </w:pPr>
      <w:r>
        <w:t>the allocation register</w:t>
      </w:r>
      <w:r w:rsidR="0015247A">
        <w:t>; and</w:t>
      </w:r>
      <w:r>
        <w:t xml:space="preserve"> </w:t>
      </w:r>
    </w:p>
    <w:p w14:paraId="23C120EB" w14:textId="4D84CDB8" w:rsidR="0015247A" w:rsidRDefault="0015247A" w:rsidP="0015247A">
      <w:pPr>
        <w:pStyle w:val="dotpoint"/>
        <w:rPr>
          <w:rStyle w:val="Referencingstyle"/>
          <w:b w:val="0"/>
          <w:i w:val="0"/>
          <w:sz w:val="22"/>
        </w:rPr>
      </w:pPr>
      <w:r w:rsidRPr="00FA5B27">
        <w:t xml:space="preserve">any other </w:t>
      </w:r>
      <w:r w:rsidR="00145764">
        <w:t>books of the CCIV</w:t>
      </w:r>
      <w:r>
        <w:t xml:space="preserve"> </w:t>
      </w:r>
      <w:r w:rsidR="00145764">
        <w:t xml:space="preserve">to the extent that inspection is necessary for the purposes of attaining the objectives for which the </w:t>
      </w:r>
      <w:r>
        <w:t>person</w:t>
      </w:r>
      <w:r w:rsidR="00145764">
        <w:t xml:space="preserve"> was appointed.</w:t>
      </w:r>
      <w:r w:rsidR="00145764" w:rsidRPr="00145764">
        <w:rPr>
          <w:rStyle w:val="Referencingstyle"/>
        </w:rPr>
        <w:t xml:space="preserve"> </w:t>
      </w:r>
    </w:p>
    <w:p w14:paraId="630508F0" w14:textId="1F406723" w:rsidR="00145764" w:rsidRDefault="00145764" w:rsidP="00BD6DA3">
      <w:pPr>
        <w:pStyle w:val="dotpoint"/>
        <w:numPr>
          <w:ilvl w:val="0"/>
          <w:numId w:val="0"/>
        </w:numPr>
        <w:ind w:left="1984"/>
      </w:pPr>
      <w:r>
        <w:rPr>
          <w:rStyle w:val="Referencingstyle"/>
        </w:rPr>
        <w:t>[Schedule </w:t>
      </w:r>
      <w:r w:rsidR="00984BE2">
        <w:rPr>
          <w:rStyle w:val="Referencingstyle"/>
        </w:rPr>
        <w:t>2</w:t>
      </w:r>
      <w:r>
        <w:rPr>
          <w:rStyle w:val="Referencingstyle"/>
        </w:rPr>
        <w:t xml:space="preserve">, item </w:t>
      </w:r>
      <w:r w:rsidR="00984BE2">
        <w:rPr>
          <w:rStyle w:val="Referencingstyle"/>
        </w:rPr>
        <w:t>1</w:t>
      </w:r>
      <w:r>
        <w:rPr>
          <w:rStyle w:val="Referencingstyle"/>
        </w:rPr>
        <w:t xml:space="preserve">, section </w:t>
      </w:r>
      <w:r w:rsidR="00984BE2">
        <w:rPr>
          <w:rStyle w:val="Referencingstyle"/>
        </w:rPr>
        <w:t>12-080</w:t>
      </w:r>
      <w:r>
        <w:rPr>
          <w:rStyle w:val="Referencingstyle"/>
        </w:rPr>
        <w:t>]</w:t>
      </w:r>
      <w:r>
        <w:t xml:space="preserve"> </w:t>
      </w:r>
    </w:p>
    <w:p w14:paraId="590D4680" w14:textId="1C4C25ED" w:rsidR="0015247A" w:rsidRDefault="0015247A" w:rsidP="0015247A">
      <w:pPr>
        <w:pStyle w:val="base-text-paragraph"/>
      </w:pPr>
      <w:r>
        <w:t xml:space="preserve">The controller’s inspection rights apply irrespective of whether the books are held by the corporate director, </w:t>
      </w:r>
      <w:r w:rsidR="002B4D4E">
        <w:t xml:space="preserve">the </w:t>
      </w:r>
      <w:r>
        <w:t>natural person directors of the corporate director,</w:t>
      </w:r>
      <w:r w:rsidR="002B4D4E">
        <w:t xml:space="preserve"> the</w:t>
      </w:r>
      <w:r>
        <w:t xml:space="preserve"> depositary or a custodian (noting that existing section 431 refers generally to books held by ‘a person’).</w:t>
      </w:r>
    </w:p>
    <w:p w14:paraId="57CCE81E" w14:textId="7FBDD7F2" w:rsidR="006A41FE" w:rsidRDefault="007C1869" w:rsidP="006A41FE">
      <w:pPr>
        <w:pStyle w:val="base-text-paragraph"/>
      </w:pPr>
      <w:r>
        <w:t>If a controller ceases to act, ASIC may require the controller to transfer any books of the sub-fund to it under existing section 422D. Under the existing law, ASIC is permitted to destroy any books that it still holds after a two year period.</w:t>
      </w:r>
      <w:r w:rsidR="0034350D">
        <w:t xml:space="preserve"> </w:t>
      </w:r>
      <w:r>
        <w:t>A bespoke amendment is made to require ASIC to notify the CCIV before it destroys any b</w:t>
      </w:r>
      <w:r w:rsidR="006A41FE">
        <w:t>ooks transferred to it under existing section 422D</w:t>
      </w:r>
      <w:r w:rsidR="009D63D5">
        <w:t xml:space="preserve"> (unless the CCIV has been deregistered)</w:t>
      </w:r>
      <w:r w:rsidR="006A41FE">
        <w:t>. If</w:t>
      </w:r>
      <w:r w:rsidR="004962CE">
        <w:t> </w:t>
      </w:r>
      <w:r w:rsidR="006A41FE">
        <w:t>the CCIV, by resolution of the corporate director, directs ASIC not to destroy the books, ASIC must transfer the books to the CCIV.</w:t>
      </w:r>
      <w:r w:rsidR="006A41FE" w:rsidRPr="006A41FE">
        <w:rPr>
          <w:rStyle w:val="Referencingstyle"/>
        </w:rPr>
        <w:t xml:space="preserve"> </w:t>
      </w:r>
      <w:r w:rsidR="006A41FE">
        <w:rPr>
          <w:rStyle w:val="Referencingstyle"/>
        </w:rPr>
        <w:t>[Schedule </w:t>
      </w:r>
      <w:r w:rsidR="00984BE2">
        <w:rPr>
          <w:rStyle w:val="Referencingstyle"/>
        </w:rPr>
        <w:t>2</w:t>
      </w:r>
      <w:r w:rsidR="006A41FE">
        <w:rPr>
          <w:rStyle w:val="Referencingstyle"/>
        </w:rPr>
        <w:t xml:space="preserve">, item </w:t>
      </w:r>
      <w:r w:rsidR="00984BE2">
        <w:rPr>
          <w:rStyle w:val="Referencingstyle"/>
        </w:rPr>
        <w:t>1</w:t>
      </w:r>
      <w:r w:rsidR="006A41FE">
        <w:rPr>
          <w:rStyle w:val="Referencingstyle"/>
        </w:rPr>
        <w:t xml:space="preserve">, section </w:t>
      </w:r>
      <w:r w:rsidR="00984BE2">
        <w:rPr>
          <w:rStyle w:val="Referencingstyle"/>
        </w:rPr>
        <w:t>12-090</w:t>
      </w:r>
      <w:r w:rsidR="008A7153">
        <w:rPr>
          <w:rStyle w:val="Referencingstyle"/>
        </w:rPr>
        <w:t>]</w:t>
      </w:r>
    </w:p>
    <w:p w14:paraId="1465B007" w14:textId="77777777" w:rsidR="00381D8F" w:rsidRPr="00FA5B27" w:rsidRDefault="00381D8F" w:rsidP="00381D8F">
      <w:pPr>
        <w:pStyle w:val="Heading3"/>
        <w:rPr>
          <w:rStyle w:val="Referencingstyle"/>
          <w:b/>
          <w:i w:val="0"/>
          <w:sz w:val="22"/>
        </w:rPr>
      </w:pPr>
      <w:r>
        <w:rPr>
          <w:rStyle w:val="Referencingstyle"/>
          <w:b/>
          <w:i w:val="0"/>
          <w:sz w:val="22"/>
        </w:rPr>
        <w:t>Voluntary administration</w:t>
      </w:r>
    </w:p>
    <w:p w14:paraId="1C1ECBE5" w14:textId="6E093424" w:rsidR="00381D8F" w:rsidRPr="00FA5B27" w:rsidRDefault="00381D8F" w:rsidP="00381D8F">
      <w:pPr>
        <w:pStyle w:val="base-text-paragraph"/>
        <w:numPr>
          <w:ilvl w:val="1"/>
          <w:numId w:val="38"/>
        </w:numPr>
        <w:rPr>
          <w:rStyle w:val="Referencingstyle"/>
          <w:b w:val="0"/>
          <w:i w:val="0"/>
          <w:sz w:val="22"/>
        </w:rPr>
      </w:pPr>
      <w:r w:rsidRPr="00381D8F">
        <w:rPr>
          <w:rStyle w:val="Referencingstyle"/>
          <w:b w:val="0"/>
          <w:i w:val="0"/>
          <w:sz w:val="22"/>
        </w:rPr>
        <w:t xml:space="preserve">Voluntary administration is not available in the CCIV context. Voluntary administration allows a company to continue </w:t>
      </w:r>
      <w:r>
        <w:rPr>
          <w:rStyle w:val="Referencingstyle"/>
          <w:b w:val="0"/>
          <w:i w:val="0"/>
          <w:sz w:val="22"/>
        </w:rPr>
        <w:t xml:space="preserve">trading </w:t>
      </w:r>
      <w:r w:rsidRPr="00381D8F">
        <w:rPr>
          <w:rStyle w:val="Referencingstyle"/>
          <w:b w:val="0"/>
          <w:i w:val="0"/>
          <w:sz w:val="22"/>
        </w:rPr>
        <w:t>for 20 business days without unsecured creditors enforcing their claims, thereby giving the company the opportunity to restructure and negotiate a compromise with its creditors.</w:t>
      </w:r>
      <w:r>
        <w:rPr>
          <w:rStyle w:val="Referencingstyle"/>
          <w:b w:val="0"/>
          <w:i w:val="0"/>
          <w:sz w:val="22"/>
        </w:rPr>
        <w:t xml:space="preserve"> As</w:t>
      </w:r>
      <w:r w:rsidRPr="00381D8F">
        <w:rPr>
          <w:rStyle w:val="Referencingstyle"/>
          <w:b w:val="0"/>
          <w:i w:val="0"/>
          <w:sz w:val="22"/>
        </w:rPr>
        <w:t xml:space="preserve"> a CCIV does not car</w:t>
      </w:r>
      <w:r>
        <w:rPr>
          <w:rStyle w:val="Referencingstyle"/>
          <w:b w:val="0"/>
          <w:i w:val="0"/>
          <w:sz w:val="22"/>
        </w:rPr>
        <w:t xml:space="preserve">rying on an active business, </w:t>
      </w:r>
      <w:r w:rsidRPr="00381D8F">
        <w:rPr>
          <w:rStyle w:val="Referencingstyle"/>
          <w:b w:val="0"/>
          <w:i w:val="0"/>
          <w:sz w:val="22"/>
        </w:rPr>
        <w:t>a 20 business day moratorium is less likely to improve the outcomes for creditors and members in the CCIV context</w:t>
      </w:r>
      <w:r>
        <w:rPr>
          <w:rStyle w:val="Referencingstyle"/>
          <w:b w:val="0"/>
          <w:i w:val="0"/>
          <w:sz w:val="22"/>
        </w:rPr>
        <w:t>.</w:t>
      </w:r>
      <w:r w:rsidR="003C540A" w:rsidRPr="003C540A">
        <w:rPr>
          <w:rStyle w:val="Referencingstyle"/>
        </w:rPr>
        <w:t xml:space="preserve"> </w:t>
      </w:r>
      <w:r w:rsidR="003C540A">
        <w:rPr>
          <w:rStyle w:val="Referencingstyle"/>
        </w:rPr>
        <w:t>[Schedule </w:t>
      </w:r>
      <w:r w:rsidR="00DB4FFD">
        <w:rPr>
          <w:rStyle w:val="Referencingstyle"/>
        </w:rPr>
        <w:t>2</w:t>
      </w:r>
      <w:r w:rsidR="003C540A">
        <w:rPr>
          <w:rStyle w:val="Referencingstyle"/>
        </w:rPr>
        <w:t xml:space="preserve">, item </w:t>
      </w:r>
      <w:r w:rsidR="001B1E6A">
        <w:rPr>
          <w:rStyle w:val="Referencingstyle"/>
        </w:rPr>
        <w:t>16</w:t>
      </w:r>
      <w:r w:rsidR="003C540A">
        <w:rPr>
          <w:rStyle w:val="Referencingstyle"/>
        </w:rPr>
        <w:t xml:space="preserve">, section </w:t>
      </w:r>
      <w:r w:rsidR="00DB4FFD">
        <w:rPr>
          <w:rStyle w:val="Referencingstyle"/>
        </w:rPr>
        <w:t>435D</w:t>
      </w:r>
      <w:r w:rsidR="003C540A">
        <w:rPr>
          <w:rStyle w:val="Referencingstyle"/>
        </w:rPr>
        <w:t>]</w:t>
      </w:r>
      <w:r w:rsidR="003C540A">
        <w:t xml:space="preserve"> </w:t>
      </w:r>
    </w:p>
    <w:p w14:paraId="1469A4BC" w14:textId="6480D161" w:rsidR="00A06114" w:rsidRDefault="00381D8F" w:rsidP="002B4D4E">
      <w:pPr>
        <w:pStyle w:val="Heading3"/>
        <w:keepLines/>
      </w:pPr>
      <w:r>
        <w:t xml:space="preserve"> </w:t>
      </w:r>
      <w:r w:rsidR="00A06114">
        <w:t xml:space="preserve">Winding up of sub-funds </w:t>
      </w:r>
    </w:p>
    <w:p w14:paraId="64E0BCAA" w14:textId="78C03627" w:rsidR="008A3B83" w:rsidRDefault="008A3B83" w:rsidP="002B4D4E">
      <w:pPr>
        <w:pStyle w:val="base-text-paragraph"/>
        <w:keepNext/>
        <w:keepLines/>
        <w:numPr>
          <w:ilvl w:val="0"/>
          <w:numId w:val="0"/>
        </w:numPr>
        <w:ind w:left="1134"/>
      </w:pPr>
      <w:r>
        <w:rPr>
          <w:b/>
          <w:i/>
        </w:rPr>
        <w:t>Core principles</w:t>
      </w:r>
    </w:p>
    <w:p w14:paraId="330AF8CC" w14:textId="56BB2E37" w:rsidR="003A5672" w:rsidRPr="008A3B83" w:rsidRDefault="00A06114" w:rsidP="00711D0C">
      <w:pPr>
        <w:pStyle w:val="base-text-paragraph"/>
        <w:numPr>
          <w:ilvl w:val="1"/>
          <w:numId w:val="26"/>
        </w:numPr>
        <w:rPr>
          <w:rStyle w:val="Referencingstyle"/>
          <w:b w:val="0"/>
          <w:i w:val="0"/>
          <w:sz w:val="22"/>
        </w:rPr>
      </w:pPr>
      <w:r w:rsidRPr="00FA5B27">
        <w:t>Windin</w:t>
      </w:r>
      <w:r w:rsidR="00913A1A">
        <w:t>g up also operates on a sub-fund-by-</w:t>
      </w:r>
      <w:r>
        <w:t>sub-fund basis. Only a sub-fund of a CCIV can be wound up and the CCIV itself cannot be wound up.</w:t>
      </w:r>
      <w:r w:rsidR="00B00A3A">
        <w:rPr>
          <w:rStyle w:val="FootnoteReference"/>
        </w:rPr>
        <w:footnoteReference w:id="4"/>
      </w:r>
      <w:r w:rsidRPr="00A06114">
        <w:rPr>
          <w:rStyle w:val="Referencingstyle"/>
        </w:rPr>
        <w:t xml:space="preserve"> </w:t>
      </w:r>
      <w:r>
        <w:rPr>
          <w:rStyle w:val="Referencingstyle"/>
        </w:rPr>
        <w:t>[Schedule </w:t>
      </w:r>
      <w:r w:rsidR="001B1E6A">
        <w:rPr>
          <w:rStyle w:val="Referencingstyle"/>
        </w:rPr>
        <w:t>2</w:t>
      </w:r>
      <w:r>
        <w:rPr>
          <w:rStyle w:val="Referencingstyle"/>
        </w:rPr>
        <w:t>, ite</w:t>
      </w:r>
      <w:r w:rsidR="009167E0">
        <w:rPr>
          <w:rStyle w:val="Referencingstyle"/>
        </w:rPr>
        <w:t xml:space="preserve">m </w:t>
      </w:r>
      <w:r w:rsidR="001B1E6A">
        <w:rPr>
          <w:rStyle w:val="Referencingstyle"/>
        </w:rPr>
        <w:t>1</w:t>
      </w:r>
      <w:r w:rsidR="009167E0">
        <w:rPr>
          <w:rStyle w:val="Referencingstyle"/>
        </w:rPr>
        <w:t xml:space="preserve">, sections </w:t>
      </w:r>
      <w:r w:rsidR="001B1E6A">
        <w:rPr>
          <w:rStyle w:val="Referencingstyle"/>
        </w:rPr>
        <w:t>12-095</w:t>
      </w:r>
      <w:r w:rsidR="003976B8">
        <w:rPr>
          <w:rStyle w:val="Referencingstyle"/>
        </w:rPr>
        <w:t xml:space="preserve"> and</w:t>
      </w:r>
      <w:r w:rsidR="009167E0">
        <w:rPr>
          <w:rStyle w:val="Referencingstyle"/>
        </w:rPr>
        <w:t xml:space="preserve"> </w:t>
      </w:r>
      <w:r w:rsidR="001B1E6A">
        <w:rPr>
          <w:rStyle w:val="Referencingstyle"/>
        </w:rPr>
        <w:t>12-100</w:t>
      </w:r>
      <w:r>
        <w:rPr>
          <w:rStyle w:val="Referencingstyle"/>
        </w:rPr>
        <w:t>]</w:t>
      </w:r>
    </w:p>
    <w:p w14:paraId="00EA75ED" w14:textId="28C770F6" w:rsidR="008A3B83" w:rsidRPr="003976B8" w:rsidRDefault="008A3B83" w:rsidP="00711D0C">
      <w:pPr>
        <w:pStyle w:val="base-text-paragraph"/>
        <w:numPr>
          <w:ilvl w:val="1"/>
          <w:numId w:val="26"/>
        </w:numPr>
        <w:rPr>
          <w:rStyle w:val="Referencingstyle"/>
          <w:b w:val="0"/>
          <w:i w:val="0"/>
          <w:sz w:val="22"/>
        </w:rPr>
      </w:pPr>
      <w:r>
        <w:rPr>
          <w:rStyle w:val="Referencingstyle"/>
          <w:b w:val="0"/>
          <w:i w:val="0"/>
          <w:sz w:val="22"/>
        </w:rPr>
        <w:t xml:space="preserve">The translation rules generally apply for the purposes of winding up (see the discussion of the translation rules at paragraphs </w:t>
      </w:r>
      <w:r>
        <w:rPr>
          <w:rStyle w:val="Referencingstyle"/>
          <w:b w:val="0"/>
          <w:i w:val="0"/>
          <w:sz w:val="22"/>
        </w:rPr>
        <w:fldChar w:fldCharType="begin"/>
      </w:r>
      <w:r>
        <w:rPr>
          <w:rStyle w:val="Referencingstyle"/>
          <w:b w:val="0"/>
          <w:i w:val="0"/>
          <w:sz w:val="22"/>
        </w:rPr>
        <w:instrText xml:space="preserve"> REF _Ref522519915 \r \h </w:instrText>
      </w:r>
      <w:r>
        <w:rPr>
          <w:rStyle w:val="Referencingstyle"/>
          <w:b w:val="0"/>
          <w:i w:val="0"/>
          <w:sz w:val="22"/>
        </w:rPr>
      </w:r>
      <w:r>
        <w:rPr>
          <w:rStyle w:val="Referencingstyle"/>
          <w:b w:val="0"/>
          <w:i w:val="0"/>
          <w:sz w:val="22"/>
        </w:rPr>
        <w:fldChar w:fldCharType="separate"/>
      </w:r>
      <w:r w:rsidR="00275132">
        <w:rPr>
          <w:rStyle w:val="Referencingstyle"/>
          <w:b w:val="0"/>
          <w:i w:val="0"/>
          <w:sz w:val="22"/>
        </w:rPr>
        <w:t>3.13</w:t>
      </w:r>
      <w:r>
        <w:rPr>
          <w:rStyle w:val="Referencingstyle"/>
          <w:b w:val="0"/>
          <w:i w:val="0"/>
          <w:sz w:val="22"/>
        </w:rPr>
        <w:fldChar w:fldCharType="end"/>
      </w:r>
      <w:r>
        <w:rPr>
          <w:rStyle w:val="Referencingstyle"/>
          <w:b w:val="0"/>
          <w:i w:val="0"/>
          <w:sz w:val="22"/>
        </w:rPr>
        <w:t xml:space="preserve"> to </w:t>
      </w:r>
      <w:r>
        <w:rPr>
          <w:rStyle w:val="Referencingstyle"/>
          <w:b w:val="0"/>
          <w:i w:val="0"/>
          <w:sz w:val="22"/>
        </w:rPr>
        <w:fldChar w:fldCharType="begin"/>
      </w:r>
      <w:r>
        <w:rPr>
          <w:rStyle w:val="Referencingstyle"/>
          <w:b w:val="0"/>
          <w:i w:val="0"/>
          <w:sz w:val="22"/>
        </w:rPr>
        <w:instrText xml:space="preserve"> REF _Ref522519921 \r \h </w:instrText>
      </w:r>
      <w:r>
        <w:rPr>
          <w:rStyle w:val="Referencingstyle"/>
          <w:b w:val="0"/>
          <w:i w:val="0"/>
          <w:sz w:val="22"/>
        </w:rPr>
      </w:r>
      <w:r>
        <w:rPr>
          <w:rStyle w:val="Referencingstyle"/>
          <w:b w:val="0"/>
          <w:i w:val="0"/>
          <w:sz w:val="22"/>
        </w:rPr>
        <w:fldChar w:fldCharType="separate"/>
      </w:r>
      <w:r w:rsidR="00275132">
        <w:rPr>
          <w:rStyle w:val="Referencingstyle"/>
          <w:b w:val="0"/>
          <w:i w:val="0"/>
          <w:sz w:val="22"/>
        </w:rPr>
        <w:t>3.40</w:t>
      </w:r>
      <w:r>
        <w:rPr>
          <w:rStyle w:val="Referencingstyle"/>
          <w:b w:val="0"/>
          <w:i w:val="0"/>
          <w:sz w:val="22"/>
        </w:rPr>
        <w:fldChar w:fldCharType="end"/>
      </w:r>
      <w:r>
        <w:rPr>
          <w:rStyle w:val="Referencingstyle"/>
          <w:b w:val="0"/>
          <w:i w:val="0"/>
          <w:sz w:val="22"/>
        </w:rPr>
        <w:t xml:space="preserve">). </w:t>
      </w:r>
      <w:r w:rsidR="009A6E0E">
        <w:rPr>
          <w:rStyle w:val="Referencingstyle"/>
          <w:b w:val="0"/>
          <w:i w:val="0"/>
          <w:sz w:val="22"/>
        </w:rPr>
        <w:t xml:space="preserve">The translation rules apply to </w:t>
      </w:r>
      <w:r w:rsidR="00781592" w:rsidRPr="00781592">
        <w:rPr>
          <w:rStyle w:val="Referencingstyle"/>
          <w:b w:val="0"/>
          <w:i w:val="0"/>
          <w:sz w:val="22"/>
        </w:rPr>
        <w:t>sections 53 and 91, paragraph 233(1)(a), Parts 5.4, 5.4A, 5.4B, 5.5 and 5.6, Divisions</w:t>
      </w:r>
      <w:r w:rsidR="004962CE">
        <w:rPr>
          <w:rStyle w:val="Referencingstyle"/>
          <w:b w:val="0"/>
          <w:i w:val="0"/>
          <w:sz w:val="22"/>
        </w:rPr>
        <w:t> </w:t>
      </w:r>
      <w:r w:rsidR="00781592" w:rsidRPr="00781592">
        <w:rPr>
          <w:rStyle w:val="Referencingstyle"/>
          <w:b w:val="0"/>
          <w:i w:val="0"/>
          <w:sz w:val="22"/>
        </w:rPr>
        <w:t>2 and 2A of Part 5.7B and Schedule 2 to this Act</w:t>
      </w:r>
      <w:r w:rsidR="00B935F9">
        <w:rPr>
          <w:rStyle w:val="Referencingstyle"/>
          <w:b w:val="0"/>
          <w:i w:val="0"/>
          <w:sz w:val="22"/>
        </w:rPr>
        <w:t xml:space="preserve">, along with </w:t>
      </w:r>
      <w:r w:rsidR="00B935F9" w:rsidRPr="005877D6">
        <w:rPr>
          <w:rStyle w:val="Referencingstyle"/>
          <w:b w:val="0"/>
          <w:i w:val="0"/>
          <w:sz w:val="22"/>
        </w:rPr>
        <w:t xml:space="preserve">any other provisions of the </w:t>
      </w:r>
      <w:r w:rsidR="006376E1" w:rsidRPr="00AA3F3D">
        <w:rPr>
          <w:rStyle w:val="Referencingstyle"/>
          <w:b w:val="0"/>
          <w:i w:val="0"/>
          <w:sz w:val="22"/>
        </w:rPr>
        <w:t xml:space="preserve">Act and ASIC Act </w:t>
      </w:r>
      <w:r w:rsidR="00B935F9" w:rsidRPr="00AA3F3D">
        <w:rPr>
          <w:rStyle w:val="Referencingstyle"/>
          <w:b w:val="0"/>
          <w:i w:val="0"/>
          <w:sz w:val="22"/>
        </w:rPr>
        <w:t>which relate to the operation of these sections</w:t>
      </w:r>
      <w:r w:rsidR="009A6E0E" w:rsidRPr="006376E1">
        <w:rPr>
          <w:rStyle w:val="Referencingstyle"/>
          <w:b w:val="0"/>
          <w:i w:val="0"/>
          <w:sz w:val="22"/>
        </w:rPr>
        <w:t>.</w:t>
      </w:r>
      <w:r w:rsidR="009A6E0E">
        <w:rPr>
          <w:rStyle w:val="Referencingstyle"/>
          <w:b w:val="0"/>
          <w:i w:val="0"/>
          <w:sz w:val="22"/>
        </w:rPr>
        <w:t xml:space="preserve"> </w:t>
      </w:r>
      <w:r w:rsidR="009A6E0E">
        <w:rPr>
          <w:rStyle w:val="Referencingstyle"/>
        </w:rPr>
        <w:t>[Schedule </w:t>
      </w:r>
      <w:r w:rsidR="001B1E6A">
        <w:rPr>
          <w:rStyle w:val="Referencingstyle"/>
        </w:rPr>
        <w:t>2</w:t>
      </w:r>
      <w:r w:rsidR="009A6E0E">
        <w:rPr>
          <w:rStyle w:val="Referencingstyle"/>
        </w:rPr>
        <w:t xml:space="preserve">, item </w:t>
      </w:r>
      <w:r w:rsidR="001B1E6A">
        <w:rPr>
          <w:rStyle w:val="Referencingstyle"/>
        </w:rPr>
        <w:t>1</w:t>
      </w:r>
      <w:r w:rsidR="009A6E0E">
        <w:rPr>
          <w:rStyle w:val="Referencingstyle"/>
        </w:rPr>
        <w:t>, section</w:t>
      </w:r>
      <w:r w:rsidR="001230A1">
        <w:rPr>
          <w:rStyle w:val="Referencingstyle"/>
        </w:rPr>
        <w:t>s</w:t>
      </w:r>
      <w:r w:rsidR="009A6E0E">
        <w:rPr>
          <w:rStyle w:val="Referencingstyle"/>
        </w:rPr>
        <w:t xml:space="preserve"> </w:t>
      </w:r>
      <w:r w:rsidR="001B1E6A">
        <w:rPr>
          <w:rStyle w:val="Referencingstyle"/>
        </w:rPr>
        <w:t>12-105</w:t>
      </w:r>
      <w:r w:rsidR="001230A1">
        <w:rPr>
          <w:rStyle w:val="Referencingstyle"/>
        </w:rPr>
        <w:t xml:space="preserve"> and </w:t>
      </w:r>
      <w:r w:rsidR="001B1E6A">
        <w:rPr>
          <w:rStyle w:val="Referencingstyle"/>
        </w:rPr>
        <w:t>12</w:t>
      </w:r>
      <w:r w:rsidR="001230A1">
        <w:rPr>
          <w:rStyle w:val="Referencingstyle"/>
        </w:rPr>
        <w:t>-110</w:t>
      </w:r>
      <w:r w:rsidR="007D7127">
        <w:rPr>
          <w:rStyle w:val="Referencingstyle"/>
        </w:rPr>
        <w:t>; Schedule 2,</w:t>
      </w:r>
      <w:r w:rsidR="005C3EA0">
        <w:rPr>
          <w:rStyle w:val="Referencingstyle"/>
        </w:rPr>
        <w:t xml:space="preserve"> items </w:t>
      </w:r>
      <w:r w:rsidR="007055D3">
        <w:rPr>
          <w:rStyle w:val="Referencingstyle"/>
        </w:rPr>
        <w:t>17</w:t>
      </w:r>
      <w:r w:rsidR="005C3EA0">
        <w:rPr>
          <w:rStyle w:val="Referencingstyle"/>
        </w:rPr>
        <w:t xml:space="preserve"> to </w:t>
      </w:r>
      <w:r w:rsidR="007055D3">
        <w:rPr>
          <w:rStyle w:val="Referencingstyle"/>
        </w:rPr>
        <w:t>24</w:t>
      </w:r>
      <w:r w:rsidR="005C3EA0">
        <w:rPr>
          <w:rStyle w:val="Referencingstyle"/>
        </w:rPr>
        <w:t xml:space="preserve">, notes to </w:t>
      </w:r>
      <w:r w:rsidR="00B75196">
        <w:rPr>
          <w:rStyle w:val="Referencingstyle"/>
        </w:rPr>
        <w:t xml:space="preserve">subsection 233(1), </w:t>
      </w:r>
      <w:r w:rsidR="005C3EA0">
        <w:rPr>
          <w:rStyle w:val="Referencingstyle"/>
        </w:rPr>
        <w:t>Parts 5.4, 5.4A, 5.4B, 5.5 and 5.6</w:t>
      </w:r>
      <w:r w:rsidR="00B75196">
        <w:rPr>
          <w:rStyle w:val="Referencingstyle"/>
        </w:rPr>
        <w:t>, 5.7B and subsection 530C(1)</w:t>
      </w:r>
      <w:r w:rsidR="009A6E0E">
        <w:rPr>
          <w:rStyle w:val="Referencingstyle"/>
        </w:rPr>
        <w:t>]</w:t>
      </w:r>
    </w:p>
    <w:p w14:paraId="303AE232" w14:textId="16809E6E" w:rsidR="00FB2584" w:rsidRDefault="00FB2584" w:rsidP="00711D0C">
      <w:pPr>
        <w:pStyle w:val="base-text-paragraph"/>
        <w:numPr>
          <w:ilvl w:val="1"/>
          <w:numId w:val="26"/>
        </w:numPr>
        <w:rPr>
          <w:rStyle w:val="Referencingstyle"/>
          <w:b w:val="0"/>
          <w:i w:val="0"/>
          <w:sz w:val="22"/>
        </w:rPr>
      </w:pPr>
      <w:r>
        <w:rPr>
          <w:rStyle w:val="Referencingstyle"/>
          <w:b w:val="0"/>
          <w:i w:val="0"/>
          <w:sz w:val="22"/>
        </w:rPr>
        <w:t>The reference to the ‘majority of directors’ in section 494 is not expressly covered by the second translation rule which states that references to the director are to be read as the corporate director. Nevertheless, it is also to be read as a reference to the corporate director.</w:t>
      </w:r>
      <w:r w:rsidRPr="00FB2584">
        <w:rPr>
          <w:rStyle w:val="Referencingstyle"/>
        </w:rPr>
        <w:t xml:space="preserve"> </w:t>
      </w:r>
      <w:r>
        <w:rPr>
          <w:rStyle w:val="Referencingstyle"/>
        </w:rPr>
        <w:t>[Schedule </w:t>
      </w:r>
      <w:r w:rsidR="001B1E6A">
        <w:rPr>
          <w:rStyle w:val="Referencingstyle"/>
        </w:rPr>
        <w:t>2</w:t>
      </w:r>
      <w:r>
        <w:rPr>
          <w:rStyle w:val="Referencingstyle"/>
        </w:rPr>
        <w:t xml:space="preserve">, item </w:t>
      </w:r>
      <w:r w:rsidR="001B1E6A">
        <w:rPr>
          <w:rStyle w:val="Referencingstyle"/>
        </w:rPr>
        <w:t>1</w:t>
      </w:r>
      <w:r>
        <w:rPr>
          <w:rStyle w:val="Referencingstyle"/>
        </w:rPr>
        <w:t xml:space="preserve">, section </w:t>
      </w:r>
      <w:r w:rsidR="001B1E6A">
        <w:rPr>
          <w:rStyle w:val="Referencingstyle"/>
        </w:rPr>
        <w:t>12-150</w:t>
      </w:r>
      <w:r>
        <w:rPr>
          <w:rStyle w:val="Referencingstyle"/>
        </w:rPr>
        <w:t>]</w:t>
      </w:r>
    </w:p>
    <w:p w14:paraId="244140B7" w14:textId="414FE308" w:rsidR="003976B8" w:rsidRDefault="003976B8" w:rsidP="00711D0C">
      <w:pPr>
        <w:pStyle w:val="base-text-paragraph"/>
        <w:numPr>
          <w:ilvl w:val="1"/>
          <w:numId w:val="26"/>
        </w:numPr>
        <w:rPr>
          <w:rStyle w:val="Referencingstyle"/>
          <w:b w:val="0"/>
          <w:i w:val="0"/>
          <w:sz w:val="22"/>
        </w:rPr>
      </w:pPr>
      <w:r>
        <w:rPr>
          <w:rStyle w:val="Referencingstyle"/>
          <w:b w:val="0"/>
          <w:i w:val="0"/>
          <w:sz w:val="22"/>
        </w:rPr>
        <w:t>The consequence of applying the translation rules to the winding up provisions is that there are three winding up processes for sub-fund</w:t>
      </w:r>
      <w:r w:rsidR="00B6160E">
        <w:rPr>
          <w:rStyle w:val="Referencingstyle"/>
          <w:b w:val="0"/>
          <w:i w:val="0"/>
          <w:sz w:val="22"/>
        </w:rPr>
        <w:t>s</w:t>
      </w:r>
      <w:r>
        <w:rPr>
          <w:rStyle w:val="Referencingstyle"/>
          <w:b w:val="0"/>
          <w:i w:val="0"/>
          <w:sz w:val="22"/>
        </w:rPr>
        <w:t>, namely:</w:t>
      </w:r>
    </w:p>
    <w:p w14:paraId="7AB86E83" w14:textId="30C577AF" w:rsidR="003976B8" w:rsidRDefault="006F525C" w:rsidP="003976B8">
      <w:pPr>
        <w:pStyle w:val="dotpoint"/>
        <w:rPr>
          <w:rStyle w:val="Referencingstyle"/>
          <w:b w:val="0"/>
          <w:i w:val="0"/>
          <w:sz w:val="22"/>
        </w:rPr>
      </w:pPr>
      <w:r>
        <w:rPr>
          <w:rStyle w:val="Referencingstyle"/>
          <w:b w:val="0"/>
          <w:i w:val="0"/>
          <w:sz w:val="22"/>
        </w:rPr>
        <w:t>w</w:t>
      </w:r>
      <w:r w:rsidR="003976B8">
        <w:rPr>
          <w:rStyle w:val="Referencingstyle"/>
          <w:b w:val="0"/>
          <w:i w:val="0"/>
          <w:sz w:val="22"/>
        </w:rPr>
        <w:t>inding up in insolvency (see existing sections 459A, 459B, 459P and 462);</w:t>
      </w:r>
    </w:p>
    <w:p w14:paraId="79B3137B" w14:textId="228D3CE2" w:rsidR="003976B8" w:rsidRPr="003976B8" w:rsidRDefault="006F525C" w:rsidP="003976B8">
      <w:pPr>
        <w:pStyle w:val="dotpoint"/>
        <w:rPr>
          <w:rStyle w:val="Referencingstyle"/>
          <w:b w:val="0"/>
          <w:i w:val="0"/>
          <w:sz w:val="22"/>
        </w:rPr>
      </w:pPr>
      <w:r>
        <w:rPr>
          <w:rStyle w:val="Referencingstyle"/>
          <w:b w:val="0"/>
          <w:i w:val="0"/>
          <w:sz w:val="22"/>
        </w:rPr>
        <w:t>w</w:t>
      </w:r>
      <w:r w:rsidR="00AC0297">
        <w:rPr>
          <w:rStyle w:val="Referencingstyle"/>
          <w:b w:val="0"/>
          <w:i w:val="0"/>
          <w:sz w:val="22"/>
        </w:rPr>
        <w:t>inding up on other grounds</w:t>
      </w:r>
      <w:r w:rsidR="00B6160E">
        <w:rPr>
          <w:rStyle w:val="Referencingstyle"/>
          <w:b w:val="0"/>
          <w:i w:val="0"/>
          <w:sz w:val="22"/>
        </w:rPr>
        <w:t xml:space="preserve"> </w:t>
      </w:r>
      <w:r w:rsidR="00B935F9">
        <w:t>(see existing section 461)</w:t>
      </w:r>
      <w:r w:rsidR="00AC0297">
        <w:rPr>
          <w:rStyle w:val="Referencingstyle"/>
          <w:b w:val="0"/>
          <w:i w:val="0"/>
          <w:sz w:val="22"/>
        </w:rPr>
        <w:t>, including if:</w:t>
      </w:r>
    </w:p>
    <w:p w14:paraId="3EB52810" w14:textId="63E86634" w:rsidR="00AC0297" w:rsidRDefault="00AC0297" w:rsidP="00AC0297">
      <w:pPr>
        <w:pStyle w:val="dotpoint"/>
        <w:numPr>
          <w:ilvl w:val="1"/>
          <w:numId w:val="7"/>
        </w:numPr>
      </w:pPr>
      <w:r>
        <w:t>a special resolution has been passed by the members of the sub-fund for the sub-fund to be wound up by the Court;</w:t>
      </w:r>
    </w:p>
    <w:p w14:paraId="26E8DD96" w14:textId="48E4EA06" w:rsidR="00AC0297" w:rsidRPr="00F66D7F" w:rsidRDefault="00AC0297" w:rsidP="00AC0297">
      <w:pPr>
        <w:pStyle w:val="dotpoint"/>
        <w:numPr>
          <w:ilvl w:val="1"/>
          <w:numId w:val="7"/>
        </w:numPr>
        <w:shd w:val="clear" w:color="auto" w:fill="FFFFFF" w:themeFill="background1"/>
      </w:pPr>
      <w:r w:rsidRPr="00F66D7F">
        <w:t xml:space="preserve">the CCIV suspends </w:t>
      </w:r>
      <w:r w:rsidR="00B6160E">
        <w:t>the</w:t>
      </w:r>
      <w:r w:rsidRPr="00F66D7F">
        <w:t xml:space="preserve"> part of its business </w:t>
      </w:r>
      <w:r w:rsidR="00B6160E">
        <w:t xml:space="preserve">that relates to the sub-fund </w:t>
      </w:r>
      <w:r w:rsidRPr="00F66D7F">
        <w:t>for a whole year;</w:t>
      </w:r>
    </w:p>
    <w:p w14:paraId="6F87F193" w14:textId="3954CC17" w:rsidR="00AC0297" w:rsidRDefault="00AC0297" w:rsidP="00AC0297">
      <w:pPr>
        <w:pStyle w:val="dotpoint"/>
        <w:numPr>
          <w:ilvl w:val="1"/>
          <w:numId w:val="7"/>
        </w:numPr>
      </w:pPr>
      <w:r>
        <w:t>an act or omission is oppressive, unfairly prejudicial or unfairly discriminatory to members of the sub-fund; or</w:t>
      </w:r>
    </w:p>
    <w:p w14:paraId="4D4B744F" w14:textId="6E3801CB" w:rsidR="00AC0297" w:rsidRDefault="00AC0297" w:rsidP="00AC0297">
      <w:pPr>
        <w:pStyle w:val="dotpoint"/>
        <w:numPr>
          <w:ilvl w:val="1"/>
          <w:numId w:val="7"/>
        </w:numPr>
      </w:pPr>
      <w:r>
        <w:t>the Court is of the opinion that it is just and equitable that the sub-fund is wound up</w:t>
      </w:r>
      <w:r w:rsidR="00B935F9">
        <w:t>;</w:t>
      </w:r>
      <w:r>
        <w:t xml:space="preserve"> </w:t>
      </w:r>
      <w:r w:rsidR="00B935F9">
        <w:t>and</w:t>
      </w:r>
    </w:p>
    <w:p w14:paraId="109DBE47" w14:textId="1F656872" w:rsidR="00340E8B" w:rsidRDefault="006F525C" w:rsidP="00AC0297">
      <w:pPr>
        <w:pStyle w:val="dotpoint"/>
      </w:pPr>
      <w:r>
        <w:rPr>
          <w:rStyle w:val="Referencingstyle"/>
          <w:b w:val="0"/>
          <w:i w:val="0"/>
          <w:sz w:val="22"/>
        </w:rPr>
        <w:t>v</w:t>
      </w:r>
      <w:r w:rsidR="00AC0297">
        <w:rPr>
          <w:rStyle w:val="Referencingstyle"/>
          <w:b w:val="0"/>
          <w:i w:val="0"/>
          <w:sz w:val="22"/>
        </w:rPr>
        <w:t xml:space="preserve">oluntary winding up by the members </w:t>
      </w:r>
      <w:r w:rsidR="00701B5A">
        <w:t>(if the sub-fund is solvent) or by the creditors (if the sub-fund is insolvent)</w:t>
      </w:r>
      <w:r w:rsidR="00AC0297">
        <w:t xml:space="preserve"> </w:t>
      </w:r>
      <w:r w:rsidR="0025326F">
        <w:t>(see existing Part 5.5</w:t>
      </w:r>
      <w:r w:rsidR="00AC0297">
        <w:t>)</w:t>
      </w:r>
      <w:r w:rsidR="00B935F9">
        <w:t>.</w:t>
      </w:r>
    </w:p>
    <w:p w14:paraId="7C2DC19C" w14:textId="10C4F2B8" w:rsidR="00922B80" w:rsidRPr="00410445" w:rsidRDefault="00922B80" w:rsidP="00922B80">
      <w:pPr>
        <w:pStyle w:val="base-text-paragraph"/>
        <w:numPr>
          <w:ilvl w:val="0"/>
          <w:numId w:val="0"/>
        </w:numPr>
        <w:ind w:left="1134"/>
        <w:rPr>
          <w:rStyle w:val="Referencingstyle"/>
          <w:sz w:val="22"/>
        </w:rPr>
      </w:pPr>
      <w:r w:rsidRPr="00410445">
        <w:rPr>
          <w:rStyle w:val="Referencingstyle"/>
          <w:sz w:val="22"/>
        </w:rPr>
        <w:t>Statutory demands</w:t>
      </w:r>
    </w:p>
    <w:p w14:paraId="0DAFA251" w14:textId="0FFFF176" w:rsidR="00260447" w:rsidRDefault="00D64830" w:rsidP="005920BB">
      <w:pPr>
        <w:pStyle w:val="base-text-paragraph"/>
      </w:pPr>
      <w:r>
        <w:t>A</w:t>
      </w:r>
      <w:r w:rsidR="00922B80">
        <w:t xml:space="preserve"> creditor </w:t>
      </w:r>
      <w:r>
        <w:t>may</w:t>
      </w:r>
      <w:r w:rsidR="00922B80">
        <w:t xml:space="preserve"> serve a statutory demand on a CCIV. The statutory demand must specify the </w:t>
      </w:r>
      <w:r>
        <w:t>name</w:t>
      </w:r>
      <w:r w:rsidR="00D6645F">
        <w:t>s</w:t>
      </w:r>
      <w:r>
        <w:t xml:space="preserve"> </w:t>
      </w:r>
      <w:r w:rsidR="0067284B">
        <w:t>o</w:t>
      </w:r>
      <w:r w:rsidR="00EE3AC5">
        <w:t xml:space="preserve">f the </w:t>
      </w:r>
      <w:r w:rsidR="00922B80">
        <w:t xml:space="preserve">sub-funds of the CCIV </w:t>
      </w:r>
      <w:r>
        <w:t>to which</w:t>
      </w:r>
      <w:r w:rsidR="00922B80">
        <w:t xml:space="preserve"> the debt relates</w:t>
      </w:r>
      <w:r>
        <w:t xml:space="preserve"> </w:t>
      </w:r>
      <w:r w:rsidR="00260447">
        <w:t>and the proportion of the debt that relates to each sub-fund</w:t>
      </w:r>
      <w:r w:rsidR="00922B80">
        <w:t xml:space="preserve">. </w:t>
      </w:r>
      <w:r w:rsidR="00260447">
        <w:t>Th</w:t>
      </w:r>
      <w:r>
        <w:t>is</w:t>
      </w:r>
      <w:r w:rsidR="00260447">
        <w:t xml:space="preserve"> requirement </w:t>
      </w:r>
      <w:r>
        <w:t xml:space="preserve">is </w:t>
      </w:r>
      <w:r w:rsidR="00260447">
        <w:t>include</w:t>
      </w:r>
      <w:r>
        <w:t>d to ensure that</w:t>
      </w:r>
      <w:r w:rsidR="00260447">
        <w:t xml:space="preserve"> the solvency of the other sub-funds is not </w:t>
      </w:r>
      <w:r>
        <w:t>put into doubt</w:t>
      </w:r>
      <w:r w:rsidR="00EE3AC5">
        <w:t xml:space="preserve"> by the service of the statutory demand</w:t>
      </w:r>
      <w:r w:rsidR="00260447">
        <w:t xml:space="preserve">. </w:t>
      </w:r>
      <w:r w:rsidR="00260447">
        <w:rPr>
          <w:rStyle w:val="Referencingstyle"/>
        </w:rPr>
        <w:t>[Schedule </w:t>
      </w:r>
      <w:r w:rsidR="00B17641">
        <w:rPr>
          <w:rStyle w:val="Referencingstyle"/>
        </w:rPr>
        <w:t>2</w:t>
      </w:r>
      <w:r w:rsidR="00260447">
        <w:rPr>
          <w:rStyle w:val="Referencingstyle"/>
        </w:rPr>
        <w:t xml:space="preserve">, item </w:t>
      </w:r>
      <w:r w:rsidR="00B17641">
        <w:rPr>
          <w:rStyle w:val="Referencingstyle"/>
        </w:rPr>
        <w:t>1</w:t>
      </w:r>
      <w:r w:rsidR="00260447">
        <w:rPr>
          <w:rStyle w:val="Referencingstyle"/>
        </w:rPr>
        <w:t>, s</w:t>
      </w:r>
      <w:r>
        <w:rPr>
          <w:rStyle w:val="Referencingstyle"/>
        </w:rPr>
        <w:t>ubs</w:t>
      </w:r>
      <w:r w:rsidR="00260447">
        <w:rPr>
          <w:rStyle w:val="Referencingstyle"/>
        </w:rPr>
        <w:t>ection</w:t>
      </w:r>
      <w:r>
        <w:rPr>
          <w:rStyle w:val="Referencingstyle"/>
        </w:rPr>
        <w:t>s</w:t>
      </w:r>
      <w:r w:rsidR="00260447">
        <w:rPr>
          <w:rStyle w:val="Referencingstyle"/>
        </w:rPr>
        <w:t xml:space="preserve"> </w:t>
      </w:r>
      <w:r w:rsidR="00B17641">
        <w:rPr>
          <w:rStyle w:val="Referencingstyle"/>
        </w:rPr>
        <w:t>12-120</w:t>
      </w:r>
      <w:r>
        <w:rPr>
          <w:rStyle w:val="Referencingstyle"/>
        </w:rPr>
        <w:t>(1) and (2)</w:t>
      </w:r>
      <w:r w:rsidR="00260447">
        <w:rPr>
          <w:rStyle w:val="Referencingstyle"/>
        </w:rPr>
        <w:t>]</w:t>
      </w:r>
    </w:p>
    <w:p w14:paraId="7EB4243E" w14:textId="1456BAC5" w:rsidR="00D64830" w:rsidRDefault="0064406D" w:rsidP="005920BB">
      <w:pPr>
        <w:pStyle w:val="base-text-paragraph"/>
      </w:pPr>
      <w:r>
        <w:t>A statutory demand which does not name any sub-funds or does not specify the proportion of the debt allocated to each sub-fund is invalid. However, if the statutory demand names the incorrect sub-fund or the incorrect proportions, the statutory demand is not invalid</w:t>
      </w:r>
      <w:r w:rsidR="00D64830">
        <w:t xml:space="preserve"> </w:t>
      </w:r>
      <w:r w:rsidR="00712D8B">
        <w:t>and the Court may correct the defect</w:t>
      </w:r>
      <w:r w:rsidR="00D64830">
        <w:t xml:space="preserve"> (see paragraph </w:t>
      </w:r>
      <w:r w:rsidR="00D64830">
        <w:fldChar w:fldCharType="begin"/>
      </w:r>
      <w:r w:rsidR="00D64830">
        <w:instrText xml:space="preserve"> REF _Ref525218809 \r \h </w:instrText>
      </w:r>
      <w:r w:rsidR="00D64830">
        <w:fldChar w:fldCharType="separate"/>
      </w:r>
      <w:r w:rsidR="00275132">
        <w:t>3.101</w:t>
      </w:r>
      <w:r w:rsidR="00D64830">
        <w:fldChar w:fldCharType="end"/>
      </w:r>
      <w:r w:rsidR="00D64830">
        <w:t xml:space="preserve"> below).</w:t>
      </w:r>
    </w:p>
    <w:p w14:paraId="736798DD" w14:textId="427BDC8B" w:rsidR="00593752" w:rsidRDefault="00930366" w:rsidP="005920BB">
      <w:pPr>
        <w:pStyle w:val="base-text-paragraph"/>
      </w:pPr>
      <w:r>
        <w:t xml:space="preserve">Generally, </w:t>
      </w:r>
      <w:r w:rsidR="00D64830">
        <w:t>a</w:t>
      </w:r>
      <w:r w:rsidR="00922B80">
        <w:t xml:space="preserve"> creditor </w:t>
      </w:r>
      <w:r w:rsidR="004962CE">
        <w:t xml:space="preserve">would be able to </w:t>
      </w:r>
      <w:r>
        <w:t>identify the name of the sub-funds</w:t>
      </w:r>
      <w:r w:rsidR="00D64830">
        <w:t xml:space="preserve"> </w:t>
      </w:r>
      <w:r>
        <w:t xml:space="preserve">from </w:t>
      </w:r>
      <w:r w:rsidR="00E968C0">
        <w:t xml:space="preserve">its </w:t>
      </w:r>
      <w:r w:rsidR="00922B80">
        <w:t>contract</w:t>
      </w:r>
      <w:r w:rsidR="00E968C0">
        <w:t xml:space="preserve"> with the CCIV</w:t>
      </w:r>
      <w:r w:rsidR="00922B80">
        <w:t xml:space="preserve"> because the CCIV </w:t>
      </w:r>
      <w:r w:rsidR="00E968C0">
        <w:t xml:space="preserve">must </w:t>
      </w:r>
      <w:r w:rsidR="00922B80">
        <w:t>set out a sub-fund’s name and ARFN on all public documents and negotiable instruments</w:t>
      </w:r>
      <w:r w:rsidR="00E968C0">
        <w:t xml:space="preserve"> relating to the sub-fund’s business</w:t>
      </w:r>
      <w:r w:rsidR="00922B80">
        <w:t xml:space="preserve"> (see paragraph 3.76 of the Tranche 1 </w:t>
      </w:r>
      <w:r w:rsidR="0011578F">
        <w:t>Explanatory Materials</w:t>
      </w:r>
      <w:r w:rsidR="00922B80">
        <w:t xml:space="preserve">). </w:t>
      </w:r>
    </w:p>
    <w:p w14:paraId="50A6C59A" w14:textId="5CC0E0F9" w:rsidR="005920BB" w:rsidRPr="00593752" w:rsidRDefault="00260447" w:rsidP="005920BB">
      <w:pPr>
        <w:pStyle w:val="base-text-paragraph"/>
        <w:rPr>
          <w:rStyle w:val="Referencingstyle"/>
          <w:b w:val="0"/>
          <w:i w:val="0"/>
          <w:sz w:val="22"/>
        </w:rPr>
      </w:pPr>
      <w:r w:rsidRPr="00AA3F3D">
        <w:t>Nevertheless, the creditor may require the corporate director to confirm the name of the sub-fund.</w:t>
      </w:r>
      <w:r w:rsidR="00593752" w:rsidRPr="00AA3F3D">
        <w:t xml:space="preserve"> </w:t>
      </w:r>
      <w:r w:rsidR="00593752">
        <w:rPr>
          <w:rStyle w:val="Referencingstyle"/>
        </w:rPr>
        <w:t>[Schedule </w:t>
      </w:r>
      <w:r w:rsidR="00B17641">
        <w:rPr>
          <w:rStyle w:val="Referencingstyle"/>
        </w:rPr>
        <w:t>2</w:t>
      </w:r>
      <w:r w:rsidR="00593752">
        <w:rPr>
          <w:rStyle w:val="Referencingstyle"/>
        </w:rPr>
        <w:t xml:space="preserve">, item </w:t>
      </w:r>
      <w:r w:rsidR="00B17641">
        <w:rPr>
          <w:rStyle w:val="Referencingstyle"/>
        </w:rPr>
        <w:t>1</w:t>
      </w:r>
      <w:r w:rsidR="00593752">
        <w:rPr>
          <w:rStyle w:val="Referencingstyle"/>
        </w:rPr>
        <w:t xml:space="preserve">, paragraph </w:t>
      </w:r>
      <w:r w:rsidR="00B17641">
        <w:rPr>
          <w:rStyle w:val="Referencingstyle"/>
        </w:rPr>
        <w:t>12-155</w:t>
      </w:r>
      <w:r w:rsidR="00593752">
        <w:rPr>
          <w:rStyle w:val="Referencingstyle"/>
        </w:rPr>
        <w:t>(1)(</w:t>
      </w:r>
      <w:r w:rsidR="0011578F">
        <w:rPr>
          <w:rStyle w:val="Referencingstyle"/>
        </w:rPr>
        <w:t>a</w:t>
      </w:r>
      <w:r w:rsidR="00593752">
        <w:rPr>
          <w:rStyle w:val="Referencingstyle"/>
        </w:rPr>
        <w:t>)]</w:t>
      </w:r>
    </w:p>
    <w:p w14:paraId="59323E01" w14:textId="6BD55868" w:rsidR="00593752" w:rsidRPr="00AA3F3D" w:rsidRDefault="00260447" w:rsidP="00410445">
      <w:pPr>
        <w:pStyle w:val="base-text-paragraph"/>
      </w:pPr>
      <w:bookmarkStart w:id="75" w:name="_Ref525897944"/>
      <w:r w:rsidRPr="00AA3F3D">
        <w:t xml:space="preserve">The creditor may also require the corporate director to provide the part of the allocation records which relate to the debt. </w:t>
      </w:r>
      <w:r w:rsidR="00712D8B" w:rsidRPr="00AA3F3D">
        <w:t xml:space="preserve">This power is included as </w:t>
      </w:r>
      <w:r w:rsidRPr="00AA3F3D">
        <w:t xml:space="preserve">the allocation records are not publicly available and </w:t>
      </w:r>
      <w:r w:rsidR="00712D8B" w:rsidRPr="00AA3F3D">
        <w:t xml:space="preserve">contracts do not need to state the </w:t>
      </w:r>
      <w:r w:rsidRPr="00AA3F3D">
        <w:t xml:space="preserve">proportion of the debt </w:t>
      </w:r>
      <w:r w:rsidR="00712D8B" w:rsidRPr="00AA3F3D">
        <w:t>that is to be allocated to each sub-fund</w:t>
      </w:r>
      <w:r w:rsidRPr="00AA3F3D">
        <w:t xml:space="preserve">. </w:t>
      </w:r>
      <w:r w:rsidR="00593752">
        <w:rPr>
          <w:rStyle w:val="Referencingstyle"/>
        </w:rPr>
        <w:t>[Schedule </w:t>
      </w:r>
      <w:r w:rsidR="00B17641">
        <w:rPr>
          <w:rStyle w:val="Referencingstyle"/>
        </w:rPr>
        <w:t>2</w:t>
      </w:r>
      <w:r w:rsidR="00593752">
        <w:rPr>
          <w:rStyle w:val="Referencingstyle"/>
        </w:rPr>
        <w:t xml:space="preserve">, item </w:t>
      </w:r>
      <w:r w:rsidR="00B17641">
        <w:rPr>
          <w:rStyle w:val="Referencingstyle"/>
        </w:rPr>
        <w:t>1</w:t>
      </w:r>
      <w:r w:rsidR="00593752">
        <w:rPr>
          <w:rStyle w:val="Referencingstyle"/>
        </w:rPr>
        <w:t xml:space="preserve">, paragraph </w:t>
      </w:r>
      <w:r w:rsidR="00B17641">
        <w:rPr>
          <w:rStyle w:val="Referencingstyle"/>
        </w:rPr>
        <w:t>12-155</w:t>
      </w:r>
      <w:r w:rsidR="00593752">
        <w:rPr>
          <w:rStyle w:val="Referencingstyle"/>
        </w:rPr>
        <w:t>(1)(b)]</w:t>
      </w:r>
      <w:bookmarkEnd w:id="75"/>
    </w:p>
    <w:p w14:paraId="76A637B7" w14:textId="77777777" w:rsidR="00593752" w:rsidRPr="00AA3F3D" w:rsidRDefault="00593752" w:rsidP="00410445">
      <w:pPr>
        <w:pStyle w:val="base-text-paragraph"/>
      </w:pPr>
      <w:r w:rsidRPr="00AA3F3D">
        <w:t>A request for details about the identity of the sub-fund or the proportion of the debt allocated to the sub-funds must:</w:t>
      </w:r>
    </w:p>
    <w:p w14:paraId="31FD6F7E" w14:textId="77777777" w:rsidR="00593752" w:rsidRPr="00AA3F3D" w:rsidRDefault="00593752" w:rsidP="00AA3F3D">
      <w:pPr>
        <w:pStyle w:val="dotpoint"/>
      </w:pPr>
      <w:r w:rsidRPr="00AA3F3D">
        <w:t xml:space="preserve"> take the form of a written notice;</w:t>
      </w:r>
    </w:p>
    <w:p w14:paraId="669EDE06" w14:textId="77777777" w:rsidR="00593752" w:rsidRPr="00AA3F3D" w:rsidRDefault="00593752" w:rsidP="00AA3F3D">
      <w:pPr>
        <w:pStyle w:val="dotpoint"/>
      </w:pPr>
      <w:r w:rsidRPr="00AA3F3D">
        <w:t xml:space="preserve">include sufficient information to enable the corporate director to identify the debt, claim or property; and </w:t>
      </w:r>
    </w:p>
    <w:p w14:paraId="795F51C7" w14:textId="77777777" w:rsidR="00593752" w:rsidRDefault="00593752" w:rsidP="00AA3F3D">
      <w:pPr>
        <w:pStyle w:val="dotpoint"/>
      </w:pPr>
      <w:r w:rsidRPr="00AA3F3D">
        <w:t xml:space="preserve">specify how and by when the information needs to be provided. </w:t>
      </w:r>
    </w:p>
    <w:p w14:paraId="20D060D1" w14:textId="43334D44" w:rsidR="00593752" w:rsidRPr="00AA3F3D" w:rsidRDefault="00593752" w:rsidP="00AA3F3D">
      <w:pPr>
        <w:pStyle w:val="dotpoint"/>
        <w:numPr>
          <w:ilvl w:val="0"/>
          <w:numId w:val="0"/>
        </w:numPr>
        <w:ind w:left="1984"/>
      </w:pP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xml:space="preserve">, subsections </w:t>
      </w:r>
      <w:r w:rsidR="00B17641">
        <w:rPr>
          <w:rStyle w:val="Referencingstyle"/>
        </w:rPr>
        <w:t>12-155</w:t>
      </w:r>
      <w:r>
        <w:rPr>
          <w:rStyle w:val="Referencingstyle"/>
        </w:rPr>
        <w:t>(1) and (2)]</w:t>
      </w:r>
    </w:p>
    <w:p w14:paraId="56C1F029" w14:textId="1A0F820B" w:rsidR="00593752" w:rsidRPr="00F3729A" w:rsidRDefault="00593752" w:rsidP="00AA3F3D">
      <w:pPr>
        <w:pStyle w:val="base-text-paragraph"/>
      </w:pPr>
      <w:r w:rsidRPr="00AA3F3D">
        <w:t>The creditor must give the corporate director at least fourteen days to respond</w:t>
      </w:r>
      <w:r w:rsidR="008A7153" w:rsidRPr="00AA3F3D">
        <w:t>.</w:t>
      </w:r>
      <w:r w:rsidR="008A7153">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xml:space="preserve">, subsection </w:t>
      </w:r>
      <w:r w:rsidR="00B17641">
        <w:rPr>
          <w:rStyle w:val="Referencingstyle"/>
        </w:rPr>
        <w:t>12-155</w:t>
      </w:r>
      <w:r>
        <w:rPr>
          <w:rStyle w:val="Referencingstyle"/>
        </w:rPr>
        <w:t>(1)]</w:t>
      </w:r>
    </w:p>
    <w:p w14:paraId="0C497F58" w14:textId="4AC43F2A" w:rsidR="00260447" w:rsidRPr="00AA3F3D" w:rsidRDefault="00593752" w:rsidP="00593752">
      <w:pPr>
        <w:pStyle w:val="base-text-paragraph"/>
      </w:pPr>
      <w:r w:rsidRPr="00AA3F3D">
        <w:t xml:space="preserve"> </w:t>
      </w:r>
      <w:r>
        <w:t xml:space="preserve">If the corporate director fails to comply with a request for information within the specified time period, the corporate director commits a strict liability offence publishable by </w:t>
      </w:r>
      <w:r w:rsidR="00E968C0">
        <w:t xml:space="preserve">a fine of </w:t>
      </w:r>
      <w:r>
        <w:t>up to 20 penalty units. The imposition of a strict liability offence and the penalty is consistent with the Guide</w:t>
      </w:r>
      <w:r w:rsidR="00DA74FD">
        <w:t xml:space="preserve">. </w:t>
      </w:r>
      <w:r w:rsidR="0092787E">
        <w:t>A strict liability offence is required</w:t>
      </w:r>
      <w:r w:rsidR="00DA74FD">
        <w:t xml:space="preserve"> to ens</w:t>
      </w:r>
      <w:r w:rsidR="0092787E">
        <w:t xml:space="preserve">ure the integrity of the regime. If the corporate director fails to provide the requested information, a creditor may specify the incorrect sub-fund or </w:t>
      </w:r>
      <w:r w:rsidR="0011578F">
        <w:t>proportion</w:t>
      </w:r>
      <w:r w:rsidR="0092787E">
        <w:t xml:space="preserve"> in the statutory demand and thereby unnecessarily cast doubt on the solvency of </w:t>
      </w:r>
      <w:r w:rsidR="0011578F">
        <w:t>other</w:t>
      </w:r>
      <w:r w:rsidR="0092787E">
        <w:t xml:space="preserve"> sub-fund</w:t>
      </w:r>
      <w:r w:rsidR="0011578F">
        <w:t>s</w:t>
      </w:r>
      <w:r w:rsidR="0092787E">
        <w:t>.</w:t>
      </w:r>
      <w:r w:rsidR="0092787E" w:rsidRPr="0092787E">
        <w:rPr>
          <w:rStyle w:val="Referencingstyle"/>
        </w:rPr>
        <w:t xml:space="preserve"> </w:t>
      </w:r>
      <w:r w:rsidR="0092787E">
        <w:rPr>
          <w:rStyle w:val="Referencingstyle"/>
        </w:rPr>
        <w:t>[Schedule </w:t>
      </w:r>
      <w:r w:rsidR="00B17641">
        <w:rPr>
          <w:rStyle w:val="Referencingstyle"/>
        </w:rPr>
        <w:t>2</w:t>
      </w:r>
      <w:r w:rsidR="0092787E">
        <w:rPr>
          <w:rStyle w:val="Referencingstyle"/>
        </w:rPr>
        <w:t xml:space="preserve">, item </w:t>
      </w:r>
      <w:r w:rsidR="00B17641">
        <w:rPr>
          <w:rStyle w:val="Referencingstyle"/>
        </w:rPr>
        <w:t>1</w:t>
      </w:r>
      <w:r w:rsidR="0092787E">
        <w:rPr>
          <w:rStyle w:val="Referencingstyle"/>
        </w:rPr>
        <w:t xml:space="preserve">, subsection </w:t>
      </w:r>
      <w:r w:rsidR="00B17641">
        <w:rPr>
          <w:rStyle w:val="Referencingstyle"/>
        </w:rPr>
        <w:t>12-155</w:t>
      </w:r>
      <w:r w:rsidR="0092787E">
        <w:rPr>
          <w:rStyle w:val="Referencingstyle"/>
        </w:rPr>
        <w:t>(3)]</w:t>
      </w:r>
    </w:p>
    <w:p w14:paraId="5F5EDA11" w14:textId="7BFE6321" w:rsidR="00410445" w:rsidRPr="00922B80" w:rsidRDefault="00712D8B" w:rsidP="00410445">
      <w:pPr>
        <w:pStyle w:val="base-text-paragraph"/>
        <w:rPr>
          <w:rStyle w:val="Referencingstyle"/>
          <w:b w:val="0"/>
          <w:i w:val="0"/>
          <w:sz w:val="22"/>
        </w:rPr>
      </w:pPr>
      <w:r w:rsidRPr="00FA5B27">
        <w:t>A failure to comply with a statutory demand affects only the sub-funds specified in the statutory demand</w:t>
      </w:r>
      <w:r w:rsidR="005920BB">
        <w:t>.</w:t>
      </w:r>
      <w:r w:rsidR="00986D5E">
        <w:t xml:space="preserve"> The CCIV may challenge the identity of the sub-funds before the Court (see paragraph </w:t>
      </w:r>
      <w:r w:rsidR="00986D5E">
        <w:fldChar w:fldCharType="begin"/>
      </w:r>
      <w:r w:rsidR="00986D5E">
        <w:instrText xml:space="preserve"> REF _Ref523929312 \r \h </w:instrText>
      </w:r>
      <w:r w:rsidR="00986D5E">
        <w:fldChar w:fldCharType="separate"/>
      </w:r>
      <w:r w:rsidR="00275132">
        <w:t>3.85</w:t>
      </w:r>
      <w:r w:rsidR="00986D5E">
        <w:fldChar w:fldCharType="end"/>
      </w:r>
      <w:r w:rsidR="00986D5E">
        <w:t xml:space="preserve"> to </w:t>
      </w:r>
      <w:r w:rsidR="00986D5E">
        <w:fldChar w:fldCharType="begin"/>
      </w:r>
      <w:r w:rsidR="00986D5E">
        <w:instrText xml:space="preserve"> REF _Ref525220992 \r \h </w:instrText>
      </w:r>
      <w:r w:rsidR="00986D5E">
        <w:fldChar w:fldCharType="separate"/>
      </w:r>
      <w:r w:rsidR="00275132">
        <w:t>3.89</w:t>
      </w:r>
      <w:r w:rsidR="00986D5E">
        <w:fldChar w:fldCharType="end"/>
      </w:r>
      <w:r w:rsidR="00986D5E">
        <w:t xml:space="preserve"> of these explanatory materials) and if that challenge is successful, only the correct sub-funds specified in the statutory demand are affected.</w:t>
      </w:r>
      <w:r w:rsidR="00410445">
        <w:t xml:space="preserve"> </w:t>
      </w:r>
      <w:r w:rsidR="00410445">
        <w:rPr>
          <w:rStyle w:val="Referencingstyle"/>
        </w:rPr>
        <w:t>[Schedule </w:t>
      </w:r>
      <w:r w:rsidR="00B17641">
        <w:rPr>
          <w:rStyle w:val="Referencingstyle"/>
        </w:rPr>
        <w:t>2</w:t>
      </w:r>
      <w:r w:rsidR="00410445">
        <w:rPr>
          <w:rStyle w:val="Referencingstyle"/>
        </w:rPr>
        <w:t xml:space="preserve">, item </w:t>
      </w:r>
      <w:r w:rsidR="00B17641">
        <w:rPr>
          <w:rStyle w:val="Referencingstyle"/>
        </w:rPr>
        <w:t>1</w:t>
      </w:r>
      <w:r w:rsidR="00410445">
        <w:rPr>
          <w:rStyle w:val="Referencingstyle"/>
        </w:rPr>
        <w:t xml:space="preserve">, subsection </w:t>
      </w:r>
      <w:r w:rsidR="00B17641">
        <w:rPr>
          <w:rStyle w:val="Referencingstyle"/>
        </w:rPr>
        <w:t>12-120</w:t>
      </w:r>
      <w:r w:rsidR="00410445">
        <w:rPr>
          <w:rStyle w:val="Referencingstyle"/>
        </w:rPr>
        <w:t>(3)]</w:t>
      </w:r>
    </w:p>
    <w:p w14:paraId="57D7CB1C" w14:textId="0C97C578" w:rsidR="00410445" w:rsidRPr="00F40549" w:rsidRDefault="00410445" w:rsidP="00410445">
      <w:pPr>
        <w:pStyle w:val="ExampleHeading"/>
      </w:pPr>
      <w:r w:rsidRPr="00F40549">
        <w:t>: Consequence of failing to comply with a statutory demand</w:t>
      </w:r>
    </w:p>
    <w:p w14:paraId="3A775CE8" w14:textId="2DD7F2E5" w:rsidR="00410445" w:rsidRDefault="00260447" w:rsidP="00410445">
      <w:pPr>
        <w:pStyle w:val="exampletext"/>
      </w:pPr>
      <w:r>
        <w:t>A CCIV has two sub-funds</w:t>
      </w:r>
      <w:r w:rsidR="00410445">
        <w:t xml:space="preserve">. A statutory demand is served on the CCIV. The statutory demand refers only to </w:t>
      </w:r>
      <w:r>
        <w:t>the first sub-fund</w:t>
      </w:r>
      <w:r w:rsidR="00410445">
        <w:t xml:space="preserve"> and the CCIV does not seek to have the</w:t>
      </w:r>
      <w:r w:rsidR="00612DC9">
        <w:t xml:space="preserve"> statutory</w:t>
      </w:r>
      <w:r w:rsidR="00410445">
        <w:t xml:space="preserve"> demand set aside</w:t>
      </w:r>
      <w:r>
        <w:t xml:space="preserve"> or dispute the </w:t>
      </w:r>
      <w:r w:rsidR="00A6065D">
        <w:t xml:space="preserve">identity of the </w:t>
      </w:r>
      <w:r>
        <w:t>sub-fund</w:t>
      </w:r>
      <w:r w:rsidR="00612DC9">
        <w:t xml:space="preserve"> listed in the statutory demand</w:t>
      </w:r>
      <w:r w:rsidR="00410445">
        <w:t>.</w:t>
      </w:r>
    </w:p>
    <w:p w14:paraId="0F398B7B" w14:textId="77777777" w:rsidR="00260447" w:rsidRDefault="00410445" w:rsidP="00410445">
      <w:pPr>
        <w:pStyle w:val="exampletext"/>
      </w:pPr>
      <w:r>
        <w:t xml:space="preserve">The CCIV fails to comply with </w:t>
      </w:r>
      <w:r w:rsidR="00260447">
        <w:t xml:space="preserve">the </w:t>
      </w:r>
      <w:r>
        <w:t xml:space="preserve">statutory demand. </w:t>
      </w:r>
    </w:p>
    <w:p w14:paraId="6354E375" w14:textId="510694C5" w:rsidR="00930366" w:rsidRDefault="00260447" w:rsidP="00410445">
      <w:pPr>
        <w:pStyle w:val="exampletext"/>
      </w:pPr>
      <w:r>
        <w:t xml:space="preserve">Only the first sub-fund </w:t>
      </w:r>
      <w:r w:rsidR="00410445">
        <w:t xml:space="preserve">is presumed to be insolvent and may potentially be wound up. The failure to comply with statutory demand does not create any presumption of insolvency for </w:t>
      </w:r>
      <w:r>
        <w:t>the second sub-fund</w:t>
      </w:r>
      <w:r w:rsidR="00410445">
        <w:t>.</w:t>
      </w:r>
    </w:p>
    <w:p w14:paraId="47AEA271" w14:textId="25EA57E9" w:rsidR="00410445" w:rsidRPr="00260447" w:rsidRDefault="00410445" w:rsidP="00410445">
      <w:pPr>
        <w:pStyle w:val="Heading4"/>
        <w:rPr>
          <w:rStyle w:val="Referencingstyle"/>
          <w:i/>
          <w:sz w:val="22"/>
          <w:szCs w:val="22"/>
        </w:rPr>
      </w:pPr>
      <w:r w:rsidRPr="00260447">
        <w:rPr>
          <w:rStyle w:val="Referencingstyle"/>
          <w:i/>
          <w:sz w:val="22"/>
          <w:szCs w:val="22"/>
        </w:rPr>
        <w:t>Setting aside a statutory demand</w:t>
      </w:r>
    </w:p>
    <w:p w14:paraId="0F8E61C6" w14:textId="786F2307" w:rsidR="00D53A73" w:rsidRDefault="00410445" w:rsidP="00410445">
      <w:pPr>
        <w:pStyle w:val="base-text-paragraph"/>
        <w:rPr>
          <w:rStyle w:val="Referencingstyle"/>
          <w:b w:val="0"/>
          <w:i w:val="0"/>
          <w:sz w:val="22"/>
        </w:rPr>
      </w:pPr>
      <w:bookmarkStart w:id="76" w:name="_Ref524337916"/>
      <w:r>
        <w:rPr>
          <w:rStyle w:val="Referencingstyle"/>
          <w:b w:val="0"/>
          <w:i w:val="0"/>
          <w:sz w:val="22"/>
        </w:rPr>
        <w:t>A CCIV may apply to the Court for an order setting aside a statutory demand</w:t>
      </w:r>
      <w:r w:rsidR="00D53A73">
        <w:rPr>
          <w:rStyle w:val="Referencingstyle"/>
          <w:b w:val="0"/>
          <w:i w:val="0"/>
          <w:sz w:val="22"/>
        </w:rPr>
        <w:t xml:space="preserve"> if there is:</w:t>
      </w:r>
      <w:bookmarkEnd w:id="76"/>
    </w:p>
    <w:p w14:paraId="4377D761" w14:textId="287F08FB" w:rsidR="00D44D1B" w:rsidRDefault="00D44D1B" w:rsidP="00D53A73">
      <w:pPr>
        <w:pStyle w:val="dotpoint"/>
        <w:rPr>
          <w:rStyle w:val="Referencingstyle"/>
          <w:b w:val="0"/>
          <w:i w:val="0"/>
          <w:sz w:val="22"/>
        </w:rPr>
      </w:pPr>
      <w:r>
        <w:rPr>
          <w:rStyle w:val="Referencingstyle"/>
          <w:b w:val="0"/>
          <w:i w:val="0"/>
          <w:sz w:val="22"/>
        </w:rPr>
        <w:t>a dispute about the identity of the sub-funds</w:t>
      </w:r>
      <w:r w:rsidR="004D7A5F">
        <w:rPr>
          <w:rStyle w:val="Referencingstyle"/>
          <w:b w:val="0"/>
          <w:i w:val="0"/>
          <w:sz w:val="22"/>
        </w:rPr>
        <w:t xml:space="preserve"> or the proportion of the debt allocated to each sub-fund</w:t>
      </w:r>
      <w:r>
        <w:rPr>
          <w:rStyle w:val="Referencingstyle"/>
          <w:b w:val="0"/>
          <w:i w:val="0"/>
          <w:sz w:val="22"/>
        </w:rPr>
        <w:t xml:space="preserve">; </w:t>
      </w:r>
    </w:p>
    <w:p w14:paraId="2C885582" w14:textId="6EBD2470" w:rsidR="004D7A5F" w:rsidRDefault="00D53A73" w:rsidP="00D44D1B">
      <w:pPr>
        <w:pStyle w:val="dotpoint"/>
        <w:rPr>
          <w:rStyle w:val="Referencingstyle"/>
          <w:b w:val="0"/>
          <w:i w:val="0"/>
          <w:sz w:val="22"/>
        </w:rPr>
      </w:pPr>
      <w:r>
        <w:rPr>
          <w:rStyle w:val="Referencingstyle"/>
          <w:b w:val="0"/>
          <w:i w:val="0"/>
          <w:sz w:val="22"/>
        </w:rPr>
        <w:t>a genuine dispute about the amount or existence of the debt (</w:t>
      </w:r>
      <w:r w:rsidR="00410445">
        <w:rPr>
          <w:rStyle w:val="Referencingstyle"/>
          <w:b w:val="0"/>
          <w:i w:val="0"/>
          <w:sz w:val="22"/>
        </w:rPr>
        <w:t>under existing section</w:t>
      </w:r>
      <w:r w:rsidR="004D7A5F">
        <w:rPr>
          <w:rStyle w:val="Referencingstyle"/>
          <w:b w:val="0"/>
          <w:i w:val="0"/>
          <w:sz w:val="22"/>
        </w:rPr>
        <w:t>s</w:t>
      </w:r>
      <w:r w:rsidR="00410445">
        <w:rPr>
          <w:rStyle w:val="Referencingstyle"/>
          <w:b w:val="0"/>
          <w:i w:val="0"/>
          <w:sz w:val="22"/>
        </w:rPr>
        <w:t xml:space="preserve"> 459G</w:t>
      </w:r>
      <w:r w:rsidR="004D7A5F">
        <w:rPr>
          <w:rStyle w:val="Referencingstyle"/>
          <w:b w:val="0"/>
          <w:i w:val="0"/>
          <w:sz w:val="22"/>
        </w:rPr>
        <w:t xml:space="preserve"> and 459H</w:t>
      </w:r>
      <w:r>
        <w:rPr>
          <w:rStyle w:val="Referencingstyle"/>
          <w:b w:val="0"/>
          <w:i w:val="0"/>
          <w:sz w:val="22"/>
        </w:rPr>
        <w:t>)</w:t>
      </w:r>
      <w:r w:rsidR="004D7A5F">
        <w:rPr>
          <w:rStyle w:val="Referencingstyle"/>
          <w:b w:val="0"/>
          <w:i w:val="0"/>
          <w:sz w:val="22"/>
        </w:rPr>
        <w:t>; or</w:t>
      </w:r>
    </w:p>
    <w:p w14:paraId="5AE91AC9" w14:textId="16134654" w:rsidR="00D53A73" w:rsidRPr="00D44D1B" w:rsidRDefault="004D7A5F" w:rsidP="00D44D1B">
      <w:pPr>
        <w:pStyle w:val="dotpoint"/>
        <w:rPr>
          <w:rStyle w:val="Referencingstyle"/>
          <w:b w:val="0"/>
          <w:i w:val="0"/>
          <w:sz w:val="22"/>
        </w:rPr>
      </w:pPr>
      <w:r>
        <w:rPr>
          <w:rStyle w:val="Referencingstyle"/>
          <w:b w:val="0"/>
          <w:i w:val="0"/>
          <w:sz w:val="22"/>
        </w:rPr>
        <w:t xml:space="preserve">a dispute about both the identity of the sub-funds (or </w:t>
      </w:r>
      <w:r w:rsidR="00A6065D">
        <w:rPr>
          <w:rStyle w:val="Referencingstyle"/>
          <w:b w:val="0"/>
          <w:i w:val="0"/>
          <w:sz w:val="22"/>
        </w:rPr>
        <w:t xml:space="preserve">the </w:t>
      </w:r>
      <w:r>
        <w:rPr>
          <w:rStyle w:val="Referencingstyle"/>
          <w:b w:val="0"/>
          <w:i w:val="0"/>
          <w:sz w:val="22"/>
        </w:rPr>
        <w:t>proportion of the debt allocated to each sub-fund) and the amount/existence of the debt</w:t>
      </w:r>
      <w:r w:rsidR="00410445" w:rsidRPr="00D44D1B">
        <w:rPr>
          <w:rStyle w:val="Referencingstyle"/>
          <w:b w:val="0"/>
          <w:i w:val="0"/>
          <w:sz w:val="22"/>
        </w:rPr>
        <w:t>.</w:t>
      </w:r>
      <w:r w:rsidR="00613336" w:rsidRPr="00D44D1B">
        <w:rPr>
          <w:rStyle w:val="Referencingstyle"/>
          <w:b w:val="0"/>
          <w:i w:val="0"/>
          <w:sz w:val="22"/>
        </w:rPr>
        <w:t xml:space="preserve"> </w:t>
      </w:r>
    </w:p>
    <w:p w14:paraId="297B7B6E" w14:textId="4EB17219" w:rsidR="00410445" w:rsidRDefault="00410445" w:rsidP="004D7A5F">
      <w:pPr>
        <w:pStyle w:val="base-text-paragraph"/>
        <w:numPr>
          <w:ilvl w:val="0"/>
          <w:numId w:val="0"/>
        </w:numPr>
        <w:ind w:left="1678" w:firstLine="306"/>
        <w:rPr>
          <w:rStyle w:val="Referencingstyle"/>
        </w:rPr>
      </w:pPr>
      <w:r w:rsidRPr="00410445">
        <w:rPr>
          <w:rStyle w:val="Referencingstyle"/>
        </w:rPr>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xml:space="preserve">, subsection </w:t>
      </w:r>
      <w:r w:rsidR="00B17641">
        <w:rPr>
          <w:rStyle w:val="Referencingstyle"/>
        </w:rPr>
        <w:t>12-125</w:t>
      </w:r>
      <w:r w:rsidR="00D53A73">
        <w:rPr>
          <w:rStyle w:val="Referencingstyle"/>
        </w:rPr>
        <w:t xml:space="preserve"> and </w:t>
      </w:r>
      <w:r w:rsidR="00B17641">
        <w:rPr>
          <w:rStyle w:val="Referencingstyle"/>
        </w:rPr>
        <w:t>12-135</w:t>
      </w:r>
      <w:r>
        <w:rPr>
          <w:rStyle w:val="Referencingstyle"/>
        </w:rPr>
        <w:t>]</w:t>
      </w:r>
    </w:p>
    <w:p w14:paraId="334E191F" w14:textId="05AF3ADE" w:rsidR="004D7A5F" w:rsidRDefault="004D7A5F" w:rsidP="004D7A5F">
      <w:pPr>
        <w:pStyle w:val="base-text-paragraph"/>
        <w:rPr>
          <w:rStyle w:val="Referencingstyle"/>
          <w:b w:val="0"/>
          <w:i w:val="0"/>
          <w:sz w:val="22"/>
          <w:u w:val="single"/>
        </w:rPr>
      </w:pPr>
      <w:r>
        <w:rPr>
          <w:rStyle w:val="Referencingstyle"/>
          <w:b w:val="0"/>
          <w:i w:val="0"/>
          <w:sz w:val="22"/>
        </w:rPr>
        <w:t xml:space="preserve">A different process must be used to apply to the Court for an order setting aside a statutory demand in each of the scenarios outlined at paragraph </w:t>
      </w:r>
      <w:r>
        <w:rPr>
          <w:rStyle w:val="Referencingstyle"/>
          <w:b w:val="0"/>
          <w:i w:val="0"/>
          <w:sz w:val="22"/>
        </w:rPr>
        <w:fldChar w:fldCharType="begin"/>
      </w:r>
      <w:r>
        <w:rPr>
          <w:rStyle w:val="Referencingstyle"/>
          <w:b w:val="0"/>
          <w:i w:val="0"/>
          <w:sz w:val="22"/>
        </w:rPr>
        <w:instrText xml:space="preserve"> REF _Ref524337916 \r \h </w:instrText>
      </w:r>
      <w:r>
        <w:rPr>
          <w:rStyle w:val="Referencingstyle"/>
          <w:b w:val="0"/>
          <w:i w:val="0"/>
          <w:sz w:val="22"/>
        </w:rPr>
      </w:r>
      <w:r>
        <w:rPr>
          <w:rStyle w:val="Referencingstyle"/>
          <w:b w:val="0"/>
          <w:i w:val="0"/>
          <w:sz w:val="22"/>
        </w:rPr>
        <w:fldChar w:fldCharType="separate"/>
      </w:r>
      <w:r w:rsidR="00275132">
        <w:rPr>
          <w:rStyle w:val="Referencingstyle"/>
          <w:b w:val="0"/>
          <w:i w:val="0"/>
          <w:sz w:val="22"/>
        </w:rPr>
        <w:t>3.83</w:t>
      </w:r>
      <w:r>
        <w:rPr>
          <w:rStyle w:val="Referencingstyle"/>
          <w:b w:val="0"/>
          <w:i w:val="0"/>
          <w:sz w:val="22"/>
        </w:rPr>
        <w:fldChar w:fldCharType="end"/>
      </w:r>
      <w:r>
        <w:rPr>
          <w:rStyle w:val="Referencingstyle"/>
          <w:b w:val="0"/>
          <w:i w:val="0"/>
          <w:sz w:val="22"/>
        </w:rPr>
        <w:t xml:space="preserve"> above. </w:t>
      </w:r>
      <w:r w:rsidR="00794DB9">
        <w:rPr>
          <w:rStyle w:val="Referencingstyle"/>
          <w:b w:val="0"/>
          <w:i w:val="0"/>
          <w:sz w:val="22"/>
        </w:rPr>
        <w:t>These</w:t>
      </w:r>
      <w:r w:rsidR="00FF2B7F">
        <w:rPr>
          <w:rStyle w:val="Referencingstyle"/>
          <w:b w:val="0"/>
          <w:i w:val="0"/>
          <w:sz w:val="22"/>
        </w:rPr>
        <w:t> </w:t>
      </w:r>
      <w:r w:rsidR="00794DB9">
        <w:rPr>
          <w:rStyle w:val="Referencingstyle"/>
          <w:b w:val="0"/>
          <w:i w:val="0"/>
          <w:sz w:val="22"/>
        </w:rPr>
        <w:t>processes are explained below.</w:t>
      </w:r>
    </w:p>
    <w:p w14:paraId="1B40BB17" w14:textId="562693CD" w:rsidR="00D53A73" w:rsidRPr="00612DC9" w:rsidRDefault="00D53A73" w:rsidP="00D53A73">
      <w:pPr>
        <w:pStyle w:val="base-text-paragraph"/>
        <w:numPr>
          <w:ilvl w:val="0"/>
          <w:numId w:val="0"/>
        </w:numPr>
        <w:ind w:left="1134"/>
        <w:rPr>
          <w:rStyle w:val="Referencingstyle"/>
          <w:b w:val="0"/>
          <w:i w:val="0"/>
          <w:sz w:val="22"/>
        </w:rPr>
      </w:pPr>
      <w:r>
        <w:rPr>
          <w:rStyle w:val="Referencingstyle"/>
          <w:b w:val="0"/>
          <w:i w:val="0"/>
          <w:sz w:val="22"/>
          <w:u w:val="single"/>
        </w:rPr>
        <w:t>Disputes about the identity of the sub-fund</w:t>
      </w:r>
      <w:r w:rsidR="004D7A5F">
        <w:rPr>
          <w:rStyle w:val="Referencingstyle"/>
          <w:b w:val="0"/>
          <w:i w:val="0"/>
          <w:sz w:val="22"/>
          <w:u w:val="single"/>
        </w:rPr>
        <w:t xml:space="preserve"> or the proportion of the debt allocated to each sub-fund</w:t>
      </w:r>
    </w:p>
    <w:p w14:paraId="28E9B182" w14:textId="77777777" w:rsidR="00241D1D" w:rsidRDefault="00D53A73" w:rsidP="00241D1D">
      <w:pPr>
        <w:pStyle w:val="base-text-paragraph"/>
        <w:rPr>
          <w:rStyle w:val="Referencingstyle"/>
          <w:b w:val="0"/>
          <w:i w:val="0"/>
          <w:sz w:val="22"/>
        </w:rPr>
      </w:pPr>
      <w:bookmarkStart w:id="77" w:name="_Ref523929312"/>
      <w:r>
        <w:rPr>
          <w:rStyle w:val="Referencingstyle"/>
          <w:b w:val="0"/>
          <w:i w:val="0"/>
          <w:sz w:val="22"/>
        </w:rPr>
        <w:t>The CCIV can challenge the name of the sub</w:t>
      </w:r>
      <w:r w:rsidR="00241D1D">
        <w:rPr>
          <w:rStyle w:val="Referencingstyle"/>
          <w:b w:val="0"/>
          <w:i w:val="0"/>
          <w:sz w:val="22"/>
        </w:rPr>
        <w:t>-funds in a statutory demand by:</w:t>
      </w:r>
      <w:bookmarkEnd w:id="77"/>
    </w:p>
    <w:p w14:paraId="50AB5D91" w14:textId="35B44B74" w:rsidR="00241D1D" w:rsidRDefault="00241D1D" w:rsidP="00241D1D">
      <w:pPr>
        <w:pStyle w:val="dotpoint"/>
        <w:rPr>
          <w:rStyle w:val="Referencingstyle"/>
          <w:b w:val="0"/>
          <w:i w:val="0"/>
          <w:sz w:val="22"/>
        </w:rPr>
      </w:pPr>
      <w:r>
        <w:rPr>
          <w:rStyle w:val="Referencingstyle"/>
          <w:b w:val="0"/>
          <w:i w:val="0"/>
          <w:sz w:val="22"/>
        </w:rPr>
        <w:t>applying to the Court for an order setting aside a statutory demand under existing section 459G;</w:t>
      </w:r>
    </w:p>
    <w:p w14:paraId="2971573E" w14:textId="3361B283" w:rsidR="00241D1D" w:rsidRDefault="004D7A5F" w:rsidP="00241D1D">
      <w:pPr>
        <w:pStyle w:val="dotpoint"/>
        <w:rPr>
          <w:rStyle w:val="Referencingstyle"/>
          <w:b w:val="0"/>
          <w:i w:val="0"/>
          <w:sz w:val="22"/>
        </w:rPr>
      </w:pPr>
      <w:r>
        <w:rPr>
          <w:rStyle w:val="Referencingstyle"/>
          <w:b w:val="0"/>
          <w:i w:val="0"/>
          <w:sz w:val="22"/>
        </w:rPr>
        <w:t>filing</w:t>
      </w:r>
      <w:r w:rsidR="00D53A73">
        <w:rPr>
          <w:rStyle w:val="Referencingstyle"/>
          <w:b w:val="0"/>
          <w:i w:val="0"/>
          <w:sz w:val="22"/>
        </w:rPr>
        <w:t xml:space="preserve"> a notice </w:t>
      </w:r>
      <w:r w:rsidR="00241D1D">
        <w:rPr>
          <w:rStyle w:val="Referencingstyle"/>
          <w:b w:val="0"/>
          <w:i w:val="0"/>
          <w:sz w:val="22"/>
        </w:rPr>
        <w:t>setting out the name of the sub-fund(s) that the corporate director believes the debt relate</w:t>
      </w:r>
      <w:r w:rsidR="00E87113">
        <w:rPr>
          <w:rStyle w:val="Referencingstyle"/>
          <w:b w:val="0"/>
          <w:i w:val="0"/>
          <w:sz w:val="22"/>
        </w:rPr>
        <w:t>s</w:t>
      </w:r>
      <w:r w:rsidR="00241D1D">
        <w:rPr>
          <w:rStyle w:val="Referencingstyle"/>
          <w:b w:val="0"/>
          <w:i w:val="0"/>
          <w:sz w:val="22"/>
        </w:rPr>
        <w:t xml:space="preserve"> to and the </w:t>
      </w:r>
      <w:r w:rsidR="00241D1D" w:rsidRPr="005877D6">
        <w:rPr>
          <w:rStyle w:val="Referencingstyle"/>
          <w:b w:val="0"/>
          <w:i w:val="0"/>
          <w:sz w:val="22"/>
        </w:rPr>
        <w:t>proportion</w:t>
      </w:r>
      <w:r w:rsidR="00241D1D">
        <w:rPr>
          <w:rStyle w:val="Referencingstyle"/>
          <w:b w:val="0"/>
          <w:i w:val="0"/>
          <w:sz w:val="22"/>
        </w:rPr>
        <w:t xml:space="preserve"> of the debt allocated to each of those sub-funds; and</w:t>
      </w:r>
    </w:p>
    <w:p w14:paraId="797ABE94" w14:textId="5B20CB36" w:rsidR="00241D1D" w:rsidRDefault="00241D1D" w:rsidP="00241D1D">
      <w:pPr>
        <w:pStyle w:val="dotpoint"/>
        <w:rPr>
          <w:rStyle w:val="Referencingstyle"/>
          <w:b w:val="0"/>
          <w:i w:val="0"/>
          <w:sz w:val="22"/>
        </w:rPr>
      </w:pPr>
      <w:r>
        <w:rPr>
          <w:rStyle w:val="Referencingstyle"/>
          <w:b w:val="0"/>
          <w:i w:val="0"/>
          <w:sz w:val="22"/>
        </w:rPr>
        <w:t xml:space="preserve">serving </w:t>
      </w:r>
      <w:r w:rsidR="004D7A5F">
        <w:rPr>
          <w:rStyle w:val="Referencingstyle"/>
          <w:b w:val="0"/>
          <w:i w:val="0"/>
          <w:sz w:val="22"/>
        </w:rPr>
        <w:t xml:space="preserve">a copy of </w:t>
      </w:r>
      <w:r>
        <w:rPr>
          <w:rStyle w:val="Referencingstyle"/>
          <w:b w:val="0"/>
          <w:i w:val="0"/>
          <w:sz w:val="22"/>
        </w:rPr>
        <w:t xml:space="preserve">the notice </w:t>
      </w:r>
      <w:r w:rsidR="00D53A73">
        <w:rPr>
          <w:rStyle w:val="Referencingstyle"/>
          <w:b w:val="0"/>
          <w:i w:val="0"/>
          <w:sz w:val="22"/>
        </w:rPr>
        <w:t xml:space="preserve">on the </w:t>
      </w:r>
      <w:r>
        <w:rPr>
          <w:rStyle w:val="Referencingstyle"/>
          <w:b w:val="0"/>
          <w:i w:val="0"/>
          <w:sz w:val="22"/>
        </w:rPr>
        <w:t xml:space="preserve">person who served the statutory demand on the CCIV. </w:t>
      </w:r>
    </w:p>
    <w:p w14:paraId="0E6049A1" w14:textId="1D173BEE" w:rsidR="00241D1D" w:rsidRPr="00D53A73" w:rsidRDefault="00241D1D" w:rsidP="00241D1D">
      <w:pPr>
        <w:pStyle w:val="dotpoint"/>
        <w:numPr>
          <w:ilvl w:val="0"/>
          <w:numId w:val="0"/>
        </w:numPr>
        <w:ind w:left="2268"/>
        <w:rPr>
          <w:rStyle w:val="Referencingstyle"/>
          <w:b w:val="0"/>
          <w:i w:val="0"/>
          <w:sz w:val="22"/>
        </w:rPr>
      </w:pP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s</w:t>
      </w:r>
      <w:r w:rsidR="004D7A5F">
        <w:rPr>
          <w:rStyle w:val="Referencingstyle"/>
        </w:rPr>
        <w:t>ubs</w:t>
      </w:r>
      <w:r>
        <w:rPr>
          <w:rStyle w:val="Referencingstyle"/>
        </w:rPr>
        <w:t xml:space="preserve">ection </w:t>
      </w:r>
      <w:r w:rsidR="00B17641">
        <w:rPr>
          <w:rStyle w:val="Referencingstyle"/>
        </w:rPr>
        <w:t>12-135</w:t>
      </w:r>
      <w:r w:rsidR="004D7A5F">
        <w:rPr>
          <w:rStyle w:val="Referencingstyle"/>
        </w:rPr>
        <w:t>(1)</w:t>
      </w:r>
      <w:r>
        <w:rPr>
          <w:rStyle w:val="Referencingstyle"/>
        </w:rPr>
        <w:t xml:space="preserve"> and </w:t>
      </w:r>
      <w:r w:rsidR="004D7A5F">
        <w:rPr>
          <w:rStyle w:val="Referencingstyle"/>
        </w:rPr>
        <w:t xml:space="preserve">section </w:t>
      </w:r>
      <w:r w:rsidR="00B17641">
        <w:rPr>
          <w:rStyle w:val="Referencingstyle"/>
        </w:rPr>
        <w:t>12-140</w:t>
      </w:r>
      <w:r>
        <w:rPr>
          <w:rStyle w:val="Referencingstyle"/>
        </w:rPr>
        <w:t>]</w:t>
      </w:r>
    </w:p>
    <w:p w14:paraId="2C362691" w14:textId="566C7C9E" w:rsidR="00241D1D" w:rsidRPr="00D53A73" w:rsidRDefault="00241D1D" w:rsidP="00241D1D">
      <w:pPr>
        <w:pStyle w:val="base-text-paragraph"/>
        <w:rPr>
          <w:rStyle w:val="Referencingstyle"/>
          <w:b w:val="0"/>
          <w:i w:val="0"/>
          <w:sz w:val="22"/>
        </w:rPr>
      </w:pPr>
      <w:r>
        <w:rPr>
          <w:rStyle w:val="Referencingstyle"/>
          <w:b w:val="0"/>
          <w:i w:val="0"/>
          <w:sz w:val="22"/>
        </w:rPr>
        <w:t>The application to the Court, along with the lodgement and serving of the notice, must occur within 21 days after the statutory demand is served on the CCIV (see</w:t>
      </w:r>
      <w:r w:rsidR="00FF2B7F">
        <w:rPr>
          <w:rStyle w:val="Referencingstyle"/>
          <w:b w:val="0"/>
          <w:i w:val="0"/>
          <w:sz w:val="22"/>
        </w:rPr>
        <w:t> </w:t>
      </w:r>
      <w:r>
        <w:rPr>
          <w:rStyle w:val="Referencingstyle"/>
          <w:b w:val="0"/>
          <w:i w:val="0"/>
          <w:sz w:val="22"/>
        </w:rPr>
        <w:t>existing section 459G).</w:t>
      </w:r>
      <w:r w:rsidRPr="00241D1D">
        <w:rPr>
          <w:rStyle w:val="Referencingstyle"/>
        </w:rPr>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xml:space="preserve">, </w:t>
      </w:r>
      <w:r w:rsidR="00285E6D">
        <w:rPr>
          <w:rStyle w:val="Referencingstyle"/>
        </w:rPr>
        <w:t>subsection</w:t>
      </w:r>
      <w:r>
        <w:rPr>
          <w:rStyle w:val="Referencingstyle"/>
        </w:rPr>
        <w:t xml:space="preserve"> </w:t>
      </w:r>
      <w:r w:rsidR="00B17641">
        <w:rPr>
          <w:rStyle w:val="Referencingstyle"/>
        </w:rPr>
        <w:t>12-135</w:t>
      </w:r>
      <w:r w:rsidR="00285E6D">
        <w:rPr>
          <w:rStyle w:val="Referencingstyle"/>
        </w:rPr>
        <w:t>(1)</w:t>
      </w:r>
      <w:r>
        <w:rPr>
          <w:rStyle w:val="Referencingstyle"/>
        </w:rPr>
        <w:t>]</w:t>
      </w:r>
    </w:p>
    <w:p w14:paraId="483C6815" w14:textId="09093AE0" w:rsidR="00285E6D" w:rsidRPr="00D53A73" w:rsidRDefault="00285E6D" w:rsidP="00AA3F3D">
      <w:pPr>
        <w:pStyle w:val="base-text-paragraph"/>
        <w:shd w:val="clear" w:color="auto" w:fill="FFFFFF" w:themeFill="background1"/>
        <w:rPr>
          <w:rStyle w:val="Referencingstyle"/>
          <w:b w:val="0"/>
          <w:i w:val="0"/>
          <w:sz w:val="22"/>
        </w:rPr>
      </w:pPr>
      <w:r w:rsidRPr="00285E6D">
        <w:rPr>
          <w:rStyle w:val="Referencingstyle"/>
          <w:b w:val="0"/>
          <w:i w:val="0"/>
          <w:sz w:val="22"/>
        </w:rPr>
        <w:t xml:space="preserve">The Court must determine the sub-fund or sub-funds of which the debt is a liability and the </w:t>
      </w:r>
      <w:r w:rsidR="00753A8E" w:rsidRPr="00AA3F3D">
        <w:rPr>
          <w:rStyle w:val="Referencingstyle"/>
          <w:b w:val="0"/>
          <w:i w:val="0"/>
          <w:sz w:val="22"/>
        </w:rPr>
        <w:t>proportion</w:t>
      </w:r>
      <w:r w:rsidRPr="00285E6D">
        <w:rPr>
          <w:rStyle w:val="Referencingstyle"/>
          <w:b w:val="0"/>
          <w:i w:val="0"/>
          <w:sz w:val="22"/>
        </w:rPr>
        <w:t xml:space="preserve"> of the debt allocated to each sub-fund. If the </w:t>
      </w:r>
      <w:r>
        <w:rPr>
          <w:rStyle w:val="Referencingstyle"/>
          <w:b w:val="0"/>
          <w:i w:val="0"/>
          <w:sz w:val="22"/>
        </w:rPr>
        <w:t>statutory demand fails to identify the correct sub-fund</w:t>
      </w:r>
      <w:r w:rsidR="00753A8E">
        <w:rPr>
          <w:rStyle w:val="Referencingstyle"/>
          <w:b w:val="0"/>
          <w:i w:val="0"/>
          <w:sz w:val="22"/>
        </w:rPr>
        <w:t xml:space="preserve"> or the correct </w:t>
      </w:r>
      <w:r w:rsidR="00753A8E" w:rsidRPr="005877D6">
        <w:rPr>
          <w:rStyle w:val="Referencingstyle"/>
          <w:b w:val="0"/>
          <w:i w:val="0"/>
          <w:sz w:val="22"/>
        </w:rPr>
        <w:t>proportion</w:t>
      </w:r>
      <w:r>
        <w:rPr>
          <w:rStyle w:val="Referencingstyle"/>
          <w:b w:val="0"/>
          <w:i w:val="0"/>
          <w:sz w:val="22"/>
        </w:rPr>
        <w:t>, the Court may make an order varying the statutory demand and declaring the demand to have had effect as from when the demand was served on the CCIV. The order may be made subject to conditions.</w:t>
      </w:r>
      <w:r w:rsidRPr="00285E6D">
        <w:rPr>
          <w:rStyle w:val="Referencingstyle"/>
          <w:b w:val="0"/>
          <w:i w:val="0"/>
          <w:sz w:val="22"/>
        </w:rPr>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xml:space="preserve">, subsections </w:t>
      </w:r>
      <w:r w:rsidR="00B17641">
        <w:rPr>
          <w:rStyle w:val="Referencingstyle"/>
        </w:rPr>
        <w:t>12-135</w:t>
      </w:r>
      <w:r>
        <w:rPr>
          <w:rStyle w:val="Referencingstyle"/>
        </w:rPr>
        <w:t>(2) and (3)]</w:t>
      </w:r>
    </w:p>
    <w:p w14:paraId="63E3A9DA" w14:textId="57B1BA58" w:rsidR="00285E6D" w:rsidRPr="00D53A73" w:rsidRDefault="00285E6D" w:rsidP="00AA3F3D">
      <w:pPr>
        <w:pStyle w:val="base-text-paragraph"/>
        <w:shd w:val="clear" w:color="auto" w:fill="FFFFFF" w:themeFill="background1"/>
        <w:rPr>
          <w:rStyle w:val="Referencingstyle"/>
          <w:b w:val="0"/>
          <w:i w:val="0"/>
          <w:sz w:val="22"/>
        </w:rPr>
      </w:pPr>
      <w:r w:rsidRPr="00FA5B27">
        <w:t xml:space="preserve">The Court retains its discretionary power to set aside the statutory demand if it is of the view that the failure to identify the correct sub-fund </w:t>
      </w:r>
      <w:r w:rsidR="00753A8E">
        <w:t xml:space="preserve">or the correct </w:t>
      </w:r>
      <w:r w:rsidR="00753A8E" w:rsidRPr="005877D6">
        <w:t>proportion</w:t>
      </w:r>
      <w:r w:rsidR="00753A8E">
        <w:t xml:space="preserve"> </w:t>
      </w:r>
      <w:r>
        <w:t>will cause substantial injustice</w:t>
      </w:r>
      <w:r w:rsidR="004D7A5F">
        <w:t xml:space="preserve"> under existing section 459J</w:t>
      </w:r>
      <w:r>
        <w:t>. Alternatively, the Court may impose conditions on the order varying the statutory demand.</w:t>
      </w:r>
      <w:r w:rsidRPr="00285E6D">
        <w:rPr>
          <w:rStyle w:val="Referencingstyle"/>
        </w:rPr>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subsections</w:t>
      </w:r>
      <w:r w:rsidR="007D7127">
        <w:rPr>
          <w:rStyle w:val="Referencingstyle"/>
        </w:rPr>
        <w:t> </w:t>
      </w:r>
      <w:r w:rsidR="00B17641">
        <w:rPr>
          <w:rStyle w:val="Referencingstyle"/>
        </w:rPr>
        <w:t>12-135</w:t>
      </w:r>
      <w:r>
        <w:rPr>
          <w:rStyle w:val="Referencingstyle"/>
        </w:rPr>
        <w:t>(3) and (4)]</w:t>
      </w:r>
    </w:p>
    <w:p w14:paraId="41D03C35" w14:textId="09E2C8F1" w:rsidR="005E44EE" w:rsidRPr="00D44D1B" w:rsidRDefault="005E44EE" w:rsidP="005E44EE">
      <w:pPr>
        <w:pStyle w:val="base-text-paragraph"/>
        <w:rPr>
          <w:rStyle w:val="Referencingstyle"/>
          <w:b w:val="0"/>
          <w:i w:val="0"/>
          <w:sz w:val="22"/>
        </w:rPr>
      </w:pPr>
      <w:bookmarkStart w:id="78" w:name="_Ref525220992"/>
      <w:r w:rsidRPr="00FA5B27">
        <w:t>If the Court concludes that the statutory demand correctly identifies the sub</w:t>
      </w:r>
      <w:r w:rsidR="00FF2B7F">
        <w:noBreakHyphen/>
      </w:r>
      <w:r w:rsidRPr="00FA5B27">
        <w:t>fund, the Court must dismiss th</w:t>
      </w:r>
      <w:r w:rsidRPr="003801D6">
        <w:t>e application under existing section 459L.</w:t>
      </w:r>
      <w:r w:rsidRPr="00285E6D">
        <w:rPr>
          <w:rStyle w:val="Referencingstyle"/>
        </w:rPr>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xml:space="preserve">, subsection </w:t>
      </w:r>
      <w:r w:rsidR="00B17641">
        <w:rPr>
          <w:rStyle w:val="Referencingstyle"/>
        </w:rPr>
        <w:t>12-135</w:t>
      </w:r>
      <w:r>
        <w:rPr>
          <w:rStyle w:val="Referencingstyle"/>
        </w:rPr>
        <w:t>(5)]</w:t>
      </w:r>
      <w:bookmarkEnd w:id="78"/>
    </w:p>
    <w:p w14:paraId="745FCBCA" w14:textId="77777777" w:rsidR="00D44D1B" w:rsidRPr="00FA5B27" w:rsidRDefault="00D44D1B" w:rsidP="00D44D1B">
      <w:pPr>
        <w:pStyle w:val="Heading6"/>
        <w:rPr>
          <w:rStyle w:val="Referencingstyle"/>
          <w:b w:val="0"/>
          <w:i w:val="0"/>
          <w:sz w:val="22"/>
        </w:rPr>
      </w:pPr>
      <w:r w:rsidRPr="00D53A73">
        <w:rPr>
          <w:rStyle w:val="Referencingstyle"/>
          <w:b w:val="0"/>
          <w:i w:val="0"/>
          <w:sz w:val="22"/>
        </w:rPr>
        <w:t>Disputes about the existence or amount of a debt</w:t>
      </w:r>
    </w:p>
    <w:p w14:paraId="1A19FD52" w14:textId="74911C3A" w:rsidR="00D44D1B" w:rsidRPr="00FA5B27" w:rsidRDefault="00D44D1B" w:rsidP="00D44D1B">
      <w:pPr>
        <w:pStyle w:val="base-text-paragraph"/>
        <w:rPr>
          <w:rStyle w:val="Referencingstyle"/>
          <w:b w:val="0"/>
          <w:i w:val="0"/>
          <w:sz w:val="22"/>
        </w:rPr>
      </w:pPr>
      <w:bookmarkStart w:id="79" w:name="_Ref523921752"/>
      <w:r>
        <w:rPr>
          <w:rStyle w:val="Referencingstyle"/>
          <w:b w:val="0"/>
          <w:i w:val="0"/>
          <w:sz w:val="22"/>
        </w:rPr>
        <w:t>The Court may set aside the statutory demand if there is a genuine dispute about the existence of the debt or there is a genuine dispute about the amount of the debt and the ‘substantiated amount’ (essentially the amount not in dispute) is less than $2</w:t>
      </w:r>
      <w:r w:rsidR="00FF2B7F">
        <w:rPr>
          <w:rStyle w:val="Referencingstyle"/>
          <w:b w:val="0"/>
          <w:i w:val="0"/>
          <w:sz w:val="22"/>
        </w:rPr>
        <w:t>,</w:t>
      </w:r>
      <w:r>
        <w:rPr>
          <w:rStyle w:val="Referencingstyle"/>
          <w:b w:val="0"/>
          <w:i w:val="0"/>
          <w:sz w:val="22"/>
        </w:rPr>
        <w:t xml:space="preserve">000. The substantiated amount is the difference between the ‘admitted amount’ (which is </w:t>
      </w:r>
      <w:r w:rsidR="007737A6">
        <w:rPr>
          <w:rStyle w:val="Referencingstyle"/>
          <w:b w:val="0"/>
          <w:i w:val="0"/>
          <w:sz w:val="22"/>
        </w:rPr>
        <w:t xml:space="preserve">essentially </w:t>
      </w:r>
      <w:r>
        <w:rPr>
          <w:rStyle w:val="Referencingstyle"/>
          <w:b w:val="0"/>
          <w:i w:val="0"/>
          <w:sz w:val="22"/>
        </w:rPr>
        <w:t>the amount of the debt that is not, in the Court’s view, in dispute) and the amount of any offsetting claims (see existing section 459H).</w:t>
      </w:r>
      <w:bookmarkEnd w:id="79"/>
    </w:p>
    <w:p w14:paraId="7217F83F" w14:textId="0E845D3D" w:rsidR="00D44D1B" w:rsidRPr="005E44EE" w:rsidRDefault="00D44D1B" w:rsidP="00613336">
      <w:pPr>
        <w:pStyle w:val="base-text-paragraph"/>
        <w:rPr>
          <w:rStyle w:val="Referencingstyle"/>
          <w:b w:val="0"/>
          <w:i w:val="0"/>
          <w:sz w:val="22"/>
        </w:rPr>
      </w:pPr>
      <w:r>
        <w:rPr>
          <w:rStyle w:val="Referencingstyle"/>
          <w:b w:val="0"/>
          <w:i w:val="0"/>
          <w:sz w:val="22"/>
        </w:rPr>
        <w:t xml:space="preserve">The ‘substantiated amount’ and the ‘admitted amount’ are calculated </w:t>
      </w:r>
      <w:r w:rsidR="00753A8E">
        <w:rPr>
          <w:rStyle w:val="Referencingstyle"/>
          <w:b w:val="0"/>
          <w:i w:val="0"/>
          <w:sz w:val="22"/>
        </w:rPr>
        <w:t xml:space="preserve">separately </w:t>
      </w:r>
      <w:r>
        <w:rPr>
          <w:rStyle w:val="Referencingstyle"/>
          <w:b w:val="0"/>
          <w:i w:val="0"/>
          <w:sz w:val="22"/>
        </w:rPr>
        <w:t>in relation to each sub-fund specified in the statutory demand. In other words, the amount of the debt is determined by having regard to only the proportion of the debt and any offsetting claims that relate to the sub-fund. These amounts may be calculated by using the records of allocations that corporate directors are required to retain (see</w:t>
      </w:r>
      <w:r w:rsidR="00FF2B7F">
        <w:rPr>
          <w:rStyle w:val="Referencingstyle"/>
          <w:b w:val="0"/>
          <w:i w:val="0"/>
          <w:sz w:val="22"/>
        </w:rPr>
        <w:t> </w:t>
      </w:r>
      <w:r>
        <w:rPr>
          <w:rStyle w:val="Referencingstyle"/>
          <w:b w:val="0"/>
          <w:i w:val="0"/>
          <w:sz w:val="22"/>
        </w:rPr>
        <w:t>paragraph</w:t>
      </w:r>
      <w:r w:rsidR="00FF2B7F">
        <w:rPr>
          <w:rStyle w:val="Referencingstyle"/>
          <w:b w:val="0"/>
          <w:i w:val="0"/>
          <w:sz w:val="22"/>
        </w:rPr>
        <w:t> </w:t>
      </w:r>
      <w:r>
        <w:rPr>
          <w:rStyle w:val="Referencingstyle"/>
          <w:b w:val="0"/>
          <w:i w:val="0"/>
          <w:sz w:val="22"/>
        </w:rPr>
        <w:t xml:space="preserve">3.55 of the Tranche 1 </w:t>
      </w:r>
      <w:r w:rsidR="00FF2B7F">
        <w:rPr>
          <w:rStyle w:val="Referencingstyle"/>
          <w:b w:val="0"/>
          <w:i w:val="0"/>
          <w:sz w:val="22"/>
        </w:rPr>
        <w:t>E</w:t>
      </w:r>
      <w:r w:rsidR="007737A6">
        <w:rPr>
          <w:rStyle w:val="Referencingstyle"/>
          <w:b w:val="0"/>
          <w:i w:val="0"/>
          <w:sz w:val="22"/>
        </w:rPr>
        <w:t xml:space="preserve">xplanatory </w:t>
      </w:r>
      <w:r w:rsidR="00FF2B7F">
        <w:rPr>
          <w:rStyle w:val="Referencingstyle"/>
          <w:b w:val="0"/>
          <w:i w:val="0"/>
          <w:sz w:val="22"/>
        </w:rPr>
        <w:t>M</w:t>
      </w:r>
      <w:r w:rsidR="007737A6">
        <w:rPr>
          <w:rStyle w:val="Referencingstyle"/>
          <w:b w:val="0"/>
          <w:i w:val="0"/>
          <w:sz w:val="22"/>
        </w:rPr>
        <w:t>aterials</w:t>
      </w:r>
      <w:r>
        <w:rPr>
          <w:rStyle w:val="Referencingstyle"/>
          <w:b w:val="0"/>
          <w:i w:val="0"/>
          <w:sz w:val="22"/>
        </w:rPr>
        <w:t>).</w:t>
      </w:r>
      <w:r w:rsidRPr="00613336">
        <w:rPr>
          <w:rStyle w:val="Referencingstyle"/>
        </w:rPr>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section</w:t>
      </w:r>
      <w:r w:rsidR="007D7127">
        <w:rPr>
          <w:rStyle w:val="Referencingstyle"/>
        </w:rPr>
        <w:t> </w:t>
      </w:r>
      <w:r w:rsidR="00B17641">
        <w:rPr>
          <w:rStyle w:val="Referencingstyle"/>
        </w:rPr>
        <w:t>12</w:t>
      </w:r>
      <w:r w:rsidR="007D7127">
        <w:rPr>
          <w:rStyle w:val="Referencingstyle"/>
        </w:rPr>
        <w:noBreakHyphen/>
      </w:r>
      <w:r w:rsidR="00B17641">
        <w:rPr>
          <w:rStyle w:val="Referencingstyle"/>
        </w:rPr>
        <w:t>130</w:t>
      </w:r>
      <w:r>
        <w:rPr>
          <w:rStyle w:val="Referencingstyle"/>
        </w:rPr>
        <w:t>]</w:t>
      </w:r>
    </w:p>
    <w:p w14:paraId="1C9B7157" w14:textId="60C0A023" w:rsidR="00D44D1B" w:rsidRPr="00D53A73" w:rsidRDefault="00D44D1B" w:rsidP="00D44D1B">
      <w:pPr>
        <w:pStyle w:val="base-text-paragraph"/>
        <w:rPr>
          <w:rStyle w:val="Referencingstyle"/>
          <w:b w:val="0"/>
          <w:i w:val="0"/>
          <w:sz w:val="22"/>
        </w:rPr>
      </w:pPr>
      <w:bookmarkStart w:id="80" w:name="_Ref523921760"/>
      <w:r>
        <w:rPr>
          <w:rStyle w:val="Referencingstyle"/>
          <w:b w:val="0"/>
          <w:i w:val="0"/>
          <w:sz w:val="22"/>
        </w:rPr>
        <w:t>The Court must dismiss the application if the Court is not of the view that there is a genuine dispute about the existence of the debt or that the substantiated amount is less than $2,000 (see existing section 459L).</w:t>
      </w:r>
      <w:bookmarkEnd w:id="80"/>
    </w:p>
    <w:p w14:paraId="101E90A0" w14:textId="12AA40A7" w:rsidR="004D7A5F" w:rsidRPr="004D7A5F" w:rsidRDefault="004D7A5F" w:rsidP="00AA3F3D">
      <w:pPr>
        <w:pStyle w:val="base-text-paragraph"/>
        <w:keepNext/>
        <w:keepLines/>
        <w:numPr>
          <w:ilvl w:val="0"/>
          <w:numId w:val="0"/>
        </w:numPr>
        <w:ind w:left="1134"/>
        <w:rPr>
          <w:rStyle w:val="Referencingstyle"/>
          <w:b w:val="0"/>
          <w:i w:val="0"/>
          <w:sz w:val="22"/>
          <w:szCs w:val="22"/>
          <w:u w:val="single"/>
        </w:rPr>
      </w:pPr>
      <w:r>
        <w:rPr>
          <w:rStyle w:val="Referencingstyle"/>
          <w:b w:val="0"/>
          <w:i w:val="0"/>
          <w:sz w:val="22"/>
          <w:szCs w:val="22"/>
          <w:u w:val="single"/>
        </w:rPr>
        <w:t>Disputes about both the identity of the sub-funds and the existence/amount of the debt</w:t>
      </w:r>
    </w:p>
    <w:p w14:paraId="58EA2E79" w14:textId="6A14B684" w:rsidR="004D7A5F" w:rsidRPr="00D44D1B" w:rsidRDefault="004D7A5F" w:rsidP="004D7A5F">
      <w:pPr>
        <w:pStyle w:val="base-text-paragraph"/>
        <w:rPr>
          <w:rStyle w:val="Referencingstyle"/>
          <w:b w:val="0"/>
          <w:i w:val="0"/>
          <w:sz w:val="22"/>
          <w:szCs w:val="22"/>
        </w:rPr>
      </w:pPr>
      <w:r w:rsidRPr="00D44D1B">
        <w:rPr>
          <w:rStyle w:val="Referencingstyle"/>
          <w:b w:val="0"/>
          <w:i w:val="0"/>
          <w:sz w:val="22"/>
          <w:szCs w:val="22"/>
        </w:rPr>
        <w:t>If the</w:t>
      </w:r>
      <w:r>
        <w:rPr>
          <w:rStyle w:val="Referencingstyle"/>
          <w:b w:val="0"/>
          <w:i w:val="0"/>
          <w:sz w:val="22"/>
          <w:szCs w:val="22"/>
        </w:rPr>
        <w:t xml:space="preserve"> CCIV disputes </w:t>
      </w:r>
      <w:r w:rsidR="00DB3D9F">
        <w:rPr>
          <w:rStyle w:val="Referencingstyle"/>
          <w:b w:val="0"/>
          <w:i w:val="0"/>
          <w:sz w:val="22"/>
          <w:szCs w:val="22"/>
        </w:rPr>
        <w:t xml:space="preserve">both </w:t>
      </w:r>
      <w:r>
        <w:rPr>
          <w:rStyle w:val="Referencingstyle"/>
          <w:b w:val="0"/>
          <w:i w:val="0"/>
          <w:sz w:val="22"/>
          <w:szCs w:val="22"/>
        </w:rPr>
        <w:t>the identity of the sub-fund (or the proportion of the debt allocated to each sub-fund)</w:t>
      </w:r>
      <w:r w:rsidR="007737A6">
        <w:rPr>
          <w:rStyle w:val="Referencingstyle"/>
          <w:b w:val="0"/>
          <w:i w:val="0"/>
          <w:sz w:val="22"/>
          <w:szCs w:val="22"/>
        </w:rPr>
        <w:t xml:space="preserve"> </w:t>
      </w:r>
      <w:r w:rsidR="00DB3D9F">
        <w:rPr>
          <w:rStyle w:val="Referencingstyle"/>
          <w:b w:val="0"/>
          <w:i w:val="0"/>
          <w:sz w:val="22"/>
          <w:szCs w:val="22"/>
        </w:rPr>
        <w:t>and</w:t>
      </w:r>
      <w:r w:rsidR="007737A6">
        <w:rPr>
          <w:rStyle w:val="Referencingstyle"/>
          <w:b w:val="0"/>
          <w:i w:val="0"/>
          <w:sz w:val="22"/>
          <w:szCs w:val="22"/>
        </w:rPr>
        <w:t xml:space="preserve"> </w:t>
      </w:r>
      <w:r>
        <w:rPr>
          <w:rStyle w:val="Referencingstyle"/>
          <w:b w:val="0"/>
          <w:i w:val="0"/>
          <w:sz w:val="22"/>
          <w:szCs w:val="22"/>
        </w:rPr>
        <w:t>the existence</w:t>
      </w:r>
      <w:r w:rsidR="007737A6">
        <w:rPr>
          <w:rStyle w:val="Referencingstyle"/>
          <w:b w:val="0"/>
          <w:i w:val="0"/>
          <w:sz w:val="22"/>
          <w:szCs w:val="22"/>
        </w:rPr>
        <w:t xml:space="preserve"> or </w:t>
      </w:r>
      <w:r>
        <w:rPr>
          <w:rStyle w:val="Referencingstyle"/>
          <w:b w:val="0"/>
          <w:i w:val="0"/>
          <w:sz w:val="22"/>
          <w:szCs w:val="22"/>
        </w:rPr>
        <w:t xml:space="preserve">amount of the debt, it should follow the process for disputing the existence/amount of the debt set out </w:t>
      </w:r>
      <w:r w:rsidR="00794DB9">
        <w:rPr>
          <w:rStyle w:val="Referencingstyle"/>
          <w:b w:val="0"/>
          <w:i w:val="0"/>
          <w:sz w:val="22"/>
          <w:szCs w:val="22"/>
        </w:rPr>
        <w:t>at</w:t>
      </w:r>
      <w:r>
        <w:rPr>
          <w:rStyle w:val="Referencingstyle"/>
          <w:b w:val="0"/>
          <w:i w:val="0"/>
          <w:sz w:val="22"/>
          <w:szCs w:val="22"/>
        </w:rPr>
        <w:t xml:space="preserve"> paragraphs </w:t>
      </w:r>
      <w:r>
        <w:rPr>
          <w:rStyle w:val="Referencingstyle"/>
          <w:b w:val="0"/>
          <w:i w:val="0"/>
          <w:sz w:val="22"/>
          <w:szCs w:val="22"/>
        </w:rPr>
        <w:fldChar w:fldCharType="begin"/>
      </w:r>
      <w:r>
        <w:rPr>
          <w:rStyle w:val="Referencingstyle"/>
          <w:b w:val="0"/>
          <w:i w:val="0"/>
          <w:sz w:val="22"/>
          <w:szCs w:val="22"/>
        </w:rPr>
        <w:instrText xml:space="preserve"> REF _Ref523921752 \r \h </w:instrText>
      </w:r>
      <w:r>
        <w:rPr>
          <w:rStyle w:val="Referencingstyle"/>
          <w:b w:val="0"/>
          <w:i w:val="0"/>
          <w:sz w:val="22"/>
          <w:szCs w:val="22"/>
        </w:rPr>
      </w:r>
      <w:r>
        <w:rPr>
          <w:rStyle w:val="Referencingstyle"/>
          <w:b w:val="0"/>
          <w:i w:val="0"/>
          <w:sz w:val="22"/>
        </w:rPr>
        <w:fldChar w:fldCharType="separate"/>
      </w:r>
      <w:r w:rsidR="00275132">
        <w:rPr>
          <w:rStyle w:val="Referencingstyle"/>
          <w:b w:val="0"/>
          <w:i w:val="0"/>
          <w:sz w:val="22"/>
          <w:szCs w:val="22"/>
        </w:rPr>
        <w:t>3.90</w:t>
      </w:r>
      <w:r>
        <w:rPr>
          <w:rStyle w:val="Referencingstyle"/>
          <w:b w:val="0"/>
          <w:i w:val="0"/>
          <w:sz w:val="22"/>
          <w:szCs w:val="22"/>
        </w:rPr>
        <w:fldChar w:fldCharType="end"/>
      </w:r>
      <w:r>
        <w:rPr>
          <w:rStyle w:val="Referencingstyle"/>
          <w:b w:val="0"/>
          <w:i w:val="0"/>
          <w:sz w:val="22"/>
          <w:szCs w:val="22"/>
        </w:rPr>
        <w:t xml:space="preserve"> to </w:t>
      </w:r>
      <w:r>
        <w:rPr>
          <w:rStyle w:val="Referencingstyle"/>
          <w:b w:val="0"/>
          <w:i w:val="0"/>
          <w:sz w:val="22"/>
          <w:szCs w:val="22"/>
        </w:rPr>
        <w:fldChar w:fldCharType="begin"/>
      </w:r>
      <w:r>
        <w:rPr>
          <w:rStyle w:val="Referencingstyle"/>
          <w:b w:val="0"/>
          <w:i w:val="0"/>
          <w:sz w:val="22"/>
          <w:szCs w:val="22"/>
        </w:rPr>
        <w:instrText xml:space="preserve"> REF _Ref523921760 \r \h </w:instrText>
      </w:r>
      <w:r>
        <w:rPr>
          <w:rStyle w:val="Referencingstyle"/>
          <w:b w:val="0"/>
          <w:i w:val="0"/>
          <w:sz w:val="22"/>
          <w:szCs w:val="22"/>
        </w:rPr>
      </w:r>
      <w:r>
        <w:rPr>
          <w:rStyle w:val="Referencingstyle"/>
          <w:b w:val="0"/>
          <w:i w:val="0"/>
          <w:sz w:val="22"/>
        </w:rPr>
        <w:fldChar w:fldCharType="separate"/>
      </w:r>
      <w:r w:rsidR="00275132">
        <w:rPr>
          <w:rStyle w:val="Referencingstyle"/>
          <w:b w:val="0"/>
          <w:i w:val="0"/>
          <w:sz w:val="22"/>
          <w:szCs w:val="22"/>
        </w:rPr>
        <w:t>3.92</w:t>
      </w:r>
      <w:r>
        <w:rPr>
          <w:rStyle w:val="Referencingstyle"/>
          <w:b w:val="0"/>
          <w:i w:val="0"/>
          <w:sz w:val="22"/>
          <w:szCs w:val="22"/>
        </w:rPr>
        <w:fldChar w:fldCharType="end"/>
      </w:r>
      <w:r>
        <w:rPr>
          <w:rStyle w:val="Referencingstyle"/>
          <w:b w:val="0"/>
          <w:i w:val="0"/>
          <w:sz w:val="22"/>
          <w:szCs w:val="22"/>
        </w:rPr>
        <w:t xml:space="preserve">. The Court </w:t>
      </w:r>
      <w:r w:rsidR="00DB3D9F">
        <w:rPr>
          <w:rStyle w:val="Referencingstyle"/>
          <w:b w:val="0"/>
          <w:i w:val="0"/>
          <w:sz w:val="22"/>
          <w:szCs w:val="22"/>
        </w:rPr>
        <w:t>may</w:t>
      </w:r>
      <w:r w:rsidR="00794DB9">
        <w:rPr>
          <w:rStyle w:val="Referencingstyle"/>
          <w:b w:val="0"/>
          <w:i w:val="0"/>
          <w:sz w:val="22"/>
          <w:szCs w:val="22"/>
        </w:rPr>
        <w:t xml:space="preserve"> </w:t>
      </w:r>
      <w:r>
        <w:rPr>
          <w:rStyle w:val="Referencingstyle"/>
          <w:b w:val="0"/>
          <w:i w:val="0"/>
          <w:sz w:val="22"/>
          <w:szCs w:val="22"/>
        </w:rPr>
        <w:t>then deal with the identity of the sub-funds as part of any order that it makes at the end of the proceedings relating to the existence/amount of the debt.</w:t>
      </w:r>
      <w:r w:rsidRPr="00D44D1B">
        <w:rPr>
          <w:rStyle w:val="Referencingstyle"/>
        </w:rPr>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xml:space="preserve">, paragraph </w:t>
      </w:r>
      <w:r w:rsidR="00B17641">
        <w:rPr>
          <w:rStyle w:val="Referencingstyle"/>
        </w:rPr>
        <w:t>12-135</w:t>
      </w:r>
      <w:r>
        <w:rPr>
          <w:rStyle w:val="Referencingstyle"/>
        </w:rPr>
        <w:t>(1)(d)]</w:t>
      </w:r>
    </w:p>
    <w:p w14:paraId="70DAC911" w14:textId="47DF0B7F" w:rsidR="00F40549" w:rsidRPr="000D48CD" w:rsidRDefault="000D48CD" w:rsidP="004D7A5F">
      <w:pPr>
        <w:pStyle w:val="base-text-paragraph"/>
        <w:numPr>
          <w:ilvl w:val="0"/>
          <w:numId w:val="0"/>
        </w:numPr>
        <w:ind w:left="1134"/>
        <w:rPr>
          <w:rStyle w:val="Referencingstyle"/>
          <w:sz w:val="22"/>
        </w:rPr>
      </w:pPr>
      <w:r>
        <w:rPr>
          <w:rStyle w:val="Referencingstyle"/>
          <w:sz w:val="22"/>
        </w:rPr>
        <w:t>Applications to wind up a sub-fund in insolvency</w:t>
      </w:r>
    </w:p>
    <w:p w14:paraId="0141C96A" w14:textId="77777777" w:rsidR="004F19BF" w:rsidRDefault="000D48CD" w:rsidP="000D48CD">
      <w:pPr>
        <w:pStyle w:val="base-text-paragraph"/>
      </w:pPr>
      <w:r>
        <w:t xml:space="preserve">The CCIV, the corporate director, ASIC, or a creditor, contributory or liquidator of a sub-fund may apply for a sub-fund to be wound up in insolvency under Division 4 of Part 5.4 of the existing law. </w:t>
      </w:r>
    </w:p>
    <w:p w14:paraId="57027BAA" w14:textId="6D82D296" w:rsidR="00CF4DBE" w:rsidRDefault="00CF4DBE" w:rsidP="00CF4DBE">
      <w:pPr>
        <w:pStyle w:val="base-text-paragraph"/>
      </w:pPr>
      <w:r>
        <w:t xml:space="preserve">Under the existing law, the corporate director and contributories, liquidators and certain creditors of the sub-fund may only apply for winding up in insolvency with the leave of the Court. The Court may only grant leave if there is a prima facie case that the company is insolvent (see existing section 459P). </w:t>
      </w:r>
    </w:p>
    <w:p w14:paraId="79BAE348" w14:textId="4226DD4D" w:rsidR="00CF4DBE" w:rsidRPr="00922B80" w:rsidRDefault="00CF4DBE" w:rsidP="00CF4DBE">
      <w:pPr>
        <w:pStyle w:val="base-text-paragraph"/>
        <w:rPr>
          <w:rStyle w:val="Referencingstyle"/>
          <w:b w:val="0"/>
          <w:i w:val="0"/>
          <w:sz w:val="22"/>
        </w:rPr>
      </w:pPr>
      <w:r w:rsidRPr="00FA5B27">
        <w:t xml:space="preserve">A sub-fund is presumed to be insolvent in the same situations as when a company is presumed to be insolvent </w:t>
      </w:r>
      <w:r w:rsidR="00E24BF0">
        <w:t xml:space="preserve">under </w:t>
      </w:r>
      <w:r>
        <w:t xml:space="preserve">existing section 459C. This includes if a CCIV failed to comply with a statutory demand and the failure affects the sub-fund.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section</w:t>
      </w:r>
      <w:r w:rsidR="00B17641">
        <w:rPr>
          <w:rStyle w:val="Referencingstyle"/>
        </w:rPr>
        <w:t>12-115</w:t>
      </w:r>
      <w:r>
        <w:rPr>
          <w:rStyle w:val="Referencingstyle"/>
        </w:rPr>
        <w:t>]</w:t>
      </w:r>
    </w:p>
    <w:p w14:paraId="36B22705" w14:textId="50BC344C" w:rsidR="000D48CD" w:rsidRPr="00CF4DBE" w:rsidRDefault="004F19BF" w:rsidP="000D48CD">
      <w:pPr>
        <w:pStyle w:val="base-text-paragraph"/>
        <w:rPr>
          <w:rStyle w:val="Referencingstyle"/>
          <w:b w:val="0"/>
          <w:i w:val="0"/>
          <w:sz w:val="22"/>
        </w:rPr>
      </w:pPr>
      <w:r w:rsidRPr="00FA5B27">
        <w:t>As t</w:t>
      </w:r>
      <w:r w:rsidR="000D48CD">
        <w:t>he translation rules apply to Part 5.4</w:t>
      </w:r>
      <w:r>
        <w:t>,</w:t>
      </w:r>
      <w:r w:rsidR="000D48CD">
        <w:t xml:space="preserve"> an application to wind up a sub-fund in insolvency must specify the sub-fund. Generally, the creditor can identify the name of the sub-fund from </w:t>
      </w:r>
      <w:r w:rsidR="00E24BF0">
        <w:t>documentation associated with the debt or claim against the CCIV</w:t>
      </w:r>
      <w:r w:rsidR="000D48CD">
        <w:t xml:space="preserve"> (see</w:t>
      </w:r>
      <w:r w:rsidR="000F10FD">
        <w:t> </w:t>
      </w:r>
      <w:r w:rsidR="000D48CD">
        <w:t xml:space="preserve">paragraph 3.76 of the Tranche 1 </w:t>
      </w:r>
      <w:r w:rsidR="00CB5682">
        <w:t>Explanatory Materials</w:t>
      </w:r>
      <w:r w:rsidR="00CF4DBE">
        <w:t xml:space="preserve"> for a discussion of the requirement to set out the sub-fund’s name on all public documents and negotiable instruments</w:t>
      </w:r>
      <w:r w:rsidR="000D48CD">
        <w:t>).</w:t>
      </w:r>
      <w:r w:rsidR="00CF4DBE">
        <w:t xml:space="preserve"> </w:t>
      </w:r>
      <w:r w:rsidR="00205E4A">
        <w:t xml:space="preserve">The creditor </w:t>
      </w:r>
      <w:r w:rsidR="00CB5682">
        <w:t xml:space="preserve">may also seek information about the identity of the sub-fund from the corporate director (see paragraph </w:t>
      </w:r>
      <w:r w:rsidR="00CB5682">
        <w:fldChar w:fldCharType="begin"/>
      </w:r>
      <w:r w:rsidR="00CB5682">
        <w:instrText xml:space="preserve"> REF _Ref525897944 \r \h </w:instrText>
      </w:r>
      <w:r w:rsidR="00CB5682">
        <w:fldChar w:fldCharType="separate"/>
      </w:r>
      <w:r w:rsidR="00275132">
        <w:t>3.78</w:t>
      </w:r>
      <w:r w:rsidR="00CB5682">
        <w:fldChar w:fldCharType="end"/>
      </w:r>
      <w:r w:rsidR="00CB5682">
        <w:t xml:space="preserve"> of these explanatory materials). </w:t>
      </w:r>
      <w:r w:rsidR="00CF4DBE">
        <w:t>This parallels the requirement for creditors to specify the name of the sub-funds in a statutory demand.</w:t>
      </w:r>
      <w:r w:rsidR="000D48CD">
        <w:t xml:space="preserve"> </w:t>
      </w:r>
      <w:r>
        <w:rPr>
          <w:rStyle w:val="Referencingstyle"/>
        </w:rPr>
        <w:t>[Schedule </w:t>
      </w:r>
      <w:r w:rsidR="00B17641">
        <w:rPr>
          <w:rStyle w:val="Referencingstyle"/>
        </w:rPr>
        <w:t>2</w:t>
      </w:r>
      <w:r>
        <w:rPr>
          <w:rStyle w:val="Referencingstyle"/>
        </w:rPr>
        <w:t xml:space="preserve">, item </w:t>
      </w:r>
      <w:r w:rsidR="00B17641">
        <w:rPr>
          <w:rStyle w:val="Referencingstyle"/>
        </w:rPr>
        <w:t>1</w:t>
      </w:r>
      <w:r>
        <w:rPr>
          <w:rStyle w:val="Referencingstyle"/>
        </w:rPr>
        <w:t xml:space="preserve">, subsection </w:t>
      </w:r>
      <w:r w:rsidR="00B17641">
        <w:rPr>
          <w:rStyle w:val="Referencingstyle"/>
        </w:rPr>
        <w:t>12</w:t>
      </w:r>
      <w:r>
        <w:rPr>
          <w:rStyle w:val="Referencingstyle"/>
        </w:rPr>
        <w:noBreakHyphen/>
        <w:t>105]</w:t>
      </w:r>
    </w:p>
    <w:p w14:paraId="06DDC3C3" w14:textId="284D7461" w:rsidR="00BF6F85" w:rsidRDefault="00BF6F85" w:rsidP="00BF6F85">
      <w:pPr>
        <w:pStyle w:val="base-text-paragraph"/>
        <w:numPr>
          <w:ilvl w:val="0"/>
          <w:numId w:val="0"/>
        </w:numPr>
        <w:ind w:left="1134"/>
        <w:rPr>
          <w:i/>
        </w:rPr>
      </w:pPr>
      <w:r>
        <w:rPr>
          <w:i/>
        </w:rPr>
        <w:t>Disputing the identity of the sub-fund</w:t>
      </w:r>
    </w:p>
    <w:p w14:paraId="7B214293" w14:textId="0487E7A4" w:rsidR="008E0108" w:rsidRDefault="00043AA3" w:rsidP="000D48CD">
      <w:pPr>
        <w:pStyle w:val="base-text-paragraph"/>
      </w:pPr>
      <w:r>
        <w:t>The CCIV may only</w:t>
      </w:r>
      <w:r w:rsidRPr="00043AA3">
        <w:t xml:space="preserve"> </w:t>
      </w:r>
      <w:r>
        <w:t>dispute the identity of the sub-fund(s) in the application</w:t>
      </w:r>
      <w:r w:rsidRPr="00043AA3">
        <w:t xml:space="preserve"> </w:t>
      </w:r>
      <w:r>
        <w:t xml:space="preserve">if the application to wind up the sub-fund does not </w:t>
      </w:r>
      <w:r w:rsidR="000B4F53">
        <w:t>rely on</w:t>
      </w:r>
      <w:r>
        <w:t xml:space="preserve"> a failure to comply with a statutory demand</w:t>
      </w:r>
      <w:r w:rsidR="008E0108">
        <w:t>.</w:t>
      </w:r>
      <w:r w:rsidR="008E0108" w:rsidRPr="008E0108">
        <w:t xml:space="preserve"> </w:t>
      </w:r>
      <w:r w:rsidR="008E0108">
        <w:t xml:space="preserve">If the application is based on a failure to comply with a statutory demand, the CCIV may only dispute the identity of the sub-funds in the statutory demand (see paragraphs </w:t>
      </w:r>
      <w:r w:rsidR="008E0108">
        <w:fldChar w:fldCharType="begin"/>
      </w:r>
      <w:r w:rsidR="008E0108">
        <w:instrText xml:space="preserve"> REF _Ref523929312 \r \h </w:instrText>
      </w:r>
      <w:r w:rsidR="008E0108">
        <w:fldChar w:fldCharType="separate"/>
      </w:r>
      <w:r w:rsidR="00275132">
        <w:t>3.85</w:t>
      </w:r>
      <w:r w:rsidR="008E0108">
        <w:fldChar w:fldCharType="end"/>
      </w:r>
      <w:r w:rsidR="008E0108">
        <w:t xml:space="preserve"> to </w:t>
      </w:r>
      <w:r w:rsidR="008E0108">
        <w:fldChar w:fldCharType="begin"/>
      </w:r>
      <w:r w:rsidR="008E0108">
        <w:instrText xml:space="preserve"> REF _Ref525220992 \r \h </w:instrText>
      </w:r>
      <w:r w:rsidR="008E0108">
        <w:fldChar w:fldCharType="separate"/>
      </w:r>
      <w:r w:rsidR="00275132">
        <w:t>3.89</w:t>
      </w:r>
      <w:r w:rsidR="008E0108">
        <w:fldChar w:fldCharType="end"/>
      </w:r>
      <w:r w:rsidR="008E0108">
        <w:t xml:space="preserve"> for a discussion of the process for disputing the identity of the sub-funds named in a statutory demand). </w:t>
      </w:r>
      <w:r w:rsidR="008E0108">
        <w:rPr>
          <w:rStyle w:val="Referencingstyle"/>
        </w:rPr>
        <w:t>[Schedule </w:t>
      </w:r>
      <w:r w:rsidR="00B17641">
        <w:rPr>
          <w:rStyle w:val="Referencingstyle"/>
        </w:rPr>
        <w:t>2</w:t>
      </w:r>
      <w:r w:rsidR="008E0108">
        <w:rPr>
          <w:rStyle w:val="Referencingstyle"/>
        </w:rPr>
        <w:t xml:space="preserve">, item </w:t>
      </w:r>
      <w:r w:rsidR="00B17641">
        <w:rPr>
          <w:rStyle w:val="Referencingstyle"/>
        </w:rPr>
        <w:t>1</w:t>
      </w:r>
      <w:r w:rsidR="008E0108">
        <w:rPr>
          <w:rStyle w:val="Referencingstyle"/>
        </w:rPr>
        <w:t xml:space="preserve">, paragraph </w:t>
      </w:r>
      <w:r w:rsidR="00B17641">
        <w:rPr>
          <w:rStyle w:val="Referencingstyle"/>
        </w:rPr>
        <w:t>12-145</w:t>
      </w:r>
      <w:r w:rsidR="008E0108">
        <w:rPr>
          <w:rStyle w:val="Referencingstyle"/>
        </w:rPr>
        <w:t>(1)(b)]</w:t>
      </w:r>
    </w:p>
    <w:p w14:paraId="3613E3A3" w14:textId="77777777" w:rsidR="008E0108" w:rsidRPr="00BF6F85" w:rsidRDefault="008E0108" w:rsidP="008E0108">
      <w:pPr>
        <w:pStyle w:val="base-text-paragraph"/>
        <w:rPr>
          <w:rStyle w:val="Referencingstyle"/>
          <w:b w:val="0"/>
          <w:i w:val="0"/>
          <w:sz w:val="22"/>
        </w:rPr>
      </w:pPr>
      <w:r w:rsidRPr="00FA5B27">
        <w:t>This is consistent with section 459S which prohibits a company opposi</w:t>
      </w:r>
      <w:r w:rsidRPr="003801D6">
        <w:t>ng an application for winding up on a ground which could have formed the basis of an application to set aside a statutory demand.</w:t>
      </w:r>
      <w:r w:rsidRPr="0024185C">
        <w:rPr>
          <w:rStyle w:val="Referencingstyle"/>
        </w:rPr>
        <w:t xml:space="preserve"> </w:t>
      </w:r>
    </w:p>
    <w:p w14:paraId="2365D772" w14:textId="26373180" w:rsidR="000D48CD" w:rsidRPr="00BF6F85" w:rsidRDefault="00BF6F85" w:rsidP="000D48CD">
      <w:pPr>
        <w:pStyle w:val="base-text-paragraph"/>
        <w:rPr>
          <w:rStyle w:val="Referencingstyle"/>
          <w:b w:val="0"/>
          <w:i w:val="0"/>
          <w:sz w:val="22"/>
        </w:rPr>
      </w:pPr>
      <w:r w:rsidRPr="00FA5B27">
        <w:t xml:space="preserve">To dispute the identity </w:t>
      </w:r>
      <w:r w:rsidR="00043AA3">
        <w:t>of the sub-fund(s)</w:t>
      </w:r>
      <w:r>
        <w:t xml:space="preserve">, the CCIV must file </w:t>
      </w:r>
      <w:r w:rsidR="000D48CD">
        <w:t xml:space="preserve">a notice with the Court </w:t>
      </w:r>
      <w:r w:rsidR="00043AA3">
        <w:t>that</w:t>
      </w:r>
      <w:r w:rsidR="000D48CD">
        <w:t xml:space="preserve"> specifies the name of </w:t>
      </w:r>
      <w:r w:rsidR="004F19BF">
        <w:t>the correct</w:t>
      </w:r>
      <w:r w:rsidR="000D48CD">
        <w:t xml:space="preserve"> sub-fund</w:t>
      </w:r>
      <w:r w:rsidR="004F19BF">
        <w:t>(s)</w:t>
      </w:r>
      <w:r w:rsidR="000D48CD">
        <w:t xml:space="preserve"> and the proportion of the debt that relates to </w:t>
      </w:r>
      <w:r w:rsidR="004F19BF">
        <w:t>each</w:t>
      </w:r>
      <w:r w:rsidR="000D48CD">
        <w:t xml:space="preserve"> sub-fund. </w:t>
      </w:r>
      <w:r w:rsidR="004F19BF">
        <w:rPr>
          <w:rStyle w:val="Referencingstyle"/>
        </w:rPr>
        <w:t>[Schedule </w:t>
      </w:r>
      <w:r w:rsidR="00B17641">
        <w:rPr>
          <w:rStyle w:val="Referencingstyle"/>
        </w:rPr>
        <w:t>2</w:t>
      </w:r>
      <w:r w:rsidR="004F19BF">
        <w:rPr>
          <w:rStyle w:val="Referencingstyle"/>
        </w:rPr>
        <w:t xml:space="preserve">, item </w:t>
      </w:r>
      <w:r w:rsidR="00B17641">
        <w:rPr>
          <w:rStyle w:val="Referencingstyle"/>
        </w:rPr>
        <w:t>1</w:t>
      </w:r>
      <w:r w:rsidR="004F19BF">
        <w:rPr>
          <w:rStyle w:val="Referencingstyle"/>
        </w:rPr>
        <w:t xml:space="preserve">, </w:t>
      </w:r>
      <w:r w:rsidR="00CB5682">
        <w:rPr>
          <w:rStyle w:val="Referencingstyle"/>
        </w:rPr>
        <w:t xml:space="preserve">sections </w:t>
      </w:r>
      <w:r w:rsidR="00B17641">
        <w:rPr>
          <w:rStyle w:val="Referencingstyle"/>
        </w:rPr>
        <w:t>12-140</w:t>
      </w:r>
      <w:r w:rsidR="000D48CD">
        <w:rPr>
          <w:rStyle w:val="Referencingstyle"/>
        </w:rPr>
        <w:t xml:space="preserve"> a</w:t>
      </w:r>
      <w:r>
        <w:rPr>
          <w:rStyle w:val="Referencingstyle"/>
        </w:rPr>
        <w:t>n</w:t>
      </w:r>
      <w:r w:rsidR="000D48CD">
        <w:rPr>
          <w:rStyle w:val="Referencingstyle"/>
        </w:rPr>
        <w:t xml:space="preserve">d </w:t>
      </w:r>
      <w:r w:rsidR="00B17641">
        <w:rPr>
          <w:rStyle w:val="Referencingstyle"/>
        </w:rPr>
        <w:t>12-145</w:t>
      </w:r>
      <w:r w:rsidR="000D48CD">
        <w:rPr>
          <w:rStyle w:val="Referencingstyle"/>
        </w:rPr>
        <w:t>]</w:t>
      </w:r>
    </w:p>
    <w:p w14:paraId="051956FA" w14:textId="5D8B32FD" w:rsidR="000D48CD" w:rsidRPr="00043AA3" w:rsidRDefault="00043AA3" w:rsidP="000D48CD">
      <w:pPr>
        <w:pStyle w:val="base-text-paragraph"/>
        <w:rPr>
          <w:rStyle w:val="Referencingstyle"/>
          <w:b w:val="0"/>
          <w:i w:val="0"/>
          <w:sz w:val="22"/>
        </w:rPr>
      </w:pPr>
      <w:bookmarkStart w:id="81" w:name="_Ref525218809"/>
      <w:r w:rsidRPr="00FA5B27">
        <w:t>T</w:t>
      </w:r>
      <w:r w:rsidR="000D48CD">
        <w:t xml:space="preserve">he Court may substitute the name of the sub-fund with the name of another sub-fund if it thinks it is appropriate to do so. The application then has effect as if the substituted sub-fund had been the original sub-fund. This ensures that the creditor is not disadvantaged if they identify the incorrect sub-fund. It also ensures that other provisions in the </w:t>
      </w:r>
      <w:r w:rsidR="00A3667A">
        <w:t>Act</w:t>
      </w:r>
      <w:r w:rsidR="000D48CD">
        <w:t xml:space="preserve"> which rely on a sub-fund being named in an application for winding up operate appropriately</w:t>
      </w:r>
      <w:r w:rsidR="00986854">
        <w:t xml:space="preserve"> (see, for example, existing section 490)</w:t>
      </w:r>
      <w:r w:rsidR="000D48CD">
        <w:t xml:space="preserve">. For example, if the Court substitutes the name of a sub-fund, section 490 prohibits the voluntary wind up of the substituted sub-fund </w:t>
      </w:r>
      <w:r w:rsidR="00205E4A">
        <w:t xml:space="preserve">(which would now be wound up insolvency) </w:t>
      </w:r>
      <w:r w:rsidR="000D48CD">
        <w:t xml:space="preserve">and not the original sub-fund. </w:t>
      </w:r>
      <w:r w:rsidR="000D48CD">
        <w:rPr>
          <w:rStyle w:val="Referencingstyle"/>
        </w:rPr>
        <w:t>[Schedule </w:t>
      </w:r>
      <w:r w:rsidR="00160BB2">
        <w:rPr>
          <w:rStyle w:val="Referencingstyle"/>
        </w:rPr>
        <w:t>2</w:t>
      </w:r>
      <w:r w:rsidR="000D48CD">
        <w:rPr>
          <w:rStyle w:val="Referencingstyle"/>
        </w:rPr>
        <w:t xml:space="preserve">, item </w:t>
      </w:r>
      <w:r w:rsidR="00160BB2">
        <w:rPr>
          <w:rStyle w:val="Referencingstyle"/>
        </w:rPr>
        <w:t>1</w:t>
      </w:r>
      <w:r w:rsidR="000D48CD">
        <w:rPr>
          <w:rStyle w:val="Referencingstyle"/>
        </w:rPr>
        <w:t>, subsections</w:t>
      </w:r>
      <w:r w:rsidR="000F10FD">
        <w:rPr>
          <w:rStyle w:val="Referencingstyle"/>
        </w:rPr>
        <w:t> </w:t>
      </w:r>
      <w:r w:rsidR="00160BB2">
        <w:rPr>
          <w:rStyle w:val="Referencingstyle"/>
        </w:rPr>
        <w:t>12-145</w:t>
      </w:r>
      <w:r w:rsidR="000D48CD">
        <w:rPr>
          <w:rStyle w:val="Referencingstyle"/>
        </w:rPr>
        <w:t>(2) to (4)]</w:t>
      </w:r>
      <w:bookmarkEnd w:id="81"/>
    </w:p>
    <w:p w14:paraId="5760B5C7" w14:textId="4CC9292A" w:rsidR="00986854" w:rsidRDefault="00986854" w:rsidP="008E0D4B">
      <w:pPr>
        <w:pStyle w:val="ExampleHeading"/>
      </w:pPr>
      <w:r>
        <w:t xml:space="preserve">: </w:t>
      </w:r>
      <w:r w:rsidRPr="00986854">
        <w:t>Effect of the Court substituting the name of a sub-fund in an application for winding up in insolvency</w:t>
      </w:r>
    </w:p>
    <w:p w14:paraId="554AA192" w14:textId="04DD3653" w:rsidR="00986854" w:rsidRDefault="00986854" w:rsidP="008E0D4B">
      <w:pPr>
        <w:pStyle w:val="exampletext"/>
      </w:pPr>
      <w:r>
        <w:t xml:space="preserve">Section 490 of the existing law (when read subject to the translation rules) prohibits the members </w:t>
      </w:r>
      <w:r w:rsidR="004548CE">
        <w:t>of a sub-fund</w:t>
      </w:r>
      <w:r>
        <w:t xml:space="preserve"> from voluntarily winding up </w:t>
      </w:r>
      <w:r w:rsidR="004548CE">
        <w:t xml:space="preserve">the </w:t>
      </w:r>
      <w:r>
        <w:t>sub-fund if an application for winding up of the sub-fund in insolvency has been filed.</w:t>
      </w:r>
    </w:p>
    <w:p w14:paraId="6DD0EDC0" w14:textId="0B65AEC6" w:rsidR="00986854" w:rsidRDefault="00986854" w:rsidP="008E0D4B">
      <w:pPr>
        <w:pStyle w:val="exampletext"/>
      </w:pPr>
      <w:proofErr w:type="spellStart"/>
      <w:r>
        <w:t>Casterley</w:t>
      </w:r>
      <w:proofErr w:type="spellEnd"/>
      <w:r>
        <w:t xml:space="preserve"> House CCIV has two sub-funds, </w:t>
      </w:r>
      <w:proofErr w:type="spellStart"/>
      <w:r>
        <w:t>Casterley</w:t>
      </w:r>
      <w:proofErr w:type="spellEnd"/>
      <w:r>
        <w:t xml:space="preserve"> House Growth </w:t>
      </w:r>
      <w:r w:rsidR="008E0D4B">
        <w:t>SF</w:t>
      </w:r>
      <w:r>
        <w:t xml:space="preserve"> and </w:t>
      </w:r>
      <w:proofErr w:type="spellStart"/>
      <w:r>
        <w:t>Casterley</w:t>
      </w:r>
      <w:proofErr w:type="spellEnd"/>
      <w:r>
        <w:t xml:space="preserve"> House</w:t>
      </w:r>
      <w:r w:rsidR="008E0D4B">
        <w:t xml:space="preserve"> Low Risk SF</w:t>
      </w:r>
      <w:r>
        <w:t xml:space="preserve">. An application to wind up </w:t>
      </w:r>
      <w:proofErr w:type="spellStart"/>
      <w:r w:rsidR="008E0D4B">
        <w:t>Casterley</w:t>
      </w:r>
      <w:proofErr w:type="spellEnd"/>
      <w:r w:rsidR="008E0D4B">
        <w:t xml:space="preserve"> House Growth SF</w:t>
      </w:r>
      <w:r>
        <w:t xml:space="preserve"> in insolvency was lodged by a creditor.</w:t>
      </w:r>
    </w:p>
    <w:p w14:paraId="0A18394A" w14:textId="12B1FF54" w:rsidR="00986854" w:rsidRDefault="00986854" w:rsidP="008E0D4B">
      <w:pPr>
        <w:pStyle w:val="exampletext"/>
      </w:pPr>
      <w:proofErr w:type="spellStart"/>
      <w:r>
        <w:t>Casterley</w:t>
      </w:r>
      <w:proofErr w:type="spellEnd"/>
      <w:r>
        <w:t xml:space="preserve"> House CCIV successfully challenges the identity of the sub-fund in the notice. The Court orders that the name of </w:t>
      </w:r>
      <w:proofErr w:type="spellStart"/>
      <w:r w:rsidR="008E0D4B">
        <w:t>Casterley</w:t>
      </w:r>
      <w:proofErr w:type="spellEnd"/>
      <w:r w:rsidR="008E0D4B">
        <w:t xml:space="preserve"> House Growth SF be substituted with the name of </w:t>
      </w:r>
      <w:proofErr w:type="spellStart"/>
      <w:r w:rsidR="008E0D4B">
        <w:t>Casterley</w:t>
      </w:r>
      <w:proofErr w:type="spellEnd"/>
      <w:r w:rsidR="008E0D4B">
        <w:t xml:space="preserve"> House Low Risk SF</w:t>
      </w:r>
      <w:r w:rsidR="008654A9">
        <w:t xml:space="preserve"> in the application for winding up in insolvency</w:t>
      </w:r>
      <w:r w:rsidR="008E0D4B">
        <w:t>.</w:t>
      </w:r>
      <w:r>
        <w:t xml:space="preserve"> </w:t>
      </w:r>
    </w:p>
    <w:p w14:paraId="2EFFD18C" w14:textId="2E2B204E" w:rsidR="008654A9" w:rsidRPr="008654A9" w:rsidRDefault="008654A9" w:rsidP="008E0D4B">
      <w:pPr>
        <w:pStyle w:val="exampletext"/>
        <w:rPr>
          <w:i/>
        </w:rPr>
      </w:pPr>
      <w:r w:rsidRPr="008654A9">
        <w:t xml:space="preserve">The members of </w:t>
      </w:r>
      <w:proofErr w:type="spellStart"/>
      <w:r w:rsidRPr="008654A9">
        <w:t>Casterley</w:t>
      </w:r>
      <w:proofErr w:type="spellEnd"/>
      <w:r w:rsidRPr="008654A9">
        <w:t xml:space="preserve"> House Growth SF vote to voluntarily wind up the sub-fund. </w:t>
      </w:r>
      <w:r>
        <w:t>This is not prohibited by s</w:t>
      </w:r>
      <w:r w:rsidRPr="008654A9">
        <w:t xml:space="preserve">ection 490 of the existing law </w:t>
      </w:r>
      <w:r>
        <w:t>as the application for winding up has effect as if the substituted sub-fund (</w:t>
      </w:r>
      <w:proofErr w:type="spellStart"/>
      <w:r>
        <w:t>Casterley</w:t>
      </w:r>
      <w:proofErr w:type="spellEnd"/>
      <w:r>
        <w:t xml:space="preserve"> House Low Risk SF) had been the original sub-fund specified in the application</w:t>
      </w:r>
      <w:r w:rsidRPr="008654A9">
        <w:t>.</w:t>
      </w:r>
    </w:p>
    <w:p w14:paraId="06104124" w14:textId="0392DF4E" w:rsidR="00572783" w:rsidRDefault="00572783" w:rsidP="000D48CD">
      <w:pPr>
        <w:pStyle w:val="base-text-paragraph"/>
        <w:keepNext/>
        <w:keepLines/>
        <w:numPr>
          <w:ilvl w:val="0"/>
          <w:numId w:val="0"/>
        </w:numPr>
        <w:ind w:left="1134"/>
        <w:rPr>
          <w:b/>
          <w:i/>
        </w:rPr>
      </w:pPr>
      <w:r>
        <w:rPr>
          <w:b/>
          <w:i/>
        </w:rPr>
        <w:t>Persons prohibited from acting as a liquidator</w:t>
      </w:r>
      <w:r w:rsidR="00FA61F1">
        <w:rPr>
          <w:b/>
          <w:i/>
        </w:rPr>
        <w:t xml:space="preserve"> or provisional liquidator</w:t>
      </w:r>
    </w:p>
    <w:p w14:paraId="00868BE4" w14:textId="5D4673E0" w:rsidR="0079258C" w:rsidRDefault="0079258C" w:rsidP="0079258C">
      <w:pPr>
        <w:pStyle w:val="base-text-paragraph"/>
        <w:rPr>
          <w:rStyle w:val="Referencingstyle"/>
          <w:b w:val="0"/>
          <w:i w:val="0"/>
          <w:sz w:val="22"/>
        </w:rPr>
      </w:pPr>
      <w:r>
        <w:rPr>
          <w:rStyle w:val="Referencingstyle"/>
          <w:b w:val="0"/>
          <w:i w:val="0"/>
          <w:sz w:val="22"/>
        </w:rPr>
        <w:t>Certain persons are prohibited from acting as a liquidator or provisional liquidator under existing section 532. These persons include the corporate director</w:t>
      </w:r>
      <w:r w:rsidR="00FA61F1">
        <w:rPr>
          <w:rStyle w:val="Referencingstyle"/>
          <w:b w:val="0"/>
          <w:i w:val="0"/>
          <w:sz w:val="22"/>
        </w:rPr>
        <w:t xml:space="preserve"> and any person who is not a registered liquidator</w:t>
      </w:r>
      <w:r>
        <w:rPr>
          <w:rStyle w:val="Referencingstyle"/>
          <w:b w:val="0"/>
          <w:i w:val="0"/>
          <w:sz w:val="22"/>
        </w:rPr>
        <w:t xml:space="preserve">. </w:t>
      </w:r>
    </w:p>
    <w:p w14:paraId="484C45D0" w14:textId="184DE955" w:rsidR="0079258C" w:rsidRDefault="0079258C" w:rsidP="0079258C">
      <w:pPr>
        <w:pStyle w:val="base-text-paragraph"/>
      </w:pPr>
      <w:bookmarkStart w:id="82" w:name="_Ref524423458"/>
      <w:r>
        <w:rPr>
          <w:rStyle w:val="Referencingstyle"/>
          <w:b w:val="0"/>
          <w:i w:val="0"/>
          <w:sz w:val="22"/>
        </w:rPr>
        <w:t>In addition, the new law modifies the effect of section 532 so that a depositary</w:t>
      </w:r>
      <w:r w:rsidR="00B61686">
        <w:rPr>
          <w:rStyle w:val="Referencingstyle"/>
          <w:b w:val="0"/>
          <w:i w:val="0"/>
          <w:sz w:val="22"/>
        </w:rPr>
        <w:t xml:space="preserve"> </w:t>
      </w:r>
      <w:r w:rsidR="00B61686" w:rsidRPr="0092787E">
        <w:rPr>
          <w:rStyle w:val="Referencingstyle"/>
          <w:b w:val="0"/>
          <w:i w:val="0"/>
          <w:sz w:val="22"/>
        </w:rPr>
        <w:t xml:space="preserve">and </w:t>
      </w:r>
      <w:r w:rsidR="00B61686" w:rsidRPr="005877D6">
        <w:rPr>
          <w:rStyle w:val="Referencingstyle"/>
          <w:b w:val="0"/>
          <w:i w:val="0"/>
          <w:sz w:val="22"/>
        </w:rPr>
        <w:t>the natural person directors of a corporate director</w:t>
      </w:r>
      <w:r>
        <w:rPr>
          <w:rStyle w:val="Referencingstyle"/>
          <w:b w:val="0"/>
          <w:i w:val="0"/>
          <w:sz w:val="22"/>
        </w:rPr>
        <w:t xml:space="preserve"> </w:t>
      </w:r>
      <w:r w:rsidR="00B61686">
        <w:rPr>
          <w:rStyle w:val="Referencingstyle"/>
          <w:b w:val="0"/>
          <w:i w:val="0"/>
          <w:sz w:val="22"/>
        </w:rPr>
        <w:t>are</w:t>
      </w:r>
      <w:r>
        <w:rPr>
          <w:rStyle w:val="Referencingstyle"/>
          <w:b w:val="0"/>
          <w:i w:val="0"/>
          <w:sz w:val="22"/>
        </w:rPr>
        <w:t xml:space="preserve"> also disqualified from acting as a liquidator or provisional liquidator.</w:t>
      </w:r>
      <w:r w:rsidRPr="0079258C">
        <w:rPr>
          <w:rStyle w:val="Referencingstyle"/>
        </w:rPr>
        <w:t xml:space="preserve"> </w:t>
      </w:r>
      <w:r>
        <w:rPr>
          <w:rStyle w:val="Referencingstyle"/>
        </w:rPr>
        <w:t xml:space="preserve">[Schedule </w:t>
      </w:r>
      <w:r w:rsidR="00160BB2">
        <w:rPr>
          <w:rStyle w:val="Referencingstyle"/>
        </w:rPr>
        <w:t>2</w:t>
      </w:r>
      <w:r>
        <w:rPr>
          <w:rStyle w:val="Referencingstyle"/>
        </w:rPr>
        <w:t xml:space="preserve">, item </w:t>
      </w:r>
      <w:r w:rsidR="00160BB2">
        <w:rPr>
          <w:rStyle w:val="Referencingstyle"/>
        </w:rPr>
        <w:t>1</w:t>
      </w:r>
      <w:r>
        <w:rPr>
          <w:rStyle w:val="Referencingstyle"/>
        </w:rPr>
        <w:t xml:space="preserve">, sections </w:t>
      </w:r>
      <w:r w:rsidR="00160BB2">
        <w:rPr>
          <w:rStyle w:val="Referencingstyle"/>
        </w:rPr>
        <w:t>12-160</w:t>
      </w:r>
      <w:r w:rsidRPr="00157348">
        <w:rPr>
          <w:rStyle w:val="Referencingstyle"/>
        </w:rPr>
        <w:t>]</w:t>
      </w:r>
      <w:bookmarkEnd w:id="82"/>
    </w:p>
    <w:p w14:paraId="6932DDAE" w14:textId="668A4E2B" w:rsidR="00A7307A" w:rsidRDefault="00572783" w:rsidP="00A7307A">
      <w:pPr>
        <w:pStyle w:val="base-text-paragraph"/>
        <w:numPr>
          <w:ilvl w:val="0"/>
          <w:numId w:val="0"/>
        </w:numPr>
        <w:ind w:left="1134"/>
        <w:rPr>
          <w:b/>
          <w:i/>
        </w:rPr>
      </w:pPr>
      <w:r>
        <w:rPr>
          <w:b/>
          <w:i/>
        </w:rPr>
        <w:t>Duties and p</w:t>
      </w:r>
      <w:r w:rsidR="00A7307A" w:rsidRPr="00B83CDE">
        <w:rPr>
          <w:b/>
          <w:i/>
        </w:rPr>
        <w:t>owers of the liquidator</w:t>
      </w:r>
      <w:r w:rsidR="00247151">
        <w:rPr>
          <w:b/>
          <w:i/>
        </w:rPr>
        <w:t xml:space="preserve"> or provisional liquidator</w:t>
      </w:r>
    </w:p>
    <w:p w14:paraId="459372B5" w14:textId="182E16E3" w:rsidR="0079258C" w:rsidRDefault="0079258C" w:rsidP="0079258C">
      <w:pPr>
        <w:pStyle w:val="base-text-paragraph"/>
      </w:pPr>
      <w:bookmarkStart w:id="83" w:name="_Ref524687500"/>
      <w:r>
        <w:t>A liquidator or provisional liquidator may only exercise a power or perform a function to the extent that it relates solely to the</w:t>
      </w:r>
      <w:r w:rsidR="00607618">
        <w:t xml:space="preserve"> carrying on of the</w:t>
      </w:r>
      <w:r>
        <w:t xml:space="preserve"> business of the sub</w:t>
      </w:r>
      <w:r>
        <w:noBreakHyphen/>
        <w:t xml:space="preserve">fund that is being wound up. This limitation ensures that the liquidator </w:t>
      </w:r>
      <w:r w:rsidR="00102B72">
        <w:t xml:space="preserve">or provisional liquidator </w:t>
      </w:r>
      <w:r>
        <w:t>controls the affairs of only the sub</w:t>
      </w:r>
      <w:r>
        <w:noBreakHyphen/>
        <w:t xml:space="preserve">fund that is being wound up. </w:t>
      </w:r>
      <w:r w:rsidRPr="008D7243">
        <w:rPr>
          <w:rStyle w:val="Referencingstyle"/>
        </w:rPr>
        <w:t xml:space="preserve">[Schedule </w:t>
      </w:r>
      <w:r w:rsidR="00160BB2">
        <w:rPr>
          <w:rStyle w:val="Referencingstyle"/>
        </w:rPr>
        <w:t>2</w:t>
      </w:r>
      <w:r w:rsidRPr="008D7243">
        <w:rPr>
          <w:rStyle w:val="Referencingstyle"/>
        </w:rPr>
        <w:t>, item</w:t>
      </w:r>
      <w:r w:rsidR="000F10FD">
        <w:rPr>
          <w:rStyle w:val="Referencingstyle"/>
        </w:rPr>
        <w:t> </w:t>
      </w:r>
      <w:r w:rsidR="00160BB2">
        <w:rPr>
          <w:rStyle w:val="Referencingstyle"/>
        </w:rPr>
        <w:t>1</w:t>
      </w:r>
      <w:r w:rsidRPr="008D7243">
        <w:rPr>
          <w:rStyle w:val="Referencingstyle"/>
        </w:rPr>
        <w:t xml:space="preserve">, </w:t>
      </w:r>
      <w:r w:rsidR="00607618">
        <w:rPr>
          <w:rStyle w:val="Referencingstyle"/>
        </w:rPr>
        <w:t>subsection</w:t>
      </w:r>
      <w:r>
        <w:rPr>
          <w:rStyle w:val="Referencingstyle"/>
        </w:rPr>
        <w:t xml:space="preserve"> </w:t>
      </w:r>
      <w:r w:rsidR="00160BB2">
        <w:rPr>
          <w:rStyle w:val="Referencingstyle"/>
        </w:rPr>
        <w:t>12-170</w:t>
      </w:r>
      <w:r>
        <w:rPr>
          <w:rStyle w:val="Referencingstyle"/>
        </w:rPr>
        <w:t>(1)</w:t>
      </w:r>
      <w:r w:rsidRPr="008D7243">
        <w:rPr>
          <w:rStyle w:val="Referencingstyle"/>
        </w:rPr>
        <w:t>]</w:t>
      </w:r>
      <w:bookmarkEnd w:id="83"/>
    </w:p>
    <w:p w14:paraId="651DF073" w14:textId="555233CE" w:rsidR="00CA46E6" w:rsidRPr="00C3461F" w:rsidRDefault="00CA46E6" w:rsidP="00CA46E6">
      <w:pPr>
        <w:pStyle w:val="Heading5"/>
      </w:pPr>
      <w:r>
        <w:t xml:space="preserve">Relationship between the powers of a liquidator and </w:t>
      </w:r>
      <w:r w:rsidR="00102B72">
        <w:t>the corporate director</w:t>
      </w:r>
    </w:p>
    <w:p w14:paraId="06E6665A" w14:textId="0272AE40" w:rsidR="005B52C8" w:rsidRDefault="005B52C8" w:rsidP="005B52C8">
      <w:pPr>
        <w:pStyle w:val="base-text-paragraph"/>
        <w:rPr>
          <w:rStyle w:val="Referencingstyle"/>
          <w:b w:val="0"/>
          <w:i w:val="0"/>
          <w:sz w:val="22"/>
        </w:rPr>
      </w:pPr>
      <w:r>
        <w:rPr>
          <w:rStyle w:val="Referencingstyle"/>
          <w:b w:val="0"/>
          <w:i w:val="0"/>
          <w:sz w:val="22"/>
        </w:rPr>
        <w:fldChar w:fldCharType="begin"/>
      </w:r>
      <w:r>
        <w:rPr>
          <w:rStyle w:val="Referencingstyle"/>
          <w:b w:val="0"/>
          <w:i w:val="0"/>
          <w:sz w:val="22"/>
        </w:rPr>
        <w:instrText xml:space="preserve"> REF _Ref522623938 \r \h </w:instrText>
      </w:r>
      <w:r>
        <w:rPr>
          <w:rStyle w:val="Referencingstyle"/>
          <w:b w:val="0"/>
          <w:i w:val="0"/>
          <w:sz w:val="22"/>
        </w:rPr>
      </w:r>
      <w:r>
        <w:rPr>
          <w:rStyle w:val="Referencingstyle"/>
          <w:b w:val="0"/>
          <w:i w:val="0"/>
          <w:sz w:val="22"/>
        </w:rPr>
        <w:fldChar w:fldCharType="separate"/>
      </w:r>
      <w:r w:rsidR="00275132">
        <w:rPr>
          <w:rStyle w:val="Referencingstyle"/>
          <w:b w:val="0"/>
          <w:i w:val="0"/>
          <w:sz w:val="22"/>
        </w:rPr>
        <w:t>Table 3.3</w:t>
      </w:r>
      <w:r>
        <w:rPr>
          <w:rStyle w:val="Referencingstyle"/>
          <w:b w:val="0"/>
          <w:i w:val="0"/>
          <w:sz w:val="22"/>
        </w:rPr>
        <w:fldChar w:fldCharType="end"/>
      </w:r>
      <w:r>
        <w:rPr>
          <w:rStyle w:val="Referencingstyle"/>
          <w:b w:val="0"/>
          <w:i w:val="0"/>
          <w:sz w:val="22"/>
        </w:rPr>
        <w:t xml:space="preserve"> summarises the </w:t>
      </w:r>
      <w:r w:rsidR="00F10CF3">
        <w:rPr>
          <w:rStyle w:val="Referencingstyle"/>
          <w:b w:val="0"/>
          <w:i w:val="0"/>
          <w:sz w:val="22"/>
        </w:rPr>
        <w:t xml:space="preserve">responsibilities </w:t>
      </w:r>
      <w:r>
        <w:rPr>
          <w:rStyle w:val="Referencingstyle"/>
          <w:b w:val="0"/>
          <w:i w:val="0"/>
          <w:sz w:val="22"/>
        </w:rPr>
        <w:t xml:space="preserve">of the liquidator </w:t>
      </w:r>
      <w:r w:rsidR="00F10CF3">
        <w:rPr>
          <w:rStyle w:val="Referencingstyle"/>
          <w:b w:val="0"/>
          <w:i w:val="0"/>
          <w:sz w:val="22"/>
        </w:rPr>
        <w:t>(or</w:t>
      </w:r>
      <w:r w:rsidR="00102B72">
        <w:rPr>
          <w:rStyle w:val="Referencingstyle"/>
          <w:b w:val="0"/>
          <w:i w:val="0"/>
          <w:sz w:val="22"/>
        </w:rPr>
        <w:t xml:space="preserve"> provisional liquidator</w:t>
      </w:r>
      <w:r w:rsidR="00F10CF3">
        <w:rPr>
          <w:rStyle w:val="Referencingstyle"/>
          <w:b w:val="0"/>
          <w:i w:val="0"/>
          <w:sz w:val="22"/>
        </w:rPr>
        <w:t>) and the corporate director after a sub-fund enters into winding up</w:t>
      </w:r>
      <w:r w:rsidR="00102B72">
        <w:rPr>
          <w:rStyle w:val="Referencingstyle"/>
          <w:b w:val="0"/>
          <w:i w:val="0"/>
          <w:sz w:val="22"/>
        </w:rPr>
        <w:t>. F</w:t>
      </w:r>
      <w:r>
        <w:rPr>
          <w:rStyle w:val="Referencingstyle"/>
          <w:b w:val="0"/>
          <w:i w:val="0"/>
          <w:sz w:val="22"/>
        </w:rPr>
        <w:t>urther</w:t>
      </w:r>
      <w:r w:rsidR="000F10FD">
        <w:rPr>
          <w:rStyle w:val="Referencingstyle"/>
          <w:b w:val="0"/>
          <w:i w:val="0"/>
          <w:sz w:val="22"/>
        </w:rPr>
        <w:t> </w:t>
      </w:r>
      <w:r>
        <w:rPr>
          <w:rStyle w:val="Referencingstyle"/>
          <w:b w:val="0"/>
          <w:i w:val="0"/>
          <w:sz w:val="22"/>
        </w:rPr>
        <w:t>detail is provided in the following paragraphs.</w:t>
      </w:r>
    </w:p>
    <w:p w14:paraId="4FF13E3F" w14:textId="405520F5" w:rsidR="005B52C8" w:rsidRDefault="005B52C8" w:rsidP="005B52C8">
      <w:pPr>
        <w:pStyle w:val="TableHeadingoutsidetable"/>
        <w:numPr>
          <w:ilvl w:val="4"/>
          <w:numId w:val="5"/>
        </w:numPr>
        <w:rPr>
          <w:rStyle w:val="Referencingstyle"/>
          <w:b/>
          <w:i w:val="0"/>
          <w:sz w:val="22"/>
        </w:rPr>
      </w:pPr>
      <w:bookmarkStart w:id="84" w:name="_Ref522623938"/>
      <w:r>
        <w:rPr>
          <w:rStyle w:val="Referencingstyle"/>
          <w:b/>
          <w:i w:val="0"/>
          <w:sz w:val="22"/>
        </w:rPr>
        <w:t>: Powers of the liquidator</w:t>
      </w:r>
      <w:bookmarkEnd w:id="84"/>
      <w:r w:rsidR="00867CCC">
        <w:rPr>
          <w:rStyle w:val="Referencingstyle"/>
          <w:b/>
          <w:i w:val="0"/>
          <w:sz w:val="22"/>
        </w:rPr>
        <w:t xml:space="preserve"> or provisional liquidator</w:t>
      </w:r>
    </w:p>
    <w:tbl>
      <w:tblPr>
        <w:tblStyle w:val="EMTable"/>
        <w:tblW w:w="6578" w:type="dxa"/>
        <w:tblInd w:w="1134" w:type="dxa"/>
        <w:tblLook w:val="04A0" w:firstRow="1" w:lastRow="0" w:firstColumn="1" w:lastColumn="0" w:noHBand="0" w:noVBand="1"/>
      </w:tblPr>
      <w:tblGrid>
        <w:gridCol w:w="2042"/>
        <w:gridCol w:w="2551"/>
        <w:gridCol w:w="1985"/>
      </w:tblGrid>
      <w:tr w:rsidR="005B52C8" w14:paraId="300622AA" w14:textId="77777777" w:rsidTr="00701B5A">
        <w:trPr>
          <w:cnfStyle w:val="100000000000" w:firstRow="1" w:lastRow="0" w:firstColumn="0" w:lastColumn="0" w:oddVBand="0" w:evenVBand="0" w:oddHBand="0" w:evenHBand="0" w:firstRowFirstColumn="0" w:firstRowLastColumn="0" w:lastRowFirstColumn="0" w:lastRowLastColumn="0"/>
        </w:trPr>
        <w:tc>
          <w:tcPr>
            <w:tcW w:w="2042" w:type="dxa"/>
            <w:vMerge w:val="restart"/>
          </w:tcPr>
          <w:p w14:paraId="74EDCF86" w14:textId="77777777" w:rsidR="005B52C8" w:rsidRPr="0079258C" w:rsidRDefault="005B52C8" w:rsidP="00701B5A">
            <w:pPr>
              <w:pStyle w:val="TableHeadingoutsidetable"/>
              <w:numPr>
                <w:ilvl w:val="0"/>
                <w:numId w:val="0"/>
              </w:numPr>
              <w:spacing w:after="0"/>
              <w:rPr>
                <w:rStyle w:val="Referencingstyle"/>
                <w:i/>
                <w:sz w:val="20"/>
              </w:rPr>
            </w:pPr>
            <w:r w:rsidRPr="0014414E">
              <w:rPr>
                <w:rStyle w:val="Referencingstyle"/>
                <w:i/>
                <w:sz w:val="20"/>
              </w:rPr>
              <w:t>Function</w:t>
            </w:r>
          </w:p>
        </w:tc>
        <w:tc>
          <w:tcPr>
            <w:tcW w:w="4536" w:type="dxa"/>
            <w:gridSpan w:val="2"/>
          </w:tcPr>
          <w:p w14:paraId="623F434F" w14:textId="77777777" w:rsidR="005B52C8" w:rsidRPr="0079258C" w:rsidRDefault="005B52C8" w:rsidP="00701B5A">
            <w:pPr>
              <w:pStyle w:val="TableHeadingoutsidetable"/>
              <w:numPr>
                <w:ilvl w:val="0"/>
                <w:numId w:val="0"/>
              </w:numPr>
              <w:spacing w:after="0"/>
              <w:rPr>
                <w:rStyle w:val="Referencingstyle"/>
                <w:i/>
                <w:sz w:val="20"/>
              </w:rPr>
            </w:pPr>
            <w:r w:rsidRPr="0014414E">
              <w:rPr>
                <w:rStyle w:val="Referencingstyle"/>
                <w:i/>
                <w:sz w:val="20"/>
              </w:rPr>
              <w:t>Person responsible for function</w:t>
            </w:r>
          </w:p>
        </w:tc>
      </w:tr>
      <w:tr w:rsidR="005B52C8" w14:paraId="47FC67CF" w14:textId="77777777" w:rsidTr="00701B5A">
        <w:tblPrEx>
          <w:tblCellMar>
            <w:top w:w="0" w:type="dxa"/>
            <w:left w:w="108" w:type="dxa"/>
          </w:tblCellMar>
        </w:tblPrEx>
        <w:tc>
          <w:tcPr>
            <w:tcW w:w="2042" w:type="dxa"/>
            <w:vMerge/>
          </w:tcPr>
          <w:p w14:paraId="766C9BFC" w14:textId="77777777" w:rsidR="005B52C8" w:rsidRPr="0079258C" w:rsidRDefault="005B52C8" w:rsidP="00701B5A">
            <w:pPr>
              <w:pStyle w:val="TableHeadingoutsidetable"/>
              <w:numPr>
                <w:ilvl w:val="0"/>
                <w:numId w:val="0"/>
              </w:numPr>
              <w:spacing w:after="0"/>
              <w:rPr>
                <w:rStyle w:val="Referencingstyle"/>
                <w:b/>
                <w:i w:val="0"/>
                <w:sz w:val="20"/>
              </w:rPr>
            </w:pPr>
          </w:p>
        </w:tc>
        <w:tc>
          <w:tcPr>
            <w:tcW w:w="2551" w:type="dxa"/>
          </w:tcPr>
          <w:p w14:paraId="3FA916A5" w14:textId="77777777" w:rsidR="005B52C8" w:rsidRPr="0079258C" w:rsidRDefault="005B52C8" w:rsidP="00701B5A">
            <w:pPr>
              <w:pStyle w:val="TableHeadingoutsidetable"/>
              <w:numPr>
                <w:ilvl w:val="0"/>
                <w:numId w:val="0"/>
              </w:numPr>
              <w:spacing w:after="0"/>
              <w:rPr>
                <w:rStyle w:val="Referencingstyle"/>
                <w:sz w:val="20"/>
              </w:rPr>
            </w:pPr>
            <w:r w:rsidRPr="0079258C">
              <w:rPr>
                <w:rStyle w:val="Referencingstyle"/>
                <w:sz w:val="20"/>
              </w:rPr>
              <w:t>Sub</w:t>
            </w:r>
            <w:r w:rsidRPr="0079258C">
              <w:rPr>
                <w:rStyle w:val="Referencingstyle"/>
                <w:sz w:val="20"/>
              </w:rPr>
              <w:noBreakHyphen/>
              <w:t>fund being wound up</w:t>
            </w:r>
          </w:p>
        </w:tc>
        <w:tc>
          <w:tcPr>
            <w:tcW w:w="1985" w:type="dxa"/>
          </w:tcPr>
          <w:p w14:paraId="54D69AC5" w14:textId="77777777" w:rsidR="005B52C8" w:rsidRPr="0079258C" w:rsidRDefault="005B52C8" w:rsidP="00701B5A">
            <w:pPr>
              <w:pStyle w:val="TableHeadingoutsidetable"/>
              <w:numPr>
                <w:ilvl w:val="0"/>
                <w:numId w:val="0"/>
              </w:numPr>
              <w:spacing w:after="0"/>
              <w:rPr>
                <w:rStyle w:val="Referencingstyle"/>
                <w:sz w:val="20"/>
              </w:rPr>
            </w:pPr>
            <w:r w:rsidRPr="0079258C">
              <w:rPr>
                <w:rStyle w:val="Referencingstyle"/>
                <w:sz w:val="20"/>
              </w:rPr>
              <w:t>Other sub</w:t>
            </w:r>
            <w:r w:rsidRPr="0079258C">
              <w:rPr>
                <w:rStyle w:val="Referencingstyle"/>
                <w:sz w:val="20"/>
              </w:rPr>
              <w:noBreakHyphen/>
              <w:t>funds</w:t>
            </w:r>
          </w:p>
        </w:tc>
      </w:tr>
      <w:tr w:rsidR="005B52C8" w14:paraId="48EF27EF" w14:textId="77777777" w:rsidTr="00701B5A">
        <w:tblPrEx>
          <w:tblCellMar>
            <w:top w:w="0" w:type="dxa"/>
            <w:left w:w="108" w:type="dxa"/>
          </w:tblCellMar>
        </w:tblPrEx>
        <w:tc>
          <w:tcPr>
            <w:tcW w:w="2042" w:type="dxa"/>
            <w:vAlign w:val="top"/>
          </w:tcPr>
          <w:p w14:paraId="39274DC9" w14:textId="77777777" w:rsidR="005B52C8" w:rsidRPr="0079258C" w:rsidRDefault="005B52C8" w:rsidP="00701B5A">
            <w:pPr>
              <w:pStyle w:val="tableheaderwithintable"/>
              <w:spacing w:after="0"/>
              <w:jc w:val="left"/>
              <w:rPr>
                <w:rStyle w:val="Referencingstyle"/>
                <w:i/>
                <w:sz w:val="20"/>
              </w:rPr>
            </w:pPr>
            <w:r w:rsidRPr="0079258C">
              <w:rPr>
                <w:rStyle w:val="Referencingstyle"/>
                <w:i/>
                <w:sz w:val="20"/>
              </w:rPr>
              <w:t>Carrying on sub</w:t>
            </w:r>
            <w:r w:rsidRPr="0079258C">
              <w:rPr>
                <w:rStyle w:val="Referencingstyle"/>
                <w:i/>
                <w:sz w:val="20"/>
              </w:rPr>
              <w:noBreakHyphen/>
              <w:t>fund’s business</w:t>
            </w:r>
          </w:p>
        </w:tc>
        <w:tc>
          <w:tcPr>
            <w:tcW w:w="2551" w:type="dxa"/>
            <w:vAlign w:val="top"/>
          </w:tcPr>
          <w:p w14:paraId="33DFECD7" w14:textId="77777777" w:rsidR="005B52C8" w:rsidRPr="0079258C" w:rsidRDefault="005B52C8" w:rsidP="00701B5A">
            <w:pPr>
              <w:pStyle w:val="TableHeadingoutsidetable"/>
              <w:numPr>
                <w:ilvl w:val="0"/>
                <w:numId w:val="0"/>
              </w:numPr>
              <w:spacing w:after="0"/>
              <w:rPr>
                <w:rStyle w:val="Referencingstyle"/>
                <w:i w:val="0"/>
                <w:sz w:val="20"/>
              </w:rPr>
            </w:pPr>
            <w:r w:rsidRPr="0079258C">
              <w:rPr>
                <w:rStyle w:val="Referencingstyle"/>
                <w:i w:val="0"/>
                <w:sz w:val="20"/>
              </w:rPr>
              <w:t>Liquidator</w:t>
            </w:r>
          </w:p>
        </w:tc>
        <w:tc>
          <w:tcPr>
            <w:tcW w:w="1985" w:type="dxa"/>
            <w:vAlign w:val="top"/>
          </w:tcPr>
          <w:p w14:paraId="308DBF43" w14:textId="77777777" w:rsidR="005B52C8" w:rsidRPr="0079258C" w:rsidRDefault="005B52C8" w:rsidP="00701B5A">
            <w:pPr>
              <w:pStyle w:val="TableHeadingoutsidetable"/>
              <w:numPr>
                <w:ilvl w:val="0"/>
                <w:numId w:val="0"/>
              </w:numPr>
              <w:spacing w:after="0"/>
              <w:rPr>
                <w:rStyle w:val="Referencingstyle"/>
                <w:i w:val="0"/>
                <w:sz w:val="20"/>
              </w:rPr>
            </w:pPr>
            <w:r w:rsidRPr="0079258C">
              <w:rPr>
                <w:rStyle w:val="Referencingstyle"/>
                <w:i w:val="0"/>
                <w:sz w:val="20"/>
              </w:rPr>
              <w:t>Corporate director</w:t>
            </w:r>
          </w:p>
        </w:tc>
      </w:tr>
      <w:tr w:rsidR="005B52C8" w14:paraId="72121C61" w14:textId="77777777" w:rsidTr="00701B5A">
        <w:tblPrEx>
          <w:tblCellMar>
            <w:top w:w="0" w:type="dxa"/>
            <w:left w:w="108" w:type="dxa"/>
          </w:tblCellMar>
        </w:tblPrEx>
        <w:tc>
          <w:tcPr>
            <w:tcW w:w="2042" w:type="dxa"/>
            <w:vAlign w:val="top"/>
          </w:tcPr>
          <w:p w14:paraId="19DBD750" w14:textId="77777777" w:rsidR="005B52C8" w:rsidRPr="0079258C" w:rsidRDefault="005B52C8" w:rsidP="00701B5A">
            <w:pPr>
              <w:pStyle w:val="TableHeadingoutsidetable"/>
              <w:numPr>
                <w:ilvl w:val="0"/>
                <w:numId w:val="0"/>
              </w:numPr>
              <w:spacing w:after="0"/>
              <w:rPr>
                <w:rStyle w:val="Referencingstyle"/>
                <w:sz w:val="20"/>
              </w:rPr>
            </w:pPr>
            <w:r w:rsidRPr="0079258C">
              <w:rPr>
                <w:rStyle w:val="Referencingstyle"/>
                <w:sz w:val="20"/>
              </w:rPr>
              <w:t>Allocation determinations for assets and liabilities of sub-funds</w:t>
            </w:r>
            <w:r w:rsidRPr="0079258C">
              <w:rPr>
                <w:rStyle w:val="FootnoteReference"/>
                <w:b w:val="0"/>
                <w:i/>
                <w:sz w:val="20"/>
              </w:rPr>
              <w:footnoteReference w:id="5"/>
            </w:r>
          </w:p>
        </w:tc>
        <w:tc>
          <w:tcPr>
            <w:tcW w:w="2551" w:type="dxa"/>
            <w:vAlign w:val="top"/>
          </w:tcPr>
          <w:p w14:paraId="21DFE996" w14:textId="4721A66F" w:rsidR="005B52C8" w:rsidRPr="0079258C" w:rsidRDefault="005B52C8" w:rsidP="00701B5A">
            <w:pPr>
              <w:pStyle w:val="TableHeadingoutsidetable"/>
              <w:numPr>
                <w:ilvl w:val="0"/>
                <w:numId w:val="0"/>
              </w:numPr>
              <w:spacing w:after="0"/>
              <w:rPr>
                <w:rStyle w:val="Referencingstyle"/>
                <w:b/>
                <w:i w:val="0"/>
                <w:sz w:val="20"/>
              </w:rPr>
            </w:pPr>
            <w:r w:rsidRPr="0079258C">
              <w:rPr>
                <w:rStyle w:val="Referencingstyle"/>
                <w:i w:val="0"/>
                <w:sz w:val="20"/>
              </w:rPr>
              <w:t>Corporate director</w:t>
            </w:r>
            <w:r>
              <w:rPr>
                <w:rStyle w:val="Referencingstyle"/>
                <w:i w:val="0"/>
                <w:sz w:val="20"/>
              </w:rPr>
              <w:t xml:space="preserve"> </w:t>
            </w:r>
          </w:p>
        </w:tc>
        <w:tc>
          <w:tcPr>
            <w:tcW w:w="1985" w:type="dxa"/>
            <w:vAlign w:val="top"/>
          </w:tcPr>
          <w:p w14:paraId="2610EAF2" w14:textId="77777777" w:rsidR="005B52C8" w:rsidRPr="0079258C" w:rsidRDefault="005B52C8" w:rsidP="00701B5A">
            <w:pPr>
              <w:pStyle w:val="TableHeadingoutsidetable"/>
              <w:numPr>
                <w:ilvl w:val="0"/>
                <w:numId w:val="0"/>
              </w:numPr>
              <w:spacing w:after="0"/>
              <w:rPr>
                <w:rStyle w:val="Referencingstyle"/>
                <w:b/>
                <w:i w:val="0"/>
                <w:sz w:val="20"/>
              </w:rPr>
            </w:pPr>
            <w:r w:rsidRPr="0079258C">
              <w:rPr>
                <w:rStyle w:val="Referencingstyle"/>
                <w:i w:val="0"/>
                <w:sz w:val="20"/>
              </w:rPr>
              <w:t>Corporate director</w:t>
            </w:r>
          </w:p>
        </w:tc>
      </w:tr>
      <w:tr w:rsidR="005B52C8" w14:paraId="4087708D" w14:textId="77777777" w:rsidTr="00701B5A">
        <w:tblPrEx>
          <w:tblCellMar>
            <w:top w:w="0" w:type="dxa"/>
            <w:left w:w="108" w:type="dxa"/>
          </w:tblCellMar>
        </w:tblPrEx>
        <w:tc>
          <w:tcPr>
            <w:tcW w:w="2042" w:type="dxa"/>
            <w:vAlign w:val="top"/>
          </w:tcPr>
          <w:p w14:paraId="3BD7A69B" w14:textId="77777777" w:rsidR="005B52C8" w:rsidRPr="0079258C" w:rsidRDefault="005B52C8" w:rsidP="00701B5A">
            <w:pPr>
              <w:pStyle w:val="TableHeadingoutsidetable"/>
              <w:numPr>
                <w:ilvl w:val="0"/>
                <w:numId w:val="0"/>
              </w:numPr>
              <w:spacing w:after="0"/>
              <w:rPr>
                <w:rStyle w:val="Referencingstyle"/>
                <w:sz w:val="20"/>
              </w:rPr>
            </w:pPr>
            <w:r>
              <w:rPr>
                <w:rStyle w:val="Referencingstyle"/>
                <w:sz w:val="20"/>
              </w:rPr>
              <w:t>Instructing the depositary</w:t>
            </w:r>
          </w:p>
        </w:tc>
        <w:tc>
          <w:tcPr>
            <w:tcW w:w="2551" w:type="dxa"/>
            <w:vAlign w:val="top"/>
          </w:tcPr>
          <w:p w14:paraId="5B1F5B67" w14:textId="77777777" w:rsidR="005B52C8" w:rsidRPr="0079258C" w:rsidRDefault="005B52C8" w:rsidP="00701B5A">
            <w:pPr>
              <w:pStyle w:val="TableHeadingoutsidetable"/>
              <w:numPr>
                <w:ilvl w:val="0"/>
                <w:numId w:val="0"/>
              </w:numPr>
              <w:spacing w:after="0"/>
              <w:rPr>
                <w:rStyle w:val="Referencingstyle"/>
                <w:i w:val="0"/>
                <w:sz w:val="20"/>
              </w:rPr>
            </w:pPr>
            <w:r w:rsidRPr="0079258C">
              <w:rPr>
                <w:rStyle w:val="Referencingstyle"/>
                <w:i w:val="0"/>
                <w:sz w:val="20"/>
              </w:rPr>
              <w:t>Liquidator</w:t>
            </w:r>
          </w:p>
        </w:tc>
        <w:tc>
          <w:tcPr>
            <w:tcW w:w="1985" w:type="dxa"/>
            <w:vAlign w:val="top"/>
          </w:tcPr>
          <w:p w14:paraId="5D02691D" w14:textId="77777777" w:rsidR="005B52C8" w:rsidRPr="0079258C" w:rsidRDefault="005B52C8" w:rsidP="00701B5A">
            <w:pPr>
              <w:pStyle w:val="TableHeadingoutsidetable"/>
              <w:numPr>
                <w:ilvl w:val="0"/>
                <w:numId w:val="0"/>
              </w:numPr>
              <w:spacing w:after="0"/>
              <w:rPr>
                <w:rStyle w:val="Referencingstyle"/>
                <w:i w:val="0"/>
                <w:sz w:val="20"/>
              </w:rPr>
            </w:pPr>
            <w:r>
              <w:rPr>
                <w:rStyle w:val="Referencingstyle"/>
                <w:i w:val="0"/>
                <w:sz w:val="20"/>
              </w:rPr>
              <w:t>Corporate director</w:t>
            </w:r>
          </w:p>
        </w:tc>
      </w:tr>
    </w:tbl>
    <w:p w14:paraId="0A312F13" w14:textId="57F44262" w:rsidR="00A7307A" w:rsidRDefault="009A4CB2" w:rsidP="00711D0C">
      <w:pPr>
        <w:pStyle w:val="base-text-paragraph"/>
      </w:pPr>
      <w:r>
        <w:t>The appointment of a liquidator does not remove the corporate director from office. However, the</w:t>
      </w:r>
      <w:r w:rsidR="00A7307A">
        <w:t xml:space="preserve"> </w:t>
      </w:r>
      <w:r w:rsidR="00206AC1">
        <w:t xml:space="preserve">corporate director </w:t>
      </w:r>
      <w:r w:rsidR="00A7307A">
        <w:t xml:space="preserve">must cease to exercise a function or power that relates solely to the business of </w:t>
      </w:r>
      <w:r w:rsidR="0079258C">
        <w:t>the</w:t>
      </w:r>
      <w:r w:rsidR="00A7307A">
        <w:t xml:space="preserve"> sub</w:t>
      </w:r>
      <w:r w:rsidR="00A7307A">
        <w:noBreakHyphen/>
        <w:t>fund that is being wound up. The corporate director may continue to exercise functions and powers that relate to the other sub</w:t>
      </w:r>
      <w:r w:rsidR="00A7307A">
        <w:noBreakHyphen/>
        <w:t>funds.</w:t>
      </w:r>
      <w:r w:rsidR="00A7307A" w:rsidRPr="00F545FB">
        <w:rPr>
          <w:rStyle w:val="Referencingstyle"/>
        </w:rPr>
        <w:t xml:space="preserve"> </w:t>
      </w:r>
      <w:r>
        <w:rPr>
          <w:rStyle w:val="Referencingstyle"/>
        </w:rPr>
        <w:t>[Schedule </w:t>
      </w:r>
      <w:r w:rsidR="00DA0A8F">
        <w:rPr>
          <w:rStyle w:val="Referencingstyle"/>
        </w:rPr>
        <w:t>2</w:t>
      </w:r>
      <w:r w:rsidR="00A7307A" w:rsidRPr="008D7243">
        <w:rPr>
          <w:rStyle w:val="Referencingstyle"/>
        </w:rPr>
        <w:t xml:space="preserve">, item </w:t>
      </w:r>
      <w:r w:rsidR="00A7307A">
        <w:rPr>
          <w:rStyle w:val="Referencingstyle"/>
        </w:rPr>
        <w:t>1</w:t>
      </w:r>
      <w:r w:rsidR="00A7307A" w:rsidRPr="008D7243">
        <w:rPr>
          <w:rStyle w:val="Referencingstyle"/>
        </w:rPr>
        <w:t xml:space="preserve">, </w:t>
      </w:r>
      <w:r w:rsidR="00A7307A">
        <w:rPr>
          <w:rStyle w:val="Referencingstyle"/>
        </w:rPr>
        <w:t>section 1237M</w:t>
      </w:r>
      <w:r>
        <w:rPr>
          <w:rStyle w:val="Referencingstyle"/>
        </w:rPr>
        <w:t>]</w:t>
      </w:r>
    </w:p>
    <w:p w14:paraId="08D90693" w14:textId="2026D3F0" w:rsidR="002025C2" w:rsidRDefault="002025C2" w:rsidP="00085474">
      <w:pPr>
        <w:pStyle w:val="base-text-paragraph"/>
      </w:pPr>
      <w:r>
        <w:t xml:space="preserve">There are two offences that apply to a </w:t>
      </w:r>
      <w:r w:rsidR="00085474">
        <w:t xml:space="preserve">corporate director </w:t>
      </w:r>
      <w:r>
        <w:t xml:space="preserve">who </w:t>
      </w:r>
      <w:r w:rsidR="00085474">
        <w:t>exercise</w:t>
      </w:r>
      <w:r w:rsidR="00A577F2">
        <w:t>s</w:t>
      </w:r>
      <w:r w:rsidR="00085474">
        <w:t xml:space="preserve"> a function or power that relates solely to the sub-fund that is being wound up</w:t>
      </w:r>
      <w:r w:rsidR="00760466">
        <w:t xml:space="preserve">. </w:t>
      </w:r>
      <w:r>
        <w:t xml:space="preserve">First, if the </w:t>
      </w:r>
      <w:r w:rsidR="00EE4B4B">
        <w:t>corporate director acts</w:t>
      </w:r>
      <w:r>
        <w:t xml:space="preserve"> intentionally, the</w:t>
      </w:r>
      <w:r w:rsidR="00EE4B4B">
        <w:t xml:space="preserve"> corporate director</w:t>
      </w:r>
      <w:r>
        <w:t xml:space="preserve"> commit</w:t>
      </w:r>
      <w:r w:rsidR="00EE4B4B">
        <w:t>s</w:t>
      </w:r>
      <w:r>
        <w:t xml:space="preserve"> an offence </w:t>
      </w:r>
      <w:r w:rsidR="00EE4B4B">
        <w:t>with a penalty of</w:t>
      </w:r>
      <w:r>
        <w:t xml:space="preserve"> </w:t>
      </w:r>
      <w:r w:rsidR="00775BE0">
        <w:t xml:space="preserve">20 </w:t>
      </w:r>
      <w:r>
        <w:t>penalty units. Intention is the default fault element under section 5.6 of the Criminal Code.</w:t>
      </w:r>
      <w:r w:rsidR="005D3B6A" w:rsidRPr="005D3B6A">
        <w:rPr>
          <w:rStyle w:val="Referencingstyle"/>
        </w:rPr>
        <w:t xml:space="preserve"> </w:t>
      </w:r>
      <w:r w:rsidR="005D3B6A" w:rsidRPr="008D7243">
        <w:rPr>
          <w:rStyle w:val="Referencingstyle"/>
        </w:rPr>
        <w:t xml:space="preserve">[Schedule </w:t>
      </w:r>
      <w:r w:rsidR="00DA0A8F">
        <w:rPr>
          <w:rStyle w:val="Referencingstyle"/>
        </w:rPr>
        <w:t>2</w:t>
      </w:r>
      <w:r w:rsidR="005D3B6A" w:rsidRPr="008D7243">
        <w:rPr>
          <w:rStyle w:val="Referencingstyle"/>
        </w:rPr>
        <w:t xml:space="preserve">, item </w:t>
      </w:r>
      <w:r w:rsidR="005D3B6A">
        <w:rPr>
          <w:rStyle w:val="Referencingstyle"/>
        </w:rPr>
        <w:t>1</w:t>
      </w:r>
      <w:r w:rsidR="005D3B6A" w:rsidRPr="008D7243">
        <w:rPr>
          <w:rStyle w:val="Referencingstyle"/>
        </w:rPr>
        <w:t xml:space="preserve">, </w:t>
      </w:r>
      <w:r w:rsidR="005D3B6A">
        <w:rPr>
          <w:rStyle w:val="Referencingstyle"/>
        </w:rPr>
        <w:t>subsections 1237M(4)</w:t>
      </w:r>
      <w:r w:rsidR="005D3B6A" w:rsidRPr="008D7243">
        <w:rPr>
          <w:rStyle w:val="Referencingstyle"/>
        </w:rPr>
        <w:t>]</w:t>
      </w:r>
    </w:p>
    <w:p w14:paraId="43117D45" w14:textId="2E21BFF3" w:rsidR="00085474" w:rsidRDefault="002025C2" w:rsidP="00085474">
      <w:pPr>
        <w:pStyle w:val="base-text-paragraph"/>
      </w:pPr>
      <w:r>
        <w:t xml:space="preserve">Second, if </w:t>
      </w:r>
      <w:r w:rsidR="00EE4B4B">
        <w:t>intention cannot be established</w:t>
      </w:r>
      <w:r>
        <w:t xml:space="preserve">, the </w:t>
      </w:r>
      <w:r w:rsidR="00EE4B4B">
        <w:t>corporate director</w:t>
      </w:r>
      <w:r>
        <w:t xml:space="preserve"> commits a strict liability </w:t>
      </w:r>
      <w:r w:rsidR="00760466">
        <w:t xml:space="preserve">offence </w:t>
      </w:r>
      <w:r w:rsidR="00085474">
        <w:t xml:space="preserve">punishable by </w:t>
      </w:r>
      <w:r w:rsidR="00760466">
        <w:t xml:space="preserve">up to </w:t>
      </w:r>
      <w:r w:rsidR="00775BE0">
        <w:t xml:space="preserve">30 </w:t>
      </w:r>
      <w:r w:rsidR="00085474">
        <w:t xml:space="preserve">penalty units. </w:t>
      </w:r>
      <w:r w:rsidR="0000382F">
        <w:t xml:space="preserve">The application of a strict liability offence in this circumstance is consistent with the Guide and is </w:t>
      </w:r>
      <w:r w:rsidR="00044D4C">
        <w:t>intended</w:t>
      </w:r>
      <w:r w:rsidR="0000382F">
        <w:t xml:space="preserve"> to ensure the integrity of the wind</w:t>
      </w:r>
      <w:r w:rsidR="00044D4C">
        <w:t xml:space="preserve"> up rules as they apply to sub-funds</w:t>
      </w:r>
      <w:r w:rsidR="007465E4">
        <w:t>, in particular the role of the liquidator</w:t>
      </w:r>
      <w:r w:rsidR="00044D4C">
        <w:t>.</w:t>
      </w:r>
      <w:r w:rsidR="00085474">
        <w:t xml:space="preserve"> </w:t>
      </w:r>
      <w:r w:rsidR="00085474" w:rsidRPr="008D7243">
        <w:rPr>
          <w:rStyle w:val="Referencingstyle"/>
        </w:rPr>
        <w:t xml:space="preserve">[Schedule </w:t>
      </w:r>
      <w:r w:rsidR="00DA0A8F">
        <w:rPr>
          <w:rStyle w:val="Referencingstyle"/>
        </w:rPr>
        <w:t>2</w:t>
      </w:r>
      <w:r w:rsidR="00085474" w:rsidRPr="008D7243">
        <w:rPr>
          <w:rStyle w:val="Referencingstyle"/>
        </w:rPr>
        <w:t xml:space="preserve">, item </w:t>
      </w:r>
      <w:r w:rsidR="00085474">
        <w:rPr>
          <w:rStyle w:val="Referencingstyle"/>
        </w:rPr>
        <w:t>1</w:t>
      </w:r>
      <w:r w:rsidR="00085474" w:rsidRPr="008D7243">
        <w:rPr>
          <w:rStyle w:val="Referencingstyle"/>
        </w:rPr>
        <w:t xml:space="preserve">, </w:t>
      </w:r>
      <w:r w:rsidR="00085474">
        <w:rPr>
          <w:rStyle w:val="Referencingstyle"/>
        </w:rPr>
        <w:t>subsections 1237M(</w:t>
      </w:r>
      <w:r w:rsidR="005D3B6A">
        <w:rPr>
          <w:rStyle w:val="Referencingstyle"/>
        </w:rPr>
        <w:t>5</w:t>
      </w:r>
      <w:r w:rsidR="00085474">
        <w:rPr>
          <w:rStyle w:val="Referencingstyle"/>
        </w:rPr>
        <w:t>)</w:t>
      </w:r>
      <w:r w:rsidR="00085474" w:rsidRPr="008D7243">
        <w:rPr>
          <w:rStyle w:val="Referencingstyle"/>
        </w:rPr>
        <w:t>]</w:t>
      </w:r>
    </w:p>
    <w:p w14:paraId="06A0C0D0" w14:textId="62B1BD34" w:rsidR="009A6234" w:rsidRDefault="009A4CB2" w:rsidP="00CF1AC0">
      <w:pPr>
        <w:pStyle w:val="base-text-paragraph"/>
        <w:keepNext/>
      </w:pPr>
      <w:r w:rsidRPr="003B1FB6">
        <w:t>Th</w:t>
      </w:r>
      <w:r w:rsidR="009A6234">
        <w:t>e</w:t>
      </w:r>
      <w:r w:rsidRPr="003B1FB6">
        <w:t xml:space="preserve"> prohibition</w:t>
      </w:r>
      <w:r w:rsidR="009A6234">
        <w:t xml:space="preserve"> on exercising a function or power that relates solely to the sub</w:t>
      </w:r>
      <w:r w:rsidR="007465E4">
        <w:noBreakHyphen/>
      </w:r>
      <w:r w:rsidR="009A6234">
        <w:t>fund that is being wound-up</w:t>
      </w:r>
      <w:r w:rsidRPr="003B1FB6">
        <w:t xml:space="preserve"> does not apply </w:t>
      </w:r>
      <w:r w:rsidR="003B1FB6" w:rsidRPr="003B1FB6">
        <w:t>to</w:t>
      </w:r>
      <w:r w:rsidR="009A6234">
        <w:t>:</w:t>
      </w:r>
    </w:p>
    <w:p w14:paraId="675403F8" w14:textId="6E03A122" w:rsidR="009A6234" w:rsidRDefault="009A6234" w:rsidP="003B137E">
      <w:pPr>
        <w:pStyle w:val="dotpoint"/>
      </w:pPr>
      <w:r>
        <w:t>a</w:t>
      </w:r>
      <w:r w:rsidRPr="003B1FB6">
        <w:t xml:space="preserve"> </w:t>
      </w:r>
      <w:r w:rsidR="009A4CB2" w:rsidRPr="003B1FB6">
        <w:t>person acting with the liquidator, provisional liquidator or Court’s approval</w:t>
      </w:r>
      <w:r>
        <w:t>;</w:t>
      </w:r>
      <w:r w:rsidR="003B137E">
        <w:t xml:space="preserve"> </w:t>
      </w:r>
      <w:r w:rsidR="009A4CB2" w:rsidRPr="003B1FB6">
        <w:t xml:space="preserve">or </w:t>
      </w:r>
    </w:p>
    <w:p w14:paraId="214504D8" w14:textId="10DFE158" w:rsidR="009A6234" w:rsidRDefault="009A4CB2" w:rsidP="009A6234">
      <w:pPr>
        <w:pStyle w:val="dotpoint"/>
      </w:pPr>
      <w:r w:rsidRPr="003B1FB6">
        <w:t xml:space="preserve">a person acting in circumstances permitted by the Act. </w:t>
      </w:r>
    </w:p>
    <w:p w14:paraId="2CB92BB8" w14:textId="354F6DBD" w:rsidR="009A6234" w:rsidRPr="009A6234" w:rsidRDefault="009A6234" w:rsidP="009A6234">
      <w:pPr>
        <w:pStyle w:val="base-text-paragraph"/>
        <w:numPr>
          <w:ilvl w:val="0"/>
          <w:numId w:val="0"/>
        </w:numPr>
        <w:ind w:left="1678" w:firstLine="306"/>
        <w:rPr>
          <w:rStyle w:val="Referencingstyle"/>
          <w:b w:val="0"/>
          <w:i w:val="0"/>
          <w:sz w:val="22"/>
        </w:rPr>
      </w:pPr>
      <w:r w:rsidRPr="003B1FB6">
        <w:rPr>
          <w:rStyle w:val="Referencingstyle"/>
        </w:rPr>
        <w:t xml:space="preserve">[Schedule </w:t>
      </w:r>
      <w:r w:rsidR="00DA0A8F">
        <w:rPr>
          <w:rStyle w:val="Referencingstyle"/>
        </w:rPr>
        <w:t>2</w:t>
      </w:r>
      <w:r w:rsidRPr="003B1FB6">
        <w:rPr>
          <w:rStyle w:val="Referencingstyle"/>
        </w:rPr>
        <w:t>, item 1, subsection 1237M(3)]</w:t>
      </w:r>
    </w:p>
    <w:p w14:paraId="7DCB8D0B" w14:textId="778B6D33" w:rsidR="003B1FB6" w:rsidRPr="003B1FB6" w:rsidRDefault="003B1FB6" w:rsidP="00CF1AC0">
      <w:pPr>
        <w:pStyle w:val="base-text-paragraphnonumbers"/>
        <w:ind w:left="1678" w:firstLine="306"/>
      </w:pPr>
      <w:r>
        <w:t xml:space="preserve">These exceptions </w:t>
      </w:r>
      <w:r w:rsidR="00A56841">
        <w:t xml:space="preserve">mirror the exceptions to section 198G. </w:t>
      </w:r>
    </w:p>
    <w:p w14:paraId="53319891" w14:textId="111071A8" w:rsidR="003B1FB6" w:rsidRPr="003B1FB6" w:rsidRDefault="00A56841" w:rsidP="003B1FB6">
      <w:pPr>
        <w:pStyle w:val="base-text-paragraph"/>
      </w:pPr>
      <w:r>
        <w:t>Unlike section 198G</w:t>
      </w:r>
      <w:r w:rsidR="003B1FB6">
        <w:t xml:space="preserve">, the defendant does not bear the evidential burden for establishing </w:t>
      </w:r>
      <w:r w:rsidR="00206AC1">
        <w:t>that they are</w:t>
      </w:r>
      <w:r w:rsidR="003B1FB6">
        <w:t xml:space="preserve"> permitted to act. </w:t>
      </w:r>
      <w:r>
        <w:t>In other words,</w:t>
      </w:r>
      <w:r w:rsidR="003B1FB6">
        <w:t xml:space="preserve"> </w:t>
      </w:r>
      <w:r>
        <w:t>t</w:t>
      </w:r>
      <w:r w:rsidR="003B1FB6">
        <w:t>he prosecution must state in the</w:t>
      </w:r>
      <w:r>
        <w:t>ir</w:t>
      </w:r>
      <w:r w:rsidR="003B1FB6">
        <w:t xml:space="preserve"> pleadings that the </w:t>
      </w:r>
      <w:r w:rsidR="00221453">
        <w:t xml:space="preserve">person </w:t>
      </w:r>
      <w:r w:rsidR="003B1FB6">
        <w:t xml:space="preserve">is not permitted to act and the burden would then shift to the defendant to </w:t>
      </w:r>
      <w:r>
        <w:t xml:space="preserve">prove otherwise. This departure from section 198G has been made to ensure consistency with the Guide. </w:t>
      </w:r>
      <w:r w:rsidR="003B1FB6" w:rsidRPr="003B1FB6">
        <w:rPr>
          <w:rStyle w:val="Referencingstyle"/>
        </w:rPr>
        <w:t xml:space="preserve">[Schedule </w:t>
      </w:r>
      <w:r w:rsidR="00DA0A8F">
        <w:rPr>
          <w:rStyle w:val="Referencingstyle"/>
        </w:rPr>
        <w:t>2</w:t>
      </w:r>
      <w:r w:rsidR="003B1FB6" w:rsidRPr="003B1FB6">
        <w:rPr>
          <w:rStyle w:val="Referencingstyle"/>
        </w:rPr>
        <w:t>, item 1, subsection 1237M(</w:t>
      </w:r>
      <w:r w:rsidR="005D3B6A">
        <w:rPr>
          <w:rStyle w:val="Referencingstyle"/>
        </w:rPr>
        <w:t>3</w:t>
      </w:r>
      <w:r w:rsidR="003B1FB6" w:rsidRPr="003B1FB6">
        <w:rPr>
          <w:rStyle w:val="Referencingstyle"/>
        </w:rPr>
        <w:t>)]</w:t>
      </w:r>
    </w:p>
    <w:p w14:paraId="71F8DB06" w14:textId="7C399E0B" w:rsidR="003B1FB6" w:rsidRDefault="00A56841" w:rsidP="00711D0C">
      <w:pPr>
        <w:pStyle w:val="base-text-paragraph"/>
      </w:pPr>
      <w:r>
        <w:t>On the other hand, t</w:t>
      </w:r>
      <w:r w:rsidR="003B1FB6" w:rsidRPr="003B1FB6">
        <w:t xml:space="preserve">he </w:t>
      </w:r>
      <w:r>
        <w:t>defendant</w:t>
      </w:r>
      <w:r w:rsidR="003B1FB6" w:rsidRPr="003B1FB6">
        <w:t xml:space="preserve"> bears the evidential burden for proving that </w:t>
      </w:r>
      <w:r>
        <w:t>the</w:t>
      </w:r>
      <w:r w:rsidR="007336B7">
        <w:t>y are</w:t>
      </w:r>
      <w:r w:rsidR="003B1FB6" w:rsidRPr="003B1FB6">
        <w:t xml:space="preserve"> acting with the approval of the liquidator, provisional liquidator or the Court. </w:t>
      </w:r>
      <w:r w:rsidR="000441A5">
        <w:t>The reversal of the evidential burden of proof is consistent with the Guide because</w:t>
      </w:r>
      <w:r w:rsidR="000441A5" w:rsidRPr="003B1FB6">
        <w:t xml:space="preserve"> </w:t>
      </w:r>
      <w:r w:rsidR="000441A5">
        <w:t>t</w:t>
      </w:r>
      <w:r w:rsidR="000441A5" w:rsidRPr="003B1FB6">
        <w:t xml:space="preserve">he </w:t>
      </w:r>
      <w:r w:rsidR="003B1FB6" w:rsidRPr="003B1FB6">
        <w:t>prosecution is unlikely to be aware of any correspondence between the liquidator/provisional liquidator and the defendant</w:t>
      </w:r>
      <w:r w:rsidR="003B1FB6">
        <w:t>.</w:t>
      </w:r>
      <w:r w:rsidRPr="00A56841">
        <w:t xml:space="preserve"> </w:t>
      </w:r>
      <w:r w:rsidRPr="003B1FB6">
        <w:t>These facts lie peculiarly within the knowledge of the defendant</w:t>
      </w:r>
      <w:r>
        <w:t xml:space="preserve"> and there would be no additional burden on a defendant to produce evidence of </w:t>
      </w:r>
      <w:r w:rsidR="000441A5">
        <w:t xml:space="preserve">the </w:t>
      </w:r>
      <w:r>
        <w:t>grant of approval</w:t>
      </w:r>
      <w:r w:rsidRPr="003B1FB6">
        <w:t>.</w:t>
      </w:r>
      <w:r>
        <w:t xml:space="preserve"> </w:t>
      </w:r>
    </w:p>
    <w:p w14:paraId="04726839" w14:textId="6EE5CC7E" w:rsidR="009A4CB2" w:rsidRPr="005F0733" w:rsidRDefault="009A4CB2" w:rsidP="00711D0C">
      <w:pPr>
        <w:pStyle w:val="base-text-paragraph"/>
        <w:rPr>
          <w:rStyle w:val="Referencingstyle"/>
          <w:b w:val="0"/>
          <w:i w:val="0"/>
          <w:sz w:val="22"/>
        </w:rPr>
      </w:pPr>
      <w:r w:rsidRPr="00FA5B27">
        <w:t>If there is a conflict between a function or power of the corporate director and the liquidator or provisio</w:t>
      </w:r>
      <w:r w:rsidRPr="003801D6">
        <w:t>nal liquidator, the functions and powers of the liquidator or provisional liquidator prevail.</w:t>
      </w:r>
      <w:r w:rsidRPr="009A4CB2">
        <w:rPr>
          <w:rStyle w:val="Referencingstyle"/>
        </w:rPr>
        <w:t xml:space="preserve"> </w:t>
      </w:r>
      <w:r w:rsidRPr="008D7243">
        <w:rPr>
          <w:rStyle w:val="Referencingstyle"/>
        </w:rPr>
        <w:t xml:space="preserve">[Schedule </w:t>
      </w:r>
      <w:r w:rsidR="00DA0A8F">
        <w:rPr>
          <w:rStyle w:val="Referencingstyle"/>
        </w:rPr>
        <w:t>2</w:t>
      </w:r>
      <w:r w:rsidRPr="008D7243">
        <w:rPr>
          <w:rStyle w:val="Referencingstyle"/>
        </w:rPr>
        <w:t xml:space="preserve">, item </w:t>
      </w:r>
      <w:r>
        <w:rPr>
          <w:rStyle w:val="Referencingstyle"/>
        </w:rPr>
        <w:t>1</w:t>
      </w:r>
      <w:r w:rsidRPr="008D7243">
        <w:rPr>
          <w:rStyle w:val="Referencingstyle"/>
        </w:rPr>
        <w:t xml:space="preserve">, </w:t>
      </w:r>
      <w:r>
        <w:rPr>
          <w:rStyle w:val="Referencingstyle"/>
        </w:rPr>
        <w:t>subsections 1237M(</w:t>
      </w:r>
      <w:r w:rsidR="005D3B6A">
        <w:rPr>
          <w:rStyle w:val="Referencingstyle"/>
        </w:rPr>
        <w:t>6</w:t>
      </w:r>
      <w:r>
        <w:rPr>
          <w:rStyle w:val="Referencingstyle"/>
        </w:rPr>
        <w:t>)</w:t>
      </w:r>
      <w:r w:rsidR="006308B4">
        <w:rPr>
          <w:rStyle w:val="Referencingstyle"/>
        </w:rPr>
        <w:t xml:space="preserve"> and </w:t>
      </w:r>
      <w:r w:rsidR="006308B4" w:rsidRPr="007533F7">
        <w:rPr>
          <w:rStyle w:val="Referencingstyle"/>
        </w:rPr>
        <w:t>(</w:t>
      </w:r>
      <w:r w:rsidR="005D3B6A" w:rsidRPr="00BD6DA3">
        <w:rPr>
          <w:rStyle w:val="Referencingstyle"/>
        </w:rPr>
        <w:t>1</w:t>
      </w:r>
      <w:r w:rsidR="003B137E" w:rsidRPr="007533F7">
        <w:rPr>
          <w:rStyle w:val="Referencingstyle"/>
        </w:rPr>
        <w:t>1</w:t>
      </w:r>
      <w:r w:rsidR="006308B4" w:rsidRPr="007533F7">
        <w:rPr>
          <w:rStyle w:val="Referencingstyle"/>
        </w:rPr>
        <w:t>)</w:t>
      </w:r>
      <w:r w:rsidRPr="007533F7">
        <w:rPr>
          <w:rStyle w:val="Referencingstyle"/>
        </w:rPr>
        <w:t>]</w:t>
      </w:r>
    </w:p>
    <w:p w14:paraId="51FD8347" w14:textId="1C2574CD" w:rsidR="005F0733" w:rsidRPr="00711A4F" w:rsidRDefault="005F0733" w:rsidP="00711D0C">
      <w:pPr>
        <w:pStyle w:val="base-text-paragraph"/>
        <w:rPr>
          <w:rStyle w:val="Referencingstyle"/>
          <w:b w:val="0"/>
          <w:i w:val="0"/>
          <w:sz w:val="22"/>
        </w:rPr>
      </w:pPr>
      <w:r>
        <w:rPr>
          <w:rStyle w:val="Referencingstyle"/>
          <w:b w:val="0"/>
          <w:i w:val="0"/>
          <w:sz w:val="22"/>
        </w:rPr>
        <w:t>The new provisions relating to the functions of the officer do not interfere with any provision in the Act which applies despite section 198G (see, for example, sections</w:t>
      </w:r>
      <w:r w:rsidR="0065642B">
        <w:t> </w:t>
      </w:r>
      <w:r>
        <w:rPr>
          <w:rStyle w:val="Referencingstyle"/>
          <w:b w:val="0"/>
          <w:i w:val="0"/>
          <w:sz w:val="22"/>
        </w:rPr>
        <w:t>60-11, 65-45, 70-20, 90-10, 90-20 and 90-28</w:t>
      </w:r>
      <w:r w:rsidRPr="005F0733">
        <w:rPr>
          <w:rStyle w:val="Referencingstyle"/>
          <w:b w:val="0"/>
          <w:i w:val="0"/>
          <w:sz w:val="22"/>
        </w:rPr>
        <w:t xml:space="preserve"> </w:t>
      </w:r>
      <w:r>
        <w:rPr>
          <w:rStyle w:val="Referencingstyle"/>
          <w:b w:val="0"/>
          <w:i w:val="0"/>
          <w:sz w:val="22"/>
        </w:rPr>
        <w:t xml:space="preserve">of the Insolvency Practice Schedule). </w:t>
      </w:r>
      <w:r w:rsidRPr="008D7243">
        <w:rPr>
          <w:rStyle w:val="Referencingstyle"/>
        </w:rPr>
        <w:t xml:space="preserve">[Schedule </w:t>
      </w:r>
      <w:r w:rsidR="00DA0A8F">
        <w:rPr>
          <w:rStyle w:val="Referencingstyle"/>
        </w:rPr>
        <w:t>2</w:t>
      </w:r>
      <w:r w:rsidRPr="008D7243">
        <w:rPr>
          <w:rStyle w:val="Referencingstyle"/>
        </w:rPr>
        <w:t xml:space="preserve">, item </w:t>
      </w:r>
      <w:r>
        <w:rPr>
          <w:rStyle w:val="Referencingstyle"/>
        </w:rPr>
        <w:t>1</w:t>
      </w:r>
      <w:r w:rsidRPr="008D7243">
        <w:rPr>
          <w:rStyle w:val="Referencingstyle"/>
        </w:rPr>
        <w:t xml:space="preserve">, </w:t>
      </w:r>
      <w:r>
        <w:rPr>
          <w:rStyle w:val="Referencingstyle"/>
        </w:rPr>
        <w:t>subsection</w:t>
      </w:r>
      <w:r w:rsidR="007270F5">
        <w:rPr>
          <w:rStyle w:val="Referencingstyle"/>
        </w:rPr>
        <w:t>s</w:t>
      </w:r>
      <w:r>
        <w:rPr>
          <w:rStyle w:val="Referencingstyle"/>
        </w:rPr>
        <w:t xml:space="preserve"> 1237M(</w:t>
      </w:r>
      <w:r w:rsidR="007270F5">
        <w:rPr>
          <w:rStyle w:val="Referencingstyle"/>
        </w:rPr>
        <w:t>9</w:t>
      </w:r>
      <w:r>
        <w:rPr>
          <w:rStyle w:val="Referencingstyle"/>
        </w:rPr>
        <w:t>)</w:t>
      </w:r>
      <w:r w:rsidR="007270F5">
        <w:rPr>
          <w:rStyle w:val="Referencingstyle"/>
        </w:rPr>
        <w:t xml:space="preserve"> and (10)</w:t>
      </w:r>
      <w:r w:rsidRPr="008D7243">
        <w:rPr>
          <w:rStyle w:val="Referencingstyle"/>
        </w:rPr>
        <w:t>]</w:t>
      </w:r>
    </w:p>
    <w:p w14:paraId="748EDA36" w14:textId="1B21D0CD" w:rsidR="00711A4F" w:rsidRDefault="00711A4F" w:rsidP="00711D0C">
      <w:pPr>
        <w:pStyle w:val="base-text-paragraph"/>
        <w:rPr>
          <w:rStyle w:val="Referencingstyle"/>
          <w:b w:val="0"/>
          <w:i w:val="0"/>
          <w:sz w:val="22"/>
        </w:rPr>
      </w:pPr>
      <w:bookmarkStart w:id="85" w:name="_Ref525900141"/>
      <w:r>
        <w:rPr>
          <w:rStyle w:val="Referencingstyle"/>
          <w:b w:val="0"/>
          <w:i w:val="0"/>
          <w:sz w:val="22"/>
        </w:rPr>
        <w:t>The liquidator may also seek reasonable assistance from:</w:t>
      </w:r>
      <w:bookmarkEnd w:id="85"/>
    </w:p>
    <w:p w14:paraId="78A21FC9" w14:textId="77777777" w:rsidR="00711A4F" w:rsidRDefault="00711A4F" w:rsidP="00AA3F3D">
      <w:pPr>
        <w:pStyle w:val="dotpoint"/>
        <w:rPr>
          <w:rStyle w:val="Referencingstyle"/>
          <w:b w:val="0"/>
          <w:i w:val="0"/>
          <w:sz w:val="22"/>
        </w:rPr>
      </w:pPr>
      <w:r>
        <w:rPr>
          <w:rStyle w:val="Referencingstyle"/>
          <w:b w:val="0"/>
          <w:i w:val="0"/>
          <w:sz w:val="22"/>
        </w:rPr>
        <w:t>the corporate director;</w:t>
      </w:r>
    </w:p>
    <w:p w14:paraId="03A2FE13" w14:textId="77777777" w:rsidR="00711A4F" w:rsidRDefault="00711A4F" w:rsidP="00AA3F3D">
      <w:pPr>
        <w:pStyle w:val="dotpoint"/>
        <w:rPr>
          <w:rStyle w:val="Referencingstyle"/>
          <w:b w:val="0"/>
          <w:i w:val="0"/>
          <w:sz w:val="22"/>
        </w:rPr>
      </w:pPr>
      <w:r>
        <w:rPr>
          <w:rStyle w:val="Referencingstyle"/>
          <w:b w:val="0"/>
          <w:i w:val="0"/>
          <w:sz w:val="22"/>
        </w:rPr>
        <w:t>officers of the corporate director;</w:t>
      </w:r>
    </w:p>
    <w:p w14:paraId="46A405C3" w14:textId="6FB5742B" w:rsidR="00711A4F" w:rsidRDefault="00711A4F" w:rsidP="00AA3F3D">
      <w:pPr>
        <w:pStyle w:val="dotpoint"/>
        <w:rPr>
          <w:rStyle w:val="Referencingstyle"/>
          <w:b w:val="0"/>
          <w:i w:val="0"/>
          <w:sz w:val="22"/>
        </w:rPr>
      </w:pPr>
      <w:r>
        <w:rPr>
          <w:rStyle w:val="Referencingstyle"/>
          <w:b w:val="0"/>
          <w:i w:val="0"/>
          <w:sz w:val="22"/>
        </w:rPr>
        <w:t>a former corporate director; and</w:t>
      </w:r>
    </w:p>
    <w:p w14:paraId="0A3027A6" w14:textId="77777777" w:rsidR="00711A4F" w:rsidRDefault="00711A4F" w:rsidP="00AA3F3D">
      <w:pPr>
        <w:pStyle w:val="dotpoint"/>
        <w:rPr>
          <w:rStyle w:val="Referencingstyle"/>
          <w:b w:val="0"/>
          <w:i w:val="0"/>
          <w:sz w:val="22"/>
        </w:rPr>
      </w:pPr>
      <w:r>
        <w:rPr>
          <w:rStyle w:val="Referencingstyle"/>
          <w:b w:val="0"/>
          <w:i w:val="0"/>
          <w:sz w:val="22"/>
        </w:rPr>
        <w:t>the officers and former officers of a former corporate director.</w:t>
      </w:r>
    </w:p>
    <w:p w14:paraId="765C6C8B" w14:textId="39B405A1" w:rsidR="00711A4F" w:rsidRPr="00711A4F" w:rsidRDefault="00711A4F" w:rsidP="00AA3F3D">
      <w:pPr>
        <w:pStyle w:val="dotpoint"/>
        <w:numPr>
          <w:ilvl w:val="0"/>
          <w:numId w:val="0"/>
        </w:numPr>
        <w:ind w:left="1984"/>
        <w:rPr>
          <w:rStyle w:val="Referencingstyle"/>
          <w:b w:val="0"/>
          <w:i w:val="0"/>
          <w:sz w:val="22"/>
        </w:rPr>
      </w:pPr>
      <w:r w:rsidRPr="008D7243">
        <w:rPr>
          <w:rStyle w:val="Referencingstyle"/>
        </w:rPr>
        <w:t xml:space="preserve">[Schedule </w:t>
      </w:r>
      <w:r w:rsidR="00DA0A8F">
        <w:rPr>
          <w:rStyle w:val="Referencingstyle"/>
        </w:rPr>
        <w:t>2</w:t>
      </w:r>
      <w:r w:rsidRPr="008D7243">
        <w:rPr>
          <w:rStyle w:val="Referencingstyle"/>
        </w:rPr>
        <w:t xml:space="preserve">, item </w:t>
      </w:r>
      <w:r>
        <w:rPr>
          <w:rStyle w:val="Referencingstyle"/>
        </w:rPr>
        <w:t>1</w:t>
      </w:r>
      <w:r w:rsidRPr="008D7243">
        <w:rPr>
          <w:rStyle w:val="Referencingstyle"/>
        </w:rPr>
        <w:t xml:space="preserve">, </w:t>
      </w:r>
      <w:r>
        <w:rPr>
          <w:rStyle w:val="Referencingstyle"/>
        </w:rPr>
        <w:t xml:space="preserve">section </w:t>
      </w:r>
      <w:r w:rsidR="00DA0A8F">
        <w:rPr>
          <w:rStyle w:val="Referencingstyle"/>
        </w:rPr>
        <w:t>12-185</w:t>
      </w:r>
      <w:r>
        <w:rPr>
          <w:rStyle w:val="Referencingstyle"/>
        </w:rPr>
        <w:t>)</w:t>
      </w:r>
      <w:r w:rsidRPr="008D7243">
        <w:rPr>
          <w:rStyle w:val="Referencingstyle"/>
        </w:rPr>
        <w:t>]</w:t>
      </w:r>
      <w:r>
        <w:rPr>
          <w:rStyle w:val="Referencingstyle"/>
          <w:b w:val="0"/>
          <w:i w:val="0"/>
          <w:sz w:val="22"/>
        </w:rPr>
        <w:t xml:space="preserve"> </w:t>
      </w:r>
    </w:p>
    <w:p w14:paraId="03FBEABC" w14:textId="4766DDD4" w:rsidR="00CA46E6" w:rsidRDefault="00CA46E6" w:rsidP="00CF1AC0">
      <w:pPr>
        <w:pStyle w:val="Heading5"/>
      </w:pPr>
      <w:r>
        <w:t>Powers relating to the allocation of assets and liabilities</w:t>
      </w:r>
    </w:p>
    <w:p w14:paraId="1E4D6FC2" w14:textId="26BE1320" w:rsidR="00A7307A" w:rsidRPr="00EA7E69" w:rsidRDefault="00A7307A" w:rsidP="00EA7E69">
      <w:pPr>
        <w:pStyle w:val="base-text-paragraph"/>
        <w:rPr>
          <w:rStyle w:val="Referencingstyle"/>
          <w:b w:val="0"/>
          <w:i w:val="0"/>
          <w:sz w:val="22"/>
        </w:rPr>
      </w:pPr>
      <w:r w:rsidRPr="00FA5B27">
        <w:t>A liquidator or provisional liquidator does not have power to determine the proportion of assets and liabilities that are to be allocated to the sub</w:t>
      </w:r>
      <w:r>
        <w:noBreakHyphen/>
        <w:t>fund that is being wound up (or any other sub</w:t>
      </w:r>
      <w:r>
        <w:noBreakHyphen/>
        <w:t>fund).</w:t>
      </w:r>
      <w:r w:rsidR="00CA46E6">
        <w:t xml:space="preserve"> </w:t>
      </w:r>
      <w:r w:rsidR="00EC5057">
        <w:t>This remains the responsibility of</w:t>
      </w:r>
      <w:r w:rsidR="00EA7E69">
        <w:t xml:space="preserve"> the corporate director</w:t>
      </w:r>
      <w:r w:rsidR="008A7153">
        <w:t xml:space="preserve">. </w:t>
      </w:r>
      <w:r w:rsidRPr="008D7243">
        <w:rPr>
          <w:rStyle w:val="Referencingstyle"/>
        </w:rPr>
        <w:t>[</w:t>
      </w:r>
      <w:r>
        <w:rPr>
          <w:rStyle w:val="Referencingstyle"/>
        </w:rPr>
        <w:t>S</w:t>
      </w:r>
      <w:r w:rsidRPr="008D7243">
        <w:rPr>
          <w:rStyle w:val="Referencingstyle"/>
        </w:rPr>
        <w:t xml:space="preserve">chedule </w:t>
      </w:r>
      <w:r w:rsidR="00DA0A8F">
        <w:rPr>
          <w:rStyle w:val="Referencingstyle"/>
        </w:rPr>
        <w:t>2</w:t>
      </w:r>
      <w:r w:rsidRPr="008D7243">
        <w:rPr>
          <w:rStyle w:val="Referencingstyle"/>
        </w:rPr>
        <w:t xml:space="preserve">, item </w:t>
      </w:r>
      <w:r w:rsidR="00DA0A8F">
        <w:rPr>
          <w:rStyle w:val="Referencingstyle"/>
        </w:rPr>
        <w:t>1</w:t>
      </w:r>
      <w:r w:rsidRPr="008D7243">
        <w:rPr>
          <w:rStyle w:val="Referencingstyle"/>
        </w:rPr>
        <w:t xml:space="preserve">, </w:t>
      </w:r>
      <w:r>
        <w:rPr>
          <w:rStyle w:val="Referencingstyle"/>
        </w:rPr>
        <w:t xml:space="preserve">subsection </w:t>
      </w:r>
      <w:r w:rsidR="00DA0A8F">
        <w:rPr>
          <w:rStyle w:val="Referencingstyle"/>
        </w:rPr>
        <w:t>12-170</w:t>
      </w:r>
      <w:r w:rsidR="00E9130E">
        <w:rPr>
          <w:rStyle w:val="Referencingstyle"/>
        </w:rPr>
        <w:t>(4)</w:t>
      </w:r>
      <w:r>
        <w:rPr>
          <w:rStyle w:val="Referencingstyle"/>
        </w:rPr>
        <w:t>]</w:t>
      </w:r>
    </w:p>
    <w:p w14:paraId="43CEC728" w14:textId="23BC865F" w:rsidR="00EC5057" w:rsidRPr="00995702" w:rsidRDefault="00EC5057" w:rsidP="0016520A">
      <w:pPr>
        <w:pStyle w:val="base-text-paragraph"/>
        <w:rPr>
          <w:rStyle w:val="Referencingstyle"/>
          <w:b w:val="0"/>
          <w:i w:val="0"/>
          <w:sz w:val="22"/>
        </w:rPr>
      </w:pPr>
      <w:r w:rsidRPr="00FA5B27">
        <w:t xml:space="preserve">Nevertheless, the liquidator </w:t>
      </w:r>
      <w:r w:rsidR="00C802F7">
        <w:t xml:space="preserve">has the power to require the corporate director to make an allocation determination and the power to challenge an allocation determination before the Court. </w:t>
      </w:r>
      <w:r w:rsidR="00C802F7">
        <w:rPr>
          <w:rStyle w:val="Referencingstyle"/>
        </w:rPr>
        <w:t>[S</w:t>
      </w:r>
      <w:r w:rsidR="00C802F7" w:rsidRPr="008D7243">
        <w:rPr>
          <w:rStyle w:val="Referencingstyle"/>
        </w:rPr>
        <w:t xml:space="preserve">chedule </w:t>
      </w:r>
      <w:r w:rsidR="00DA0A8F">
        <w:rPr>
          <w:rStyle w:val="Referencingstyle"/>
        </w:rPr>
        <w:t>2</w:t>
      </w:r>
      <w:r w:rsidR="00C802F7" w:rsidRPr="008D7243">
        <w:rPr>
          <w:rStyle w:val="Referencingstyle"/>
        </w:rPr>
        <w:t xml:space="preserve">, item </w:t>
      </w:r>
      <w:r w:rsidR="00C802F7">
        <w:rPr>
          <w:rStyle w:val="Referencingstyle"/>
        </w:rPr>
        <w:t>1</w:t>
      </w:r>
      <w:r w:rsidR="00C802F7" w:rsidRPr="008D7243">
        <w:rPr>
          <w:rStyle w:val="Referencingstyle"/>
        </w:rPr>
        <w:t xml:space="preserve">, </w:t>
      </w:r>
      <w:r w:rsidR="00C802F7">
        <w:rPr>
          <w:rStyle w:val="Referencingstyle"/>
        </w:rPr>
        <w:t xml:space="preserve">section </w:t>
      </w:r>
      <w:r w:rsidR="00DA0A8F">
        <w:rPr>
          <w:rStyle w:val="Referencingstyle"/>
        </w:rPr>
        <w:t>12-175</w:t>
      </w:r>
      <w:r w:rsidR="00C802F7">
        <w:rPr>
          <w:rStyle w:val="Referencingstyle"/>
        </w:rPr>
        <w:t xml:space="preserve"> and </w:t>
      </w:r>
      <w:r w:rsidR="00DA0A8F">
        <w:rPr>
          <w:rStyle w:val="Referencingstyle"/>
        </w:rPr>
        <w:t>12-235</w:t>
      </w:r>
      <w:r w:rsidR="00C802F7">
        <w:rPr>
          <w:rStyle w:val="Referencingstyle"/>
        </w:rPr>
        <w:t>]</w:t>
      </w:r>
    </w:p>
    <w:p w14:paraId="413FFD30" w14:textId="2BD13A79" w:rsidR="00995702" w:rsidRDefault="00995702" w:rsidP="00995702">
      <w:pPr>
        <w:pStyle w:val="base-text-paragraph"/>
      </w:pPr>
      <w:r>
        <w:t>These powers are not granted to a provisional liquidator. This is because the main function of a provision</w:t>
      </w:r>
      <w:r w:rsidR="0029127B">
        <w:t>al</w:t>
      </w:r>
      <w:r>
        <w:t xml:space="preserve"> liquidator is to preserve the status of the assets pending the making of a winding up order. The provisional liquidator may apply to the Court for </w:t>
      </w:r>
      <w:r w:rsidR="00D434E6">
        <w:t xml:space="preserve">this </w:t>
      </w:r>
      <w:r>
        <w:t xml:space="preserve">additional power if the provisional liquidator feels that </w:t>
      </w:r>
      <w:r w:rsidR="00D434E6">
        <w:t>it is</w:t>
      </w:r>
      <w:r>
        <w:t xml:space="preserve"> necessary to perform its functions (see </w:t>
      </w:r>
      <w:r w:rsidRPr="00995702">
        <w:rPr>
          <w:i/>
        </w:rPr>
        <w:t xml:space="preserve">Re </w:t>
      </w:r>
      <w:proofErr w:type="spellStart"/>
      <w:r w:rsidRPr="00995702">
        <w:rPr>
          <w:i/>
        </w:rPr>
        <w:t>Rothwells</w:t>
      </w:r>
      <w:proofErr w:type="spellEnd"/>
      <w:r w:rsidRPr="00995702">
        <w:rPr>
          <w:i/>
        </w:rPr>
        <w:t xml:space="preserve"> Ltd</w:t>
      </w:r>
      <w:r>
        <w:t xml:space="preserve"> (1989) 7 ACLC 545).</w:t>
      </w:r>
    </w:p>
    <w:p w14:paraId="21693250" w14:textId="6780D4F4" w:rsidR="00EC5057" w:rsidRDefault="00C802F7" w:rsidP="00CF1AC0">
      <w:pPr>
        <w:pStyle w:val="base-text-paragraph"/>
        <w:keepNext/>
        <w:numPr>
          <w:ilvl w:val="0"/>
          <w:numId w:val="0"/>
        </w:numPr>
        <w:ind w:left="1134"/>
      </w:pPr>
      <w:proofErr w:type="spellStart"/>
      <w:r>
        <w:rPr>
          <w:u w:val="single"/>
        </w:rPr>
        <w:t>i</w:t>
      </w:r>
      <w:proofErr w:type="spellEnd"/>
      <w:r>
        <w:rPr>
          <w:u w:val="single"/>
        </w:rPr>
        <w:t>) Liquidator’s power to direct the corporate director to make an allocation determination</w:t>
      </w:r>
    </w:p>
    <w:p w14:paraId="164A8764" w14:textId="2C31FB88" w:rsidR="0016520A" w:rsidRPr="00CA46E6" w:rsidRDefault="00AA210B" w:rsidP="0016520A">
      <w:pPr>
        <w:pStyle w:val="base-text-paragraph"/>
        <w:rPr>
          <w:rStyle w:val="Referencingstyle"/>
          <w:b w:val="0"/>
          <w:i w:val="0"/>
          <w:sz w:val="22"/>
        </w:rPr>
      </w:pPr>
      <w:r w:rsidRPr="00FA5B27">
        <w:t>T</w:t>
      </w:r>
      <w:r w:rsidR="00CA46E6">
        <w:t xml:space="preserve">he liquidator may </w:t>
      </w:r>
      <w:r w:rsidR="00607618">
        <w:t>provide</w:t>
      </w:r>
      <w:r w:rsidR="00CA46E6">
        <w:t xml:space="preserve"> the corporate director</w:t>
      </w:r>
      <w:r w:rsidR="00607618">
        <w:t xml:space="preserve"> with a written notice requiring the corporate director to </w:t>
      </w:r>
      <w:r w:rsidR="00CA46E6">
        <w:t xml:space="preserve">record </w:t>
      </w:r>
      <w:r w:rsidR="00607618">
        <w:t>a debt, claim or property</w:t>
      </w:r>
      <w:r w:rsidR="00CA46E6">
        <w:t xml:space="preserve"> in the allocation register</w:t>
      </w:r>
      <w:r w:rsidR="00607618">
        <w:t xml:space="preserve"> (and make any required allocation determination)</w:t>
      </w:r>
      <w:r w:rsidR="00300B57">
        <w:t xml:space="preserve"> within a specified period</w:t>
      </w:r>
      <w:r w:rsidR="00CA46E6">
        <w:t xml:space="preserve">. </w:t>
      </w:r>
      <w:r w:rsidR="0016520A">
        <w:t xml:space="preserve">The written notice must contain sufficient information to enable the corporate director to identify the debt, claim or property. </w:t>
      </w:r>
      <w:r w:rsidR="00300B57">
        <w:t>Further, the specified period must be at least one business day after the notice is given.</w:t>
      </w:r>
      <w:r w:rsidR="0016520A" w:rsidRPr="0016520A">
        <w:rPr>
          <w:rStyle w:val="Referencingstyle"/>
        </w:rPr>
        <w:t xml:space="preserve"> </w:t>
      </w:r>
      <w:r w:rsidR="0016520A">
        <w:rPr>
          <w:rStyle w:val="Referencingstyle"/>
        </w:rPr>
        <w:t>[S</w:t>
      </w:r>
      <w:r w:rsidR="0016520A" w:rsidRPr="008D7243">
        <w:rPr>
          <w:rStyle w:val="Referencingstyle"/>
        </w:rPr>
        <w:t xml:space="preserve">chedule </w:t>
      </w:r>
      <w:r w:rsidR="005A4BC5">
        <w:rPr>
          <w:rStyle w:val="Referencingstyle"/>
        </w:rPr>
        <w:t>2</w:t>
      </w:r>
      <w:r w:rsidR="0016520A" w:rsidRPr="008D7243">
        <w:rPr>
          <w:rStyle w:val="Referencingstyle"/>
        </w:rPr>
        <w:t xml:space="preserve">, item </w:t>
      </w:r>
      <w:r w:rsidR="0016520A">
        <w:rPr>
          <w:rStyle w:val="Referencingstyle"/>
        </w:rPr>
        <w:t>1</w:t>
      </w:r>
      <w:r w:rsidR="0016520A" w:rsidRPr="008D7243">
        <w:rPr>
          <w:rStyle w:val="Referencingstyle"/>
        </w:rPr>
        <w:t xml:space="preserve">, </w:t>
      </w:r>
      <w:r w:rsidR="0016520A">
        <w:rPr>
          <w:rStyle w:val="Referencingstyle"/>
        </w:rPr>
        <w:t xml:space="preserve">section </w:t>
      </w:r>
      <w:r w:rsidR="005A4BC5">
        <w:rPr>
          <w:rStyle w:val="Referencingstyle"/>
        </w:rPr>
        <w:t>12-175</w:t>
      </w:r>
      <w:r w:rsidR="0016520A">
        <w:rPr>
          <w:rStyle w:val="Referencingstyle"/>
        </w:rPr>
        <w:t>]</w:t>
      </w:r>
    </w:p>
    <w:p w14:paraId="5058DAF7" w14:textId="0D657597" w:rsidR="00CA46E6" w:rsidRDefault="00CA46E6" w:rsidP="00711D0C">
      <w:pPr>
        <w:pStyle w:val="base-text-paragraph"/>
      </w:pPr>
      <w:bookmarkStart w:id="86" w:name="_Ref525586862"/>
      <w:r>
        <w:t>Th</w:t>
      </w:r>
      <w:r w:rsidR="00F42D89">
        <w:t xml:space="preserve">e liquidator may wish to exercise </w:t>
      </w:r>
      <w:r w:rsidR="0016520A">
        <w:t>the</w:t>
      </w:r>
      <w:r>
        <w:t xml:space="preserve"> power</w:t>
      </w:r>
      <w:r w:rsidR="0016520A">
        <w:t xml:space="preserve"> to require the corporate director to record a debt, claim or property</w:t>
      </w:r>
      <w:r>
        <w:t xml:space="preserve"> in two main situations:</w:t>
      </w:r>
      <w:bookmarkEnd w:id="86"/>
    </w:p>
    <w:p w14:paraId="7D3B291C" w14:textId="233AFA92" w:rsidR="00CA46E6" w:rsidRPr="00D773BD" w:rsidRDefault="006E13E1" w:rsidP="00CA46E6">
      <w:pPr>
        <w:pStyle w:val="dotpoint"/>
      </w:pPr>
      <w:r>
        <w:t xml:space="preserve">where </w:t>
      </w:r>
      <w:r w:rsidR="00CA46E6">
        <w:t>a debt</w:t>
      </w:r>
      <w:r w:rsidR="00607618">
        <w:t xml:space="preserve"> or</w:t>
      </w:r>
      <w:r w:rsidR="00CA46E6">
        <w:t xml:space="preserve"> claim is not known until after the sub-fund enters into winding up; </w:t>
      </w:r>
      <w:r w:rsidR="00CA46E6" w:rsidRPr="00D773BD">
        <w:t>or</w:t>
      </w:r>
    </w:p>
    <w:p w14:paraId="2748262B" w14:textId="3A980902" w:rsidR="00CA46E6" w:rsidRPr="00D773BD" w:rsidRDefault="006E13E1" w:rsidP="00CA46E6">
      <w:pPr>
        <w:pStyle w:val="dotpoint"/>
      </w:pPr>
      <w:r>
        <w:t xml:space="preserve">where </w:t>
      </w:r>
      <w:r w:rsidR="00CA46E6" w:rsidRPr="00D773BD">
        <w:t>a debt</w:t>
      </w:r>
      <w:r w:rsidR="00607618" w:rsidRPr="00D773BD">
        <w:t>,</w:t>
      </w:r>
      <w:r w:rsidR="00CA46E6" w:rsidRPr="00D773BD">
        <w:t xml:space="preserve"> claim</w:t>
      </w:r>
      <w:r w:rsidR="00607618" w:rsidRPr="00D773BD">
        <w:t xml:space="preserve"> or property</w:t>
      </w:r>
      <w:r w:rsidR="00CA46E6" w:rsidRPr="00D773BD">
        <w:t xml:space="preserve"> is known before the sub-fund enters into winding up but was </w:t>
      </w:r>
      <w:r w:rsidR="00D05FA8" w:rsidRPr="00D773BD">
        <w:t>not recorded</w:t>
      </w:r>
      <w:r w:rsidR="00CA46E6" w:rsidRPr="00D773BD">
        <w:t>.</w:t>
      </w:r>
    </w:p>
    <w:p w14:paraId="05F190FA" w14:textId="4069E7BC" w:rsidR="00BF6C72" w:rsidRPr="00FA5B27" w:rsidRDefault="00BF6C72" w:rsidP="00AA3F3D">
      <w:pPr>
        <w:pStyle w:val="base-text-paragraph"/>
      </w:pPr>
      <w:r w:rsidRPr="00FA5B27">
        <w:t>If the corporate director fails to record the debt, claim or property in the allocation register</w:t>
      </w:r>
      <w:r w:rsidRPr="003801D6">
        <w:t xml:space="preserve"> and the prosecution can establish intention, the corporate director commits an offence punishable by up to 200 penalty </w:t>
      </w:r>
      <w:r w:rsidR="00FA5B27" w:rsidRPr="00AA3F3D">
        <w:t>u</w:t>
      </w:r>
      <w:r w:rsidRPr="00FA5B27">
        <w:t>nits or imprisonment for 2 years or both.</w:t>
      </w:r>
      <w:r w:rsidRPr="003801D6">
        <w:t xml:space="preserve"> If intention cannot be established, the corporate director commits a strict liability offence punishable by up to </w:t>
      </w:r>
      <w:r w:rsidR="00FA5B27" w:rsidRPr="00AA3F3D">
        <w:t>60</w:t>
      </w:r>
      <w:r w:rsidRPr="00FA5B27">
        <w:t xml:space="preserve"> penalty units. T</w:t>
      </w:r>
      <w:r w:rsidRPr="003801D6">
        <w:t>he imposition of a strict liability offence is consistent with the Guide because it is necessary to ensure the integrity of the winding up regime. The failure to make and record allocation determinations could prevent the liquidator from performing their functions and disadvantage creditors.</w:t>
      </w:r>
      <w:r w:rsidR="00FA5B27" w:rsidRPr="003801D6">
        <w:rPr>
          <w:rStyle w:val="Referencingstyle"/>
        </w:rPr>
        <w:t xml:space="preserve"> [Schedule </w:t>
      </w:r>
      <w:r w:rsidR="005A4BC5">
        <w:rPr>
          <w:rStyle w:val="Referencingstyle"/>
        </w:rPr>
        <w:t>2</w:t>
      </w:r>
      <w:r w:rsidR="00FA5B27" w:rsidRPr="003801D6">
        <w:rPr>
          <w:rStyle w:val="Referencingstyle"/>
        </w:rPr>
        <w:t xml:space="preserve">, item 1, </w:t>
      </w:r>
      <w:r w:rsidR="00FA5B27" w:rsidRPr="00FA5B27">
        <w:rPr>
          <w:rStyle w:val="Referencingstyle"/>
        </w:rPr>
        <w:t xml:space="preserve">subsections </w:t>
      </w:r>
      <w:r w:rsidR="005A4BC5">
        <w:rPr>
          <w:rStyle w:val="Referencingstyle"/>
        </w:rPr>
        <w:t>12-175</w:t>
      </w:r>
      <w:r w:rsidR="00FA5B27" w:rsidRPr="00FA5B27">
        <w:rPr>
          <w:rStyle w:val="Referencingstyle"/>
        </w:rPr>
        <w:t>(4) and (5)]</w:t>
      </w:r>
    </w:p>
    <w:p w14:paraId="11409EF6" w14:textId="5B9F755A" w:rsidR="00C96DF1" w:rsidRPr="00D773BD" w:rsidRDefault="00C96DF1" w:rsidP="00C96DF1">
      <w:pPr>
        <w:pStyle w:val="dotpoint"/>
        <w:numPr>
          <w:ilvl w:val="0"/>
          <w:numId w:val="0"/>
        </w:numPr>
        <w:ind w:left="1134"/>
        <w:rPr>
          <w:u w:val="single"/>
        </w:rPr>
      </w:pPr>
      <w:r w:rsidRPr="00D773BD">
        <w:rPr>
          <w:u w:val="single"/>
        </w:rPr>
        <w:t>ii) Liquidator’s power to challenge an allocation determination b</w:t>
      </w:r>
      <w:r w:rsidR="002D3259">
        <w:rPr>
          <w:u w:val="single"/>
        </w:rPr>
        <w:t>efore</w:t>
      </w:r>
      <w:r w:rsidRPr="00D773BD">
        <w:rPr>
          <w:u w:val="single"/>
        </w:rPr>
        <w:t xml:space="preserve"> the Court</w:t>
      </w:r>
    </w:p>
    <w:p w14:paraId="71B9FB74" w14:textId="4BE5CFA5" w:rsidR="006336D9" w:rsidRPr="00AA3F3D" w:rsidRDefault="006B6DEB" w:rsidP="00711D0C">
      <w:pPr>
        <w:pStyle w:val="base-text-paragraph"/>
        <w:rPr>
          <w:rStyle w:val="Referencingstyle"/>
          <w:b w:val="0"/>
          <w:i w:val="0"/>
          <w:sz w:val="22"/>
        </w:rPr>
      </w:pPr>
      <w:bookmarkStart w:id="87" w:name="_Ref524683043"/>
      <w:r w:rsidRPr="00AA3F3D">
        <w:rPr>
          <w:rStyle w:val="Referencingstyle"/>
          <w:b w:val="0"/>
          <w:i w:val="0"/>
          <w:sz w:val="22"/>
        </w:rPr>
        <w:t xml:space="preserve">A liquidator may </w:t>
      </w:r>
      <w:r w:rsidR="00EC4DB4" w:rsidRPr="00AA3F3D">
        <w:rPr>
          <w:rStyle w:val="Referencingstyle"/>
          <w:b w:val="0"/>
          <w:i w:val="0"/>
          <w:sz w:val="22"/>
        </w:rPr>
        <w:t>apply to the Court</w:t>
      </w:r>
      <w:r w:rsidRPr="00AA3F3D">
        <w:rPr>
          <w:rStyle w:val="Referencingstyle"/>
          <w:b w:val="0"/>
          <w:i w:val="0"/>
          <w:sz w:val="22"/>
        </w:rPr>
        <w:t xml:space="preserve"> if</w:t>
      </w:r>
      <w:r w:rsidR="00EC4DB4" w:rsidRPr="00AA3F3D">
        <w:rPr>
          <w:rStyle w:val="Referencingstyle"/>
          <w:b w:val="0"/>
          <w:i w:val="0"/>
          <w:sz w:val="22"/>
        </w:rPr>
        <w:t>:</w:t>
      </w:r>
      <w:bookmarkEnd w:id="87"/>
    </w:p>
    <w:p w14:paraId="78CDEE94" w14:textId="77777777" w:rsidR="006336D9" w:rsidRPr="00AA3F3D" w:rsidRDefault="006B6DEB" w:rsidP="006336D9">
      <w:pPr>
        <w:pStyle w:val="dotpoint"/>
        <w:rPr>
          <w:rStyle w:val="Referencingstyle"/>
          <w:b w:val="0"/>
          <w:i w:val="0"/>
          <w:sz w:val="22"/>
        </w:rPr>
      </w:pPr>
      <w:r w:rsidRPr="00AA3F3D">
        <w:rPr>
          <w:rStyle w:val="Referencingstyle"/>
          <w:b w:val="0"/>
          <w:i w:val="0"/>
          <w:sz w:val="22"/>
        </w:rPr>
        <w:t xml:space="preserve">the corporate director </w:t>
      </w:r>
      <w:r w:rsidR="006336D9" w:rsidRPr="00AA3F3D">
        <w:rPr>
          <w:rStyle w:val="Referencingstyle"/>
          <w:b w:val="0"/>
          <w:i w:val="0"/>
          <w:sz w:val="22"/>
        </w:rPr>
        <w:t xml:space="preserve">has not made an allocation determination; or </w:t>
      </w:r>
    </w:p>
    <w:p w14:paraId="4AA3BD99" w14:textId="39EBF914" w:rsidR="006336D9" w:rsidRPr="00AA3F3D" w:rsidRDefault="00D05FA8" w:rsidP="006336D9">
      <w:pPr>
        <w:pStyle w:val="dotpoint"/>
        <w:rPr>
          <w:rStyle w:val="Referencingstyle"/>
          <w:b w:val="0"/>
          <w:i w:val="0"/>
          <w:sz w:val="22"/>
        </w:rPr>
      </w:pPr>
      <w:r w:rsidRPr="00AA3F3D">
        <w:rPr>
          <w:rStyle w:val="Referencingstyle"/>
          <w:b w:val="0"/>
          <w:i w:val="0"/>
          <w:sz w:val="22"/>
        </w:rPr>
        <w:t>the liquidator believes</w:t>
      </w:r>
      <w:r w:rsidR="00C96DF1" w:rsidRPr="00AA3F3D">
        <w:rPr>
          <w:rStyle w:val="Referencingstyle"/>
          <w:b w:val="0"/>
          <w:i w:val="0"/>
          <w:sz w:val="22"/>
        </w:rPr>
        <w:t xml:space="preserve"> that the </w:t>
      </w:r>
      <w:r w:rsidR="006B6DEB" w:rsidRPr="00AA3F3D">
        <w:rPr>
          <w:rStyle w:val="Referencingstyle"/>
          <w:b w:val="0"/>
          <w:i w:val="0"/>
          <w:sz w:val="22"/>
        </w:rPr>
        <w:t>corporate director’s allocation</w:t>
      </w:r>
      <w:r w:rsidR="00C96DF1" w:rsidRPr="00AA3F3D">
        <w:rPr>
          <w:rStyle w:val="Referencingstyle"/>
          <w:b w:val="0"/>
          <w:i w:val="0"/>
          <w:sz w:val="22"/>
        </w:rPr>
        <w:t xml:space="preserve"> determination has miscarried</w:t>
      </w:r>
      <w:r w:rsidR="006E13E1">
        <w:rPr>
          <w:rStyle w:val="Referencingstyle"/>
          <w:b w:val="0"/>
          <w:i w:val="0"/>
          <w:sz w:val="22"/>
        </w:rPr>
        <w:t>;</w:t>
      </w:r>
      <w:r w:rsidR="00C96DF1" w:rsidRPr="00AA3F3D">
        <w:rPr>
          <w:rStyle w:val="Referencingstyle"/>
          <w:b w:val="0"/>
          <w:i w:val="0"/>
          <w:sz w:val="22"/>
        </w:rPr>
        <w:t xml:space="preserve"> that is, it is not one that a reasonable person in the corporate director’s position would have made</w:t>
      </w:r>
      <w:r w:rsidR="006B6DEB" w:rsidRPr="00AA3F3D">
        <w:rPr>
          <w:rStyle w:val="Referencingstyle"/>
          <w:b w:val="0"/>
          <w:i w:val="0"/>
          <w:sz w:val="22"/>
        </w:rPr>
        <w:t xml:space="preserve">. </w:t>
      </w:r>
    </w:p>
    <w:p w14:paraId="0D6521F2" w14:textId="0D9E7EC8" w:rsidR="00C7691E" w:rsidRPr="00AA3F3D" w:rsidRDefault="00C7691E" w:rsidP="00C96DF1">
      <w:pPr>
        <w:pStyle w:val="base-text-paragraph"/>
        <w:numPr>
          <w:ilvl w:val="0"/>
          <w:numId w:val="0"/>
        </w:numPr>
        <w:ind w:left="1678" w:firstLine="306"/>
        <w:rPr>
          <w:rStyle w:val="Referencingstyle"/>
        </w:rPr>
      </w:pPr>
      <w:r w:rsidRPr="00D773BD">
        <w:rPr>
          <w:rStyle w:val="Referencingstyle"/>
        </w:rPr>
        <w:t xml:space="preserve">[Schedule </w:t>
      </w:r>
      <w:r w:rsidR="0035795F">
        <w:rPr>
          <w:rStyle w:val="Referencingstyle"/>
        </w:rPr>
        <w:t>2</w:t>
      </w:r>
      <w:r w:rsidRPr="00D773BD">
        <w:rPr>
          <w:rStyle w:val="Referencingstyle"/>
        </w:rPr>
        <w:t xml:space="preserve">, item </w:t>
      </w:r>
      <w:r w:rsidR="0035795F">
        <w:rPr>
          <w:rStyle w:val="Referencingstyle"/>
        </w:rPr>
        <w:t>1</w:t>
      </w:r>
      <w:r w:rsidRPr="00D773BD">
        <w:rPr>
          <w:rStyle w:val="Referencingstyle"/>
        </w:rPr>
        <w:t xml:space="preserve">, subsections </w:t>
      </w:r>
      <w:r w:rsidR="0035795F">
        <w:rPr>
          <w:rStyle w:val="Referencingstyle"/>
        </w:rPr>
        <w:t>12-235</w:t>
      </w:r>
      <w:r w:rsidRPr="00D773BD">
        <w:rPr>
          <w:rStyle w:val="Referencingstyle"/>
        </w:rPr>
        <w:t>(1) to (4)]</w:t>
      </w:r>
    </w:p>
    <w:p w14:paraId="3037F05D" w14:textId="5E141921" w:rsidR="00EC4DB4" w:rsidRPr="00AA3F3D" w:rsidRDefault="00C96DF1" w:rsidP="00C96DF1">
      <w:pPr>
        <w:pStyle w:val="base-text-paragraph"/>
        <w:rPr>
          <w:rStyle w:val="Referencingstyle"/>
        </w:rPr>
      </w:pPr>
      <w:r w:rsidRPr="00AA3F3D">
        <w:rPr>
          <w:rStyle w:val="Referencingstyle"/>
          <w:b w:val="0"/>
          <w:i w:val="0"/>
          <w:sz w:val="22"/>
        </w:rPr>
        <w:t xml:space="preserve">There is no ground for challenging an allocation determination if it is within the bounds of what a reasonable person in the corporate director’s position could have determined. The mere fact that another reasonable person may have made </w:t>
      </w:r>
      <w:r w:rsidR="00EC4DB4" w:rsidRPr="00AA3F3D">
        <w:rPr>
          <w:rStyle w:val="Referencingstyle"/>
          <w:b w:val="0"/>
          <w:i w:val="0"/>
          <w:sz w:val="22"/>
        </w:rPr>
        <w:t xml:space="preserve">an alternative determination </w:t>
      </w:r>
      <w:r w:rsidRPr="00AA3F3D">
        <w:rPr>
          <w:rStyle w:val="Referencingstyle"/>
          <w:b w:val="0"/>
          <w:i w:val="0"/>
          <w:sz w:val="22"/>
        </w:rPr>
        <w:t>is not a ground for challeng</w:t>
      </w:r>
      <w:r w:rsidR="003801D6">
        <w:rPr>
          <w:rStyle w:val="Referencingstyle"/>
          <w:b w:val="0"/>
          <w:i w:val="0"/>
          <w:sz w:val="22"/>
        </w:rPr>
        <w:t>e</w:t>
      </w:r>
      <w:r w:rsidR="00EC4DB4" w:rsidRPr="00AA3F3D">
        <w:rPr>
          <w:rStyle w:val="Referencingstyle"/>
          <w:b w:val="0"/>
          <w:i w:val="0"/>
          <w:sz w:val="22"/>
        </w:rPr>
        <w:t xml:space="preserve">. </w:t>
      </w:r>
    </w:p>
    <w:p w14:paraId="6A930019" w14:textId="2990950A" w:rsidR="006B6DEB" w:rsidRPr="00AA3F3D" w:rsidRDefault="006B6DEB" w:rsidP="00711D0C">
      <w:pPr>
        <w:pStyle w:val="base-text-paragraph"/>
        <w:rPr>
          <w:rStyle w:val="Referencingstyle"/>
          <w:b w:val="0"/>
          <w:i w:val="0"/>
          <w:sz w:val="22"/>
        </w:rPr>
      </w:pPr>
      <w:bookmarkStart w:id="88" w:name="_Ref524683044"/>
      <w:r w:rsidRPr="00AA3F3D">
        <w:rPr>
          <w:rStyle w:val="Referencingstyle"/>
          <w:b w:val="0"/>
          <w:i w:val="0"/>
          <w:sz w:val="22"/>
        </w:rPr>
        <w:t>Th</w:t>
      </w:r>
      <w:r w:rsidR="006336D9" w:rsidRPr="00AA3F3D">
        <w:rPr>
          <w:rStyle w:val="Referencingstyle"/>
          <w:b w:val="0"/>
          <w:i w:val="0"/>
          <w:sz w:val="22"/>
        </w:rPr>
        <w:t>e Court may set aside the corporate director’s allocation determination, refer the question back to the corporate director or substitute its own determination. It may also require the corporate director to correct its records if the records are incorrect or deficient</w:t>
      </w:r>
      <w:r w:rsidR="00EC4DB4" w:rsidRPr="00AA3F3D">
        <w:rPr>
          <w:rStyle w:val="Referencingstyle"/>
          <w:b w:val="0"/>
          <w:i w:val="0"/>
          <w:sz w:val="22"/>
        </w:rPr>
        <w:t>.</w:t>
      </w:r>
      <w:r w:rsidR="00C7691E" w:rsidRPr="00D773BD">
        <w:rPr>
          <w:rStyle w:val="Referencingstyle"/>
        </w:rPr>
        <w:t xml:space="preserve"> </w:t>
      </w:r>
      <w:r w:rsidR="00C7691E" w:rsidRPr="00111880">
        <w:rPr>
          <w:rStyle w:val="Referencingstyle"/>
        </w:rPr>
        <w:t xml:space="preserve">[Schedule </w:t>
      </w:r>
      <w:r w:rsidR="005A4BC5">
        <w:rPr>
          <w:rStyle w:val="Referencingstyle"/>
        </w:rPr>
        <w:t>2</w:t>
      </w:r>
      <w:r w:rsidR="00C7691E" w:rsidRPr="00111880">
        <w:rPr>
          <w:rStyle w:val="Referencingstyle"/>
        </w:rPr>
        <w:t xml:space="preserve">, item </w:t>
      </w:r>
      <w:r w:rsidR="005A4BC5">
        <w:rPr>
          <w:rStyle w:val="Referencingstyle"/>
        </w:rPr>
        <w:t>1</w:t>
      </w:r>
      <w:r w:rsidR="00C7691E" w:rsidRPr="00111880">
        <w:rPr>
          <w:rStyle w:val="Referencingstyle"/>
        </w:rPr>
        <w:t xml:space="preserve">, subsections </w:t>
      </w:r>
      <w:r w:rsidR="005A4BC5">
        <w:rPr>
          <w:rStyle w:val="Referencingstyle"/>
        </w:rPr>
        <w:t>12-235</w:t>
      </w:r>
      <w:r w:rsidR="00C7691E" w:rsidRPr="00111880">
        <w:rPr>
          <w:rStyle w:val="Referencingstyle"/>
        </w:rPr>
        <w:t>(1)</w:t>
      </w:r>
      <w:r w:rsidR="00C7691E" w:rsidRPr="00D773BD">
        <w:rPr>
          <w:rStyle w:val="Referencingstyle"/>
        </w:rPr>
        <w:t xml:space="preserve"> to (3)]</w:t>
      </w:r>
      <w:bookmarkEnd w:id="88"/>
    </w:p>
    <w:p w14:paraId="0450848E" w14:textId="68438528" w:rsidR="006B6DEB" w:rsidRPr="00AA3F3D" w:rsidRDefault="00EC4DB4" w:rsidP="00711D0C">
      <w:pPr>
        <w:pStyle w:val="base-text-paragraph"/>
        <w:rPr>
          <w:rStyle w:val="Referencingstyle"/>
          <w:b w:val="0"/>
          <w:i w:val="0"/>
          <w:sz w:val="22"/>
        </w:rPr>
      </w:pPr>
      <w:r w:rsidRPr="00AA3F3D">
        <w:rPr>
          <w:rStyle w:val="Referencingstyle"/>
          <w:b w:val="0"/>
          <w:i w:val="0"/>
          <w:sz w:val="22"/>
        </w:rPr>
        <w:t>If the Court substitutes its own determination for the corporate director’s determination, the corporate director is prohibited from determining a different proportion.</w:t>
      </w:r>
      <w:r w:rsidR="00C7691E" w:rsidRPr="00D773BD">
        <w:rPr>
          <w:rStyle w:val="Referencingstyle"/>
        </w:rPr>
        <w:t xml:space="preserve"> </w:t>
      </w:r>
      <w:r w:rsidR="00C7691E" w:rsidRPr="00111880">
        <w:rPr>
          <w:rStyle w:val="Referencingstyle"/>
        </w:rPr>
        <w:t xml:space="preserve">[Schedule </w:t>
      </w:r>
      <w:r w:rsidR="005A4BC5">
        <w:rPr>
          <w:rStyle w:val="Referencingstyle"/>
        </w:rPr>
        <w:t>2</w:t>
      </w:r>
      <w:r w:rsidR="00C7691E" w:rsidRPr="00111880">
        <w:rPr>
          <w:rStyle w:val="Referencingstyle"/>
        </w:rPr>
        <w:t xml:space="preserve">, item </w:t>
      </w:r>
      <w:r w:rsidR="005A4BC5">
        <w:rPr>
          <w:rStyle w:val="Referencingstyle"/>
        </w:rPr>
        <w:t>1</w:t>
      </w:r>
      <w:r w:rsidR="00C7691E" w:rsidRPr="00111880">
        <w:rPr>
          <w:rStyle w:val="Referencingstyle"/>
        </w:rPr>
        <w:t xml:space="preserve">, subsection </w:t>
      </w:r>
      <w:r w:rsidR="005A4BC5">
        <w:rPr>
          <w:rStyle w:val="Referencingstyle"/>
        </w:rPr>
        <w:t>12-235</w:t>
      </w:r>
      <w:r w:rsidR="00C7691E" w:rsidRPr="00111880">
        <w:rPr>
          <w:rStyle w:val="Referencingstyle"/>
        </w:rPr>
        <w:t>(5)]</w:t>
      </w:r>
    </w:p>
    <w:p w14:paraId="1BC53820" w14:textId="19363706" w:rsidR="00A7307A" w:rsidRPr="00C3461F" w:rsidRDefault="003D089D" w:rsidP="00A7307A">
      <w:pPr>
        <w:pStyle w:val="base-text-paragraph"/>
        <w:numPr>
          <w:ilvl w:val="0"/>
          <w:numId w:val="0"/>
        </w:numPr>
        <w:ind w:left="1134"/>
        <w:rPr>
          <w:i/>
        </w:rPr>
      </w:pPr>
      <w:r>
        <w:rPr>
          <w:i/>
        </w:rPr>
        <w:t>L</w:t>
      </w:r>
      <w:r w:rsidR="00A7307A">
        <w:rPr>
          <w:i/>
        </w:rPr>
        <w:t>iquidator</w:t>
      </w:r>
      <w:r w:rsidR="00645E1B">
        <w:rPr>
          <w:i/>
        </w:rPr>
        <w:t xml:space="preserve"> and provisional liquidator</w:t>
      </w:r>
      <w:r>
        <w:rPr>
          <w:i/>
        </w:rPr>
        <w:t>’s interaction with</w:t>
      </w:r>
      <w:r w:rsidR="00A7307A">
        <w:rPr>
          <w:i/>
        </w:rPr>
        <w:t xml:space="preserve"> the depositary</w:t>
      </w:r>
    </w:p>
    <w:p w14:paraId="40707305" w14:textId="327C420A" w:rsidR="00BA7637" w:rsidRDefault="0096531C" w:rsidP="00711D0C">
      <w:pPr>
        <w:pStyle w:val="base-text-paragraph"/>
      </w:pPr>
      <w:r>
        <w:t>If the CCIV has a depositary, t</w:t>
      </w:r>
      <w:r w:rsidR="00A7307A">
        <w:t>he liquidator or provisional liquidator must notify the depositary of the</w:t>
      </w:r>
      <w:r w:rsidR="00563AFE">
        <w:t xml:space="preserve">ir </w:t>
      </w:r>
      <w:r w:rsidR="00A7307A">
        <w:t xml:space="preserve">appointment as soon as practicable and in any case within three </w:t>
      </w:r>
      <w:r w:rsidR="00CF526B">
        <w:t xml:space="preserve">business </w:t>
      </w:r>
      <w:r w:rsidR="00A7307A">
        <w:t xml:space="preserve">days </w:t>
      </w:r>
      <w:r w:rsidR="008A02AE">
        <w:t xml:space="preserve">after </w:t>
      </w:r>
      <w:r w:rsidR="00563AFE">
        <w:t>being appointed</w:t>
      </w:r>
      <w:r w:rsidR="00A7307A">
        <w:t>.</w:t>
      </w:r>
      <w:r w:rsidR="00800091">
        <w:t xml:space="preserve"> </w:t>
      </w:r>
      <w:r w:rsidR="00BA7637">
        <w:t>This ensures that the depositary receives timely notification. For other sections which require notification ‘as soon as practicable’ and also specify a maximum period, see sections 311, 450A and 533 of the existing law.</w:t>
      </w:r>
      <w:r w:rsidR="00BA7637" w:rsidRPr="00BA7637">
        <w:rPr>
          <w:rStyle w:val="Referencingstyle"/>
        </w:rPr>
        <w:t xml:space="preserve"> </w:t>
      </w:r>
      <w:r w:rsidR="00BA7637">
        <w:rPr>
          <w:rStyle w:val="Referencingstyle"/>
        </w:rPr>
        <w:t>[</w:t>
      </w:r>
      <w:r w:rsidR="00BA7637" w:rsidRPr="008D7243">
        <w:rPr>
          <w:rStyle w:val="Referencingstyle"/>
        </w:rPr>
        <w:t xml:space="preserve">Schedule </w:t>
      </w:r>
      <w:r w:rsidR="005A4BC5">
        <w:rPr>
          <w:rStyle w:val="Referencingstyle"/>
        </w:rPr>
        <w:t>2</w:t>
      </w:r>
      <w:r w:rsidR="00BA7637" w:rsidRPr="008D7243">
        <w:rPr>
          <w:rStyle w:val="Referencingstyle"/>
        </w:rPr>
        <w:t xml:space="preserve">, item </w:t>
      </w:r>
      <w:r w:rsidR="00BA7637">
        <w:rPr>
          <w:rStyle w:val="Referencingstyle"/>
        </w:rPr>
        <w:t>1</w:t>
      </w:r>
      <w:r w:rsidR="00BA7637" w:rsidRPr="008D7243">
        <w:rPr>
          <w:rStyle w:val="Referencingstyle"/>
        </w:rPr>
        <w:t xml:space="preserve">, </w:t>
      </w:r>
      <w:r w:rsidR="00BA7637">
        <w:rPr>
          <w:rStyle w:val="Referencingstyle"/>
        </w:rPr>
        <w:t>s</w:t>
      </w:r>
      <w:r w:rsidR="004B039E">
        <w:rPr>
          <w:rStyle w:val="Referencingstyle"/>
        </w:rPr>
        <w:t>ubs</w:t>
      </w:r>
      <w:r w:rsidR="00BA7637">
        <w:rPr>
          <w:rStyle w:val="Referencingstyle"/>
        </w:rPr>
        <w:t xml:space="preserve">ection </w:t>
      </w:r>
      <w:r w:rsidR="005A4BC5">
        <w:rPr>
          <w:rStyle w:val="Referencingstyle"/>
        </w:rPr>
        <w:t>12-165</w:t>
      </w:r>
      <w:r w:rsidR="00BA7637">
        <w:rPr>
          <w:rStyle w:val="Referencingstyle"/>
        </w:rPr>
        <w:t>(1)</w:t>
      </w:r>
      <w:r w:rsidR="00BA7637" w:rsidRPr="008D7243">
        <w:rPr>
          <w:rStyle w:val="Referencingstyle"/>
        </w:rPr>
        <w:t>]</w:t>
      </w:r>
    </w:p>
    <w:p w14:paraId="7806E483" w14:textId="2FCC5B02" w:rsidR="00A7307A" w:rsidRDefault="00800091" w:rsidP="00711D0C">
      <w:pPr>
        <w:pStyle w:val="base-text-paragraph"/>
      </w:pPr>
      <w:r>
        <w:t xml:space="preserve">If the liquidator or provisional liquidator of a sub-fund resigns, the sub-fund must also notify the depositary in writing as soon as practicable and in any event within </w:t>
      </w:r>
      <w:r w:rsidR="00CF526B">
        <w:t>three</w:t>
      </w:r>
      <w:r>
        <w:t xml:space="preserve"> </w:t>
      </w:r>
      <w:r w:rsidR="00CF526B">
        <w:t xml:space="preserve">business </w:t>
      </w:r>
      <w:r>
        <w:t>days after the resignation.</w:t>
      </w:r>
      <w:r w:rsidR="00A7307A" w:rsidRPr="00F545FB">
        <w:rPr>
          <w:rStyle w:val="Referencingstyle"/>
        </w:rPr>
        <w:t xml:space="preserve"> </w:t>
      </w:r>
      <w:r w:rsidR="00A7307A">
        <w:rPr>
          <w:rStyle w:val="Referencingstyle"/>
        </w:rPr>
        <w:t>[</w:t>
      </w:r>
      <w:r w:rsidR="00A7307A" w:rsidRPr="008D7243">
        <w:rPr>
          <w:rStyle w:val="Referencingstyle"/>
        </w:rPr>
        <w:t xml:space="preserve">Schedule </w:t>
      </w:r>
      <w:r w:rsidR="005A4BC5">
        <w:rPr>
          <w:rStyle w:val="Referencingstyle"/>
        </w:rPr>
        <w:t>2</w:t>
      </w:r>
      <w:r w:rsidR="00A7307A" w:rsidRPr="008D7243">
        <w:rPr>
          <w:rStyle w:val="Referencingstyle"/>
        </w:rPr>
        <w:t xml:space="preserve">, item </w:t>
      </w:r>
      <w:r w:rsidR="00A7307A">
        <w:rPr>
          <w:rStyle w:val="Referencingstyle"/>
        </w:rPr>
        <w:t>1</w:t>
      </w:r>
      <w:r w:rsidR="00A7307A" w:rsidRPr="008D7243">
        <w:rPr>
          <w:rStyle w:val="Referencingstyle"/>
        </w:rPr>
        <w:t xml:space="preserve">, </w:t>
      </w:r>
      <w:r w:rsidR="00346C8D">
        <w:rPr>
          <w:rStyle w:val="Referencingstyle"/>
        </w:rPr>
        <w:t>s</w:t>
      </w:r>
      <w:r w:rsidR="004B039E">
        <w:rPr>
          <w:rStyle w:val="Referencingstyle"/>
        </w:rPr>
        <w:t>ubs</w:t>
      </w:r>
      <w:r w:rsidR="00346C8D">
        <w:rPr>
          <w:rStyle w:val="Referencingstyle"/>
        </w:rPr>
        <w:t xml:space="preserve">ection </w:t>
      </w:r>
      <w:r w:rsidR="005A4BC5">
        <w:rPr>
          <w:rStyle w:val="Referencingstyle"/>
        </w:rPr>
        <w:t>12-165</w:t>
      </w:r>
      <w:r w:rsidR="00BA7637">
        <w:rPr>
          <w:rStyle w:val="Referencingstyle"/>
        </w:rPr>
        <w:t>(2)</w:t>
      </w:r>
      <w:r w:rsidR="00A7307A" w:rsidRPr="008D7243">
        <w:rPr>
          <w:rStyle w:val="Referencingstyle"/>
        </w:rPr>
        <w:t>]</w:t>
      </w:r>
    </w:p>
    <w:p w14:paraId="3B795AF8" w14:textId="37CBDD39" w:rsidR="00A7307A" w:rsidRPr="00B40A06" w:rsidRDefault="00A7307A" w:rsidP="00711D0C">
      <w:pPr>
        <w:pStyle w:val="base-text-paragraph"/>
        <w:rPr>
          <w:rStyle w:val="Referencingstyle"/>
          <w:b w:val="0"/>
          <w:i w:val="0"/>
          <w:sz w:val="22"/>
        </w:rPr>
      </w:pPr>
      <w:r w:rsidRPr="00FA5B27">
        <w:t>The liquidator or provisional liquidator has the power to instruct the depositary about t</w:t>
      </w:r>
      <w:r w:rsidRPr="003801D6">
        <w:t>he assets of the sub</w:t>
      </w:r>
      <w:r>
        <w:noBreakHyphen/>
      </w:r>
      <w:r w:rsidRPr="00D359C7">
        <w:t>fund that is being wound</w:t>
      </w:r>
      <w:r>
        <w:t xml:space="preserve"> </w:t>
      </w:r>
      <w:r w:rsidRPr="00D359C7">
        <w:t xml:space="preserve">up. This ensures that </w:t>
      </w:r>
      <w:r>
        <w:t>a</w:t>
      </w:r>
      <w:r w:rsidRPr="00D359C7">
        <w:t xml:space="preserve"> liquidator or provisional liquidator </w:t>
      </w:r>
      <w:r>
        <w:t>can</w:t>
      </w:r>
      <w:r w:rsidRPr="00D359C7">
        <w:t xml:space="preserve"> bring in all assets </w:t>
      </w:r>
      <w:r>
        <w:t>of the sub</w:t>
      </w:r>
      <w:r>
        <w:noBreakHyphen/>
        <w:t xml:space="preserve">fund that is being wound up. </w:t>
      </w:r>
      <w:r>
        <w:rPr>
          <w:rStyle w:val="Referencingstyle"/>
        </w:rPr>
        <w:t>[</w:t>
      </w:r>
      <w:r w:rsidRPr="008D7243">
        <w:rPr>
          <w:rStyle w:val="Referencingstyle"/>
        </w:rPr>
        <w:t xml:space="preserve">Schedule </w:t>
      </w:r>
      <w:r w:rsidR="005A4BC5">
        <w:rPr>
          <w:rStyle w:val="Referencingstyle"/>
        </w:rPr>
        <w:t>2</w:t>
      </w:r>
      <w:r w:rsidRPr="008D7243">
        <w:rPr>
          <w:rStyle w:val="Referencingstyle"/>
        </w:rPr>
        <w:t xml:space="preserve">, item </w:t>
      </w:r>
      <w:r>
        <w:rPr>
          <w:rStyle w:val="Referencingstyle"/>
        </w:rPr>
        <w:t>1</w:t>
      </w:r>
      <w:r w:rsidRPr="008D7243">
        <w:rPr>
          <w:rStyle w:val="Referencingstyle"/>
        </w:rPr>
        <w:t xml:space="preserve">, </w:t>
      </w:r>
      <w:r>
        <w:rPr>
          <w:rStyle w:val="Referencingstyle"/>
        </w:rPr>
        <w:t xml:space="preserve">subsections </w:t>
      </w:r>
      <w:r w:rsidR="005A4BC5">
        <w:rPr>
          <w:rStyle w:val="Referencingstyle"/>
        </w:rPr>
        <w:t>12-170</w:t>
      </w:r>
      <w:r>
        <w:rPr>
          <w:rStyle w:val="Referencingstyle"/>
        </w:rPr>
        <w:t>(</w:t>
      </w:r>
      <w:r w:rsidR="00E9130E">
        <w:rPr>
          <w:rStyle w:val="Referencingstyle"/>
        </w:rPr>
        <w:t>3</w:t>
      </w:r>
      <w:r>
        <w:rPr>
          <w:rStyle w:val="Referencingstyle"/>
        </w:rPr>
        <w:t>)</w:t>
      </w:r>
      <w:r w:rsidR="00E9130E">
        <w:rPr>
          <w:rStyle w:val="Referencingstyle"/>
        </w:rPr>
        <w:t xml:space="preserve"> a</w:t>
      </w:r>
      <w:r>
        <w:rPr>
          <w:rStyle w:val="Referencingstyle"/>
        </w:rPr>
        <w:t>nd (</w:t>
      </w:r>
      <w:r w:rsidR="00E9130E">
        <w:rPr>
          <w:rStyle w:val="Referencingstyle"/>
        </w:rPr>
        <w:t>6</w:t>
      </w:r>
      <w:r>
        <w:rPr>
          <w:rStyle w:val="Referencingstyle"/>
        </w:rPr>
        <w:t>)</w:t>
      </w:r>
      <w:r w:rsidRPr="008D7243">
        <w:rPr>
          <w:rStyle w:val="Referencingstyle"/>
        </w:rPr>
        <w:t>]</w:t>
      </w:r>
    </w:p>
    <w:p w14:paraId="39A3ACCB" w14:textId="0975779D" w:rsidR="00A7307A" w:rsidRDefault="00A7307A" w:rsidP="00711D0C">
      <w:pPr>
        <w:pStyle w:val="base-text-paragraph"/>
      </w:pPr>
      <w:r>
        <w:t>There is nothing in the new law which precludes the liquidator</w:t>
      </w:r>
      <w:r w:rsidR="00645E1B">
        <w:t xml:space="preserve"> or provisional liquidator</w:t>
      </w:r>
      <w:r>
        <w:t xml:space="preserve"> from determining that the depositary should continue to hold the assets of the sub</w:t>
      </w:r>
      <w:r>
        <w:noBreakHyphen/>
        <w:t>fund that is being wound up.</w:t>
      </w:r>
    </w:p>
    <w:p w14:paraId="0C96D054" w14:textId="4F77CDE1" w:rsidR="00B40A06" w:rsidRPr="00AA3F3D" w:rsidRDefault="00B40A06" w:rsidP="00711D0C">
      <w:pPr>
        <w:pStyle w:val="base-text-paragraph"/>
      </w:pPr>
      <w:bookmarkStart w:id="89" w:name="_Ref522708484"/>
      <w:r w:rsidRPr="00AA3F3D">
        <w:t xml:space="preserve">The liquidator or provisional liquidator may also seek reasonable assistance from the depositary. This supplements the liquidator or provisional liquidators’ power to seek assistance from the corporate director (see existing section 530A). It also recognises that the corporate director and depositary have an obligation to provide each other with reasonable assistance (see paragraphs 4.60 and 4.61 of the Tranche 1 </w:t>
      </w:r>
      <w:r w:rsidR="00CB5682">
        <w:t>Explanatory Materials</w:t>
      </w:r>
      <w:r w:rsidRPr="00AA3F3D">
        <w:t>) and that</w:t>
      </w:r>
      <w:r w:rsidR="00563AFE" w:rsidRPr="00AA3F3D">
        <w:t xml:space="preserve"> </w:t>
      </w:r>
      <w:r w:rsidR="004B039E" w:rsidRPr="00AA3F3D">
        <w:t xml:space="preserve">many of </w:t>
      </w:r>
      <w:r w:rsidRPr="00AA3F3D">
        <w:t>the</w:t>
      </w:r>
      <w:r w:rsidR="004B039E" w:rsidRPr="00AA3F3D">
        <w:t xml:space="preserve"> corporate director’s</w:t>
      </w:r>
      <w:r w:rsidRPr="00AA3F3D">
        <w:t xml:space="preserve"> functions are exercised by the liquidator </w:t>
      </w:r>
      <w:r w:rsidR="00563AFE" w:rsidRPr="00AA3F3D">
        <w:t xml:space="preserve">when a sub-fund is being wound up </w:t>
      </w:r>
      <w:r w:rsidRPr="00AA3F3D">
        <w:t xml:space="preserve">(see paragraph </w:t>
      </w:r>
      <w:r w:rsidRPr="00AA3F3D">
        <w:fldChar w:fldCharType="begin"/>
      </w:r>
      <w:r w:rsidRPr="00AA3F3D">
        <w:instrText xml:space="preserve"> REF _Ref524687500 \r \h  \* MERGEFORMAT </w:instrText>
      </w:r>
      <w:r w:rsidRPr="00AA3F3D">
        <w:fldChar w:fldCharType="separate"/>
      </w:r>
      <w:r w:rsidR="00275132">
        <w:t>3.104</w:t>
      </w:r>
      <w:r w:rsidRPr="00AA3F3D">
        <w:fldChar w:fldCharType="end"/>
      </w:r>
      <w:r w:rsidR="004B039E" w:rsidRPr="00AA3F3D">
        <w:t xml:space="preserve"> of these explanatory materials</w:t>
      </w:r>
      <w:r w:rsidRPr="00AA3F3D">
        <w:t>).</w:t>
      </w:r>
      <w:r w:rsidR="00334BB2" w:rsidRPr="00AA3F3D">
        <w:t xml:space="preserve"> </w:t>
      </w:r>
      <w:r w:rsidR="00334BB2" w:rsidRPr="00334BB2">
        <w:rPr>
          <w:rStyle w:val="Referencingstyle"/>
        </w:rPr>
        <w:t>[Schedule</w:t>
      </w:r>
      <w:r w:rsidR="00334BB2" w:rsidRPr="00BF6C72">
        <w:rPr>
          <w:rStyle w:val="Referencingstyle"/>
        </w:rPr>
        <w:t> </w:t>
      </w:r>
      <w:r w:rsidR="005A4BC5">
        <w:rPr>
          <w:rStyle w:val="Referencingstyle"/>
        </w:rPr>
        <w:t>2</w:t>
      </w:r>
      <w:r w:rsidR="00334BB2" w:rsidRPr="00BF6C72">
        <w:rPr>
          <w:rStyle w:val="Referencingstyle"/>
        </w:rPr>
        <w:t xml:space="preserve">, item 1, section </w:t>
      </w:r>
      <w:r w:rsidR="000F719A" w:rsidRPr="00BF6C72">
        <w:rPr>
          <w:rStyle w:val="Referencingstyle"/>
        </w:rPr>
        <w:t>123</w:t>
      </w:r>
      <w:r w:rsidR="000F719A">
        <w:rPr>
          <w:rStyle w:val="Referencingstyle"/>
        </w:rPr>
        <w:t>7</w:t>
      </w:r>
      <w:r w:rsidR="000F719A" w:rsidRPr="00BF6C72">
        <w:rPr>
          <w:rStyle w:val="Referencingstyle"/>
        </w:rPr>
        <w:t>M</w:t>
      </w:r>
      <w:r w:rsidR="00334BB2" w:rsidRPr="00BF6C72">
        <w:rPr>
          <w:rStyle w:val="Referencingstyle"/>
        </w:rPr>
        <w:t>]</w:t>
      </w:r>
    </w:p>
    <w:p w14:paraId="5728B346" w14:textId="33FFE4CE" w:rsidR="00A7307A" w:rsidRPr="00B40A06" w:rsidRDefault="00E9130E" w:rsidP="00711D0C">
      <w:pPr>
        <w:pStyle w:val="base-text-paragraph"/>
        <w:rPr>
          <w:rStyle w:val="Referencingstyle"/>
          <w:b w:val="0"/>
          <w:i w:val="0"/>
          <w:sz w:val="22"/>
        </w:rPr>
      </w:pPr>
      <w:r w:rsidRPr="00FA5B27">
        <w:t>T</w:t>
      </w:r>
      <w:r w:rsidR="00A7307A">
        <w:t xml:space="preserve">he functions and powers of a liquidator </w:t>
      </w:r>
      <w:r w:rsidR="00A7307A" w:rsidRPr="00650A67">
        <w:t>or provisional liquidator</w:t>
      </w:r>
      <w:r w:rsidR="00A7307A">
        <w:t xml:space="preserve"> prevail over the depositary’s functions and powers to the extent of any conflict. </w:t>
      </w:r>
      <w:r>
        <w:t xml:space="preserve">It is appropriate for the functions and powers of the liquidator </w:t>
      </w:r>
      <w:r w:rsidR="00C604AC">
        <w:t xml:space="preserve">or the provisional liquidator </w:t>
      </w:r>
      <w:r>
        <w:t>to prevail over thos</w:t>
      </w:r>
      <w:r w:rsidR="00C604AC">
        <w:t xml:space="preserve">e of the depositary because </w:t>
      </w:r>
      <w:r w:rsidR="00274D33">
        <w:t>liquidators</w:t>
      </w:r>
      <w:r w:rsidR="00C604AC">
        <w:t xml:space="preserve"> </w:t>
      </w:r>
      <w:r>
        <w:t xml:space="preserve">must prioritise the interests of creditors and </w:t>
      </w:r>
      <w:r w:rsidR="004C2DCC">
        <w:t>are</w:t>
      </w:r>
      <w:r>
        <w:t xml:space="preserve"> supervised by the </w:t>
      </w:r>
      <w:r w:rsidR="004C2DCC">
        <w:t>C</w:t>
      </w:r>
      <w:r>
        <w:t>ourt</w:t>
      </w:r>
      <w:r w:rsidR="008A7153">
        <w:t>.</w:t>
      </w:r>
      <w:r w:rsidR="008A7153">
        <w:rPr>
          <w:rStyle w:val="Referencingstyle"/>
        </w:rPr>
        <w:t xml:space="preserve"> </w:t>
      </w:r>
      <w:r w:rsidR="00A7307A">
        <w:rPr>
          <w:rStyle w:val="Referencingstyle"/>
        </w:rPr>
        <w:t>[</w:t>
      </w:r>
      <w:r w:rsidR="00A7307A" w:rsidRPr="008D7243">
        <w:rPr>
          <w:rStyle w:val="Referencingstyle"/>
        </w:rPr>
        <w:t xml:space="preserve">Schedule </w:t>
      </w:r>
      <w:r w:rsidR="005A4BC5">
        <w:rPr>
          <w:rStyle w:val="Referencingstyle"/>
        </w:rPr>
        <w:t>2</w:t>
      </w:r>
      <w:r w:rsidR="00A7307A" w:rsidRPr="008D7243">
        <w:rPr>
          <w:rStyle w:val="Referencingstyle"/>
        </w:rPr>
        <w:t xml:space="preserve">, item </w:t>
      </w:r>
      <w:r w:rsidR="00A7307A">
        <w:rPr>
          <w:rStyle w:val="Referencingstyle"/>
        </w:rPr>
        <w:t>1</w:t>
      </w:r>
      <w:r w:rsidR="00A7307A" w:rsidRPr="008D7243">
        <w:rPr>
          <w:rStyle w:val="Referencingstyle"/>
        </w:rPr>
        <w:t xml:space="preserve">, </w:t>
      </w:r>
      <w:r w:rsidR="00A7307A">
        <w:rPr>
          <w:rStyle w:val="Referencingstyle"/>
        </w:rPr>
        <w:t xml:space="preserve">section </w:t>
      </w:r>
      <w:r w:rsidR="000D0A6C">
        <w:rPr>
          <w:rStyle w:val="Referencingstyle"/>
        </w:rPr>
        <w:t>1234R</w:t>
      </w:r>
      <w:r w:rsidR="00A7307A" w:rsidRPr="008D7243">
        <w:rPr>
          <w:rStyle w:val="Referencingstyle"/>
        </w:rPr>
        <w:t>]</w:t>
      </w:r>
      <w:bookmarkEnd w:id="89"/>
    </w:p>
    <w:p w14:paraId="72214887" w14:textId="77777777" w:rsidR="00A7307A" w:rsidRDefault="00A7307A" w:rsidP="00711D0C">
      <w:pPr>
        <w:pStyle w:val="ExampleHeading"/>
        <w:rPr>
          <w:rStyle w:val="Referencingstyle"/>
          <w:b/>
          <w:i w:val="0"/>
          <w:sz w:val="22"/>
        </w:rPr>
      </w:pPr>
      <w:r>
        <w:rPr>
          <w:rStyle w:val="Referencingstyle"/>
          <w:b/>
          <w:i w:val="0"/>
          <w:sz w:val="22"/>
        </w:rPr>
        <w:t>: Powers of the liquidator</w:t>
      </w:r>
    </w:p>
    <w:p w14:paraId="01E85CCE" w14:textId="1530509F" w:rsidR="00A7307A" w:rsidRDefault="00A7307A" w:rsidP="00A7307A">
      <w:pPr>
        <w:pStyle w:val="exampletext"/>
      </w:pPr>
      <w:r>
        <w:t>Mand</w:t>
      </w:r>
      <w:r w:rsidR="00782C38">
        <w:t xml:space="preserve">y is appointed as liquidator of </w:t>
      </w:r>
      <w:proofErr w:type="spellStart"/>
      <w:r>
        <w:t>Ironbank</w:t>
      </w:r>
      <w:proofErr w:type="spellEnd"/>
      <w:r>
        <w:t xml:space="preserve"> CCIV in respect of Maximum Return SF. The CCIV has two other sub</w:t>
      </w:r>
      <w:r>
        <w:noBreakHyphen/>
        <w:t>funds which are not being wound up.</w:t>
      </w:r>
    </w:p>
    <w:p w14:paraId="4A3D04C1" w14:textId="77777777" w:rsidR="00A7307A" w:rsidRDefault="00A7307A" w:rsidP="00A7307A">
      <w:pPr>
        <w:pStyle w:val="exampletext"/>
      </w:pPr>
      <w:r>
        <w:t xml:space="preserve">Mandy may carry on only the part of the business that relates to Maximum Return SF and issue instructions to the depositary regarding the assets allocated to Maximum Return SF. </w:t>
      </w:r>
    </w:p>
    <w:p w14:paraId="21EC499E" w14:textId="52F56621" w:rsidR="00A7307A" w:rsidRPr="00B92C9E" w:rsidRDefault="00A7307A" w:rsidP="00A7307A">
      <w:pPr>
        <w:pStyle w:val="exampletext"/>
      </w:pPr>
      <w:r>
        <w:t>Mandy cannot determine the proportion of assets and liabilities that are allocated to Maximum Return SF. Nor can she control the part of the business that relates to the other sub</w:t>
      </w:r>
      <w:r>
        <w:noBreakHyphen/>
        <w:t>funds or take in the assets of th</w:t>
      </w:r>
      <w:r w:rsidR="008A02AE">
        <w:t>o</w:t>
      </w:r>
      <w:r>
        <w:t>se sub</w:t>
      </w:r>
      <w:r>
        <w:noBreakHyphen/>
        <w:t>funds</w:t>
      </w:r>
      <w:r w:rsidDel="00B9205D">
        <w:t>.</w:t>
      </w:r>
    </w:p>
    <w:p w14:paraId="371CFE7D" w14:textId="5261D5AA" w:rsidR="000D0A6C" w:rsidRDefault="000D0A6C" w:rsidP="00A7307A">
      <w:pPr>
        <w:pStyle w:val="base-text-paragraph"/>
        <w:keepNext/>
        <w:numPr>
          <w:ilvl w:val="0"/>
          <w:numId w:val="0"/>
        </w:numPr>
        <w:ind w:left="1134"/>
        <w:rPr>
          <w:rStyle w:val="Referencingstyle"/>
          <w:b w:val="0"/>
          <w:sz w:val="22"/>
        </w:rPr>
      </w:pPr>
      <w:r>
        <w:rPr>
          <w:rStyle w:val="Referencingstyle"/>
          <w:b w:val="0"/>
          <w:sz w:val="22"/>
        </w:rPr>
        <w:t>Rights of secured creditors</w:t>
      </w:r>
    </w:p>
    <w:p w14:paraId="42078F14" w14:textId="7AF98AB9" w:rsidR="000D0A6C" w:rsidRPr="00751A4C" w:rsidRDefault="004B039E" w:rsidP="00711D0C">
      <w:pPr>
        <w:pStyle w:val="base-text-paragraph"/>
        <w:rPr>
          <w:rStyle w:val="Referencingstyle"/>
          <w:b w:val="0"/>
          <w:i w:val="0"/>
          <w:sz w:val="22"/>
        </w:rPr>
      </w:pPr>
      <w:r w:rsidRPr="00FA5B27">
        <w:t>None of the constraints on the powers of the corporate director or the depositary affect t</w:t>
      </w:r>
      <w:r w:rsidR="000D0A6C">
        <w:t>he right</w:t>
      </w:r>
      <w:r>
        <w:t>s</w:t>
      </w:r>
      <w:r w:rsidR="000D0A6C">
        <w:t xml:space="preserve"> of a secured creditor to realise or otherwise deal with a security interest. </w:t>
      </w:r>
      <w:r w:rsidR="000D0A6C">
        <w:rPr>
          <w:rStyle w:val="Referencingstyle"/>
        </w:rPr>
        <w:t>[</w:t>
      </w:r>
      <w:r w:rsidR="000D0A6C" w:rsidRPr="008D7243">
        <w:rPr>
          <w:rStyle w:val="Referencingstyle"/>
        </w:rPr>
        <w:t xml:space="preserve">Schedule </w:t>
      </w:r>
      <w:r w:rsidR="005A4BC5">
        <w:rPr>
          <w:rStyle w:val="Referencingstyle"/>
        </w:rPr>
        <w:t>2</w:t>
      </w:r>
      <w:r w:rsidR="000D0A6C" w:rsidRPr="008D7243">
        <w:rPr>
          <w:rStyle w:val="Referencingstyle"/>
        </w:rPr>
        <w:t xml:space="preserve">, item </w:t>
      </w:r>
      <w:r w:rsidR="000D0A6C">
        <w:rPr>
          <w:rStyle w:val="Referencingstyle"/>
        </w:rPr>
        <w:t>1</w:t>
      </w:r>
      <w:r w:rsidR="000D0A6C" w:rsidRPr="008D7243">
        <w:rPr>
          <w:rStyle w:val="Referencingstyle"/>
        </w:rPr>
        <w:t xml:space="preserve">, </w:t>
      </w:r>
      <w:r w:rsidR="000D0A6C">
        <w:rPr>
          <w:rStyle w:val="Referencingstyle"/>
        </w:rPr>
        <w:t>subsection</w:t>
      </w:r>
      <w:r w:rsidR="00346C8D">
        <w:rPr>
          <w:rStyle w:val="Referencingstyle"/>
        </w:rPr>
        <w:t>s 1237M(</w:t>
      </w:r>
      <w:r w:rsidR="007270F5">
        <w:rPr>
          <w:rStyle w:val="Referencingstyle"/>
        </w:rPr>
        <w:t>8</w:t>
      </w:r>
      <w:r w:rsidR="00346C8D">
        <w:rPr>
          <w:rStyle w:val="Referencingstyle"/>
        </w:rPr>
        <w:t>) and</w:t>
      </w:r>
      <w:r w:rsidR="000D0A6C">
        <w:rPr>
          <w:rStyle w:val="Referencingstyle"/>
        </w:rPr>
        <w:t xml:space="preserve"> 1234R</w:t>
      </w:r>
      <w:r w:rsidR="00346C8D">
        <w:rPr>
          <w:rStyle w:val="Referencingstyle"/>
        </w:rPr>
        <w:t>(3)</w:t>
      </w:r>
      <w:r w:rsidR="000D0A6C" w:rsidRPr="008D7243">
        <w:rPr>
          <w:rStyle w:val="Referencingstyle"/>
        </w:rPr>
        <w:t>]</w:t>
      </w:r>
    </w:p>
    <w:p w14:paraId="00D0F34A" w14:textId="346DFE25" w:rsidR="00A7307A" w:rsidRPr="00C3461F" w:rsidRDefault="008A02AE" w:rsidP="00A7307A">
      <w:pPr>
        <w:pStyle w:val="base-text-paragraph"/>
        <w:keepNext/>
        <w:numPr>
          <w:ilvl w:val="0"/>
          <w:numId w:val="0"/>
        </w:numPr>
        <w:ind w:left="1134"/>
        <w:rPr>
          <w:rStyle w:val="Referencingstyle"/>
          <w:b w:val="0"/>
          <w:i w:val="0"/>
          <w:sz w:val="22"/>
        </w:rPr>
      </w:pPr>
      <w:r>
        <w:rPr>
          <w:rStyle w:val="Referencingstyle"/>
          <w:sz w:val="22"/>
        </w:rPr>
        <w:t xml:space="preserve">Effect of winding </w:t>
      </w:r>
      <w:r w:rsidR="00A7307A">
        <w:rPr>
          <w:rStyle w:val="Referencingstyle"/>
          <w:sz w:val="22"/>
        </w:rPr>
        <w:t>up on the auditor</w:t>
      </w:r>
    </w:p>
    <w:p w14:paraId="6B121CE5" w14:textId="77777777" w:rsidR="00A7307A" w:rsidRPr="007F79BD" w:rsidRDefault="00A7307A" w:rsidP="00711D0C">
      <w:pPr>
        <w:pStyle w:val="base-text-paragraph"/>
      </w:pPr>
      <w:r w:rsidRPr="007F79BD">
        <w:t>In the CCIV context, the auditor requirements apply to the CCIV as a whole and each of the sub</w:t>
      </w:r>
      <w:r>
        <w:noBreakHyphen/>
      </w:r>
      <w:r w:rsidRPr="007F79BD">
        <w:t xml:space="preserve">funds (see </w:t>
      </w:r>
      <w:r>
        <w:t>paragraphs 9.32 to 9.40</w:t>
      </w:r>
      <w:r w:rsidRPr="007F79BD">
        <w:t xml:space="preserve"> of </w:t>
      </w:r>
      <w:r>
        <w:t xml:space="preserve">the </w:t>
      </w:r>
      <w:r w:rsidRPr="007F79BD">
        <w:t xml:space="preserve">Tranche 1 Explanatory Materials). </w:t>
      </w:r>
    </w:p>
    <w:p w14:paraId="30EB742E" w14:textId="524BDDE2" w:rsidR="00A7307A" w:rsidRPr="007F79BD" w:rsidRDefault="00A7307A" w:rsidP="00711D0C">
      <w:pPr>
        <w:pStyle w:val="base-text-paragraph"/>
      </w:pPr>
      <w:r w:rsidRPr="007F79BD">
        <w:t>An auditor does not need to undertake any audit activities for the sub</w:t>
      </w:r>
      <w:r>
        <w:noBreakHyphen/>
      </w:r>
      <w:r w:rsidRPr="007F79BD">
        <w:t xml:space="preserve">fund that is being wound up. </w:t>
      </w:r>
      <w:r w:rsidRPr="007F79BD">
        <w:rPr>
          <w:rStyle w:val="Referencingstyle"/>
        </w:rPr>
        <w:t xml:space="preserve">[Schedule </w:t>
      </w:r>
      <w:r w:rsidR="0035795F">
        <w:rPr>
          <w:rStyle w:val="Referencingstyle"/>
        </w:rPr>
        <w:t>2</w:t>
      </w:r>
      <w:r w:rsidRPr="007F79BD">
        <w:rPr>
          <w:rStyle w:val="Referencingstyle"/>
        </w:rPr>
        <w:t xml:space="preserve">, item </w:t>
      </w:r>
      <w:r>
        <w:rPr>
          <w:rStyle w:val="Referencingstyle"/>
        </w:rPr>
        <w:t>1</w:t>
      </w:r>
      <w:r w:rsidRPr="007F79BD">
        <w:rPr>
          <w:rStyle w:val="Referencingstyle"/>
        </w:rPr>
        <w:t xml:space="preserve">, section </w:t>
      </w:r>
      <w:r w:rsidR="00E9130E">
        <w:rPr>
          <w:rStyle w:val="Referencingstyle"/>
        </w:rPr>
        <w:t>1248W</w:t>
      </w:r>
      <w:r w:rsidRPr="007F79BD">
        <w:rPr>
          <w:rStyle w:val="Referencingstyle"/>
        </w:rPr>
        <w:t>]</w:t>
      </w:r>
    </w:p>
    <w:p w14:paraId="53D4D8CF" w14:textId="77777777" w:rsidR="00A7307A" w:rsidRPr="007F79BD" w:rsidRDefault="00A7307A" w:rsidP="00711D0C">
      <w:pPr>
        <w:pStyle w:val="base-text-paragraph"/>
      </w:pPr>
      <w:r w:rsidRPr="007F79BD">
        <w:t>If the CCIV has other sub</w:t>
      </w:r>
      <w:r>
        <w:noBreakHyphen/>
      </w:r>
      <w:r w:rsidRPr="007F79BD">
        <w:t xml:space="preserve">funds that </w:t>
      </w:r>
      <w:r>
        <w:t xml:space="preserve">are </w:t>
      </w:r>
      <w:r w:rsidRPr="007F79BD">
        <w:t>not being wound</w:t>
      </w:r>
      <w:r>
        <w:t xml:space="preserve"> </w:t>
      </w:r>
      <w:r w:rsidRPr="007F79BD">
        <w:t>up, the auditor must continue to undertake their audit activities for:</w:t>
      </w:r>
    </w:p>
    <w:p w14:paraId="278E5DB5" w14:textId="77777777" w:rsidR="00A7307A" w:rsidRPr="007F79BD" w:rsidRDefault="00A7307A" w:rsidP="00A7307A">
      <w:pPr>
        <w:pStyle w:val="dotpoint"/>
      </w:pPr>
      <w:r w:rsidRPr="007F79BD">
        <w:t>for each of the sub</w:t>
      </w:r>
      <w:r>
        <w:noBreakHyphen/>
      </w:r>
      <w:r w:rsidRPr="007F79BD">
        <w:t>funds that are not being wound up; and</w:t>
      </w:r>
    </w:p>
    <w:p w14:paraId="1BADC0CC" w14:textId="77777777" w:rsidR="00A7307A" w:rsidRPr="007F79BD" w:rsidRDefault="00A7307A" w:rsidP="00A7307A">
      <w:pPr>
        <w:pStyle w:val="dotpoint"/>
      </w:pPr>
      <w:r w:rsidRPr="007F79BD">
        <w:t>the CCIV as a whole as if the only business carried on by the CCIV was the business of the sub</w:t>
      </w:r>
      <w:r>
        <w:noBreakHyphen/>
      </w:r>
      <w:r w:rsidRPr="007F79BD">
        <w:t>funds that are not being wound</w:t>
      </w:r>
      <w:r>
        <w:t xml:space="preserve"> </w:t>
      </w:r>
      <w:r w:rsidRPr="007F79BD">
        <w:t>up.</w:t>
      </w:r>
    </w:p>
    <w:p w14:paraId="73CA15FE" w14:textId="438BF88C" w:rsidR="00A7307A" w:rsidRPr="007F79BD" w:rsidRDefault="00A7307A" w:rsidP="00711D0C">
      <w:pPr>
        <w:pStyle w:val="base-text-paragraph"/>
      </w:pPr>
      <w:r w:rsidRPr="007F79BD">
        <w:t xml:space="preserve"> If all of the sub</w:t>
      </w:r>
      <w:r>
        <w:noBreakHyphen/>
      </w:r>
      <w:r w:rsidRPr="007F79BD">
        <w:t>funds of a CCIV are being wound</w:t>
      </w:r>
      <w:r>
        <w:t xml:space="preserve"> </w:t>
      </w:r>
      <w:r w:rsidRPr="007F79BD">
        <w:t>up, the auditor has no functions to perform and it ceases to hold office.</w:t>
      </w:r>
      <w:r w:rsidRPr="007F79BD">
        <w:rPr>
          <w:rStyle w:val="Referencingstyle"/>
        </w:rPr>
        <w:t xml:space="preserve"> [Schedule </w:t>
      </w:r>
      <w:r w:rsidR="0035795F">
        <w:rPr>
          <w:rStyle w:val="Referencingstyle"/>
        </w:rPr>
        <w:t>2</w:t>
      </w:r>
      <w:r w:rsidRPr="007F79BD">
        <w:rPr>
          <w:rStyle w:val="Referencingstyle"/>
        </w:rPr>
        <w:t xml:space="preserve">, item </w:t>
      </w:r>
      <w:r>
        <w:rPr>
          <w:rStyle w:val="Referencingstyle"/>
        </w:rPr>
        <w:t>1</w:t>
      </w:r>
      <w:r w:rsidRPr="007F79BD">
        <w:rPr>
          <w:rStyle w:val="Referencingstyle"/>
        </w:rPr>
        <w:t xml:space="preserve">, section </w:t>
      </w:r>
      <w:r w:rsidR="00E9130E">
        <w:rPr>
          <w:rStyle w:val="Referencingstyle"/>
        </w:rPr>
        <w:t>1248W</w:t>
      </w:r>
      <w:r w:rsidRPr="007F79BD">
        <w:rPr>
          <w:rStyle w:val="Referencingstyle"/>
        </w:rPr>
        <w:t>]</w:t>
      </w:r>
    </w:p>
    <w:p w14:paraId="2ABAA0D8" w14:textId="77777777" w:rsidR="00A7307A" w:rsidRPr="00F545FB" w:rsidRDefault="00A7307A" w:rsidP="00950752">
      <w:pPr>
        <w:pStyle w:val="base-text-paragraph"/>
        <w:keepNext/>
        <w:numPr>
          <w:ilvl w:val="0"/>
          <w:numId w:val="0"/>
        </w:numPr>
        <w:ind w:left="1134"/>
        <w:rPr>
          <w:rStyle w:val="Referencingstyle"/>
          <w:i w:val="0"/>
          <w:sz w:val="22"/>
        </w:rPr>
      </w:pPr>
      <w:r w:rsidRPr="00F545FB">
        <w:rPr>
          <w:rStyle w:val="Referencingstyle"/>
          <w:sz w:val="22"/>
        </w:rPr>
        <w:t>Access to books</w:t>
      </w:r>
    </w:p>
    <w:p w14:paraId="6BFCB9F8" w14:textId="6BCAFDB4" w:rsidR="004C2DCC" w:rsidRPr="006A0E27" w:rsidRDefault="00A7307A" w:rsidP="00711D0C">
      <w:pPr>
        <w:pStyle w:val="base-text-paragraph"/>
        <w:rPr>
          <w:b/>
        </w:rPr>
      </w:pPr>
      <w:bookmarkStart w:id="90" w:name="_Ref525905694"/>
      <w:r w:rsidRPr="00BB1A66">
        <w:t>The corporate director</w:t>
      </w:r>
      <w:r w:rsidR="008A2005">
        <w:t xml:space="preserve"> </w:t>
      </w:r>
      <w:r>
        <w:t>must</w:t>
      </w:r>
      <w:r w:rsidRPr="00BB1A66">
        <w:t xml:space="preserve"> deliver to the liquidator</w:t>
      </w:r>
      <w:r>
        <w:t xml:space="preserve"> or provisional liquidator</w:t>
      </w:r>
      <w:r w:rsidRPr="00BB1A66">
        <w:t xml:space="preserve"> all books relating solely to the sub</w:t>
      </w:r>
      <w:r>
        <w:noBreakHyphen/>
      </w:r>
      <w:r w:rsidRPr="00BB1A66">
        <w:t>fund that is being wound up</w:t>
      </w:r>
      <w:r w:rsidR="00EA2D83">
        <w:t xml:space="preserve"> under existing section</w:t>
      </w:r>
      <w:r w:rsidR="0065642B">
        <w:t> </w:t>
      </w:r>
      <w:r w:rsidR="00EA2D83">
        <w:t>530</w:t>
      </w:r>
      <w:r w:rsidR="008A2005">
        <w:t>A</w:t>
      </w:r>
      <w:r w:rsidR="006A0E27">
        <w:t xml:space="preserve">. </w:t>
      </w:r>
      <w:r w:rsidR="004C2DCC">
        <w:t>The corporate director does not need to deliver:</w:t>
      </w:r>
      <w:bookmarkEnd w:id="90"/>
    </w:p>
    <w:p w14:paraId="0B744D7A" w14:textId="0D6F202E" w:rsidR="004C2DCC" w:rsidRPr="004C2DCC" w:rsidRDefault="004C2DCC" w:rsidP="004C2DCC">
      <w:pPr>
        <w:pStyle w:val="dotpoint"/>
        <w:rPr>
          <w:b/>
        </w:rPr>
      </w:pPr>
      <w:r>
        <w:t>b</w:t>
      </w:r>
      <w:r w:rsidR="00A7307A" w:rsidRPr="00BB1A66">
        <w:t>ooks that relate to other sub</w:t>
      </w:r>
      <w:r w:rsidR="00A7307A">
        <w:noBreakHyphen/>
      </w:r>
      <w:r w:rsidR="00A7307A" w:rsidRPr="00BB1A66">
        <w:t>funds</w:t>
      </w:r>
      <w:r w:rsidR="00150C2F">
        <w:t xml:space="preserve"> of the CCIV</w:t>
      </w:r>
      <w:r>
        <w:t xml:space="preserve"> that are not in wind up;</w:t>
      </w:r>
      <w:r w:rsidR="00A7307A" w:rsidRPr="00BB1A66">
        <w:t xml:space="preserve"> or</w:t>
      </w:r>
    </w:p>
    <w:p w14:paraId="54B943C7" w14:textId="29E571AD" w:rsidR="00A7307A" w:rsidRPr="00BB1A66" w:rsidRDefault="004C2DCC" w:rsidP="004C2DCC">
      <w:pPr>
        <w:pStyle w:val="dotpoint"/>
        <w:rPr>
          <w:rStyle w:val="Referencingstyle"/>
          <w:i w:val="0"/>
          <w:sz w:val="22"/>
        </w:rPr>
      </w:pPr>
      <w:r w:rsidRPr="00FA5B27">
        <w:t>books that relate</w:t>
      </w:r>
      <w:r w:rsidR="00A7307A" w:rsidRPr="00BB1A66">
        <w:t xml:space="preserve"> to the CCIV as a whole </w:t>
      </w:r>
      <w:r>
        <w:t>(even if those books also relate to the sub-fund that is in wind up)</w:t>
      </w:r>
      <w:r w:rsidR="00A7307A">
        <w:t xml:space="preserve">. </w:t>
      </w:r>
      <w:r w:rsidR="00A7307A">
        <w:rPr>
          <w:rStyle w:val="Referencingstyle"/>
        </w:rPr>
        <w:t>[</w:t>
      </w:r>
      <w:r w:rsidR="00A7307A" w:rsidRPr="008D7243">
        <w:rPr>
          <w:rStyle w:val="Referencingstyle"/>
        </w:rPr>
        <w:t xml:space="preserve">Schedule </w:t>
      </w:r>
      <w:r w:rsidR="0035795F">
        <w:rPr>
          <w:rStyle w:val="Referencingstyle"/>
        </w:rPr>
        <w:t>2</w:t>
      </w:r>
      <w:r w:rsidR="00A7307A" w:rsidRPr="008D7243">
        <w:rPr>
          <w:rStyle w:val="Referencingstyle"/>
        </w:rPr>
        <w:t xml:space="preserve">, item </w:t>
      </w:r>
      <w:r w:rsidR="00A7307A">
        <w:rPr>
          <w:rStyle w:val="Referencingstyle"/>
        </w:rPr>
        <w:t>1</w:t>
      </w:r>
      <w:r w:rsidR="00A7307A" w:rsidRPr="008D7243">
        <w:rPr>
          <w:rStyle w:val="Referencingstyle"/>
        </w:rPr>
        <w:t xml:space="preserve">, </w:t>
      </w:r>
      <w:r w:rsidR="00C97017">
        <w:rPr>
          <w:rStyle w:val="Referencingstyle"/>
        </w:rPr>
        <w:t xml:space="preserve">section </w:t>
      </w:r>
      <w:r w:rsidR="0035795F">
        <w:rPr>
          <w:rStyle w:val="Referencingstyle"/>
        </w:rPr>
        <w:t>12-190</w:t>
      </w:r>
      <w:r w:rsidR="00A7307A" w:rsidRPr="008D7243">
        <w:rPr>
          <w:rStyle w:val="Referencingstyle"/>
        </w:rPr>
        <w:t>]</w:t>
      </w:r>
    </w:p>
    <w:p w14:paraId="3EE049B1" w14:textId="4D00F47D" w:rsidR="00037622" w:rsidRPr="00C97017" w:rsidRDefault="00037622" w:rsidP="00037622">
      <w:pPr>
        <w:pStyle w:val="base-text-paragraph"/>
        <w:rPr>
          <w:rStyle w:val="Referencingstyle"/>
          <w:i w:val="0"/>
          <w:sz w:val="22"/>
        </w:rPr>
      </w:pPr>
      <w:r>
        <w:t>The</w:t>
      </w:r>
      <w:r w:rsidRPr="00FA5B27">
        <w:t xml:space="preserve"> liquidator or provisio</w:t>
      </w:r>
      <w:r w:rsidRPr="003801D6">
        <w:t>nal liquidator may inspect</w:t>
      </w:r>
      <w:r>
        <w:t xml:space="preserve"> the allocation register or any other book retained by the corporate director or held by the depositary if inspection is necessary for the liquidator to perform its functions or exercise its</w:t>
      </w:r>
      <w:r w:rsidRPr="00BB1A66">
        <w:t xml:space="preserve"> </w:t>
      </w:r>
      <w:r>
        <w:t>powers</w:t>
      </w:r>
      <w:r w:rsidRPr="00037622">
        <w:t xml:space="preserve"> </w:t>
      </w:r>
      <w:r w:rsidRPr="00F9349C">
        <w:t>Under</w:t>
      </w:r>
      <w:r w:rsidR="002A7057">
        <w:t> </w:t>
      </w:r>
      <w:r w:rsidRPr="00F9349C">
        <w:t>section 1300 of the existing law, the corporate director may also make copies</w:t>
      </w:r>
      <w:r>
        <w:t xml:space="preserve"> or take extracts</w:t>
      </w:r>
      <w:r w:rsidRPr="00BB1A66">
        <w:t>.</w:t>
      </w:r>
      <w:r>
        <w:t xml:space="preserve"> </w:t>
      </w:r>
      <w:r>
        <w:rPr>
          <w:rStyle w:val="Referencingstyle"/>
        </w:rPr>
        <w:t>[S</w:t>
      </w:r>
      <w:r w:rsidRPr="00F9349C">
        <w:rPr>
          <w:rStyle w:val="Referencingstyle"/>
        </w:rPr>
        <w:t xml:space="preserve">chedule </w:t>
      </w:r>
      <w:r w:rsidR="0035795F">
        <w:rPr>
          <w:rStyle w:val="Referencingstyle"/>
        </w:rPr>
        <w:t>2</w:t>
      </w:r>
      <w:r w:rsidRPr="00F9349C">
        <w:rPr>
          <w:rStyle w:val="Referencingstyle"/>
        </w:rPr>
        <w:t xml:space="preserve">, item </w:t>
      </w:r>
      <w:r>
        <w:rPr>
          <w:rStyle w:val="Referencingstyle"/>
        </w:rPr>
        <w:t>1</w:t>
      </w:r>
      <w:r w:rsidRPr="00F9349C">
        <w:rPr>
          <w:rStyle w:val="Referencingstyle"/>
        </w:rPr>
        <w:t xml:space="preserve">, subsections </w:t>
      </w:r>
      <w:r w:rsidR="0035795F">
        <w:rPr>
          <w:rStyle w:val="Referencingstyle"/>
        </w:rPr>
        <w:t>12-170</w:t>
      </w:r>
      <w:r>
        <w:rPr>
          <w:rStyle w:val="Referencingstyle"/>
        </w:rPr>
        <w:t>(2), (5) and (6)]</w:t>
      </w:r>
    </w:p>
    <w:p w14:paraId="626A03CE" w14:textId="70A52CEB" w:rsidR="00A7307A" w:rsidRPr="00F9349C" w:rsidRDefault="003E1D25" w:rsidP="00711D0C">
      <w:pPr>
        <w:pStyle w:val="base-text-paragraph"/>
        <w:rPr>
          <w:b/>
        </w:rPr>
      </w:pPr>
      <w:r>
        <w:t>Correspondingly, t</w:t>
      </w:r>
      <w:r w:rsidR="00A7307A" w:rsidRPr="00F9349C">
        <w:t xml:space="preserve">he corporate director may inspect </w:t>
      </w:r>
      <w:r w:rsidR="00037622">
        <w:t xml:space="preserve">and copy </w:t>
      </w:r>
      <w:r w:rsidR="00A7307A" w:rsidRPr="00F9349C">
        <w:t xml:space="preserve">the books </w:t>
      </w:r>
      <w:r w:rsidR="00C97017">
        <w:t>relating to the winding up of a sub-fund</w:t>
      </w:r>
      <w:r w:rsidR="00A7307A" w:rsidRPr="00BB1A66">
        <w:t xml:space="preserve"> </w:t>
      </w:r>
      <w:r w:rsidR="00037622">
        <w:t xml:space="preserve">that are held by the liquidator or provisional liquidator. Inspection is only permitted </w:t>
      </w:r>
      <w:r w:rsidR="00A7307A" w:rsidRPr="00F9349C">
        <w:t xml:space="preserve">to the extent that </w:t>
      </w:r>
      <w:r w:rsidR="00C97017">
        <w:t>inspection</w:t>
      </w:r>
      <w:r w:rsidR="00A7307A" w:rsidRPr="00F9349C">
        <w:t xml:space="preserve"> is necessary for the corporate director to perform its functions or exercise its powers.</w:t>
      </w:r>
      <w:r w:rsidR="00037622">
        <w:t xml:space="preserve"> </w:t>
      </w:r>
      <w:r w:rsidR="00A7307A" w:rsidRPr="00F9349C">
        <w:rPr>
          <w:rStyle w:val="Referencingstyle"/>
        </w:rPr>
        <w:t>[Schedu</w:t>
      </w:r>
      <w:r w:rsidR="00A7307A">
        <w:rPr>
          <w:rStyle w:val="Referencingstyle"/>
        </w:rPr>
        <w:t>le </w:t>
      </w:r>
      <w:r w:rsidR="0035795F">
        <w:rPr>
          <w:rStyle w:val="Referencingstyle"/>
        </w:rPr>
        <w:t>2</w:t>
      </w:r>
      <w:r w:rsidR="00A7307A">
        <w:rPr>
          <w:rStyle w:val="Referencingstyle"/>
        </w:rPr>
        <w:t xml:space="preserve">, item 1, </w:t>
      </w:r>
      <w:r w:rsidR="00C97017">
        <w:rPr>
          <w:rStyle w:val="Referencingstyle"/>
        </w:rPr>
        <w:t>section</w:t>
      </w:r>
      <w:r w:rsidR="0035795F">
        <w:rPr>
          <w:rStyle w:val="Referencingstyle"/>
        </w:rPr>
        <w:t> 12-195</w:t>
      </w:r>
      <w:r w:rsidR="00C97017">
        <w:rPr>
          <w:rStyle w:val="Referencingstyle"/>
        </w:rPr>
        <w:t>]</w:t>
      </w:r>
    </w:p>
    <w:p w14:paraId="380624FA" w14:textId="30F2A301" w:rsidR="00037622" w:rsidRPr="00AA3F3D" w:rsidRDefault="00037622" w:rsidP="00711D0C">
      <w:pPr>
        <w:pStyle w:val="base-text-paragraph"/>
        <w:rPr>
          <w:b/>
        </w:rPr>
      </w:pPr>
      <w:r>
        <w:t xml:space="preserve">The liquidator or provisional liquidator, or ASIC, may also seek a warrant for books or property under existing section 530C. </w:t>
      </w:r>
    </w:p>
    <w:p w14:paraId="070B6ED5" w14:textId="6F889E12" w:rsidR="00037622" w:rsidRPr="00AA3F3D" w:rsidRDefault="00037622" w:rsidP="00711D0C">
      <w:pPr>
        <w:pStyle w:val="base-text-paragraph"/>
        <w:rPr>
          <w:b/>
        </w:rPr>
      </w:pPr>
      <w:r>
        <w:t xml:space="preserve">The new law clarifies the types of books covered by search, seizure and inspection warrants in section 530C. </w:t>
      </w:r>
      <w:r w:rsidR="007A7FEE" w:rsidRPr="00D14FA0">
        <w:t xml:space="preserve">The books </w:t>
      </w:r>
      <w:r>
        <w:t>which may be subject to a</w:t>
      </w:r>
      <w:r w:rsidR="007A7FEE" w:rsidRPr="00D14FA0">
        <w:t xml:space="preserve"> seizure warrant are the books</w:t>
      </w:r>
      <w:r w:rsidR="00C97017" w:rsidRPr="00D14FA0">
        <w:t xml:space="preserve"> of the CCIV that relate </w:t>
      </w:r>
      <w:r w:rsidR="00C5312A" w:rsidRPr="00D14FA0">
        <w:t xml:space="preserve">solely </w:t>
      </w:r>
      <w:r w:rsidR="00C97017" w:rsidRPr="00D14FA0">
        <w:t>to the business of the sub-fund that is being wound up</w:t>
      </w:r>
      <w:r w:rsidR="00C5312A" w:rsidRPr="00D14FA0">
        <w:t xml:space="preserve">. </w:t>
      </w:r>
      <w:r>
        <w:t xml:space="preserve">These are the category of books that the corporate director must transfer to the liquidator (see paragraph </w:t>
      </w:r>
      <w:r>
        <w:fldChar w:fldCharType="begin"/>
      </w:r>
      <w:r>
        <w:instrText xml:space="preserve"> REF _Ref525905694 \r \h </w:instrText>
      </w:r>
      <w:r>
        <w:fldChar w:fldCharType="separate"/>
      </w:r>
      <w:r w:rsidR="00275132">
        <w:t>3.136</w:t>
      </w:r>
      <w:r>
        <w:fldChar w:fldCharType="end"/>
      </w:r>
      <w:r>
        <w:t>).</w:t>
      </w:r>
      <w:r w:rsidRPr="00037622">
        <w:rPr>
          <w:rStyle w:val="Referencingstyle"/>
        </w:rPr>
        <w:t xml:space="preserve"> </w:t>
      </w:r>
      <w:r w:rsidRPr="00D14FA0">
        <w:rPr>
          <w:rStyle w:val="Referencingstyle"/>
        </w:rPr>
        <w:t xml:space="preserve">[Schedule </w:t>
      </w:r>
      <w:r w:rsidR="0035795F">
        <w:rPr>
          <w:rStyle w:val="Referencingstyle"/>
        </w:rPr>
        <w:t>2</w:t>
      </w:r>
      <w:r w:rsidRPr="00D14FA0">
        <w:rPr>
          <w:rStyle w:val="Referencingstyle"/>
        </w:rPr>
        <w:t>, item 1, s</w:t>
      </w:r>
      <w:r>
        <w:rPr>
          <w:rStyle w:val="Referencingstyle"/>
        </w:rPr>
        <w:t>ubs</w:t>
      </w:r>
      <w:r w:rsidRPr="00D14FA0">
        <w:rPr>
          <w:rStyle w:val="Referencingstyle"/>
        </w:rPr>
        <w:t>ection</w:t>
      </w:r>
      <w:r>
        <w:rPr>
          <w:rStyle w:val="Referencingstyle"/>
        </w:rPr>
        <w:t>s</w:t>
      </w:r>
      <w:r w:rsidRPr="00D14FA0">
        <w:rPr>
          <w:rStyle w:val="Referencingstyle"/>
        </w:rPr>
        <w:t xml:space="preserve"> </w:t>
      </w:r>
      <w:r w:rsidR="0035795F">
        <w:rPr>
          <w:rStyle w:val="Referencingstyle"/>
        </w:rPr>
        <w:t>12-230</w:t>
      </w:r>
      <w:r>
        <w:rPr>
          <w:rStyle w:val="Referencingstyle"/>
        </w:rPr>
        <w:t xml:space="preserve">(1) and (2), Schedule </w:t>
      </w:r>
      <w:r w:rsidR="0035795F">
        <w:rPr>
          <w:rStyle w:val="Referencingstyle"/>
        </w:rPr>
        <w:t>2</w:t>
      </w:r>
      <w:r>
        <w:rPr>
          <w:rStyle w:val="Referencingstyle"/>
        </w:rPr>
        <w:t xml:space="preserve">, item </w:t>
      </w:r>
      <w:r w:rsidR="0035795F">
        <w:rPr>
          <w:rStyle w:val="Referencingstyle"/>
        </w:rPr>
        <w:t>23</w:t>
      </w:r>
      <w:r>
        <w:rPr>
          <w:rStyle w:val="Referencingstyle"/>
        </w:rPr>
        <w:t>, note to subsection 530C(1)</w:t>
      </w:r>
      <w:r w:rsidRPr="00D14FA0">
        <w:rPr>
          <w:rStyle w:val="Referencingstyle"/>
        </w:rPr>
        <w:t>]</w:t>
      </w:r>
    </w:p>
    <w:p w14:paraId="52331D69" w14:textId="7259DDE5" w:rsidR="00C5312A" w:rsidRPr="00D14FA0" w:rsidRDefault="007A7FEE" w:rsidP="00711D0C">
      <w:pPr>
        <w:pStyle w:val="base-text-paragraph"/>
        <w:rPr>
          <w:rStyle w:val="Referencingstyle"/>
          <w:i w:val="0"/>
          <w:sz w:val="22"/>
        </w:rPr>
      </w:pPr>
      <w:r w:rsidRPr="00D14FA0">
        <w:t xml:space="preserve">The books </w:t>
      </w:r>
      <w:r w:rsidR="00D14FA0" w:rsidRPr="00D14FA0">
        <w:t xml:space="preserve">that may be covered by a search and inspection warrant are any </w:t>
      </w:r>
      <w:r w:rsidR="00C5312A" w:rsidRPr="00D14FA0">
        <w:t>books of the CCIV</w:t>
      </w:r>
      <w:r w:rsidR="00D14FA0" w:rsidRPr="00D14FA0">
        <w:t>, including books that do not relate solely to the business of the sub-fund</w:t>
      </w:r>
      <w:r w:rsidR="00C5312A" w:rsidRPr="00D14FA0">
        <w:t>.</w:t>
      </w:r>
      <w:r w:rsidR="00150C2F">
        <w:t xml:space="preserve"> This ensures that books that may relate in part to other sub-funds that are not in wind up can be inspected and copied but remain in the hands of the corporate director.</w:t>
      </w:r>
      <w:r w:rsidR="00C5312A" w:rsidRPr="00D14FA0">
        <w:t xml:space="preserve"> </w:t>
      </w:r>
      <w:r w:rsidR="00EA2D83" w:rsidRPr="00D14FA0">
        <w:rPr>
          <w:rStyle w:val="Referencingstyle"/>
        </w:rPr>
        <w:t xml:space="preserve">[Schedule </w:t>
      </w:r>
      <w:r w:rsidR="0035795F">
        <w:rPr>
          <w:rStyle w:val="Referencingstyle"/>
        </w:rPr>
        <w:t>2</w:t>
      </w:r>
      <w:r w:rsidR="00EA2D83" w:rsidRPr="00D14FA0">
        <w:rPr>
          <w:rStyle w:val="Referencingstyle"/>
        </w:rPr>
        <w:t xml:space="preserve">, item 1, </w:t>
      </w:r>
      <w:r w:rsidR="00C5312A" w:rsidRPr="00D14FA0">
        <w:rPr>
          <w:rStyle w:val="Referencingstyle"/>
        </w:rPr>
        <w:t>s</w:t>
      </w:r>
      <w:r w:rsidR="00D773BD">
        <w:rPr>
          <w:rStyle w:val="Referencingstyle"/>
        </w:rPr>
        <w:t>ubs</w:t>
      </w:r>
      <w:r w:rsidR="00C5312A" w:rsidRPr="00D14FA0">
        <w:rPr>
          <w:rStyle w:val="Referencingstyle"/>
        </w:rPr>
        <w:t>ec</w:t>
      </w:r>
      <w:r w:rsidR="00EA2D83" w:rsidRPr="00D14FA0">
        <w:rPr>
          <w:rStyle w:val="Referencingstyle"/>
        </w:rPr>
        <w:t>tion</w:t>
      </w:r>
      <w:r w:rsidR="00D773BD">
        <w:rPr>
          <w:rStyle w:val="Referencingstyle"/>
        </w:rPr>
        <w:t>s</w:t>
      </w:r>
      <w:r w:rsidR="00C5312A" w:rsidRPr="00D14FA0">
        <w:rPr>
          <w:rStyle w:val="Referencingstyle"/>
        </w:rPr>
        <w:t xml:space="preserve"> </w:t>
      </w:r>
      <w:r w:rsidR="0035795F">
        <w:rPr>
          <w:rStyle w:val="Referencingstyle"/>
        </w:rPr>
        <w:t>12-230</w:t>
      </w:r>
      <w:r w:rsidR="00D773BD">
        <w:rPr>
          <w:rStyle w:val="Referencingstyle"/>
        </w:rPr>
        <w:t xml:space="preserve">(1) </w:t>
      </w:r>
      <w:r w:rsidR="00037622">
        <w:rPr>
          <w:rStyle w:val="Referencingstyle"/>
        </w:rPr>
        <w:t>and</w:t>
      </w:r>
      <w:r w:rsidR="00D773BD">
        <w:rPr>
          <w:rStyle w:val="Referencingstyle"/>
        </w:rPr>
        <w:t xml:space="preserve"> (3)</w:t>
      </w:r>
      <w:r w:rsidR="00BF6C72">
        <w:rPr>
          <w:rStyle w:val="Referencingstyle"/>
        </w:rPr>
        <w:t xml:space="preserve">, Schedule </w:t>
      </w:r>
      <w:r w:rsidR="0035795F">
        <w:rPr>
          <w:rStyle w:val="Referencingstyle"/>
        </w:rPr>
        <w:t>2</w:t>
      </w:r>
      <w:r w:rsidR="00BF6C72">
        <w:rPr>
          <w:rStyle w:val="Referencingstyle"/>
        </w:rPr>
        <w:t xml:space="preserve">, item </w:t>
      </w:r>
      <w:r w:rsidR="0035795F">
        <w:rPr>
          <w:rStyle w:val="Referencingstyle"/>
        </w:rPr>
        <w:t>23</w:t>
      </w:r>
      <w:r w:rsidR="00BF6C72">
        <w:rPr>
          <w:rStyle w:val="Referencingstyle"/>
        </w:rPr>
        <w:t>, note to subsection 530C(1)</w:t>
      </w:r>
      <w:r w:rsidR="00C5312A" w:rsidRPr="00D14FA0">
        <w:rPr>
          <w:rStyle w:val="Referencingstyle"/>
        </w:rPr>
        <w:t>]</w:t>
      </w:r>
    </w:p>
    <w:p w14:paraId="3FC3BAD2" w14:textId="4BD446D1" w:rsidR="00D14FA0" w:rsidRPr="00AA3F3D" w:rsidRDefault="00A61901" w:rsidP="00711D0C">
      <w:pPr>
        <w:pStyle w:val="base-text-paragraph"/>
        <w:rPr>
          <w:rStyle w:val="Referencingstyle"/>
          <w:i w:val="0"/>
          <w:sz w:val="22"/>
        </w:rPr>
      </w:pPr>
      <w:r w:rsidRPr="00AA3F3D">
        <w:rPr>
          <w:rStyle w:val="Referencingstyle"/>
          <w:b w:val="0"/>
          <w:i w:val="0"/>
          <w:sz w:val="22"/>
        </w:rPr>
        <w:t xml:space="preserve">The new law includes additional safeguards when warrants are granted in relation to the books </w:t>
      </w:r>
      <w:r w:rsidR="00D773BD" w:rsidRPr="00AA3F3D">
        <w:rPr>
          <w:rStyle w:val="Referencingstyle"/>
          <w:b w:val="0"/>
          <w:i w:val="0"/>
          <w:sz w:val="22"/>
        </w:rPr>
        <w:t xml:space="preserve">or property </w:t>
      </w:r>
      <w:r w:rsidRPr="00AA3F3D">
        <w:rPr>
          <w:rStyle w:val="Referencingstyle"/>
          <w:b w:val="0"/>
          <w:i w:val="0"/>
          <w:sz w:val="22"/>
        </w:rPr>
        <w:t>of the CCIV</w:t>
      </w:r>
      <w:r w:rsidR="00C604AC" w:rsidRPr="00AA3F3D">
        <w:rPr>
          <w:rStyle w:val="Referencingstyle"/>
          <w:b w:val="0"/>
          <w:i w:val="0"/>
          <w:sz w:val="22"/>
        </w:rPr>
        <w:t xml:space="preserve">. </w:t>
      </w:r>
      <w:r w:rsidRPr="00AA3F3D">
        <w:rPr>
          <w:rStyle w:val="Referencingstyle"/>
          <w:b w:val="0"/>
          <w:i w:val="0"/>
          <w:sz w:val="22"/>
        </w:rPr>
        <w:t>Consistent with the Guide, these safeguards include that</w:t>
      </w:r>
      <w:r w:rsidR="00C604AC" w:rsidRPr="00AA3F3D">
        <w:rPr>
          <w:rStyle w:val="Referencingstyle"/>
          <w:b w:val="0"/>
          <w:i w:val="0"/>
          <w:sz w:val="22"/>
        </w:rPr>
        <w:t>:</w:t>
      </w:r>
    </w:p>
    <w:p w14:paraId="19769DE0" w14:textId="4EA41DFA" w:rsidR="003C37C1" w:rsidRPr="00AA3F3D" w:rsidRDefault="00C604AC" w:rsidP="00C604AC">
      <w:pPr>
        <w:pStyle w:val="dotpoint"/>
        <w:rPr>
          <w:rStyle w:val="Referencingstyle"/>
          <w:b w:val="0"/>
          <w:i w:val="0"/>
          <w:sz w:val="22"/>
        </w:rPr>
      </w:pPr>
      <w:r w:rsidRPr="00AA3F3D">
        <w:rPr>
          <w:rStyle w:val="Referencingstyle"/>
          <w:b w:val="0"/>
          <w:i w:val="0"/>
          <w:sz w:val="22"/>
        </w:rPr>
        <w:t>the person exercising the warrant must</w:t>
      </w:r>
      <w:r w:rsidR="003C37C1" w:rsidRPr="00AA3F3D">
        <w:rPr>
          <w:rStyle w:val="Referencingstyle"/>
          <w:b w:val="0"/>
          <w:i w:val="0"/>
          <w:sz w:val="22"/>
        </w:rPr>
        <w:t xml:space="preserve"> announce that they are authorised to enter the premises and provide the occupier of the premises (or their representative) with evidence of their identity</w:t>
      </w:r>
      <w:r w:rsidR="00037622">
        <w:rPr>
          <w:rStyle w:val="Referencingstyle"/>
          <w:b w:val="0"/>
          <w:i w:val="0"/>
          <w:sz w:val="22"/>
        </w:rPr>
        <w:t>;</w:t>
      </w:r>
      <w:r w:rsidR="003C37C1" w:rsidRPr="00AA3F3D">
        <w:rPr>
          <w:rStyle w:val="Referencingstyle"/>
          <w:b w:val="0"/>
          <w:i w:val="0"/>
          <w:sz w:val="22"/>
        </w:rPr>
        <w:t xml:space="preserve"> </w:t>
      </w:r>
    </w:p>
    <w:p w14:paraId="44E112C0" w14:textId="7FEE3C3F" w:rsidR="00C604AC" w:rsidRPr="00AA3F3D" w:rsidRDefault="00C604AC" w:rsidP="00C604AC">
      <w:pPr>
        <w:pStyle w:val="dotpoint"/>
        <w:rPr>
          <w:rStyle w:val="Referencingstyle"/>
          <w:b w:val="0"/>
          <w:i w:val="0"/>
          <w:sz w:val="22"/>
        </w:rPr>
      </w:pPr>
      <w:r w:rsidRPr="00AA3F3D">
        <w:rPr>
          <w:rStyle w:val="Referencingstyle"/>
          <w:b w:val="0"/>
          <w:i w:val="0"/>
          <w:sz w:val="22"/>
        </w:rPr>
        <w:t xml:space="preserve">give the occupier </w:t>
      </w:r>
      <w:r w:rsidR="003C37C1" w:rsidRPr="00AA3F3D">
        <w:rPr>
          <w:rStyle w:val="Referencingstyle"/>
          <w:b w:val="0"/>
          <w:i w:val="0"/>
          <w:sz w:val="22"/>
        </w:rPr>
        <w:t xml:space="preserve">(or their representative) </w:t>
      </w:r>
      <w:r w:rsidRPr="00AA3F3D">
        <w:rPr>
          <w:rStyle w:val="Referencingstyle"/>
          <w:b w:val="0"/>
          <w:i w:val="0"/>
          <w:sz w:val="22"/>
        </w:rPr>
        <w:t xml:space="preserve">a copy of the warrant and </w:t>
      </w:r>
      <w:r w:rsidR="003C37C1" w:rsidRPr="00AA3F3D">
        <w:rPr>
          <w:rStyle w:val="Referencingstyle"/>
          <w:b w:val="0"/>
          <w:i w:val="0"/>
          <w:sz w:val="22"/>
        </w:rPr>
        <w:t>information about</w:t>
      </w:r>
      <w:r w:rsidRPr="00AA3F3D">
        <w:rPr>
          <w:rStyle w:val="Referencingstyle"/>
          <w:b w:val="0"/>
          <w:i w:val="0"/>
          <w:sz w:val="22"/>
        </w:rPr>
        <w:t xml:space="preserve"> their rights</w:t>
      </w:r>
      <w:r w:rsidR="003C37C1" w:rsidRPr="00AA3F3D">
        <w:rPr>
          <w:rStyle w:val="Referencingstyle"/>
          <w:b w:val="0"/>
          <w:i w:val="0"/>
          <w:sz w:val="22"/>
        </w:rPr>
        <w:t xml:space="preserve"> and responsibilities as soon as practicable</w:t>
      </w:r>
      <w:r w:rsidRPr="00AA3F3D">
        <w:rPr>
          <w:rStyle w:val="Referencingstyle"/>
          <w:b w:val="0"/>
          <w:i w:val="0"/>
          <w:sz w:val="22"/>
        </w:rPr>
        <w:t>;</w:t>
      </w:r>
    </w:p>
    <w:p w14:paraId="40299457" w14:textId="3984576D" w:rsidR="00C604AC" w:rsidRPr="00AA3F3D" w:rsidRDefault="00D773BD" w:rsidP="00C604AC">
      <w:pPr>
        <w:pStyle w:val="dotpoint"/>
        <w:rPr>
          <w:rStyle w:val="Referencingstyle"/>
          <w:b w:val="0"/>
          <w:i w:val="0"/>
          <w:sz w:val="22"/>
        </w:rPr>
      </w:pPr>
      <w:r w:rsidRPr="00AA3F3D">
        <w:rPr>
          <w:rStyle w:val="Referencingstyle"/>
          <w:b w:val="0"/>
          <w:i w:val="0"/>
          <w:sz w:val="22"/>
        </w:rPr>
        <w:t xml:space="preserve">the person who takes custody of the seized property or books </w:t>
      </w:r>
      <w:r w:rsidR="00C604AC" w:rsidRPr="00AA3F3D">
        <w:rPr>
          <w:rStyle w:val="Referencingstyle"/>
          <w:b w:val="0"/>
          <w:i w:val="0"/>
          <w:sz w:val="22"/>
        </w:rPr>
        <w:t xml:space="preserve">may only </w:t>
      </w:r>
      <w:r w:rsidR="003C37C1" w:rsidRPr="00AA3F3D">
        <w:rPr>
          <w:rStyle w:val="Referencingstyle"/>
          <w:b w:val="0"/>
          <w:i w:val="0"/>
          <w:sz w:val="22"/>
        </w:rPr>
        <w:t>use</w:t>
      </w:r>
      <w:r w:rsidRPr="00AA3F3D">
        <w:rPr>
          <w:rStyle w:val="Referencingstyle"/>
          <w:b w:val="0"/>
          <w:i w:val="0"/>
          <w:sz w:val="22"/>
        </w:rPr>
        <w:t xml:space="preserve"> them for</w:t>
      </w:r>
      <w:r w:rsidR="003C37C1" w:rsidRPr="00AA3F3D">
        <w:rPr>
          <w:rStyle w:val="Referencingstyle"/>
          <w:b w:val="0"/>
          <w:i w:val="0"/>
          <w:sz w:val="22"/>
        </w:rPr>
        <w:t xml:space="preserve"> </w:t>
      </w:r>
      <w:r w:rsidR="003B6542" w:rsidRPr="00AA3F3D">
        <w:rPr>
          <w:rStyle w:val="Referencingstyle"/>
          <w:b w:val="0"/>
          <w:i w:val="0"/>
          <w:sz w:val="22"/>
        </w:rPr>
        <w:t>the purposes of</w:t>
      </w:r>
      <w:r w:rsidR="00C604AC" w:rsidRPr="00AA3F3D">
        <w:rPr>
          <w:rStyle w:val="Referencingstyle"/>
          <w:b w:val="0"/>
          <w:i w:val="0"/>
          <w:sz w:val="22"/>
        </w:rPr>
        <w:t xml:space="preserve"> perform</w:t>
      </w:r>
      <w:r w:rsidR="003B6542" w:rsidRPr="00AA3F3D">
        <w:rPr>
          <w:rStyle w:val="Referencingstyle"/>
          <w:b w:val="0"/>
          <w:i w:val="0"/>
          <w:sz w:val="22"/>
        </w:rPr>
        <w:t>ing</w:t>
      </w:r>
      <w:r w:rsidR="00C604AC" w:rsidRPr="00AA3F3D">
        <w:rPr>
          <w:rStyle w:val="Referencingstyle"/>
          <w:b w:val="0"/>
          <w:i w:val="0"/>
          <w:sz w:val="22"/>
        </w:rPr>
        <w:t xml:space="preserve"> their functions; </w:t>
      </w:r>
      <w:r w:rsidRPr="00AA3F3D">
        <w:rPr>
          <w:rStyle w:val="Referencingstyle"/>
          <w:b w:val="0"/>
          <w:i w:val="0"/>
          <w:sz w:val="22"/>
        </w:rPr>
        <w:t>and</w:t>
      </w:r>
    </w:p>
    <w:p w14:paraId="048BFEE5" w14:textId="68D7B67C" w:rsidR="00D773BD" w:rsidRPr="00AA3F3D" w:rsidRDefault="00D773BD" w:rsidP="00C604AC">
      <w:pPr>
        <w:pStyle w:val="dotpoint"/>
        <w:rPr>
          <w:rStyle w:val="Referencingstyle"/>
          <w:b w:val="0"/>
          <w:i w:val="0"/>
          <w:sz w:val="22"/>
        </w:rPr>
      </w:pPr>
      <w:r w:rsidRPr="00AA3F3D">
        <w:rPr>
          <w:rStyle w:val="Referencingstyle"/>
          <w:b w:val="0"/>
          <w:i w:val="0"/>
          <w:sz w:val="22"/>
        </w:rPr>
        <w:t xml:space="preserve">the person who takes custody of the seized property or </w:t>
      </w:r>
      <w:r w:rsidR="00C604AC" w:rsidRPr="00AA3F3D">
        <w:rPr>
          <w:rStyle w:val="Referencingstyle"/>
          <w:b w:val="0"/>
          <w:i w:val="0"/>
          <w:sz w:val="22"/>
        </w:rPr>
        <w:t xml:space="preserve">books must </w:t>
      </w:r>
      <w:r w:rsidRPr="00AA3F3D">
        <w:rPr>
          <w:rStyle w:val="Referencingstyle"/>
          <w:b w:val="0"/>
          <w:i w:val="0"/>
          <w:sz w:val="22"/>
        </w:rPr>
        <w:t xml:space="preserve">take reasonable steps to </w:t>
      </w:r>
      <w:r w:rsidR="00C604AC" w:rsidRPr="00AA3F3D">
        <w:rPr>
          <w:rStyle w:val="Referencingstyle"/>
          <w:b w:val="0"/>
          <w:i w:val="0"/>
          <w:sz w:val="22"/>
        </w:rPr>
        <w:t>return</w:t>
      </w:r>
      <w:r w:rsidRPr="00AA3F3D">
        <w:rPr>
          <w:rStyle w:val="Referencingstyle"/>
          <w:b w:val="0"/>
          <w:i w:val="0"/>
          <w:sz w:val="22"/>
        </w:rPr>
        <w:t xml:space="preserve"> them</w:t>
      </w:r>
      <w:r w:rsidR="00C604AC" w:rsidRPr="00AA3F3D">
        <w:rPr>
          <w:rStyle w:val="Referencingstyle"/>
          <w:b w:val="0"/>
          <w:i w:val="0"/>
          <w:sz w:val="22"/>
        </w:rPr>
        <w:t xml:space="preserve"> to the CCIV when they are no longer required </w:t>
      </w:r>
      <w:r w:rsidRPr="00AA3F3D">
        <w:rPr>
          <w:rStyle w:val="Referencingstyle"/>
          <w:b w:val="0"/>
          <w:i w:val="0"/>
          <w:sz w:val="22"/>
        </w:rPr>
        <w:t>to perform the person’s functions.</w:t>
      </w:r>
    </w:p>
    <w:p w14:paraId="09991763" w14:textId="23957164" w:rsidR="00C604AC" w:rsidRPr="00A61901" w:rsidRDefault="00D773BD" w:rsidP="00AA3F3D">
      <w:pPr>
        <w:pStyle w:val="dotpoint"/>
        <w:numPr>
          <w:ilvl w:val="0"/>
          <w:numId w:val="0"/>
        </w:numPr>
        <w:ind w:left="2268"/>
        <w:rPr>
          <w:rStyle w:val="Referencingstyle"/>
          <w:b w:val="0"/>
          <w:i w:val="0"/>
          <w:sz w:val="22"/>
          <w:highlight w:val="yellow"/>
        </w:rPr>
      </w:pPr>
      <w:r w:rsidRPr="00D14FA0">
        <w:rPr>
          <w:rStyle w:val="Referencingstyle"/>
        </w:rPr>
        <w:t xml:space="preserve">[Schedule </w:t>
      </w:r>
      <w:r w:rsidR="0035795F">
        <w:rPr>
          <w:rStyle w:val="Referencingstyle"/>
        </w:rPr>
        <w:t>2</w:t>
      </w:r>
      <w:r w:rsidRPr="00D14FA0">
        <w:rPr>
          <w:rStyle w:val="Referencingstyle"/>
        </w:rPr>
        <w:t>, item 1, s</w:t>
      </w:r>
      <w:r>
        <w:rPr>
          <w:rStyle w:val="Referencingstyle"/>
        </w:rPr>
        <w:t>ubs</w:t>
      </w:r>
      <w:r w:rsidRPr="00D14FA0">
        <w:rPr>
          <w:rStyle w:val="Referencingstyle"/>
        </w:rPr>
        <w:t>ection</w:t>
      </w:r>
      <w:r>
        <w:rPr>
          <w:rStyle w:val="Referencingstyle"/>
        </w:rPr>
        <w:t>s</w:t>
      </w:r>
      <w:r w:rsidRPr="00D14FA0">
        <w:rPr>
          <w:rStyle w:val="Referencingstyle"/>
        </w:rPr>
        <w:t xml:space="preserve"> </w:t>
      </w:r>
      <w:r w:rsidR="0035795F">
        <w:rPr>
          <w:rStyle w:val="Referencingstyle"/>
        </w:rPr>
        <w:t>12-230</w:t>
      </w:r>
      <w:r>
        <w:rPr>
          <w:rStyle w:val="Referencingstyle"/>
        </w:rPr>
        <w:t>(4) to (9)</w:t>
      </w:r>
      <w:r w:rsidRPr="00D14FA0">
        <w:rPr>
          <w:rStyle w:val="Referencingstyle"/>
        </w:rPr>
        <w:t>]</w:t>
      </w:r>
    </w:p>
    <w:p w14:paraId="4038D596" w14:textId="272493A2" w:rsidR="00A7307A" w:rsidRDefault="00A7307A" w:rsidP="00A7307A">
      <w:pPr>
        <w:pStyle w:val="Heading4"/>
      </w:pPr>
      <w:r>
        <w:t xml:space="preserve">Retention and destruction of books </w:t>
      </w:r>
    </w:p>
    <w:p w14:paraId="5F66AD16" w14:textId="77777777" w:rsidR="00A7307A" w:rsidRPr="003965D6" w:rsidRDefault="00A7307A" w:rsidP="00A7307A">
      <w:pPr>
        <w:pStyle w:val="Heading4"/>
        <w:rPr>
          <w:b w:val="0"/>
        </w:rPr>
      </w:pPr>
      <w:r w:rsidRPr="003965D6">
        <w:rPr>
          <w:b w:val="0"/>
        </w:rPr>
        <w:t>Books held by an external administrator</w:t>
      </w:r>
    </w:p>
    <w:p w14:paraId="010B1DC8" w14:textId="6E82873B" w:rsidR="00A7307A" w:rsidRDefault="00A7307A" w:rsidP="00711D0C">
      <w:pPr>
        <w:pStyle w:val="base-text-paragraph"/>
      </w:pPr>
      <w:bookmarkStart w:id="91" w:name="_Ref522885474"/>
      <w:r>
        <w:rPr>
          <w:rStyle w:val="Referencingstyle"/>
          <w:b w:val="0"/>
          <w:i w:val="0"/>
          <w:sz w:val="22"/>
        </w:rPr>
        <w:t xml:space="preserve">A liquidator or </w:t>
      </w:r>
      <w:r w:rsidR="009B129A">
        <w:rPr>
          <w:rStyle w:val="Referencingstyle"/>
          <w:b w:val="0"/>
          <w:i w:val="0"/>
          <w:sz w:val="22"/>
        </w:rPr>
        <w:t>provisional liquidator</w:t>
      </w:r>
      <w:r>
        <w:rPr>
          <w:rStyle w:val="Referencingstyle"/>
          <w:b w:val="0"/>
          <w:i w:val="0"/>
          <w:sz w:val="22"/>
        </w:rPr>
        <w:t xml:space="preserve"> must, under the Insolvency Practice Rules</w:t>
      </w:r>
      <w:r>
        <w:rPr>
          <w:rStyle w:val="FootnoteReference"/>
        </w:rPr>
        <w:footnoteReference w:id="6"/>
      </w:r>
      <w:r w:rsidR="00C604AC">
        <w:rPr>
          <w:rStyle w:val="Referencingstyle"/>
          <w:b w:val="0"/>
          <w:i w:val="0"/>
          <w:sz w:val="22"/>
        </w:rPr>
        <w:t>,</w:t>
      </w:r>
      <w:r>
        <w:t xml:space="preserve"> </w:t>
      </w:r>
      <w:r>
        <w:rPr>
          <w:rStyle w:val="Referencingstyle"/>
          <w:b w:val="0"/>
          <w:i w:val="0"/>
          <w:sz w:val="22"/>
        </w:rPr>
        <w:t xml:space="preserve">retain the books </w:t>
      </w:r>
      <w:r w:rsidR="005F769C">
        <w:rPr>
          <w:rStyle w:val="Referencingstyle"/>
          <w:b w:val="0"/>
          <w:i w:val="0"/>
          <w:sz w:val="22"/>
        </w:rPr>
        <w:t xml:space="preserve">of the CCIV that are transferred to them </w:t>
      </w:r>
      <w:r>
        <w:rPr>
          <w:rStyle w:val="Referencingstyle"/>
          <w:b w:val="0"/>
          <w:i w:val="0"/>
          <w:sz w:val="22"/>
        </w:rPr>
        <w:t xml:space="preserve">for at least five years after the </w:t>
      </w:r>
      <w:r w:rsidR="005F769C">
        <w:rPr>
          <w:rStyle w:val="Referencingstyle"/>
          <w:b w:val="0"/>
          <w:i w:val="0"/>
          <w:sz w:val="22"/>
        </w:rPr>
        <w:t xml:space="preserve">sub-fund is wound up </w:t>
      </w:r>
      <w:r>
        <w:rPr>
          <w:rStyle w:val="Referencingstyle"/>
          <w:b w:val="0"/>
          <w:i w:val="0"/>
          <w:sz w:val="22"/>
        </w:rPr>
        <w:t xml:space="preserve">(the </w:t>
      </w:r>
      <w:r>
        <w:rPr>
          <w:rStyle w:val="Referencingstyle"/>
          <w:sz w:val="22"/>
        </w:rPr>
        <w:t xml:space="preserve">retention </w:t>
      </w:r>
      <w:r w:rsidRPr="00D83D5D">
        <w:rPr>
          <w:rStyle w:val="Referencingstyle"/>
          <w:sz w:val="22"/>
        </w:rPr>
        <w:t>period</w:t>
      </w:r>
      <w:r w:rsidDel="0034389F">
        <w:rPr>
          <w:rStyle w:val="Referencingstyle"/>
          <w:b w:val="0"/>
          <w:i w:val="0"/>
          <w:sz w:val="22"/>
        </w:rPr>
        <w:t>)</w:t>
      </w:r>
      <w:r>
        <w:t>.</w:t>
      </w:r>
      <w:bookmarkEnd w:id="91"/>
      <w:r>
        <w:t xml:space="preserve"> </w:t>
      </w:r>
    </w:p>
    <w:p w14:paraId="22822DA4" w14:textId="35DDE6BD" w:rsidR="00A7307A" w:rsidRDefault="00A7307A" w:rsidP="00711D0C">
      <w:pPr>
        <w:pStyle w:val="base-text-paragraph"/>
        <w:rPr>
          <w:rStyle w:val="Referencingstyle"/>
          <w:b w:val="0"/>
          <w:i w:val="0"/>
          <w:sz w:val="22"/>
        </w:rPr>
      </w:pPr>
      <w:r>
        <w:rPr>
          <w:rStyle w:val="Referencingstyle"/>
          <w:b w:val="0"/>
          <w:i w:val="0"/>
          <w:sz w:val="22"/>
        </w:rPr>
        <w:t>The CCIV may,</w:t>
      </w:r>
      <w:r w:rsidRPr="0034389F">
        <w:rPr>
          <w:rStyle w:val="Referencingstyle"/>
          <w:b w:val="0"/>
          <w:i w:val="0"/>
          <w:sz w:val="22"/>
        </w:rPr>
        <w:t xml:space="preserve"> </w:t>
      </w:r>
      <w:r>
        <w:rPr>
          <w:rStyle w:val="Referencingstyle"/>
          <w:b w:val="0"/>
          <w:i w:val="0"/>
          <w:sz w:val="22"/>
        </w:rPr>
        <w:t xml:space="preserve">by written notice, request the </w:t>
      </w:r>
      <w:r w:rsidR="009B129A">
        <w:rPr>
          <w:rStyle w:val="Referencingstyle"/>
          <w:b w:val="0"/>
          <w:i w:val="0"/>
          <w:sz w:val="22"/>
        </w:rPr>
        <w:t>liquidator or provisional liquidator</w:t>
      </w:r>
      <w:r>
        <w:rPr>
          <w:rStyle w:val="Referencingstyle"/>
          <w:b w:val="0"/>
          <w:i w:val="0"/>
          <w:sz w:val="22"/>
        </w:rPr>
        <w:t xml:space="preserve"> to transfer the books back to the CCIV at the end of the retention period. </w:t>
      </w:r>
      <w:r w:rsidRPr="00BB1A66">
        <w:rPr>
          <w:rStyle w:val="Referencingstyle"/>
          <w:b w:val="0"/>
          <w:i w:val="0"/>
          <w:sz w:val="22"/>
        </w:rPr>
        <w:t>The</w:t>
      </w:r>
      <w:r w:rsidR="00D1543F">
        <w:rPr>
          <w:rStyle w:val="Referencingstyle"/>
          <w:b w:val="0"/>
          <w:i w:val="0"/>
          <w:sz w:val="22"/>
        </w:rPr>
        <w:t> </w:t>
      </w:r>
      <w:r w:rsidR="00A86AFF">
        <w:rPr>
          <w:rStyle w:val="Referencingstyle"/>
          <w:b w:val="0"/>
          <w:i w:val="0"/>
          <w:sz w:val="22"/>
        </w:rPr>
        <w:t xml:space="preserve">liquidator or provisional liquidator </w:t>
      </w:r>
      <w:r w:rsidRPr="00BB1A66">
        <w:rPr>
          <w:rStyle w:val="Referencingstyle"/>
          <w:b w:val="0"/>
          <w:i w:val="0"/>
          <w:sz w:val="22"/>
        </w:rPr>
        <w:t>is only permitted to destroy the books</w:t>
      </w:r>
      <w:r>
        <w:rPr>
          <w:rStyle w:val="Referencingstyle"/>
          <w:b w:val="0"/>
          <w:i w:val="0"/>
          <w:sz w:val="22"/>
        </w:rPr>
        <w:t xml:space="preserve"> at the end of the retention period</w:t>
      </w:r>
      <w:r w:rsidRPr="00BB1A66">
        <w:rPr>
          <w:rStyle w:val="Referencingstyle"/>
          <w:b w:val="0"/>
          <w:i w:val="0"/>
          <w:sz w:val="22"/>
        </w:rPr>
        <w:t xml:space="preserve"> if the CCIV </w:t>
      </w:r>
      <w:r>
        <w:rPr>
          <w:rStyle w:val="Referencingstyle"/>
          <w:b w:val="0"/>
          <w:i w:val="0"/>
          <w:sz w:val="22"/>
        </w:rPr>
        <w:t xml:space="preserve">has not made such a request. </w:t>
      </w:r>
      <w:r w:rsidRPr="00BB1A66">
        <w:rPr>
          <w:rStyle w:val="Referencingstyle"/>
        </w:rPr>
        <w:t xml:space="preserve">[Schedule </w:t>
      </w:r>
      <w:r w:rsidR="001A2D09">
        <w:rPr>
          <w:rStyle w:val="Referencingstyle"/>
        </w:rPr>
        <w:t>2</w:t>
      </w:r>
      <w:r w:rsidRPr="00BB1A66">
        <w:rPr>
          <w:rStyle w:val="Referencingstyle"/>
        </w:rPr>
        <w:t>, item 1, s</w:t>
      </w:r>
      <w:r>
        <w:rPr>
          <w:rStyle w:val="Referencingstyle"/>
        </w:rPr>
        <w:t>ubs</w:t>
      </w:r>
      <w:r w:rsidRPr="00BB1A66">
        <w:rPr>
          <w:rStyle w:val="Referencingstyle"/>
        </w:rPr>
        <w:t>ection</w:t>
      </w:r>
      <w:r>
        <w:rPr>
          <w:rStyle w:val="Referencingstyle"/>
        </w:rPr>
        <w:t>s</w:t>
      </w:r>
      <w:r w:rsidR="00EA2D83">
        <w:rPr>
          <w:rStyle w:val="Referencingstyle"/>
        </w:rPr>
        <w:t xml:space="preserve"> </w:t>
      </w:r>
      <w:r w:rsidR="001A2D09">
        <w:rPr>
          <w:rStyle w:val="Referencingstyle"/>
        </w:rPr>
        <w:t>12-180</w:t>
      </w:r>
      <w:r>
        <w:rPr>
          <w:rStyle w:val="Referencingstyle"/>
        </w:rPr>
        <w:t>(1) to (3)</w:t>
      </w:r>
      <w:r w:rsidR="00FA0E01">
        <w:rPr>
          <w:rStyle w:val="Referencingstyle"/>
        </w:rPr>
        <w:t xml:space="preserve">, Schedule 2, item </w:t>
      </w:r>
      <w:r w:rsidR="0035795F">
        <w:rPr>
          <w:rStyle w:val="Referencingstyle"/>
        </w:rPr>
        <w:t>29 to 30</w:t>
      </w:r>
      <w:r w:rsidR="00FA0E01">
        <w:rPr>
          <w:rStyle w:val="Referencingstyle"/>
        </w:rPr>
        <w:t xml:space="preserve">, notes to subsections 70-35(3) and 70-35(4) of Schedule 2 </w:t>
      </w:r>
      <w:r w:rsidRPr="00BB1A66">
        <w:rPr>
          <w:rStyle w:val="Referencingstyle"/>
        </w:rPr>
        <w:t>]</w:t>
      </w:r>
    </w:p>
    <w:p w14:paraId="771DB7F4" w14:textId="49D33E24" w:rsidR="00A7307A" w:rsidRPr="00CD7B48" w:rsidRDefault="009B129A" w:rsidP="00711D0C">
      <w:pPr>
        <w:pStyle w:val="base-text-paragraph"/>
        <w:rPr>
          <w:rStyle w:val="Referencingstyle"/>
          <w:b w:val="0"/>
          <w:i w:val="0"/>
          <w:sz w:val="22"/>
        </w:rPr>
      </w:pPr>
      <w:r>
        <w:rPr>
          <w:rStyle w:val="Referencingstyle"/>
          <w:b w:val="0"/>
          <w:i w:val="0"/>
          <w:sz w:val="22"/>
        </w:rPr>
        <w:t>A liquidator or provisional liquidator</w:t>
      </w:r>
      <w:r w:rsidR="00A7307A">
        <w:rPr>
          <w:rStyle w:val="Referencingstyle"/>
          <w:b w:val="0"/>
          <w:i w:val="0"/>
          <w:sz w:val="22"/>
        </w:rPr>
        <w:t xml:space="preserve"> who intentionally or recklessly fails to comply with the requirement to transfer the books back to the CCIV commits an offence punishable by a fine of up to 50 penalty units. This is the same as the existing offence for destroying books during the retention period in subsection 70</w:t>
      </w:r>
      <w:r w:rsidR="00A7307A">
        <w:rPr>
          <w:rStyle w:val="Referencingstyle"/>
          <w:b w:val="0"/>
          <w:i w:val="0"/>
          <w:sz w:val="22"/>
        </w:rPr>
        <w:noBreakHyphen/>
        <w:t>35(5) of the Insolvency Practice Rules.</w:t>
      </w:r>
      <w:r w:rsidR="00A7307A" w:rsidRPr="003965D6">
        <w:rPr>
          <w:rStyle w:val="Referencingstyle"/>
        </w:rPr>
        <w:t xml:space="preserve"> </w:t>
      </w:r>
      <w:r w:rsidR="00A7307A">
        <w:rPr>
          <w:rStyle w:val="Referencingstyle"/>
        </w:rPr>
        <w:t xml:space="preserve">[Schedule </w:t>
      </w:r>
      <w:r w:rsidR="0035795F">
        <w:rPr>
          <w:rStyle w:val="Referencingstyle"/>
        </w:rPr>
        <w:t>2</w:t>
      </w:r>
      <w:r w:rsidR="00A7307A">
        <w:rPr>
          <w:rStyle w:val="Referencingstyle"/>
        </w:rPr>
        <w:t xml:space="preserve">, item 1, </w:t>
      </w:r>
      <w:r w:rsidR="00A7307A" w:rsidRPr="00BB1A66">
        <w:rPr>
          <w:rStyle w:val="Referencingstyle"/>
        </w:rPr>
        <w:t>s</w:t>
      </w:r>
      <w:r w:rsidR="00A7307A">
        <w:rPr>
          <w:rStyle w:val="Referencingstyle"/>
        </w:rPr>
        <w:t>ubs</w:t>
      </w:r>
      <w:r w:rsidR="00A7307A" w:rsidRPr="00BB1A66">
        <w:rPr>
          <w:rStyle w:val="Referencingstyle"/>
        </w:rPr>
        <w:t xml:space="preserve">ection </w:t>
      </w:r>
      <w:r w:rsidR="0035795F">
        <w:rPr>
          <w:rStyle w:val="Referencingstyle"/>
        </w:rPr>
        <w:t>12-180</w:t>
      </w:r>
      <w:r w:rsidR="00A7307A">
        <w:rPr>
          <w:rStyle w:val="Referencingstyle"/>
        </w:rPr>
        <w:t>(4)</w:t>
      </w:r>
      <w:r w:rsidR="00A7307A" w:rsidRPr="00BB1A66">
        <w:rPr>
          <w:rStyle w:val="Referencingstyle"/>
        </w:rPr>
        <w:t>]</w:t>
      </w:r>
    </w:p>
    <w:p w14:paraId="4A270D01" w14:textId="77777777" w:rsidR="00A7307A" w:rsidRPr="003965D6" w:rsidRDefault="00A7307A" w:rsidP="00A7307A">
      <w:pPr>
        <w:pStyle w:val="Heading4"/>
        <w:rPr>
          <w:b w:val="0"/>
        </w:rPr>
      </w:pPr>
      <w:r w:rsidRPr="003965D6">
        <w:rPr>
          <w:b w:val="0"/>
        </w:rPr>
        <w:t xml:space="preserve">Books held by ASIC </w:t>
      </w:r>
    </w:p>
    <w:p w14:paraId="572ABD19" w14:textId="4803D88C" w:rsidR="00A7307A" w:rsidRDefault="00A7307A" w:rsidP="00711D0C">
      <w:pPr>
        <w:pStyle w:val="base-text-paragraph"/>
      </w:pPr>
      <w:r>
        <w:t>The Insol</w:t>
      </w:r>
      <w:r w:rsidR="009B129A">
        <w:t xml:space="preserve">vency Practice Rules require a liquidator or provisional liquidator </w:t>
      </w:r>
      <w:r>
        <w:t xml:space="preserve">to transfer books in its possession to ASIC if the person ceases to be the </w:t>
      </w:r>
      <w:r w:rsidR="00A86AFF">
        <w:t xml:space="preserve">liquidator or provisional liquidator </w:t>
      </w:r>
      <w:r>
        <w:t>and ASIC requests the transfer of the books (see existing section</w:t>
      </w:r>
      <w:r w:rsidR="001A2D09">
        <w:t> </w:t>
      </w:r>
      <w:r>
        <w:t>70</w:t>
      </w:r>
      <w:r>
        <w:noBreakHyphen/>
        <w:t>31 of Schedule 2 to the Act).</w:t>
      </w:r>
    </w:p>
    <w:p w14:paraId="1DA54AD7" w14:textId="4CCCD258" w:rsidR="00A7307A" w:rsidRDefault="00A7307A" w:rsidP="00711D0C">
      <w:pPr>
        <w:pStyle w:val="base-text-paragraph"/>
      </w:pPr>
      <w:r>
        <w:t>The Insolvency Practice Rules, when read subject to the separating assumptions, require ASIC to retain any books that it obtains under section 70</w:t>
      </w:r>
      <w:r>
        <w:noBreakHyphen/>
        <w:t xml:space="preserve">31 for at least two years after the </w:t>
      </w:r>
      <w:r w:rsidR="005F769C">
        <w:t>winding up of the sub-fund is completed</w:t>
      </w:r>
      <w:r>
        <w:t xml:space="preserve"> (ASIC’s </w:t>
      </w:r>
      <w:r>
        <w:rPr>
          <w:b/>
          <w:i/>
        </w:rPr>
        <w:t>retention period</w:t>
      </w:r>
      <w:r>
        <w:t>) (see existing subsection 70</w:t>
      </w:r>
      <w:r>
        <w:noBreakHyphen/>
        <w:t xml:space="preserve">31(8) of Schedule 2 to the Act). </w:t>
      </w:r>
    </w:p>
    <w:p w14:paraId="6934DD04" w14:textId="079107BE" w:rsidR="00A7307A" w:rsidRPr="003965D6" w:rsidRDefault="00A7307A" w:rsidP="00711D0C">
      <w:pPr>
        <w:pStyle w:val="base-text-paragraph"/>
        <w:jc w:val="both"/>
        <w:rPr>
          <w:rStyle w:val="Referencingstyle"/>
          <w:b w:val="0"/>
          <w:i w:val="0"/>
          <w:sz w:val="22"/>
        </w:rPr>
      </w:pPr>
      <w:bookmarkStart w:id="92" w:name="_Ref522885475"/>
      <w:r w:rsidRPr="00FA5B27">
        <w:t>If ASIC wishes to destroy the books at the end of ASIC’s retention period, it must notify the CCIV (if the CCIV has not been deregistered). The CCIV may require ASIC to transfer the books to the CCIV, instead of destroying them. This en</w:t>
      </w:r>
      <w:r w:rsidRPr="003801D6">
        <w:t>sures that books are not destroyed if the CCIV remains in existence and the corporate dir</w:t>
      </w:r>
      <w:r w:rsidR="00A83135">
        <w:t>ector considers the books to be</w:t>
      </w:r>
      <w:r w:rsidR="00050D20">
        <w:t xml:space="preserve"> </w:t>
      </w:r>
      <w:r>
        <w:t>relevant to the business of sub</w:t>
      </w:r>
      <w:r>
        <w:noBreakHyphen/>
        <w:t xml:space="preserve">funds which have not been wound up. </w:t>
      </w:r>
      <w:r>
        <w:rPr>
          <w:rStyle w:val="Referencingstyle"/>
        </w:rPr>
        <w:t>[</w:t>
      </w:r>
      <w:r w:rsidRPr="008D7243">
        <w:rPr>
          <w:rStyle w:val="Referencingstyle"/>
        </w:rPr>
        <w:t xml:space="preserve">Schedule </w:t>
      </w:r>
      <w:r w:rsidR="005B2B58">
        <w:rPr>
          <w:rStyle w:val="Referencingstyle"/>
        </w:rPr>
        <w:t>2</w:t>
      </w:r>
      <w:r w:rsidRPr="008D7243">
        <w:rPr>
          <w:rStyle w:val="Referencingstyle"/>
        </w:rPr>
        <w:t xml:space="preserve">, item </w:t>
      </w:r>
      <w:r>
        <w:rPr>
          <w:rStyle w:val="Referencingstyle"/>
        </w:rPr>
        <w:t>1</w:t>
      </w:r>
      <w:r w:rsidRPr="008D7243">
        <w:rPr>
          <w:rStyle w:val="Referencingstyle"/>
        </w:rPr>
        <w:t xml:space="preserve">, </w:t>
      </w:r>
      <w:r>
        <w:rPr>
          <w:rStyle w:val="Referencingstyle"/>
        </w:rPr>
        <w:t xml:space="preserve">section </w:t>
      </w:r>
      <w:r w:rsidR="005B2B58">
        <w:rPr>
          <w:rStyle w:val="Referencingstyle"/>
        </w:rPr>
        <w:t>12-200</w:t>
      </w:r>
      <w:r w:rsidRPr="008D7243">
        <w:rPr>
          <w:rStyle w:val="Referencingstyle"/>
        </w:rPr>
        <w:t>]</w:t>
      </w:r>
      <w:bookmarkEnd w:id="92"/>
    </w:p>
    <w:p w14:paraId="1D5B2433" w14:textId="77777777" w:rsidR="005F769C" w:rsidRPr="00C92168" w:rsidRDefault="005F769C" w:rsidP="005F769C">
      <w:pPr>
        <w:pStyle w:val="Heading5"/>
        <w:rPr>
          <w:rStyle w:val="Referencingstyle"/>
          <w:sz w:val="22"/>
        </w:rPr>
      </w:pPr>
      <w:r w:rsidRPr="00C92168">
        <w:rPr>
          <w:rStyle w:val="Referencingstyle"/>
          <w:i/>
          <w:sz w:val="22"/>
        </w:rPr>
        <w:t xml:space="preserve">Operating a CCIV while disqualified </w:t>
      </w:r>
    </w:p>
    <w:p w14:paraId="4C88694E" w14:textId="68D8500C" w:rsidR="005F769C" w:rsidRDefault="005F769C" w:rsidP="005F769C">
      <w:pPr>
        <w:pStyle w:val="base-text-paragraph"/>
        <w:rPr>
          <w:rStyle w:val="Referencingstyle"/>
          <w:b w:val="0"/>
          <w:i w:val="0"/>
          <w:sz w:val="22"/>
        </w:rPr>
      </w:pPr>
      <w:r>
        <w:rPr>
          <w:rStyle w:val="Referencingstyle"/>
          <w:b w:val="0"/>
          <w:i w:val="0"/>
          <w:sz w:val="22"/>
        </w:rPr>
        <w:t>A person who operates the business and conducts the affairs of the CCIV while a sub-fund is being wound up and within four years of the relation back date (generally the date that the sub-fund enters into winding up) may be personally liable for part of the sub-fund’s debts and liabilities. The liquidator of the sub-fund must apply to the Court and the person is only liable if the Court makes an order to that effect.</w:t>
      </w:r>
      <w:r w:rsidRPr="0015785B">
        <w:rPr>
          <w:rStyle w:val="Referencingstyle"/>
        </w:rPr>
        <w:t xml:space="preserve"> </w:t>
      </w:r>
      <w:r>
        <w:rPr>
          <w:rStyle w:val="Referencingstyle"/>
        </w:rPr>
        <w:t>[Schedule </w:t>
      </w:r>
      <w:r w:rsidR="00BC0E5B">
        <w:rPr>
          <w:rStyle w:val="Referencingstyle"/>
        </w:rPr>
        <w:t>2</w:t>
      </w:r>
      <w:r>
        <w:rPr>
          <w:rStyle w:val="Referencingstyle"/>
        </w:rPr>
        <w:t xml:space="preserve">, item </w:t>
      </w:r>
      <w:r w:rsidR="005D083C">
        <w:rPr>
          <w:rStyle w:val="Referencingstyle"/>
        </w:rPr>
        <w:t>1</w:t>
      </w:r>
      <w:r>
        <w:rPr>
          <w:rStyle w:val="Referencingstyle"/>
        </w:rPr>
        <w:t xml:space="preserve">, section </w:t>
      </w:r>
      <w:r w:rsidR="005D083C">
        <w:rPr>
          <w:rStyle w:val="Referencingstyle"/>
        </w:rPr>
        <w:t>12-210</w:t>
      </w:r>
      <w:r>
        <w:rPr>
          <w:rStyle w:val="Referencingstyle"/>
        </w:rPr>
        <w:t>]</w:t>
      </w:r>
    </w:p>
    <w:p w14:paraId="283CB8B1" w14:textId="0D4AFBE0" w:rsidR="005F769C" w:rsidRPr="007A72B9" w:rsidRDefault="005F769C" w:rsidP="005F769C">
      <w:pPr>
        <w:pStyle w:val="base-text-paragraph"/>
        <w:rPr>
          <w:rStyle w:val="Referencingstyle"/>
          <w:b w:val="0"/>
          <w:i w:val="0"/>
          <w:sz w:val="22"/>
        </w:rPr>
      </w:pPr>
      <w:r>
        <w:rPr>
          <w:rStyle w:val="Referencingstyle"/>
          <w:b w:val="0"/>
          <w:i w:val="0"/>
          <w:sz w:val="22"/>
        </w:rPr>
        <w:t>This provision ensures that persons unlawfully operating the CCIV bear a liability commensurate with that of the corporate director. It mirrors existing Division 7 of Part 5.7B which does not apply as a CCIV does not have a managing director.</w:t>
      </w:r>
      <w:r w:rsidRPr="00660EA6">
        <w:rPr>
          <w:rStyle w:val="Referencingstyle"/>
        </w:rPr>
        <w:t xml:space="preserve"> </w:t>
      </w:r>
    </w:p>
    <w:p w14:paraId="10EF4C9E" w14:textId="77777777" w:rsidR="00A83117" w:rsidRDefault="00A83117" w:rsidP="00206A14">
      <w:pPr>
        <w:pStyle w:val="Heading4"/>
      </w:pPr>
      <w:r>
        <w:t>Proof and ranking of claims</w:t>
      </w:r>
    </w:p>
    <w:p w14:paraId="490EA275" w14:textId="568ED389" w:rsidR="00C26B5E" w:rsidRDefault="002005E1" w:rsidP="00050D20">
      <w:pPr>
        <w:pStyle w:val="base-text-paragraph"/>
        <w:jc w:val="both"/>
      </w:pPr>
      <w:r>
        <w:t>If a c</w:t>
      </w:r>
      <w:r w:rsidR="00C26B5E">
        <w:t>reditor submit</w:t>
      </w:r>
      <w:r>
        <w:t>s a debt</w:t>
      </w:r>
      <w:r w:rsidR="00C26B5E">
        <w:t xml:space="preserve"> or claim to the liquidator</w:t>
      </w:r>
      <w:r>
        <w:t>, th</w:t>
      </w:r>
      <w:r w:rsidR="00C26B5E">
        <w:t xml:space="preserve">e liquidator must consider whether the debt or claim </w:t>
      </w:r>
      <w:r>
        <w:t xml:space="preserve">is a liability of the sub-fund. </w:t>
      </w:r>
      <w:r w:rsidR="00734680">
        <w:t xml:space="preserve">If the liquidator </w:t>
      </w:r>
      <w:r w:rsidR="00734680" w:rsidRPr="001B7374">
        <w:t>determines that the debt or part of the debt is not a</w:t>
      </w:r>
      <w:r w:rsidR="00734680">
        <w:t xml:space="preserve"> liability of the sub-fund, the debt or part of the debt is not admissible to proof. </w:t>
      </w:r>
      <w:r w:rsidR="00C26B5E">
        <w:rPr>
          <w:rStyle w:val="Referencingstyle"/>
        </w:rPr>
        <w:t>[</w:t>
      </w:r>
      <w:r w:rsidR="00C26B5E" w:rsidRPr="008D7243">
        <w:rPr>
          <w:rStyle w:val="Referencingstyle"/>
        </w:rPr>
        <w:t xml:space="preserve">Schedule </w:t>
      </w:r>
      <w:r w:rsidR="005D083C">
        <w:rPr>
          <w:rStyle w:val="Referencingstyle"/>
        </w:rPr>
        <w:t>2</w:t>
      </w:r>
      <w:r w:rsidR="00C26B5E" w:rsidRPr="008D7243">
        <w:rPr>
          <w:rStyle w:val="Referencingstyle"/>
        </w:rPr>
        <w:t xml:space="preserve">, item </w:t>
      </w:r>
      <w:r w:rsidR="00C26B5E">
        <w:rPr>
          <w:rStyle w:val="Referencingstyle"/>
        </w:rPr>
        <w:t>1</w:t>
      </w:r>
      <w:r w:rsidR="00C26B5E" w:rsidRPr="008D7243">
        <w:rPr>
          <w:rStyle w:val="Referencingstyle"/>
        </w:rPr>
        <w:t xml:space="preserve">, </w:t>
      </w:r>
      <w:r w:rsidR="00C26B5E">
        <w:rPr>
          <w:rStyle w:val="Referencingstyle"/>
        </w:rPr>
        <w:t xml:space="preserve">subsection </w:t>
      </w:r>
      <w:r w:rsidR="005B2B58">
        <w:rPr>
          <w:rStyle w:val="Referencingstyle"/>
        </w:rPr>
        <w:t>12-215</w:t>
      </w:r>
      <w:r w:rsidR="00C26B5E">
        <w:rPr>
          <w:rStyle w:val="Referencingstyle"/>
        </w:rPr>
        <w:t>(1)</w:t>
      </w:r>
      <w:r w:rsidR="00C26B5E" w:rsidRPr="008D7243">
        <w:rPr>
          <w:rStyle w:val="Referencingstyle"/>
        </w:rPr>
        <w:t>]</w:t>
      </w:r>
    </w:p>
    <w:p w14:paraId="0DDF7F39" w14:textId="412D47FB" w:rsidR="00C26B5E" w:rsidRPr="00C26B5E" w:rsidRDefault="00734680" w:rsidP="00050D20">
      <w:pPr>
        <w:pStyle w:val="base-text-paragraph"/>
        <w:jc w:val="both"/>
        <w:rPr>
          <w:rStyle w:val="Referencingstyle"/>
          <w:b w:val="0"/>
          <w:i w:val="0"/>
          <w:sz w:val="22"/>
        </w:rPr>
      </w:pPr>
      <w:r w:rsidRPr="00FA5B27">
        <w:t>The</w:t>
      </w:r>
      <w:r w:rsidR="002005E1">
        <w:t xml:space="preserve"> debt or part of the debt</w:t>
      </w:r>
      <w:r>
        <w:t xml:space="preserve"> that is not a liability of the sub-fund</w:t>
      </w:r>
      <w:r w:rsidR="002005E1">
        <w:t xml:space="preserve"> is not </w:t>
      </w:r>
      <w:r w:rsidR="00C26B5E">
        <w:t xml:space="preserve">extinguished. This recognises that the creditor may have a legitimate claim against the CCIV but </w:t>
      </w:r>
      <w:r w:rsidR="00814DC8">
        <w:t>in respect of another part of the CCIV’s business</w:t>
      </w:r>
      <w:r w:rsidR="00C26B5E">
        <w:t>.</w:t>
      </w:r>
      <w:r w:rsidR="00C26B5E" w:rsidRPr="00C26B5E">
        <w:rPr>
          <w:rStyle w:val="Referencingstyle"/>
        </w:rPr>
        <w:t xml:space="preserve"> </w:t>
      </w:r>
      <w:r w:rsidR="00C26B5E">
        <w:rPr>
          <w:rStyle w:val="Referencingstyle"/>
        </w:rPr>
        <w:t>[</w:t>
      </w:r>
      <w:r w:rsidR="002B4D4E">
        <w:rPr>
          <w:rStyle w:val="Referencingstyle"/>
        </w:rPr>
        <w:t xml:space="preserve">Schedule </w:t>
      </w:r>
      <w:r w:rsidR="005B2B58">
        <w:rPr>
          <w:rStyle w:val="Referencingstyle"/>
        </w:rPr>
        <w:t>2</w:t>
      </w:r>
      <w:r w:rsidR="002B4D4E">
        <w:rPr>
          <w:rStyle w:val="Referencingstyle"/>
        </w:rPr>
        <w:t>, item </w:t>
      </w:r>
      <w:r w:rsidR="00C26B5E">
        <w:rPr>
          <w:rStyle w:val="Referencingstyle"/>
        </w:rPr>
        <w:t>1</w:t>
      </w:r>
      <w:r w:rsidR="00C26B5E" w:rsidRPr="008D7243">
        <w:rPr>
          <w:rStyle w:val="Referencingstyle"/>
        </w:rPr>
        <w:t xml:space="preserve">, </w:t>
      </w:r>
      <w:r w:rsidR="00B32568">
        <w:rPr>
          <w:rStyle w:val="Referencingstyle"/>
        </w:rPr>
        <w:t>s</w:t>
      </w:r>
      <w:r>
        <w:rPr>
          <w:rStyle w:val="Referencingstyle"/>
        </w:rPr>
        <w:t>ubs</w:t>
      </w:r>
      <w:r w:rsidR="00B32568">
        <w:rPr>
          <w:rStyle w:val="Referencingstyle"/>
        </w:rPr>
        <w:t>ection</w:t>
      </w:r>
      <w:r w:rsidR="005B2B58">
        <w:rPr>
          <w:rStyle w:val="Referencingstyle"/>
        </w:rPr>
        <w:t> 12</w:t>
      </w:r>
      <w:r w:rsidR="005B2B58">
        <w:rPr>
          <w:rStyle w:val="Referencingstyle"/>
        </w:rPr>
        <w:noBreakHyphen/>
        <w:t>215</w:t>
      </w:r>
      <w:r>
        <w:rPr>
          <w:rStyle w:val="Referencingstyle"/>
        </w:rPr>
        <w:t>(2)</w:t>
      </w:r>
      <w:r w:rsidR="00C26B5E" w:rsidRPr="008D7243">
        <w:rPr>
          <w:rStyle w:val="Referencingstyle"/>
        </w:rPr>
        <w:t>]</w:t>
      </w:r>
    </w:p>
    <w:p w14:paraId="4F08391A" w14:textId="0B7DC372" w:rsidR="00FB5EC9" w:rsidRPr="00FB5EC9" w:rsidRDefault="00FB5EC9" w:rsidP="00FB5EC9">
      <w:pPr>
        <w:pStyle w:val="base-text-paragraph"/>
        <w:jc w:val="both"/>
        <w:rPr>
          <w:rStyle w:val="Referencingstyle"/>
          <w:b w:val="0"/>
          <w:i w:val="0"/>
          <w:sz w:val="22"/>
        </w:rPr>
      </w:pPr>
      <w:r w:rsidRPr="00FA5B27">
        <w:t>If the liquidator determines that the debt or claim is partly or wholly a liability of the sub-fund, t</w:t>
      </w:r>
      <w:r w:rsidRPr="003801D6">
        <w:t xml:space="preserve">he liquidator must determine the value of the debt or claim or refer the question to the </w:t>
      </w:r>
      <w:r w:rsidR="002B4D4E">
        <w:t>C</w:t>
      </w:r>
      <w:r>
        <w:t>ourt (see existing section 554A). If the debt relates to more than one sub-fund, the liquidator must determine the value of the entire debt, not just the portion of the debt that relates to the sub-fund that is being wound up. Nevertheless, the value of the debt that is admissible to proof under Division 6 of Part 5.6 is just the portion of the debt that relates to the sub-fund that is being wound up.</w:t>
      </w:r>
      <w:r w:rsidRPr="00FB5EC9">
        <w:rPr>
          <w:rStyle w:val="Referencingstyle"/>
        </w:rPr>
        <w:t xml:space="preserve"> </w:t>
      </w:r>
      <w:r>
        <w:rPr>
          <w:rStyle w:val="Referencingstyle"/>
        </w:rPr>
        <w:t>[</w:t>
      </w:r>
      <w:r w:rsidRPr="008D7243">
        <w:rPr>
          <w:rStyle w:val="Referencingstyle"/>
        </w:rPr>
        <w:t xml:space="preserve">Schedule </w:t>
      </w:r>
      <w:r w:rsidR="005B2B58">
        <w:rPr>
          <w:rStyle w:val="Referencingstyle"/>
        </w:rPr>
        <w:t>2</w:t>
      </w:r>
      <w:r w:rsidRPr="008D7243">
        <w:rPr>
          <w:rStyle w:val="Referencingstyle"/>
        </w:rPr>
        <w:t xml:space="preserve">, item </w:t>
      </w:r>
      <w:r>
        <w:rPr>
          <w:rStyle w:val="Referencingstyle"/>
        </w:rPr>
        <w:t>1</w:t>
      </w:r>
      <w:r w:rsidRPr="008D7243">
        <w:rPr>
          <w:rStyle w:val="Referencingstyle"/>
        </w:rPr>
        <w:t xml:space="preserve">, </w:t>
      </w:r>
      <w:r>
        <w:rPr>
          <w:rStyle w:val="Referencingstyle"/>
        </w:rPr>
        <w:t xml:space="preserve">section </w:t>
      </w:r>
      <w:r w:rsidR="005B2B58">
        <w:rPr>
          <w:rStyle w:val="Referencingstyle"/>
        </w:rPr>
        <w:t>12-220</w:t>
      </w:r>
      <w:r w:rsidRPr="008D7243">
        <w:rPr>
          <w:rStyle w:val="Referencingstyle"/>
        </w:rPr>
        <w:t>]</w:t>
      </w:r>
    </w:p>
    <w:p w14:paraId="6B129C1A" w14:textId="3A15A5A5" w:rsidR="00FB5EC9" w:rsidRDefault="00FB5EC9" w:rsidP="00FB5EC9">
      <w:pPr>
        <w:pStyle w:val="base-text-paragraph"/>
        <w:jc w:val="both"/>
      </w:pPr>
      <w:r>
        <w:t xml:space="preserve">Figure </w:t>
      </w:r>
      <w:r w:rsidR="00775BE0">
        <w:t>2.1</w:t>
      </w:r>
      <w:r>
        <w:t xml:space="preserve"> summarises the process that a liquidator must follow when a debt or claim is submitted to it. </w:t>
      </w:r>
    </w:p>
    <w:p w14:paraId="0658A9E1" w14:textId="3992DF70" w:rsidR="00FB5EC9" w:rsidRPr="00FB5EC9" w:rsidRDefault="00FB5EC9" w:rsidP="00FB5EC9">
      <w:pPr>
        <w:pStyle w:val="TableHeadingoutsidetable"/>
        <w:numPr>
          <w:ilvl w:val="0"/>
          <w:numId w:val="0"/>
        </w:numPr>
        <w:ind w:left="1134"/>
        <w:rPr>
          <w:rStyle w:val="Referencingstyle"/>
          <w:b/>
          <w:i w:val="0"/>
          <w:sz w:val="22"/>
        </w:rPr>
      </w:pPr>
      <w:r>
        <w:rPr>
          <w:rStyle w:val="Referencingstyle"/>
          <w:b/>
          <w:i w:val="0"/>
          <w:sz w:val="22"/>
        </w:rPr>
        <w:t xml:space="preserve">Figure </w:t>
      </w:r>
      <w:r w:rsidR="00775BE0">
        <w:rPr>
          <w:rStyle w:val="Referencingstyle"/>
          <w:b/>
          <w:i w:val="0"/>
          <w:sz w:val="22"/>
        </w:rPr>
        <w:t>2.1</w:t>
      </w:r>
      <w:r w:rsidR="00775BE0" w:rsidRPr="00FB5EC9">
        <w:rPr>
          <w:rStyle w:val="Referencingstyle"/>
          <w:b/>
          <w:i w:val="0"/>
          <w:sz w:val="22"/>
        </w:rPr>
        <w:t xml:space="preserve">: </w:t>
      </w:r>
      <w:r>
        <w:rPr>
          <w:rStyle w:val="Referencingstyle"/>
          <w:b/>
          <w:i w:val="0"/>
          <w:sz w:val="22"/>
        </w:rPr>
        <w:t>Process for debts or claims submitted to a liquidator</w:t>
      </w:r>
    </w:p>
    <w:p w14:paraId="45B0A938" w14:textId="7A57D2E1" w:rsidR="00FB5EC9" w:rsidRPr="00C26B5E" w:rsidRDefault="005A3D0B" w:rsidP="00FB5EC9">
      <w:pPr>
        <w:pStyle w:val="base-text-paragraph"/>
        <w:numPr>
          <w:ilvl w:val="0"/>
          <w:numId w:val="0"/>
        </w:numPr>
        <w:ind w:left="1134"/>
        <w:jc w:val="both"/>
        <w:rPr>
          <w:rStyle w:val="Referencingstyle"/>
          <w:b w:val="0"/>
          <w:i w:val="0"/>
          <w:sz w:val="22"/>
        </w:rPr>
      </w:pPr>
      <w:r w:rsidRPr="00AA3F3D">
        <w:rPr>
          <w:noProof/>
        </w:rPr>
        <w:drawing>
          <wp:inline distT="0" distB="0" distL="0" distR="0" wp14:anchorId="2D0E1F17" wp14:editId="58EB4C00">
            <wp:extent cx="4466202" cy="405056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0">
                      <a:extLst>
                        <a:ext uri="{BEBA8EAE-BF5A-486C-A8C5-ECC9F3942E4B}">
                          <a14:imgProps xmlns:a14="http://schemas.microsoft.com/office/drawing/2010/main">
                            <a14:imgLayer r:embed="rId41">
                              <a14:imgEffect>
                                <a14:saturation sat="0"/>
                              </a14:imgEffect>
                            </a14:imgLayer>
                          </a14:imgProps>
                        </a:ext>
                      </a:extLst>
                    </a:blip>
                    <a:srcRect l="3246" t="2895" r="5409" b="5836"/>
                    <a:stretch/>
                  </pic:blipFill>
                  <pic:spPr bwMode="auto">
                    <a:xfrm>
                      <a:off x="0" y="0"/>
                      <a:ext cx="4460797" cy="4045663"/>
                    </a:xfrm>
                    <a:prstGeom prst="rect">
                      <a:avLst/>
                    </a:prstGeom>
                    <a:ln>
                      <a:noFill/>
                    </a:ln>
                    <a:extLst>
                      <a:ext uri="{53640926-AAD7-44D8-BBD7-CCE9431645EC}">
                        <a14:shadowObscured xmlns:a14="http://schemas.microsoft.com/office/drawing/2010/main"/>
                      </a:ext>
                    </a:extLst>
                  </pic:spPr>
                </pic:pic>
              </a:graphicData>
            </a:graphic>
          </wp:inline>
        </w:drawing>
      </w:r>
    </w:p>
    <w:p w14:paraId="4EF50352" w14:textId="3EBEADC6" w:rsidR="005A3D0B" w:rsidRPr="007178B8" w:rsidRDefault="005A3D0B" w:rsidP="00206A14">
      <w:pPr>
        <w:pStyle w:val="Heading4"/>
        <w:rPr>
          <w:b w:val="0"/>
        </w:rPr>
      </w:pPr>
      <w:r w:rsidRPr="007178B8">
        <w:rPr>
          <w:b w:val="0"/>
        </w:rPr>
        <w:t>* Note: The debt is not extinguished in these circumstances.</w:t>
      </w:r>
    </w:p>
    <w:p w14:paraId="56429BDB" w14:textId="4BB9720B" w:rsidR="000951BC" w:rsidRDefault="000951BC" w:rsidP="000951BC">
      <w:pPr>
        <w:pStyle w:val="Heading4"/>
        <w:rPr>
          <w:rStyle w:val="Referencingstyle"/>
          <w:b/>
          <w:i/>
          <w:sz w:val="22"/>
        </w:rPr>
      </w:pPr>
      <w:r>
        <w:rPr>
          <w:rStyle w:val="Referencingstyle"/>
          <w:b/>
          <w:i/>
          <w:sz w:val="22"/>
        </w:rPr>
        <w:t>Voidable transactions</w:t>
      </w:r>
    </w:p>
    <w:p w14:paraId="3B96270F" w14:textId="6686DA1C" w:rsidR="00007FCA" w:rsidRPr="00007FCA" w:rsidRDefault="008D4354" w:rsidP="00711D0C">
      <w:pPr>
        <w:pStyle w:val="base-text-paragraph"/>
        <w:rPr>
          <w:rStyle w:val="Referencingstyle"/>
          <w:b w:val="0"/>
          <w:i w:val="0"/>
          <w:sz w:val="22"/>
        </w:rPr>
      </w:pPr>
      <w:r w:rsidRPr="00007FCA">
        <w:rPr>
          <w:rStyle w:val="Referencingstyle"/>
          <w:b w:val="0"/>
          <w:i w:val="0"/>
          <w:sz w:val="22"/>
        </w:rPr>
        <w:t>The liquidator of the sub-fund may apply to the Court for orders avoiding certain</w:t>
      </w:r>
      <w:r w:rsidR="00894808" w:rsidRPr="00007FCA">
        <w:rPr>
          <w:rStyle w:val="Referencingstyle"/>
          <w:b w:val="0"/>
          <w:i w:val="0"/>
          <w:sz w:val="22"/>
        </w:rPr>
        <w:t xml:space="preserve"> voidable</w:t>
      </w:r>
      <w:r w:rsidRPr="00007FCA">
        <w:rPr>
          <w:rStyle w:val="Referencingstyle"/>
          <w:b w:val="0"/>
          <w:i w:val="0"/>
          <w:sz w:val="22"/>
        </w:rPr>
        <w:t xml:space="preserve"> transactions</w:t>
      </w:r>
      <w:r w:rsidR="00C05B02">
        <w:rPr>
          <w:rStyle w:val="Referencingstyle"/>
          <w:b w:val="0"/>
          <w:i w:val="0"/>
          <w:sz w:val="22"/>
        </w:rPr>
        <w:t xml:space="preserve"> </w:t>
      </w:r>
      <w:r w:rsidRPr="00007FCA">
        <w:rPr>
          <w:rStyle w:val="Referencingstyle"/>
          <w:b w:val="0"/>
          <w:i w:val="0"/>
          <w:sz w:val="22"/>
        </w:rPr>
        <w:t>entered into by the CCIV prior to the sub-fund’s winding up</w:t>
      </w:r>
      <w:r w:rsidR="00894808" w:rsidRPr="00007FCA">
        <w:rPr>
          <w:rStyle w:val="Referencingstyle"/>
          <w:b w:val="0"/>
          <w:i w:val="0"/>
          <w:sz w:val="22"/>
        </w:rPr>
        <w:t xml:space="preserve"> under existing Divisions 1 and 2 of Part 5.7B</w:t>
      </w:r>
      <w:r w:rsidRPr="00007FCA">
        <w:rPr>
          <w:rStyle w:val="Referencingstyle"/>
          <w:b w:val="0"/>
          <w:i w:val="0"/>
          <w:sz w:val="22"/>
        </w:rPr>
        <w:t>.</w:t>
      </w:r>
      <w:r w:rsidR="00894808" w:rsidRPr="00007FCA">
        <w:rPr>
          <w:rStyle w:val="Referencingstyle"/>
          <w:b w:val="0"/>
          <w:i w:val="0"/>
          <w:sz w:val="22"/>
        </w:rPr>
        <w:t xml:space="preserve"> The translation rules apply to these provisions so that they </w:t>
      </w:r>
      <w:r w:rsidR="00007FCA" w:rsidRPr="00007FCA">
        <w:rPr>
          <w:rStyle w:val="Referencingstyle"/>
          <w:b w:val="0"/>
          <w:i w:val="0"/>
          <w:sz w:val="22"/>
        </w:rPr>
        <w:t>operate</w:t>
      </w:r>
      <w:r w:rsidR="00894808" w:rsidRPr="00007FCA">
        <w:rPr>
          <w:rStyle w:val="Referencingstyle"/>
          <w:b w:val="0"/>
          <w:i w:val="0"/>
          <w:sz w:val="22"/>
        </w:rPr>
        <w:t xml:space="preserve"> only to the extent that the transaction affects the assets and liabilities allocated to the su</w:t>
      </w:r>
      <w:r w:rsidR="00007FCA" w:rsidRPr="00007FCA">
        <w:rPr>
          <w:rStyle w:val="Referencingstyle"/>
          <w:b w:val="0"/>
          <w:i w:val="0"/>
          <w:sz w:val="22"/>
        </w:rPr>
        <w:t>b-fund. For a discussion of the translation rules, see paragraph</w:t>
      </w:r>
      <w:r w:rsidR="001A0393">
        <w:rPr>
          <w:rStyle w:val="Referencingstyle"/>
          <w:b w:val="0"/>
          <w:i w:val="0"/>
          <w:sz w:val="22"/>
        </w:rPr>
        <w:t>s</w:t>
      </w:r>
      <w:r w:rsidR="00007FCA" w:rsidRPr="00007FCA">
        <w:rPr>
          <w:rStyle w:val="Referencingstyle"/>
          <w:b w:val="0"/>
          <w:i w:val="0"/>
          <w:sz w:val="22"/>
        </w:rPr>
        <w:t xml:space="preserve"> </w:t>
      </w:r>
      <w:r w:rsidR="001B7374">
        <w:rPr>
          <w:rStyle w:val="Referencingstyle"/>
          <w:b w:val="0"/>
          <w:i w:val="0"/>
          <w:sz w:val="22"/>
        </w:rPr>
        <w:fldChar w:fldCharType="begin"/>
      </w:r>
      <w:r w:rsidR="001B7374">
        <w:rPr>
          <w:rStyle w:val="Referencingstyle"/>
          <w:b w:val="0"/>
          <w:i w:val="0"/>
          <w:sz w:val="22"/>
        </w:rPr>
        <w:instrText xml:space="preserve"> REF _Ref522519915 \r \h </w:instrText>
      </w:r>
      <w:r w:rsidR="001B7374">
        <w:rPr>
          <w:rStyle w:val="Referencingstyle"/>
          <w:b w:val="0"/>
          <w:i w:val="0"/>
          <w:sz w:val="22"/>
        </w:rPr>
      </w:r>
      <w:r w:rsidR="001B7374">
        <w:rPr>
          <w:rStyle w:val="Referencingstyle"/>
          <w:b w:val="0"/>
          <w:i w:val="0"/>
          <w:sz w:val="22"/>
        </w:rPr>
        <w:fldChar w:fldCharType="separate"/>
      </w:r>
      <w:r w:rsidR="00275132">
        <w:rPr>
          <w:rStyle w:val="Referencingstyle"/>
          <w:b w:val="0"/>
          <w:i w:val="0"/>
          <w:sz w:val="22"/>
        </w:rPr>
        <w:t>3.13</w:t>
      </w:r>
      <w:r w:rsidR="001B7374">
        <w:rPr>
          <w:rStyle w:val="Referencingstyle"/>
          <w:b w:val="0"/>
          <w:i w:val="0"/>
          <w:sz w:val="22"/>
        </w:rPr>
        <w:fldChar w:fldCharType="end"/>
      </w:r>
      <w:r w:rsidR="001A0393">
        <w:rPr>
          <w:rStyle w:val="Referencingstyle"/>
          <w:b w:val="0"/>
          <w:i w:val="0"/>
          <w:sz w:val="22"/>
        </w:rPr>
        <w:t xml:space="preserve"> to </w:t>
      </w:r>
      <w:r w:rsidR="001A0393">
        <w:rPr>
          <w:rStyle w:val="Referencingstyle"/>
          <w:b w:val="0"/>
          <w:i w:val="0"/>
          <w:sz w:val="22"/>
        </w:rPr>
        <w:fldChar w:fldCharType="begin"/>
      </w:r>
      <w:r w:rsidR="001A0393">
        <w:rPr>
          <w:rStyle w:val="Referencingstyle"/>
          <w:b w:val="0"/>
          <w:i w:val="0"/>
          <w:sz w:val="22"/>
        </w:rPr>
        <w:instrText xml:space="preserve"> REF _Ref522519921 \r \h </w:instrText>
      </w:r>
      <w:r w:rsidR="001A0393">
        <w:rPr>
          <w:rStyle w:val="Referencingstyle"/>
          <w:b w:val="0"/>
          <w:i w:val="0"/>
          <w:sz w:val="22"/>
        </w:rPr>
      </w:r>
      <w:r w:rsidR="001A0393">
        <w:rPr>
          <w:rStyle w:val="Referencingstyle"/>
          <w:b w:val="0"/>
          <w:i w:val="0"/>
          <w:sz w:val="22"/>
        </w:rPr>
        <w:fldChar w:fldCharType="separate"/>
      </w:r>
      <w:r w:rsidR="00275132">
        <w:rPr>
          <w:rStyle w:val="Referencingstyle"/>
          <w:b w:val="0"/>
          <w:i w:val="0"/>
          <w:sz w:val="22"/>
        </w:rPr>
        <w:t>3.40</w:t>
      </w:r>
      <w:r w:rsidR="001A0393">
        <w:rPr>
          <w:rStyle w:val="Referencingstyle"/>
          <w:b w:val="0"/>
          <w:i w:val="0"/>
          <w:sz w:val="22"/>
        </w:rPr>
        <w:fldChar w:fldCharType="end"/>
      </w:r>
      <w:r w:rsidR="00007FCA" w:rsidRPr="00007FCA">
        <w:rPr>
          <w:rStyle w:val="Referencingstyle"/>
          <w:b w:val="0"/>
          <w:i w:val="0"/>
          <w:sz w:val="22"/>
        </w:rPr>
        <w:t>.</w:t>
      </w:r>
      <w:r w:rsidR="00007FCA">
        <w:rPr>
          <w:rStyle w:val="Referencingstyle"/>
          <w:b w:val="0"/>
          <w:i w:val="0"/>
          <w:sz w:val="22"/>
        </w:rPr>
        <w:t xml:space="preserve"> </w:t>
      </w:r>
      <w:r w:rsidR="00007FCA">
        <w:rPr>
          <w:rStyle w:val="Referencingstyle"/>
        </w:rPr>
        <w:t>[Schedule </w:t>
      </w:r>
      <w:r w:rsidR="00BC0E5B">
        <w:rPr>
          <w:rStyle w:val="Referencingstyle"/>
        </w:rPr>
        <w:t>2</w:t>
      </w:r>
      <w:r w:rsidR="00007FCA">
        <w:rPr>
          <w:rStyle w:val="Referencingstyle"/>
        </w:rPr>
        <w:t xml:space="preserve">, item </w:t>
      </w:r>
      <w:r w:rsidR="00BC0E5B">
        <w:rPr>
          <w:rStyle w:val="Referencingstyle"/>
        </w:rPr>
        <w:t>1</w:t>
      </w:r>
      <w:r w:rsidR="00007FCA">
        <w:rPr>
          <w:rStyle w:val="Referencingstyle"/>
        </w:rPr>
        <w:t xml:space="preserve">, </w:t>
      </w:r>
      <w:r w:rsidR="005021E2">
        <w:rPr>
          <w:rStyle w:val="Referencingstyle"/>
        </w:rPr>
        <w:t>section</w:t>
      </w:r>
      <w:r w:rsidR="0028473D">
        <w:rPr>
          <w:rStyle w:val="Referencingstyle"/>
        </w:rPr>
        <w:t xml:space="preserve"> </w:t>
      </w:r>
      <w:r w:rsidR="00BC0E5B">
        <w:rPr>
          <w:rStyle w:val="Referencingstyle"/>
        </w:rPr>
        <w:t>12-105</w:t>
      </w:r>
      <w:r w:rsidR="005C3EA0">
        <w:rPr>
          <w:rStyle w:val="Referencingstyle"/>
        </w:rPr>
        <w:t xml:space="preserve">, Schedule 2, item </w:t>
      </w:r>
      <w:r w:rsidR="00BC0E5B">
        <w:rPr>
          <w:rStyle w:val="Referencingstyle"/>
        </w:rPr>
        <w:t>24</w:t>
      </w:r>
      <w:r w:rsidR="005C3EA0">
        <w:rPr>
          <w:rStyle w:val="Referencingstyle"/>
        </w:rPr>
        <w:t>, note to Part 5.7B</w:t>
      </w:r>
      <w:r w:rsidR="00007FCA">
        <w:rPr>
          <w:rStyle w:val="Referencingstyle"/>
        </w:rPr>
        <w:t>]</w:t>
      </w:r>
    </w:p>
    <w:p w14:paraId="0D6D0394" w14:textId="3FDA0910" w:rsidR="00C05B02" w:rsidRDefault="001A0393" w:rsidP="00711D0C">
      <w:pPr>
        <w:pStyle w:val="base-text-paragraph"/>
        <w:rPr>
          <w:rStyle w:val="Referencingstyle"/>
          <w:b w:val="0"/>
          <w:i w:val="0"/>
          <w:sz w:val="22"/>
        </w:rPr>
      </w:pPr>
      <w:r>
        <w:rPr>
          <w:rStyle w:val="Referencingstyle"/>
          <w:b w:val="0"/>
          <w:i w:val="0"/>
          <w:sz w:val="22"/>
        </w:rPr>
        <w:t>V</w:t>
      </w:r>
      <w:r w:rsidR="00C05B02">
        <w:rPr>
          <w:rStyle w:val="Referencingstyle"/>
          <w:b w:val="0"/>
          <w:i w:val="0"/>
          <w:sz w:val="22"/>
        </w:rPr>
        <w:t xml:space="preserve">oidable transactions </w:t>
      </w:r>
      <w:r w:rsidR="00944610">
        <w:rPr>
          <w:rStyle w:val="Referencingstyle"/>
          <w:b w:val="0"/>
          <w:i w:val="0"/>
          <w:sz w:val="22"/>
        </w:rPr>
        <w:t>c</w:t>
      </w:r>
      <w:r w:rsidR="00C05B02">
        <w:rPr>
          <w:rStyle w:val="Referencingstyle"/>
          <w:b w:val="0"/>
          <w:i w:val="0"/>
          <w:sz w:val="22"/>
        </w:rPr>
        <w:t xml:space="preserve">onsist of insolvent transactions, unfair loans and unreasonable director-related transactions (see </w:t>
      </w:r>
      <w:r w:rsidR="00944610">
        <w:rPr>
          <w:rStyle w:val="Referencingstyle"/>
          <w:b w:val="0"/>
          <w:i w:val="0"/>
          <w:sz w:val="22"/>
        </w:rPr>
        <w:t xml:space="preserve">Divisions 1 and 2 of Part 5.7B of the </w:t>
      </w:r>
      <w:r w:rsidR="00C05B02">
        <w:rPr>
          <w:rStyle w:val="Referencingstyle"/>
          <w:b w:val="0"/>
          <w:i w:val="0"/>
          <w:sz w:val="22"/>
        </w:rPr>
        <w:t xml:space="preserve">existing </w:t>
      </w:r>
      <w:r w:rsidR="00944610">
        <w:rPr>
          <w:rStyle w:val="Referencingstyle"/>
          <w:b w:val="0"/>
          <w:i w:val="0"/>
          <w:sz w:val="22"/>
        </w:rPr>
        <w:t>law</w:t>
      </w:r>
      <w:r w:rsidR="00C05B02">
        <w:rPr>
          <w:rStyle w:val="Referencingstyle"/>
          <w:b w:val="0"/>
          <w:i w:val="0"/>
          <w:sz w:val="22"/>
        </w:rPr>
        <w:t>). Two bespoke modifications are made to these concepts in the context of CCIVs.</w:t>
      </w:r>
    </w:p>
    <w:p w14:paraId="4ED7312C" w14:textId="18861C79" w:rsidR="00007FCA" w:rsidRPr="00C05B02" w:rsidRDefault="00C05B02" w:rsidP="00711D0C">
      <w:pPr>
        <w:pStyle w:val="base-text-paragraph"/>
        <w:rPr>
          <w:rStyle w:val="Referencingstyle"/>
          <w:b w:val="0"/>
          <w:i w:val="0"/>
          <w:sz w:val="22"/>
        </w:rPr>
      </w:pPr>
      <w:r>
        <w:rPr>
          <w:rStyle w:val="Referencingstyle"/>
          <w:b w:val="0"/>
          <w:i w:val="0"/>
          <w:sz w:val="22"/>
        </w:rPr>
        <w:t>First, f</w:t>
      </w:r>
      <w:r w:rsidR="000951BC">
        <w:rPr>
          <w:rStyle w:val="Referencingstyle"/>
          <w:b w:val="0"/>
          <w:i w:val="0"/>
          <w:sz w:val="22"/>
        </w:rPr>
        <w:t xml:space="preserve">or the purposes of </w:t>
      </w:r>
      <w:r w:rsidR="00E432EE">
        <w:rPr>
          <w:rStyle w:val="Referencingstyle"/>
          <w:b w:val="0"/>
          <w:i w:val="0"/>
          <w:sz w:val="22"/>
        </w:rPr>
        <w:t>determining whether a transaction is an ‘insolvent transaction’, the company is presumed to be insolvent if the financial records of either the CCIV or the sub-fund are missing</w:t>
      </w:r>
      <w:r w:rsidR="008A7153">
        <w:rPr>
          <w:rStyle w:val="Referencingstyle"/>
          <w:b w:val="0"/>
          <w:i w:val="0"/>
          <w:sz w:val="22"/>
        </w:rPr>
        <w:t xml:space="preserve">. </w:t>
      </w:r>
      <w:r>
        <w:rPr>
          <w:rStyle w:val="Referencingstyle"/>
        </w:rPr>
        <w:t>[Schedule </w:t>
      </w:r>
      <w:r w:rsidR="00BC0E5B">
        <w:rPr>
          <w:rStyle w:val="Referencingstyle"/>
        </w:rPr>
        <w:t>2</w:t>
      </w:r>
      <w:r>
        <w:rPr>
          <w:rStyle w:val="Referencingstyle"/>
        </w:rPr>
        <w:t xml:space="preserve">, item </w:t>
      </w:r>
      <w:r w:rsidR="00BC0E5B">
        <w:rPr>
          <w:rStyle w:val="Referencingstyle"/>
        </w:rPr>
        <w:t>1</w:t>
      </w:r>
      <w:r>
        <w:rPr>
          <w:rStyle w:val="Referencingstyle"/>
        </w:rPr>
        <w:t xml:space="preserve">, section </w:t>
      </w:r>
      <w:r w:rsidR="00BC0E5B">
        <w:rPr>
          <w:rStyle w:val="Referencingstyle"/>
        </w:rPr>
        <w:t>12</w:t>
      </w:r>
      <w:r>
        <w:rPr>
          <w:rStyle w:val="Referencingstyle"/>
        </w:rPr>
        <w:t>-20</w:t>
      </w:r>
      <w:r w:rsidR="00BC0E5B">
        <w:rPr>
          <w:rStyle w:val="Referencingstyle"/>
        </w:rPr>
        <w:t>4</w:t>
      </w:r>
      <w:r>
        <w:rPr>
          <w:rStyle w:val="Referencingstyle"/>
        </w:rPr>
        <w:t>]</w:t>
      </w:r>
    </w:p>
    <w:p w14:paraId="691E1460" w14:textId="25A73FFC" w:rsidR="00C05B02" w:rsidRPr="00111880" w:rsidRDefault="00C05B02" w:rsidP="00711D0C">
      <w:pPr>
        <w:pStyle w:val="base-text-paragraph"/>
        <w:rPr>
          <w:rStyle w:val="Referencingstyle"/>
          <w:b w:val="0"/>
          <w:i w:val="0"/>
          <w:sz w:val="22"/>
        </w:rPr>
      </w:pPr>
      <w:r w:rsidRPr="00AA3F3D">
        <w:rPr>
          <w:rStyle w:val="Referencingstyle"/>
          <w:b w:val="0"/>
          <w:i w:val="0"/>
          <w:sz w:val="22"/>
        </w:rPr>
        <w:t xml:space="preserve">Second, ‘unreasonable director-related transactions’ include </w:t>
      </w:r>
      <w:r w:rsidR="005B0097" w:rsidRPr="00AA3F3D">
        <w:rPr>
          <w:rStyle w:val="Referencingstyle"/>
          <w:b w:val="0"/>
          <w:i w:val="0"/>
          <w:sz w:val="22"/>
        </w:rPr>
        <w:t xml:space="preserve">certain </w:t>
      </w:r>
      <w:r w:rsidRPr="00AA3F3D">
        <w:rPr>
          <w:rStyle w:val="Referencingstyle"/>
          <w:b w:val="0"/>
          <w:i w:val="0"/>
          <w:sz w:val="22"/>
        </w:rPr>
        <w:t>payments, dispositions and issues made to either the corporate director or a natural person director of the corporate director</w:t>
      </w:r>
      <w:r w:rsidR="005B0097" w:rsidRPr="00AA3F3D">
        <w:rPr>
          <w:rStyle w:val="Referencingstyle"/>
          <w:b w:val="0"/>
          <w:i w:val="0"/>
          <w:sz w:val="22"/>
        </w:rPr>
        <w:t xml:space="preserve"> (or their associates or persons acting on their behalf)</w:t>
      </w:r>
      <w:r w:rsidRPr="00AA3F3D">
        <w:rPr>
          <w:rStyle w:val="Referencingstyle"/>
          <w:b w:val="0"/>
          <w:i w:val="0"/>
          <w:sz w:val="22"/>
        </w:rPr>
        <w:t>.</w:t>
      </w:r>
      <w:r w:rsidRPr="00AA3F3D">
        <w:rPr>
          <w:rStyle w:val="Referencingstyle"/>
        </w:rPr>
        <w:t xml:space="preserve"> [Schedule </w:t>
      </w:r>
      <w:r w:rsidR="00BC0E5B">
        <w:rPr>
          <w:rStyle w:val="Referencingstyle"/>
        </w:rPr>
        <w:t>2</w:t>
      </w:r>
      <w:r w:rsidRPr="00AA3F3D">
        <w:rPr>
          <w:rStyle w:val="Referencingstyle"/>
        </w:rPr>
        <w:t xml:space="preserve">, item </w:t>
      </w:r>
      <w:r w:rsidR="00BC0E5B">
        <w:rPr>
          <w:rStyle w:val="Referencingstyle"/>
        </w:rPr>
        <w:t>1</w:t>
      </w:r>
      <w:r w:rsidRPr="00AA3F3D">
        <w:rPr>
          <w:rStyle w:val="Referencingstyle"/>
        </w:rPr>
        <w:t xml:space="preserve">, section </w:t>
      </w:r>
      <w:r w:rsidR="00BC0E5B">
        <w:rPr>
          <w:rStyle w:val="Referencingstyle"/>
        </w:rPr>
        <w:t>12</w:t>
      </w:r>
      <w:r w:rsidRPr="00AA3F3D">
        <w:rPr>
          <w:rStyle w:val="Referencingstyle"/>
        </w:rPr>
        <w:t>-2</w:t>
      </w:r>
      <w:r w:rsidR="00BC0E5B">
        <w:rPr>
          <w:rStyle w:val="Referencingstyle"/>
        </w:rPr>
        <w:t>45</w:t>
      </w:r>
      <w:r w:rsidRPr="00AA3F3D">
        <w:rPr>
          <w:rStyle w:val="Referencingstyle"/>
        </w:rPr>
        <w:t>]</w:t>
      </w:r>
    </w:p>
    <w:p w14:paraId="2F66C8AA" w14:textId="418FAC82" w:rsidR="0046099B" w:rsidRPr="00AA3F3D" w:rsidRDefault="0046099B" w:rsidP="00AA3F3D">
      <w:pPr>
        <w:pStyle w:val="base-text-paragraph"/>
        <w:numPr>
          <w:ilvl w:val="0"/>
          <w:numId w:val="0"/>
        </w:numPr>
        <w:ind w:left="1134"/>
        <w:rPr>
          <w:rStyle w:val="Referencingstyle"/>
          <w:i w:val="0"/>
          <w:sz w:val="22"/>
        </w:rPr>
      </w:pPr>
      <w:r w:rsidRPr="0046099B">
        <w:rPr>
          <w:rStyle w:val="Referencingstyle"/>
          <w:sz w:val="22"/>
        </w:rPr>
        <w:t xml:space="preserve">Vesting of PPSA </w:t>
      </w:r>
      <w:r w:rsidR="002C6F95">
        <w:rPr>
          <w:rStyle w:val="Referencingstyle"/>
          <w:sz w:val="22"/>
        </w:rPr>
        <w:t>s</w:t>
      </w:r>
      <w:r w:rsidRPr="00AA3F3D">
        <w:rPr>
          <w:rStyle w:val="Referencingstyle"/>
          <w:sz w:val="22"/>
        </w:rPr>
        <w:t xml:space="preserve">ecurity </w:t>
      </w:r>
      <w:r w:rsidR="002C6F95">
        <w:rPr>
          <w:rStyle w:val="Referencingstyle"/>
          <w:sz w:val="22"/>
        </w:rPr>
        <w:t>i</w:t>
      </w:r>
      <w:r w:rsidRPr="00AA3F3D">
        <w:rPr>
          <w:rStyle w:val="Referencingstyle"/>
          <w:sz w:val="22"/>
        </w:rPr>
        <w:t>nterests that are not continuously perfected</w:t>
      </w:r>
    </w:p>
    <w:p w14:paraId="3EAD3C30" w14:textId="77777777" w:rsidR="00EC512D" w:rsidRPr="00AA3F3D" w:rsidRDefault="004B3C41" w:rsidP="00AA3F3D">
      <w:pPr>
        <w:pStyle w:val="base-text-paragraph"/>
        <w:numPr>
          <w:ilvl w:val="1"/>
          <w:numId w:val="4"/>
        </w:numPr>
        <w:rPr>
          <w:rStyle w:val="Referencingstyle"/>
        </w:rPr>
      </w:pPr>
      <w:r w:rsidRPr="00AA3F3D">
        <w:rPr>
          <w:rStyle w:val="Referencingstyle"/>
          <w:b w:val="0"/>
          <w:i w:val="0"/>
          <w:sz w:val="22"/>
        </w:rPr>
        <w:t>If a PPSA security interest in the collateral of assets of a sub-fund is not registered within time, the PPSA security interest vests in the CCIV.</w:t>
      </w:r>
      <w:r w:rsidRPr="00AA3F3D">
        <w:rPr>
          <w:rStyle w:val="FootnoteReference"/>
        </w:rPr>
        <w:footnoteReference w:id="7"/>
      </w:r>
      <w:r w:rsidR="00EC512D" w:rsidRPr="00AA3F3D">
        <w:rPr>
          <w:rStyle w:val="Referencingstyle"/>
          <w:b w:val="0"/>
          <w:i w:val="0"/>
          <w:sz w:val="22"/>
        </w:rPr>
        <w:t xml:space="preserve"> This achieves the same effect as existing section 588FL but recognises that:</w:t>
      </w:r>
    </w:p>
    <w:p w14:paraId="476911F6" w14:textId="1C4E6F88" w:rsidR="00EC512D" w:rsidRPr="00AA3F3D" w:rsidRDefault="00EC512D" w:rsidP="00AA3F3D">
      <w:pPr>
        <w:pStyle w:val="dotpoint"/>
        <w:rPr>
          <w:rStyle w:val="Referencingstyle"/>
        </w:rPr>
      </w:pPr>
      <w:r w:rsidRPr="00AA3F3D">
        <w:rPr>
          <w:rStyle w:val="Referencingstyle"/>
          <w:b w:val="0"/>
          <w:i w:val="0"/>
          <w:sz w:val="22"/>
        </w:rPr>
        <w:t xml:space="preserve">the PPSA security interest is granted by the CCIV which is the legal person; </w:t>
      </w:r>
      <w:r w:rsidR="00A77108">
        <w:rPr>
          <w:rStyle w:val="Referencingstyle"/>
          <w:b w:val="0"/>
          <w:i w:val="0"/>
          <w:sz w:val="22"/>
        </w:rPr>
        <w:t>and</w:t>
      </w:r>
    </w:p>
    <w:p w14:paraId="2903E7D1" w14:textId="5FE0A226" w:rsidR="004B3C41" w:rsidRPr="00AA3F3D" w:rsidRDefault="005C2E0D" w:rsidP="00AA3F3D">
      <w:pPr>
        <w:pStyle w:val="dotpoint"/>
        <w:rPr>
          <w:rStyle w:val="Referencingstyle"/>
        </w:rPr>
      </w:pPr>
      <w:r w:rsidRPr="00AA3F3D">
        <w:rPr>
          <w:rStyle w:val="Referencingstyle"/>
          <w:b w:val="0"/>
          <w:i w:val="0"/>
          <w:sz w:val="22"/>
        </w:rPr>
        <w:t xml:space="preserve">the winding-up provisions operate at the sub-fund level and the assets to which the security interest attach </w:t>
      </w:r>
      <w:r w:rsidR="00310AA0" w:rsidRPr="00AA3F3D">
        <w:rPr>
          <w:rStyle w:val="Referencingstyle"/>
          <w:b w:val="0"/>
          <w:i w:val="0"/>
          <w:sz w:val="22"/>
        </w:rPr>
        <w:t>are</w:t>
      </w:r>
      <w:r w:rsidRPr="00AA3F3D">
        <w:rPr>
          <w:rStyle w:val="Referencingstyle"/>
          <w:b w:val="0"/>
          <w:i w:val="0"/>
          <w:sz w:val="22"/>
        </w:rPr>
        <w:t xml:space="preserve"> allocated to sub-fund</w:t>
      </w:r>
      <w:r w:rsidR="00310AA0" w:rsidRPr="00AA3F3D">
        <w:rPr>
          <w:rStyle w:val="Referencingstyle"/>
          <w:b w:val="0"/>
          <w:i w:val="0"/>
          <w:sz w:val="22"/>
        </w:rPr>
        <w:t>s</w:t>
      </w:r>
      <w:r w:rsidRPr="00AA3F3D">
        <w:rPr>
          <w:rStyle w:val="Referencingstyle"/>
          <w:b w:val="0"/>
          <w:i w:val="0"/>
          <w:sz w:val="22"/>
        </w:rPr>
        <w:t>.</w:t>
      </w:r>
    </w:p>
    <w:p w14:paraId="4866D195" w14:textId="478997E9" w:rsidR="005C2E0D" w:rsidRPr="00AA3F3D" w:rsidRDefault="005C2E0D" w:rsidP="00AA3F3D">
      <w:pPr>
        <w:pStyle w:val="dotpoint"/>
        <w:numPr>
          <w:ilvl w:val="0"/>
          <w:numId w:val="0"/>
        </w:numPr>
        <w:ind w:left="2268"/>
        <w:rPr>
          <w:rStyle w:val="Referencingstyle"/>
        </w:rPr>
      </w:pPr>
      <w:r w:rsidRPr="00310AA0">
        <w:rPr>
          <w:rStyle w:val="Referencingstyle"/>
        </w:rPr>
        <w:t>[Schedule </w:t>
      </w:r>
      <w:r w:rsidR="00FF0D8D">
        <w:rPr>
          <w:rStyle w:val="Referencingstyle"/>
        </w:rPr>
        <w:t>2</w:t>
      </w:r>
      <w:r w:rsidRPr="00310AA0">
        <w:rPr>
          <w:rStyle w:val="Referencingstyle"/>
        </w:rPr>
        <w:t xml:space="preserve">, item </w:t>
      </w:r>
      <w:r w:rsidR="00FF0D8D">
        <w:rPr>
          <w:rStyle w:val="Referencingstyle"/>
        </w:rPr>
        <w:t>1</w:t>
      </w:r>
      <w:r w:rsidRPr="00310AA0">
        <w:rPr>
          <w:rStyle w:val="Referencingstyle"/>
        </w:rPr>
        <w:t xml:space="preserve">, section </w:t>
      </w:r>
      <w:r w:rsidR="00FF0D8D">
        <w:rPr>
          <w:rStyle w:val="Referencingstyle"/>
        </w:rPr>
        <w:t>12-250</w:t>
      </w:r>
      <w:r w:rsidRPr="00310AA0">
        <w:rPr>
          <w:rStyle w:val="Referencingstyle"/>
        </w:rPr>
        <w:t>]</w:t>
      </w:r>
    </w:p>
    <w:p w14:paraId="2745914E" w14:textId="7200160C" w:rsidR="005C2E0D" w:rsidRPr="00310AA0" w:rsidRDefault="005C2E0D" w:rsidP="005C2E0D">
      <w:pPr>
        <w:pStyle w:val="base-text-paragraph"/>
        <w:rPr>
          <w:rStyle w:val="Referencingstyle"/>
        </w:rPr>
      </w:pPr>
      <w:r w:rsidRPr="00310AA0">
        <w:rPr>
          <w:rStyle w:val="Referencingstyle"/>
          <w:b w:val="0"/>
          <w:i w:val="0"/>
          <w:sz w:val="22"/>
        </w:rPr>
        <w:t xml:space="preserve">Consequential amendments are also made to section 267 of the </w:t>
      </w:r>
      <w:r w:rsidR="000F719A">
        <w:rPr>
          <w:rStyle w:val="Referencingstyle"/>
          <w:b w:val="0"/>
          <w:i w:val="0"/>
          <w:sz w:val="22"/>
        </w:rPr>
        <w:t xml:space="preserve">PPSA </w:t>
      </w:r>
      <w:r w:rsidRPr="00310AA0">
        <w:rPr>
          <w:rStyle w:val="Referencingstyle"/>
          <w:b w:val="0"/>
          <w:i w:val="0"/>
          <w:sz w:val="22"/>
        </w:rPr>
        <w:t xml:space="preserve">to vest security interests in the CCIV if the security </w:t>
      </w:r>
      <w:r w:rsidR="00310AA0" w:rsidRPr="00310AA0">
        <w:rPr>
          <w:rStyle w:val="Referencingstyle"/>
          <w:b w:val="0"/>
          <w:i w:val="0"/>
          <w:sz w:val="22"/>
        </w:rPr>
        <w:t xml:space="preserve">interest </w:t>
      </w:r>
      <w:r w:rsidRPr="00310AA0">
        <w:rPr>
          <w:rStyle w:val="Referencingstyle"/>
          <w:b w:val="0"/>
          <w:i w:val="0"/>
          <w:sz w:val="22"/>
        </w:rPr>
        <w:t>is not perfected by the time when the winding</w:t>
      </w:r>
      <w:r w:rsidR="00310AA0" w:rsidRPr="00310AA0">
        <w:rPr>
          <w:rStyle w:val="Referencingstyle"/>
          <w:b w:val="0"/>
          <w:i w:val="0"/>
          <w:sz w:val="22"/>
        </w:rPr>
        <w:t xml:space="preserve"> up of the sub-fund</w:t>
      </w:r>
      <w:r w:rsidRPr="00310AA0">
        <w:rPr>
          <w:rStyle w:val="Referencingstyle"/>
          <w:b w:val="0"/>
          <w:i w:val="0"/>
          <w:sz w:val="22"/>
        </w:rPr>
        <w:t xml:space="preserve"> commences. </w:t>
      </w:r>
      <w:r w:rsidRPr="00310AA0">
        <w:rPr>
          <w:rStyle w:val="Referencingstyle"/>
        </w:rPr>
        <w:t xml:space="preserve">[Schedule </w:t>
      </w:r>
      <w:r w:rsidR="00FF0D8D">
        <w:rPr>
          <w:rStyle w:val="Referencingstyle"/>
        </w:rPr>
        <w:t>2</w:t>
      </w:r>
      <w:r w:rsidRPr="00310AA0">
        <w:rPr>
          <w:rStyle w:val="Referencingstyle"/>
        </w:rPr>
        <w:t xml:space="preserve">, item </w:t>
      </w:r>
      <w:r w:rsidR="00FF0D8D">
        <w:rPr>
          <w:rStyle w:val="Referencingstyle"/>
        </w:rPr>
        <w:t>31</w:t>
      </w:r>
      <w:r w:rsidRPr="00310AA0">
        <w:rPr>
          <w:rStyle w:val="Referencingstyle"/>
        </w:rPr>
        <w:t xml:space="preserve">, section </w:t>
      </w:r>
      <w:r w:rsidR="00310AA0" w:rsidRPr="00310AA0">
        <w:rPr>
          <w:rStyle w:val="Referencingstyle"/>
        </w:rPr>
        <w:t>267</w:t>
      </w:r>
      <w:r w:rsidR="000F719A">
        <w:rPr>
          <w:rStyle w:val="Referencingstyle"/>
        </w:rPr>
        <w:t xml:space="preserve"> of the PPSA</w:t>
      </w:r>
      <w:r w:rsidRPr="00310AA0">
        <w:rPr>
          <w:rStyle w:val="Referencingstyle"/>
        </w:rPr>
        <w:t>]</w:t>
      </w:r>
    </w:p>
    <w:p w14:paraId="09E5B02E" w14:textId="096BDCD8" w:rsidR="0046099B" w:rsidRPr="00AA3F3D" w:rsidRDefault="005C2E0D" w:rsidP="00AA3F3D">
      <w:pPr>
        <w:pStyle w:val="base-text-paragraph"/>
        <w:numPr>
          <w:ilvl w:val="1"/>
          <w:numId w:val="4"/>
        </w:numPr>
        <w:rPr>
          <w:rStyle w:val="Referencingstyle"/>
        </w:rPr>
      </w:pPr>
      <w:r w:rsidRPr="00AA3F3D">
        <w:rPr>
          <w:rStyle w:val="Referencingstyle"/>
          <w:b w:val="0"/>
          <w:i w:val="0"/>
          <w:sz w:val="22"/>
        </w:rPr>
        <w:t>Other provisions in Division 2A also operate at the sub-fund level and must be read in accordance with the translation rules</w:t>
      </w:r>
      <w:r w:rsidR="004B3C41" w:rsidRPr="00AA3F3D">
        <w:rPr>
          <w:rStyle w:val="Referencingstyle"/>
          <w:b w:val="0"/>
          <w:i w:val="0"/>
          <w:sz w:val="22"/>
        </w:rPr>
        <w:t>.</w:t>
      </w:r>
      <w:r w:rsidRPr="00AA3F3D">
        <w:rPr>
          <w:rStyle w:val="Referencingstyle"/>
          <w:b w:val="0"/>
          <w:i w:val="0"/>
          <w:sz w:val="22"/>
        </w:rPr>
        <w:t xml:space="preserve"> For a discussion of the translation rules, see</w:t>
      </w:r>
      <w:r w:rsidR="00FF0D8D">
        <w:rPr>
          <w:rStyle w:val="Referencingstyle"/>
          <w:b w:val="0"/>
          <w:i w:val="0"/>
          <w:sz w:val="22"/>
        </w:rPr>
        <w:t> </w:t>
      </w:r>
      <w:r w:rsidRPr="00AA3F3D">
        <w:rPr>
          <w:rStyle w:val="Referencingstyle"/>
          <w:b w:val="0"/>
          <w:i w:val="0"/>
          <w:sz w:val="22"/>
        </w:rPr>
        <w:t>paragraphs</w:t>
      </w:r>
      <w:r w:rsidR="0046099B" w:rsidRPr="00AA3F3D">
        <w:rPr>
          <w:rStyle w:val="Referencingstyle"/>
          <w:b w:val="0"/>
          <w:i w:val="0"/>
          <w:sz w:val="22"/>
        </w:rPr>
        <w:t xml:space="preserve"> </w:t>
      </w:r>
      <w:r w:rsidRPr="00310AA0">
        <w:rPr>
          <w:rStyle w:val="Referencingstyle"/>
          <w:b w:val="0"/>
          <w:i w:val="0"/>
          <w:sz w:val="22"/>
        </w:rPr>
        <w:fldChar w:fldCharType="begin"/>
      </w:r>
      <w:r w:rsidRPr="00310AA0">
        <w:rPr>
          <w:rStyle w:val="Referencingstyle"/>
          <w:b w:val="0"/>
          <w:i w:val="0"/>
          <w:sz w:val="22"/>
        </w:rPr>
        <w:instrText xml:space="preserve"> REF _Ref522519915 \r \h </w:instrText>
      </w:r>
      <w:r w:rsidR="00310AA0">
        <w:rPr>
          <w:rStyle w:val="Referencingstyle"/>
          <w:b w:val="0"/>
          <w:i w:val="0"/>
          <w:sz w:val="22"/>
        </w:rPr>
        <w:instrText xml:space="preserve"> \* MERGEFORMAT </w:instrText>
      </w:r>
      <w:r w:rsidRPr="00310AA0">
        <w:rPr>
          <w:rStyle w:val="Referencingstyle"/>
          <w:b w:val="0"/>
          <w:i w:val="0"/>
          <w:sz w:val="22"/>
        </w:rPr>
      </w:r>
      <w:r w:rsidRPr="00310AA0">
        <w:rPr>
          <w:rStyle w:val="Referencingstyle"/>
          <w:b w:val="0"/>
          <w:i w:val="0"/>
          <w:sz w:val="22"/>
        </w:rPr>
        <w:fldChar w:fldCharType="separate"/>
      </w:r>
      <w:r w:rsidR="00275132">
        <w:rPr>
          <w:rStyle w:val="Referencingstyle"/>
          <w:b w:val="0"/>
          <w:i w:val="0"/>
          <w:sz w:val="22"/>
        </w:rPr>
        <w:t>3.13</w:t>
      </w:r>
      <w:r w:rsidRPr="00310AA0">
        <w:rPr>
          <w:rStyle w:val="Referencingstyle"/>
          <w:b w:val="0"/>
          <w:i w:val="0"/>
          <w:sz w:val="22"/>
        </w:rPr>
        <w:fldChar w:fldCharType="end"/>
      </w:r>
      <w:r w:rsidRPr="00310AA0">
        <w:rPr>
          <w:rStyle w:val="Referencingstyle"/>
          <w:b w:val="0"/>
          <w:i w:val="0"/>
          <w:sz w:val="22"/>
        </w:rPr>
        <w:t xml:space="preserve"> to </w:t>
      </w:r>
      <w:r w:rsidRPr="00310AA0">
        <w:rPr>
          <w:rStyle w:val="Referencingstyle"/>
          <w:b w:val="0"/>
          <w:i w:val="0"/>
          <w:sz w:val="22"/>
        </w:rPr>
        <w:fldChar w:fldCharType="begin"/>
      </w:r>
      <w:r w:rsidRPr="00310AA0">
        <w:rPr>
          <w:rStyle w:val="Referencingstyle"/>
          <w:b w:val="0"/>
          <w:i w:val="0"/>
          <w:sz w:val="22"/>
        </w:rPr>
        <w:instrText xml:space="preserve"> REF _Ref522519921 \r \h </w:instrText>
      </w:r>
      <w:r w:rsidR="00310AA0">
        <w:rPr>
          <w:rStyle w:val="Referencingstyle"/>
          <w:b w:val="0"/>
          <w:i w:val="0"/>
          <w:sz w:val="22"/>
        </w:rPr>
        <w:instrText xml:space="preserve"> \* MERGEFORMAT </w:instrText>
      </w:r>
      <w:r w:rsidRPr="00310AA0">
        <w:rPr>
          <w:rStyle w:val="Referencingstyle"/>
          <w:b w:val="0"/>
          <w:i w:val="0"/>
          <w:sz w:val="22"/>
        </w:rPr>
      </w:r>
      <w:r w:rsidRPr="00310AA0">
        <w:rPr>
          <w:rStyle w:val="Referencingstyle"/>
          <w:b w:val="0"/>
          <w:i w:val="0"/>
          <w:sz w:val="22"/>
        </w:rPr>
        <w:fldChar w:fldCharType="separate"/>
      </w:r>
      <w:r w:rsidR="00275132">
        <w:rPr>
          <w:rStyle w:val="Referencingstyle"/>
          <w:b w:val="0"/>
          <w:i w:val="0"/>
          <w:sz w:val="22"/>
        </w:rPr>
        <w:t>3.40</w:t>
      </w:r>
      <w:r w:rsidRPr="00310AA0">
        <w:rPr>
          <w:rStyle w:val="Referencingstyle"/>
          <w:b w:val="0"/>
          <w:i w:val="0"/>
          <w:sz w:val="22"/>
        </w:rPr>
        <w:fldChar w:fldCharType="end"/>
      </w:r>
      <w:r w:rsidRPr="00310AA0">
        <w:rPr>
          <w:rStyle w:val="Referencingstyle"/>
          <w:b w:val="0"/>
          <w:i w:val="0"/>
          <w:sz w:val="22"/>
        </w:rPr>
        <w:t>.</w:t>
      </w:r>
      <w:r w:rsidR="005021E2" w:rsidRPr="005021E2">
        <w:rPr>
          <w:rStyle w:val="Referencingstyle"/>
        </w:rPr>
        <w:t xml:space="preserve"> </w:t>
      </w:r>
      <w:r w:rsidR="005021E2">
        <w:rPr>
          <w:rStyle w:val="Referencingstyle"/>
        </w:rPr>
        <w:t>[Schedule </w:t>
      </w:r>
      <w:r w:rsidR="00FF0D8D">
        <w:rPr>
          <w:rStyle w:val="Referencingstyle"/>
        </w:rPr>
        <w:t>2</w:t>
      </w:r>
      <w:r w:rsidR="005021E2">
        <w:rPr>
          <w:rStyle w:val="Referencingstyle"/>
        </w:rPr>
        <w:t xml:space="preserve">, item </w:t>
      </w:r>
      <w:r w:rsidR="00FF0D8D">
        <w:rPr>
          <w:rStyle w:val="Referencingstyle"/>
        </w:rPr>
        <w:t>1</w:t>
      </w:r>
      <w:r w:rsidR="005021E2">
        <w:rPr>
          <w:rStyle w:val="Referencingstyle"/>
        </w:rPr>
        <w:t xml:space="preserve">, section </w:t>
      </w:r>
      <w:r w:rsidR="00FF0D8D">
        <w:rPr>
          <w:rStyle w:val="Referencingstyle"/>
        </w:rPr>
        <w:t>12-105</w:t>
      </w:r>
      <w:r w:rsidR="005021E2">
        <w:rPr>
          <w:rStyle w:val="Referencingstyle"/>
        </w:rPr>
        <w:t xml:space="preserve">, Schedule 2, item </w:t>
      </w:r>
      <w:r w:rsidR="00FF0D8D">
        <w:rPr>
          <w:rStyle w:val="Referencingstyle"/>
        </w:rPr>
        <w:t>24</w:t>
      </w:r>
      <w:r w:rsidR="005021E2">
        <w:rPr>
          <w:rStyle w:val="Referencingstyle"/>
        </w:rPr>
        <w:t>, note to Part</w:t>
      </w:r>
      <w:r w:rsidR="00B42C4D">
        <w:rPr>
          <w:rStyle w:val="Referencingstyle"/>
        </w:rPr>
        <w:t> </w:t>
      </w:r>
      <w:r w:rsidR="005021E2">
        <w:rPr>
          <w:rStyle w:val="Referencingstyle"/>
        </w:rPr>
        <w:t>5.7B]</w:t>
      </w:r>
    </w:p>
    <w:p w14:paraId="4C2E59EC" w14:textId="77777777" w:rsidR="00D90048" w:rsidRDefault="00D90048" w:rsidP="00D90048">
      <w:pPr>
        <w:pStyle w:val="Heading4"/>
      </w:pPr>
      <w:r>
        <w:t>Winding up provisions which do not apply</w:t>
      </w:r>
    </w:p>
    <w:p w14:paraId="293C8EF9" w14:textId="0A03F63B" w:rsidR="00D90048" w:rsidRPr="008D7243" w:rsidRDefault="00D90048" w:rsidP="00D90048">
      <w:pPr>
        <w:pStyle w:val="base-text-paragraph"/>
        <w:rPr>
          <w:rStyle w:val="Referencingstyle"/>
          <w:b w:val="0"/>
          <w:i w:val="0"/>
          <w:sz w:val="22"/>
        </w:rPr>
      </w:pPr>
      <w:r w:rsidRPr="00FA5B27">
        <w:t>Part 5.4C of the Act (about winding up by ASIC) does not apply to a CCIV. One of the main reasons that ASIC uses its Part 5.4C powers is to protect employees’ en</w:t>
      </w:r>
      <w:r w:rsidRPr="003801D6">
        <w:t>titlements. As a CCIV has no employees, ASIC does not require this power in the CCIV context.</w:t>
      </w:r>
      <w:r w:rsidRPr="00D84DAD">
        <w:rPr>
          <w:rStyle w:val="Referencingstyle"/>
        </w:rPr>
        <w:t xml:space="preserve"> </w:t>
      </w:r>
      <w:r>
        <w:rPr>
          <w:rStyle w:val="Referencingstyle"/>
        </w:rPr>
        <w:t xml:space="preserve">[Schedule 2, item </w:t>
      </w:r>
      <w:r w:rsidR="0002375F">
        <w:rPr>
          <w:rStyle w:val="Referencingstyle"/>
        </w:rPr>
        <w:t>20</w:t>
      </w:r>
      <w:r>
        <w:rPr>
          <w:rStyle w:val="Referencingstyle"/>
        </w:rPr>
        <w:t>, note to Part 5.4C</w:t>
      </w:r>
      <w:r w:rsidRPr="008D7243">
        <w:rPr>
          <w:rStyle w:val="Referencingstyle"/>
        </w:rPr>
        <w:t>]</w:t>
      </w:r>
    </w:p>
    <w:p w14:paraId="1345B0F0" w14:textId="5509EBE8" w:rsidR="00D90048" w:rsidRPr="002A4436" w:rsidRDefault="00D90048" w:rsidP="00D90048">
      <w:pPr>
        <w:pStyle w:val="base-text-paragraph"/>
        <w:rPr>
          <w:rStyle w:val="Referencingstyle"/>
          <w:b w:val="0"/>
          <w:i w:val="0"/>
          <w:sz w:val="22"/>
        </w:rPr>
      </w:pPr>
      <w:r w:rsidRPr="00AA3F3D">
        <w:rPr>
          <w:lang w:eastAsia="en-US"/>
        </w:rPr>
        <w:t>A pooling determination (Division 8 of Part 5.6) may not be made in respect of a CCIV and a CCIV or its sub</w:t>
      </w:r>
      <w:r w:rsidRPr="00AA3F3D">
        <w:rPr>
          <w:lang w:eastAsia="en-US"/>
        </w:rPr>
        <w:noBreakHyphen/>
        <w:t>funds may not be part of a pooled group.</w:t>
      </w:r>
      <w:r>
        <w:t xml:space="preserve"> A pooling determination results in each company in a group being taken to be jointly and severally liable for the debts payable by other members of the group. These determinations would interfere with the segregation of assets and liabilities between sub</w:t>
      </w:r>
      <w:r>
        <w:noBreakHyphen/>
        <w:t>funds if they were to apply in the context of CCIVs and sub</w:t>
      </w:r>
      <w:r>
        <w:noBreakHyphen/>
        <w:t xml:space="preserve">funds. </w:t>
      </w:r>
      <w:r w:rsidRPr="00854D6D">
        <w:rPr>
          <w:rStyle w:val="Referencingstyle"/>
        </w:rPr>
        <w:t xml:space="preserve">[Schedule </w:t>
      </w:r>
      <w:r>
        <w:rPr>
          <w:rStyle w:val="Referencingstyle"/>
        </w:rPr>
        <w:t>2</w:t>
      </w:r>
      <w:r w:rsidRPr="00854D6D">
        <w:rPr>
          <w:rStyle w:val="Referencingstyle"/>
        </w:rPr>
        <w:t xml:space="preserve">, </w:t>
      </w:r>
      <w:r>
        <w:rPr>
          <w:rStyle w:val="Referencingstyle"/>
        </w:rPr>
        <w:t xml:space="preserve">item </w:t>
      </w:r>
      <w:r w:rsidR="00117CB4">
        <w:rPr>
          <w:rStyle w:val="Referencingstyle"/>
        </w:rPr>
        <w:t>22</w:t>
      </w:r>
      <w:r>
        <w:rPr>
          <w:rStyle w:val="Referencingstyle"/>
        </w:rPr>
        <w:t>, note to Division 8 of Part 5.6</w:t>
      </w:r>
      <w:r w:rsidRPr="00854D6D">
        <w:rPr>
          <w:rStyle w:val="Referencingstyle"/>
        </w:rPr>
        <w:t>]</w:t>
      </w:r>
    </w:p>
    <w:p w14:paraId="73A1AFCA" w14:textId="05D55C9A" w:rsidR="00D90048" w:rsidRPr="00A0755C" w:rsidRDefault="00D90048" w:rsidP="00D90048">
      <w:pPr>
        <w:pStyle w:val="base-text-paragraph"/>
      </w:pPr>
      <w:r>
        <w:t xml:space="preserve">Part 5.7 (about winding up bodies other than companies) does not apply to CCIVs. A CCIV cannot be a ‘Part 5.7 body’ as it cannot be </w:t>
      </w:r>
      <w:r w:rsidRPr="00A0755C">
        <w:t>registered with ASIC unless it is a company (see paragraph 2.18 of the Tranche 1 Explanatory Materials).</w:t>
      </w:r>
      <w:r w:rsidRPr="00A0755C">
        <w:rPr>
          <w:rStyle w:val="Referencingstyle"/>
        </w:rPr>
        <w:t xml:space="preserve"> </w:t>
      </w:r>
    </w:p>
    <w:p w14:paraId="1CE1D8F6" w14:textId="369D2A7B" w:rsidR="00D90048" w:rsidRDefault="00BA6EBB" w:rsidP="00D90048">
      <w:pPr>
        <w:pStyle w:val="base-text-paragraph"/>
      </w:pPr>
      <w:r>
        <w:t xml:space="preserve">Part 5.4C, Division 8 of Part 5.6 and Part 5.7 are not expressly </w:t>
      </w:r>
      <w:proofErr w:type="spellStart"/>
      <w:r>
        <w:t>disapplied</w:t>
      </w:r>
      <w:proofErr w:type="spellEnd"/>
      <w:r>
        <w:t xml:space="preserve">. Rather, this </w:t>
      </w:r>
      <w:r w:rsidR="00D90048">
        <w:t xml:space="preserve">result is achieved by </w:t>
      </w:r>
      <w:proofErr w:type="spellStart"/>
      <w:r w:rsidR="00D90048">
        <w:t>disapplying</w:t>
      </w:r>
      <w:proofErr w:type="spellEnd"/>
      <w:r w:rsidR="00D90048">
        <w:t xml:space="preserve"> all winding up provisions and then activating select provisions. Parts 5.4C, Division 8 of Part 5.6 and Part 5.7 are not activated. </w:t>
      </w:r>
      <w:r w:rsidR="00D90048" w:rsidRPr="00854D6D">
        <w:rPr>
          <w:rStyle w:val="Referencingstyle"/>
        </w:rPr>
        <w:t xml:space="preserve">[Schedule </w:t>
      </w:r>
      <w:r w:rsidR="00117CB4">
        <w:rPr>
          <w:rStyle w:val="Referencingstyle"/>
        </w:rPr>
        <w:t>2</w:t>
      </w:r>
      <w:r w:rsidR="00D90048" w:rsidRPr="00854D6D">
        <w:rPr>
          <w:rStyle w:val="Referencingstyle"/>
        </w:rPr>
        <w:t xml:space="preserve">, </w:t>
      </w:r>
      <w:r w:rsidR="00D90048">
        <w:rPr>
          <w:rStyle w:val="Referencingstyle"/>
        </w:rPr>
        <w:t xml:space="preserve">item </w:t>
      </w:r>
      <w:r w:rsidR="00117CB4">
        <w:rPr>
          <w:rStyle w:val="Referencingstyle"/>
        </w:rPr>
        <w:t>1</w:t>
      </w:r>
      <w:r w:rsidR="00D90048">
        <w:rPr>
          <w:rStyle w:val="Referencingstyle"/>
        </w:rPr>
        <w:t xml:space="preserve">, </w:t>
      </w:r>
      <w:r w:rsidR="00117CB4">
        <w:rPr>
          <w:rStyle w:val="Referencingstyle"/>
        </w:rPr>
        <w:t>12-100</w:t>
      </w:r>
      <w:r w:rsidR="00D90048">
        <w:rPr>
          <w:rStyle w:val="Referencingstyle"/>
        </w:rPr>
        <w:t xml:space="preserve"> and </w:t>
      </w:r>
      <w:r w:rsidR="00117CB4">
        <w:rPr>
          <w:rStyle w:val="Referencingstyle"/>
        </w:rPr>
        <w:t>12-105</w:t>
      </w:r>
      <w:r w:rsidR="00D90048" w:rsidRPr="00854D6D">
        <w:rPr>
          <w:rStyle w:val="Referencingstyle"/>
        </w:rPr>
        <w:t>]</w:t>
      </w:r>
    </w:p>
    <w:p w14:paraId="1F4D2385" w14:textId="21B42912" w:rsidR="00D90048" w:rsidRPr="00A0755C" w:rsidRDefault="00D90048" w:rsidP="00D90048">
      <w:pPr>
        <w:pStyle w:val="base-text-paragraph"/>
      </w:pPr>
      <w:r w:rsidRPr="00A0755C">
        <w:t xml:space="preserve">Finally, none of the provisions </w:t>
      </w:r>
      <w:r>
        <w:t>relating</w:t>
      </w:r>
      <w:r w:rsidRPr="00A0755C">
        <w:t xml:space="preserve"> to employees </w:t>
      </w:r>
      <w:r>
        <w:t xml:space="preserve">or secretaries </w:t>
      </w:r>
      <w:r w:rsidRPr="00A0755C">
        <w:t xml:space="preserve">of a company apply in the CCIV context because a CCIV does not have employees </w:t>
      </w:r>
      <w:r>
        <w:t xml:space="preserve">or a </w:t>
      </w:r>
      <w:r w:rsidR="00A77108">
        <w:t xml:space="preserve">company </w:t>
      </w:r>
      <w:r>
        <w:t xml:space="preserve">secretary </w:t>
      </w:r>
      <w:r w:rsidRPr="00A0755C">
        <w:t xml:space="preserve">(see paragraphs 5.50 to 5.52 of the Tranche 1 Explanatory Materials). </w:t>
      </w:r>
    </w:p>
    <w:p w14:paraId="6613FF75" w14:textId="0716B080" w:rsidR="00D71C03" w:rsidRPr="002372AF" w:rsidRDefault="00300B57" w:rsidP="00AA3F3D">
      <w:pPr>
        <w:pStyle w:val="Heading3"/>
        <w:rPr>
          <w:rStyle w:val="Referencingstyle"/>
          <w:i w:val="0"/>
          <w:sz w:val="22"/>
        </w:rPr>
      </w:pPr>
      <w:r>
        <w:rPr>
          <w:rStyle w:val="Referencingstyle"/>
          <w:b/>
          <w:i w:val="0"/>
          <w:sz w:val="22"/>
        </w:rPr>
        <w:t>Property recovery provisions</w:t>
      </w:r>
    </w:p>
    <w:p w14:paraId="1D7419A1" w14:textId="4D43E1DE" w:rsidR="00ED13F5" w:rsidRPr="00AA3F3D" w:rsidRDefault="00ED13F5" w:rsidP="00AA3F3D">
      <w:pPr>
        <w:pStyle w:val="base-text-paragraph"/>
        <w:numPr>
          <w:ilvl w:val="0"/>
          <w:numId w:val="0"/>
        </w:numPr>
        <w:ind w:left="1134"/>
        <w:rPr>
          <w:rStyle w:val="Referencingstyle"/>
          <w:sz w:val="22"/>
        </w:rPr>
      </w:pPr>
      <w:bookmarkStart w:id="93" w:name="_Ref524510905"/>
      <w:r>
        <w:rPr>
          <w:rStyle w:val="Referencingstyle"/>
          <w:sz w:val="22"/>
        </w:rPr>
        <w:t>Special translation rules</w:t>
      </w:r>
    </w:p>
    <w:p w14:paraId="44169768" w14:textId="138C4B1D" w:rsidR="001C32BA" w:rsidRPr="00677534" w:rsidRDefault="002372AF" w:rsidP="00677534">
      <w:pPr>
        <w:pStyle w:val="base-text-paragraph"/>
        <w:numPr>
          <w:ilvl w:val="1"/>
          <w:numId w:val="6"/>
        </w:numPr>
        <w:rPr>
          <w:rStyle w:val="Referencingstyle"/>
          <w:b w:val="0"/>
          <w:i w:val="0"/>
          <w:sz w:val="22"/>
        </w:rPr>
      </w:pPr>
      <w:r>
        <w:rPr>
          <w:rStyle w:val="Referencingstyle"/>
          <w:b w:val="0"/>
          <w:i w:val="0"/>
          <w:sz w:val="22"/>
        </w:rPr>
        <w:t xml:space="preserve">Special translation rules apply to the </w:t>
      </w:r>
      <w:r w:rsidR="00300B57" w:rsidRPr="00677534">
        <w:rPr>
          <w:rStyle w:val="Referencingstyle"/>
          <w:b w:val="0"/>
          <w:i w:val="0"/>
          <w:sz w:val="22"/>
        </w:rPr>
        <w:t>property recovery</w:t>
      </w:r>
      <w:r w:rsidRPr="00677534">
        <w:rPr>
          <w:rStyle w:val="Referencingstyle"/>
          <w:b w:val="0"/>
          <w:i w:val="0"/>
          <w:sz w:val="22"/>
        </w:rPr>
        <w:t xml:space="preserve"> </w:t>
      </w:r>
      <w:r>
        <w:rPr>
          <w:rStyle w:val="Referencingstyle"/>
          <w:b w:val="0"/>
          <w:i w:val="0"/>
          <w:sz w:val="22"/>
        </w:rPr>
        <w:t>provisions in Divisions</w:t>
      </w:r>
      <w:r w:rsidR="00BF750A">
        <w:rPr>
          <w:rStyle w:val="Referencingstyle"/>
          <w:b w:val="0"/>
          <w:i w:val="0"/>
          <w:sz w:val="22"/>
        </w:rPr>
        <w:t> </w:t>
      </w:r>
      <w:r>
        <w:rPr>
          <w:rStyle w:val="Referencingstyle"/>
          <w:b w:val="0"/>
          <w:i w:val="0"/>
          <w:sz w:val="22"/>
        </w:rPr>
        <w:t xml:space="preserve">3, 4, 5 and 6 of Part 5.7B. </w:t>
      </w:r>
      <w:r w:rsidR="001C32BA" w:rsidRPr="00677534">
        <w:rPr>
          <w:rStyle w:val="Referencingstyle"/>
          <w:b w:val="0"/>
          <w:i w:val="0"/>
          <w:sz w:val="22"/>
        </w:rPr>
        <w:t>These translation rules ensure that the directors of the corporate director of the CCIV, instead of the corporate director, owe a duty to prevent insolvent trading and other duties in those Divisions.</w:t>
      </w:r>
      <w:r w:rsidR="001C32BA" w:rsidRPr="001C32BA">
        <w:rPr>
          <w:rStyle w:val="Referencingstyle"/>
        </w:rPr>
        <w:t xml:space="preserve"> </w:t>
      </w:r>
      <w:r w:rsidR="001C32BA">
        <w:rPr>
          <w:rStyle w:val="Referencingstyle"/>
        </w:rPr>
        <w:t>[Schedule </w:t>
      </w:r>
      <w:r w:rsidR="0002375F">
        <w:rPr>
          <w:rStyle w:val="Referencingstyle"/>
        </w:rPr>
        <w:t>2</w:t>
      </w:r>
      <w:r w:rsidR="001C32BA">
        <w:rPr>
          <w:rStyle w:val="Referencingstyle"/>
        </w:rPr>
        <w:t xml:space="preserve">, item </w:t>
      </w:r>
      <w:r w:rsidR="0002375F">
        <w:rPr>
          <w:rStyle w:val="Referencingstyle"/>
        </w:rPr>
        <w:t>1</w:t>
      </w:r>
      <w:r w:rsidR="001C32BA">
        <w:rPr>
          <w:rStyle w:val="Referencingstyle"/>
        </w:rPr>
        <w:t>, section</w:t>
      </w:r>
      <w:r w:rsidR="00BF750A">
        <w:rPr>
          <w:rStyle w:val="Referencingstyle"/>
        </w:rPr>
        <w:t> </w:t>
      </w:r>
      <w:r w:rsidR="0002375F">
        <w:rPr>
          <w:rStyle w:val="Referencingstyle"/>
        </w:rPr>
        <w:t>12</w:t>
      </w:r>
      <w:r w:rsidR="0002375F">
        <w:rPr>
          <w:rStyle w:val="Referencingstyle"/>
        </w:rPr>
        <w:noBreakHyphen/>
        <w:t>255</w:t>
      </w:r>
      <w:r w:rsidR="001C32BA">
        <w:rPr>
          <w:rStyle w:val="Referencingstyle"/>
        </w:rPr>
        <w:t>]</w:t>
      </w:r>
    </w:p>
    <w:p w14:paraId="0D15D794" w14:textId="31711311" w:rsidR="001C32BA" w:rsidRDefault="002372AF" w:rsidP="00D71C03">
      <w:pPr>
        <w:pStyle w:val="base-text-paragraph"/>
        <w:rPr>
          <w:rStyle w:val="Referencingstyle"/>
          <w:b w:val="0"/>
          <w:i w:val="0"/>
          <w:sz w:val="22"/>
        </w:rPr>
      </w:pPr>
      <w:bookmarkStart w:id="94" w:name="_Ref525826177"/>
      <w:r>
        <w:rPr>
          <w:rStyle w:val="Referencingstyle"/>
          <w:b w:val="0"/>
          <w:i w:val="0"/>
          <w:sz w:val="22"/>
        </w:rPr>
        <w:t xml:space="preserve">These special translation rules treat references to the ‘director’ </w:t>
      </w:r>
      <w:r w:rsidR="001C32BA">
        <w:rPr>
          <w:rStyle w:val="Referencingstyle"/>
          <w:b w:val="0"/>
          <w:i w:val="0"/>
          <w:sz w:val="22"/>
        </w:rPr>
        <w:t xml:space="preserve">and ‘officer’ </w:t>
      </w:r>
      <w:r>
        <w:rPr>
          <w:rStyle w:val="Referencingstyle"/>
          <w:b w:val="0"/>
          <w:i w:val="0"/>
          <w:sz w:val="22"/>
        </w:rPr>
        <w:t xml:space="preserve">differently from the general translation rules that apply to the other Parts of Chapter 5. References to ‘director’ </w:t>
      </w:r>
      <w:proofErr w:type="spellStart"/>
      <w:r>
        <w:rPr>
          <w:rStyle w:val="Referencingstyle"/>
          <w:b w:val="0"/>
          <w:i w:val="0"/>
          <w:sz w:val="22"/>
        </w:rPr>
        <w:t>etc</w:t>
      </w:r>
      <w:proofErr w:type="spellEnd"/>
      <w:r>
        <w:rPr>
          <w:rStyle w:val="Referencingstyle"/>
          <w:b w:val="0"/>
          <w:i w:val="0"/>
          <w:sz w:val="22"/>
        </w:rPr>
        <w:t xml:space="preserve"> are replaced with a reference to the natural person directors of the corporate director, rather than the corporate director. </w:t>
      </w:r>
      <w:r w:rsidR="00ED13F5">
        <w:rPr>
          <w:rStyle w:val="Referencingstyle"/>
          <w:b w:val="0"/>
          <w:i w:val="0"/>
          <w:sz w:val="22"/>
        </w:rPr>
        <w:t>Similarly, references to an ‘officer’ are replaced with a reference to the natural person director of the corporate director, any shadow director of the corporate director or an external administrator of the sub-fund.</w:t>
      </w:r>
      <w:r w:rsidR="00ED13F5" w:rsidRPr="00ED13F5">
        <w:rPr>
          <w:rStyle w:val="Referencingstyle"/>
        </w:rPr>
        <w:t xml:space="preserve"> </w:t>
      </w:r>
      <w:r w:rsidR="00ED13F5">
        <w:rPr>
          <w:rStyle w:val="Referencingstyle"/>
        </w:rPr>
        <w:t>[Schedule </w:t>
      </w:r>
      <w:r w:rsidR="0002375F">
        <w:rPr>
          <w:rStyle w:val="Referencingstyle"/>
        </w:rPr>
        <w:t>2</w:t>
      </w:r>
      <w:r w:rsidR="00ED13F5">
        <w:rPr>
          <w:rStyle w:val="Referencingstyle"/>
        </w:rPr>
        <w:t xml:space="preserve">, item </w:t>
      </w:r>
      <w:r w:rsidR="0002375F">
        <w:rPr>
          <w:rStyle w:val="Referencingstyle"/>
        </w:rPr>
        <w:t>1</w:t>
      </w:r>
      <w:r w:rsidR="00ED13F5">
        <w:rPr>
          <w:rStyle w:val="Referencingstyle"/>
        </w:rPr>
        <w:t xml:space="preserve">, sections </w:t>
      </w:r>
      <w:r w:rsidR="0002375F">
        <w:rPr>
          <w:rStyle w:val="Referencingstyle"/>
        </w:rPr>
        <w:t>12-260</w:t>
      </w:r>
      <w:r w:rsidR="00ED13F5">
        <w:rPr>
          <w:rStyle w:val="Referencingstyle"/>
        </w:rPr>
        <w:t xml:space="preserve">(4), </w:t>
      </w:r>
      <w:r w:rsidR="0002375F">
        <w:rPr>
          <w:rStyle w:val="Referencingstyle"/>
        </w:rPr>
        <w:t xml:space="preserve">table </w:t>
      </w:r>
      <w:r w:rsidR="00ED13F5">
        <w:rPr>
          <w:rStyle w:val="Referencingstyle"/>
        </w:rPr>
        <w:t>items 2 and 3]</w:t>
      </w:r>
      <w:bookmarkEnd w:id="94"/>
    </w:p>
    <w:p w14:paraId="51ACF7C6" w14:textId="392BDAB5" w:rsidR="002372AF" w:rsidRDefault="00ED13F5" w:rsidP="00D71C03">
      <w:pPr>
        <w:pStyle w:val="base-text-paragraph"/>
        <w:rPr>
          <w:rStyle w:val="Referencingstyle"/>
          <w:b w:val="0"/>
          <w:i w:val="0"/>
          <w:sz w:val="22"/>
        </w:rPr>
      </w:pPr>
      <w:r>
        <w:rPr>
          <w:rStyle w:val="Referencingstyle"/>
          <w:b w:val="0"/>
          <w:i w:val="0"/>
          <w:sz w:val="22"/>
        </w:rPr>
        <w:t>Apart from these changes</w:t>
      </w:r>
      <w:r w:rsidR="001C32BA">
        <w:rPr>
          <w:rStyle w:val="Referencingstyle"/>
          <w:b w:val="0"/>
          <w:i w:val="0"/>
          <w:sz w:val="22"/>
        </w:rPr>
        <w:t>, the translation rules</w:t>
      </w:r>
      <w:r w:rsidR="002372AF">
        <w:rPr>
          <w:rStyle w:val="Referencingstyle"/>
          <w:b w:val="0"/>
          <w:i w:val="0"/>
          <w:sz w:val="22"/>
        </w:rPr>
        <w:t xml:space="preserve"> operate in the same way as the rules</w:t>
      </w:r>
      <w:r w:rsidR="00775BE0">
        <w:rPr>
          <w:rStyle w:val="Referencingstyle"/>
          <w:b w:val="0"/>
          <w:i w:val="0"/>
          <w:sz w:val="22"/>
        </w:rPr>
        <w:t xml:space="preserve"> discussed above at </w:t>
      </w:r>
      <w:r w:rsidR="002372AF">
        <w:rPr>
          <w:rStyle w:val="Referencingstyle"/>
          <w:b w:val="0"/>
          <w:i w:val="0"/>
          <w:sz w:val="22"/>
        </w:rPr>
        <w:t xml:space="preserve">paragraphs </w:t>
      </w:r>
      <w:r w:rsidR="002372AF" w:rsidRPr="00A0755C">
        <w:t>5.50 to 5.52 of the Tranche 1 Explanatory</w:t>
      </w:r>
      <w:r w:rsidR="00640AA0">
        <w:t>.</w:t>
      </w:r>
      <w:r w:rsidR="002372AF" w:rsidRPr="00A0755C">
        <w:t xml:space="preserve"> Materials</w:t>
      </w:r>
      <w:r w:rsidR="001C32BA">
        <w:t xml:space="preserve">. </w:t>
      </w:r>
      <w:r w:rsidR="00640AA0">
        <w:rPr>
          <w:rStyle w:val="Referencingstyle"/>
        </w:rPr>
        <w:t>[Schedule </w:t>
      </w:r>
      <w:r w:rsidR="0002375F">
        <w:rPr>
          <w:rStyle w:val="Referencingstyle"/>
        </w:rPr>
        <w:t>2</w:t>
      </w:r>
      <w:r w:rsidR="00640AA0">
        <w:rPr>
          <w:rStyle w:val="Referencingstyle"/>
        </w:rPr>
        <w:t xml:space="preserve">, item </w:t>
      </w:r>
      <w:r w:rsidR="0002375F">
        <w:rPr>
          <w:rStyle w:val="Referencingstyle"/>
        </w:rPr>
        <w:t>1</w:t>
      </w:r>
      <w:r w:rsidR="00640AA0">
        <w:rPr>
          <w:rStyle w:val="Referencingstyle"/>
        </w:rPr>
        <w:t xml:space="preserve">, sections </w:t>
      </w:r>
      <w:r w:rsidR="0002375F">
        <w:rPr>
          <w:rStyle w:val="Referencingstyle"/>
        </w:rPr>
        <w:t>12-260</w:t>
      </w:r>
      <w:r w:rsidR="00640AA0">
        <w:rPr>
          <w:rStyle w:val="Referencingstyle"/>
        </w:rPr>
        <w:t>]</w:t>
      </w:r>
    </w:p>
    <w:p w14:paraId="5FCB9AFB" w14:textId="66E3AD84" w:rsidR="00ED13F5" w:rsidRDefault="00ED13F5" w:rsidP="00AA3F3D">
      <w:pPr>
        <w:pStyle w:val="base-text-paragraph"/>
        <w:numPr>
          <w:ilvl w:val="0"/>
          <w:numId w:val="0"/>
        </w:numPr>
        <w:ind w:left="1134"/>
        <w:rPr>
          <w:rStyle w:val="Referencingstyle"/>
          <w:b w:val="0"/>
          <w:i w:val="0"/>
          <w:sz w:val="22"/>
        </w:rPr>
      </w:pPr>
      <w:r>
        <w:rPr>
          <w:rStyle w:val="Referencingstyle"/>
          <w:sz w:val="22"/>
        </w:rPr>
        <w:t>When a debt is taken</w:t>
      </w:r>
      <w:r w:rsidR="002372AF">
        <w:rPr>
          <w:rStyle w:val="Referencingstyle"/>
          <w:sz w:val="22"/>
        </w:rPr>
        <w:t xml:space="preserve"> to </w:t>
      </w:r>
      <w:r>
        <w:rPr>
          <w:rStyle w:val="Referencingstyle"/>
          <w:sz w:val="22"/>
        </w:rPr>
        <w:t>have been incurred</w:t>
      </w:r>
    </w:p>
    <w:bookmarkEnd w:id="93"/>
    <w:p w14:paraId="3D77ADA4" w14:textId="3521771B" w:rsidR="00BC656B" w:rsidRDefault="0020152E" w:rsidP="002A7FB3">
      <w:pPr>
        <w:pStyle w:val="base-text-paragraph"/>
        <w:rPr>
          <w:rStyle w:val="Referencingstyle"/>
          <w:b w:val="0"/>
          <w:i w:val="0"/>
          <w:sz w:val="22"/>
        </w:rPr>
      </w:pPr>
      <w:r>
        <w:rPr>
          <w:rStyle w:val="Referencingstyle"/>
          <w:b w:val="0"/>
          <w:i w:val="0"/>
          <w:sz w:val="22"/>
        </w:rPr>
        <w:t>The existing law sets out when a debt is taken to have been incurred for the purposes of the insolvent trading provisions (see existing subsection 588G(1A)). These</w:t>
      </w:r>
      <w:r w:rsidR="00BF750A">
        <w:rPr>
          <w:rStyle w:val="Referencingstyle"/>
          <w:b w:val="0"/>
          <w:i w:val="0"/>
          <w:sz w:val="22"/>
        </w:rPr>
        <w:t> </w:t>
      </w:r>
      <w:r>
        <w:rPr>
          <w:rStyle w:val="Referencingstyle"/>
          <w:b w:val="0"/>
          <w:i w:val="0"/>
          <w:sz w:val="22"/>
        </w:rPr>
        <w:t xml:space="preserve">rules also apply in the CCIV context. </w:t>
      </w:r>
      <w:r>
        <w:rPr>
          <w:rStyle w:val="Referencingstyle"/>
        </w:rPr>
        <w:t>[Schedule </w:t>
      </w:r>
      <w:r w:rsidR="0002375F">
        <w:rPr>
          <w:rStyle w:val="Referencingstyle"/>
        </w:rPr>
        <w:t>2</w:t>
      </w:r>
      <w:r>
        <w:rPr>
          <w:rStyle w:val="Referencingstyle"/>
        </w:rPr>
        <w:t xml:space="preserve">, item </w:t>
      </w:r>
      <w:r w:rsidR="0002375F">
        <w:rPr>
          <w:rStyle w:val="Referencingstyle"/>
        </w:rPr>
        <w:t xml:space="preserve">1, </w:t>
      </w:r>
      <w:r>
        <w:rPr>
          <w:rStyle w:val="Referencingstyle"/>
        </w:rPr>
        <w:t xml:space="preserve">subsection </w:t>
      </w:r>
      <w:r w:rsidR="0002375F">
        <w:rPr>
          <w:rStyle w:val="Referencingstyle"/>
        </w:rPr>
        <w:t>12-270</w:t>
      </w:r>
      <w:r>
        <w:rPr>
          <w:rStyle w:val="Referencingstyle"/>
        </w:rPr>
        <w:t>(1)]</w:t>
      </w:r>
    </w:p>
    <w:p w14:paraId="71695BA0" w14:textId="0FFADFA5" w:rsidR="0020152E" w:rsidRDefault="0020152E" w:rsidP="0020152E">
      <w:pPr>
        <w:pStyle w:val="base-text-paragraph"/>
        <w:rPr>
          <w:rStyle w:val="Referencingstyle"/>
          <w:b w:val="0"/>
          <w:i w:val="0"/>
          <w:sz w:val="22"/>
        </w:rPr>
      </w:pPr>
      <w:r>
        <w:rPr>
          <w:rStyle w:val="Referencingstyle"/>
          <w:b w:val="0"/>
          <w:i w:val="0"/>
          <w:sz w:val="22"/>
        </w:rPr>
        <w:t>New rules are inserted for redeemable shares which are a new type of ordinary share that is liable to be redeemed (see Chapter 8 of the Tranche 1 Explanatory Material). These rules are modelled on the rules for redeemable preference shares. They provide that a debt is taken to have been incurred when a redeemable share that is redeemable at the CCIV’s option is redeemed. If the redeemable share is redeemable otherwise than at the CCIV’s option, the debt is taken to have been incurred when the share is issued or another share is converted into the redeemable share.</w:t>
      </w:r>
      <w:r w:rsidRPr="0020152E">
        <w:rPr>
          <w:rStyle w:val="Referencingstyle"/>
        </w:rPr>
        <w:t xml:space="preserve"> </w:t>
      </w:r>
      <w:r>
        <w:rPr>
          <w:rStyle w:val="Referencingstyle"/>
        </w:rPr>
        <w:t>[Schedule </w:t>
      </w:r>
      <w:r w:rsidR="0002375F">
        <w:rPr>
          <w:rStyle w:val="Referencingstyle"/>
        </w:rPr>
        <w:t>2</w:t>
      </w:r>
      <w:r>
        <w:rPr>
          <w:rStyle w:val="Referencingstyle"/>
        </w:rPr>
        <w:t xml:space="preserve">, item </w:t>
      </w:r>
      <w:r w:rsidR="0002375F">
        <w:rPr>
          <w:rStyle w:val="Referencingstyle"/>
        </w:rPr>
        <w:t>1</w:t>
      </w:r>
      <w:r>
        <w:rPr>
          <w:rStyle w:val="Referencingstyle"/>
        </w:rPr>
        <w:t>, subsection</w:t>
      </w:r>
      <w:r w:rsidR="00BF750A">
        <w:rPr>
          <w:rStyle w:val="Referencingstyle"/>
        </w:rPr>
        <w:t> </w:t>
      </w:r>
      <w:r w:rsidR="0002375F">
        <w:rPr>
          <w:rStyle w:val="Referencingstyle"/>
        </w:rPr>
        <w:t>12-270</w:t>
      </w:r>
      <w:r>
        <w:rPr>
          <w:rStyle w:val="Referencingstyle"/>
        </w:rPr>
        <w:t>(2)]</w:t>
      </w:r>
    </w:p>
    <w:p w14:paraId="09380F2A" w14:textId="529DACCB" w:rsidR="007A72B9" w:rsidRPr="00FA5B27" w:rsidRDefault="009900AE" w:rsidP="009900AE">
      <w:pPr>
        <w:pStyle w:val="Heading3"/>
        <w:rPr>
          <w:rStyle w:val="Referencingstyle"/>
          <w:b/>
          <w:i w:val="0"/>
          <w:sz w:val="22"/>
        </w:rPr>
      </w:pPr>
      <w:r>
        <w:rPr>
          <w:rStyle w:val="Referencingstyle"/>
          <w:b/>
          <w:i w:val="0"/>
          <w:sz w:val="22"/>
        </w:rPr>
        <w:t>External administration</w:t>
      </w:r>
      <w:r w:rsidR="00390BD3">
        <w:rPr>
          <w:rStyle w:val="Referencingstyle"/>
          <w:b/>
          <w:i w:val="0"/>
          <w:sz w:val="22"/>
        </w:rPr>
        <w:t xml:space="preserve"> </w:t>
      </w:r>
      <w:r>
        <w:rPr>
          <w:rStyle w:val="Referencingstyle"/>
          <w:b/>
          <w:i w:val="0"/>
          <w:sz w:val="22"/>
        </w:rPr>
        <w:t>offences</w:t>
      </w:r>
      <w:r w:rsidR="00390BD3">
        <w:rPr>
          <w:rStyle w:val="Referencingstyle"/>
          <w:b/>
          <w:i w:val="0"/>
          <w:sz w:val="22"/>
        </w:rPr>
        <w:t xml:space="preserve"> and other miscellaneous provisions</w:t>
      </w:r>
    </w:p>
    <w:p w14:paraId="5A89BBD7" w14:textId="3DAAEC43" w:rsidR="00B12536" w:rsidRPr="00FA5B27" w:rsidRDefault="009900AE" w:rsidP="00390BD3">
      <w:pPr>
        <w:pStyle w:val="base-text-paragraph"/>
        <w:rPr>
          <w:rStyle w:val="Referencingstyle"/>
          <w:b w:val="0"/>
          <w:i w:val="0"/>
          <w:sz w:val="22"/>
        </w:rPr>
      </w:pPr>
      <w:r w:rsidRPr="003801D6">
        <w:t xml:space="preserve">The translation rules discussed at paragraph </w:t>
      </w:r>
      <w:r>
        <w:fldChar w:fldCharType="begin"/>
      </w:r>
      <w:r>
        <w:instrText xml:space="preserve"> REF _Ref522519915 \r \h </w:instrText>
      </w:r>
      <w:r>
        <w:fldChar w:fldCharType="separate"/>
      </w:r>
      <w:r w:rsidR="00275132">
        <w:t>3.13</w:t>
      </w:r>
      <w:r>
        <w:fldChar w:fldCharType="end"/>
      </w:r>
      <w:r>
        <w:t xml:space="preserve"> of the</w:t>
      </w:r>
      <w:r w:rsidR="00201D3B">
        <w:t>se</w:t>
      </w:r>
      <w:r>
        <w:t xml:space="preserve"> </w:t>
      </w:r>
      <w:r w:rsidR="00335A3C">
        <w:t>explanatory material</w:t>
      </w:r>
      <w:r w:rsidR="00792D1E">
        <w:t>s</w:t>
      </w:r>
      <w:r>
        <w:t xml:space="preserve"> apply to the external administration offences in Part 5.8 and related machinery provisions </w:t>
      </w:r>
      <w:r w:rsidR="0002555E">
        <w:t>in Part 5.9</w:t>
      </w:r>
      <w:r>
        <w:t>. Th</w:t>
      </w:r>
      <w:r w:rsidR="0002555E">
        <w:t>ese</w:t>
      </w:r>
      <w:r>
        <w:t xml:space="preserve"> Part</w:t>
      </w:r>
      <w:r w:rsidR="0002555E">
        <w:t>s</w:t>
      </w:r>
      <w:r>
        <w:t xml:space="preserve"> include offences for</w:t>
      </w:r>
      <w:r w:rsidR="00B12536">
        <w:t xml:space="preserve"> a</w:t>
      </w:r>
      <w:r>
        <w:t xml:space="preserve"> </w:t>
      </w:r>
      <w:r w:rsidR="00B12536">
        <w:t xml:space="preserve">past or present officer who does not disclose, to the external administration, all </w:t>
      </w:r>
      <w:r w:rsidR="007B727C">
        <w:t xml:space="preserve">of </w:t>
      </w:r>
      <w:r w:rsidR="00B12536">
        <w:t>the property of the sub-fund or fraudulently makes a material omission in any statement relating to</w:t>
      </w:r>
      <w:r w:rsidR="00335A3C">
        <w:t xml:space="preserve"> the</w:t>
      </w:r>
      <w:r w:rsidR="00B12536">
        <w:t xml:space="preserve"> affairs of the </w:t>
      </w:r>
      <w:r w:rsidR="00335A3C">
        <w:t>sub-fund</w:t>
      </w:r>
      <w:r w:rsidR="00B12536">
        <w:t xml:space="preserve"> (existing section</w:t>
      </w:r>
      <w:r w:rsidR="00547B79">
        <w:t> </w:t>
      </w:r>
      <w:r w:rsidR="00B12536">
        <w:t xml:space="preserve">590). Part 5.8 also prohibits a person </w:t>
      </w:r>
      <w:r w:rsidR="007B727C">
        <w:t>inducing a person to appoint them</w:t>
      </w:r>
      <w:r w:rsidR="00B12536">
        <w:t xml:space="preserve"> as the external administrator and fraud by an officer (existing sections 595 and 596).</w:t>
      </w:r>
      <w:r w:rsidR="00390BD3">
        <w:rPr>
          <w:rStyle w:val="FootnoteReference"/>
        </w:rPr>
        <w:footnoteReference w:id="8"/>
      </w:r>
      <w:r w:rsidR="00B12536" w:rsidRPr="00B12536">
        <w:rPr>
          <w:rStyle w:val="Referencingstyle"/>
        </w:rPr>
        <w:t xml:space="preserve"> </w:t>
      </w:r>
      <w:r w:rsidR="00B12536">
        <w:rPr>
          <w:rStyle w:val="Referencingstyle"/>
        </w:rPr>
        <w:t>[Schedule </w:t>
      </w:r>
      <w:r w:rsidR="003F635B">
        <w:rPr>
          <w:rStyle w:val="Referencingstyle"/>
        </w:rPr>
        <w:t>2</w:t>
      </w:r>
      <w:r w:rsidR="00B12536">
        <w:rPr>
          <w:rStyle w:val="Referencingstyle"/>
        </w:rPr>
        <w:t xml:space="preserve">, item </w:t>
      </w:r>
      <w:r w:rsidR="003F635B">
        <w:rPr>
          <w:rStyle w:val="Referencingstyle"/>
        </w:rPr>
        <w:t>1</w:t>
      </w:r>
      <w:r w:rsidR="00B12536">
        <w:rPr>
          <w:rStyle w:val="Referencingstyle"/>
        </w:rPr>
        <w:t>, section</w:t>
      </w:r>
      <w:r w:rsidR="0002555E">
        <w:rPr>
          <w:rStyle w:val="Referencingstyle"/>
        </w:rPr>
        <w:t>s</w:t>
      </w:r>
      <w:r w:rsidR="00B12536">
        <w:rPr>
          <w:rStyle w:val="Referencingstyle"/>
        </w:rPr>
        <w:t xml:space="preserve"> </w:t>
      </w:r>
      <w:r w:rsidR="00260AEE">
        <w:rPr>
          <w:rStyle w:val="Referencingstyle"/>
        </w:rPr>
        <w:t xml:space="preserve">12-260 </w:t>
      </w:r>
      <w:r w:rsidR="0002555E">
        <w:rPr>
          <w:rStyle w:val="Referencingstyle"/>
        </w:rPr>
        <w:t xml:space="preserve">and </w:t>
      </w:r>
      <w:r w:rsidR="001C518D">
        <w:rPr>
          <w:rStyle w:val="Referencingstyle"/>
        </w:rPr>
        <w:t>12-275</w:t>
      </w:r>
      <w:r w:rsidR="00FA0E01">
        <w:rPr>
          <w:rStyle w:val="Referencingstyle"/>
        </w:rPr>
        <w:t xml:space="preserve">, Schedule 2, item </w:t>
      </w:r>
      <w:r w:rsidR="001C518D">
        <w:rPr>
          <w:rStyle w:val="Referencingstyle"/>
        </w:rPr>
        <w:t>25</w:t>
      </w:r>
      <w:r w:rsidR="00FA0E01">
        <w:rPr>
          <w:rStyle w:val="Referencingstyle"/>
        </w:rPr>
        <w:t xml:space="preserve"> and </w:t>
      </w:r>
      <w:r w:rsidR="001C518D">
        <w:rPr>
          <w:rStyle w:val="Referencingstyle"/>
        </w:rPr>
        <w:t>28</w:t>
      </w:r>
      <w:r w:rsidR="00FA0E01">
        <w:rPr>
          <w:rStyle w:val="Referencingstyle"/>
        </w:rPr>
        <w:t>, notes to Part 5.8 and 5.9</w:t>
      </w:r>
      <w:r w:rsidR="00B12536">
        <w:rPr>
          <w:rStyle w:val="Referencingstyle"/>
        </w:rPr>
        <w:t>]</w:t>
      </w:r>
    </w:p>
    <w:p w14:paraId="083F27A4" w14:textId="37196CEF" w:rsidR="00B12536" w:rsidRPr="003F7083" w:rsidRDefault="006F673C" w:rsidP="00B12536">
      <w:pPr>
        <w:pStyle w:val="base-text-paragraph"/>
        <w:rPr>
          <w:rStyle w:val="Referencingstyle"/>
          <w:b w:val="0"/>
          <w:i w:val="0"/>
          <w:sz w:val="22"/>
        </w:rPr>
      </w:pPr>
      <w:bookmarkStart w:id="95" w:name="_Ref524510816"/>
      <w:r w:rsidRPr="003F7083">
        <w:t>Bespoke amendments are made to existing section 596 (relating to fraud by officers) and 596A (summonsing a person for mandatory examination) to apply them to the natural person directors of the corporate director</w:t>
      </w:r>
      <w:r w:rsidR="005B63AB" w:rsidRPr="003F7083">
        <w:t>, as well as any other natural persons that are officers</w:t>
      </w:r>
      <w:r w:rsidRPr="003F7083">
        <w:t>.</w:t>
      </w:r>
      <w:r w:rsidR="00B12536" w:rsidRPr="003F7083">
        <w:t xml:space="preserve"> </w:t>
      </w:r>
      <w:r w:rsidR="0058707B" w:rsidRPr="003F7083">
        <w:t xml:space="preserve">These </w:t>
      </w:r>
      <w:r w:rsidRPr="003F7083">
        <w:t>amendment</w:t>
      </w:r>
      <w:r w:rsidR="0058707B" w:rsidRPr="003F7083">
        <w:t>s</w:t>
      </w:r>
      <w:r w:rsidRPr="003F7083">
        <w:t xml:space="preserve"> </w:t>
      </w:r>
      <w:r w:rsidR="0058707B" w:rsidRPr="003F7083">
        <w:t xml:space="preserve">are </w:t>
      </w:r>
      <w:r w:rsidRPr="003F7083">
        <w:t xml:space="preserve">required </w:t>
      </w:r>
      <w:r w:rsidR="00B12536" w:rsidRPr="003F7083">
        <w:t>because</w:t>
      </w:r>
      <w:r w:rsidRPr="003F7083">
        <w:t>, as per the second translation rule,</w:t>
      </w:r>
      <w:r w:rsidR="00B12536" w:rsidRPr="003F7083">
        <w:t xml:space="preserve"> </w:t>
      </w:r>
      <w:r w:rsidRPr="003F7083">
        <w:t>‘director’ is</w:t>
      </w:r>
      <w:r w:rsidR="00B12536" w:rsidRPr="003F7083">
        <w:t xml:space="preserve"> </w:t>
      </w:r>
      <w:r w:rsidRPr="003F7083">
        <w:t>generally read to mean the corporate director</w:t>
      </w:r>
      <w:r w:rsidR="00B12536" w:rsidRPr="003F7083">
        <w:t xml:space="preserve">. </w:t>
      </w:r>
      <w:bookmarkEnd w:id="95"/>
      <w:r w:rsidR="00B12536" w:rsidRPr="003F7083">
        <w:rPr>
          <w:rStyle w:val="Referencingstyle"/>
        </w:rPr>
        <w:t>[Schedule </w:t>
      </w:r>
      <w:r w:rsidR="001C518D">
        <w:rPr>
          <w:rStyle w:val="Referencingstyle"/>
        </w:rPr>
        <w:t>2</w:t>
      </w:r>
      <w:r w:rsidR="00B12536" w:rsidRPr="003F7083">
        <w:rPr>
          <w:rStyle w:val="Referencingstyle"/>
        </w:rPr>
        <w:t xml:space="preserve">, item </w:t>
      </w:r>
      <w:r w:rsidR="001C518D">
        <w:rPr>
          <w:rStyle w:val="Referencingstyle"/>
        </w:rPr>
        <w:t>1</w:t>
      </w:r>
      <w:r w:rsidR="00B12536" w:rsidRPr="003F7083">
        <w:rPr>
          <w:rStyle w:val="Referencingstyle"/>
        </w:rPr>
        <w:t xml:space="preserve">, </w:t>
      </w:r>
      <w:r w:rsidR="00BF750A">
        <w:rPr>
          <w:rStyle w:val="Referencingstyle"/>
        </w:rPr>
        <w:t>sections </w:t>
      </w:r>
      <w:r w:rsidR="0002375F">
        <w:rPr>
          <w:rStyle w:val="Referencingstyle"/>
        </w:rPr>
        <w:t>12-205</w:t>
      </w:r>
      <w:r w:rsidR="00BF6C72" w:rsidRPr="003F7083">
        <w:rPr>
          <w:rStyle w:val="Referencingstyle"/>
        </w:rPr>
        <w:t xml:space="preserve">and </w:t>
      </w:r>
      <w:r w:rsidR="0002375F">
        <w:rPr>
          <w:rStyle w:val="Referencingstyle"/>
        </w:rPr>
        <w:t>12-285</w:t>
      </w:r>
      <w:r w:rsidR="00BF6C72" w:rsidRPr="003F7083">
        <w:rPr>
          <w:rStyle w:val="Referencingstyle"/>
        </w:rPr>
        <w:t xml:space="preserve">, </w:t>
      </w:r>
      <w:r w:rsidR="00BF6C72">
        <w:rPr>
          <w:rStyle w:val="Referencingstyle"/>
        </w:rPr>
        <w:t xml:space="preserve">, Schedule </w:t>
      </w:r>
      <w:r w:rsidR="001C518D">
        <w:rPr>
          <w:rStyle w:val="Referencingstyle"/>
        </w:rPr>
        <w:t>2</w:t>
      </w:r>
      <w:r w:rsidR="00BF6C72">
        <w:rPr>
          <w:rStyle w:val="Referencingstyle"/>
        </w:rPr>
        <w:t>, item</w:t>
      </w:r>
      <w:r w:rsidR="0002375F">
        <w:rPr>
          <w:rStyle w:val="Referencingstyle"/>
        </w:rPr>
        <w:t>s</w:t>
      </w:r>
      <w:r w:rsidR="00BF6C72">
        <w:rPr>
          <w:rStyle w:val="Referencingstyle"/>
        </w:rPr>
        <w:t xml:space="preserve"> </w:t>
      </w:r>
      <w:r w:rsidR="0002375F">
        <w:rPr>
          <w:rStyle w:val="Referencingstyle"/>
        </w:rPr>
        <w:t>26 and 27</w:t>
      </w:r>
      <w:r w:rsidR="00BF6C72">
        <w:rPr>
          <w:rStyle w:val="Referencingstyle"/>
        </w:rPr>
        <w:t>, note</w:t>
      </w:r>
      <w:r w:rsidR="00B75196">
        <w:rPr>
          <w:rStyle w:val="Referencingstyle"/>
        </w:rPr>
        <w:t>s</w:t>
      </w:r>
      <w:r w:rsidR="00BF6C72">
        <w:rPr>
          <w:rStyle w:val="Referencingstyle"/>
        </w:rPr>
        <w:t xml:space="preserve"> to section 596</w:t>
      </w:r>
      <w:r w:rsidR="00B75196">
        <w:rPr>
          <w:rStyle w:val="Referencingstyle"/>
        </w:rPr>
        <w:t xml:space="preserve"> and 596A</w:t>
      </w:r>
      <w:r w:rsidR="005B63AB" w:rsidRPr="003F7083">
        <w:rPr>
          <w:rStyle w:val="Referencingstyle"/>
        </w:rPr>
        <w:t>]</w:t>
      </w:r>
    </w:p>
    <w:p w14:paraId="302E706A" w14:textId="395FEB26" w:rsidR="00381D8F" w:rsidRPr="007A72B9" w:rsidRDefault="00381D8F" w:rsidP="00381D8F">
      <w:pPr>
        <w:pStyle w:val="base-text-paragraph"/>
        <w:numPr>
          <w:ilvl w:val="0"/>
          <w:numId w:val="0"/>
        </w:numPr>
        <w:ind w:left="1134"/>
        <w:rPr>
          <w:rStyle w:val="Referencingstyle"/>
          <w:b w:val="0"/>
          <w:i w:val="0"/>
          <w:sz w:val="22"/>
        </w:rPr>
      </w:pPr>
    </w:p>
    <w:p w14:paraId="740A3122" w14:textId="4CA3D420" w:rsidR="00A367E6" w:rsidRDefault="00A367E6" w:rsidP="00B17774">
      <w:pPr>
        <w:sectPr w:rsidR="00A367E6" w:rsidSect="00905701">
          <w:footerReference w:type="even" r:id="rId42"/>
          <w:footerReference w:type="default" r:id="rId43"/>
          <w:footerReference w:type="first" r:id="rId44"/>
          <w:type w:val="oddPage"/>
          <w:pgSz w:w="9979" w:h="14175" w:code="34"/>
          <w:pgMar w:top="1440" w:right="1440" w:bottom="1440" w:left="1440" w:header="709" w:footer="709" w:gutter="0"/>
          <w:cols w:space="708"/>
          <w:titlePg/>
          <w:docGrid w:linePitch="360"/>
        </w:sectPr>
      </w:pPr>
    </w:p>
    <w:p w14:paraId="460BC9AE" w14:textId="6807FCF0" w:rsidR="00A367E6" w:rsidRPr="007C2B20" w:rsidRDefault="00A367E6" w:rsidP="00A367E6">
      <w:pPr>
        <w:pStyle w:val="ChapterHeading"/>
        <w:numPr>
          <w:ilvl w:val="0"/>
          <w:numId w:val="26"/>
        </w:numPr>
      </w:pPr>
      <w:r w:rsidRPr="000C2A9D">
        <w:br/>
      </w:r>
      <w:bookmarkStart w:id="96" w:name="_Toc525049781"/>
      <w:bookmarkStart w:id="97" w:name="_Toc525051812"/>
      <w:bookmarkStart w:id="98" w:name="_Toc525140699"/>
      <w:bookmarkStart w:id="99" w:name="_Toc525219820"/>
      <w:bookmarkStart w:id="100" w:name="_Toc525226360"/>
      <w:bookmarkStart w:id="101" w:name="_Toc525894369"/>
      <w:bookmarkStart w:id="102" w:name="_Toc525898820"/>
      <w:bookmarkStart w:id="103" w:name="_Toc525898864"/>
      <w:bookmarkStart w:id="104" w:name="_Toc526434102"/>
      <w:bookmarkStart w:id="105" w:name="_Toc526434630"/>
      <w:r>
        <w:rPr>
          <w:rStyle w:val="ChapterNameOnly"/>
        </w:rPr>
        <w:t>Deregistration of CCIVs and sub-funds</w:t>
      </w:r>
      <w:bookmarkEnd w:id="96"/>
      <w:bookmarkEnd w:id="97"/>
      <w:bookmarkEnd w:id="98"/>
      <w:bookmarkEnd w:id="99"/>
      <w:bookmarkEnd w:id="100"/>
      <w:bookmarkEnd w:id="101"/>
      <w:bookmarkEnd w:id="102"/>
      <w:bookmarkEnd w:id="103"/>
      <w:bookmarkEnd w:id="104"/>
      <w:bookmarkEnd w:id="105"/>
    </w:p>
    <w:p w14:paraId="4D44FA71" w14:textId="77777777" w:rsidR="00A367E6" w:rsidRDefault="00A367E6" w:rsidP="00B17774">
      <w:pPr>
        <w:pStyle w:val="Heading2"/>
      </w:pPr>
      <w:r>
        <w:t>Outline of chapter</w:t>
      </w:r>
    </w:p>
    <w:p w14:paraId="6A489FE8" w14:textId="0626BDA3" w:rsidR="00A367E6" w:rsidRDefault="00A367E6" w:rsidP="00A367E6">
      <w:pPr>
        <w:numPr>
          <w:ilvl w:val="1"/>
          <w:numId w:val="26"/>
        </w:numPr>
      </w:pPr>
      <w:r>
        <w:t>This Chapter outlines the process for deregistering a CCIV and a sub-fund.</w:t>
      </w:r>
    </w:p>
    <w:p w14:paraId="7F2B85D5" w14:textId="77777777" w:rsidR="00A367E6" w:rsidRDefault="00A367E6" w:rsidP="00B17774">
      <w:pPr>
        <w:pStyle w:val="Heading2"/>
      </w:pPr>
      <w:r>
        <w:t>Context of amendments</w:t>
      </w:r>
    </w:p>
    <w:p w14:paraId="52C61B37" w14:textId="1736B4AA" w:rsidR="006F19B2" w:rsidRDefault="00EB44DE" w:rsidP="006F19B2">
      <w:pPr>
        <w:pStyle w:val="base-text-paragraph"/>
      </w:pPr>
      <w:r>
        <w:t xml:space="preserve">Chapter 5A of the </w:t>
      </w:r>
      <w:r w:rsidR="00A3667A">
        <w:t>Act</w:t>
      </w:r>
      <w:r>
        <w:t xml:space="preserve"> sets out the process for deregistering a company. A company may</w:t>
      </w:r>
      <w:r w:rsidR="006F19B2">
        <w:t xml:space="preserve"> be deregistered v</w:t>
      </w:r>
      <w:r>
        <w:t>oluntarily</w:t>
      </w:r>
      <w:r w:rsidR="006F19B2">
        <w:t>,</w:t>
      </w:r>
      <w:r w:rsidR="006F19B2" w:rsidRPr="006F19B2">
        <w:t xml:space="preserve"> </w:t>
      </w:r>
      <w:r w:rsidR="006F19B2">
        <w:t>on ASIC’s initiation or following an amalgamation or winding up process.</w:t>
      </w:r>
    </w:p>
    <w:p w14:paraId="54B65546" w14:textId="768BEEE2" w:rsidR="00EB44DE" w:rsidRDefault="00EB44DE" w:rsidP="00A367E6">
      <w:pPr>
        <w:pStyle w:val="base-text-paragraph"/>
        <w:numPr>
          <w:ilvl w:val="1"/>
          <w:numId w:val="26"/>
        </w:numPr>
      </w:pPr>
      <w:r>
        <w:t xml:space="preserve">Both the CCIV and each sub-fund of the CCIV must register with ASIC. Accordingly, it is necessary to provide a process for deregistering both a sub-fund and the CCIV. </w:t>
      </w:r>
    </w:p>
    <w:p w14:paraId="597F5FA3" w14:textId="77777777" w:rsidR="00A367E6" w:rsidRDefault="00A367E6" w:rsidP="00B17774">
      <w:pPr>
        <w:pStyle w:val="Heading2"/>
      </w:pPr>
      <w:r>
        <w:t>Summary of new law</w:t>
      </w:r>
    </w:p>
    <w:p w14:paraId="06CB4250" w14:textId="6574EA2F" w:rsidR="00EB44DE" w:rsidRDefault="00A367E6" w:rsidP="00A367E6">
      <w:pPr>
        <w:pStyle w:val="base-text-paragraph"/>
        <w:numPr>
          <w:ilvl w:val="1"/>
          <w:numId w:val="26"/>
        </w:numPr>
      </w:pPr>
      <w:r>
        <w:t xml:space="preserve">Division 1 of </w:t>
      </w:r>
      <w:r w:rsidR="00631DE3">
        <w:t>Part 8B.13</w:t>
      </w:r>
      <w:r>
        <w:t xml:space="preserve"> outlines the </w:t>
      </w:r>
      <w:r w:rsidR="00EB44DE">
        <w:t>three procedures</w:t>
      </w:r>
      <w:r>
        <w:t xml:space="preserve"> for deregistering a sub-fund of a CCIV</w:t>
      </w:r>
      <w:r w:rsidR="00EB44DE">
        <w:t xml:space="preserve"> (voluntary deregistration, ASIC-initiated deregistration and deregistration following amalgamation or winding up)</w:t>
      </w:r>
      <w:r>
        <w:t xml:space="preserve">. </w:t>
      </w:r>
      <w:r w:rsidR="00EB44DE">
        <w:t xml:space="preserve">It also sets out the effect of deregistration and the procedure for reinstating a deregistered a sub-fund. These provisions </w:t>
      </w:r>
      <w:r w:rsidR="006F19B2">
        <w:t xml:space="preserve">broadly </w:t>
      </w:r>
      <w:r w:rsidR="00EB44DE">
        <w:t>mirror the provisions that govern deregistration and reinstatement of other types of companies.</w:t>
      </w:r>
    </w:p>
    <w:p w14:paraId="0684DC91" w14:textId="7F431CA6" w:rsidR="00A367E6" w:rsidRPr="008F726E" w:rsidRDefault="00A367E6" w:rsidP="00A367E6">
      <w:pPr>
        <w:pStyle w:val="base-text-paragraph"/>
        <w:numPr>
          <w:ilvl w:val="1"/>
          <w:numId w:val="26"/>
        </w:numPr>
      </w:pPr>
      <w:r>
        <w:t xml:space="preserve">Division 2 </w:t>
      </w:r>
      <w:r w:rsidR="00620980">
        <w:t>sets out the automatic process for deregistering a CCIV</w:t>
      </w:r>
      <w:r>
        <w:t xml:space="preserve"> after all of its sub</w:t>
      </w:r>
      <w:r w:rsidR="006F19B2">
        <w:noBreakHyphen/>
      </w:r>
      <w:r>
        <w:t>funds have been deregistered</w:t>
      </w:r>
      <w:r w:rsidR="00620980">
        <w:t xml:space="preserve"> and </w:t>
      </w:r>
      <w:r w:rsidR="00EB44DE">
        <w:t>the consequences of deregistration</w:t>
      </w:r>
      <w:r>
        <w:t>.</w:t>
      </w:r>
      <w:r w:rsidR="00EB44DE">
        <w:t xml:space="preserve"> </w:t>
      </w:r>
      <w:r w:rsidR="00C123B3">
        <w:t xml:space="preserve">Division 3 </w:t>
      </w:r>
      <w:r w:rsidR="006F19B2">
        <w:t xml:space="preserve">clarifies </w:t>
      </w:r>
      <w:r w:rsidR="00C123B3">
        <w:t xml:space="preserve">that a CCIV cannot transfer its registration to </w:t>
      </w:r>
      <w:r w:rsidR="0027070B">
        <w:t xml:space="preserve">a </w:t>
      </w:r>
      <w:r w:rsidR="00C123B3">
        <w:t>registration under the law of a State or Territory.</w:t>
      </w:r>
    </w:p>
    <w:p w14:paraId="320E4CD1" w14:textId="77777777" w:rsidR="00A367E6" w:rsidRDefault="00A367E6"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A367E6" w:rsidRPr="004666B8" w14:paraId="5DF8B245" w14:textId="77777777" w:rsidTr="009E51EA">
        <w:trPr>
          <w:tblHeader/>
        </w:trPr>
        <w:tc>
          <w:tcPr>
            <w:tcW w:w="3275" w:type="dxa"/>
          </w:tcPr>
          <w:p w14:paraId="69A5B2DC" w14:textId="77777777" w:rsidR="00A367E6" w:rsidRPr="00AA3F3D" w:rsidRDefault="00A367E6" w:rsidP="00B8164F">
            <w:pPr>
              <w:pStyle w:val="tableheaderwithintable"/>
              <w:rPr>
                <w:lang w:eastAsia="en-US"/>
              </w:rPr>
            </w:pPr>
            <w:r w:rsidRPr="00AA3F3D">
              <w:rPr>
                <w:lang w:eastAsia="en-US"/>
              </w:rPr>
              <w:t>New law</w:t>
            </w:r>
          </w:p>
        </w:tc>
        <w:tc>
          <w:tcPr>
            <w:tcW w:w="3276" w:type="dxa"/>
          </w:tcPr>
          <w:p w14:paraId="14CB7FF6" w14:textId="77777777" w:rsidR="00A367E6" w:rsidRPr="00AA3F3D" w:rsidRDefault="00A367E6" w:rsidP="00B8164F">
            <w:pPr>
              <w:pStyle w:val="tableheaderwithintable"/>
              <w:rPr>
                <w:lang w:eastAsia="en-US"/>
              </w:rPr>
            </w:pPr>
            <w:r w:rsidRPr="00AA3F3D">
              <w:rPr>
                <w:lang w:eastAsia="en-US"/>
              </w:rPr>
              <w:t>Current law</w:t>
            </w:r>
          </w:p>
        </w:tc>
      </w:tr>
      <w:tr w:rsidR="00A367E6" w:rsidRPr="004666B8" w14:paraId="0E4EEA90" w14:textId="77777777" w:rsidTr="00B8164F">
        <w:tc>
          <w:tcPr>
            <w:tcW w:w="3275" w:type="dxa"/>
          </w:tcPr>
          <w:p w14:paraId="30251C9B" w14:textId="4C78F8C3" w:rsidR="00FC3DAD" w:rsidRPr="00FC3DAD" w:rsidRDefault="00FC3DAD" w:rsidP="003F7083">
            <w:pPr>
              <w:pStyle w:val="tabletext"/>
              <w:spacing w:before="120" w:after="120"/>
              <w:rPr>
                <w:b/>
              </w:rPr>
            </w:pPr>
            <w:r w:rsidRPr="00FC3DAD">
              <w:rPr>
                <w:b/>
              </w:rPr>
              <w:t>Deregistration of sub-funds</w:t>
            </w:r>
          </w:p>
          <w:p w14:paraId="4BF2154C" w14:textId="6E08EDFF" w:rsidR="00FC3DAD" w:rsidRDefault="00FC3DAD" w:rsidP="003F7083">
            <w:pPr>
              <w:pStyle w:val="tabletext"/>
              <w:spacing w:before="120" w:after="120"/>
            </w:pPr>
            <w:r>
              <w:t>A sub-fund may be voluntarily deregistered, on application by the CCIV, the corporate director or the liquidator of the sub-fund, if:</w:t>
            </w:r>
          </w:p>
          <w:p w14:paraId="28657DB1" w14:textId="77777777" w:rsidR="00FC3DAD" w:rsidRDefault="00FC3DAD" w:rsidP="003F7083">
            <w:pPr>
              <w:pStyle w:val="tabledotpoint"/>
              <w:spacing w:before="120" w:after="120"/>
            </w:pPr>
            <w:r>
              <w:t>the CCIV is not a party to any legal proceedings that relate to the sub-fund; and</w:t>
            </w:r>
          </w:p>
          <w:p w14:paraId="28DBD9DC" w14:textId="5893C9BD" w:rsidR="00A367E6" w:rsidRPr="005358BD" w:rsidRDefault="00FC3DAD" w:rsidP="003F7083">
            <w:pPr>
              <w:pStyle w:val="tabledotpoint"/>
              <w:spacing w:before="120" w:after="120"/>
            </w:pPr>
            <w:r>
              <w:t>the sub-fund has no remaining assets or liabilities.</w:t>
            </w:r>
          </w:p>
        </w:tc>
        <w:tc>
          <w:tcPr>
            <w:tcW w:w="3276" w:type="dxa"/>
          </w:tcPr>
          <w:p w14:paraId="154189C4" w14:textId="6D824A8A" w:rsidR="00A367E6" w:rsidRPr="00AA3F3D" w:rsidRDefault="005358BD" w:rsidP="003F7083">
            <w:pPr>
              <w:pStyle w:val="tabletext"/>
              <w:spacing w:before="120" w:after="120"/>
              <w:rPr>
                <w:lang w:eastAsia="en-US"/>
              </w:rPr>
            </w:pPr>
            <w:r w:rsidRPr="00AA3F3D">
              <w:rPr>
                <w:lang w:eastAsia="en-US"/>
              </w:rPr>
              <w:t>No equivalent.</w:t>
            </w:r>
          </w:p>
        </w:tc>
      </w:tr>
      <w:tr w:rsidR="005358BD" w:rsidRPr="004666B8" w14:paraId="25C75719" w14:textId="77777777" w:rsidTr="00B8164F">
        <w:tc>
          <w:tcPr>
            <w:tcW w:w="3275" w:type="dxa"/>
          </w:tcPr>
          <w:p w14:paraId="1EB0B9BB" w14:textId="4CAEFD5F" w:rsidR="00145880" w:rsidRDefault="00145880" w:rsidP="003F7083">
            <w:pPr>
              <w:pStyle w:val="tabletext"/>
              <w:spacing w:before="120" w:after="120"/>
            </w:pPr>
            <w:r>
              <w:t>ASIC may initiate the deregistration of a sub-fund if:</w:t>
            </w:r>
          </w:p>
          <w:p w14:paraId="7CD2045C" w14:textId="22F2AAE7" w:rsidR="00145880" w:rsidRPr="00145880" w:rsidRDefault="00145880" w:rsidP="003F7083">
            <w:pPr>
              <w:pStyle w:val="tabledotpoint"/>
              <w:spacing w:before="120" w:after="120"/>
            </w:pPr>
            <w:r w:rsidRPr="00145880">
              <w:t>the CCIV has not lodged any documents that relate to the sub</w:t>
            </w:r>
            <w:r w:rsidR="006F19B2">
              <w:noBreakHyphen/>
            </w:r>
            <w:r w:rsidRPr="00145880">
              <w:t xml:space="preserve">fund under the </w:t>
            </w:r>
            <w:r w:rsidR="00A3667A">
              <w:t>Act</w:t>
            </w:r>
            <w:r w:rsidRPr="00145880">
              <w:t xml:space="preserve"> in the last 18 months and ASIC has no reason to believe that the part of the business of the CCIV that relates to the sub-fund is being carried on;</w:t>
            </w:r>
          </w:p>
          <w:p w14:paraId="1FFE3DED" w14:textId="77777777" w:rsidR="00145880" w:rsidRPr="00145880" w:rsidRDefault="00145880" w:rsidP="003F7083">
            <w:pPr>
              <w:pStyle w:val="tabledotpoint"/>
              <w:spacing w:before="120" w:after="120"/>
            </w:pPr>
            <w:r w:rsidRPr="00145880">
              <w:t>the CCIV has not paid the portion of the review fees that relate</w:t>
            </w:r>
            <w:r w:rsidR="00B130C7">
              <w:t>s</w:t>
            </w:r>
            <w:r w:rsidRPr="00145880">
              <w:t xml:space="preserve"> to the sub-fund for at least 12 months after the due date for payment;</w:t>
            </w:r>
          </w:p>
          <w:p w14:paraId="779A745A" w14:textId="77777777" w:rsidR="00145880" w:rsidRPr="00145880" w:rsidRDefault="00145880" w:rsidP="003F7083">
            <w:pPr>
              <w:pStyle w:val="tabledotpoint"/>
              <w:spacing w:before="120" w:after="120"/>
            </w:pPr>
            <w:r w:rsidRPr="00145880">
              <w:t>the liquidator of the sub-fund is no longer acting;</w:t>
            </w:r>
          </w:p>
          <w:p w14:paraId="7B6E96EE" w14:textId="77777777" w:rsidR="00145880" w:rsidRPr="00145880" w:rsidRDefault="00145880" w:rsidP="003F7083">
            <w:pPr>
              <w:pStyle w:val="tabledotpoint"/>
              <w:spacing w:before="120" w:after="120"/>
            </w:pPr>
            <w:r w:rsidRPr="00145880">
              <w:t>the sub-fund’s affairs have been fully wound up and the return that the liquidator should have lodged is at least 6 months late; or</w:t>
            </w:r>
          </w:p>
          <w:p w14:paraId="0324563D" w14:textId="2A258C53" w:rsidR="005358BD" w:rsidRPr="005358BD" w:rsidRDefault="00145880" w:rsidP="003F7083">
            <w:pPr>
              <w:pStyle w:val="tabledotpoint"/>
              <w:spacing w:before="120" w:after="120"/>
            </w:pPr>
            <w:r w:rsidRPr="00145880">
              <w:t>the sub-fund’s affairs have been fully wound up and the assets of the sub-fund are not enough to cover the costs of obtaining a Court order for</w:t>
            </w:r>
            <w:r>
              <w:t xml:space="preserve"> the sub-fund’s deregistration.</w:t>
            </w:r>
          </w:p>
        </w:tc>
        <w:tc>
          <w:tcPr>
            <w:tcW w:w="3276" w:type="dxa"/>
          </w:tcPr>
          <w:p w14:paraId="240D1ABC" w14:textId="6CE98074" w:rsidR="005358BD" w:rsidRPr="00AA3F3D" w:rsidRDefault="005358BD" w:rsidP="003F7083">
            <w:pPr>
              <w:pStyle w:val="tabletext"/>
              <w:spacing w:before="120" w:after="120"/>
              <w:rPr>
                <w:lang w:eastAsia="en-US"/>
              </w:rPr>
            </w:pPr>
            <w:r w:rsidRPr="00AA3F3D">
              <w:rPr>
                <w:lang w:eastAsia="en-US"/>
              </w:rPr>
              <w:t>No equivalent.</w:t>
            </w:r>
          </w:p>
        </w:tc>
      </w:tr>
      <w:tr w:rsidR="005358BD" w:rsidRPr="004666B8" w14:paraId="006238FB" w14:textId="77777777" w:rsidTr="00B8164F">
        <w:tc>
          <w:tcPr>
            <w:tcW w:w="3275" w:type="dxa"/>
          </w:tcPr>
          <w:p w14:paraId="07094FD8" w14:textId="52932B12" w:rsidR="005358BD" w:rsidRPr="00AA3F3D" w:rsidRDefault="00D63B15" w:rsidP="003F7083">
            <w:pPr>
              <w:pStyle w:val="tabletext"/>
              <w:spacing w:before="120" w:after="120"/>
              <w:rPr>
                <w:lang w:eastAsia="en-US"/>
              </w:rPr>
            </w:pPr>
            <w:r w:rsidRPr="00AA3F3D">
              <w:rPr>
                <w:lang w:eastAsia="en-US"/>
              </w:rPr>
              <w:t xml:space="preserve">ASIC is also required to deregister a sub-fund </w:t>
            </w:r>
            <w:r w:rsidR="008C4538" w:rsidRPr="00AA3F3D">
              <w:rPr>
                <w:lang w:eastAsia="en-US"/>
              </w:rPr>
              <w:t xml:space="preserve">if the Court orders </w:t>
            </w:r>
            <w:r w:rsidR="002656E8" w:rsidRPr="00AA3F3D">
              <w:rPr>
                <w:lang w:eastAsia="en-US"/>
              </w:rPr>
              <w:t xml:space="preserve">its </w:t>
            </w:r>
            <w:r w:rsidR="008C4538" w:rsidRPr="00AA3F3D">
              <w:rPr>
                <w:lang w:eastAsia="en-US"/>
              </w:rPr>
              <w:t xml:space="preserve">deregistration </w:t>
            </w:r>
            <w:r w:rsidRPr="00AA3F3D">
              <w:rPr>
                <w:lang w:eastAsia="en-US"/>
              </w:rPr>
              <w:t xml:space="preserve">following the conclusion of a reconstruction under Part 5.1, the release of a liquidator or the </w:t>
            </w:r>
            <w:proofErr w:type="spellStart"/>
            <w:r w:rsidRPr="00AA3F3D">
              <w:rPr>
                <w:lang w:eastAsia="en-US"/>
              </w:rPr>
              <w:t>lodgment</w:t>
            </w:r>
            <w:proofErr w:type="spellEnd"/>
            <w:r w:rsidRPr="00AA3F3D">
              <w:rPr>
                <w:lang w:eastAsia="en-US"/>
              </w:rPr>
              <w:t xml:space="preserve"> of an end of administration return.</w:t>
            </w:r>
          </w:p>
        </w:tc>
        <w:tc>
          <w:tcPr>
            <w:tcW w:w="3276" w:type="dxa"/>
          </w:tcPr>
          <w:p w14:paraId="0B48BC08" w14:textId="24BAFF48" w:rsidR="005358BD" w:rsidRPr="00AA3F3D" w:rsidRDefault="005358BD" w:rsidP="003F7083">
            <w:pPr>
              <w:pStyle w:val="tabletext"/>
              <w:spacing w:before="120" w:after="120"/>
              <w:rPr>
                <w:lang w:eastAsia="en-US"/>
              </w:rPr>
            </w:pPr>
            <w:r w:rsidRPr="00AA3F3D">
              <w:rPr>
                <w:lang w:eastAsia="en-US"/>
              </w:rPr>
              <w:t>No equivalent.</w:t>
            </w:r>
          </w:p>
        </w:tc>
      </w:tr>
      <w:tr w:rsidR="005358BD" w:rsidRPr="004666B8" w14:paraId="1A398734" w14:textId="77777777" w:rsidTr="00B8164F">
        <w:tc>
          <w:tcPr>
            <w:tcW w:w="3275" w:type="dxa"/>
          </w:tcPr>
          <w:p w14:paraId="514B0542" w14:textId="4615A226" w:rsidR="00EF4F8D" w:rsidRPr="004B70BE" w:rsidRDefault="00EF4F8D" w:rsidP="003F7083">
            <w:pPr>
              <w:pStyle w:val="tabletext"/>
              <w:spacing w:before="120" w:after="120"/>
              <w:rPr>
                <w:b/>
              </w:rPr>
            </w:pPr>
            <w:r w:rsidRPr="004B70BE">
              <w:rPr>
                <w:b/>
              </w:rPr>
              <w:t>Retention of books</w:t>
            </w:r>
          </w:p>
          <w:p w14:paraId="65248D33" w14:textId="2B6043CE" w:rsidR="005358BD" w:rsidRPr="00AA3F3D" w:rsidRDefault="00B130C7" w:rsidP="003F7083">
            <w:pPr>
              <w:pStyle w:val="tabletext"/>
              <w:spacing w:before="120" w:after="120"/>
              <w:rPr>
                <w:lang w:eastAsia="en-US"/>
              </w:rPr>
            </w:pPr>
            <w:r w:rsidRPr="00AA3F3D">
              <w:rPr>
                <w:lang w:eastAsia="en-US"/>
              </w:rPr>
              <w:t>The CCIV must retain the books of the sub-fund for three years after the sub-fund</w:t>
            </w:r>
            <w:r w:rsidR="002656E8" w:rsidRPr="00AA3F3D">
              <w:rPr>
                <w:lang w:eastAsia="en-US"/>
              </w:rPr>
              <w:t xml:space="preserve"> is deregistered</w:t>
            </w:r>
            <w:r w:rsidR="00EF4F8D" w:rsidRPr="00AA3F3D">
              <w:rPr>
                <w:lang w:eastAsia="en-US"/>
              </w:rPr>
              <w:t xml:space="preserve">. If the CCIV is also deregistered, the books </w:t>
            </w:r>
            <w:r w:rsidRPr="00AA3F3D">
              <w:rPr>
                <w:lang w:eastAsia="en-US"/>
              </w:rPr>
              <w:t>of the sub-fund and the CCIV must be</w:t>
            </w:r>
            <w:r w:rsidR="00EF4F8D" w:rsidRPr="00AA3F3D">
              <w:rPr>
                <w:lang w:eastAsia="en-US"/>
              </w:rPr>
              <w:t xml:space="preserve"> held by the </w:t>
            </w:r>
            <w:r w:rsidR="007E425F">
              <w:rPr>
                <w:lang w:eastAsia="en-US"/>
              </w:rPr>
              <w:t xml:space="preserve">last </w:t>
            </w:r>
            <w:r w:rsidR="00EF4F8D" w:rsidRPr="00AA3F3D">
              <w:rPr>
                <w:lang w:eastAsia="en-US"/>
              </w:rPr>
              <w:t>corporate director</w:t>
            </w:r>
            <w:r w:rsidR="007E425F">
              <w:rPr>
                <w:lang w:eastAsia="en-US"/>
              </w:rPr>
              <w:t xml:space="preserve"> of the CCIV.</w:t>
            </w:r>
          </w:p>
        </w:tc>
        <w:tc>
          <w:tcPr>
            <w:tcW w:w="3276" w:type="dxa"/>
          </w:tcPr>
          <w:p w14:paraId="4649D9E9" w14:textId="10E7CFB3" w:rsidR="005358BD" w:rsidRPr="00AA3F3D" w:rsidRDefault="005358BD" w:rsidP="003F7083">
            <w:pPr>
              <w:pStyle w:val="tabletext"/>
              <w:spacing w:before="120" w:after="120"/>
              <w:rPr>
                <w:lang w:eastAsia="en-US"/>
              </w:rPr>
            </w:pPr>
            <w:r w:rsidRPr="00AA3F3D">
              <w:rPr>
                <w:lang w:eastAsia="en-US"/>
              </w:rPr>
              <w:t>No equivalent.</w:t>
            </w:r>
          </w:p>
        </w:tc>
      </w:tr>
      <w:tr w:rsidR="005358BD" w:rsidRPr="004666B8" w14:paraId="33A31D33" w14:textId="77777777" w:rsidTr="00B8164F">
        <w:tc>
          <w:tcPr>
            <w:tcW w:w="3275" w:type="dxa"/>
          </w:tcPr>
          <w:p w14:paraId="3B323820" w14:textId="684CFEA8" w:rsidR="00EF4F8D" w:rsidRDefault="00EF4F8D" w:rsidP="003F7083">
            <w:pPr>
              <w:pStyle w:val="tabletext"/>
              <w:spacing w:before="120" w:after="120"/>
              <w:rPr>
                <w:b/>
              </w:rPr>
            </w:pPr>
            <w:r w:rsidRPr="004B70BE">
              <w:rPr>
                <w:b/>
              </w:rPr>
              <w:t>Effect of deregistration</w:t>
            </w:r>
            <w:r w:rsidR="004B70BE" w:rsidRPr="004B70BE">
              <w:rPr>
                <w:b/>
              </w:rPr>
              <w:t xml:space="preserve"> of a sub-fund</w:t>
            </w:r>
          </w:p>
          <w:p w14:paraId="7F5CB1B6" w14:textId="2C77EC80" w:rsidR="00B130C7" w:rsidRDefault="00B130C7" w:rsidP="003F7083">
            <w:pPr>
              <w:pStyle w:val="tabletext"/>
              <w:spacing w:before="120" w:after="120"/>
            </w:pPr>
            <w:r>
              <w:t>On deregistration, the property of the sub-fund vests in either the Commonwealth (for trust property) or ASIC (for other property).</w:t>
            </w:r>
          </w:p>
          <w:p w14:paraId="35AF14B9" w14:textId="2715FD2B" w:rsidR="00171B8D" w:rsidRDefault="00EF4F8D" w:rsidP="003F7083">
            <w:pPr>
              <w:pStyle w:val="tabletext"/>
              <w:spacing w:before="120" w:after="120"/>
            </w:pPr>
            <w:r>
              <w:t>If the Commonwealth or ASIC becomes aware of any outstanding obligations in relation to the deregistered sub-fund and the CCIV</w:t>
            </w:r>
            <w:r w:rsidR="007E425F">
              <w:t>,</w:t>
            </w:r>
            <w:r>
              <w:t xml:space="preserve"> or liquidator would have been bound to act if the sub-fund had not been deregistered, the Commonwealth or ASIC may fulfil the obligation. </w:t>
            </w:r>
          </w:p>
          <w:p w14:paraId="2D55E4BD" w14:textId="5148F35A" w:rsidR="005358BD" w:rsidRPr="004B70BE" w:rsidRDefault="00EF4F8D" w:rsidP="007E425F">
            <w:pPr>
              <w:pStyle w:val="tabletext"/>
              <w:spacing w:before="120" w:after="120"/>
            </w:pPr>
            <w:r>
              <w:t>A creditor of the sub-fund may recover any amount payable to the CCIV under an insurance contract which covered the creditor’s liability immediately before the sub-fund was deregistered.</w:t>
            </w:r>
          </w:p>
        </w:tc>
        <w:tc>
          <w:tcPr>
            <w:tcW w:w="3276" w:type="dxa"/>
          </w:tcPr>
          <w:p w14:paraId="53350239" w14:textId="250241BC" w:rsidR="005358BD" w:rsidRPr="00AA3F3D" w:rsidRDefault="005358BD" w:rsidP="003F7083">
            <w:pPr>
              <w:pStyle w:val="tabletext"/>
              <w:spacing w:before="120" w:after="120"/>
              <w:rPr>
                <w:lang w:eastAsia="en-US"/>
              </w:rPr>
            </w:pPr>
            <w:r w:rsidRPr="00AA3F3D">
              <w:rPr>
                <w:lang w:eastAsia="en-US"/>
              </w:rPr>
              <w:t>No equivalent.</w:t>
            </w:r>
          </w:p>
        </w:tc>
      </w:tr>
      <w:tr w:rsidR="004B70BE" w:rsidRPr="004666B8" w14:paraId="0EFF7343" w14:textId="77777777" w:rsidTr="00B8164F">
        <w:tc>
          <w:tcPr>
            <w:tcW w:w="3275" w:type="dxa"/>
          </w:tcPr>
          <w:p w14:paraId="77CFE6B6" w14:textId="73208A4F" w:rsidR="004B70BE" w:rsidRPr="004B70BE" w:rsidRDefault="00172AFC" w:rsidP="003F7083">
            <w:pPr>
              <w:pStyle w:val="tabletext"/>
              <w:spacing w:before="120" w:after="120"/>
              <w:rPr>
                <w:b/>
              </w:rPr>
            </w:pPr>
            <w:r>
              <w:rPr>
                <w:b/>
              </w:rPr>
              <w:t>D</w:t>
            </w:r>
            <w:r w:rsidR="004B70BE" w:rsidRPr="004B70BE">
              <w:rPr>
                <w:b/>
              </w:rPr>
              <w:t>eregistration of a CCIV</w:t>
            </w:r>
          </w:p>
          <w:p w14:paraId="58A8D783" w14:textId="56D86A15" w:rsidR="00172AFC" w:rsidRDefault="00172AFC" w:rsidP="003F7083">
            <w:pPr>
              <w:pStyle w:val="tabletext"/>
              <w:spacing w:before="120" w:after="120"/>
            </w:pPr>
            <w:r>
              <w:t>A CCIV must be deregistered if it does not have any registered sub-funds.</w:t>
            </w:r>
          </w:p>
          <w:p w14:paraId="77013CCC" w14:textId="1E4F0907" w:rsidR="004B70BE" w:rsidRPr="004B70BE" w:rsidRDefault="004B70BE" w:rsidP="003F7083">
            <w:pPr>
              <w:pStyle w:val="tabletext"/>
              <w:spacing w:before="120" w:after="120"/>
            </w:pPr>
            <w:r>
              <w:t xml:space="preserve">On deregistration, the CCIV ceases to exist. If the retail CCIV is also a passport fund, it ceases to be a passport fund at the time that it is deregistered. </w:t>
            </w:r>
          </w:p>
        </w:tc>
        <w:tc>
          <w:tcPr>
            <w:tcW w:w="3276" w:type="dxa"/>
          </w:tcPr>
          <w:p w14:paraId="05865F37" w14:textId="487A64E2" w:rsidR="004B70BE" w:rsidRPr="00AA3F3D" w:rsidRDefault="00867137" w:rsidP="003F7083">
            <w:pPr>
              <w:pStyle w:val="tabletext"/>
              <w:spacing w:before="120" w:after="120"/>
              <w:rPr>
                <w:lang w:eastAsia="en-US"/>
              </w:rPr>
            </w:pPr>
            <w:r w:rsidRPr="00AA3F3D">
              <w:rPr>
                <w:lang w:eastAsia="en-US"/>
              </w:rPr>
              <w:t>No equivalent.</w:t>
            </w:r>
          </w:p>
        </w:tc>
      </w:tr>
      <w:tr w:rsidR="005358BD" w:rsidRPr="004666B8" w14:paraId="1E76FE7B" w14:textId="77777777" w:rsidTr="00B8164F">
        <w:tc>
          <w:tcPr>
            <w:tcW w:w="3275" w:type="dxa"/>
          </w:tcPr>
          <w:p w14:paraId="735747E4" w14:textId="7B82C1C7" w:rsidR="00AD18B8" w:rsidRPr="004B70BE" w:rsidRDefault="00AD18B8" w:rsidP="003F7083">
            <w:pPr>
              <w:pStyle w:val="tabletext"/>
              <w:spacing w:before="120" w:after="120"/>
              <w:rPr>
                <w:b/>
              </w:rPr>
            </w:pPr>
            <w:r w:rsidRPr="004B70BE">
              <w:rPr>
                <w:b/>
              </w:rPr>
              <w:t xml:space="preserve">Reinstatement of a sub-fund </w:t>
            </w:r>
            <w:r w:rsidR="004B70BE" w:rsidRPr="004B70BE">
              <w:rPr>
                <w:b/>
              </w:rPr>
              <w:t>and</w:t>
            </w:r>
            <w:r w:rsidRPr="004B70BE">
              <w:rPr>
                <w:b/>
              </w:rPr>
              <w:t xml:space="preserve"> a CCIV</w:t>
            </w:r>
          </w:p>
          <w:p w14:paraId="0CFE76FC" w14:textId="2D967CF7" w:rsidR="00AD18B8" w:rsidRDefault="00AD18B8" w:rsidP="003F7083">
            <w:pPr>
              <w:pStyle w:val="tabletext"/>
              <w:spacing w:before="120" w:after="120"/>
            </w:pPr>
            <w:r>
              <w:t>A deregistered sub-fund may be reinstated. If the CCIV has been deregistered, the CCIV must also be reinstated.</w:t>
            </w:r>
          </w:p>
          <w:p w14:paraId="1590D1DF" w14:textId="23CA9CC7" w:rsidR="00AD18B8" w:rsidRDefault="00AD18B8" w:rsidP="003F7083">
            <w:pPr>
              <w:pStyle w:val="tabletext"/>
              <w:spacing w:before="120" w:after="120"/>
            </w:pPr>
            <w:r>
              <w:t xml:space="preserve">After reinstatement the sub-fund is taken to have been registered throughout the period it was deregistered. Any property which vested in the Commonwealth or ASIC on deregistration </w:t>
            </w:r>
            <w:proofErr w:type="spellStart"/>
            <w:r>
              <w:t>revests</w:t>
            </w:r>
            <w:proofErr w:type="spellEnd"/>
            <w:r>
              <w:t xml:space="preserve"> in the CCIV </w:t>
            </w:r>
          </w:p>
          <w:p w14:paraId="57A4BA46" w14:textId="177B41DE" w:rsidR="005358BD" w:rsidRPr="00AD18B8" w:rsidRDefault="00AD18B8" w:rsidP="003F7083">
            <w:pPr>
              <w:pStyle w:val="tabletext"/>
              <w:spacing w:before="120" w:after="120"/>
            </w:pPr>
            <w:r>
              <w:t xml:space="preserve">Similarly, if the CCIV is reinstated, </w:t>
            </w:r>
            <w:r w:rsidR="00B130C7">
              <w:t xml:space="preserve">the </w:t>
            </w:r>
            <w:r>
              <w:t>CCIV is taken to have existed through</w:t>
            </w:r>
            <w:r w:rsidR="008D7C98">
              <w:t>out</w:t>
            </w:r>
            <w:r>
              <w:t xml:space="preserve"> the period it was deregistered. Generally, the persons that were the corporate director and depositary </w:t>
            </w:r>
            <w:r w:rsidR="004B70BE">
              <w:t xml:space="preserve">immediately before </w:t>
            </w:r>
            <w:r>
              <w:t xml:space="preserve">deregistration are reinstated. </w:t>
            </w:r>
          </w:p>
        </w:tc>
        <w:tc>
          <w:tcPr>
            <w:tcW w:w="3276" w:type="dxa"/>
          </w:tcPr>
          <w:p w14:paraId="658AF21C" w14:textId="547977D4" w:rsidR="005358BD" w:rsidRPr="00AA3F3D" w:rsidRDefault="005358BD" w:rsidP="003F7083">
            <w:pPr>
              <w:pStyle w:val="tabletext"/>
              <w:spacing w:before="120" w:after="120"/>
              <w:rPr>
                <w:lang w:eastAsia="en-US"/>
              </w:rPr>
            </w:pPr>
            <w:r w:rsidRPr="00AA3F3D">
              <w:rPr>
                <w:lang w:eastAsia="en-US"/>
              </w:rPr>
              <w:t>No equivalent.</w:t>
            </w:r>
          </w:p>
        </w:tc>
      </w:tr>
    </w:tbl>
    <w:p w14:paraId="04895F4C" w14:textId="77777777" w:rsidR="00A367E6" w:rsidRPr="00B71F0A" w:rsidRDefault="00A367E6" w:rsidP="00B17774">
      <w:pPr>
        <w:pStyle w:val="Heading2"/>
      </w:pPr>
      <w:r>
        <w:t xml:space="preserve">Detailed explanation of new </w:t>
      </w:r>
      <w:r w:rsidRPr="00B71F0A">
        <w:t>law</w:t>
      </w:r>
    </w:p>
    <w:p w14:paraId="707A7C1C" w14:textId="3156AA31" w:rsidR="00F30A2E" w:rsidRPr="00B71F0A" w:rsidRDefault="00F30A2E" w:rsidP="00F30A2E">
      <w:pPr>
        <w:pStyle w:val="Heading3"/>
      </w:pPr>
      <w:r w:rsidRPr="00B71F0A">
        <w:t xml:space="preserve">Deregistration of </w:t>
      </w:r>
      <w:r w:rsidR="00CB5A15" w:rsidRPr="00B71F0A">
        <w:t>a sub-fund</w:t>
      </w:r>
    </w:p>
    <w:p w14:paraId="251996F1" w14:textId="009769A0" w:rsidR="00A367E6" w:rsidRPr="00A0696A" w:rsidRDefault="00DF7564" w:rsidP="00A367E6">
      <w:pPr>
        <w:pStyle w:val="base-text-paragraph"/>
        <w:numPr>
          <w:ilvl w:val="1"/>
          <w:numId w:val="26"/>
        </w:numPr>
      </w:pPr>
      <w:r w:rsidRPr="009D7EDC">
        <w:t>T</w:t>
      </w:r>
      <w:r w:rsidR="00F30A2E" w:rsidRPr="000D3D79">
        <w:t xml:space="preserve">here are three </w:t>
      </w:r>
      <w:r w:rsidRPr="00A0696A">
        <w:t>processes for deregistering a sub-fund</w:t>
      </w:r>
      <w:r w:rsidR="00F30A2E" w:rsidRPr="00A0696A">
        <w:t>:</w:t>
      </w:r>
    </w:p>
    <w:p w14:paraId="3C9AFBC9" w14:textId="76AC9B35" w:rsidR="00F30A2E" w:rsidRPr="00B71F0A" w:rsidRDefault="004B6DFB" w:rsidP="00F30A2E">
      <w:pPr>
        <w:pStyle w:val="dotpoint"/>
      </w:pPr>
      <w:r>
        <w:t>v</w:t>
      </w:r>
      <w:r w:rsidR="00F30A2E" w:rsidRPr="00B71F0A">
        <w:t xml:space="preserve">oluntary deregistration; </w:t>
      </w:r>
    </w:p>
    <w:p w14:paraId="10BE2261" w14:textId="56DC6446" w:rsidR="00F30A2E" w:rsidRPr="00B71F0A" w:rsidRDefault="00F30A2E" w:rsidP="00F30A2E">
      <w:pPr>
        <w:pStyle w:val="dotpoint"/>
      </w:pPr>
      <w:r w:rsidRPr="00B71F0A">
        <w:t>ASIC-initiated deregistration; and</w:t>
      </w:r>
    </w:p>
    <w:p w14:paraId="364A2E3B" w14:textId="56CB4673" w:rsidR="00F30A2E" w:rsidRPr="00B71F0A" w:rsidRDefault="004B6DFB" w:rsidP="00F30A2E">
      <w:pPr>
        <w:pStyle w:val="dotpoint"/>
      </w:pPr>
      <w:r>
        <w:t>d</w:t>
      </w:r>
      <w:r w:rsidR="00F30A2E" w:rsidRPr="00B71F0A">
        <w:t xml:space="preserve">eregistration following </w:t>
      </w:r>
      <w:r w:rsidR="002E2CF8" w:rsidRPr="00B71F0A">
        <w:t xml:space="preserve">amalgamation or </w:t>
      </w:r>
      <w:r w:rsidR="00F30A2E" w:rsidRPr="00B71F0A">
        <w:t>winding up</w:t>
      </w:r>
      <w:r>
        <w:t>.</w:t>
      </w:r>
    </w:p>
    <w:p w14:paraId="4F5EAA14" w14:textId="6B2E351B" w:rsidR="00376E9A" w:rsidRPr="00B71F0A" w:rsidRDefault="00376E9A" w:rsidP="00F6336D">
      <w:pPr>
        <w:pStyle w:val="dotpoint"/>
        <w:numPr>
          <w:ilvl w:val="0"/>
          <w:numId w:val="0"/>
        </w:numPr>
        <w:ind w:left="1985"/>
      </w:pPr>
      <w:r w:rsidRPr="00B71F0A">
        <w:rPr>
          <w:rStyle w:val="Referencingstyle"/>
        </w:rPr>
        <w:t xml:space="preserve">[Schedule </w:t>
      </w:r>
      <w:r w:rsidR="0034548F">
        <w:rPr>
          <w:rStyle w:val="Referencingstyle"/>
        </w:rPr>
        <w:t>3</w:t>
      </w:r>
      <w:r w:rsidRPr="00B71F0A">
        <w:rPr>
          <w:rStyle w:val="Referencingstyle"/>
        </w:rPr>
        <w:t xml:space="preserve">, item </w:t>
      </w:r>
      <w:r w:rsidR="0034548F">
        <w:rPr>
          <w:rStyle w:val="Referencingstyle"/>
        </w:rPr>
        <w:t>1</w:t>
      </w:r>
      <w:r w:rsidR="0034548F" w:rsidRPr="00B71F0A">
        <w:rPr>
          <w:rStyle w:val="Referencingstyle"/>
        </w:rPr>
        <w:t xml:space="preserve">, </w:t>
      </w:r>
      <w:r w:rsidRPr="00B71F0A">
        <w:rPr>
          <w:rStyle w:val="Referencingstyle"/>
        </w:rPr>
        <w:t>section</w:t>
      </w:r>
      <w:r w:rsidR="00DF7564" w:rsidRPr="00B71F0A">
        <w:rPr>
          <w:rStyle w:val="Referencingstyle"/>
        </w:rPr>
        <w:t>s</w:t>
      </w:r>
      <w:r w:rsidRPr="00B71F0A">
        <w:rPr>
          <w:rStyle w:val="Referencingstyle"/>
        </w:rPr>
        <w:t xml:space="preserve"> </w:t>
      </w:r>
      <w:r w:rsidR="0034548F">
        <w:rPr>
          <w:rStyle w:val="Referencingstyle"/>
        </w:rPr>
        <w:t>13-000,</w:t>
      </w:r>
      <w:r w:rsidR="00DF7564" w:rsidRPr="00B71F0A">
        <w:rPr>
          <w:rStyle w:val="Referencingstyle"/>
        </w:rPr>
        <w:t xml:space="preserve"> </w:t>
      </w:r>
      <w:r w:rsidR="0034548F">
        <w:rPr>
          <w:rStyle w:val="Referencingstyle"/>
        </w:rPr>
        <w:t>13-005</w:t>
      </w:r>
      <w:r w:rsidR="00DF7564" w:rsidRPr="00B71F0A">
        <w:rPr>
          <w:rStyle w:val="Referencingstyle"/>
        </w:rPr>
        <w:t xml:space="preserve"> </w:t>
      </w:r>
      <w:r w:rsidR="0034548F">
        <w:rPr>
          <w:rStyle w:val="Referencingstyle"/>
        </w:rPr>
        <w:t>and 13-015</w:t>
      </w:r>
      <w:r w:rsidR="00DF7564" w:rsidRPr="00B71F0A">
        <w:rPr>
          <w:rStyle w:val="Referencingstyle"/>
        </w:rPr>
        <w:t xml:space="preserve"> and</w:t>
      </w:r>
      <w:r w:rsidR="008A7153">
        <w:rPr>
          <w:rStyle w:val="Referencingstyle"/>
        </w:rPr>
        <w:t xml:space="preserve"> </w:t>
      </w:r>
      <w:r w:rsidR="00DF7564" w:rsidRPr="00B71F0A">
        <w:rPr>
          <w:rStyle w:val="Referencingstyle"/>
        </w:rPr>
        <w:t xml:space="preserve">item </w:t>
      </w:r>
      <w:r w:rsidR="0034548F">
        <w:rPr>
          <w:rStyle w:val="Referencingstyle"/>
        </w:rPr>
        <w:t>2</w:t>
      </w:r>
      <w:r w:rsidR="0034548F" w:rsidRPr="00B71F0A">
        <w:rPr>
          <w:rStyle w:val="Referencingstyle"/>
        </w:rPr>
        <w:t xml:space="preserve">, </w:t>
      </w:r>
      <w:r w:rsidR="00DF7564" w:rsidRPr="00B71F0A">
        <w:rPr>
          <w:rStyle w:val="Referencingstyle"/>
        </w:rPr>
        <w:t>note 1 to Part 5A.1.</w:t>
      </w:r>
      <w:r w:rsidRPr="00B71F0A">
        <w:rPr>
          <w:rStyle w:val="Referencingstyle"/>
        </w:rPr>
        <w:t>]</w:t>
      </w:r>
    </w:p>
    <w:p w14:paraId="4E72DD59" w14:textId="527AE2E1" w:rsidR="00376E9A" w:rsidRPr="00B71F0A" w:rsidRDefault="00376E9A" w:rsidP="00376E9A">
      <w:pPr>
        <w:pStyle w:val="Heading4"/>
      </w:pPr>
      <w:r w:rsidRPr="00B71F0A">
        <w:t>Voluntary deregistration</w:t>
      </w:r>
    </w:p>
    <w:p w14:paraId="3DBA07A1" w14:textId="77777777" w:rsidR="007E0687" w:rsidRPr="00B71F0A" w:rsidRDefault="00376E9A" w:rsidP="00376E9A">
      <w:pPr>
        <w:pStyle w:val="base-text-paragraph"/>
      </w:pPr>
      <w:bookmarkStart w:id="106" w:name="_Ref525654448"/>
      <w:r w:rsidRPr="00B71F0A">
        <w:t>The CCIV, the corporate director of the CCIV or the liquidator of the sub-fund may apply for the sub-fund to be deregistered if</w:t>
      </w:r>
      <w:r w:rsidR="007E0687" w:rsidRPr="00B71F0A">
        <w:t>:</w:t>
      </w:r>
      <w:bookmarkEnd w:id="106"/>
    </w:p>
    <w:p w14:paraId="5782136D" w14:textId="6F1B94D2" w:rsidR="007E0687" w:rsidRPr="00B71F0A" w:rsidRDefault="007E0687" w:rsidP="007E0687">
      <w:pPr>
        <w:pStyle w:val="dotpoint"/>
      </w:pPr>
      <w:r w:rsidRPr="00B71F0A">
        <w:t>the CCIV is not a party to any legal proceedings that relate to the sub-fund;</w:t>
      </w:r>
      <w:r w:rsidR="0094760A" w:rsidRPr="00B71F0A">
        <w:t xml:space="preserve"> and</w:t>
      </w:r>
    </w:p>
    <w:p w14:paraId="31CD0C20" w14:textId="75130D72" w:rsidR="007E0687" w:rsidRPr="00B71F0A" w:rsidRDefault="007E0687" w:rsidP="0094760A">
      <w:pPr>
        <w:pStyle w:val="dotpoint"/>
      </w:pPr>
      <w:r w:rsidRPr="00B71F0A">
        <w:t xml:space="preserve">the sub-fund has no remaining </w:t>
      </w:r>
      <w:r w:rsidR="0094760A" w:rsidRPr="00B71F0A">
        <w:t>assets or liabilities</w:t>
      </w:r>
      <w:r w:rsidRPr="00B71F0A">
        <w:t>.</w:t>
      </w:r>
    </w:p>
    <w:p w14:paraId="6C8A146E" w14:textId="44BE2217" w:rsidR="007E0687" w:rsidRPr="00B71F0A" w:rsidRDefault="007E0687" w:rsidP="007E0687">
      <w:pPr>
        <w:pStyle w:val="base-text-paragraph"/>
        <w:numPr>
          <w:ilvl w:val="0"/>
          <w:numId w:val="0"/>
        </w:numPr>
        <w:ind w:left="1984"/>
      </w:pPr>
      <w:r w:rsidRPr="00B71F0A">
        <w:rPr>
          <w:rStyle w:val="Referencingstyle"/>
        </w:rPr>
        <w:t xml:space="preserve"> [Schedule </w:t>
      </w:r>
      <w:r w:rsidR="0034548F">
        <w:rPr>
          <w:rStyle w:val="Referencingstyle"/>
        </w:rPr>
        <w:t>3</w:t>
      </w:r>
      <w:r w:rsidRPr="00B71F0A">
        <w:rPr>
          <w:rStyle w:val="Referencingstyle"/>
        </w:rPr>
        <w:t xml:space="preserve">, item </w:t>
      </w:r>
      <w:r w:rsidR="0034548F">
        <w:rPr>
          <w:rStyle w:val="Referencingstyle"/>
        </w:rPr>
        <w:t>1</w:t>
      </w:r>
      <w:r w:rsidR="0034548F" w:rsidRPr="00B71F0A">
        <w:rPr>
          <w:rStyle w:val="Referencingstyle"/>
        </w:rPr>
        <w:t xml:space="preserve">, </w:t>
      </w:r>
      <w:r w:rsidRPr="00B71F0A">
        <w:rPr>
          <w:rStyle w:val="Referencingstyle"/>
        </w:rPr>
        <w:t>subsection</w:t>
      </w:r>
      <w:r w:rsidR="0094760A" w:rsidRPr="00B71F0A">
        <w:rPr>
          <w:rStyle w:val="Referencingstyle"/>
        </w:rPr>
        <w:t>s</w:t>
      </w:r>
      <w:r w:rsidRPr="00B71F0A">
        <w:rPr>
          <w:rStyle w:val="Referencingstyle"/>
        </w:rPr>
        <w:t xml:space="preserve"> </w:t>
      </w:r>
      <w:r w:rsidR="0034548F">
        <w:rPr>
          <w:rStyle w:val="Referencingstyle"/>
        </w:rPr>
        <w:t>13-000</w:t>
      </w:r>
      <w:r w:rsidRPr="00B71F0A">
        <w:rPr>
          <w:rStyle w:val="Referencingstyle"/>
        </w:rPr>
        <w:t>(</w:t>
      </w:r>
      <w:r w:rsidR="0094760A" w:rsidRPr="00B71F0A">
        <w:rPr>
          <w:rStyle w:val="Referencingstyle"/>
        </w:rPr>
        <w:t>1) and (2)</w:t>
      </w:r>
      <w:r w:rsidRPr="00B71F0A">
        <w:rPr>
          <w:rStyle w:val="Referencingstyle"/>
        </w:rPr>
        <w:t>]</w:t>
      </w:r>
    </w:p>
    <w:p w14:paraId="316EED2B" w14:textId="107A1AB6" w:rsidR="00AE0E75" w:rsidRPr="00B71F0A" w:rsidRDefault="00AE0E75" w:rsidP="00AE0E75">
      <w:pPr>
        <w:pStyle w:val="base-text-paragraph"/>
      </w:pPr>
      <w:r w:rsidRPr="00B71F0A">
        <w:t xml:space="preserve">There is no requirement for the CCIV to have no remaining members with shares referable to the sub-fund. This </w:t>
      </w:r>
      <w:r w:rsidR="00CB0549">
        <w:t>allows</w:t>
      </w:r>
      <w:r w:rsidR="00CB0549" w:rsidRPr="00B71F0A">
        <w:t xml:space="preserve"> </w:t>
      </w:r>
      <w:r w:rsidRPr="00B71F0A">
        <w:t xml:space="preserve">the CCIV </w:t>
      </w:r>
      <w:r w:rsidR="00CB0549">
        <w:t>to</w:t>
      </w:r>
      <w:r w:rsidR="00CB0549" w:rsidRPr="00B71F0A">
        <w:t xml:space="preserve"> </w:t>
      </w:r>
      <w:r w:rsidRPr="00B71F0A">
        <w:t>apply for voluntary deregistration</w:t>
      </w:r>
      <w:r w:rsidR="00CB0549">
        <w:t xml:space="preserve"> of the sub-fund</w:t>
      </w:r>
      <w:r w:rsidRPr="00B71F0A">
        <w:t xml:space="preserve"> </w:t>
      </w:r>
      <w:r w:rsidR="00CB0549">
        <w:t xml:space="preserve">even </w:t>
      </w:r>
      <w:r w:rsidRPr="00B71F0A">
        <w:t xml:space="preserve">if it </w:t>
      </w:r>
      <w:r w:rsidR="00CB0549">
        <w:t xml:space="preserve">is unable to redeem shares in the sub-fund because it </w:t>
      </w:r>
      <w:r w:rsidRPr="00B71F0A">
        <w:t xml:space="preserve">cannot locate </w:t>
      </w:r>
      <w:r w:rsidR="0027070B" w:rsidRPr="00B71F0A">
        <w:t>the</w:t>
      </w:r>
      <w:r w:rsidRPr="00B71F0A">
        <w:t xml:space="preserve"> members </w:t>
      </w:r>
      <w:r w:rsidR="00CB0549">
        <w:t>who own those shares</w:t>
      </w:r>
      <w:r w:rsidRPr="00B71F0A">
        <w:t xml:space="preserve"> (provided the other condition</w:t>
      </w:r>
      <w:r w:rsidR="0027070B" w:rsidRPr="00B71F0A">
        <w:t>s</w:t>
      </w:r>
      <w:r w:rsidRPr="00B71F0A">
        <w:t xml:space="preserve"> for voluntary deregistration </w:t>
      </w:r>
      <w:r w:rsidR="0027070B" w:rsidRPr="00B71F0A">
        <w:t>are</w:t>
      </w:r>
      <w:r w:rsidRPr="00B71F0A">
        <w:t xml:space="preserve"> satisfied). </w:t>
      </w:r>
    </w:p>
    <w:p w14:paraId="547B8718" w14:textId="4D2E94D0" w:rsidR="00376E9A" w:rsidRPr="00B71F0A" w:rsidRDefault="00AE0E75" w:rsidP="000C5671">
      <w:pPr>
        <w:pStyle w:val="base-text-paragraph"/>
      </w:pPr>
      <w:r w:rsidRPr="00B71F0A">
        <w:t xml:space="preserve">The circumstances in which a sub-fund can be </w:t>
      </w:r>
      <w:r w:rsidR="00CB0549" w:rsidRPr="00B71F0A">
        <w:t xml:space="preserve">voluntarily </w:t>
      </w:r>
      <w:r w:rsidRPr="00B71F0A">
        <w:t xml:space="preserve">deregistered </w:t>
      </w:r>
      <w:r w:rsidR="00CB0549">
        <w:t>generally</w:t>
      </w:r>
      <w:r w:rsidRPr="00B71F0A">
        <w:t xml:space="preserve"> mirror</w:t>
      </w:r>
      <w:r w:rsidR="007F3E78" w:rsidRPr="00B71F0A">
        <w:t xml:space="preserve"> the </w:t>
      </w:r>
      <w:r w:rsidR="0027070B" w:rsidRPr="00B71F0A">
        <w:t>circumstances</w:t>
      </w:r>
      <w:r w:rsidR="007F3E78" w:rsidRPr="00B71F0A">
        <w:t xml:space="preserve"> for </w:t>
      </w:r>
      <w:r w:rsidRPr="00B71F0A">
        <w:t>companies</w:t>
      </w:r>
      <w:r w:rsidR="007F3E78" w:rsidRPr="00B71F0A">
        <w:t xml:space="preserve"> in subsections 601AA(1) and (2).</w:t>
      </w:r>
      <w:r w:rsidR="00376E9A" w:rsidRPr="00B71F0A">
        <w:rPr>
          <w:rStyle w:val="Referencingstyle"/>
        </w:rPr>
        <w:t xml:space="preserve"> </w:t>
      </w:r>
      <w:r w:rsidR="000C5671" w:rsidRPr="00B71F0A">
        <w:t xml:space="preserve">While there is no explicit requirement for the CCIV </w:t>
      </w:r>
      <w:r w:rsidR="0027070B" w:rsidRPr="00B71F0A">
        <w:t xml:space="preserve">not </w:t>
      </w:r>
      <w:r w:rsidR="000C5671" w:rsidRPr="00B71F0A">
        <w:t xml:space="preserve">to be carrying on any business that relates to the sub-fund, this </w:t>
      </w:r>
      <w:r w:rsidRPr="00B71F0A">
        <w:t>is</w:t>
      </w:r>
      <w:r w:rsidR="000C5671" w:rsidRPr="00B71F0A">
        <w:t xml:space="preserve"> </w:t>
      </w:r>
      <w:r w:rsidR="006E2F99">
        <w:t>generally</w:t>
      </w:r>
      <w:r w:rsidR="006E2F99" w:rsidRPr="00B71F0A">
        <w:t xml:space="preserve"> </w:t>
      </w:r>
      <w:r w:rsidR="000C5671" w:rsidRPr="00B71F0A">
        <w:t>the case if the sub-fund has no remaining assets</w:t>
      </w:r>
      <w:r w:rsidR="0094760A" w:rsidRPr="00B71F0A">
        <w:t xml:space="preserve"> or</w:t>
      </w:r>
      <w:r w:rsidR="000C5671" w:rsidRPr="00B71F0A">
        <w:t xml:space="preserve"> liabilities</w:t>
      </w:r>
      <w:r w:rsidR="0027070B" w:rsidRPr="00B71F0A">
        <w:t>.</w:t>
      </w:r>
    </w:p>
    <w:p w14:paraId="551BA852" w14:textId="61368EA5" w:rsidR="00AE0E75" w:rsidRPr="00B71F0A" w:rsidRDefault="007E0687" w:rsidP="00AE0E75">
      <w:pPr>
        <w:pStyle w:val="base-text-paragraph"/>
      </w:pPr>
      <w:r w:rsidRPr="00B71F0A">
        <w:t xml:space="preserve">Applications </w:t>
      </w:r>
      <w:r w:rsidR="0027070B" w:rsidRPr="00B71F0A">
        <w:t xml:space="preserve">to voluntarily deregister a sub-fund </w:t>
      </w:r>
      <w:r w:rsidRPr="00B71F0A">
        <w:t>must be in the prescribed form</w:t>
      </w:r>
      <w:r w:rsidR="00AE0E75" w:rsidRPr="00B71F0A">
        <w:t xml:space="preserve"> and, if the CCIV lodges the application, the CCIV must nominate a person who is to be given notice of the deregistration.</w:t>
      </w:r>
      <w:r w:rsidR="00AE0E75" w:rsidRPr="00B71F0A">
        <w:rPr>
          <w:rStyle w:val="Referencingstyle"/>
        </w:rPr>
        <w:t xml:space="preserve"> [Schedule</w:t>
      </w:r>
      <w:r w:rsidR="00C220A8">
        <w:rPr>
          <w:rStyle w:val="Referencingstyle"/>
        </w:rPr>
        <w:t> </w:t>
      </w:r>
      <w:r w:rsidR="0034548F">
        <w:rPr>
          <w:rStyle w:val="Referencingstyle"/>
        </w:rPr>
        <w:t>3</w:t>
      </w:r>
      <w:r w:rsidR="00AE0E75" w:rsidRPr="00B71F0A">
        <w:rPr>
          <w:rStyle w:val="Referencingstyle"/>
        </w:rPr>
        <w:t xml:space="preserve">, item </w:t>
      </w:r>
      <w:r w:rsidR="0034548F">
        <w:rPr>
          <w:rStyle w:val="Referencingstyle"/>
        </w:rPr>
        <w:t>1</w:t>
      </w:r>
      <w:r w:rsidR="0034548F" w:rsidRPr="00B71F0A">
        <w:rPr>
          <w:rStyle w:val="Referencingstyle"/>
        </w:rPr>
        <w:t xml:space="preserve">, </w:t>
      </w:r>
      <w:r w:rsidR="00AE0E75" w:rsidRPr="00B71F0A">
        <w:rPr>
          <w:rStyle w:val="Referencingstyle"/>
        </w:rPr>
        <w:t xml:space="preserve">subsections </w:t>
      </w:r>
      <w:r w:rsidR="0034548F">
        <w:rPr>
          <w:rStyle w:val="Referencingstyle"/>
        </w:rPr>
        <w:t>13-000</w:t>
      </w:r>
      <w:r w:rsidR="00AE0E75" w:rsidRPr="00B71F0A">
        <w:rPr>
          <w:rStyle w:val="Referencingstyle"/>
        </w:rPr>
        <w:t>(1) and (3)]</w:t>
      </w:r>
    </w:p>
    <w:p w14:paraId="044F4EEB" w14:textId="093619A1" w:rsidR="007E0687" w:rsidRPr="00B71F0A" w:rsidRDefault="007E0687" w:rsidP="007E0687">
      <w:pPr>
        <w:pStyle w:val="base-text-paragraph"/>
      </w:pPr>
      <w:r w:rsidRPr="00B71F0A">
        <w:t xml:space="preserve">ASIC also has a power to ask for information about </w:t>
      </w:r>
      <w:r w:rsidR="0027070B" w:rsidRPr="00B71F0A">
        <w:t xml:space="preserve">the </w:t>
      </w:r>
      <w:r w:rsidRPr="00B71F0A">
        <w:t xml:space="preserve">current and former officers of the CCIV (including the corporate director or the liquidator) </w:t>
      </w:r>
      <w:r w:rsidR="00AE0E75" w:rsidRPr="00B71F0A">
        <w:t>and the current and former officers of the corporate director. This parallels ASIC</w:t>
      </w:r>
      <w:r w:rsidR="008A4CF6" w:rsidRPr="00B71F0A">
        <w:t>’s</w:t>
      </w:r>
      <w:r w:rsidR="00AE0E75" w:rsidRPr="00B71F0A">
        <w:t xml:space="preserve"> information-gathering powers </w:t>
      </w:r>
      <w:r w:rsidR="008A4CF6" w:rsidRPr="00B71F0A">
        <w:t xml:space="preserve">when deregistering a company </w:t>
      </w:r>
      <w:r w:rsidR="00AE0E75" w:rsidRPr="00B71F0A">
        <w:t>in</w:t>
      </w:r>
      <w:r w:rsidRPr="00B71F0A">
        <w:t xml:space="preserve"> existing subsection 601AA(4). </w:t>
      </w:r>
      <w:r w:rsidR="00AE0E75" w:rsidRPr="00B71F0A">
        <w:rPr>
          <w:rStyle w:val="Referencingstyle"/>
        </w:rPr>
        <w:t xml:space="preserve">[Schedule </w:t>
      </w:r>
      <w:r w:rsidR="0034548F">
        <w:rPr>
          <w:rStyle w:val="Referencingstyle"/>
        </w:rPr>
        <w:t>3</w:t>
      </w:r>
      <w:r w:rsidR="00AE0E75" w:rsidRPr="00B71F0A">
        <w:rPr>
          <w:rStyle w:val="Referencingstyle"/>
        </w:rPr>
        <w:t>,</w:t>
      </w:r>
      <w:r w:rsidR="00097B13">
        <w:rPr>
          <w:rStyle w:val="Referencingstyle"/>
        </w:rPr>
        <w:t xml:space="preserve"> </w:t>
      </w:r>
      <w:r w:rsidR="00AE0E75" w:rsidRPr="00B71F0A">
        <w:rPr>
          <w:rStyle w:val="Referencingstyle"/>
        </w:rPr>
        <w:t xml:space="preserve">item </w:t>
      </w:r>
      <w:r w:rsidR="0034548F">
        <w:rPr>
          <w:rStyle w:val="Referencingstyle"/>
        </w:rPr>
        <w:t>1</w:t>
      </w:r>
      <w:r w:rsidR="0034548F" w:rsidRPr="00B71F0A">
        <w:rPr>
          <w:rStyle w:val="Referencingstyle"/>
        </w:rPr>
        <w:t xml:space="preserve">, </w:t>
      </w:r>
      <w:r w:rsidR="00AE0E75" w:rsidRPr="00B71F0A">
        <w:rPr>
          <w:rStyle w:val="Referencingstyle"/>
        </w:rPr>
        <w:t xml:space="preserve">subsection </w:t>
      </w:r>
      <w:r w:rsidR="0034548F">
        <w:rPr>
          <w:rStyle w:val="Referencingstyle"/>
        </w:rPr>
        <w:t>13-000</w:t>
      </w:r>
      <w:r w:rsidR="00AE0E75" w:rsidRPr="00B71F0A">
        <w:rPr>
          <w:rStyle w:val="Referencingstyle"/>
        </w:rPr>
        <w:t>(4)</w:t>
      </w:r>
      <w:r w:rsidRPr="00B71F0A">
        <w:rPr>
          <w:rStyle w:val="Referencingstyle"/>
        </w:rPr>
        <w:t>]</w:t>
      </w:r>
    </w:p>
    <w:p w14:paraId="1B8F802A" w14:textId="050B34A6" w:rsidR="0017312C" w:rsidRPr="00B71F0A" w:rsidRDefault="007E0687" w:rsidP="0017312C">
      <w:pPr>
        <w:pStyle w:val="base-text-paragraph"/>
        <w:rPr>
          <w:rStyle w:val="Referencingstyle"/>
          <w:b w:val="0"/>
          <w:i w:val="0"/>
          <w:sz w:val="22"/>
        </w:rPr>
      </w:pPr>
      <w:bookmarkStart w:id="107" w:name="_Ref523237517"/>
      <w:r w:rsidRPr="009D7EDC">
        <w:t xml:space="preserve">The procedure for ASIC </w:t>
      </w:r>
      <w:r w:rsidR="008A4CF6" w:rsidRPr="00B71F0A">
        <w:t>to deregister</w:t>
      </w:r>
      <w:r w:rsidRPr="00B71F0A">
        <w:t xml:space="preserve"> </w:t>
      </w:r>
      <w:r w:rsidR="008A4CF6" w:rsidRPr="00B71F0A">
        <w:t>a</w:t>
      </w:r>
      <w:r w:rsidRPr="00B71F0A">
        <w:t xml:space="preserve"> sub-fund </w:t>
      </w:r>
      <w:r w:rsidR="0017312C" w:rsidRPr="00B71F0A">
        <w:t>is the same as</w:t>
      </w:r>
      <w:r w:rsidRPr="00B71F0A">
        <w:t xml:space="preserve"> the procedure for deregistering a company in existing subsections</w:t>
      </w:r>
      <w:r w:rsidR="00C220A8">
        <w:t> </w:t>
      </w:r>
      <w:r w:rsidRPr="00B71F0A">
        <w:t xml:space="preserve">601AA(4) to </w:t>
      </w:r>
      <w:r w:rsidR="00AE0E75" w:rsidRPr="00B71F0A">
        <w:t xml:space="preserve">(7). It involves </w:t>
      </w:r>
      <w:r w:rsidR="00473965" w:rsidRPr="00B71F0A">
        <w:t xml:space="preserve">ASIC giving two months’ notice of the intended deregistration </w:t>
      </w:r>
      <w:r w:rsidR="00AE0E75" w:rsidRPr="00B71F0A">
        <w:t>on its database and publishing a notice of the proposed deregistration</w:t>
      </w:r>
      <w:r w:rsidR="00635134" w:rsidRPr="00B71F0A">
        <w:t>. After the two months has passed, ASIC may deregister the sub-fund. It must also notify</w:t>
      </w:r>
      <w:r w:rsidR="00473965" w:rsidRPr="00B71F0A">
        <w:t xml:space="preserve"> the applicant (or their nominee) when the deregistration has occurred.</w:t>
      </w:r>
      <w:r w:rsidR="0017312C" w:rsidRPr="00B71F0A">
        <w:rPr>
          <w:rStyle w:val="Referencingstyle"/>
        </w:rPr>
        <w:t xml:space="preserve"> [Schedule</w:t>
      </w:r>
      <w:r w:rsidR="00097B13">
        <w:rPr>
          <w:rStyle w:val="Referencingstyle"/>
        </w:rPr>
        <w:t> </w:t>
      </w:r>
      <w:r w:rsidR="0034548F">
        <w:rPr>
          <w:rStyle w:val="Referencingstyle"/>
        </w:rPr>
        <w:t>3</w:t>
      </w:r>
      <w:r w:rsidR="0017312C" w:rsidRPr="00B71F0A">
        <w:rPr>
          <w:rStyle w:val="Referencingstyle"/>
        </w:rPr>
        <w:t xml:space="preserve">, item </w:t>
      </w:r>
      <w:r w:rsidR="0034548F">
        <w:rPr>
          <w:rStyle w:val="Referencingstyle"/>
        </w:rPr>
        <w:t>1</w:t>
      </w:r>
      <w:r w:rsidR="0034548F" w:rsidRPr="00B71F0A">
        <w:rPr>
          <w:rStyle w:val="Referencingstyle"/>
        </w:rPr>
        <w:t xml:space="preserve">, </w:t>
      </w:r>
      <w:r w:rsidR="00635134" w:rsidRPr="00B71F0A">
        <w:rPr>
          <w:rStyle w:val="Referencingstyle"/>
        </w:rPr>
        <w:t xml:space="preserve">subsections </w:t>
      </w:r>
      <w:r w:rsidR="0017312C" w:rsidRPr="00B71F0A">
        <w:rPr>
          <w:rStyle w:val="Referencingstyle"/>
        </w:rPr>
        <w:t>@</w:t>
      </w:r>
      <w:r w:rsidR="0034548F">
        <w:rPr>
          <w:rStyle w:val="Referencingstyle"/>
        </w:rPr>
        <w:t>1300</w:t>
      </w:r>
      <w:r w:rsidR="0017312C" w:rsidRPr="00B71F0A">
        <w:rPr>
          <w:rStyle w:val="Referencingstyle"/>
        </w:rPr>
        <w:t>(5)</w:t>
      </w:r>
      <w:r w:rsidR="00635134" w:rsidRPr="00B71F0A">
        <w:rPr>
          <w:rStyle w:val="Referencingstyle"/>
        </w:rPr>
        <w:t xml:space="preserve"> to (7)</w:t>
      </w:r>
      <w:r w:rsidR="0017312C" w:rsidRPr="00B71F0A">
        <w:rPr>
          <w:rStyle w:val="Referencingstyle"/>
        </w:rPr>
        <w:t>]</w:t>
      </w:r>
      <w:bookmarkEnd w:id="107"/>
    </w:p>
    <w:p w14:paraId="1D5F0030" w14:textId="47485174" w:rsidR="00F23D60" w:rsidRPr="00B71F0A" w:rsidRDefault="00455AFD" w:rsidP="00F23D60">
      <w:pPr>
        <w:pStyle w:val="base-text-paragraph"/>
        <w:rPr>
          <w:rStyle w:val="Referencingstyle"/>
          <w:b w:val="0"/>
          <w:i w:val="0"/>
          <w:sz w:val="22"/>
        </w:rPr>
      </w:pPr>
      <w:r w:rsidRPr="009D7EDC">
        <w:t>Notices given or published in accordance with the new bespoke provision</w:t>
      </w:r>
      <w:r w:rsidR="008A4CF6" w:rsidRPr="00B71F0A">
        <w:t>s</w:t>
      </w:r>
      <w:r w:rsidRPr="00B71F0A">
        <w:t xml:space="preserve"> for voluntarily deregistering a sub-fund are taken to have been given or published under the existing provisions for voluntarily deregistering a company. This ensures that </w:t>
      </w:r>
      <w:r w:rsidR="005116C0" w:rsidRPr="00B71F0A">
        <w:t xml:space="preserve">sections in the Act which refer </w:t>
      </w:r>
      <w:r w:rsidRPr="00B71F0A">
        <w:t>to the</w:t>
      </w:r>
      <w:r w:rsidR="005116C0" w:rsidRPr="00B71F0A">
        <w:t xml:space="preserve"> company</w:t>
      </w:r>
      <w:r w:rsidRPr="00B71F0A">
        <w:t xml:space="preserve"> notice provisions continue to operate appropriately (see, for example, subsections 589(3), 589(5) and 1351(4)).</w:t>
      </w:r>
      <w:r w:rsidR="00F23D60" w:rsidRPr="00B71F0A">
        <w:rPr>
          <w:rStyle w:val="Referencingstyle"/>
        </w:rPr>
        <w:t xml:space="preserve"> [Schedule </w:t>
      </w:r>
      <w:r w:rsidR="0034548F">
        <w:rPr>
          <w:rStyle w:val="Referencingstyle"/>
        </w:rPr>
        <w:t>3</w:t>
      </w:r>
      <w:r w:rsidR="00F23D60" w:rsidRPr="00B71F0A">
        <w:rPr>
          <w:rStyle w:val="Referencingstyle"/>
        </w:rPr>
        <w:t xml:space="preserve">, item </w:t>
      </w:r>
      <w:r w:rsidR="0034548F">
        <w:rPr>
          <w:rStyle w:val="Referencingstyle"/>
        </w:rPr>
        <w:t>1</w:t>
      </w:r>
      <w:r w:rsidR="0034548F" w:rsidRPr="00B71F0A">
        <w:rPr>
          <w:rStyle w:val="Referencingstyle"/>
        </w:rPr>
        <w:t xml:space="preserve">, </w:t>
      </w:r>
      <w:r w:rsidR="00F23D60" w:rsidRPr="00B71F0A">
        <w:rPr>
          <w:rStyle w:val="Referencingstyle"/>
        </w:rPr>
        <w:t xml:space="preserve">subsections </w:t>
      </w:r>
      <w:r w:rsidR="0034548F">
        <w:rPr>
          <w:rStyle w:val="Referencingstyle"/>
        </w:rPr>
        <w:t>13-000</w:t>
      </w:r>
      <w:r w:rsidR="00F23D60" w:rsidRPr="00B71F0A">
        <w:rPr>
          <w:rStyle w:val="Referencingstyle"/>
        </w:rPr>
        <w:t>(</w:t>
      </w:r>
      <w:r w:rsidR="003B59AF" w:rsidRPr="009D7EDC">
        <w:rPr>
          <w:rStyle w:val="Referencingstyle"/>
        </w:rPr>
        <w:t>8</w:t>
      </w:r>
      <w:r w:rsidR="00F23D60" w:rsidRPr="00B71F0A">
        <w:rPr>
          <w:rStyle w:val="Referencingstyle"/>
        </w:rPr>
        <w:t>)]</w:t>
      </w:r>
    </w:p>
    <w:p w14:paraId="5DE7E3FB" w14:textId="138AFD0E" w:rsidR="003B59AF" w:rsidRPr="003F7083" w:rsidRDefault="003B59AF" w:rsidP="003B59AF">
      <w:pPr>
        <w:pStyle w:val="base-text-paragraph"/>
      </w:pPr>
      <w:bookmarkStart w:id="108" w:name="_Ref525913888"/>
      <w:r w:rsidRPr="003F7083">
        <w:t xml:space="preserve">If the sub-fund is an Australian passport fund, ASIC is prohibited from deregistering the sub-fund if the sub-fund has ‘protected members’. For an explanation of which members are protected members and the passport arrangements, see </w:t>
      </w:r>
      <w:r w:rsidR="00C220A8">
        <w:fldChar w:fldCharType="begin"/>
      </w:r>
      <w:r w:rsidR="00C220A8">
        <w:instrText xml:space="preserve"> REF _Ref526428944 \w \h </w:instrText>
      </w:r>
      <w:r w:rsidR="00C220A8">
        <w:fldChar w:fldCharType="separate"/>
      </w:r>
      <w:r w:rsidR="00275132">
        <w:t>Chapter 6</w:t>
      </w:r>
      <w:r w:rsidR="00C220A8">
        <w:fldChar w:fldCharType="end"/>
      </w:r>
      <w:r w:rsidRPr="003F7083">
        <w:t xml:space="preserve"> of these explanatory materials and in particular paragraph </w:t>
      </w:r>
      <w:r w:rsidRPr="003F7083">
        <w:fldChar w:fldCharType="begin"/>
      </w:r>
      <w:r w:rsidRPr="003F7083">
        <w:instrText xml:space="preserve"> REF _Ref525654292 \r \h  \* MERGEFORMAT </w:instrText>
      </w:r>
      <w:r w:rsidRPr="003F7083">
        <w:fldChar w:fldCharType="separate"/>
      </w:r>
      <w:r w:rsidR="00275132">
        <w:t>6.7</w:t>
      </w:r>
      <w:r w:rsidRPr="003F7083">
        <w:fldChar w:fldCharType="end"/>
      </w:r>
      <w:r w:rsidRPr="003F7083">
        <w:t xml:space="preserve"> </w:t>
      </w:r>
      <w:r w:rsidRPr="009D7EDC">
        <w:rPr>
          <w:rStyle w:val="Referencingstyle"/>
        </w:rPr>
        <w:t xml:space="preserve">[Schedule </w:t>
      </w:r>
      <w:r w:rsidR="0034548F">
        <w:rPr>
          <w:rStyle w:val="Referencingstyle"/>
        </w:rPr>
        <w:t>3</w:t>
      </w:r>
      <w:r w:rsidRPr="009D7EDC">
        <w:rPr>
          <w:rStyle w:val="Referencingstyle"/>
        </w:rPr>
        <w:t xml:space="preserve">, item </w:t>
      </w:r>
      <w:r w:rsidR="0034548F">
        <w:rPr>
          <w:rStyle w:val="Referencingstyle"/>
        </w:rPr>
        <w:t>1</w:t>
      </w:r>
      <w:r w:rsidR="0034548F" w:rsidRPr="009D7EDC">
        <w:rPr>
          <w:rStyle w:val="Referencingstyle"/>
        </w:rPr>
        <w:t>,</w:t>
      </w:r>
      <w:r w:rsidRPr="009D7EDC">
        <w:rPr>
          <w:rStyle w:val="Referencingstyle"/>
        </w:rPr>
        <w:t xml:space="preserve"> subsections </w:t>
      </w:r>
      <w:r w:rsidR="0034548F">
        <w:rPr>
          <w:rStyle w:val="Referencingstyle"/>
        </w:rPr>
        <w:t>13-000</w:t>
      </w:r>
      <w:r w:rsidRPr="009D7EDC">
        <w:rPr>
          <w:rStyle w:val="Referencingstyle"/>
        </w:rPr>
        <w:t>(9) to (10)]</w:t>
      </w:r>
      <w:bookmarkEnd w:id="108"/>
      <w:r w:rsidRPr="003F7083">
        <w:t xml:space="preserve"> </w:t>
      </w:r>
    </w:p>
    <w:p w14:paraId="14FC575E" w14:textId="351CDB38" w:rsidR="008A4CF6" w:rsidRPr="009D7EDC" w:rsidRDefault="008A4CF6" w:rsidP="008A4CF6">
      <w:pPr>
        <w:pStyle w:val="base-text-paragraph"/>
        <w:numPr>
          <w:ilvl w:val="0"/>
          <w:numId w:val="0"/>
        </w:numPr>
        <w:ind w:left="1134"/>
        <w:rPr>
          <w:rStyle w:val="Referencingstyle"/>
          <w:b w:val="0"/>
          <w:i w:val="0"/>
          <w:sz w:val="22"/>
          <w:szCs w:val="22"/>
        </w:rPr>
      </w:pPr>
      <w:r w:rsidRPr="009D7EDC">
        <w:rPr>
          <w:rStyle w:val="Referencingstyle"/>
          <w:b w:val="0"/>
          <w:sz w:val="22"/>
          <w:szCs w:val="22"/>
        </w:rPr>
        <w:t>Interaction with Chapter 5</w:t>
      </w:r>
    </w:p>
    <w:p w14:paraId="7F82B13B" w14:textId="008CF80D" w:rsidR="008A4CF6" w:rsidRPr="00B71F0A" w:rsidRDefault="008A4CF6" w:rsidP="008A4CF6">
      <w:pPr>
        <w:pStyle w:val="base-text-paragraph"/>
      </w:pPr>
      <w:bookmarkStart w:id="109" w:name="_Ref522865512"/>
      <w:r w:rsidRPr="00A0696A">
        <w:t xml:space="preserve">A CCIV that wishes to deregister a solvent sub-fund has two options. First, it could </w:t>
      </w:r>
      <w:r w:rsidR="00CD0078" w:rsidRPr="00A0696A">
        <w:t>liquidate</w:t>
      </w:r>
      <w:r w:rsidRPr="00A0696A">
        <w:t xml:space="preserve"> the sub-fund’s assets, discharge the sub-fund’s liabilities, redeem all sha</w:t>
      </w:r>
      <w:r w:rsidRPr="00B71F0A">
        <w:t xml:space="preserve">res referable to </w:t>
      </w:r>
      <w:r w:rsidR="00CD0078">
        <w:t>the</w:t>
      </w:r>
      <w:r w:rsidR="00CD0078" w:rsidRPr="00B71F0A">
        <w:t xml:space="preserve"> </w:t>
      </w:r>
      <w:r w:rsidRPr="00B71F0A">
        <w:t xml:space="preserve">sub-fund and then voluntarily deregister the sub-fund. Alternatively, it could voluntarily wind up the sub-fund (see Chapter 2 of these explanatory materials). Figure 3.1 summarises these two options. </w:t>
      </w:r>
    </w:p>
    <w:p w14:paraId="25B54D2A" w14:textId="4B9D4F0E" w:rsidR="008A4CF6" w:rsidRPr="00B71F0A" w:rsidRDefault="008A4CF6" w:rsidP="008A4CF6">
      <w:pPr>
        <w:pStyle w:val="base-text-paragraph"/>
      </w:pPr>
      <w:bookmarkStart w:id="110" w:name="_Ref525654454"/>
      <w:r w:rsidRPr="00B71F0A">
        <w:t>The decision about whether or not to use the voluntary wind-up process is a commercial decision for the CCIV. Generally, a voluntary winding up process would be used if the preconditions for voluntary deregistration are not satisfied, for example, because the sub-fund has remaining assets which cannot be liquidated.</w:t>
      </w:r>
      <w:bookmarkEnd w:id="110"/>
      <w:r w:rsidRPr="00B71F0A">
        <w:t xml:space="preserve"> </w:t>
      </w:r>
      <w:bookmarkEnd w:id="109"/>
    </w:p>
    <w:p w14:paraId="375E1542" w14:textId="2819F268" w:rsidR="008A4CF6" w:rsidRPr="00B71F0A" w:rsidRDefault="008A4CF6" w:rsidP="008A4CF6">
      <w:pPr>
        <w:pStyle w:val="base-text-paragraph"/>
        <w:keepNext/>
        <w:numPr>
          <w:ilvl w:val="0"/>
          <w:numId w:val="0"/>
        </w:numPr>
        <w:ind w:left="1134"/>
        <w:rPr>
          <w:b/>
          <w:i/>
        </w:rPr>
      </w:pPr>
      <w:r w:rsidRPr="00B71F0A">
        <w:rPr>
          <w:b/>
          <w:i/>
        </w:rPr>
        <w:t xml:space="preserve">Figure 3.1: Two routes for </w:t>
      </w:r>
      <w:r w:rsidR="00844331" w:rsidRPr="00B71F0A">
        <w:rPr>
          <w:b/>
          <w:i/>
        </w:rPr>
        <w:t>deregistering</w:t>
      </w:r>
      <w:r w:rsidRPr="00B71F0A">
        <w:rPr>
          <w:b/>
          <w:i/>
        </w:rPr>
        <w:t xml:space="preserve"> a solvent sub-fund</w:t>
      </w:r>
    </w:p>
    <w:p w14:paraId="2F624604" w14:textId="77777777" w:rsidR="008A4CF6" w:rsidRPr="006964A0" w:rsidRDefault="008A4CF6" w:rsidP="008A4CF6">
      <w:pPr>
        <w:pStyle w:val="base-text-paragraph"/>
        <w:numPr>
          <w:ilvl w:val="0"/>
          <w:numId w:val="0"/>
        </w:numPr>
        <w:ind w:left="1134"/>
        <w:rPr>
          <w:b/>
        </w:rPr>
      </w:pPr>
      <w:r w:rsidRPr="00B71F0A">
        <w:rPr>
          <w:b/>
        </w:rPr>
        <w:t xml:space="preserve"> </w:t>
      </w:r>
      <w:r w:rsidRPr="003F7083">
        <w:rPr>
          <w:noProof/>
        </w:rPr>
        <w:drawing>
          <wp:inline distT="0" distB="0" distL="0" distR="0" wp14:anchorId="67F56229" wp14:editId="002D090D">
            <wp:extent cx="4117385" cy="2209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BEBA8EAE-BF5A-486C-A8C5-ECC9F3942E4B}">
                          <a14:imgProps xmlns:a14="http://schemas.microsoft.com/office/drawing/2010/main">
                            <a14:imgLayer r:embed="rId46">
                              <a14:imgEffect>
                                <a14:saturation sat="0"/>
                              </a14:imgEffect>
                            </a14:imgLayer>
                          </a14:imgProps>
                        </a:ext>
                      </a:extLst>
                    </a:blip>
                    <a:stretch>
                      <a:fillRect/>
                    </a:stretch>
                  </pic:blipFill>
                  <pic:spPr>
                    <a:xfrm>
                      <a:off x="0" y="0"/>
                      <a:ext cx="4120502" cy="2211569"/>
                    </a:xfrm>
                    <a:prstGeom prst="rect">
                      <a:avLst/>
                    </a:prstGeom>
                  </pic:spPr>
                </pic:pic>
              </a:graphicData>
            </a:graphic>
          </wp:inline>
        </w:drawing>
      </w:r>
    </w:p>
    <w:p w14:paraId="6824D467" w14:textId="77777777" w:rsidR="008A4CF6" w:rsidRPr="00C046C1" w:rsidRDefault="008A4CF6" w:rsidP="008A4CF6">
      <w:pPr>
        <w:pStyle w:val="base-text-paragraph"/>
        <w:numPr>
          <w:ilvl w:val="0"/>
          <w:numId w:val="0"/>
        </w:numPr>
        <w:ind w:left="1134"/>
        <w:rPr>
          <w:b/>
          <w:i/>
        </w:rPr>
      </w:pPr>
    </w:p>
    <w:p w14:paraId="1D991CC4" w14:textId="49A8BB74" w:rsidR="00717470" w:rsidRPr="00B71F0A" w:rsidRDefault="00717470" w:rsidP="00717470">
      <w:pPr>
        <w:pStyle w:val="Heading4"/>
      </w:pPr>
      <w:r w:rsidRPr="005877D6">
        <w:t>ASIC-initiated</w:t>
      </w:r>
      <w:r w:rsidRPr="00B71F0A">
        <w:t xml:space="preserve"> deregistration</w:t>
      </w:r>
    </w:p>
    <w:p w14:paraId="317FCE68" w14:textId="0937D38C" w:rsidR="00473965" w:rsidRPr="00B71F0A" w:rsidRDefault="00717470" w:rsidP="00A367E6">
      <w:pPr>
        <w:pStyle w:val="base-text-paragraph"/>
        <w:numPr>
          <w:ilvl w:val="1"/>
          <w:numId w:val="26"/>
        </w:numPr>
      </w:pPr>
      <w:bookmarkStart w:id="111" w:name="_Ref525654065"/>
      <w:r w:rsidRPr="00B71F0A">
        <w:t>ASIC may deregister a sub-fund if:</w:t>
      </w:r>
      <w:bookmarkEnd w:id="111"/>
    </w:p>
    <w:p w14:paraId="0699CA28" w14:textId="3B14BF8C" w:rsidR="00717470" w:rsidRPr="00B71F0A" w:rsidRDefault="00717470" w:rsidP="00717470">
      <w:pPr>
        <w:pStyle w:val="dotpoint"/>
      </w:pPr>
      <w:r w:rsidRPr="00B71F0A">
        <w:t xml:space="preserve">the CCIV has not lodged any documents that relate to the sub-fund </w:t>
      </w:r>
      <w:r w:rsidR="00394643" w:rsidRPr="00B71F0A">
        <w:t xml:space="preserve">under the </w:t>
      </w:r>
      <w:r w:rsidR="00A3667A">
        <w:t>Act</w:t>
      </w:r>
      <w:r w:rsidR="00394643" w:rsidRPr="00B71F0A">
        <w:t xml:space="preserve"> </w:t>
      </w:r>
      <w:r w:rsidRPr="00B71F0A">
        <w:t xml:space="preserve">in the last 18 months and ASIC has no reason to believe that </w:t>
      </w:r>
      <w:r w:rsidR="00C163F2" w:rsidRPr="00B71F0A">
        <w:t>the</w:t>
      </w:r>
      <w:r w:rsidRPr="00B71F0A">
        <w:t xml:space="preserve"> part of the business of the CCIV </w:t>
      </w:r>
      <w:r w:rsidR="00F23D60" w:rsidRPr="00B71F0A">
        <w:t xml:space="preserve">that </w:t>
      </w:r>
      <w:r w:rsidRPr="00B71F0A">
        <w:t>relates to the sub-fund</w:t>
      </w:r>
      <w:r w:rsidR="00DD25F5" w:rsidRPr="00B71F0A">
        <w:t xml:space="preserve"> i</w:t>
      </w:r>
      <w:r w:rsidR="00F23D60" w:rsidRPr="00B71F0A">
        <w:t>s being carried on</w:t>
      </w:r>
      <w:r w:rsidRPr="00B71F0A">
        <w:t>;</w:t>
      </w:r>
    </w:p>
    <w:p w14:paraId="0E7A285B" w14:textId="6E7CD29B" w:rsidR="00717470" w:rsidRPr="00B71F0A" w:rsidRDefault="00717470" w:rsidP="00717470">
      <w:pPr>
        <w:pStyle w:val="dotpoint"/>
      </w:pPr>
      <w:r w:rsidRPr="00B71F0A">
        <w:t>the CCIV has not paid the</w:t>
      </w:r>
      <w:r w:rsidR="000F2737" w:rsidRPr="00B71F0A">
        <w:t xml:space="preserve"> portion of the</w:t>
      </w:r>
      <w:r w:rsidRPr="00B71F0A">
        <w:t xml:space="preserve"> review fees </w:t>
      </w:r>
      <w:r w:rsidR="00F23D60" w:rsidRPr="00B71F0A">
        <w:t>that relates to</w:t>
      </w:r>
      <w:r w:rsidRPr="00B71F0A">
        <w:t xml:space="preserve"> the sub-fund for at least 12 months after the due date for payment;</w:t>
      </w:r>
    </w:p>
    <w:p w14:paraId="34CA51E9" w14:textId="191D294C" w:rsidR="00717470" w:rsidRPr="00B71F0A" w:rsidRDefault="007F3852" w:rsidP="00717470">
      <w:pPr>
        <w:pStyle w:val="dotpoint"/>
      </w:pPr>
      <w:r w:rsidRPr="00B71F0A">
        <w:t>the liquidator of the sub-fund is no longer acting;</w:t>
      </w:r>
    </w:p>
    <w:p w14:paraId="67433A36" w14:textId="06A845AC" w:rsidR="007F3852" w:rsidRPr="00B71F0A" w:rsidRDefault="007F3852" w:rsidP="00717470">
      <w:pPr>
        <w:pStyle w:val="dotpoint"/>
      </w:pPr>
      <w:r w:rsidRPr="00B71F0A">
        <w:t xml:space="preserve">the sub-fund’s affairs have been fully wound up and </w:t>
      </w:r>
      <w:r w:rsidR="00394643" w:rsidRPr="00B71F0A">
        <w:t xml:space="preserve">the </w:t>
      </w:r>
      <w:r w:rsidRPr="00B71F0A">
        <w:t>return that the liquidator should have lodged is at least 6 months late; or</w:t>
      </w:r>
    </w:p>
    <w:p w14:paraId="01D10D90" w14:textId="167B7C71" w:rsidR="007F3852" w:rsidRPr="00B71F0A" w:rsidRDefault="007F3852" w:rsidP="00717470">
      <w:pPr>
        <w:pStyle w:val="dotpoint"/>
      </w:pPr>
      <w:r w:rsidRPr="00B71F0A">
        <w:t>the sub-fund’s affairs have been fully wound up and the assets of the sub-fund are not enough to cover the costs of obtaining a Court order for the sub-fund’s deregistration.</w:t>
      </w:r>
    </w:p>
    <w:p w14:paraId="220FBD41" w14:textId="1CE088F5" w:rsidR="008A1CBC" w:rsidRPr="00B71F0A" w:rsidRDefault="008A1CBC" w:rsidP="008A1CBC">
      <w:pPr>
        <w:pStyle w:val="dotpoint"/>
        <w:numPr>
          <w:ilvl w:val="0"/>
          <w:numId w:val="0"/>
        </w:numPr>
        <w:ind w:left="2268"/>
      </w:pPr>
      <w:r w:rsidRPr="00B71F0A">
        <w:rPr>
          <w:rStyle w:val="Referencingstyle"/>
        </w:rPr>
        <w:t xml:space="preserve">[Schedule </w:t>
      </w:r>
      <w:r w:rsidR="0034548F">
        <w:rPr>
          <w:rStyle w:val="Referencingstyle"/>
        </w:rPr>
        <w:t>3</w:t>
      </w:r>
      <w:r w:rsidRPr="00B71F0A">
        <w:rPr>
          <w:rStyle w:val="Referencingstyle"/>
        </w:rPr>
        <w:t xml:space="preserve">, item </w:t>
      </w:r>
      <w:r w:rsidR="0034548F">
        <w:rPr>
          <w:rStyle w:val="Referencingstyle"/>
        </w:rPr>
        <w:t>1</w:t>
      </w:r>
      <w:r w:rsidR="0034548F" w:rsidRPr="00B71F0A">
        <w:rPr>
          <w:rStyle w:val="Referencingstyle"/>
        </w:rPr>
        <w:t xml:space="preserve">, </w:t>
      </w:r>
      <w:r w:rsidR="00224F1E" w:rsidRPr="00B71F0A">
        <w:rPr>
          <w:rStyle w:val="Referencingstyle"/>
        </w:rPr>
        <w:t>subsections</w:t>
      </w:r>
      <w:r w:rsidRPr="00B71F0A">
        <w:rPr>
          <w:rStyle w:val="Referencingstyle"/>
        </w:rPr>
        <w:t xml:space="preserve"> </w:t>
      </w:r>
      <w:r w:rsidR="0034548F">
        <w:rPr>
          <w:rStyle w:val="Referencingstyle"/>
        </w:rPr>
        <w:t>13-005</w:t>
      </w:r>
      <w:r w:rsidRPr="00B71F0A">
        <w:rPr>
          <w:rStyle w:val="Referencingstyle"/>
        </w:rPr>
        <w:t>(</w:t>
      </w:r>
      <w:r w:rsidR="00FD628E" w:rsidRPr="00B71F0A">
        <w:rPr>
          <w:rStyle w:val="Referencingstyle"/>
        </w:rPr>
        <w:t>1</w:t>
      </w:r>
      <w:r w:rsidRPr="00B71F0A">
        <w:rPr>
          <w:rStyle w:val="Referencingstyle"/>
        </w:rPr>
        <w:t>) to (</w:t>
      </w:r>
      <w:r w:rsidR="00FD628E" w:rsidRPr="00B71F0A">
        <w:rPr>
          <w:rStyle w:val="Referencingstyle"/>
        </w:rPr>
        <w:t>3</w:t>
      </w:r>
      <w:r w:rsidRPr="00B71F0A">
        <w:rPr>
          <w:rStyle w:val="Referencingstyle"/>
        </w:rPr>
        <w:t>)]</w:t>
      </w:r>
    </w:p>
    <w:p w14:paraId="051E4490" w14:textId="260539E0" w:rsidR="00FD628E" w:rsidRPr="00B71F0A" w:rsidRDefault="000A11AF" w:rsidP="00A367E6">
      <w:pPr>
        <w:pStyle w:val="base-text-paragraph"/>
      </w:pPr>
      <w:bookmarkStart w:id="112" w:name="_Ref524690371"/>
      <w:r w:rsidRPr="00B71F0A">
        <w:t xml:space="preserve">The grounds for ASIC deregistering a sub-fund </w:t>
      </w:r>
      <w:r w:rsidR="000F2737" w:rsidRPr="00B71F0A">
        <w:t xml:space="preserve">differ from the </w:t>
      </w:r>
      <w:r w:rsidRPr="00B71F0A">
        <w:t xml:space="preserve">grounds for deregistering </w:t>
      </w:r>
      <w:r w:rsidRPr="006964A0">
        <w:t>a company in existin</w:t>
      </w:r>
      <w:r w:rsidR="000F2737" w:rsidRPr="006964A0">
        <w:t xml:space="preserve">g subsections 601AB(1) and (2) in two </w:t>
      </w:r>
      <w:r w:rsidR="000F2737" w:rsidRPr="005877D6">
        <w:t>respects. First</w:t>
      </w:r>
      <w:r w:rsidRPr="00B71F0A">
        <w:t>, the ground for deregistering a company if a response to a return of particulars has not been lodged is not required for a sub-fund as a sub-fund is not a legal entity and is not required to respond to returns of particulars.</w:t>
      </w:r>
      <w:r w:rsidR="000F2737" w:rsidRPr="00B71F0A">
        <w:t xml:space="preserve"> Second, there is no ground for deregistering a sub-fund if the ASIC Supervisory Cost Recovery Levy is unpaid</w:t>
      </w:r>
      <w:r w:rsidR="007E45B6" w:rsidRPr="00B71F0A">
        <w:t xml:space="preserve"> because this </w:t>
      </w:r>
      <w:r w:rsidR="00C163F2" w:rsidRPr="00B71F0A">
        <w:t>l</w:t>
      </w:r>
      <w:r w:rsidR="007E45B6" w:rsidRPr="00B71F0A">
        <w:t xml:space="preserve">evy is to be imposed on the corporate director, </w:t>
      </w:r>
      <w:r w:rsidR="00C163F2" w:rsidRPr="00B71F0A">
        <w:t>not</w:t>
      </w:r>
      <w:r w:rsidR="007E45B6" w:rsidRPr="00B71F0A">
        <w:t xml:space="preserve"> the CCIV</w:t>
      </w:r>
      <w:r w:rsidR="000F2737" w:rsidRPr="00B71F0A">
        <w:t>.</w:t>
      </w:r>
      <w:r w:rsidR="00A2112C" w:rsidRPr="00B71F0A">
        <w:rPr>
          <w:rStyle w:val="FootnoteReference"/>
        </w:rPr>
        <w:footnoteReference w:id="9"/>
      </w:r>
      <w:r w:rsidR="003A74C3" w:rsidRPr="00B71F0A">
        <w:t xml:space="preserve"> </w:t>
      </w:r>
      <w:bookmarkEnd w:id="112"/>
    </w:p>
    <w:p w14:paraId="5D025435" w14:textId="3D10ECDF" w:rsidR="00145880" w:rsidRPr="00B71F0A" w:rsidRDefault="00145880" w:rsidP="00A367E6">
      <w:pPr>
        <w:pStyle w:val="base-text-paragraph"/>
        <w:rPr>
          <w:rStyle w:val="Referencingstyle"/>
          <w:b w:val="0"/>
          <w:i w:val="0"/>
          <w:sz w:val="22"/>
        </w:rPr>
      </w:pPr>
      <w:r w:rsidRPr="009D7EDC">
        <w:t xml:space="preserve">ASIC must not deregister a sub-fund if the sub-fund has an asset that relates to multiple sub-funds and </w:t>
      </w:r>
      <w:r w:rsidR="009C010C">
        <w:t xml:space="preserve">the asset </w:t>
      </w:r>
      <w:r w:rsidRPr="009D7EDC">
        <w:t xml:space="preserve">has not yet been converted into money or multiple fungible assets that can be allocated between the sub-funds. For an explanation of the corporate director’s obligation to convert assets that </w:t>
      </w:r>
      <w:r w:rsidR="009C010C">
        <w:t>are</w:t>
      </w:r>
      <w:r w:rsidRPr="009D7EDC">
        <w:t xml:space="preserve"> automatically</w:t>
      </w:r>
      <w:r w:rsidR="009C010C">
        <w:t xml:space="preserve"> allocated</w:t>
      </w:r>
      <w:r w:rsidRPr="009D7EDC">
        <w:t xml:space="preserve"> to one sub-fund</w:t>
      </w:r>
      <w:r w:rsidR="009C010C">
        <w:t xml:space="preserve"> and are not fungible assets</w:t>
      </w:r>
      <w:r w:rsidRPr="009D7EDC">
        <w:t xml:space="preserve">, see paragraph 3.43 of the Tranche 1 </w:t>
      </w:r>
      <w:r w:rsidR="008B1BE4">
        <w:t>E</w:t>
      </w:r>
      <w:r w:rsidRPr="005877D6">
        <w:t xml:space="preserve">xplanatory </w:t>
      </w:r>
      <w:r w:rsidR="008B1BE4">
        <w:t>M</w:t>
      </w:r>
      <w:r w:rsidRPr="005877D6">
        <w:t xml:space="preserve">aterials. </w:t>
      </w:r>
    </w:p>
    <w:p w14:paraId="38BEEDB3" w14:textId="5A5ADF7B" w:rsidR="00AC710C" w:rsidRPr="009D7EDC" w:rsidRDefault="00AC710C" w:rsidP="00A367E6">
      <w:pPr>
        <w:pStyle w:val="base-text-paragraph"/>
        <w:numPr>
          <w:ilvl w:val="1"/>
          <w:numId w:val="6"/>
        </w:numPr>
      </w:pPr>
      <w:r w:rsidRPr="009D7EDC">
        <w:t xml:space="preserve">If the sub-fund is an Australian passport fund, ASIC is also prohibited from deregistering the sub-fund if the sub-fund has </w:t>
      </w:r>
      <w:r w:rsidR="00164A7A" w:rsidRPr="009D7EDC">
        <w:t>‘</w:t>
      </w:r>
      <w:r w:rsidRPr="009D7EDC">
        <w:t>protected members</w:t>
      </w:r>
      <w:r w:rsidR="00164A7A" w:rsidRPr="009D7EDC">
        <w:t>’</w:t>
      </w:r>
      <w:r w:rsidR="009D7EDC" w:rsidRPr="009D7EDC">
        <w:t xml:space="preserve"> and deregistration would be contrary to the interests of these persons</w:t>
      </w:r>
      <w:r w:rsidRPr="009D7EDC">
        <w:t xml:space="preserve">. </w:t>
      </w:r>
      <w:r w:rsidR="00164A7A" w:rsidRPr="009D7EDC">
        <w:t xml:space="preserve">For an explanation of which members are protected members and the passport arrangements, see </w:t>
      </w:r>
      <w:r w:rsidR="00BB20DD">
        <w:fldChar w:fldCharType="begin"/>
      </w:r>
      <w:r w:rsidR="00BB20DD">
        <w:instrText xml:space="preserve"> REF _Ref526429793 \w \h </w:instrText>
      </w:r>
      <w:r w:rsidR="00BB20DD">
        <w:fldChar w:fldCharType="separate"/>
      </w:r>
      <w:r w:rsidR="00275132">
        <w:t>Chapter 6</w:t>
      </w:r>
      <w:r w:rsidR="00BB20DD">
        <w:fldChar w:fldCharType="end"/>
      </w:r>
      <w:r w:rsidR="00164A7A" w:rsidRPr="009D7EDC">
        <w:t xml:space="preserve"> of these explanatory materials and in particular paragraph </w:t>
      </w:r>
      <w:r w:rsidR="00164A7A" w:rsidRPr="003F7083">
        <w:fldChar w:fldCharType="begin"/>
      </w:r>
      <w:r w:rsidR="00164A7A" w:rsidRPr="003F7083">
        <w:instrText xml:space="preserve"> REF _Ref525654292 \r \h </w:instrText>
      </w:r>
      <w:r w:rsidR="002C1AEA" w:rsidRPr="003F7083">
        <w:instrText xml:space="preserve"> \* MERGEFORMAT </w:instrText>
      </w:r>
      <w:r w:rsidR="00164A7A" w:rsidRPr="003F7083">
        <w:fldChar w:fldCharType="separate"/>
      </w:r>
      <w:r w:rsidR="00275132">
        <w:t>6.7</w:t>
      </w:r>
      <w:r w:rsidR="00164A7A" w:rsidRPr="003F7083">
        <w:fldChar w:fldCharType="end"/>
      </w:r>
      <w:r w:rsidR="00164A7A" w:rsidRPr="003F7083">
        <w:t>.</w:t>
      </w:r>
      <w:r w:rsidR="00164A7A" w:rsidRPr="009D7EDC">
        <w:t xml:space="preserve"> </w:t>
      </w:r>
      <w:r w:rsidR="009D7EDC" w:rsidRPr="009D7EDC">
        <w:rPr>
          <w:rStyle w:val="Referencingstyle"/>
        </w:rPr>
        <w:t xml:space="preserve">[Schedule </w:t>
      </w:r>
      <w:r w:rsidR="0034548F">
        <w:rPr>
          <w:rStyle w:val="Referencingstyle"/>
        </w:rPr>
        <w:t>3</w:t>
      </w:r>
      <w:r w:rsidR="009D7EDC" w:rsidRPr="009D7EDC">
        <w:rPr>
          <w:rStyle w:val="Referencingstyle"/>
        </w:rPr>
        <w:t xml:space="preserve">, item </w:t>
      </w:r>
      <w:r w:rsidR="0034548F">
        <w:rPr>
          <w:rStyle w:val="Referencingstyle"/>
        </w:rPr>
        <w:t>1</w:t>
      </w:r>
      <w:r w:rsidR="0034548F" w:rsidRPr="009D7EDC">
        <w:rPr>
          <w:rStyle w:val="Referencingstyle"/>
        </w:rPr>
        <w:t xml:space="preserve">, </w:t>
      </w:r>
      <w:r w:rsidR="009D7EDC" w:rsidRPr="009D7EDC">
        <w:rPr>
          <w:rStyle w:val="Referencingstyle"/>
        </w:rPr>
        <w:t xml:space="preserve">subsections </w:t>
      </w:r>
      <w:r w:rsidR="0034548F">
        <w:rPr>
          <w:rStyle w:val="Referencingstyle"/>
        </w:rPr>
        <w:t>13-005</w:t>
      </w:r>
      <w:r w:rsidR="009D7EDC" w:rsidRPr="009D7EDC">
        <w:rPr>
          <w:rStyle w:val="Referencingstyle"/>
        </w:rPr>
        <w:t>(4) and (5)]</w:t>
      </w:r>
    </w:p>
    <w:p w14:paraId="69D91F7E" w14:textId="7B8CE636" w:rsidR="00A65EC3" w:rsidRPr="00B71F0A" w:rsidRDefault="0067029B" w:rsidP="00A367E6">
      <w:pPr>
        <w:pStyle w:val="base-text-paragraph"/>
        <w:numPr>
          <w:ilvl w:val="1"/>
          <w:numId w:val="26"/>
        </w:numPr>
      </w:pPr>
      <w:r w:rsidRPr="00B71F0A">
        <w:t>The procedure for ASIC to deregister a sub-fund involves three steps:</w:t>
      </w:r>
    </w:p>
    <w:p w14:paraId="4C79E682" w14:textId="18D895B0" w:rsidR="0067029B" w:rsidRPr="00B71F0A" w:rsidRDefault="000B2F86" w:rsidP="0067029B">
      <w:pPr>
        <w:pStyle w:val="dotpoint"/>
      </w:pPr>
      <w:r>
        <w:t>p</w:t>
      </w:r>
      <w:r w:rsidR="0067029B" w:rsidRPr="00B71F0A">
        <w:t>rovid</w:t>
      </w:r>
      <w:r w:rsidR="008B1BE4">
        <w:t>ing</w:t>
      </w:r>
      <w:r w:rsidR="0067029B" w:rsidRPr="00B71F0A">
        <w:t xml:space="preserve"> the CCIV with an opportunity to show cause as to why the </w:t>
      </w:r>
      <w:r w:rsidR="00F422D3">
        <w:t>sub-fund</w:t>
      </w:r>
      <w:r w:rsidR="00F422D3" w:rsidRPr="00B71F0A">
        <w:t xml:space="preserve"> </w:t>
      </w:r>
      <w:r w:rsidR="0067029B" w:rsidRPr="00B71F0A">
        <w:t>should not be deregistered at a hearing</w:t>
      </w:r>
      <w:r>
        <w:t>;</w:t>
      </w:r>
    </w:p>
    <w:p w14:paraId="6AE64637" w14:textId="3EBD3042" w:rsidR="0067029B" w:rsidRPr="00B71F0A" w:rsidRDefault="000B2F86" w:rsidP="0067029B">
      <w:pPr>
        <w:pStyle w:val="dotpoint"/>
      </w:pPr>
      <w:r>
        <w:t>i</w:t>
      </w:r>
      <w:r w:rsidR="0067029B" w:rsidRPr="00B71F0A">
        <w:t>ssu</w:t>
      </w:r>
      <w:r w:rsidR="008B1BE4">
        <w:t>ing</w:t>
      </w:r>
      <w:r w:rsidR="0067029B" w:rsidRPr="00B71F0A">
        <w:t xml:space="preserve"> a notice of intended deregistration</w:t>
      </w:r>
      <w:r>
        <w:t>; and</w:t>
      </w:r>
    </w:p>
    <w:p w14:paraId="3F6127F3" w14:textId="7AF13A2D" w:rsidR="0067029B" w:rsidRPr="00B71F0A" w:rsidRDefault="000B2F86" w:rsidP="0067029B">
      <w:pPr>
        <w:pStyle w:val="dotpoint"/>
      </w:pPr>
      <w:r>
        <w:t>d</w:t>
      </w:r>
      <w:r w:rsidR="0067029B" w:rsidRPr="00B71F0A">
        <w:t>eregister</w:t>
      </w:r>
      <w:r w:rsidR="008B1BE4">
        <w:t>ing</w:t>
      </w:r>
      <w:r w:rsidR="0067029B" w:rsidRPr="00B71F0A">
        <w:t xml:space="preserve"> the sub-fund and issu</w:t>
      </w:r>
      <w:r w:rsidR="008B1BE4">
        <w:t>ing</w:t>
      </w:r>
      <w:r w:rsidR="0067029B" w:rsidRPr="00B71F0A">
        <w:t xml:space="preserve"> a notice of deregistration</w:t>
      </w:r>
      <w:r>
        <w:t>.</w:t>
      </w:r>
      <w:r w:rsidR="0067029B" w:rsidRPr="00B71F0A">
        <w:t xml:space="preserve"> </w:t>
      </w:r>
    </w:p>
    <w:p w14:paraId="09A4EADA" w14:textId="06DB66BB" w:rsidR="00296B32" w:rsidRPr="00B71F0A" w:rsidRDefault="0067029B" w:rsidP="00A367E6">
      <w:pPr>
        <w:pStyle w:val="base-text-paragraph"/>
      </w:pPr>
      <w:r w:rsidRPr="00B71F0A">
        <w:t xml:space="preserve">The first step (the show cause process) involves </w:t>
      </w:r>
      <w:r w:rsidR="00224F1E" w:rsidRPr="00B71F0A">
        <w:t xml:space="preserve">ASIC </w:t>
      </w:r>
      <w:r w:rsidRPr="00B71F0A">
        <w:t>giving</w:t>
      </w:r>
      <w:r w:rsidR="00224F1E" w:rsidRPr="00B71F0A">
        <w:t xml:space="preserve"> the CCIV a written notice that requires the CCIV to show cause, at a hearing before a specified person, as to why the sub-fund should not be deregistered. The notice must specify the grounds on which ASIC proposes to deregister the sub-fund and a reasonable time and place at which the hearing is to be held. </w:t>
      </w:r>
      <w:r w:rsidR="00296B32" w:rsidRPr="00B71F0A">
        <w:t xml:space="preserve">The hearing must be held at the time and place specified in the notice, unless the CCIV agrees to a </w:t>
      </w:r>
      <w:r w:rsidR="00887A5B">
        <w:t>different time or place</w:t>
      </w:r>
      <w:r w:rsidR="00296B32" w:rsidRPr="00B71F0A">
        <w:t>.</w:t>
      </w:r>
      <w:r w:rsidR="00296B32" w:rsidRPr="00B71F0A">
        <w:rPr>
          <w:rStyle w:val="Referencingstyle"/>
        </w:rPr>
        <w:t xml:space="preserve"> [Schedule </w:t>
      </w:r>
      <w:r w:rsidR="0034548F">
        <w:rPr>
          <w:rStyle w:val="Referencingstyle"/>
        </w:rPr>
        <w:t>3</w:t>
      </w:r>
      <w:r w:rsidR="00296B32" w:rsidRPr="00B71F0A">
        <w:rPr>
          <w:rStyle w:val="Referencingstyle"/>
        </w:rPr>
        <w:t>,</w:t>
      </w:r>
      <w:r w:rsidR="00097B13">
        <w:rPr>
          <w:rStyle w:val="Referencingstyle"/>
        </w:rPr>
        <w:t xml:space="preserve"> </w:t>
      </w:r>
      <w:r w:rsidR="00296B32" w:rsidRPr="00B71F0A">
        <w:rPr>
          <w:rStyle w:val="Referencingstyle"/>
        </w:rPr>
        <w:t xml:space="preserve">item </w:t>
      </w:r>
      <w:r w:rsidR="0034548F">
        <w:rPr>
          <w:rStyle w:val="Referencingstyle"/>
        </w:rPr>
        <w:t>1</w:t>
      </w:r>
      <w:r w:rsidR="0034548F" w:rsidRPr="00B71F0A">
        <w:rPr>
          <w:rStyle w:val="Referencingstyle"/>
        </w:rPr>
        <w:t xml:space="preserve">, </w:t>
      </w:r>
      <w:r w:rsidR="00296B32" w:rsidRPr="00B71F0A">
        <w:rPr>
          <w:rStyle w:val="Referencingstyle"/>
        </w:rPr>
        <w:t xml:space="preserve">subsections </w:t>
      </w:r>
      <w:r w:rsidR="0034548F">
        <w:rPr>
          <w:rStyle w:val="Referencingstyle"/>
        </w:rPr>
        <w:t>13-005</w:t>
      </w:r>
      <w:r w:rsidR="00296B32" w:rsidRPr="00B71F0A">
        <w:rPr>
          <w:rStyle w:val="Referencingstyle"/>
        </w:rPr>
        <w:t>(</w:t>
      </w:r>
      <w:r w:rsidR="008B1BE4">
        <w:rPr>
          <w:rStyle w:val="Referencingstyle"/>
        </w:rPr>
        <w:t>6</w:t>
      </w:r>
      <w:r w:rsidR="00296B32" w:rsidRPr="00B71F0A">
        <w:rPr>
          <w:rStyle w:val="Referencingstyle"/>
        </w:rPr>
        <w:t>)</w:t>
      </w:r>
      <w:r w:rsidR="008B1BE4">
        <w:rPr>
          <w:rStyle w:val="Referencingstyle"/>
        </w:rPr>
        <w:t xml:space="preserve"> to (7)</w:t>
      </w:r>
      <w:r w:rsidR="00296B32" w:rsidRPr="00B71F0A">
        <w:rPr>
          <w:rStyle w:val="Referencingstyle"/>
        </w:rPr>
        <w:t>]</w:t>
      </w:r>
    </w:p>
    <w:p w14:paraId="772C83DF" w14:textId="74C4FBC4" w:rsidR="00224F1E" w:rsidRPr="00B71F0A" w:rsidRDefault="00224F1E" w:rsidP="00A367E6">
      <w:pPr>
        <w:pStyle w:val="base-text-paragraph"/>
        <w:numPr>
          <w:ilvl w:val="1"/>
          <w:numId w:val="26"/>
        </w:numPr>
      </w:pPr>
      <w:r w:rsidRPr="00B71F0A">
        <w:t xml:space="preserve">The person conducting the hearing must give the CCIV an opportunity to be heard </w:t>
      </w:r>
      <w:r w:rsidR="00C36F09" w:rsidRPr="00B71F0A">
        <w:t>at the hearing</w:t>
      </w:r>
      <w:r w:rsidR="00296B32" w:rsidRPr="00B71F0A">
        <w:t>. After the hearing, the person must</w:t>
      </w:r>
      <w:r w:rsidRPr="00B71F0A">
        <w:t xml:space="preserve"> provide a report to ASIC with a recommendation about whether the sub-fund should be deregistered</w:t>
      </w:r>
      <w:r w:rsidR="00296B32" w:rsidRPr="00B71F0A">
        <w:t xml:space="preserve"> and ASIC must consider the report and recommendation</w:t>
      </w:r>
      <w:r w:rsidRPr="00B71F0A">
        <w:t xml:space="preserve">. </w:t>
      </w:r>
      <w:r w:rsidRPr="00B71F0A">
        <w:rPr>
          <w:rStyle w:val="Referencingstyle"/>
        </w:rPr>
        <w:t xml:space="preserve">[Schedule </w:t>
      </w:r>
      <w:r w:rsidR="0034548F">
        <w:rPr>
          <w:rStyle w:val="Referencingstyle"/>
        </w:rPr>
        <w:t>3</w:t>
      </w:r>
      <w:r w:rsidRPr="00B71F0A">
        <w:rPr>
          <w:rStyle w:val="Referencingstyle"/>
        </w:rPr>
        <w:t xml:space="preserve">, item </w:t>
      </w:r>
      <w:r w:rsidR="0034548F">
        <w:rPr>
          <w:rStyle w:val="Referencingstyle"/>
        </w:rPr>
        <w:t>1</w:t>
      </w:r>
      <w:r w:rsidR="0034548F" w:rsidRPr="00B71F0A">
        <w:rPr>
          <w:rStyle w:val="Referencingstyle"/>
        </w:rPr>
        <w:t xml:space="preserve">, </w:t>
      </w:r>
      <w:r w:rsidRPr="00B71F0A">
        <w:rPr>
          <w:rStyle w:val="Referencingstyle"/>
        </w:rPr>
        <w:t xml:space="preserve">subsections </w:t>
      </w:r>
      <w:r w:rsidR="0034548F">
        <w:rPr>
          <w:rStyle w:val="Referencingstyle"/>
        </w:rPr>
        <w:t>13-005</w:t>
      </w:r>
      <w:r w:rsidRPr="00B71F0A">
        <w:rPr>
          <w:rStyle w:val="Referencingstyle"/>
        </w:rPr>
        <w:t>(</w:t>
      </w:r>
      <w:r w:rsidR="008B1BE4">
        <w:rPr>
          <w:rStyle w:val="Referencingstyle"/>
        </w:rPr>
        <w:t>7</w:t>
      </w:r>
      <w:r w:rsidRPr="00B71F0A">
        <w:rPr>
          <w:rStyle w:val="Referencingstyle"/>
        </w:rPr>
        <w:t>) to (</w:t>
      </w:r>
      <w:r w:rsidR="008B1BE4">
        <w:rPr>
          <w:rStyle w:val="Referencingstyle"/>
        </w:rPr>
        <w:t>9</w:t>
      </w:r>
      <w:r w:rsidRPr="00B71F0A">
        <w:rPr>
          <w:rStyle w:val="Referencingstyle"/>
        </w:rPr>
        <w:t>)]</w:t>
      </w:r>
    </w:p>
    <w:p w14:paraId="57E8D6ED" w14:textId="71856B49" w:rsidR="00A30510" w:rsidRPr="00B71F0A" w:rsidRDefault="00A30510" w:rsidP="00A367E6">
      <w:pPr>
        <w:pStyle w:val="base-text-paragraph"/>
        <w:numPr>
          <w:ilvl w:val="1"/>
          <w:numId w:val="26"/>
        </w:numPr>
      </w:pPr>
      <w:r w:rsidRPr="00B71F0A">
        <w:t>N</w:t>
      </w:r>
      <w:r w:rsidR="00224F1E" w:rsidRPr="00B71F0A">
        <w:t>otice</w:t>
      </w:r>
      <w:r w:rsidRPr="00B71F0A">
        <w:t>s</w:t>
      </w:r>
      <w:r w:rsidR="00224F1E" w:rsidRPr="00B71F0A">
        <w:t xml:space="preserve"> provided by ASIC to the CCIV and the report prepared </w:t>
      </w:r>
      <w:r w:rsidRPr="00B71F0A">
        <w:t xml:space="preserve">after a hearing </w:t>
      </w:r>
      <w:r w:rsidR="00224F1E" w:rsidRPr="00B71F0A">
        <w:t>are</w:t>
      </w:r>
      <w:r w:rsidRPr="00B71F0A">
        <w:t xml:space="preserve"> administrative in character and are therefore not legi</w:t>
      </w:r>
      <w:r w:rsidR="00224F1E" w:rsidRPr="00B71F0A">
        <w:t>slative instruments. Th</w:t>
      </w:r>
      <w:r w:rsidRPr="00B71F0A">
        <w:t xml:space="preserve">e new law expressly states that these documents are not legislative instruments. This provision is merely declaratory of their existing status and is designed to assist readers. It does not provide an exemption from the </w:t>
      </w:r>
      <w:r w:rsidRPr="00B71F0A">
        <w:rPr>
          <w:i/>
        </w:rPr>
        <w:t>Legislation Act 2003</w:t>
      </w:r>
      <w:r w:rsidRPr="00B71F0A">
        <w:t>.</w:t>
      </w:r>
      <w:r w:rsidRPr="00B71F0A">
        <w:rPr>
          <w:rStyle w:val="Referencingstyle"/>
        </w:rPr>
        <w:t xml:space="preserve"> </w:t>
      </w:r>
      <w:r w:rsidR="00C36F09" w:rsidRPr="00B71F0A">
        <w:rPr>
          <w:rStyle w:val="Referencingstyle"/>
        </w:rPr>
        <w:t xml:space="preserve">[Schedule </w:t>
      </w:r>
      <w:r w:rsidR="0034548F">
        <w:rPr>
          <w:rStyle w:val="Referencingstyle"/>
        </w:rPr>
        <w:t>3</w:t>
      </w:r>
      <w:r w:rsidR="00C36F09" w:rsidRPr="00B71F0A">
        <w:rPr>
          <w:rStyle w:val="Referencingstyle"/>
        </w:rPr>
        <w:t xml:space="preserve">, item </w:t>
      </w:r>
      <w:r w:rsidR="0034548F">
        <w:rPr>
          <w:rStyle w:val="Referencingstyle"/>
        </w:rPr>
        <w:t>1</w:t>
      </w:r>
      <w:r w:rsidR="0034548F" w:rsidRPr="00B71F0A">
        <w:rPr>
          <w:rStyle w:val="Referencingstyle"/>
        </w:rPr>
        <w:t xml:space="preserve">, </w:t>
      </w:r>
      <w:r w:rsidR="00C36F09" w:rsidRPr="00B71F0A">
        <w:rPr>
          <w:rStyle w:val="Referencingstyle"/>
        </w:rPr>
        <w:t xml:space="preserve">subsection </w:t>
      </w:r>
      <w:r w:rsidR="0034548F">
        <w:rPr>
          <w:rStyle w:val="Referencingstyle"/>
        </w:rPr>
        <w:t>13-005</w:t>
      </w:r>
      <w:r w:rsidRPr="00B71F0A">
        <w:rPr>
          <w:rStyle w:val="Referencingstyle"/>
        </w:rPr>
        <w:t>(</w:t>
      </w:r>
      <w:r w:rsidR="008B1BE4">
        <w:rPr>
          <w:rStyle w:val="Referencingstyle"/>
        </w:rPr>
        <w:t>10</w:t>
      </w:r>
      <w:r w:rsidRPr="00B71F0A">
        <w:rPr>
          <w:rStyle w:val="Referencingstyle"/>
        </w:rPr>
        <w:t>)]</w:t>
      </w:r>
    </w:p>
    <w:p w14:paraId="2087C763" w14:textId="30334909" w:rsidR="000A2D45" w:rsidRPr="00B71F0A" w:rsidRDefault="000A2D45" w:rsidP="000A2D45">
      <w:pPr>
        <w:pStyle w:val="base-text-paragraph"/>
        <w:numPr>
          <w:ilvl w:val="1"/>
          <w:numId w:val="26"/>
        </w:numPr>
      </w:pPr>
      <w:r w:rsidRPr="00B71F0A">
        <w:t xml:space="preserve">If ASIC decides to deregister the sub-fund after the hearing, it must give </w:t>
      </w:r>
      <w:r w:rsidR="00F75BA3" w:rsidRPr="00B71F0A">
        <w:t xml:space="preserve">at least five business </w:t>
      </w:r>
      <w:r w:rsidR="00C36F09" w:rsidRPr="00B71F0A">
        <w:t xml:space="preserve">days’ </w:t>
      </w:r>
      <w:r w:rsidRPr="00B71F0A">
        <w:t xml:space="preserve">notice of the proposed deregistration to the </w:t>
      </w:r>
      <w:r w:rsidR="00F75BA3" w:rsidRPr="00B71F0A">
        <w:t>CCIV</w:t>
      </w:r>
      <w:r w:rsidRPr="00B71F0A">
        <w:t>, the corporate director and any liquidator</w:t>
      </w:r>
      <w:r w:rsidR="005116C0" w:rsidRPr="00B71F0A">
        <w:t xml:space="preserve"> of the sub-fund</w:t>
      </w:r>
      <w:r w:rsidRPr="00B71F0A">
        <w:t xml:space="preserve"> and publish the notice on its database</w:t>
      </w:r>
      <w:r w:rsidR="00FD628E" w:rsidRPr="00B71F0A">
        <w:t xml:space="preserve"> (unless ASIC does not have the necessary information about the person’s identity or address)</w:t>
      </w:r>
      <w:r w:rsidRPr="00B71F0A">
        <w:t>. ASIC may dere</w:t>
      </w:r>
      <w:r w:rsidR="00F75BA3" w:rsidRPr="00B71F0A">
        <w:t xml:space="preserve">gister the </w:t>
      </w:r>
      <w:r w:rsidR="002F272F">
        <w:t>sub-fund</w:t>
      </w:r>
      <w:r w:rsidR="00887A5B">
        <w:t xml:space="preserve"> after the notice period has </w:t>
      </w:r>
      <w:r w:rsidR="00120375">
        <w:t>ended</w:t>
      </w:r>
      <w:r w:rsidR="00F75BA3" w:rsidRPr="00B71F0A">
        <w:t xml:space="preserve">. </w:t>
      </w:r>
      <w:r w:rsidRPr="00B71F0A">
        <w:rPr>
          <w:rStyle w:val="Referencingstyle"/>
        </w:rPr>
        <w:t>[Sc</w:t>
      </w:r>
      <w:r w:rsidRPr="006964A0">
        <w:rPr>
          <w:rStyle w:val="Referencingstyle"/>
        </w:rPr>
        <w:t xml:space="preserve">hedule </w:t>
      </w:r>
      <w:r w:rsidR="0034548F">
        <w:rPr>
          <w:rStyle w:val="Referencingstyle"/>
        </w:rPr>
        <w:t>3</w:t>
      </w:r>
      <w:r w:rsidRPr="006964A0">
        <w:rPr>
          <w:rStyle w:val="Referencingstyle"/>
        </w:rPr>
        <w:t xml:space="preserve">, item </w:t>
      </w:r>
      <w:r w:rsidR="0034548F">
        <w:rPr>
          <w:rStyle w:val="Referencingstyle"/>
        </w:rPr>
        <w:t>1</w:t>
      </w:r>
      <w:r w:rsidR="0034548F" w:rsidRPr="006964A0">
        <w:rPr>
          <w:rStyle w:val="Referencingstyle"/>
        </w:rPr>
        <w:t xml:space="preserve">, </w:t>
      </w:r>
      <w:r w:rsidRPr="006964A0">
        <w:rPr>
          <w:rStyle w:val="Referencingstyle"/>
        </w:rPr>
        <w:t>subsection</w:t>
      </w:r>
      <w:r w:rsidR="00B37F60" w:rsidRPr="00C046C1">
        <w:rPr>
          <w:rStyle w:val="Referencingstyle"/>
        </w:rPr>
        <w:t>s</w:t>
      </w:r>
      <w:r w:rsidRPr="005877D6">
        <w:rPr>
          <w:rStyle w:val="Referencingstyle"/>
        </w:rPr>
        <w:t xml:space="preserve"> </w:t>
      </w:r>
      <w:r w:rsidR="005F6FE4">
        <w:rPr>
          <w:rStyle w:val="Referencingstyle"/>
        </w:rPr>
        <w:t>13-010</w:t>
      </w:r>
      <w:r w:rsidRPr="00B71F0A">
        <w:rPr>
          <w:rStyle w:val="Referencingstyle"/>
        </w:rPr>
        <w:t>(</w:t>
      </w:r>
      <w:r w:rsidR="00681278" w:rsidRPr="00B71F0A">
        <w:rPr>
          <w:rStyle w:val="Referencingstyle"/>
        </w:rPr>
        <w:t>1</w:t>
      </w:r>
      <w:r w:rsidRPr="00B71F0A">
        <w:rPr>
          <w:rStyle w:val="Referencingstyle"/>
        </w:rPr>
        <w:t>) to (</w:t>
      </w:r>
      <w:r w:rsidR="00B37F60" w:rsidRPr="00B71F0A">
        <w:rPr>
          <w:rStyle w:val="Referencingstyle"/>
        </w:rPr>
        <w:t>4</w:t>
      </w:r>
      <w:r w:rsidRPr="00B71F0A">
        <w:rPr>
          <w:rStyle w:val="Referencingstyle"/>
        </w:rPr>
        <w:t>)]</w:t>
      </w:r>
    </w:p>
    <w:p w14:paraId="0D4170CC" w14:textId="2B4A0197" w:rsidR="00572286" w:rsidRPr="005877D6" w:rsidRDefault="00572286" w:rsidP="00A65EC3">
      <w:pPr>
        <w:pStyle w:val="base-text-paragraph"/>
      </w:pPr>
      <w:r w:rsidRPr="00B71F0A">
        <w:t>ASIC must not deregister the sub-fund</w:t>
      </w:r>
      <w:r w:rsidR="00DE05B6" w:rsidRPr="00B71F0A">
        <w:t xml:space="preserve"> if it</w:t>
      </w:r>
      <w:r w:rsidRPr="00B71F0A">
        <w:t xml:space="preserve"> has reason to believe that the CCIV has assets which relate to multiple sub-funds and have not been converted into money</w:t>
      </w:r>
      <w:r w:rsidR="00756A96">
        <w:t>,</w:t>
      </w:r>
      <w:r w:rsidRPr="00B71F0A">
        <w:t xml:space="preserve"> or multiple fungible assets that can be allocated between the sub-funds.</w:t>
      </w:r>
      <w:r w:rsidR="00DE05B6" w:rsidRPr="00B71F0A">
        <w:t xml:space="preserve"> The corporate director is required to convert these assets as soon as practicable (see paragraphs 3.39 to 3.44 of the Tranche 1 </w:t>
      </w:r>
      <w:r w:rsidR="008B1BE4">
        <w:t>E</w:t>
      </w:r>
      <w:r w:rsidR="00DE05B6" w:rsidRPr="00B71F0A">
        <w:t xml:space="preserve">xplanatory </w:t>
      </w:r>
      <w:r w:rsidR="008B1BE4">
        <w:t>M</w:t>
      </w:r>
      <w:r w:rsidR="00DE05B6" w:rsidRPr="00B71F0A">
        <w:t>aterials).</w:t>
      </w:r>
      <w:r w:rsidR="00DE05B6" w:rsidRPr="002A2E1A">
        <w:t xml:space="preserve"> </w:t>
      </w:r>
      <w:r w:rsidR="00B37F60" w:rsidRPr="006964A0">
        <w:rPr>
          <w:rStyle w:val="Referencingstyle"/>
        </w:rPr>
        <w:t xml:space="preserve">[Schedule </w:t>
      </w:r>
      <w:r w:rsidR="00097B13">
        <w:rPr>
          <w:rStyle w:val="Referencingstyle"/>
        </w:rPr>
        <w:t>3</w:t>
      </w:r>
      <w:r w:rsidR="00B37F60" w:rsidRPr="006964A0">
        <w:rPr>
          <w:rStyle w:val="Referencingstyle"/>
        </w:rPr>
        <w:t xml:space="preserve">, item </w:t>
      </w:r>
      <w:r w:rsidR="00097B13">
        <w:rPr>
          <w:rStyle w:val="Referencingstyle"/>
        </w:rPr>
        <w:t>1</w:t>
      </w:r>
      <w:r w:rsidR="00097B13" w:rsidRPr="006964A0">
        <w:rPr>
          <w:rStyle w:val="Referencingstyle"/>
        </w:rPr>
        <w:t xml:space="preserve">, </w:t>
      </w:r>
      <w:r w:rsidR="00B37F60" w:rsidRPr="006964A0">
        <w:rPr>
          <w:rStyle w:val="Referencingstyle"/>
        </w:rPr>
        <w:t>paragraph</w:t>
      </w:r>
      <w:r w:rsidR="00B37F60" w:rsidRPr="00C046C1">
        <w:rPr>
          <w:rStyle w:val="Referencingstyle"/>
        </w:rPr>
        <w:t xml:space="preserve"> </w:t>
      </w:r>
      <w:r w:rsidR="005F6FE4" w:rsidRPr="00C046C1">
        <w:rPr>
          <w:rStyle w:val="Referencingstyle"/>
        </w:rPr>
        <w:t>1</w:t>
      </w:r>
      <w:r w:rsidR="005F6FE4">
        <w:rPr>
          <w:rStyle w:val="Referencingstyle"/>
        </w:rPr>
        <w:t>3-010</w:t>
      </w:r>
      <w:r w:rsidR="00B37F60" w:rsidRPr="00C046C1">
        <w:rPr>
          <w:rStyle w:val="Referencingstyle"/>
        </w:rPr>
        <w:t>(3)(b)]</w:t>
      </w:r>
    </w:p>
    <w:p w14:paraId="52EBC962" w14:textId="60BC512B" w:rsidR="005116C0" w:rsidRPr="00B71F0A" w:rsidRDefault="005116C0" w:rsidP="00A65EC3">
      <w:pPr>
        <w:pStyle w:val="base-text-paragraph"/>
      </w:pPr>
      <w:r w:rsidRPr="00B71F0A">
        <w:t>Within five business days after the sub-fund is deregistered, ASIC must notify the CCIV, the corporate director and any liquidator of the sub-fund of the deregistration and the date on which the deregistration occurred.</w:t>
      </w:r>
      <w:r w:rsidRPr="00B71F0A">
        <w:rPr>
          <w:rStyle w:val="Referencingstyle"/>
        </w:rPr>
        <w:t xml:space="preserve"> [Schedule </w:t>
      </w:r>
      <w:r w:rsidR="00097B13">
        <w:rPr>
          <w:rStyle w:val="Referencingstyle"/>
        </w:rPr>
        <w:t>3</w:t>
      </w:r>
      <w:r w:rsidRPr="00B71F0A">
        <w:rPr>
          <w:rStyle w:val="Referencingstyle"/>
        </w:rPr>
        <w:t xml:space="preserve">, item </w:t>
      </w:r>
      <w:r w:rsidR="00097B13">
        <w:rPr>
          <w:rStyle w:val="Referencingstyle"/>
        </w:rPr>
        <w:t>1</w:t>
      </w:r>
      <w:r w:rsidR="00097B13" w:rsidRPr="00B71F0A">
        <w:rPr>
          <w:rStyle w:val="Referencingstyle"/>
        </w:rPr>
        <w:t xml:space="preserve">, </w:t>
      </w:r>
      <w:r w:rsidRPr="00B71F0A">
        <w:rPr>
          <w:rStyle w:val="Referencingstyle"/>
        </w:rPr>
        <w:t>subsection</w:t>
      </w:r>
      <w:r w:rsidR="00B37F60" w:rsidRPr="00B71F0A">
        <w:rPr>
          <w:rStyle w:val="Referencingstyle"/>
        </w:rPr>
        <w:t>s</w:t>
      </w:r>
      <w:r w:rsidRPr="00B71F0A">
        <w:rPr>
          <w:rStyle w:val="Referencingstyle"/>
        </w:rPr>
        <w:t xml:space="preserve"> </w:t>
      </w:r>
      <w:r w:rsidR="00097B13">
        <w:rPr>
          <w:rStyle w:val="Referencingstyle"/>
        </w:rPr>
        <w:t>13-010</w:t>
      </w:r>
      <w:r w:rsidRPr="00B71F0A">
        <w:rPr>
          <w:rStyle w:val="Referencingstyle"/>
        </w:rPr>
        <w:t>(</w:t>
      </w:r>
      <w:r w:rsidR="00681278" w:rsidRPr="00B71F0A">
        <w:rPr>
          <w:rStyle w:val="Referencingstyle"/>
        </w:rPr>
        <w:t>5</w:t>
      </w:r>
      <w:r w:rsidR="00572286" w:rsidRPr="00B71F0A">
        <w:rPr>
          <w:rStyle w:val="Referencingstyle"/>
        </w:rPr>
        <w:t>)</w:t>
      </w:r>
      <w:r w:rsidR="00B37F60" w:rsidRPr="00B71F0A">
        <w:rPr>
          <w:rStyle w:val="Referencingstyle"/>
        </w:rPr>
        <w:t xml:space="preserve"> and (6)</w:t>
      </w:r>
      <w:r w:rsidR="00572286" w:rsidRPr="00B71F0A">
        <w:rPr>
          <w:rStyle w:val="Referencingstyle"/>
        </w:rPr>
        <w:t>]</w:t>
      </w:r>
    </w:p>
    <w:p w14:paraId="3C3BC9CC" w14:textId="3382B803" w:rsidR="00A65EC3" w:rsidRPr="00B71F0A" w:rsidRDefault="0067029B" w:rsidP="00A65EC3">
      <w:pPr>
        <w:pStyle w:val="base-text-paragraph"/>
        <w:numPr>
          <w:ilvl w:val="1"/>
          <w:numId w:val="26"/>
        </w:numPr>
      </w:pPr>
      <w:r w:rsidRPr="00B71F0A">
        <w:t>The deregistration procedure</w:t>
      </w:r>
      <w:r w:rsidR="00A65EC3" w:rsidRPr="00B71F0A">
        <w:t xml:space="preserve"> roughly parallels the process for an ASIC-initiated deregistration of a company with two exceptions. First, a show cause process </w:t>
      </w:r>
      <w:r w:rsidR="00C52EDB" w:rsidRPr="00B71F0A">
        <w:t>is included</w:t>
      </w:r>
      <w:r w:rsidR="00A65EC3" w:rsidRPr="00B71F0A">
        <w:t xml:space="preserve"> to ensure procedural fairness. Deregistration procedures and other similar processes introduced in </w:t>
      </w:r>
      <w:r w:rsidR="00120375">
        <w:t>recent</w:t>
      </w:r>
      <w:r w:rsidR="00A65EC3" w:rsidRPr="00B71F0A">
        <w:t xml:space="preserve"> years </w:t>
      </w:r>
      <w:r w:rsidR="00120375">
        <w:t xml:space="preserve">have </w:t>
      </w:r>
      <w:r w:rsidR="00C52EDB" w:rsidRPr="00B71F0A">
        <w:t>include</w:t>
      </w:r>
      <w:r w:rsidR="00120375">
        <w:t>d</w:t>
      </w:r>
      <w:r w:rsidR="00A65EC3" w:rsidRPr="00B71F0A">
        <w:t xml:space="preserve"> a show cause process</w:t>
      </w:r>
      <w:r w:rsidR="00120375">
        <w:t xml:space="preserve"> and this is now considered best practice</w:t>
      </w:r>
      <w:r w:rsidR="00A65EC3" w:rsidRPr="00B71F0A">
        <w:t>. See, for example, existing section 905J (cancellation of derivative trade repository), section 908BJ (suspension or cancellation of a benchmark administrator license) and section 1216C (deregistration of a passport fund).</w:t>
      </w:r>
    </w:p>
    <w:p w14:paraId="4ACF2E80" w14:textId="1E47233F" w:rsidR="00717470" w:rsidRPr="00B71F0A" w:rsidRDefault="00A65EC3" w:rsidP="00A367E6">
      <w:pPr>
        <w:pStyle w:val="base-text-paragraph"/>
        <w:numPr>
          <w:ilvl w:val="1"/>
          <w:numId w:val="26"/>
        </w:numPr>
      </w:pPr>
      <w:r w:rsidRPr="00B71F0A">
        <w:t xml:space="preserve">The second difference is that ASIC </w:t>
      </w:r>
      <w:r w:rsidR="00F56A92" w:rsidRPr="00B71F0A">
        <w:t>may issue a notice of deregistration</w:t>
      </w:r>
      <w:r w:rsidRPr="00B71F0A">
        <w:t xml:space="preserve"> after issuing the notice of dere</w:t>
      </w:r>
      <w:r w:rsidR="00C52EDB" w:rsidRPr="00B71F0A">
        <w:t>gistration (rather than two</w:t>
      </w:r>
      <w:r w:rsidRPr="00B71F0A">
        <w:t xml:space="preserve"> months). This change is appropriate as the notice of intended deregistration may only be issued after the show cause procedure has been completed. If ASIC was required to complete the show cause procedure and wait an additional two months after issuing the final notice of intended deregistration, inactive sub-funds would remain </w:t>
      </w:r>
      <w:r w:rsidR="00C52EDB" w:rsidRPr="00B71F0A">
        <w:t>registered</w:t>
      </w:r>
      <w:r w:rsidRPr="00B71F0A">
        <w:t xml:space="preserve"> for a significant period of time.</w:t>
      </w:r>
    </w:p>
    <w:p w14:paraId="533C981E" w14:textId="563BF979" w:rsidR="005116C0" w:rsidRPr="00B71F0A" w:rsidRDefault="005116C0" w:rsidP="005116C0">
      <w:pPr>
        <w:pStyle w:val="base-text-paragraph"/>
        <w:rPr>
          <w:rStyle w:val="Referencingstyle"/>
          <w:b w:val="0"/>
          <w:i w:val="0"/>
          <w:sz w:val="22"/>
        </w:rPr>
      </w:pPr>
      <w:bookmarkStart w:id="113" w:name="_Ref525654061"/>
      <w:r w:rsidRPr="009D7EDC">
        <w:t xml:space="preserve">Notices given or published in accordance with the new bespoke provision for the ASIC-initiated deregistration of a sub-fund are taken to have been given or published under the corresponding company provision. </w:t>
      </w:r>
      <w:r w:rsidR="00296B32" w:rsidRPr="00B71F0A">
        <w:t>Similarly</w:t>
      </w:r>
      <w:r w:rsidRPr="00B71F0A">
        <w:t>, reference</w:t>
      </w:r>
      <w:r w:rsidR="00296B32" w:rsidRPr="00B71F0A">
        <w:t xml:space="preserve">s to the period between ASIC notifying of the proposed deregistration of the company and the actual deregistration are </w:t>
      </w:r>
      <w:r w:rsidRPr="00B71F0A">
        <w:t>taken to refer to</w:t>
      </w:r>
      <w:r w:rsidR="00296B32" w:rsidRPr="00B71F0A">
        <w:t xml:space="preserve"> the five-business-</w:t>
      </w:r>
      <w:r w:rsidRPr="00B71F0A">
        <w:t>day period</w:t>
      </w:r>
      <w:r w:rsidR="00296B32" w:rsidRPr="00B71F0A">
        <w:t xml:space="preserve"> between ASIC notifying of the proposed deregistration of the sub-fund and its actual deregistration</w:t>
      </w:r>
      <w:r w:rsidRPr="00B71F0A">
        <w:t>. This ensures that other references in the Act to the company notice provisions continue to operate appropriately (see, for example, subsections 589(3) and 589(5)).</w:t>
      </w:r>
      <w:r w:rsidRPr="00B71F0A">
        <w:rPr>
          <w:rStyle w:val="Referencingstyle"/>
        </w:rPr>
        <w:t xml:space="preserve"> [Schedule </w:t>
      </w:r>
      <w:r w:rsidR="00097B13">
        <w:rPr>
          <w:rStyle w:val="Referencingstyle"/>
        </w:rPr>
        <w:t>3</w:t>
      </w:r>
      <w:r w:rsidRPr="00B71F0A">
        <w:rPr>
          <w:rStyle w:val="Referencingstyle"/>
        </w:rPr>
        <w:t xml:space="preserve">, item </w:t>
      </w:r>
      <w:r w:rsidR="00097B13">
        <w:rPr>
          <w:rStyle w:val="Referencingstyle"/>
        </w:rPr>
        <w:t>1</w:t>
      </w:r>
      <w:r w:rsidR="00097B13" w:rsidRPr="00B71F0A">
        <w:rPr>
          <w:rStyle w:val="Referencingstyle"/>
        </w:rPr>
        <w:t xml:space="preserve">, </w:t>
      </w:r>
      <w:r w:rsidRPr="00B71F0A">
        <w:rPr>
          <w:rStyle w:val="Referencingstyle"/>
        </w:rPr>
        <w:t xml:space="preserve">subsection </w:t>
      </w:r>
      <w:r w:rsidR="00097B13">
        <w:rPr>
          <w:rStyle w:val="Referencingstyle"/>
        </w:rPr>
        <w:t>13-010</w:t>
      </w:r>
      <w:r w:rsidRPr="00B71F0A">
        <w:rPr>
          <w:rStyle w:val="Referencingstyle"/>
        </w:rPr>
        <w:t>(</w:t>
      </w:r>
      <w:r w:rsidR="00B37F60" w:rsidRPr="00B71F0A">
        <w:rPr>
          <w:rStyle w:val="Referencingstyle"/>
        </w:rPr>
        <w:t>7</w:t>
      </w:r>
      <w:r w:rsidRPr="00B71F0A">
        <w:rPr>
          <w:rStyle w:val="Referencingstyle"/>
        </w:rPr>
        <w:t xml:space="preserve">) and </w:t>
      </w:r>
      <w:r w:rsidR="00097B13">
        <w:rPr>
          <w:rStyle w:val="Referencingstyle"/>
        </w:rPr>
        <w:t xml:space="preserve">Schedule 2, item </w:t>
      </w:r>
      <w:r w:rsidR="00C127D7">
        <w:rPr>
          <w:rStyle w:val="Referencingstyle"/>
        </w:rPr>
        <w:t xml:space="preserve">1, </w:t>
      </w:r>
      <w:r w:rsidRPr="00B71F0A">
        <w:rPr>
          <w:rStyle w:val="Referencingstyle"/>
        </w:rPr>
        <w:t xml:space="preserve">section </w:t>
      </w:r>
      <w:r w:rsidR="00C127D7">
        <w:rPr>
          <w:rStyle w:val="Referencingstyle"/>
        </w:rPr>
        <w:t>12-280</w:t>
      </w:r>
      <w:r w:rsidRPr="00B71F0A">
        <w:rPr>
          <w:rStyle w:val="Referencingstyle"/>
        </w:rPr>
        <w:t>]</w:t>
      </w:r>
      <w:bookmarkEnd w:id="113"/>
    </w:p>
    <w:p w14:paraId="726D545D" w14:textId="5C4FD3CA" w:rsidR="006B7905" w:rsidRPr="00B71F0A" w:rsidRDefault="006B7905" w:rsidP="006B7905">
      <w:pPr>
        <w:pStyle w:val="Heading4"/>
      </w:pPr>
      <w:r w:rsidRPr="00B71F0A">
        <w:t xml:space="preserve">Deregistration following </w:t>
      </w:r>
      <w:r w:rsidR="00BF4104" w:rsidRPr="00B71F0A">
        <w:t xml:space="preserve">amalgamation or </w:t>
      </w:r>
      <w:r w:rsidRPr="00B71F0A">
        <w:t>winding up</w:t>
      </w:r>
    </w:p>
    <w:p w14:paraId="576E4242" w14:textId="6152E76A" w:rsidR="005254DD" w:rsidRPr="00B71F0A" w:rsidRDefault="005254DD" w:rsidP="005254DD">
      <w:pPr>
        <w:pStyle w:val="base-text-paragraph"/>
      </w:pPr>
      <w:r w:rsidRPr="00B71F0A">
        <w:t>ASIC is also required to deregister a sub-fund</w:t>
      </w:r>
      <w:r w:rsidR="00D63B15" w:rsidRPr="00B71F0A">
        <w:t xml:space="preserve"> </w:t>
      </w:r>
      <w:r w:rsidRPr="00B71F0A">
        <w:t xml:space="preserve">if the Court orders the deregistration of the sub-fund </w:t>
      </w:r>
      <w:r w:rsidR="00D63B15" w:rsidRPr="00B71F0A">
        <w:t xml:space="preserve">after the </w:t>
      </w:r>
      <w:r w:rsidRPr="00B71F0A">
        <w:t>conclusion o</w:t>
      </w:r>
      <w:r w:rsidR="00D63B15" w:rsidRPr="00B71F0A">
        <w:t>f a reconstruction under Part 5.1, the r</w:t>
      </w:r>
      <w:r w:rsidRPr="00B71F0A">
        <w:t xml:space="preserve">elease of </w:t>
      </w:r>
      <w:r w:rsidR="00D63B15" w:rsidRPr="00B71F0A">
        <w:t>a liquidator</w:t>
      </w:r>
      <w:r w:rsidRPr="00B71F0A">
        <w:t xml:space="preserve"> or </w:t>
      </w:r>
      <w:r w:rsidR="00D63B15" w:rsidRPr="00B71F0A">
        <w:t xml:space="preserve">the lodgement of an </w:t>
      </w:r>
      <w:r w:rsidRPr="00B71F0A">
        <w:t xml:space="preserve">end of administration return. </w:t>
      </w:r>
      <w:r w:rsidR="003D6934" w:rsidRPr="00B71F0A">
        <w:rPr>
          <w:rStyle w:val="Referencingstyle"/>
        </w:rPr>
        <w:t>[Schedule </w:t>
      </w:r>
      <w:r w:rsidR="00C127D7">
        <w:rPr>
          <w:rStyle w:val="Referencingstyle"/>
        </w:rPr>
        <w:t>2</w:t>
      </w:r>
      <w:r w:rsidR="003D6934" w:rsidRPr="00B71F0A">
        <w:rPr>
          <w:rStyle w:val="Referencingstyle"/>
        </w:rPr>
        <w:t xml:space="preserve">, item </w:t>
      </w:r>
      <w:r w:rsidR="00C127D7">
        <w:rPr>
          <w:rStyle w:val="Referencingstyle"/>
        </w:rPr>
        <w:t>1</w:t>
      </w:r>
      <w:r w:rsidR="00C127D7" w:rsidRPr="00B71F0A">
        <w:rPr>
          <w:rStyle w:val="Referencingstyle"/>
        </w:rPr>
        <w:t xml:space="preserve">, </w:t>
      </w:r>
      <w:r w:rsidR="00B37F60" w:rsidRPr="00B71F0A">
        <w:rPr>
          <w:rStyle w:val="Referencingstyle"/>
        </w:rPr>
        <w:t xml:space="preserve">section </w:t>
      </w:r>
      <w:r w:rsidR="00C127D7">
        <w:rPr>
          <w:rStyle w:val="Referencingstyle"/>
        </w:rPr>
        <w:t>12-280</w:t>
      </w:r>
      <w:r w:rsidR="003D6934" w:rsidRPr="00B71F0A">
        <w:rPr>
          <w:rStyle w:val="Referencingstyle"/>
        </w:rPr>
        <w:t>]</w:t>
      </w:r>
      <w:r w:rsidR="003D6934" w:rsidRPr="00B71F0A">
        <w:t xml:space="preserve"> </w:t>
      </w:r>
    </w:p>
    <w:p w14:paraId="0F9F5D45" w14:textId="078BBD59" w:rsidR="003D6934" w:rsidRPr="00B71F0A" w:rsidRDefault="003D6934" w:rsidP="003D6934">
      <w:pPr>
        <w:pStyle w:val="base-text-paragraph"/>
        <w:numPr>
          <w:ilvl w:val="0"/>
          <w:numId w:val="0"/>
        </w:numPr>
        <w:ind w:left="1134"/>
        <w:rPr>
          <w:b/>
          <w:i/>
        </w:rPr>
      </w:pPr>
      <w:r w:rsidRPr="00B71F0A">
        <w:rPr>
          <w:b/>
          <w:i/>
        </w:rPr>
        <w:t>Effect of deregistration of a sub-fund</w:t>
      </w:r>
    </w:p>
    <w:p w14:paraId="5B06F477" w14:textId="2B0EEEF5" w:rsidR="003D6934" w:rsidRPr="00B71F0A" w:rsidRDefault="003D6934" w:rsidP="005254DD">
      <w:pPr>
        <w:pStyle w:val="base-text-paragraph"/>
        <w:rPr>
          <w:rStyle w:val="Referencingstyle"/>
          <w:b w:val="0"/>
          <w:i w:val="0"/>
          <w:sz w:val="22"/>
        </w:rPr>
      </w:pPr>
      <w:r w:rsidRPr="009D7EDC">
        <w:t xml:space="preserve">On deregistration, </w:t>
      </w:r>
      <w:r w:rsidR="00D63B15" w:rsidRPr="00B71F0A">
        <w:t>the property</w:t>
      </w:r>
      <w:r w:rsidRPr="00B71F0A">
        <w:t xml:space="preserve"> of the sub-fund vest</w:t>
      </w:r>
      <w:r w:rsidR="00FD16E8">
        <w:t>s</w:t>
      </w:r>
      <w:r w:rsidRPr="00B71F0A">
        <w:t xml:space="preserve"> in either the Commonwealth (</w:t>
      </w:r>
      <w:r w:rsidR="00D63B15" w:rsidRPr="00B71F0A">
        <w:t xml:space="preserve">for </w:t>
      </w:r>
      <w:r w:rsidRPr="00B71F0A">
        <w:t>trust property) or ASIC (</w:t>
      </w:r>
      <w:r w:rsidR="00D63B15" w:rsidRPr="00B71F0A">
        <w:t xml:space="preserve">for </w:t>
      </w:r>
      <w:r w:rsidRPr="00B71F0A">
        <w:t>other property)</w:t>
      </w:r>
      <w:r w:rsidR="00D63B15" w:rsidRPr="00B71F0A">
        <w:t>. This vesting occurs in the same way that assets of deregistered companies vest in the Commonwealth or ASIC</w:t>
      </w:r>
      <w:r w:rsidRPr="00B71F0A">
        <w:t>.</w:t>
      </w:r>
      <w:r w:rsidRPr="00B71F0A">
        <w:rPr>
          <w:rStyle w:val="Referencingstyle"/>
        </w:rPr>
        <w:t xml:space="preserve"> [Schedule </w:t>
      </w:r>
      <w:r w:rsidR="00E9296A">
        <w:rPr>
          <w:rStyle w:val="Referencingstyle"/>
        </w:rPr>
        <w:t>3</w:t>
      </w:r>
      <w:r w:rsidRPr="00B71F0A">
        <w:rPr>
          <w:rStyle w:val="Referencingstyle"/>
        </w:rPr>
        <w:t xml:space="preserve">, item </w:t>
      </w:r>
      <w:r w:rsidR="00E9296A">
        <w:rPr>
          <w:rStyle w:val="Referencingstyle"/>
        </w:rPr>
        <w:t>1</w:t>
      </w:r>
      <w:r w:rsidR="00E9296A" w:rsidRPr="00B71F0A">
        <w:rPr>
          <w:rStyle w:val="Referencingstyle"/>
        </w:rPr>
        <w:t xml:space="preserve">, </w:t>
      </w:r>
      <w:r w:rsidRPr="00B71F0A">
        <w:rPr>
          <w:rStyle w:val="Referencingstyle"/>
        </w:rPr>
        <w:t>subsection</w:t>
      </w:r>
      <w:r w:rsidR="005360FB" w:rsidRPr="00B71F0A">
        <w:rPr>
          <w:rStyle w:val="Referencingstyle"/>
        </w:rPr>
        <w:t>s</w:t>
      </w:r>
      <w:r w:rsidR="00B42C4D">
        <w:rPr>
          <w:rStyle w:val="Referencingstyle"/>
        </w:rPr>
        <w:t> </w:t>
      </w:r>
      <w:r w:rsidR="00E9296A" w:rsidRPr="00B71F0A">
        <w:rPr>
          <w:rStyle w:val="Referencingstyle"/>
        </w:rPr>
        <w:t>1</w:t>
      </w:r>
      <w:r w:rsidR="00E9296A">
        <w:rPr>
          <w:rStyle w:val="Referencingstyle"/>
        </w:rPr>
        <w:t>3</w:t>
      </w:r>
      <w:r w:rsidR="00B42C4D">
        <w:rPr>
          <w:rStyle w:val="Referencingstyle"/>
        </w:rPr>
        <w:noBreakHyphen/>
      </w:r>
      <w:r w:rsidR="00E9296A">
        <w:rPr>
          <w:rStyle w:val="Referencingstyle"/>
        </w:rPr>
        <w:t>020</w:t>
      </w:r>
      <w:r w:rsidR="005360FB" w:rsidRPr="00B71F0A">
        <w:rPr>
          <w:rStyle w:val="Referencingstyle"/>
        </w:rPr>
        <w:t>(1</w:t>
      </w:r>
      <w:r w:rsidRPr="00B71F0A">
        <w:rPr>
          <w:rStyle w:val="Referencingstyle"/>
        </w:rPr>
        <w:t>)</w:t>
      </w:r>
      <w:r w:rsidR="005360FB" w:rsidRPr="00B71F0A">
        <w:rPr>
          <w:rStyle w:val="Referencingstyle"/>
        </w:rPr>
        <w:t xml:space="preserve"> and (2)</w:t>
      </w:r>
      <w:r w:rsidRPr="00B71F0A">
        <w:rPr>
          <w:rStyle w:val="Referencingstyle"/>
        </w:rPr>
        <w:t>]</w:t>
      </w:r>
    </w:p>
    <w:p w14:paraId="7692DF2D" w14:textId="4E3F7F07" w:rsidR="003D6934" w:rsidRPr="00B71F0A" w:rsidRDefault="003D6934" w:rsidP="005254DD">
      <w:pPr>
        <w:pStyle w:val="base-text-paragraph"/>
      </w:pPr>
      <w:bookmarkStart w:id="114" w:name="_Ref522887197"/>
      <w:r w:rsidRPr="00B71F0A">
        <w:t xml:space="preserve">Subsection 601AD(1) of the existing law (which provides that a company ceases to exist on deregistration) </w:t>
      </w:r>
      <w:r w:rsidR="005360FB" w:rsidRPr="00B71F0A">
        <w:t xml:space="preserve">does not apply </w:t>
      </w:r>
      <w:r w:rsidR="00FD16E8">
        <w:t>in the context of a sub-fund being deregistered</w:t>
      </w:r>
      <w:r w:rsidRPr="00B71F0A">
        <w:t>. This is because the CCIV continues to exist after the sub-fund has been deregistered</w:t>
      </w:r>
      <w:r w:rsidR="00461185">
        <w:t>, noting that a CCIV is automatically deregistered once its last sub-fund has been deregistered</w:t>
      </w:r>
      <w:r w:rsidR="0052747A">
        <w:t xml:space="preserve"> (see paragraphs </w:t>
      </w:r>
      <w:r w:rsidR="0052747A">
        <w:fldChar w:fldCharType="begin"/>
      </w:r>
      <w:r w:rsidR="0052747A">
        <w:instrText xml:space="preserve"> REF _Ref526236023 \r \h </w:instrText>
      </w:r>
      <w:r w:rsidR="0052747A">
        <w:fldChar w:fldCharType="separate"/>
      </w:r>
      <w:r w:rsidR="00275132">
        <w:t>4.52</w:t>
      </w:r>
      <w:r w:rsidR="0052747A">
        <w:fldChar w:fldCharType="end"/>
      </w:r>
      <w:r w:rsidR="0052747A">
        <w:t xml:space="preserve"> to </w:t>
      </w:r>
      <w:r w:rsidR="0052747A">
        <w:fldChar w:fldCharType="begin"/>
      </w:r>
      <w:r w:rsidR="0052747A">
        <w:instrText xml:space="preserve"> REF _Ref526236025 \r \h </w:instrText>
      </w:r>
      <w:r w:rsidR="0052747A">
        <w:fldChar w:fldCharType="separate"/>
      </w:r>
      <w:r w:rsidR="00275132">
        <w:t>4.55</w:t>
      </w:r>
      <w:r w:rsidR="0052747A">
        <w:fldChar w:fldCharType="end"/>
      </w:r>
      <w:r w:rsidR="0052747A">
        <w:t xml:space="preserve"> of these explanatory materials)</w:t>
      </w:r>
      <w:r w:rsidRPr="00B71F0A">
        <w:t xml:space="preserve">. As </w:t>
      </w:r>
      <w:r w:rsidR="00874FD3" w:rsidRPr="00B71F0A">
        <w:t>a sub-fund</w:t>
      </w:r>
      <w:r w:rsidRPr="00B71F0A">
        <w:t xml:space="preserve"> </w:t>
      </w:r>
      <w:r w:rsidR="00FD16E8">
        <w:t>does not have legal personality</w:t>
      </w:r>
      <w:r w:rsidRPr="00B71F0A">
        <w:t>, it is unnecessary to provide that a sub-fund ceases to exist on deregistration</w:t>
      </w:r>
      <w:bookmarkEnd w:id="114"/>
      <w:r w:rsidR="00D63B15" w:rsidRPr="00B71F0A">
        <w:t xml:space="preserve">. </w:t>
      </w:r>
      <w:r w:rsidR="00D63B15" w:rsidRPr="00B71F0A">
        <w:rPr>
          <w:rStyle w:val="Referencingstyle"/>
        </w:rPr>
        <w:t>[Schedule </w:t>
      </w:r>
      <w:r w:rsidR="00E9296A">
        <w:rPr>
          <w:rStyle w:val="Referencingstyle"/>
        </w:rPr>
        <w:t>3</w:t>
      </w:r>
      <w:r w:rsidR="00D63B15" w:rsidRPr="00B71F0A">
        <w:rPr>
          <w:rStyle w:val="Referencingstyle"/>
        </w:rPr>
        <w:t xml:space="preserve">, item </w:t>
      </w:r>
      <w:r w:rsidR="00E9296A">
        <w:rPr>
          <w:rStyle w:val="Referencingstyle"/>
        </w:rPr>
        <w:t>1</w:t>
      </w:r>
      <w:r w:rsidR="00E9296A" w:rsidRPr="00B71F0A">
        <w:rPr>
          <w:rStyle w:val="Referencingstyle"/>
        </w:rPr>
        <w:t xml:space="preserve">, </w:t>
      </w:r>
      <w:r w:rsidR="00D63B15" w:rsidRPr="00B71F0A">
        <w:rPr>
          <w:rStyle w:val="Referencingstyle"/>
        </w:rPr>
        <w:t xml:space="preserve">note to subsection </w:t>
      </w:r>
      <w:r w:rsidR="00E9296A">
        <w:rPr>
          <w:rStyle w:val="Referencingstyle"/>
        </w:rPr>
        <w:t>13-020</w:t>
      </w:r>
      <w:r w:rsidR="00D63B15" w:rsidRPr="00B71F0A">
        <w:rPr>
          <w:rStyle w:val="Referencingstyle"/>
        </w:rPr>
        <w:t>(1)]</w:t>
      </w:r>
    </w:p>
    <w:p w14:paraId="720B333E" w14:textId="52A1D25E" w:rsidR="003D6934" w:rsidRPr="00B71F0A" w:rsidRDefault="00A53DF2" w:rsidP="005254DD">
      <w:pPr>
        <w:pStyle w:val="base-text-paragraph"/>
      </w:pPr>
      <w:r w:rsidRPr="00B71F0A">
        <w:t xml:space="preserve">The </w:t>
      </w:r>
      <w:r w:rsidRPr="006964A0">
        <w:t>CCIV must retain, for three years after</w:t>
      </w:r>
      <w:r w:rsidRPr="005877D6">
        <w:t xml:space="preserve"> the </w:t>
      </w:r>
      <w:r w:rsidR="00874FD3" w:rsidRPr="00B71F0A">
        <w:t>sub-fund</w:t>
      </w:r>
      <w:r w:rsidR="00FD16E8">
        <w:t xml:space="preserve"> has been deregistered</w:t>
      </w:r>
      <w:r w:rsidRPr="00B71F0A">
        <w:t>, the books of the sub-fund apart from the books that a liquidator is required to retain. If the CCIV is also deregistered, the books are</w:t>
      </w:r>
      <w:r w:rsidR="00FD16E8">
        <w:t xml:space="preserve"> to be</w:t>
      </w:r>
      <w:r w:rsidRPr="00B71F0A">
        <w:t xml:space="preserve"> held by the </w:t>
      </w:r>
      <w:r w:rsidR="004C5727">
        <w:t xml:space="preserve">last </w:t>
      </w:r>
      <w:r w:rsidRPr="00B71F0A">
        <w:t>corporate director</w:t>
      </w:r>
      <w:r w:rsidR="004C5727">
        <w:t xml:space="preserve"> of the CCIV</w:t>
      </w:r>
      <w:r w:rsidRPr="00B71F0A">
        <w:t>. See paragraph</w:t>
      </w:r>
      <w:r w:rsidR="00E53084" w:rsidRPr="00B71F0A">
        <w:t>s</w:t>
      </w:r>
      <w:r w:rsidRPr="00B71F0A">
        <w:t xml:space="preserve"> </w:t>
      </w:r>
      <w:r w:rsidR="00E53084" w:rsidRPr="003F7083">
        <w:fldChar w:fldCharType="begin"/>
      </w:r>
      <w:r w:rsidR="00E53084" w:rsidRPr="00B71F0A">
        <w:instrText xml:space="preserve"> REF _Ref522885474 \r \h </w:instrText>
      </w:r>
      <w:r w:rsidR="00B71F0A">
        <w:instrText xml:space="preserve"> \* MERGEFORMAT </w:instrText>
      </w:r>
      <w:r w:rsidR="00E53084" w:rsidRPr="003F7083">
        <w:fldChar w:fldCharType="separate"/>
      </w:r>
      <w:r w:rsidR="00275132">
        <w:t>3.143</w:t>
      </w:r>
      <w:r w:rsidR="00E53084" w:rsidRPr="003F7083">
        <w:fldChar w:fldCharType="end"/>
      </w:r>
      <w:r w:rsidR="00E53084" w:rsidRPr="00C046C1">
        <w:t xml:space="preserve"> to </w:t>
      </w:r>
      <w:r w:rsidR="00E53084" w:rsidRPr="003F7083">
        <w:fldChar w:fldCharType="begin"/>
      </w:r>
      <w:r w:rsidR="00E53084" w:rsidRPr="00B71F0A">
        <w:instrText xml:space="preserve"> REF _Ref522885475 \r \h </w:instrText>
      </w:r>
      <w:r w:rsidR="00B71F0A">
        <w:instrText xml:space="preserve"> \* MERGEFORMAT </w:instrText>
      </w:r>
      <w:r w:rsidR="00E53084" w:rsidRPr="003F7083">
        <w:fldChar w:fldCharType="separate"/>
      </w:r>
      <w:r w:rsidR="00275132">
        <w:t>3.148</w:t>
      </w:r>
      <w:r w:rsidR="00E53084" w:rsidRPr="003F7083">
        <w:fldChar w:fldCharType="end"/>
      </w:r>
      <w:r w:rsidRPr="00C046C1">
        <w:t xml:space="preserve"> </w:t>
      </w:r>
      <w:r w:rsidR="00E53084" w:rsidRPr="005877D6">
        <w:t>of the</w:t>
      </w:r>
      <w:r w:rsidR="00874FD3" w:rsidRPr="00B71F0A">
        <w:t>se</w:t>
      </w:r>
      <w:r w:rsidR="00E53084" w:rsidRPr="00B71F0A">
        <w:t xml:space="preserve"> explanatory material</w:t>
      </w:r>
      <w:r w:rsidR="00FD16E8">
        <w:t>s</w:t>
      </w:r>
      <w:r w:rsidR="00E53084" w:rsidRPr="00B71F0A">
        <w:t xml:space="preserve"> </w:t>
      </w:r>
      <w:r w:rsidRPr="00B71F0A">
        <w:t xml:space="preserve">for the liquidator’s requirement to retain books and paragraph </w:t>
      </w:r>
      <w:r w:rsidR="00874FD3" w:rsidRPr="003F7083">
        <w:fldChar w:fldCharType="begin"/>
      </w:r>
      <w:r w:rsidR="00874FD3" w:rsidRPr="00B71F0A">
        <w:instrText xml:space="preserve"> REF _Ref524963561 \r \h </w:instrText>
      </w:r>
      <w:r w:rsidR="00B71F0A">
        <w:instrText xml:space="preserve"> \* MERGEFORMAT </w:instrText>
      </w:r>
      <w:r w:rsidR="00874FD3" w:rsidRPr="003F7083">
        <w:fldChar w:fldCharType="separate"/>
      </w:r>
      <w:r w:rsidR="00275132">
        <w:t>4.56</w:t>
      </w:r>
      <w:r w:rsidR="00874FD3" w:rsidRPr="003F7083">
        <w:fldChar w:fldCharType="end"/>
      </w:r>
      <w:r w:rsidR="00874FD3" w:rsidRPr="00C046C1">
        <w:t xml:space="preserve"> </w:t>
      </w:r>
      <w:r w:rsidRPr="005877D6">
        <w:t>for the</w:t>
      </w:r>
      <w:r w:rsidR="00E53084" w:rsidRPr="00B71F0A">
        <w:t xml:space="preserve"> rules relating to retention of books on deregistration of a CCIV</w:t>
      </w:r>
      <w:r w:rsidRPr="00B71F0A">
        <w:t>.</w:t>
      </w:r>
      <w:r w:rsidR="00E53084" w:rsidRPr="00B71F0A">
        <w:rPr>
          <w:rStyle w:val="Referencingstyle"/>
        </w:rPr>
        <w:t xml:space="preserve"> [Schedule </w:t>
      </w:r>
      <w:r w:rsidR="00E9296A">
        <w:rPr>
          <w:rStyle w:val="Referencingstyle"/>
        </w:rPr>
        <w:t>3</w:t>
      </w:r>
      <w:r w:rsidR="00E53084" w:rsidRPr="00B71F0A">
        <w:rPr>
          <w:rStyle w:val="Referencingstyle"/>
        </w:rPr>
        <w:t>,</w:t>
      </w:r>
      <w:r w:rsidR="00E9296A">
        <w:rPr>
          <w:rStyle w:val="Referencingstyle"/>
        </w:rPr>
        <w:t xml:space="preserve"> </w:t>
      </w:r>
      <w:r w:rsidR="00E53084" w:rsidRPr="00B71F0A">
        <w:rPr>
          <w:rStyle w:val="Referencingstyle"/>
        </w:rPr>
        <w:t xml:space="preserve">item </w:t>
      </w:r>
      <w:r w:rsidR="00E9296A">
        <w:rPr>
          <w:rStyle w:val="Referencingstyle"/>
        </w:rPr>
        <w:t>1</w:t>
      </w:r>
      <w:r w:rsidR="00E9296A" w:rsidRPr="00B71F0A">
        <w:rPr>
          <w:rStyle w:val="Referencingstyle"/>
        </w:rPr>
        <w:t xml:space="preserve">, </w:t>
      </w:r>
      <w:r w:rsidR="00E53084" w:rsidRPr="00B71F0A">
        <w:rPr>
          <w:rStyle w:val="Referencingstyle"/>
        </w:rPr>
        <w:t>subsection</w:t>
      </w:r>
      <w:r w:rsidR="00F81EC0" w:rsidRPr="00B71F0A">
        <w:rPr>
          <w:rStyle w:val="Referencingstyle"/>
        </w:rPr>
        <w:t>s</w:t>
      </w:r>
      <w:r w:rsidR="00E53084" w:rsidRPr="00B71F0A">
        <w:rPr>
          <w:rStyle w:val="Referencingstyle"/>
        </w:rPr>
        <w:t xml:space="preserve"> </w:t>
      </w:r>
      <w:r w:rsidR="00E9296A">
        <w:rPr>
          <w:rStyle w:val="Referencingstyle"/>
        </w:rPr>
        <w:t>13-020</w:t>
      </w:r>
      <w:r w:rsidR="00E9296A" w:rsidRPr="00B71F0A" w:rsidDel="00E9296A">
        <w:rPr>
          <w:rStyle w:val="Referencingstyle"/>
        </w:rPr>
        <w:t xml:space="preserve"> </w:t>
      </w:r>
      <w:r w:rsidR="00E53084" w:rsidRPr="00B71F0A">
        <w:rPr>
          <w:rStyle w:val="Referencingstyle"/>
        </w:rPr>
        <w:t>(3)]</w:t>
      </w:r>
      <w:r w:rsidRPr="00B71F0A">
        <w:t xml:space="preserve"> </w:t>
      </w:r>
    </w:p>
    <w:p w14:paraId="4140C510" w14:textId="068E9777" w:rsidR="00874FD3" w:rsidRPr="00B71F0A" w:rsidRDefault="00FD16E8" w:rsidP="00F81EC0">
      <w:pPr>
        <w:pStyle w:val="base-text-paragraph"/>
      </w:pPr>
      <w:r>
        <w:t>Failing</w:t>
      </w:r>
      <w:r w:rsidR="00E53084" w:rsidRPr="00B71F0A">
        <w:t xml:space="preserve"> to keep books is a strict liability offence</w:t>
      </w:r>
      <w:r w:rsidR="00874FD3" w:rsidRPr="00B71F0A">
        <w:t xml:space="preserve"> with a maximum penalty of 20 penalty units.</w:t>
      </w:r>
      <w:r w:rsidR="00EA0291" w:rsidRPr="00B71F0A">
        <w:t xml:space="preserve"> As the offence is not one of absolute liability, the defence of honest and reasonable mistake of fact is available.</w:t>
      </w:r>
      <w:r w:rsidR="00874FD3" w:rsidRPr="00B71F0A">
        <w:t xml:space="preserve"> </w:t>
      </w:r>
      <w:r w:rsidR="00874FD3"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w:t>
      </w:r>
      <w:r w:rsidR="00E9296A">
        <w:rPr>
          <w:rStyle w:val="Referencingstyle"/>
        </w:rPr>
        <w:t xml:space="preserve"> </w:t>
      </w:r>
      <w:r w:rsidR="00E9296A" w:rsidRPr="00B71F0A">
        <w:rPr>
          <w:rStyle w:val="Referencingstyle"/>
        </w:rPr>
        <w:t xml:space="preserve">item </w:t>
      </w:r>
      <w:r w:rsidR="00E9296A">
        <w:rPr>
          <w:rStyle w:val="Referencingstyle"/>
        </w:rPr>
        <w:t>1</w:t>
      </w:r>
      <w:r w:rsidR="00E9296A" w:rsidRPr="00B71F0A">
        <w:rPr>
          <w:rStyle w:val="Referencingstyle"/>
        </w:rPr>
        <w:t>,</w:t>
      </w:r>
      <w:r w:rsidR="00E9296A">
        <w:rPr>
          <w:rStyle w:val="Referencingstyle"/>
        </w:rPr>
        <w:t xml:space="preserve"> </w:t>
      </w:r>
      <w:r w:rsidR="00874FD3" w:rsidRPr="00B71F0A">
        <w:rPr>
          <w:rStyle w:val="Referencingstyle"/>
        </w:rPr>
        <w:t xml:space="preserve">subsection </w:t>
      </w:r>
      <w:r w:rsidR="00E9296A">
        <w:rPr>
          <w:rStyle w:val="Referencingstyle"/>
        </w:rPr>
        <w:t>13-020</w:t>
      </w:r>
      <w:r w:rsidR="00874FD3" w:rsidRPr="00B71F0A">
        <w:rPr>
          <w:rStyle w:val="Referencingstyle"/>
        </w:rPr>
        <w:t>(4))]</w:t>
      </w:r>
    </w:p>
    <w:p w14:paraId="57212653" w14:textId="04981C29" w:rsidR="00F81EC0" w:rsidRPr="005877D6" w:rsidRDefault="00EA0291" w:rsidP="00F81EC0">
      <w:pPr>
        <w:pStyle w:val="base-text-paragraph"/>
      </w:pPr>
      <w:bookmarkStart w:id="115" w:name="_Ref524965800"/>
      <w:r w:rsidRPr="00B71F0A">
        <w:t xml:space="preserve">The </w:t>
      </w:r>
      <w:r w:rsidR="00874FD3" w:rsidRPr="00B71F0A">
        <w:t xml:space="preserve">offence </w:t>
      </w:r>
      <w:r w:rsidRPr="00B71F0A">
        <w:t xml:space="preserve">and penalty for failing to retain books is consistent with the Guide. The imposition of a strict liability offence </w:t>
      </w:r>
      <w:r w:rsidR="00874FD3" w:rsidRPr="00B71F0A">
        <w:t>is appropriate in this circumstance</w:t>
      </w:r>
      <w:r w:rsidRPr="00B71F0A">
        <w:t xml:space="preserve"> </w:t>
      </w:r>
      <w:r w:rsidR="00874FD3" w:rsidRPr="00B71F0A">
        <w:t>as it is necessary to strongly deter misconduct that could result in the sub-fund’s records being lost. The strict liability offence</w:t>
      </w:r>
      <w:r w:rsidRPr="00B71F0A">
        <w:t xml:space="preserve"> also reduces non-co</w:t>
      </w:r>
      <w:r w:rsidR="00874FD3" w:rsidRPr="00B71F0A">
        <w:t>mpliance</w:t>
      </w:r>
      <w:r w:rsidRPr="00B71F0A">
        <w:t xml:space="preserve"> and bolsters</w:t>
      </w:r>
      <w:r w:rsidR="00874FD3" w:rsidRPr="00B71F0A">
        <w:t xml:space="preserve"> the integrity of the regulatory regime</w:t>
      </w:r>
      <w:r w:rsidRPr="00B71F0A">
        <w:t xml:space="preserve"> by allowing ASIC to deal with offences expeditiously. </w:t>
      </w:r>
      <w:r w:rsidR="00874FD3" w:rsidRPr="00B71F0A">
        <w:t xml:space="preserve">The penalty </w:t>
      </w:r>
      <w:r w:rsidRPr="00B71F0A">
        <w:t>mirrors the</w:t>
      </w:r>
      <w:r w:rsidR="00874FD3" w:rsidRPr="00B71F0A">
        <w:t xml:space="preserve"> penalty for failing to retain books after the deregistration of the company in existing subsection 601AD(5) (noting that the Government </w:t>
      </w:r>
      <w:r w:rsidR="00FD16E8">
        <w:t>committed to increasing</w:t>
      </w:r>
      <w:r w:rsidR="00874FD3" w:rsidRPr="00B71F0A">
        <w:t xml:space="preserve"> this penalty to 20 penalty units in its response to the ASIC Enforcement Review</w:t>
      </w:r>
      <w:r w:rsidR="00FD16E8" w:rsidRPr="00C046C1">
        <w:rPr>
          <w:rStyle w:val="FootnoteReference"/>
        </w:rPr>
        <w:footnoteReference w:id="10"/>
      </w:r>
      <w:r w:rsidR="00874FD3" w:rsidRPr="00C046C1">
        <w:t>).</w:t>
      </w:r>
      <w:bookmarkEnd w:id="115"/>
      <w:r w:rsidR="00874FD3" w:rsidRPr="00C046C1">
        <w:t xml:space="preserve"> </w:t>
      </w:r>
    </w:p>
    <w:p w14:paraId="782082EA" w14:textId="3DAE4AC3" w:rsidR="008E4E89" w:rsidRPr="00B71F0A" w:rsidRDefault="00EF4F8D" w:rsidP="008E4E89">
      <w:pPr>
        <w:pStyle w:val="base-text-paragraph"/>
      </w:pPr>
      <w:bookmarkStart w:id="116" w:name="_Ref524965801"/>
      <w:r w:rsidRPr="00B71F0A">
        <w:t xml:space="preserve">If the Commonwealth or ASIC becomes aware of any </w:t>
      </w:r>
      <w:r w:rsidR="00D55D4B" w:rsidRPr="00B71F0A">
        <w:t>outstanding obligations in relation to the deregistered sub-fund</w:t>
      </w:r>
      <w:r w:rsidRPr="00B71F0A">
        <w:t xml:space="preserve"> and the CCIV or liquidator would have been bound to act if the sub-fund had not been deregistered, </w:t>
      </w:r>
      <w:r w:rsidR="00D55D4B" w:rsidRPr="00B71F0A">
        <w:t xml:space="preserve">the Commonwealth or ASIC </w:t>
      </w:r>
      <w:r w:rsidRPr="00B71F0A">
        <w:t>may fulfil the obligation.</w:t>
      </w:r>
      <w:r w:rsidR="008E4E89" w:rsidRPr="00B71F0A">
        <w:t xml:space="preserve"> </w:t>
      </w:r>
      <w:r w:rsidRPr="00B71F0A">
        <w:t>This gives the Commonwealth and ASIC the same power to fulfil any outstanding obligation</w:t>
      </w:r>
      <w:r w:rsidR="004C5727">
        <w:t>s</w:t>
      </w:r>
      <w:r w:rsidR="00F00B47">
        <w:t xml:space="preserve"> relating to a deregistered sub-fund</w:t>
      </w:r>
      <w:r w:rsidRPr="00B71F0A">
        <w:t xml:space="preserve"> </w:t>
      </w:r>
      <w:r w:rsidR="004C5727">
        <w:t xml:space="preserve">in the same way </w:t>
      </w:r>
      <w:r w:rsidRPr="00B71F0A">
        <w:t xml:space="preserve">as </w:t>
      </w:r>
      <w:r w:rsidR="00F00B47">
        <w:t>for</w:t>
      </w:r>
      <w:r w:rsidRPr="00B71F0A">
        <w:t xml:space="preserve"> </w:t>
      </w:r>
      <w:r w:rsidR="00F00B47">
        <w:t>a deregistered</w:t>
      </w:r>
      <w:r w:rsidRPr="00B71F0A">
        <w:t xml:space="preserve"> company. </w:t>
      </w:r>
      <w:r w:rsidR="008E4E89" w:rsidRPr="00B71F0A">
        <w:t xml:space="preserve">Alternatively, </w:t>
      </w:r>
      <w:r w:rsidRPr="00B71F0A">
        <w:t xml:space="preserve">if ASIC becomes aware of outstanding obligations after the sub-fund’s deregistration, </w:t>
      </w:r>
      <w:r w:rsidR="008E4E89" w:rsidRPr="00B71F0A">
        <w:t xml:space="preserve">ASIC may seek to have the sub-fund reinstated (see paragraph </w:t>
      </w:r>
      <w:r w:rsidR="008E4E89" w:rsidRPr="003F7083">
        <w:fldChar w:fldCharType="begin"/>
      </w:r>
      <w:r w:rsidR="008E4E89" w:rsidRPr="00B71F0A">
        <w:instrText xml:space="preserve"> REF _Ref524620023 \r \h </w:instrText>
      </w:r>
      <w:r w:rsidR="00B71F0A">
        <w:instrText xml:space="preserve"> \* MERGEFORMAT </w:instrText>
      </w:r>
      <w:r w:rsidR="008E4E89" w:rsidRPr="003F7083">
        <w:fldChar w:fldCharType="separate"/>
      </w:r>
      <w:r w:rsidR="00275132">
        <w:t>4.41</w:t>
      </w:r>
      <w:r w:rsidR="008E4E89" w:rsidRPr="003F7083">
        <w:fldChar w:fldCharType="end"/>
      </w:r>
      <w:r w:rsidR="008E4E89" w:rsidRPr="00C046C1">
        <w:t xml:space="preserve">). </w:t>
      </w:r>
      <w:r w:rsidR="008E4E89" w:rsidRPr="005877D6">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w:t>
      </w:r>
      <w:r w:rsidR="00E9296A">
        <w:rPr>
          <w:rStyle w:val="Referencingstyle"/>
        </w:rPr>
        <w:t xml:space="preserve"> </w:t>
      </w:r>
      <w:r w:rsidR="00E9296A" w:rsidRPr="00B71F0A">
        <w:rPr>
          <w:rStyle w:val="Referencingstyle"/>
        </w:rPr>
        <w:t xml:space="preserve">item </w:t>
      </w:r>
      <w:r w:rsidR="00E9296A">
        <w:rPr>
          <w:rStyle w:val="Referencingstyle"/>
        </w:rPr>
        <w:t>1</w:t>
      </w:r>
      <w:r w:rsidR="00E9296A" w:rsidRPr="00B71F0A">
        <w:rPr>
          <w:rStyle w:val="Referencingstyle"/>
        </w:rPr>
        <w:t>,</w:t>
      </w:r>
      <w:r w:rsidR="008E4E89" w:rsidRPr="005877D6">
        <w:rPr>
          <w:rStyle w:val="Referencingstyle"/>
        </w:rPr>
        <w:t xml:space="preserve">, section </w:t>
      </w:r>
      <w:r w:rsidR="00E9296A">
        <w:rPr>
          <w:rStyle w:val="Referencingstyle"/>
        </w:rPr>
        <w:t>13-025</w:t>
      </w:r>
      <w:r w:rsidR="008E4E89" w:rsidRPr="005877D6">
        <w:rPr>
          <w:rStyle w:val="Referencingstyle"/>
        </w:rPr>
        <w:t>]</w:t>
      </w:r>
      <w:bookmarkEnd w:id="116"/>
      <w:r w:rsidR="008E4E89" w:rsidRPr="00B71F0A">
        <w:t xml:space="preserve"> </w:t>
      </w:r>
    </w:p>
    <w:p w14:paraId="0B62829D" w14:textId="2802998D" w:rsidR="00A95356" w:rsidRPr="00B71F0A" w:rsidRDefault="00A95356" w:rsidP="00A95356">
      <w:pPr>
        <w:pStyle w:val="base-text-paragraph"/>
      </w:pPr>
      <w:r w:rsidRPr="00B71F0A">
        <w:t>A creditor of the sub-fund may recover any amount which is payable to the CCIV under an insurance contract which covered the creditor’s liability immediately before the sub-fund was deregistered. This achieves the same effect as existing section 601AG.</w:t>
      </w:r>
      <w:r w:rsidRPr="00B71F0A">
        <w:rPr>
          <w:rStyle w:val="Referencingstyle"/>
        </w:rPr>
        <w:t xml:space="preserve"> [</w:t>
      </w:r>
      <w:r w:rsidR="00E9296A" w:rsidRPr="00B71F0A">
        <w:rPr>
          <w:rStyle w:val="Referencingstyle"/>
        </w:rPr>
        <w:t>Schedule </w:t>
      </w:r>
      <w:r w:rsidR="00E9296A">
        <w:rPr>
          <w:rStyle w:val="Referencingstyle"/>
        </w:rPr>
        <w:t>3</w:t>
      </w:r>
      <w:r w:rsidR="00E9296A" w:rsidRPr="00B71F0A">
        <w:rPr>
          <w:rStyle w:val="Referencingstyle"/>
        </w:rPr>
        <w:t>,</w:t>
      </w:r>
      <w:r w:rsidR="00E9296A">
        <w:rPr>
          <w:rStyle w:val="Referencingstyle"/>
        </w:rPr>
        <w:t xml:space="preserve"> </w:t>
      </w:r>
      <w:r w:rsidR="00E9296A" w:rsidRPr="00B71F0A">
        <w:rPr>
          <w:rStyle w:val="Referencingstyle"/>
        </w:rPr>
        <w:t>item</w:t>
      </w:r>
      <w:r w:rsidR="00B42C4D">
        <w:rPr>
          <w:rStyle w:val="Referencingstyle"/>
        </w:rPr>
        <w:t> </w:t>
      </w:r>
      <w:r w:rsidR="00E9296A">
        <w:rPr>
          <w:rStyle w:val="Referencingstyle"/>
        </w:rPr>
        <w:t>1</w:t>
      </w:r>
      <w:r w:rsidR="00E9296A" w:rsidRPr="00B71F0A">
        <w:rPr>
          <w:rStyle w:val="Referencingstyle"/>
        </w:rPr>
        <w:t>,</w:t>
      </w:r>
      <w:r w:rsidRPr="00B71F0A">
        <w:rPr>
          <w:rStyle w:val="Referencingstyle"/>
        </w:rPr>
        <w:t xml:space="preserve">section </w:t>
      </w:r>
      <w:r w:rsidR="00E9296A">
        <w:rPr>
          <w:rStyle w:val="Referencingstyle"/>
        </w:rPr>
        <w:t>13-035</w:t>
      </w:r>
      <w:r w:rsidRPr="00B71F0A">
        <w:rPr>
          <w:rStyle w:val="Referencingstyle"/>
        </w:rPr>
        <w:t>]</w:t>
      </w:r>
      <w:r w:rsidRPr="00B71F0A">
        <w:t xml:space="preserve"> </w:t>
      </w:r>
    </w:p>
    <w:p w14:paraId="240D34DB" w14:textId="6B3C6898" w:rsidR="00DB566D" w:rsidRPr="009D7EDC" w:rsidRDefault="00DB566D" w:rsidP="00DB566D">
      <w:pPr>
        <w:pStyle w:val="base-text-paragraph"/>
        <w:rPr>
          <w:rStyle w:val="Referencingstyle"/>
          <w:b w:val="0"/>
          <w:i w:val="0"/>
          <w:sz w:val="22"/>
        </w:rPr>
      </w:pPr>
      <w:bookmarkStart w:id="117" w:name="_Ref525306131"/>
      <w:r w:rsidRPr="009D7EDC">
        <w:t xml:space="preserve">If the sub-fund is also an Australian passport fund, it ceases to be a passport fund. The Register of Passport Funds must be updated to reflect this. </w:t>
      </w:r>
      <w:r w:rsidR="00164A7A" w:rsidRPr="000D3D79">
        <w:t xml:space="preserve">See </w:t>
      </w:r>
      <w:r w:rsidR="00BB20DD">
        <w:fldChar w:fldCharType="begin"/>
      </w:r>
      <w:r w:rsidR="00BB20DD">
        <w:instrText xml:space="preserve"> REF _Ref526429816 \w \h </w:instrText>
      </w:r>
      <w:r w:rsidR="00BB20DD">
        <w:fldChar w:fldCharType="separate"/>
      </w:r>
      <w:r w:rsidR="00275132">
        <w:t>Chapter 6</w:t>
      </w:r>
      <w:r w:rsidR="00BB20DD">
        <w:fldChar w:fldCharType="end"/>
      </w:r>
      <w:r w:rsidR="00164A7A" w:rsidRPr="000D3D79">
        <w:t xml:space="preserve"> of these explanatory materials for a discussion of how the Passport arrangements apply in the CCI</w:t>
      </w:r>
      <w:r w:rsidR="00164A7A" w:rsidRPr="00A0696A">
        <w:t>V context.</w:t>
      </w:r>
      <w:r w:rsidRPr="00A0696A">
        <w:rPr>
          <w:rStyle w:val="Referencingstyle"/>
        </w:rPr>
        <w:t xml:space="preserve"> [</w:t>
      </w:r>
      <w:r w:rsidR="00E9296A" w:rsidRPr="00B71F0A">
        <w:rPr>
          <w:rStyle w:val="Referencingstyle"/>
        </w:rPr>
        <w:t>Schedule </w:t>
      </w:r>
      <w:r w:rsidR="00E9296A">
        <w:rPr>
          <w:rStyle w:val="Referencingstyle"/>
        </w:rPr>
        <w:t>3</w:t>
      </w:r>
      <w:r w:rsidR="00E9296A" w:rsidRPr="00B71F0A">
        <w:rPr>
          <w:rStyle w:val="Referencingstyle"/>
        </w:rPr>
        <w:t>,</w:t>
      </w:r>
      <w:r w:rsidR="00E9296A">
        <w:rPr>
          <w:rStyle w:val="Referencingstyle"/>
        </w:rPr>
        <w:t xml:space="preserve"> </w:t>
      </w:r>
      <w:r w:rsidR="00E9296A" w:rsidRPr="00B71F0A">
        <w:rPr>
          <w:rStyle w:val="Referencingstyle"/>
        </w:rPr>
        <w:t xml:space="preserve">item </w:t>
      </w:r>
      <w:r w:rsidR="00E9296A">
        <w:rPr>
          <w:rStyle w:val="Referencingstyle"/>
        </w:rPr>
        <w:t>1</w:t>
      </w:r>
      <w:r w:rsidRPr="00A0696A">
        <w:rPr>
          <w:rStyle w:val="Referencingstyle"/>
        </w:rPr>
        <w:t>, subsection</w:t>
      </w:r>
      <w:r w:rsidR="00164A7A" w:rsidRPr="00A0696A">
        <w:rPr>
          <w:rStyle w:val="Referencingstyle"/>
        </w:rPr>
        <w:t>s</w:t>
      </w:r>
      <w:r w:rsidRPr="009D7EDC">
        <w:rPr>
          <w:rStyle w:val="Referencingstyle"/>
        </w:rPr>
        <w:t xml:space="preserve"> </w:t>
      </w:r>
      <w:r w:rsidR="00E9296A">
        <w:rPr>
          <w:rStyle w:val="Referencingstyle"/>
        </w:rPr>
        <w:t>13-020</w:t>
      </w:r>
      <w:r w:rsidR="00164A7A" w:rsidRPr="009D7EDC">
        <w:rPr>
          <w:rStyle w:val="Referencingstyle"/>
        </w:rPr>
        <w:t>(5)</w:t>
      </w:r>
      <w:r w:rsidRPr="009D7EDC">
        <w:rPr>
          <w:rStyle w:val="Referencingstyle"/>
        </w:rPr>
        <w:t>]</w:t>
      </w:r>
      <w:bookmarkEnd w:id="117"/>
    </w:p>
    <w:p w14:paraId="179CF45B" w14:textId="0CF694BA" w:rsidR="00644A99" w:rsidRPr="00AA3F3D" w:rsidRDefault="00644A99" w:rsidP="00DB566D">
      <w:pPr>
        <w:pStyle w:val="base-text-paragraph"/>
      </w:pPr>
      <w:r>
        <w:t xml:space="preserve">If a CCIV has its annual fee payable during the period when it is being deregistered then </w:t>
      </w:r>
      <w:r w:rsidR="00326976">
        <w:t xml:space="preserve">the fee </w:t>
      </w:r>
      <w:r>
        <w:t xml:space="preserve">is not required to be paid. </w:t>
      </w:r>
      <w:r w:rsidRPr="00AA3F3D">
        <w:rPr>
          <w:rStyle w:val="Referencingstyle"/>
        </w:rPr>
        <w:t xml:space="preserve">[Schedule </w:t>
      </w:r>
      <w:r w:rsidR="00E9296A">
        <w:rPr>
          <w:rStyle w:val="Referencingstyle"/>
        </w:rPr>
        <w:t>5</w:t>
      </w:r>
      <w:r w:rsidRPr="00AA3F3D">
        <w:rPr>
          <w:rStyle w:val="Referencingstyle"/>
        </w:rPr>
        <w:t xml:space="preserve">, </w:t>
      </w:r>
      <w:r w:rsidR="00AB2368">
        <w:rPr>
          <w:rStyle w:val="Referencingstyle"/>
        </w:rPr>
        <w:t xml:space="preserve">item </w:t>
      </w:r>
      <w:r w:rsidR="00E9296A">
        <w:rPr>
          <w:rStyle w:val="Referencingstyle"/>
        </w:rPr>
        <w:t xml:space="preserve">1, </w:t>
      </w:r>
      <w:r w:rsidR="00AB2368">
        <w:rPr>
          <w:rStyle w:val="Referencingstyle"/>
        </w:rPr>
        <w:t xml:space="preserve">section </w:t>
      </w:r>
      <w:r w:rsidR="00E9296A">
        <w:rPr>
          <w:rStyle w:val="Referencingstyle"/>
        </w:rPr>
        <w:t>20-030 and</w:t>
      </w:r>
      <w:r w:rsidR="00AB2368">
        <w:rPr>
          <w:rStyle w:val="Referencingstyle"/>
        </w:rPr>
        <w:t xml:space="preserve"> Schedule </w:t>
      </w:r>
      <w:r w:rsidR="00E9296A">
        <w:rPr>
          <w:rStyle w:val="Referencingstyle"/>
        </w:rPr>
        <w:t>5</w:t>
      </w:r>
      <w:r w:rsidR="00AB2368">
        <w:rPr>
          <w:rStyle w:val="Referencingstyle"/>
        </w:rPr>
        <w:t xml:space="preserve">, item </w:t>
      </w:r>
      <w:r w:rsidR="00E9296A">
        <w:rPr>
          <w:rStyle w:val="Referencingstyle"/>
        </w:rPr>
        <w:t>1</w:t>
      </w:r>
      <w:r w:rsidR="003F635B">
        <w:rPr>
          <w:rStyle w:val="Referencingstyle"/>
        </w:rPr>
        <w:t>1</w:t>
      </w:r>
      <w:r w:rsidR="00AB2368">
        <w:rPr>
          <w:rStyle w:val="Referencingstyle"/>
        </w:rPr>
        <w:t>, note to section 1351</w:t>
      </w:r>
      <w:r w:rsidRPr="00AA3F3D">
        <w:rPr>
          <w:rStyle w:val="Referencingstyle"/>
        </w:rPr>
        <w:t>]</w:t>
      </w:r>
    </w:p>
    <w:p w14:paraId="76D41BEA" w14:textId="773CCBD6" w:rsidR="00A95356" w:rsidRPr="00B71F0A" w:rsidRDefault="00A95356" w:rsidP="00A95356">
      <w:pPr>
        <w:pStyle w:val="Heading4"/>
      </w:pPr>
      <w:r w:rsidRPr="00B71F0A">
        <w:t>Reinstatement of a sub-fund</w:t>
      </w:r>
    </w:p>
    <w:p w14:paraId="74BE8F55" w14:textId="77777777" w:rsidR="00FC1099" w:rsidRPr="00B71F0A" w:rsidRDefault="00F81EC0" w:rsidP="009E0BEE">
      <w:pPr>
        <w:pStyle w:val="base-text-paragraph"/>
      </w:pPr>
      <w:bookmarkStart w:id="118" w:name="_Ref524620023"/>
      <w:r w:rsidRPr="00B71F0A">
        <w:t>Under existing section 601AH, a</w:t>
      </w:r>
      <w:r w:rsidR="00A95356" w:rsidRPr="00B71F0A">
        <w:t xml:space="preserve"> sub-fund may be reinstated</w:t>
      </w:r>
      <w:r w:rsidR="003E5022" w:rsidRPr="00B71F0A">
        <w:t xml:space="preserve"> if</w:t>
      </w:r>
      <w:r w:rsidR="00FC1099" w:rsidRPr="00B71F0A">
        <w:t>:</w:t>
      </w:r>
    </w:p>
    <w:p w14:paraId="3D96092F" w14:textId="77777777" w:rsidR="00FC1099" w:rsidRPr="00B71F0A" w:rsidRDefault="003E5022" w:rsidP="00FC1099">
      <w:pPr>
        <w:pStyle w:val="dotpoint"/>
      </w:pPr>
      <w:r w:rsidRPr="00B71F0A">
        <w:t xml:space="preserve">ASIC is satisfied that the </w:t>
      </w:r>
      <w:r w:rsidR="005358BD" w:rsidRPr="00B71F0A">
        <w:t>sub-fund</w:t>
      </w:r>
      <w:r w:rsidRPr="00B71F0A">
        <w:t xml:space="preserve"> should not have been deregistered</w:t>
      </w:r>
      <w:r w:rsidR="00FC1099" w:rsidRPr="00B71F0A">
        <w:t xml:space="preserve">; or </w:t>
      </w:r>
    </w:p>
    <w:p w14:paraId="34D9818B" w14:textId="17AFFF65" w:rsidR="009E0BEE" w:rsidRPr="00B71F0A" w:rsidRDefault="00EF4F8D" w:rsidP="00FC1099">
      <w:pPr>
        <w:pStyle w:val="dotpoint"/>
      </w:pPr>
      <w:r w:rsidRPr="00B71F0A">
        <w:t xml:space="preserve">the Court </w:t>
      </w:r>
      <w:r w:rsidR="00FC1099" w:rsidRPr="00B71F0A">
        <w:t>orders its reinstatement</w:t>
      </w:r>
      <w:r w:rsidR="003E5022" w:rsidRPr="00B71F0A">
        <w:t>.</w:t>
      </w:r>
      <w:bookmarkEnd w:id="118"/>
      <w:r w:rsidR="003E5022" w:rsidRPr="00B71F0A">
        <w:t xml:space="preserve"> </w:t>
      </w:r>
      <w:r w:rsidR="009E0BEE" w:rsidRPr="00B71F0A">
        <w:rPr>
          <w:rStyle w:val="Referencingstyle"/>
        </w:rPr>
        <w:t>[Schedule </w:t>
      </w:r>
      <w:r w:rsidR="00E9296A">
        <w:rPr>
          <w:rStyle w:val="Referencingstyle"/>
        </w:rPr>
        <w:t>3</w:t>
      </w:r>
      <w:r w:rsidR="009E0BEE" w:rsidRPr="00B71F0A">
        <w:rPr>
          <w:rStyle w:val="Referencingstyle"/>
        </w:rPr>
        <w:t xml:space="preserve">, item </w:t>
      </w:r>
      <w:r w:rsidR="00E9296A">
        <w:rPr>
          <w:rStyle w:val="Referencingstyle"/>
        </w:rPr>
        <w:t>1</w:t>
      </w:r>
      <w:r w:rsidR="00E9296A" w:rsidRPr="00B71F0A">
        <w:rPr>
          <w:rStyle w:val="Referencingstyle"/>
        </w:rPr>
        <w:t xml:space="preserve">, </w:t>
      </w:r>
      <w:r w:rsidR="009E0BEE" w:rsidRPr="00B71F0A">
        <w:rPr>
          <w:rStyle w:val="Referencingstyle"/>
        </w:rPr>
        <w:t xml:space="preserve">subsection </w:t>
      </w:r>
      <w:r w:rsidR="00E9296A">
        <w:rPr>
          <w:rStyle w:val="Referencingstyle"/>
        </w:rPr>
        <w:t>13-035</w:t>
      </w:r>
      <w:r w:rsidR="009E0BEE" w:rsidRPr="00B71F0A">
        <w:rPr>
          <w:rStyle w:val="Referencingstyle"/>
        </w:rPr>
        <w:t>(1)]</w:t>
      </w:r>
    </w:p>
    <w:p w14:paraId="427B428F" w14:textId="5E5244B5" w:rsidR="00644E54" w:rsidRPr="00B71F0A" w:rsidRDefault="00644E54" w:rsidP="00F81EC0">
      <w:pPr>
        <w:pStyle w:val="base-text-paragraph"/>
      </w:pPr>
      <w:r w:rsidRPr="00B71F0A">
        <w:t>There is no requirement for the ASIC Supervisory Cost Recovery Levy to be paid in full</w:t>
      </w:r>
      <w:r w:rsidR="00FC1099" w:rsidRPr="00B71F0A">
        <w:t xml:space="preserve"> before ASIC reinstate</w:t>
      </w:r>
      <w:r w:rsidR="00EF4F8D" w:rsidRPr="00B71F0A">
        <w:t>s</w:t>
      </w:r>
      <w:r w:rsidR="00FC1099" w:rsidRPr="00B71F0A">
        <w:t xml:space="preserve"> a sub-fund</w:t>
      </w:r>
      <w:r w:rsidRPr="00B71F0A">
        <w:t xml:space="preserve">, unlike existing subsection 601AH(1A). This </w:t>
      </w:r>
      <w:r w:rsidR="00FC1099" w:rsidRPr="00B71F0A">
        <w:t>requirement is not needed because</w:t>
      </w:r>
      <w:r w:rsidRPr="00B71F0A">
        <w:t xml:space="preserve"> the </w:t>
      </w:r>
      <w:r w:rsidR="00FC1099" w:rsidRPr="00B71F0A">
        <w:t>ASIC Supervisory Cost Recovery Levy</w:t>
      </w:r>
      <w:r w:rsidRPr="00B71F0A">
        <w:t xml:space="preserve"> is imposed on the corporate director</w:t>
      </w:r>
      <w:r w:rsidR="00556D99">
        <w:t>,</w:t>
      </w:r>
      <w:r w:rsidRPr="00B71F0A">
        <w:t xml:space="preserve"> not the CCIV (see paragraph </w:t>
      </w:r>
      <w:r w:rsidRPr="00B71F0A">
        <w:fldChar w:fldCharType="begin"/>
      </w:r>
      <w:r w:rsidRPr="00B71F0A">
        <w:instrText xml:space="preserve"> REF _Ref524690371 \r \h </w:instrText>
      </w:r>
      <w:r w:rsidR="00B71F0A">
        <w:instrText xml:space="preserve"> \* MERGEFORMAT </w:instrText>
      </w:r>
      <w:r w:rsidRPr="00B71F0A">
        <w:fldChar w:fldCharType="separate"/>
      </w:r>
      <w:r w:rsidR="00275132">
        <w:t>4.18</w:t>
      </w:r>
      <w:r w:rsidRPr="00B71F0A">
        <w:fldChar w:fldCharType="end"/>
      </w:r>
      <w:r w:rsidRPr="00B71F0A">
        <w:t xml:space="preserve">). </w:t>
      </w:r>
      <w:r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E9296A" w:rsidRPr="00B71F0A">
        <w:rPr>
          <w:rStyle w:val="Referencingstyle"/>
        </w:rPr>
        <w:t xml:space="preserve">, subsection </w:t>
      </w:r>
      <w:r w:rsidR="00E9296A">
        <w:rPr>
          <w:rStyle w:val="Referencingstyle"/>
        </w:rPr>
        <w:t>13-035</w:t>
      </w:r>
      <w:r w:rsidRPr="00B71F0A">
        <w:rPr>
          <w:rStyle w:val="Referencingstyle"/>
        </w:rPr>
        <w:t>(</w:t>
      </w:r>
      <w:r w:rsidR="00F2672E" w:rsidRPr="00B71F0A">
        <w:rPr>
          <w:rStyle w:val="Referencingstyle"/>
        </w:rPr>
        <w:t>5</w:t>
      </w:r>
      <w:r w:rsidRPr="00B71F0A">
        <w:rPr>
          <w:rStyle w:val="Referencingstyle"/>
        </w:rPr>
        <w:t>)]</w:t>
      </w:r>
    </w:p>
    <w:p w14:paraId="6409A5C9" w14:textId="07A99EE0" w:rsidR="00F81EC0" w:rsidRPr="00B71F0A" w:rsidRDefault="003E5022" w:rsidP="00F81EC0">
      <w:pPr>
        <w:pStyle w:val="base-text-paragraph"/>
      </w:pPr>
      <w:r w:rsidRPr="00B71F0A">
        <w:t>If a sub-fund is reinstated,</w:t>
      </w:r>
      <w:r w:rsidR="00F81EC0" w:rsidRPr="00B71F0A">
        <w:t xml:space="preserve"> the sub-fund is taken to have been registered throughout the period it was deregistered.</w:t>
      </w:r>
      <w:r w:rsidR="00644E54" w:rsidRPr="00B71F0A">
        <w:t xml:space="preserve"> This departs from the language in subsection 601AH(5) because a sub-fund does not ‘exist’ as it is not a legal person. </w:t>
      </w:r>
      <w:r w:rsidR="00F81EC0"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E9296A" w:rsidRPr="00B71F0A">
        <w:rPr>
          <w:rStyle w:val="Referencingstyle"/>
        </w:rPr>
        <w:t>, subsection</w:t>
      </w:r>
      <w:r w:rsidR="00E9296A">
        <w:rPr>
          <w:rStyle w:val="Referencingstyle"/>
        </w:rPr>
        <w:t>s</w:t>
      </w:r>
      <w:r w:rsidR="00E9296A" w:rsidRPr="00B71F0A">
        <w:rPr>
          <w:rStyle w:val="Referencingstyle"/>
        </w:rPr>
        <w:t xml:space="preserve"> </w:t>
      </w:r>
      <w:r w:rsidR="00E9296A">
        <w:rPr>
          <w:rStyle w:val="Referencingstyle"/>
        </w:rPr>
        <w:t>13-035</w:t>
      </w:r>
      <w:r w:rsidR="00F81EC0" w:rsidRPr="00B71F0A">
        <w:rPr>
          <w:rStyle w:val="Referencingstyle"/>
        </w:rPr>
        <w:t>(</w:t>
      </w:r>
      <w:r w:rsidR="009E0BEE" w:rsidRPr="00B71F0A">
        <w:rPr>
          <w:rStyle w:val="Referencingstyle"/>
        </w:rPr>
        <w:t>2</w:t>
      </w:r>
      <w:r w:rsidR="00F81EC0" w:rsidRPr="00B71F0A">
        <w:rPr>
          <w:rStyle w:val="Referencingstyle"/>
        </w:rPr>
        <w:t>)</w:t>
      </w:r>
      <w:r w:rsidR="00644E54" w:rsidRPr="00B71F0A">
        <w:rPr>
          <w:rStyle w:val="Referencingstyle"/>
        </w:rPr>
        <w:t xml:space="preserve"> and (</w:t>
      </w:r>
      <w:r w:rsidR="00F2672E" w:rsidRPr="00B71F0A">
        <w:rPr>
          <w:rStyle w:val="Referencingstyle"/>
        </w:rPr>
        <w:t>5</w:t>
      </w:r>
      <w:r w:rsidR="00644E54" w:rsidRPr="00B71F0A">
        <w:rPr>
          <w:rStyle w:val="Referencingstyle"/>
        </w:rPr>
        <w:t>)</w:t>
      </w:r>
      <w:r w:rsidR="00F81EC0" w:rsidRPr="00B71F0A">
        <w:rPr>
          <w:rStyle w:val="Referencingstyle"/>
        </w:rPr>
        <w:t>]</w:t>
      </w:r>
    </w:p>
    <w:p w14:paraId="0F08EA7D" w14:textId="47016414" w:rsidR="003E5022" w:rsidRPr="00B71F0A" w:rsidRDefault="00F81EC0" w:rsidP="003E5022">
      <w:pPr>
        <w:pStyle w:val="base-text-paragraph"/>
      </w:pPr>
      <w:r w:rsidRPr="00B71F0A">
        <w:t>Further, on reinstatement,</w:t>
      </w:r>
      <w:r w:rsidR="003E5022" w:rsidRPr="00B71F0A">
        <w:t xml:space="preserve"> any </w:t>
      </w:r>
      <w:r w:rsidR="00B87DF7" w:rsidRPr="00B71F0A">
        <w:t>property</w:t>
      </w:r>
      <w:r w:rsidR="003E5022" w:rsidRPr="00B71F0A">
        <w:t xml:space="preserve"> which vested in the Commonwealth or ASIC on deregistration </w:t>
      </w:r>
      <w:proofErr w:type="spellStart"/>
      <w:r w:rsidR="003E5022" w:rsidRPr="00B71F0A">
        <w:t>revest</w:t>
      </w:r>
      <w:r w:rsidR="00242072" w:rsidRPr="00B71F0A">
        <w:t>s</w:t>
      </w:r>
      <w:proofErr w:type="spellEnd"/>
      <w:r w:rsidR="003E5022" w:rsidRPr="00B71F0A">
        <w:t xml:space="preserve"> in the CCIV (subject to any security interest that may have attached to the property before it vested in the Commonwealth or ASIC).</w:t>
      </w:r>
      <w:r w:rsidR="004A227D" w:rsidRPr="00B71F0A">
        <w:t xml:space="preserve"> The </w:t>
      </w:r>
      <w:r w:rsidR="00B87DF7" w:rsidRPr="00B71F0A">
        <w:t>property</w:t>
      </w:r>
      <w:r w:rsidR="004A227D" w:rsidRPr="00B71F0A">
        <w:t xml:space="preserve"> </w:t>
      </w:r>
      <w:r w:rsidR="0023039A">
        <w:t>is then allocated</w:t>
      </w:r>
      <w:r w:rsidR="004A227D" w:rsidRPr="00B71F0A">
        <w:t xml:space="preserve"> to the sub-fund in accordance with the allocation rules.</w:t>
      </w:r>
      <w:r w:rsidR="003E5022" w:rsidRPr="00B71F0A">
        <w:t xml:space="preserve"> </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E9296A" w:rsidRPr="00B71F0A">
        <w:rPr>
          <w:rStyle w:val="Referencingstyle"/>
        </w:rPr>
        <w:t xml:space="preserve">, subsection </w:t>
      </w:r>
      <w:r w:rsidR="00E9296A">
        <w:rPr>
          <w:rStyle w:val="Referencingstyle"/>
        </w:rPr>
        <w:t>13-035</w:t>
      </w:r>
      <w:r w:rsidR="009C7B36" w:rsidRPr="00B71F0A">
        <w:rPr>
          <w:rStyle w:val="Referencingstyle"/>
        </w:rPr>
        <w:t>(4)]</w:t>
      </w:r>
    </w:p>
    <w:p w14:paraId="2A01B7CE" w14:textId="23F51944" w:rsidR="003E5022" w:rsidRPr="00B71F0A" w:rsidRDefault="003E5022" w:rsidP="003E5022">
      <w:pPr>
        <w:pStyle w:val="base-text-paragraph"/>
        <w:rPr>
          <w:rStyle w:val="Referencingstyle"/>
          <w:b w:val="0"/>
          <w:i w:val="0"/>
          <w:sz w:val="22"/>
        </w:rPr>
      </w:pPr>
      <w:bookmarkStart w:id="119" w:name="_Ref524966357"/>
      <w:r w:rsidRPr="00FA5B27">
        <w:t xml:space="preserve">The existing law also gives </w:t>
      </w:r>
      <w:r w:rsidRPr="003801D6">
        <w:t>the Court the power to validate anything done during the period when the sub-fund was deregistered or make any other order that it considers appropriate. This could include an order in relation to t</w:t>
      </w:r>
      <w:r w:rsidR="009C24AD" w:rsidRPr="00B71F0A">
        <w:t>he assets or liabilities of the</w:t>
      </w:r>
      <w:r w:rsidRPr="00B71F0A">
        <w:t xml:space="preserve"> sub-fund</w:t>
      </w:r>
      <w:r w:rsidR="009C24AD" w:rsidRPr="00B71F0A">
        <w:t xml:space="preserve"> or an order in relation to the assets and liabilities of another sub-fund</w:t>
      </w:r>
      <w:r w:rsidRPr="00B71F0A">
        <w:t>.</w:t>
      </w:r>
      <w:r w:rsidR="009E0BEE" w:rsidRPr="00B71F0A">
        <w:t xml:space="preserve"> </w:t>
      </w:r>
      <w:r w:rsidR="009C7B36"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E9296A" w:rsidRPr="00B71F0A">
        <w:rPr>
          <w:rStyle w:val="Referencingstyle"/>
        </w:rPr>
        <w:t>, subsection</w:t>
      </w:r>
      <w:r w:rsidR="00B42C4D">
        <w:rPr>
          <w:rStyle w:val="Referencingstyle"/>
        </w:rPr>
        <w:t> </w:t>
      </w:r>
      <w:r w:rsidR="00E9296A">
        <w:rPr>
          <w:rStyle w:val="Referencingstyle"/>
        </w:rPr>
        <w:t>13-035</w:t>
      </w:r>
      <w:r w:rsidR="009C7B36" w:rsidRPr="00B71F0A">
        <w:rPr>
          <w:rStyle w:val="Referencingstyle"/>
        </w:rPr>
        <w:t>(</w:t>
      </w:r>
      <w:r w:rsidR="00B87DF7" w:rsidRPr="00B71F0A">
        <w:rPr>
          <w:rStyle w:val="Referencingstyle"/>
        </w:rPr>
        <w:t>3</w:t>
      </w:r>
      <w:r w:rsidR="009C7B36" w:rsidRPr="00B71F0A">
        <w:rPr>
          <w:rStyle w:val="Referencingstyle"/>
        </w:rPr>
        <w:t>)]</w:t>
      </w:r>
      <w:bookmarkEnd w:id="119"/>
    </w:p>
    <w:p w14:paraId="2CCCA960" w14:textId="527E18B5" w:rsidR="00FC1099" w:rsidRPr="00B71F0A" w:rsidRDefault="00FC1099" w:rsidP="00841A47">
      <w:pPr>
        <w:pStyle w:val="base-text-paragraph"/>
        <w:keepNext/>
        <w:numPr>
          <w:ilvl w:val="0"/>
          <w:numId w:val="0"/>
        </w:numPr>
        <w:ind w:left="1134"/>
        <w:rPr>
          <w:rStyle w:val="Referencingstyle"/>
          <w:b w:val="0"/>
          <w:i w:val="0"/>
          <w:sz w:val="22"/>
        </w:rPr>
      </w:pPr>
      <w:r w:rsidRPr="00B71F0A">
        <w:rPr>
          <w:rStyle w:val="Referencingstyle"/>
          <w:b w:val="0"/>
          <w:sz w:val="22"/>
        </w:rPr>
        <w:t>Reinstatement after the CCIV has been deregistered</w:t>
      </w:r>
    </w:p>
    <w:p w14:paraId="2F353756" w14:textId="685666AD" w:rsidR="003C78BE" w:rsidRPr="00B41DD1" w:rsidRDefault="00FC1099" w:rsidP="003E5022">
      <w:pPr>
        <w:pStyle w:val="base-text-paragraph"/>
        <w:rPr>
          <w:rStyle w:val="Referencingstyle"/>
          <w:b w:val="0"/>
          <w:i w:val="0"/>
          <w:sz w:val="22"/>
        </w:rPr>
      </w:pPr>
      <w:bookmarkStart w:id="120" w:name="_Ref524702804"/>
      <w:r w:rsidRPr="00FA5B27">
        <w:t>If the CCIV has been deregistered and a sub-fund of the CCIV is to be reinstated, the CCIV must also be r</w:t>
      </w:r>
      <w:r w:rsidRPr="003801D6">
        <w:t>einstated.</w:t>
      </w:r>
      <w:r w:rsidR="00841A47" w:rsidRPr="00B71F0A">
        <w:t xml:space="preserve"> The CCIV is then taken to have continued in existence as if it had not been deregistered</w:t>
      </w:r>
      <w:r w:rsidR="00B41DD1">
        <w:t xml:space="preserve"> (but only to the extent of the reinstated sub-fund) and the </w:t>
      </w:r>
      <w:r w:rsidR="00841A47" w:rsidRPr="00B71F0A">
        <w:t xml:space="preserve">entities that were the corporate director and depositary immediately before the deregistration are reinstated. </w:t>
      </w:r>
      <w:r w:rsidR="003C78BE"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E9296A" w:rsidRPr="00B71F0A">
        <w:rPr>
          <w:rStyle w:val="Referencingstyle"/>
        </w:rPr>
        <w:t>, subsection</w:t>
      </w:r>
      <w:r w:rsidR="00E9296A">
        <w:rPr>
          <w:rStyle w:val="Referencingstyle"/>
        </w:rPr>
        <w:t>s</w:t>
      </w:r>
      <w:r w:rsidR="00E9296A" w:rsidRPr="00B71F0A">
        <w:rPr>
          <w:rStyle w:val="Referencingstyle"/>
        </w:rPr>
        <w:t xml:space="preserve"> </w:t>
      </w:r>
      <w:r w:rsidR="00E9296A">
        <w:rPr>
          <w:rStyle w:val="Referencingstyle"/>
        </w:rPr>
        <w:t>13-045</w:t>
      </w:r>
      <w:r w:rsidR="003C78BE" w:rsidRPr="00B71F0A">
        <w:rPr>
          <w:rStyle w:val="Referencingstyle"/>
        </w:rPr>
        <w:t>(1)</w:t>
      </w:r>
      <w:r w:rsidR="00164A7A">
        <w:rPr>
          <w:rStyle w:val="Referencingstyle"/>
        </w:rPr>
        <w:t>,</w:t>
      </w:r>
      <w:r w:rsidR="003C78BE" w:rsidRPr="00B71F0A">
        <w:rPr>
          <w:rStyle w:val="Referencingstyle"/>
        </w:rPr>
        <w:t xml:space="preserve"> (</w:t>
      </w:r>
      <w:r w:rsidR="00F2672E" w:rsidRPr="00B71F0A">
        <w:rPr>
          <w:rStyle w:val="Referencingstyle"/>
        </w:rPr>
        <w:t>2</w:t>
      </w:r>
      <w:r w:rsidR="003C78BE" w:rsidRPr="00B71F0A">
        <w:rPr>
          <w:rStyle w:val="Referencingstyle"/>
        </w:rPr>
        <w:t>)</w:t>
      </w:r>
      <w:r w:rsidR="00164A7A">
        <w:rPr>
          <w:rStyle w:val="Referencingstyle"/>
        </w:rPr>
        <w:t xml:space="preserve"> and (5</w:t>
      </w:r>
      <w:r w:rsidR="003C78BE" w:rsidRPr="00B71F0A">
        <w:rPr>
          <w:rStyle w:val="Referencingstyle"/>
        </w:rPr>
        <w:t>)]</w:t>
      </w:r>
      <w:bookmarkEnd w:id="120"/>
    </w:p>
    <w:p w14:paraId="14DB30ED" w14:textId="3617A7F7" w:rsidR="00B41DD1" w:rsidRDefault="00B41DD1" w:rsidP="003E5022">
      <w:pPr>
        <w:pStyle w:val="base-text-paragraph"/>
      </w:pPr>
      <w:r>
        <w:t>The reinstatement of the CCIV does not reinstate all of the sub-funds. Each sub-fund must be reinstated separately.</w:t>
      </w:r>
    </w:p>
    <w:p w14:paraId="014E5B77" w14:textId="54040171" w:rsidR="00B41DD1" w:rsidRDefault="00B41DD1" w:rsidP="00B41DD1">
      <w:pPr>
        <w:pStyle w:val="ExampleHeading"/>
      </w:pPr>
      <w:r>
        <w:t>: Reinstatement of the CCIV</w:t>
      </w:r>
    </w:p>
    <w:p w14:paraId="795F31BC" w14:textId="794D9EA2" w:rsidR="00B41DD1" w:rsidRDefault="00B41DD1" w:rsidP="00B41DD1">
      <w:pPr>
        <w:pStyle w:val="exampletext"/>
      </w:pPr>
      <w:r>
        <w:t>Investor CCIV and its two sub-funds (Investor Growth Sub-fund and Investor Wealth Sub-fund) have been deregistered.</w:t>
      </w:r>
    </w:p>
    <w:p w14:paraId="73DCB856" w14:textId="6D47C901" w:rsidR="00B41DD1" w:rsidRPr="00B41DD1" w:rsidRDefault="00B41DD1" w:rsidP="00B41DD1">
      <w:pPr>
        <w:pStyle w:val="exampletext"/>
      </w:pPr>
      <w:r>
        <w:t>The Court orders the reinstatement of Investor Growth Sub-fund and Investor CCIV. This does not result in the reinstatement of Investor Wealth Sub-fund.</w:t>
      </w:r>
    </w:p>
    <w:p w14:paraId="3EED7E2D" w14:textId="73C48241" w:rsidR="003C78BE" w:rsidRPr="00B71F0A" w:rsidRDefault="00841A47" w:rsidP="003C78BE">
      <w:pPr>
        <w:pStyle w:val="base-text-paragraph"/>
        <w:rPr>
          <w:rStyle w:val="Referencingstyle"/>
          <w:b w:val="0"/>
          <w:i w:val="0"/>
          <w:sz w:val="22"/>
        </w:rPr>
      </w:pPr>
      <w:bookmarkStart w:id="121" w:name="_Ref524966358"/>
      <w:r w:rsidRPr="00FA5B27">
        <w:t>If t</w:t>
      </w:r>
      <w:r w:rsidRPr="003801D6">
        <w:t>he entity that was formerly the corporate director or the depositary no longer meets the eligibility requirements for holding that position</w:t>
      </w:r>
      <w:r w:rsidR="003C78BE" w:rsidRPr="00B71F0A">
        <w:t xml:space="preserve"> or has become a Chapter 5 body corporate</w:t>
      </w:r>
      <w:r w:rsidRPr="00B71F0A">
        <w:t xml:space="preserve">, </w:t>
      </w:r>
      <w:r w:rsidR="003C78BE" w:rsidRPr="00B71F0A">
        <w:t xml:space="preserve">the entity is not reinstated. Instead, </w:t>
      </w:r>
      <w:r w:rsidRPr="00B71F0A">
        <w:t xml:space="preserve">ASIC must apply to the Court for the appointment of a temporary corporate director or depositary. For the eligibility requirements of these positions and the process for appointing a temporary corporate director or depositary, see Chapters 4 and 5 of the Tranche 1 </w:t>
      </w:r>
      <w:r w:rsidR="00201D3B">
        <w:t>E</w:t>
      </w:r>
      <w:r w:rsidRPr="00B71F0A">
        <w:t xml:space="preserve">xplanatory </w:t>
      </w:r>
      <w:r w:rsidR="00201D3B">
        <w:t>M</w:t>
      </w:r>
      <w:r w:rsidRPr="00B71F0A">
        <w:t>aterials</w:t>
      </w:r>
      <w:r w:rsidR="008A7153" w:rsidRPr="00B71F0A">
        <w:t>.</w:t>
      </w:r>
      <w:r w:rsidR="00FC1099">
        <w:t xml:space="preserve"> </w:t>
      </w:r>
      <w:r w:rsidR="003C78BE"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E9296A" w:rsidRPr="00B71F0A">
        <w:rPr>
          <w:rStyle w:val="Referencingstyle"/>
        </w:rPr>
        <w:t xml:space="preserve">, subsection </w:t>
      </w:r>
      <w:r w:rsidR="00E9296A">
        <w:rPr>
          <w:rStyle w:val="Referencingstyle"/>
        </w:rPr>
        <w:t>13-040</w:t>
      </w:r>
      <w:r w:rsidR="003C78BE" w:rsidRPr="00B71F0A">
        <w:rPr>
          <w:rStyle w:val="Referencingstyle"/>
        </w:rPr>
        <w:t>(</w:t>
      </w:r>
      <w:r w:rsidR="00F2672E" w:rsidRPr="00B71F0A">
        <w:rPr>
          <w:rStyle w:val="Referencingstyle"/>
        </w:rPr>
        <w:t>3</w:t>
      </w:r>
      <w:r w:rsidR="003C78BE" w:rsidRPr="00B71F0A">
        <w:rPr>
          <w:rStyle w:val="Referencingstyle"/>
        </w:rPr>
        <w:t>) and (</w:t>
      </w:r>
      <w:r w:rsidR="00F2672E" w:rsidRPr="00B71F0A">
        <w:rPr>
          <w:rStyle w:val="Referencingstyle"/>
        </w:rPr>
        <w:t>4</w:t>
      </w:r>
      <w:r w:rsidR="003C78BE" w:rsidRPr="00B71F0A">
        <w:rPr>
          <w:rStyle w:val="Referencingstyle"/>
        </w:rPr>
        <w:t>)]</w:t>
      </w:r>
      <w:bookmarkEnd w:id="121"/>
    </w:p>
    <w:p w14:paraId="0DB038AE" w14:textId="78EB7F1F" w:rsidR="00F2672E" w:rsidRPr="00CF1AC0" w:rsidRDefault="00F2672E" w:rsidP="003C78BE">
      <w:pPr>
        <w:pStyle w:val="base-text-paragraph"/>
        <w:rPr>
          <w:rStyle w:val="Referencingstyle"/>
          <w:b w:val="0"/>
          <w:i w:val="0"/>
          <w:sz w:val="22"/>
        </w:rPr>
      </w:pPr>
      <w:bookmarkStart w:id="122" w:name="_Ref525655056"/>
      <w:r w:rsidRPr="00CF1AC0">
        <w:t>If the</w:t>
      </w:r>
      <w:r w:rsidRPr="00CF1AC0" w:rsidDel="00176029">
        <w:t xml:space="preserve"> </w:t>
      </w:r>
      <w:r w:rsidR="00176029" w:rsidRPr="00CF1AC0">
        <w:t xml:space="preserve">sub-fund </w:t>
      </w:r>
      <w:r w:rsidRPr="00CF1AC0">
        <w:t xml:space="preserve">was an Australian passport fund prior to its deregistration, the reinstatement of the </w:t>
      </w:r>
      <w:r w:rsidR="00176029" w:rsidRPr="00CF1AC0">
        <w:t xml:space="preserve">sub-fund </w:t>
      </w:r>
      <w:r w:rsidRPr="00CF1AC0">
        <w:t xml:space="preserve">does not result </w:t>
      </w:r>
      <w:r w:rsidRPr="00CF1AC0" w:rsidDel="00176029">
        <w:t xml:space="preserve">in </w:t>
      </w:r>
      <w:r w:rsidR="00176029" w:rsidRPr="00CF1AC0">
        <w:t>it</w:t>
      </w:r>
      <w:r w:rsidRPr="00CF1AC0">
        <w:t xml:space="preserve"> becoming a passport fund again. If the </w:t>
      </w:r>
      <w:r w:rsidR="00176029" w:rsidRPr="00CF1AC0">
        <w:t xml:space="preserve">sub-fund </w:t>
      </w:r>
      <w:r w:rsidRPr="00CF1AC0">
        <w:t xml:space="preserve">wished to become a passport fund again, </w:t>
      </w:r>
      <w:r w:rsidR="00164A7A" w:rsidRPr="00CF1AC0">
        <w:t xml:space="preserve">the corporate director </w:t>
      </w:r>
      <w:r w:rsidR="00176029" w:rsidRPr="00CF1AC0">
        <w:t>must make a new application</w:t>
      </w:r>
      <w:r w:rsidRPr="00CF1AC0">
        <w:t>.</w:t>
      </w:r>
      <w:r w:rsidRPr="00CF1AC0">
        <w:rPr>
          <w:rStyle w:val="Referencingstyle"/>
        </w:rPr>
        <w:t xml:space="preserve"> [</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Pr="00CF1AC0">
        <w:rPr>
          <w:rStyle w:val="Referencingstyle"/>
        </w:rPr>
        <w:t xml:space="preserve">, subsection </w:t>
      </w:r>
      <w:r w:rsidR="00E9296A">
        <w:rPr>
          <w:rStyle w:val="Referencingstyle"/>
        </w:rPr>
        <w:t>13-035</w:t>
      </w:r>
      <w:r w:rsidRPr="00CF1AC0">
        <w:rPr>
          <w:rStyle w:val="Referencingstyle"/>
        </w:rPr>
        <w:t>(</w:t>
      </w:r>
      <w:r w:rsidR="00164A7A" w:rsidRPr="00CF1AC0">
        <w:rPr>
          <w:rStyle w:val="Referencingstyle"/>
        </w:rPr>
        <w:t>6</w:t>
      </w:r>
      <w:r w:rsidRPr="00CF1AC0">
        <w:rPr>
          <w:rStyle w:val="Referencingstyle"/>
        </w:rPr>
        <w:t>)]</w:t>
      </w:r>
      <w:bookmarkEnd w:id="122"/>
    </w:p>
    <w:p w14:paraId="6AF5556E" w14:textId="6F8CA833" w:rsidR="00F2672E" w:rsidRPr="00B71F0A" w:rsidRDefault="00F2672E" w:rsidP="00F2672E">
      <w:pPr>
        <w:pStyle w:val="base-text-paragraph"/>
        <w:numPr>
          <w:ilvl w:val="0"/>
          <w:numId w:val="0"/>
        </w:numPr>
        <w:ind w:left="1134"/>
        <w:rPr>
          <w:b/>
          <w:szCs w:val="22"/>
        </w:rPr>
      </w:pPr>
      <w:r w:rsidRPr="00B71F0A">
        <w:rPr>
          <w:rStyle w:val="Referencingstyle"/>
          <w:b w:val="0"/>
          <w:sz w:val="22"/>
          <w:szCs w:val="22"/>
        </w:rPr>
        <w:t>Notice requirements</w:t>
      </w:r>
    </w:p>
    <w:p w14:paraId="2E2B8FDB" w14:textId="000A511D" w:rsidR="003F50EA" w:rsidRPr="00B71F0A" w:rsidRDefault="00FC1099" w:rsidP="00FC1099">
      <w:pPr>
        <w:pStyle w:val="base-text-paragraph"/>
      </w:pPr>
      <w:bookmarkStart w:id="123" w:name="_Ref524702807"/>
      <w:r w:rsidRPr="00B71F0A">
        <w:t xml:space="preserve">ASIC must give notice of the reinstatement </w:t>
      </w:r>
      <w:r w:rsidR="00CB6861" w:rsidRPr="00B71F0A">
        <w:t xml:space="preserve">of a sub-fund and the CCIV </w:t>
      </w:r>
      <w:r w:rsidRPr="00B71F0A">
        <w:t xml:space="preserve">in the </w:t>
      </w:r>
      <w:r w:rsidR="00CB6861" w:rsidRPr="00B71F0A">
        <w:t>G</w:t>
      </w:r>
      <w:r w:rsidRPr="00B71F0A">
        <w:t>azette</w:t>
      </w:r>
      <w:r w:rsidR="003C78BE" w:rsidRPr="00B71F0A">
        <w:t xml:space="preserve">. </w:t>
      </w:r>
      <w:r w:rsidR="00B71F0A" w:rsidRPr="00B71F0A">
        <w:t xml:space="preserve">The notice requirements parallel those that apply when a company is reinstated as per subsection 601AH(4) of the existing law. </w:t>
      </w:r>
      <w:r w:rsidR="003F50EA"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3F50EA" w:rsidRPr="00B71F0A">
        <w:rPr>
          <w:rStyle w:val="Referencingstyle"/>
        </w:rPr>
        <w:t>, subsection</w:t>
      </w:r>
      <w:r w:rsidR="00E9296A">
        <w:rPr>
          <w:rStyle w:val="Referencingstyle"/>
        </w:rPr>
        <w:t>s</w:t>
      </w:r>
      <w:r w:rsidR="00B71F0A" w:rsidRPr="00B71F0A">
        <w:rPr>
          <w:rStyle w:val="Referencingstyle"/>
        </w:rPr>
        <w:t xml:space="preserve"> </w:t>
      </w:r>
      <w:r w:rsidR="00E9296A">
        <w:rPr>
          <w:rStyle w:val="Referencingstyle"/>
        </w:rPr>
        <w:t>13-035</w:t>
      </w:r>
      <w:r w:rsidR="00B71F0A" w:rsidRPr="00B71F0A">
        <w:rPr>
          <w:rStyle w:val="Referencingstyle"/>
        </w:rPr>
        <w:t>(5)</w:t>
      </w:r>
      <w:r w:rsidR="003F50EA" w:rsidRPr="00B71F0A">
        <w:rPr>
          <w:rStyle w:val="Referencingstyle"/>
        </w:rPr>
        <w:t xml:space="preserve"> </w:t>
      </w:r>
      <w:r w:rsidR="00B71F0A" w:rsidRPr="00B71F0A">
        <w:rPr>
          <w:rStyle w:val="Referencingstyle"/>
        </w:rPr>
        <w:t xml:space="preserve">and </w:t>
      </w:r>
      <w:r w:rsidR="00E9296A">
        <w:rPr>
          <w:rStyle w:val="Referencingstyle"/>
        </w:rPr>
        <w:t>13</w:t>
      </w:r>
      <w:r w:rsidR="00E9296A">
        <w:rPr>
          <w:rStyle w:val="Referencingstyle"/>
        </w:rPr>
        <w:noBreakHyphen/>
        <w:t>045</w:t>
      </w:r>
      <w:r w:rsidR="003F50EA" w:rsidRPr="00B71F0A">
        <w:rPr>
          <w:rStyle w:val="Referencingstyle"/>
        </w:rPr>
        <w:t xml:space="preserve">(1)] </w:t>
      </w:r>
    </w:p>
    <w:bookmarkEnd w:id="123"/>
    <w:p w14:paraId="4F1C326D" w14:textId="29FAB69C" w:rsidR="009350A7" w:rsidRPr="00B71F0A" w:rsidRDefault="009350A7" w:rsidP="00FC1099">
      <w:pPr>
        <w:pStyle w:val="base-text-paragraph"/>
        <w:rPr>
          <w:rStyle w:val="Referencingstyle"/>
          <w:b w:val="0"/>
          <w:i w:val="0"/>
          <w:sz w:val="22"/>
        </w:rPr>
      </w:pPr>
      <w:r w:rsidRPr="00FA5B27">
        <w:t xml:space="preserve">If a CCIV is reinstated, notice must be provided to the </w:t>
      </w:r>
      <w:r w:rsidR="00D57AFA">
        <w:t>company</w:t>
      </w:r>
      <w:r w:rsidR="00D57AFA" w:rsidRPr="00FA5B27">
        <w:t xml:space="preserve"> </w:t>
      </w:r>
      <w:r w:rsidRPr="00FA5B27">
        <w:t>that is reinstated as the corporate director and,</w:t>
      </w:r>
      <w:r w:rsidRPr="003801D6">
        <w:t xml:space="preserve"> </w:t>
      </w:r>
      <w:r w:rsidR="00E9296A">
        <w:t xml:space="preserve">if the CCIV had a depositary, </w:t>
      </w:r>
      <w:r w:rsidRPr="003801D6">
        <w:t>the depositary.</w:t>
      </w:r>
      <w:r w:rsidRPr="00B71F0A">
        <w:rPr>
          <w:rStyle w:val="Referencingstyle"/>
        </w:rPr>
        <w:t xml:space="preserve"> [Schedule </w:t>
      </w:r>
      <w:r w:rsidR="00E9296A">
        <w:rPr>
          <w:rStyle w:val="Referencingstyle"/>
        </w:rPr>
        <w:t>3</w:t>
      </w:r>
      <w:r w:rsidR="00E9296A" w:rsidRPr="00B71F0A">
        <w:rPr>
          <w:rStyle w:val="Referencingstyle"/>
        </w:rPr>
        <w:t xml:space="preserve">, item </w:t>
      </w:r>
      <w:r w:rsidR="00E9296A">
        <w:rPr>
          <w:rStyle w:val="Referencingstyle"/>
        </w:rPr>
        <w:t>1</w:t>
      </w:r>
      <w:r w:rsidRPr="00B71F0A">
        <w:rPr>
          <w:rStyle w:val="Referencingstyle"/>
        </w:rPr>
        <w:t xml:space="preserve">, subsection </w:t>
      </w:r>
      <w:r w:rsidR="00E9296A">
        <w:rPr>
          <w:rStyle w:val="Referencingstyle"/>
        </w:rPr>
        <w:t>13-045</w:t>
      </w:r>
      <w:r w:rsidRPr="00B71F0A">
        <w:rPr>
          <w:rStyle w:val="Referencingstyle"/>
        </w:rPr>
        <w:t>(2)]</w:t>
      </w:r>
    </w:p>
    <w:p w14:paraId="51E9A66D" w14:textId="7649F1A0" w:rsidR="003B6EA5" w:rsidRPr="00B71F0A" w:rsidRDefault="003B6EA5" w:rsidP="003B6EA5">
      <w:pPr>
        <w:pStyle w:val="Heading3"/>
      </w:pPr>
      <w:r w:rsidRPr="00B71F0A">
        <w:t>Deregistration of a CCIV</w:t>
      </w:r>
    </w:p>
    <w:p w14:paraId="1271C04E" w14:textId="7FEE8867" w:rsidR="00BF4104" w:rsidRPr="00FA5B27" w:rsidRDefault="00E661B8" w:rsidP="005254DD">
      <w:pPr>
        <w:pStyle w:val="base-text-paragraph"/>
        <w:rPr>
          <w:rStyle w:val="Referencingstyle"/>
          <w:b w:val="0"/>
          <w:i w:val="0"/>
          <w:sz w:val="22"/>
        </w:rPr>
      </w:pPr>
      <w:bookmarkStart w:id="124" w:name="_Ref526236023"/>
      <w:r w:rsidRPr="00FA5B27">
        <w:t>ASIC must deregister a CCIV if it does not have any registered sub-funds</w:t>
      </w:r>
      <w:r w:rsidR="00BF4104" w:rsidRPr="00B71F0A">
        <w:t>.</w:t>
      </w:r>
      <w:r w:rsidRPr="00B71F0A">
        <w:t xml:space="preserve"> This reflects the fact that a CCIV, by definition, must have at least one sub-fund. </w:t>
      </w:r>
      <w:r w:rsidR="00BF4104"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 xml:space="preserve">1, </w:t>
      </w:r>
      <w:r w:rsidR="00BF4104" w:rsidRPr="00B71F0A">
        <w:rPr>
          <w:rStyle w:val="Referencingstyle"/>
        </w:rPr>
        <w:t xml:space="preserve">subsection </w:t>
      </w:r>
      <w:r w:rsidR="00E9296A">
        <w:rPr>
          <w:rStyle w:val="Referencingstyle"/>
        </w:rPr>
        <w:t>13-050</w:t>
      </w:r>
      <w:r w:rsidR="00BF4104" w:rsidRPr="00B71F0A">
        <w:rPr>
          <w:rStyle w:val="Referencingstyle"/>
        </w:rPr>
        <w:t>(</w:t>
      </w:r>
      <w:r w:rsidR="00005770" w:rsidRPr="00B71F0A">
        <w:rPr>
          <w:rStyle w:val="Referencingstyle"/>
        </w:rPr>
        <w:t>1</w:t>
      </w:r>
      <w:r w:rsidR="00BF4104" w:rsidRPr="00B71F0A">
        <w:rPr>
          <w:rStyle w:val="Referencingstyle"/>
        </w:rPr>
        <w:t>)]</w:t>
      </w:r>
      <w:bookmarkEnd w:id="124"/>
    </w:p>
    <w:p w14:paraId="387A2A86" w14:textId="77D1C7D9" w:rsidR="00E661B8" w:rsidRPr="00B71F0A" w:rsidRDefault="00E661B8" w:rsidP="005254DD">
      <w:pPr>
        <w:pStyle w:val="base-text-paragraph"/>
        <w:rPr>
          <w:rStyle w:val="Referencingstyle"/>
          <w:b w:val="0"/>
          <w:i w:val="0"/>
          <w:sz w:val="22"/>
        </w:rPr>
      </w:pPr>
      <w:r w:rsidRPr="003801D6">
        <w:t>ASIC must give</w:t>
      </w:r>
      <w:r w:rsidR="00045FE6" w:rsidRPr="00B71F0A">
        <w:t xml:space="preserve"> the corporate director of the CCIV written notice that the CCIV has been deregistered and the date on which it has been deregistered</w:t>
      </w:r>
      <w:r w:rsidR="00005770" w:rsidRPr="00B71F0A">
        <w:t xml:space="preserve"> within 5 days after the date the CCIV is deregistered</w:t>
      </w:r>
      <w:r w:rsidR="00045FE6" w:rsidRPr="00B71F0A">
        <w:t xml:space="preserve">. </w:t>
      </w:r>
      <w:r w:rsidR="00045FE6" w:rsidRPr="00B71F0A">
        <w:rPr>
          <w:rStyle w:val="Referencingstyle"/>
        </w:rPr>
        <w:t>[</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045FE6" w:rsidRPr="00B71F0A">
        <w:rPr>
          <w:rStyle w:val="Referencingstyle"/>
        </w:rPr>
        <w:t>, subsection</w:t>
      </w:r>
      <w:r w:rsidR="00005770" w:rsidRPr="00B71F0A">
        <w:rPr>
          <w:rStyle w:val="Referencingstyle"/>
        </w:rPr>
        <w:t>s</w:t>
      </w:r>
      <w:r w:rsidR="00045FE6" w:rsidRPr="00B71F0A">
        <w:rPr>
          <w:rStyle w:val="Referencingstyle"/>
        </w:rPr>
        <w:t xml:space="preserve"> </w:t>
      </w:r>
      <w:r w:rsidR="00E9296A">
        <w:rPr>
          <w:rStyle w:val="Referencingstyle"/>
        </w:rPr>
        <w:t>13-050</w:t>
      </w:r>
      <w:r w:rsidR="00005770" w:rsidRPr="00B71F0A">
        <w:rPr>
          <w:rStyle w:val="Referencingstyle"/>
        </w:rPr>
        <w:t xml:space="preserve">(2) and </w:t>
      </w:r>
      <w:r w:rsidR="00045FE6" w:rsidRPr="00B71F0A">
        <w:rPr>
          <w:rStyle w:val="Referencingstyle"/>
        </w:rPr>
        <w:t>(3)]</w:t>
      </w:r>
    </w:p>
    <w:p w14:paraId="7546C7E9" w14:textId="1F96B8AC" w:rsidR="00045FE6" w:rsidRPr="00B71F0A" w:rsidRDefault="00045FE6" w:rsidP="005254DD">
      <w:pPr>
        <w:pStyle w:val="base-text-paragraph"/>
      </w:pPr>
      <w:r w:rsidRPr="00B71F0A">
        <w:t>It is not necessary to also include a voluntary deregistration process because a CCIV cannot be deregistered while it still has registered sub-funds (and the CCIV is automatically deregistered when it ceases to have any registered sub-funds). Sub-funds are not legal persons and cannot exist without a CCIV.</w:t>
      </w:r>
      <w:r w:rsidR="00130C0B" w:rsidRPr="00B71F0A">
        <w:rPr>
          <w:rStyle w:val="Referencingstyle"/>
        </w:rPr>
        <w:t xml:space="preserve"> [</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130C0B" w:rsidRPr="00B71F0A">
        <w:rPr>
          <w:rStyle w:val="Referencingstyle"/>
        </w:rPr>
        <w:t xml:space="preserve">, subsection </w:t>
      </w:r>
      <w:r w:rsidR="00E9296A">
        <w:rPr>
          <w:rStyle w:val="Referencingstyle"/>
        </w:rPr>
        <w:t>13-050</w:t>
      </w:r>
      <w:r w:rsidR="00130C0B" w:rsidRPr="00B71F0A">
        <w:rPr>
          <w:rStyle w:val="Referencingstyle"/>
        </w:rPr>
        <w:t>(</w:t>
      </w:r>
      <w:r w:rsidR="002C4680">
        <w:rPr>
          <w:rStyle w:val="Referencingstyle"/>
        </w:rPr>
        <w:t>5</w:t>
      </w:r>
      <w:r w:rsidR="00130C0B" w:rsidRPr="00B71F0A">
        <w:rPr>
          <w:rStyle w:val="Referencingstyle"/>
        </w:rPr>
        <w:t>)]</w:t>
      </w:r>
    </w:p>
    <w:p w14:paraId="04098122" w14:textId="1076F3E5" w:rsidR="00045FE6" w:rsidRPr="00B71F0A" w:rsidRDefault="00045FE6" w:rsidP="005254DD">
      <w:pPr>
        <w:pStyle w:val="base-text-paragraph"/>
      </w:pPr>
      <w:bookmarkStart w:id="125" w:name="_Ref526236025"/>
      <w:r w:rsidRPr="00B71F0A">
        <w:t xml:space="preserve">Similarly, there is no need for a process for deregistering a CCIV following amalgamation or winding up because these Chapter 5 procedures operate at the sub-fund level (see </w:t>
      </w:r>
      <w:r w:rsidR="00BB20DD">
        <w:fldChar w:fldCharType="begin"/>
      </w:r>
      <w:r w:rsidR="00BB20DD">
        <w:instrText xml:space="preserve"> REF _Ref526429882 \w \h </w:instrText>
      </w:r>
      <w:r w:rsidR="00BB20DD">
        <w:fldChar w:fldCharType="separate"/>
      </w:r>
      <w:r w:rsidR="00275132">
        <w:t>Chapter 3</w:t>
      </w:r>
      <w:r w:rsidR="00BB20DD">
        <w:fldChar w:fldCharType="end"/>
      </w:r>
      <w:r w:rsidRPr="00B71F0A">
        <w:t xml:space="preserve"> of these explanatory materials).</w:t>
      </w:r>
      <w:r w:rsidR="00130C0B" w:rsidRPr="00B71F0A">
        <w:rPr>
          <w:rStyle w:val="Referencingstyle"/>
        </w:rPr>
        <w:t xml:space="preserve"> [</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130C0B" w:rsidRPr="00B71F0A">
        <w:rPr>
          <w:rStyle w:val="Referencingstyle"/>
        </w:rPr>
        <w:t xml:space="preserve">, subsection </w:t>
      </w:r>
      <w:r w:rsidR="00E9296A">
        <w:rPr>
          <w:rStyle w:val="Referencingstyle"/>
        </w:rPr>
        <w:t>13-050</w:t>
      </w:r>
      <w:r w:rsidR="00130C0B" w:rsidRPr="00B71F0A">
        <w:rPr>
          <w:rStyle w:val="Referencingstyle"/>
        </w:rPr>
        <w:t>(</w:t>
      </w:r>
      <w:r w:rsidR="002C4680">
        <w:rPr>
          <w:rStyle w:val="Referencingstyle"/>
        </w:rPr>
        <w:t>5</w:t>
      </w:r>
      <w:r w:rsidR="00130C0B" w:rsidRPr="00B71F0A">
        <w:rPr>
          <w:rStyle w:val="Referencingstyle"/>
        </w:rPr>
        <w:t>)]</w:t>
      </w:r>
      <w:bookmarkEnd w:id="125"/>
    </w:p>
    <w:p w14:paraId="5D5A039F" w14:textId="6522F0A8" w:rsidR="0052000B" w:rsidRPr="00B71F0A" w:rsidRDefault="0052000B" w:rsidP="0052000B">
      <w:pPr>
        <w:pStyle w:val="Heading4"/>
      </w:pPr>
      <w:r w:rsidRPr="00B71F0A">
        <w:t xml:space="preserve">Consequences of deregistration </w:t>
      </w:r>
    </w:p>
    <w:p w14:paraId="0A8C4A50" w14:textId="0147B5A9" w:rsidR="00690D75" w:rsidRPr="00B71F0A" w:rsidRDefault="00690D75" w:rsidP="00C87F99">
      <w:pPr>
        <w:pStyle w:val="base-text-paragraph"/>
        <w:numPr>
          <w:ilvl w:val="0"/>
          <w:numId w:val="0"/>
        </w:numPr>
        <w:ind w:left="1134"/>
      </w:pPr>
      <w:r w:rsidRPr="00B71F0A">
        <w:rPr>
          <w:i/>
        </w:rPr>
        <w:t>Retention of books of the CCIV</w:t>
      </w:r>
    </w:p>
    <w:p w14:paraId="12F7EEE9" w14:textId="29564E14" w:rsidR="00E92BE7" w:rsidRPr="00B71F0A" w:rsidRDefault="0019037C" w:rsidP="00C87F99">
      <w:pPr>
        <w:pStyle w:val="base-text-paragraph"/>
      </w:pPr>
      <w:bookmarkStart w:id="126" w:name="_Ref524963561"/>
      <w:r w:rsidRPr="00B71F0A">
        <w:t xml:space="preserve">If the CCIV is deregistered, the corporate director of the CCIV at the time of deregistration must retain the books of the CCIV (apart from the books that the liquidator is required to retain) for three years after the CCIV’s deregistration. For an explanation of the books that the liquidator is required to retain, see paragraphs </w:t>
      </w:r>
      <w:r w:rsidRPr="00B71F0A">
        <w:fldChar w:fldCharType="begin"/>
      </w:r>
      <w:r w:rsidRPr="00B71F0A">
        <w:instrText xml:space="preserve"> REF _Ref522885474 \r \h </w:instrText>
      </w:r>
      <w:r w:rsidR="00C87F99" w:rsidRPr="00B71F0A">
        <w:instrText xml:space="preserve"> \* MERGEFORMAT </w:instrText>
      </w:r>
      <w:r w:rsidRPr="00B71F0A">
        <w:fldChar w:fldCharType="separate"/>
      </w:r>
      <w:r w:rsidR="00275132">
        <w:t>3.143</w:t>
      </w:r>
      <w:r w:rsidRPr="00B71F0A">
        <w:fldChar w:fldCharType="end"/>
      </w:r>
      <w:r w:rsidRPr="00B71F0A">
        <w:t xml:space="preserve"> to </w:t>
      </w:r>
      <w:r w:rsidRPr="00B71F0A">
        <w:fldChar w:fldCharType="begin"/>
      </w:r>
      <w:r w:rsidRPr="00B71F0A">
        <w:instrText xml:space="preserve"> REF _Ref522885475 \r \h </w:instrText>
      </w:r>
      <w:r w:rsidR="00C87F99" w:rsidRPr="00B71F0A">
        <w:instrText xml:space="preserve"> \* MERGEFORMAT </w:instrText>
      </w:r>
      <w:r w:rsidRPr="00B71F0A">
        <w:fldChar w:fldCharType="separate"/>
      </w:r>
      <w:r w:rsidR="00275132">
        <w:t>3.148</w:t>
      </w:r>
      <w:r w:rsidRPr="00B71F0A">
        <w:fldChar w:fldCharType="end"/>
      </w:r>
      <w:r w:rsidRPr="00B71F0A">
        <w:t xml:space="preserve"> of the</w:t>
      </w:r>
      <w:r w:rsidR="00201D3B">
        <w:t>se</w:t>
      </w:r>
      <w:r w:rsidRPr="00B71F0A">
        <w:t xml:space="preserve"> explanatory material</w:t>
      </w:r>
      <w:r w:rsidR="0070213E">
        <w:t>s</w:t>
      </w:r>
      <w:r w:rsidRPr="00B71F0A">
        <w:t>.</w:t>
      </w:r>
      <w:r w:rsidR="00E92BE7" w:rsidRPr="00B71F0A">
        <w:rPr>
          <w:rStyle w:val="Referencingstyle"/>
        </w:rPr>
        <w:t xml:space="preserve"> [</w:t>
      </w:r>
      <w:r w:rsidR="00E9296A" w:rsidRPr="00B71F0A">
        <w:rPr>
          <w:rStyle w:val="Referencingstyle"/>
        </w:rPr>
        <w:t>Schedule </w:t>
      </w:r>
      <w:r w:rsidR="00E9296A">
        <w:rPr>
          <w:rStyle w:val="Referencingstyle"/>
        </w:rPr>
        <w:t>3</w:t>
      </w:r>
      <w:r w:rsidR="00E9296A" w:rsidRPr="00B71F0A">
        <w:rPr>
          <w:rStyle w:val="Referencingstyle"/>
        </w:rPr>
        <w:t xml:space="preserve">, item </w:t>
      </w:r>
      <w:r w:rsidR="00E9296A">
        <w:rPr>
          <w:rStyle w:val="Referencingstyle"/>
        </w:rPr>
        <w:t>1</w:t>
      </w:r>
      <w:r w:rsidR="00E92BE7" w:rsidRPr="00B71F0A">
        <w:rPr>
          <w:rStyle w:val="Referencingstyle"/>
        </w:rPr>
        <w:t>, subsection</w:t>
      </w:r>
      <w:r w:rsidR="00C87F99" w:rsidRPr="00B71F0A">
        <w:rPr>
          <w:rStyle w:val="Referencingstyle"/>
        </w:rPr>
        <w:t>s</w:t>
      </w:r>
      <w:r w:rsidR="00E92BE7" w:rsidRPr="00B71F0A">
        <w:rPr>
          <w:rStyle w:val="Referencingstyle"/>
        </w:rPr>
        <w:t xml:space="preserve"> </w:t>
      </w:r>
      <w:r w:rsidR="00E9296A">
        <w:rPr>
          <w:rStyle w:val="Referencingstyle"/>
        </w:rPr>
        <w:t>13-055</w:t>
      </w:r>
      <w:r w:rsidR="00E92BE7" w:rsidRPr="00B71F0A">
        <w:rPr>
          <w:rStyle w:val="Referencingstyle"/>
        </w:rPr>
        <w:t>(1)</w:t>
      </w:r>
      <w:r w:rsidR="00C87F99" w:rsidRPr="00B71F0A">
        <w:rPr>
          <w:rStyle w:val="Referencingstyle"/>
        </w:rPr>
        <w:t xml:space="preserve"> and (4)</w:t>
      </w:r>
      <w:r w:rsidR="00E92BE7" w:rsidRPr="00B71F0A">
        <w:rPr>
          <w:rStyle w:val="Referencingstyle"/>
        </w:rPr>
        <w:t>]</w:t>
      </w:r>
      <w:bookmarkEnd w:id="126"/>
    </w:p>
    <w:p w14:paraId="6E959866" w14:textId="2341E8DF" w:rsidR="00C87F99" w:rsidRPr="00B71F0A" w:rsidRDefault="00C87F99" w:rsidP="00C87F99">
      <w:pPr>
        <w:pStyle w:val="base-text-paragraph"/>
        <w:rPr>
          <w:rStyle w:val="Referencingstyle"/>
          <w:b w:val="0"/>
          <w:i w:val="0"/>
          <w:sz w:val="22"/>
        </w:rPr>
      </w:pPr>
      <w:r w:rsidRPr="00FA5B27">
        <w:t>If the corporate director is deregistered du</w:t>
      </w:r>
      <w:r w:rsidRPr="003801D6">
        <w:t xml:space="preserve">ring the three year </w:t>
      </w:r>
      <w:r w:rsidR="00D737B7">
        <w:t xml:space="preserve">retention </w:t>
      </w:r>
      <w:r w:rsidRPr="003801D6">
        <w:t>period, the natural person directors of the corporate director at the time of the corporate director’s deregistration must retain the books for the remainder of the period.</w:t>
      </w:r>
      <w:r w:rsidRPr="00B71F0A">
        <w:rPr>
          <w:rStyle w:val="Referencingstyle"/>
        </w:rPr>
        <w:t xml:space="preserve"> [Schedule </w:t>
      </w:r>
      <w:r w:rsidR="00631DE3">
        <w:rPr>
          <w:rStyle w:val="Referencingstyle"/>
        </w:rPr>
        <w:t>3</w:t>
      </w:r>
      <w:r w:rsidR="00631DE3" w:rsidRPr="00B71F0A">
        <w:rPr>
          <w:rStyle w:val="Referencingstyle"/>
        </w:rPr>
        <w:t xml:space="preserve">, </w:t>
      </w:r>
      <w:r w:rsidRPr="00B71F0A">
        <w:rPr>
          <w:rStyle w:val="Referencingstyle"/>
        </w:rPr>
        <w:t xml:space="preserve">item </w:t>
      </w:r>
      <w:r w:rsidR="00631DE3">
        <w:rPr>
          <w:rStyle w:val="Referencingstyle"/>
        </w:rPr>
        <w:t>1</w:t>
      </w:r>
      <w:r w:rsidRPr="00B71F0A">
        <w:rPr>
          <w:rStyle w:val="Referencingstyle"/>
        </w:rPr>
        <w:t xml:space="preserve">, </w:t>
      </w:r>
      <w:r w:rsidR="00B42C4D">
        <w:rPr>
          <w:rStyle w:val="Referencingstyle"/>
        </w:rPr>
        <w:t>section </w:t>
      </w:r>
      <w:r w:rsidR="00631DE3">
        <w:rPr>
          <w:rStyle w:val="Referencingstyle"/>
        </w:rPr>
        <w:t>13</w:t>
      </w:r>
      <w:r w:rsidR="00B42C4D">
        <w:rPr>
          <w:rStyle w:val="Referencingstyle"/>
        </w:rPr>
        <w:noBreakHyphen/>
      </w:r>
      <w:r w:rsidR="00631DE3">
        <w:rPr>
          <w:rStyle w:val="Referencingstyle"/>
        </w:rPr>
        <w:t>055</w:t>
      </w:r>
      <w:r w:rsidRPr="00B71F0A">
        <w:rPr>
          <w:rStyle w:val="Referencingstyle"/>
        </w:rPr>
        <w:t>(3)]</w:t>
      </w:r>
    </w:p>
    <w:p w14:paraId="3DE29EAF" w14:textId="5C082DD4" w:rsidR="003B14A8" w:rsidRPr="00B71F0A" w:rsidRDefault="00C87F99" w:rsidP="00C87F99">
      <w:pPr>
        <w:pStyle w:val="base-text-paragraph"/>
      </w:pPr>
      <w:r w:rsidRPr="00B71F0A">
        <w:t xml:space="preserve"> </w:t>
      </w:r>
      <w:r w:rsidR="003B14A8" w:rsidRPr="00B71F0A">
        <w:t>A failure to retain the books is a strict liability offence with a penalty of 20 penalty unit</w:t>
      </w:r>
      <w:r w:rsidR="0070213E">
        <w:t>s</w:t>
      </w:r>
      <w:r w:rsidR="003B14A8" w:rsidRPr="00B71F0A">
        <w:t>.</w:t>
      </w:r>
      <w:r w:rsidRPr="00B71F0A">
        <w:t xml:space="preserve"> The imposition of a strict liability offence and the penalty complies with the Guide. Strict liability is appropriate as it is necessary to deter misconduct which could result in the books of the CCIV being lost and allows the regulator to expeditiously deal with offences to maintain public confidence. It is also consistent with the existing offence for failing to retain the books of a deregistered company and the new offence for failing to retain the books of a deregistered sub-fund (see paragraph </w:t>
      </w:r>
      <w:r w:rsidRPr="00B71F0A">
        <w:fldChar w:fldCharType="begin"/>
      </w:r>
      <w:r w:rsidRPr="00B71F0A">
        <w:instrText xml:space="preserve"> REF _Ref524965800 \r \h </w:instrText>
      </w:r>
      <w:r w:rsidR="00B71F0A">
        <w:instrText xml:space="preserve"> \* MERGEFORMAT </w:instrText>
      </w:r>
      <w:r w:rsidRPr="00B71F0A">
        <w:fldChar w:fldCharType="separate"/>
      </w:r>
      <w:r w:rsidR="00275132">
        <w:t>4.36</w:t>
      </w:r>
      <w:r w:rsidRPr="00B71F0A">
        <w:fldChar w:fldCharType="end"/>
      </w:r>
      <w:r w:rsidRPr="00B71F0A">
        <w:t xml:space="preserve"> and </w:t>
      </w:r>
      <w:r w:rsidRPr="00B71F0A">
        <w:fldChar w:fldCharType="begin"/>
      </w:r>
      <w:r w:rsidRPr="00B71F0A">
        <w:instrText xml:space="preserve"> REF _Ref524965801 \r \h </w:instrText>
      </w:r>
      <w:r w:rsidR="00B71F0A">
        <w:instrText xml:space="preserve"> \* MERGEFORMAT </w:instrText>
      </w:r>
      <w:r w:rsidRPr="00B71F0A">
        <w:fldChar w:fldCharType="separate"/>
      </w:r>
      <w:r w:rsidR="00275132">
        <w:t>4.37</w:t>
      </w:r>
      <w:r w:rsidRPr="00B71F0A">
        <w:fldChar w:fldCharType="end"/>
      </w:r>
      <w:r w:rsidRPr="00B71F0A">
        <w:t xml:space="preserve"> of these explanatory materials).</w:t>
      </w:r>
      <w:r w:rsidR="00E92BE7" w:rsidRPr="00B71F0A">
        <w:rPr>
          <w:rStyle w:val="Referencingstyle"/>
        </w:rPr>
        <w:t xml:space="preserve"> [</w:t>
      </w:r>
      <w:r w:rsidR="00631DE3" w:rsidRPr="00B71F0A">
        <w:rPr>
          <w:rStyle w:val="Referencingstyle"/>
        </w:rPr>
        <w:t>Schedule </w:t>
      </w:r>
      <w:r w:rsidR="00631DE3">
        <w:rPr>
          <w:rStyle w:val="Referencingstyle"/>
        </w:rPr>
        <w:t>3</w:t>
      </w:r>
      <w:r w:rsidR="00631DE3" w:rsidRPr="00B71F0A">
        <w:rPr>
          <w:rStyle w:val="Referencingstyle"/>
        </w:rPr>
        <w:t xml:space="preserve">, item </w:t>
      </w:r>
      <w:r w:rsidR="00631DE3">
        <w:rPr>
          <w:rStyle w:val="Referencingstyle"/>
        </w:rPr>
        <w:t>1</w:t>
      </w:r>
      <w:r w:rsidR="00E92BE7" w:rsidRPr="00B71F0A">
        <w:rPr>
          <w:rStyle w:val="Referencingstyle"/>
        </w:rPr>
        <w:t xml:space="preserve">, subsection </w:t>
      </w:r>
      <w:r w:rsidR="00631DE3">
        <w:rPr>
          <w:rStyle w:val="Referencingstyle"/>
        </w:rPr>
        <w:t>13</w:t>
      </w:r>
      <w:r w:rsidR="00B42C4D">
        <w:rPr>
          <w:rStyle w:val="Referencingstyle"/>
        </w:rPr>
        <w:noBreakHyphen/>
      </w:r>
      <w:r w:rsidR="00631DE3">
        <w:rPr>
          <w:rStyle w:val="Referencingstyle"/>
        </w:rPr>
        <w:t>055</w:t>
      </w:r>
      <w:r w:rsidR="00E92BE7" w:rsidRPr="00B71F0A">
        <w:rPr>
          <w:rStyle w:val="Referencingstyle"/>
        </w:rPr>
        <w:t>(2)]</w:t>
      </w:r>
    </w:p>
    <w:p w14:paraId="701DD7A4" w14:textId="69E207CB" w:rsidR="0019037C" w:rsidRPr="00B71F0A" w:rsidRDefault="0019037C" w:rsidP="0019037C">
      <w:pPr>
        <w:pStyle w:val="ExampleHeading"/>
      </w:pPr>
      <w:r w:rsidRPr="00B71F0A">
        <w:t>: Retention of books following deregistration</w:t>
      </w:r>
    </w:p>
    <w:p w14:paraId="6E2C1F2F" w14:textId="0024867A" w:rsidR="0019037C" w:rsidRPr="00B71F0A" w:rsidRDefault="0019037C" w:rsidP="0019037C">
      <w:pPr>
        <w:pStyle w:val="exampletext"/>
      </w:pPr>
      <w:r w:rsidRPr="00B71F0A">
        <w:t xml:space="preserve">ASIC deregisters </w:t>
      </w:r>
      <w:proofErr w:type="spellStart"/>
      <w:r w:rsidRPr="00B71F0A">
        <w:t>Ca</w:t>
      </w:r>
      <w:r w:rsidR="00F81063" w:rsidRPr="00B71F0A">
        <w:t>s</w:t>
      </w:r>
      <w:r w:rsidRPr="00B71F0A">
        <w:t>terley</w:t>
      </w:r>
      <w:proofErr w:type="spellEnd"/>
      <w:r w:rsidRPr="00B71F0A">
        <w:t xml:space="preserve"> House CCIV on </w:t>
      </w:r>
      <w:r w:rsidR="00563385" w:rsidRPr="00B71F0A">
        <w:t>23</w:t>
      </w:r>
      <w:r w:rsidRPr="00B71F0A">
        <w:t xml:space="preserve"> March</w:t>
      </w:r>
      <w:r w:rsidR="00563385" w:rsidRPr="00B71F0A">
        <w:t xml:space="preserve"> 2020</w:t>
      </w:r>
      <w:r w:rsidRPr="00B71F0A">
        <w:t>. The corporate director o</w:t>
      </w:r>
      <w:r w:rsidR="00F60473" w:rsidRPr="00B71F0A">
        <w:t>f</w:t>
      </w:r>
      <w:r w:rsidRPr="00B71F0A">
        <w:t xml:space="preserve"> </w:t>
      </w:r>
      <w:proofErr w:type="spellStart"/>
      <w:r w:rsidRPr="00B71F0A">
        <w:t>Casterley</w:t>
      </w:r>
      <w:proofErr w:type="spellEnd"/>
      <w:r w:rsidRPr="00B71F0A">
        <w:t xml:space="preserve"> House CCIV at the time of</w:t>
      </w:r>
      <w:r w:rsidR="008A7153">
        <w:t xml:space="preserve"> </w:t>
      </w:r>
      <w:r w:rsidRPr="00B71F0A">
        <w:t xml:space="preserve">deregistration is CD Services Ltd. </w:t>
      </w:r>
    </w:p>
    <w:p w14:paraId="1B74A828" w14:textId="1447ABBF" w:rsidR="00563385" w:rsidRPr="00B71F0A" w:rsidRDefault="0019037C" w:rsidP="0019037C">
      <w:pPr>
        <w:pStyle w:val="exampletext"/>
      </w:pPr>
      <w:r w:rsidRPr="00B71F0A">
        <w:t xml:space="preserve">At the time </w:t>
      </w:r>
      <w:r w:rsidR="00563385" w:rsidRPr="00B71F0A">
        <w:t xml:space="preserve">that </w:t>
      </w:r>
      <w:proofErr w:type="spellStart"/>
      <w:r w:rsidR="00563385" w:rsidRPr="00B71F0A">
        <w:t>Casterley</w:t>
      </w:r>
      <w:proofErr w:type="spellEnd"/>
      <w:r w:rsidR="00563385" w:rsidRPr="00B71F0A">
        <w:t xml:space="preserve"> House CCIV is deregistered</w:t>
      </w:r>
      <w:r w:rsidRPr="00B71F0A">
        <w:t>, CD Services Ltd has three directors</w:t>
      </w:r>
      <w:r w:rsidR="00200C53">
        <w:t>,</w:t>
      </w:r>
      <w:r w:rsidRPr="00B71F0A">
        <w:t xml:space="preserve"> Amanda, Bob and Carolyn. </w:t>
      </w:r>
      <w:r w:rsidR="00563385" w:rsidRPr="00B71F0A">
        <w:t>One month</w:t>
      </w:r>
      <w:r w:rsidRPr="00B71F0A">
        <w:t xml:space="preserve"> later, on 2</w:t>
      </w:r>
      <w:r w:rsidR="00563385" w:rsidRPr="00B71F0A">
        <w:t>3</w:t>
      </w:r>
      <w:r w:rsidRPr="00B71F0A">
        <w:t xml:space="preserve"> </w:t>
      </w:r>
      <w:r w:rsidR="00563385" w:rsidRPr="00B71F0A">
        <w:t>April 2020</w:t>
      </w:r>
      <w:r w:rsidRPr="00B71F0A">
        <w:t xml:space="preserve">, </w:t>
      </w:r>
      <w:r w:rsidR="00563385" w:rsidRPr="00B71F0A">
        <w:t xml:space="preserve">Amanda resigns as a director of CD Services Ltd and is replaced by David. </w:t>
      </w:r>
    </w:p>
    <w:p w14:paraId="3E18C12B" w14:textId="1CF0DFEC" w:rsidR="00563385" w:rsidRPr="00B71F0A" w:rsidRDefault="00563385" w:rsidP="0019037C">
      <w:pPr>
        <w:pStyle w:val="exampletext"/>
      </w:pPr>
      <w:r w:rsidRPr="00B71F0A">
        <w:t>CD Services Ltd is then deregistered on 26 June</w:t>
      </w:r>
      <w:r w:rsidR="0070213E">
        <w:t xml:space="preserve"> 2020</w:t>
      </w:r>
      <w:r w:rsidRPr="00B71F0A">
        <w:t>.</w:t>
      </w:r>
    </w:p>
    <w:p w14:paraId="1E3065B7" w14:textId="399890FE" w:rsidR="00563385" w:rsidRPr="00B71F0A" w:rsidRDefault="0019037C" w:rsidP="00563385">
      <w:pPr>
        <w:pStyle w:val="exampletext"/>
      </w:pPr>
      <w:r w:rsidRPr="00B71F0A">
        <w:t xml:space="preserve">The books of </w:t>
      </w:r>
      <w:proofErr w:type="spellStart"/>
      <w:r w:rsidR="00563385" w:rsidRPr="00B71F0A">
        <w:t>Casterley</w:t>
      </w:r>
      <w:proofErr w:type="spellEnd"/>
      <w:r w:rsidR="00563385" w:rsidRPr="00B71F0A">
        <w:t xml:space="preserve"> House CCIV</w:t>
      </w:r>
      <w:r w:rsidRPr="00B71F0A">
        <w:t xml:space="preserve"> must be retained by</w:t>
      </w:r>
      <w:r w:rsidR="00563385" w:rsidRPr="00B71F0A">
        <w:t xml:space="preserve"> CD Services Ltd from 23 March to 26 June 2020. </w:t>
      </w:r>
    </w:p>
    <w:p w14:paraId="511E20D7" w14:textId="634F1BAE" w:rsidR="00563385" w:rsidRPr="00B71F0A" w:rsidRDefault="00563385" w:rsidP="00563385">
      <w:pPr>
        <w:pStyle w:val="exampletext"/>
      </w:pPr>
      <w:r w:rsidRPr="00B71F0A">
        <w:t xml:space="preserve">After the deregistration of CD Services Ltd on 26 June 2020, </w:t>
      </w:r>
      <w:proofErr w:type="spellStart"/>
      <w:r w:rsidRPr="00B71F0A">
        <w:t>Casterley</w:t>
      </w:r>
      <w:proofErr w:type="spellEnd"/>
      <w:r w:rsidRPr="00B71F0A">
        <w:t xml:space="preserve"> House CCIV’s books must be retained by the natural person directors of CD Services Ltd at the time of the corporate director’s deregistration (Bob, Carolyn and David). </w:t>
      </w:r>
    </w:p>
    <w:p w14:paraId="5DBEC425" w14:textId="35822BD6" w:rsidR="0019037C" w:rsidRPr="00B71F0A" w:rsidRDefault="00563385" w:rsidP="00563385">
      <w:pPr>
        <w:pStyle w:val="exampletext"/>
      </w:pPr>
      <w:r w:rsidRPr="00B71F0A">
        <w:t>Bob, Carolyn and David must continue to retain the books until the three year period expires, that is, until 23 March 2023.</w:t>
      </w:r>
    </w:p>
    <w:p w14:paraId="2185185B" w14:textId="6F72CB3E" w:rsidR="00C87F99" w:rsidRPr="00B71F0A" w:rsidRDefault="00C87F99" w:rsidP="00F83D6E">
      <w:pPr>
        <w:pStyle w:val="base-text-paragraph"/>
        <w:keepNext/>
        <w:keepLines/>
        <w:numPr>
          <w:ilvl w:val="0"/>
          <w:numId w:val="0"/>
        </w:numPr>
        <w:ind w:left="414" w:firstLine="720"/>
      </w:pPr>
      <w:r w:rsidRPr="00B71F0A">
        <w:rPr>
          <w:i/>
        </w:rPr>
        <w:t>Other consequences of deregistration</w:t>
      </w:r>
    </w:p>
    <w:p w14:paraId="7EEC7439" w14:textId="093B6A58" w:rsidR="0052000B" w:rsidRPr="00B71F0A" w:rsidRDefault="00E92BE7" w:rsidP="00ED6DD1">
      <w:pPr>
        <w:pStyle w:val="base-text-paragraph"/>
      </w:pPr>
      <w:r w:rsidRPr="00B71F0A">
        <w:t>S</w:t>
      </w:r>
      <w:r w:rsidR="00F60473" w:rsidRPr="00B71F0A">
        <w:t xml:space="preserve">ubsections </w:t>
      </w:r>
      <w:r w:rsidR="0052000B" w:rsidRPr="00B71F0A">
        <w:t>601AD</w:t>
      </w:r>
      <w:r w:rsidR="00F60473" w:rsidRPr="00B71F0A">
        <w:t xml:space="preserve">(1) </w:t>
      </w:r>
      <w:r w:rsidRPr="00B71F0A">
        <w:t>and</w:t>
      </w:r>
      <w:r w:rsidR="00F60473" w:rsidRPr="00B71F0A">
        <w:t xml:space="preserve"> (3)</w:t>
      </w:r>
      <w:r w:rsidRPr="00B71F0A">
        <w:t>, and sections 601AF and 601AG</w:t>
      </w:r>
      <w:r w:rsidR="0052000B" w:rsidRPr="00B71F0A">
        <w:t xml:space="preserve"> continue to apply to CCIVs in the same way that they apply to other types of companies. This means that the CCIV ce</w:t>
      </w:r>
      <w:r w:rsidR="00C87F99" w:rsidRPr="00B71F0A">
        <w:t>ases to exist on deregistration and</w:t>
      </w:r>
      <w:r w:rsidR="0052000B" w:rsidRPr="00B71F0A">
        <w:t xml:space="preserve"> claims may be made against insurers in certain circumstances. </w:t>
      </w:r>
      <w:r w:rsidRPr="00B71F0A">
        <w:rPr>
          <w:rStyle w:val="Referencingstyle"/>
        </w:rPr>
        <w:t>[</w:t>
      </w:r>
      <w:r w:rsidR="00631DE3" w:rsidRPr="00B71F0A">
        <w:rPr>
          <w:rStyle w:val="Referencingstyle"/>
        </w:rPr>
        <w:t>Schedule </w:t>
      </w:r>
      <w:r w:rsidR="00631DE3">
        <w:rPr>
          <w:rStyle w:val="Referencingstyle"/>
        </w:rPr>
        <w:t>3</w:t>
      </w:r>
      <w:r w:rsidR="00631DE3" w:rsidRPr="00B71F0A">
        <w:rPr>
          <w:rStyle w:val="Referencingstyle"/>
        </w:rPr>
        <w:t xml:space="preserve">, item </w:t>
      </w:r>
      <w:r w:rsidR="00631DE3">
        <w:rPr>
          <w:rStyle w:val="Referencingstyle"/>
        </w:rPr>
        <w:t>1</w:t>
      </w:r>
      <w:r w:rsidRPr="00B71F0A">
        <w:rPr>
          <w:rStyle w:val="Referencingstyle"/>
        </w:rPr>
        <w:t xml:space="preserve">, subsection </w:t>
      </w:r>
      <w:r w:rsidR="00631DE3">
        <w:rPr>
          <w:rStyle w:val="Referencingstyle"/>
        </w:rPr>
        <w:t>13-055</w:t>
      </w:r>
      <w:r w:rsidRPr="00B71F0A">
        <w:rPr>
          <w:rStyle w:val="Referencingstyle"/>
        </w:rPr>
        <w:t>(4)</w:t>
      </w:r>
      <w:r w:rsidR="00DF7564" w:rsidRPr="00B71F0A">
        <w:rPr>
          <w:rStyle w:val="Referencingstyle"/>
        </w:rPr>
        <w:t xml:space="preserve"> and </w:t>
      </w:r>
      <w:r w:rsidR="00631DE3">
        <w:rPr>
          <w:rStyle w:val="Referencingstyle"/>
        </w:rPr>
        <w:t xml:space="preserve">item 2, </w:t>
      </w:r>
      <w:r w:rsidR="00DF7564" w:rsidRPr="00B71F0A">
        <w:rPr>
          <w:rStyle w:val="Referencingstyle"/>
        </w:rPr>
        <w:t>note 2 to Part 5A.1</w:t>
      </w:r>
      <w:r w:rsidRPr="00B71F0A">
        <w:rPr>
          <w:rStyle w:val="Referencingstyle"/>
        </w:rPr>
        <w:t>]</w:t>
      </w:r>
    </w:p>
    <w:p w14:paraId="6F6B56D4" w14:textId="19DF6859" w:rsidR="0052000B" w:rsidRPr="00B71F0A" w:rsidRDefault="0052000B" w:rsidP="00ED6DD1">
      <w:pPr>
        <w:pStyle w:val="base-text-paragraph"/>
      </w:pPr>
      <w:r w:rsidRPr="00B71F0A">
        <w:t>Provisions relating to the vesting of property (such as subsection</w:t>
      </w:r>
      <w:r w:rsidR="008314E9" w:rsidRPr="00B71F0A">
        <w:t> </w:t>
      </w:r>
      <w:r w:rsidRPr="00B71F0A">
        <w:t xml:space="preserve">601AD(2) and section 601AE) are not expressly </w:t>
      </w:r>
      <w:proofErr w:type="spellStart"/>
      <w:r w:rsidRPr="00B71F0A">
        <w:t>disapplied</w:t>
      </w:r>
      <w:proofErr w:type="spellEnd"/>
      <w:r w:rsidRPr="00B71F0A">
        <w:t xml:space="preserve"> but they have no operation in the context of the deregistration of a CCIV. This is because a CCIV may only be deregistered if it has no assets (whereas other types of companies may be deregistered if they have up to $1,000 of assets).</w:t>
      </w:r>
    </w:p>
    <w:p w14:paraId="60FB00B5" w14:textId="29E717B4" w:rsidR="00C87F99" w:rsidRPr="00B71F0A" w:rsidRDefault="00C87F99" w:rsidP="00C87F99">
      <w:pPr>
        <w:pStyle w:val="Heading4"/>
      </w:pPr>
      <w:r w:rsidRPr="00B71F0A">
        <w:t>Reinstatement of a CCIV</w:t>
      </w:r>
    </w:p>
    <w:p w14:paraId="0186C2AD" w14:textId="0F0F724C" w:rsidR="00C87F99" w:rsidRPr="00B71F0A" w:rsidRDefault="004B70BE" w:rsidP="00C87F99">
      <w:pPr>
        <w:pStyle w:val="base-text-paragraph"/>
      </w:pPr>
      <w:r w:rsidRPr="00B71F0A">
        <w:t>A CCIV may only be reinstated if one of its sub-funds is reinstated. For</w:t>
      </w:r>
      <w:r w:rsidR="004E311E" w:rsidRPr="00B71F0A">
        <w:t xml:space="preserve"> an explanation of </w:t>
      </w:r>
      <w:r w:rsidRPr="00B71F0A">
        <w:t xml:space="preserve">the process for reinstating a sub-fund, see paragraphs </w:t>
      </w:r>
      <w:r w:rsidRPr="00B71F0A">
        <w:fldChar w:fldCharType="begin"/>
      </w:r>
      <w:r w:rsidRPr="00B71F0A">
        <w:instrText xml:space="preserve"> REF _Ref524966357 \r \h </w:instrText>
      </w:r>
      <w:r w:rsidR="00B71F0A">
        <w:instrText xml:space="preserve"> \* MERGEFORMAT </w:instrText>
      </w:r>
      <w:r w:rsidRPr="00B71F0A">
        <w:fldChar w:fldCharType="separate"/>
      </w:r>
      <w:r w:rsidR="00275132">
        <w:t>4.45</w:t>
      </w:r>
      <w:r w:rsidRPr="00B71F0A">
        <w:fldChar w:fldCharType="end"/>
      </w:r>
      <w:r w:rsidRPr="00B71F0A">
        <w:t xml:space="preserve"> to </w:t>
      </w:r>
      <w:r w:rsidRPr="00B71F0A">
        <w:fldChar w:fldCharType="begin"/>
      </w:r>
      <w:r w:rsidRPr="00B71F0A">
        <w:instrText xml:space="preserve"> REF _Ref524966358 \r \h </w:instrText>
      </w:r>
      <w:r w:rsidR="00B71F0A">
        <w:instrText xml:space="preserve"> \* MERGEFORMAT </w:instrText>
      </w:r>
      <w:r w:rsidRPr="00B71F0A">
        <w:fldChar w:fldCharType="separate"/>
      </w:r>
      <w:r w:rsidR="00275132">
        <w:t>4.48</w:t>
      </w:r>
      <w:r w:rsidRPr="00B71F0A">
        <w:fldChar w:fldCharType="end"/>
      </w:r>
      <w:r w:rsidR="004E311E" w:rsidRPr="00B71F0A">
        <w:t xml:space="preserve"> of these explanatory materials</w:t>
      </w:r>
      <w:r w:rsidRPr="00B71F0A">
        <w:t xml:space="preserve">. </w:t>
      </w:r>
      <w:r w:rsidRPr="00B71F0A">
        <w:rPr>
          <w:rStyle w:val="Referencingstyle"/>
        </w:rPr>
        <w:t>[</w:t>
      </w:r>
      <w:r w:rsidR="00631DE3" w:rsidRPr="00B71F0A">
        <w:rPr>
          <w:rStyle w:val="Referencingstyle"/>
        </w:rPr>
        <w:t>Schedule </w:t>
      </w:r>
      <w:r w:rsidR="00631DE3">
        <w:rPr>
          <w:rStyle w:val="Referencingstyle"/>
        </w:rPr>
        <w:t>3</w:t>
      </w:r>
      <w:r w:rsidR="00631DE3" w:rsidRPr="00B71F0A">
        <w:rPr>
          <w:rStyle w:val="Referencingstyle"/>
        </w:rPr>
        <w:t xml:space="preserve">, item </w:t>
      </w:r>
      <w:r w:rsidR="00631DE3">
        <w:rPr>
          <w:rStyle w:val="Referencingstyle"/>
        </w:rPr>
        <w:t>1</w:t>
      </w:r>
      <w:r w:rsidRPr="00B71F0A">
        <w:rPr>
          <w:rStyle w:val="Referencingstyle"/>
        </w:rPr>
        <w:t xml:space="preserve">, section </w:t>
      </w:r>
      <w:r w:rsidR="00631DE3">
        <w:rPr>
          <w:rStyle w:val="Referencingstyle"/>
        </w:rPr>
        <w:t>13-060</w:t>
      </w:r>
      <w:r w:rsidRPr="00B71F0A">
        <w:rPr>
          <w:rStyle w:val="Referencingstyle"/>
        </w:rPr>
        <w:t>]</w:t>
      </w:r>
    </w:p>
    <w:p w14:paraId="149C1465" w14:textId="4B46ADEE" w:rsidR="0052000B" w:rsidRPr="00B71F0A" w:rsidRDefault="001563E3" w:rsidP="001563E3">
      <w:pPr>
        <w:pStyle w:val="Heading3"/>
      </w:pPr>
      <w:r w:rsidRPr="00B71F0A">
        <w:t>Transfer of registration</w:t>
      </w:r>
    </w:p>
    <w:p w14:paraId="5F896BF9" w14:textId="77777777" w:rsidR="009167E0" w:rsidRPr="00E954C0" w:rsidRDefault="00D03BE6" w:rsidP="009167E0">
      <w:pPr>
        <w:pStyle w:val="base-text-paragraph"/>
        <w:rPr>
          <w:rStyle w:val="Referencingstyle"/>
          <w:b w:val="0"/>
          <w:i w:val="0"/>
          <w:sz w:val="22"/>
        </w:rPr>
      </w:pPr>
      <w:r w:rsidRPr="00B71F0A">
        <w:t>A CCIV cannot transfer its registration under a State or Territory law.</w:t>
      </w:r>
      <w:r w:rsidR="004F209A" w:rsidRPr="00B71F0A">
        <w:t xml:space="preserve"> State and Territory laws do not currently provide for </w:t>
      </w:r>
      <w:r w:rsidR="004E311E" w:rsidRPr="00B71F0A">
        <w:t>a company</w:t>
      </w:r>
      <w:r w:rsidR="004F209A" w:rsidRPr="00B71F0A">
        <w:t xml:space="preserve"> to be registered as a CCIV.</w:t>
      </w:r>
      <w:r w:rsidRPr="00B71F0A">
        <w:rPr>
          <w:rStyle w:val="Referencingstyle"/>
        </w:rPr>
        <w:t xml:space="preserve"> [</w:t>
      </w:r>
      <w:r w:rsidR="00631DE3" w:rsidRPr="00B71F0A">
        <w:rPr>
          <w:rStyle w:val="Referencingstyle"/>
        </w:rPr>
        <w:t>Schedule </w:t>
      </w:r>
      <w:r w:rsidR="00631DE3">
        <w:rPr>
          <w:rStyle w:val="Referencingstyle"/>
        </w:rPr>
        <w:t>3</w:t>
      </w:r>
      <w:r w:rsidR="00631DE3" w:rsidRPr="00B71F0A">
        <w:rPr>
          <w:rStyle w:val="Referencingstyle"/>
        </w:rPr>
        <w:t xml:space="preserve">, item </w:t>
      </w:r>
      <w:r w:rsidR="00631DE3">
        <w:rPr>
          <w:rStyle w:val="Referencingstyle"/>
        </w:rPr>
        <w:t>1</w:t>
      </w:r>
      <w:r w:rsidRPr="00B71F0A">
        <w:rPr>
          <w:rStyle w:val="Referencingstyle"/>
        </w:rPr>
        <w:t xml:space="preserve">, section </w:t>
      </w:r>
      <w:r w:rsidR="00631DE3">
        <w:rPr>
          <w:rStyle w:val="Referencingstyle"/>
        </w:rPr>
        <w:t>13-065</w:t>
      </w:r>
      <w:r w:rsidR="00DF7564" w:rsidRPr="00B71F0A">
        <w:rPr>
          <w:rStyle w:val="Referencingstyle"/>
        </w:rPr>
        <w:t xml:space="preserve"> and item </w:t>
      </w:r>
      <w:r w:rsidR="00631DE3">
        <w:rPr>
          <w:rStyle w:val="Referencingstyle"/>
        </w:rPr>
        <w:t>3</w:t>
      </w:r>
      <w:r w:rsidR="00631DE3" w:rsidRPr="00B71F0A">
        <w:rPr>
          <w:rStyle w:val="Referencingstyle"/>
        </w:rPr>
        <w:t xml:space="preserve">, </w:t>
      </w:r>
      <w:r w:rsidR="00DF7564" w:rsidRPr="00B71F0A">
        <w:rPr>
          <w:rStyle w:val="Referencingstyle"/>
        </w:rPr>
        <w:t>note to Part 5A.2</w:t>
      </w:r>
      <w:r w:rsidRPr="00B71F0A">
        <w:rPr>
          <w:rStyle w:val="Referencingstyle"/>
        </w:rPr>
        <w:t>]</w:t>
      </w:r>
    </w:p>
    <w:p w14:paraId="17A5686D" w14:textId="77777777" w:rsidR="00E954C0" w:rsidRPr="00B71F0A" w:rsidRDefault="00E954C0" w:rsidP="00E954C0">
      <w:pPr>
        <w:pStyle w:val="base-text-paragraph"/>
        <w:numPr>
          <w:ilvl w:val="0"/>
          <w:numId w:val="0"/>
        </w:numPr>
        <w:ind w:left="1134"/>
        <w:sectPr w:rsidR="00E954C0" w:rsidRPr="00B71F0A" w:rsidSect="00905701">
          <w:footerReference w:type="even" r:id="rId47"/>
          <w:footerReference w:type="default" r:id="rId48"/>
          <w:footerReference w:type="first" r:id="rId49"/>
          <w:type w:val="oddPage"/>
          <w:pgSz w:w="9979" w:h="14175" w:code="34"/>
          <w:pgMar w:top="567" w:right="1134" w:bottom="567" w:left="1134" w:header="709" w:footer="709" w:gutter="0"/>
          <w:cols w:space="708"/>
          <w:titlePg/>
          <w:docGrid w:linePitch="360"/>
        </w:sectPr>
      </w:pPr>
    </w:p>
    <w:p w14:paraId="0F6B5F03" w14:textId="7ED3D8DA" w:rsidR="00676223" w:rsidRPr="007C2B20" w:rsidRDefault="009167E0" w:rsidP="00E954C0">
      <w:pPr>
        <w:pStyle w:val="ChapterHeading"/>
        <w:numPr>
          <w:ilvl w:val="0"/>
          <w:numId w:val="26"/>
        </w:numPr>
      </w:pPr>
      <w:r w:rsidRPr="000C2A9D">
        <w:br/>
      </w:r>
      <w:bookmarkStart w:id="127" w:name="_Toc525049783"/>
      <w:bookmarkStart w:id="128" w:name="_Toc525051814"/>
      <w:bookmarkStart w:id="129" w:name="_Toc525140701"/>
      <w:bookmarkStart w:id="130" w:name="_Toc525219822"/>
      <w:bookmarkStart w:id="131" w:name="_Toc525226362"/>
      <w:bookmarkStart w:id="132" w:name="_Toc525894372"/>
      <w:bookmarkStart w:id="133" w:name="_Toc525898823"/>
      <w:bookmarkStart w:id="134" w:name="_Toc525898867"/>
      <w:bookmarkStart w:id="135" w:name="_Toc526434103"/>
      <w:bookmarkStart w:id="136" w:name="_Toc526434631"/>
      <w:r w:rsidR="00676223">
        <w:rPr>
          <w:rStyle w:val="ChapterNameOnly"/>
        </w:rPr>
        <w:t xml:space="preserve">Takeovers, </w:t>
      </w:r>
      <w:r w:rsidR="00F81063">
        <w:rPr>
          <w:rStyle w:val="ChapterNameOnly"/>
        </w:rPr>
        <w:t>compulsory acquisition</w:t>
      </w:r>
      <w:r w:rsidR="00C70C2F">
        <w:rPr>
          <w:rStyle w:val="ChapterNameOnly"/>
        </w:rPr>
        <w:t>s</w:t>
      </w:r>
      <w:r w:rsidR="00F81063">
        <w:rPr>
          <w:rStyle w:val="ChapterNameOnly"/>
        </w:rPr>
        <w:t xml:space="preserve"> and buy</w:t>
      </w:r>
      <w:r w:rsidR="00DA3EE4">
        <w:rPr>
          <w:rStyle w:val="ChapterNameOnly"/>
        </w:rPr>
        <w:t>-</w:t>
      </w:r>
      <w:r w:rsidR="00F81063">
        <w:rPr>
          <w:rStyle w:val="ChapterNameOnly"/>
        </w:rPr>
        <w:t>outs</w:t>
      </w:r>
      <w:r w:rsidR="00C70C2F">
        <w:rPr>
          <w:rStyle w:val="ChapterNameOnly"/>
        </w:rPr>
        <w:t>, continuous disclosure</w:t>
      </w:r>
      <w:r w:rsidR="00451742">
        <w:rPr>
          <w:rStyle w:val="ChapterNameOnly"/>
        </w:rPr>
        <w:t xml:space="preserve"> and</w:t>
      </w:r>
      <w:r w:rsidR="00676223">
        <w:rPr>
          <w:rStyle w:val="ChapterNameOnly"/>
        </w:rPr>
        <w:t xml:space="preserve"> fundraising</w:t>
      </w:r>
      <w:bookmarkEnd w:id="127"/>
      <w:bookmarkEnd w:id="128"/>
      <w:bookmarkEnd w:id="129"/>
      <w:bookmarkEnd w:id="130"/>
      <w:bookmarkEnd w:id="131"/>
      <w:bookmarkEnd w:id="132"/>
      <w:bookmarkEnd w:id="133"/>
      <w:bookmarkEnd w:id="134"/>
      <w:bookmarkEnd w:id="135"/>
      <w:bookmarkEnd w:id="136"/>
    </w:p>
    <w:p w14:paraId="2528B3FC" w14:textId="77777777" w:rsidR="00676223" w:rsidRDefault="00676223" w:rsidP="00B17774">
      <w:pPr>
        <w:pStyle w:val="Heading2"/>
      </w:pPr>
      <w:r>
        <w:t>Outline of chapter</w:t>
      </w:r>
    </w:p>
    <w:p w14:paraId="7B3A0817" w14:textId="7CB179BE" w:rsidR="00C70C2F" w:rsidRDefault="00D36298" w:rsidP="00676223">
      <w:pPr>
        <w:numPr>
          <w:ilvl w:val="1"/>
          <w:numId w:val="53"/>
        </w:numPr>
      </w:pPr>
      <w:r>
        <w:t xml:space="preserve">This </w:t>
      </w:r>
      <w:r w:rsidR="00581111">
        <w:t>Chapter outlines</w:t>
      </w:r>
      <w:r>
        <w:t xml:space="preserve"> </w:t>
      </w:r>
      <w:r w:rsidR="0036566C">
        <w:t xml:space="preserve">how </w:t>
      </w:r>
      <w:r w:rsidR="00C70C2F">
        <w:t>the following Chapters of the Act apply to CCIVs:</w:t>
      </w:r>
    </w:p>
    <w:p w14:paraId="0755FD4C" w14:textId="5EE19BDF" w:rsidR="00C70C2F" w:rsidRDefault="00C70C2F" w:rsidP="00F76C66">
      <w:pPr>
        <w:pStyle w:val="dotpoint"/>
      </w:pPr>
      <w:r>
        <w:t>Chapters 6 to 6C regarding takeovers, compulsory acquisitions and buy-outs;</w:t>
      </w:r>
    </w:p>
    <w:p w14:paraId="4235CD09" w14:textId="77777777" w:rsidR="00C70C2F" w:rsidRDefault="00C70C2F" w:rsidP="00F76C66">
      <w:pPr>
        <w:pStyle w:val="dotpoint"/>
      </w:pPr>
      <w:r>
        <w:t>Chapter 6CA regarding continuous disclosure; and</w:t>
      </w:r>
    </w:p>
    <w:p w14:paraId="71778BCC" w14:textId="3E774C44" w:rsidR="00C70C2F" w:rsidRDefault="00C70C2F" w:rsidP="00F76C66">
      <w:pPr>
        <w:pStyle w:val="dotpoint"/>
      </w:pPr>
      <w:r>
        <w:t>Chapter 6D regarding fundraising</w:t>
      </w:r>
      <w:r w:rsidR="00CE00F8">
        <w:t xml:space="preserve"> and disclosure</w:t>
      </w:r>
      <w:r>
        <w:t>.</w:t>
      </w:r>
    </w:p>
    <w:p w14:paraId="405C3B86" w14:textId="77777777" w:rsidR="00676223" w:rsidRDefault="00676223" w:rsidP="00B17774">
      <w:pPr>
        <w:pStyle w:val="Heading2"/>
      </w:pPr>
      <w:r>
        <w:t>Context of amendments</w:t>
      </w:r>
    </w:p>
    <w:p w14:paraId="529D59BB" w14:textId="30B53988" w:rsidR="00C046C1" w:rsidRDefault="00C046C1" w:rsidP="00C046C1">
      <w:pPr>
        <w:pStyle w:val="base-text-paragraph"/>
        <w:numPr>
          <w:ilvl w:val="1"/>
          <w:numId w:val="53"/>
        </w:numPr>
      </w:pPr>
      <w:r>
        <w:t>Chapters 6 to 6C of the Act set out the regulatory requirements for takeovers, compulsory acquisitions and buy</w:t>
      </w:r>
      <w:r>
        <w:noBreakHyphen/>
        <w:t xml:space="preserve">outs of certain entities, including companies, listed bodies and listed managed investment schemes. In particular, these chapters set out requirements regarding the acquisition of </w:t>
      </w:r>
      <w:r w:rsidR="0010754D">
        <w:t xml:space="preserve">a relevant interest in </w:t>
      </w:r>
      <w:r>
        <w:t>such entities.</w:t>
      </w:r>
    </w:p>
    <w:p w14:paraId="248066BF" w14:textId="77777777" w:rsidR="0010754D" w:rsidRDefault="00C046C1" w:rsidP="00C046C1">
      <w:pPr>
        <w:pStyle w:val="base-text-paragraph"/>
        <w:numPr>
          <w:ilvl w:val="1"/>
          <w:numId w:val="53"/>
        </w:numPr>
      </w:pPr>
      <w:r>
        <w:t>Chapter 6CA sets out the continuous disclosure requirements for disclosing entities.</w:t>
      </w:r>
    </w:p>
    <w:p w14:paraId="79883884" w14:textId="28E58114" w:rsidR="00C046C1" w:rsidRDefault="0010754D" w:rsidP="00C046C1">
      <w:pPr>
        <w:pStyle w:val="base-text-paragraph"/>
        <w:numPr>
          <w:ilvl w:val="1"/>
          <w:numId w:val="53"/>
        </w:numPr>
      </w:pPr>
      <w:r>
        <w:t xml:space="preserve">Chapter 6D sets out the fundraising and disclosure requirements for companies. </w:t>
      </w:r>
    </w:p>
    <w:p w14:paraId="79ED1B22" w14:textId="336CE95A" w:rsidR="00C046C1" w:rsidRDefault="00C046C1" w:rsidP="00C046C1">
      <w:pPr>
        <w:pStyle w:val="base-text-paragraph"/>
        <w:numPr>
          <w:ilvl w:val="1"/>
          <w:numId w:val="53"/>
        </w:numPr>
      </w:pPr>
      <w:r>
        <w:t>The corporate director of a CCIV is a public company (that is subject to the full regulatory requirements for public companies, including the provisions of Chapters 6 to 6</w:t>
      </w:r>
      <w:r w:rsidR="0010754D">
        <w:t>D</w:t>
      </w:r>
      <w:r>
        <w:t>).</w:t>
      </w:r>
    </w:p>
    <w:p w14:paraId="517B4268" w14:textId="317FEC4F" w:rsidR="00AF04CF" w:rsidRDefault="00AF04CF" w:rsidP="00676223">
      <w:pPr>
        <w:pStyle w:val="base-text-paragraph"/>
        <w:numPr>
          <w:ilvl w:val="1"/>
          <w:numId w:val="53"/>
        </w:numPr>
      </w:pPr>
      <w:r>
        <w:t>B</w:t>
      </w:r>
      <w:r w:rsidRPr="00AF04CF">
        <w:t xml:space="preserve">oth UCITS funds and OEICs are not subject to the requirements and regulations regarding takeovers in their respective jurisdictions. </w:t>
      </w:r>
      <w:r>
        <w:t xml:space="preserve">The structural similarities between CCIVs, OEICs and UCITS mean it is appropriate to take a similar approach to CCIVs. </w:t>
      </w:r>
    </w:p>
    <w:p w14:paraId="7EB5055D" w14:textId="77777777" w:rsidR="00676223" w:rsidRDefault="00676223" w:rsidP="00B17774">
      <w:pPr>
        <w:pStyle w:val="Heading2"/>
      </w:pPr>
      <w:r>
        <w:t>Summary of new law</w:t>
      </w:r>
    </w:p>
    <w:p w14:paraId="698227B4" w14:textId="64CE88EB" w:rsidR="0010754D" w:rsidRDefault="00581111" w:rsidP="00676223">
      <w:pPr>
        <w:pStyle w:val="base-text-paragraph"/>
        <w:numPr>
          <w:ilvl w:val="1"/>
          <w:numId w:val="53"/>
        </w:numPr>
      </w:pPr>
      <w:r>
        <w:t xml:space="preserve">Part 8B.14 exempts </w:t>
      </w:r>
      <w:r w:rsidR="0010754D">
        <w:t xml:space="preserve">the acquisition of a relevant interest in a CCIV from </w:t>
      </w:r>
      <w:r>
        <w:t>the regulatory requirements set out in Chapters 6 to 6</w:t>
      </w:r>
      <w:r w:rsidR="0010754D">
        <w:t>B</w:t>
      </w:r>
      <w:r>
        <w:t xml:space="preserve"> of the Act. It</w:t>
      </w:r>
      <w:r w:rsidR="00273A2E">
        <w:t> </w:t>
      </w:r>
      <w:r>
        <w:t>also excludes such transactions from the Takeover Panel’s jurisdiction.</w:t>
      </w:r>
      <w:r w:rsidR="0010754D">
        <w:t xml:space="preserve">  </w:t>
      </w:r>
    </w:p>
    <w:p w14:paraId="46B27D65" w14:textId="77777777" w:rsidR="0010754D" w:rsidRDefault="0010754D" w:rsidP="00676223">
      <w:pPr>
        <w:pStyle w:val="base-text-paragraph"/>
        <w:numPr>
          <w:ilvl w:val="1"/>
          <w:numId w:val="53"/>
        </w:numPr>
      </w:pPr>
      <w:r>
        <w:t>Chapter 6C will not apply to CCIVs because a CCIV is prohibited from being listed on a prescribed financial market.</w:t>
      </w:r>
    </w:p>
    <w:p w14:paraId="019BC03E" w14:textId="626792D5" w:rsidR="00676223" w:rsidRPr="008F726E" w:rsidRDefault="0010754D" w:rsidP="00676223">
      <w:pPr>
        <w:pStyle w:val="base-text-paragraph"/>
        <w:numPr>
          <w:ilvl w:val="1"/>
          <w:numId w:val="53"/>
        </w:numPr>
      </w:pPr>
      <w:r>
        <w:t>The provisions of Chapters 6 to 6C of the Act will continue to apply to CCIVs that propose to acquire</w:t>
      </w:r>
      <w:r w:rsidR="00CE00F8">
        <w:t>, or hold,</w:t>
      </w:r>
      <w:r>
        <w:t xml:space="preserve"> a relevant interest in another entity that is the subject of these rules. </w:t>
      </w:r>
    </w:p>
    <w:p w14:paraId="4E6A6F9F" w14:textId="4CEB0CE1" w:rsidR="00581111" w:rsidRDefault="00CE00F8" w:rsidP="00676223">
      <w:pPr>
        <w:pStyle w:val="base-text-paragraph"/>
        <w:numPr>
          <w:ilvl w:val="1"/>
          <w:numId w:val="53"/>
        </w:numPr>
      </w:pPr>
      <w:r>
        <w:t xml:space="preserve">CCIVs that are disclosing entities are subject to the continuous disclosure requirements in Chapter 6CA, as modified by </w:t>
      </w:r>
      <w:r w:rsidR="00581111">
        <w:t>Part 8B.15</w:t>
      </w:r>
      <w:r>
        <w:t>.</w:t>
      </w:r>
      <w:r w:rsidR="00581111">
        <w:t xml:space="preserve"> </w:t>
      </w:r>
    </w:p>
    <w:p w14:paraId="03BD2B49" w14:textId="1438E7B7" w:rsidR="00581111" w:rsidRPr="008F726E" w:rsidRDefault="00581111" w:rsidP="00676223">
      <w:pPr>
        <w:pStyle w:val="base-text-paragraph"/>
        <w:numPr>
          <w:ilvl w:val="1"/>
          <w:numId w:val="53"/>
        </w:numPr>
      </w:pPr>
      <w:r>
        <w:t xml:space="preserve">Part 8B.16 exempts offers of securities in a CCIV from the </w:t>
      </w:r>
      <w:r w:rsidR="0010754D">
        <w:t xml:space="preserve">fundraising and </w:t>
      </w:r>
      <w:r>
        <w:t xml:space="preserve">disclosure requirements in Chapter 6D of the Act. It also prohibits offering securities in a CCIV that does not exist, and offering securities in a CCIV that are referable to a sub-fund of the CCIV that is not yet established. </w:t>
      </w:r>
    </w:p>
    <w:p w14:paraId="4F2ABCF3" w14:textId="77777777" w:rsidR="00676223" w:rsidRDefault="00676223" w:rsidP="009E51EA">
      <w:pPr>
        <w:pStyle w:val="Heading2with18pointafter"/>
        <w:spacing w:before="360" w:after="24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76223" w:rsidRPr="004666B8" w14:paraId="33FE5AFA" w14:textId="77777777" w:rsidTr="00F83D6E">
        <w:trPr>
          <w:tblHeader/>
        </w:trPr>
        <w:tc>
          <w:tcPr>
            <w:tcW w:w="3275" w:type="dxa"/>
          </w:tcPr>
          <w:p w14:paraId="359F997C" w14:textId="77777777" w:rsidR="00676223" w:rsidRPr="00AA3F3D" w:rsidRDefault="00676223" w:rsidP="00676223">
            <w:pPr>
              <w:pStyle w:val="tableheaderwithintable"/>
              <w:rPr>
                <w:lang w:eastAsia="en-US"/>
              </w:rPr>
            </w:pPr>
            <w:r w:rsidRPr="00AA3F3D">
              <w:rPr>
                <w:lang w:eastAsia="en-US"/>
              </w:rPr>
              <w:t>New law</w:t>
            </w:r>
          </w:p>
        </w:tc>
        <w:tc>
          <w:tcPr>
            <w:tcW w:w="3276" w:type="dxa"/>
          </w:tcPr>
          <w:p w14:paraId="46CFFBDE" w14:textId="77777777" w:rsidR="00676223" w:rsidRPr="00AA3F3D" w:rsidRDefault="00676223" w:rsidP="00676223">
            <w:pPr>
              <w:pStyle w:val="tableheaderwithintable"/>
              <w:rPr>
                <w:lang w:eastAsia="en-US"/>
              </w:rPr>
            </w:pPr>
            <w:r w:rsidRPr="00AA3F3D">
              <w:rPr>
                <w:lang w:eastAsia="en-US"/>
              </w:rPr>
              <w:t>Current law</w:t>
            </w:r>
          </w:p>
        </w:tc>
      </w:tr>
      <w:tr w:rsidR="00676223" w:rsidRPr="004666B8" w14:paraId="125DCB8B" w14:textId="77777777" w:rsidTr="00F83D6E">
        <w:tc>
          <w:tcPr>
            <w:tcW w:w="3275" w:type="dxa"/>
          </w:tcPr>
          <w:p w14:paraId="3FF4EECE" w14:textId="01B5AFC3" w:rsidR="00676223" w:rsidRPr="00AA3F3D" w:rsidRDefault="00342EA0" w:rsidP="003E2450">
            <w:pPr>
              <w:pStyle w:val="tabletext"/>
              <w:rPr>
                <w:lang w:eastAsia="en-US"/>
              </w:rPr>
            </w:pPr>
            <w:r w:rsidRPr="00AA3F3D">
              <w:rPr>
                <w:lang w:eastAsia="en-US"/>
              </w:rPr>
              <w:t xml:space="preserve">The </w:t>
            </w:r>
            <w:r w:rsidR="0010754D">
              <w:rPr>
                <w:lang w:eastAsia="en-US"/>
              </w:rPr>
              <w:t xml:space="preserve">acquisition of a relevant interest in a CCIV </w:t>
            </w:r>
            <w:r w:rsidRPr="00AA3F3D">
              <w:rPr>
                <w:lang w:eastAsia="en-US"/>
              </w:rPr>
              <w:t>is not regulated by rules in Chapters 6 to 6</w:t>
            </w:r>
            <w:r w:rsidR="00CE00F8">
              <w:rPr>
                <w:lang w:eastAsia="en-US"/>
              </w:rPr>
              <w:t>B</w:t>
            </w:r>
            <w:r w:rsidRPr="00AA3F3D">
              <w:rPr>
                <w:lang w:eastAsia="en-US"/>
              </w:rPr>
              <w:t>.</w:t>
            </w:r>
            <w:r w:rsidR="00CE00F8">
              <w:rPr>
                <w:lang w:eastAsia="en-US"/>
              </w:rPr>
              <w:t xml:space="preserve"> Chapter 6C also </w:t>
            </w:r>
            <w:r w:rsidR="003E2450">
              <w:rPr>
                <w:lang w:eastAsia="en-US"/>
              </w:rPr>
              <w:t xml:space="preserve">does </w:t>
            </w:r>
            <w:r w:rsidR="00CE00F8">
              <w:rPr>
                <w:lang w:eastAsia="en-US"/>
              </w:rPr>
              <w:t>not apply to CCIVs, as CCIVs are prohibited from being listed.</w:t>
            </w:r>
            <w:r w:rsidRPr="00AA3F3D">
              <w:rPr>
                <w:lang w:eastAsia="en-US"/>
              </w:rPr>
              <w:t xml:space="preserve">  </w:t>
            </w:r>
          </w:p>
        </w:tc>
        <w:tc>
          <w:tcPr>
            <w:tcW w:w="3276" w:type="dxa"/>
          </w:tcPr>
          <w:p w14:paraId="327A2157" w14:textId="40C3B845" w:rsidR="00676223" w:rsidRPr="00AA3F3D" w:rsidRDefault="00A038E6" w:rsidP="00676223">
            <w:pPr>
              <w:pStyle w:val="tabletext"/>
              <w:rPr>
                <w:lang w:eastAsia="en-US"/>
              </w:rPr>
            </w:pPr>
            <w:r w:rsidRPr="00AA3F3D">
              <w:rPr>
                <w:lang w:eastAsia="en-US"/>
              </w:rPr>
              <w:t>No equivalent.</w:t>
            </w:r>
          </w:p>
        </w:tc>
      </w:tr>
      <w:tr w:rsidR="003E2450" w:rsidRPr="004666B8" w14:paraId="3EFAFAA7" w14:textId="77777777" w:rsidTr="00F83D6E">
        <w:tc>
          <w:tcPr>
            <w:tcW w:w="3275" w:type="dxa"/>
          </w:tcPr>
          <w:p w14:paraId="36A0C674" w14:textId="77777777" w:rsidR="003E2450" w:rsidRDefault="003E2450" w:rsidP="003E2450">
            <w:pPr>
              <w:pStyle w:val="tabletext"/>
              <w:rPr>
                <w:lang w:eastAsia="en-US"/>
              </w:rPr>
            </w:pPr>
          </w:p>
        </w:tc>
        <w:tc>
          <w:tcPr>
            <w:tcW w:w="3276" w:type="dxa"/>
          </w:tcPr>
          <w:p w14:paraId="50EA1380" w14:textId="77777777" w:rsidR="003E2450" w:rsidRPr="00AA3F3D" w:rsidRDefault="003E2450" w:rsidP="00676223">
            <w:pPr>
              <w:pStyle w:val="tabletext"/>
              <w:rPr>
                <w:lang w:eastAsia="en-US"/>
              </w:rPr>
            </w:pPr>
          </w:p>
        </w:tc>
      </w:tr>
      <w:tr w:rsidR="00CE00F8" w:rsidRPr="004666B8" w14:paraId="02266975" w14:textId="77777777" w:rsidTr="00CE00F8">
        <w:tc>
          <w:tcPr>
            <w:tcW w:w="3275" w:type="dxa"/>
          </w:tcPr>
          <w:p w14:paraId="1B1F8127" w14:textId="3BD30FE6" w:rsidR="00CE00F8" w:rsidRPr="00AA3F3D" w:rsidRDefault="00CE00F8" w:rsidP="00CE00F8">
            <w:pPr>
              <w:pStyle w:val="tabletext"/>
            </w:pPr>
            <w:r>
              <w:rPr>
                <w:lang w:eastAsia="en-US"/>
              </w:rPr>
              <w:t xml:space="preserve">CCIVs </w:t>
            </w:r>
            <w:r>
              <w:t xml:space="preserve">that are disclosing entities are subject to the continuous disclosure requirements in Chapter 6CA. Consequential amendments to the definition of ‘ED securities’ and the requirements for debentures have been made to </w:t>
            </w:r>
            <w:r w:rsidR="00473C5A">
              <w:t>give effect to</w:t>
            </w:r>
            <w:r>
              <w:t xml:space="preserve"> this</w:t>
            </w:r>
            <w:r w:rsidR="00473C5A">
              <w:t xml:space="preserve"> outcome</w:t>
            </w:r>
            <w:r>
              <w:t>.</w:t>
            </w:r>
          </w:p>
        </w:tc>
        <w:tc>
          <w:tcPr>
            <w:tcW w:w="3276" w:type="dxa"/>
          </w:tcPr>
          <w:p w14:paraId="22AA8113" w14:textId="7DD50480" w:rsidR="00CE00F8" w:rsidRPr="00AA3F3D" w:rsidRDefault="00CE00F8" w:rsidP="00676223">
            <w:pPr>
              <w:pStyle w:val="tabletext"/>
              <w:rPr>
                <w:lang w:eastAsia="en-US"/>
              </w:rPr>
            </w:pPr>
            <w:r>
              <w:rPr>
                <w:lang w:eastAsia="en-US"/>
              </w:rPr>
              <w:t>No equivalent.</w:t>
            </w:r>
          </w:p>
        </w:tc>
      </w:tr>
      <w:tr w:rsidR="00342EA0" w:rsidRPr="004666B8" w14:paraId="47E5DC11" w14:textId="77777777" w:rsidTr="00F83D6E">
        <w:tc>
          <w:tcPr>
            <w:tcW w:w="3275" w:type="dxa"/>
          </w:tcPr>
          <w:p w14:paraId="4AFEAD57" w14:textId="1621B002" w:rsidR="00342EA0" w:rsidRPr="00AA3F3D" w:rsidRDefault="00D45323" w:rsidP="00BF648F">
            <w:pPr>
              <w:pStyle w:val="tabletext"/>
              <w:rPr>
                <w:lang w:eastAsia="en-US"/>
              </w:rPr>
            </w:pPr>
            <w:r w:rsidRPr="00AA3F3D">
              <w:rPr>
                <w:lang w:eastAsia="en-US"/>
              </w:rPr>
              <w:t xml:space="preserve">Offers and issues of securities in a CCIV are </w:t>
            </w:r>
            <w:r w:rsidR="00BF648F">
              <w:rPr>
                <w:lang w:eastAsia="en-US"/>
              </w:rPr>
              <w:t>exempted from</w:t>
            </w:r>
            <w:r w:rsidRPr="00AA3F3D">
              <w:rPr>
                <w:lang w:eastAsia="en-US"/>
              </w:rPr>
              <w:t xml:space="preserve"> the </w:t>
            </w:r>
            <w:r w:rsidR="00CE00F8">
              <w:rPr>
                <w:lang w:eastAsia="en-US"/>
              </w:rPr>
              <w:t xml:space="preserve">fundraising and </w:t>
            </w:r>
            <w:r w:rsidRPr="00AA3F3D">
              <w:rPr>
                <w:lang w:eastAsia="en-US"/>
              </w:rPr>
              <w:t xml:space="preserve">disclosure regime under Chapter 6D. </w:t>
            </w:r>
          </w:p>
        </w:tc>
        <w:tc>
          <w:tcPr>
            <w:tcW w:w="3276" w:type="dxa"/>
          </w:tcPr>
          <w:p w14:paraId="274CC9C9" w14:textId="142597F7" w:rsidR="00342EA0" w:rsidRPr="00AA3F3D" w:rsidRDefault="00D45323" w:rsidP="00676223">
            <w:pPr>
              <w:pStyle w:val="tabletext"/>
              <w:rPr>
                <w:lang w:eastAsia="en-US"/>
              </w:rPr>
            </w:pPr>
            <w:r w:rsidRPr="00AA3F3D">
              <w:rPr>
                <w:lang w:eastAsia="en-US"/>
              </w:rPr>
              <w:t>No equivalent.</w:t>
            </w:r>
          </w:p>
        </w:tc>
      </w:tr>
      <w:tr w:rsidR="00BF648F" w:rsidRPr="004666B8" w14:paraId="3BE7B3C0" w14:textId="77777777" w:rsidTr="00F83D6E">
        <w:tc>
          <w:tcPr>
            <w:tcW w:w="3275" w:type="dxa"/>
          </w:tcPr>
          <w:p w14:paraId="375C79AD" w14:textId="5AEE2BA0" w:rsidR="00BF648F" w:rsidRDefault="00CE00F8" w:rsidP="00CE00F8">
            <w:pPr>
              <w:pStyle w:val="tabletext"/>
              <w:rPr>
                <w:lang w:eastAsia="en-US"/>
              </w:rPr>
            </w:pPr>
            <w:r>
              <w:t>Offering securities in a CCIV that does not exist, or offering securities in a CCIV that are referable to a sub-fund of the CCIV that is not yet established, is prohibited.</w:t>
            </w:r>
          </w:p>
        </w:tc>
        <w:tc>
          <w:tcPr>
            <w:tcW w:w="3276" w:type="dxa"/>
          </w:tcPr>
          <w:p w14:paraId="71B4B098" w14:textId="0C0C9586" w:rsidR="00BF648F" w:rsidRPr="00AA3F3D" w:rsidRDefault="00CE00F8" w:rsidP="00676223">
            <w:pPr>
              <w:pStyle w:val="tabletext"/>
              <w:rPr>
                <w:lang w:eastAsia="en-US"/>
              </w:rPr>
            </w:pPr>
            <w:r>
              <w:rPr>
                <w:lang w:eastAsia="en-US"/>
              </w:rPr>
              <w:t>No equivalent.</w:t>
            </w:r>
          </w:p>
        </w:tc>
      </w:tr>
    </w:tbl>
    <w:p w14:paraId="33564B2B" w14:textId="77777777" w:rsidR="00676223" w:rsidRDefault="00676223" w:rsidP="00B17774">
      <w:pPr>
        <w:pStyle w:val="Heading2"/>
      </w:pPr>
      <w:r>
        <w:t>Detailed explanation of new law</w:t>
      </w:r>
    </w:p>
    <w:p w14:paraId="76B4339A" w14:textId="2569FE24" w:rsidR="009A342E" w:rsidRPr="009A342E" w:rsidRDefault="009A342E" w:rsidP="009A342E">
      <w:pPr>
        <w:pStyle w:val="Heading3"/>
      </w:pPr>
      <w:r>
        <w:t>Takeovers, compulsory acquisitions and buy-outs</w:t>
      </w:r>
    </w:p>
    <w:p w14:paraId="29B0BDEC" w14:textId="1F942416" w:rsidR="008A7A10" w:rsidRDefault="008A7A10" w:rsidP="00676223">
      <w:pPr>
        <w:pStyle w:val="base-text-paragraph"/>
        <w:numPr>
          <w:ilvl w:val="1"/>
          <w:numId w:val="53"/>
        </w:numPr>
      </w:pPr>
      <w:r w:rsidRPr="008F726E" w:rsidDel="008A7A10">
        <w:t xml:space="preserve"> </w:t>
      </w:r>
      <w:r>
        <w:t>The prohibitions on certain acquisitions of a relevant interest in the voting shares of a company</w:t>
      </w:r>
      <w:r w:rsidR="00473C5A">
        <w:t>,</w:t>
      </w:r>
      <w:r>
        <w:t xml:space="preserve"> set out in section 606 of the existing law</w:t>
      </w:r>
      <w:r w:rsidR="00473C5A">
        <w:t>,</w:t>
      </w:r>
      <w:r>
        <w:t xml:space="preserve"> do not apply to the acquisition of a relevant interest in a CCIV (including the acquisition of a legal or equitable interest </w:t>
      </w:r>
      <w:r w:rsidR="00473C5A">
        <w:t>in securities of</w:t>
      </w:r>
      <w:r>
        <w:t xml:space="preserve"> a CCIV). </w:t>
      </w:r>
      <w:r w:rsidR="000D6096" w:rsidRPr="000D6096">
        <w:rPr>
          <w:rStyle w:val="Referencingstyle"/>
        </w:rPr>
        <w:t xml:space="preserve">[Schedule 4, item </w:t>
      </w:r>
      <w:r w:rsidR="000D6096">
        <w:rPr>
          <w:rStyle w:val="Referencingstyle"/>
        </w:rPr>
        <w:t>2</w:t>
      </w:r>
      <w:r w:rsidRPr="00F83D6E">
        <w:rPr>
          <w:rStyle w:val="Referencingstyle"/>
        </w:rPr>
        <w:t>, subsection 14-005(1)</w:t>
      </w:r>
      <w:r w:rsidR="00460FC0">
        <w:rPr>
          <w:rStyle w:val="Referencingstyle"/>
        </w:rPr>
        <w:t xml:space="preserve">; item 5, note after heading </w:t>
      </w:r>
      <w:r w:rsidR="000204FB">
        <w:rPr>
          <w:rStyle w:val="Referencingstyle"/>
        </w:rPr>
        <w:t>‘</w:t>
      </w:r>
      <w:r w:rsidR="00460FC0">
        <w:rPr>
          <w:rStyle w:val="Referencingstyle"/>
        </w:rPr>
        <w:t>Chapter 6</w:t>
      </w:r>
      <w:r w:rsidR="000204FB">
        <w:rPr>
          <w:rStyle w:val="Referencingstyle"/>
        </w:rPr>
        <w:t>’</w:t>
      </w:r>
      <w:r w:rsidRPr="00F83D6E">
        <w:rPr>
          <w:rStyle w:val="Referencingstyle"/>
        </w:rPr>
        <w:t>]</w:t>
      </w:r>
    </w:p>
    <w:p w14:paraId="4977DD99" w14:textId="32248443" w:rsidR="00C979A2" w:rsidRDefault="00C608BC" w:rsidP="00676223">
      <w:pPr>
        <w:pStyle w:val="base-text-paragraph"/>
        <w:numPr>
          <w:ilvl w:val="1"/>
          <w:numId w:val="53"/>
        </w:numPr>
      </w:pPr>
      <w:r>
        <w:t>This means that neither the person seeking to acquire a relevant interest in a CCIV, nor the CCIV itself, is required to follow the procedural rul</w:t>
      </w:r>
      <w:r w:rsidR="008A7A10">
        <w:t>es and obligations in Chapter 6</w:t>
      </w:r>
      <w:r w:rsidR="00C979A2">
        <w:t xml:space="preserve"> relating to takeovers</w:t>
      </w:r>
      <w:r w:rsidR="008A7A10">
        <w:t xml:space="preserve"> </w:t>
      </w:r>
      <w:r w:rsidR="00C979A2">
        <w:t>(even if the proposed acquisition would have otherwise contravened the prohibitions in section 606)</w:t>
      </w:r>
      <w:r w:rsidR="008A7A10">
        <w:t>.</w:t>
      </w:r>
      <w:r w:rsidR="006670EB">
        <w:t xml:space="preserve"> This includes an off-market bid for </w:t>
      </w:r>
      <w:r w:rsidR="00473C5A">
        <w:t>securities</w:t>
      </w:r>
      <w:r w:rsidR="006670EB">
        <w:t xml:space="preserve"> in a CCIV. </w:t>
      </w:r>
      <w:r w:rsidR="006670EB" w:rsidRPr="00F83D6E">
        <w:rPr>
          <w:rStyle w:val="Referencingstyle"/>
        </w:rPr>
        <w:t>[Schedule 4, item 2, subsection 14</w:t>
      </w:r>
      <w:r w:rsidR="00B72450" w:rsidRPr="00B72450">
        <w:rPr>
          <w:rStyle w:val="Referencingstyle"/>
        </w:rPr>
        <w:t>-00</w:t>
      </w:r>
      <w:r w:rsidR="00B72450">
        <w:rPr>
          <w:rStyle w:val="Referencingstyle"/>
        </w:rPr>
        <w:t>5</w:t>
      </w:r>
      <w:r w:rsidR="002A3698" w:rsidRPr="002A3698">
        <w:rPr>
          <w:rStyle w:val="Referencingstyle"/>
        </w:rPr>
        <w:t>(</w:t>
      </w:r>
      <w:r w:rsidR="002A3698">
        <w:rPr>
          <w:rStyle w:val="Referencingstyle"/>
        </w:rPr>
        <w:t>3</w:t>
      </w:r>
      <w:r w:rsidR="006670EB" w:rsidRPr="00F83D6E">
        <w:rPr>
          <w:rStyle w:val="Referencingstyle"/>
        </w:rPr>
        <w:t>)</w:t>
      </w:r>
      <w:r w:rsidR="00460FC0">
        <w:rPr>
          <w:rStyle w:val="Referencingstyle"/>
        </w:rPr>
        <w:t xml:space="preserve">; item 10, note after heading </w:t>
      </w:r>
      <w:r w:rsidR="000204FB">
        <w:rPr>
          <w:rStyle w:val="Referencingstyle"/>
        </w:rPr>
        <w:t>‘</w:t>
      </w:r>
      <w:r w:rsidR="00460FC0">
        <w:rPr>
          <w:rStyle w:val="Referencingstyle"/>
        </w:rPr>
        <w:t>Chapter 6B</w:t>
      </w:r>
      <w:r w:rsidR="000204FB">
        <w:rPr>
          <w:rStyle w:val="Referencingstyle"/>
        </w:rPr>
        <w:t>’</w:t>
      </w:r>
      <w:r w:rsidR="006670EB" w:rsidRPr="00F83D6E">
        <w:rPr>
          <w:rStyle w:val="Referencingstyle"/>
        </w:rPr>
        <w:t>]</w:t>
      </w:r>
      <w:r w:rsidR="008A7A10" w:rsidRPr="00F83D6E">
        <w:rPr>
          <w:rStyle w:val="Referencingstyle"/>
        </w:rPr>
        <w:t xml:space="preserve"> </w:t>
      </w:r>
    </w:p>
    <w:p w14:paraId="757746C7" w14:textId="09EA9BB8" w:rsidR="00E2171E" w:rsidRDefault="00B72450" w:rsidP="00E2171E">
      <w:pPr>
        <w:pStyle w:val="base-text-paragraph"/>
        <w:numPr>
          <w:ilvl w:val="1"/>
          <w:numId w:val="53"/>
        </w:numPr>
      </w:pPr>
      <w:r>
        <w:t>I</w:t>
      </w:r>
      <w:r w:rsidR="00E2171E">
        <w:t>n the event of a takeover of a CCIV, the</w:t>
      </w:r>
      <w:r w:rsidR="00E35517">
        <w:t xml:space="preserve"> rules in Chapter 6A that require the</w:t>
      </w:r>
      <w:r w:rsidR="00E2171E">
        <w:t xml:space="preserve"> bidder to compulsorily acquire or buy</w:t>
      </w:r>
      <w:r w:rsidR="002D031B">
        <w:t>-</w:t>
      </w:r>
      <w:r w:rsidR="00E2171E">
        <w:t xml:space="preserve">out certain securities in the target </w:t>
      </w:r>
      <w:r w:rsidR="00E35517">
        <w:t>company</w:t>
      </w:r>
      <w:r w:rsidR="00E2171E">
        <w:t xml:space="preserve"> </w:t>
      </w:r>
      <w:r w:rsidR="00B42A9B">
        <w:t xml:space="preserve">also </w:t>
      </w:r>
      <w:r w:rsidR="00E2171E">
        <w:t>do not apply</w:t>
      </w:r>
      <w:r w:rsidR="00E35517">
        <w:t xml:space="preserve"> to a target CCIV</w:t>
      </w:r>
      <w:r w:rsidR="00E2171E">
        <w:t xml:space="preserve">. </w:t>
      </w:r>
      <w:r w:rsidR="00E2171E" w:rsidRPr="00F83D6E">
        <w:rPr>
          <w:rStyle w:val="Referencingstyle"/>
        </w:rPr>
        <w:t>[Schedule 4, item 2, section 14-015</w:t>
      </w:r>
      <w:r w:rsidR="00460FC0">
        <w:rPr>
          <w:rStyle w:val="Referencingstyle"/>
        </w:rPr>
        <w:t>; items 8 and 9, section 660A, note 2</w:t>
      </w:r>
      <w:r w:rsidR="00E2171E" w:rsidRPr="00F83D6E">
        <w:rPr>
          <w:rStyle w:val="Referencingstyle"/>
        </w:rPr>
        <w:t>]</w:t>
      </w:r>
    </w:p>
    <w:p w14:paraId="7D5E408B" w14:textId="145D132E" w:rsidR="00C5114B" w:rsidRDefault="00B72450" w:rsidP="00E2171E">
      <w:pPr>
        <w:pStyle w:val="base-text-paragraph"/>
        <w:numPr>
          <w:ilvl w:val="1"/>
          <w:numId w:val="53"/>
        </w:numPr>
      </w:pPr>
      <w:r>
        <w:t>Similarly, the rules in Chapter 6B (regarding rights and liabilities in relation to Chapter 6 and 6A matters) do not apply to acquisitions of a relevant interest in a CCIV</w:t>
      </w:r>
      <w:r w:rsidR="002A3698">
        <w:t xml:space="preserve"> (including off-market bids for </w:t>
      </w:r>
      <w:r w:rsidR="00473C5A">
        <w:t>securities of</w:t>
      </w:r>
      <w:r w:rsidR="002A3698">
        <w:t xml:space="preserve"> a CCIV)</w:t>
      </w:r>
      <w:r>
        <w:t>.</w:t>
      </w:r>
      <w:r w:rsidR="00C3171D">
        <w:t xml:space="preserve"> </w:t>
      </w:r>
    </w:p>
    <w:p w14:paraId="1021735B" w14:textId="5AE80409" w:rsidR="00E35517" w:rsidRDefault="00C3171D" w:rsidP="00E2171E">
      <w:pPr>
        <w:pStyle w:val="base-text-paragraph"/>
        <w:numPr>
          <w:ilvl w:val="1"/>
          <w:numId w:val="53"/>
        </w:numPr>
      </w:pPr>
      <w:r>
        <w:t>The rules in</w:t>
      </w:r>
      <w:r w:rsidR="00C5114B">
        <w:t xml:space="preserve"> Chapter 6C (regarding information about ownership in listed companies and managed investment schemes) also do not apply to CCIVs because a CCIV will be prohibited from being listed on a prescribed financial market (see paragraph 1.21 of the Tranche 1 Explanatory Materials).</w:t>
      </w:r>
      <w:r>
        <w:t xml:space="preserve"> </w:t>
      </w:r>
    </w:p>
    <w:p w14:paraId="0E80A5FF" w14:textId="2711B443" w:rsidR="002A3698" w:rsidRDefault="002A3698" w:rsidP="00E2171E">
      <w:pPr>
        <w:pStyle w:val="base-text-paragraph"/>
        <w:numPr>
          <w:ilvl w:val="1"/>
          <w:numId w:val="53"/>
        </w:numPr>
      </w:pPr>
      <w:r>
        <w:t>The Takeover</w:t>
      </w:r>
      <w:r w:rsidR="003D4C4C">
        <w:t>s</w:t>
      </w:r>
      <w:r>
        <w:t xml:space="preserve"> Panel’s jurisdiction to declare circumstances in relation to the affairs of a company to be unacceptable circumstances do</w:t>
      </w:r>
      <w:r w:rsidR="00633E0C">
        <w:t>es</w:t>
      </w:r>
      <w:r>
        <w:t xml:space="preserve"> not apply in relation to the affairs of a CCIV. This means that the Takeovers Panel </w:t>
      </w:r>
      <w:r w:rsidR="00633E0C">
        <w:t xml:space="preserve">does </w:t>
      </w:r>
      <w:r>
        <w:t xml:space="preserve">not have power to intervene in the affairs of a CCIV, including in relation to </w:t>
      </w:r>
      <w:r w:rsidR="003D4C4C">
        <w:t>a</w:t>
      </w:r>
      <w:r>
        <w:t xml:space="preserve"> takeover of a CCIV.</w:t>
      </w:r>
      <w:r w:rsidR="00CF2078">
        <w:t xml:space="preserve"> </w:t>
      </w:r>
      <w:r w:rsidR="00CF2078" w:rsidRPr="00F83D6E">
        <w:rPr>
          <w:rStyle w:val="Referencingstyle"/>
        </w:rPr>
        <w:t>[Schedule 4, item 2, section 14-010]</w:t>
      </w:r>
    </w:p>
    <w:p w14:paraId="582C3212" w14:textId="05BC2777" w:rsidR="006670EB" w:rsidRDefault="006670EB" w:rsidP="00E2171E">
      <w:pPr>
        <w:pStyle w:val="base-text-paragraph"/>
        <w:numPr>
          <w:ilvl w:val="1"/>
          <w:numId w:val="53"/>
        </w:numPr>
      </w:pPr>
      <w:r>
        <w:t>The fact that the rules relating to takeovers, compulsory acquisitions and buy-outs</w:t>
      </w:r>
      <w:r w:rsidR="00E35517">
        <w:t xml:space="preserve"> in Chapters 6 to 6B</w:t>
      </w:r>
      <w:r>
        <w:t xml:space="preserve"> do not apply to the acquisition of interests in a CCIV does not exempt CCIVs from </w:t>
      </w:r>
      <w:r w:rsidR="003D4C4C">
        <w:t>complying</w:t>
      </w:r>
      <w:r>
        <w:t xml:space="preserve"> with these rules when it is proposing to acquire interests in another entity</w:t>
      </w:r>
      <w:r w:rsidR="00E35517">
        <w:t xml:space="preserve"> </w:t>
      </w:r>
      <w:r w:rsidR="00C3171D">
        <w:t xml:space="preserve">that is subject to these rules </w:t>
      </w:r>
      <w:r w:rsidR="00E35517">
        <w:t>(that is, when the CCIV itself is the bidder in a takeover process)</w:t>
      </w:r>
      <w:r>
        <w:t xml:space="preserve">. In particular, nothing prevents an offer for securities in a CCIV from constituting an off-market bid in another target entity. </w:t>
      </w:r>
      <w:r w:rsidRPr="00F83D6E">
        <w:rPr>
          <w:rStyle w:val="Referencingstyle"/>
        </w:rPr>
        <w:t>[Schedule 4, item 2, subsection 14-005(2)</w:t>
      </w:r>
      <w:r w:rsidR="00460FC0">
        <w:rPr>
          <w:rStyle w:val="Referencingstyle"/>
        </w:rPr>
        <w:t>; items</w:t>
      </w:r>
      <w:r w:rsidR="00285D81">
        <w:rPr>
          <w:rStyle w:val="Referencingstyle"/>
        </w:rPr>
        <w:t xml:space="preserve"> 6 and </w:t>
      </w:r>
      <w:r w:rsidR="00460FC0">
        <w:rPr>
          <w:rStyle w:val="Referencingstyle"/>
        </w:rPr>
        <w:t>7, subsection 616(1), note 2</w:t>
      </w:r>
      <w:r w:rsidRPr="00F83D6E">
        <w:rPr>
          <w:rStyle w:val="Referencingstyle"/>
        </w:rPr>
        <w:t>]</w:t>
      </w:r>
      <w:r>
        <w:t xml:space="preserve">  </w:t>
      </w:r>
    </w:p>
    <w:p w14:paraId="7CA06301" w14:textId="3B8549D1" w:rsidR="00C608BC" w:rsidRDefault="00C608BC" w:rsidP="00C608BC">
      <w:pPr>
        <w:pStyle w:val="base-text-paragraph"/>
        <w:numPr>
          <w:ilvl w:val="1"/>
          <w:numId w:val="53"/>
        </w:numPr>
      </w:pPr>
      <w:r>
        <w:t xml:space="preserve">For the purposes of Part 8B.14, the term ‘securities’ has the same meaning as it has in Chapters 6 to 6CA of the Act. </w:t>
      </w:r>
      <w:r w:rsidRPr="002358C2">
        <w:rPr>
          <w:rStyle w:val="Referencingstyle"/>
        </w:rPr>
        <w:t>[Schedule 4, item 1, section 14-000]</w:t>
      </w:r>
    </w:p>
    <w:p w14:paraId="31B2FF65" w14:textId="39DBFC70" w:rsidR="009A342E" w:rsidRDefault="009A342E" w:rsidP="00E954C0">
      <w:pPr>
        <w:pStyle w:val="Heading3"/>
        <w:spacing w:before="120" w:after="120"/>
      </w:pPr>
      <w:r>
        <w:t>Continuous disclosure</w:t>
      </w:r>
    </w:p>
    <w:p w14:paraId="347FD841" w14:textId="70171BE7" w:rsidR="00A0313D" w:rsidRDefault="00A0313D" w:rsidP="00F83D6E">
      <w:pPr>
        <w:pStyle w:val="base-text-paragraph"/>
      </w:pPr>
      <w:r>
        <w:t xml:space="preserve">If a CCIV is a disclosing entity, then it must comply with the continuous disclosure requirements in section 675 of the </w:t>
      </w:r>
      <w:r w:rsidR="003D4C4C">
        <w:t>Act</w:t>
      </w:r>
      <w:r>
        <w:t xml:space="preserve"> in the same way </w:t>
      </w:r>
      <w:r w:rsidR="00061D4B">
        <w:t xml:space="preserve">as a disclosing </w:t>
      </w:r>
      <w:r>
        <w:t xml:space="preserve">entity </w:t>
      </w:r>
      <w:r w:rsidR="00061D4B">
        <w:t>whose</w:t>
      </w:r>
      <w:r w:rsidR="00A4653E">
        <w:t xml:space="preserve"> interests</w:t>
      </w:r>
      <w:r w:rsidR="00061D4B">
        <w:t xml:space="preserve"> are</w:t>
      </w:r>
      <w:r>
        <w:t xml:space="preserve"> managed investment products. This is </w:t>
      </w:r>
      <w:r w:rsidR="00061D4B">
        <w:t>because</w:t>
      </w:r>
      <w:r>
        <w:t xml:space="preserve"> securities in a CCIV are generally subject to the same disclosure requirements as managed investment products (in particular, the PDS disclosure regime). </w:t>
      </w:r>
      <w:r w:rsidRPr="00F83D6E">
        <w:rPr>
          <w:rStyle w:val="Referencingstyle"/>
        </w:rPr>
        <w:t>[Schedule 4, item 2, section 15-000</w:t>
      </w:r>
      <w:r w:rsidR="00B7070F">
        <w:rPr>
          <w:rStyle w:val="Referencingstyle"/>
        </w:rPr>
        <w:t>; item 12, subsection 675(2)</w:t>
      </w:r>
      <w:r w:rsidRPr="00F83D6E">
        <w:rPr>
          <w:rStyle w:val="Referencingstyle"/>
        </w:rPr>
        <w:t>]</w:t>
      </w:r>
    </w:p>
    <w:p w14:paraId="2F7C82CB" w14:textId="419665A1" w:rsidR="00A0313D" w:rsidRPr="00A0313D" w:rsidRDefault="006F3475" w:rsidP="00F83D6E">
      <w:pPr>
        <w:pStyle w:val="base-text-paragraph"/>
      </w:pPr>
      <w:r>
        <w:t xml:space="preserve">Consequential amendments have been made to the definition of ‘ED Securities’ and the requirements relating to debentures to reflect the fact that securities in a CCIV are subject to the PDS disclosure regime. </w:t>
      </w:r>
      <w:r w:rsidRPr="002358C2">
        <w:rPr>
          <w:rStyle w:val="Referencingstyle"/>
        </w:rPr>
        <w:t>[Schedule 4,</w:t>
      </w:r>
      <w:r w:rsidR="00B7070F">
        <w:rPr>
          <w:rStyle w:val="Referencingstyle"/>
        </w:rPr>
        <w:t>item 1, section 1247A;</w:t>
      </w:r>
      <w:r w:rsidRPr="002358C2">
        <w:rPr>
          <w:rStyle w:val="Referencingstyle"/>
        </w:rPr>
        <w:t xml:space="preserve"> item 4</w:t>
      </w:r>
      <w:r>
        <w:rPr>
          <w:rStyle w:val="Referencingstyle"/>
        </w:rPr>
        <w:t>, subsection 111AF(3)]</w:t>
      </w:r>
      <w:r w:rsidR="00A0313D">
        <w:t xml:space="preserve"> </w:t>
      </w:r>
    </w:p>
    <w:p w14:paraId="7EB472D2" w14:textId="1266C0CF" w:rsidR="007D35EA" w:rsidRDefault="007D35EA" w:rsidP="00E954C0">
      <w:pPr>
        <w:pStyle w:val="Heading3"/>
        <w:spacing w:before="120" w:after="120"/>
      </w:pPr>
      <w:r>
        <w:t>Fundraising</w:t>
      </w:r>
    </w:p>
    <w:p w14:paraId="1712D6F3" w14:textId="5D0D9265" w:rsidR="009A342E" w:rsidRDefault="009A342E" w:rsidP="006B7942">
      <w:pPr>
        <w:pStyle w:val="Heading4"/>
      </w:pPr>
      <w:r>
        <w:t>Disclosure requirements for offers of securities in a CCIV</w:t>
      </w:r>
    </w:p>
    <w:p w14:paraId="4AB073B5" w14:textId="6B0C994C" w:rsidR="00EE4A49" w:rsidRDefault="006F3475" w:rsidP="00EE4A49">
      <w:pPr>
        <w:pStyle w:val="base-text-paragraph"/>
      </w:pPr>
      <w:r>
        <w:t xml:space="preserve">CCIVs </w:t>
      </w:r>
      <w:r w:rsidR="007D35EA">
        <w:t xml:space="preserve">are not subject to the disclosure requirements under Chapter 6D of the Act. Instead, </w:t>
      </w:r>
      <w:r>
        <w:t xml:space="preserve">CCIVs are subject to the </w:t>
      </w:r>
      <w:r w:rsidR="007D35EA">
        <w:t xml:space="preserve">PDS </w:t>
      </w:r>
      <w:r>
        <w:t>disclosure regime under</w:t>
      </w:r>
      <w:r w:rsidR="007D35EA">
        <w:t xml:space="preserve"> Part 7.9 of the Act, as modified by Part 8B.17 of the </w:t>
      </w:r>
      <w:r w:rsidR="00633E0C">
        <w:t xml:space="preserve">Tranche 2 Exposure </w:t>
      </w:r>
      <w:r w:rsidR="007D35EA">
        <w:t xml:space="preserve">Bill. </w:t>
      </w:r>
      <w:r w:rsidR="007D35EA" w:rsidRPr="00AA3F3D">
        <w:rPr>
          <w:rStyle w:val="Referencingstyle"/>
        </w:rPr>
        <w:t xml:space="preserve">[Schedule </w:t>
      </w:r>
      <w:r>
        <w:rPr>
          <w:rStyle w:val="Referencingstyle"/>
        </w:rPr>
        <w:t>4</w:t>
      </w:r>
      <w:r w:rsidR="007D35EA" w:rsidRPr="00AA3F3D">
        <w:rPr>
          <w:rStyle w:val="Referencingstyle"/>
        </w:rPr>
        <w:t xml:space="preserve">, item </w:t>
      </w:r>
      <w:r>
        <w:rPr>
          <w:rStyle w:val="Referencingstyle"/>
        </w:rPr>
        <w:t>2</w:t>
      </w:r>
      <w:r w:rsidR="007D35EA" w:rsidRPr="00AA3F3D">
        <w:rPr>
          <w:rStyle w:val="Referencingstyle"/>
        </w:rPr>
        <w:t xml:space="preserve">, section </w:t>
      </w:r>
      <w:r w:rsidR="008922FE">
        <w:rPr>
          <w:rStyle w:val="Referencingstyle"/>
        </w:rPr>
        <w:t>16-000</w:t>
      </w:r>
      <w:r w:rsidR="00FB2557" w:rsidRPr="00AA3F3D">
        <w:rPr>
          <w:rStyle w:val="Referencingstyle"/>
        </w:rPr>
        <w:t xml:space="preserve">; item </w:t>
      </w:r>
      <w:r>
        <w:rPr>
          <w:rStyle w:val="Referencingstyle"/>
        </w:rPr>
        <w:t>3</w:t>
      </w:r>
      <w:r w:rsidR="00FB2557" w:rsidRPr="00AA3F3D">
        <w:rPr>
          <w:rStyle w:val="Referencingstyle"/>
        </w:rPr>
        <w:t xml:space="preserve">, </w:t>
      </w:r>
      <w:r w:rsidR="001A52BF">
        <w:rPr>
          <w:rStyle w:val="Referencingstyle"/>
        </w:rPr>
        <w:t xml:space="preserve">note to </w:t>
      </w:r>
      <w:r w:rsidR="00FB2557" w:rsidRPr="00AA3F3D">
        <w:rPr>
          <w:rStyle w:val="Referencingstyle"/>
        </w:rPr>
        <w:t>subsection 92(4)</w:t>
      </w:r>
      <w:r w:rsidR="00B7070F">
        <w:rPr>
          <w:rStyle w:val="Referencingstyle"/>
        </w:rPr>
        <w:t>; item 13, note to subsection 700(1)</w:t>
      </w:r>
      <w:r w:rsidR="007D35EA" w:rsidRPr="00AA3F3D">
        <w:rPr>
          <w:rStyle w:val="Referencingstyle"/>
        </w:rPr>
        <w:t>]</w:t>
      </w:r>
    </w:p>
    <w:p w14:paraId="0AFF8232" w14:textId="6DEDAC1B" w:rsidR="007D35EA" w:rsidRDefault="007D35EA" w:rsidP="006B7942">
      <w:pPr>
        <w:pStyle w:val="Heading4"/>
      </w:pPr>
      <w:r>
        <w:t xml:space="preserve">Offering securities in a CCIV </w:t>
      </w:r>
      <w:r w:rsidR="006F3475">
        <w:t xml:space="preserve">that does not exist, </w:t>
      </w:r>
      <w:r>
        <w:t>or</w:t>
      </w:r>
      <w:r w:rsidR="006F3475">
        <w:t xml:space="preserve"> referable to a</w:t>
      </w:r>
      <w:r>
        <w:t xml:space="preserve"> sub-fund that </w:t>
      </w:r>
      <w:r w:rsidR="006F3475">
        <w:t>is not established</w:t>
      </w:r>
    </w:p>
    <w:p w14:paraId="7562601D" w14:textId="515C06FE" w:rsidR="007D35EA" w:rsidRDefault="007D35EA" w:rsidP="007D35EA">
      <w:pPr>
        <w:pStyle w:val="base-text-paragraph"/>
      </w:pPr>
      <w:r>
        <w:t xml:space="preserve">A person must not offer securities in a CCIV that does not exist, or securities that are referable to a sub-fund that is not </w:t>
      </w:r>
      <w:r w:rsidR="006F3475">
        <w:t>established, if the offer would give rise to an obligation to give a PDS</w:t>
      </w:r>
      <w:r>
        <w:t>.</w:t>
      </w:r>
      <w:r w:rsidR="005B6A44">
        <w:t xml:space="preserve"> This is the case even if the person is proposing to incorporate the CCIV or register the sub-fund</w:t>
      </w:r>
      <w:r>
        <w:t xml:space="preserve">. </w:t>
      </w:r>
      <w:r w:rsidRPr="00AA3F3D">
        <w:rPr>
          <w:rStyle w:val="Referencingstyle"/>
        </w:rPr>
        <w:t xml:space="preserve">[Schedule </w:t>
      </w:r>
      <w:r w:rsidR="00B1553B">
        <w:rPr>
          <w:rStyle w:val="Referencingstyle"/>
        </w:rPr>
        <w:t>4</w:t>
      </w:r>
      <w:r w:rsidRPr="00AA3F3D">
        <w:rPr>
          <w:rStyle w:val="Referencingstyle"/>
        </w:rPr>
        <w:t xml:space="preserve">, item </w:t>
      </w:r>
      <w:r w:rsidR="00B1553B">
        <w:rPr>
          <w:rStyle w:val="Referencingstyle"/>
        </w:rPr>
        <w:t>2,</w:t>
      </w:r>
      <w:r w:rsidRPr="00AA3F3D">
        <w:rPr>
          <w:rStyle w:val="Referencingstyle"/>
        </w:rPr>
        <w:t xml:space="preserve"> </w:t>
      </w:r>
      <w:r w:rsidR="00B1553B">
        <w:rPr>
          <w:rStyle w:val="Referencingstyle"/>
        </w:rPr>
        <w:t>s</w:t>
      </w:r>
      <w:r w:rsidRPr="00AA3F3D">
        <w:rPr>
          <w:rStyle w:val="Referencingstyle"/>
        </w:rPr>
        <w:t xml:space="preserve">ubsections </w:t>
      </w:r>
      <w:r w:rsidR="00B44361">
        <w:rPr>
          <w:rStyle w:val="Referencingstyle"/>
        </w:rPr>
        <w:t>16-005</w:t>
      </w:r>
      <w:r w:rsidR="005B6A44" w:rsidRPr="00AA3F3D">
        <w:rPr>
          <w:rStyle w:val="Referencingstyle"/>
        </w:rPr>
        <w:t>(1)</w:t>
      </w:r>
      <w:r w:rsidR="00B1553B">
        <w:rPr>
          <w:rStyle w:val="Referencingstyle"/>
        </w:rPr>
        <w:t xml:space="preserve"> to </w:t>
      </w:r>
      <w:r w:rsidR="005B6A44" w:rsidRPr="00AA3F3D">
        <w:rPr>
          <w:rStyle w:val="Referencingstyle"/>
        </w:rPr>
        <w:t>(3)</w:t>
      </w:r>
      <w:r w:rsidRPr="00AA3F3D">
        <w:rPr>
          <w:rStyle w:val="Referencingstyle"/>
        </w:rPr>
        <w:t>]</w:t>
      </w:r>
    </w:p>
    <w:p w14:paraId="62784EB2" w14:textId="6D3D25DC" w:rsidR="007178A2" w:rsidRPr="007178A2" w:rsidRDefault="006F3475" w:rsidP="00AD3BBE">
      <w:pPr>
        <w:pStyle w:val="base-text-paragraph"/>
        <w:rPr>
          <w:rStyle w:val="Referencingstyle"/>
          <w:b w:val="0"/>
          <w:i w:val="0"/>
          <w:sz w:val="22"/>
        </w:rPr>
      </w:pPr>
      <w:r>
        <w:t xml:space="preserve">For the purposes of this </w:t>
      </w:r>
      <w:r w:rsidR="007178A2">
        <w:t>new prohibition, t</w:t>
      </w:r>
      <w:r>
        <w:t>he term ‘securities’ has the same meaning as in Chapter 6D</w:t>
      </w:r>
      <w:r w:rsidR="007178A2">
        <w:t>.</w:t>
      </w:r>
      <w:r w:rsidR="003F1798">
        <w:t xml:space="preserve"> </w:t>
      </w:r>
      <w:r w:rsidR="00F00DE3">
        <w:t>The provisions further clarify that</w:t>
      </w:r>
      <w:r w:rsidR="003F1798">
        <w:t xml:space="preserve"> a legal or equitable </w:t>
      </w:r>
      <w:r w:rsidR="009C1DD4">
        <w:t>right or</w:t>
      </w:r>
      <w:r w:rsidR="003F1798">
        <w:t xml:space="preserve"> interest in a security</w:t>
      </w:r>
      <w:r w:rsidR="00F00DE3">
        <w:t>,</w:t>
      </w:r>
      <w:r w:rsidR="003F1798">
        <w:t xml:space="preserve"> or an option to acquire by way of issue</w:t>
      </w:r>
      <w:r w:rsidR="009C1DD4">
        <w:t xml:space="preserve"> a security</w:t>
      </w:r>
      <w:r w:rsidR="00F00DE3">
        <w:t>,</w:t>
      </w:r>
      <w:r w:rsidR="009C1DD4">
        <w:t xml:space="preserve"> is referable to a sub-fund if the security itself is referable to the sub-fund.</w:t>
      </w:r>
      <w:r w:rsidR="007178A2">
        <w:t xml:space="preserve"> </w:t>
      </w:r>
      <w:r w:rsidR="007178A2" w:rsidRPr="00F83D6E">
        <w:rPr>
          <w:rStyle w:val="Referencingstyle"/>
        </w:rPr>
        <w:t>[Schedule 4, item 2, subsection</w:t>
      </w:r>
      <w:r w:rsidR="009C1DD4">
        <w:rPr>
          <w:rStyle w:val="Referencingstyle"/>
        </w:rPr>
        <w:t>s</w:t>
      </w:r>
      <w:r w:rsidR="007178A2" w:rsidRPr="00F83D6E">
        <w:rPr>
          <w:rStyle w:val="Referencingstyle"/>
        </w:rPr>
        <w:t xml:space="preserve"> 16-005(4)</w:t>
      </w:r>
      <w:r w:rsidR="009C1DD4">
        <w:rPr>
          <w:rStyle w:val="Referencingstyle"/>
        </w:rPr>
        <w:t xml:space="preserve"> and (5)</w:t>
      </w:r>
      <w:r w:rsidR="007178A2" w:rsidRPr="00F83D6E">
        <w:rPr>
          <w:rStyle w:val="Referencingstyle"/>
        </w:rPr>
        <w:t>]</w:t>
      </w:r>
    </w:p>
    <w:p w14:paraId="444AEC6C" w14:textId="77777777" w:rsidR="00E954C0" w:rsidRDefault="007178A2" w:rsidP="00AD3BBE">
      <w:pPr>
        <w:pStyle w:val="base-text-paragraph"/>
        <w:rPr>
          <w:rStyle w:val="Referencingstyle"/>
        </w:rPr>
        <w:sectPr w:rsidR="00E954C0" w:rsidSect="00905701">
          <w:footerReference w:type="even" r:id="rId50"/>
          <w:footerReference w:type="default" r:id="rId51"/>
          <w:footerReference w:type="first" r:id="rId52"/>
          <w:type w:val="oddPage"/>
          <w:pgSz w:w="9979" w:h="14175" w:code="34"/>
          <w:pgMar w:top="567" w:right="1134" w:bottom="567" w:left="1134" w:header="709" w:footer="709" w:gutter="0"/>
          <w:cols w:space="708"/>
          <w:titlePg/>
          <w:docGrid w:linePitch="360"/>
        </w:sectPr>
      </w:pPr>
      <w:r>
        <w:t>Certain other provisions in Chapter 6D</w:t>
      </w:r>
      <w:r w:rsidR="00AE56E9">
        <w:t xml:space="preserve"> are </w:t>
      </w:r>
      <w:r w:rsidR="00F1759F">
        <w:t>extended</w:t>
      </w:r>
      <w:r w:rsidR="00AE56E9">
        <w:t xml:space="preserve"> to the new prohibition. These </w:t>
      </w:r>
      <w:r w:rsidR="00F1759F">
        <w:t xml:space="preserve">provisions </w:t>
      </w:r>
      <w:r w:rsidR="00AE56E9">
        <w:t xml:space="preserve">clarify such matters as the scope of </w:t>
      </w:r>
      <w:r w:rsidR="00F1759F">
        <w:t xml:space="preserve">offers that are caught by the prohibition (including geographical scope), who the offeror is, the treatment of offers of options over securities and limitations on contracting out of the prohibition. </w:t>
      </w:r>
      <w:r w:rsidRPr="00F83D6E">
        <w:rPr>
          <w:rStyle w:val="Referencingstyle"/>
        </w:rPr>
        <w:t xml:space="preserve">[Schedule 4, item 2, </w:t>
      </w:r>
      <w:r w:rsidR="003F1798" w:rsidRPr="00F83D6E">
        <w:rPr>
          <w:rStyle w:val="Referencingstyle"/>
        </w:rPr>
        <w:t>subsection 16-005(6)]</w:t>
      </w:r>
    </w:p>
    <w:p w14:paraId="1D49E001" w14:textId="0DF4D058" w:rsidR="00E954C0" w:rsidRPr="007C2B20" w:rsidRDefault="00E954C0" w:rsidP="00E954C0">
      <w:pPr>
        <w:pStyle w:val="ChapterHeading"/>
        <w:numPr>
          <w:ilvl w:val="0"/>
          <w:numId w:val="26"/>
        </w:numPr>
      </w:pPr>
      <w:bookmarkStart w:id="137" w:name="_Toc525049782"/>
      <w:bookmarkStart w:id="138" w:name="_Toc525051813"/>
      <w:bookmarkStart w:id="139" w:name="_Toc525140700"/>
      <w:bookmarkStart w:id="140" w:name="_Toc525219821"/>
      <w:bookmarkStart w:id="141" w:name="_Toc525226361"/>
      <w:bookmarkStart w:id="142" w:name="_Toc525894370"/>
      <w:bookmarkStart w:id="143" w:name="_Toc525898821"/>
      <w:bookmarkStart w:id="144" w:name="_Toc525898865"/>
      <w:r>
        <w:rPr>
          <w:rStyle w:val="ChapterNameOnly"/>
        </w:rPr>
        <w:br/>
      </w:r>
      <w:bookmarkStart w:id="145" w:name="_Ref526428906"/>
      <w:bookmarkStart w:id="146" w:name="_Ref526428932"/>
      <w:bookmarkStart w:id="147" w:name="_Ref526428937"/>
      <w:bookmarkStart w:id="148" w:name="_Ref526428944"/>
      <w:bookmarkStart w:id="149" w:name="_Ref526429793"/>
      <w:bookmarkStart w:id="150" w:name="_Ref526429816"/>
      <w:bookmarkStart w:id="151" w:name="_Toc526434104"/>
      <w:bookmarkStart w:id="152" w:name="_Toc526434632"/>
      <w:r>
        <w:rPr>
          <w:rStyle w:val="ChapterNameOnly"/>
        </w:rPr>
        <w:t>Asia Region Funds Passport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6234DEC" w14:textId="77777777" w:rsidR="00E954C0" w:rsidRDefault="00E954C0" w:rsidP="00E954C0">
      <w:pPr>
        <w:pStyle w:val="Heading2"/>
      </w:pPr>
      <w:r>
        <w:t>Outline of chapter</w:t>
      </w:r>
    </w:p>
    <w:p w14:paraId="03711C1F" w14:textId="77777777" w:rsidR="00E954C0" w:rsidRDefault="00E954C0" w:rsidP="00E954C0">
      <w:pPr>
        <w:numPr>
          <w:ilvl w:val="1"/>
          <w:numId w:val="26"/>
        </w:numPr>
      </w:pPr>
      <w:r>
        <w:t>This Chapter details the amendments that have been made to extend the Asia Region Funds Passport (ARFP) regime to CCIVs.</w:t>
      </w:r>
    </w:p>
    <w:p w14:paraId="25508C62" w14:textId="77777777" w:rsidR="00E954C0" w:rsidRDefault="00E954C0" w:rsidP="00E954C0">
      <w:pPr>
        <w:pStyle w:val="Heading2"/>
      </w:pPr>
      <w:r>
        <w:t>Context of amendments</w:t>
      </w:r>
    </w:p>
    <w:p w14:paraId="1E264B25" w14:textId="77777777" w:rsidR="00E954C0" w:rsidRDefault="00E954C0" w:rsidP="00E954C0">
      <w:pPr>
        <w:pStyle w:val="base-text-paragraph"/>
        <w:numPr>
          <w:ilvl w:val="1"/>
          <w:numId w:val="26"/>
        </w:numPr>
      </w:pPr>
      <w:r w:rsidRPr="00397BE3">
        <w:t xml:space="preserve">The </w:t>
      </w:r>
      <w:r>
        <w:t xml:space="preserve">ARFP Act </w:t>
      </w:r>
      <w:r w:rsidRPr="00397BE3">
        <w:t xml:space="preserve">provides a multilateral framework that allows eligible funds to be marketed across participating economies. The </w:t>
      </w:r>
      <w:r>
        <w:t>ARFP</w:t>
      </w:r>
      <w:r w:rsidRPr="00397BE3">
        <w:t xml:space="preserve"> allow</w:t>
      </w:r>
      <w:r>
        <w:t>s</w:t>
      </w:r>
      <w:r w:rsidRPr="00397BE3">
        <w:t xml:space="preserve"> certain fund providers from other participating economies (notified foreign passport funds) to sell their products in Australia. Australian passport funds </w:t>
      </w:r>
      <w:r>
        <w:t>may</w:t>
      </w:r>
      <w:r w:rsidRPr="00397BE3">
        <w:t xml:space="preserve"> also offer</w:t>
      </w:r>
      <w:r w:rsidRPr="00397BE3" w:rsidDel="0070213E">
        <w:t xml:space="preserve"> </w:t>
      </w:r>
      <w:r w:rsidRPr="00397BE3">
        <w:t>interests outside of Australia in other participating economies.</w:t>
      </w:r>
    </w:p>
    <w:p w14:paraId="3E1D7F1E" w14:textId="77777777" w:rsidR="00E954C0" w:rsidRDefault="00E954C0" w:rsidP="00E954C0">
      <w:pPr>
        <w:pStyle w:val="base-text-paragraph"/>
        <w:numPr>
          <w:ilvl w:val="1"/>
          <w:numId w:val="26"/>
        </w:numPr>
      </w:pPr>
      <w:r>
        <w:t>Currently, only</w:t>
      </w:r>
      <w:r w:rsidRPr="00397BE3">
        <w:t xml:space="preserve"> registered schemes </w:t>
      </w:r>
      <w:r>
        <w:t>may</w:t>
      </w:r>
      <w:r w:rsidRPr="00397BE3">
        <w:t xml:space="preserve"> become Australian passport funds. </w:t>
      </w:r>
      <w:r>
        <w:t>This is because r</w:t>
      </w:r>
      <w:r w:rsidRPr="00397BE3">
        <w:t xml:space="preserve">egistered schemes were the only type of </w:t>
      </w:r>
      <w:r>
        <w:t xml:space="preserve">regulated </w:t>
      </w:r>
      <w:r w:rsidRPr="00397BE3">
        <w:t xml:space="preserve">collective investment vehicle for retail investors at the time that the ARFP </w:t>
      </w:r>
      <w:r>
        <w:t>Act commenced</w:t>
      </w:r>
      <w:r w:rsidRPr="00397BE3">
        <w:t>. However, the Government’s intention has always been that</w:t>
      </w:r>
      <w:r>
        <w:t>,</w:t>
      </w:r>
      <w:r w:rsidRPr="00397BE3">
        <w:t xml:space="preserve"> once established, </w:t>
      </w:r>
      <w:r>
        <w:t>sub-funds of retail CCIVs</w:t>
      </w:r>
      <w:r w:rsidRPr="00397BE3">
        <w:t xml:space="preserve"> would also be permitted to become Australian passport funds.</w:t>
      </w:r>
    </w:p>
    <w:p w14:paraId="0CA26FFA" w14:textId="77777777" w:rsidR="00E954C0" w:rsidRDefault="00E954C0" w:rsidP="00E954C0">
      <w:pPr>
        <w:pStyle w:val="Heading2"/>
      </w:pPr>
      <w:r>
        <w:t>Summary of new law</w:t>
      </w:r>
    </w:p>
    <w:p w14:paraId="4EAE87A3" w14:textId="77777777" w:rsidR="00E954C0" w:rsidRDefault="00E954C0" w:rsidP="00E954C0">
      <w:pPr>
        <w:pStyle w:val="base-text-paragraph"/>
        <w:numPr>
          <w:ilvl w:val="1"/>
          <w:numId w:val="40"/>
        </w:numPr>
      </w:pPr>
      <w:r>
        <w:t xml:space="preserve">Amendments in Schedule 6 to the Bill allow a sub-fund of a retail CCIV to register as an Australian passport fund. Other minor amendments have also been made to extend the passport arrangements to sub-funds that become Australian passport funds. </w:t>
      </w:r>
    </w:p>
    <w:p w14:paraId="18964C70" w14:textId="77777777" w:rsidR="00E954C0" w:rsidRDefault="00E954C0" w:rsidP="009E51EA">
      <w:pPr>
        <w:pStyle w:val="Heading2with18pointafter"/>
        <w:spacing w:before="240" w:after="24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E954C0" w:rsidRPr="004666B8" w14:paraId="136646AB" w14:textId="77777777" w:rsidTr="009E51EA">
        <w:trPr>
          <w:tblHeader/>
        </w:trPr>
        <w:tc>
          <w:tcPr>
            <w:tcW w:w="3275" w:type="dxa"/>
          </w:tcPr>
          <w:p w14:paraId="58FF1E75" w14:textId="77777777" w:rsidR="00E954C0" w:rsidRPr="00AA3F3D" w:rsidRDefault="00E954C0" w:rsidP="00E954C0">
            <w:pPr>
              <w:pStyle w:val="tableheaderwithintable"/>
              <w:rPr>
                <w:lang w:eastAsia="en-US"/>
              </w:rPr>
            </w:pPr>
            <w:r w:rsidRPr="00AA3F3D">
              <w:rPr>
                <w:lang w:eastAsia="en-US"/>
              </w:rPr>
              <w:t>New law</w:t>
            </w:r>
          </w:p>
        </w:tc>
        <w:tc>
          <w:tcPr>
            <w:tcW w:w="3276" w:type="dxa"/>
          </w:tcPr>
          <w:p w14:paraId="4E404A11" w14:textId="77777777" w:rsidR="00E954C0" w:rsidRPr="00AA3F3D" w:rsidRDefault="00E954C0" w:rsidP="00E954C0">
            <w:pPr>
              <w:pStyle w:val="tableheaderwithintable"/>
              <w:rPr>
                <w:lang w:eastAsia="en-US"/>
              </w:rPr>
            </w:pPr>
            <w:r w:rsidRPr="00AA3F3D">
              <w:rPr>
                <w:lang w:eastAsia="en-US"/>
              </w:rPr>
              <w:t>Current law</w:t>
            </w:r>
          </w:p>
        </w:tc>
      </w:tr>
      <w:tr w:rsidR="00E954C0" w:rsidRPr="004666B8" w14:paraId="6F5E2007" w14:textId="77777777" w:rsidTr="00E954C0">
        <w:tc>
          <w:tcPr>
            <w:tcW w:w="3275" w:type="dxa"/>
          </w:tcPr>
          <w:p w14:paraId="55B1D574" w14:textId="77777777" w:rsidR="00E954C0" w:rsidRPr="00AA3F3D" w:rsidRDefault="00E954C0" w:rsidP="00E954C0">
            <w:pPr>
              <w:pStyle w:val="tabletext"/>
              <w:rPr>
                <w:lang w:eastAsia="en-US"/>
              </w:rPr>
            </w:pPr>
            <w:r w:rsidRPr="00AA3F3D">
              <w:rPr>
                <w:lang w:eastAsia="en-US"/>
              </w:rPr>
              <w:t xml:space="preserve">A sub-fund of a retail CCIV may become an Australian passport fund. The corporate director of the CCIV is the operator of the fund. </w:t>
            </w:r>
          </w:p>
        </w:tc>
        <w:tc>
          <w:tcPr>
            <w:tcW w:w="3276" w:type="dxa"/>
          </w:tcPr>
          <w:p w14:paraId="225699FC" w14:textId="77777777" w:rsidR="00E954C0" w:rsidRPr="00AA3F3D" w:rsidRDefault="00E954C0" w:rsidP="00E954C0">
            <w:pPr>
              <w:pStyle w:val="tabletext"/>
              <w:rPr>
                <w:lang w:eastAsia="en-US"/>
              </w:rPr>
            </w:pPr>
            <w:r w:rsidRPr="00AA3F3D">
              <w:rPr>
                <w:lang w:eastAsia="en-US"/>
              </w:rPr>
              <w:t>No equivalent.</w:t>
            </w:r>
          </w:p>
        </w:tc>
      </w:tr>
      <w:tr w:rsidR="00E954C0" w:rsidRPr="004666B8" w14:paraId="1DF4ADBB" w14:textId="77777777" w:rsidTr="00E954C0">
        <w:tc>
          <w:tcPr>
            <w:tcW w:w="3275" w:type="dxa"/>
          </w:tcPr>
          <w:p w14:paraId="08FF9153" w14:textId="77777777" w:rsidR="00E954C0" w:rsidRPr="00AA3F3D" w:rsidRDefault="00E954C0" w:rsidP="00E954C0">
            <w:pPr>
              <w:pStyle w:val="tabletext"/>
              <w:rPr>
                <w:lang w:eastAsia="en-US"/>
              </w:rPr>
            </w:pPr>
            <w:r w:rsidRPr="00AA3F3D">
              <w:rPr>
                <w:lang w:eastAsia="en-US"/>
              </w:rPr>
              <w:t>A sub-fund ceases to be an Australian passport fund if it is deregistered as a sub-fund.</w:t>
            </w:r>
          </w:p>
        </w:tc>
        <w:tc>
          <w:tcPr>
            <w:tcW w:w="3276" w:type="dxa"/>
          </w:tcPr>
          <w:p w14:paraId="4F76DC77" w14:textId="77777777" w:rsidR="00E954C0" w:rsidRPr="00AA3F3D" w:rsidRDefault="00E954C0" w:rsidP="00E954C0">
            <w:pPr>
              <w:pStyle w:val="tabletext"/>
              <w:rPr>
                <w:lang w:eastAsia="en-US"/>
              </w:rPr>
            </w:pPr>
            <w:r w:rsidRPr="00AA3F3D">
              <w:rPr>
                <w:lang w:eastAsia="en-US"/>
              </w:rPr>
              <w:t>No equivalent.</w:t>
            </w:r>
          </w:p>
        </w:tc>
      </w:tr>
      <w:tr w:rsidR="00E954C0" w:rsidRPr="004666B8" w14:paraId="622A5570" w14:textId="77777777" w:rsidTr="00E954C0">
        <w:tc>
          <w:tcPr>
            <w:tcW w:w="3275" w:type="dxa"/>
          </w:tcPr>
          <w:p w14:paraId="4EB99302" w14:textId="77777777" w:rsidR="00E954C0" w:rsidRPr="00AA3F3D" w:rsidRDefault="00E954C0" w:rsidP="00E954C0">
            <w:pPr>
              <w:pStyle w:val="tabletext"/>
              <w:rPr>
                <w:lang w:eastAsia="en-US"/>
              </w:rPr>
            </w:pPr>
            <w:r>
              <w:t>When deciding whether to reject a foreign passport fund’s notice of intention on the ground that it would be contrary to the public interest, ASIC must disregard any benefits that may arise from limiting competition for managed investment schemes or CCIVs.</w:t>
            </w:r>
          </w:p>
        </w:tc>
        <w:tc>
          <w:tcPr>
            <w:tcW w:w="3276" w:type="dxa"/>
          </w:tcPr>
          <w:p w14:paraId="404996C8" w14:textId="77777777" w:rsidR="00E954C0" w:rsidRPr="00AA3F3D" w:rsidRDefault="00E954C0" w:rsidP="00E954C0">
            <w:pPr>
              <w:pStyle w:val="tabletext"/>
              <w:rPr>
                <w:lang w:eastAsia="en-US"/>
              </w:rPr>
            </w:pPr>
            <w:r w:rsidRPr="00AA3F3D">
              <w:rPr>
                <w:lang w:eastAsia="en-US"/>
              </w:rPr>
              <w:t>No equivalent.</w:t>
            </w:r>
          </w:p>
        </w:tc>
      </w:tr>
    </w:tbl>
    <w:p w14:paraId="0D1CA147" w14:textId="77777777" w:rsidR="00E954C0" w:rsidRDefault="00E954C0" w:rsidP="00E954C0">
      <w:pPr>
        <w:pStyle w:val="Heading2"/>
      </w:pPr>
      <w:r>
        <w:t>Detailed explanation of new law</w:t>
      </w:r>
    </w:p>
    <w:p w14:paraId="1E63D060" w14:textId="77777777" w:rsidR="00E954C0" w:rsidRDefault="00E954C0" w:rsidP="00E954C0">
      <w:pPr>
        <w:pStyle w:val="Heading3"/>
      </w:pPr>
      <w:r>
        <w:t>Registering a sub-fund as an Australian Passport Fund</w:t>
      </w:r>
    </w:p>
    <w:p w14:paraId="763DB376" w14:textId="77777777" w:rsidR="00E954C0" w:rsidRDefault="00E954C0" w:rsidP="00E954C0">
      <w:pPr>
        <w:pStyle w:val="base-text-paragraph"/>
      </w:pPr>
      <w:r>
        <w:t xml:space="preserve">The corporate director of a retail CCIV may lodge an application with ASIC to register a sub-fund of the CCIV as an Australian passport fund. This provides the corporate director with the flexibility to elect to register only some of the sub-funds of the CCIV as passport funds. </w:t>
      </w:r>
      <w:r>
        <w:rPr>
          <w:rStyle w:val="Referencingstyle"/>
        </w:rPr>
        <w:t>[Schedule 6, items 1 and 3, section 9 (definition of ‘Australian passport fund’ and subsection 1212(1)]</w:t>
      </w:r>
    </w:p>
    <w:p w14:paraId="381AA5BC" w14:textId="77777777" w:rsidR="00E954C0" w:rsidRDefault="00E954C0" w:rsidP="00E954C0">
      <w:pPr>
        <w:pStyle w:val="base-text-paragraph"/>
      </w:pPr>
      <w:r>
        <w:t>Sub-funds of a wholesale CCIV cannot become Australian passport funds. Nevertheless, a CCIV which does not have any retail clients may elect to become a retail CCIV by notifying ASIC of its status as a retail CCIV.</w:t>
      </w:r>
      <w:r>
        <w:rPr>
          <w:rStyle w:val="FootnoteReference"/>
        </w:rPr>
        <w:footnoteReference w:id="11"/>
      </w:r>
      <w:r>
        <w:t xml:space="preserve"> This ensures that a sub-fund may be registered as an Australian Passport Fund before it has any members.</w:t>
      </w:r>
    </w:p>
    <w:p w14:paraId="7154FE7A" w14:textId="77777777" w:rsidR="00E954C0" w:rsidRDefault="00E954C0" w:rsidP="00E954C0">
      <w:pPr>
        <w:pStyle w:val="base-text-paragraph"/>
      </w:pPr>
      <w:r>
        <w:t>The process for registering a sub-fund of a retail CCIV as a passport fund is the same as the process for registering registered schemes as passport funds. ASIC must consider whether the requirements in the Act and the ASIC Act are likely to be complied with and whether the corporate director meets the requirements for an operator of a passport fund in Annex 2 of the Memorandum of Cooperation on the Establishment and Implementation of the Asia Region Funds Passport</w:t>
      </w:r>
      <w:r>
        <w:rPr>
          <w:rStyle w:val="FootnoteReference"/>
        </w:rPr>
        <w:footnoteReference w:id="12"/>
      </w:r>
      <w:r>
        <w:t>. If satisfied of these matters, ASIC must register the sub-fund as an Australian passport fund and assign it an Australian Passport Fund Registration Number (APFRN). The corporate director then becomes the operator of the passport fund.</w:t>
      </w:r>
      <w:r w:rsidRPr="00B8508D">
        <w:rPr>
          <w:rStyle w:val="Referencingstyle"/>
        </w:rPr>
        <w:t xml:space="preserve"> </w:t>
      </w:r>
      <w:r>
        <w:rPr>
          <w:rStyle w:val="Referencingstyle"/>
        </w:rPr>
        <w:t>[Schedule 6, items 4 to 12, paragraph 1212(2)(b), subsection 1212(3) and section 1212A]</w:t>
      </w:r>
    </w:p>
    <w:p w14:paraId="64B37EB6" w14:textId="77777777" w:rsidR="00E954C0" w:rsidRPr="00CE5706" w:rsidRDefault="00E954C0" w:rsidP="00E954C0">
      <w:pPr>
        <w:pStyle w:val="base-text-paragraph"/>
        <w:rPr>
          <w:rStyle w:val="Referencingstyle"/>
          <w:b w:val="0"/>
          <w:i w:val="0"/>
          <w:sz w:val="22"/>
        </w:rPr>
      </w:pPr>
      <w:r w:rsidRPr="00FA5B27">
        <w:t>When lodging documents with ASIC, the CCIV must ensure that all documents relating to the sub-fund th</w:t>
      </w:r>
      <w:r w:rsidRPr="003801D6">
        <w:t xml:space="preserve">at has been registered as an Australian </w:t>
      </w:r>
      <w:r>
        <w:t xml:space="preserve">passport fund contain the fund’s APFRN. </w:t>
      </w:r>
      <w:r>
        <w:rPr>
          <w:rStyle w:val="Referencingstyle"/>
        </w:rPr>
        <w:t>[Schedule 6, items 13 to 15, section 1212B]</w:t>
      </w:r>
    </w:p>
    <w:p w14:paraId="5510F7A3" w14:textId="77777777" w:rsidR="00E954C0" w:rsidRPr="00CE5706" w:rsidRDefault="00E954C0" w:rsidP="00E954C0">
      <w:pPr>
        <w:pStyle w:val="base-text-paragraph"/>
        <w:rPr>
          <w:rStyle w:val="Referencingstyle"/>
          <w:b w:val="0"/>
          <w:i w:val="0"/>
          <w:sz w:val="22"/>
        </w:rPr>
      </w:pPr>
      <w:r w:rsidRPr="00FA5B27">
        <w:t>Amendments have also been made to Part 8A.</w:t>
      </w:r>
      <w:r>
        <w:rPr>
          <w:rStyle w:val="Referencingstyle"/>
          <w:b w:val="0"/>
          <w:i w:val="0"/>
          <w:sz w:val="22"/>
        </w:rPr>
        <w:t>3 to account for the possibility that the passport arrangements may be extended to other types of entities in the future. A new defined term has been created to describe a fund that seeks to become an Australian passport fund (</w:t>
      </w:r>
      <w:r w:rsidRPr="00CE5706">
        <w:rPr>
          <w:rStyle w:val="Referencingstyle"/>
          <w:sz w:val="22"/>
        </w:rPr>
        <w:t>collective investment fund</w:t>
      </w:r>
      <w:r>
        <w:rPr>
          <w:rStyle w:val="Referencingstyle"/>
          <w:b w:val="0"/>
          <w:i w:val="0"/>
          <w:sz w:val="22"/>
        </w:rPr>
        <w:t>) and the person that would control the fund (</w:t>
      </w:r>
      <w:r>
        <w:rPr>
          <w:rStyle w:val="Referencingstyle"/>
          <w:sz w:val="22"/>
        </w:rPr>
        <w:t>proposed operator</w:t>
      </w:r>
      <w:r w:rsidRPr="00CE5706">
        <w:rPr>
          <w:rStyle w:val="Referencingstyle"/>
          <w:b w:val="0"/>
          <w:i w:val="0"/>
          <w:sz w:val="22"/>
        </w:rPr>
        <w:t>)</w:t>
      </w:r>
      <w:r>
        <w:rPr>
          <w:rStyle w:val="Referencingstyle"/>
          <w:b w:val="0"/>
          <w:i w:val="0"/>
          <w:sz w:val="22"/>
        </w:rPr>
        <w:t xml:space="preserve">. Currently the only types of funds that may register to become Australian passport funds are registered schemes, managed investment schemes that have applied to become registered schemes and sub-funds of retail CCIVs. The only companies that may be a proposed operator are the responsibility entity of a scheme and the corporate director of a CCIV. </w:t>
      </w:r>
      <w:r>
        <w:rPr>
          <w:rStyle w:val="Referencingstyle"/>
        </w:rPr>
        <w:t>[Schedule 6, item 3 to 15, section 1212, 1212A and 1212B]</w:t>
      </w:r>
    </w:p>
    <w:p w14:paraId="06F91B29" w14:textId="77777777" w:rsidR="00E954C0" w:rsidRDefault="00E954C0" w:rsidP="00E954C0">
      <w:pPr>
        <w:pStyle w:val="Heading3"/>
      </w:pPr>
      <w:r>
        <w:t>Deregistration of an Australian Passport Fund</w:t>
      </w:r>
    </w:p>
    <w:p w14:paraId="1D939970" w14:textId="5DE2599D" w:rsidR="00E954C0" w:rsidRPr="00FA5B27" w:rsidRDefault="00E954C0" w:rsidP="00E954C0">
      <w:pPr>
        <w:pStyle w:val="base-text-paragraph"/>
        <w:rPr>
          <w:rStyle w:val="Referencingstyle"/>
          <w:b w:val="0"/>
          <w:i w:val="0"/>
          <w:sz w:val="22"/>
        </w:rPr>
      </w:pPr>
      <w:bookmarkStart w:id="153" w:name="_Ref525654292"/>
      <w:r w:rsidRPr="00FA5B27">
        <w:t xml:space="preserve">If a sub-fund is an Australian passport fund, ASIC </w:t>
      </w:r>
      <w:r>
        <w:t>cannot deregister the sub-fund unless it is of the opinion that deregistration would not be contrary to the interests of protected members. Protected members are members who became members after the fund became an Australian passport fund or on the expectation that the fund would become an Australian passport fund (excluding the operator, a former operator or any persons related to the current or former operator). For a discussion of the process for ASIC</w:t>
      </w:r>
      <w:r>
        <w:noBreakHyphen/>
        <w:t xml:space="preserve">initiated deregistration, see paragraphs </w:t>
      </w:r>
      <w:r>
        <w:fldChar w:fldCharType="begin"/>
      </w:r>
      <w:r>
        <w:instrText xml:space="preserve"> REF _Ref525654065 \r \h </w:instrText>
      </w:r>
      <w:r>
        <w:fldChar w:fldCharType="separate"/>
      </w:r>
      <w:r w:rsidR="00275132">
        <w:t>4.17</w:t>
      </w:r>
      <w:r>
        <w:fldChar w:fldCharType="end"/>
      </w:r>
      <w:r>
        <w:t xml:space="preserve"> to </w:t>
      </w:r>
      <w:r>
        <w:fldChar w:fldCharType="begin"/>
      </w:r>
      <w:r>
        <w:instrText xml:space="preserve"> REF _Ref525654061 \r \h </w:instrText>
      </w:r>
      <w:r>
        <w:fldChar w:fldCharType="separate"/>
      </w:r>
      <w:r w:rsidR="00275132">
        <w:t>4.30</w:t>
      </w:r>
      <w:r>
        <w:fldChar w:fldCharType="end"/>
      </w:r>
      <w:r>
        <w:t>.</w:t>
      </w:r>
      <w:r w:rsidRPr="00AC710C">
        <w:rPr>
          <w:rStyle w:val="Referencingstyle"/>
        </w:rPr>
        <w:t xml:space="preserve"> </w:t>
      </w:r>
      <w:r>
        <w:rPr>
          <w:rStyle w:val="Referencingstyle"/>
        </w:rPr>
        <w:t>[</w:t>
      </w:r>
      <w:r w:rsidRPr="00B71F0A">
        <w:rPr>
          <w:rStyle w:val="Referencingstyle"/>
        </w:rPr>
        <w:t>Schedule </w:t>
      </w:r>
      <w:r>
        <w:rPr>
          <w:rStyle w:val="Referencingstyle"/>
        </w:rPr>
        <w:t>3</w:t>
      </w:r>
      <w:r w:rsidRPr="00B71F0A">
        <w:rPr>
          <w:rStyle w:val="Referencingstyle"/>
        </w:rPr>
        <w:t xml:space="preserve">, item </w:t>
      </w:r>
      <w:r>
        <w:rPr>
          <w:rStyle w:val="Referencingstyle"/>
        </w:rPr>
        <w:t>1, subsections 13</w:t>
      </w:r>
      <w:r>
        <w:rPr>
          <w:rStyle w:val="Referencingstyle"/>
        </w:rPr>
        <w:noBreakHyphen/>
        <w:t>005(4) and (5)]</w:t>
      </w:r>
      <w:bookmarkEnd w:id="153"/>
    </w:p>
    <w:p w14:paraId="4272113D" w14:textId="77777777" w:rsidR="00E954C0" w:rsidRDefault="00E954C0" w:rsidP="00E954C0">
      <w:pPr>
        <w:pStyle w:val="base-text-paragraph"/>
        <w:numPr>
          <w:ilvl w:val="1"/>
          <w:numId w:val="6"/>
        </w:numPr>
      </w:pPr>
      <w:r>
        <w:t>Similarly, a person cannot apply to voluntarily deregister a sub-fund if the sub-fund has protected members.</w:t>
      </w:r>
      <w:r w:rsidRPr="00164A7A">
        <w:t xml:space="preserve"> </w:t>
      </w:r>
      <w:r>
        <w:t xml:space="preserve">For a discussion of the voluntary deregistration process, see paragraphs </w:t>
      </w:r>
      <w:r>
        <w:fldChar w:fldCharType="begin"/>
      </w:r>
      <w:r>
        <w:instrText xml:space="preserve"> REF _Ref525654448 \r \h </w:instrText>
      </w:r>
      <w:r>
        <w:fldChar w:fldCharType="separate"/>
      </w:r>
      <w:r w:rsidR="00275132">
        <w:t>4.7</w:t>
      </w:r>
      <w:r>
        <w:fldChar w:fldCharType="end"/>
      </w:r>
      <w:r>
        <w:t xml:space="preserve"> to </w:t>
      </w:r>
      <w:r>
        <w:fldChar w:fldCharType="begin"/>
      </w:r>
      <w:r>
        <w:instrText xml:space="preserve"> REF _Ref525913888 \r \h </w:instrText>
      </w:r>
      <w:r>
        <w:fldChar w:fldCharType="separate"/>
      </w:r>
      <w:r w:rsidR="00275132">
        <w:t>4.14</w:t>
      </w:r>
      <w:r>
        <w:fldChar w:fldCharType="end"/>
      </w:r>
      <w:r>
        <w:t>.</w:t>
      </w:r>
      <w:r w:rsidRPr="009D7EDC">
        <w:rPr>
          <w:rStyle w:val="Referencingstyle"/>
        </w:rPr>
        <w:t xml:space="preserve"> [</w:t>
      </w:r>
      <w:r w:rsidRPr="00B71F0A">
        <w:rPr>
          <w:rStyle w:val="Referencingstyle"/>
        </w:rPr>
        <w:t>Schedule </w:t>
      </w:r>
      <w:r>
        <w:rPr>
          <w:rStyle w:val="Referencingstyle"/>
        </w:rPr>
        <w:t>3</w:t>
      </w:r>
      <w:r w:rsidRPr="00B71F0A">
        <w:rPr>
          <w:rStyle w:val="Referencingstyle"/>
        </w:rPr>
        <w:t xml:space="preserve">, item </w:t>
      </w:r>
      <w:r>
        <w:rPr>
          <w:rStyle w:val="Referencingstyle"/>
        </w:rPr>
        <w:t>1</w:t>
      </w:r>
      <w:r w:rsidRPr="009D7EDC">
        <w:rPr>
          <w:rStyle w:val="Referencingstyle"/>
        </w:rPr>
        <w:t xml:space="preserve">, subsections </w:t>
      </w:r>
      <w:r>
        <w:rPr>
          <w:rStyle w:val="Referencingstyle"/>
        </w:rPr>
        <w:t>13-000</w:t>
      </w:r>
      <w:r w:rsidRPr="009D7EDC">
        <w:rPr>
          <w:rStyle w:val="Referencingstyle"/>
        </w:rPr>
        <w:t>(9) to (10)]</w:t>
      </w:r>
    </w:p>
    <w:p w14:paraId="2D0C29CD" w14:textId="77777777" w:rsidR="00E954C0" w:rsidRPr="00164A7A" w:rsidRDefault="00E954C0" w:rsidP="00E954C0">
      <w:pPr>
        <w:pStyle w:val="base-text-paragraph"/>
        <w:numPr>
          <w:ilvl w:val="1"/>
          <w:numId w:val="6"/>
        </w:numPr>
        <w:rPr>
          <w:rStyle w:val="Referencingstyle"/>
          <w:b w:val="0"/>
          <w:i w:val="0"/>
          <w:sz w:val="22"/>
        </w:rPr>
      </w:pPr>
      <w:r w:rsidRPr="00FA5B27">
        <w:t>I</w:t>
      </w:r>
      <w:r>
        <w:t xml:space="preserve">f a sub-fund is deregistered as a sub-fund, the sub-fund automatically ceases to be an Australian passport fund and ASIC must ensure that the Register of Passport Funds is updated (see paragraph </w:t>
      </w:r>
      <w:r>
        <w:fldChar w:fldCharType="begin"/>
      </w:r>
      <w:r>
        <w:instrText xml:space="preserve"> REF _Ref525306131 \r \h </w:instrText>
      </w:r>
      <w:r>
        <w:fldChar w:fldCharType="separate"/>
      </w:r>
      <w:r w:rsidR="00275132">
        <w:t>4.39</w:t>
      </w:r>
      <w:r>
        <w:fldChar w:fldCharType="end"/>
      </w:r>
      <w:r>
        <w:t xml:space="preserve"> of these explanatory materials). The reinstatement of the sub-fund does not reinstate it as an Australian passport fund (see paragraph </w:t>
      </w:r>
      <w:r>
        <w:fldChar w:fldCharType="begin"/>
      </w:r>
      <w:r>
        <w:instrText xml:space="preserve"> REF _Ref525655056 \r \h </w:instrText>
      </w:r>
      <w:r>
        <w:fldChar w:fldCharType="separate"/>
      </w:r>
      <w:r w:rsidR="00275132">
        <w:t>4.49</w:t>
      </w:r>
      <w:r>
        <w:fldChar w:fldCharType="end"/>
      </w:r>
      <w:r>
        <w:t xml:space="preserve">). </w:t>
      </w:r>
      <w:r>
        <w:rPr>
          <w:rStyle w:val="Referencingstyle"/>
        </w:rPr>
        <w:t>[</w:t>
      </w:r>
      <w:r w:rsidRPr="00B71F0A">
        <w:rPr>
          <w:rStyle w:val="Referencingstyle"/>
        </w:rPr>
        <w:t>Schedule </w:t>
      </w:r>
      <w:r>
        <w:rPr>
          <w:rStyle w:val="Referencingstyle"/>
        </w:rPr>
        <w:t>3</w:t>
      </w:r>
      <w:r w:rsidRPr="00B71F0A">
        <w:rPr>
          <w:rStyle w:val="Referencingstyle"/>
        </w:rPr>
        <w:t xml:space="preserve">, item </w:t>
      </w:r>
      <w:r>
        <w:rPr>
          <w:rStyle w:val="Referencingstyle"/>
        </w:rPr>
        <w:t>1, subsections 13</w:t>
      </w:r>
      <w:r>
        <w:rPr>
          <w:rStyle w:val="Referencingstyle"/>
        </w:rPr>
        <w:noBreakHyphen/>
        <w:t>020(5) to (6) and subsection 13-030(3)]</w:t>
      </w:r>
    </w:p>
    <w:p w14:paraId="46AC72BE" w14:textId="4F94BD11" w:rsidR="00E954C0" w:rsidRDefault="00E954C0" w:rsidP="00E954C0">
      <w:pPr>
        <w:pStyle w:val="base-text-paragraph"/>
      </w:pPr>
      <w:r>
        <w:t>There is also a process in the existing law for a sub-fund to deregister as only an Australian passport fund and continue to remain established as a sub-fund (see existing Subdivision A of Division 1 of Part</w:t>
      </w:r>
      <w:r w:rsidR="00C220A8">
        <w:t> </w:t>
      </w:r>
      <w:r>
        <w:t>8A.7).</w:t>
      </w:r>
    </w:p>
    <w:p w14:paraId="60BAB19F" w14:textId="77777777" w:rsidR="00E954C0" w:rsidRDefault="00E954C0" w:rsidP="00E954C0">
      <w:pPr>
        <w:pStyle w:val="Heading3"/>
      </w:pPr>
      <w:r>
        <w:t>Rejecting a notice of intention from a foreign passport fund</w:t>
      </w:r>
    </w:p>
    <w:p w14:paraId="753D0F5A" w14:textId="77777777" w:rsidR="00E954C0" w:rsidRDefault="00E954C0" w:rsidP="00E954C0">
      <w:pPr>
        <w:pStyle w:val="base-text-paragraph"/>
      </w:pPr>
      <w:r>
        <w:t xml:space="preserve">A minor amendment has been made to one of the circumstances when ASIC may reject a foreign passport fund’s notice of intention to become a notified foreign passport fund and offer interests in Australia. </w:t>
      </w:r>
    </w:p>
    <w:p w14:paraId="4282F3CB" w14:textId="77777777" w:rsidR="00E954C0" w:rsidRPr="00E954C0" w:rsidRDefault="00E954C0" w:rsidP="00E954C0">
      <w:pPr>
        <w:pStyle w:val="base-text-paragraph"/>
        <w:rPr>
          <w:rStyle w:val="Referencingstyle"/>
          <w:b w:val="0"/>
          <w:i w:val="0"/>
          <w:sz w:val="22"/>
        </w:rPr>
      </w:pPr>
      <w:r w:rsidRPr="00FA5B27">
        <w:t xml:space="preserve">The existing law allows ASIC to reject the notice </w:t>
      </w:r>
      <w:r>
        <w:t>if ASIC is of the opinion that it is not in Australia’s public interest for the fund to offer interests in Australia. Public interest is then defined so that it excludes any benefits that may arise from limiting competition for managed investment schemes (see paragraph 1213B(1)(b) and subsection 1213B(3)). This definition has been amended to also exclude any benefits from limiting competition for CCIVs.</w:t>
      </w:r>
      <w:r w:rsidRPr="009049E9">
        <w:rPr>
          <w:rStyle w:val="Referencingstyle"/>
        </w:rPr>
        <w:t xml:space="preserve"> </w:t>
      </w:r>
      <w:r>
        <w:rPr>
          <w:rStyle w:val="Referencingstyle"/>
        </w:rPr>
        <w:t>[Schedule 6, items 2 and 15, section 9, paragraph (a) of the definition of ‘expectation’ and subsection 1213B(3)]</w:t>
      </w:r>
    </w:p>
    <w:p w14:paraId="34CF9594" w14:textId="77777777" w:rsidR="00E954C0" w:rsidRDefault="00E954C0" w:rsidP="00E954C0">
      <w:pPr>
        <w:pStyle w:val="base-text-paragraph"/>
        <w:numPr>
          <w:ilvl w:val="0"/>
          <w:numId w:val="0"/>
        </w:numPr>
        <w:ind w:left="1134"/>
        <w:sectPr w:rsidR="00E954C0" w:rsidSect="00905701">
          <w:type w:val="oddPage"/>
          <w:pgSz w:w="9979" w:h="14175" w:code="34"/>
          <w:pgMar w:top="567" w:right="1134" w:bottom="567" w:left="1134" w:header="709" w:footer="709" w:gutter="0"/>
          <w:cols w:space="708"/>
          <w:titlePg/>
          <w:docGrid w:linePitch="360"/>
        </w:sectPr>
      </w:pPr>
    </w:p>
    <w:p w14:paraId="55E8228B" w14:textId="1A62FE4B" w:rsidR="005C70EF" w:rsidRPr="007C2B20" w:rsidRDefault="005C70EF" w:rsidP="005C70EF">
      <w:pPr>
        <w:pStyle w:val="ChapterHeading"/>
        <w:numPr>
          <w:ilvl w:val="0"/>
          <w:numId w:val="53"/>
        </w:numPr>
      </w:pPr>
      <w:r w:rsidRPr="000C2A9D">
        <w:br/>
      </w:r>
      <w:bookmarkStart w:id="154" w:name="_Toc525898824"/>
      <w:bookmarkStart w:id="155" w:name="_Toc525898868"/>
      <w:bookmarkStart w:id="156" w:name="_Toc525049784"/>
      <w:bookmarkStart w:id="157" w:name="_Toc525051815"/>
      <w:bookmarkStart w:id="158" w:name="_Toc525140702"/>
      <w:bookmarkStart w:id="159" w:name="_Toc525219823"/>
      <w:bookmarkStart w:id="160" w:name="_Toc525226363"/>
      <w:bookmarkStart w:id="161" w:name="_Toc525894373"/>
      <w:bookmarkStart w:id="162" w:name="_Toc526434105"/>
      <w:bookmarkStart w:id="163" w:name="_Toc526434633"/>
      <w:r w:rsidR="00887275">
        <w:rPr>
          <w:rStyle w:val="ChapterNameOnly"/>
        </w:rPr>
        <w:t>Other amendments</w:t>
      </w:r>
      <w:bookmarkEnd w:id="154"/>
      <w:bookmarkEnd w:id="155"/>
      <w:bookmarkEnd w:id="156"/>
      <w:bookmarkEnd w:id="157"/>
      <w:bookmarkEnd w:id="158"/>
      <w:bookmarkEnd w:id="159"/>
      <w:bookmarkEnd w:id="160"/>
      <w:bookmarkEnd w:id="161"/>
      <w:bookmarkEnd w:id="162"/>
      <w:bookmarkEnd w:id="163"/>
    </w:p>
    <w:p w14:paraId="458214D9" w14:textId="77777777" w:rsidR="005C70EF" w:rsidRDefault="005C70EF" w:rsidP="00B17774">
      <w:pPr>
        <w:pStyle w:val="Heading2"/>
      </w:pPr>
      <w:r>
        <w:t>Outline of chapter</w:t>
      </w:r>
    </w:p>
    <w:p w14:paraId="2A66A751" w14:textId="74D1E20C" w:rsidR="005C70EF" w:rsidRDefault="00EF57C3" w:rsidP="005C70EF">
      <w:pPr>
        <w:numPr>
          <w:ilvl w:val="1"/>
          <w:numId w:val="53"/>
        </w:numPr>
      </w:pPr>
      <w:r>
        <w:t xml:space="preserve">Chapter </w:t>
      </w:r>
      <w:r w:rsidR="00A04F02">
        <w:t>7</w:t>
      </w:r>
      <w:r>
        <w:t xml:space="preserve"> outlines consequential amendments to</w:t>
      </w:r>
      <w:r w:rsidR="000D7F6A">
        <w:t xml:space="preserve"> Chapter 9 of the Act and to</w:t>
      </w:r>
      <w:r>
        <w:t xml:space="preserve"> the ASIC Act</w:t>
      </w:r>
      <w:r w:rsidR="00887275">
        <w:t xml:space="preserve">. </w:t>
      </w:r>
      <w:r w:rsidR="000D7F6A">
        <w:t xml:space="preserve">These amendments are necessary to ensure that the provisions apply appropriately to CCIVs, and </w:t>
      </w:r>
      <w:r>
        <w:t xml:space="preserve">to extend ASIC’s powers under </w:t>
      </w:r>
      <w:r w:rsidR="000D7F6A">
        <w:t>the ASIC</w:t>
      </w:r>
      <w:r>
        <w:t xml:space="preserve"> Act, to the extent they are relevant, to</w:t>
      </w:r>
      <w:r w:rsidR="00207C3C">
        <w:t xml:space="preserve"> cover</w:t>
      </w:r>
      <w:r>
        <w:t xml:space="preserve"> CCIVs.</w:t>
      </w:r>
      <w:r w:rsidR="00887275">
        <w:t xml:space="preserve"> </w:t>
      </w:r>
    </w:p>
    <w:p w14:paraId="199A8176" w14:textId="77777777" w:rsidR="005C70EF" w:rsidRDefault="005C70EF" w:rsidP="00B17774">
      <w:pPr>
        <w:pStyle w:val="Heading2"/>
      </w:pPr>
      <w:r>
        <w:t>Context of amendments</w:t>
      </w:r>
    </w:p>
    <w:p w14:paraId="528FF6F3" w14:textId="0D6407C1" w:rsidR="000D7F6A" w:rsidRDefault="000D7F6A" w:rsidP="005C70EF">
      <w:pPr>
        <w:pStyle w:val="base-text-paragraph"/>
        <w:numPr>
          <w:ilvl w:val="1"/>
          <w:numId w:val="53"/>
        </w:numPr>
      </w:pPr>
      <w:r>
        <w:t xml:space="preserve">Chapter 9 of the Act includes </w:t>
      </w:r>
      <w:r w:rsidR="00FE084A">
        <w:t xml:space="preserve">provisions that deal with a number of miscellaneous matters, including registers, audit companies, offences and the power of the Courts. </w:t>
      </w:r>
      <w:r w:rsidR="009D0297">
        <w:t xml:space="preserve">The Bill modifies certain provisions to ensure that they </w:t>
      </w:r>
      <w:r w:rsidR="00A04F02">
        <w:t xml:space="preserve">operate appropriately </w:t>
      </w:r>
      <w:r w:rsidR="009D0297">
        <w:t xml:space="preserve">in relation to CCIVs and their corporate directors. </w:t>
      </w:r>
    </w:p>
    <w:p w14:paraId="19E5A0C3" w14:textId="4ADD3B91" w:rsidR="00086737" w:rsidRDefault="00086737" w:rsidP="005C70EF">
      <w:pPr>
        <w:pStyle w:val="base-text-paragraph"/>
        <w:numPr>
          <w:ilvl w:val="1"/>
          <w:numId w:val="53"/>
        </w:numPr>
      </w:pPr>
      <w:r>
        <w:t xml:space="preserve">The ASIC Act enables the majority of ASIC’s powers, including investigative powers, and the power to conduct hearings for the purposes of its powers and functions. </w:t>
      </w:r>
      <w:r w:rsidR="00AF583D">
        <w:t>The ASIC Act also includes ASIC’s powers in relation to unconscionable conduct and consumer protections for financial services.</w:t>
      </w:r>
      <w:r>
        <w:t xml:space="preserve"> </w:t>
      </w:r>
      <w:r w:rsidR="005E5935">
        <w:t>Amendments to the ASIC Act</w:t>
      </w:r>
      <w:r>
        <w:t xml:space="preserve"> ensure that ASIC can </w:t>
      </w:r>
      <w:r w:rsidR="005E5935">
        <w:t xml:space="preserve">appropriately </w:t>
      </w:r>
      <w:r>
        <w:t xml:space="preserve">exercise these powers </w:t>
      </w:r>
      <w:r w:rsidR="005E5935">
        <w:t xml:space="preserve">in relation to </w:t>
      </w:r>
      <w:r>
        <w:t xml:space="preserve">CCIVs. </w:t>
      </w:r>
    </w:p>
    <w:p w14:paraId="7B37D981" w14:textId="7B0B435D" w:rsidR="00086737" w:rsidRDefault="00086737" w:rsidP="005C70EF">
      <w:pPr>
        <w:pStyle w:val="base-text-paragraph"/>
        <w:numPr>
          <w:ilvl w:val="1"/>
          <w:numId w:val="53"/>
        </w:numPr>
      </w:pPr>
      <w:r w:rsidRPr="001E3191">
        <w:t>Many of ASIC’s powers under the ASIC Act intersect with financial services framework in Chapter 7 of the Corporation Act, which is modified for CCIVs</w:t>
      </w:r>
      <w:r>
        <w:t xml:space="preserve"> by Part 8B.17 of the Bill. As such, most of the amendments made to the ASIC Act are to ensure consistency between Chapter 7 of the Act and the ASIC Act. </w:t>
      </w:r>
    </w:p>
    <w:p w14:paraId="49843588" w14:textId="77777777" w:rsidR="005C70EF" w:rsidRDefault="005C70EF" w:rsidP="00B17774">
      <w:pPr>
        <w:pStyle w:val="Heading2"/>
      </w:pPr>
      <w:r>
        <w:t>Summary of new law</w:t>
      </w:r>
    </w:p>
    <w:p w14:paraId="678ABA86" w14:textId="5FC153BD" w:rsidR="009D0297" w:rsidRDefault="009D0297" w:rsidP="005C70EF">
      <w:pPr>
        <w:pStyle w:val="base-text-paragraph"/>
        <w:numPr>
          <w:ilvl w:val="1"/>
          <w:numId w:val="53"/>
        </w:numPr>
      </w:pPr>
      <w:r>
        <w:t>Amendments to Chapter 9 of the Act provide:</w:t>
      </w:r>
    </w:p>
    <w:p w14:paraId="180BEC10" w14:textId="54B3F420" w:rsidR="009D0297" w:rsidRDefault="009A23A0" w:rsidP="00AA3F3D">
      <w:pPr>
        <w:pStyle w:val="dotpoint"/>
      </w:pPr>
      <w:r>
        <w:t>that b</w:t>
      </w:r>
      <w:r w:rsidR="009D0297">
        <w:t xml:space="preserve">reach </w:t>
      </w:r>
      <w:r w:rsidR="00A86237">
        <w:t>reports relating to the depositary that are lodged with ASIC are not publicly available for inspection;</w:t>
      </w:r>
    </w:p>
    <w:p w14:paraId="653E41B8" w14:textId="2125B364" w:rsidR="00A86237" w:rsidRDefault="009A23A0" w:rsidP="00AA3F3D">
      <w:pPr>
        <w:pStyle w:val="dotpoint"/>
      </w:pPr>
      <w:r>
        <w:t>that p</w:t>
      </w:r>
      <w:r w:rsidR="00A86237">
        <w:t>rovisions relating to the books of a company apply correctly to CCIVs;</w:t>
      </w:r>
    </w:p>
    <w:p w14:paraId="33605D21" w14:textId="09E41EF7" w:rsidR="00A86237" w:rsidRDefault="009A23A0" w:rsidP="00AA3F3D">
      <w:pPr>
        <w:pStyle w:val="dotpoint"/>
      </w:pPr>
      <w:r>
        <w:t xml:space="preserve">that </w:t>
      </w:r>
      <w:r w:rsidR="009B4A88">
        <w:t xml:space="preserve">certain offence provisions apply to CCIVs and their corporate directors appropriately; </w:t>
      </w:r>
      <w:r>
        <w:t>and</w:t>
      </w:r>
    </w:p>
    <w:p w14:paraId="659A166B" w14:textId="3F5BE836" w:rsidR="009A23A0" w:rsidRDefault="009A23A0" w:rsidP="00AA3F3D">
      <w:pPr>
        <w:pStyle w:val="dotpoint"/>
      </w:pPr>
      <w:r>
        <w:t>the powers of the AAT and the courts in relation to defects in decision</w:t>
      </w:r>
      <w:r>
        <w:noBreakHyphen/>
        <w:t>making and powers of review.</w:t>
      </w:r>
    </w:p>
    <w:p w14:paraId="700679FF" w14:textId="2442F415" w:rsidR="005C70EF" w:rsidRPr="008F726E" w:rsidRDefault="005E5935" w:rsidP="005C70EF">
      <w:pPr>
        <w:pStyle w:val="base-text-paragraph"/>
        <w:numPr>
          <w:ilvl w:val="1"/>
          <w:numId w:val="53"/>
        </w:numPr>
      </w:pPr>
      <w:r>
        <w:t xml:space="preserve">Amendments to the ASIC Act </w:t>
      </w:r>
      <w:r w:rsidR="00486966">
        <w:t>ensure that:</w:t>
      </w:r>
    </w:p>
    <w:p w14:paraId="170E69FC" w14:textId="0B79BD76" w:rsidR="00AF583D" w:rsidRPr="008F726E" w:rsidRDefault="00AF583D" w:rsidP="00AF583D">
      <w:pPr>
        <w:pStyle w:val="dotpoint"/>
      </w:pPr>
      <w:r>
        <w:t xml:space="preserve">the unconscionable conduct provisions in Division 2 of Part 2 adequately describe the kinds of financial services that relate to CCIVs; </w:t>
      </w:r>
    </w:p>
    <w:p w14:paraId="2C531C84" w14:textId="1B67877F" w:rsidR="00325BF0" w:rsidRPr="008F726E" w:rsidRDefault="00325BF0" w:rsidP="00AF583D">
      <w:pPr>
        <w:pStyle w:val="dotpoint"/>
      </w:pPr>
      <w:r>
        <w:t>there is consistency in the treatment of financial services between the ASIC Act and Chapter 7 of the Act; and</w:t>
      </w:r>
    </w:p>
    <w:p w14:paraId="10B38D5C" w14:textId="49BF8088" w:rsidR="00486966" w:rsidRDefault="00486966" w:rsidP="004B2AB0">
      <w:pPr>
        <w:pStyle w:val="dotpoint"/>
      </w:pPr>
      <w:r>
        <w:t xml:space="preserve">ASIC’s powers </w:t>
      </w:r>
      <w:r w:rsidR="00AF583D">
        <w:t xml:space="preserve">and functions </w:t>
      </w:r>
      <w:r>
        <w:t>work effectively in relation to CCIVs</w:t>
      </w:r>
      <w:r w:rsidR="00AF583D">
        <w:t>.</w:t>
      </w:r>
    </w:p>
    <w:p w14:paraId="43831270" w14:textId="77777777" w:rsidR="005C70EF" w:rsidRDefault="005C70EF"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C70EF" w:rsidRPr="004666B8" w14:paraId="7A23DA0F" w14:textId="77777777" w:rsidTr="009E51EA">
        <w:trPr>
          <w:tblHeader/>
        </w:trPr>
        <w:tc>
          <w:tcPr>
            <w:tcW w:w="3275" w:type="dxa"/>
          </w:tcPr>
          <w:p w14:paraId="1667349F" w14:textId="77777777" w:rsidR="005C70EF" w:rsidRPr="008764B5" w:rsidRDefault="005C70EF" w:rsidP="005C70EF">
            <w:pPr>
              <w:pStyle w:val="tableheaderwithintable"/>
              <w:rPr>
                <w:lang w:eastAsia="en-US"/>
              </w:rPr>
            </w:pPr>
            <w:r w:rsidRPr="008764B5">
              <w:rPr>
                <w:lang w:eastAsia="en-US"/>
              </w:rPr>
              <w:t>New law</w:t>
            </w:r>
          </w:p>
        </w:tc>
        <w:tc>
          <w:tcPr>
            <w:tcW w:w="3276" w:type="dxa"/>
          </w:tcPr>
          <w:p w14:paraId="105A7AC0" w14:textId="77777777" w:rsidR="005C70EF" w:rsidRPr="00AA3F3D" w:rsidRDefault="005C70EF" w:rsidP="005C70EF">
            <w:pPr>
              <w:pStyle w:val="tableheaderwithintable"/>
              <w:rPr>
                <w:lang w:eastAsia="en-US"/>
              </w:rPr>
            </w:pPr>
            <w:r w:rsidRPr="008764B5">
              <w:rPr>
                <w:lang w:eastAsia="en-US"/>
              </w:rPr>
              <w:t>Current law</w:t>
            </w:r>
          </w:p>
        </w:tc>
      </w:tr>
      <w:tr w:rsidR="007E2069" w:rsidRPr="007E2069" w14:paraId="680C5DEB" w14:textId="77777777" w:rsidTr="005C70EF">
        <w:tc>
          <w:tcPr>
            <w:tcW w:w="3275" w:type="dxa"/>
          </w:tcPr>
          <w:p w14:paraId="37B4CBF0" w14:textId="52AC2DC2" w:rsidR="007E2069" w:rsidRPr="00AA3F3D" w:rsidRDefault="007E2069" w:rsidP="00AA3F3D">
            <w:pPr>
              <w:pStyle w:val="tabletext"/>
              <w:keepNext/>
              <w:rPr>
                <w:lang w:eastAsia="en-US"/>
              </w:rPr>
            </w:pPr>
            <w:r>
              <w:rPr>
                <w:lang w:eastAsia="en-US"/>
              </w:rPr>
              <w:t xml:space="preserve">A written report of a suspected or material breach of the Act by a depositary is not publicly available. </w:t>
            </w:r>
          </w:p>
        </w:tc>
        <w:tc>
          <w:tcPr>
            <w:tcW w:w="3276" w:type="dxa"/>
          </w:tcPr>
          <w:p w14:paraId="2E009978" w14:textId="4E600A27" w:rsidR="007E2069" w:rsidRPr="00AA3F3D" w:rsidRDefault="00785D07" w:rsidP="00AA3F3D">
            <w:pPr>
              <w:pStyle w:val="tabletext"/>
              <w:keepNext/>
              <w:rPr>
                <w:lang w:eastAsia="en-US"/>
              </w:rPr>
            </w:pPr>
            <w:r w:rsidRPr="00AA3F3D">
              <w:rPr>
                <w:lang w:eastAsia="en-US"/>
              </w:rPr>
              <w:t>No equivalent.</w:t>
            </w:r>
          </w:p>
        </w:tc>
      </w:tr>
      <w:tr w:rsidR="007E2069" w:rsidRPr="007E2069" w14:paraId="7A0A4DA9" w14:textId="77777777" w:rsidTr="005C70EF">
        <w:tc>
          <w:tcPr>
            <w:tcW w:w="3275" w:type="dxa"/>
          </w:tcPr>
          <w:p w14:paraId="00918A50" w14:textId="04C83A26" w:rsidR="007E2069" w:rsidRPr="007E2069" w:rsidRDefault="007E2069" w:rsidP="007E2069">
            <w:pPr>
              <w:pStyle w:val="tabletext"/>
              <w:keepNext/>
              <w:rPr>
                <w:lang w:eastAsia="en-US"/>
              </w:rPr>
            </w:pPr>
            <w:r>
              <w:rPr>
                <w:lang w:eastAsia="en-US"/>
              </w:rPr>
              <w:t>A CCIV must make its books available for inspection in the same way as proprietary companies.</w:t>
            </w:r>
          </w:p>
        </w:tc>
        <w:tc>
          <w:tcPr>
            <w:tcW w:w="3276" w:type="dxa"/>
          </w:tcPr>
          <w:p w14:paraId="6A73DDA1" w14:textId="24B50833" w:rsidR="007E2069" w:rsidRPr="007E2069" w:rsidRDefault="00785D07" w:rsidP="007E2069">
            <w:pPr>
              <w:pStyle w:val="tabletext"/>
              <w:keepNext/>
              <w:rPr>
                <w:lang w:eastAsia="en-US"/>
              </w:rPr>
            </w:pPr>
            <w:r w:rsidRPr="00AA3F3D">
              <w:rPr>
                <w:lang w:eastAsia="en-US"/>
              </w:rPr>
              <w:t>No equivalent.</w:t>
            </w:r>
          </w:p>
        </w:tc>
      </w:tr>
      <w:tr w:rsidR="007E2069" w:rsidRPr="007E2069" w14:paraId="63F5B248" w14:textId="77777777" w:rsidTr="005C70EF">
        <w:tc>
          <w:tcPr>
            <w:tcW w:w="3275" w:type="dxa"/>
          </w:tcPr>
          <w:p w14:paraId="32D3FF45" w14:textId="4D44C6D6" w:rsidR="007E2069" w:rsidRDefault="007E2069" w:rsidP="007E2069">
            <w:pPr>
              <w:pStyle w:val="tabletext"/>
              <w:keepNext/>
              <w:rPr>
                <w:lang w:eastAsia="en-US"/>
              </w:rPr>
            </w:pPr>
            <w:r>
              <w:rPr>
                <w:lang w:eastAsia="en-US"/>
              </w:rPr>
              <w:t>It is an offence for any of the following to falsify or destroy securities of a CCIV, or the books of the CCIV:</w:t>
            </w:r>
          </w:p>
          <w:p w14:paraId="561A3541" w14:textId="27F2CB17" w:rsidR="007E2069" w:rsidRDefault="003F55CC" w:rsidP="00AA3F3D">
            <w:pPr>
              <w:pStyle w:val="tabledotpoint"/>
              <w:keepNext/>
              <w:rPr>
                <w:lang w:eastAsia="en-US"/>
              </w:rPr>
            </w:pPr>
            <w:r>
              <w:rPr>
                <w:lang w:eastAsia="en-US"/>
              </w:rPr>
              <w:t>a</w:t>
            </w:r>
            <w:r w:rsidR="007E2069">
              <w:rPr>
                <w:lang w:eastAsia="en-US"/>
              </w:rPr>
              <w:t xml:space="preserve"> current or former officer of the CCIV;</w:t>
            </w:r>
          </w:p>
          <w:p w14:paraId="22E6A213" w14:textId="6653D3A0" w:rsidR="007E2069" w:rsidRDefault="003F55CC" w:rsidP="00AA3F3D">
            <w:pPr>
              <w:pStyle w:val="tabledotpoint"/>
              <w:keepNext/>
              <w:rPr>
                <w:lang w:eastAsia="en-US"/>
              </w:rPr>
            </w:pPr>
            <w:r>
              <w:rPr>
                <w:lang w:eastAsia="en-US"/>
              </w:rPr>
              <w:t>a</w:t>
            </w:r>
            <w:r w:rsidR="007E2069">
              <w:rPr>
                <w:lang w:eastAsia="en-US"/>
              </w:rPr>
              <w:t xml:space="preserve"> current or former officer of the corporate director;</w:t>
            </w:r>
          </w:p>
          <w:p w14:paraId="4ABF5752" w14:textId="5C15AF42" w:rsidR="007E2069" w:rsidRDefault="003F55CC" w:rsidP="00AA3F3D">
            <w:pPr>
              <w:pStyle w:val="tabledotpoint"/>
              <w:keepNext/>
              <w:rPr>
                <w:lang w:eastAsia="en-US"/>
              </w:rPr>
            </w:pPr>
            <w:r>
              <w:rPr>
                <w:lang w:eastAsia="en-US"/>
              </w:rPr>
              <w:t>a</w:t>
            </w:r>
            <w:r w:rsidR="007E2069">
              <w:rPr>
                <w:lang w:eastAsia="en-US"/>
              </w:rPr>
              <w:t xml:space="preserve"> current or former employee of the corporate director; </w:t>
            </w:r>
            <w:r>
              <w:rPr>
                <w:lang w:eastAsia="en-US"/>
              </w:rPr>
              <w:t>or</w:t>
            </w:r>
          </w:p>
          <w:p w14:paraId="5506A49D" w14:textId="08EF31AD" w:rsidR="007E2069" w:rsidRDefault="003F55CC" w:rsidP="00AA3F3D">
            <w:pPr>
              <w:pStyle w:val="tabledotpoint"/>
              <w:keepNext/>
              <w:rPr>
                <w:lang w:eastAsia="en-US"/>
              </w:rPr>
            </w:pPr>
            <w:r>
              <w:rPr>
                <w:lang w:eastAsia="en-US"/>
              </w:rPr>
              <w:t>a</w:t>
            </w:r>
            <w:r w:rsidR="00BF0C6B">
              <w:rPr>
                <w:lang w:eastAsia="en-US"/>
              </w:rPr>
              <w:t xml:space="preserve"> current or former member of the CCIV.</w:t>
            </w:r>
          </w:p>
        </w:tc>
        <w:tc>
          <w:tcPr>
            <w:tcW w:w="3276" w:type="dxa"/>
          </w:tcPr>
          <w:p w14:paraId="7AE5FBB1" w14:textId="7B439F91" w:rsidR="007E2069" w:rsidRDefault="00785D07" w:rsidP="007E2069">
            <w:pPr>
              <w:pStyle w:val="tabletext"/>
              <w:keepNext/>
              <w:rPr>
                <w:lang w:eastAsia="en-US"/>
              </w:rPr>
            </w:pPr>
            <w:r w:rsidRPr="00AA3F3D">
              <w:rPr>
                <w:lang w:eastAsia="en-US"/>
              </w:rPr>
              <w:t>No equivalent.</w:t>
            </w:r>
          </w:p>
        </w:tc>
      </w:tr>
      <w:tr w:rsidR="003F55CC" w:rsidRPr="007E2069" w14:paraId="113BD11E" w14:textId="77777777" w:rsidTr="005C70EF">
        <w:tc>
          <w:tcPr>
            <w:tcW w:w="3275" w:type="dxa"/>
          </w:tcPr>
          <w:p w14:paraId="5868DF6F" w14:textId="01EBEEC4" w:rsidR="003F55CC" w:rsidRDefault="003F55CC" w:rsidP="00A04F02">
            <w:pPr>
              <w:pStyle w:val="tabletext"/>
              <w:keepNext/>
              <w:rPr>
                <w:lang w:eastAsia="en-US"/>
              </w:rPr>
            </w:pPr>
            <w:r>
              <w:rPr>
                <w:lang w:eastAsia="en-US"/>
              </w:rPr>
              <w:t xml:space="preserve">A CCIV may not rely on information provided to it by an officer </w:t>
            </w:r>
            <w:r w:rsidR="001C4BC9">
              <w:rPr>
                <w:lang w:eastAsia="en-US"/>
              </w:rPr>
              <w:t xml:space="preserve">or </w:t>
            </w:r>
            <w:r>
              <w:rPr>
                <w:lang w:eastAsia="en-US"/>
              </w:rPr>
              <w:t xml:space="preserve">agent of the CCIV, </w:t>
            </w:r>
            <w:r w:rsidR="001C4BC9">
              <w:rPr>
                <w:lang w:eastAsia="en-US"/>
              </w:rPr>
              <w:t xml:space="preserve">or </w:t>
            </w:r>
            <w:r>
              <w:rPr>
                <w:lang w:eastAsia="en-US"/>
              </w:rPr>
              <w:t xml:space="preserve">an officer, employee, or agent of the corporate director as a defence to an offence relating to false or misleading statements made by the CCIV. </w:t>
            </w:r>
          </w:p>
        </w:tc>
        <w:tc>
          <w:tcPr>
            <w:tcW w:w="3276" w:type="dxa"/>
          </w:tcPr>
          <w:p w14:paraId="4A509A49" w14:textId="4CCE0318" w:rsidR="003F55CC" w:rsidRDefault="00785D07" w:rsidP="007E2069">
            <w:pPr>
              <w:pStyle w:val="tabletext"/>
              <w:keepNext/>
              <w:rPr>
                <w:lang w:eastAsia="en-US"/>
              </w:rPr>
            </w:pPr>
            <w:r w:rsidRPr="00AA3F3D">
              <w:rPr>
                <w:lang w:eastAsia="en-US"/>
              </w:rPr>
              <w:t>No equivalent.</w:t>
            </w:r>
          </w:p>
        </w:tc>
      </w:tr>
      <w:tr w:rsidR="003F55CC" w:rsidRPr="007E2069" w14:paraId="5994C455" w14:textId="77777777" w:rsidTr="005C70EF">
        <w:tc>
          <w:tcPr>
            <w:tcW w:w="3275" w:type="dxa"/>
          </w:tcPr>
          <w:p w14:paraId="603E72A8" w14:textId="518A20C6" w:rsidR="003F55CC" w:rsidRDefault="001C4BC9" w:rsidP="001C4BC9">
            <w:pPr>
              <w:pStyle w:val="tabletext"/>
              <w:keepNext/>
              <w:rPr>
                <w:lang w:eastAsia="en-US"/>
              </w:rPr>
            </w:pPr>
            <w:r>
              <w:rPr>
                <w:lang w:eastAsia="en-US"/>
              </w:rPr>
              <w:t xml:space="preserve">If a CCIV is a defendant in a prosecution, or upcoming prosecution, ASIC may compel assistance from a current or former officer or agent of the CCIV, or a current or former officer, employee or agent of the corporate director. </w:t>
            </w:r>
          </w:p>
        </w:tc>
        <w:tc>
          <w:tcPr>
            <w:tcW w:w="3276" w:type="dxa"/>
          </w:tcPr>
          <w:p w14:paraId="56C1883F" w14:textId="2C3B7740" w:rsidR="003F55CC" w:rsidRDefault="00785D07" w:rsidP="007E2069">
            <w:pPr>
              <w:pStyle w:val="tabletext"/>
              <w:keepNext/>
              <w:rPr>
                <w:lang w:eastAsia="en-US"/>
              </w:rPr>
            </w:pPr>
            <w:r w:rsidRPr="00AA3F3D">
              <w:rPr>
                <w:lang w:eastAsia="en-US"/>
              </w:rPr>
              <w:t>No equivalent.</w:t>
            </w:r>
          </w:p>
        </w:tc>
      </w:tr>
      <w:tr w:rsidR="001C4BC9" w:rsidRPr="007E2069" w14:paraId="1836518D" w14:textId="77777777" w:rsidTr="005C70EF">
        <w:tc>
          <w:tcPr>
            <w:tcW w:w="3275" w:type="dxa"/>
          </w:tcPr>
          <w:p w14:paraId="62C280CD" w14:textId="5AFC51E6" w:rsidR="001C4BC9" w:rsidRDefault="001C4BC9" w:rsidP="001C4BC9">
            <w:pPr>
              <w:pStyle w:val="tabletext"/>
              <w:keepNext/>
              <w:rPr>
                <w:lang w:eastAsia="en-US"/>
              </w:rPr>
            </w:pPr>
            <w:r>
              <w:rPr>
                <w:lang w:eastAsia="en-US"/>
              </w:rPr>
              <w:t xml:space="preserve">There is no merits review by the AAT in relation to a decision to make, vary or revoke the CCIV rules. </w:t>
            </w:r>
          </w:p>
        </w:tc>
        <w:tc>
          <w:tcPr>
            <w:tcW w:w="3276" w:type="dxa"/>
          </w:tcPr>
          <w:p w14:paraId="5AD42903" w14:textId="63096F57" w:rsidR="001C4BC9" w:rsidRDefault="00785D07" w:rsidP="007E2069">
            <w:pPr>
              <w:pStyle w:val="tabletext"/>
              <w:keepNext/>
              <w:rPr>
                <w:lang w:eastAsia="en-US"/>
              </w:rPr>
            </w:pPr>
            <w:r w:rsidRPr="00AA3F3D">
              <w:rPr>
                <w:lang w:eastAsia="en-US"/>
              </w:rPr>
              <w:t>No equivalent.</w:t>
            </w:r>
          </w:p>
        </w:tc>
      </w:tr>
      <w:tr w:rsidR="001C4BC9" w:rsidRPr="007E2069" w14:paraId="0E50D3D4" w14:textId="77777777" w:rsidTr="005C70EF">
        <w:tc>
          <w:tcPr>
            <w:tcW w:w="3275" w:type="dxa"/>
          </w:tcPr>
          <w:p w14:paraId="69F0063C" w14:textId="3B182578" w:rsidR="001C4BC9" w:rsidRDefault="001C4BC9" w:rsidP="00A04F02">
            <w:pPr>
              <w:pStyle w:val="tabletext"/>
              <w:keepNext/>
              <w:rPr>
                <w:lang w:eastAsia="en-US"/>
              </w:rPr>
            </w:pPr>
            <w:r w:rsidRPr="002A2E1A">
              <w:t xml:space="preserve">A court has the </w:t>
            </w:r>
            <w:r w:rsidRPr="00F27E38">
              <w:t xml:space="preserve">same </w:t>
            </w:r>
            <w:r w:rsidRPr="002A2E1A">
              <w:t>power</w:t>
            </w:r>
            <w:r w:rsidRPr="00F27E38">
              <w:t>s</w:t>
            </w:r>
            <w:r w:rsidRPr="002A2E1A">
              <w:t xml:space="preserve"> </w:t>
            </w:r>
            <w:r w:rsidRPr="00F27E38">
              <w:t>in relation to</w:t>
            </w:r>
            <w:r w:rsidRPr="002A2E1A">
              <w:t xml:space="preserve"> an </w:t>
            </w:r>
            <w:r w:rsidRPr="00C046C1">
              <w:t xml:space="preserve">irregularity </w:t>
            </w:r>
            <w:r w:rsidRPr="00AD482B">
              <w:t>or defect</w:t>
            </w:r>
            <w:r w:rsidRPr="002A2E1A">
              <w:t xml:space="preserve"> in a meeting of a sub</w:t>
            </w:r>
            <w:r w:rsidRPr="002A2E1A">
              <w:noBreakHyphen/>
              <w:t>fund or a joint meeting of creditors and members of a sub</w:t>
            </w:r>
            <w:r w:rsidRPr="002A2E1A">
              <w:noBreakHyphen/>
              <w:t xml:space="preserve">fund of </w:t>
            </w:r>
            <w:r w:rsidRPr="00C046C1">
              <w:t xml:space="preserve">a CCIV as it </w:t>
            </w:r>
            <w:r w:rsidRPr="00F27E38">
              <w:t>has in relation to</w:t>
            </w:r>
            <w:r w:rsidRPr="002A2E1A">
              <w:t xml:space="preserve"> </w:t>
            </w:r>
            <w:r w:rsidRPr="00C046C1">
              <w:t xml:space="preserve">an irregularity </w:t>
            </w:r>
            <w:r w:rsidRPr="00F27E38">
              <w:t xml:space="preserve">or defect </w:t>
            </w:r>
            <w:r w:rsidRPr="002A2E1A">
              <w:t xml:space="preserve">in a meeting of </w:t>
            </w:r>
            <w:r w:rsidRPr="00C046C1">
              <w:t>members or members and creditors of a corporation.</w:t>
            </w:r>
          </w:p>
        </w:tc>
        <w:tc>
          <w:tcPr>
            <w:tcW w:w="3276" w:type="dxa"/>
          </w:tcPr>
          <w:p w14:paraId="382C15E5" w14:textId="0489D374" w:rsidR="001C4BC9" w:rsidRDefault="00785D07" w:rsidP="007E2069">
            <w:pPr>
              <w:pStyle w:val="tabletext"/>
              <w:keepNext/>
              <w:rPr>
                <w:lang w:eastAsia="en-US"/>
              </w:rPr>
            </w:pPr>
            <w:r w:rsidRPr="00AA3F3D">
              <w:rPr>
                <w:lang w:eastAsia="en-US"/>
              </w:rPr>
              <w:t>No equivalent.</w:t>
            </w:r>
          </w:p>
        </w:tc>
      </w:tr>
      <w:tr w:rsidR="005C70EF" w:rsidRPr="004666B8" w14:paraId="75798BE1" w14:textId="77777777" w:rsidTr="005C70EF">
        <w:tc>
          <w:tcPr>
            <w:tcW w:w="3275" w:type="dxa"/>
          </w:tcPr>
          <w:p w14:paraId="09D23FEB" w14:textId="4EE884EE" w:rsidR="005B0C20" w:rsidRPr="00AA3F3D" w:rsidRDefault="005B0C20" w:rsidP="004B2AB0">
            <w:pPr>
              <w:pStyle w:val="tabletext"/>
              <w:keepNext/>
              <w:rPr>
                <w:lang w:eastAsia="en-US"/>
              </w:rPr>
            </w:pPr>
            <w:r w:rsidRPr="00AA3F3D">
              <w:rPr>
                <w:lang w:eastAsia="en-US"/>
              </w:rPr>
              <w:t>The definition of ‘financial service’ for the purposes of Division 2 of Part</w:t>
            </w:r>
            <w:r w:rsidR="0015736E" w:rsidRPr="00AA3F3D">
              <w:rPr>
                <w:lang w:eastAsia="en-US"/>
              </w:rPr>
              <w:t> </w:t>
            </w:r>
            <w:r w:rsidRPr="00AA3F3D">
              <w:rPr>
                <w:lang w:eastAsia="en-US"/>
              </w:rPr>
              <w:t>2 of the ASIC Act includes when a person:</w:t>
            </w:r>
          </w:p>
          <w:p w14:paraId="05D4076F" w14:textId="00DC4701" w:rsidR="005C70EF" w:rsidRPr="00AA3F3D" w:rsidRDefault="005B0C20" w:rsidP="004B2AB0">
            <w:pPr>
              <w:pStyle w:val="tabledotpoint"/>
              <w:keepNext/>
              <w:rPr>
                <w:lang w:eastAsia="en-US"/>
              </w:rPr>
            </w:pPr>
            <w:r w:rsidRPr="00AA3F3D">
              <w:rPr>
                <w:lang w:eastAsia="en-US"/>
              </w:rPr>
              <w:t>as the corporate director of a CCIV, operates the business and conducts the affairs</w:t>
            </w:r>
            <w:r w:rsidR="00207C3C" w:rsidRPr="00AA3F3D">
              <w:rPr>
                <w:lang w:eastAsia="en-US"/>
              </w:rPr>
              <w:t xml:space="preserve"> of the CCIV</w:t>
            </w:r>
            <w:r w:rsidRPr="00AA3F3D">
              <w:rPr>
                <w:lang w:eastAsia="en-US"/>
              </w:rPr>
              <w:t xml:space="preserve">; </w:t>
            </w:r>
            <w:r w:rsidR="00207C3C" w:rsidRPr="00AA3F3D">
              <w:rPr>
                <w:lang w:eastAsia="en-US"/>
              </w:rPr>
              <w:t xml:space="preserve">or </w:t>
            </w:r>
          </w:p>
          <w:p w14:paraId="4C716823" w14:textId="5E42E461" w:rsidR="005B0C20" w:rsidRPr="00AA3F3D" w:rsidRDefault="00317148">
            <w:pPr>
              <w:pStyle w:val="tabledotpoint"/>
              <w:keepNext/>
              <w:rPr>
                <w:lang w:eastAsia="en-US"/>
              </w:rPr>
            </w:pPr>
            <w:r w:rsidRPr="00AA3F3D">
              <w:rPr>
                <w:lang w:eastAsia="en-US"/>
              </w:rPr>
              <w:t>acts as a depositary of a CCIV</w:t>
            </w:r>
            <w:r w:rsidR="005B0C20" w:rsidRPr="00AA3F3D">
              <w:rPr>
                <w:lang w:eastAsia="en-US"/>
              </w:rPr>
              <w:t xml:space="preserve">. </w:t>
            </w:r>
          </w:p>
        </w:tc>
        <w:tc>
          <w:tcPr>
            <w:tcW w:w="3276" w:type="dxa"/>
          </w:tcPr>
          <w:p w14:paraId="35B4D5C4" w14:textId="3B739B10" w:rsidR="005C70EF" w:rsidRPr="00AA3F3D" w:rsidRDefault="00317148">
            <w:pPr>
              <w:pStyle w:val="tabletext"/>
              <w:keepNext/>
              <w:rPr>
                <w:lang w:eastAsia="en-US"/>
              </w:rPr>
            </w:pPr>
            <w:r w:rsidRPr="00AA3F3D">
              <w:rPr>
                <w:lang w:eastAsia="en-US"/>
              </w:rPr>
              <w:t>No equivalent.</w:t>
            </w:r>
          </w:p>
        </w:tc>
      </w:tr>
      <w:tr w:rsidR="005B0C20" w:rsidRPr="004666B8" w14:paraId="6FBFD516" w14:textId="77777777" w:rsidTr="005C70EF">
        <w:tc>
          <w:tcPr>
            <w:tcW w:w="3275" w:type="dxa"/>
          </w:tcPr>
          <w:p w14:paraId="796FD209" w14:textId="1D9CB2DA" w:rsidR="00317148" w:rsidRPr="00AA3F3D" w:rsidRDefault="00221305" w:rsidP="005C70EF">
            <w:pPr>
              <w:pStyle w:val="tabletext"/>
              <w:rPr>
                <w:lang w:eastAsia="en-US"/>
              </w:rPr>
            </w:pPr>
            <w:r w:rsidRPr="00AA3F3D">
              <w:rPr>
                <w:lang w:eastAsia="en-US"/>
              </w:rPr>
              <w:t>For the purposes of Division 2 of Part</w:t>
            </w:r>
            <w:r w:rsidR="007E2069">
              <w:rPr>
                <w:lang w:eastAsia="en-US"/>
              </w:rPr>
              <w:t> </w:t>
            </w:r>
            <w:r w:rsidRPr="00AA3F3D">
              <w:rPr>
                <w:lang w:eastAsia="en-US"/>
              </w:rPr>
              <w:t>2 of the ASIC Act,</w:t>
            </w:r>
            <w:r w:rsidR="00317148" w:rsidRPr="00AA3F3D">
              <w:rPr>
                <w:lang w:eastAsia="en-US"/>
              </w:rPr>
              <w:t xml:space="preserve"> the following does not constitute providing a ‘custodial or depository service’:</w:t>
            </w:r>
            <w:r w:rsidRPr="00AA3F3D">
              <w:rPr>
                <w:lang w:eastAsia="en-US"/>
              </w:rPr>
              <w:t xml:space="preserve"> </w:t>
            </w:r>
          </w:p>
          <w:p w14:paraId="26D6D9E5" w14:textId="3A663FF3" w:rsidR="00317148" w:rsidRPr="00AA3F3D" w:rsidRDefault="00221305" w:rsidP="00317148">
            <w:pPr>
              <w:pStyle w:val="tabledotpoint"/>
              <w:rPr>
                <w:lang w:eastAsia="en-US"/>
              </w:rPr>
            </w:pPr>
            <w:r w:rsidRPr="00AA3F3D">
              <w:rPr>
                <w:lang w:eastAsia="en-US"/>
              </w:rPr>
              <w:t>operating a</w:t>
            </w:r>
            <w:r w:rsidRPr="00AA3F3D" w:rsidDel="00207C3C">
              <w:rPr>
                <w:lang w:eastAsia="en-US"/>
              </w:rPr>
              <w:t>s</w:t>
            </w:r>
            <w:r w:rsidRPr="003F55CC">
              <w:rPr>
                <w:lang w:eastAsia="en-US"/>
              </w:rPr>
              <w:t xml:space="preserve"> </w:t>
            </w:r>
            <w:r w:rsidR="007E2069">
              <w:rPr>
                <w:lang w:eastAsia="en-US"/>
              </w:rPr>
              <w:t>a</w:t>
            </w:r>
            <w:r w:rsidRPr="00AA3F3D">
              <w:rPr>
                <w:lang w:eastAsia="en-US"/>
              </w:rPr>
              <w:t xml:space="preserve"> </w:t>
            </w:r>
            <w:r w:rsidR="00317148" w:rsidRPr="00AA3F3D">
              <w:rPr>
                <w:lang w:eastAsia="en-US"/>
              </w:rPr>
              <w:t>CCIV;</w:t>
            </w:r>
          </w:p>
          <w:p w14:paraId="7AE61936" w14:textId="286248C2" w:rsidR="00317148" w:rsidRPr="00AA3F3D" w:rsidRDefault="00317148" w:rsidP="00317148">
            <w:pPr>
              <w:pStyle w:val="tabledotpoint"/>
              <w:rPr>
                <w:lang w:eastAsia="en-US"/>
              </w:rPr>
            </w:pPr>
            <w:r w:rsidRPr="00AA3F3D">
              <w:rPr>
                <w:lang w:eastAsia="en-US"/>
              </w:rPr>
              <w:t xml:space="preserve">operating the business and conducting the affairs of a CCIV; </w:t>
            </w:r>
            <w:r w:rsidR="00A04F02">
              <w:rPr>
                <w:lang w:eastAsia="en-US"/>
              </w:rPr>
              <w:t>and</w:t>
            </w:r>
          </w:p>
          <w:p w14:paraId="209616D6" w14:textId="4740350E" w:rsidR="005B0C20" w:rsidRPr="00AA3F3D" w:rsidRDefault="00317148" w:rsidP="00317148">
            <w:pPr>
              <w:pStyle w:val="tabledotpoint"/>
              <w:rPr>
                <w:lang w:eastAsia="en-US"/>
              </w:rPr>
            </w:pPr>
            <w:r w:rsidRPr="00AA3F3D">
              <w:rPr>
                <w:lang w:eastAsia="en-US"/>
              </w:rPr>
              <w:t xml:space="preserve">acting as a depositary of a CCIV. </w:t>
            </w:r>
          </w:p>
        </w:tc>
        <w:tc>
          <w:tcPr>
            <w:tcW w:w="3276" w:type="dxa"/>
          </w:tcPr>
          <w:p w14:paraId="38F6D115" w14:textId="67B77AF2" w:rsidR="005B0C20" w:rsidRPr="00AA3F3D" w:rsidRDefault="00317148" w:rsidP="005C70EF">
            <w:pPr>
              <w:pStyle w:val="tabletext"/>
              <w:rPr>
                <w:lang w:eastAsia="en-US"/>
              </w:rPr>
            </w:pPr>
            <w:r w:rsidRPr="00AA3F3D">
              <w:rPr>
                <w:lang w:eastAsia="en-US"/>
              </w:rPr>
              <w:t>No equivalent.</w:t>
            </w:r>
          </w:p>
        </w:tc>
      </w:tr>
      <w:tr w:rsidR="00317148" w:rsidRPr="004666B8" w14:paraId="6E6707E8" w14:textId="77777777" w:rsidTr="005C70EF">
        <w:tc>
          <w:tcPr>
            <w:tcW w:w="3275" w:type="dxa"/>
          </w:tcPr>
          <w:p w14:paraId="2976750D" w14:textId="1DA5DD5F" w:rsidR="00317148" w:rsidRPr="00AA3F3D" w:rsidRDefault="00FC644F" w:rsidP="005C70EF">
            <w:pPr>
              <w:pStyle w:val="tabletext"/>
              <w:rPr>
                <w:lang w:eastAsia="en-US"/>
              </w:rPr>
            </w:pPr>
            <w:r w:rsidRPr="00AA3F3D">
              <w:rPr>
                <w:lang w:eastAsia="en-US"/>
              </w:rPr>
              <w:t>For the purposes of Division 2 of Part</w:t>
            </w:r>
            <w:r w:rsidR="00325BF0" w:rsidRPr="00AA3F3D">
              <w:rPr>
                <w:lang w:eastAsia="en-US"/>
              </w:rPr>
              <w:t> </w:t>
            </w:r>
            <w:r w:rsidRPr="00AA3F3D">
              <w:rPr>
                <w:lang w:eastAsia="en-US"/>
              </w:rPr>
              <w:t>2 of the ASIC Act, conduct is attributed to a CCIV in the same manner as in Chapter 7 of the Act.</w:t>
            </w:r>
          </w:p>
        </w:tc>
        <w:tc>
          <w:tcPr>
            <w:tcW w:w="3276" w:type="dxa"/>
          </w:tcPr>
          <w:p w14:paraId="40754864" w14:textId="489B0231" w:rsidR="00317148" w:rsidRPr="00AA3F3D" w:rsidRDefault="00FC644F" w:rsidP="005C70EF">
            <w:pPr>
              <w:pStyle w:val="tabletext"/>
              <w:rPr>
                <w:lang w:eastAsia="en-US"/>
              </w:rPr>
            </w:pPr>
            <w:r w:rsidRPr="00AA3F3D">
              <w:rPr>
                <w:lang w:eastAsia="en-US"/>
              </w:rPr>
              <w:t>No equivalent.</w:t>
            </w:r>
          </w:p>
        </w:tc>
      </w:tr>
      <w:tr w:rsidR="00317148" w:rsidRPr="004666B8" w14:paraId="018BA300" w14:textId="77777777" w:rsidTr="005C70EF">
        <w:tc>
          <w:tcPr>
            <w:tcW w:w="3275" w:type="dxa"/>
          </w:tcPr>
          <w:p w14:paraId="57108ED5" w14:textId="31446FF9" w:rsidR="00317148" w:rsidRPr="00AA3F3D" w:rsidRDefault="00FC644F" w:rsidP="005C70EF">
            <w:pPr>
              <w:pStyle w:val="tabletext"/>
              <w:rPr>
                <w:lang w:eastAsia="en-US"/>
              </w:rPr>
            </w:pPr>
            <w:r w:rsidRPr="00AA3F3D">
              <w:rPr>
                <w:lang w:eastAsia="en-US"/>
              </w:rPr>
              <w:t>For the purposes of Subdivision D of Division 2 of Part 2 of the ASIC Act, a CCIV cannot rely on information or conduct by the followi</w:t>
            </w:r>
            <w:r w:rsidRPr="00FA5B27">
              <w:rPr>
                <w:lang w:eastAsia="en-US"/>
              </w:rPr>
              <w:t>n</w:t>
            </w:r>
            <w:r w:rsidRPr="00AA3F3D">
              <w:rPr>
                <w:lang w:eastAsia="en-US"/>
              </w:rPr>
              <w:t xml:space="preserve">g persons as a </w:t>
            </w:r>
            <w:r w:rsidRPr="00FA5B27">
              <w:rPr>
                <w:lang w:eastAsia="en-US"/>
              </w:rPr>
              <w:t>defence</w:t>
            </w:r>
            <w:r w:rsidRPr="00AA3F3D">
              <w:rPr>
                <w:lang w:eastAsia="en-US"/>
              </w:rPr>
              <w:t xml:space="preserve"> for a contravention:</w:t>
            </w:r>
          </w:p>
          <w:p w14:paraId="4F50BB7C" w14:textId="58511669" w:rsidR="00FC644F" w:rsidRDefault="00085168" w:rsidP="00085168">
            <w:pPr>
              <w:pStyle w:val="tabledotpoint"/>
              <w:rPr>
                <w:lang w:eastAsia="en-US"/>
              </w:rPr>
            </w:pPr>
            <w:r>
              <w:rPr>
                <w:lang w:eastAsia="en-US"/>
              </w:rPr>
              <w:t>an agent or corporate director of the CCIV; or</w:t>
            </w:r>
          </w:p>
          <w:p w14:paraId="273E0CCD" w14:textId="559DEDCA" w:rsidR="00085168" w:rsidRPr="00FC644F" w:rsidRDefault="00085168" w:rsidP="00085168">
            <w:pPr>
              <w:pStyle w:val="tabledotpoint"/>
              <w:rPr>
                <w:lang w:eastAsia="en-US"/>
              </w:rPr>
            </w:pPr>
            <w:r>
              <w:rPr>
                <w:lang w:eastAsia="en-US"/>
              </w:rPr>
              <w:t>an employee, director or agent of the corporate director of the CCIV.</w:t>
            </w:r>
          </w:p>
        </w:tc>
        <w:tc>
          <w:tcPr>
            <w:tcW w:w="3276" w:type="dxa"/>
          </w:tcPr>
          <w:p w14:paraId="127DDCC8" w14:textId="295E6DCE" w:rsidR="00317148" w:rsidRPr="00AA3F3D" w:rsidRDefault="00085168" w:rsidP="005C70EF">
            <w:pPr>
              <w:pStyle w:val="tabletext"/>
              <w:rPr>
                <w:lang w:eastAsia="en-US"/>
              </w:rPr>
            </w:pPr>
            <w:r w:rsidRPr="00AA3F3D">
              <w:rPr>
                <w:lang w:eastAsia="en-US"/>
              </w:rPr>
              <w:t>No equivalent.</w:t>
            </w:r>
          </w:p>
        </w:tc>
      </w:tr>
      <w:tr w:rsidR="00317148" w:rsidRPr="004666B8" w14:paraId="0B57CF81" w14:textId="77777777" w:rsidTr="005C70EF">
        <w:tc>
          <w:tcPr>
            <w:tcW w:w="3275" w:type="dxa"/>
          </w:tcPr>
          <w:p w14:paraId="2B54FA18" w14:textId="77777777" w:rsidR="00A50A39" w:rsidRPr="00AA3F3D" w:rsidRDefault="00A50A39" w:rsidP="00A50A39">
            <w:pPr>
              <w:pStyle w:val="tabletext"/>
              <w:rPr>
                <w:lang w:eastAsia="en-US"/>
              </w:rPr>
            </w:pPr>
            <w:r w:rsidRPr="00AA3F3D">
              <w:rPr>
                <w:lang w:eastAsia="en-US"/>
              </w:rPr>
              <w:t>A CCIV can be represented at a hearing conducted by ASIC by the following persons:</w:t>
            </w:r>
          </w:p>
          <w:p w14:paraId="3C8E3566" w14:textId="3D7B7D73" w:rsidR="00A50A39" w:rsidRPr="00AA3F3D" w:rsidRDefault="00A50A39" w:rsidP="00A50A39">
            <w:pPr>
              <w:pStyle w:val="tabledotpoint"/>
              <w:rPr>
                <w:lang w:eastAsia="en-US"/>
              </w:rPr>
            </w:pPr>
            <w:r w:rsidRPr="00AA3F3D">
              <w:rPr>
                <w:lang w:eastAsia="en-US"/>
              </w:rPr>
              <w:t xml:space="preserve">an officer of the CCIV (other than the corporate director); </w:t>
            </w:r>
          </w:p>
          <w:p w14:paraId="426DF330" w14:textId="5D8DFDFC" w:rsidR="00317148" w:rsidRPr="00AA3F3D" w:rsidRDefault="00A50A39" w:rsidP="00085168">
            <w:pPr>
              <w:pStyle w:val="tabledotpoint"/>
              <w:rPr>
                <w:lang w:eastAsia="en-US"/>
              </w:rPr>
            </w:pPr>
            <w:r w:rsidRPr="00AA3F3D">
              <w:rPr>
                <w:lang w:eastAsia="en-US"/>
              </w:rPr>
              <w:t>an officer or employee of the corporate director.</w:t>
            </w:r>
          </w:p>
        </w:tc>
        <w:tc>
          <w:tcPr>
            <w:tcW w:w="3276" w:type="dxa"/>
          </w:tcPr>
          <w:p w14:paraId="0F1748FD" w14:textId="77BA0624" w:rsidR="00317148" w:rsidRPr="00AA3F3D" w:rsidRDefault="00A50A39" w:rsidP="005C70EF">
            <w:pPr>
              <w:pStyle w:val="tabletext"/>
              <w:rPr>
                <w:lang w:eastAsia="en-US"/>
              </w:rPr>
            </w:pPr>
            <w:r w:rsidRPr="00AA3F3D">
              <w:rPr>
                <w:lang w:eastAsia="en-US"/>
              </w:rPr>
              <w:t>No equivalent.</w:t>
            </w:r>
          </w:p>
        </w:tc>
      </w:tr>
      <w:tr w:rsidR="00317148" w:rsidRPr="004666B8" w14:paraId="7FD11C24" w14:textId="77777777" w:rsidTr="005C70EF">
        <w:tc>
          <w:tcPr>
            <w:tcW w:w="3275" w:type="dxa"/>
          </w:tcPr>
          <w:p w14:paraId="38CDED30" w14:textId="77777777" w:rsidR="00A50A39" w:rsidRPr="00AA3F3D" w:rsidRDefault="00A50A39" w:rsidP="004B2AB0">
            <w:pPr>
              <w:pStyle w:val="tabletext"/>
              <w:keepNext/>
              <w:rPr>
                <w:lang w:eastAsia="en-US"/>
              </w:rPr>
            </w:pPr>
            <w:r w:rsidRPr="00AA3F3D">
              <w:rPr>
                <w:lang w:eastAsia="en-US"/>
              </w:rPr>
              <w:t>If ASIC makes a requirement of a CCIV, it can make that same requirement of the following persons:</w:t>
            </w:r>
          </w:p>
          <w:p w14:paraId="4F112BFE" w14:textId="666F3A0C" w:rsidR="00A50A39" w:rsidRPr="00AA3F3D" w:rsidRDefault="00A50A39" w:rsidP="004B2AB0">
            <w:pPr>
              <w:pStyle w:val="tabledotpoint"/>
              <w:keepNext/>
              <w:rPr>
                <w:lang w:eastAsia="en-US"/>
              </w:rPr>
            </w:pPr>
            <w:r w:rsidRPr="00AA3F3D">
              <w:rPr>
                <w:lang w:eastAsia="en-US"/>
              </w:rPr>
              <w:t xml:space="preserve">an officer of the CCIV (other than the corporate director); </w:t>
            </w:r>
            <w:r w:rsidR="00325BF0" w:rsidRPr="00AA3F3D">
              <w:rPr>
                <w:lang w:eastAsia="en-US"/>
              </w:rPr>
              <w:t>and</w:t>
            </w:r>
          </w:p>
          <w:p w14:paraId="4CC9AE07" w14:textId="60D19C24" w:rsidR="00317148" w:rsidRPr="00AA3F3D" w:rsidRDefault="00A50A39">
            <w:pPr>
              <w:pStyle w:val="tabledotpoint"/>
              <w:keepNext/>
              <w:rPr>
                <w:lang w:eastAsia="en-US"/>
              </w:rPr>
            </w:pPr>
            <w:r w:rsidRPr="00AA3F3D">
              <w:rPr>
                <w:lang w:eastAsia="en-US"/>
              </w:rPr>
              <w:t>an officer or employee of the corporate director.</w:t>
            </w:r>
          </w:p>
        </w:tc>
        <w:tc>
          <w:tcPr>
            <w:tcW w:w="3276" w:type="dxa"/>
          </w:tcPr>
          <w:p w14:paraId="702613C3" w14:textId="5A010F22" w:rsidR="00317148" w:rsidRPr="00AA3F3D" w:rsidRDefault="00A50A39">
            <w:pPr>
              <w:pStyle w:val="tabletext"/>
              <w:keepNext/>
              <w:rPr>
                <w:lang w:eastAsia="en-US"/>
              </w:rPr>
            </w:pPr>
            <w:r w:rsidRPr="00AA3F3D">
              <w:rPr>
                <w:lang w:eastAsia="en-US"/>
              </w:rPr>
              <w:t>No equivalent.</w:t>
            </w:r>
          </w:p>
        </w:tc>
      </w:tr>
      <w:tr w:rsidR="00325BF0" w:rsidRPr="004666B8" w14:paraId="3BC18C22" w14:textId="77777777" w:rsidTr="005C70EF">
        <w:tc>
          <w:tcPr>
            <w:tcW w:w="3275" w:type="dxa"/>
          </w:tcPr>
          <w:p w14:paraId="065F4A26" w14:textId="11002702" w:rsidR="00325BF0" w:rsidRPr="00AA3F3D" w:rsidRDefault="00325BF0" w:rsidP="00325BF0">
            <w:pPr>
              <w:pStyle w:val="tabletext"/>
              <w:keepNext/>
              <w:rPr>
                <w:lang w:eastAsia="en-US"/>
              </w:rPr>
            </w:pPr>
            <w:r w:rsidRPr="00AA3F3D">
              <w:rPr>
                <w:lang w:eastAsia="en-US"/>
              </w:rPr>
              <w:t>A corporate director of a CCIV may give an enforceable undertaking in relation to conduct concerning the CCIV. If there is a breach of the undertaking</w:t>
            </w:r>
            <w:r w:rsidR="00207C3C" w:rsidRPr="00AA3F3D">
              <w:rPr>
                <w:lang w:eastAsia="en-US"/>
              </w:rPr>
              <w:t>,</w:t>
            </w:r>
            <w:r w:rsidRPr="00AA3F3D">
              <w:rPr>
                <w:lang w:eastAsia="en-US"/>
              </w:rPr>
              <w:t xml:space="preserve"> the Court may order that the corporate director transfer an amount to the CCIV.</w:t>
            </w:r>
          </w:p>
        </w:tc>
        <w:tc>
          <w:tcPr>
            <w:tcW w:w="3276" w:type="dxa"/>
          </w:tcPr>
          <w:p w14:paraId="10AC4436" w14:textId="01F93F21" w:rsidR="00325BF0" w:rsidRPr="00AA3F3D" w:rsidRDefault="00C60486">
            <w:pPr>
              <w:pStyle w:val="tabletext"/>
              <w:keepNext/>
              <w:rPr>
                <w:lang w:eastAsia="en-US"/>
              </w:rPr>
            </w:pPr>
            <w:r>
              <w:rPr>
                <w:lang w:eastAsia="en-US"/>
              </w:rPr>
              <w:t>No equivalent.</w:t>
            </w:r>
          </w:p>
        </w:tc>
      </w:tr>
      <w:tr w:rsidR="00A50A39" w:rsidRPr="004666B8" w14:paraId="6D1F727C" w14:textId="77777777" w:rsidTr="005C70EF">
        <w:tc>
          <w:tcPr>
            <w:tcW w:w="3275" w:type="dxa"/>
          </w:tcPr>
          <w:p w14:paraId="48E09BBC" w14:textId="41134460" w:rsidR="00A50A39" w:rsidRPr="00AA3F3D" w:rsidRDefault="00325BF0" w:rsidP="00A50A39">
            <w:pPr>
              <w:pStyle w:val="tabletext"/>
              <w:rPr>
                <w:lang w:eastAsia="en-US"/>
              </w:rPr>
            </w:pPr>
            <w:r w:rsidRPr="00AA3F3D">
              <w:rPr>
                <w:lang w:eastAsia="en-US"/>
              </w:rPr>
              <w:t>W</w:t>
            </w:r>
            <w:r w:rsidR="00A50A39" w:rsidRPr="00AA3F3D">
              <w:rPr>
                <w:lang w:eastAsia="en-US"/>
              </w:rPr>
              <w:t xml:space="preserve">here the CCIV is providing financial services, the corporate director is treated as </w:t>
            </w:r>
            <w:r w:rsidRPr="00AA3F3D">
              <w:rPr>
                <w:lang w:eastAsia="en-US"/>
              </w:rPr>
              <w:t xml:space="preserve">also </w:t>
            </w:r>
            <w:r w:rsidR="00A50A39" w:rsidRPr="00AA3F3D">
              <w:rPr>
                <w:lang w:eastAsia="en-US"/>
              </w:rPr>
              <w:t>providing those financial services. However, this is not the case where the CCIV is:</w:t>
            </w:r>
          </w:p>
          <w:p w14:paraId="3FEDCE27" w14:textId="77777777" w:rsidR="00A50A39" w:rsidRPr="00AA3F3D" w:rsidRDefault="00A50A39" w:rsidP="00A50A39">
            <w:pPr>
              <w:pStyle w:val="tabledotpoint"/>
              <w:rPr>
                <w:lang w:eastAsia="en-US"/>
              </w:rPr>
            </w:pPr>
            <w:r w:rsidRPr="00AA3F3D">
              <w:rPr>
                <w:lang w:eastAsia="en-US"/>
              </w:rPr>
              <w:t>issuing a security; or</w:t>
            </w:r>
          </w:p>
          <w:p w14:paraId="69CA5345" w14:textId="77777777" w:rsidR="00A50A39" w:rsidRPr="00AA3F3D" w:rsidRDefault="00A50A39" w:rsidP="00A50A39">
            <w:pPr>
              <w:pStyle w:val="tabledotpoint"/>
              <w:rPr>
                <w:lang w:eastAsia="en-US"/>
              </w:rPr>
            </w:pPr>
            <w:r w:rsidRPr="00AA3F3D">
              <w:rPr>
                <w:lang w:eastAsia="en-US"/>
              </w:rPr>
              <w:t xml:space="preserve">participating in a clearing and settlement facility; or </w:t>
            </w:r>
          </w:p>
          <w:p w14:paraId="04930B91" w14:textId="41AA1C43" w:rsidR="00A50A39" w:rsidRPr="00AA3F3D" w:rsidRDefault="00A50A39" w:rsidP="00A50A39">
            <w:pPr>
              <w:pStyle w:val="tabledotpoint"/>
              <w:rPr>
                <w:lang w:eastAsia="en-US"/>
              </w:rPr>
            </w:pPr>
            <w:r w:rsidRPr="00AA3F3D">
              <w:rPr>
                <w:lang w:eastAsia="en-US"/>
              </w:rPr>
              <w:t>participating in a financial market.</w:t>
            </w:r>
          </w:p>
        </w:tc>
        <w:tc>
          <w:tcPr>
            <w:tcW w:w="3276" w:type="dxa"/>
          </w:tcPr>
          <w:p w14:paraId="182F6417" w14:textId="3DA131FA" w:rsidR="00A50A39" w:rsidRPr="00AA3F3D" w:rsidRDefault="00A50A39" w:rsidP="005C70EF">
            <w:pPr>
              <w:pStyle w:val="tabletext"/>
              <w:rPr>
                <w:lang w:eastAsia="en-US"/>
              </w:rPr>
            </w:pPr>
            <w:r w:rsidRPr="00AA3F3D">
              <w:rPr>
                <w:lang w:eastAsia="en-US"/>
              </w:rPr>
              <w:t>No equivalent.</w:t>
            </w:r>
          </w:p>
        </w:tc>
      </w:tr>
    </w:tbl>
    <w:p w14:paraId="52F8221C" w14:textId="77777777" w:rsidR="005C70EF" w:rsidRDefault="005C70EF" w:rsidP="00B17774">
      <w:pPr>
        <w:pStyle w:val="Heading2"/>
      </w:pPr>
      <w:r>
        <w:t>Detailed explanation of new law</w:t>
      </w:r>
    </w:p>
    <w:p w14:paraId="6BB5914F" w14:textId="7687977E" w:rsidR="009B4A88" w:rsidRDefault="009B4A88" w:rsidP="00AA3F3D">
      <w:pPr>
        <w:pStyle w:val="Heading3"/>
      </w:pPr>
      <w:r>
        <w:t>Amendments to Chapter 9 of the Act</w:t>
      </w:r>
    </w:p>
    <w:p w14:paraId="36264DE8" w14:textId="4AFD321D" w:rsidR="009B4A88" w:rsidRDefault="009B4A88" w:rsidP="00AA3F3D">
      <w:pPr>
        <w:pStyle w:val="Heading4"/>
      </w:pPr>
      <w:r>
        <w:t>Amendments relating to registers and books</w:t>
      </w:r>
    </w:p>
    <w:p w14:paraId="207F3411" w14:textId="69D45DDF" w:rsidR="009B4A88" w:rsidRPr="003801D6" w:rsidRDefault="009A23A0" w:rsidP="00AA3F3D">
      <w:pPr>
        <w:pStyle w:val="base-text-paragraph"/>
        <w:rPr>
          <w:rStyle w:val="Referencingstyle"/>
          <w:b w:val="0"/>
          <w:i w:val="0"/>
          <w:sz w:val="22"/>
        </w:rPr>
      </w:pPr>
      <w:r>
        <w:t>D</w:t>
      </w:r>
      <w:r w:rsidR="00CA4469" w:rsidRPr="00FA5B27">
        <w:t>ocuments lodged with ASI</w:t>
      </w:r>
      <w:r w:rsidR="00CA4469" w:rsidRPr="00274D33">
        <w:t xml:space="preserve">C are </w:t>
      </w:r>
      <w:r>
        <w:t xml:space="preserve">generally </w:t>
      </w:r>
      <w:r w:rsidR="00CA4469" w:rsidRPr="00274D33">
        <w:t xml:space="preserve">able to be viewed by the public. However, </w:t>
      </w:r>
      <w:r w:rsidR="00CA4469">
        <w:t xml:space="preserve">certain documents are </w:t>
      </w:r>
      <w:r>
        <w:t>not publicly available</w:t>
      </w:r>
      <w:r w:rsidR="00CA4469">
        <w:t xml:space="preserve"> as they include confidential information. A written report of a suspected or actual material breach of the Act by the depositary</w:t>
      </w:r>
      <w:r w:rsidR="00A3736B">
        <w:t xml:space="preserve"> that is lodged with ASIC</w:t>
      </w:r>
      <w:r w:rsidR="00CA4469">
        <w:t xml:space="preserve"> is not able to be inspected. This provides </w:t>
      </w:r>
      <w:r w:rsidR="00721FA9" w:rsidRPr="00FA5B27">
        <w:t>prote</w:t>
      </w:r>
      <w:r w:rsidR="00721FA9" w:rsidRPr="00274D33">
        <w:t xml:space="preserve">ction for </w:t>
      </w:r>
      <w:r w:rsidR="00CA4469" w:rsidRPr="00274D33">
        <w:t xml:space="preserve">potentially sensitive </w:t>
      </w:r>
      <w:r w:rsidR="00721FA9" w:rsidRPr="003F55CC">
        <w:t>or</w:t>
      </w:r>
      <w:r w:rsidR="00CA4469" w:rsidRPr="00AD414C">
        <w:t xml:space="preserve"> confidential information</w:t>
      </w:r>
      <w:r w:rsidR="00721FA9" w:rsidRPr="00AA3F3D">
        <w:t xml:space="preserve">. </w:t>
      </w:r>
      <w:r w:rsidR="00721FA9" w:rsidRPr="00AA3F3D">
        <w:rPr>
          <w:rStyle w:val="Referencingstyle"/>
        </w:rPr>
        <w:t xml:space="preserve">[Schedule </w:t>
      </w:r>
      <w:r w:rsidR="000A3729">
        <w:rPr>
          <w:rStyle w:val="Referencingstyle"/>
        </w:rPr>
        <w:t>5</w:t>
      </w:r>
      <w:r w:rsidR="00721FA9" w:rsidRPr="00AA3F3D">
        <w:rPr>
          <w:rStyle w:val="Referencingstyle"/>
        </w:rPr>
        <w:t xml:space="preserve">, item </w:t>
      </w:r>
      <w:r w:rsidR="000A3729">
        <w:rPr>
          <w:rStyle w:val="Referencingstyle"/>
        </w:rPr>
        <w:t>1</w:t>
      </w:r>
      <w:r w:rsidR="006B2871" w:rsidRPr="00AA3F3D">
        <w:rPr>
          <w:rStyle w:val="Referencingstyle"/>
        </w:rPr>
        <w:t xml:space="preserve">, section </w:t>
      </w:r>
      <w:r w:rsidR="000A3729">
        <w:rPr>
          <w:rStyle w:val="Referencingstyle"/>
        </w:rPr>
        <w:t>20-000</w:t>
      </w:r>
      <w:r>
        <w:rPr>
          <w:rStyle w:val="Referencingstyle"/>
        </w:rPr>
        <w:t>;</w:t>
      </w:r>
      <w:r w:rsidR="006B2871" w:rsidRPr="003F55CC">
        <w:rPr>
          <w:rStyle w:val="Referencingstyle"/>
        </w:rPr>
        <w:t xml:space="preserve"> Schedule </w:t>
      </w:r>
      <w:r w:rsidR="000A3729">
        <w:rPr>
          <w:rStyle w:val="Referencingstyle"/>
        </w:rPr>
        <w:t>5</w:t>
      </w:r>
      <w:r w:rsidR="006B2871" w:rsidRPr="003F55CC">
        <w:rPr>
          <w:rStyle w:val="Referencingstyle"/>
        </w:rPr>
        <w:t xml:space="preserve">, item </w:t>
      </w:r>
      <w:r w:rsidR="000A3729">
        <w:rPr>
          <w:rStyle w:val="Referencingstyle"/>
        </w:rPr>
        <w:t>2</w:t>
      </w:r>
      <w:r w:rsidR="006B2871" w:rsidRPr="003F55CC">
        <w:rPr>
          <w:rStyle w:val="Referencingstyle"/>
        </w:rPr>
        <w:t>, note to subsection 1274(2)</w:t>
      </w:r>
      <w:r w:rsidR="00721FA9" w:rsidRPr="003F55CC">
        <w:rPr>
          <w:rStyle w:val="Referencingstyle"/>
        </w:rPr>
        <w:t>]</w:t>
      </w:r>
    </w:p>
    <w:p w14:paraId="2D9C72F5" w14:textId="3E8520E5" w:rsidR="00721FA9" w:rsidRPr="00AA3F3D" w:rsidRDefault="00721FA9" w:rsidP="00AA3F3D">
      <w:pPr>
        <w:pStyle w:val="base-text-paragraph"/>
        <w:rPr>
          <w:rStyle w:val="Referencingstyle"/>
          <w:b w:val="0"/>
          <w:i w:val="0"/>
          <w:sz w:val="22"/>
        </w:rPr>
      </w:pPr>
      <w:r w:rsidRPr="00274D33">
        <w:t xml:space="preserve">Any book of the CCIV that the Act requires to be made </w:t>
      </w:r>
      <w:r>
        <w:t>available for inspection may be inspected in accordance with the rules that apply to proprietary companies. This includes the requirement that the CCIV must make a book availab</w:t>
      </w:r>
      <w:r w:rsidRPr="00FA5B27">
        <w:t xml:space="preserve">le within seven days if a person has requested to inspect it. </w:t>
      </w:r>
      <w:r w:rsidR="004772DD" w:rsidRPr="00274D33">
        <w:rPr>
          <w:rStyle w:val="Referencingstyle"/>
        </w:rPr>
        <w:t xml:space="preserve">[Schedule </w:t>
      </w:r>
      <w:r w:rsidR="000A3729">
        <w:rPr>
          <w:rStyle w:val="Referencingstyle"/>
        </w:rPr>
        <w:t>5</w:t>
      </w:r>
      <w:r w:rsidR="004772DD" w:rsidRPr="00274D33">
        <w:rPr>
          <w:rStyle w:val="Referencingstyle"/>
        </w:rPr>
        <w:t xml:space="preserve">, item </w:t>
      </w:r>
      <w:r w:rsidR="000A3729">
        <w:rPr>
          <w:rStyle w:val="Referencingstyle"/>
        </w:rPr>
        <w:t>1</w:t>
      </w:r>
      <w:r w:rsidR="00365601" w:rsidRPr="00274D33">
        <w:rPr>
          <w:rStyle w:val="Referencingstyle"/>
        </w:rPr>
        <w:t xml:space="preserve">, section </w:t>
      </w:r>
      <w:r w:rsidR="000A3729">
        <w:rPr>
          <w:rStyle w:val="Referencingstyle"/>
        </w:rPr>
        <w:t>20-00</w:t>
      </w:r>
      <w:r w:rsidR="0012462A">
        <w:rPr>
          <w:rStyle w:val="Referencingstyle"/>
        </w:rPr>
        <w:t>5</w:t>
      </w:r>
      <w:r w:rsidR="009A23A0">
        <w:rPr>
          <w:rStyle w:val="Referencingstyle"/>
        </w:rPr>
        <w:t>;</w:t>
      </w:r>
      <w:r w:rsidR="00365601" w:rsidRPr="003F55CC">
        <w:rPr>
          <w:rStyle w:val="Referencingstyle"/>
        </w:rPr>
        <w:t xml:space="preserve"> Schedule </w:t>
      </w:r>
      <w:r w:rsidR="0012462A">
        <w:rPr>
          <w:rStyle w:val="Referencingstyle"/>
        </w:rPr>
        <w:t>5</w:t>
      </w:r>
      <w:r w:rsidR="00365601" w:rsidRPr="003F55CC">
        <w:rPr>
          <w:rStyle w:val="Referencingstyle"/>
        </w:rPr>
        <w:t xml:space="preserve">, item </w:t>
      </w:r>
      <w:r w:rsidR="0012462A">
        <w:rPr>
          <w:rStyle w:val="Referencingstyle"/>
        </w:rPr>
        <w:t>3</w:t>
      </w:r>
      <w:r w:rsidR="00365601" w:rsidRPr="003F55CC">
        <w:rPr>
          <w:rStyle w:val="Referencingstyle"/>
        </w:rPr>
        <w:t>, note</w:t>
      </w:r>
      <w:r w:rsidR="009A23A0">
        <w:rPr>
          <w:rStyle w:val="Referencingstyle"/>
        </w:rPr>
        <w:t> </w:t>
      </w:r>
      <w:r w:rsidR="00365601" w:rsidRPr="003F55CC">
        <w:rPr>
          <w:rStyle w:val="Referencingstyle"/>
        </w:rPr>
        <w:t>to subsection 1300(2A)</w:t>
      </w:r>
      <w:r w:rsidR="004772DD" w:rsidRPr="003F55CC">
        <w:rPr>
          <w:rStyle w:val="Referencingstyle"/>
        </w:rPr>
        <w:t>]</w:t>
      </w:r>
    </w:p>
    <w:p w14:paraId="6FE3E0C0" w14:textId="482C861F" w:rsidR="004772DD" w:rsidRPr="00AA3F3D" w:rsidRDefault="004772DD" w:rsidP="00AA3F3D">
      <w:pPr>
        <w:pStyle w:val="base-text-paragraph"/>
        <w:rPr>
          <w:rStyle w:val="Referencingstyle"/>
          <w:b w:val="0"/>
          <w:i w:val="0"/>
          <w:sz w:val="22"/>
        </w:rPr>
      </w:pPr>
      <w:r w:rsidRPr="00274D33">
        <w:t>It is an offence for a person to falsify or destroy securities of a company</w:t>
      </w:r>
      <w:r w:rsidR="007E2069">
        <w:t>,</w:t>
      </w:r>
      <w:r w:rsidRPr="00274D33">
        <w:t xml:space="preserve"> or </w:t>
      </w:r>
      <w:r w:rsidR="007E2069">
        <w:t xml:space="preserve">to falsify or destroy </w:t>
      </w:r>
      <w:r w:rsidRPr="007E2069">
        <w:t xml:space="preserve">the </w:t>
      </w:r>
      <w:r w:rsidRPr="00274D33">
        <w:t>book</w:t>
      </w:r>
      <w:r>
        <w:t>s of</w:t>
      </w:r>
      <w:r w:rsidR="007E2069">
        <w:t>,</w:t>
      </w:r>
      <w:r>
        <w:t xml:space="preserve"> or relating to the affairs of </w:t>
      </w:r>
      <w:r w:rsidR="007E2069">
        <w:t>a</w:t>
      </w:r>
      <w:r>
        <w:t xml:space="preserve"> company. This</w:t>
      </w:r>
      <w:r w:rsidR="009A23A0">
        <w:t> </w:t>
      </w:r>
      <w:r>
        <w:t xml:space="preserve">applies to a person who is </w:t>
      </w:r>
      <w:r w:rsidR="00BF0C6B">
        <w:t>a current</w:t>
      </w:r>
      <w:r>
        <w:t xml:space="preserve"> or former officer, employee</w:t>
      </w:r>
      <w:r w:rsidRPr="00C046C1">
        <w:t>,</w:t>
      </w:r>
      <w:r>
        <w:t xml:space="preserve"> or member of a company. </w:t>
      </w:r>
      <w:r w:rsidR="00A3736B">
        <w:t>Modifications are made to</w:t>
      </w:r>
      <w:r>
        <w:t xml:space="preserve"> ensure that it is also an offence for </w:t>
      </w:r>
      <w:r w:rsidR="007E2069">
        <w:t xml:space="preserve">a person who is or has been </w:t>
      </w:r>
      <w:r>
        <w:t xml:space="preserve">an officer of the CCIV, an officer of the corporate director </w:t>
      </w:r>
      <w:r w:rsidR="007E2069">
        <w:t>or</w:t>
      </w:r>
      <w:r w:rsidRPr="00FA5B27">
        <w:t xml:space="preserve"> an employee of the corporate director to falsify o</w:t>
      </w:r>
      <w:r w:rsidRPr="00274D33">
        <w:t xml:space="preserve">r destroy the CCIV’s securities or books. </w:t>
      </w:r>
      <w:r w:rsidRPr="00274D33">
        <w:rPr>
          <w:rStyle w:val="Referencingstyle"/>
        </w:rPr>
        <w:t xml:space="preserve">[Schedule </w:t>
      </w:r>
      <w:r w:rsidR="0012462A">
        <w:rPr>
          <w:rStyle w:val="Referencingstyle"/>
        </w:rPr>
        <w:t>5</w:t>
      </w:r>
      <w:r w:rsidRPr="00274D33">
        <w:rPr>
          <w:rStyle w:val="Referencingstyle"/>
        </w:rPr>
        <w:t xml:space="preserve">, item </w:t>
      </w:r>
      <w:r w:rsidR="0012462A">
        <w:rPr>
          <w:rStyle w:val="Referencingstyle"/>
        </w:rPr>
        <w:t>1</w:t>
      </w:r>
      <w:r w:rsidR="00365601" w:rsidRPr="00274D33">
        <w:rPr>
          <w:rStyle w:val="Referencingstyle"/>
        </w:rPr>
        <w:t xml:space="preserve">, section </w:t>
      </w:r>
      <w:r w:rsidR="0012462A">
        <w:rPr>
          <w:rStyle w:val="Referencingstyle"/>
        </w:rPr>
        <w:t>20-</w:t>
      </w:r>
      <w:r w:rsidRPr="00274D33">
        <w:rPr>
          <w:rStyle w:val="Referencingstyle"/>
        </w:rPr>
        <w:t>0</w:t>
      </w:r>
      <w:r w:rsidR="0012462A">
        <w:rPr>
          <w:rStyle w:val="Referencingstyle"/>
        </w:rPr>
        <w:t>10</w:t>
      </w:r>
      <w:r w:rsidR="009A23A0">
        <w:rPr>
          <w:rStyle w:val="Referencingstyle"/>
        </w:rPr>
        <w:t>;</w:t>
      </w:r>
      <w:r w:rsidR="00365601" w:rsidRPr="003F55CC">
        <w:rPr>
          <w:rStyle w:val="Referencingstyle"/>
        </w:rPr>
        <w:t xml:space="preserve"> Schedule </w:t>
      </w:r>
      <w:r w:rsidR="0012462A">
        <w:rPr>
          <w:rStyle w:val="Referencingstyle"/>
        </w:rPr>
        <w:t>5</w:t>
      </w:r>
      <w:r w:rsidR="00365601" w:rsidRPr="003F55CC">
        <w:rPr>
          <w:rStyle w:val="Referencingstyle"/>
        </w:rPr>
        <w:t xml:space="preserve">, item </w:t>
      </w:r>
      <w:r w:rsidR="0012462A">
        <w:rPr>
          <w:rStyle w:val="Referencingstyle"/>
        </w:rPr>
        <w:t>4</w:t>
      </w:r>
      <w:r w:rsidR="00365601" w:rsidRPr="003F55CC">
        <w:rPr>
          <w:rStyle w:val="Referencingstyle"/>
        </w:rPr>
        <w:t xml:space="preserve">, note to subsection </w:t>
      </w:r>
      <w:r w:rsidR="00AB2368" w:rsidRPr="003F55CC">
        <w:rPr>
          <w:rStyle w:val="Referencingstyle"/>
        </w:rPr>
        <w:t>1307(1)</w:t>
      </w:r>
      <w:r w:rsidRPr="003F55CC">
        <w:rPr>
          <w:rStyle w:val="Referencingstyle"/>
        </w:rPr>
        <w:t>]</w:t>
      </w:r>
    </w:p>
    <w:p w14:paraId="4CFB74AB" w14:textId="65A17D97" w:rsidR="004772DD" w:rsidRPr="00FA5B27" w:rsidRDefault="001C3682" w:rsidP="00AA3F3D">
      <w:pPr>
        <w:pStyle w:val="Heading4"/>
        <w:rPr>
          <w:rStyle w:val="Referencingstyle"/>
          <w:b/>
          <w:i/>
          <w:sz w:val="22"/>
        </w:rPr>
      </w:pPr>
      <w:r>
        <w:rPr>
          <w:rStyle w:val="Referencingstyle"/>
          <w:b/>
          <w:i/>
          <w:sz w:val="22"/>
        </w:rPr>
        <w:t>Amendments relating to offences</w:t>
      </w:r>
    </w:p>
    <w:p w14:paraId="4807930F" w14:textId="35637BEA" w:rsidR="001C3682" w:rsidRPr="001C4BC9" w:rsidRDefault="004623A7" w:rsidP="00AA3F3D">
      <w:pPr>
        <w:pStyle w:val="base-text-paragraph"/>
      </w:pPr>
      <w:r>
        <w:t xml:space="preserve">It is an offence for a corporation, such as a CCIV, to make misleading or false statement that relates to its capital. It is also an offence for an officer or employee of a corporation to make </w:t>
      </w:r>
      <w:r w:rsidRPr="00FA5B27">
        <w:t xml:space="preserve">false or misleading </w:t>
      </w:r>
      <w:r w:rsidRPr="00274D33">
        <w:t xml:space="preserve">statements to </w:t>
      </w:r>
      <w:r w:rsidRPr="003F55CC">
        <w:t xml:space="preserve">certain people (including auditors or operators of financial markets) </w:t>
      </w:r>
      <w:r w:rsidRPr="00AD414C">
        <w:t>relating to the affairs of the corporation</w:t>
      </w:r>
      <w:r w:rsidRPr="001C4BC9">
        <w:t xml:space="preserve">. </w:t>
      </w:r>
    </w:p>
    <w:p w14:paraId="77F69A45" w14:textId="5F0BA566" w:rsidR="00DE580D" w:rsidRPr="00AA3F3D" w:rsidRDefault="00DE580D" w:rsidP="00AA3F3D">
      <w:pPr>
        <w:pStyle w:val="base-text-paragraph"/>
      </w:pPr>
      <w:r w:rsidRPr="001C4BC9">
        <w:t>It is a defence to these offences if the corporation, officer or employee made the sta</w:t>
      </w:r>
      <w:r w:rsidRPr="00AA3F3D">
        <w:t xml:space="preserve">tement in reasonable reliance on information given to them by a third party (that is, if the person is a corporation, someone other than a director, employee or agent of the corporation, or if the person is an individual, someone other than an employee or agent of the individual). </w:t>
      </w:r>
    </w:p>
    <w:p w14:paraId="31C7F4EB" w14:textId="2046BC0E" w:rsidR="00DE580D" w:rsidRPr="00AA3F3D" w:rsidRDefault="00DE580D" w:rsidP="00AA3F3D">
      <w:pPr>
        <w:pStyle w:val="base-text-paragraph"/>
        <w:rPr>
          <w:rStyle w:val="Referencingstyle"/>
          <w:b w:val="0"/>
          <w:i w:val="0"/>
          <w:sz w:val="22"/>
        </w:rPr>
      </w:pPr>
      <w:r w:rsidRPr="00AA3F3D">
        <w:t xml:space="preserve">For the purposes of these offences (found in sections 1308 and 1309), </w:t>
      </w:r>
      <w:r>
        <w:t>modifications apply to ensure that persons with a relationship with the corporate director are also treated as having a relationship with the CCIV. This ensures that the defence operates appropriately for CCIVs</w:t>
      </w:r>
      <w:r w:rsidR="00A3736B">
        <w:t>,</w:t>
      </w:r>
      <w:r>
        <w:t xml:space="preserve"> given that a CCIV is a separate legal entity to its corporate director. </w:t>
      </w:r>
      <w:r w:rsidR="00DE554A" w:rsidRPr="00FA5B27">
        <w:rPr>
          <w:rStyle w:val="Referencingstyle"/>
        </w:rPr>
        <w:t xml:space="preserve">[Schedule </w:t>
      </w:r>
      <w:r w:rsidR="0012462A">
        <w:rPr>
          <w:rStyle w:val="Referencingstyle"/>
        </w:rPr>
        <w:t>5</w:t>
      </w:r>
      <w:r w:rsidR="00DE554A" w:rsidRPr="00274D33">
        <w:rPr>
          <w:rStyle w:val="Referencingstyle"/>
        </w:rPr>
        <w:t xml:space="preserve">, item </w:t>
      </w:r>
      <w:r w:rsidR="0012462A">
        <w:rPr>
          <w:rStyle w:val="Referencingstyle"/>
        </w:rPr>
        <w:t>1</w:t>
      </w:r>
      <w:r w:rsidR="00AB2368" w:rsidRPr="00274D33">
        <w:rPr>
          <w:rStyle w:val="Referencingstyle"/>
        </w:rPr>
        <w:t xml:space="preserve">, section </w:t>
      </w:r>
      <w:r w:rsidR="0012462A">
        <w:rPr>
          <w:rStyle w:val="Referencingstyle"/>
        </w:rPr>
        <w:t>20-015</w:t>
      </w:r>
      <w:r w:rsidR="009A23A0">
        <w:rPr>
          <w:rStyle w:val="Referencingstyle"/>
        </w:rPr>
        <w:t>;</w:t>
      </w:r>
      <w:r w:rsidR="00AB2368" w:rsidRPr="003F55CC">
        <w:rPr>
          <w:rStyle w:val="Referencingstyle"/>
        </w:rPr>
        <w:t xml:space="preserve"> </w:t>
      </w:r>
      <w:r w:rsidR="00AB2368" w:rsidRPr="00F83D6E">
        <w:rPr>
          <w:rStyle w:val="Referencingstyle"/>
        </w:rPr>
        <w:t xml:space="preserve">Schedule </w:t>
      </w:r>
      <w:r w:rsidR="0012462A" w:rsidRPr="00F83D6E">
        <w:rPr>
          <w:rStyle w:val="Referencingstyle"/>
        </w:rPr>
        <w:t>5</w:t>
      </w:r>
      <w:r w:rsidR="00AB2368" w:rsidRPr="00F83D6E">
        <w:rPr>
          <w:rStyle w:val="Referencingstyle"/>
        </w:rPr>
        <w:t xml:space="preserve">, items </w:t>
      </w:r>
      <w:r w:rsidR="0012462A" w:rsidRPr="00F83D6E">
        <w:rPr>
          <w:rStyle w:val="Referencingstyle"/>
        </w:rPr>
        <w:t>5</w:t>
      </w:r>
      <w:r w:rsidR="00AB2368" w:rsidRPr="00F83D6E">
        <w:rPr>
          <w:rStyle w:val="Referencingstyle"/>
        </w:rPr>
        <w:t xml:space="preserve"> to </w:t>
      </w:r>
      <w:r w:rsidR="0012462A" w:rsidRPr="00F83D6E">
        <w:rPr>
          <w:rStyle w:val="Referencingstyle"/>
        </w:rPr>
        <w:t>7</w:t>
      </w:r>
      <w:r w:rsidR="00AB2368" w:rsidRPr="00F83D6E">
        <w:rPr>
          <w:rStyle w:val="Referencingstyle"/>
        </w:rPr>
        <w:t>, note to subsections 1308(12) and (13), and note to subsections 1309(</w:t>
      </w:r>
      <w:r w:rsidR="0012462A" w:rsidRPr="00F83D6E">
        <w:rPr>
          <w:rStyle w:val="Referencingstyle"/>
        </w:rPr>
        <w:t xml:space="preserve">1), (2), </w:t>
      </w:r>
      <w:r w:rsidR="00AB2368" w:rsidRPr="00F83D6E">
        <w:rPr>
          <w:rStyle w:val="Referencingstyle"/>
        </w:rPr>
        <w:t>(9) and (10)</w:t>
      </w:r>
      <w:r w:rsidR="00DE554A" w:rsidRPr="00FA5B27">
        <w:rPr>
          <w:rStyle w:val="Referencingstyle"/>
        </w:rPr>
        <w:t>]</w:t>
      </w:r>
    </w:p>
    <w:p w14:paraId="57435814" w14:textId="3D8489E5" w:rsidR="00DE554A" w:rsidRPr="00AA3F3D" w:rsidRDefault="00DE554A" w:rsidP="00AA3F3D">
      <w:pPr>
        <w:pStyle w:val="base-text-paragraph"/>
        <w:rPr>
          <w:rStyle w:val="Referencingstyle"/>
          <w:b w:val="0"/>
          <w:i w:val="0"/>
          <w:sz w:val="22"/>
        </w:rPr>
      </w:pPr>
      <w:r w:rsidRPr="00274D33">
        <w:t xml:space="preserve">Where a prosecution of an offence against the Act has started, or if ASIC believes that </w:t>
      </w:r>
      <w:r>
        <w:t xml:space="preserve">a prosecution should be started, ASIC may require certain persons to assist in the prosecution. </w:t>
      </w:r>
      <w:r w:rsidR="0056401A">
        <w:t xml:space="preserve">Where the defendant in such a prosecution is a CCIV, ASIC may receive assistance from </w:t>
      </w:r>
      <w:r w:rsidR="0056401A" w:rsidRPr="00FA5B27">
        <w:t>a current or former corporate director</w:t>
      </w:r>
      <w:r w:rsidR="0056401A" w:rsidRPr="00274D33">
        <w:t xml:space="preserve">, liquidator or agent </w:t>
      </w:r>
      <w:r w:rsidR="0056401A" w:rsidRPr="00AD414C">
        <w:t xml:space="preserve">of the CCIV, or a current or former </w:t>
      </w:r>
      <w:r w:rsidR="0056401A" w:rsidRPr="00AA3F3D">
        <w:t xml:space="preserve">officer, employee or agent of the corporate director. </w:t>
      </w:r>
      <w:r w:rsidR="0056401A" w:rsidRPr="00AA3F3D">
        <w:rPr>
          <w:rStyle w:val="Referencingstyle"/>
        </w:rPr>
        <w:t>[Schedule </w:t>
      </w:r>
      <w:r w:rsidR="006E2B95">
        <w:rPr>
          <w:rStyle w:val="Referencingstyle"/>
        </w:rPr>
        <w:t>5</w:t>
      </w:r>
      <w:r w:rsidR="0056401A" w:rsidRPr="00AA3F3D">
        <w:rPr>
          <w:rStyle w:val="Referencingstyle"/>
        </w:rPr>
        <w:t>, item</w:t>
      </w:r>
      <w:r w:rsidR="009A23A0">
        <w:rPr>
          <w:rStyle w:val="Referencingstyle"/>
        </w:rPr>
        <w:t> </w:t>
      </w:r>
      <w:r w:rsidR="006E2B95">
        <w:rPr>
          <w:rStyle w:val="Referencingstyle"/>
        </w:rPr>
        <w:t>1</w:t>
      </w:r>
      <w:r w:rsidR="00AB2368" w:rsidRPr="003F55CC">
        <w:rPr>
          <w:rStyle w:val="Referencingstyle"/>
        </w:rPr>
        <w:t xml:space="preserve">, section </w:t>
      </w:r>
      <w:r w:rsidR="006E2B95">
        <w:rPr>
          <w:rStyle w:val="Referencingstyle"/>
        </w:rPr>
        <w:t>20-015</w:t>
      </w:r>
      <w:r w:rsidR="009A23A0">
        <w:rPr>
          <w:rStyle w:val="Referencingstyle"/>
        </w:rPr>
        <w:t>;</w:t>
      </w:r>
      <w:r w:rsidR="00AB2368" w:rsidRPr="003F55CC">
        <w:rPr>
          <w:rStyle w:val="Referencingstyle"/>
        </w:rPr>
        <w:t xml:space="preserve"> Schedule </w:t>
      </w:r>
      <w:r w:rsidR="006E2B95">
        <w:rPr>
          <w:rStyle w:val="Referencingstyle"/>
        </w:rPr>
        <w:t>5</w:t>
      </w:r>
      <w:r w:rsidR="00AB2368" w:rsidRPr="003F55CC">
        <w:rPr>
          <w:rStyle w:val="Referencingstyle"/>
        </w:rPr>
        <w:t xml:space="preserve">, item </w:t>
      </w:r>
      <w:r w:rsidR="006E2B95">
        <w:rPr>
          <w:rStyle w:val="Referencingstyle"/>
        </w:rPr>
        <w:t>8</w:t>
      </w:r>
      <w:r w:rsidR="00AB2368" w:rsidRPr="003F55CC">
        <w:rPr>
          <w:rStyle w:val="Referencingstyle"/>
        </w:rPr>
        <w:t>, note to subsection 1317(1)</w:t>
      </w:r>
      <w:r w:rsidR="0056401A" w:rsidRPr="003F55CC">
        <w:rPr>
          <w:rStyle w:val="Referencingstyle"/>
        </w:rPr>
        <w:t>]</w:t>
      </w:r>
    </w:p>
    <w:p w14:paraId="5D39E379" w14:textId="3CB0DD23" w:rsidR="0056401A" w:rsidRPr="00274D33" w:rsidRDefault="00893C5D" w:rsidP="00AA3F3D">
      <w:pPr>
        <w:pStyle w:val="Heading4"/>
      </w:pPr>
      <w:r>
        <w:t xml:space="preserve">Powers of </w:t>
      </w:r>
      <w:r w:rsidR="00F820D0">
        <w:t>the c</w:t>
      </w:r>
      <w:r>
        <w:t xml:space="preserve">ourts and the </w:t>
      </w:r>
      <w:r w:rsidRPr="00FA5B27">
        <w:t>A</w:t>
      </w:r>
      <w:r w:rsidRPr="00274D33">
        <w:t>AT</w:t>
      </w:r>
    </w:p>
    <w:p w14:paraId="39968FE6" w14:textId="7125D063" w:rsidR="00893C5D" w:rsidRPr="003801D6" w:rsidRDefault="00A15E8D" w:rsidP="00AA3F3D">
      <w:pPr>
        <w:pStyle w:val="base-text-paragraph"/>
        <w:rPr>
          <w:rStyle w:val="Referencingstyle"/>
          <w:b w:val="0"/>
          <w:i w:val="0"/>
          <w:sz w:val="22"/>
        </w:rPr>
      </w:pPr>
      <w:r w:rsidRPr="00274D33">
        <w:t xml:space="preserve">Review by the AAT is not </w:t>
      </w:r>
      <w:r>
        <w:t xml:space="preserve">available for a decision by ASIC to make, vary or revoke the CCIV rules (see section </w:t>
      </w:r>
      <w:r w:rsidRPr="009A23A0">
        <w:t>1269</w:t>
      </w:r>
      <w:r>
        <w:t xml:space="preserve"> of the </w:t>
      </w:r>
      <w:r w:rsidRPr="009A23A0">
        <w:t>Tranche </w:t>
      </w:r>
      <w:r w:rsidR="009A23A0">
        <w:t>1</w:t>
      </w:r>
      <w:r>
        <w:t xml:space="preserve"> Exposure </w:t>
      </w:r>
      <w:r w:rsidRPr="00FA5B27">
        <w:t>B</w:t>
      </w:r>
      <w:r w:rsidRPr="00274D33">
        <w:t>ill</w:t>
      </w:r>
      <w:r w:rsidR="009A23A0">
        <w:t xml:space="preserve"> for ASIC’s power to make CCIV rules)</w:t>
      </w:r>
      <w:r w:rsidRPr="009B564E">
        <w:t>.</w:t>
      </w:r>
      <w:r w:rsidRPr="00274D33">
        <w:t xml:space="preserve"> This is appropriate because </w:t>
      </w:r>
      <w:r w:rsidRPr="00AD414C">
        <w:t>the CCIV rules are of a general nature</w:t>
      </w:r>
      <w:r w:rsidR="00217714" w:rsidRPr="001C4BC9">
        <w:t xml:space="preserve"> and ASIC’s decisions in relation to making, varying or revoking similar rules are also excluded from merits review. </w:t>
      </w:r>
      <w:r w:rsidR="00217714" w:rsidRPr="001C4BC9">
        <w:rPr>
          <w:rStyle w:val="Referencingstyle"/>
        </w:rPr>
        <w:t>[Schedule </w:t>
      </w:r>
      <w:r w:rsidR="006E2B95">
        <w:rPr>
          <w:rStyle w:val="Referencingstyle"/>
        </w:rPr>
        <w:t>5</w:t>
      </w:r>
      <w:r w:rsidR="00217714" w:rsidRPr="00AA3F3D">
        <w:rPr>
          <w:rStyle w:val="Referencingstyle"/>
        </w:rPr>
        <w:t>,</w:t>
      </w:r>
      <w:r w:rsidR="00AB2368" w:rsidRPr="00AA3F3D">
        <w:rPr>
          <w:rStyle w:val="Referencingstyle"/>
        </w:rPr>
        <w:t xml:space="preserve"> item </w:t>
      </w:r>
      <w:r w:rsidR="006E2B95">
        <w:rPr>
          <w:rStyle w:val="Referencingstyle"/>
        </w:rPr>
        <w:t>1</w:t>
      </w:r>
      <w:r w:rsidR="00AB2368" w:rsidRPr="00AA3F3D">
        <w:rPr>
          <w:rStyle w:val="Referencingstyle"/>
        </w:rPr>
        <w:t xml:space="preserve">, section </w:t>
      </w:r>
      <w:r w:rsidR="006E2B95">
        <w:rPr>
          <w:rStyle w:val="Referencingstyle"/>
        </w:rPr>
        <w:t>20-020</w:t>
      </w:r>
      <w:r w:rsidR="00217714" w:rsidRPr="00AA3F3D">
        <w:rPr>
          <w:rStyle w:val="Referencingstyle"/>
        </w:rPr>
        <w:t>]</w:t>
      </w:r>
    </w:p>
    <w:p w14:paraId="682067FF" w14:textId="50059969" w:rsidR="00F820D0" w:rsidRPr="004C62FF" w:rsidRDefault="00F820D0" w:rsidP="00AA3F3D">
      <w:pPr>
        <w:pStyle w:val="base-text-paragraph"/>
      </w:pPr>
      <w:r w:rsidRPr="004C62FF">
        <w:t xml:space="preserve">A court has the </w:t>
      </w:r>
      <w:r w:rsidR="004C62FF" w:rsidRPr="00AA3F3D">
        <w:t xml:space="preserve">same </w:t>
      </w:r>
      <w:r w:rsidRPr="004C62FF">
        <w:t>power</w:t>
      </w:r>
      <w:r w:rsidR="004C62FF" w:rsidRPr="00AA3F3D">
        <w:t>s</w:t>
      </w:r>
      <w:r w:rsidRPr="004C62FF">
        <w:t xml:space="preserve"> </w:t>
      </w:r>
      <w:r w:rsidR="004C62FF" w:rsidRPr="00AA3F3D">
        <w:t>in relation to</w:t>
      </w:r>
      <w:r w:rsidR="004C62FF" w:rsidRPr="00FA5B27">
        <w:t xml:space="preserve"> an </w:t>
      </w:r>
      <w:r w:rsidRPr="004C62FF">
        <w:t>irregularity</w:t>
      </w:r>
      <w:r w:rsidR="004C62FF">
        <w:t xml:space="preserve"> </w:t>
      </w:r>
      <w:r w:rsidR="004C62FF" w:rsidRPr="00AD482B">
        <w:t>or defect</w:t>
      </w:r>
      <w:r w:rsidRPr="004C62FF">
        <w:t xml:space="preserve"> in a meeting of a sub</w:t>
      </w:r>
      <w:r w:rsidRPr="004C62FF">
        <w:noBreakHyphen/>
        <w:t>fund or a joint meeting of creditors and members of a sub</w:t>
      </w:r>
      <w:r w:rsidRPr="004C62FF">
        <w:noBreakHyphen/>
        <w:t>f</w:t>
      </w:r>
      <w:r w:rsidRPr="00FA5B27">
        <w:t xml:space="preserve">und of a CCIV as it </w:t>
      </w:r>
      <w:r w:rsidR="004C62FF" w:rsidRPr="00AA3F3D">
        <w:t>has in relation to</w:t>
      </w:r>
      <w:r w:rsidR="004C62FF" w:rsidRPr="00FA5B27">
        <w:t xml:space="preserve"> </w:t>
      </w:r>
      <w:r w:rsidRPr="004C62FF">
        <w:t xml:space="preserve">an irregularity </w:t>
      </w:r>
      <w:r w:rsidR="004C62FF" w:rsidRPr="00AA3F3D">
        <w:t xml:space="preserve">or defect </w:t>
      </w:r>
      <w:r w:rsidRPr="004C62FF">
        <w:t xml:space="preserve">in a meeting of members or members and creditors of a corporation. </w:t>
      </w:r>
      <w:r w:rsidR="004C62FF" w:rsidRPr="00FA5B27">
        <w:rPr>
          <w:rStyle w:val="Referencingstyle"/>
        </w:rPr>
        <w:t>[Sch</w:t>
      </w:r>
      <w:r w:rsidR="004C62FF" w:rsidRPr="00274D33">
        <w:rPr>
          <w:rStyle w:val="Referencingstyle"/>
        </w:rPr>
        <w:t>edule </w:t>
      </w:r>
      <w:r w:rsidR="006E2B95">
        <w:rPr>
          <w:rStyle w:val="Referencingstyle"/>
        </w:rPr>
        <w:t>5</w:t>
      </w:r>
      <w:r w:rsidR="004C62FF" w:rsidRPr="00274D33">
        <w:rPr>
          <w:rStyle w:val="Referencingstyle"/>
        </w:rPr>
        <w:t xml:space="preserve">, item </w:t>
      </w:r>
      <w:r w:rsidR="006E2B95">
        <w:rPr>
          <w:rStyle w:val="Referencingstyle"/>
        </w:rPr>
        <w:t>1</w:t>
      </w:r>
      <w:r w:rsidR="00AB2368" w:rsidRPr="00274D33">
        <w:rPr>
          <w:rStyle w:val="Referencingstyle"/>
        </w:rPr>
        <w:t xml:space="preserve">, section </w:t>
      </w:r>
      <w:r w:rsidR="006E2B95">
        <w:rPr>
          <w:rStyle w:val="Referencingstyle"/>
        </w:rPr>
        <w:t>20-025</w:t>
      </w:r>
      <w:r w:rsidR="00AB2368" w:rsidRPr="001C4BC9">
        <w:rPr>
          <w:rStyle w:val="Referencingstyle"/>
        </w:rPr>
        <w:t xml:space="preserve">, Schedule </w:t>
      </w:r>
      <w:r w:rsidR="006E2B95">
        <w:rPr>
          <w:rStyle w:val="Referencingstyle"/>
        </w:rPr>
        <w:t>5</w:t>
      </w:r>
      <w:r w:rsidR="00AB2368" w:rsidRPr="001C4BC9">
        <w:rPr>
          <w:rStyle w:val="Referencingstyle"/>
        </w:rPr>
        <w:t xml:space="preserve">, item </w:t>
      </w:r>
      <w:r w:rsidR="006E2B95">
        <w:rPr>
          <w:rStyle w:val="Referencingstyle"/>
        </w:rPr>
        <w:t>9</w:t>
      </w:r>
      <w:r w:rsidR="00AB2368" w:rsidRPr="001C4BC9">
        <w:rPr>
          <w:rStyle w:val="Referencingstyle"/>
        </w:rPr>
        <w:t>, note to subsection 1322(1)</w:t>
      </w:r>
      <w:r w:rsidR="004C62FF" w:rsidRPr="00AA3F3D">
        <w:rPr>
          <w:rStyle w:val="Referencingstyle"/>
        </w:rPr>
        <w:t>]</w:t>
      </w:r>
    </w:p>
    <w:p w14:paraId="57655B84" w14:textId="77777777" w:rsidR="00D8521E" w:rsidRPr="00F64A0C" w:rsidRDefault="00D8521E" w:rsidP="00D8521E">
      <w:pPr>
        <w:pStyle w:val="Heading3"/>
      </w:pPr>
      <w:r>
        <w:t xml:space="preserve">Meaning of </w:t>
      </w:r>
      <w:r>
        <w:rPr>
          <w:i/>
        </w:rPr>
        <w:t>financial services</w:t>
      </w:r>
      <w:r>
        <w:t xml:space="preserve"> in the ASIC Act</w:t>
      </w:r>
    </w:p>
    <w:p w14:paraId="53538D4B" w14:textId="1EC43825" w:rsidR="00AA2A9C" w:rsidRPr="00FA5B27" w:rsidRDefault="00314895" w:rsidP="00470CFE">
      <w:pPr>
        <w:pStyle w:val="base-text-paragraph"/>
        <w:rPr>
          <w:rStyle w:val="Referencingstyle"/>
          <w:b w:val="0"/>
          <w:i w:val="0"/>
          <w:sz w:val="22"/>
        </w:rPr>
      </w:pPr>
      <w:r w:rsidRPr="00FA5B27">
        <w:t xml:space="preserve">Outside Division 2 of Part 2, key terms in the ASIC Act have the same meaning as in Chapter 7 of the Act. Where Part 8B.17 of the </w:t>
      </w:r>
      <w:r w:rsidRPr="003801D6">
        <w:t xml:space="preserve">Act modifies the meaning of a provision in Chapter 7 as it applies to CCIVs, then the modified meaning also applies in relation to CCIVs in the ASIC Act. </w:t>
      </w:r>
      <w:r w:rsidR="00D7063D">
        <w:t xml:space="preserve">A note to the definition to </w:t>
      </w:r>
      <w:r w:rsidR="00D7063D">
        <w:rPr>
          <w:b/>
          <w:i/>
        </w:rPr>
        <w:t>financial service</w:t>
      </w:r>
      <w:r w:rsidR="00D7063D">
        <w:t xml:space="preserve"> confirms this approach. </w:t>
      </w:r>
      <w:r w:rsidR="00D7063D" w:rsidRPr="004B2AB0">
        <w:rPr>
          <w:rStyle w:val="Referencingstyle"/>
        </w:rPr>
        <w:t xml:space="preserve">[Schedule </w:t>
      </w:r>
      <w:r w:rsidR="004A52A1">
        <w:rPr>
          <w:rStyle w:val="Referencingstyle"/>
        </w:rPr>
        <w:t>7</w:t>
      </w:r>
      <w:r w:rsidR="00D7063D" w:rsidRPr="004B2AB0">
        <w:rPr>
          <w:rStyle w:val="Referencingstyle"/>
        </w:rPr>
        <w:t>, item 4, definition of financial service in subsection 5(1)]</w:t>
      </w:r>
    </w:p>
    <w:p w14:paraId="7E776AAA" w14:textId="64A1A6F1" w:rsidR="00F2234A" w:rsidRPr="004B2AB0" w:rsidRDefault="00F2234A" w:rsidP="00470CFE">
      <w:pPr>
        <w:pStyle w:val="base-text-paragraph"/>
      </w:pPr>
      <w:r>
        <w:t>To provide consistency with the treatment of financial services that are provided by the CCIV across the ASIC Act and Chapter 7 of the Act, the corporate director of a CCIV is also taken to provide financial services that are provided by the CCIV. This ensures that the corporate director is responsible for actions of the CCIV that constitute the provision of financial services. See paragraphs 4.10 to 4.14 of the Tranche</w:t>
      </w:r>
      <w:r w:rsidR="00710F8A">
        <w:t> </w:t>
      </w:r>
      <w:r>
        <w:t xml:space="preserve">2 </w:t>
      </w:r>
      <w:r w:rsidR="00201D3B">
        <w:t>E</w:t>
      </w:r>
      <w:r>
        <w:t xml:space="preserve">xplanatory </w:t>
      </w:r>
      <w:r w:rsidR="00201D3B">
        <w:t>M</w:t>
      </w:r>
      <w:r>
        <w:t xml:space="preserve">aterials for more information on the treatment of financial services provided by a CCIV in Chapter 7 of the Act. </w:t>
      </w:r>
      <w:r w:rsidR="00FF6D0C" w:rsidRPr="004B2AB0">
        <w:rPr>
          <w:rStyle w:val="Referencingstyle"/>
        </w:rPr>
        <w:t xml:space="preserve">[Schedule </w:t>
      </w:r>
      <w:r w:rsidR="004A52A1">
        <w:rPr>
          <w:rStyle w:val="Referencingstyle"/>
        </w:rPr>
        <w:t>7</w:t>
      </w:r>
      <w:r w:rsidR="00FF6D0C" w:rsidRPr="004B2AB0">
        <w:rPr>
          <w:rStyle w:val="Referencingstyle"/>
        </w:rPr>
        <w:t>, item 16, section 243F]</w:t>
      </w:r>
    </w:p>
    <w:p w14:paraId="0112CF9A" w14:textId="36AF5F38" w:rsidR="00D8521E" w:rsidRPr="00F64A0C" w:rsidRDefault="00981689" w:rsidP="00D8521E">
      <w:pPr>
        <w:pStyle w:val="Heading3"/>
      </w:pPr>
      <w:r>
        <w:t>Amendments relating to ASIC’s investigation and information gathering powers and CCIVs</w:t>
      </w:r>
    </w:p>
    <w:p w14:paraId="71E7BBCD" w14:textId="470C4D5B" w:rsidR="00D8521E" w:rsidRPr="00512523" w:rsidRDefault="00512523" w:rsidP="00F64A0C">
      <w:pPr>
        <w:pStyle w:val="base-text-paragraph"/>
      </w:pPr>
      <w:r w:rsidRPr="00512523">
        <w:t>A</w:t>
      </w:r>
      <w:r>
        <w:t>SIC has certain powers in relation to body corporates and their employees, agents and officers. These include power</w:t>
      </w:r>
      <w:r w:rsidR="00FA6606">
        <w:t>s</w:t>
      </w:r>
      <w:r>
        <w:t xml:space="preserve"> to request information or documents, </w:t>
      </w:r>
      <w:r w:rsidR="00FA6606">
        <w:t>or</w:t>
      </w:r>
      <w:r w:rsidR="00224D59" w:rsidDel="00FA6606">
        <w:t xml:space="preserve"> </w:t>
      </w:r>
      <w:r w:rsidR="00224D59">
        <w:t>to hold hearings</w:t>
      </w:r>
      <w:r w:rsidR="00DC1D8A">
        <w:t xml:space="preserve">. </w:t>
      </w:r>
      <w:r w:rsidR="00FA6606">
        <w:t>Amendments</w:t>
      </w:r>
      <w:r w:rsidR="00DC1D8A" w:rsidDel="00FA6606">
        <w:t xml:space="preserve"> </w:t>
      </w:r>
      <w:r w:rsidR="00DC1D8A">
        <w:t xml:space="preserve">ensure that these provisions appropriately reflect the relationship between a CCIV and its corporate director. </w:t>
      </w:r>
    </w:p>
    <w:p w14:paraId="4AB625EF" w14:textId="288E63F6" w:rsidR="00FA6606" w:rsidRPr="00F43352" w:rsidRDefault="00FA6606" w:rsidP="00F64A0C">
      <w:pPr>
        <w:pStyle w:val="base-text-paragraph"/>
        <w:rPr>
          <w:rStyle w:val="Referencingstyle"/>
          <w:b w:val="0"/>
          <w:i w:val="0"/>
          <w:sz w:val="22"/>
        </w:rPr>
      </w:pPr>
      <w:r w:rsidRPr="00FA5B27">
        <w:t xml:space="preserve">The definition of ‘eligible person’ extends to </w:t>
      </w:r>
      <w:r w:rsidR="000A591E">
        <w:t xml:space="preserve">the corporate director of a CCIV or liquidator </w:t>
      </w:r>
      <w:r w:rsidR="000A591E" w:rsidRPr="000337C7">
        <w:t>of a sub</w:t>
      </w:r>
      <w:r w:rsidR="000A591E" w:rsidRPr="000337C7">
        <w:noBreakHyphen/>
        <w:t>fund</w:t>
      </w:r>
      <w:r w:rsidR="000A591E">
        <w:t>, as well as the officers of the corporate director or liquidator.</w:t>
      </w:r>
      <w:r w:rsidR="000337C7">
        <w:t xml:space="preserve"> </w:t>
      </w:r>
      <w:r w:rsidR="00602EE8">
        <w:t xml:space="preserve">This allows ASIC to request books relating to the affairs of the CCIV from the corporate director or its officers, or to require that person to give assistance to ASIC in connection with a prosecution under an offence in the Corporations legislation. </w:t>
      </w:r>
      <w:r w:rsidR="00602EE8" w:rsidRPr="004B2AB0">
        <w:rPr>
          <w:rStyle w:val="Referencingstyle"/>
        </w:rPr>
        <w:t xml:space="preserve">[Schedule </w:t>
      </w:r>
      <w:r w:rsidR="004A52A1">
        <w:rPr>
          <w:rStyle w:val="Referencingstyle"/>
        </w:rPr>
        <w:t>7</w:t>
      </w:r>
      <w:r w:rsidR="00602EE8" w:rsidRPr="004B2AB0">
        <w:rPr>
          <w:rStyle w:val="Referencingstyle"/>
        </w:rPr>
        <w:t>, items 1</w:t>
      </w:r>
      <w:r w:rsidR="00602EE8">
        <w:rPr>
          <w:rStyle w:val="Referencingstyle"/>
        </w:rPr>
        <w:t xml:space="preserve"> to </w:t>
      </w:r>
      <w:r w:rsidR="00602EE8" w:rsidRPr="004B2AB0">
        <w:rPr>
          <w:rStyle w:val="Referencingstyle"/>
        </w:rPr>
        <w:t>3, subsection 5(1), definition of eligible person]</w:t>
      </w:r>
    </w:p>
    <w:p w14:paraId="7D9DD1BB" w14:textId="799DAA3B" w:rsidR="00F43352" w:rsidRPr="00E74953" w:rsidRDefault="00D26D9F" w:rsidP="00F64A0C">
      <w:pPr>
        <w:pStyle w:val="base-text-paragraph"/>
        <w:rPr>
          <w:rStyle w:val="Referencingstyle"/>
          <w:b w:val="0"/>
          <w:i w:val="0"/>
          <w:sz w:val="22"/>
        </w:rPr>
      </w:pPr>
      <w:r w:rsidRPr="00FA5B27">
        <w:t>At a hearing held by ASIC, a</w:t>
      </w:r>
      <w:r w:rsidR="005B6046">
        <w:t xml:space="preserve"> CCIV may be represented at a hearing by an officer or employee of the corporate director who has been approved by ASIC, or by the liquidator of a sub</w:t>
      </w:r>
      <w:r w:rsidR="005B6046">
        <w:noBreakHyphen/>
        <w:t>fund</w:t>
      </w:r>
      <w:r>
        <w:t>.</w:t>
      </w:r>
      <w:r w:rsidR="006D51BD">
        <w:t xml:space="preserve"> Similarly, where the ASIC Act’s investigation and information</w:t>
      </w:r>
      <w:r w:rsidR="006D51BD">
        <w:noBreakHyphen/>
        <w:t>gathering provisions allow a person to make a requirement of a CCIV, then that requirement may also be made of a person who is</w:t>
      </w:r>
      <w:r w:rsidR="005B6046">
        <w:t xml:space="preserve"> or</w:t>
      </w:r>
      <w:r w:rsidR="006D51BD">
        <w:t xml:space="preserve"> has been the corporate director of the CCIV or an officer or employee of the corporate director, or the liquidator of a sub</w:t>
      </w:r>
      <w:r w:rsidR="006D51BD">
        <w:noBreakHyphen/>
        <w:t xml:space="preserve">fund. </w:t>
      </w:r>
      <w:r w:rsidR="006D51BD" w:rsidRPr="004B2AB0">
        <w:rPr>
          <w:rStyle w:val="Referencingstyle"/>
        </w:rPr>
        <w:t xml:space="preserve">[Schedule </w:t>
      </w:r>
      <w:r w:rsidR="004A52A1">
        <w:rPr>
          <w:rStyle w:val="Referencingstyle"/>
        </w:rPr>
        <w:t>7</w:t>
      </w:r>
      <w:r w:rsidR="006D51BD" w:rsidRPr="004B2AB0">
        <w:rPr>
          <w:rStyle w:val="Referencingstyle"/>
        </w:rPr>
        <w:t>, items 12-13, subsection 59(6) and section 84]</w:t>
      </w:r>
    </w:p>
    <w:p w14:paraId="39D817D3" w14:textId="49404FC2" w:rsidR="00E74953" w:rsidRPr="00512523" w:rsidRDefault="00E74953" w:rsidP="00F64A0C">
      <w:pPr>
        <w:pStyle w:val="base-text-paragraph"/>
      </w:pPr>
      <w:r>
        <w:t xml:space="preserve">Section </w:t>
      </w:r>
      <w:r w:rsidRPr="00CD7872">
        <w:t>93AA</w:t>
      </w:r>
      <w:r>
        <w:t xml:space="preserve"> of the ASIC Act sets out the process by which ASIC may accept an enforceable undertaking from a person (including CCIVs and corporate directors). This section continues to apply, however </w:t>
      </w:r>
      <w:r w:rsidR="004A52A1">
        <w:t xml:space="preserve">the new law </w:t>
      </w:r>
      <w:r>
        <w:t xml:space="preserve">applies in relation to conduct by a corporate director that concerns a CCIV. </w:t>
      </w:r>
      <w:r w:rsidR="00E36D9E">
        <w:t xml:space="preserve">This bespoke provision ensures that the same protections and remedies can apply in relation to a corporate director and CCIV as apply to a responsible entity and a registered scheme. </w:t>
      </w:r>
      <w:r w:rsidR="00E36D9E" w:rsidRPr="00412144">
        <w:rPr>
          <w:rStyle w:val="Referencingstyle"/>
        </w:rPr>
        <w:t xml:space="preserve">[Schedule </w:t>
      </w:r>
      <w:r w:rsidR="004A52A1">
        <w:rPr>
          <w:rStyle w:val="Referencingstyle"/>
        </w:rPr>
        <w:t>7</w:t>
      </w:r>
      <w:r w:rsidR="00E36D9E" w:rsidRPr="00412144">
        <w:rPr>
          <w:rStyle w:val="Referencingstyle"/>
        </w:rPr>
        <w:t>, item</w:t>
      </w:r>
      <w:r w:rsidR="00412144">
        <w:rPr>
          <w:rStyle w:val="Referencingstyle"/>
        </w:rPr>
        <w:t>s 14</w:t>
      </w:r>
      <w:r w:rsidR="00CD59B0">
        <w:rPr>
          <w:rStyle w:val="Referencingstyle"/>
        </w:rPr>
        <w:t xml:space="preserve"> to </w:t>
      </w:r>
      <w:r w:rsidR="00E36D9E" w:rsidRPr="00412144">
        <w:rPr>
          <w:rStyle w:val="Referencingstyle"/>
        </w:rPr>
        <w:t xml:space="preserve">15, </w:t>
      </w:r>
      <w:r w:rsidR="009265E0">
        <w:rPr>
          <w:rStyle w:val="Referencingstyle"/>
        </w:rPr>
        <w:t>heading to Part 3A</w:t>
      </w:r>
      <w:r w:rsidR="00CD59B0">
        <w:rPr>
          <w:rStyle w:val="Referencingstyle"/>
        </w:rPr>
        <w:t xml:space="preserve"> and </w:t>
      </w:r>
      <w:r w:rsidR="00E36D9E" w:rsidRPr="00412144">
        <w:rPr>
          <w:rStyle w:val="Referencingstyle"/>
        </w:rPr>
        <w:t>section 93B]</w:t>
      </w:r>
    </w:p>
    <w:p w14:paraId="69BB14DC" w14:textId="05026339" w:rsidR="00F64A0C" w:rsidRPr="00F64A0C" w:rsidRDefault="00F64A0C" w:rsidP="00F64A0C">
      <w:pPr>
        <w:pStyle w:val="Heading3"/>
      </w:pPr>
      <w:r>
        <w:t>Amendments to Division 2 of Part 2 of the ASIC Act</w:t>
      </w:r>
    </w:p>
    <w:p w14:paraId="5DC93809" w14:textId="511A57BF" w:rsidR="00D8521E" w:rsidRDefault="00D8521E" w:rsidP="00D8521E">
      <w:pPr>
        <w:pStyle w:val="Heading4"/>
      </w:pPr>
      <w:r>
        <w:t>Definitions in Division 2 of Part 2 of the ASIC Act</w:t>
      </w:r>
    </w:p>
    <w:p w14:paraId="4D51645C" w14:textId="4340AE4D" w:rsidR="004A6A29" w:rsidRDefault="004A6A29" w:rsidP="005C70EF">
      <w:pPr>
        <w:pStyle w:val="base-text-paragraph"/>
        <w:numPr>
          <w:ilvl w:val="1"/>
          <w:numId w:val="53"/>
        </w:numPr>
      </w:pPr>
      <w:r>
        <w:t xml:space="preserve">Division 2 of Part 2 of the ASIC Act </w:t>
      </w:r>
      <w:r w:rsidR="00F319C7">
        <w:t xml:space="preserve">provides the framework for </w:t>
      </w:r>
      <w:r>
        <w:t>ASIC</w:t>
      </w:r>
      <w:r w:rsidR="00F319C7">
        <w:t xml:space="preserve">’s </w:t>
      </w:r>
      <w:r>
        <w:t xml:space="preserve">jurisdiction </w:t>
      </w:r>
      <w:r w:rsidR="00F319C7">
        <w:t>over</w:t>
      </w:r>
      <w:r>
        <w:t xml:space="preserve"> </w:t>
      </w:r>
      <w:r w:rsidR="00F319C7">
        <w:t>unconscionable conduct and other consumer protections in relation to financial services. This Division has its own defined terms, even where that same term is defined for the rest of the ASIC Act.</w:t>
      </w:r>
      <w:r w:rsidR="00861251">
        <w:t xml:space="preserve"> To provide consistency across the Corporations </w:t>
      </w:r>
      <w:r w:rsidR="00201D3B">
        <w:t>Act and ASIC Act</w:t>
      </w:r>
      <w:r w:rsidR="00861251">
        <w:t xml:space="preserve">, the amendments to the ASIC Act are similar to those made to Chapter 7 of the Act. </w:t>
      </w:r>
    </w:p>
    <w:p w14:paraId="218E1217" w14:textId="607838A0" w:rsidR="000708A5" w:rsidRPr="007A0120" w:rsidRDefault="000708A5" w:rsidP="005C70EF">
      <w:pPr>
        <w:pStyle w:val="base-text-paragraph"/>
        <w:numPr>
          <w:ilvl w:val="1"/>
          <w:numId w:val="53"/>
        </w:numPr>
        <w:rPr>
          <w:rStyle w:val="Referencingstyle"/>
          <w:b w:val="0"/>
          <w:i w:val="0"/>
          <w:sz w:val="22"/>
        </w:rPr>
      </w:pPr>
      <w:r w:rsidRPr="00FA5B27">
        <w:t xml:space="preserve">Amendments to Division 2 of Part 2 of the ASIC Act ensure that the definition of </w:t>
      </w:r>
      <w:r>
        <w:rPr>
          <w:b/>
          <w:i/>
        </w:rPr>
        <w:t>financial service</w:t>
      </w:r>
      <w:r>
        <w:t xml:space="preserve"> for the purposes of that Division include financial services related to CCIVs</w:t>
      </w:r>
      <w:r w:rsidR="00A7230B">
        <w:t>; specifically</w:t>
      </w:r>
      <w:r>
        <w:t xml:space="preserve"> the financial services of ‘operating the business and conducting the affairs of the CCIV’ (</w:t>
      </w:r>
      <w:r w:rsidR="00A7230B">
        <w:t xml:space="preserve">undertaken </w:t>
      </w:r>
      <w:r>
        <w:t xml:space="preserve">by the corporate director) and acting as a depositary </w:t>
      </w:r>
      <w:r w:rsidR="0079128D">
        <w:t>of a CCIV</w:t>
      </w:r>
      <w:r>
        <w:t>.</w:t>
      </w:r>
      <w:r w:rsidR="0079128D">
        <w:t xml:space="preserve"> </w:t>
      </w:r>
      <w:r w:rsidR="00861251">
        <w:t xml:space="preserve">For the avoidance of doubt, operating a CCIV, operating the business and conducting the affairs of a CCIV, and acting as the depositary of the CCIV do not constitute providing a custodial or depository service. </w:t>
      </w:r>
      <w:r w:rsidR="0079128D" w:rsidRPr="004B2AB0">
        <w:rPr>
          <w:rStyle w:val="Referencingstyle"/>
        </w:rPr>
        <w:t>[</w:t>
      </w:r>
      <w:r w:rsidR="00ED145F" w:rsidRPr="00EF0809">
        <w:rPr>
          <w:rStyle w:val="Referencingstyle"/>
        </w:rPr>
        <w:t xml:space="preserve">Schedule </w:t>
      </w:r>
      <w:r w:rsidR="004A52A1">
        <w:rPr>
          <w:rStyle w:val="Referencingstyle"/>
        </w:rPr>
        <w:t>7</w:t>
      </w:r>
      <w:r w:rsidR="00ED145F" w:rsidRPr="00EF0809">
        <w:rPr>
          <w:rStyle w:val="Referencingstyle"/>
        </w:rPr>
        <w:t>, item</w:t>
      </w:r>
      <w:r w:rsidR="00861251">
        <w:rPr>
          <w:rStyle w:val="Referencingstyle"/>
        </w:rPr>
        <w:t>s</w:t>
      </w:r>
      <w:r w:rsidR="00ED145F" w:rsidRPr="00EF0809">
        <w:rPr>
          <w:rStyle w:val="Referencingstyle"/>
        </w:rPr>
        <w:t xml:space="preserve"> </w:t>
      </w:r>
      <w:r w:rsidR="00ED145F">
        <w:rPr>
          <w:rStyle w:val="Referencingstyle"/>
        </w:rPr>
        <w:t>5</w:t>
      </w:r>
      <w:r w:rsidR="00861251">
        <w:rPr>
          <w:rStyle w:val="Referencingstyle"/>
        </w:rPr>
        <w:t xml:space="preserve"> to 7</w:t>
      </w:r>
      <w:r w:rsidR="0079128D" w:rsidRPr="004B2AB0">
        <w:rPr>
          <w:rStyle w:val="Referencingstyle"/>
        </w:rPr>
        <w:t>, subsection</w:t>
      </w:r>
      <w:r w:rsidR="00861251">
        <w:rPr>
          <w:rStyle w:val="Referencingstyle"/>
        </w:rPr>
        <w:t>s</w:t>
      </w:r>
      <w:r w:rsidR="0079128D" w:rsidRPr="004B2AB0">
        <w:rPr>
          <w:rStyle w:val="Referencingstyle"/>
        </w:rPr>
        <w:t xml:space="preserve"> 12BAB(1)</w:t>
      </w:r>
      <w:r w:rsidR="00861251">
        <w:rPr>
          <w:rStyle w:val="Referencingstyle"/>
        </w:rPr>
        <w:t xml:space="preserve"> and 12BAB(14)</w:t>
      </w:r>
      <w:r w:rsidR="0079128D" w:rsidRPr="004B2AB0">
        <w:rPr>
          <w:rStyle w:val="Referencingstyle"/>
        </w:rPr>
        <w:t>]</w:t>
      </w:r>
    </w:p>
    <w:p w14:paraId="0C23C322" w14:textId="169863C2" w:rsidR="00837CB0" w:rsidRDefault="00837CB0" w:rsidP="00EF0809">
      <w:pPr>
        <w:pStyle w:val="Heading4"/>
      </w:pPr>
      <w:r w:rsidRPr="001E3191">
        <w:t>Liability framework for Subdivision G of Division 2 of Part 2 of the ASIC Act</w:t>
      </w:r>
    </w:p>
    <w:p w14:paraId="6F37B801" w14:textId="1475E1AF" w:rsidR="00837CB0" w:rsidRDefault="00837CB0" w:rsidP="005C70EF">
      <w:pPr>
        <w:pStyle w:val="base-text-paragraph"/>
        <w:numPr>
          <w:ilvl w:val="1"/>
          <w:numId w:val="53"/>
        </w:numPr>
      </w:pPr>
      <w:r>
        <w:t xml:space="preserve">Chapter 5 of the </w:t>
      </w:r>
      <w:r w:rsidRPr="001E3191">
        <w:t xml:space="preserve">Tranche 2 </w:t>
      </w:r>
      <w:r w:rsidR="001E3191">
        <w:t>E</w:t>
      </w:r>
      <w:r w:rsidRPr="001E3191">
        <w:t xml:space="preserve">xplanatory </w:t>
      </w:r>
      <w:r w:rsidR="001E3191">
        <w:t>M</w:t>
      </w:r>
      <w:r w:rsidRPr="001E3191">
        <w:t>aterials</w:t>
      </w:r>
      <w:r>
        <w:t xml:space="preserve"> sets out the liability framework for CCIVs. Broadly, </w:t>
      </w:r>
      <w:r w:rsidR="008B1EB4" w:rsidRPr="001E3191">
        <w:t xml:space="preserve">Part 8B.19 of </w:t>
      </w:r>
      <w:r w:rsidRPr="001E3191">
        <w:t xml:space="preserve">the </w:t>
      </w:r>
      <w:r w:rsidR="008B1EB4" w:rsidRPr="001E3191">
        <w:t>Tranche 2 exposure draft</w:t>
      </w:r>
      <w:r>
        <w:t xml:space="preserve"> provides that the corporate director of a CCIV is responsible for any contravention of the law by the CCIV, and is taken to have committed any offence or contravened the civil penalty provision instead of the CCIV. </w:t>
      </w:r>
    </w:p>
    <w:p w14:paraId="03C71BA2" w14:textId="1AAE910E" w:rsidR="0074410B" w:rsidRDefault="0074410B" w:rsidP="0074410B">
      <w:pPr>
        <w:pStyle w:val="base-text-paragraph"/>
        <w:numPr>
          <w:ilvl w:val="1"/>
          <w:numId w:val="53"/>
        </w:numPr>
      </w:pPr>
      <w:r>
        <w:t xml:space="preserve">Part 8B.17 establishes the liability framework for provisions of Chapter 7 of the Act, and proceedings under Chapter 7. These provisions are discussed in paragraphs 4.27 to 4.43 of the </w:t>
      </w:r>
      <w:r w:rsidRPr="001E3191">
        <w:t xml:space="preserve">Tranche 2 </w:t>
      </w:r>
      <w:r w:rsidR="001E3191" w:rsidRPr="001E3191">
        <w:t>E</w:t>
      </w:r>
      <w:r w:rsidRPr="001E3191">
        <w:t xml:space="preserve">xplanatory </w:t>
      </w:r>
      <w:r w:rsidR="001E3191" w:rsidRPr="001E3191">
        <w:t>M</w:t>
      </w:r>
      <w:r w:rsidRPr="001E3191">
        <w:t>aterials</w:t>
      </w:r>
      <w:r>
        <w:t xml:space="preserve">. </w:t>
      </w:r>
      <w:r w:rsidR="00A861D0">
        <w:t xml:space="preserve">Provisions in </w:t>
      </w:r>
      <w:r>
        <w:t xml:space="preserve">Chapter 7 of the Act </w:t>
      </w:r>
      <w:r w:rsidR="00A861D0">
        <w:t>are</w:t>
      </w:r>
      <w:r>
        <w:t xml:space="preserve"> treated separately to other offences in the Act and across Commonwealth laws</w:t>
      </w:r>
      <w:r w:rsidR="000B11C0">
        <w:t xml:space="preserve"> as </w:t>
      </w:r>
      <w:r w:rsidR="00A861D0">
        <w:t xml:space="preserve">Chapter 7 </w:t>
      </w:r>
      <w:proofErr w:type="spellStart"/>
      <w:r w:rsidR="000B11C0">
        <w:t>disapplies</w:t>
      </w:r>
      <w:proofErr w:type="spellEnd"/>
      <w:r w:rsidR="000B11C0">
        <w:t xml:space="preserve"> Part 2.5 of the Criminal Code and includes its own liability framework. </w:t>
      </w:r>
    </w:p>
    <w:p w14:paraId="50C6D8EE" w14:textId="19BF0BC1" w:rsidR="00A861D0" w:rsidRDefault="000B11C0" w:rsidP="0074410B">
      <w:pPr>
        <w:pStyle w:val="base-text-paragraph"/>
        <w:numPr>
          <w:ilvl w:val="1"/>
          <w:numId w:val="53"/>
        </w:numPr>
      </w:pPr>
      <w:r>
        <w:t xml:space="preserve">Subdivision G of Division 2 of Part 2 of the ASIC Act also </w:t>
      </w:r>
      <w:proofErr w:type="spellStart"/>
      <w:r w:rsidR="00ED145F">
        <w:t>disapplies</w:t>
      </w:r>
      <w:proofErr w:type="spellEnd"/>
      <w:r w:rsidR="00ED145F">
        <w:t xml:space="preserve"> Part 2.5 of the </w:t>
      </w:r>
      <w:r w:rsidR="00ED145F" w:rsidRPr="001E3191">
        <w:t>Criminal Code</w:t>
      </w:r>
      <w:r w:rsidR="00ED145F">
        <w:t xml:space="preserve">. </w:t>
      </w:r>
      <w:r w:rsidR="00A861D0">
        <w:t xml:space="preserve">This subdivision includes penalties for breaches of the consumer protection provisions in the Division. Rather than using Part 2.5 of the Criminal Code, </w:t>
      </w:r>
      <w:r w:rsidR="008560CE">
        <w:t xml:space="preserve">an </w:t>
      </w:r>
      <w:r w:rsidR="00867CC8">
        <w:t xml:space="preserve">alternative liability framework applies for proceedings under that subdivision. </w:t>
      </w:r>
      <w:r w:rsidR="008560CE">
        <w:t xml:space="preserve">this </w:t>
      </w:r>
      <w:r w:rsidR="00867CC8">
        <w:t xml:space="preserve">is similar to </w:t>
      </w:r>
      <w:r w:rsidR="00A861D0">
        <w:t>section 769B, which sets out how liability is assigned for the purposes of Chapter 7</w:t>
      </w:r>
      <w:r w:rsidR="008560CE">
        <w:t xml:space="preserve"> of the Act</w:t>
      </w:r>
      <w:r w:rsidR="00A861D0">
        <w:t>.</w:t>
      </w:r>
    </w:p>
    <w:p w14:paraId="3FFC0D9C" w14:textId="12FB002F" w:rsidR="004B1F38" w:rsidRPr="000727EB" w:rsidRDefault="00A861D0" w:rsidP="005C70EF">
      <w:pPr>
        <w:pStyle w:val="base-text-paragraph"/>
        <w:numPr>
          <w:ilvl w:val="1"/>
          <w:numId w:val="53"/>
        </w:numPr>
        <w:rPr>
          <w:rStyle w:val="Referencingstyle"/>
          <w:b w:val="0"/>
          <w:i w:val="0"/>
          <w:sz w:val="22"/>
        </w:rPr>
      </w:pPr>
      <w:r w:rsidRPr="00FA5B27">
        <w:t xml:space="preserve">To ensure consistency across the Corporations </w:t>
      </w:r>
      <w:r w:rsidR="008560CE">
        <w:t>Act and ASIC Act</w:t>
      </w:r>
      <w:r w:rsidRPr="00FA5B27">
        <w:t xml:space="preserve">, </w:t>
      </w:r>
      <w:r w:rsidR="003A698B">
        <w:t xml:space="preserve">a </w:t>
      </w:r>
      <w:r w:rsidRPr="00FA5B27">
        <w:t xml:space="preserve">new </w:t>
      </w:r>
      <w:r w:rsidR="003A698B">
        <w:t xml:space="preserve">alternative liability provision </w:t>
      </w:r>
      <w:r w:rsidRPr="00FA5B27">
        <w:t>is inserted in the ASIC Act</w:t>
      </w:r>
      <w:r w:rsidR="003A698B">
        <w:t xml:space="preserve"> for the purposes of Subdivision G of Division 2 of Part 2</w:t>
      </w:r>
      <w:r w:rsidRPr="00FA5B27">
        <w:t xml:space="preserve">. </w:t>
      </w:r>
      <w:r w:rsidR="008560CE">
        <w:t xml:space="preserve">This section </w:t>
      </w:r>
      <w:r w:rsidRPr="00FA5B27">
        <w:t xml:space="preserve">provides a comparable liability framework for CCIVs </w:t>
      </w:r>
      <w:r w:rsidR="008560CE">
        <w:t>to</w:t>
      </w:r>
      <w:r w:rsidR="008560CE" w:rsidRPr="00FA5B27">
        <w:t xml:space="preserve"> </w:t>
      </w:r>
      <w:r w:rsidRPr="00FA5B27">
        <w:t>that which applies under Chapter 7 (see </w:t>
      </w:r>
      <w:r w:rsidRPr="003801D6">
        <w:t xml:space="preserve">section 1250F of the Tranche 2 </w:t>
      </w:r>
      <w:r w:rsidR="00CB5682">
        <w:t>Explanatory Materials</w:t>
      </w:r>
      <w:r>
        <w:t>).</w:t>
      </w:r>
      <w:r w:rsidR="00F559FC" w:rsidRPr="00F559FC">
        <w:t xml:space="preserve"> </w:t>
      </w:r>
      <w:r w:rsidR="008560CE">
        <w:t>The new liability provision</w:t>
      </w:r>
      <w:r w:rsidR="00F559FC">
        <w:t xml:space="preserve"> operates in conjunction with Part</w:t>
      </w:r>
      <w:r w:rsidR="008560CE">
        <w:t> </w:t>
      </w:r>
      <w:r w:rsidR="00F559FC">
        <w:t xml:space="preserve">8B.19 to establish when a CCIV is taken to engage in conduct, or have a certain state of mind, and subsequently assigns liability to the corporate director if appropriate. </w:t>
      </w:r>
      <w:r w:rsidR="004B1F38">
        <w:t>Tailored provisions are required for the CCIV regime as a CCIV does not have employees and its only director is a corporate director, rather than a natural person director.</w:t>
      </w:r>
      <w:r w:rsidR="004B1F38" w:rsidRPr="000727EB">
        <w:rPr>
          <w:rStyle w:val="Referencingstyle"/>
        </w:rPr>
        <w:t xml:space="preserve"> </w:t>
      </w:r>
      <w:r w:rsidR="00F559FC" w:rsidRPr="000727EB">
        <w:rPr>
          <w:rStyle w:val="Referencingstyle"/>
        </w:rPr>
        <w:t xml:space="preserve">[Schedule </w:t>
      </w:r>
      <w:r w:rsidR="004A52A1">
        <w:rPr>
          <w:rStyle w:val="Referencingstyle"/>
        </w:rPr>
        <w:t>7</w:t>
      </w:r>
      <w:r w:rsidR="00F559FC" w:rsidRPr="000727EB">
        <w:rPr>
          <w:rStyle w:val="Referencingstyle"/>
        </w:rPr>
        <w:t>, item</w:t>
      </w:r>
      <w:r w:rsidR="007A0120">
        <w:rPr>
          <w:rStyle w:val="Referencingstyle"/>
        </w:rPr>
        <w:t>s 8 and 9</w:t>
      </w:r>
      <w:r w:rsidR="000727EB">
        <w:rPr>
          <w:rStyle w:val="Referencingstyle"/>
        </w:rPr>
        <w:t xml:space="preserve">, </w:t>
      </w:r>
      <w:r w:rsidR="007A0120">
        <w:rPr>
          <w:rStyle w:val="Referencingstyle"/>
        </w:rPr>
        <w:t xml:space="preserve">heading to section 12GH and </w:t>
      </w:r>
      <w:r w:rsidR="000727EB">
        <w:rPr>
          <w:rStyle w:val="Referencingstyle"/>
        </w:rPr>
        <w:t>subsections </w:t>
      </w:r>
      <w:r w:rsidR="00BB49CD" w:rsidRPr="000727EB">
        <w:rPr>
          <w:rStyle w:val="Referencingstyle"/>
        </w:rPr>
        <w:t>12GHA(1) and (2)]</w:t>
      </w:r>
    </w:p>
    <w:p w14:paraId="65E202B8" w14:textId="70E7DFD7" w:rsidR="000727EB" w:rsidRDefault="000727EB" w:rsidP="000727EB">
      <w:pPr>
        <w:pStyle w:val="base-text-paragraph"/>
      </w:pPr>
      <w:r w:rsidRPr="000727EB">
        <w:t>The following paragraphs describe how and when conduct is taken to also</w:t>
      </w:r>
      <w:r>
        <w:t xml:space="preserve"> have been engaged in by a CCIV.</w:t>
      </w:r>
    </w:p>
    <w:p w14:paraId="79010381" w14:textId="77777777" w:rsidR="000727EB" w:rsidRDefault="000727EB" w:rsidP="0028384C">
      <w:pPr>
        <w:pStyle w:val="Heading5"/>
      </w:pPr>
      <w:r>
        <w:t>Conduct engaged in by an agent of the CCIV</w:t>
      </w:r>
    </w:p>
    <w:p w14:paraId="36F06C24" w14:textId="4242C97D" w:rsidR="000727EB" w:rsidRDefault="000727EB" w:rsidP="000727EB">
      <w:pPr>
        <w:pStyle w:val="base-text-paragraph"/>
      </w:pPr>
      <w:r>
        <w:t xml:space="preserve">Conduct undertaken by an agent of the CCIV is taken to also have been engaged in by the CCIV where the agent was acting within the scope of the agent’s actual or apparent authority in relation to the CCIV. </w:t>
      </w:r>
      <w:r w:rsidRPr="001F050F">
        <w:rPr>
          <w:rStyle w:val="Referencingstyle"/>
        </w:rPr>
        <w:t xml:space="preserve">[Schedule </w:t>
      </w:r>
      <w:r w:rsidR="004A52A1">
        <w:rPr>
          <w:rStyle w:val="Referencingstyle"/>
        </w:rPr>
        <w:t>7</w:t>
      </w:r>
      <w:r w:rsidR="001F050F" w:rsidRPr="001F050F">
        <w:rPr>
          <w:rStyle w:val="Referencingstyle"/>
        </w:rPr>
        <w:t>, item 9</w:t>
      </w:r>
      <w:r w:rsidRPr="001F050F">
        <w:rPr>
          <w:rStyle w:val="Referencingstyle"/>
        </w:rPr>
        <w:t xml:space="preserve">, </w:t>
      </w:r>
      <w:r w:rsidR="001F050F" w:rsidRPr="001F050F">
        <w:rPr>
          <w:rStyle w:val="Referencingstyle"/>
        </w:rPr>
        <w:t>paragraph 12GHA</w:t>
      </w:r>
      <w:r w:rsidRPr="001F050F">
        <w:rPr>
          <w:rStyle w:val="Referencingstyle"/>
        </w:rPr>
        <w:t>(3)(a)]</w:t>
      </w:r>
    </w:p>
    <w:p w14:paraId="5C575D1C" w14:textId="77777777" w:rsidR="000727EB" w:rsidRDefault="000727EB" w:rsidP="0028384C">
      <w:pPr>
        <w:pStyle w:val="Heading5"/>
      </w:pPr>
      <w:r>
        <w:t>Conduct engaged in by the corporate director of the CCIV</w:t>
      </w:r>
    </w:p>
    <w:p w14:paraId="1E9BF023" w14:textId="1738A604" w:rsidR="000727EB" w:rsidRDefault="000727EB" w:rsidP="000727EB">
      <w:pPr>
        <w:pStyle w:val="base-text-paragraph"/>
      </w:pPr>
      <w:r>
        <w:t>Conduct undertaken by the corporate director of the CCIV is taken to also have been engaged in by the CCIV where the corporate director is acting within the scope of their actual or apparent authority in r</w:t>
      </w:r>
      <w:r w:rsidR="001F050F">
        <w:t xml:space="preserve">elation to the CCIV. </w:t>
      </w:r>
      <w:r w:rsidR="001F050F" w:rsidRPr="001F050F">
        <w:rPr>
          <w:rStyle w:val="Referencingstyle"/>
        </w:rPr>
        <w:t xml:space="preserve">[Schedule </w:t>
      </w:r>
      <w:r w:rsidR="004A52A1">
        <w:rPr>
          <w:rStyle w:val="Referencingstyle"/>
        </w:rPr>
        <w:t>7</w:t>
      </w:r>
      <w:r w:rsidRPr="001F050F">
        <w:rPr>
          <w:rStyle w:val="Referencingstyle"/>
        </w:rPr>
        <w:t xml:space="preserve">, item </w:t>
      </w:r>
      <w:r w:rsidR="001F050F" w:rsidRPr="001F050F">
        <w:rPr>
          <w:rStyle w:val="Referencingstyle"/>
        </w:rPr>
        <w:t>9</w:t>
      </w:r>
      <w:r w:rsidRPr="001F050F">
        <w:rPr>
          <w:rStyle w:val="Referencingstyle"/>
        </w:rPr>
        <w:t xml:space="preserve">, paragraph </w:t>
      </w:r>
      <w:r w:rsidR="001F050F" w:rsidRPr="001F050F">
        <w:rPr>
          <w:rStyle w:val="Referencingstyle"/>
        </w:rPr>
        <w:t>12GHA</w:t>
      </w:r>
      <w:r w:rsidRPr="001F050F">
        <w:rPr>
          <w:rStyle w:val="Referencingstyle"/>
        </w:rPr>
        <w:t>(3)(a)]</w:t>
      </w:r>
    </w:p>
    <w:p w14:paraId="5640BFA6" w14:textId="77777777" w:rsidR="000727EB" w:rsidRDefault="000727EB" w:rsidP="0028384C">
      <w:pPr>
        <w:pStyle w:val="Heading5"/>
      </w:pPr>
      <w:r>
        <w:t>Conduct engaged in by employees, directors or agents of the corporate director of a CCIV</w:t>
      </w:r>
    </w:p>
    <w:p w14:paraId="0D052610" w14:textId="7345A69D" w:rsidR="000727EB" w:rsidRDefault="000727EB" w:rsidP="000727EB">
      <w:pPr>
        <w:pStyle w:val="base-text-paragraph"/>
      </w:pPr>
      <w:r>
        <w:t>The actions of an employee of the corporate director of a CCIV are taken to also have been actions of the CCIV where the employee is acting within the actual or apparent scope of their employment, and within the actual apparent authority of the corporate director in r</w:t>
      </w:r>
      <w:r w:rsidR="001F050F">
        <w:t xml:space="preserve">elation to the CCIV. </w:t>
      </w:r>
      <w:r w:rsidR="001F050F" w:rsidRPr="001F050F">
        <w:rPr>
          <w:rStyle w:val="Referencingstyle"/>
        </w:rPr>
        <w:t xml:space="preserve">[Schedule </w:t>
      </w:r>
      <w:r w:rsidR="004A52A1">
        <w:rPr>
          <w:rStyle w:val="Referencingstyle"/>
        </w:rPr>
        <w:t>7</w:t>
      </w:r>
      <w:r w:rsidRPr="001F050F">
        <w:rPr>
          <w:rStyle w:val="Referencingstyle"/>
        </w:rPr>
        <w:t xml:space="preserve">, item </w:t>
      </w:r>
      <w:r w:rsidR="001F050F" w:rsidRPr="001F050F">
        <w:rPr>
          <w:rStyle w:val="Referencingstyle"/>
        </w:rPr>
        <w:t>9</w:t>
      </w:r>
      <w:r w:rsidRPr="001F050F">
        <w:rPr>
          <w:rStyle w:val="Referencingstyle"/>
        </w:rPr>
        <w:t xml:space="preserve">, paragraph </w:t>
      </w:r>
      <w:r w:rsidR="001F050F" w:rsidRPr="001F050F">
        <w:rPr>
          <w:rStyle w:val="Referencingstyle"/>
        </w:rPr>
        <w:t>12GHA</w:t>
      </w:r>
      <w:r w:rsidRPr="001F050F">
        <w:rPr>
          <w:rStyle w:val="Referencingstyle"/>
        </w:rPr>
        <w:t>(3)(b)]</w:t>
      </w:r>
    </w:p>
    <w:p w14:paraId="1991F6BA" w14:textId="5215D9F5" w:rsidR="000727EB" w:rsidRDefault="000727EB" w:rsidP="000727EB">
      <w:pPr>
        <w:pStyle w:val="base-text-paragraph"/>
      </w:pPr>
      <w:r>
        <w:t xml:space="preserve">Conduct undertaken by an agent or director of the corporate director is taken to also have been undertaken by the CCIV where the action is within the director or agent’s actual or apparent authority in relation to the corporate director, and within the scope of the actual or apparent authority of the corporate director in relation to the CCIV. </w:t>
      </w:r>
      <w:r w:rsidRPr="001F050F">
        <w:rPr>
          <w:rStyle w:val="Referencingstyle"/>
        </w:rPr>
        <w:t xml:space="preserve">[Schedule </w:t>
      </w:r>
      <w:r w:rsidR="004A52A1">
        <w:rPr>
          <w:rStyle w:val="Referencingstyle"/>
        </w:rPr>
        <w:t>7</w:t>
      </w:r>
      <w:r w:rsidRPr="001F050F">
        <w:rPr>
          <w:rStyle w:val="Referencingstyle"/>
        </w:rPr>
        <w:t xml:space="preserve">, item </w:t>
      </w:r>
      <w:r w:rsidR="001F050F">
        <w:rPr>
          <w:rStyle w:val="Referencingstyle"/>
        </w:rPr>
        <w:t>9</w:t>
      </w:r>
      <w:r w:rsidRPr="001F050F">
        <w:rPr>
          <w:rStyle w:val="Referencingstyle"/>
        </w:rPr>
        <w:t xml:space="preserve">, paragraph </w:t>
      </w:r>
      <w:r w:rsidR="001F050F">
        <w:rPr>
          <w:rStyle w:val="Referencingstyle"/>
        </w:rPr>
        <w:t>12GHA</w:t>
      </w:r>
      <w:r w:rsidRPr="001F050F">
        <w:rPr>
          <w:rStyle w:val="Referencingstyle"/>
        </w:rPr>
        <w:t>(3)(b)]</w:t>
      </w:r>
    </w:p>
    <w:p w14:paraId="6003FD73" w14:textId="77777777" w:rsidR="000727EB" w:rsidRDefault="000727EB" w:rsidP="0028384C">
      <w:pPr>
        <w:pStyle w:val="Heading5"/>
      </w:pPr>
      <w:r>
        <w:t>Conduct engaged in by any other person</w:t>
      </w:r>
    </w:p>
    <w:p w14:paraId="141F19D1" w14:textId="77777777" w:rsidR="000727EB" w:rsidRDefault="000727EB" w:rsidP="0028384C">
      <w:pPr>
        <w:pStyle w:val="Heading6"/>
      </w:pPr>
      <w:r>
        <w:t>With the consent or agreement of an agent of the CCIV or the corporate director of the CCIV</w:t>
      </w:r>
    </w:p>
    <w:p w14:paraId="082E3621" w14:textId="2B576EB0" w:rsidR="000727EB" w:rsidRDefault="000727EB" w:rsidP="000727EB">
      <w:pPr>
        <w:pStyle w:val="base-text-paragraph"/>
      </w:pPr>
      <w:r>
        <w:t>Conduct engaged in by another person is also taken to be undertaken by a CCIV when the conduct is undertaken at the direction of, or with the implied or explicit consent or agreement of, an agent of the CCIV, or the corporate director of the CCIV. However, the consent or agreement must be given within the scope of the actual or apparent authority of the agent or corporate d</w:t>
      </w:r>
      <w:r w:rsidR="00A82775">
        <w:t xml:space="preserve">irector of the CCIV. </w:t>
      </w:r>
      <w:r w:rsidR="00A82775" w:rsidRPr="007C5E70">
        <w:rPr>
          <w:rStyle w:val="Referencingstyle"/>
        </w:rPr>
        <w:t xml:space="preserve">[Schedule </w:t>
      </w:r>
      <w:r w:rsidR="004A52A1">
        <w:rPr>
          <w:rStyle w:val="Referencingstyle"/>
        </w:rPr>
        <w:t>7</w:t>
      </w:r>
      <w:r w:rsidR="00A82775" w:rsidRPr="007C5E70">
        <w:rPr>
          <w:rStyle w:val="Referencingstyle"/>
        </w:rPr>
        <w:t>, item 9</w:t>
      </w:r>
      <w:r w:rsidRPr="007C5E70">
        <w:rPr>
          <w:rStyle w:val="Referencingstyle"/>
        </w:rPr>
        <w:t xml:space="preserve">, paragraph </w:t>
      </w:r>
      <w:r w:rsidR="00A82775" w:rsidRPr="007C5E70">
        <w:rPr>
          <w:rStyle w:val="Referencingstyle"/>
        </w:rPr>
        <w:t>12GHA</w:t>
      </w:r>
      <w:r w:rsidRPr="007C5E70">
        <w:rPr>
          <w:rStyle w:val="Referencingstyle"/>
        </w:rPr>
        <w:t>(3)(c)]</w:t>
      </w:r>
    </w:p>
    <w:p w14:paraId="63235E4A" w14:textId="77777777" w:rsidR="000727EB" w:rsidRDefault="000727EB" w:rsidP="0028384C">
      <w:pPr>
        <w:pStyle w:val="Heading6"/>
      </w:pPr>
      <w:r>
        <w:t>With the consent or agreement of an employee, director or agent of the corporate director of the CCIV</w:t>
      </w:r>
    </w:p>
    <w:p w14:paraId="5EE522B5" w14:textId="77777777" w:rsidR="000727EB" w:rsidRDefault="000727EB" w:rsidP="000727EB">
      <w:pPr>
        <w:pStyle w:val="base-text-paragraph"/>
      </w:pPr>
      <w:r>
        <w:t>Conduct engaged in by a person with the consent or agreement of an employee, director or agent of the corporate director of the CCIV is also taken to be undertaken by the CCIV where:</w:t>
      </w:r>
    </w:p>
    <w:p w14:paraId="17717431" w14:textId="77777777" w:rsidR="000727EB" w:rsidRDefault="000727EB" w:rsidP="007C5E70">
      <w:pPr>
        <w:pStyle w:val="dotpoint"/>
      </w:pPr>
      <w:r>
        <w:t>the direction or consent is given within the actual or apparent scope of the employee’s employment, or the director or agent’s actual or apparent authority in relation to the corporate director; and</w:t>
      </w:r>
    </w:p>
    <w:p w14:paraId="768327A1" w14:textId="77777777" w:rsidR="000727EB" w:rsidRDefault="000727EB" w:rsidP="007C5E70">
      <w:pPr>
        <w:pStyle w:val="dotpoint"/>
      </w:pPr>
      <w:r>
        <w:t>the direction or consent is also given within the scope of the actual or apparent authority of the corporate director in relation to the CCIV.</w:t>
      </w:r>
    </w:p>
    <w:p w14:paraId="209455A9" w14:textId="543E11E1" w:rsidR="000727EB" w:rsidRPr="007C5E70" w:rsidRDefault="000727EB" w:rsidP="007C5E70">
      <w:pPr>
        <w:pStyle w:val="base-text-paragraph"/>
        <w:numPr>
          <w:ilvl w:val="0"/>
          <w:numId w:val="0"/>
        </w:numPr>
        <w:ind w:left="1134"/>
        <w:rPr>
          <w:rStyle w:val="Referencingstyle"/>
        </w:rPr>
      </w:pPr>
      <w:r w:rsidRPr="007C5E70">
        <w:rPr>
          <w:rStyle w:val="Referencingstyle"/>
        </w:rPr>
        <w:t xml:space="preserve">[Schedule </w:t>
      </w:r>
      <w:r w:rsidR="004A52A1">
        <w:rPr>
          <w:rStyle w:val="Referencingstyle"/>
        </w:rPr>
        <w:t>7</w:t>
      </w:r>
      <w:r w:rsidRPr="007C5E70">
        <w:rPr>
          <w:rStyle w:val="Referencingstyle"/>
        </w:rPr>
        <w:t xml:space="preserve">, item </w:t>
      </w:r>
      <w:r w:rsidR="007C5E70">
        <w:rPr>
          <w:rStyle w:val="Referencingstyle"/>
        </w:rPr>
        <w:t>9</w:t>
      </w:r>
      <w:r w:rsidRPr="007C5E70">
        <w:rPr>
          <w:rStyle w:val="Referencingstyle"/>
        </w:rPr>
        <w:t xml:space="preserve">, paragraph </w:t>
      </w:r>
      <w:r w:rsidR="007C5E70" w:rsidRPr="007C5E70">
        <w:rPr>
          <w:rStyle w:val="Referencingstyle"/>
        </w:rPr>
        <w:t>12GHA</w:t>
      </w:r>
      <w:r w:rsidRPr="007C5E70">
        <w:rPr>
          <w:rStyle w:val="Referencingstyle"/>
        </w:rPr>
        <w:t>(3)(d)]</w:t>
      </w:r>
    </w:p>
    <w:p w14:paraId="5D93DCB1" w14:textId="77777777" w:rsidR="007C5E70" w:rsidRDefault="007C5E70" w:rsidP="0028384C">
      <w:pPr>
        <w:pStyle w:val="Heading5"/>
      </w:pPr>
      <w:r>
        <w:t>Where a CCIV is taken to have the same state of mind as another person</w:t>
      </w:r>
    </w:p>
    <w:p w14:paraId="0C866552" w14:textId="6C40CA90" w:rsidR="007C5E70" w:rsidRDefault="003A698B" w:rsidP="007C5E70">
      <w:pPr>
        <w:pStyle w:val="base-text-paragraph"/>
      </w:pPr>
      <w:r>
        <w:t xml:space="preserve">The new law </w:t>
      </w:r>
      <w:r w:rsidR="007C5E70">
        <w:t xml:space="preserve">assigns a certain state of mind to a CCIV where a proceeding under Subdivision G of Division 2 of Part 2 requires establishing the state of mind of a CCIV in relation to conduct undertaken by the CCIV. This provides that the CCIV’s state of mind may be established by showing that one or more of the following people (who undertook the conduct) had that state of mind: </w:t>
      </w:r>
    </w:p>
    <w:p w14:paraId="1AE9A74D" w14:textId="77777777" w:rsidR="007C5E70" w:rsidRDefault="007C5E70" w:rsidP="00D8521E">
      <w:pPr>
        <w:pStyle w:val="dotpoint"/>
      </w:pPr>
      <w:r>
        <w:t>an agent of the CCIV engaging in the conduct within the scope of their actual or apparent authority in relation to the CCIV;</w:t>
      </w:r>
    </w:p>
    <w:p w14:paraId="10C3E468" w14:textId="77777777" w:rsidR="007C5E70" w:rsidRDefault="007C5E70" w:rsidP="00D8521E">
      <w:pPr>
        <w:pStyle w:val="dotpoint"/>
      </w:pPr>
      <w:r>
        <w:t>a director or agent of the corporate director of the CCIV engaging in the conduct within their actual or apparent authority and within the actual or apparent authority of the corporate director in relation to the CCIV; or</w:t>
      </w:r>
    </w:p>
    <w:p w14:paraId="461E1C6F" w14:textId="77777777" w:rsidR="007C5E70" w:rsidRDefault="007C5E70" w:rsidP="00D8521E">
      <w:pPr>
        <w:pStyle w:val="dotpoint"/>
      </w:pPr>
      <w:r>
        <w:t xml:space="preserve">an employee of the corporate director of the CCIV acting within the scope of their employment and within the scope of the actual or apparent authority of the corporate director in relation to the CCIV. </w:t>
      </w:r>
    </w:p>
    <w:p w14:paraId="0C35A013" w14:textId="0CA7F0C0" w:rsidR="007C5E70" w:rsidRPr="00D8521E" w:rsidRDefault="00D8521E" w:rsidP="00D8521E">
      <w:pPr>
        <w:pStyle w:val="base-text-paragraph"/>
        <w:numPr>
          <w:ilvl w:val="0"/>
          <w:numId w:val="0"/>
        </w:numPr>
        <w:ind w:left="1134"/>
        <w:rPr>
          <w:rStyle w:val="Referencingstyle"/>
        </w:rPr>
      </w:pPr>
      <w:r>
        <w:rPr>
          <w:rStyle w:val="Referencingstyle"/>
        </w:rPr>
        <w:t>[Schedule</w:t>
      </w:r>
      <w:r w:rsidR="004A52A1">
        <w:rPr>
          <w:rStyle w:val="Referencingstyle"/>
        </w:rPr>
        <w:t>7</w:t>
      </w:r>
      <w:r w:rsidR="007C5E70" w:rsidRPr="00D8521E">
        <w:rPr>
          <w:rStyle w:val="Referencingstyle"/>
        </w:rPr>
        <w:t xml:space="preserve">, item </w:t>
      </w:r>
      <w:r>
        <w:rPr>
          <w:rStyle w:val="Referencingstyle"/>
        </w:rPr>
        <w:t>9</w:t>
      </w:r>
      <w:r w:rsidR="007C5E70" w:rsidRPr="00D8521E">
        <w:rPr>
          <w:rStyle w:val="Referencingstyle"/>
        </w:rPr>
        <w:t xml:space="preserve">, </w:t>
      </w:r>
      <w:r>
        <w:rPr>
          <w:rStyle w:val="Referencingstyle"/>
        </w:rPr>
        <w:t>sub</w:t>
      </w:r>
      <w:r w:rsidR="007C5E70" w:rsidRPr="00D8521E">
        <w:rPr>
          <w:rStyle w:val="Referencingstyle"/>
        </w:rPr>
        <w:t>section</w:t>
      </w:r>
      <w:r>
        <w:rPr>
          <w:rStyle w:val="Referencingstyle"/>
        </w:rPr>
        <w:t xml:space="preserve">s 12GHA(4) to </w:t>
      </w:r>
      <w:r w:rsidR="007C5E70" w:rsidRPr="00D8521E">
        <w:rPr>
          <w:rStyle w:val="Referencingstyle"/>
        </w:rPr>
        <w:t>(</w:t>
      </w:r>
      <w:r>
        <w:rPr>
          <w:rStyle w:val="Referencingstyle"/>
        </w:rPr>
        <w:t>5</w:t>
      </w:r>
      <w:r w:rsidR="007C5E70" w:rsidRPr="00D8521E">
        <w:rPr>
          <w:rStyle w:val="Referencingstyle"/>
        </w:rPr>
        <w:t>)]</w:t>
      </w:r>
    </w:p>
    <w:p w14:paraId="31C9ED3A" w14:textId="21CBA196" w:rsidR="00132834" w:rsidRPr="00D8521E" w:rsidRDefault="007C5E70" w:rsidP="00D8521E">
      <w:pPr>
        <w:pStyle w:val="base-text-paragraph"/>
        <w:rPr>
          <w:rStyle w:val="Referencingstyle"/>
          <w:b w:val="0"/>
          <w:i w:val="0"/>
          <w:sz w:val="22"/>
        </w:rPr>
      </w:pPr>
      <w:r w:rsidRPr="00FA5B27">
        <w:t>For the purposes of establishing the state of mind of the CCIV, a person who is acting under the direction of an agent of the CCIV or the corporate director of the CCIV is taken to be an agent of the CCIV. A</w:t>
      </w:r>
      <w:r w:rsidRPr="003801D6">
        <w:t xml:space="preserve"> person acting under the direction of an employee, agent or director of the corporate director is taken to be an agent of the corporate director of the CCIV. </w:t>
      </w:r>
      <w:r w:rsidRPr="00D8521E">
        <w:rPr>
          <w:rStyle w:val="Referencingstyle"/>
        </w:rPr>
        <w:t xml:space="preserve">[Schedule </w:t>
      </w:r>
      <w:r w:rsidR="004A52A1">
        <w:rPr>
          <w:rStyle w:val="Referencingstyle"/>
        </w:rPr>
        <w:t>7</w:t>
      </w:r>
      <w:r w:rsidRPr="00D8521E">
        <w:rPr>
          <w:rStyle w:val="Referencingstyle"/>
        </w:rPr>
        <w:t xml:space="preserve">, item </w:t>
      </w:r>
      <w:r w:rsidR="00D8521E" w:rsidRPr="00D8521E">
        <w:rPr>
          <w:rStyle w:val="Referencingstyle"/>
        </w:rPr>
        <w:t>9</w:t>
      </w:r>
      <w:r w:rsidRPr="00D8521E">
        <w:rPr>
          <w:rStyle w:val="Referencingstyle"/>
        </w:rPr>
        <w:t xml:space="preserve">, </w:t>
      </w:r>
      <w:r w:rsidR="00D8521E">
        <w:rPr>
          <w:rStyle w:val="Referencingstyle"/>
        </w:rPr>
        <w:t>sub</w:t>
      </w:r>
      <w:r w:rsidRPr="00D8521E">
        <w:rPr>
          <w:rStyle w:val="Referencingstyle"/>
        </w:rPr>
        <w:t xml:space="preserve">section </w:t>
      </w:r>
      <w:r w:rsidR="00D8521E" w:rsidRPr="00D8521E">
        <w:rPr>
          <w:rStyle w:val="Referencingstyle"/>
        </w:rPr>
        <w:t>12GHA</w:t>
      </w:r>
      <w:r w:rsidRPr="00D8521E">
        <w:rPr>
          <w:rStyle w:val="Referencingstyle"/>
        </w:rPr>
        <w:t>(6)]</w:t>
      </w:r>
    </w:p>
    <w:p w14:paraId="2AB80E47" w14:textId="2EE40C91" w:rsidR="00D8521E" w:rsidRPr="00D8521E" w:rsidRDefault="00D8521E" w:rsidP="00D8521E">
      <w:pPr>
        <w:pStyle w:val="base-text-paragraph"/>
      </w:pPr>
      <w:r w:rsidRPr="00D8521E">
        <w:rPr>
          <w:rStyle w:val="Referencingstyle"/>
          <w:b w:val="0"/>
          <w:i w:val="0"/>
          <w:sz w:val="22"/>
        </w:rPr>
        <w:t>A reference to the state of m</w:t>
      </w:r>
      <w:r>
        <w:rPr>
          <w:rStyle w:val="Referencingstyle"/>
          <w:b w:val="0"/>
          <w:i w:val="0"/>
          <w:sz w:val="22"/>
        </w:rPr>
        <w:t xml:space="preserve">ind </w:t>
      </w:r>
      <w:r w:rsidR="00ED4BE1">
        <w:rPr>
          <w:rStyle w:val="Referencingstyle"/>
          <w:b w:val="0"/>
          <w:i w:val="0"/>
          <w:sz w:val="22"/>
        </w:rPr>
        <w:t xml:space="preserve">of a person </w:t>
      </w:r>
      <w:r>
        <w:rPr>
          <w:rStyle w:val="Referencingstyle"/>
          <w:b w:val="0"/>
          <w:i w:val="0"/>
          <w:sz w:val="22"/>
        </w:rPr>
        <w:t xml:space="preserve">includes a reference to </w:t>
      </w:r>
      <w:r w:rsidR="00ED4BE1">
        <w:rPr>
          <w:rStyle w:val="Referencingstyle"/>
          <w:b w:val="0"/>
          <w:i w:val="0"/>
          <w:sz w:val="22"/>
        </w:rPr>
        <w:t xml:space="preserve">the </w:t>
      </w:r>
      <w:r>
        <w:rPr>
          <w:rStyle w:val="Referencingstyle"/>
          <w:b w:val="0"/>
          <w:i w:val="0"/>
          <w:sz w:val="22"/>
        </w:rPr>
        <w:t xml:space="preserve">person’s knowledge, intention, opinion, belief or purpose of the person, and the reason that they hold that intention, opinion, belief or purpose. Note that this list is not exhaustive and state of mind could include other states of mind. </w:t>
      </w:r>
      <w:r w:rsidRPr="00D8521E">
        <w:rPr>
          <w:rStyle w:val="Referencingstyle"/>
        </w:rPr>
        <w:t xml:space="preserve">[Schedule </w:t>
      </w:r>
      <w:r w:rsidR="004A52A1">
        <w:rPr>
          <w:rStyle w:val="Referencingstyle"/>
        </w:rPr>
        <w:t>7</w:t>
      </w:r>
      <w:r w:rsidRPr="00D8521E">
        <w:rPr>
          <w:rStyle w:val="Referencingstyle"/>
        </w:rPr>
        <w:t>, item 9, subsection 12GHA(7)]</w:t>
      </w:r>
    </w:p>
    <w:p w14:paraId="73DE7FCA" w14:textId="4589642C" w:rsidR="00FE4A1C" w:rsidRPr="008F726E" w:rsidRDefault="0028384C" w:rsidP="0028384C">
      <w:pPr>
        <w:pStyle w:val="Heading4"/>
      </w:pPr>
      <w:r>
        <w:t>Defences for prosecutions under Subdivision G of Division 2 of Part 2</w:t>
      </w:r>
    </w:p>
    <w:p w14:paraId="6BEE4C0D" w14:textId="363F35B6" w:rsidR="00BF4C9D" w:rsidRDefault="002D7592" w:rsidP="0028384C">
      <w:pPr>
        <w:pStyle w:val="base-text-paragraph"/>
      </w:pPr>
      <w:r>
        <w:t>It is a defence to a prosecution under Subdivision G of Division 2 of Part 2 if the defendant can establish the existence of certain facts, including that the contravention was due to reasonable reliance on information supplied by another person, or that the contravention was due to the act or default of another person.</w:t>
      </w:r>
      <w:r w:rsidR="007E262A">
        <w:t xml:space="preserve"> However, this does not apply where the other person is an employee, agent, or director of the defendant. </w:t>
      </w:r>
    </w:p>
    <w:p w14:paraId="1EF559F9" w14:textId="38D9FD6A" w:rsidR="0028384C" w:rsidRPr="004B2AB0" w:rsidRDefault="007E262A" w:rsidP="0028384C">
      <w:pPr>
        <w:pStyle w:val="base-text-paragraph"/>
      </w:pPr>
      <w:r>
        <w:t xml:space="preserve">Amendments provide that where the defendant is a CCIV, the CCIV may not use this defence where the other person is the corporate director or an agent of the CCIV, or an employee, director or agent of the corporate director of the CCIV. These amendments ensure that the defence operates appropriately for CCIVs, given that the CCIV is a separate legal entity to its corporate director and is a passive investment vehicle without employees. </w:t>
      </w:r>
      <w:r w:rsidRPr="004B2AB0">
        <w:rPr>
          <w:rStyle w:val="Referencingstyle"/>
        </w:rPr>
        <w:t xml:space="preserve">[Schedule </w:t>
      </w:r>
      <w:r w:rsidR="004A52A1">
        <w:rPr>
          <w:rStyle w:val="Referencingstyle"/>
        </w:rPr>
        <w:t>7</w:t>
      </w:r>
      <w:r w:rsidR="004A52A1" w:rsidRPr="004B2AB0">
        <w:rPr>
          <w:rStyle w:val="Referencingstyle"/>
        </w:rPr>
        <w:t>,</w:t>
      </w:r>
      <w:r w:rsidRPr="004B2AB0">
        <w:rPr>
          <w:rStyle w:val="Referencingstyle"/>
        </w:rPr>
        <w:t xml:space="preserve"> items 10-11, subsection 12GI(2)(b)]</w:t>
      </w:r>
    </w:p>
    <w:p w14:paraId="5A6C52DB" w14:textId="7D7299F2" w:rsidR="001B053D" w:rsidRDefault="001B053D" w:rsidP="000271F7">
      <w:pPr>
        <w:pStyle w:val="base-text-paragraph"/>
        <w:numPr>
          <w:ilvl w:val="0"/>
          <w:numId w:val="0"/>
        </w:numPr>
        <w:ind w:left="1134"/>
      </w:pPr>
    </w:p>
    <w:sectPr w:rsidR="001B053D" w:rsidSect="00905701">
      <w:footerReference w:type="even" r:id="rId53"/>
      <w:footerReference w:type="default" r:id="rId54"/>
      <w:footerReference w:type="first" r:id="rId55"/>
      <w:type w:val="oddPage"/>
      <w:pgSz w:w="9979" w:h="14175" w:code="34"/>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9A00" w14:textId="77777777" w:rsidR="005F6C9B" w:rsidRDefault="005F6C9B" w:rsidP="00E679CA">
      <w:pPr>
        <w:spacing w:before="0" w:after="0"/>
      </w:pPr>
      <w:r>
        <w:separator/>
      </w:r>
    </w:p>
  </w:endnote>
  <w:endnote w:type="continuationSeparator" w:id="0">
    <w:p w14:paraId="7C7E1BC5" w14:textId="77777777" w:rsidR="005F6C9B" w:rsidRDefault="005F6C9B" w:rsidP="00E679CA">
      <w:pPr>
        <w:spacing w:before="0" w:after="0"/>
      </w:pPr>
      <w:r>
        <w:continuationSeparator/>
      </w:r>
    </w:p>
  </w:endnote>
  <w:endnote w:type="continuationNotice" w:id="1">
    <w:p w14:paraId="45083570" w14:textId="77777777" w:rsidR="005F6C9B" w:rsidRDefault="005F6C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93B6E" w14:textId="77777777" w:rsidR="005F6C9B" w:rsidRDefault="005F6C9B" w:rsidP="00F92FD8">
    <w:pPr>
      <w:pStyle w:val="leftfooter"/>
    </w:pPr>
    <w:r>
      <w:fldChar w:fldCharType="begin"/>
    </w:r>
    <w:r>
      <w:instrText xml:space="preserve"> PAGE   \* MERGEFORMAT </w:instrText>
    </w:r>
    <w:r>
      <w:fldChar w:fldCharType="separate"/>
    </w:r>
    <w:r>
      <w:rPr>
        <w:noProof/>
      </w:rPr>
      <w:t>97</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C308F" w14:textId="77777777" w:rsidR="005F6C9B" w:rsidRDefault="005F6C9B" w:rsidP="00F07705">
    <w:pPr>
      <w:pStyle w:val="leftfooter"/>
    </w:pPr>
    <w:r>
      <w:fldChar w:fldCharType="begin"/>
    </w:r>
    <w:r>
      <w:instrText xml:space="preserve"> PAGE   \* MERGEFORMAT </w:instrText>
    </w:r>
    <w:r>
      <w:fldChar w:fldCharType="separate"/>
    </w:r>
    <w:r w:rsidR="004B4ABA">
      <w:rPr>
        <w:noProof/>
      </w:rPr>
      <w:t>8</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A8D2" w14:textId="77777777" w:rsidR="005F6C9B" w:rsidRDefault="005F6C9B" w:rsidP="00F07705">
    <w:pPr>
      <w:pStyle w:val="rightfooter"/>
    </w:pPr>
    <w:r>
      <w:fldChar w:fldCharType="begin"/>
    </w:r>
    <w:r>
      <w:instrText xml:space="preserve"> PAGE   \* MERGEFORMAT </w:instrText>
    </w:r>
    <w:r>
      <w:fldChar w:fldCharType="separate"/>
    </w:r>
    <w:r w:rsidR="004B4ABA">
      <w:rPr>
        <w:noProof/>
      </w:rPr>
      <w:t>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87EDC" w14:textId="77777777" w:rsidR="005F6C9B" w:rsidRDefault="005F6C9B" w:rsidP="00F07705">
    <w:pPr>
      <w:pStyle w:val="rightfooter"/>
    </w:pPr>
    <w:r>
      <w:fldChar w:fldCharType="begin"/>
    </w:r>
    <w:r>
      <w:instrText xml:space="preserve"> PAGE  \* Arabic  \* MERGEFORMAT </w:instrText>
    </w:r>
    <w:r>
      <w:fldChar w:fldCharType="separate"/>
    </w:r>
    <w:r w:rsidR="004B4ABA">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2D153" w14:textId="77777777" w:rsidR="005F6C9B" w:rsidRDefault="005F6C9B" w:rsidP="003A5672">
    <w:pPr>
      <w:pStyle w:val="leftfooter"/>
    </w:pPr>
    <w:r>
      <w:fldChar w:fldCharType="begin"/>
    </w:r>
    <w:r>
      <w:instrText xml:space="preserve"> PAGE   \* MERGEFORMAT </w:instrText>
    </w:r>
    <w:r>
      <w:fldChar w:fldCharType="separate"/>
    </w:r>
    <w:r w:rsidR="004B4ABA">
      <w:rPr>
        <w:noProof/>
      </w:rPr>
      <w:t>16</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461C7" w14:textId="77777777" w:rsidR="005F6C9B" w:rsidRDefault="005F6C9B" w:rsidP="003A5672">
    <w:pPr>
      <w:pStyle w:val="rightfooter"/>
    </w:pPr>
    <w:r>
      <w:fldChar w:fldCharType="begin"/>
    </w:r>
    <w:r>
      <w:instrText xml:space="preserve"> PAGE   \* MERGEFORMAT </w:instrText>
    </w:r>
    <w:r>
      <w:fldChar w:fldCharType="separate"/>
    </w:r>
    <w:r w:rsidR="004B4ABA">
      <w:rPr>
        <w:noProof/>
      </w:rPr>
      <w:t>15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C475A" w14:textId="77777777" w:rsidR="005F6C9B" w:rsidRDefault="005F6C9B" w:rsidP="003A5672">
    <w:pPr>
      <w:pStyle w:val="rightfooter"/>
    </w:pPr>
    <w:r>
      <w:fldChar w:fldCharType="begin"/>
    </w:r>
    <w:r>
      <w:instrText xml:space="preserve"> PAGE  \* Arabic  \* MERGEFORMAT </w:instrText>
    </w:r>
    <w:r>
      <w:fldChar w:fldCharType="separate"/>
    </w:r>
    <w:r w:rsidR="004B4ABA">
      <w:rPr>
        <w:noProof/>
      </w:rPr>
      <w:t>9</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4C94C" w14:textId="77777777" w:rsidR="005F6C9B" w:rsidRDefault="005F6C9B" w:rsidP="00B8164F">
    <w:pPr>
      <w:pStyle w:val="leftfooter"/>
    </w:pPr>
    <w:r>
      <w:fldChar w:fldCharType="begin"/>
    </w:r>
    <w:r>
      <w:instrText xml:space="preserve"> PAGE   \* MERGEFORMAT </w:instrText>
    </w:r>
    <w:r>
      <w:fldChar w:fldCharType="separate"/>
    </w:r>
    <w:r w:rsidR="004B4ABA">
      <w:rPr>
        <w:noProof/>
      </w:rPr>
      <w:t>62</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3C85" w14:textId="77777777" w:rsidR="005F6C9B" w:rsidRDefault="005F6C9B" w:rsidP="00B8164F">
    <w:pPr>
      <w:pStyle w:val="rightfooter"/>
    </w:pPr>
    <w:r>
      <w:fldChar w:fldCharType="begin"/>
    </w:r>
    <w:r>
      <w:instrText xml:space="preserve"> PAGE   \* MERGEFORMAT </w:instrText>
    </w:r>
    <w:r>
      <w:fldChar w:fldCharType="separate"/>
    </w:r>
    <w:r w:rsidR="004B4ABA">
      <w:rPr>
        <w:noProof/>
      </w:rPr>
      <w:t>61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5F37" w14:textId="77777777" w:rsidR="005F6C9B" w:rsidRDefault="005F6C9B" w:rsidP="00B8164F">
    <w:pPr>
      <w:pStyle w:val="rightfooter"/>
    </w:pPr>
    <w:r>
      <w:fldChar w:fldCharType="begin"/>
    </w:r>
    <w:r>
      <w:instrText xml:space="preserve"> PAGE  \* Arabic  \* MERGEFORMAT </w:instrText>
    </w:r>
    <w:r>
      <w:fldChar w:fldCharType="separate"/>
    </w:r>
    <w:r w:rsidR="004B4ABA">
      <w:rPr>
        <w:noProof/>
      </w:rPr>
      <w:t>17</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2BFF7" w14:textId="77777777" w:rsidR="005F6C9B" w:rsidRDefault="005F6C9B" w:rsidP="009140E6">
    <w:pPr>
      <w:pStyle w:val="leftfooter"/>
    </w:pPr>
    <w:r>
      <w:fldChar w:fldCharType="begin"/>
    </w:r>
    <w:r>
      <w:instrText xml:space="preserve"> PAGE   \* MERGEFORMAT </w:instrText>
    </w:r>
    <w:r>
      <w:fldChar w:fldCharType="separate"/>
    </w:r>
    <w:r w:rsidR="004B4ABA">
      <w:rPr>
        <w:noProof/>
      </w:rPr>
      <w:t>76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6810C" w14:textId="77777777" w:rsidR="005F6C9B" w:rsidRDefault="005F6C9B" w:rsidP="00F92FD8">
    <w:pPr>
      <w:pStyle w:val="rightfooter"/>
    </w:pPr>
    <w:r>
      <w:fldChar w:fldCharType="begin"/>
    </w:r>
    <w:r>
      <w:instrText xml:space="preserve"> PAGE   \* MERGEFORMAT </w:instrText>
    </w:r>
    <w:r>
      <w:fldChar w:fldCharType="separate"/>
    </w:r>
    <w:r>
      <w:rPr>
        <w:noProof/>
      </w:rPr>
      <w:t>97</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72CB4" w14:textId="77777777" w:rsidR="005F6C9B" w:rsidRDefault="005F6C9B" w:rsidP="009140E6">
    <w:pPr>
      <w:pStyle w:val="rightfooter"/>
    </w:pPr>
    <w:r>
      <w:fldChar w:fldCharType="begin"/>
    </w:r>
    <w:r>
      <w:instrText xml:space="preserve"> PAGE   \* MERGEFORMAT </w:instrText>
    </w:r>
    <w:r>
      <w:fldChar w:fldCharType="separate"/>
    </w:r>
    <w:r w:rsidR="004B4ABA">
      <w:rPr>
        <w:noProof/>
      </w:rPr>
      <w:t>75</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295B3" w14:textId="77777777" w:rsidR="005F6C9B" w:rsidRDefault="005F6C9B" w:rsidP="009140E6">
    <w:pPr>
      <w:pStyle w:val="rightfooter"/>
    </w:pPr>
    <w:r>
      <w:fldChar w:fldCharType="begin"/>
    </w:r>
    <w:r>
      <w:instrText xml:space="preserve"> PAGE  \* Arabic  \* MERGEFORMAT </w:instrText>
    </w:r>
    <w:r>
      <w:fldChar w:fldCharType="separate"/>
    </w:r>
    <w:r w:rsidR="004B4ABA">
      <w:rPr>
        <w:noProof/>
      </w:rPr>
      <w:t>63</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B6370" w14:textId="77777777" w:rsidR="005F6C9B" w:rsidRDefault="005F6C9B" w:rsidP="00227DFB">
    <w:pPr>
      <w:pStyle w:val="leftfooter"/>
    </w:pPr>
    <w:r>
      <w:fldChar w:fldCharType="begin"/>
    </w:r>
    <w:r>
      <w:instrText xml:space="preserve"> PAGE   \* MERGEFORMAT </w:instrText>
    </w:r>
    <w:r>
      <w:fldChar w:fldCharType="separate"/>
    </w:r>
    <w:r w:rsidR="004B4ABA">
      <w:rPr>
        <w:noProof/>
      </w:rPr>
      <w:t>86</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954D" w14:textId="77777777" w:rsidR="005F6C9B" w:rsidRDefault="005F6C9B" w:rsidP="00227DFB">
    <w:pPr>
      <w:pStyle w:val="rightfooter"/>
    </w:pPr>
    <w:r>
      <w:fldChar w:fldCharType="begin"/>
    </w:r>
    <w:r>
      <w:instrText xml:space="preserve"> PAGE   \* MERGEFORMAT </w:instrText>
    </w:r>
    <w:r>
      <w:fldChar w:fldCharType="separate"/>
    </w:r>
    <w:r w:rsidR="004B4ABA">
      <w:rPr>
        <w:noProof/>
      </w:rPr>
      <w:t>85</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EC6B4" w14:textId="77777777" w:rsidR="005F6C9B" w:rsidRDefault="005F6C9B" w:rsidP="00227DFB">
    <w:pPr>
      <w:pStyle w:val="rightfooter"/>
    </w:pPr>
    <w:r>
      <w:fldChar w:fldCharType="begin"/>
    </w:r>
    <w:r>
      <w:instrText xml:space="preserve"> PAGE  \* Arabic  \* MERGEFORMAT </w:instrText>
    </w:r>
    <w:r>
      <w:fldChar w:fldCharType="separate"/>
    </w:r>
    <w:r w:rsidR="004B4ABA">
      <w:rPr>
        <w:noProof/>
      </w:rPr>
      <w:t>82</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8CBE0" w14:textId="77777777" w:rsidR="005F6C9B" w:rsidRDefault="005F6C9B" w:rsidP="00F92FD8">
    <w:pPr>
      <w:pStyle w:val="leftfooter"/>
    </w:pPr>
    <w:r>
      <w:fldChar w:fldCharType="begin"/>
    </w:r>
    <w:r>
      <w:instrText xml:space="preserve"> PAGE   \* MERGEFORMAT </w:instrText>
    </w:r>
    <w:r>
      <w:fldChar w:fldCharType="separate"/>
    </w:r>
    <w:r w:rsidR="004B4ABA">
      <w:rPr>
        <w:noProof/>
      </w:rPr>
      <w:t>96</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1BC72" w14:textId="77777777" w:rsidR="005F6C9B" w:rsidRDefault="005F6C9B" w:rsidP="00F92FD8">
    <w:pPr>
      <w:pStyle w:val="rightfooter"/>
    </w:pPr>
    <w:r>
      <w:fldChar w:fldCharType="begin"/>
    </w:r>
    <w:r>
      <w:instrText xml:space="preserve"> PAGE   \* MERGEFORMAT </w:instrText>
    </w:r>
    <w:r>
      <w:fldChar w:fldCharType="separate"/>
    </w:r>
    <w:r w:rsidR="004B4ABA">
      <w:rPr>
        <w:noProof/>
      </w:rPr>
      <w:t>97</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B67EE" w14:textId="77777777" w:rsidR="005F6C9B" w:rsidRDefault="005F6C9B" w:rsidP="00F92FD8">
    <w:pPr>
      <w:pStyle w:val="rightfooter"/>
    </w:pPr>
    <w:r>
      <w:fldChar w:fldCharType="begin"/>
    </w:r>
    <w:r>
      <w:instrText xml:space="preserve"> PAGE  \* Arabic  \* MERGEFORMAT </w:instrText>
    </w:r>
    <w:r>
      <w:fldChar w:fldCharType="separate"/>
    </w:r>
    <w:r w:rsidR="004B4ABA">
      <w:rPr>
        <w:noProof/>
      </w:rPr>
      <w:t>87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F5E0D" w14:textId="77777777" w:rsidR="005F6C9B" w:rsidRDefault="005F6C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1D3E7" w14:textId="77777777" w:rsidR="005F6C9B" w:rsidRDefault="005F6C9B" w:rsidP="00F92FD8">
    <w:pPr>
      <w:pStyle w:val="leftfooter"/>
    </w:pPr>
    <w:r>
      <w:fldChar w:fldCharType="begin"/>
    </w:r>
    <w:r>
      <w:instrText xml:space="preserve"> PAGE   \* MERGEFORMAT </w:instrText>
    </w:r>
    <w:r>
      <w:fldChar w:fldCharType="separate"/>
    </w:r>
    <w:r>
      <w:rPr>
        <w:noProof/>
      </w:rPr>
      <w:t>97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98A14" w14:textId="77777777" w:rsidR="005F6C9B" w:rsidRDefault="005F6C9B" w:rsidP="00F92FD8">
    <w:pPr>
      <w:pStyle w:val="rightfooter"/>
    </w:pPr>
    <w:r>
      <w:fldChar w:fldCharType="begin"/>
    </w:r>
    <w:r>
      <w:instrText xml:space="preserve"> PAGE   \* MERGEFORMAT </w:instrText>
    </w:r>
    <w:r>
      <w:fldChar w:fldCharType="separate"/>
    </w:r>
    <w:r>
      <w:rPr>
        <w:noProof/>
      </w:rPr>
      <w:t>97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AFD8" w14:textId="77777777" w:rsidR="005F6C9B" w:rsidRPr="00B2068E" w:rsidRDefault="005F6C9B" w:rsidP="00F92FD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FE65" w14:textId="77777777" w:rsidR="005F6C9B" w:rsidRDefault="005F6C9B" w:rsidP="00F92FD8">
    <w:pPr>
      <w:pStyle w:val="leftfooter"/>
    </w:pPr>
    <w:r>
      <w:fldChar w:fldCharType="begin"/>
    </w:r>
    <w:r>
      <w:instrText xml:space="preserve"> PAGE   \* MERGEFORMAT </w:instrText>
    </w:r>
    <w:r>
      <w:fldChar w:fldCharType="separate"/>
    </w:r>
    <w:r w:rsidR="004B4ABA">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58B48" w14:textId="77777777" w:rsidR="005F6C9B" w:rsidRDefault="005F6C9B" w:rsidP="00F92FD8">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F699" w14:textId="77777777" w:rsidR="005F6C9B" w:rsidRDefault="005F6C9B" w:rsidP="00F92FD8">
    <w:pPr>
      <w:pStyle w:val="rightfooter"/>
    </w:pPr>
    <w:r>
      <w:fldChar w:fldCharType="begin"/>
    </w:r>
    <w:r>
      <w:instrText xml:space="preserve"> PAGE  \* Arabic  \* MERGEFORMAT </w:instrText>
    </w:r>
    <w:r>
      <w:fldChar w:fldCharType="separate"/>
    </w:r>
    <w:r w:rsidR="004B4AB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3AC9D" w14:textId="77777777" w:rsidR="005F6C9B" w:rsidRDefault="005F6C9B" w:rsidP="00E679CA">
      <w:pPr>
        <w:spacing w:before="0" w:after="0"/>
      </w:pPr>
      <w:r>
        <w:separator/>
      </w:r>
    </w:p>
  </w:footnote>
  <w:footnote w:type="continuationSeparator" w:id="0">
    <w:p w14:paraId="0627BAC3" w14:textId="77777777" w:rsidR="005F6C9B" w:rsidRDefault="005F6C9B" w:rsidP="00E679CA">
      <w:pPr>
        <w:spacing w:before="0" w:after="0"/>
      </w:pPr>
      <w:r>
        <w:continuationSeparator/>
      </w:r>
    </w:p>
  </w:footnote>
  <w:footnote w:type="continuationNotice" w:id="1">
    <w:p w14:paraId="2393A771" w14:textId="77777777" w:rsidR="005F6C9B" w:rsidRDefault="005F6C9B">
      <w:pPr>
        <w:spacing w:before="0" w:after="0"/>
      </w:pPr>
    </w:p>
  </w:footnote>
  <w:footnote w:id="2">
    <w:p w14:paraId="340855E6" w14:textId="77777777" w:rsidR="005F6C9B" w:rsidRDefault="005F6C9B" w:rsidP="00E954C0">
      <w:pPr>
        <w:pStyle w:val="FootnoteText"/>
      </w:pPr>
      <w:r>
        <w:rPr>
          <w:rStyle w:val="FootnoteReference"/>
        </w:rPr>
        <w:footnoteRef/>
      </w:r>
      <w:r>
        <w:t xml:space="preserve"> The primary exceptions to this are the corporate director and the depositary. The law requires the corporate director to be a public company (see subsection 1238E(1) of the Tranche 1 Exposure Draft). It also requires the depositary to be a public company or a foreign company (see paragraph 1234C(a) of the Tranche 1 Exposure Draft).</w:t>
      </w:r>
    </w:p>
  </w:footnote>
  <w:footnote w:id="3">
    <w:p w14:paraId="519B29B2" w14:textId="621132B0" w:rsidR="005F6C9B" w:rsidRDefault="005F6C9B" w:rsidP="00AA3F3D">
      <w:pPr>
        <w:pStyle w:val="FootnoteText"/>
        <w:tabs>
          <w:tab w:val="clear" w:pos="284"/>
        </w:tabs>
      </w:pPr>
      <w:r>
        <w:rPr>
          <w:rStyle w:val="FootnoteReference"/>
        </w:rPr>
        <w:footnoteRef/>
      </w:r>
      <w:r>
        <w:t xml:space="preserve">     A CCIV is only permitted to appoint a corporate director as a director (see paragraph 5.14 of the Tranche 1 Explanatory Materials). However, if a person acts as a shadow director, that person is bound by all of the requirements that apply to other officers of the CCIVs.</w:t>
      </w:r>
    </w:p>
  </w:footnote>
  <w:footnote w:id="4">
    <w:p w14:paraId="64AD7EB5" w14:textId="1DDB8F52" w:rsidR="005F6C9B" w:rsidRDefault="005F6C9B" w:rsidP="00945D52">
      <w:pPr>
        <w:pStyle w:val="FootnoteText"/>
      </w:pPr>
      <w:r>
        <w:rPr>
          <w:rStyle w:val="FootnoteReference"/>
        </w:rPr>
        <w:footnoteRef/>
      </w:r>
      <w:r>
        <w:t xml:space="preserve">    This prohibition on the winding up of a sub-fund does not override subsection 5G(8) which provides that Chapter 5 of the Act does not apply to a scheme of arrangement, receivership or winding up carried out in accordance with a provision of a law of a State or Territory.</w:t>
      </w:r>
    </w:p>
  </w:footnote>
  <w:footnote w:id="5">
    <w:p w14:paraId="26F5A418" w14:textId="77777777" w:rsidR="005F6C9B" w:rsidRDefault="005F6C9B" w:rsidP="005B52C8">
      <w:pPr>
        <w:pStyle w:val="FootnoteText"/>
      </w:pPr>
      <w:r>
        <w:rPr>
          <w:rStyle w:val="FootnoteReference"/>
        </w:rPr>
        <w:footnoteRef/>
      </w:r>
      <w:r>
        <w:t xml:space="preserve">    An asset or liability of a CCIV that relates solely to the business of a sub-fund of the CCIV is allocated to that sub-fund. Where an asset or liability relates to more than one sub-fund, the asset or liability is allocated to the sub-fund in a proportion that is fair and reasonable in the circumstances. The corporate director of the CCIV must determine the proportion that is fair and reasonable in the circumstances. See Chapter 3 of the Tranche 1 Explanatory Materials.</w:t>
      </w:r>
    </w:p>
  </w:footnote>
  <w:footnote w:id="6">
    <w:p w14:paraId="3A093148" w14:textId="77777777" w:rsidR="005F6C9B" w:rsidRDefault="005F6C9B" w:rsidP="00A7307A">
      <w:pPr>
        <w:pStyle w:val="FootnoteText"/>
      </w:pPr>
      <w:r>
        <w:rPr>
          <w:rStyle w:val="FootnoteReference"/>
        </w:rPr>
        <w:footnoteRef/>
      </w:r>
      <w:r>
        <w:t xml:space="preserve"> </w:t>
      </w:r>
      <w:r>
        <w:tab/>
        <w:t>See existing section 70</w:t>
      </w:r>
      <w:r>
        <w:noBreakHyphen/>
        <w:t>35 of Schedule 2 to the Act.</w:t>
      </w:r>
    </w:p>
  </w:footnote>
  <w:footnote w:id="7">
    <w:p w14:paraId="10F2D568" w14:textId="49B572C8" w:rsidR="005F6C9B" w:rsidRDefault="005F6C9B" w:rsidP="004B3C41">
      <w:pPr>
        <w:pStyle w:val="FootnoteText"/>
      </w:pPr>
      <w:r>
        <w:rPr>
          <w:rStyle w:val="FootnoteReference"/>
        </w:rPr>
        <w:footnoteRef/>
      </w:r>
      <w:r>
        <w:t xml:space="preserve"> Generally, a security interest must be registered before the later of: (1) six months before the sub-fund commences winding-up; or (2) the end of 20 business days after the agreement was made or the time winding up commences (whichever is earlier). </w:t>
      </w:r>
    </w:p>
  </w:footnote>
  <w:footnote w:id="8">
    <w:p w14:paraId="5F3E87B7" w14:textId="43A121F8" w:rsidR="005F6C9B" w:rsidRDefault="005F6C9B">
      <w:pPr>
        <w:pStyle w:val="FootnoteText"/>
      </w:pPr>
      <w:r>
        <w:rPr>
          <w:rStyle w:val="FootnoteReference"/>
        </w:rPr>
        <w:footnoteRef/>
      </w:r>
      <w:r>
        <w:t xml:space="preserve"> Sections 592 to 594 (which relate to debts incurred before 1993) do not apply to CCIVs.</w:t>
      </w:r>
    </w:p>
  </w:footnote>
  <w:footnote w:id="9">
    <w:p w14:paraId="541685FF" w14:textId="190431DB" w:rsidR="005F6C9B" w:rsidRPr="00572286" w:rsidRDefault="005F6C9B" w:rsidP="00572286">
      <w:pPr>
        <w:pStyle w:val="base-text-paragraph"/>
        <w:numPr>
          <w:ilvl w:val="0"/>
          <w:numId w:val="0"/>
        </w:numPr>
        <w:ind w:left="1134"/>
        <w:rPr>
          <w:sz w:val="18"/>
          <w:szCs w:val="18"/>
        </w:rPr>
      </w:pPr>
      <w:r w:rsidRPr="00A2112C">
        <w:rPr>
          <w:rStyle w:val="FootnoteReference"/>
          <w:sz w:val="18"/>
          <w:szCs w:val="18"/>
        </w:rPr>
        <w:footnoteRef/>
      </w:r>
      <w:r w:rsidRPr="00A2112C">
        <w:rPr>
          <w:sz w:val="18"/>
          <w:szCs w:val="18"/>
        </w:rPr>
        <w:t xml:space="preserve"> The levy is to be imposed on the corporate director, as the only licensed entity, to ensure symmetry with the way that the ASIC Supervisory Cost Recovery Levy operates for responsible entities of registered schemes and operators of notified foreign passport funds. </w:t>
      </w:r>
    </w:p>
  </w:footnote>
  <w:footnote w:id="10">
    <w:p w14:paraId="257CFE55" w14:textId="368278F7" w:rsidR="005F6C9B" w:rsidRDefault="005F6C9B" w:rsidP="002D62A4">
      <w:pPr>
        <w:pStyle w:val="FootnoteText"/>
      </w:pPr>
      <w:r>
        <w:rPr>
          <w:rStyle w:val="FootnoteReference"/>
        </w:rPr>
        <w:footnoteRef/>
      </w:r>
      <w:r>
        <w:t xml:space="preserve"> Information about the ASIC Enforcement Review, including the Government’s response to the Review can be found at: </w:t>
      </w:r>
      <w:r w:rsidRPr="002D62A4">
        <w:t>https://treasury.gov.au/review/asic-enforcement-review/</w:t>
      </w:r>
      <w:r>
        <w:t>.</w:t>
      </w:r>
    </w:p>
  </w:footnote>
  <w:footnote w:id="11">
    <w:p w14:paraId="1AAA18A6" w14:textId="77777777" w:rsidR="005F6C9B" w:rsidRDefault="005F6C9B" w:rsidP="00E954C0">
      <w:pPr>
        <w:pStyle w:val="FootnoteText"/>
      </w:pPr>
      <w:r>
        <w:rPr>
          <w:rStyle w:val="FootnoteReference"/>
        </w:rPr>
        <w:footnoteRef/>
      </w:r>
      <w:r>
        <w:t xml:space="preserve">   Amendments have been made to the definition of a retail CCIV released for exposure in the Tranche 1 Exposure Draft. A CCIV will be a retail CCIV if it is promoted to retail clients, has retail clients (except in certain circumstances) or has notified ASIC that it is a retail CCIV.</w:t>
      </w:r>
    </w:p>
  </w:footnote>
  <w:footnote w:id="12">
    <w:p w14:paraId="0A804F88" w14:textId="77777777" w:rsidR="005F6C9B" w:rsidRDefault="005F6C9B" w:rsidP="00E954C0">
      <w:pPr>
        <w:pStyle w:val="FootnoteText"/>
      </w:pPr>
      <w:r>
        <w:rPr>
          <w:rStyle w:val="FootnoteReference"/>
        </w:rPr>
        <w:footnoteRef/>
      </w:r>
      <w:r>
        <w:t xml:space="preserve"> The Memorandum of Cooperation on the Establishment and Implementation of the Asia Region Funds Passport is available at: </w:t>
      </w:r>
      <w:hyperlink r:id="rId1" w:history="1">
        <w:r w:rsidRPr="00177978">
          <w:rPr>
            <w:rStyle w:val="Hyperlink"/>
          </w:rPr>
          <w:t>http://fundspassport.apec.org/2016/04/28/asia-region-funds-passport-memorandum-of-cooperation/</w:t>
        </w:r>
      </w:hyperlink>
      <w:r>
        <w:t>.</w:t>
      </w:r>
    </w:p>
    <w:p w14:paraId="7777C2DC" w14:textId="77777777" w:rsidR="005F6C9B" w:rsidRDefault="005F6C9B" w:rsidP="00E954C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922D0" w14:textId="77777777" w:rsidR="005F6C9B" w:rsidRDefault="005F6C9B" w:rsidP="00F92FD8">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364A0" w14:textId="77777777" w:rsidR="005F6C9B" w:rsidRDefault="005F6C9B" w:rsidP="00F92FD8">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1CBA991A" w14:textId="77777777" w:rsidR="005F6C9B" w:rsidRDefault="004B4ABA">
        <w:pPr>
          <w:pStyle w:val="Header"/>
        </w:pPr>
        <w:r>
          <w:rPr>
            <w:noProof/>
            <w:lang w:val="en-US" w:eastAsia="en-US"/>
          </w:rPr>
          <w:pict w14:anchorId="3953F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0DC71" w14:textId="77777777" w:rsidR="005F6C9B" w:rsidRDefault="005F6C9B" w:rsidP="00F92FD8">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FC1FA" w14:textId="77777777" w:rsidR="005F6C9B" w:rsidRDefault="005F6C9B" w:rsidP="00F92FD8">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713B8" w14:textId="77777777" w:rsidR="005F6C9B" w:rsidRDefault="005F6C9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0822" w14:textId="77777777" w:rsidR="005F6C9B" w:rsidRPr="00422FA2" w:rsidRDefault="004B4ABA" w:rsidP="00422FA2">
    <w:pPr>
      <w:pStyle w:val="leftheader"/>
    </w:pPr>
    <w:r>
      <w:fldChar w:fldCharType="begin"/>
    </w:r>
    <w:r>
      <w:instrText xml:space="preserve"> STYLEREF  "Bill Name"  \* MERGEFORMAT </w:instrText>
    </w:r>
    <w:r>
      <w:fldChar w:fldCharType="separate"/>
    </w:r>
    <w:r>
      <w:rPr>
        <w:noProof/>
      </w:rPr>
      <w:t>Treasury Laws Amendment (Corporate Collective Investment Vehicle) Bill 2018</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F1F4B" w14:textId="77777777" w:rsidR="005F6C9B" w:rsidRDefault="004B4ABA" w:rsidP="00F92FD8">
    <w:pPr>
      <w:pStyle w:val="rightheader"/>
    </w:pPr>
    <w:r>
      <w:fldChar w:fldCharType="begin"/>
    </w:r>
    <w:r>
      <w:instrText xml:space="preserve"> STYLEREF  "ChapterNameOnly"  \* MERGEFORMAT </w:instrText>
    </w:r>
    <w:r>
      <w:fldChar w:fldCharType="separate"/>
    </w:r>
    <w:r>
      <w:rPr>
        <w:noProof/>
      </w:rPr>
      <w:t>Other amendments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41C5A"/>
    <w:multiLevelType w:val="hybridMultilevel"/>
    <w:tmpl w:val="BD90B54E"/>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1">
    <w:nsid w:val="092C1555"/>
    <w:multiLevelType w:val="hybridMultilevel"/>
    <w:tmpl w:val="2C94A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427E32"/>
    <w:multiLevelType w:val="hybridMultilevel"/>
    <w:tmpl w:val="4CA83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924003A"/>
    <w:multiLevelType w:val="multilevel"/>
    <w:tmpl w:val="0B064FE8"/>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3708" w:hanging="360"/>
      </w:pPr>
    </w:lvl>
    <w:lvl w:ilvl="4">
      <w:start w:val="1"/>
      <w:numFmt w:val="lowerLetter"/>
      <w:lvlText w:val="(%5)"/>
      <w:lvlJc w:val="left"/>
      <w:pPr>
        <w:ind w:left="4068" w:hanging="360"/>
      </w:pPr>
    </w:lvl>
    <w:lvl w:ilvl="5">
      <w:start w:val="1"/>
      <w:numFmt w:val="lowerRoman"/>
      <w:lvlText w:val="(%6)"/>
      <w:lvlJc w:val="left"/>
      <w:pPr>
        <w:ind w:left="4428" w:hanging="360"/>
      </w:pPr>
    </w:lvl>
    <w:lvl w:ilvl="6">
      <w:start w:val="1"/>
      <w:numFmt w:val="decimal"/>
      <w:lvlText w:val="%7."/>
      <w:lvlJc w:val="left"/>
      <w:pPr>
        <w:ind w:left="4788" w:hanging="360"/>
      </w:pPr>
    </w:lvl>
    <w:lvl w:ilvl="7">
      <w:start w:val="1"/>
      <w:numFmt w:val="lowerLetter"/>
      <w:lvlText w:val="%8."/>
      <w:lvlJc w:val="left"/>
      <w:pPr>
        <w:ind w:left="5148" w:hanging="360"/>
      </w:pPr>
    </w:lvl>
    <w:lvl w:ilvl="8">
      <w:start w:val="1"/>
      <w:numFmt w:val="lowerRoman"/>
      <w:lvlText w:val="%9."/>
      <w:lvlJc w:val="left"/>
      <w:pPr>
        <w:ind w:left="5508" w:hanging="360"/>
      </w:pPr>
    </w:lvl>
  </w:abstractNum>
  <w:abstractNum w:abstractNumId="16">
    <w:nsid w:val="2B49537E"/>
    <w:multiLevelType w:val="hybridMultilevel"/>
    <w:tmpl w:val="AF4A2D0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nsid w:val="2D915A29"/>
    <w:multiLevelType w:val="hybridMultilevel"/>
    <w:tmpl w:val="21E0FE2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nsid w:val="31635C26"/>
    <w:multiLevelType w:val="hybridMultilevel"/>
    <w:tmpl w:val="D6808D70"/>
    <w:lvl w:ilvl="0" w:tplc="0C090001">
      <w:start w:val="1"/>
      <w:numFmt w:val="bullet"/>
      <w:lvlText w:val=""/>
      <w:lvlJc w:val="left"/>
      <w:pPr>
        <w:ind w:left="1859" w:hanging="360"/>
      </w:pPr>
      <w:rPr>
        <w:rFonts w:ascii="Symbol" w:hAnsi="Symbol" w:hint="default"/>
      </w:rPr>
    </w:lvl>
    <w:lvl w:ilvl="1" w:tplc="0C090003" w:tentative="1">
      <w:start w:val="1"/>
      <w:numFmt w:val="bullet"/>
      <w:lvlText w:val="o"/>
      <w:lvlJc w:val="left"/>
      <w:pPr>
        <w:ind w:left="2579" w:hanging="360"/>
      </w:pPr>
      <w:rPr>
        <w:rFonts w:ascii="Courier New" w:hAnsi="Courier New" w:cs="Courier New" w:hint="default"/>
      </w:rPr>
    </w:lvl>
    <w:lvl w:ilvl="2" w:tplc="0C090005" w:tentative="1">
      <w:start w:val="1"/>
      <w:numFmt w:val="bullet"/>
      <w:lvlText w:val=""/>
      <w:lvlJc w:val="left"/>
      <w:pPr>
        <w:ind w:left="3299" w:hanging="360"/>
      </w:pPr>
      <w:rPr>
        <w:rFonts w:ascii="Wingdings" w:hAnsi="Wingdings" w:hint="default"/>
      </w:rPr>
    </w:lvl>
    <w:lvl w:ilvl="3" w:tplc="0C090001" w:tentative="1">
      <w:start w:val="1"/>
      <w:numFmt w:val="bullet"/>
      <w:lvlText w:val=""/>
      <w:lvlJc w:val="left"/>
      <w:pPr>
        <w:ind w:left="4019" w:hanging="360"/>
      </w:pPr>
      <w:rPr>
        <w:rFonts w:ascii="Symbol" w:hAnsi="Symbol" w:hint="default"/>
      </w:rPr>
    </w:lvl>
    <w:lvl w:ilvl="4" w:tplc="0C090003" w:tentative="1">
      <w:start w:val="1"/>
      <w:numFmt w:val="bullet"/>
      <w:lvlText w:val="o"/>
      <w:lvlJc w:val="left"/>
      <w:pPr>
        <w:ind w:left="4739" w:hanging="360"/>
      </w:pPr>
      <w:rPr>
        <w:rFonts w:ascii="Courier New" w:hAnsi="Courier New" w:cs="Courier New" w:hint="default"/>
      </w:rPr>
    </w:lvl>
    <w:lvl w:ilvl="5" w:tplc="0C090005" w:tentative="1">
      <w:start w:val="1"/>
      <w:numFmt w:val="bullet"/>
      <w:lvlText w:val=""/>
      <w:lvlJc w:val="left"/>
      <w:pPr>
        <w:ind w:left="5459" w:hanging="360"/>
      </w:pPr>
      <w:rPr>
        <w:rFonts w:ascii="Wingdings" w:hAnsi="Wingdings" w:hint="default"/>
      </w:rPr>
    </w:lvl>
    <w:lvl w:ilvl="6" w:tplc="0C090001" w:tentative="1">
      <w:start w:val="1"/>
      <w:numFmt w:val="bullet"/>
      <w:lvlText w:val=""/>
      <w:lvlJc w:val="left"/>
      <w:pPr>
        <w:ind w:left="6179" w:hanging="360"/>
      </w:pPr>
      <w:rPr>
        <w:rFonts w:ascii="Symbol" w:hAnsi="Symbol" w:hint="default"/>
      </w:rPr>
    </w:lvl>
    <w:lvl w:ilvl="7" w:tplc="0C090003" w:tentative="1">
      <w:start w:val="1"/>
      <w:numFmt w:val="bullet"/>
      <w:lvlText w:val="o"/>
      <w:lvlJc w:val="left"/>
      <w:pPr>
        <w:ind w:left="6899" w:hanging="360"/>
      </w:pPr>
      <w:rPr>
        <w:rFonts w:ascii="Courier New" w:hAnsi="Courier New" w:cs="Courier New" w:hint="default"/>
      </w:rPr>
    </w:lvl>
    <w:lvl w:ilvl="8" w:tplc="0C090005" w:tentative="1">
      <w:start w:val="1"/>
      <w:numFmt w:val="bullet"/>
      <w:lvlText w:val=""/>
      <w:lvlJc w:val="left"/>
      <w:pPr>
        <w:ind w:left="7619" w:hanging="360"/>
      </w:pPr>
      <w:rPr>
        <w:rFonts w:ascii="Wingdings" w:hAnsi="Wingdings" w:hint="default"/>
      </w:rPr>
    </w:lvl>
  </w:abstractNum>
  <w:abstractNum w:abstractNumId="19">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4B6F96"/>
    <w:multiLevelType w:val="hybridMultilevel"/>
    <w:tmpl w:val="2F843AD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nsid w:val="3D714D4B"/>
    <w:multiLevelType w:val="multilevel"/>
    <w:tmpl w:val="A874F3CA"/>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3FF26218"/>
    <w:multiLevelType w:val="hybridMultilevel"/>
    <w:tmpl w:val="1F04401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nsid w:val="41F46F8B"/>
    <w:multiLevelType w:val="hybridMultilevel"/>
    <w:tmpl w:val="EC32E6B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E5E2760"/>
    <w:multiLevelType w:val="hybridMultilevel"/>
    <w:tmpl w:val="AEAC7F6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nsid w:val="50C60E72"/>
    <w:multiLevelType w:val="hybridMultilevel"/>
    <w:tmpl w:val="CA5E2A6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nsid w:val="53360B1D"/>
    <w:multiLevelType w:val="hybridMultilevel"/>
    <w:tmpl w:val="F854470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9">
    <w:nsid w:val="57593034"/>
    <w:multiLevelType w:val="hybridMultilevel"/>
    <w:tmpl w:val="08D097EE"/>
    <w:lvl w:ilvl="0" w:tplc="0C090001">
      <w:start w:val="1"/>
      <w:numFmt w:val="bullet"/>
      <w:lvlText w:val=""/>
      <w:lvlJc w:val="left"/>
      <w:pPr>
        <w:ind w:left="1859" w:hanging="360"/>
      </w:pPr>
      <w:rPr>
        <w:rFonts w:ascii="Symbol" w:hAnsi="Symbol" w:hint="default"/>
      </w:rPr>
    </w:lvl>
    <w:lvl w:ilvl="1" w:tplc="0C090003" w:tentative="1">
      <w:start w:val="1"/>
      <w:numFmt w:val="bullet"/>
      <w:lvlText w:val="o"/>
      <w:lvlJc w:val="left"/>
      <w:pPr>
        <w:ind w:left="2579" w:hanging="360"/>
      </w:pPr>
      <w:rPr>
        <w:rFonts w:ascii="Courier New" w:hAnsi="Courier New" w:cs="Courier New" w:hint="default"/>
      </w:rPr>
    </w:lvl>
    <w:lvl w:ilvl="2" w:tplc="0C090005" w:tentative="1">
      <w:start w:val="1"/>
      <w:numFmt w:val="bullet"/>
      <w:lvlText w:val=""/>
      <w:lvlJc w:val="left"/>
      <w:pPr>
        <w:ind w:left="3299" w:hanging="360"/>
      </w:pPr>
      <w:rPr>
        <w:rFonts w:ascii="Wingdings" w:hAnsi="Wingdings" w:hint="default"/>
      </w:rPr>
    </w:lvl>
    <w:lvl w:ilvl="3" w:tplc="0C090001" w:tentative="1">
      <w:start w:val="1"/>
      <w:numFmt w:val="bullet"/>
      <w:lvlText w:val=""/>
      <w:lvlJc w:val="left"/>
      <w:pPr>
        <w:ind w:left="4019" w:hanging="360"/>
      </w:pPr>
      <w:rPr>
        <w:rFonts w:ascii="Symbol" w:hAnsi="Symbol" w:hint="default"/>
      </w:rPr>
    </w:lvl>
    <w:lvl w:ilvl="4" w:tplc="0C090003" w:tentative="1">
      <w:start w:val="1"/>
      <w:numFmt w:val="bullet"/>
      <w:lvlText w:val="o"/>
      <w:lvlJc w:val="left"/>
      <w:pPr>
        <w:ind w:left="4739" w:hanging="360"/>
      </w:pPr>
      <w:rPr>
        <w:rFonts w:ascii="Courier New" w:hAnsi="Courier New" w:cs="Courier New" w:hint="default"/>
      </w:rPr>
    </w:lvl>
    <w:lvl w:ilvl="5" w:tplc="0C090005" w:tentative="1">
      <w:start w:val="1"/>
      <w:numFmt w:val="bullet"/>
      <w:lvlText w:val=""/>
      <w:lvlJc w:val="left"/>
      <w:pPr>
        <w:ind w:left="5459" w:hanging="360"/>
      </w:pPr>
      <w:rPr>
        <w:rFonts w:ascii="Wingdings" w:hAnsi="Wingdings" w:hint="default"/>
      </w:rPr>
    </w:lvl>
    <w:lvl w:ilvl="6" w:tplc="0C090001" w:tentative="1">
      <w:start w:val="1"/>
      <w:numFmt w:val="bullet"/>
      <w:lvlText w:val=""/>
      <w:lvlJc w:val="left"/>
      <w:pPr>
        <w:ind w:left="6179" w:hanging="360"/>
      </w:pPr>
      <w:rPr>
        <w:rFonts w:ascii="Symbol" w:hAnsi="Symbol" w:hint="default"/>
      </w:rPr>
    </w:lvl>
    <w:lvl w:ilvl="7" w:tplc="0C090003" w:tentative="1">
      <w:start w:val="1"/>
      <w:numFmt w:val="bullet"/>
      <w:lvlText w:val="o"/>
      <w:lvlJc w:val="left"/>
      <w:pPr>
        <w:ind w:left="6899" w:hanging="360"/>
      </w:pPr>
      <w:rPr>
        <w:rFonts w:ascii="Courier New" w:hAnsi="Courier New" w:cs="Courier New" w:hint="default"/>
      </w:rPr>
    </w:lvl>
    <w:lvl w:ilvl="8" w:tplc="0C090005" w:tentative="1">
      <w:start w:val="1"/>
      <w:numFmt w:val="bullet"/>
      <w:lvlText w:val=""/>
      <w:lvlJc w:val="left"/>
      <w:pPr>
        <w:ind w:left="7619" w:hanging="360"/>
      </w:pPr>
      <w:rPr>
        <w:rFonts w:ascii="Wingdings" w:hAnsi="Wingdings" w:hint="default"/>
      </w:rPr>
    </w:lvl>
  </w:abstractNum>
  <w:abstractNum w:abstractNumId="30">
    <w:nsid w:val="57D3756D"/>
    <w:multiLevelType w:val="hybridMultilevel"/>
    <w:tmpl w:val="554CA1E0"/>
    <w:lvl w:ilvl="0" w:tplc="0C090001">
      <w:start w:val="1"/>
      <w:numFmt w:val="bullet"/>
      <w:lvlText w:val=""/>
      <w:lvlJc w:val="left"/>
      <w:pPr>
        <w:ind w:left="2210" w:hanging="360"/>
      </w:pPr>
      <w:rPr>
        <w:rFonts w:ascii="Symbol" w:hAnsi="Symbol" w:hint="default"/>
      </w:rPr>
    </w:lvl>
    <w:lvl w:ilvl="1" w:tplc="0C090003" w:tentative="1">
      <w:start w:val="1"/>
      <w:numFmt w:val="bullet"/>
      <w:lvlText w:val="o"/>
      <w:lvlJc w:val="left"/>
      <w:pPr>
        <w:ind w:left="2930" w:hanging="360"/>
      </w:pPr>
      <w:rPr>
        <w:rFonts w:ascii="Courier New" w:hAnsi="Courier New" w:cs="Courier New" w:hint="default"/>
      </w:rPr>
    </w:lvl>
    <w:lvl w:ilvl="2" w:tplc="0C090005" w:tentative="1">
      <w:start w:val="1"/>
      <w:numFmt w:val="bullet"/>
      <w:lvlText w:val=""/>
      <w:lvlJc w:val="left"/>
      <w:pPr>
        <w:ind w:left="3650" w:hanging="360"/>
      </w:pPr>
      <w:rPr>
        <w:rFonts w:ascii="Wingdings" w:hAnsi="Wingdings" w:hint="default"/>
      </w:rPr>
    </w:lvl>
    <w:lvl w:ilvl="3" w:tplc="0C090001" w:tentative="1">
      <w:start w:val="1"/>
      <w:numFmt w:val="bullet"/>
      <w:lvlText w:val=""/>
      <w:lvlJc w:val="left"/>
      <w:pPr>
        <w:ind w:left="4370" w:hanging="360"/>
      </w:pPr>
      <w:rPr>
        <w:rFonts w:ascii="Symbol" w:hAnsi="Symbol" w:hint="default"/>
      </w:rPr>
    </w:lvl>
    <w:lvl w:ilvl="4" w:tplc="0C090003" w:tentative="1">
      <w:start w:val="1"/>
      <w:numFmt w:val="bullet"/>
      <w:lvlText w:val="o"/>
      <w:lvlJc w:val="left"/>
      <w:pPr>
        <w:ind w:left="5090" w:hanging="360"/>
      </w:pPr>
      <w:rPr>
        <w:rFonts w:ascii="Courier New" w:hAnsi="Courier New" w:cs="Courier New" w:hint="default"/>
      </w:rPr>
    </w:lvl>
    <w:lvl w:ilvl="5" w:tplc="0C090005" w:tentative="1">
      <w:start w:val="1"/>
      <w:numFmt w:val="bullet"/>
      <w:lvlText w:val=""/>
      <w:lvlJc w:val="left"/>
      <w:pPr>
        <w:ind w:left="5810" w:hanging="360"/>
      </w:pPr>
      <w:rPr>
        <w:rFonts w:ascii="Wingdings" w:hAnsi="Wingdings" w:hint="default"/>
      </w:rPr>
    </w:lvl>
    <w:lvl w:ilvl="6" w:tplc="0C090001" w:tentative="1">
      <w:start w:val="1"/>
      <w:numFmt w:val="bullet"/>
      <w:lvlText w:val=""/>
      <w:lvlJc w:val="left"/>
      <w:pPr>
        <w:ind w:left="6530" w:hanging="360"/>
      </w:pPr>
      <w:rPr>
        <w:rFonts w:ascii="Symbol" w:hAnsi="Symbol" w:hint="default"/>
      </w:rPr>
    </w:lvl>
    <w:lvl w:ilvl="7" w:tplc="0C090003" w:tentative="1">
      <w:start w:val="1"/>
      <w:numFmt w:val="bullet"/>
      <w:lvlText w:val="o"/>
      <w:lvlJc w:val="left"/>
      <w:pPr>
        <w:ind w:left="7250" w:hanging="360"/>
      </w:pPr>
      <w:rPr>
        <w:rFonts w:ascii="Courier New" w:hAnsi="Courier New" w:cs="Courier New" w:hint="default"/>
      </w:rPr>
    </w:lvl>
    <w:lvl w:ilvl="8" w:tplc="0C090005" w:tentative="1">
      <w:start w:val="1"/>
      <w:numFmt w:val="bullet"/>
      <w:lvlText w:val=""/>
      <w:lvlJc w:val="left"/>
      <w:pPr>
        <w:ind w:left="7970" w:hanging="360"/>
      </w:pPr>
      <w:rPr>
        <w:rFonts w:ascii="Wingdings" w:hAnsi="Wingdings" w:hint="default"/>
      </w:rPr>
    </w:lvl>
  </w:abstractNum>
  <w:abstractNum w:abstractNumId="3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3">
    <w:nsid w:val="60770F37"/>
    <w:multiLevelType w:val="hybridMultilevel"/>
    <w:tmpl w:val="B5E832BE"/>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34">
    <w:nsid w:val="645557FA"/>
    <w:multiLevelType w:val="hybridMultilevel"/>
    <w:tmpl w:val="9AD6B2B0"/>
    <w:lvl w:ilvl="0" w:tplc="0C090001">
      <w:start w:val="1"/>
      <w:numFmt w:val="bullet"/>
      <w:lvlText w:val=""/>
      <w:lvlJc w:val="left"/>
      <w:pPr>
        <w:ind w:left="1859" w:hanging="360"/>
      </w:pPr>
      <w:rPr>
        <w:rFonts w:ascii="Symbol" w:hAnsi="Symbol" w:hint="default"/>
      </w:rPr>
    </w:lvl>
    <w:lvl w:ilvl="1" w:tplc="0C090003" w:tentative="1">
      <w:start w:val="1"/>
      <w:numFmt w:val="bullet"/>
      <w:lvlText w:val="o"/>
      <w:lvlJc w:val="left"/>
      <w:pPr>
        <w:ind w:left="2579" w:hanging="360"/>
      </w:pPr>
      <w:rPr>
        <w:rFonts w:ascii="Courier New" w:hAnsi="Courier New" w:cs="Courier New" w:hint="default"/>
      </w:rPr>
    </w:lvl>
    <w:lvl w:ilvl="2" w:tplc="0C090005" w:tentative="1">
      <w:start w:val="1"/>
      <w:numFmt w:val="bullet"/>
      <w:lvlText w:val=""/>
      <w:lvlJc w:val="left"/>
      <w:pPr>
        <w:ind w:left="3299" w:hanging="360"/>
      </w:pPr>
      <w:rPr>
        <w:rFonts w:ascii="Wingdings" w:hAnsi="Wingdings" w:hint="default"/>
      </w:rPr>
    </w:lvl>
    <w:lvl w:ilvl="3" w:tplc="0C090001" w:tentative="1">
      <w:start w:val="1"/>
      <w:numFmt w:val="bullet"/>
      <w:lvlText w:val=""/>
      <w:lvlJc w:val="left"/>
      <w:pPr>
        <w:ind w:left="4019" w:hanging="360"/>
      </w:pPr>
      <w:rPr>
        <w:rFonts w:ascii="Symbol" w:hAnsi="Symbol" w:hint="default"/>
      </w:rPr>
    </w:lvl>
    <w:lvl w:ilvl="4" w:tplc="0C090003" w:tentative="1">
      <w:start w:val="1"/>
      <w:numFmt w:val="bullet"/>
      <w:lvlText w:val="o"/>
      <w:lvlJc w:val="left"/>
      <w:pPr>
        <w:ind w:left="4739" w:hanging="360"/>
      </w:pPr>
      <w:rPr>
        <w:rFonts w:ascii="Courier New" w:hAnsi="Courier New" w:cs="Courier New" w:hint="default"/>
      </w:rPr>
    </w:lvl>
    <w:lvl w:ilvl="5" w:tplc="0C090005" w:tentative="1">
      <w:start w:val="1"/>
      <w:numFmt w:val="bullet"/>
      <w:lvlText w:val=""/>
      <w:lvlJc w:val="left"/>
      <w:pPr>
        <w:ind w:left="5459" w:hanging="360"/>
      </w:pPr>
      <w:rPr>
        <w:rFonts w:ascii="Wingdings" w:hAnsi="Wingdings" w:hint="default"/>
      </w:rPr>
    </w:lvl>
    <w:lvl w:ilvl="6" w:tplc="0C090001" w:tentative="1">
      <w:start w:val="1"/>
      <w:numFmt w:val="bullet"/>
      <w:lvlText w:val=""/>
      <w:lvlJc w:val="left"/>
      <w:pPr>
        <w:ind w:left="6179" w:hanging="360"/>
      </w:pPr>
      <w:rPr>
        <w:rFonts w:ascii="Symbol" w:hAnsi="Symbol" w:hint="default"/>
      </w:rPr>
    </w:lvl>
    <w:lvl w:ilvl="7" w:tplc="0C090003" w:tentative="1">
      <w:start w:val="1"/>
      <w:numFmt w:val="bullet"/>
      <w:lvlText w:val="o"/>
      <w:lvlJc w:val="left"/>
      <w:pPr>
        <w:ind w:left="6899" w:hanging="360"/>
      </w:pPr>
      <w:rPr>
        <w:rFonts w:ascii="Courier New" w:hAnsi="Courier New" w:cs="Courier New" w:hint="default"/>
      </w:rPr>
    </w:lvl>
    <w:lvl w:ilvl="8" w:tplc="0C090005" w:tentative="1">
      <w:start w:val="1"/>
      <w:numFmt w:val="bullet"/>
      <w:lvlText w:val=""/>
      <w:lvlJc w:val="left"/>
      <w:pPr>
        <w:ind w:left="7619" w:hanging="360"/>
      </w:pPr>
      <w:rPr>
        <w:rFonts w:ascii="Wingdings" w:hAnsi="Wingdings" w:hint="default"/>
      </w:rPr>
    </w:lvl>
  </w:abstractNum>
  <w:abstractNum w:abstractNumId="35">
    <w:nsid w:val="65DF6494"/>
    <w:multiLevelType w:val="multilevel"/>
    <w:tmpl w:val="A874F3CA"/>
    <w:numStyleLink w:val="ChapterList"/>
  </w:abstractNum>
  <w:abstractNum w:abstractNumId="36">
    <w:nsid w:val="677F49FE"/>
    <w:multiLevelType w:val="hybridMultilevel"/>
    <w:tmpl w:val="907095B6"/>
    <w:lvl w:ilvl="0" w:tplc="0C090001">
      <w:start w:val="1"/>
      <w:numFmt w:val="bullet"/>
      <w:lvlText w:val=""/>
      <w:lvlJc w:val="left"/>
      <w:pPr>
        <w:ind w:left="1909" w:hanging="360"/>
      </w:pPr>
      <w:rPr>
        <w:rFonts w:ascii="Symbol" w:hAnsi="Symbol" w:hint="default"/>
      </w:rPr>
    </w:lvl>
    <w:lvl w:ilvl="1" w:tplc="0C090003" w:tentative="1">
      <w:start w:val="1"/>
      <w:numFmt w:val="bullet"/>
      <w:lvlText w:val="o"/>
      <w:lvlJc w:val="left"/>
      <w:pPr>
        <w:ind w:left="2629" w:hanging="360"/>
      </w:pPr>
      <w:rPr>
        <w:rFonts w:ascii="Courier New" w:hAnsi="Courier New" w:cs="Courier New" w:hint="default"/>
      </w:rPr>
    </w:lvl>
    <w:lvl w:ilvl="2" w:tplc="0C090005" w:tentative="1">
      <w:start w:val="1"/>
      <w:numFmt w:val="bullet"/>
      <w:lvlText w:val=""/>
      <w:lvlJc w:val="left"/>
      <w:pPr>
        <w:ind w:left="3349" w:hanging="360"/>
      </w:pPr>
      <w:rPr>
        <w:rFonts w:ascii="Wingdings" w:hAnsi="Wingdings" w:hint="default"/>
      </w:rPr>
    </w:lvl>
    <w:lvl w:ilvl="3" w:tplc="0C090001" w:tentative="1">
      <w:start w:val="1"/>
      <w:numFmt w:val="bullet"/>
      <w:lvlText w:val=""/>
      <w:lvlJc w:val="left"/>
      <w:pPr>
        <w:ind w:left="4069" w:hanging="360"/>
      </w:pPr>
      <w:rPr>
        <w:rFonts w:ascii="Symbol" w:hAnsi="Symbol" w:hint="default"/>
      </w:rPr>
    </w:lvl>
    <w:lvl w:ilvl="4" w:tplc="0C090003" w:tentative="1">
      <w:start w:val="1"/>
      <w:numFmt w:val="bullet"/>
      <w:lvlText w:val="o"/>
      <w:lvlJc w:val="left"/>
      <w:pPr>
        <w:ind w:left="4789" w:hanging="360"/>
      </w:pPr>
      <w:rPr>
        <w:rFonts w:ascii="Courier New" w:hAnsi="Courier New" w:cs="Courier New" w:hint="default"/>
      </w:rPr>
    </w:lvl>
    <w:lvl w:ilvl="5" w:tplc="0C090005" w:tentative="1">
      <w:start w:val="1"/>
      <w:numFmt w:val="bullet"/>
      <w:lvlText w:val=""/>
      <w:lvlJc w:val="left"/>
      <w:pPr>
        <w:ind w:left="5509" w:hanging="360"/>
      </w:pPr>
      <w:rPr>
        <w:rFonts w:ascii="Wingdings" w:hAnsi="Wingdings" w:hint="default"/>
      </w:rPr>
    </w:lvl>
    <w:lvl w:ilvl="6" w:tplc="0C090001" w:tentative="1">
      <w:start w:val="1"/>
      <w:numFmt w:val="bullet"/>
      <w:lvlText w:val=""/>
      <w:lvlJc w:val="left"/>
      <w:pPr>
        <w:ind w:left="6229" w:hanging="360"/>
      </w:pPr>
      <w:rPr>
        <w:rFonts w:ascii="Symbol" w:hAnsi="Symbol" w:hint="default"/>
      </w:rPr>
    </w:lvl>
    <w:lvl w:ilvl="7" w:tplc="0C090003" w:tentative="1">
      <w:start w:val="1"/>
      <w:numFmt w:val="bullet"/>
      <w:lvlText w:val="o"/>
      <w:lvlJc w:val="left"/>
      <w:pPr>
        <w:ind w:left="6949" w:hanging="360"/>
      </w:pPr>
      <w:rPr>
        <w:rFonts w:ascii="Courier New" w:hAnsi="Courier New" w:cs="Courier New" w:hint="default"/>
      </w:rPr>
    </w:lvl>
    <w:lvl w:ilvl="8" w:tplc="0C090005" w:tentative="1">
      <w:start w:val="1"/>
      <w:numFmt w:val="bullet"/>
      <w:lvlText w:val=""/>
      <w:lvlJc w:val="left"/>
      <w:pPr>
        <w:ind w:left="7669" w:hanging="360"/>
      </w:pPr>
      <w:rPr>
        <w:rFonts w:ascii="Wingdings" w:hAnsi="Wingdings" w:hint="default"/>
      </w:rPr>
    </w:lvl>
  </w:abstractNum>
  <w:abstractNum w:abstractNumId="37">
    <w:nsid w:val="6A200D04"/>
    <w:multiLevelType w:val="hybridMultilevel"/>
    <w:tmpl w:val="EEBA072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8">
    <w:nsid w:val="6BDE5F55"/>
    <w:multiLevelType w:val="hybridMultilevel"/>
    <w:tmpl w:val="1736F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B1656B2"/>
    <w:multiLevelType w:val="multilevel"/>
    <w:tmpl w:val="5088D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7E1655C4"/>
    <w:multiLevelType w:val="multilevel"/>
    <w:tmpl w:val="8DA44BDA"/>
    <w:name w:val="StandardNumberedList"/>
    <w:lvl w:ilvl="0">
      <w:start w:val="1"/>
      <w:numFmt w:val="decimal"/>
      <w:pStyle w:val="OutlineNumbered1"/>
      <w:lvlText w:val="%1."/>
      <w:lvlJc w:val="left"/>
      <w:pPr>
        <w:tabs>
          <w:tab w:val="num" w:pos="2480"/>
        </w:tabs>
        <w:ind w:left="2480" w:hanging="520"/>
      </w:pPr>
    </w:lvl>
    <w:lvl w:ilvl="1">
      <w:start w:val="1"/>
      <w:numFmt w:val="decimal"/>
      <w:pStyle w:val="OutlineNumbered2"/>
      <w:lvlText w:val="%1.%2."/>
      <w:lvlJc w:val="left"/>
      <w:pPr>
        <w:tabs>
          <w:tab w:val="num" w:pos="3000"/>
        </w:tabs>
        <w:ind w:left="3000" w:hanging="520"/>
      </w:pPr>
    </w:lvl>
    <w:lvl w:ilvl="2">
      <w:start w:val="1"/>
      <w:numFmt w:val="decimal"/>
      <w:pStyle w:val="OutlineNumbered3"/>
      <w:lvlText w:val="%1.%2.%3."/>
      <w:lvlJc w:val="left"/>
      <w:pPr>
        <w:tabs>
          <w:tab w:val="num" w:pos="3520"/>
        </w:tabs>
        <w:ind w:left="3520" w:hanging="520"/>
      </w:p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num w:numId="1">
    <w:abstractNumId w:val="19"/>
  </w:num>
  <w:num w:numId="2">
    <w:abstractNumId w:val="39"/>
  </w:num>
  <w:num w:numId="3">
    <w:abstractNumId w:val="41"/>
  </w:num>
  <w:num w:numId="4">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2"/>
  </w:num>
  <w:num w:numId="8">
    <w:abstractNumId w:val="25"/>
  </w:num>
  <w:num w:numId="9">
    <w:abstractNumId w:val="25"/>
  </w:num>
  <w:num w:numId="10">
    <w:abstractNumId w:val="31"/>
  </w:num>
  <w:num w:numId="11">
    <w:abstractNumId w:val="31"/>
  </w:num>
  <w:num w:numId="12">
    <w:abstractNumId w:val="35"/>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3"/>
  </w:num>
  <w:num w:numId="24">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35"/>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5"/>
  </w:num>
  <w:num w:numId="28">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42"/>
  </w:num>
  <w:num w:numId="30">
    <w:abstractNumId w:val="38"/>
  </w:num>
  <w:num w:numId="31">
    <w:abstractNumId w:val="35"/>
    <w:lvlOverride w:ilvl="0">
      <w:lvl w:ilvl="0">
        <w:start w:val="1"/>
        <w:numFmt w:val="decimal"/>
        <w:pStyle w:val="ChapterHeading"/>
        <w:lvlText w:val="Chapter %1"/>
        <w:lvlJc w:val="left"/>
        <w:pPr>
          <w:tabs>
            <w:tab w:val="num" w:pos="1134"/>
          </w:tabs>
          <w:ind w:left="0" w:firstLine="0"/>
        </w:pPr>
        <w:rPr>
          <w:rFonts w:hint="default"/>
          <w:b/>
          <w:i/>
        </w:rPr>
      </w:lvl>
    </w:lvlOverride>
    <w:lvlOverride w:ilvl="1">
      <w:lvl w:ilvl="1">
        <w:start w:val="1"/>
        <w:numFmt w:val="decimal"/>
        <w:pStyle w:val="base-text-paragraph"/>
        <w:lvlText w:val="%1.%2"/>
        <w:lvlJc w:val="left"/>
        <w:pPr>
          <w:tabs>
            <w:tab w:val="num" w:pos="1985"/>
          </w:tabs>
          <w:ind w:left="1134" w:firstLine="0"/>
        </w:pPr>
        <w:rPr>
          <w:rFonts w:hint="default"/>
          <w:b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8"/>
  </w:num>
  <w:num w:numId="33">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1"/>
  </w:num>
  <w:num w:numId="36">
    <w:abstractNumId w:val="35"/>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35"/>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abstractNumId w:val="3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3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35"/>
    <w:lvlOverride w:ilvl="0">
      <w:lvl w:ilvl="0">
        <w:start w:val="1"/>
        <w:numFmt w:val="decimal"/>
        <w:pStyle w:val="ChapterHeading"/>
        <w:lvlText w:val="Chapter %1"/>
        <w:lvlJc w:val="left"/>
        <w:pPr>
          <w:tabs>
            <w:tab w:val="num" w:pos="3545"/>
          </w:tabs>
          <w:ind w:left="2411"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7"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0"/>
  </w:num>
  <w:num w:numId="48">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32"/>
  </w:num>
  <w:num w:numId="50">
    <w:abstractNumId w:val="11"/>
  </w:num>
  <w:num w:numId="51">
    <w:abstractNumId w:val="26"/>
  </w:num>
  <w:num w:numId="52">
    <w:abstractNumId w:val="18"/>
  </w:num>
  <w:num w:numId="53">
    <w:abstractNumId w:val="35"/>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4">
    <w:abstractNumId w:val="36"/>
  </w:num>
  <w:num w:numId="55">
    <w:abstractNumId w:val="16"/>
  </w:num>
  <w:num w:numId="56">
    <w:abstractNumId w:val="29"/>
  </w:num>
  <w:num w:numId="57">
    <w:abstractNumId w:val="40"/>
  </w:num>
  <w:num w:numId="58">
    <w:abstractNumId w:val="33"/>
  </w:num>
  <w:num w:numId="59">
    <w:abstractNumId w:val="27"/>
  </w:num>
  <w:num w:numId="60">
    <w:abstractNumId w:val="34"/>
  </w:num>
  <w:num w:numId="61">
    <w:abstractNumId w:val="23"/>
  </w:num>
  <w:num w:numId="62">
    <w:abstractNumId w:val="17"/>
  </w:num>
  <w:num w:numId="63">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10"/>
  </w:num>
  <w:num w:numId="67">
    <w:abstractNumId w:val="24"/>
  </w:num>
  <w:num w:numId="68">
    <w:abstractNumId w:val="37"/>
  </w:num>
  <w:num w:numId="69">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12"/>
  </w:num>
  <w:num w:numId="72">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3">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6">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abstractNumId w:val="3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abstractNumId w:val="30"/>
  </w:num>
  <w:num w:numId="81">
    <w:abstractNumId w:val="3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73"/>
    <w:rsid w:val="00000335"/>
    <w:rsid w:val="00001014"/>
    <w:rsid w:val="00001CF7"/>
    <w:rsid w:val="00001E5D"/>
    <w:rsid w:val="0000232F"/>
    <w:rsid w:val="00003596"/>
    <w:rsid w:val="0000382F"/>
    <w:rsid w:val="00003888"/>
    <w:rsid w:val="00003EBB"/>
    <w:rsid w:val="00004A02"/>
    <w:rsid w:val="00004B40"/>
    <w:rsid w:val="00004DD0"/>
    <w:rsid w:val="00005770"/>
    <w:rsid w:val="00005928"/>
    <w:rsid w:val="000065C7"/>
    <w:rsid w:val="00006DEF"/>
    <w:rsid w:val="00007FCA"/>
    <w:rsid w:val="00010316"/>
    <w:rsid w:val="000104A2"/>
    <w:rsid w:val="00010DFD"/>
    <w:rsid w:val="00011694"/>
    <w:rsid w:val="00011CE6"/>
    <w:rsid w:val="0001239C"/>
    <w:rsid w:val="000127B8"/>
    <w:rsid w:val="00012E83"/>
    <w:rsid w:val="00014711"/>
    <w:rsid w:val="00016723"/>
    <w:rsid w:val="0001680B"/>
    <w:rsid w:val="0001694F"/>
    <w:rsid w:val="000178EA"/>
    <w:rsid w:val="000204FB"/>
    <w:rsid w:val="0002054A"/>
    <w:rsid w:val="00021163"/>
    <w:rsid w:val="00021514"/>
    <w:rsid w:val="00022562"/>
    <w:rsid w:val="00022A4E"/>
    <w:rsid w:val="0002375F"/>
    <w:rsid w:val="0002466A"/>
    <w:rsid w:val="0002555E"/>
    <w:rsid w:val="00026E2A"/>
    <w:rsid w:val="000271F7"/>
    <w:rsid w:val="00027896"/>
    <w:rsid w:val="0003062B"/>
    <w:rsid w:val="00030A40"/>
    <w:rsid w:val="00031A36"/>
    <w:rsid w:val="00031BEF"/>
    <w:rsid w:val="00032517"/>
    <w:rsid w:val="000337C7"/>
    <w:rsid w:val="00034769"/>
    <w:rsid w:val="00035261"/>
    <w:rsid w:val="000355B7"/>
    <w:rsid w:val="000360DE"/>
    <w:rsid w:val="00037622"/>
    <w:rsid w:val="0003796E"/>
    <w:rsid w:val="00040461"/>
    <w:rsid w:val="00041E34"/>
    <w:rsid w:val="0004201B"/>
    <w:rsid w:val="00042B88"/>
    <w:rsid w:val="00042FA8"/>
    <w:rsid w:val="000438A4"/>
    <w:rsid w:val="00043A35"/>
    <w:rsid w:val="00043AA3"/>
    <w:rsid w:val="000441A5"/>
    <w:rsid w:val="00044853"/>
    <w:rsid w:val="00044ACE"/>
    <w:rsid w:val="00044D4C"/>
    <w:rsid w:val="000453C7"/>
    <w:rsid w:val="00045FE6"/>
    <w:rsid w:val="000468B5"/>
    <w:rsid w:val="000469E5"/>
    <w:rsid w:val="0004719C"/>
    <w:rsid w:val="0004736A"/>
    <w:rsid w:val="000473F2"/>
    <w:rsid w:val="00047642"/>
    <w:rsid w:val="0004795D"/>
    <w:rsid w:val="00050AED"/>
    <w:rsid w:val="00050D20"/>
    <w:rsid w:val="0005120B"/>
    <w:rsid w:val="00051670"/>
    <w:rsid w:val="000521AA"/>
    <w:rsid w:val="0005235C"/>
    <w:rsid w:val="000529A4"/>
    <w:rsid w:val="00052DA2"/>
    <w:rsid w:val="00052EA9"/>
    <w:rsid w:val="000539A2"/>
    <w:rsid w:val="000539D6"/>
    <w:rsid w:val="00054112"/>
    <w:rsid w:val="0005535E"/>
    <w:rsid w:val="00055E56"/>
    <w:rsid w:val="0005667A"/>
    <w:rsid w:val="00056B9A"/>
    <w:rsid w:val="00056FCB"/>
    <w:rsid w:val="0006010B"/>
    <w:rsid w:val="0006170B"/>
    <w:rsid w:val="00061ADE"/>
    <w:rsid w:val="00061C82"/>
    <w:rsid w:val="00061D4B"/>
    <w:rsid w:val="00061D9F"/>
    <w:rsid w:val="000636C7"/>
    <w:rsid w:val="000653A8"/>
    <w:rsid w:val="000655CD"/>
    <w:rsid w:val="00066B16"/>
    <w:rsid w:val="000670BB"/>
    <w:rsid w:val="00067B84"/>
    <w:rsid w:val="000700AB"/>
    <w:rsid w:val="00070696"/>
    <w:rsid w:val="000708A5"/>
    <w:rsid w:val="0007128A"/>
    <w:rsid w:val="0007137C"/>
    <w:rsid w:val="00071493"/>
    <w:rsid w:val="000727EB"/>
    <w:rsid w:val="00073125"/>
    <w:rsid w:val="000735F4"/>
    <w:rsid w:val="00073E92"/>
    <w:rsid w:val="00073F65"/>
    <w:rsid w:val="000740A2"/>
    <w:rsid w:val="000741AA"/>
    <w:rsid w:val="00076142"/>
    <w:rsid w:val="00076172"/>
    <w:rsid w:val="000766FD"/>
    <w:rsid w:val="00076792"/>
    <w:rsid w:val="000774ED"/>
    <w:rsid w:val="00077854"/>
    <w:rsid w:val="00077F05"/>
    <w:rsid w:val="00077FF4"/>
    <w:rsid w:val="000806CA"/>
    <w:rsid w:val="000823A7"/>
    <w:rsid w:val="000823FE"/>
    <w:rsid w:val="000828C2"/>
    <w:rsid w:val="00084BE5"/>
    <w:rsid w:val="00084E8C"/>
    <w:rsid w:val="00085168"/>
    <w:rsid w:val="00085474"/>
    <w:rsid w:val="00086737"/>
    <w:rsid w:val="00086C35"/>
    <w:rsid w:val="00090475"/>
    <w:rsid w:val="000912DE"/>
    <w:rsid w:val="00091D37"/>
    <w:rsid w:val="00091EC9"/>
    <w:rsid w:val="00092B77"/>
    <w:rsid w:val="00092D58"/>
    <w:rsid w:val="00094FA2"/>
    <w:rsid w:val="000951BC"/>
    <w:rsid w:val="00096340"/>
    <w:rsid w:val="00096D2F"/>
    <w:rsid w:val="00097794"/>
    <w:rsid w:val="00097AE1"/>
    <w:rsid w:val="00097AF5"/>
    <w:rsid w:val="00097B13"/>
    <w:rsid w:val="000A0820"/>
    <w:rsid w:val="000A09A9"/>
    <w:rsid w:val="000A11AF"/>
    <w:rsid w:val="000A2D45"/>
    <w:rsid w:val="000A3729"/>
    <w:rsid w:val="000A4F46"/>
    <w:rsid w:val="000A4F7D"/>
    <w:rsid w:val="000A522E"/>
    <w:rsid w:val="000A5507"/>
    <w:rsid w:val="000A56CC"/>
    <w:rsid w:val="000A591E"/>
    <w:rsid w:val="000A596C"/>
    <w:rsid w:val="000A5B0C"/>
    <w:rsid w:val="000A5D01"/>
    <w:rsid w:val="000A6D35"/>
    <w:rsid w:val="000A786E"/>
    <w:rsid w:val="000A7BD4"/>
    <w:rsid w:val="000B0210"/>
    <w:rsid w:val="000B049A"/>
    <w:rsid w:val="000B05AD"/>
    <w:rsid w:val="000B0F3E"/>
    <w:rsid w:val="000B11C0"/>
    <w:rsid w:val="000B12DE"/>
    <w:rsid w:val="000B14BB"/>
    <w:rsid w:val="000B2F86"/>
    <w:rsid w:val="000B4F53"/>
    <w:rsid w:val="000B54BA"/>
    <w:rsid w:val="000B5BD2"/>
    <w:rsid w:val="000C0E98"/>
    <w:rsid w:val="000C1CC1"/>
    <w:rsid w:val="000C25AE"/>
    <w:rsid w:val="000C2A9D"/>
    <w:rsid w:val="000C3118"/>
    <w:rsid w:val="000C3271"/>
    <w:rsid w:val="000C36B0"/>
    <w:rsid w:val="000C36BF"/>
    <w:rsid w:val="000C4252"/>
    <w:rsid w:val="000C44D7"/>
    <w:rsid w:val="000C4876"/>
    <w:rsid w:val="000C543B"/>
    <w:rsid w:val="000C5671"/>
    <w:rsid w:val="000C56BF"/>
    <w:rsid w:val="000C719F"/>
    <w:rsid w:val="000C71D8"/>
    <w:rsid w:val="000C71F6"/>
    <w:rsid w:val="000D04A2"/>
    <w:rsid w:val="000D0A6C"/>
    <w:rsid w:val="000D2E77"/>
    <w:rsid w:val="000D3252"/>
    <w:rsid w:val="000D3ADE"/>
    <w:rsid w:val="000D3B19"/>
    <w:rsid w:val="000D3D79"/>
    <w:rsid w:val="000D3EF0"/>
    <w:rsid w:val="000D4327"/>
    <w:rsid w:val="000D48CD"/>
    <w:rsid w:val="000D6096"/>
    <w:rsid w:val="000D622C"/>
    <w:rsid w:val="000D683A"/>
    <w:rsid w:val="000D6BE6"/>
    <w:rsid w:val="000D71F4"/>
    <w:rsid w:val="000D742D"/>
    <w:rsid w:val="000D7B1D"/>
    <w:rsid w:val="000D7F6A"/>
    <w:rsid w:val="000E1097"/>
    <w:rsid w:val="000E164D"/>
    <w:rsid w:val="000E1934"/>
    <w:rsid w:val="000E2167"/>
    <w:rsid w:val="000E22E7"/>
    <w:rsid w:val="000E2F51"/>
    <w:rsid w:val="000E338A"/>
    <w:rsid w:val="000E3D5E"/>
    <w:rsid w:val="000E3EC5"/>
    <w:rsid w:val="000E4B50"/>
    <w:rsid w:val="000E4BD8"/>
    <w:rsid w:val="000E54C1"/>
    <w:rsid w:val="000E5BDA"/>
    <w:rsid w:val="000E7282"/>
    <w:rsid w:val="000E7EF9"/>
    <w:rsid w:val="000F10FD"/>
    <w:rsid w:val="000F1148"/>
    <w:rsid w:val="000F2110"/>
    <w:rsid w:val="000F2737"/>
    <w:rsid w:val="000F28E8"/>
    <w:rsid w:val="000F2A30"/>
    <w:rsid w:val="000F2EF4"/>
    <w:rsid w:val="000F32CF"/>
    <w:rsid w:val="000F3490"/>
    <w:rsid w:val="000F404C"/>
    <w:rsid w:val="000F48C2"/>
    <w:rsid w:val="000F4A7E"/>
    <w:rsid w:val="000F5E59"/>
    <w:rsid w:val="000F67FD"/>
    <w:rsid w:val="000F6DB5"/>
    <w:rsid w:val="000F719A"/>
    <w:rsid w:val="000F76B3"/>
    <w:rsid w:val="000F7924"/>
    <w:rsid w:val="000F7A00"/>
    <w:rsid w:val="000F7A0D"/>
    <w:rsid w:val="000F7E84"/>
    <w:rsid w:val="001008C7"/>
    <w:rsid w:val="00101372"/>
    <w:rsid w:val="00101CEF"/>
    <w:rsid w:val="00102212"/>
    <w:rsid w:val="00102B72"/>
    <w:rsid w:val="00102BBE"/>
    <w:rsid w:val="001036B8"/>
    <w:rsid w:val="00103E1F"/>
    <w:rsid w:val="00104225"/>
    <w:rsid w:val="00104A8D"/>
    <w:rsid w:val="00104F65"/>
    <w:rsid w:val="0010557C"/>
    <w:rsid w:val="001055ED"/>
    <w:rsid w:val="00106526"/>
    <w:rsid w:val="001069C8"/>
    <w:rsid w:val="0010754D"/>
    <w:rsid w:val="00107A5E"/>
    <w:rsid w:val="00107F96"/>
    <w:rsid w:val="0011061B"/>
    <w:rsid w:val="00110A3F"/>
    <w:rsid w:val="00110E88"/>
    <w:rsid w:val="00111880"/>
    <w:rsid w:val="00111A8F"/>
    <w:rsid w:val="001121A5"/>
    <w:rsid w:val="0011265D"/>
    <w:rsid w:val="0011578F"/>
    <w:rsid w:val="0011762E"/>
    <w:rsid w:val="00117983"/>
    <w:rsid w:val="00117CB4"/>
    <w:rsid w:val="00120375"/>
    <w:rsid w:val="00120AE2"/>
    <w:rsid w:val="00120AE6"/>
    <w:rsid w:val="001213DA"/>
    <w:rsid w:val="00121B13"/>
    <w:rsid w:val="00121EE7"/>
    <w:rsid w:val="00122C1E"/>
    <w:rsid w:val="001230A1"/>
    <w:rsid w:val="00123464"/>
    <w:rsid w:val="00123B9E"/>
    <w:rsid w:val="00123EB5"/>
    <w:rsid w:val="00124160"/>
    <w:rsid w:val="0012462A"/>
    <w:rsid w:val="00124B73"/>
    <w:rsid w:val="001271FA"/>
    <w:rsid w:val="00127BE8"/>
    <w:rsid w:val="001306DB"/>
    <w:rsid w:val="00130C0B"/>
    <w:rsid w:val="001323D2"/>
    <w:rsid w:val="00132834"/>
    <w:rsid w:val="00133007"/>
    <w:rsid w:val="00133AC1"/>
    <w:rsid w:val="00133B4F"/>
    <w:rsid w:val="00134775"/>
    <w:rsid w:val="001347A4"/>
    <w:rsid w:val="001364F7"/>
    <w:rsid w:val="00136A22"/>
    <w:rsid w:val="0013704A"/>
    <w:rsid w:val="001371F1"/>
    <w:rsid w:val="00137724"/>
    <w:rsid w:val="00137739"/>
    <w:rsid w:val="00137D19"/>
    <w:rsid w:val="00140284"/>
    <w:rsid w:val="00140784"/>
    <w:rsid w:val="001417E6"/>
    <w:rsid w:val="00141E29"/>
    <w:rsid w:val="00142BB1"/>
    <w:rsid w:val="0014305B"/>
    <w:rsid w:val="00143707"/>
    <w:rsid w:val="0014414E"/>
    <w:rsid w:val="001445AF"/>
    <w:rsid w:val="001447CA"/>
    <w:rsid w:val="00145764"/>
    <w:rsid w:val="00145880"/>
    <w:rsid w:val="00147086"/>
    <w:rsid w:val="00147595"/>
    <w:rsid w:val="001479DC"/>
    <w:rsid w:val="001503B4"/>
    <w:rsid w:val="00150C2F"/>
    <w:rsid w:val="00151401"/>
    <w:rsid w:val="00151A22"/>
    <w:rsid w:val="00151F91"/>
    <w:rsid w:val="00152294"/>
    <w:rsid w:val="0015247A"/>
    <w:rsid w:val="001533CA"/>
    <w:rsid w:val="00153B40"/>
    <w:rsid w:val="001549E9"/>
    <w:rsid w:val="00154ACC"/>
    <w:rsid w:val="001552BB"/>
    <w:rsid w:val="00155590"/>
    <w:rsid w:val="001563E3"/>
    <w:rsid w:val="00156B91"/>
    <w:rsid w:val="001570ED"/>
    <w:rsid w:val="001570FA"/>
    <w:rsid w:val="00157348"/>
    <w:rsid w:val="0015736E"/>
    <w:rsid w:val="0015785B"/>
    <w:rsid w:val="00157FB3"/>
    <w:rsid w:val="00160297"/>
    <w:rsid w:val="00160BB2"/>
    <w:rsid w:val="001614A0"/>
    <w:rsid w:val="00161E3C"/>
    <w:rsid w:val="001628FC"/>
    <w:rsid w:val="001629CA"/>
    <w:rsid w:val="0016466E"/>
    <w:rsid w:val="00164A7A"/>
    <w:rsid w:val="0016520A"/>
    <w:rsid w:val="001654DD"/>
    <w:rsid w:val="00165522"/>
    <w:rsid w:val="001655F9"/>
    <w:rsid w:val="001708E1"/>
    <w:rsid w:val="001709F0"/>
    <w:rsid w:val="0017193C"/>
    <w:rsid w:val="00171B8D"/>
    <w:rsid w:val="001722A7"/>
    <w:rsid w:val="00172574"/>
    <w:rsid w:val="00172A9F"/>
    <w:rsid w:val="00172AFC"/>
    <w:rsid w:val="00172B02"/>
    <w:rsid w:val="00172C85"/>
    <w:rsid w:val="00172D95"/>
    <w:rsid w:val="00172F21"/>
    <w:rsid w:val="0017312C"/>
    <w:rsid w:val="00173E1A"/>
    <w:rsid w:val="00173F07"/>
    <w:rsid w:val="00174E60"/>
    <w:rsid w:val="001753F4"/>
    <w:rsid w:val="00175FF3"/>
    <w:rsid w:val="00176029"/>
    <w:rsid w:val="001760D5"/>
    <w:rsid w:val="00176C90"/>
    <w:rsid w:val="00177B8D"/>
    <w:rsid w:val="00180409"/>
    <w:rsid w:val="001811FA"/>
    <w:rsid w:val="00181AE6"/>
    <w:rsid w:val="00182685"/>
    <w:rsid w:val="00182710"/>
    <w:rsid w:val="001827E7"/>
    <w:rsid w:val="00185537"/>
    <w:rsid w:val="00186865"/>
    <w:rsid w:val="0018700B"/>
    <w:rsid w:val="0019037C"/>
    <w:rsid w:val="00190D84"/>
    <w:rsid w:val="001927D3"/>
    <w:rsid w:val="001929F4"/>
    <w:rsid w:val="00192C65"/>
    <w:rsid w:val="00193B4E"/>
    <w:rsid w:val="00193FBB"/>
    <w:rsid w:val="00194027"/>
    <w:rsid w:val="001942D6"/>
    <w:rsid w:val="001943E6"/>
    <w:rsid w:val="001957BD"/>
    <w:rsid w:val="001974A9"/>
    <w:rsid w:val="00197680"/>
    <w:rsid w:val="001978D2"/>
    <w:rsid w:val="00197FE5"/>
    <w:rsid w:val="001A0393"/>
    <w:rsid w:val="001A1012"/>
    <w:rsid w:val="001A1798"/>
    <w:rsid w:val="001A18DC"/>
    <w:rsid w:val="001A1BFD"/>
    <w:rsid w:val="001A263B"/>
    <w:rsid w:val="001A289F"/>
    <w:rsid w:val="001A2D09"/>
    <w:rsid w:val="001A320D"/>
    <w:rsid w:val="001A34CB"/>
    <w:rsid w:val="001A39EB"/>
    <w:rsid w:val="001A4306"/>
    <w:rsid w:val="001A4F27"/>
    <w:rsid w:val="001A52BF"/>
    <w:rsid w:val="001A710D"/>
    <w:rsid w:val="001A7F53"/>
    <w:rsid w:val="001B053D"/>
    <w:rsid w:val="001B1E6A"/>
    <w:rsid w:val="001B2DDD"/>
    <w:rsid w:val="001B2E9F"/>
    <w:rsid w:val="001B4003"/>
    <w:rsid w:val="001B4211"/>
    <w:rsid w:val="001B5120"/>
    <w:rsid w:val="001B5764"/>
    <w:rsid w:val="001B5D34"/>
    <w:rsid w:val="001B6007"/>
    <w:rsid w:val="001B6A46"/>
    <w:rsid w:val="001B7211"/>
    <w:rsid w:val="001B7374"/>
    <w:rsid w:val="001C0B9B"/>
    <w:rsid w:val="001C1751"/>
    <w:rsid w:val="001C1C00"/>
    <w:rsid w:val="001C1D7A"/>
    <w:rsid w:val="001C1E5A"/>
    <w:rsid w:val="001C32BA"/>
    <w:rsid w:val="001C3682"/>
    <w:rsid w:val="001C3E3E"/>
    <w:rsid w:val="001C4BC9"/>
    <w:rsid w:val="001C518D"/>
    <w:rsid w:val="001C5E2A"/>
    <w:rsid w:val="001C5F9A"/>
    <w:rsid w:val="001C61D5"/>
    <w:rsid w:val="001C7570"/>
    <w:rsid w:val="001C7EF1"/>
    <w:rsid w:val="001D0448"/>
    <w:rsid w:val="001D0F8B"/>
    <w:rsid w:val="001D0FD8"/>
    <w:rsid w:val="001D133D"/>
    <w:rsid w:val="001D1BDC"/>
    <w:rsid w:val="001D2840"/>
    <w:rsid w:val="001D3F56"/>
    <w:rsid w:val="001D404D"/>
    <w:rsid w:val="001D595C"/>
    <w:rsid w:val="001D7324"/>
    <w:rsid w:val="001D7447"/>
    <w:rsid w:val="001D7DC0"/>
    <w:rsid w:val="001D7E39"/>
    <w:rsid w:val="001E0C93"/>
    <w:rsid w:val="001E26AE"/>
    <w:rsid w:val="001E3191"/>
    <w:rsid w:val="001E31BB"/>
    <w:rsid w:val="001E54A8"/>
    <w:rsid w:val="001E5CDE"/>
    <w:rsid w:val="001E5EBA"/>
    <w:rsid w:val="001E6551"/>
    <w:rsid w:val="001E711B"/>
    <w:rsid w:val="001E79B5"/>
    <w:rsid w:val="001F0266"/>
    <w:rsid w:val="001F0401"/>
    <w:rsid w:val="001F050F"/>
    <w:rsid w:val="001F20BF"/>
    <w:rsid w:val="001F21AA"/>
    <w:rsid w:val="001F29B9"/>
    <w:rsid w:val="001F2A7A"/>
    <w:rsid w:val="001F400C"/>
    <w:rsid w:val="001F41D2"/>
    <w:rsid w:val="001F5609"/>
    <w:rsid w:val="001F6A65"/>
    <w:rsid w:val="001F6F2F"/>
    <w:rsid w:val="001F7821"/>
    <w:rsid w:val="002003B2"/>
    <w:rsid w:val="002005E1"/>
    <w:rsid w:val="00200B7F"/>
    <w:rsid w:val="00200C53"/>
    <w:rsid w:val="00200FE6"/>
    <w:rsid w:val="00201170"/>
    <w:rsid w:val="0020152E"/>
    <w:rsid w:val="0020178F"/>
    <w:rsid w:val="00201D3B"/>
    <w:rsid w:val="002025B4"/>
    <w:rsid w:val="002025C2"/>
    <w:rsid w:val="00202992"/>
    <w:rsid w:val="0020356D"/>
    <w:rsid w:val="00203BEE"/>
    <w:rsid w:val="00204EFF"/>
    <w:rsid w:val="0020504E"/>
    <w:rsid w:val="00205170"/>
    <w:rsid w:val="002054B1"/>
    <w:rsid w:val="00205E4A"/>
    <w:rsid w:val="002060CC"/>
    <w:rsid w:val="00206367"/>
    <w:rsid w:val="00206A14"/>
    <w:rsid w:val="00206AC1"/>
    <w:rsid w:val="00207C3C"/>
    <w:rsid w:val="002101F1"/>
    <w:rsid w:val="0021239F"/>
    <w:rsid w:val="00212D6B"/>
    <w:rsid w:val="0021351B"/>
    <w:rsid w:val="002135E2"/>
    <w:rsid w:val="00213BE4"/>
    <w:rsid w:val="00214D7D"/>
    <w:rsid w:val="002152A0"/>
    <w:rsid w:val="002154DF"/>
    <w:rsid w:val="00215684"/>
    <w:rsid w:val="00215B2D"/>
    <w:rsid w:val="00216E0C"/>
    <w:rsid w:val="00217714"/>
    <w:rsid w:val="00217B8D"/>
    <w:rsid w:val="0022059A"/>
    <w:rsid w:val="002207B5"/>
    <w:rsid w:val="00221305"/>
    <w:rsid w:val="00221453"/>
    <w:rsid w:val="002219A6"/>
    <w:rsid w:val="0022496E"/>
    <w:rsid w:val="00224D59"/>
    <w:rsid w:val="00224F1E"/>
    <w:rsid w:val="0022502E"/>
    <w:rsid w:val="00225904"/>
    <w:rsid w:val="00225C5D"/>
    <w:rsid w:val="0022621E"/>
    <w:rsid w:val="00226AAE"/>
    <w:rsid w:val="00227D4E"/>
    <w:rsid w:val="00227DFB"/>
    <w:rsid w:val="00230321"/>
    <w:rsid w:val="0023039A"/>
    <w:rsid w:val="0023072A"/>
    <w:rsid w:val="00230CE1"/>
    <w:rsid w:val="00230D49"/>
    <w:rsid w:val="00231025"/>
    <w:rsid w:val="00231173"/>
    <w:rsid w:val="00232840"/>
    <w:rsid w:val="00232E3C"/>
    <w:rsid w:val="002336D7"/>
    <w:rsid w:val="00235BB8"/>
    <w:rsid w:val="00236637"/>
    <w:rsid w:val="00236AD8"/>
    <w:rsid w:val="002372AF"/>
    <w:rsid w:val="00237CCB"/>
    <w:rsid w:val="0024185C"/>
    <w:rsid w:val="00241D1D"/>
    <w:rsid w:val="00241D9F"/>
    <w:rsid w:val="00242072"/>
    <w:rsid w:val="0024222A"/>
    <w:rsid w:val="00242805"/>
    <w:rsid w:val="00243E83"/>
    <w:rsid w:val="0024547B"/>
    <w:rsid w:val="002459BC"/>
    <w:rsid w:val="00246397"/>
    <w:rsid w:val="00246C6F"/>
    <w:rsid w:val="00247151"/>
    <w:rsid w:val="00247E21"/>
    <w:rsid w:val="002522D9"/>
    <w:rsid w:val="002528A3"/>
    <w:rsid w:val="00252CF6"/>
    <w:rsid w:val="00252ED2"/>
    <w:rsid w:val="0025326F"/>
    <w:rsid w:val="0025376A"/>
    <w:rsid w:val="00255D1D"/>
    <w:rsid w:val="002562B7"/>
    <w:rsid w:val="00256F07"/>
    <w:rsid w:val="002572F7"/>
    <w:rsid w:val="002601C7"/>
    <w:rsid w:val="00260447"/>
    <w:rsid w:val="00260821"/>
    <w:rsid w:val="00260AEE"/>
    <w:rsid w:val="00260B31"/>
    <w:rsid w:val="00261011"/>
    <w:rsid w:val="00261201"/>
    <w:rsid w:val="00261CC7"/>
    <w:rsid w:val="00262491"/>
    <w:rsid w:val="00262F01"/>
    <w:rsid w:val="00264B04"/>
    <w:rsid w:val="00264BB3"/>
    <w:rsid w:val="00264E91"/>
    <w:rsid w:val="002656C9"/>
    <w:rsid w:val="002656E8"/>
    <w:rsid w:val="0026609B"/>
    <w:rsid w:val="002661F2"/>
    <w:rsid w:val="0026711C"/>
    <w:rsid w:val="00267D54"/>
    <w:rsid w:val="0027070B"/>
    <w:rsid w:val="00270927"/>
    <w:rsid w:val="00270AE2"/>
    <w:rsid w:val="002714D1"/>
    <w:rsid w:val="00272D3B"/>
    <w:rsid w:val="00273A2E"/>
    <w:rsid w:val="00273F99"/>
    <w:rsid w:val="002746A4"/>
    <w:rsid w:val="00274D33"/>
    <w:rsid w:val="00275132"/>
    <w:rsid w:val="002754C8"/>
    <w:rsid w:val="00275C7D"/>
    <w:rsid w:val="00276BD4"/>
    <w:rsid w:val="00281FB6"/>
    <w:rsid w:val="0028232D"/>
    <w:rsid w:val="002826D5"/>
    <w:rsid w:val="0028384C"/>
    <w:rsid w:val="0028473D"/>
    <w:rsid w:val="00285D81"/>
    <w:rsid w:val="00285E6D"/>
    <w:rsid w:val="0029052E"/>
    <w:rsid w:val="00290D45"/>
    <w:rsid w:val="0029127B"/>
    <w:rsid w:val="00291F61"/>
    <w:rsid w:val="00292A3A"/>
    <w:rsid w:val="002934E7"/>
    <w:rsid w:val="002937F8"/>
    <w:rsid w:val="00294ED1"/>
    <w:rsid w:val="00295825"/>
    <w:rsid w:val="002958A8"/>
    <w:rsid w:val="00295ABD"/>
    <w:rsid w:val="00295CEB"/>
    <w:rsid w:val="00296B32"/>
    <w:rsid w:val="00296E43"/>
    <w:rsid w:val="00297407"/>
    <w:rsid w:val="002976CC"/>
    <w:rsid w:val="002A0A20"/>
    <w:rsid w:val="002A1184"/>
    <w:rsid w:val="002A19F0"/>
    <w:rsid w:val="002A2E1A"/>
    <w:rsid w:val="002A3698"/>
    <w:rsid w:val="002A38A8"/>
    <w:rsid w:val="002A3949"/>
    <w:rsid w:val="002A4436"/>
    <w:rsid w:val="002A452D"/>
    <w:rsid w:val="002A4982"/>
    <w:rsid w:val="002A4A95"/>
    <w:rsid w:val="002A516A"/>
    <w:rsid w:val="002A5510"/>
    <w:rsid w:val="002A5B37"/>
    <w:rsid w:val="002A6084"/>
    <w:rsid w:val="002A6B32"/>
    <w:rsid w:val="002A7057"/>
    <w:rsid w:val="002A7E7B"/>
    <w:rsid w:val="002A7FB3"/>
    <w:rsid w:val="002B146F"/>
    <w:rsid w:val="002B16E1"/>
    <w:rsid w:val="002B2D06"/>
    <w:rsid w:val="002B3543"/>
    <w:rsid w:val="002B4850"/>
    <w:rsid w:val="002B4D4E"/>
    <w:rsid w:val="002B529F"/>
    <w:rsid w:val="002B5EEF"/>
    <w:rsid w:val="002B62DD"/>
    <w:rsid w:val="002B7D00"/>
    <w:rsid w:val="002C0E21"/>
    <w:rsid w:val="002C1AEA"/>
    <w:rsid w:val="002C2E73"/>
    <w:rsid w:val="002C31C3"/>
    <w:rsid w:val="002C35F9"/>
    <w:rsid w:val="002C4313"/>
    <w:rsid w:val="002C4680"/>
    <w:rsid w:val="002C503A"/>
    <w:rsid w:val="002C6B4A"/>
    <w:rsid w:val="002C6F95"/>
    <w:rsid w:val="002C7680"/>
    <w:rsid w:val="002D031B"/>
    <w:rsid w:val="002D04CA"/>
    <w:rsid w:val="002D0B7C"/>
    <w:rsid w:val="002D30FD"/>
    <w:rsid w:val="002D3121"/>
    <w:rsid w:val="002D3259"/>
    <w:rsid w:val="002D3D47"/>
    <w:rsid w:val="002D5EC5"/>
    <w:rsid w:val="002D62A4"/>
    <w:rsid w:val="002D7290"/>
    <w:rsid w:val="002D7592"/>
    <w:rsid w:val="002E0056"/>
    <w:rsid w:val="002E05C7"/>
    <w:rsid w:val="002E254C"/>
    <w:rsid w:val="002E2CF8"/>
    <w:rsid w:val="002E34D2"/>
    <w:rsid w:val="002E4171"/>
    <w:rsid w:val="002E4A46"/>
    <w:rsid w:val="002E5004"/>
    <w:rsid w:val="002E5F23"/>
    <w:rsid w:val="002E614B"/>
    <w:rsid w:val="002E6F91"/>
    <w:rsid w:val="002E7505"/>
    <w:rsid w:val="002F0D2B"/>
    <w:rsid w:val="002F117F"/>
    <w:rsid w:val="002F1B0A"/>
    <w:rsid w:val="002F1D7F"/>
    <w:rsid w:val="002F1E92"/>
    <w:rsid w:val="002F272F"/>
    <w:rsid w:val="002F2F50"/>
    <w:rsid w:val="002F3A54"/>
    <w:rsid w:val="002F55E9"/>
    <w:rsid w:val="002F5853"/>
    <w:rsid w:val="002F7A0A"/>
    <w:rsid w:val="00300841"/>
    <w:rsid w:val="00300B57"/>
    <w:rsid w:val="00301148"/>
    <w:rsid w:val="003042D8"/>
    <w:rsid w:val="0030459F"/>
    <w:rsid w:val="003045B8"/>
    <w:rsid w:val="003047AF"/>
    <w:rsid w:val="00304ADE"/>
    <w:rsid w:val="00304E79"/>
    <w:rsid w:val="00304EE0"/>
    <w:rsid w:val="00305A46"/>
    <w:rsid w:val="00306022"/>
    <w:rsid w:val="00307165"/>
    <w:rsid w:val="00310AA0"/>
    <w:rsid w:val="0031151C"/>
    <w:rsid w:val="0031368F"/>
    <w:rsid w:val="003145F5"/>
    <w:rsid w:val="00314776"/>
    <w:rsid w:val="00314895"/>
    <w:rsid w:val="0031592C"/>
    <w:rsid w:val="003162F5"/>
    <w:rsid w:val="003165A5"/>
    <w:rsid w:val="00317000"/>
    <w:rsid w:val="00317148"/>
    <w:rsid w:val="0031753E"/>
    <w:rsid w:val="003175C6"/>
    <w:rsid w:val="00320121"/>
    <w:rsid w:val="00320795"/>
    <w:rsid w:val="00320B91"/>
    <w:rsid w:val="00320EB6"/>
    <w:rsid w:val="003210E3"/>
    <w:rsid w:val="00321229"/>
    <w:rsid w:val="003219E9"/>
    <w:rsid w:val="003222EF"/>
    <w:rsid w:val="003223C7"/>
    <w:rsid w:val="003224BF"/>
    <w:rsid w:val="00322716"/>
    <w:rsid w:val="00323453"/>
    <w:rsid w:val="00323935"/>
    <w:rsid w:val="00323F92"/>
    <w:rsid w:val="00324A6C"/>
    <w:rsid w:val="00324BF2"/>
    <w:rsid w:val="00325BF0"/>
    <w:rsid w:val="003263FA"/>
    <w:rsid w:val="00326976"/>
    <w:rsid w:val="00326C4A"/>
    <w:rsid w:val="00326F8D"/>
    <w:rsid w:val="00327B01"/>
    <w:rsid w:val="00327CCD"/>
    <w:rsid w:val="00330814"/>
    <w:rsid w:val="00330D74"/>
    <w:rsid w:val="003313EF"/>
    <w:rsid w:val="0033179F"/>
    <w:rsid w:val="0033298E"/>
    <w:rsid w:val="00332E06"/>
    <w:rsid w:val="0033314B"/>
    <w:rsid w:val="003336AC"/>
    <w:rsid w:val="00334A92"/>
    <w:rsid w:val="00334BB2"/>
    <w:rsid w:val="003353D1"/>
    <w:rsid w:val="00335A3C"/>
    <w:rsid w:val="00340E8B"/>
    <w:rsid w:val="00341515"/>
    <w:rsid w:val="00341FE9"/>
    <w:rsid w:val="003421FE"/>
    <w:rsid w:val="00342EA0"/>
    <w:rsid w:val="00343413"/>
    <w:rsid w:val="0034350D"/>
    <w:rsid w:val="0034389F"/>
    <w:rsid w:val="00343F53"/>
    <w:rsid w:val="003446B5"/>
    <w:rsid w:val="00344765"/>
    <w:rsid w:val="00344E69"/>
    <w:rsid w:val="0034533C"/>
    <w:rsid w:val="0034548F"/>
    <w:rsid w:val="0034686B"/>
    <w:rsid w:val="003469A2"/>
    <w:rsid w:val="00346C8D"/>
    <w:rsid w:val="00347077"/>
    <w:rsid w:val="003470E5"/>
    <w:rsid w:val="00347DA6"/>
    <w:rsid w:val="003531C3"/>
    <w:rsid w:val="0035376C"/>
    <w:rsid w:val="00353EAA"/>
    <w:rsid w:val="0035458F"/>
    <w:rsid w:val="00354762"/>
    <w:rsid w:val="00354D8C"/>
    <w:rsid w:val="00354EEC"/>
    <w:rsid w:val="00355CEE"/>
    <w:rsid w:val="00355D10"/>
    <w:rsid w:val="003560C7"/>
    <w:rsid w:val="00357755"/>
    <w:rsid w:val="0035795F"/>
    <w:rsid w:val="00360CFD"/>
    <w:rsid w:val="00360EDB"/>
    <w:rsid w:val="003615CB"/>
    <w:rsid w:val="00362CA1"/>
    <w:rsid w:val="00362E4C"/>
    <w:rsid w:val="00364463"/>
    <w:rsid w:val="00364B4B"/>
    <w:rsid w:val="00365059"/>
    <w:rsid w:val="00365126"/>
    <w:rsid w:val="00365240"/>
    <w:rsid w:val="0036527E"/>
    <w:rsid w:val="00365601"/>
    <w:rsid w:val="0036566C"/>
    <w:rsid w:val="00365F54"/>
    <w:rsid w:val="00365F7A"/>
    <w:rsid w:val="003663A2"/>
    <w:rsid w:val="00366709"/>
    <w:rsid w:val="00366B86"/>
    <w:rsid w:val="003672F6"/>
    <w:rsid w:val="00370278"/>
    <w:rsid w:val="00371EBD"/>
    <w:rsid w:val="0037305C"/>
    <w:rsid w:val="003737CB"/>
    <w:rsid w:val="00373C47"/>
    <w:rsid w:val="003753B2"/>
    <w:rsid w:val="00375F1D"/>
    <w:rsid w:val="00375F62"/>
    <w:rsid w:val="00376E9A"/>
    <w:rsid w:val="00377713"/>
    <w:rsid w:val="0037776A"/>
    <w:rsid w:val="003778E7"/>
    <w:rsid w:val="003801D6"/>
    <w:rsid w:val="00380BEA"/>
    <w:rsid w:val="003818E0"/>
    <w:rsid w:val="00381A60"/>
    <w:rsid w:val="00381D8F"/>
    <w:rsid w:val="00382795"/>
    <w:rsid w:val="00383DD9"/>
    <w:rsid w:val="00383E86"/>
    <w:rsid w:val="0038484A"/>
    <w:rsid w:val="00384963"/>
    <w:rsid w:val="0038505E"/>
    <w:rsid w:val="003851E8"/>
    <w:rsid w:val="0038626D"/>
    <w:rsid w:val="003866BC"/>
    <w:rsid w:val="0038720E"/>
    <w:rsid w:val="00387FC1"/>
    <w:rsid w:val="0039061D"/>
    <w:rsid w:val="00390BD3"/>
    <w:rsid w:val="00391EE9"/>
    <w:rsid w:val="00392B53"/>
    <w:rsid w:val="00392B87"/>
    <w:rsid w:val="003930F8"/>
    <w:rsid w:val="00393E62"/>
    <w:rsid w:val="00394643"/>
    <w:rsid w:val="00394FF4"/>
    <w:rsid w:val="003952F8"/>
    <w:rsid w:val="00396090"/>
    <w:rsid w:val="003965D6"/>
    <w:rsid w:val="003976B8"/>
    <w:rsid w:val="00397BE3"/>
    <w:rsid w:val="003A003C"/>
    <w:rsid w:val="003A0460"/>
    <w:rsid w:val="003A0A1C"/>
    <w:rsid w:val="003A0D4B"/>
    <w:rsid w:val="003A0F8E"/>
    <w:rsid w:val="003A3385"/>
    <w:rsid w:val="003A3EA5"/>
    <w:rsid w:val="003A4B45"/>
    <w:rsid w:val="003A5672"/>
    <w:rsid w:val="003A6145"/>
    <w:rsid w:val="003A657F"/>
    <w:rsid w:val="003A698B"/>
    <w:rsid w:val="003A71DD"/>
    <w:rsid w:val="003A74C3"/>
    <w:rsid w:val="003A7E88"/>
    <w:rsid w:val="003B137E"/>
    <w:rsid w:val="003B14A8"/>
    <w:rsid w:val="003B16DA"/>
    <w:rsid w:val="003B1FB6"/>
    <w:rsid w:val="003B269C"/>
    <w:rsid w:val="003B2AED"/>
    <w:rsid w:val="003B419C"/>
    <w:rsid w:val="003B4266"/>
    <w:rsid w:val="003B454A"/>
    <w:rsid w:val="003B49A9"/>
    <w:rsid w:val="003B59AF"/>
    <w:rsid w:val="003B5C50"/>
    <w:rsid w:val="003B6542"/>
    <w:rsid w:val="003B6792"/>
    <w:rsid w:val="003B6B47"/>
    <w:rsid w:val="003B6EA5"/>
    <w:rsid w:val="003B77F0"/>
    <w:rsid w:val="003B7D2D"/>
    <w:rsid w:val="003C260D"/>
    <w:rsid w:val="003C2632"/>
    <w:rsid w:val="003C2677"/>
    <w:rsid w:val="003C296C"/>
    <w:rsid w:val="003C37C1"/>
    <w:rsid w:val="003C41EC"/>
    <w:rsid w:val="003C483C"/>
    <w:rsid w:val="003C4F5A"/>
    <w:rsid w:val="003C540A"/>
    <w:rsid w:val="003C5A3A"/>
    <w:rsid w:val="003C65DF"/>
    <w:rsid w:val="003C68D5"/>
    <w:rsid w:val="003C74C7"/>
    <w:rsid w:val="003C787A"/>
    <w:rsid w:val="003C78BE"/>
    <w:rsid w:val="003D0532"/>
    <w:rsid w:val="003D089D"/>
    <w:rsid w:val="003D0FB3"/>
    <w:rsid w:val="003D2FB8"/>
    <w:rsid w:val="003D337A"/>
    <w:rsid w:val="003D4C4C"/>
    <w:rsid w:val="003D4E2E"/>
    <w:rsid w:val="003D4F69"/>
    <w:rsid w:val="003D627B"/>
    <w:rsid w:val="003D64ED"/>
    <w:rsid w:val="003D65DC"/>
    <w:rsid w:val="003D6934"/>
    <w:rsid w:val="003D699C"/>
    <w:rsid w:val="003D7757"/>
    <w:rsid w:val="003D7CAC"/>
    <w:rsid w:val="003D7F61"/>
    <w:rsid w:val="003E0061"/>
    <w:rsid w:val="003E0C34"/>
    <w:rsid w:val="003E135C"/>
    <w:rsid w:val="003E142B"/>
    <w:rsid w:val="003E1D25"/>
    <w:rsid w:val="003E2450"/>
    <w:rsid w:val="003E35B0"/>
    <w:rsid w:val="003E3783"/>
    <w:rsid w:val="003E5022"/>
    <w:rsid w:val="003E59EC"/>
    <w:rsid w:val="003E5AB0"/>
    <w:rsid w:val="003E5F41"/>
    <w:rsid w:val="003E6640"/>
    <w:rsid w:val="003E70CD"/>
    <w:rsid w:val="003E71D4"/>
    <w:rsid w:val="003E75D8"/>
    <w:rsid w:val="003E7AB0"/>
    <w:rsid w:val="003F0594"/>
    <w:rsid w:val="003F1798"/>
    <w:rsid w:val="003F1806"/>
    <w:rsid w:val="003F24CD"/>
    <w:rsid w:val="003F4AD3"/>
    <w:rsid w:val="003F50EA"/>
    <w:rsid w:val="003F55CC"/>
    <w:rsid w:val="003F5666"/>
    <w:rsid w:val="003F613A"/>
    <w:rsid w:val="003F635B"/>
    <w:rsid w:val="003F64B5"/>
    <w:rsid w:val="003F7083"/>
    <w:rsid w:val="004006A8"/>
    <w:rsid w:val="004013B7"/>
    <w:rsid w:val="00403C41"/>
    <w:rsid w:val="0040464A"/>
    <w:rsid w:val="004046AA"/>
    <w:rsid w:val="00404C2B"/>
    <w:rsid w:val="00404DC5"/>
    <w:rsid w:val="00405208"/>
    <w:rsid w:val="00405C1F"/>
    <w:rsid w:val="00406945"/>
    <w:rsid w:val="0040723B"/>
    <w:rsid w:val="00410445"/>
    <w:rsid w:val="00410785"/>
    <w:rsid w:val="00410C9D"/>
    <w:rsid w:val="00410F69"/>
    <w:rsid w:val="00411C86"/>
    <w:rsid w:val="00412144"/>
    <w:rsid w:val="00412AC1"/>
    <w:rsid w:val="004140E5"/>
    <w:rsid w:val="0041608F"/>
    <w:rsid w:val="00416906"/>
    <w:rsid w:val="00416A13"/>
    <w:rsid w:val="00417E09"/>
    <w:rsid w:val="00417FF6"/>
    <w:rsid w:val="004214BD"/>
    <w:rsid w:val="00422025"/>
    <w:rsid w:val="00422C6D"/>
    <w:rsid w:val="00422EDA"/>
    <w:rsid w:val="00422FA2"/>
    <w:rsid w:val="00423378"/>
    <w:rsid w:val="004254F5"/>
    <w:rsid w:val="00426019"/>
    <w:rsid w:val="004260FD"/>
    <w:rsid w:val="00426FCB"/>
    <w:rsid w:val="0042793F"/>
    <w:rsid w:val="00427E9F"/>
    <w:rsid w:val="00427FA5"/>
    <w:rsid w:val="00430375"/>
    <w:rsid w:val="00430BD7"/>
    <w:rsid w:val="004318AC"/>
    <w:rsid w:val="00431FE6"/>
    <w:rsid w:val="004327D1"/>
    <w:rsid w:val="00432AD2"/>
    <w:rsid w:val="00433E9F"/>
    <w:rsid w:val="004340CC"/>
    <w:rsid w:val="0043578A"/>
    <w:rsid w:val="00436506"/>
    <w:rsid w:val="004367D6"/>
    <w:rsid w:val="004379CE"/>
    <w:rsid w:val="004411F8"/>
    <w:rsid w:val="00441572"/>
    <w:rsid w:val="00441BBE"/>
    <w:rsid w:val="00442EEB"/>
    <w:rsid w:val="00444029"/>
    <w:rsid w:val="004445D7"/>
    <w:rsid w:val="00444DF8"/>
    <w:rsid w:val="00445AEE"/>
    <w:rsid w:val="004477AD"/>
    <w:rsid w:val="004509CE"/>
    <w:rsid w:val="00450B00"/>
    <w:rsid w:val="004510B1"/>
    <w:rsid w:val="00451439"/>
    <w:rsid w:val="00451742"/>
    <w:rsid w:val="004519EC"/>
    <w:rsid w:val="004521E0"/>
    <w:rsid w:val="00454013"/>
    <w:rsid w:val="004541D4"/>
    <w:rsid w:val="004548CE"/>
    <w:rsid w:val="00455AFD"/>
    <w:rsid w:val="00456BAB"/>
    <w:rsid w:val="00457641"/>
    <w:rsid w:val="00457F5E"/>
    <w:rsid w:val="00457F81"/>
    <w:rsid w:val="0046099B"/>
    <w:rsid w:val="00460C72"/>
    <w:rsid w:val="00460FC0"/>
    <w:rsid w:val="00461185"/>
    <w:rsid w:val="004617F7"/>
    <w:rsid w:val="00461AA9"/>
    <w:rsid w:val="004623A7"/>
    <w:rsid w:val="004625FA"/>
    <w:rsid w:val="0046488A"/>
    <w:rsid w:val="00464D8E"/>
    <w:rsid w:val="00465690"/>
    <w:rsid w:val="00465ABF"/>
    <w:rsid w:val="00465F8B"/>
    <w:rsid w:val="0046625B"/>
    <w:rsid w:val="004664AD"/>
    <w:rsid w:val="00466781"/>
    <w:rsid w:val="00467BA1"/>
    <w:rsid w:val="00467F93"/>
    <w:rsid w:val="004706DC"/>
    <w:rsid w:val="004709EB"/>
    <w:rsid w:val="00470CFE"/>
    <w:rsid w:val="00470E3D"/>
    <w:rsid w:val="004725C6"/>
    <w:rsid w:val="00472F0F"/>
    <w:rsid w:val="00473811"/>
    <w:rsid w:val="00473873"/>
    <w:rsid w:val="00473965"/>
    <w:rsid w:val="004739E3"/>
    <w:rsid w:val="00473C5A"/>
    <w:rsid w:val="004744A0"/>
    <w:rsid w:val="004749FC"/>
    <w:rsid w:val="00475814"/>
    <w:rsid w:val="0047623E"/>
    <w:rsid w:val="00476300"/>
    <w:rsid w:val="00477290"/>
    <w:rsid w:val="004772DD"/>
    <w:rsid w:val="00477437"/>
    <w:rsid w:val="00477AD1"/>
    <w:rsid w:val="00480660"/>
    <w:rsid w:val="00480772"/>
    <w:rsid w:val="00481C54"/>
    <w:rsid w:val="00481F4C"/>
    <w:rsid w:val="004834CA"/>
    <w:rsid w:val="00483F4E"/>
    <w:rsid w:val="00484300"/>
    <w:rsid w:val="00484566"/>
    <w:rsid w:val="00484A91"/>
    <w:rsid w:val="004854C1"/>
    <w:rsid w:val="00485B9D"/>
    <w:rsid w:val="00486749"/>
    <w:rsid w:val="00486966"/>
    <w:rsid w:val="00486DBC"/>
    <w:rsid w:val="0049086A"/>
    <w:rsid w:val="0049183E"/>
    <w:rsid w:val="0049196A"/>
    <w:rsid w:val="00491E8A"/>
    <w:rsid w:val="004920E0"/>
    <w:rsid w:val="0049319D"/>
    <w:rsid w:val="00493539"/>
    <w:rsid w:val="00494625"/>
    <w:rsid w:val="00494EF1"/>
    <w:rsid w:val="0049626A"/>
    <w:rsid w:val="004962CE"/>
    <w:rsid w:val="00497548"/>
    <w:rsid w:val="004A10BF"/>
    <w:rsid w:val="004A1ECF"/>
    <w:rsid w:val="004A1F1A"/>
    <w:rsid w:val="004A2111"/>
    <w:rsid w:val="004A227D"/>
    <w:rsid w:val="004A275C"/>
    <w:rsid w:val="004A2C27"/>
    <w:rsid w:val="004A2CB5"/>
    <w:rsid w:val="004A338A"/>
    <w:rsid w:val="004A397C"/>
    <w:rsid w:val="004A421A"/>
    <w:rsid w:val="004A463F"/>
    <w:rsid w:val="004A517C"/>
    <w:rsid w:val="004A52A1"/>
    <w:rsid w:val="004A5C0A"/>
    <w:rsid w:val="004A616C"/>
    <w:rsid w:val="004A61E2"/>
    <w:rsid w:val="004A6A29"/>
    <w:rsid w:val="004B039E"/>
    <w:rsid w:val="004B0457"/>
    <w:rsid w:val="004B0ED3"/>
    <w:rsid w:val="004B1F38"/>
    <w:rsid w:val="004B2AB0"/>
    <w:rsid w:val="004B2D29"/>
    <w:rsid w:val="004B3C41"/>
    <w:rsid w:val="004B3F26"/>
    <w:rsid w:val="004B4911"/>
    <w:rsid w:val="004B4ABA"/>
    <w:rsid w:val="004B530D"/>
    <w:rsid w:val="004B5386"/>
    <w:rsid w:val="004B5E63"/>
    <w:rsid w:val="004B6DFB"/>
    <w:rsid w:val="004B70BE"/>
    <w:rsid w:val="004B7896"/>
    <w:rsid w:val="004C09BD"/>
    <w:rsid w:val="004C0A5C"/>
    <w:rsid w:val="004C0AB9"/>
    <w:rsid w:val="004C0D21"/>
    <w:rsid w:val="004C10EC"/>
    <w:rsid w:val="004C1B50"/>
    <w:rsid w:val="004C1BF8"/>
    <w:rsid w:val="004C1FAD"/>
    <w:rsid w:val="004C2A2C"/>
    <w:rsid w:val="004C2DCC"/>
    <w:rsid w:val="004C3726"/>
    <w:rsid w:val="004C53DE"/>
    <w:rsid w:val="004C5727"/>
    <w:rsid w:val="004C57DF"/>
    <w:rsid w:val="004C5BA9"/>
    <w:rsid w:val="004C5FA8"/>
    <w:rsid w:val="004C62FF"/>
    <w:rsid w:val="004C6C90"/>
    <w:rsid w:val="004C6E40"/>
    <w:rsid w:val="004C7370"/>
    <w:rsid w:val="004D1D05"/>
    <w:rsid w:val="004D1FD2"/>
    <w:rsid w:val="004D2DF1"/>
    <w:rsid w:val="004D38E8"/>
    <w:rsid w:val="004D43A7"/>
    <w:rsid w:val="004D473F"/>
    <w:rsid w:val="004D53A3"/>
    <w:rsid w:val="004D55A1"/>
    <w:rsid w:val="004D5D14"/>
    <w:rsid w:val="004D77BB"/>
    <w:rsid w:val="004D7A5F"/>
    <w:rsid w:val="004E0C1F"/>
    <w:rsid w:val="004E0CCF"/>
    <w:rsid w:val="004E173B"/>
    <w:rsid w:val="004E209B"/>
    <w:rsid w:val="004E25F4"/>
    <w:rsid w:val="004E311E"/>
    <w:rsid w:val="004E3EB0"/>
    <w:rsid w:val="004E426B"/>
    <w:rsid w:val="004E586B"/>
    <w:rsid w:val="004E6181"/>
    <w:rsid w:val="004E6F67"/>
    <w:rsid w:val="004E70B8"/>
    <w:rsid w:val="004E7AC8"/>
    <w:rsid w:val="004E7BCF"/>
    <w:rsid w:val="004E7D02"/>
    <w:rsid w:val="004E7EE3"/>
    <w:rsid w:val="004E7F3C"/>
    <w:rsid w:val="004F0837"/>
    <w:rsid w:val="004F0F16"/>
    <w:rsid w:val="004F19BF"/>
    <w:rsid w:val="004F209A"/>
    <w:rsid w:val="004F2ECC"/>
    <w:rsid w:val="004F32EB"/>
    <w:rsid w:val="004F3C00"/>
    <w:rsid w:val="004F3F8A"/>
    <w:rsid w:val="004F44A2"/>
    <w:rsid w:val="004F5DC2"/>
    <w:rsid w:val="004F7573"/>
    <w:rsid w:val="004F7575"/>
    <w:rsid w:val="004F7F82"/>
    <w:rsid w:val="00501F72"/>
    <w:rsid w:val="005021E2"/>
    <w:rsid w:val="00502ACC"/>
    <w:rsid w:val="00503A61"/>
    <w:rsid w:val="00504F12"/>
    <w:rsid w:val="00504F1A"/>
    <w:rsid w:val="005052B0"/>
    <w:rsid w:val="0050572F"/>
    <w:rsid w:val="005059A5"/>
    <w:rsid w:val="00506EA6"/>
    <w:rsid w:val="00507282"/>
    <w:rsid w:val="00507DFF"/>
    <w:rsid w:val="005110DF"/>
    <w:rsid w:val="005116C0"/>
    <w:rsid w:val="00511FD3"/>
    <w:rsid w:val="00512523"/>
    <w:rsid w:val="00516143"/>
    <w:rsid w:val="00517174"/>
    <w:rsid w:val="0052000B"/>
    <w:rsid w:val="00521802"/>
    <w:rsid w:val="00521E54"/>
    <w:rsid w:val="00521FAC"/>
    <w:rsid w:val="0052214B"/>
    <w:rsid w:val="00522820"/>
    <w:rsid w:val="00522E82"/>
    <w:rsid w:val="0052379A"/>
    <w:rsid w:val="00524068"/>
    <w:rsid w:val="00524ABB"/>
    <w:rsid w:val="005254DD"/>
    <w:rsid w:val="005265CD"/>
    <w:rsid w:val="00526967"/>
    <w:rsid w:val="0052747A"/>
    <w:rsid w:val="005277BD"/>
    <w:rsid w:val="005316F0"/>
    <w:rsid w:val="00531761"/>
    <w:rsid w:val="005324F3"/>
    <w:rsid w:val="00532653"/>
    <w:rsid w:val="00532B3A"/>
    <w:rsid w:val="00532F11"/>
    <w:rsid w:val="00532F9C"/>
    <w:rsid w:val="00533E97"/>
    <w:rsid w:val="005347D2"/>
    <w:rsid w:val="00534C48"/>
    <w:rsid w:val="00534DBB"/>
    <w:rsid w:val="005358BD"/>
    <w:rsid w:val="00535F17"/>
    <w:rsid w:val="005360FB"/>
    <w:rsid w:val="0053767E"/>
    <w:rsid w:val="005401A1"/>
    <w:rsid w:val="005408B0"/>
    <w:rsid w:val="00540DF0"/>
    <w:rsid w:val="00540FBD"/>
    <w:rsid w:val="00542F42"/>
    <w:rsid w:val="00543578"/>
    <w:rsid w:val="00543ECC"/>
    <w:rsid w:val="00544478"/>
    <w:rsid w:val="005444B6"/>
    <w:rsid w:val="00544998"/>
    <w:rsid w:val="005455E0"/>
    <w:rsid w:val="00545A61"/>
    <w:rsid w:val="00545E7B"/>
    <w:rsid w:val="0054683D"/>
    <w:rsid w:val="005478EB"/>
    <w:rsid w:val="00547B79"/>
    <w:rsid w:val="00550066"/>
    <w:rsid w:val="0055086F"/>
    <w:rsid w:val="0055153B"/>
    <w:rsid w:val="00551665"/>
    <w:rsid w:val="00551720"/>
    <w:rsid w:val="005518A9"/>
    <w:rsid w:val="005526BA"/>
    <w:rsid w:val="005526E3"/>
    <w:rsid w:val="005527C1"/>
    <w:rsid w:val="005539BB"/>
    <w:rsid w:val="0055402F"/>
    <w:rsid w:val="0055423D"/>
    <w:rsid w:val="00555590"/>
    <w:rsid w:val="00556C0C"/>
    <w:rsid w:val="00556D99"/>
    <w:rsid w:val="00557312"/>
    <w:rsid w:val="00557DC7"/>
    <w:rsid w:val="00557FA6"/>
    <w:rsid w:val="00560862"/>
    <w:rsid w:val="00561BD1"/>
    <w:rsid w:val="00561C4C"/>
    <w:rsid w:val="00563385"/>
    <w:rsid w:val="00563AFE"/>
    <w:rsid w:val="00563F87"/>
    <w:rsid w:val="0056401A"/>
    <w:rsid w:val="00565D31"/>
    <w:rsid w:val="0056691D"/>
    <w:rsid w:val="00566C93"/>
    <w:rsid w:val="00566D89"/>
    <w:rsid w:val="0056712D"/>
    <w:rsid w:val="00567602"/>
    <w:rsid w:val="00570173"/>
    <w:rsid w:val="005710D5"/>
    <w:rsid w:val="005713DB"/>
    <w:rsid w:val="00571E7A"/>
    <w:rsid w:val="00572286"/>
    <w:rsid w:val="00572783"/>
    <w:rsid w:val="005727ED"/>
    <w:rsid w:val="00573454"/>
    <w:rsid w:val="00574425"/>
    <w:rsid w:val="005749C8"/>
    <w:rsid w:val="00574B54"/>
    <w:rsid w:val="00574CA0"/>
    <w:rsid w:val="00574FD2"/>
    <w:rsid w:val="0057567F"/>
    <w:rsid w:val="005778BF"/>
    <w:rsid w:val="005800A3"/>
    <w:rsid w:val="005800C3"/>
    <w:rsid w:val="00581111"/>
    <w:rsid w:val="005812F6"/>
    <w:rsid w:val="00581DC2"/>
    <w:rsid w:val="00581FCB"/>
    <w:rsid w:val="00582B7C"/>
    <w:rsid w:val="00582DC7"/>
    <w:rsid w:val="005831D2"/>
    <w:rsid w:val="00583C79"/>
    <w:rsid w:val="00583DEA"/>
    <w:rsid w:val="0058445E"/>
    <w:rsid w:val="0058472C"/>
    <w:rsid w:val="0058577B"/>
    <w:rsid w:val="0058581D"/>
    <w:rsid w:val="00586DA0"/>
    <w:rsid w:val="0058707B"/>
    <w:rsid w:val="0058763F"/>
    <w:rsid w:val="005877D6"/>
    <w:rsid w:val="00591806"/>
    <w:rsid w:val="00591A0D"/>
    <w:rsid w:val="005920BB"/>
    <w:rsid w:val="005923AB"/>
    <w:rsid w:val="00592562"/>
    <w:rsid w:val="00592E0E"/>
    <w:rsid w:val="005934B3"/>
    <w:rsid w:val="00593752"/>
    <w:rsid w:val="00593C1A"/>
    <w:rsid w:val="00593D43"/>
    <w:rsid w:val="00594481"/>
    <w:rsid w:val="00597BE7"/>
    <w:rsid w:val="005A07C3"/>
    <w:rsid w:val="005A12CD"/>
    <w:rsid w:val="005A13D2"/>
    <w:rsid w:val="005A2120"/>
    <w:rsid w:val="005A23C8"/>
    <w:rsid w:val="005A2782"/>
    <w:rsid w:val="005A3D0B"/>
    <w:rsid w:val="005A496E"/>
    <w:rsid w:val="005A4BC5"/>
    <w:rsid w:val="005A5BFA"/>
    <w:rsid w:val="005A6FFB"/>
    <w:rsid w:val="005A72F6"/>
    <w:rsid w:val="005A7D62"/>
    <w:rsid w:val="005B0097"/>
    <w:rsid w:val="005B037C"/>
    <w:rsid w:val="005B04FA"/>
    <w:rsid w:val="005B0600"/>
    <w:rsid w:val="005B0C20"/>
    <w:rsid w:val="005B0E73"/>
    <w:rsid w:val="005B11DE"/>
    <w:rsid w:val="005B1A44"/>
    <w:rsid w:val="005B269D"/>
    <w:rsid w:val="005B27C1"/>
    <w:rsid w:val="005B2B58"/>
    <w:rsid w:val="005B52C8"/>
    <w:rsid w:val="005B6046"/>
    <w:rsid w:val="005B63AB"/>
    <w:rsid w:val="005B6496"/>
    <w:rsid w:val="005B6A44"/>
    <w:rsid w:val="005B6D1E"/>
    <w:rsid w:val="005B7787"/>
    <w:rsid w:val="005C0245"/>
    <w:rsid w:val="005C0672"/>
    <w:rsid w:val="005C1C67"/>
    <w:rsid w:val="005C1D47"/>
    <w:rsid w:val="005C2233"/>
    <w:rsid w:val="005C2392"/>
    <w:rsid w:val="005C242B"/>
    <w:rsid w:val="005C2E0D"/>
    <w:rsid w:val="005C3D01"/>
    <w:rsid w:val="005C3EA0"/>
    <w:rsid w:val="005C65CC"/>
    <w:rsid w:val="005C68C1"/>
    <w:rsid w:val="005C68CF"/>
    <w:rsid w:val="005C70EF"/>
    <w:rsid w:val="005C737A"/>
    <w:rsid w:val="005D083C"/>
    <w:rsid w:val="005D0A67"/>
    <w:rsid w:val="005D1173"/>
    <w:rsid w:val="005D1613"/>
    <w:rsid w:val="005D25D3"/>
    <w:rsid w:val="005D2E96"/>
    <w:rsid w:val="005D3A71"/>
    <w:rsid w:val="005D3B6A"/>
    <w:rsid w:val="005D46F5"/>
    <w:rsid w:val="005D612D"/>
    <w:rsid w:val="005D63E9"/>
    <w:rsid w:val="005D669A"/>
    <w:rsid w:val="005D66A1"/>
    <w:rsid w:val="005D6D6E"/>
    <w:rsid w:val="005D77BC"/>
    <w:rsid w:val="005D7ED4"/>
    <w:rsid w:val="005E006B"/>
    <w:rsid w:val="005E0A35"/>
    <w:rsid w:val="005E100E"/>
    <w:rsid w:val="005E3647"/>
    <w:rsid w:val="005E3820"/>
    <w:rsid w:val="005E3CA2"/>
    <w:rsid w:val="005E44EE"/>
    <w:rsid w:val="005E504B"/>
    <w:rsid w:val="005E5377"/>
    <w:rsid w:val="005E53AC"/>
    <w:rsid w:val="005E5459"/>
    <w:rsid w:val="005E5935"/>
    <w:rsid w:val="005E5D33"/>
    <w:rsid w:val="005E672B"/>
    <w:rsid w:val="005E6B10"/>
    <w:rsid w:val="005E6B2F"/>
    <w:rsid w:val="005E719E"/>
    <w:rsid w:val="005E7FAA"/>
    <w:rsid w:val="005F0008"/>
    <w:rsid w:val="005F0114"/>
    <w:rsid w:val="005F0733"/>
    <w:rsid w:val="005F0F6A"/>
    <w:rsid w:val="005F16B6"/>
    <w:rsid w:val="005F2C7F"/>
    <w:rsid w:val="005F328B"/>
    <w:rsid w:val="005F3C5B"/>
    <w:rsid w:val="005F3E3E"/>
    <w:rsid w:val="005F4DA9"/>
    <w:rsid w:val="005F5C01"/>
    <w:rsid w:val="005F6529"/>
    <w:rsid w:val="005F6C9B"/>
    <w:rsid w:val="005F6FE4"/>
    <w:rsid w:val="005F7121"/>
    <w:rsid w:val="005F769C"/>
    <w:rsid w:val="0060152A"/>
    <w:rsid w:val="0060213B"/>
    <w:rsid w:val="00602EE8"/>
    <w:rsid w:val="006034EA"/>
    <w:rsid w:val="006037A0"/>
    <w:rsid w:val="00603993"/>
    <w:rsid w:val="00604C38"/>
    <w:rsid w:val="0060547C"/>
    <w:rsid w:val="00605903"/>
    <w:rsid w:val="00606F1D"/>
    <w:rsid w:val="00607618"/>
    <w:rsid w:val="00610A9B"/>
    <w:rsid w:val="00610CE9"/>
    <w:rsid w:val="00610F6E"/>
    <w:rsid w:val="00611DE6"/>
    <w:rsid w:val="006121E8"/>
    <w:rsid w:val="00612DC9"/>
    <w:rsid w:val="006132BB"/>
    <w:rsid w:val="00613336"/>
    <w:rsid w:val="00615673"/>
    <w:rsid w:val="00615D0B"/>
    <w:rsid w:val="00615D5F"/>
    <w:rsid w:val="006168B0"/>
    <w:rsid w:val="00616C19"/>
    <w:rsid w:val="00617BBE"/>
    <w:rsid w:val="00620917"/>
    <w:rsid w:val="00620980"/>
    <w:rsid w:val="006214FD"/>
    <w:rsid w:val="006219E5"/>
    <w:rsid w:val="006226C8"/>
    <w:rsid w:val="0062535A"/>
    <w:rsid w:val="00625507"/>
    <w:rsid w:val="00626E31"/>
    <w:rsid w:val="00627753"/>
    <w:rsid w:val="006278B2"/>
    <w:rsid w:val="00627D41"/>
    <w:rsid w:val="006308B4"/>
    <w:rsid w:val="00631057"/>
    <w:rsid w:val="0063127E"/>
    <w:rsid w:val="00631C0D"/>
    <w:rsid w:val="00631DE3"/>
    <w:rsid w:val="0063230C"/>
    <w:rsid w:val="006326E9"/>
    <w:rsid w:val="00632DC4"/>
    <w:rsid w:val="006336D9"/>
    <w:rsid w:val="00633782"/>
    <w:rsid w:val="00633E0C"/>
    <w:rsid w:val="00634EFA"/>
    <w:rsid w:val="00635134"/>
    <w:rsid w:val="0063584E"/>
    <w:rsid w:val="00635A3A"/>
    <w:rsid w:val="00635A9F"/>
    <w:rsid w:val="00635D46"/>
    <w:rsid w:val="00636364"/>
    <w:rsid w:val="006376E1"/>
    <w:rsid w:val="00640AA0"/>
    <w:rsid w:val="00641255"/>
    <w:rsid w:val="00641FBD"/>
    <w:rsid w:val="00641FCA"/>
    <w:rsid w:val="00642F7F"/>
    <w:rsid w:val="0064406D"/>
    <w:rsid w:val="00644A99"/>
    <w:rsid w:val="00644DF9"/>
    <w:rsid w:val="00644E54"/>
    <w:rsid w:val="00645428"/>
    <w:rsid w:val="00645E1B"/>
    <w:rsid w:val="006464C7"/>
    <w:rsid w:val="00647F08"/>
    <w:rsid w:val="00650A67"/>
    <w:rsid w:val="006513F4"/>
    <w:rsid w:val="0065266A"/>
    <w:rsid w:val="0065353A"/>
    <w:rsid w:val="00654217"/>
    <w:rsid w:val="00654C78"/>
    <w:rsid w:val="0065642B"/>
    <w:rsid w:val="00656627"/>
    <w:rsid w:val="0065667D"/>
    <w:rsid w:val="006566F5"/>
    <w:rsid w:val="0065697A"/>
    <w:rsid w:val="006573D7"/>
    <w:rsid w:val="00660880"/>
    <w:rsid w:val="00660EA6"/>
    <w:rsid w:val="006613D4"/>
    <w:rsid w:val="00661D22"/>
    <w:rsid w:val="0066230F"/>
    <w:rsid w:val="00664106"/>
    <w:rsid w:val="00664539"/>
    <w:rsid w:val="0066505D"/>
    <w:rsid w:val="006653ED"/>
    <w:rsid w:val="00665F0F"/>
    <w:rsid w:val="00666B16"/>
    <w:rsid w:val="00666FC8"/>
    <w:rsid w:val="00667058"/>
    <w:rsid w:val="006670EB"/>
    <w:rsid w:val="00667172"/>
    <w:rsid w:val="0066737A"/>
    <w:rsid w:val="0067029B"/>
    <w:rsid w:val="00670A85"/>
    <w:rsid w:val="00670B1A"/>
    <w:rsid w:val="00670E58"/>
    <w:rsid w:val="006714EE"/>
    <w:rsid w:val="00671EE6"/>
    <w:rsid w:val="0067284B"/>
    <w:rsid w:val="00672C4A"/>
    <w:rsid w:val="00672D3B"/>
    <w:rsid w:val="006735CC"/>
    <w:rsid w:val="0067378B"/>
    <w:rsid w:val="006744A4"/>
    <w:rsid w:val="006748CB"/>
    <w:rsid w:val="00674C4B"/>
    <w:rsid w:val="00675308"/>
    <w:rsid w:val="006757F4"/>
    <w:rsid w:val="00675BA5"/>
    <w:rsid w:val="00676106"/>
    <w:rsid w:val="00676223"/>
    <w:rsid w:val="006773EB"/>
    <w:rsid w:val="00677534"/>
    <w:rsid w:val="00677734"/>
    <w:rsid w:val="0068047F"/>
    <w:rsid w:val="00680832"/>
    <w:rsid w:val="006810E1"/>
    <w:rsid w:val="00681278"/>
    <w:rsid w:val="00681AD5"/>
    <w:rsid w:val="00682434"/>
    <w:rsid w:val="00684199"/>
    <w:rsid w:val="0068486D"/>
    <w:rsid w:val="00685B73"/>
    <w:rsid w:val="00685BCC"/>
    <w:rsid w:val="00685EDF"/>
    <w:rsid w:val="0068668C"/>
    <w:rsid w:val="006867D4"/>
    <w:rsid w:val="00686975"/>
    <w:rsid w:val="00687E83"/>
    <w:rsid w:val="00690634"/>
    <w:rsid w:val="00690D75"/>
    <w:rsid w:val="006924DA"/>
    <w:rsid w:val="006929F9"/>
    <w:rsid w:val="006934DE"/>
    <w:rsid w:val="006936CD"/>
    <w:rsid w:val="00693D2B"/>
    <w:rsid w:val="006941C8"/>
    <w:rsid w:val="006956B5"/>
    <w:rsid w:val="00695A28"/>
    <w:rsid w:val="00695F03"/>
    <w:rsid w:val="006964A0"/>
    <w:rsid w:val="006965CE"/>
    <w:rsid w:val="0069666E"/>
    <w:rsid w:val="006972CC"/>
    <w:rsid w:val="00697348"/>
    <w:rsid w:val="006975F6"/>
    <w:rsid w:val="006A05D6"/>
    <w:rsid w:val="006A085D"/>
    <w:rsid w:val="006A0E27"/>
    <w:rsid w:val="006A1D00"/>
    <w:rsid w:val="006A2A56"/>
    <w:rsid w:val="006A2D23"/>
    <w:rsid w:val="006A41FE"/>
    <w:rsid w:val="006A5C8F"/>
    <w:rsid w:val="006A5D87"/>
    <w:rsid w:val="006A5F55"/>
    <w:rsid w:val="006A72CB"/>
    <w:rsid w:val="006A76E1"/>
    <w:rsid w:val="006B08E5"/>
    <w:rsid w:val="006B142F"/>
    <w:rsid w:val="006B176B"/>
    <w:rsid w:val="006B2871"/>
    <w:rsid w:val="006B44CE"/>
    <w:rsid w:val="006B45F0"/>
    <w:rsid w:val="006B46B1"/>
    <w:rsid w:val="006B5979"/>
    <w:rsid w:val="006B5CFB"/>
    <w:rsid w:val="006B6865"/>
    <w:rsid w:val="006B6DEB"/>
    <w:rsid w:val="006B6EC6"/>
    <w:rsid w:val="006B7307"/>
    <w:rsid w:val="006B74C2"/>
    <w:rsid w:val="006B7905"/>
    <w:rsid w:val="006B7942"/>
    <w:rsid w:val="006C05F5"/>
    <w:rsid w:val="006C0813"/>
    <w:rsid w:val="006C0F41"/>
    <w:rsid w:val="006C2E12"/>
    <w:rsid w:val="006C3461"/>
    <w:rsid w:val="006C346B"/>
    <w:rsid w:val="006C57DC"/>
    <w:rsid w:val="006C6758"/>
    <w:rsid w:val="006C6D42"/>
    <w:rsid w:val="006C738A"/>
    <w:rsid w:val="006D0907"/>
    <w:rsid w:val="006D1BCB"/>
    <w:rsid w:val="006D24A0"/>
    <w:rsid w:val="006D2BDF"/>
    <w:rsid w:val="006D3053"/>
    <w:rsid w:val="006D51BD"/>
    <w:rsid w:val="006D528F"/>
    <w:rsid w:val="006D535C"/>
    <w:rsid w:val="006D586E"/>
    <w:rsid w:val="006D5C93"/>
    <w:rsid w:val="006E0000"/>
    <w:rsid w:val="006E0384"/>
    <w:rsid w:val="006E05BB"/>
    <w:rsid w:val="006E0DDA"/>
    <w:rsid w:val="006E13E1"/>
    <w:rsid w:val="006E1928"/>
    <w:rsid w:val="006E1EA0"/>
    <w:rsid w:val="006E233B"/>
    <w:rsid w:val="006E2B95"/>
    <w:rsid w:val="006E2F99"/>
    <w:rsid w:val="006E3084"/>
    <w:rsid w:val="006E4744"/>
    <w:rsid w:val="006E4839"/>
    <w:rsid w:val="006E5C90"/>
    <w:rsid w:val="006E6358"/>
    <w:rsid w:val="006E6546"/>
    <w:rsid w:val="006E6BB3"/>
    <w:rsid w:val="006E6E27"/>
    <w:rsid w:val="006E6FAD"/>
    <w:rsid w:val="006F0232"/>
    <w:rsid w:val="006F19B2"/>
    <w:rsid w:val="006F1DAC"/>
    <w:rsid w:val="006F233D"/>
    <w:rsid w:val="006F2778"/>
    <w:rsid w:val="006F3475"/>
    <w:rsid w:val="006F398E"/>
    <w:rsid w:val="006F525C"/>
    <w:rsid w:val="006F5336"/>
    <w:rsid w:val="006F5A72"/>
    <w:rsid w:val="006F5EF4"/>
    <w:rsid w:val="006F673C"/>
    <w:rsid w:val="006F6E73"/>
    <w:rsid w:val="007010BC"/>
    <w:rsid w:val="0070166E"/>
    <w:rsid w:val="00701B5A"/>
    <w:rsid w:val="00701D18"/>
    <w:rsid w:val="0070213E"/>
    <w:rsid w:val="00702984"/>
    <w:rsid w:val="00702A33"/>
    <w:rsid w:val="00703555"/>
    <w:rsid w:val="00703A2A"/>
    <w:rsid w:val="00703F74"/>
    <w:rsid w:val="00703FA0"/>
    <w:rsid w:val="00704217"/>
    <w:rsid w:val="00704CEE"/>
    <w:rsid w:val="007055D3"/>
    <w:rsid w:val="00706560"/>
    <w:rsid w:val="00706A4B"/>
    <w:rsid w:val="00706CE0"/>
    <w:rsid w:val="00706CE2"/>
    <w:rsid w:val="007070BD"/>
    <w:rsid w:val="007077FB"/>
    <w:rsid w:val="00710F8A"/>
    <w:rsid w:val="0071117E"/>
    <w:rsid w:val="007116E8"/>
    <w:rsid w:val="00711A4F"/>
    <w:rsid w:val="00711D0C"/>
    <w:rsid w:val="007124A7"/>
    <w:rsid w:val="00712B03"/>
    <w:rsid w:val="00712D8B"/>
    <w:rsid w:val="00712E8D"/>
    <w:rsid w:val="00712EFE"/>
    <w:rsid w:val="00712F62"/>
    <w:rsid w:val="00713ABA"/>
    <w:rsid w:val="00716AC6"/>
    <w:rsid w:val="00717470"/>
    <w:rsid w:val="007178A2"/>
    <w:rsid w:val="007178B8"/>
    <w:rsid w:val="0072152D"/>
    <w:rsid w:val="007217B2"/>
    <w:rsid w:val="00721FA9"/>
    <w:rsid w:val="00722622"/>
    <w:rsid w:val="00722718"/>
    <w:rsid w:val="00722F0F"/>
    <w:rsid w:val="00723B27"/>
    <w:rsid w:val="00724452"/>
    <w:rsid w:val="00725863"/>
    <w:rsid w:val="00726325"/>
    <w:rsid w:val="00726565"/>
    <w:rsid w:val="007270F5"/>
    <w:rsid w:val="007308E3"/>
    <w:rsid w:val="00730A84"/>
    <w:rsid w:val="00730D61"/>
    <w:rsid w:val="00731B27"/>
    <w:rsid w:val="007324F2"/>
    <w:rsid w:val="0073262A"/>
    <w:rsid w:val="00732C97"/>
    <w:rsid w:val="00733040"/>
    <w:rsid w:val="007336B7"/>
    <w:rsid w:val="0073388E"/>
    <w:rsid w:val="00733B7C"/>
    <w:rsid w:val="00733C19"/>
    <w:rsid w:val="00734680"/>
    <w:rsid w:val="00734F84"/>
    <w:rsid w:val="007358D7"/>
    <w:rsid w:val="0073631E"/>
    <w:rsid w:val="00737AB9"/>
    <w:rsid w:val="0074320C"/>
    <w:rsid w:val="0074410B"/>
    <w:rsid w:val="00744A0F"/>
    <w:rsid w:val="00745428"/>
    <w:rsid w:val="00745734"/>
    <w:rsid w:val="007465E4"/>
    <w:rsid w:val="00746B46"/>
    <w:rsid w:val="00746E41"/>
    <w:rsid w:val="00747080"/>
    <w:rsid w:val="00747A03"/>
    <w:rsid w:val="00750B63"/>
    <w:rsid w:val="00751A4C"/>
    <w:rsid w:val="007525CD"/>
    <w:rsid w:val="00752BD3"/>
    <w:rsid w:val="007533F7"/>
    <w:rsid w:val="00753989"/>
    <w:rsid w:val="00753A8E"/>
    <w:rsid w:val="00755004"/>
    <w:rsid w:val="007558AC"/>
    <w:rsid w:val="007561C5"/>
    <w:rsid w:val="00756309"/>
    <w:rsid w:val="00756A96"/>
    <w:rsid w:val="00756CD0"/>
    <w:rsid w:val="007574E0"/>
    <w:rsid w:val="00760466"/>
    <w:rsid w:val="00760D6A"/>
    <w:rsid w:val="00762248"/>
    <w:rsid w:val="0076269E"/>
    <w:rsid w:val="007640D8"/>
    <w:rsid w:val="0076637E"/>
    <w:rsid w:val="007672EC"/>
    <w:rsid w:val="00767A66"/>
    <w:rsid w:val="00770F0F"/>
    <w:rsid w:val="0077158A"/>
    <w:rsid w:val="00771F80"/>
    <w:rsid w:val="007737A6"/>
    <w:rsid w:val="00773B0B"/>
    <w:rsid w:val="00773B68"/>
    <w:rsid w:val="007744A0"/>
    <w:rsid w:val="007746A8"/>
    <w:rsid w:val="007746CC"/>
    <w:rsid w:val="007748DC"/>
    <w:rsid w:val="00775BE0"/>
    <w:rsid w:val="00776657"/>
    <w:rsid w:val="00780550"/>
    <w:rsid w:val="0078094C"/>
    <w:rsid w:val="00781080"/>
    <w:rsid w:val="0078146B"/>
    <w:rsid w:val="00781592"/>
    <w:rsid w:val="0078163F"/>
    <w:rsid w:val="0078173A"/>
    <w:rsid w:val="007819F9"/>
    <w:rsid w:val="0078216C"/>
    <w:rsid w:val="00782C38"/>
    <w:rsid w:val="007834FE"/>
    <w:rsid w:val="00783747"/>
    <w:rsid w:val="00783BA9"/>
    <w:rsid w:val="00783E51"/>
    <w:rsid w:val="00783E7D"/>
    <w:rsid w:val="00785A23"/>
    <w:rsid w:val="00785D07"/>
    <w:rsid w:val="00785F2F"/>
    <w:rsid w:val="00786232"/>
    <w:rsid w:val="007866DB"/>
    <w:rsid w:val="00786FB0"/>
    <w:rsid w:val="007876FC"/>
    <w:rsid w:val="00787BEF"/>
    <w:rsid w:val="00787E7E"/>
    <w:rsid w:val="0079128D"/>
    <w:rsid w:val="007916CB"/>
    <w:rsid w:val="00792132"/>
    <w:rsid w:val="0079258C"/>
    <w:rsid w:val="00792D1E"/>
    <w:rsid w:val="0079364E"/>
    <w:rsid w:val="00793956"/>
    <w:rsid w:val="0079430B"/>
    <w:rsid w:val="00794B2C"/>
    <w:rsid w:val="00794DB9"/>
    <w:rsid w:val="007957F4"/>
    <w:rsid w:val="00795A45"/>
    <w:rsid w:val="0079645F"/>
    <w:rsid w:val="00796ACF"/>
    <w:rsid w:val="007A0120"/>
    <w:rsid w:val="007A0382"/>
    <w:rsid w:val="007A07DA"/>
    <w:rsid w:val="007A1811"/>
    <w:rsid w:val="007A1D91"/>
    <w:rsid w:val="007A23F4"/>
    <w:rsid w:val="007A3C91"/>
    <w:rsid w:val="007A40B9"/>
    <w:rsid w:val="007A40DE"/>
    <w:rsid w:val="007A4AC9"/>
    <w:rsid w:val="007A4CEB"/>
    <w:rsid w:val="007A67A4"/>
    <w:rsid w:val="007A72B9"/>
    <w:rsid w:val="007A7DB6"/>
    <w:rsid w:val="007A7DE0"/>
    <w:rsid w:val="007A7FEE"/>
    <w:rsid w:val="007B05BD"/>
    <w:rsid w:val="007B24CC"/>
    <w:rsid w:val="007B29D4"/>
    <w:rsid w:val="007B40E2"/>
    <w:rsid w:val="007B495D"/>
    <w:rsid w:val="007B6091"/>
    <w:rsid w:val="007B6511"/>
    <w:rsid w:val="007B727C"/>
    <w:rsid w:val="007B7BEE"/>
    <w:rsid w:val="007C045E"/>
    <w:rsid w:val="007C1869"/>
    <w:rsid w:val="007C2588"/>
    <w:rsid w:val="007C26BB"/>
    <w:rsid w:val="007C2B20"/>
    <w:rsid w:val="007C2C8C"/>
    <w:rsid w:val="007C39AA"/>
    <w:rsid w:val="007C54C8"/>
    <w:rsid w:val="007C563E"/>
    <w:rsid w:val="007C5E70"/>
    <w:rsid w:val="007C5FEF"/>
    <w:rsid w:val="007C6120"/>
    <w:rsid w:val="007C6CC6"/>
    <w:rsid w:val="007C6F22"/>
    <w:rsid w:val="007D00C3"/>
    <w:rsid w:val="007D00C8"/>
    <w:rsid w:val="007D0400"/>
    <w:rsid w:val="007D1C42"/>
    <w:rsid w:val="007D2295"/>
    <w:rsid w:val="007D30B1"/>
    <w:rsid w:val="007D35EA"/>
    <w:rsid w:val="007D4366"/>
    <w:rsid w:val="007D46E6"/>
    <w:rsid w:val="007D589A"/>
    <w:rsid w:val="007D61B9"/>
    <w:rsid w:val="007D7127"/>
    <w:rsid w:val="007D77B7"/>
    <w:rsid w:val="007D78C1"/>
    <w:rsid w:val="007D795A"/>
    <w:rsid w:val="007E04DF"/>
    <w:rsid w:val="007E0687"/>
    <w:rsid w:val="007E1BCF"/>
    <w:rsid w:val="007E2069"/>
    <w:rsid w:val="007E23A3"/>
    <w:rsid w:val="007E262A"/>
    <w:rsid w:val="007E2941"/>
    <w:rsid w:val="007E295A"/>
    <w:rsid w:val="007E405C"/>
    <w:rsid w:val="007E425F"/>
    <w:rsid w:val="007E45B6"/>
    <w:rsid w:val="007E45F9"/>
    <w:rsid w:val="007E4F3D"/>
    <w:rsid w:val="007E5319"/>
    <w:rsid w:val="007E5D46"/>
    <w:rsid w:val="007E6598"/>
    <w:rsid w:val="007E66FD"/>
    <w:rsid w:val="007E6BC0"/>
    <w:rsid w:val="007E70B9"/>
    <w:rsid w:val="007E7DB8"/>
    <w:rsid w:val="007F05CD"/>
    <w:rsid w:val="007F07C5"/>
    <w:rsid w:val="007F07FF"/>
    <w:rsid w:val="007F0BF6"/>
    <w:rsid w:val="007F10D5"/>
    <w:rsid w:val="007F191D"/>
    <w:rsid w:val="007F2FFD"/>
    <w:rsid w:val="007F3852"/>
    <w:rsid w:val="007F3E1A"/>
    <w:rsid w:val="007F3E78"/>
    <w:rsid w:val="007F457D"/>
    <w:rsid w:val="007F4D2D"/>
    <w:rsid w:val="007F4DF6"/>
    <w:rsid w:val="007F5FB1"/>
    <w:rsid w:val="007F5FC5"/>
    <w:rsid w:val="007F603F"/>
    <w:rsid w:val="007F6148"/>
    <w:rsid w:val="007F7931"/>
    <w:rsid w:val="007F79BD"/>
    <w:rsid w:val="00800091"/>
    <w:rsid w:val="008016AE"/>
    <w:rsid w:val="008033F1"/>
    <w:rsid w:val="00803DE4"/>
    <w:rsid w:val="00804484"/>
    <w:rsid w:val="008062E2"/>
    <w:rsid w:val="00806B8E"/>
    <w:rsid w:val="00807019"/>
    <w:rsid w:val="0080716B"/>
    <w:rsid w:val="008101F8"/>
    <w:rsid w:val="008104A3"/>
    <w:rsid w:val="00811BC2"/>
    <w:rsid w:val="008127D4"/>
    <w:rsid w:val="00813A51"/>
    <w:rsid w:val="00814992"/>
    <w:rsid w:val="00814DC8"/>
    <w:rsid w:val="0081638B"/>
    <w:rsid w:val="008167B1"/>
    <w:rsid w:val="00816FF0"/>
    <w:rsid w:val="00817A5E"/>
    <w:rsid w:val="00821201"/>
    <w:rsid w:val="0082171A"/>
    <w:rsid w:val="00821B15"/>
    <w:rsid w:val="008222B3"/>
    <w:rsid w:val="00822BB5"/>
    <w:rsid w:val="0082410B"/>
    <w:rsid w:val="00824823"/>
    <w:rsid w:val="00824C10"/>
    <w:rsid w:val="00824D27"/>
    <w:rsid w:val="008257B0"/>
    <w:rsid w:val="00825FED"/>
    <w:rsid w:val="00826352"/>
    <w:rsid w:val="00826F65"/>
    <w:rsid w:val="0082721E"/>
    <w:rsid w:val="008274C5"/>
    <w:rsid w:val="0082778D"/>
    <w:rsid w:val="00827FCA"/>
    <w:rsid w:val="008302B2"/>
    <w:rsid w:val="0083064E"/>
    <w:rsid w:val="00830B8B"/>
    <w:rsid w:val="00830ED1"/>
    <w:rsid w:val="008314E9"/>
    <w:rsid w:val="00832875"/>
    <w:rsid w:val="00832991"/>
    <w:rsid w:val="008335E7"/>
    <w:rsid w:val="008338D0"/>
    <w:rsid w:val="008339EC"/>
    <w:rsid w:val="00833C17"/>
    <w:rsid w:val="008340A3"/>
    <w:rsid w:val="0083510A"/>
    <w:rsid w:val="008367CB"/>
    <w:rsid w:val="008368E6"/>
    <w:rsid w:val="00837CB0"/>
    <w:rsid w:val="00840701"/>
    <w:rsid w:val="00840734"/>
    <w:rsid w:val="00840DF3"/>
    <w:rsid w:val="008415EA"/>
    <w:rsid w:val="00841A47"/>
    <w:rsid w:val="00841E78"/>
    <w:rsid w:val="00841FB9"/>
    <w:rsid w:val="008430DA"/>
    <w:rsid w:val="00843CC5"/>
    <w:rsid w:val="00844331"/>
    <w:rsid w:val="0084512F"/>
    <w:rsid w:val="00845319"/>
    <w:rsid w:val="00845CD6"/>
    <w:rsid w:val="00845EB2"/>
    <w:rsid w:val="00850446"/>
    <w:rsid w:val="00850B74"/>
    <w:rsid w:val="00850DDD"/>
    <w:rsid w:val="008510ED"/>
    <w:rsid w:val="008512A6"/>
    <w:rsid w:val="008512E2"/>
    <w:rsid w:val="00851D62"/>
    <w:rsid w:val="00851F23"/>
    <w:rsid w:val="008531FB"/>
    <w:rsid w:val="008540D8"/>
    <w:rsid w:val="00854D6D"/>
    <w:rsid w:val="00854DD6"/>
    <w:rsid w:val="008560CE"/>
    <w:rsid w:val="00856A19"/>
    <w:rsid w:val="00856BE6"/>
    <w:rsid w:val="00857C50"/>
    <w:rsid w:val="00860326"/>
    <w:rsid w:val="00860B45"/>
    <w:rsid w:val="00860FF9"/>
    <w:rsid w:val="00861251"/>
    <w:rsid w:val="00861F3F"/>
    <w:rsid w:val="00863591"/>
    <w:rsid w:val="00864641"/>
    <w:rsid w:val="008654A9"/>
    <w:rsid w:val="00865C3C"/>
    <w:rsid w:val="00865FCC"/>
    <w:rsid w:val="00867137"/>
    <w:rsid w:val="00867CC8"/>
    <w:rsid w:val="00867CCC"/>
    <w:rsid w:val="00870A4A"/>
    <w:rsid w:val="00870A5B"/>
    <w:rsid w:val="00871721"/>
    <w:rsid w:val="00871F4C"/>
    <w:rsid w:val="00872BC3"/>
    <w:rsid w:val="00874811"/>
    <w:rsid w:val="00874FD3"/>
    <w:rsid w:val="008757ED"/>
    <w:rsid w:val="008764B5"/>
    <w:rsid w:val="008769D3"/>
    <w:rsid w:val="0088176B"/>
    <w:rsid w:val="00881CA7"/>
    <w:rsid w:val="0088213C"/>
    <w:rsid w:val="00882A1A"/>
    <w:rsid w:val="00882A54"/>
    <w:rsid w:val="00882B55"/>
    <w:rsid w:val="00884751"/>
    <w:rsid w:val="00884A46"/>
    <w:rsid w:val="00884AD3"/>
    <w:rsid w:val="00884FF0"/>
    <w:rsid w:val="00886993"/>
    <w:rsid w:val="00886EFE"/>
    <w:rsid w:val="00887275"/>
    <w:rsid w:val="00887A5B"/>
    <w:rsid w:val="00890622"/>
    <w:rsid w:val="00890A41"/>
    <w:rsid w:val="008922FE"/>
    <w:rsid w:val="00892785"/>
    <w:rsid w:val="00893C5D"/>
    <w:rsid w:val="0089449D"/>
    <w:rsid w:val="008945A1"/>
    <w:rsid w:val="00894808"/>
    <w:rsid w:val="008964AE"/>
    <w:rsid w:val="008972A0"/>
    <w:rsid w:val="00897643"/>
    <w:rsid w:val="008A02AE"/>
    <w:rsid w:val="008A0479"/>
    <w:rsid w:val="008A10D3"/>
    <w:rsid w:val="008A146D"/>
    <w:rsid w:val="008A1CBC"/>
    <w:rsid w:val="008A1E23"/>
    <w:rsid w:val="008A1FB5"/>
    <w:rsid w:val="008A2005"/>
    <w:rsid w:val="008A2AB6"/>
    <w:rsid w:val="008A3A5B"/>
    <w:rsid w:val="008A3B83"/>
    <w:rsid w:val="008A4CF6"/>
    <w:rsid w:val="008A5340"/>
    <w:rsid w:val="008A548C"/>
    <w:rsid w:val="008A579E"/>
    <w:rsid w:val="008A5DBF"/>
    <w:rsid w:val="008A60DA"/>
    <w:rsid w:val="008A68CD"/>
    <w:rsid w:val="008A7153"/>
    <w:rsid w:val="008A73C8"/>
    <w:rsid w:val="008A747D"/>
    <w:rsid w:val="008A75B7"/>
    <w:rsid w:val="008A7948"/>
    <w:rsid w:val="008A7A10"/>
    <w:rsid w:val="008A7A22"/>
    <w:rsid w:val="008B014F"/>
    <w:rsid w:val="008B12CC"/>
    <w:rsid w:val="008B1BE4"/>
    <w:rsid w:val="008B1EB4"/>
    <w:rsid w:val="008B7519"/>
    <w:rsid w:val="008B7C95"/>
    <w:rsid w:val="008B7F3F"/>
    <w:rsid w:val="008C080F"/>
    <w:rsid w:val="008C0890"/>
    <w:rsid w:val="008C2402"/>
    <w:rsid w:val="008C2937"/>
    <w:rsid w:val="008C2962"/>
    <w:rsid w:val="008C2E03"/>
    <w:rsid w:val="008C3CFE"/>
    <w:rsid w:val="008C4538"/>
    <w:rsid w:val="008C4769"/>
    <w:rsid w:val="008C4B7E"/>
    <w:rsid w:val="008C4D8A"/>
    <w:rsid w:val="008C4D90"/>
    <w:rsid w:val="008C5C93"/>
    <w:rsid w:val="008C6AC8"/>
    <w:rsid w:val="008C7EB2"/>
    <w:rsid w:val="008D0336"/>
    <w:rsid w:val="008D0A8B"/>
    <w:rsid w:val="008D1260"/>
    <w:rsid w:val="008D1C1F"/>
    <w:rsid w:val="008D2888"/>
    <w:rsid w:val="008D2D3C"/>
    <w:rsid w:val="008D4354"/>
    <w:rsid w:val="008D4F94"/>
    <w:rsid w:val="008D76A5"/>
    <w:rsid w:val="008D78FA"/>
    <w:rsid w:val="008D7C98"/>
    <w:rsid w:val="008E0108"/>
    <w:rsid w:val="008E0555"/>
    <w:rsid w:val="008E0D4B"/>
    <w:rsid w:val="008E151E"/>
    <w:rsid w:val="008E2213"/>
    <w:rsid w:val="008E3BE7"/>
    <w:rsid w:val="008E3DA1"/>
    <w:rsid w:val="008E42F7"/>
    <w:rsid w:val="008E4675"/>
    <w:rsid w:val="008E4CD1"/>
    <w:rsid w:val="008E4E89"/>
    <w:rsid w:val="008E6008"/>
    <w:rsid w:val="008E6554"/>
    <w:rsid w:val="008E691D"/>
    <w:rsid w:val="008E6E38"/>
    <w:rsid w:val="008E6EC9"/>
    <w:rsid w:val="008E6FCD"/>
    <w:rsid w:val="008E7F91"/>
    <w:rsid w:val="008F0583"/>
    <w:rsid w:val="008F13B8"/>
    <w:rsid w:val="008F19CA"/>
    <w:rsid w:val="008F1BA0"/>
    <w:rsid w:val="008F2003"/>
    <w:rsid w:val="008F3F50"/>
    <w:rsid w:val="008F4DF0"/>
    <w:rsid w:val="008F5283"/>
    <w:rsid w:val="008F5C1F"/>
    <w:rsid w:val="008F5FF4"/>
    <w:rsid w:val="008F660D"/>
    <w:rsid w:val="008F713F"/>
    <w:rsid w:val="008F7529"/>
    <w:rsid w:val="00900A5F"/>
    <w:rsid w:val="00900E6E"/>
    <w:rsid w:val="009021E0"/>
    <w:rsid w:val="00903678"/>
    <w:rsid w:val="009036A0"/>
    <w:rsid w:val="009036FF"/>
    <w:rsid w:val="00903ABC"/>
    <w:rsid w:val="009049E9"/>
    <w:rsid w:val="00905701"/>
    <w:rsid w:val="00905A66"/>
    <w:rsid w:val="00906627"/>
    <w:rsid w:val="00906BC7"/>
    <w:rsid w:val="00907142"/>
    <w:rsid w:val="009077AE"/>
    <w:rsid w:val="0091160F"/>
    <w:rsid w:val="00911C92"/>
    <w:rsid w:val="0091276A"/>
    <w:rsid w:val="009129A5"/>
    <w:rsid w:val="009129ED"/>
    <w:rsid w:val="00913A1A"/>
    <w:rsid w:val="00913ED2"/>
    <w:rsid w:val="009140E6"/>
    <w:rsid w:val="00915C64"/>
    <w:rsid w:val="00915E4C"/>
    <w:rsid w:val="009167E0"/>
    <w:rsid w:val="0091682F"/>
    <w:rsid w:val="00917E2C"/>
    <w:rsid w:val="00921D43"/>
    <w:rsid w:val="009222CA"/>
    <w:rsid w:val="00922B80"/>
    <w:rsid w:val="00922E39"/>
    <w:rsid w:val="00923447"/>
    <w:rsid w:val="00923E17"/>
    <w:rsid w:val="0092434A"/>
    <w:rsid w:val="00925003"/>
    <w:rsid w:val="009264CC"/>
    <w:rsid w:val="009265E0"/>
    <w:rsid w:val="00926923"/>
    <w:rsid w:val="00926979"/>
    <w:rsid w:val="009273AA"/>
    <w:rsid w:val="0092764C"/>
    <w:rsid w:val="0092787E"/>
    <w:rsid w:val="00927B56"/>
    <w:rsid w:val="00930366"/>
    <w:rsid w:val="00930699"/>
    <w:rsid w:val="00931D5D"/>
    <w:rsid w:val="00932CE2"/>
    <w:rsid w:val="00932E84"/>
    <w:rsid w:val="0093363A"/>
    <w:rsid w:val="009341B9"/>
    <w:rsid w:val="00934C47"/>
    <w:rsid w:val="00934EF7"/>
    <w:rsid w:val="009350A7"/>
    <w:rsid w:val="00935593"/>
    <w:rsid w:val="00935AE2"/>
    <w:rsid w:val="00936311"/>
    <w:rsid w:val="00936481"/>
    <w:rsid w:val="00937253"/>
    <w:rsid w:val="00941338"/>
    <w:rsid w:val="00942803"/>
    <w:rsid w:val="00942C33"/>
    <w:rsid w:val="00942D0B"/>
    <w:rsid w:val="00944489"/>
    <w:rsid w:val="00944610"/>
    <w:rsid w:val="00944EDD"/>
    <w:rsid w:val="00945D52"/>
    <w:rsid w:val="00946477"/>
    <w:rsid w:val="00946586"/>
    <w:rsid w:val="00946B26"/>
    <w:rsid w:val="00947174"/>
    <w:rsid w:val="009472C4"/>
    <w:rsid w:val="0094760A"/>
    <w:rsid w:val="00947AD3"/>
    <w:rsid w:val="00947B1B"/>
    <w:rsid w:val="00947D78"/>
    <w:rsid w:val="00950215"/>
    <w:rsid w:val="00950752"/>
    <w:rsid w:val="0095156E"/>
    <w:rsid w:val="009518EC"/>
    <w:rsid w:val="0095216C"/>
    <w:rsid w:val="0095294A"/>
    <w:rsid w:val="00953854"/>
    <w:rsid w:val="00953EA0"/>
    <w:rsid w:val="00954017"/>
    <w:rsid w:val="00954292"/>
    <w:rsid w:val="009548C8"/>
    <w:rsid w:val="00955803"/>
    <w:rsid w:val="009559AF"/>
    <w:rsid w:val="00956AE8"/>
    <w:rsid w:val="00957431"/>
    <w:rsid w:val="00960437"/>
    <w:rsid w:val="00960B61"/>
    <w:rsid w:val="00961C69"/>
    <w:rsid w:val="0096293A"/>
    <w:rsid w:val="0096306E"/>
    <w:rsid w:val="00963668"/>
    <w:rsid w:val="00963851"/>
    <w:rsid w:val="00963F5B"/>
    <w:rsid w:val="0096531C"/>
    <w:rsid w:val="00965812"/>
    <w:rsid w:val="00966E81"/>
    <w:rsid w:val="0097009B"/>
    <w:rsid w:val="00970F1D"/>
    <w:rsid w:val="0097150E"/>
    <w:rsid w:val="00971F8C"/>
    <w:rsid w:val="00972DF9"/>
    <w:rsid w:val="0097383B"/>
    <w:rsid w:val="009740FC"/>
    <w:rsid w:val="0097564C"/>
    <w:rsid w:val="00976007"/>
    <w:rsid w:val="00976A4A"/>
    <w:rsid w:val="00976A87"/>
    <w:rsid w:val="00976AE3"/>
    <w:rsid w:val="009770C9"/>
    <w:rsid w:val="00977150"/>
    <w:rsid w:val="00977595"/>
    <w:rsid w:val="009777FB"/>
    <w:rsid w:val="00980A55"/>
    <w:rsid w:val="00980B33"/>
    <w:rsid w:val="0098134F"/>
    <w:rsid w:val="00981689"/>
    <w:rsid w:val="00983EAD"/>
    <w:rsid w:val="009842B2"/>
    <w:rsid w:val="00984951"/>
    <w:rsid w:val="00984BE2"/>
    <w:rsid w:val="00985AF3"/>
    <w:rsid w:val="009860CB"/>
    <w:rsid w:val="00986173"/>
    <w:rsid w:val="009861F7"/>
    <w:rsid w:val="0098654D"/>
    <w:rsid w:val="00986854"/>
    <w:rsid w:val="00986D5E"/>
    <w:rsid w:val="009879F2"/>
    <w:rsid w:val="009879F5"/>
    <w:rsid w:val="00987A11"/>
    <w:rsid w:val="009900AE"/>
    <w:rsid w:val="00991AA2"/>
    <w:rsid w:val="00992430"/>
    <w:rsid w:val="00992459"/>
    <w:rsid w:val="009926F7"/>
    <w:rsid w:val="009928CA"/>
    <w:rsid w:val="00993076"/>
    <w:rsid w:val="0099331A"/>
    <w:rsid w:val="00995702"/>
    <w:rsid w:val="0099573A"/>
    <w:rsid w:val="00996B57"/>
    <w:rsid w:val="00997979"/>
    <w:rsid w:val="00997C97"/>
    <w:rsid w:val="00997CBF"/>
    <w:rsid w:val="009A07E5"/>
    <w:rsid w:val="009A1006"/>
    <w:rsid w:val="009A23A0"/>
    <w:rsid w:val="009A23F2"/>
    <w:rsid w:val="009A3164"/>
    <w:rsid w:val="009A342E"/>
    <w:rsid w:val="009A3923"/>
    <w:rsid w:val="009A4A67"/>
    <w:rsid w:val="009A4CB2"/>
    <w:rsid w:val="009A505F"/>
    <w:rsid w:val="009A6234"/>
    <w:rsid w:val="009A66D6"/>
    <w:rsid w:val="009A6DBA"/>
    <w:rsid w:val="009A6E0E"/>
    <w:rsid w:val="009A7D47"/>
    <w:rsid w:val="009B0BDA"/>
    <w:rsid w:val="009B129A"/>
    <w:rsid w:val="009B1B31"/>
    <w:rsid w:val="009B216D"/>
    <w:rsid w:val="009B26F0"/>
    <w:rsid w:val="009B2F9C"/>
    <w:rsid w:val="009B3583"/>
    <w:rsid w:val="009B35A7"/>
    <w:rsid w:val="009B4A88"/>
    <w:rsid w:val="009B4D66"/>
    <w:rsid w:val="009B4E43"/>
    <w:rsid w:val="009B4ECC"/>
    <w:rsid w:val="009B5632"/>
    <w:rsid w:val="009B564E"/>
    <w:rsid w:val="009B5E73"/>
    <w:rsid w:val="009B6085"/>
    <w:rsid w:val="009B6FAA"/>
    <w:rsid w:val="009B7AF6"/>
    <w:rsid w:val="009B7F23"/>
    <w:rsid w:val="009C010C"/>
    <w:rsid w:val="009C0CAB"/>
    <w:rsid w:val="009C0CE0"/>
    <w:rsid w:val="009C12B9"/>
    <w:rsid w:val="009C1DD4"/>
    <w:rsid w:val="009C24AD"/>
    <w:rsid w:val="009C298C"/>
    <w:rsid w:val="009C2FC2"/>
    <w:rsid w:val="009C3055"/>
    <w:rsid w:val="009C3EA6"/>
    <w:rsid w:val="009C439A"/>
    <w:rsid w:val="009C4DA9"/>
    <w:rsid w:val="009C4E11"/>
    <w:rsid w:val="009C7B36"/>
    <w:rsid w:val="009C7E4D"/>
    <w:rsid w:val="009D0297"/>
    <w:rsid w:val="009D0CD8"/>
    <w:rsid w:val="009D1A4B"/>
    <w:rsid w:val="009D20DC"/>
    <w:rsid w:val="009D227F"/>
    <w:rsid w:val="009D33D4"/>
    <w:rsid w:val="009D535F"/>
    <w:rsid w:val="009D543D"/>
    <w:rsid w:val="009D63D5"/>
    <w:rsid w:val="009D73CA"/>
    <w:rsid w:val="009D7ECD"/>
    <w:rsid w:val="009D7EDC"/>
    <w:rsid w:val="009E0187"/>
    <w:rsid w:val="009E0825"/>
    <w:rsid w:val="009E0A31"/>
    <w:rsid w:val="009E0BEE"/>
    <w:rsid w:val="009E1D72"/>
    <w:rsid w:val="009E1D7D"/>
    <w:rsid w:val="009E1EAE"/>
    <w:rsid w:val="009E216A"/>
    <w:rsid w:val="009E343F"/>
    <w:rsid w:val="009E51EA"/>
    <w:rsid w:val="009E53CA"/>
    <w:rsid w:val="009E6126"/>
    <w:rsid w:val="009E68DB"/>
    <w:rsid w:val="009E7016"/>
    <w:rsid w:val="009E796F"/>
    <w:rsid w:val="009E7C86"/>
    <w:rsid w:val="009F1A19"/>
    <w:rsid w:val="009F38A3"/>
    <w:rsid w:val="009F3AE1"/>
    <w:rsid w:val="009F4809"/>
    <w:rsid w:val="009F48D7"/>
    <w:rsid w:val="009F51E8"/>
    <w:rsid w:val="009F5711"/>
    <w:rsid w:val="009F591A"/>
    <w:rsid w:val="009F6106"/>
    <w:rsid w:val="009F6644"/>
    <w:rsid w:val="009F66C7"/>
    <w:rsid w:val="009F689F"/>
    <w:rsid w:val="009F7481"/>
    <w:rsid w:val="009F79E5"/>
    <w:rsid w:val="00A0082A"/>
    <w:rsid w:val="00A008DD"/>
    <w:rsid w:val="00A013DB"/>
    <w:rsid w:val="00A0216E"/>
    <w:rsid w:val="00A02190"/>
    <w:rsid w:val="00A02EAB"/>
    <w:rsid w:val="00A0313D"/>
    <w:rsid w:val="00A038E6"/>
    <w:rsid w:val="00A0399B"/>
    <w:rsid w:val="00A039E1"/>
    <w:rsid w:val="00A0468D"/>
    <w:rsid w:val="00A0477E"/>
    <w:rsid w:val="00A04F02"/>
    <w:rsid w:val="00A05534"/>
    <w:rsid w:val="00A05B14"/>
    <w:rsid w:val="00A06114"/>
    <w:rsid w:val="00A0653F"/>
    <w:rsid w:val="00A0696A"/>
    <w:rsid w:val="00A07489"/>
    <w:rsid w:val="00A0755C"/>
    <w:rsid w:val="00A07563"/>
    <w:rsid w:val="00A10F77"/>
    <w:rsid w:val="00A12647"/>
    <w:rsid w:val="00A12648"/>
    <w:rsid w:val="00A1287E"/>
    <w:rsid w:val="00A12EE6"/>
    <w:rsid w:val="00A1473B"/>
    <w:rsid w:val="00A1477C"/>
    <w:rsid w:val="00A14E68"/>
    <w:rsid w:val="00A156E4"/>
    <w:rsid w:val="00A1589F"/>
    <w:rsid w:val="00A158C1"/>
    <w:rsid w:val="00A1593A"/>
    <w:rsid w:val="00A15E8D"/>
    <w:rsid w:val="00A17646"/>
    <w:rsid w:val="00A17C15"/>
    <w:rsid w:val="00A20904"/>
    <w:rsid w:val="00A2112C"/>
    <w:rsid w:val="00A21372"/>
    <w:rsid w:val="00A217B4"/>
    <w:rsid w:val="00A218EA"/>
    <w:rsid w:val="00A21C58"/>
    <w:rsid w:val="00A22504"/>
    <w:rsid w:val="00A22BE5"/>
    <w:rsid w:val="00A22DAF"/>
    <w:rsid w:val="00A22DF1"/>
    <w:rsid w:val="00A2308B"/>
    <w:rsid w:val="00A230CD"/>
    <w:rsid w:val="00A23662"/>
    <w:rsid w:val="00A236C3"/>
    <w:rsid w:val="00A24556"/>
    <w:rsid w:val="00A24D5F"/>
    <w:rsid w:val="00A25186"/>
    <w:rsid w:val="00A25337"/>
    <w:rsid w:val="00A25DD2"/>
    <w:rsid w:val="00A26192"/>
    <w:rsid w:val="00A27E46"/>
    <w:rsid w:val="00A30510"/>
    <w:rsid w:val="00A30734"/>
    <w:rsid w:val="00A30A86"/>
    <w:rsid w:val="00A31900"/>
    <w:rsid w:val="00A325FC"/>
    <w:rsid w:val="00A32EA6"/>
    <w:rsid w:val="00A335D3"/>
    <w:rsid w:val="00A34C85"/>
    <w:rsid w:val="00A34EC9"/>
    <w:rsid w:val="00A35A0B"/>
    <w:rsid w:val="00A365F4"/>
    <w:rsid w:val="00A3667A"/>
    <w:rsid w:val="00A367E6"/>
    <w:rsid w:val="00A3736B"/>
    <w:rsid w:val="00A4171D"/>
    <w:rsid w:val="00A41AF5"/>
    <w:rsid w:val="00A41C28"/>
    <w:rsid w:val="00A41CAF"/>
    <w:rsid w:val="00A41EDC"/>
    <w:rsid w:val="00A421A0"/>
    <w:rsid w:val="00A42290"/>
    <w:rsid w:val="00A428E4"/>
    <w:rsid w:val="00A42F4A"/>
    <w:rsid w:val="00A43D04"/>
    <w:rsid w:val="00A44283"/>
    <w:rsid w:val="00A44326"/>
    <w:rsid w:val="00A45045"/>
    <w:rsid w:val="00A4653E"/>
    <w:rsid w:val="00A50A39"/>
    <w:rsid w:val="00A50A4A"/>
    <w:rsid w:val="00A516E6"/>
    <w:rsid w:val="00A516F9"/>
    <w:rsid w:val="00A51F94"/>
    <w:rsid w:val="00A52757"/>
    <w:rsid w:val="00A53945"/>
    <w:rsid w:val="00A53DF2"/>
    <w:rsid w:val="00A53EFE"/>
    <w:rsid w:val="00A54832"/>
    <w:rsid w:val="00A55012"/>
    <w:rsid w:val="00A567B6"/>
    <w:rsid w:val="00A56841"/>
    <w:rsid w:val="00A57128"/>
    <w:rsid w:val="00A577F2"/>
    <w:rsid w:val="00A6065D"/>
    <w:rsid w:val="00A611E3"/>
    <w:rsid w:val="00A61839"/>
    <w:rsid w:val="00A61901"/>
    <w:rsid w:val="00A61BE8"/>
    <w:rsid w:val="00A61CC6"/>
    <w:rsid w:val="00A62094"/>
    <w:rsid w:val="00A62411"/>
    <w:rsid w:val="00A62684"/>
    <w:rsid w:val="00A63E08"/>
    <w:rsid w:val="00A64C0B"/>
    <w:rsid w:val="00A656B6"/>
    <w:rsid w:val="00A65D84"/>
    <w:rsid w:val="00A65EC3"/>
    <w:rsid w:val="00A66B46"/>
    <w:rsid w:val="00A67379"/>
    <w:rsid w:val="00A6769D"/>
    <w:rsid w:val="00A679AE"/>
    <w:rsid w:val="00A67C8C"/>
    <w:rsid w:val="00A711F9"/>
    <w:rsid w:val="00A716A2"/>
    <w:rsid w:val="00A71772"/>
    <w:rsid w:val="00A719F0"/>
    <w:rsid w:val="00A7230B"/>
    <w:rsid w:val="00A72CB2"/>
    <w:rsid w:val="00A7307A"/>
    <w:rsid w:val="00A74A5E"/>
    <w:rsid w:val="00A74C24"/>
    <w:rsid w:val="00A75332"/>
    <w:rsid w:val="00A755CC"/>
    <w:rsid w:val="00A75828"/>
    <w:rsid w:val="00A75C25"/>
    <w:rsid w:val="00A75FAC"/>
    <w:rsid w:val="00A769D1"/>
    <w:rsid w:val="00A769E3"/>
    <w:rsid w:val="00A77108"/>
    <w:rsid w:val="00A80171"/>
    <w:rsid w:val="00A811F1"/>
    <w:rsid w:val="00A81DB7"/>
    <w:rsid w:val="00A81FB8"/>
    <w:rsid w:val="00A823A4"/>
    <w:rsid w:val="00A82775"/>
    <w:rsid w:val="00A82882"/>
    <w:rsid w:val="00A82B1C"/>
    <w:rsid w:val="00A83117"/>
    <w:rsid w:val="00A83135"/>
    <w:rsid w:val="00A8350C"/>
    <w:rsid w:val="00A83CDD"/>
    <w:rsid w:val="00A844DE"/>
    <w:rsid w:val="00A8512C"/>
    <w:rsid w:val="00A85403"/>
    <w:rsid w:val="00A8577A"/>
    <w:rsid w:val="00A861D0"/>
    <w:rsid w:val="00A86237"/>
    <w:rsid w:val="00A86509"/>
    <w:rsid w:val="00A86648"/>
    <w:rsid w:val="00A86AFF"/>
    <w:rsid w:val="00A87F36"/>
    <w:rsid w:val="00A90227"/>
    <w:rsid w:val="00A91859"/>
    <w:rsid w:val="00A9490C"/>
    <w:rsid w:val="00A95356"/>
    <w:rsid w:val="00A9664E"/>
    <w:rsid w:val="00A96742"/>
    <w:rsid w:val="00A9766A"/>
    <w:rsid w:val="00A97A22"/>
    <w:rsid w:val="00AA1520"/>
    <w:rsid w:val="00AA1A69"/>
    <w:rsid w:val="00AA1B5B"/>
    <w:rsid w:val="00AA1E32"/>
    <w:rsid w:val="00AA210B"/>
    <w:rsid w:val="00AA2888"/>
    <w:rsid w:val="00AA2A9C"/>
    <w:rsid w:val="00AA304C"/>
    <w:rsid w:val="00AA3061"/>
    <w:rsid w:val="00AA3811"/>
    <w:rsid w:val="00AA3A6F"/>
    <w:rsid w:val="00AA3BC1"/>
    <w:rsid w:val="00AA3C51"/>
    <w:rsid w:val="00AA3F3D"/>
    <w:rsid w:val="00AA52A2"/>
    <w:rsid w:val="00AA575A"/>
    <w:rsid w:val="00AA5E31"/>
    <w:rsid w:val="00AA60FC"/>
    <w:rsid w:val="00AA68A7"/>
    <w:rsid w:val="00AA6F43"/>
    <w:rsid w:val="00AA6F76"/>
    <w:rsid w:val="00AA726D"/>
    <w:rsid w:val="00AA731D"/>
    <w:rsid w:val="00AB059B"/>
    <w:rsid w:val="00AB13B0"/>
    <w:rsid w:val="00AB2368"/>
    <w:rsid w:val="00AB2D2E"/>
    <w:rsid w:val="00AB30C5"/>
    <w:rsid w:val="00AB3EC1"/>
    <w:rsid w:val="00AB4478"/>
    <w:rsid w:val="00AB5559"/>
    <w:rsid w:val="00AB5898"/>
    <w:rsid w:val="00AB6388"/>
    <w:rsid w:val="00AB63BA"/>
    <w:rsid w:val="00AC0297"/>
    <w:rsid w:val="00AC1CFD"/>
    <w:rsid w:val="00AC36BB"/>
    <w:rsid w:val="00AC3A19"/>
    <w:rsid w:val="00AC4673"/>
    <w:rsid w:val="00AC47C3"/>
    <w:rsid w:val="00AC4ACF"/>
    <w:rsid w:val="00AC56A7"/>
    <w:rsid w:val="00AC60CC"/>
    <w:rsid w:val="00AC6D76"/>
    <w:rsid w:val="00AC7087"/>
    <w:rsid w:val="00AC710C"/>
    <w:rsid w:val="00AC747F"/>
    <w:rsid w:val="00AC7749"/>
    <w:rsid w:val="00AD0705"/>
    <w:rsid w:val="00AD0CB9"/>
    <w:rsid w:val="00AD0E9D"/>
    <w:rsid w:val="00AD18B8"/>
    <w:rsid w:val="00AD2108"/>
    <w:rsid w:val="00AD3BBE"/>
    <w:rsid w:val="00AD414C"/>
    <w:rsid w:val="00AD482B"/>
    <w:rsid w:val="00AD5AE2"/>
    <w:rsid w:val="00AD5B62"/>
    <w:rsid w:val="00AD5F50"/>
    <w:rsid w:val="00AE0A36"/>
    <w:rsid w:val="00AE0E75"/>
    <w:rsid w:val="00AE1400"/>
    <w:rsid w:val="00AE1536"/>
    <w:rsid w:val="00AE15A3"/>
    <w:rsid w:val="00AE1DBC"/>
    <w:rsid w:val="00AE3708"/>
    <w:rsid w:val="00AE3734"/>
    <w:rsid w:val="00AE46C9"/>
    <w:rsid w:val="00AE4837"/>
    <w:rsid w:val="00AE5652"/>
    <w:rsid w:val="00AE56E9"/>
    <w:rsid w:val="00AE575A"/>
    <w:rsid w:val="00AE5CCC"/>
    <w:rsid w:val="00AE60B0"/>
    <w:rsid w:val="00AE6589"/>
    <w:rsid w:val="00AE6E80"/>
    <w:rsid w:val="00AF0057"/>
    <w:rsid w:val="00AF04CF"/>
    <w:rsid w:val="00AF1700"/>
    <w:rsid w:val="00AF4D29"/>
    <w:rsid w:val="00AF583D"/>
    <w:rsid w:val="00AF5902"/>
    <w:rsid w:val="00AF5F32"/>
    <w:rsid w:val="00AF6999"/>
    <w:rsid w:val="00AF6C55"/>
    <w:rsid w:val="00AF6CAA"/>
    <w:rsid w:val="00AF6D76"/>
    <w:rsid w:val="00AF7895"/>
    <w:rsid w:val="00B004E4"/>
    <w:rsid w:val="00B00A3A"/>
    <w:rsid w:val="00B00CA0"/>
    <w:rsid w:val="00B01107"/>
    <w:rsid w:val="00B0128A"/>
    <w:rsid w:val="00B02D6C"/>
    <w:rsid w:val="00B02F91"/>
    <w:rsid w:val="00B040B3"/>
    <w:rsid w:val="00B048DD"/>
    <w:rsid w:val="00B04AF2"/>
    <w:rsid w:val="00B04DEA"/>
    <w:rsid w:val="00B04E93"/>
    <w:rsid w:val="00B05717"/>
    <w:rsid w:val="00B0580B"/>
    <w:rsid w:val="00B05BD6"/>
    <w:rsid w:val="00B05F8A"/>
    <w:rsid w:val="00B06108"/>
    <w:rsid w:val="00B06421"/>
    <w:rsid w:val="00B07D87"/>
    <w:rsid w:val="00B100F7"/>
    <w:rsid w:val="00B10139"/>
    <w:rsid w:val="00B102B5"/>
    <w:rsid w:val="00B1071F"/>
    <w:rsid w:val="00B109B4"/>
    <w:rsid w:val="00B110E8"/>
    <w:rsid w:val="00B11181"/>
    <w:rsid w:val="00B120A3"/>
    <w:rsid w:val="00B12536"/>
    <w:rsid w:val="00B12802"/>
    <w:rsid w:val="00B12F83"/>
    <w:rsid w:val="00B130C7"/>
    <w:rsid w:val="00B13862"/>
    <w:rsid w:val="00B13CE0"/>
    <w:rsid w:val="00B13D3A"/>
    <w:rsid w:val="00B13FC5"/>
    <w:rsid w:val="00B14CA0"/>
    <w:rsid w:val="00B14E8E"/>
    <w:rsid w:val="00B1553B"/>
    <w:rsid w:val="00B156A6"/>
    <w:rsid w:val="00B15D8B"/>
    <w:rsid w:val="00B16ED3"/>
    <w:rsid w:val="00B16F00"/>
    <w:rsid w:val="00B1742D"/>
    <w:rsid w:val="00B1757B"/>
    <w:rsid w:val="00B17641"/>
    <w:rsid w:val="00B17774"/>
    <w:rsid w:val="00B17C49"/>
    <w:rsid w:val="00B17E47"/>
    <w:rsid w:val="00B20276"/>
    <w:rsid w:val="00B2074B"/>
    <w:rsid w:val="00B207A9"/>
    <w:rsid w:val="00B20A1E"/>
    <w:rsid w:val="00B21900"/>
    <w:rsid w:val="00B21F11"/>
    <w:rsid w:val="00B22FBC"/>
    <w:rsid w:val="00B23A01"/>
    <w:rsid w:val="00B24257"/>
    <w:rsid w:val="00B26D1E"/>
    <w:rsid w:val="00B26F74"/>
    <w:rsid w:val="00B27613"/>
    <w:rsid w:val="00B277B0"/>
    <w:rsid w:val="00B27C7F"/>
    <w:rsid w:val="00B27FEE"/>
    <w:rsid w:val="00B30F2C"/>
    <w:rsid w:val="00B31292"/>
    <w:rsid w:val="00B3148B"/>
    <w:rsid w:val="00B3162C"/>
    <w:rsid w:val="00B32568"/>
    <w:rsid w:val="00B326B4"/>
    <w:rsid w:val="00B32705"/>
    <w:rsid w:val="00B32A91"/>
    <w:rsid w:val="00B32C41"/>
    <w:rsid w:val="00B32E9C"/>
    <w:rsid w:val="00B33744"/>
    <w:rsid w:val="00B33FDF"/>
    <w:rsid w:val="00B34ACD"/>
    <w:rsid w:val="00B3584E"/>
    <w:rsid w:val="00B35AD2"/>
    <w:rsid w:val="00B35D10"/>
    <w:rsid w:val="00B37F60"/>
    <w:rsid w:val="00B400F7"/>
    <w:rsid w:val="00B40A06"/>
    <w:rsid w:val="00B40BE4"/>
    <w:rsid w:val="00B40FC8"/>
    <w:rsid w:val="00B41A62"/>
    <w:rsid w:val="00B41DD1"/>
    <w:rsid w:val="00B42564"/>
    <w:rsid w:val="00B42823"/>
    <w:rsid w:val="00B42A9B"/>
    <w:rsid w:val="00B42C4D"/>
    <w:rsid w:val="00B42D6A"/>
    <w:rsid w:val="00B43115"/>
    <w:rsid w:val="00B43A53"/>
    <w:rsid w:val="00B44319"/>
    <w:rsid w:val="00B44361"/>
    <w:rsid w:val="00B4480E"/>
    <w:rsid w:val="00B4507A"/>
    <w:rsid w:val="00B45FB0"/>
    <w:rsid w:val="00B462E6"/>
    <w:rsid w:val="00B477F5"/>
    <w:rsid w:val="00B51243"/>
    <w:rsid w:val="00B5131D"/>
    <w:rsid w:val="00B51B5F"/>
    <w:rsid w:val="00B52AC1"/>
    <w:rsid w:val="00B52BED"/>
    <w:rsid w:val="00B53073"/>
    <w:rsid w:val="00B57606"/>
    <w:rsid w:val="00B57837"/>
    <w:rsid w:val="00B57ABE"/>
    <w:rsid w:val="00B602E8"/>
    <w:rsid w:val="00B6046A"/>
    <w:rsid w:val="00B605B2"/>
    <w:rsid w:val="00B60619"/>
    <w:rsid w:val="00B60A36"/>
    <w:rsid w:val="00B60E03"/>
    <w:rsid w:val="00B614E3"/>
    <w:rsid w:val="00B6160E"/>
    <w:rsid w:val="00B61686"/>
    <w:rsid w:val="00B619A6"/>
    <w:rsid w:val="00B61B35"/>
    <w:rsid w:val="00B61F77"/>
    <w:rsid w:val="00B6325E"/>
    <w:rsid w:val="00B636BF"/>
    <w:rsid w:val="00B63885"/>
    <w:rsid w:val="00B640E0"/>
    <w:rsid w:val="00B64481"/>
    <w:rsid w:val="00B651D3"/>
    <w:rsid w:val="00B6632A"/>
    <w:rsid w:val="00B66871"/>
    <w:rsid w:val="00B668EC"/>
    <w:rsid w:val="00B669D6"/>
    <w:rsid w:val="00B6723F"/>
    <w:rsid w:val="00B7070F"/>
    <w:rsid w:val="00B708AB"/>
    <w:rsid w:val="00B70C61"/>
    <w:rsid w:val="00B7158D"/>
    <w:rsid w:val="00B717CB"/>
    <w:rsid w:val="00B71F0A"/>
    <w:rsid w:val="00B723B1"/>
    <w:rsid w:val="00B72450"/>
    <w:rsid w:val="00B7284D"/>
    <w:rsid w:val="00B72AA0"/>
    <w:rsid w:val="00B732B6"/>
    <w:rsid w:val="00B733E7"/>
    <w:rsid w:val="00B736B3"/>
    <w:rsid w:val="00B73B84"/>
    <w:rsid w:val="00B75196"/>
    <w:rsid w:val="00B75C86"/>
    <w:rsid w:val="00B7765B"/>
    <w:rsid w:val="00B77980"/>
    <w:rsid w:val="00B8056C"/>
    <w:rsid w:val="00B809CD"/>
    <w:rsid w:val="00B80F0E"/>
    <w:rsid w:val="00B8164F"/>
    <w:rsid w:val="00B81FC5"/>
    <w:rsid w:val="00B82430"/>
    <w:rsid w:val="00B82454"/>
    <w:rsid w:val="00B82A88"/>
    <w:rsid w:val="00B82BD1"/>
    <w:rsid w:val="00B833EE"/>
    <w:rsid w:val="00B83C9A"/>
    <w:rsid w:val="00B83CDE"/>
    <w:rsid w:val="00B8508D"/>
    <w:rsid w:val="00B85309"/>
    <w:rsid w:val="00B8647B"/>
    <w:rsid w:val="00B86633"/>
    <w:rsid w:val="00B86E7D"/>
    <w:rsid w:val="00B86FD8"/>
    <w:rsid w:val="00B8707B"/>
    <w:rsid w:val="00B87368"/>
    <w:rsid w:val="00B87D6C"/>
    <w:rsid w:val="00B87DF7"/>
    <w:rsid w:val="00B87EB2"/>
    <w:rsid w:val="00B902C5"/>
    <w:rsid w:val="00B910CE"/>
    <w:rsid w:val="00B91E57"/>
    <w:rsid w:val="00B9205D"/>
    <w:rsid w:val="00B92C9E"/>
    <w:rsid w:val="00B92F97"/>
    <w:rsid w:val="00B935F9"/>
    <w:rsid w:val="00B93EE7"/>
    <w:rsid w:val="00B956C1"/>
    <w:rsid w:val="00B961CD"/>
    <w:rsid w:val="00B96227"/>
    <w:rsid w:val="00BA12F8"/>
    <w:rsid w:val="00BA208B"/>
    <w:rsid w:val="00BA320A"/>
    <w:rsid w:val="00BA3AA9"/>
    <w:rsid w:val="00BA3B21"/>
    <w:rsid w:val="00BA46A2"/>
    <w:rsid w:val="00BA4E54"/>
    <w:rsid w:val="00BA4F78"/>
    <w:rsid w:val="00BA509B"/>
    <w:rsid w:val="00BA57BD"/>
    <w:rsid w:val="00BA6004"/>
    <w:rsid w:val="00BA6C3C"/>
    <w:rsid w:val="00BA6EBB"/>
    <w:rsid w:val="00BA7637"/>
    <w:rsid w:val="00BA7AA1"/>
    <w:rsid w:val="00BA7D3D"/>
    <w:rsid w:val="00BB0715"/>
    <w:rsid w:val="00BB0763"/>
    <w:rsid w:val="00BB0FC7"/>
    <w:rsid w:val="00BB10CE"/>
    <w:rsid w:val="00BB1A66"/>
    <w:rsid w:val="00BB20DD"/>
    <w:rsid w:val="00BB2116"/>
    <w:rsid w:val="00BB2176"/>
    <w:rsid w:val="00BB41AB"/>
    <w:rsid w:val="00BB49CD"/>
    <w:rsid w:val="00BB5040"/>
    <w:rsid w:val="00BB6659"/>
    <w:rsid w:val="00BB72FC"/>
    <w:rsid w:val="00BB73B0"/>
    <w:rsid w:val="00BB7A18"/>
    <w:rsid w:val="00BC02EF"/>
    <w:rsid w:val="00BC0E5B"/>
    <w:rsid w:val="00BC17BD"/>
    <w:rsid w:val="00BC20F7"/>
    <w:rsid w:val="00BC2DBA"/>
    <w:rsid w:val="00BC2DCB"/>
    <w:rsid w:val="00BC3FD8"/>
    <w:rsid w:val="00BC49DA"/>
    <w:rsid w:val="00BC5172"/>
    <w:rsid w:val="00BC581D"/>
    <w:rsid w:val="00BC656B"/>
    <w:rsid w:val="00BC69DD"/>
    <w:rsid w:val="00BC6F07"/>
    <w:rsid w:val="00BC7321"/>
    <w:rsid w:val="00BD0DC8"/>
    <w:rsid w:val="00BD14A7"/>
    <w:rsid w:val="00BD14CC"/>
    <w:rsid w:val="00BD1915"/>
    <w:rsid w:val="00BD1D65"/>
    <w:rsid w:val="00BD23BA"/>
    <w:rsid w:val="00BD2AE4"/>
    <w:rsid w:val="00BD3001"/>
    <w:rsid w:val="00BD3619"/>
    <w:rsid w:val="00BD4975"/>
    <w:rsid w:val="00BD516F"/>
    <w:rsid w:val="00BD586F"/>
    <w:rsid w:val="00BD6389"/>
    <w:rsid w:val="00BD6745"/>
    <w:rsid w:val="00BD6DA3"/>
    <w:rsid w:val="00BD7151"/>
    <w:rsid w:val="00BE01F6"/>
    <w:rsid w:val="00BE066C"/>
    <w:rsid w:val="00BE06D0"/>
    <w:rsid w:val="00BE082B"/>
    <w:rsid w:val="00BE0DBF"/>
    <w:rsid w:val="00BE1870"/>
    <w:rsid w:val="00BE204B"/>
    <w:rsid w:val="00BE241B"/>
    <w:rsid w:val="00BE27C2"/>
    <w:rsid w:val="00BE317A"/>
    <w:rsid w:val="00BE3518"/>
    <w:rsid w:val="00BE3B83"/>
    <w:rsid w:val="00BE3DCA"/>
    <w:rsid w:val="00BE4710"/>
    <w:rsid w:val="00BE4F5B"/>
    <w:rsid w:val="00BE5F67"/>
    <w:rsid w:val="00BE6191"/>
    <w:rsid w:val="00BE6477"/>
    <w:rsid w:val="00BF0B9B"/>
    <w:rsid w:val="00BF0C6B"/>
    <w:rsid w:val="00BF11B4"/>
    <w:rsid w:val="00BF19BB"/>
    <w:rsid w:val="00BF29A4"/>
    <w:rsid w:val="00BF4104"/>
    <w:rsid w:val="00BF4C9D"/>
    <w:rsid w:val="00BF563E"/>
    <w:rsid w:val="00BF5A57"/>
    <w:rsid w:val="00BF5EC7"/>
    <w:rsid w:val="00BF5F72"/>
    <w:rsid w:val="00BF648F"/>
    <w:rsid w:val="00BF64A5"/>
    <w:rsid w:val="00BF68B4"/>
    <w:rsid w:val="00BF6C72"/>
    <w:rsid w:val="00BF6F85"/>
    <w:rsid w:val="00BF730D"/>
    <w:rsid w:val="00BF750A"/>
    <w:rsid w:val="00BF7516"/>
    <w:rsid w:val="00BF75BC"/>
    <w:rsid w:val="00C00802"/>
    <w:rsid w:val="00C00E26"/>
    <w:rsid w:val="00C01B11"/>
    <w:rsid w:val="00C01DDA"/>
    <w:rsid w:val="00C02566"/>
    <w:rsid w:val="00C026D5"/>
    <w:rsid w:val="00C0296D"/>
    <w:rsid w:val="00C02C5F"/>
    <w:rsid w:val="00C03616"/>
    <w:rsid w:val="00C046C1"/>
    <w:rsid w:val="00C04B48"/>
    <w:rsid w:val="00C05236"/>
    <w:rsid w:val="00C05A6E"/>
    <w:rsid w:val="00C05B02"/>
    <w:rsid w:val="00C06414"/>
    <w:rsid w:val="00C10887"/>
    <w:rsid w:val="00C123B3"/>
    <w:rsid w:val="00C126AB"/>
    <w:rsid w:val="00C127D7"/>
    <w:rsid w:val="00C12DC6"/>
    <w:rsid w:val="00C13359"/>
    <w:rsid w:val="00C141BF"/>
    <w:rsid w:val="00C14CD5"/>
    <w:rsid w:val="00C16134"/>
    <w:rsid w:val="00C163F2"/>
    <w:rsid w:val="00C16C7B"/>
    <w:rsid w:val="00C16F73"/>
    <w:rsid w:val="00C20DD9"/>
    <w:rsid w:val="00C21B35"/>
    <w:rsid w:val="00C220A8"/>
    <w:rsid w:val="00C23668"/>
    <w:rsid w:val="00C23F24"/>
    <w:rsid w:val="00C24703"/>
    <w:rsid w:val="00C256F1"/>
    <w:rsid w:val="00C263E9"/>
    <w:rsid w:val="00C264F0"/>
    <w:rsid w:val="00C26B5E"/>
    <w:rsid w:val="00C278B9"/>
    <w:rsid w:val="00C27A4D"/>
    <w:rsid w:val="00C30301"/>
    <w:rsid w:val="00C3089F"/>
    <w:rsid w:val="00C309B6"/>
    <w:rsid w:val="00C3171D"/>
    <w:rsid w:val="00C332B7"/>
    <w:rsid w:val="00C33EBB"/>
    <w:rsid w:val="00C3461F"/>
    <w:rsid w:val="00C353BB"/>
    <w:rsid w:val="00C36F09"/>
    <w:rsid w:val="00C37197"/>
    <w:rsid w:val="00C375B0"/>
    <w:rsid w:val="00C40547"/>
    <w:rsid w:val="00C413CD"/>
    <w:rsid w:val="00C415E2"/>
    <w:rsid w:val="00C41D30"/>
    <w:rsid w:val="00C41E22"/>
    <w:rsid w:val="00C438E3"/>
    <w:rsid w:val="00C43A49"/>
    <w:rsid w:val="00C441CA"/>
    <w:rsid w:val="00C46434"/>
    <w:rsid w:val="00C46BB0"/>
    <w:rsid w:val="00C46C6D"/>
    <w:rsid w:val="00C46D15"/>
    <w:rsid w:val="00C47495"/>
    <w:rsid w:val="00C505CD"/>
    <w:rsid w:val="00C507FB"/>
    <w:rsid w:val="00C50C02"/>
    <w:rsid w:val="00C5114B"/>
    <w:rsid w:val="00C512CA"/>
    <w:rsid w:val="00C527D3"/>
    <w:rsid w:val="00C52EDB"/>
    <w:rsid w:val="00C5312A"/>
    <w:rsid w:val="00C531F4"/>
    <w:rsid w:val="00C5436A"/>
    <w:rsid w:val="00C545EA"/>
    <w:rsid w:val="00C5519C"/>
    <w:rsid w:val="00C56BF2"/>
    <w:rsid w:val="00C57593"/>
    <w:rsid w:val="00C577ED"/>
    <w:rsid w:val="00C6043C"/>
    <w:rsid w:val="00C60486"/>
    <w:rsid w:val="00C604AC"/>
    <w:rsid w:val="00C608BC"/>
    <w:rsid w:val="00C61523"/>
    <w:rsid w:val="00C61798"/>
    <w:rsid w:val="00C623F0"/>
    <w:rsid w:val="00C62C04"/>
    <w:rsid w:val="00C63903"/>
    <w:rsid w:val="00C64B96"/>
    <w:rsid w:val="00C64D4F"/>
    <w:rsid w:val="00C64D94"/>
    <w:rsid w:val="00C65401"/>
    <w:rsid w:val="00C65A2E"/>
    <w:rsid w:val="00C65D8E"/>
    <w:rsid w:val="00C6602E"/>
    <w:rsid w:val="00C66452"/>
    <w:rsid w:val="00C66AB9"/>
    <w:rsid w:val="00C67803"/>
    <w:rsid w:val="00C67CC4"/>
    <w:rsid w:val="00C67FB3"/>
    <w:rsid w:val="00C7038C"/>
    <w:rsid w:val="00C709CD"/>
    <w:rsid w:val="00C70C2F"/>
    <w:rsid w:val="00C71892"/>
    <w:rsid w:val="00C71B03"/>
    <w:rsid w:val="00C71FB4"/>
    <w:rsid w:val="00C722BA"/>
    <w:rsid w:val="00C7251A"/>
    <w:rsid w:val="00C72C02"/>
    <w:rsid w:val="00C72D75"/>
    <w:rsid w:val="00C7390D"/>
    <w:rsid w:val="00C743D3"/>
    <w:rsid w:val="00C749BA"/>
    <w:rsid w:val="00C7610F"/>
    <w:rsid w:val="00C7691E"/>
    <w:rsid w:val="00C779BE"/>
    <w:rsid w:val="00C802F7"/>
    <w:rsid w:val="00C80322"/>
    <w:rsid w:val="00C8070B"/>
    <w:rsid w:val="00C80740"/>
    <w:rsid w:val="00C80B2A"/>
    <w:rsid w:val="00C80EF3"/>
    <w:rsid w:val="00C81B6A"/>
    <w:rsid w:val="00C82D4C"/>
    <w:rsid w:val="00C83012"/>
    <w:rsid w:val="00C83522"/>
    <w:rsid w:val="00C83EC4"/>
    <w:rsid w:val="00C84010"/>
    <w:rsid w:val="00C8488C"/>
    <w:rsid w:val="00C85334"/>
    <w:rsid w:val="00C85508"/>
    <w:rsid w:val="00C855CD"/>
    <w:rsid w:val="00C85D0B"/>
    <w:rsid w:val="00C8675F"/>
    <w:rsid w:val="00C872CB"/>
    <w:rsid w:val="00C87F99"/>
    <w:rsid w:val="00C90D8E"/>
    <w:rsid w:val="00C91ACA"/>
    <w:rsid w:val="00C91C7E"/>
    <w:rsid w:val="00C91EC2"/>
    <w:rsid w:val="00C92168"/>
    <w:rsid w:val="00C936F4"/>
    <w:rsid w:val="00C9398B"/>
    <w:rsid w:val="00C94C04"/>
    <w:rsid w:val="00C94D74"/>
    <w:rsid w:val="00C95837"/>
    <w:rsid w:val="00C95AE6"/>
    <w:rsid w:val="00C96183"/>
    <w:rsid w:val="00C96DF1"/>
    <w:rsid w:val="00C97017"/>
    <w:rsid w:val="00C97536"/>
    <w:rsid w:val="00C977F0"/>
    <w:rsid w:val="00C979A2"/>
    <w:rsid w:val="00CA01DB"/>
    <w:rsid w:val="00CA023A"/>
    <w:rsid w:val="00CA0A6C"/>
    <w:rsid w:val="00CA113D"/>
    <w:rsid w:val="00CA14B3"/>
    <w:rsid w:val="00CA15F1"/>
    <w:rsid w:val="00CA17F5"/>
    <w:rsid w:val="00CA26C4"/>
    <w:rsid w:val="00CA29BC"/>
    <w:rsid w:val="00CA2C0E"/>
    <w:rsid w:val="00CA2E43"/>
    <w:rsid w:val="00CA3B21"/>
    <w:rsid w:val="00CA4469"/>
    <w:rsid w:val="00CA4667"/>
    <w:rsid w:val="00CA46E6"/>
    <w:rsid w:val="00CA70F3"/>
    <w:rsid w:val="00CA7E9C"/>
    <w:rsid w:val="00CB0549"/>
    <w:rsid w:val="00CB18E7"/>
    <w:rsid w:val="00CB1B98"/>
    <w:rsid w:val="00CB3312"/>
    <w:rsid w:val="00CB3CD0"/>
    <w:rsid w:val="00CB4BF1"/>
    <w:rsid w:val="00CB5078"/>
    <w:rsid w:val="00CB5293"/>
    <w:rsid w:val="00CB5682"/>
    <w:rsid w:val="00CB5A15"/>
    <w:rsid w:val="00CB6861"/>
    <w:rsid w:val="00CB6B7C"/>
    <w:rsid w:val="00CB7926"/>
    <w:rsid w:val="00CB7CEA"/>
    <w:rsid w:val="00CC0097"/>
    <w:rsid w:val="00CC098C"/>
    <w:rsid w:val="00CC13CC"/>
    <w:rsid w:val="00CC182A"/>
    <w:rsid w:val="00CC19B8"/>
    <w:rsid w:val="00CC321D"/>
    <w:rsid w:val="00CC348D"/>
    <w:rsid w:val="00CC3510"/>
    <w:rsid w:val="00CC385C"/>
    <w:rsid w:val="00CC3D7F"/>
    <w:rsid w:val="00CC5B20"/>
    <w:rsid w:val="00CC7EED"/>
    <w:rsid w:val="00CD0078"/>
    <w:rsid w:val="00CD102E"/>
    <w:rsid w:val="00CD1043"/>
    <w:rsid w:val="00CD1112"/>
    <w:rsid w:val="00CD1A2A"/>
    <w:rsid w:val="00CD1DA5"/>
    <w:rsid w:val="00CD2841"/>
    <w:rsid w:val="00CD2B50"/>
    <w:rsid w:val="00CD3BC5"/>
    <w:rsid w:val="00CD41C7"/>
    <w:rsid w:val="00CD42EB"/>
    <w:rsid w:val="00CD59B0"/>
    <w:rsid w:val="00CD603C"/>
    <w:rsid w:val="00CD7872"/>
    <w:rsid w:val="00CD7B48"/>
    <w:rsid w:val="00CD7F7B"/>
    <w:rsid w:val="00CE00F8"/>
    <w:rsid w:val="00CE0BB6"/>
    <w:rsid w:val="00CE263B"/>
    <w:rsid w:val="00CE2663"/>
    <w:rsid w:val="00CE5344"/>
    <w:rsid w:val="00CE5706"/>
    <w:rsid w:val="00CE647C"/>
    <w:rsid w:val="00CE73C9"/>
    <w:rsid w:val="00CE785F"/>
    <w:rsid w:val="00CF1AC0"/>
    <w:rsid w:val="00CF2078"/>
    <w:rsid w:val="00CF2877"/>
    <w:rsid w:val="00CF347A"/>
    <w:rsid w:val="00CF3D00"/>
    <w:rsid w:val="00CF4DBE"/>
    <w:rsid w:val="00CF526B"/>
    <w:rsid w:val="00CF5989"/>
    <w:rsid w:val="00CF5A75"/>
    <w:rsid w:val="00CF6215"/>
    <w:rsid w:val="00CF67B1"/>
    <w:rsid w:val="00CF74F7"/>
    <w:rsid w:val="00CF7A74"/>
    <w:rsid w:val="00CF7AA0"/>
    <w:rsid w:val="00CF7BBD"/>
    <w:rsid w:val="00CF7DF6"/>
    <w:rsid w:val="00D000F6"/>
    <w:rsid w:val="00D01026"/>
    <w:rsid w:val="00D01B8B"/>
    <w:rsid w:val="00D0228E"/>
    <w:rsid w:val="00D029C2"/>
    <w:rsid w:val="00D0386A"/>
    <w:rsid w:val="00D03BE6"/>
    <w:rsid w:val="00D0482B"/>
    <w:rsid w:val="00D04A3C"/>
    <w:rsid w:val="00D05818"/>
    <w:rsid w:val="00D05FA8"/>
    <w:rsid w:val="00D06600"/>
    <w:rsid w:val="00D072A3"/>
    <w:rsid w:val="00D07BF6"/>
    <w:rsid w:val="00D105C7"/>
    <w:rsid w:val="00D10696"/>
    <w:rsid w:val="00D106D4"/>
    <w:rsid w:val="00D11443"/>
    <w:rsid w:val="00D12627"/>
    <w:rsid w:val="00D14C39"/>
    <w:rsid w:val="00D14FA0"/>
    <w:rsid w:val="00D1543F"/>
    <w:rsid w:val="00D203ED"/>
    <w:rsid w:val="00D20667"/>
    <w:rsid w:val="00D20AC8"/>
    <w:rsid w:val="00D2214C"/>
    <w:rsid w:val="00D2385C"/>
    <w:rsid w:val="00D2503E"/>
    <w:rsid w:val="00D257BD"/>
    <w:rsid w:val="00D25C7E"/>
    <w:rsid w:val="00D26809"/>
    <w:rsid w:val="00D26D9F"/>
    <w:rsid w:val="00D26F58"/>
    <w:rsid w:val="00D270B5"/>
    <w:rsid w:val="00D27514"/>
    <w:rsid w:val="00D276D9"/>
    <w:rsid w:val="00D277BE"/>
    <w:rsid w:val="00D27975"/>
    <w:rsid w:val="00D27D2E"/>
    <w:rsid w:val="00D3272B"/>
    <w:rsid w:val="00D32E66"/>
    <w:rsid w:val="00D32E85"/>
    <w:rsid w:val="00D33351"/>
    <w:rsid w:val="00D33D6A"/>
    <w:rsid w:val="00D3447D"/>
    <w:rsid w:val="00D34DBF"/>
    <w:rsid w:val="00D34E45"/>
    <w:rsid w:val="00D359C7"/>
    <w:rsid w:val="00D36298"/>
    <w:rsid w:val="00D36EB3"/>
    <w:rsid w:val="00D372A6"/>
    <w:rsid w:val="00D40F87"/>
    <w:rsid w:val="00D41AFE"/>
    <w:rsid w:val="00D42283"/>
    <w:rsid w:val="00D42B43"/>
    <w:rsid w:val="00D42FF2"/>
    <w:rsid w:val="00D434E6"/>
    <w:rsid w:val="00D4410A"/>
    <w:rsid w:val="00D44D1B"/>
    <w:rsid w:val="00D45323"/>
    <w:rsid w:val="00D45E80"/>
    <w:rsid w:val="00D46961"/>
    <w:rsid w:val="00D4771D"/>
    <w:rsid w:val="00D50EA3"/>
    <w:rsid w:val="00D5158D"/>
    <w:rsid w:val="00D518AE"/>
    <w:rsid w:val="00D51DE4"/>
    <w:rsid w:val="00D526F6"/>
    <w:rsid w:val="00D52EB7"/>
    <w:rsid w:val="00D536A3"/>
    <w:rsid w:val="00D53A73"/>
    <w:rsid w:val="00D53B99"/>
    <w:rsid w:val="00D53D33"/>
    <w:rsid w:val="00D5486D"/>
    <w:rsid w:val="00D54CD9"/>
    <w:rsid w:val="00D55728"/>
    <w:rsid w:val="00D55817"/>
    <w:rsid w:val="00D55D4B"/>
    <w:rsid w:val="00D56504"/>
    <w:rsid w:val="00D569FF"/>
    <w:rsid w:val="00D56B0B"/>
    <w:rsid w:val="00D57063"/>
    <w:rsid w:val="00D572D0"/>
    <w:rsid w:val="00D57359"/>
    <w:rsid w:val="00D579DE"/>
    <w:rsid w:val="00D57AFA"/>
    <w:rsid w:val="00D60513"/>
    <w:rsid w:val="00D6072B"/>
    <w:rsid w:val="00D61D7F"/>
    <w:rsid w:val="00D621D7"/>
    <w:rsid w:val="00D63B15"/>
    <w:rsid w:val="00D64830"/>
    <w:rsid w:val="00D6490A"/>
    <w:rsid w:val="00D6645F"/>
    <w:rsid w:val="00D667AC"/>
    <w:rsid w:val="00D6758B"/>
    <w:rsid w:val="00D6794A"/>
    <w:rsid w:val="00D7063D"/>
    <w:rsid w:val="00D710B7"/>
    <w:rsid w:val="00D71762"/>
    <w:rsid w:val="00D718F4"/>
    <w:rsid w:val="00D71C03"/>
    <w:rsid w:val="00D737B7"/>
    <w:rsid w:val="00D73D31"/>
    <w:rsid w:val="00D747B6"/>
    <w:rsid w:val="00D7502D"/>
    <w:rsid w:val="00D7521A"/>
    <w:rsid w:val="00D754B1"/>
    <w:rsid w:val="00D75699"/>
    <w:rsid w:val="00D759DA"/>
    <w:rsid w:val="00D773BD"/>
    <w:rsid w:val="00D779CD"/>
    <w:rsid w:val="00D811C3"/>
    <w:rsid w:val="00D82F1F"/>
    <w:rsid w:val="00D83206"/>
    <w:rsid w:val="00D83D59"/>
    <w:rsid w:val="00D83D5D"/>
    <w:rsid w:val="00D849FE"/>
    <w:rsid w:val="00D84DAD"/>
    <w:rsid w:val="00D8521E"/>
    <w:rsid w:val="00D85431"/>
    <w:rsid w:val="00D85B55"/>
    <w:rsid w:val="00D85EE3"/>
    <w:rsid w:val="00D873F1"/>
    <w:rsid w:val="00D87C0D"/>
    <w:rsid w:val="00D87E93"/>
    <w:rsid w:val="00D90048"/>
    <w:rsid w:val="00D90B4F"/>
    <w:rsid w:val="00D91644"/>
    <w:rsid w:val="00D916BF"/>
    <w:rsid w:val="00D91718"/>
    <w:rsid w:val="00D92C9D"/>
    <w:rsid w:val="00D92D7B"/>
    <w:rsid w:val="00D92F1C"/>
    <w:rsid w:val="00D938CF"/>
    <w:rsid w:val="00D93AB3"/>
    <w:rsid w:val="00D93C1C"/>
    <w:rsid w:val="00D94124"/>
    <w:rsid w:val="00DA00C7"/>
    <w:rsid w:val="00DA0A8F"/>
    <w:rsid w:val="00DA0B3A"/>
    <w:rsid w:val="00DA0FB2"/>
    <w:rsid w:val="00DA1B40"/>
    <w:rsid w:val="00DA3256"/>
    <w:rsid w:val="00DA3EE4"/>
    <w:rsid w:val="00DA4BAF"/>
    <w:rsid w:val="00DA56CB"/>
    <w:rsid w:val="00DA5784"/>
    <w:rsid w:val="00DA6615"/>
    <w:rsid w:val="00DA6A52"/>
    <w:rsid w:val="00DA74FD"/>
    <w:rsid w:val="00DB0567"/>
    <w:rsid w:val="00DB1428"/>
    <w:rsid w:val="00DB1B6D"/>
    <w:rsid w:val="00DB212C"/>
    <w:rsid w:val="00DB2829"/>
    <w:rsid w:val="00DB3868"/>
    <w:rsid w:val="00DB3D9F"/>
    <w:rsid w:val="00DB4135"/>
    <w:rsid w:val="00DB495E"/>
    <w:rsid w:val="00DB4AF5"/>
    <w:rsid w:val="00DB4BF5"/>
    <w:rsid w:val="00DB4FFD"/>
    <w:rsid w:val="00DB566D"/>
    <w:rsid w:val="00DB5B61"/>
    <w:rsid w:val="00DB796C"/>
    <w:rsid w:val="00DC0FD0"/>
    <w:rsid w:val="00DC1D8A"/>
    <w:rsid w:val="00DC2519"/>
    <w:rsid w:val="00DC26B2"/>
    <w:rsid w:val="00DC2D5B"/>
    <w:rsid w:val="00DC3994"/>
    <w:rsid w:val="00DC51B7"/>
    <w:rsid w:val="00DC5C31"/>
    <w:rsid w:val="00DC5C4F"/>
    <w:rsid w:val="00DC653C"/>
    <w:rsid w:val="00DC6C63"/>
    <w:rsid w:val="00DD13D1"/>
    <w:rsid w:val="00DD1599"/>
    <w:rsid w:val="00DD196E"/>
    <w:rsid w:val="00DD21EF"/>
    <w:rsid w:val="00DD25F5"/>
    <w:rsid w:val="00DD2BCA"/>
    <w:rsid w:val="00DD3526"/>
    <w:rsid w:val="00DD3C8A"/>
    <w:rsid w:val="00DD584B"/>
    <w:rsid w:val="00DD693B"/>
    <w:rsid w:val="00DD75AC"/>
    <w:rsid w:val="00DD7AD6"/>
    <w:rsid w:val="00DD7B95"/>
    <w:rsid w:val="00DD7EE1"/>
    <w:rsid w:val="00DE05B6"/>
    <w:rsid w:val="00DE09E8"/>
    <w:rsid w:val="00DE09F5"/>
    <w:rsid w:val="00DE1B0F"/>
    <w:rsid w:val="00DE1BAE"/>
    <w:rsid w:val="00DE2791"/>
    <w:rsid w:val="00DE2BF8"/>
    <w:rsid w:val="00DE2F77"/>
    <w:rsid w:val="00DE33D6"/>
    <w:rsid w:val="00DE374B"/>
    <w:rsid w:val="00DE3DFB"/>
    <w:rsid w:val="00DE4D81"/>
    <w:rsid w:val="00DE4E59"/>
    <w:rsid w:val="00DE554A"/>
    <w:rsid w:val="00DE55C2"/>
    <w:rsid w:val="00DE580D"/>
    <w:rsid w:val="00DE5B03"/>
    <w:rsid w:val="00DE5CD5"/>
    <w:rsid w:val="00DF0CA2"/>
    <w:rsid w:val="00DF111D"/>
    <w:rsid w:val="00DF18BE"/>
    <w:rsid w:val="00DF18EB"/>
    <w:rsid w:val="00DF1E04"/>
    <w:rsid w:val="00DF2264"/>
    <w:rsid w:val="00DF3737"/>
    <w:rsid w:val="00DF46ED"/>
    <w:rsid w:val="00DF4978"/>
    <w:rsid w:val="00DF631D"/>
    <w:rsid w:val="00DF6504"/>
    <w:rsid w:val="00DF6742"/>
    <w:rsid w:val="00DF67F9"/>
    <w:rsid w:val="00DF74E2"/>
    <w:rsid w:val="00DF7564"/>
    <w:rsid w:val="00DF76DC"/>
    <w:rsid w:val="00E0153C"/>
    <w:rsid w:val="00E02495"/>
    <w:rsid w:val="00E03179"/>
    <w:rsid w:val="00E04015"/>
    <w:rsid w:val="00E04151"/>
    <w:rsid w:val="00E0493D"/>
    <w:rsid w:val="00E05674"/>
    <w:rsid w:val="00E0755F"/>
    <w:rsid w:val="00E07AA3"/>
    <w:rsid w:val="00E11DAD"/>
    <w:rsid w:val="00E14A98"/>
    <w:rsid w:val="00E15CD8"/>
    <w:rsid w:val="00E162C0"/>
    <w:rsid w:val="00E172B2"/>
    <w:rsid w:val="00E2134F"/>
    <w:rsid w:val="00E2171E"/>
    <w:rsid w:val="00E21FAF"/>
    <w:rsid w:val="00E24BF0"/>
    <w:rsid w:val="00E253B8"/>
    <w:rsid w:val="00E305B2"/>
    <w:rsid w:val="00E308BA"/>
    <w:rsid w:val="00E311C3"/>
    <w:rsid w:val="00E319CC"/>
    <w:rsid w:val="00E3252D"/>
    <w:rsid w:val="00E33227"/>
    <w:rsid w:val="00E33D6B"/>
    <w:rsid w:val="00E33D83"/>
    <w:rsid w:val="00E34571"/>
    <w:rsid w:val="00E345AF"/>
    <w:rsid w:val="00E35517"/>
    <w:rsid w:val="00E35C5D"/>
    <w:rsid w:val="00E36D9E"/>
    <w:rsid w:val="00E36E34"/>
    <w:rsid w:val="00E3788C"/>
    <w:rsid w:val="00E411F8"/>
    <w:rsid w:val="00E41470"/>
    <w:rsid w:val="00E417C2"/>
    <w:rsid w:val="00E420DF"/>
    <w:rsid w:val="00E4224F"/>
    <w:rsid w:val="00E427E2"/>
    <w:rsid w:val="00E430D4"/>
    <w:rsid w:val="00E432EE"/>
    <w:rsid w:val="00E45905"/>
    <w:rsid w:val="00E45F0A"/>
    <w:rsid w:val="00E4680F"/>
    <w:rsid w:val="00E46878"/>
    <w:rsid w:val="00E479BA"/>
    <w:rsid w:val="00E479F0"/>
    <w:rsid w:val="00E50AB3"/>
    <w:rsid w:val="00E50EEC"/>
    <w:rsid w:val="00E515C7"/>
    <w:rsid w:val="00E51E2B"/>
    <w:rsid w:val="00E53084"/>
    <w:rsid w:val="00E53263"/>
    <w:rsid w:val="00E5385B"/>
    <w:rsid w:val="00E53C56"/>
    <w:rsid w:val="00E54A10"/>
    <w:rsid w:val="00E5503E"/>
    <w:rsid w:val="00E56133"/>
    <w:rsid w:val="00E562E2"/>
    <w:rsid w:val="00E56A6F"/>
    <w:rsid w:val="00E5717F"/>
    <w:rsid w:val="00E57E60"/>
    <w:rsid w:val="00E603F9"/>
    <w:rsid w:val="00E60568"/>
    <w:rsid w:val="00E60A6D"/>
    <w:rsid w:val="00E614CE"/>
    <w:rsid w:val="00E617CB"/>
    <w:rsid w:val="00E61FF0"/>
    <w:rsid w:val="00E6241E"/>
    <w:rsid w:val="00E62755"/>
    <w:rsid w:val="00E627D9"/>
    <w:rsid w:val="00E62AA5"/>
    <w:rsid w:val="00E62F32"/>
    <w:rsid w:val="00E63DB5"/>
    <w:rsid w:val="00E64ACA"/>
    <w:rsid w:val="00E64BF6"/>
    <w:rsid w:val="00E65C1F"/>
    <w:rsid w:val="00E661B8"/>
    <w:rsid w:val="00E667D3"/>
    <w:rsid w:val="00E66C79"/>
    <w:rsid w:val="00E67703"/>
    <w:rsid w:val="00E679CA"/>
    <w:rsid w:val="00E67D05"/>
    <w:rsid w:val="00E70612"/>
    <w:rsid w:val="00E7094A"/>
    <w:rsid w:val="00E70E21"/>
    <w:rsid w:val="00E70EAD"/>
    <w:rsid w:val="00E71008"/>
    <w:rsid w:val="00E71F89"/>
    <w:rsid w:val="00E72A18"/>
    <w:rsid w:val="00E737F8"/>
    <w:rsid w:val="00E73910"/>
    <w:rsid w:val="00E74953"/>
    <w:rsid w:val="00E74E50"/>
    <w:rsid w:val="00E7555F"/>
    <w:rsid w:val="00E755B3"/>
    <w:rsid w:val="00E75892"/>
    <w:rsid w:val="00E760F9"/>
    <w:rsid w:val="00E7647F"/>
    <w:rsid w:val="00E76EC7"/>
    <w:rsid w:val="00E775C8"/>
    <w:rsid w:val="00E77660"/>
    <w:rsid w:val="00E80854"/>
    <w:rsid w:val="00E80B7A"/>
    <w:rsid w:val="00E81013"/>
    <w:rsid w:val="00E82218"/>
    <w:rsid w:val="00E83746"/>
    <w:rsid w:val="00E84923"/>
    <w:rsid w:val="00E849C5"/>
    <w:rsid w:val="00E84E51"/>
    <w:rsid w:val="00E853AF"/>
    <w:rsid w:val="00E85B5F"/>
    <w:rsid w:val="00E86CCD"/>
    <w:rsid w:val="00E87113"/>
    <w:rsid w:val="00E87DBB"/>
    <w:rsid w:val="00E9130E"/>
    <w:rsid w:val="00E91477"/>
    <w:rsid w:val="00E92332"/>
    <w:rsid w:val="00E9296A"/>
    <w:rsid w:val="00E92BE7"/>
    <w:rsid w:val="00E94053"/>
    <w:rsid w:val="00E94248"/>
    <w:rsid w:val="00E945C0"/>
    <w:rsid w:val="00E94EC2"/>
    <w:rsid w:val="00E954C0"/>
    <w:rsid w:val="00E967FF"/>
    <w:rsid w:val="00E968C0"/>
    <w:rsid w:val="00E975A7"/>
    <w:rsid w:val="00E97886"/>
    <w:rsid w:val="00EA00EC"/>
    <w:rsid w:val="00EA0291"/>
    <w:rsid w:val="00EA0F6F"/>
    <w:rsid w:val="00EA1FB9"/>
    <w:rsid w:val="00EA216B"/>
    <w:rsid w:val="00EA2666"/>
    <w:rsid w:val="00EA2D83"/>
    <w:rsid w:val="00EA4EB1"/>
    <w:rsid w:val="00EA59EA"/>
    <w:rsid w:val="00EA5BB7"/>
    <w:rsid w:val="00EA5C56"/>
    <w:rsid w:val="00EA75DB"/>
    <w:rsid w:val="00EA7947"/>
    <w:rsid w:val="00EA7E69"/>
    <w:rsid w:val="00EB03CA"/>
    <w:rsid w:val="00EB0A3A"/>
    <w:rsid w:val="00EB10BA"/>
    <w:rsid w:val="00EB1224"/>
    <w:rsid w:val="00EB249A"/>
    <w:rsid w:val="00EB32BC"/>
    <w:rsid w:val="00EB36C9"/>
    <w:rsid w:val="00EB370F"/>
    <w:rsid w:val="00EB44DE"/>
    <w:rsid w:val="00EB58C2"/>
    <w:rsid w:val="00EB59B7"/>
    <w:rsid w:val="00EB5B41"/>
    <w:rsid w:val="00EB5C45"/>
    <w:rsid w:val="00EB6DB7"/>
    <w:rsid w:val="00EC072A"/>
    <w:rsid w:val="00EC0A28"/>
    <w:rsid w:val="00EC0F5E"/>
    <w:rsid w:val="00EC40A9"/>
    <w:rsid w:val="00EC4DB4"/>
    <w:rsid w:val="00EC5057"/>
    <w:rsid w:val="00EC512D"/>
    <w:rsid w:val="00EC6340"/>
    <w:rsid w:val="00EC6C33"/>
    <w:rsid w:val="00EC7340"/>
    <w:rsid w:val="00EC74C2"/>
    <w:rsid w:val="00EC7945"/>
    <w:rsid w:val="00EC7F71"/>
    <w:rsid w:val="00ED060C"/>
    <w:rsid w:val="00ED1011"/>
    <w:rsid w:val="00ED13F5"/>
    <w:rsid w:val="00ED145F"/>
    <w:rsid w:val="00ED1B4E"/>
    <w:rsid w:val="00ED2768"/>
    <w:rsid w:val="00ED2874"/>
    <w:rsid w:val="00ED3BC4"/>
    <w:rsid w:val="00ED3D1F"/>
    <w:rsid w:val="00ED3D2F"/>
    <w:rsid w:val="00ED3DB6"/>
    <w:rsid w:val="00ED412F"/>
    <w:rsid w:val="00ED426C"/>
    <w:rsid w:val="00ED45B9"/>
    <w:rsid w:val="00ED4BAC"/>
    <w:rsid w:val="00ED4BE1"/>
    <w:rsid w:val="00ED4C73"/>
    <w:rsid w:val="00ED4E2B"/>
    <w:rsid w:val="00ED5849"/>
    <w:rsid w:val="00ED6920"/>
    <w:rsid w:val="00ED6DD1"/>
    <w:rsid w:val="00ED718E"/>
    <w:rsid w:val="00EE1274"/>
    <w:rsid w:val="00EE141E"/>
    <w:rsid w:val="00EE23BB"/>
    <w:rsid w:val="00EE23E8"/>
    <w:rsid w:val="00EE24EA"/>
    <w:rsid w:val="00EE27E2"/>
    <w:rsid w:val="00EE3AC5"/>
    <w:rsid w:val="00EE4A49"/>
    <w:rsid w:val="00EE4B4B"/>
    <w:rsid w:val="00EE52FF"/>
    <w:rsid w:val="00EE5582"/>
    <w:rsid w:val="00EE583F"/>
    <w:rsid w:val="00EE6F95"/>
    <w:rsid w:val="00EF0809"/>
    <w:rsid w:val="00EF0FF8"/>
    <w:rsid w:val="00EF2313"/>
    <w:rsid w:val="00EF2446"/>
    <w:rsid w:val="00EF2C87"/>
    <w:rsid w:val="00EF2D40"/>
    <w:rsid w:val="00EF346B"/>
    <w:rsid w:val="00EF4D4A"/>
    <w:rsid w:val="00EF4DC6"/>
    <w:rsid w:val="00EF4F8D"/>
    <w:rsid w:val="00EF57C3"/>
    <w:rsid w:val="00EF5D74"/>
    <w:rsid w:val="00EF5DC0"/>
    <w:rsid w:val="00EF5E99"/>
    <w:rsid w:val="00EF60E6"/>
    <w:rsid w:val="00EF6C2C"/>
    <w:rsid w:val="00F00B47"/>
    <w:rsid w:val="00F00DE3"/>
    <w:rsid w:val="00F00E26"/>
    <w:rsid w:val="00F0108D"/>
    <w:rsid w:val="00F0247A"/>
    <w:rsid w:val="00F04051"/>
    <w:rsid w:val="00F050AD"/>
    <w:rsid w:val="00F070FA"/>
    <w:rsid w:val="00F073D0"/>
    <w:rsid w:val="00F07705"/>
    <w:rsid w:val="00F100F9"/>
    <w:rsid w:val="00F10CF3"/>
    <w:rsid w:val="00F116CD"/>
    <w:rsid w:val="00F11799"/>
    <w:rsid w:val="00F1188F"/>
    <w:rsid w:val="00F12F3E"/>
    <w:rsid w:val="00F133FF"/>
    <w:rsid w:val="00F13635"/>
    <w:rsid w:val="00F15383"/>
    <w:rsid w:val="00F15AFA"/>
    <w:rsid w:val="00F15BFA"/>
    <w:rsid w:val="00F15EEC"/>
    <w:rsid w:val="00F162B1"/>
    <w:rsid w:val="00F16668"/>
    <w:rsid w:val="00F1666B"/>
    <w:rsid w:val="00F1759F"/>
    <w:rsid w:val="00F17FC6"/>
    <w:rsid w:val="00F20B10"/>
    <w:rsid w:val="00F20C10"/>
    <w:rsid w:val="00F221EE"/>
    <w:rsid w:val="00F2234A"/>
    <w:rsid w:val="00F22D32"/>
    <w:rsid w:val="00F22D62"/>
    <w:rsid w:val="00F23D60"/>
    <w:rsid w:val="00F23F04"/>
    <w:rsid w:val="00F24820"/>
    <w:rsid w:val="00F252D0"/>
    <w:rsid w:val="00F25368"/>
    <w:rsid w:val="00F25703"/>
    <w:rsid w:val="00F25BAD"/>
    <w:rsid w:val="00F2672E"/>
    <w:rsid w:val="00F27018"/>
    <w:rsid w:val="00F309CE"/>
    <w:rsid w:val="00F30A2E"/>
    <w:rsid w:val="00F316E2"/>
    <w:rsid w:val="00F319C7"/>
    <w:rsid w:val="00F327F1"/>
    <w:rsid w:val="00F34A4E"/>
    <w:rsid w:val="00F35CF6"/>
    <w:rsid w:val="00F36B97"/>
    <w:rsid w:val="00F36D69"/>
    <w:rsid w:val="00F37DE7"/>
    <w:rsid w:val="00F37E77"/>
    <w:rsid w:val="00F403F1"/>
    <w:rsid w:val="00F40549"/>
    <w:rsid w:val="00F422D3"/>
    <w:rsid w:val="00F428FE"/>
    <w:rsid w:val="00F42D09"/>
    <w:rsid w:val="00F42D89"/>
    <w:rsid w:val="00F42F0D"/>
    <w:rsid w:val="00F43352"/>
    <w:rsid w:val="00F435D1"/>
    <w:rsid w:val="00F43802"/>
    <w:rsid w:val="00F43D50"/>
    <w:rsid w:val="00F45C03"/>
    <w:rsid w:val="00F46200"/>
    <w:rsid w:val="00F4627A"/>
    <w:rsid w:val="00F466A2"/>
    <w:rsid w:val="00F46D06"/>
    <w:rsid w:val="00F47599"/>
    <w:rsid w:val="00F51042"/>
    <w:rsid w:val="00F51071"/>
    <w:rsid w:val="00F515AB"/>
    <w:rsid w:val="00F52616"/>
    <w:rsid w:val="00F52960"/>
    <w:rsid w:val="00F52A1E"/>
    <w:rsid w:val="00F53677"/>
    <w:rsid w:val="00F53EF3"/>
    <w:rsid w:val="00F545FB"/>
    <w:rsid w:val="00F5534F"/>
    <w:rsid w:val="00F559FC"/>
    <w:rsid w:val="00F56A92"/>
    <w:rsid w:val="00F56C37"/>
    <w:rsid w:val="00F578BF"/>
    <w:rsid w:val="00F57AE2"/>
    <w:rsid w:val="00F57D6D"/>
    <w:rsid w:val="00F57DF5"/>
    <w:rsid w:val="00F6012D"/>
    <w:rsid w:val="00F60473"/>
    <w:rsid w:val="00F60F68"/>
    <w:rsid w:val="00F611DB"/>
    <w:rsid w:val="00F612A3"/>
    <w:rsid w:val="00F6336D"/>
    <w:rsid w:val="00F64A0C"/>
    <w:rsid w:val="00F656FB"/>
    <w:rsid w:val="00F659B4"/>
    <w:rsid w:val="00F65A79"/>
    <w:rsid w:val="00F66D7F"/>
    <w:rsid w:val="00F674EF"/>
    <w:rsid w:val="00F6785E"/>
    <w:rsid w:val="00F67A93"/>
    <w:rsid w:val="00F67F85"/>
    <w:rsid w:val="00F70F8E"/>
    <w:rsid w:val="00F72F14"/>
    <w:rsid w:val="00F7422F"/>
    <w:rsid w:val="00F74255"/>
    <w:rsid w:val="00F743A6"/>
    <w:rsid w:val="00F75BA3"/>
    <w:rsid w:val="00F75CDA"/>
    <w:rsid w:val="00F76104"/>
    <w:rsid w:val="00F76AD1"/>
    <w:rsid w:val="00F76C66"/>
    <w:rsid w:val="00F76ED1"/>
    <w:rsid w:val="00F77597"/>
    <w:rsid w:val="00F77666"/>
    <w:rsid w:val="00F77C11"/>
    <w:rsid w:val="00F77C88"/>
    <w:rsid w:val="00F807E6"/>
    <w:rsid w:val="00F81063"/>
    <w:rsid w:val="00F81D33"/>
    <w:rsid w:val="00F81EC0"/>
    <w:rsid w:val="00F820D0"/>
    <w:rsid w:val="00F8240C"/>
    <w:rsid w:val="00F82A83"/>
    <w:rsid w:val="00F83B20"/>
    <w:rsid w:val="00F83B70"/>
    <w:rsid w:val="00F83BC1"/>
    <w:rsid w:val="00F83D6E"/>
    <w:rsid w:val="00F8418C"/>
    <w:rsid w:val="00F85EE4"/>
    <w:rsid w:val="00F86080"/>
    <w:rsid w:val="00F8626D"/>
    <w:rsid w:val="00F86384"/>
    <w:rsid w:val="00F87A6F"/>
    <w:rsid w:val="00F91095"/>
    <w:rsid w:val="00F91578"/>
    <w:rsid w:val="00F91AD0"/>
    <w:rsid w:val="00F929E8"/>
    <w:rsid w:val="00F92FD8"/>
    <w:rsid w:val="00F9349C"/>
    <w:rsid w:val="00F934AA"/>
    <w:rsid w:val="00F9382B"/>
    <w:rsid w:val="00F9387A"/>
    <w:rsid w:val="00F939DF"/>
    <w:rsid w:val="00F943D7"/>
    <w:rsid w:val="00F94BC1"/>
    <w:rsid w:val="00F95016"/>
    <w:rsid w:val="00F9549A"/>
    <w:rsid w:val="00F955E2"/>
    <w:rsid w:val="00F95B64"/>
    <w:rsid w:val="00F9600D"/>
    <w:rsid w:val="00F96157"/>
    <w:rsid w:val="00F96A61"/>
    <w:rsid w:val="00F976F9"/>
    <w:rsid w:val="00F97CA1"/>
    <w:rsid w:val="00FA0E01"/>
    <w:rsid w:val="00FA17E3"/>
    <w:rsid w:val="00FA21EC"/>
    <w:rsid w:val="00FA26F1"/>
    <w:rsid w:val="00FA44FF"/>
    <w:rsid w:val="00FA494F"/>
    <w:rsid w:val="00FA49F8"/>
    <w:rsid w:val="00FA55EB"/>
    <w:rsid w:val="00FA5B27"/>
    <w:rsid w:val="00FA61F1"/>
    <w:rsid w:val="00FA6606"/>
    <w:rsid w:val="00FA6F23"/>
    <w:rsid w:val="00FA73EE"/>
    <w:rsid w:val="00FA797E"/>
    <w:rsid w:val="00FA7F58"/>
    <w:rsid w:val="00FB03B8"/>
    <w:rsid w:val="00FB0E0A"/>
    <w:rsid w:val="00FB0F1B"/>
    <w:rsid w:val="00FB1681"/>
    <w:rsid w:val="00FB2557"/>
    <w:rsid w:val="00FB2584"/>
    <w:rsid w:val="00FB31E2"/>
    <w:rsid w:val="00FB34BF"/>
    <w:rsid w:val="00FB385A"/>
    <w:rsid w:val="00FB38C9"/>
    <w:rsid w:val="00FB3D97"/>
    <w:rsid w:val="00FB3F07"/>
    <w:rsid w:val="00FB42F9"/>
    <w:rsid w:val="00FB5227"/>
    <w:rsid w:val="00FB5BF4"/>
    <w:rsid w:val="00FB5EC9"/>
    <w:rsid w:val="00FB6B19"/>
    <w:rsid w:val="00FC0BD1"/>
    <w:rsid w:val="00FC1099"/>
    <w:rsid w:val="00FC1829"/>
    <w:rsid w:val="00FC1AE1"/>
    <w:rsid w:val="00FC1D88"/>
    <w:rsid w:val="00FC20CB"/>
    <w:rsid w:val="00FC310F"/>
    <w:rsid w:val="00FC342E"/>
    <w:rsid w:val="00FC3DAD"/>
    <w:rsid w:val="00FC3E91"/>
    <w:rsid w:val="00FC59E3"/>
    <w:rsid w:val="00FC5B00"/>
    <w:rsid w:val="00FC5FAE"/>
    <w:rsid w:val="00FC6025"/>
    <w:rsid w:val="00FC644F"/>
    <w:rsid w:val="00FC7B14"/>
    <w:rsid w:val="00FD03D2"/>
    <w:rsid w:val="00FD0866"/>
    <w:rsid w:val="00FD10FB"/>
    <w:rsid w:val="00FD136D"/>
    <w:rsid w:val="00FD1682"/>
    <w:rsid w:val="00FD16E8"/>
    <w:rsid w:val="00FD1CCB"/>
    <w:rsid w:val="00FD27D6"/>
    <w:rsid w:val="00FD2F55"/>
    <w:rsid w:val="00FD3AB1"/>
    <w:rsid w:val="00FD3E65"/>
    <w:rsid w:val="00FD56A2"/>
    <w:rsid w:val="00FD5F0F"/>
    <w:rsid w:val="00FD628E"/>
    <w:rsid w:val="00FD6462"/>
    <w:rsid w:val="00FD6B1A"/>
    <w:rsid w:val="00FE084A"/>
    <w:rsid w:val="00FE0E3A"/>
    <w:rsid w:val="00FE1050"/>
    <w:rsid w:val="00FE2029"/>
    <w:rsid w:val="00FE2876"/>
    <w:rsid w:val="00FE2FC5"/>
    <w:rsid w:val="00FE3CCA"/>
    <w:rsid w:val="00FE40BE"/>
    <w:rsid w:val="00FE49F4"/>
    <w:rsid w:val="00FE4A1C"/>
    <w:rsid w:val="00FE4A24"/>
    <w:rsid w:val="00FE523A"/>
    <w:rsid w:val="00FE5295"/>
    <w:rsid w:val="00FE5802"/>
    <w:rsid w:val="00FE5B23"/>
    <w:rsid w:val="00FE5FA1"/>
    <w:rsid w:val="00FE60C9"/>
    <w:rsid w:val="00FE6108"/>
    <w:rsid w:val="00FE6E53"/>
    <w:rsid w:val="00FE7A95"/>
    <w:rsid w:val="00FF0D8D"/>
    <w:rsid w:val="00FF0FCA"/>
    <w:rsid w:val="00FF2463"/>
    <w:rsid w:val="00FF2B7F"/>
    <w:rsid w:val="00FF419F"/>
    <w:rsid w:val="00FF42DC"/>
    <w:rsid w:val="00FF5DC4"/>
    <w:rsid w:val="00FF6D0C"/>
    <w:rsid w:val="00FF6D2B"/>
    <w:rsid w:val="00FF7823"/>
    <w:rsid w:val="00FF7A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C7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70"/>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70"/>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3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70"/>
      </w:numPr>
      <w:spacing w:before="0" w:after="0"/>
    </w:pPr>
    <w:rPr>
      <w:b/>
    </w:rPr>
  </w:style>
  <w:style w:type="paragraph" w:customStyle="1" w:styleId="dotpoint">
    <w:name w:val="dot point"/>
    <w:basedOn w:val="Normal"/>
    <w:qFormat/>
    <w:rsid w:val="00E56A6F"/>
    <w:pPr>
      <w:numPr>
        <w:numId w:val="7"/>
      </w:numPr>
    </w:pPr>
  </w:style>
  <w:style w:type="paragraph" w:customStyle="1" w:styleId="dotpoint2">
    <w:name w:val="dot point 2"/>
    <w:basedOn w:val="Normal"/>
    <w:rsid w:val="00E56A6F"/>
    <w:pPr>
      <w:numPr>
        <w:ilvl w:val="1"/>
        <w:numId w:val="9"/>
      </w:numPr>
    </w:pPr>
  </w:style>
  <w:style w:type="numbering" w:customStyle="1" w:styleId="DotPointList">
    <w:name w:val="Dot Point List"/>
    <w:uiPriority w:val="99"/>
    <w:rsid w:val="00E56A6F"/>
    <w:pPr>
      <w:numPr>
        <w:numId w:val="8"/>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1"/>
      </w:numPr>
      <w:spacing w:before="200" w:after="200"/>
    </w:pPr>
  </w:style>
  <w:style w:type="paragraph" w:customStyle="1" w:styleId="exampledotpoint2">
    <w:name w:val="example dot point 2"/>
    <w:basedOn w:val="exampletext"/>
    <w:rsid w:val="006A05D6"/>
    <w:pPr>
      <w:numPr>
        <w:ilvl w:val="1"/>
        <w:numId w:val="11"/>
      </w:numPr>
      <w:spacing w:before="200" w:after="200"/>
    </w:pPr>
  </w:style>
  <w:style w:type="numbering" w:customStyle="1" w:styleId="ExampleDotPointList">
    <w:name w:val="Example Dot Point List"/>
    <w:uiPriority w:val="99"/>
    <w:rsid w:val="00E56A6F"/>
    <w:pPr>
      <w:numPr>
        <w:numId w:val="10"/>
      </w:numPr>
    </w:pPr>
  </w:style>
  <w:style w:type="paragraph" w:customStyle="1" w:styleId="ExampleHeading">
    <w:name w:val="Example Heading"/>
    <w:basedOn w:val="Normal"/>
    <w:next w:val="exampletext"/>
    <w:rsid w:val="00E56A6F"/>
    <w:pPr>
      <w:keepNext/>
      <w:numPr>
        <w:ilvl w:val="3"/>
        <w:numId w:val="70"/>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uiPriority w:val="99"/>
    <w:rsid w:val="00E56A6F"/>
    <w:pPr>
      <w:tabs>
        <w:tab w:val="center" w:pos="4153"/>
        <w:tab w:val="right" w:pos="8306"/>
      </w:tabs>
    </w:pPr>
  </w:style>
  <w:style w:type="character" w:customStyle="1" w:styleId="HeaderChar">
    <w:name w:val="Header Char"/>
    <w:basedOn w:val="DefaultParagraphFont"/>
    <w:link w:val="Header"/>
    <w:uiPriority w:val="99"/>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3"/>
      </w:numPr>
    </w:pPr>
  </w:style>
  <w:style w:type="paragraph" w:styleId="ListBullet2">
    <w:name w:val="List Bullet 2"/>
    <w:basedOn w:val="Normal"/>
    <w:semiHidden/>
    <w:rsid w:val="00E56A6F"/>
    <w:pPr>
      <w:numPr>
        <w:numId w:val="14"/>
      </w:numPr>
    </w:pPr>
  </w:style>
  <w:style w:type="paragraph" w:styleId="ListBullet3">
    <w:name w:val="List Bullet 3"/>
    <w:basedOn w:val="Normal"/>
    <w:semiHidden/>
    <w:rsid w:val="00E56A6F"/>
    <w:pPr>
      <w:numPr>
        <w:numId w:val="15"/>
      </w:numPr>
    </w:pPr>
  </w:style>
  <w:style w:type="paragraph" w:styleId="ListBullet4">
    <w:name w:val="List Bullet 4"/>
    <w:basedOn w:val="Normal"/>
    <w:semiHidden/>
    <w:rsid w:val="00E56A6F"/>
    <w:pPr>
      <w:numPr>
        <w:numId w:val="16"/>
      </w:numPr>
    </w:pPr>
  </w:style>
  <w:style w:type="paragraph" w:styleId="ListBullet5">
    <w:name w:val="List Bullet 5"/>
    <w:basedOn w:val="Normal"/>
    <w:semiHidden/>
    <w:rsid w:val="00E56A6F"/>
    <w:pPr>
      <w:numPr>
        <w:numId w:val="1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8"/>
      </w:numPr>
    </w:pPr>
  </w:style>
  <w:style w:type="paragraph" w:styleId="ListNumber2">
    <w:name w:val="List Number 2"/>
    <w:basedOn w:val="Normal"/>
    <w:semiHidden/>
    <w:rsid w:val="00E56A6F"/>
    <w:pPr>
      <w:numPr>
        <w:numId w:val="19"/>
      </w:numPr>
    </w:pPr>
  </w:style>
  <w:style w:type="paragraph" w:styleId="ListNumber3">
    <w:name w:val="List Number 3"/>
    <w:basedOn w:val="Normal"/>
    <w:semiHidden/>
    <w:rsid w:val="00E56A6F"/>
    <w:pPr>
      <w:numPr>
        <w:numId w:val="20"/>
      </w:numPr>
    </w:pPr>
  </w:style>
  <w:style w:type="paragraph" w:styleId="ListNumber4">
    <w:name w:val="List Number 4"/>
    <w:basedOn w:val="Normal"/>
    <w:semiHidden/>
    <w:rsid w:val="00E56A6F"/>
    <w:pPr>
      <w:numPr>
        <w:numId w:val="21"/>
      </w:numPr>
    </w:pPr>
  </w:style>
  <w:style w:type="paragraph" w:styleId="ListNumber5">
    <w:name w:val="List Number 5"/>
    <w:basedOn w:val="Normal"/>
    <w:semiHidden/>
    <w:rsid w:val="00E56A6F"/>
    <w:pPr>
      <w:numPr>
        <w:numId w:val="22"/>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23"/>
      </w:numPr>
    </w:pPr>
  </w:style>
  <w:style w:type="paragraph" w:customStyle="1" w:styleId="tabledotpoint2">
    <w:name w:val="table dot point 2"/>
    <w:basedOn w:val="tabletext"/>
    <w:rsid w:val="00E56A6F"/>
    <w:pPr>
      <w:numPr>
        <w:ilvl w:val="1"/>
        <w:numId w:val="23"/>
      </w:numPr>
    </w:pPr>
  </w:style>
  <w:style w:type="numbering" w:customStyle="1" w:styleId="TableDotPointList">
    <w:name w:val="Table Dot Point List"/>
    <w:uiPriority w:val="99"/>
    <w:rsid w:val="00E56A6F"/>
    <w:pPr>
      <w:numPr>
        <w:numId w:val="23"/>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70"/>
      </w:numPr>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nhideWhenUsed/>
    <w:rsid w:val="002F2F50"/>
    <w:rPr>
      <w:sz w:val="16"/>
      <w:szCs w:val="16"/>
    </w:rPr>
  </w:style>
  <w:style w:type="paragraph" w:styleId="CommentText">
    <w:name w:val="annotation text"/>
    <w:basedOn w:val="Normal"/>
    <w:link w:val="CommentTextChar"/>
    <w:unhideWhenUsed/>
    <w:rsid w:val="002F2F50"/>
    <w:rPr>
      <w:sz w:val="20"/>
    </w:rPr>
  </w:style>
  <w:style w:type="character" w:customStyle="1" w:styleId="CommentTextChar">
    <w:name w:val="Comment Text Char"/>
    <w:basedOn w:val="DefaultParagraphFont"/>
    <w:link w:val="CommentText"/>
    <w:rsid w:val="002F2F5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F2F50"/>
    <w:rPr>
      <w:b/>
      <w:bCs/>
    </w:rPr>
  </w:style>
  <w:style w:type="character" w:customStyle="1" w:styleId="CommentSubjectChar">
    <w:name w:val="Comment Subject Char"/>
    <w:basedOn w:val="CommentTextChar"/>
    <w:link w:val="CommentSubject"/>
    <w:uiPriority w:val="99"/>
    <w:semiHidden/>
    <w:rsid w:val="002F2F50"/>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F2F5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F50"/>
    <w:rPr>
      <w:rFonts w:ascii="Tahoma" w:eastAsia="Times New Roman" w:hAnsi="Tahoma" w:cs="Tahoma"/>
      <w:sz w:val="16"/>
      <w:szCs w:val="16"/>
      <w:lang w:eastAsia="en-AU"/>
    </w:rPr>
  </w:style>
  <w:style w:type="paragraph" w:styleId="Revision">
    <w:name w:val="Revision"/>
    <w:hidden/>
    <w:uiPriority w:val="99"/>
    <w:semiHidden/>
    <w:rsid w:val="00FE7A95"/>
    <w:pPr>
      <w:spacing w:after="0" w:line="240" w:lineRule="auto"/>
    </w:pPr>
    <w:rPr>
      <w:rFonts w:ascii="Times New Roman" w:eastAsia="Times New Roman" w:hAnsi="Times New Roman" w:cs="Times New Roman"/>
      <w:szCs w:val="20"/>
      <w:lang w:eastAsia="en-AU"/>
    </w:rPr>
  </w:style>
  <w:style w:type="paragraph" w:customStyle="1" w:styleId="Bullet">
    <w:name w:val="Bullet"/>
    <w:basedOn w:val="Normal"/>
    <w:link w:val="BulletChar"/>
    <w:rsid w:val="00AD2108"/>
    <w:pPr>
      <w:numPr>
        <w:numId w:val="27"/>
      </w:numPr>
    </w:pPr>
    <w:rPr>
      <w:sz w:val="20"/>
      <w:lang w:val="en-US"/>
    </w:rPr>
  </w:style>
  <w:style w:type="character" w:customStyle="1" w:styleId="tabletextChar">
    <w:name w:val="table text Char"/>
    <w:basedOn w:val="DefaultParagraphFont"/>
    <w:link w:val="tabletext"/>
    <w:rsid w:val="00AD2108"/>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AD2108"/>
    <w:rPr>
      <w:rFonts w:ascii="Times New Roman" w:eastAsia="Times New Roman" w:hAnsi="Times New Roman" w:cs="Times New Roman"/>
      <w:sz w:val="20"/>
      <w:szCs w:val="20"/>
      <w:lang w:val="en-US" w:eastAsia="en-AU"/>
    </w:rPr>
  </w:style>
  <w:style w:type="paragraph" w:customStyle="1" w:styleId="Dash">
    <w:name w:val="Dash"/>
    <w:basedOn w:val="Normal"/>
    <w:link w:val="DashChar"/>
    <w:rsid w:val="00AD2108"/>
    <w:pPr>
      <w:numPr>
        <w:ilvl w:val="1"/>
        <w:numId w:val="27"/>
      </w:numPr>
    </w:pPr>
    <w:rPr>
      <w:sz w:val="20"/>
      <w:lang w:val="en-US"/>
    </w:rPr>
  </w:style>
  <w:style w:type="character" w:customStyle="1" w:styleId="DashChar">
    <w:name w:val="Dash Char"/>
    <w:basedOn w:val="tabletextChar"/>
    <w:link w:val="Dash"/>
    <w:rsid w:val="00AD2108"/>
    <w:rPr>
      <w:rFonts w:ascii="Times New Roman" w:eastAsia="Times New Roman" w:hAnsi="Times New Roman" w:cs="Times New Roman"/>
      <w:sz w:val="20"/>
      <w:szCs w:val="20"/>
      <w:lang w:val="en-US" w:eastAsia="en-AU"/>
    </w:rPr>
  </w:style>
  <w:style w:type="paragraph" w:customStyle="1" w:styleId="DoubleDot">
    <w:name w:val="Double Dot"/>
    <w:basedOn w:val="Normal"/>
    <w:link w:val="DoubleDotChar"/>
    <w:rsid w:val="00AD2108"/>
    <w:pPr>
      <w:numPr>
        <w:ilvl w:val="2"/>
        <w:numId w:val="27"/>
      </w:numPr>
    </w:pPr>
    <w:rPr>
      <w:sz w:val="20"/>
      <w:lang w:val="en-US"/>
    </w:rPr>
  </w:style>
  <w:style w:type="character" w:customStyle="1" w:styleId="DoubleDotChar">
    <w:name w:val="Double Dot Char"/>
    <w:basedOn w:val="tabletextChar"/>
    <w:link w:val="DoubleDot"/>
    <w:rsid w:val="00AD2108"/>
    <w:rPr>
      <w:rFonts w:ascii="Times New Roman" w:eastAsia="Times New Roman" w:hAnsi="Times New Roman" w:cs="Times New Roman"/>
      <w:sz w:val="20"/>
      <w:szCs w:val="20"/>
      <w:lang w:val="en-US" w:eastAsia="en-AU"/>
    </w:rPr>
  </w:style>
  <w:style w:type="character" w:styleId="FootnoteReference">
    <w:name w:val="footnote reference"/>
    <w:basedOn w:val="DefaultParagraphFont"/>
    <w:uiPriority w:val="99"/>
    <w:unhideWhenUsed/>
    <w:rsid w:val="00AD2108"/>
    <w:rPr>
      <w:vertAlign w:val="superscript"/>
    </w:rPr>
  </w:style>
  <w:style w:type="numbering" w:customStyle="1" w:styleId="ChapterList1">
    <w:name w:val="ChapterList1"/>
    <w:uiPriority w:val="99"/>
    <w:rsid w:val="004A5C0A"/>
  </w:style>
  <w:style w:type="paragraph" w:customStyle="1" w:styleId="OutlineNumbered1">
    <w:name w:val="Outline Numbered 1"/>
    <w:basedOn w:val="Normal"/>
    <w:link w:val="OutlineNumbered1Char"/>
    <w:rsid w:val="00BF29A4"/>
    <w:pPr>
      <w:numPr>
        <w:numId w:val="29"/>
      </w:numPr>
    </w:pPr>
  </w:style>
  <w:style w:type="character" w:customStyle="1" w:styleId="OutlineNumbered1Char">
    <w:name w:val="Outline Numbered 1 Char"/>
    <w:basedOn w:val="base-text-paragraphChar"/>
    <w:link w:val="OutlineNumbered1"/>
    <w:rsid w:val="00BF29A4"/>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BF29A4"/>
    <w:pPr>
      <w:numPr>
        <w:ilvl w:val="1"/>
        <w:numId w:val="29"/>
      </w:numPr>
    </w:pPr>
  </w:style>
  <w:style w:type="character" w:customStyle="1" w:styleId="OutlineNumbered2Char">
    <w:name w:val="Outline Numbered 2 Char"/>
    <w:basedOn w:val="base-text-paragraphChar"/>
    <w:link w:val="OutlineNumbered2"/>
    <w:rsid w:val="00BF29A4"/>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BF29A4"/>
    <w:pPr>
      <w:numPr>
        <w:ilvl w:val="2"/>
        <w:numId w:val="29"/>
      </w:numPr>
    </w:pPr>
  </w:style>
  <w:style w:type="character" w:customStyle="1" w:styleId="OutlineNumbered3Char">
    <w:name w:val="Outline Numbered 3 Char"/>
    <w:basedOn w:val="base-text-paragraphChar"/>
    <w:link w:val="OutlineNumbered3"/>
    <w:rsid w:val="00BF29A4"/>
    <w:rPr>
      <w:rFonts w:ascii="Times New Roman" w:eastAsia="Times New Roman" w:hAnsi="Times New Roman" w:cs="Times New Roman"/>
      <w:szCs w:val="20"/>
      <w:lang w:eastAsia="en-AU"/>
    </w:rPr>
  </w:style>
  <w:style w:type="paragraph" w:customStyle="1" w:styleId="Body">
    <w:name w:val="Body"/>
    <w:aliases w:val="b"/>
    <w:basedOn w:val="Normal"/>
    <w:link w:val="BodyChar"/>
    <w:rsid w:val="001B053D"/>
    <w:pPr>
      <w:spacing w:before="240" w:after="0"/>
    </w:pPr>
    <w:rPr>
      <w:sz w:val="24"/>
    </w:rPr>
  </w:style>
  <w:style w:type="character" w:customStyle="1" w:styleId="BodyChar">
    <w:name w:val="Body Char"/>
    <w:aliases w:val="b Char"/>
    <w:basedOn w:val="DefaultParagraphFont"/>
    <w:link w:val="Body"/>
    <w:rsid w:val="001B053D"/>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70"/>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70"/>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3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70"/>
      </w:numPr>
      <w:spacing w:before="0" w:after="0"/>
    </w:pPr>
    <w:rPr>
      <w:b/>
    </w:rPr>
  </w:style>
  <w:style w:type="paragraph" w:customStyle="1" w:styleId="dotpoint">
    <w:name w:val="dot point"/>
    <w:basedOn w:val="Normal"/>
    <w:qFormat/>
    <w:rsid w:val="00E56A6F"/>
    <w:pPr>
      <w:numPr>
        <w:numId w:val="7"/>
      </w:numPr>
    </w:pPr>
  </w:style>
  <w:style w:type="paragraph" w:customStyle="1" w:styleId="dotpoint2">
    <w:name w:val="dot point 2"/>
    <w:basedOn w:val="Normal"/>
    <w:rsid w:val="00E56A6F"/>
    <w:pPr>
      <w:numPr>
        <w:ilvl w:val="1"/>
        <w:numId w:val="9"/>
      </w:numPr>
    </w:pPr>
  </w:style>
  <w:style w:type="numbering" w:customStyle="1" w:styleId="DotPointList">
    <w:name w:val="Dot Point List"/>
    <w:uiPriority w:val="99"/>
    <w:rsid w:val="00E56A6F"/>
    <w:pPr>
      <w:numPr>
        <w:numId w:val="8"/>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1"/>
      </w:numPr>
      <w:spacing w:before="200" w:after="200"/>
    </w:pPr>
  </w:style>
  <w:style w:type="paragraph" w:customStyle="1" w:styleId="exampledotpoint2">
    <w:name w:val="example dot point 2"/>
    <w:basedOn w:val="exampletext"/>
    <w:rsid w:val="006A05D6"/>
    <w:pPr>
      <w:numPr>
        <w:ilvl w:val="1"/>
        <w:numId w:val="11"/>
      </w:numPr>
      <w:spacing w:before="200" w:after="200"/>
    </w:pPr>
  </w:style>
  <w:style w:type="numbering" w:customStyle="1" w:styleId="ExampleDotPointList">
    <w:name w:val="Example Dot Point List"/>
    <w:uiPriority w:val="99"/>
    <w:rsid w:val="00E56A6F"/>
    <w:pPr>
      <w:numPr>
        <w:numId w:val="10"/>
      </w:numPr>
    </w:pPr>
  </w:style>
  <w:style w:type="paragraph" w:customStyle="1" w:styleId="ExampleHeading">
    <w:name w:val="Example Heading"/>
    <w:basedOn w:val="Normal"/>
    <w:next w:val="exampletext"/>
    <w:rsid w:val="00E56A6F"/>
    <w:pPr>
      <w:keepNext/>
      <w:numPr>
        <w:ilvl w:val="3"/>
        <w:numId w:val="70"/>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uiPriority w:val="99"/>
    <w:rsid w:val="00E56A6F"/>
    <w:pPr>
      <w:tabs>
        <w:tab w:val="center" w:pos="4153"/>
        <w:tab w:val="right" w:pos="8306"/>
      </w:tabs>
    </w:pPr>
  </w:style>
  <w:style w:type="character" w:customStyle="1" w:styleId="HeaderChar">
    <w:name w:val="Header Char"/>
    <w:basedOn w:val="DefaultParagraphFont"/>
    <w:link w:val="Header"/>
    <w:uiPriority w:val="99"/>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3"/>
      </w:numPr>
    </w:pPr>
  </w:style>
  <w:style w:type="paragraph" w:styleId="ListBullet2">
    <w:name w:val="List Bullet 2"/>
    <w:basedOn w:val="Normal"/>
    <w:semiHidden/>
    <w:rsid w:val="00E56A6F"/>
    <w:pPr>
      <w:numPr>
        <w:numId w:val="14"/>
      </w:numPr>
    </w:pPr>
  </w:style>
  <w:style w:type="paragraph" w:styleId="ListBullet3">
    <w:name w:val="List Bullet 3"/>
    <w:basedOn w:val="Normal"/>
    <w:semiHidden/>
    <w:rsid w:val="00E56A6F"/>
    <w:pPr>
      <w:numPr>
        <w:numId w:val="15"/>
      </w:numPr>
    </w:pPr>
  </w:style>
  <w:style w:type="paragraph" w:styleId="ListBullet4">
    <w:name w:val="List Bullet 4"/>
    <w:basedOn w:val="Normal"/>
    <w:semiHidden/>
    <w:rsid w:val="00E56A6F"/>
    <w:pPr>
      <w:numPr>
        <w:numId w:val="16"/>
      </w:numPr>
    </w:pPr>
  </w:style>
  <w:style w:type="paragraph" w:styleId="ListBullet5">
    <w:name w:val="List Bullet 5"/>
    <w:basedOn w:val="Normal"/>
    <w:semiHidden/>
    <w:rsid w:val="00E56A6F"/>
    <w:pPr>
      <w:numPr>
        <w:numId w:val="1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8"/>
      </w:numPr>
    </w:pPr>
  </w:style>
  <w:style w:type="paragraph" w:styleId="ListNumber2">
    <w:name w:val="List Number 2"/>
    <w:basedOn w:val="Normal"/>
    <w:semiHidden/>
    <w:rsid w:val="00E56A6F"/>
    <w:pPr>
      <w:numPr>
        <w:numId w:val="19"/>
      </w:numPr>
    </w:pPr>
  </w:style>
  <w:style w:type="paragraph" w:styleId="ListNumber3">
    <w:name w:val="List Number 3"/>
    <w:basedOn w:val="Normal"/>
    <w:semiHidden/>
    <w:rsid w:val="00E56A6F"/>
    <w:pPr>
      <w:numPr>
        <w:numId w:val="20"/>
      </w:numPr>
    </w:pPr>
  </w:style>
  <w:style w:type="paragraph" w:styleId="ListNumber4">
    <w:name w:val="List Number 4"/>
    <w:basedOn w:val="Normal"/>
    <w:semiHidden/>
    <w:rsid w:val="00E56A6F"/>
    <w:pPr>
      <w:numPr>
        <w:numId w:val="21"/>
      </w:numPr>
    </w:pPr>
  </w:style>
  <w:style w:type="paragraph" w:styleId="ListNumber5">
    <w:name w:val="List Number 5"/>
    <w:basedOn w:val="Normal"/>
    <w:semiHidden/>
    <w:rsid w:val="00E56A6F"/>
    <w:pPr>
      <w:numPr>
        <w:numId w:val="22"/>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23"/>
      </w:numPr>
    </w:pPr>
  </w:style>
  <w:style w:type="paragraph" w:customStyle="1" w:styleId="tabledotpoint2">
    <w:name w:val="table dot point 2"/>
    <w:basedOn w:val="tabletext"/>
    <w:rsid w:val="00E56A6F"/>
    <w:pPr>
      <w:numPr>
        <w:ilvl w:val="1"/>
        <w:numId w:val="23"/>
      </w:numPr>
    </w:pPr>
  </w:style>
  <w:style w:type="numbering" w:customStyle="1" w:styleId="TableDotPointList">
    <w:name w:val="Table Dot Point List"/>
    <w:uiPriority w:val="99"/>
    <w:rsid w:val="00E56A6F"/>
    <w:pPr>
      <w:numPr>
        <w:numId w:val="23"/>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70"/>
      </w:numPr>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nhideWhenUsed/>
    <w:rsid w:val="002F2F50"/>
    <w:rPr>
      <w:sz w:val="16"/>
      <w:szCs w:val="16"/>
    </w:rPr>
  </w:style>
  <w:style w:type="paragraph" w:styleId="CommentText">
    <w:name w:val="annotation text"/>
    <w:basedOn w:val="Normal"/>
    <w:link w:val="CommentTextChar"/>
    <w:unhideWhenUsed/>
    <w:rsid w:val="002F2F50"/>
    <w:rPr>
      <w:sz w:val="20"/>
    </w:rPr>
  </w:style>
  <w:style w:type="character" w:customStyle="1" w:styleId="CommentTextChar">
    <w:name w:val="Comment Text Char"/>
    <w:basedOn w:val="DefaultParagraphFont"/>
    <w:link w:val="CommentText"/>
    <w:rsid w:val="002F2F5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F2F50"/>
    <w:rPr>
      <w:b/>
      <w:bCs/>
    </w:rPr>
  </w:style>
  <w:style w:type="character" w:customStyle="1" w:styleId="CommentSubjectChar">
    <w:name w:val="Comment Subject Char"/>
    <w:basedOn w:val="CommentTextChar"/>
    <w:link w:val="CommentSubject"/>
    <w:uiPriority w:val="99"/>
    <w:semiHidden/>
    <w:rsid w:val="002F2F50"/>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F2F5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F50"/>
    <w:rPr>
      <w:rFonts w:ascii="Tahoma" w:eastAsia="Times New Roman" w:hAnsi="Tahoma" w:cs="Tahoma"/>
      <w:sz w:val="16"/>
      <w:szCs w:val="16"/>
      <w:lang w:eastAsia="en-AU"/>
    </w:rPr>
  </w:style>
  <w:style w:type="paragraph" w:styleId="Revision">
    <w:name w:val="Revision"/>
    <w:hidden/>
    <w:uiPriority w:val="99"/>
    <w:semiHidden/>
    <w:rsid w:val="00FE7A95"/>
    <w:pPr>
      <w:spacing w:after="0" w:line="240" w:lineRule="auto"/>
    </w:pPr>
    <w:rPr>
      <w:rFonts w:ascii="Times New Roman" w:eastAsia="Times New Roman" w:hAnsi="Times New Roman" w:cs="Times New Roman"/>
      <w:szCs w:val="20"/>
      <w:lang w:eastAsia="en-AU"/>
    </w:rPr>
  </w:style>
  <w:style w:type="paragraph" w:customStyle="1" w:styleId="Bullet">
    <w:name w:val="Bullet"/>
    <w:basedOn w:val="Normal"/>
    <w:link w:val="BulletChar"/>
    <w:rsid w:val="00AD2108"/>
    <w:pPr>
      <w:numPr>
        <w:numId w:val="27"/>
      </w:numPr>
    </w:pPr>
    <w:rPr>
      <w:sz w:val="20"/>
      <w:lang w:val="en-US"/>
    </w:rPr>
  </w:style>
  <w:style w:type="character" w:customStyle="1" w:styleId="tabletextChar">
    <w:name w:val="table text Char"/>
    <w:basedOn w:val="DefaultParagraphFont"/>
    <w:link w:val="tabletext"/>
    <w:rsid w:val="00AD2108"/>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AD2108"/>
    <w:rPr>
      <w:rFonts w:ascii="Times New Roman" w:eastAsia="Times New Roman" w:hAnsi="Times New Roman" w:cs="Times New Roman"/>
      <w:sz w:val="20"/>
      <w:szCs w:val="20"/>
      <w:lang w:val="en-US" w:eastAsia="en-AU"/>
    </w:rPr>
  </w:style>
  <w:style w:type="paragraph" w:customStyle="1" w:styleId="Dash">
    <w:name w:val="Dash"/>
    <w:basedOn w:val="Normal"/>
    <w:link w:val="DashChar"/>
    <w:rsid w:val="00AD2108"/>
    <w:pPr>
      <w:numPr>
        <w:ilvl w:val="1"/>
        <w:numId w:val="27"/>
      </w:numPr>
    </w:pPr>
    <w:rPr>
      <w:sz w:val="20"/>
      <w:lang w:val="en-US"/>
    </w:rPr>
  </w:style>
  <w:style w:type="character" w:customStyle="1" w:styleId="DashChar">
    <w:name w:val="Dash Char"/>
    <w:basedOn w:val="tabletextChar"/>
    <w:link w:val="Dash"/>
    <w:rsid w:val="00AD2108"/>
    <w:rPr>
      <w:rFonts w:ascii="Times New Roman" w:eastAsia="Times New Roman" w:hAnsi="Times New Roman" w:cs="Times New Roman"/>
      <w:sz w:val="20"/>
      <w:szCs w:val="20"/>
      <w:lang w:val="en-US" w:eastAsia="en-AU"/>
    </w:rPr>
  </w:style>
  <w:style w:type="paragraph" w:customStyle="1" w:styleId="DoubleDot">
    <w:name w:val="Double Dot"/>
    <w:basedOn w:val="Normal"/>
    <w:link w:val="DoubleDotChar"/>
    <w:rsid w:val="00AD2108"/>
    <w:pPr>
      <w:numPr>
        <w:ilvl w:val="2"/>
        <w:numId w:val="27"/>
      </w:numPr>
    </w:pPr>
    <w:rPr>
      <w:sz w:val="20"/>
      <w:lang w:val="en-US"/>
    </w:rPr>
  </w:style>
  <w:style w:type="character" w:customStyle="1" w:styleId="DoubleDotChar">
    <w:name w:val="Double Dot Char"/>
    <w:basedOn w:val="tabletextChar"/>
    <w:link w:val="DoubleDot"/>
    <w:rsid w:val="00AD2108"/>
    <w:rPr>
      <w:rFonts w:ascii="Times New Roman" w:eastAsia="Times New Roman" w:hAnsi="Times New Roman" w:cs="Times New Roman"/>
      <w:sz w:val="20"/>
      <w:szCs w:val="20"/>
      <w:lang w:val="en-US" w:eastAsia="en-AU"/>
    </w:rPr>
  </w:style>
  <w:style w:type="character" w:styleId="FootnoteReference">
    <w:name w:val="footnote reference"/>
    <w:basedOn w:val="DefaultParagraphFont"/>
    <w:uiPriority w:val="99"/>
    <w:unhideWhenUsed/>
    <w:rsid w:val="00AD2108"/>
    <w:rPr>
      <w:vertAlign w:val="superscript"/>
    </w:rPr>
  </w:style>
  <w:style w:type="numbering" w:customStyle="1" w:styleId="ChapterList1">
    <w:name w:val="ChapterList1"/>
    <w:uiPriority w:val="99"/>
    <w:rsid w:val="004A5C0A"/>
  </w:style>
  <w:style w:type="paragraph" w:customStyle="1" w:styleId="OutlineNumbered1">
    <w:name w:val="Outline Numbered 1"/>
    <w:basedOn w:val="Normal"/>
    <w:link w:val="OutlineNumbered1Char"/>
    <w:rsid w:val="00BF29A4"/>
    <w:pPr>
      <w:numPr>
        <w:numId w:val="29"/>
      </w:numPr>
    </w:pPr>
  </w:style>
  <w:style w:type="character" w:customStyle="1" w:styleId="OutlineNumbered1Char">
    <w:name w:val="Outline Numbered 1 Char"/>
    <w:basedOn w:val="base-text-paragraphChar"/>
    <w:link w:val="OutlineNumbered1"/>
    <w:rsid w:val="00BF29A4"/>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BF29A4"/>
    <w:pPr>
      <w:numPr>
        <w:ilvl w:val="1"/>
        <w:numId w:val="29"/>
      </w:numPr>
    </w:pPr>
  </w:style>
  <w:style w:type="character" w:customStyle="1" w:styleId="OutlineNumbered2Char">
    <w:name w:val="Outline Numbered 2 Char"/>
    <w:basedOn w:val="base-text-paragraphChar"/>
    <w:link w:val="OutlineNumbered2"/>
    <w:rsid w:val="00BF29A4"/>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BF29A4"/>
    <w:pPr>
      <w:numPr>
        <w:ilvl w:val="2"/>
        <w:numId w:val="29"/>
      </w:numPr>
    </w:pPr>
  </w:style>
  <w:style w:type="character" w:customStyle="1" w:styleId="OutlineNumbered3Char">
    <w:name w:val="Outline Numbered 3 Char"/>
    <w:basedOn w:val="base-text-paragraphChar"/>
    <w:link w:val="OutlineNumbered3"/>
    <w:rsid w:val="00BF29A4"/>
    <w:rPr>
      <w:rFonts w:ascii="Times New Roman" w:eastAsia="Times New Roman" w:hAnsi="Times New Roman" w:cs="Times New Roman"/>
      <w:szCs w:val="20"/>
      <w:lang w:eastAsia="en-AU"/>
    </w:rPr>
  </w:style>
  <w:style w:type="paragraph" w:customStyle="1" w:styleId="Body">
    <w:name w:val="Body"/>
    <w:aliases w:val="b"/>
    <w:basedOn w:val="Normal"/>
    <w:link w:val="BodyChar"/>
    <w:rsid w:val="001B053D"/>
    <w:pPr>
      <w:spacing w:before="240" w:after="0"/>
    </w:pPr>
    <w:rPr>
      <w:sz w:val="24"/>
    </w:rPr>
  </w:style>
  <w:style w:type="character" w:customStyle="1" w:styleId="BodyChar">
    <w:name w:val="Body Char"/>
    <w:aliases w:val="b Char"/>
    <w:basedOn w:val="DefaultParagraphFont"/>
    <w:link w:val="Body"/>
    <w:rsid w:val="001B053D"/>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488309">
      <w:bodyDiv w:val="1"/>
      <w:marLeft w:val="0"/>
      <w:marRight w:val="0"/>
      <w:marTop w:val="0"/>
      <w:marBottom w:val="0"/>
      <w:divBdr>
        <w:top w:val="none" w:sz="0" w:space="0" w:color="auto"/>
        <w:left w:val="none" w:sz="0" w:space="0" w:color="auto"/>
        <w:bottom w:val="none" w:sz="0" w:space="0" w:color="auto"/>
        <w:right w:val="none" w:sz="0" w:space="0" w:color="auto"/>
      </w:divBdr>
    </w:div>
    <w:div w:id="1169560896">
      <w:bodyDiv w:val="1"/>
      <w:marLeft w:val="0"/>
      <w:marRight w:val="0"/>
      <w:marTop w:val="0"/>
      <w:marBottom w:val="0"/>
      <w:divBdr>
        <w:top w:val="none" w:sz="0" w:space="0" w:color="auto"/>
        <w:left w:val="none" w:sz="0" w:space="0" w:color="auto"/>
        <w:bottom w:val="none" w:sz="0" w:space="0" w:color="auto"/>
        <w:right w:val="none" w:sz="0" w:space="0" w:color="auto"/>
      </w:divBdr>
    </w:div>
    <w:div w:id="1736051298">
      <w:bodyDiv w:val="1"/>
      <w:marLeft w:val="0"/>
      <w:marRight w:val="0"/>
      <w:marTop w:val="0"/>
      <w:marBottom w:val="0"/>
      <w:divBdr>
        <w:top w:val="none" w:sz="0" w:space="0" w:color="auto"/>
        <w:left w:val="none" w:sz="0" w:space="0" w:color="auto"/>
        <w:bottom w:val="none" w:sz="0" w:space="0" w:color="auto"/>
        <w:right w:val="none" w:sz="0" w:space="0" w:color="auto"/>
      </w:divBdr>
    </w:div>
    <w:div w:id="21021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image" Target="media/image3.png"/><Relationship Id="rId21" Type="http://schemas.openxmlformats.org/officeDocument/2006/relationships/header" Target="header5.xml"/><Relationship Id="rId34" Type="http://schemas.openxmlformats.org/officeDocument/2006/relationships/footer" Target="footer13.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oter" Target="footer22.xml"/><Relationship Id="rId55" Type="http://schemas.openxmlformats.org/officeDocument/2006/relationships/footer" Target="footer2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image" Target="media/image2.png"/><Relationship Id="rId46"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microsoft.com/office/2007/relationships/hdphoto" Target="media/hdphoto1.wdp"/><Relationship Id="rId54"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5.png"/><Relationship Id="rId53" Type="http://schemas.openxmlformats.org/officeDocument/2006/relationships/footer" Target="footer2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4" Type="http://schemas.openxmlformats.org/officeDocument/2006/relationships/footer" Target="footer18.xml"/><Relationship Id="rId52" Type="http://schemas.openxmlformats.org/officeDocument/2006/relationships/footer" Target="footer2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4.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3.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fundspassport.apec.org/2016/04/28/asia-region-funds-passport-memorandum-of-coop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14746" ma:contentTypeDescription="" ma:contentTypeScope="" ma:versionID="60a02cd7036fb11db090ad94eef519e9">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33fbd3fda7c15195141807f0a6179ba2"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Nature_x0020_of_x0020_documents xmlns="507a8a59-704d-43cf-b103-02b0cd527a9d"/>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_dlc_DocId xmlns="0f563589-9cf9-4143-b1eb-fb0534803d38">2018RG-216-5411</_dlc_DocId>
    <TaxCatchAll xmlns="0f563589-9cf9-4143-b1eb-fb0534803d38">
      <Value>24</Value>
    </TaxCatchAll>
    <_dlc_DocIdUrl xmlns="0f563589-9cf9-4143-b1eb-fb0534803d38">
      <Url>http://tweb/sites/rg/ldp/_layouts/15/DocIdRedir.aspx?ID=2018RG-216-5411</Url>
      <Description>2018RG-216-5411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6D9D9E68-3A06-49FA-A212-E2C2F9B2E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34585-FD7B-4A3E-8329-CB575F957268}">
  <ds:schemaRefs>
    <ds:schemaRef ds:uri="http://schemas.microsoft.com/sharepoint/events"/>
  </ds:schemaRefs>
</ds:datastoreItem>
</file>

<file path=customXml/itemProps5.xml><?xml version="1.0" encoding="utf-8"?>
<ds:datastoreItem xmlns:ds="http://schemas.openxmlformats.org/officeDocument/2006/customXml" ds:itemID="{E484BCE1-B00C-45BB-B3CA-CEE712E03F53}">
  <ds:schemaRefs>
    <ds:schemaRef ds:uri="http://purl.org/dc/elements/1.1/"/>
    <ds:schemaRef ds:uri="http://schemas.microsoft.com/office/2006/documentManagement/types"/>
    <ds:schemaRef ds:uri="507a8a59-704d-43cf-b103-02b0cd527a9d"/>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 ds:uri="http://schemas.microsoft.com/sharepoint/v4"/>
    <ds:schemaRef ds:uri="9f7bc583-7cbe-45b9-a2bd-8bbb6543b37e"/>
    <ds:schemaRef ds:uri="0f563589-9cf9-4143-b1eb-fb0534803d38"/>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B9232B20-549A-4EA9-B733-F8803A94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11</TotalTime>
  <Pages>101</Pages>
  <Words>29416</Words>
  <Characters>151495</Characters>
  <Application>Microsoft Office Word</Application>
  <DocSecurity>0</DocSecurity>
  <Lines>3607</Lines>
  <Paragraphs>1256</Paragraphs>
  <ScaleCrop>false</ScaleCrop>
  <HeadingPairs>
    <vt:vector size="2" baseType="variant">
      <vt:variant>
        <vt:lpstr>Title</vt:lpstr>
      </vt:variant>
      <vt:variant>
        <vt:i4>1</vt:i4>
      </vt:variant>
    </vt:vector>
  </HeadingPairs>
  <TitlesOfParts>
    <vt:vector size="1" baseType="lpstr">
      <vt:lpstr>Treasury Laws Amendment (Corporate Collective Investment Vehicle) Bill 2018</vt:lpstr>
    </vt:vector>
  </TitlesOfParts>
  <Company>Australian Government - The Treasury</Company>
  <LinksUpToDate>false</LinksUpToDate>
  <CharactersWithSpaces>179655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(Corporate Collective Investment Vehicle) Bill 2018</dc:title>
  <dc:creator>Treasury</dc:creator>
  <cp:lastModifiedBy>Hill, Christine</cp:lastModifiedBy>
  <cp:revision>8</cp:revision>
  <cp:lastPrinted>2018-10-12T05:32:00Z</cp:lastPrinted>
  <dcterms:created xsi:type="dcterms:W3CDTF">2018-10-04T06:41:00Z</dcterms:created>
  <dcterms:modified xsi:type="dcterms:W3CDTF">2018-10-12T05:59:00Z</dcterms:modified>
</cp:coreProperties>
</file>