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F24F1" w14:textId="15FF94F9" w:rsidR="002B0709" w:rsidRDefault="002B0709" w:rsidP="0078596D">
      <w:pPr>
        <w:pStyle w:val="Subtitle"/>
        <w:spacing w:after="100" w:afterAutospacing="1"/>
      </w:pPr>
      <w:bookmarkStart w:id="0" w:name="_GoBack"/>
      <w:bookmarkEnd w:id="0"/>
      <w:r w:rsidRPr="00594197">
        <w:t>Consultation Regulation Impact Statement</w:t>
      </w:r>
    </w:p>
    <w:p w14:paraId="2C52AD71" w14:textId="1D84D451" w:rsidR="00E21A05" w:rsidRPr="00E21A05" w:rsidRDefault="00E21A05" w:rsidP="00E21A05">
      <w:pPr>
        <w:pStyle w:val="Subtitle"/>
      </w:pPr>
      <w:r>
        <w:t>Chapter one</w:t>
      </w:r>
    </w:p>
    <w:p w14:paraId="1B533054" w14:textId="1BA8618F" w:rsidR="002B0709" w:rsidRPr="000B6529" w:rsidRDefault="002B0709" w:rsidP="000B6529">
      <w:pPr>
        <w:pStyle w:val="Title"/>
      </w:pPr>
      <w:r w:rsidRPr="000B6529">
        <w:t>Australian Consumer Law Review:</w:t>
      </w:r>
      <w:r w:rsidR="00C45C27" w:rsidRPr="000B6529">
        <w:t xml:space="preserve"> </w:t>
      </w:r>
      <w:r w:rsidR="004C6D06" w:rsidRPr="000B6529">
        <w:t>Increasing the</w:t>
      </w:r>
      <w:r w:rsidR="002A60BF" w:rsidRPr="000B6529">
        <w:t xml:space="preserve"> threshold in the definition of ‘consumer’</w:t>
      </w:r>
      <w:r w:rsidR="004C6D06" w:rsidRPr="000B6529">
        <w:t xml:space="preserve"> </w:t>
      </w:r>
      <w:r w:rsidR="002A60BF" w:rsidRPr="000B6529">
        <w:t xml:space="preserve">from </w:t>
      </w:r>
      <w:r w:rsidR="004C6D06" w:rsidRPr="000B6529">
        <w:t>$40,000 to $100,000</w:t>
      </w:r>
    </w:p>
    <w:p w14:paraId="423E941B" w14:textId="77777777" w:rsidR="002B0709" w:rsidRPr="00594197" w:rsidRDefault="002B0709" w:rsidP="00594197">
      <w:pPr>
        <w:pStyle w:val="SubSubtitle"/>
      </w:pPr>
      <w:r w:rsidRPr="00594197">
        <w:t>Consumer Affairs Australia and New Zealand</w:t>
      </w:r>
    </w:p>
    <w:p w14:paraId="0CA28CBB" w14:textId="77777777" w:rsidR="00594197" w:rsidRPr="00594197" w:rsidRDefault="002B0709" w:rsidP="00594197">
      <w:pPr>
        <w:pStyle w:val="SubSubtitle"/>
        <w:sectPr w:rsidR="00594197" w:rsidRPr="00594197" w:rsidSect="00594197">
          <w:headerReference w:type="even" r:id="rId14"/>
          <w:headerReference w:type="default" r:id="rId15"/>
          <w:footerReference w:type="default" r:id="rId16"/>
          <w:pgSz w:w="11906" w:h="16838"/>
          <w:pgMar w:top="1440" w:right="1440" w:bottom="1440" w:left="1440" w:header="709" w:footer="709" w:gutter="0"/>
          <w:cols w:space="708"/>
          <w:vAlign w:val="center"/>
          <w:titlePg/>
          <w:docGrid w:linePitch="360"/>
        </w:sectPr>
      </w:pPr>
      <w:r w:rsidRPr="00594197">
        <w:t>201</w:t>
      </w:r>
      <w:r w:rsidR="002A60BF" w:rsidRPr="00594197">
        <w:t>8</w:t>
      </w:r>
    </w:p>
    <w:p w14:paraId="6B069CBB" w14:textId="77777777" w:rsidR="00594197" w:rsidRPr="00594197" w:rsidRDefault="00594197" w:rsidP="00594197">
      <w:r w:rsidRPr="00594197">
        <w:lastRenderedPageBreak/>
        <w:t>© Commonwealth of Australia 2018</w:t>
      </w:r>
    </w:p>
    <w:p w14:paraId="77B798F5" w14:textId="77777777" w:rsidR="00594197" w:rsidRPr="00594197" w:rsidRDefault="00594197" w:rsidP="00594197">
      <w:pPr>
        <w:rPr>
          <w:sz w:val="24"/>
          <w:szCs w:val="24"/>
        </w:rPr>
      </w:pPr>
      <w:r w:rsidRPr="00594197">
        <w:t>This publication is available for your use under a</w:t>
      </w:r>
      <w:r w:rsidRPr="00594197">
        <w:rPr>
          <w:rFonts w:cs="Calibri"/>
          <w:sz w:val="24"/>
          <w:szCs w:val="24"/>
        </w:rPr>
        <w:t xml:space="preserve"> </w:t>
      </w:r>
      <w:hyperlink r:id="rId17" w:history="1">
        <w:r w:rsidRPr="00594197">
          <w:rPr>
            <w:b/>
            <w:color w:val="004A7F"/>
          </w:rPr>
          <w:t>Creative Commons Attribution 3.0 Australia</w:t>
        </w:r>
      </w:hyperlink>
      <w:r w:rsidRPr="00594197">
        <w:rPr>
          <w:rFonts w:cs="Calibri"/>
          <w:sz w:val="24"/>
          <w:szCs w:val="24"/>
        </w:rPr>
        <w:t xml:space="preserve"> </w:t>
      </w:r>
      <w:r w:rsidRPr="00594197">
        <w:t>licence, with the exception of the Commonwealth Coat of Arms, the Treasury logo, photographs, images, signatures and where otherwise stated. The full licence terms are available from</w:t>
      </w:r>
      <w:r w:rsidRPr="00594197">
        <w:rPr>
          <w:rFonts w:cs="Calibri"/>
          <w:sz w:val="24"/>
          <w:szCs w:val="24"/>
        </w:rPr>
        <w:t xml:space="preserve"> </w:t>
      </w:r>
      <w:hyperlink r:id="rId18" w:history="1">
        <w:r w:rsidRPr="00594197">
          <w:rPr>
            <w:b/>
            <w:color w:val="004A7F"/>
          </w:rPr>
          <w:t>http://creativecommons.org/licenses/by/3.0/au/legalcode</w:t>
        </w:r>
      </w:hyperlink>
      <w:r w:rsidRPr="00594197">
        <w:rPr>
          <w:b/>
          <w:color w:val="004A7F"/>
        </w:rPr>
        <w:t>.</w:t>
      </w:r>
    </w:p>
    <w:p w14:paraId="5973E5EA" w14:textId="77777777" w:rsidR="00594197" w:rsidRPr="00594197" w:rsidRDefault="00594197" w:rsidP="00594197">
      <w:pPr>
        <w:spacing w:line="240" w:lineRule="auto"/>
        <w:rPr>
          <w:noProof/>
          <w:lang w:eastAsia="en-AU"/>
        </w:rPr>
      </w:pPr>
      <w:r w:rsidRPr="00594197">
        <w:rPr>
          <w:noProof/>
          <w:lang w:eastAsia="en-AU"/>
        </w:rPr>
        <w:drawing>
          <wp:inline distT="0" distB="0" distL="0" distR="0" wp14:anchorId="2668D244" wp14:editId="1E5744CF">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E482609" w14:textId="77777777" w:rsidR="00594197" w:rsidRPr="00594197" w:rsidRDefault="00594197" w:rsidP="00594197">
      <w:r w:rsidRPr="00594197">
        <w:t>Use of Treasury material under a</w:t>
      </w:r>
      <w:r w:rsidRPr="00594197">
        <w:rPr>
          <w:rFonts w:cs="Calibri"/>
          <w:sz w:val="24"/>
          <w:szCs w:val="24"/>
        </w:rPr>
        <w:t xml:space="preserve"> </w:t>
      </w:r>
      <w:hyperlink r:id="rId20" w:history="1">
        <w:r w:rsidRPr="00594197">
          <w:rPr>
            <w:b/>
            <w:color w:val="004A7F"/>
          </w:rPr>
          <w:t>Creative Commons Attribution 3.0 Australia</w:t>
        </w:r>
      </w:hyperlink>
      <w:r w:rsidRPr="00594197">
        <w:rPr>
          <w:b/>
          <w:color w:val="004A7F"/>
        </w:rPr>
        <w:t xml:space="preserve"> </w:t>
      </w:r>
      <w:r w:rsidRPr="00594197">
        <w:t>licence requires you to attribute the work (but not in any way that suggests that the Treasury endorses you or your use of the work).</w:t>
      </w:r>
    </w:p>
    <w:p w14:paraId="66D5030C" w14:textId="77777777" w:rsidR="00594197" w:rsidRPr="00236C97" w:rsidRDefault="00594197" w:rsidP="00594197">
      <w:pPr>
        <w:ind w:left="567"/>
        <w:rPr>
          <w:i/>
        </w:rPr>
      </w:pPr>
      <w:r w:rsidRPr="00236C97">
        <w:rPr>
          <w:i/>
        </w:rPr>
        <w:t>Treasury material used ‘as supplied’.</w:t>
      </w:r>
    </w:p>
    <w:p w14:paraId="14E2D4BB" w14:textId="77777777" w:rsidR="00594197" w:rsidRPr="00236C97" w:rsidRDefault="00594197" w:rsidP="00594197">
      <w:r w:rsidRPr="00236C97">
        <w:t>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w:t>
      </w:r>
    </w:p>
    <w:p w14:paraId="5D07B697" w14:textId="77777777" w:rsidR="00594197" w:rsidRPr="00236C97" w:rsidRDefault="00594197" w:rsidP="00594197">
      <w:pPr>
        <w:ind w:left="567"/>
        <w:rPr>
          <w:i/>
        </w:rPr>
      </w:pPr>
      <w:r w:rsidRPr="00236C97">
        <w:rPr>
          <w:i/>
        </w:rPr>
        <w:t>Source: The Australian Government the Treasury</w:t>
      </w:r>
    </w:p>
    <w:p w14:paraId="0BF4A297" w14:textId="77777777" w:rsidR="00594197" w:rsidRPr="00236C97" w:rsidRDefault="00594197" w:rsidP="00594197">
      <w:pPr>
        <w:rPr>
          <w:b/>
        </w:rPr>
      </w:pPr>
      <w:r w:rsidRPr="00236C97">
        <w:rPr>
          <w:b/>
        </w:rPr>
        <w:t>Derivative material</w:t>
      </w:r>
    </w:p>
    <w:p w14:paraId="430E2544" w14:textId="77777777" w:rsidR="00594197" w:rsidRPr="00236C97" w:rsidRDefault="00594197" w:rsidP="00594197">
      <w:r w:rsidRPr="00236C97">
        <w:t>If you have modified or transformed Treasury material, or derived new material from those of the Treasury in any way, then Treasury prefers the following attribution:</w:t>
      </w:r>
    </w:p>
    <w:p w14:paraId="10B87434" w14:textId="77777777" w:rsidR="00594197" w:rsidRPr="00236C97" w:rsidRDefault="00594197" w:rsidP="00594197">
      <w:pPr>
        <w:ind w:left="567"/>
        <w:rPr>
          <w:i/>
        </w:rPr>
      </w:pPr>
      <w:r w:rsidRPr="00236C97">
        <w:rPr>
          <w:i/>
        </w:rPr>
        <w:t>Based on The Australian Government the Treasury data</w:t>
      </w:r>
    </w:p>
    <w:p w14:paraId="0F4EA1D8" w14:textId="77777777" w:rsidR="00594197" w:rsidRPr="00236C97" w:rsidRDefault="00594197" w:rsidP="00594197">
      <w:pPr>
        <w:rPr>
          <w:b/>
        </w:rPr>
      </w:pPr>
      <w:r w:rsidRPr="00236C97">
        <w:rPr>
          <w:b/>
        </w:rPr>
        <w:t>Use of the Coat of Arms</w:t>
      </w:r>
    </w:p>
    <w:p w14:paraId="56A3A2B9" w14:textId="77777777" w:rsidR="00594197" w:rsidRPr="00236C97" w:rsidRDefault="00594197" w:rsidP="00594197">
      <w:r w:rsidRPr="00236C97">
        <w:t>The terms under which the Coat of Arms can be used are set out on the It’s an Honour website (see </w:t>
      </w:r>
      <w:hyperlink r:id="rId21" w:history="1">
        <w:r w:rsidRPr="00236C97">
          <w:rPr>
            <w:b/>
            <w:color w:val="004A7F"/>
          </w:rPr>
          <w:t>www.itsanhonour.gov.au</w:t>
        </w:r>
      </w:hyperlink>
      <w:r w:rsidRPr="00236C97">
        <w:t>).</w:t>
      </w:r>
    </w:p>
    <w:p w14:paraId="5EA68971" w14:textId="77777777" w:rsidR="00594197" w:rsidRPr="00236C97" w:rsidRDefault="00594197" w:rsidP="00594197">
      <w:pPr>
        <w:rPr>
          <w:b/>
        </w:rPr>
      </w:pPr>
      <w:r w:rsidRPr="00236C97">
        <w:rPr>
          <w:b/>
        </w:rPr>
        <w:t>Other uses</w:t>
      </w:r>
    </w:p>
    <w:p w14:paraId="65C4FAAC" w14:textId="77777777" w:rsidR="00594197" w:rsidRPr="00594197" w:rsidRDefault="00594197" w:rsidP="00594197">
      <w:r w:rsidRPr="00594197">
        <w:t>Enquiries regarding this licence and any other use of this document are welcome at:</w:t>
      </w:r>
    </w:p>
    <w:p w14:paraId="13BBCB09" w14:textId="4F407E30" w:rsidR="00594197" w:rsidRPr="0078596D" w:rsidRDefault="00594197" w:rsidP="0078596D">
      <w:pPr>
        <w:ind w:left="567"/>
        <w:jc w:val="left"/>
        <w:rPr>
          <w:b/>
          <w:color w:val="004A7F"/>
        </w:rPr>
      </w:pPr>
      <w:r w:rsidRPr="00594197">
        <w:t>Manager</w:t>
      </w:r>
      <w:r w:rsidRPr="00594197">
        <w:br/>
        <w:t>Editorial, Media and Speeches Unit</w:t>
      </w:r>
      <w:r w:rsidRPr="00594197">
        <w:br/>
        <w:t>The Treasury</w:t>
      </w:r>
      <w:r w:rsidRPr="00594197">
        <w:br/>
        <w:t xml:space="preserve">Langton Crescent </w:t>
      </w:r>
      <w:r w:rsidRPr="00594197">
        <w:br/>
        <w:t>Parkes  ACT  2600</w:t>
      </w:r>
      <w:r w:rsidRPr="00594197">
        <w:br/>
        <w:t xml:space="preserve">Email: </w:t>
      </w:r>
      <w:hyperlink r:id="rId22" w:history="1">
        <w:r w:rsidRPr="00594197">
          <w:rPr>
            <w:b/>
            <w:color w:val="004A7F"/>
          </w:rPr>
          <w:t>medialiaison@treasury.gov.au</w:t>
        </w:r>
      </w:hyperlink>
    </w:p>
    <w:p w14:paraId="0DF9C95C" w14:textId="77777777" w:rsidR="00594197" w:rsidRPr="00594197" w:rsidRDefault="00594197" w:rsidP="00594197"/>
    <w:p w14:paraId="0A6CE0D4" w14:textId="77777777" w:rsidR="00594197" w:rsidRDefault="00594197" w:rsidP="00594197">
      <w:pPr>
        <w:sectPr w:rsidR="00594197" w:rsidSect="00AD2D97">
          <w:footerReference w:type="first" r:id="rId23"/>
          <w:pgSz w:w="11906" w:h="16838"/>
          <w:pgMar w:top="1440" w:right="1440" w:bottom="1440" w:left="1440" w:header="708" w:footer="708" w:gutter="0"/>
          <w:cols w:space="708"/>
          <w:titlePg/>
          <w:docGrid w:linePitch="360"/>
        </w:sectPr>
      </w:pPr>
    </w:p>
    <w:p w14:paraId="0F18868C" w14:textId="77777777" w:rsidR="00594197" w:rsidRPr="00594197" w:rsidRDefault="00594197" w:rsidP="00594197">
      <w:pPr>
        <w:pStyle w:val="TOCHeading"/>
      </w:pPr>
      <w:r w:rsidRPr="00594197">
        <w:lastRenderedPageBreak/>
        <w:t>Table of Contents</w:t>
      </w:r>
    </w:p>
    <w:sdt>
      <w:sdtPr>
        <w:rPr>
          <w:rFonts w:ascii="Calibri" w:eastAsia="Times New Roman" w:hAnsi="Calibri" w:cs="Arial"/>
          <w:b w:val="0"/>
          <w:caps w:val="0"/>
          <w:noProof w:val="0"/>
          <w:color w:val="004A7F"/>
          <w:kern w:val="32"/>
          <w:sz w:val="44"/>
          <w:szCs w:val="36"/>
          <w:lang w:eastAsia="en-AU"/>
        </w:rPr>
        <w:id w:val="-411694929"/>
        <w:docPartObj>
          <w:docPartGallery w:val="Table of Contents"/>
          <w:docPartUnique/>
        </w:docPartObj>
      </w:sdtPr>
      <w:sdtEndPr>
        <w:rPr>
          <w:rFonts w:asciiTheme="minorHAnsi" w:eastAsiaTheme="minorHAnsi" w:hAnsiTheme="minorHAnsi" w:cstheme="minorBidi"/>
          <w:bCs/>
          <w:noProof/>
          <w:color w:val="1F497D" w:themeColor="text2"/>
          <w:kern w:val="0"/>
          <w:sz w:val="22"/>
          <w:szCs w:val="22"/>
          <w:lang w:eastAsia="en-US"/>
        </w:rPr>
      </w:sdtEndPr>
      <w:sdtContent>
        <w:p w14:paraId="397F9802" w14:textId="77777777" w:rsidR="007710DC" w:rsidRDefault="00594197">
          <w:pPr>
            <w:pStyle w:val="TOC1"/>
            <w:rPr>
              <w:rFonts w:eastAsiaTheme="minorEastAsia"/>
              <w:b w:val="0"/>
              <w:caps w:val="0"/>
              <w:color w:val="auto"/>
              <w:lang w:eastAsia="en-AU"/>
            </w:rPr>
          </w:pPr>
          <w:r w:rsidRPr="00594197">
            <w:fldChar w:fldCharType="begin"/>
          </w:r>
          <w:r w:rsidRPr="00594197">
            <w:instrText xml:space="preserve"> TOC \o "1-1" \h \z \t "Heading 2,2,Heading 2 - No Numbered,2" </w:instrText>
          </w:r>
          <w:r w:rsidRPr="00594197">
            <w:fldChar w:fldCharType="separate"/>
          </w:r>
          <w:hyperlink w:anchor="_Toc508968507" w:history="1">
            <w:r w:rsidR="007710DC" w:rsidRPr="00F94FB6">
              <w:rPr>
                <w:rStyle w:val="Hyperlink"/>
              </w:rPr>
              <w:t>Executive Summary</w:t>
            </w:r>
            <w:r w:rsidR="007710DC">
              <w:rPr>
                <w:webHidden/>
              </w:rPr>
              <w:tab/>
            </w:r>
            <w:r w:rsidR="007710DC">
              <w:rPr>
                <w:webHidden/>
              </w:rPr>
              <w:fldChar w:fldCharType="begin"/>
            </w:r>
            <w:r w:rsidR="007710DC">
              <w:rPr>
                <w:webHidden/>
              </w:rPr>
              <w:instrText xml:space="preserve"> PAGEREF _Toc508968507 \h </w:instrText>
            </w:r>
            <w:r w:rsidR="007710DC">
              <w:rPr>
                <w:webHidden/>
              </w:rPr>
            </w:r>
            <w:r w:rsidR="007710DC">
              <w:rPr>
                <w:webHidden/>
              </w:rPr>
              <w:fldChar w:fldCharType="separate"/>
            </w:r>
            <w:r w:rsidR="007710DC">
              <w:rPr>
                <w:webHidden/>
              </w:rPr>
              <w:t>1</w:t>
            </w:r>
            <w:r w:rsidR="007710DC">
              <w:rPr>
                <w:webHidden/>
              </w:rPr>
              <w:fldChar w:fldCharType="end"/>
            </w:r>
          </w:hyperlink>
        </w:p>
        <w:p w14:paraId="6EF750C7" w14:textId="77777777" w:rsidR="007710DC" w:rsidRDefault="00F837D3">
          <w:pPr>
            <w:pStyle w:val="TOC1"/>
            <w:rPr>
              <w:rFonts w:eastAsiaTheme="minorEastAsia"/>
              <w:b w:val="0"/>
              <w:caps w:val="0"/>
              <w:color w:val="auto"/>
              <w:lang w:eastAsia="en-AU"/>
            </w:rPr>
          </w:pPr>
          <w:hyperlink w:anchor="_Toc508968508" w:history="1">
            <w:r w:rsidR="007710DC" w:rsidRPr="00F94FB6">
              <w:rPr>
                <w:rStyle w:val="Hyperlink"/>
              </w:rPr>
              <w:t>Introduction</w:t>
            </w:r>
            <w:r w:rsidR="007710DC">
              <w:rPr>
                <w:webHidden/>
              </w:rPr>
              <w:tab/>
            </w:r>
            <w:r w:rsidR="007710DC">
              <w:rPr>
                <w:webHidden/>
              </w:rPr>
              <w:fldChar w:fldCharType="begin"/>
            </w:r>
            <w:r w:rsidR="007710DC">
              <w:rPr>
                <w:webHidden/>
              </w:rPr>
              <w:instrText xml:space="preserve"> PAGEREF _Toc508968508 \h </w:instrText>
            </w:r>
            <w:r w:rsidR="007710DC">
              <w:rPr>
                <w:webHidden/>
              </w:rPr>
            </w:r>
            <w:r w:rsidR="007710DC">
              <w:rPr>
                <w:webHidden/>
              </w:rPr>
              <w:fldChar w:fldCharType="separate"/>
            </w:r>
            <w:r w:rsidR="007710DC">
              <w:rPr>
                <w:webHidden/>
              </w:rPr>
              <w:t>2</w:t>
            </w:r>
            <w:r w:rsidR="007710DC">
              <w:rPr>
                <w:webHidden/>
              </w:rPr>
              <w:fldChar w:fldCharType="end"/>
            </w:r>
          </w:hyperlink>
        </w:p>
        <w:p w14:paraId="20E2CA25" w14:textId="77777777" w:rsidR="007710DC" w:rsidRDefault="00F837D3">
          <w:pPr>
            <w:pStyle w:val="TOC2"/>
            <w:rPr>
              <w:rFonts w:eastAsiaTheme="minorEastAsia"/>
              <w:color w:val="auto"/>
              <w:lang w:eastAsia="en-AU"/>
            </w:rPr>
          </w:pPr>
          <w:hyperlink w:anchor="_Toc508968509" w:history="1">
            <w:r w:rsidR="007710DC" w:rsidRPr="00F94FB6">
              <w:rPr>
                <w:rStyle w:val="Hyperlink"/>
              </w:rPr>
              <w:t>The existing legislative framework</w:t>
            </w:r>
            <w:r w:rsidR="007710DC">
              <w:rPr>
                <w:webHidden/>
              </w:rPr>
              <w:tab/>
            </w:r>
            <w:r w:rsidR="007710DC">
              <w:rPr>
                <w:webHidden/>
              </w:rPr>
              <w:fldChar w:fldCharType="begin"/>
            </w:r>
            <w:r w:rsidR="007710DC">
              <w:rPr>
                <w:webHidden/>
              </w:rPr>
              <w:instrText xml:space="preserve"> PAGEREF _Toc508968509 \h </w:instrText>
            </w:r>
            <w:r w:rsidR="007710DC">
              <w:rPr>
                <w:webHidden/>
              </w:rPr>
            </w:r>
            <w:r w:rsidR="007710DC">
              <w:rPr>
                <w:webHidden/>
              </w:rPr>
              <w:fldChar w:fldCharType="separate"/>
            </w:r>
            <w:r w:rsidR="007710DC">
              <w:rPr>
                <w:webHidden/>
              </w:rPr>
              <w:t>2</w:t>
            </w:r>
            <w:r w:rsidR="007710DC">
              <w:rPr>
                <w:webHidden/>
              </w:rPr>
              <w:fldChar w:fldCharType="end"/>
            </w:r>
          </w:hyperlink>
        </w:p>
        <w:p w14:paraId="3771BDD7" w14:textId="77777777" w:rsidR="007710DC" w:rsidRDefault="00F837D3">
          <w:pPr>
            <w:pStyle w:val="TOC2"/>
            <w:rPr>
              <w:rFonts w:eastAsiaTheme="minorEastAsia"/>
              <w:color w:val="auto"/>
              <w:lang w:eastAsia="en-AU"/>
            </w:rPr>
          </w:pPr>
          <w:hyperlink w:anchor="_Toc508968510" w:history="1">
            <w:r w:rsidR="007710DC" w:rsidRPr="00F94FB6">
              <w:rPr>
                <w:rStyle w:val="Hyperlink"/>
              </w:rPr>
              <w:t>The Australian Consumer Law Review</w:t>
            </w:r>
            <w:r w:rsidR="007710DC">
              <w:rPr>
                <w:webHidden/>
              </w:rPr>
              <w:tab/>
            </w:r>
            <w:r w:rsidR="007710DC">
              <w:rPr>
                <w:webHidden/>
              </w:rPr>
              <w:fldChar w:fldCharType="begin"/>
            </w:r>
            <w:r w:rsidR="007710DC">
              <w:rPr>
                <w:webHidden/>
              </w:rPr>
              <w:instrText xml:space="preserve"> PAGEREF _Toc508968510 \h </w:instrText>
            </w:r>
            <w:r w:rsidR="007710DC">
              <w:rPr>
                <w:webHidden/>
              </w:rPr>
            </w:r>
            <w:r w:rsidR="007710DC">
              <w:rPr>
                <w:webHidden/>
              </w:rPr>
              <w:fldChar w:fldCharType="separate"/>
            </w:r>
            <w:r w:rsidR="007710DC">
              <w:rPr>
                <w:webHidden/>
              </w:rPr>
              <w:t>2</w:t>
            </w:r>
            <w:r w:rsidR="007710DC">
              <w:rPr>
                <w:webHidden/>
              </w:rPr>
              <w:fldChar w:fldCharType="end"/>
            </w:r>
          </w:hyperlink>
        </w:p>
        <w:p w14:paraId="218CB720" w14:textId="77777777" w:rsidR="007710DC" w:rsidRDefault="00F837D3">
          <w:pPr>
            <w:pStyle w:val="TOC1"/>
            <w:rPr>
              <w:rFonts w:eastAsiaTheme="minorEastAsia"/>
              <w:b w:val="0"/>
              <w:caps w:val="0"/>
              <w:color w:val="auto"/>
              <w:lang w:eastAsia="en-AU"/>
            </w:rPr>
          </w:pPr>
          <w:hyperlink w:anchor="_Toc508968511" w:history="1">
            <w:r w:rsidR="007710DC" w:rsidRPr="00F94FB6">
              <w:rPr>
                <w:rStyle w:val="Hyperlink"/>
              </w:rPr>
              <w:t>The Problem</w:t>
            </w:r>
            <w:r w:rsidR="007710DC">
              <w:rPr>
                <w:webHidden/>
              </w:rPr>
              <w:tab/>
            </w:r>
            <w:r w:rsidR="007710DC">
              <w:rPr>
                <w:webHidden/>
              </w:rPr>
              <w:fldChar w:fldCharType="begin"/>
            </w:r>
            <w:r w:rsidR="007710DC">
              <w:rPr>
                <w:webHidden/>
              </w:rPr>
              <w:instrText xml:space="preserve"> PAGEREF _Toc508968511 \h </w:instrText>
            </w:r>
            <w:r w:rsidR="007710DC">
              <w:rPr>
                <w:webHidden/>
              </w:rPr>
            </w:r>
            <w:r w:rsidR="007710DC">
              <w:rPr>
                <w:webHidden/>
              </w:rPr>
              <w:fldChar w:fldCharType="separate"/>
            </w:r>
            <w:r w:rsidR="007710DC">
              <w:rPr>
                <w:webHidden/>
              </w:rPr>
              <w:t>4</w:t>
            </w:r>
            <w:r w:rsidR="007710DC">
              <w:rPr>
                <w:webHidden/>
              </w:rPr>
              <w:fldChar w:fldCharType="end"/>
            </w:r>
          </w:hyperlink>
        </w:p>
        <w:p w14:paraId="2E5A0E2F" w14:textId="77777777" w:rsidR="007710DC" w:rsidRDefault="00F837D3">
          <w:pPr>
            <w:pStyle w:val="TOC2"/>
            <w:rPr>
              <w:rFonts w:eastAsiaTheme="minorEastAsia"/>
              <w:color w:val="auto"/>
              <w:lang w:eastAsia="en-AU"/>
            </w:rPr>
          </w:pPr>
          <w:hyperlink w:anchor="_Toc508968512" w:history="1">
            <w:r w:rsidR="007710DC" w:rsidRPr="00F94FB6">
              <w:rPr>
                <w:rStyle w:val="Hyperlink"/>
              </w:rPr>
              <w:t>The development of the monetary threshold: protecting small businesses</w:t>
            </w:r>
            <w:r w:rsidR="007710DC">
              <w:rPr>
                <w:webHidden/>
              </w:rPr>
              <w:tab/>
            </w:r>
            <w:r w:rsidR="007710DC">
              <w:rPr>
                <w:webHidden/>
              </w:rPr>
              <w:fldChar w:fldCharType="begin"/>
            </w:r>
            <w:r w:rsidR="007710DC">
              <w:rPr>
                <w:webHidden/>
              </w:rPr>
              <w:instrText xml:space="preserve"> PAGEREF _Toc508968512 \h </w:instrText>
            </w:r>
            <w:r w:rsidR="007710DC">
              <w:rPr>
                <w:webHidden/>
              </w:rPr>
            </w:r>
            <w:r w:rsidR="007710DC">
              <w:rPr>
                <w:webHidden/>
              </w:rPr>
              <w:fldChar w:fldCharType="separate"/>
            </w:r>
            <w:r w:rsidR="007710DC">
              <w:rPr>
                <w:webHidden/>
              </w:rPr>
              <w:t>4</w:t>
            </w:r>
            <w:r w:rsidR="007710DC">
              <w:rPr>
                <w:webHidden/>
              </w:rPr>
              <w:fldChar w:fldCharType="end"/>
            </w:r>
          </w:hyperlink>
        </w:p>
        <w:p w14:paraId="4FDEE675" w14:textId="77777777" w:rsidR="007710DC" w:rsidRDefault="00F837D3">
          <w:pPr>
            <w:pStyle w:val="TOC2"/>
            <w:rPr>
              <w:rFonts w:eastAsiaTheme="minorEastAsia"/>
              <w:color w:val="auto"/>
              <w:lang w:eastAsia="en-AU"/>
            </w:rPr>
          </w:pPr>
          <w:hyperlink w:anchor="_Toc508968513" w:history="1">
            <w:r w:rsidR="007710DC" w:rsidRPr="00F94FB6">
              <w:rPr>
                <w:rStyle w:val="Hyperlink"/>
              </w:rPr>
              <w:t>Case study 1 – Protecting small business truck owner-operators</w:t>
            </w:r>
            <w:r w:rsidR="007710DC">
              <w:rPr>
                <w:webHidden/>
              </w:rPr>
              <w:tab/>
            </w:r>
            <w:r w:rsidR="007710DC">
              <w:rPr>
                <w:webHidden/>
              </w:rPr>
              <w:fldChar w:fldCharType="begin"/>
            </w:r>
            <w:r w:rsidR="007710DC">
              <w:rPr>
                <w:webHidden/>
              </w:rPr>
              <w:instrText xml:space="preserve"> PAGEREF _Toc508968513 \h </w:instrText>
            </w:r>
            <w:r w:rsidR="007710DC">
              <w:rPr>
                <w:webHidden/>
              </w:rPr>
            </w:r>
            <w:r w:rsidR="007710DC">
              <w:rPr>
                <w:webHidden/>
              </w:rPr>
              <w:fldChar w:fldCharType="separate"/>
            </w:r>
            <w:r w:rsidR="007710DC">
              <w:rPr>
                <w:webHidden/>
              </w:rPr>
              <w:t>5</w:t>
            </w:r>
            <w:r w:rsidR="007710DC">
              <w:rPr>
                <w:webHidden/>
              </w:rPr>
              <w:fldChar w:fldCharType="end"/>
            </w:r>
          </w:hyperlink>
        </w:p>
        <w:p w14:paraId="353BF7FD" w14:textId="77777777" w:rsidR="007710DC" w:rsidRDefault="00F837D3">
          <w:pPr>
            <w:pStyle w:val="TOC2"/>
            <w:rPr>
              <w:rFonts w:eastAsiaTheme="minorEastAsia"/>
              <w:color w:val="auto"/>
              <w:lang w:eastAsia="en-AU"/>
            </w:rPr>
          </w:pPr>
          <w:hyperlink w:anchor="_Toc508968514" w:history="1">
            <w:r w:rsidR="007710DC" w:rsidRPr="00F94FB6">
              <w:rPr>
                <w:rStyle w:val="Hyperlink"/>
              </w:rPr>
              <w:t>Case study 2 – Complaint about an agricultural excavator</w:t>
            </w:r>
            <w:r w:rsidR="007710DC">
              <w:rPr>
                <w:webHidden/>
              </w:rPr>
              <w:tab/>
            </w:r>
            <w:r w:rsidR="007710DC">
              <w:rPr>
                <w:webHidden/>
              </w:rPr>
              <w:fldChar w:fldCharType="begin"/>
            </w:r>
            <w:r w:rsidR="007710DC">
              <w:rPr>
                <w:webHidden/>
              </w:rPr>
              <w:instrText xml:space="preserve"> PAGEREF _Toc508968514 \h </w:instrText>
            </w:r>
            <w:r w:rsidR="007710DC">
              <w:rPr>
                <w:webHidden/>
              </w:rPr>
            </w:r>
            <w:r w:rsidR="007710DC">
              <w:rPr>
                <w:webHidden/>
              </w:rPr>
              <w:fldChar w:fldCharType="separate"/>
            </w:r>
            <w:r w:rsidR="007710DC">
              <w:rPr>
                <w:webHidden/>
              </w:rPr>
              <w:t>7</w:t>
            </w:r>
            <w:r w:rsidR="007710DC">
              <w:rPr>
                <w:webHidden/>
              </w:rPr>
              <w:fldChar w:fldCharType="end"/>
            </w:r>
          </w:hyperlink>
        </w:p>
        <w:p w14:paraId="58A56473" w14:textId="77777777" w:rsidR="007710DC" w:rsidRDefault="00F837D3">
          <w:pPr>
            <w:pStyle w:val="TOC2"/>
            <w:rPr>
              <w:rFonts w:eastAsiaTheme="minorEastAsia"/>
              <w:color w:val="auto"/>
              <w:lang w:eastAsia="en-AU"/>
            </w:rPr>
          </w:pPr>
          <w:hyperlink w:anchor="_Toc508968515" w:history="1">
            <w:r w:rsidR="007710DC" w:rsidRPr="00F94FB6">
              <w:rPr>
                <w:rStyle w:val="Hyperlink"/>
              </w:rPr>
              <w:t>Case study 3 – A small business dispute about a water tank</w:t>
            </w:r>
            <w:r w:rsidR="007710DC">
              <w:rPr>
                <w:webHidden/>
              </w:rPr>
              <w:tab/>
            </w:r>
            <w:r w:rsidR="007710DC">
              <w:rPr>
                <w:webHidden/>
              </w:rPr>
              <w:fldChar w:fldCharType="begin"/>
            </w:r>
            <w:r w:rsidR="007710DC">
              <w:rPr>
                <w:webHidden/>
              </w:rPr>
              <w:instrText xml:space="preserve"> PAGEREF _Toc508968515 \h </w:instrText>
            </w:r>
            <w:r w:rsidR="007710DC">
              <w:rPr>
                <w:webHidden/>
              </w:rPr>
            </w:r>
            <w:r w:rsidR="007710DC">
              <w:rPr>
                <w:webHidden/>
              </w:rPr>
              <w:fldChar w:fldCharType="separate"/>
            </w:r>
            <w:r w:rsidR="007710DC">
              <w:rPr>
                <w:webHidden/>
              </w:rPr>
              <w:t>8</w:t>
            </w:r>
            <w:r w:rsidR="007710DC">
              <w:rPr>
                <w:webHidden/>
              </w:rPr>
              <w:fldChar w:fldCharType="end"/>
            </w:r>
          </w:hyperlink>
        </w:p>
        <w:p w14:paraId="5C0B6AD0" w14:textId="77777777" w:rsidR="007710DC" w:rsidRDefault="00F837D3">
          <w:pPr>
            <w:pStyle w:val="TOC2"/>
            <w:rPr>
              <w:rFonts w:eastAsiaTheme="minorEastAsia"/>
              <w:color w:val="auto"/>
              <w:lang w:eastAsia="en-AU"/>
            </w:rPr>
          </w:pPr>
          <w:hyperlink w:anchor="_Toc508968516" w:history="1">
            <w:r w:rsidR="007710DC" w:rsidRPr="00F94FB6">
              <w:rPr>
                <w:rStyle w:val="Hyperlink"/>
              </w:rPr>
              <w:t>Exclusion from the ACL: limited alternative recourse</w:t>
            </w:r>
            <w:r w:rsidR="007710DC">
              <w:rPr>
                <w:webHidden/>
              </w:rPr>
              <w:tab/>
            </w:r>
            <w:r w:rsidR="007710DC">
              <w:rPr>
                <w:webHidden/>
              </w:rPr>
              <w:fldChar w:fldCharType="begin"/>
            </w:r>
            <w:r w:rsidR="007710DC">
              <w:rPr>
                <w:webHidden/>
              </w:rPr>
              <w:instrText xml:space="preserve"> PAGEREF _Toc508968516 \h </w:instrText>
            </w:r>
            <w:r w:rsidR="007710DC">
              <w:rPr>
                <w:webHidden/>
              </w:rPr>
            </w:r>
            <w:r w:rsidR="007710DC">
              <w:rPr>
                <w:webHidden/>
              </w:rPr>
              <w:fldChar w:fldCharType="separate"/>
            </w:r>
            <w:r w:rsidR="007710DC">
              <w:rPr>
                <w:webHidden/>
              </w:rPr>
              <w:t>9</w:t>
            </w:r>
            <w:r w:rsidR="007710DC">
              <w:rPr>
                <w:webHidden/>
              </w:rPr>
              <w:fldChar w:fldCharType="end"/>
            </w:r>
          </w:hyperlink>
        </w:p>
        <w:p w14:paraId="3D0DA200" w14:textId="77777777" w:rsidR="007710DC" w:rsidRDefault="00F837D3">
          <w:pPr>
            <w:pStyle w:val="TOC1"/>
            <w:rPr>
              <w:rFonts w:eastAsiaTheme="minorEastAsia"/>
              <w:b w:val="0"/>
              <w:caps w:val="0"/>
              <w:color w:val="auto"/>
              <w:lang w:eastAsia="en-AU"/>
            </w:rPr>
          </w:pPr>
          <w:hyperlink w:anchor="_Toc508968517" w:history="1">
            <w:r w:rsidR="007710DC" w:rsidRPr="00F94FB6">
              <w:rPr>
                <w:rStyle w:val="Hyperlink"/>
              </w:rPr>
              <w:t>Policy objective</w:t>
            </w:r>
            <w:r w:rsidR="007710DC">
              <w:rPr>
                <w:webHidden/>
              </w:rPr>
              <w:tab/>
            </w:r>
            <w:r w:rsidR="007710DC">
              <w:rPr>
                <w:webHidden/>
              </w:rPr>
              <w:fldChar w:fldCharType="begin"/>
            </w:r>
            <w:r w:rsidR="007710DC">
              <w:rPr>
                <w:webHidden/>
              </w:rPr>
              <w:instrText xml:space="preserve"> PAGEREF _Toc508968517 \h </w:instrText>
            </w:r>
            <w:r w:rsidR="007710DC">
              <w:rPr>
                <w:webHidden/>
              </w:rPr>
            </w:r>
            <w:r w:rsidR="007710DC">
              <w:rPr>
                <w:webHidden/>
              </w:rPr>
              <w:fldChar w:fldCharType="separate"/>
            </w:r>
            <w:r w:rsidR="007710DC">
              <w:rPr>
                <w:webHidden/>
              </w:rPr>
              <w:t>11</w:t>
            </w:r>
            <w:r w:rsidR="007710DC">
              <w:rPr>
                <w:webHidden/>
              </w:rPr>
              <w:fldChar w:fldCharType="end"/>
            </w:r>
          </w:hyperlink>
        </w:p>
        <w:p w14:paraId="4F0CBE2E" w14:textId="77777777" w:rsidR="007710DC" w:rsidRDefault="00F837D3">
          <w:pPr>
            <w:pStyle w:val="TOC1"/>
            <w:rPr>
              <w:rFonts w:eastAsiaTheme="minorEastAsia"/>
              <w:b w:val="0"/>
              <w:caps w:val="0"/>
              <w:color w:val="auto"/>
              <w:lang w:eastAsia="en-AU"/>
            </w:rPr>
          </w:pPr>
          <w:hyperlink w:anchor="_Toc508968518" w:history="1">
            <w:r w:rsidR="007710DC" w:rsidRPr="00F94FB6">
              <w:rPr>
                <w:rStyle w:val="Hyperlink"/>
              </w:rPr>
              <w:t>Options and impact analysis</w:t>
            </w:r>
            <w:r w:rsidR="007710DC">
              <w:rPr>
                <w:webHidden/>
              </w:rPr>
              <w:tab/>
            </w:r>
            <w:r w:rsidR="007710DC">
              <w:rPr>
                <w:webHidden/>
              </w:rPr>
              <w:fldChar w:fldCharType="begin"/>
            </w:r>
            <w:r w:rsidR="007710DC">
              <w:rPr>
                <w:webHidden/>
              </w:rPr>
              <w:instrText xml:space="preserve"> PAGEREF _Toc508968518 \h </w:instrText>
            </w:r>
            <w:r w:rsidR="007710DC">
              <w:rPr>
                <w:webHidden/>
              </w:rPr>
            </w:r>
            <w:r w:rsidR="007710DC">
              <w:rPr>
                <w:webHidden/>
              </w:rPr>
              <w:fldChar w:fldCharType="separate"/>
            </w:r>
            <w:r w:rsidR="007710DC">
              <w:rPr>
                <w:webHidden/>
              </w:rPr>
              <w:t>12</w:t>
            </w:r>
            <w:r w:rsidR="007710DC">
              <w:rPr>
                <w:webHidden/>
              </w:rPr>
              <w:fldChar w:fldCharType="end"/>
            </w:r>
          </w:hyperlink>
        </w:p>
        <w:p w14:paraId="36E8BEEE" w14:textId="77777777" w:rsidR="007710DC" w:rsidRDefault="00F837D3">
          <w:pPr>
            <w:pStyle w:val="TOC2"/>
            <w:rPr>
              <w:rFonts w:eastAsiaTheme="minorEastAsia"/>
              <w:color w:val="auto"/>
              <w:lang w:eastAsia="en-AU"/>
            </w:rPr>
          </w:pPr>
          <w:hyperlink w:anchor="_Toc508968519" w:history="1">
            <w:r w:rsidR="007710DC" w:rsidRPr="00F94FB6">
              <w:rPr>
                <w:rStyle w:val="Hyperlink"/>
              </w:rPr>
              <w:t>Option 1: Maintain the Status quo</w:t>
            </w:r>
            <w:r w:rsidR="007710DC">
              <w:rPr>
                <w:webHidden/>
              </w:rPr>
              <w:tab/>
            </w:r>
            <w:r w:rsidR="007710DC">
              <w:rPr>
                <w:webHidden/>
              </w:rPr>
              <w:fldChar w:fldCharType="begin"/>
            </w:r>
            <w:r w:rsidR="007710DC">
              <w:rPr>
                <w:webHidden/>
              </w:rPr>
              <w:instrText xml:space="preserve"> PAGEREF _Toc508968519 \h </w:instrText>
            </w:r>
            <w:r w:rsidR="007710DC">
              <w:rPr>
                <w:webHidden/>
              </w:rPr>
            </w:r>
            <w:r w:rsidR="007710DC">
              <w:rPr>
                <w:webHidden/>
              </w:rPr>
              <w:fldChar w:fldCharType="separate"/>
            </w:r>
            <w:r w:rsidR="007710DC">
              <w:rPr>
                <w:webHidden/>
              </w:rPr>
              <w:t>12</w:t>
            </w:r>
            <w:r w:rsidR="007710DC">
              <w:rPr>
                <w:webHidden/>
              </w:rPr>
              <w:fldChar w:fldCharType="end"/>
            </w:r>
          </w:hyperlink>
        </w:p>
        <w:p w14:paraId="19F19099" w14:textId="77777777" w:rsidR="007710DC" w:rsidRDefault="00F837D3">
          <w:pPr>
            <w:pStyle w:val="TOC2"/>
            <w:rPr>
              <w:rFonts w:eastAsiaTheme="minorEastAsia"/>
              <w:color w:val="auto"/>
              <w:lang w:eastAsia="en-AU"/>
            </w:rPr>
          </w:pPr>
          <w:hyperlink w:anchor="_Toc508968520" w:history="1">
            <w:r w:rsidR="007710DC" w:rsidRPr="00F94FB6">
              <w:rPr>
                <w:rStyle w:val="Hyperlink"/>
              </w:rPr>
              <w:t>Option 2: Increase the threshold in the definition of consumer from $40,000 to $100,000</w:t>
            </w:r>
            <w:r w:rsidR="007710DC">
              <w:rPr>
                <w:webHidden/>
              </w:rPr>
              <w:tab/>
            </w:r>
            <w:r w:rsidR="007710DC">
              <w:rPr>
                <w:webHidden/>
              </w:rPr>
              <w:fldChar w:fldCharType="begin"/>
            </w:r>
            <w:r w:rsidR="007710DC">
              <w:rPr>
                <w:webHidden/>
              </w:rPr>
              <w:instrText xml:space="preserve"> PAGEREF _Toc508968520 \h </w:instrText>
            </w:r>
            <w:r w:rsidR="007710DC">
              <w:rPr>
                <w:webHidden/>
              </w:rPr>
            </w:r>
            <w:r w:rsidR="007710DC">
              <w:rPr>
                <w:webHidden/>
              </w:rPr>
              <w:fldChar w:fldCharType="separate"/>
            </w:r>
            <w:r w:rsidR="007710DC">
              <w:rPr>
                <w:webHidden/>
              </w:rPr>
              <w:t>13</w:t>
            </w:r>
            <w:r w:rsidR="007710DC">
              <w:rPr>
                <w:webHidden/>
              </w:rPr>
              <w:fldChar w:fldCharType="end"/>
            </w:r>
          </w:hyperlink>
        </w:p>
        <w:p w14:paraId="6344F2C7" w14:textId="77777777" w:rsidR="007710DC" w:rsidRDefault="00F837D3">
          <w:pPr>
            <w:pStyle w:val="TOC2"/>
            <w:rPr>
              <w:rFonts w:eastAsiaTheme="minorEastAsia"/>
              <w:color w:val="auto"/>
              <w:lang w:eastAsia="en-AU"/>
            </w:rPr>
          </w:pPr>
          <w:hyperlink w:anchor="_Toc508968521" w:history="1">
            <w:r w:rsidR="007710DC" w:rsidRPr="00F94FB6">
              <w:rPr>
                <w:rStyle w:val="Hyperlink"/>
              </w:rPr>
              <w:t>Option 3: Increase the threshold in the definition of consumer from $40,000 to $100,000 and apply indexation</w:t>
            </w:r>
            <w:r w:rsidR="007710DC">
              <w:rPr>
                <w:webHidden/>
              </w:rPr>
              <w:tab/>
            </w:r>
            <w:r w:rsidR="007710DC">
              <w:rPr>
                <w:webHidden/>
              </w:rPr>
              <w:fldChar w:fldCharType="begin"/>
            </w:r>
            <w:r w:rsidR="007710DC">
              <w:rPr>
                <w:webHidden/>
              </w:rPr>
              <w:instrText xml:space="preserve"> PAGEREF _Toc508968521 \h </w:instrText>
            </w:r>
            <w:r w:rsidR="007710DC">
              <w:rPr>
                <w:webHidden/>
              </w:rPr>
            </w:r>
            <w:r w:rsidR="007710DC">
              <w:rPr>
                <w:webHidden/>
              </w:rPr>
              <w:fldChar w:fldCharType="separate"/>
            </w:r>
            <w:r w:rsidR="007710DC">
              <w:rPr>
                <w:webHidden/>
              </w:rPr>
              <w:t>14</w:t>
            </w:r>
            <w:r w:rsidR="007710DC">
              <w:rPr>
                <w:webHidden/>
              </w:rPr>
              <w:fldChar w:fldCharType="end"/>
            </w:r>
          </w:hyperlink>
        </w:p>
        <w:p w14:paraId="6722BB25" w14:textId="77777777" w:rsidR="007710DC" w:rsidRDefault="00F837D3">
          <w:pPr>
            <w:pStyle w:val="TOC1"/>
            <w:rPr>
              <w:rFonts w:eastAsiaTheme="minorEastAsia"/>
              <w:b w:val="0"/>
              <w:caps w:val="0"/>
              <w:color w:val="auto"/>
              <w:lang w:eastAsia="en-AU"/>
            </w:rPr>
          </w:pPr>
          <w:hyperlink w:anchor="_Toc508968522" w:history="1">
            <w:r w:rsidR="007710DC" w:rsidRPr="00F94FB6">
              <w:rPr>
                <w:rStyle w:val="Hyperlink"/>
              </w:rPr>
              <w:t>Focus questions</w:t>
            </w:r>
            <w:r w:rsidR="007710DC">
              <w:rPr>
                <w:webHidden/>
              </w:rPr>
              <w:tab/>
            </w:r>
            <w:r w:rsidR="007710DC">
              <w:rPr>
                <w:webHidden/>
              </w:rPr>
              <w:fldChar w:fldCharType="begin"/>
            </w:r>
            <w:r w:rsidR="007710DC">
              <w:rPr>
                <w:webHidden/>
              </w:rPr>
              <w:instrText xml:space="preserve"> PAGEREF _Toc508968522 \h </w:instrText>
            </w:r>
            <w:r w:rsidR="007710DC">
              <w:rPr>
                <w:webHidden/>
              </w:rPr>
            </w:r>
            <w:r w:rsidR="007710DC">
              <w:rPr>
                <w:webHidden/>
              </w:rPr>
              <w:fldChar w:fldCharType="separate"/>
            </w:r>
            <w:r w:rsidR="007710DC">
              <w:rPr>
                <w:webHidden/>
              </w:rPr>
              <w:t>17</w:t>
            </w:r>
            <w:r w:rsidR="007710DC">
              <w:rPr>
                <w:webHidden/>
              </w:rPr>
              <w:fldChar w:fldCharType="end"/>
            </w:r>
          </w:hyperlink>
        </w:p>
        <w:p w14:paraId="730A61C4" w14:textId="463F84B8" w:rsidR="00594197" w:rsidRPr="0078596D" w:rsidRDefault="00594197" w:rsidP="0078596D">
          <w:pPr>
            <w:pStyle w:val="TOC2"/>
            <w:rPr>
              <w:b/>
            </w:rPr>
          </w:pPr>
          <w:r w:rsidRPr="00594197">
            <w:fldChar w:fldCharType="end"/>
          </w:r>
        </w:p>
      </w:sdtContent>
    </w:sdt>
    <w:p w14:paraId="2881057A" w14:textId="77777777" w:rsidR="00594197" w:rsidRPr="00594197" w:rsidRDefault="00594197" w:rsidP="00594197"/>
    <w:p w14:paraId="79D3AA29" w14:textId="77777777" w:rsidR="00050D6E" w:rsidRDefault="00050D6E" w:rsidP="00594197">
      <w:pPr>
        <w:sectPr w:rsidR="00050D6E" w:rsidSect="00594197">
          <w:type w:val="oddPage"/>
          <w:pgSz w:w="11906" w:h="16838"/>
          <w:pgMar w:top="1440" w:right="1440" w:bottom="1440" w:left="1440" w:header="708" w:footer="708" w:gutter="0"/>
          <w:cols w:space="708"/>
          <w:titlePg/>
          <w:docGrid w:linePitch="360"/>
        </w:sectPr>
      </w:pPr>
    </w:p>
    <w:p w14:paraId="7FA06344" w14:textId="77777777" w:rsidR="00C76BF1" w:rsidRPr="00594197" w:rsidRDefault="00C76BF1" w:rsidP="00594197">
      <w:pPr>
        <w:pStyle w:val="Heading1-NoNumber"/>
      </w:pPr>
      <w:bookmarkStart w:id="1" w:name="_Toc501357973"/>
      <w:bookmarkStart w:id="2" w:name="_Toc501357972"/>
      <w:bookmarkStart w:id="3" w:name="_Toc507753705"/>
      <w:bookmarkStart w:id="4" w:name="_Toc507770060"/>
      <w:bookmarkStart w:id="5" w:name="_Toc508968507"/>
      <w:bookmarkEnd w:id="1"/>
      <w:r w:rsidRPr="00594197">
        <w:t>Executive Summary</w:t>
      </w:r>
      <w:bookmarkEnd w:id="2"/>
      <w:bookmarkEnd w:id="3"/>
      <w:bookmarkEnd w:id="4"/>
      <w:bookmarkEnd w:id="5"/>
    </w:p>
    <w:p w14:paraId="470D11BA" w14:textId="684A29BF" w:rsidR="00C76BF1" w:rsidRPr="00594197" w:rsidRDefault="00C76BF1" w:rsidP="00594197">
      <w:r w:rsidRPr="00594197">
        <w:t xml:space="preserve">The Australian Consumer Law (ACL) contains </w:t>
      </w:r>
      <w:r w:rsidR="00076591" w:rsidRPr="00594197">
        <w:t>a number of definitions</w:t>
      </w:r>
      <w:r w:rsidRPr="00594197">
        <w:t xml:space="preserve"> of who is and is not a ‘consumer’ for the purposes of the legislation, each of which is independent from the other. The application of many (but not all) ACL consumer protection provisions is contingent upon a claimant establishing that they are a ‘consum</w:t>
      </w:r>
      <w:r w:rsidR="00594197">
        <w:t>er’ as defined by the ACL.</w:t>
      </w:r>
    </w:p>
    <w:p w14:paraId="5B6DE74F" w14:textId="5B1D79D5" w:rsidR="00C76BF1" w:rsidRPr="00594197" w:rsidRDefault="00C76BF1" w:rsidP="00594197">
      <w:r w:rsidRPr="00594197">
        <w:t>One of the definition</w:t>
      </w:r>
      <w:r w:rsidR="0044182F" w:rsidRPr="00594197">
        <w:t>s</w:t>
      </w:r>
      <w:r w:rsidRPr="00594197">
        <w:t xml:space="preserve"> states that a person is a ‘consumer’ if they acquire goods or services that do not exceed the monetary</w:t>
      </w:r>
      <w:r w:rsidR="00705E03">
        <w:t xml:space="preserve"> threshold of $40,000.</w:t>
      </w:r>
    </w:p>
    <w:p w14:paraId="224F9A44" w14:textId="3F4523B3" w:rsidR="00C76BF1" w:rsidRDefault="00994148" w:rsidP="00594197">
      <w:r>
        <w:t xml:space="preserve">In </w:t>
      </w:r>
      <w:r w:rsidR="00C76BF1">
        <w:t>2017</w:t>
      </w:r>
      <w:r>
        <w:t>, the</w:t>
      </w:r>
      <w:r w:rsidR="00C76BF1">
        <w:t xml:space="preserve"> </w:t>
      </w:r>
      <w:r w:rsidR="00653A3F">
        <w:t>ACL</w:t>
      </w:r>
      <w:r w:rsidR="00C76BF1">
        <w:t xml:space="preserve"> Review</w:t>
      </w:r>
      <w:r>
        <w:t xml:space="preserve"> Final Report</w:t>
      </w:r>
      <w:r w:rsidR="00C76BF1">
        <w:t xml:space="preserve"> (the Review) found that the extent of consumer</w:t>
      </w:r>
      <w:r w:rsidR="00653A3F">
        <w:t xml:space="preserve"> and small business</w:t>
      </w:r>
      <w:r w:rsidR="00C76BF1">
        <w:t xml:space="preserve"> protection</w:t>
      </w:r>
      <w:r w:rsidR="00653A3F">
        <w:t xml:space="preserve"> provided by the ACL</w:t>
      </w:r>
      <w:r w:rsidR="00C76BF1">
        <w:t xml:space="preserve"> </w:t>
      </w:r>
      <w:r w:rsidR="002A60BF">
        <w:t>had</w:t>
      </w:r>
      <w:r w:rsidR="00653A3F">
        <w:t xml:space="preserve"> </w:t>
      </w:r>
      <w:r w:rsidR="00C76BF1">
        <w:t>eroded over time, as the real value of the monetary threshold of $40,000 in the ACL’s definition of ‘consumer’ declined.</w:t>
      </w:r>
      <w:r w:rsidR="0044182F">
        <w:t xml:space="preserve"> As a result,</w:t>
      </w:r>
      <w:r w:rsidR="00C76BF1">
        <w:t xml:space="preserve"> </w:t>
      </w:r>
      <w:r w:rsidR="0044182F">
        <w:t xml:space="preserve">the </w:t>
      </w:r>
      <w:r w:rsidR="00C76BF1">
        <w:t>scope of purchases protected by the ACL has diminished, and the definition</w:t>
      </w:r>
      <w:r w:rsidR="00653A3F">
        <w:t xml:space="preserve"> is</w:t>
      </w:r>
      <w:r w:rsidR="00C76BF1">
        <w:t xml:space="preserve"> no longer fit for purpose. The Review proposed that the $40,000 threshold be increased to $100,000</w:t>
      </w:r>
      <w:r w:rsidR="00E1307B">
        <w:t xml:space="preserve"> to broadly account for inflation since the threshold was set in 1986.</w:t>
      </w:r>
    </w:p>
    <w:p w14:paraId="62DDF100" w14:textId="4D528C71" w:rsidR="00C76BF1" w:rsidRDefault="00C76BF1" w:rsidP="00594197">
      <w:r>
        <w:t xml:space="preserve">This chapter is a consultation regulatory impact statement (RIS) on three options which aim to ensure that the </w:t>
      </w:r>
      <w:r w:rsidR="001E108D">
        <w:t xml:space="preserve">monetary threshold </w:t>
      </w:r>
      <w:r>
        <w:t>remains fit for purpose, and that eligible consumers</w:t>
      </w:r>
      <w:r w:rsidR="00653A3F">
        <w:t>, including small businesses,</w:t>
      </w:r>
      <w:r>
        <w:t xml:space="preserve"> remain protected by the ACL regime. The Review’s proposal to increase the threshold is one of these options (Option 2). The remaining options are to maintain the status quo (Option 1) or to increase the threshold from $40,000 to $100,000 and apply indexation (Option 3).</w:t>
      </w:r>
    </w:p>
    <w:p w14:paraId="3B371DF7" w14:textId="05A5E2B6" w:rsidR="00C70CD6" w:rsidRPr="0078596D" w:rsidRDefault="00C76BF1" w:rsidP="00705E03">
      <w:pPr>
        <w:rPr>
          <w:lang w:val="en-US" w:eastAsia="ja-JP"/>
        </w:rPr>
      </w:pPr>
      <w:r>
        <w:rPr>
          <w:lang w:val="en-US" w:eastAsia="ja-JP"/>
        </w:rPr>
        <w:t>V</w:t>
      </w:r>
      <w:r w:rsidRPr="005E355E">
        <w:rPr>
          <w:lang w:val="en-US" w:eastAsia="ja-JP"/>
        </w:rPr>
        <w:t>iews are sought on these options – including whether they would address the problem, how effective they would be and what impact</w:t>
      </w:r>
      <w:r>
        <w:rPr>
          <w:lang w:val="en-US" w:eastAsia="ja-JP"/>
        </w:rPr>
        <w:t xml:space="preserve">s they would have. </w:t>
      </w:r>
      <w:r w:rsidR="00994148">
        <w:rPr>
          <w:lang w:val="en-US" w:eastAsia="ja-JP"/>
        </w:rPr>
        <w:t>Consumer Affairs Australia and New</w:t>
      </w:r>
      <w:r w:rsidR="00D323BD">
        <w:rPr>
          <w:lang w:val="en-US" w:eastAsia="ja-JP"/>
        </w:rPr>
        <w:t> </w:t>
      </w:r>
      <w:r w:rsidR="00994148">
        <w:rPr>
          <w:lang w:val="en-US" w:eastAsia="ja-JP"/>
        </w:rPr>
        <w:t xml:space="preserve">Zealand </w:t>
      </w:r>
      <w:r>
        <w:rPr>
          <w:lang w:val="en-US" w:eastAsia="ja-JP"/>
        </w:rPr>
        <w:t>also welcomes v</w:t>
      </w:r>
      <w:r w:rsidRPr="005E355E">
        <w:rPr>
          <w:lang w:val="en-US" w:eastAsia="ja-JP"/>
        </w:rPr>
        <w:t xml:space="preserve">iews on any alternative options for </w:t>
      </w:r>
      <w:r>
        <w:rPr>
          <w:lang w:val="en-US" w:eastAsia="ja-JP"/>
        </w:rPr>
        <w:t>ensuring that the ACL’s definition of ‘con</w:t>
      </w:r>
      <w:r w:rsidR="00705E03">
        <w:rPr>
          <w:lang w:val="en-US" w:eastAsia="ja-JP"/>
        </w:rPr>
        <w:t>sumer’ remains fit for purpose.</w:t>
      </w:r>
    </w:p>
    <w:p w14:paraId="47B0EAD3" w14:textId="1503457C" w:rsidR="00705E03" w:rsidRDefault="00705E03" w:rsidP="00705E03"/>
    <w:p w14:paraId="41D3D952" w14:textId="77777777" w:rsidR="00705E03" w:rsidRDefault="00705E03" w:rsidP="00705E03"/>
    <w:p w14:paraId="76CA540A" w14:textId="77777777" w:rsidR="00545D74" w:rsidRDefault="00545D74" w:rsidP="00705E03">
      <w:pPr>
        <w:sectPr w:rsidR="00545D74" w:rsidSect="00050D6E">
          <w:footerReference w:type="first" r:id="rId24"/>
          <w:type w:val="oddPage"/>
          <w:pgSz w:w="11906" w:h="16838"/>
          <w:pgMar w:top="1440" w:right="1440" w:bottom="1440" w:left="1440" w:header="708" w:footer="708" w:gutter="0"/>
          <w:pgNumType w:start="1"/>
          <w:cols w:space="708"/>
          <w:titlePg/>
          <w:docGrid w:linePitch="360"/>
        </w:sectPr>
      </w:pPr>
    </w:p>
    <w:p w14:paraId="56C0A772" w14:textId="392E7253" w:rsidR="00B1683A" w:rsidRPr="00594197" w:rsidRDefault="00B1683A" w:rsidP="00594197">
      <w:pPr>
        <w:pStyle w:val="Heading1-NoNumber"/>
      </w:pPr>
      <w:bookmarkStart w:id="6" w:name="_Toc507753706"/>
      <w:bookmarkStart w:id="7" w:name="_Toc507770061"/>
      <w:bookmarkStart w:id="8" w:name="_Toc508968508"/>
      <w:r w:rsidRPr="00594197">
        <w:t>Introduction</w:t>
      </w:r>
      <w:bookmarkEnd w:id="6"/>
      <w:bookmarkEnd w:id="7"/>
      <w:bookmarkEnd w:id="8"/>
    </w:p>
    <w:p w14:paraId="793B8262" w14:textId="77777777" w:rsidR="00C70CD6" w:rsidRPr="00705E03" w:rsidRDefault="00C70CD6" w:rsidP="00705E03">
      <w:pPr>
        <w:pStyle w:val="Heading2-NoNumbered"/>
      </w:pPr>
      <w:bookmarkStart w:id="9" w:name="_Toc507753707"/>
      <w:bookmarkStart w:id="10" w:name="_Toc507770062"/>
      <w:bookmarkStart w:id="11" w:name="_Toc508968509"/>
      <w:r w:rsidRPr="00705E03">
        <w:t>The existing legislative framework</w:t>
      </w:r>
      <w:bookmarkEnd w:id="9"/>
      <w:bookmarkEnd w:id="10"/>
      <w:bookmarkEnd w:id="11"/>
    </w:p>
    <w:p w14:paraId="09154CE5" w14:textId="34B47FB8" w:rsidR="00690F1A" w:rsidRDefault="00690F1A" w:rsidP="00705E03">
      <w:pPr>
        <w:pStyle w:val="OutlineNumbered1"/>
      </w:pPr>
      <w:bookmarkStart w:id="12" w:name="tempbookmark"/>
      <w:bookmarkEnd w:id="12"/>
      <w:r>
        <w:t>Section</w:t>
      </w:r>
      <w:r w:rsidR="00816C1C">
        <w:t xml:space="preserve"> 3(1)</w:t>
      </w:r>
      <w:r>
        <w:t xml:space="preserve"> of the ACL defines a consumer as someone who acquires goods in any of the thr</w:t>
      </w:r>
      <w:r w:rsidR="00705E03">
        <w:t>ee circumstances set out below.</w:t>
      </w:r>
    </w:p>
    <w:p w14:paraId="5BB17FB5" w14:textId="31AEDC33" w:rsidR="00730C74" w:rsidRDefault="00C70CD6" w:rsidP="00705E03">
      <w:pPr>
        <w:pStyle w:val="OutlineNumbered1"/>
      </w:pPr>
      <w:r>
        <w:t xml:space="preserve">The first </w:t>
      </w:r>
      <w:r w:rsidR="00690F1A">
        <w:t>situation</w:t>
      </w:r>
      <w:r>
        <w:t>, which is the focus of this RIS chapter,</w:t>
      </w:r>
      <w:r w:rsidR="00690F1A">
        <w:t xml:space="preserve"> involves a person acquiring goods or services that </w:t>
      </w:r>
      <w:r>
        <w:t>do not exceed the monetary threshold of $40,000.</w:t>
      </w:r>
      <w:r w:rsidR="005C20F8">
        <w:t xml:space="preserve"> Section 3(3)(a) adopts a similar definition for </w:t>
      </w:r>
      <w:r w:rsidR="007B60B1">
        <w:t xml:space="preserve">a consumer </w:t>
      </w:r>
      <w:r w:rsidR="005C20F8">
        <w:t>acquiring services.</w:t>
      </w:r>
      <w:r>
        <w:t xml:space="preserve"> </w:t>
      </w:r>
      <w:r w:rsidR="00A91F47">
        <w:t>T</w:t>
      </w:r>
      <w:r>
        <w:t>he inclusion of the monetary threshold was intended to broaden the group of consumers who were protected under the regime, with specific emphasis on protecting small businesses.</w:t>
      </w:r>
      <w:r w:rsidR="00A15BB0">
        <w:t xml:space="preserve"> </w:t>
      </w:r>
      <w:r w:rsidR="008542BD">
        <w:t>This</w:t>
      </w:r>
      <w:r w:rsidR="007B60B1">
        <w:t xml:space="preserve"> situation</w:t>
      </w:r>
      <w:r w:rsidR="008542BD">
        <w:t xml:space="preserve"> also covers purchases of commercial products not exceeding $40,000 for personal use by a consumer.</w:t>
      </w:r>
    </w:p>
    <w:p w14:paraId="51D2B3D4" w14:textId="6473FA37" w:rsidR="0034772A" w:rsidRDefault="00C70CD6" w:rsidP="00705E03">
      <w:pPr>
        <w:pStyle w:val="OutlineNumbered1"/>
      </w:pPr>
      <w:r>
        <w:t xml:space="preserve">The second </w:t>
      </w:r>
      <w:r w:rsidR="00B33801">
        <w:t xml:space="preserve">situation </w:t>
      </w:r>
      <w:r w:rsidR="00857A58">
        <w:t xml:space="preserve">involves a person acquiring goods or services of a kind ordinarily acquired </w:t>
      </w:r>
      <w:r w:rsidR="00657726">
        <w:t xml:space="preserve">for </w:t>
      </w:r>
      <w:r>
        <w:t xml:space="preserve">personal, domestic or household use or consumption. There is no monetary threshold set for this </w:t>
      </w:r>
      <w:r w:rsidR="0034772A">
        <w:t>situation</w:t>
      </w:r>
      <w:r w:rsidR="00705E03">
        <w:t>.</w:t>
      </w:r>
    </w:p>
    <w:p w14:paraId="5267885C" w14:textId="2425D744" w:rsidR="00730C74" w:rsidRDefault="00C70CD6" w:rsidP="00705E03">
      <w:pPr>
        <w:pStyle w:val="OutlineNumbered1"/>
      </w:pPr>
      <w:r>
        <w:t xml:space="preserve">The third </w:t>
      </w:r>
      <w:r w:rsidR="0034772A">
        <w:t xml:space="preserve">situation involves a person acquiring </w:t>
      </w:r>
      <w:r>
        <w:t>a vehicle or trailer for transporting goods on public roads.</w:t>
      </w:r>
    </w:p>
    <w:p w14:paraId="14281E0C" w14:textId="44F57C7A" w:rsidR="00C70CD6" w:rsidRDefault="00C70CD6" w:rsidP="00705E03">
      <w:pPr>
        <w:pStyle w:val="OutlineNumbered1"/>
      </w:pPr>
      <w:r>
        <w:t>Under subsection 3(2),</w:t>
      </w:r>
      <w:r w:rsidR="00933AB8">
        <w:t xml:space="preserve"> in order to fall within the definition of ‘consumer’</w:t>
      </w:r>
      <w:r w:rsidR="007B5E2E">
        <w:t>,</w:t>
      </w:r>
      <w:r>
        <w:t xml:space="preserve"> the goods or services acquired must not be used for any of the </w:t>
      </w:r>
      <w:r w:rsidR="004C0419">
        <w:t xml:space="preserve">following </w:t>
      </w:r>
      <w:r>
        <w:t>purposes:</w:t>
      </w:r>
    </w:p>
    <w:p w14:paraId="62157E2F" w14:textId="77777777" w:rsidR="00C70CD6" w:rsidRPr="00705E03" w:rsidRDefault="00C70CD6" w:rsidP="00705E03">
      <w:pPr>
        <w:pStyle w:val="AlphaParagraph-Indent"/>
      </w:pPr>
      <w:r w:rsidRPr="00705E03">
        <w:t>Resupply; or</w:t>
      </w:r>
    </w:p>
    <w:p w14:paraId="6D96CA61" w14:textId="77777777" w:rsidR="00C70CD6" w:rsidRPr="00705E03" w:rsidRDefault="00C70CD6" w:rsidP="00705E03">
      <w:pPr>
        <w:pStyle w:val="AlphaParagraph-Indent"/>
      </w:pPr>
      <w:r w:rsidRPr="00705E03">
        <w:t>Using them up or transforming them, in trade or commerce: in the course of production or manufacture, or in the course of repairing or treating other goods or fixtures on land.</w:t>
      </w:r>
    </w:p>
    <w:p w14:paraId="07297B29" w14:textId="783D4793" w:rsidR="00076591" w:rsidRDefault="00C70CD6" w:rsidP="00705E03">
      <w:pPr>
        <w:pStyle w:val="OutlineNumbered1"/>
      </w:pPr>
      <w:r>
        <w:t>For example, a small business acquires an excavator for $</w:t>
      </w:r>
      <w:r w:rsidR="007B5E2E">
        <w:t>30</w:t>
      </w:r>
      <w:r>
        <w:t>,000 for the purpose of on-sale (as</w:t>
      </w:r>
      <w:r w:rsidR="00705E03">
        <w:t> </w:t>
      </w:r>
      <w:r>
        <w:t>opposed to us</w:t>
      </w:r>
      <w:r w:rsidR="007B5E2E">
        <w:t>ing</w:t>
      </w:r>
      <w:r>
        <w:t xml:space="preserve"> in</w:t>
      </w:r>
      <w:r w:rsidR="007B5E2E">
        <w:t xml:space="preserve"> </w:t>
      </w:r>
      <w:r>
        <w:t>the course of</w:t>
      </w:r>
      <w:r w:rsidR="007B5E2E">
        <w:t xml:space="preserve"> its</w:t>
      </w:r>
      <w:r>
        <w:t xml:space="preserve"> business)</w:t>
      </w:r>
      <w:r w:rsidR="004C0419">
        <w:t>. Although the purchase is</w:t>
      </w:r>
      <w:r w:rsidR="007B5E2E">
        <w:t xml:space="preserve"> under the $40,000</w:t>
      </w:r>
      <w:r w:rsidR="00705E03">
        <w:t> </w:t>
      </w:r>
      <w:r w:rsidR="007B5E2E">
        <w:t>threshold and so appears to fall within the definition of ‘consumer’, because the excavator was purchased for the purpose of re-supply, the transaction is excluded from the definition of ‘consumer’.</w:t>
      </w:r>
    </w:p>
    <w:p w14:paraId="593B54B7" w14:textId="082F6042" w:rsidR="00C70CD6" w:rsidRDefault="00E534EF" w:rsidP="00705E03">
      <w:pPr>
        <w:pStyle w:val="OutlineNumbered1"/>
      </w:pPr>
      <w:r>
        <w:t>As the consumer guarantees are key and commonly used rights, it is important that the definition of</w:t>
      </w:r>
      <w:r w:rsidR="00926FAE">
        <w:t xml:space="preserve"> ‘consumer’ continues to be fit for purpose so individual and small business consumers</w:t>
      </w:r>
      <w:r w:rsidR="004C0419">
        <w:t xml:space="preserve"> continue to</w:t>
      </w:r>
      <w:r w:rsidR="00926FAE">
        <w:t xml:space="preserve"> receive the protection that they are entitled to</w:t>
      </w:r>
      <w:r w:rsidR="00C70CD6">
        <w:t>.</w:t>
      </w:r>
    </w:p>
    <w:p w14:paraId="542DCC6B" w14:textId="77777777" w:rsidR="00C70CD6" w:rsidRPr="003A1FA5" w:rsidRDefault="00C70CD6" w:rsidP="00705E03">
      <w:pPr>
        <w:pStyle w:val="Heading2-NoNumbered"/>
      </w:pPr>
      <w:bookmarkStart w:id="13" w:name="_Toc507753708"/>
      <w:bookmarkStart w:id="14" w:name="_Toc507770063"/>
      <w:bookmarkStart w:id="15" w:name="_Toc508968510"/>
      <w:r w:rsidRPr="00164BB7">
        <w:t>The Australian Consumer Law Review</w:t>
      </w:r>
      <w:bookmarkEnd w:id="13"/>
      <w:bookmarkEnd w:id="14"/>
      <w:bookmarkEnd w:id="15"/>
    </w:p>
    <w:p w14:paraId="1828AF39" w14:textId="1DA702E7" w:rsidR="001E34B1" w:rsidRDefault="00C70CD6" w:rsidP="00705E03">
      <w:pPr>
        <w:pStyle w:val="OutlineNumbered1"/>
      </w:pPr>
      <w:r>
        <w:t xml:space="preserve">The Review noted that the monetary threshold of $40,000 in the definition of ‘consumer’ has not changed since the threshold was increased from $15,000 in 1986. The decline in the real value of the threshold means that certain purchases </w:t>
      </w:r>
      <w:r w:rsidR="00847D54">
        <w:t xml:space="preserve">not ordinarily made for personal, domestic or household use </w:t>
      </w:r>
      <w:r>
        <w:t>that were once within the ACL’s protection are no longer so protected. The Review proposed that the $40,000 threshold be increased to $100,000 to broadly account for inflation on the cost of goods and services since 1986.</w:t>
      </w:r>
    </w:p>
    <w:p w14:paraId="2CC5E86C" w14:textId="430EF9CF" w:rsidR="00705E03" w:rsidRDefault="00C70CD6" w:rsidP="00594197">
      <w:pPr>
        <w:pStyle w:val="OutlineNumbered1"/>
      </w:pPr>
      <w:r>
        <w:t xml:space="preserve">The Review involved two stages of public consultation. In both stages, the majority of responses that referenced the $40,000 threshold in the definition of ‘consumer’ supported </w:t>
      </w:r>
      <w:r w:rsidR="00705E03">
        <w:t>increasing the monetary amount.</w:t>
      </w:r>
    </w:p>
    <w:p w14:paraId="39FAF4B5" w14:textId="77777777" w:rsidR="00705E03" w:rsidRDefault="00705E03" w:rsidP="00594197"/>
    <w:p w14:paraId="13A9F4EC" w14:textId="77777777" w:rsidR="00D7436B" w:rsidRDefault="00D7436B" w:rsidP="00594197">
      <w:pPr>
        <w:sectPr w:rsidR="00D7436B" w:rsidSect="00545D74">
          <w:footerReference w:type="even" r:id="rId25"/>
          <w:footerReference w:type="first" r:id="rId26"/>
          <w:pgSz w:w="11906" w:h="16838"/>
          <w:pgMar w:top="1440" w:right="1440" w:bottom="1440" w:left="1440" w:header="709" w:footer="709" w:gutter="0"/>
          <w:cols w:space="708"/>
          <w:titlePg/>
          <w:docGrid w:linePitch="360"/>
        </w:sectPr>
      </w:pPr>
    </w:p>
    <w:p w14:paraId="625D30AF" w14:textId="531EFD67" w:rsidR="007C0174" w:rsidRPr="00777EFB" w:rsidRDefault="00777EFB" w:rsidP="00705E03">
      <w:pPr>
        <w:pStyle w:val="Heading1-NoNumber"/>
      </w:pPr>
      <w:bookmarkStart w:id="16" w:name="_Toc507753709"/>
      <w:bookmarkStart w:id="17" w:name="_Toc507770064"/>
      <w:bookmarkStart w:id="18" w:name="_Toc508968511"/>
      <w:r>
        <w:t>The Problem</w:t>
      </w:r>
      <w:bookmarkEnd w:id="16"/>
      <w:bookmarkEnd w:id="17"/>
      <w:bookmarkEnd w:id="18"/>
    </w:p>
    <w:tbl>
      <w:tblPr>
        <w:tblW w:w="92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886306" w14:paraId="0043D9C2" w14:textId="77777777" w:rsidTr="00705E03">
        <w:tc>
          <w:tcPr>
            <w:tcW w:w="9242" w:type="dxa"/>
            <w:shd w:val="clear" w:color="auto" w:fill="DBE5F1" w:themeFill="accent1" w:themeFillTint="33"/>
            <w:hideMark/>
          </w:tcPr>
          <w:p w14:paraId="27FF9AA3" w14:textId="77777777" w:rsidR="00886306" w:rsidRDefault="00886306" w:rsidP="002C5F42">
            <w:pPr>
              <w:pStyle w:val="BoxHeading"/>
            </w:pPr>
            <w:r w:rsidRPr="00705E03">
              <w:t>OVERVIEW</w:t>
            </w:r>
          </w:p>
          <w:p w14:paraId="13DC29FF" w14:textId="5C9A81F9" w:rsidR="00886306" w:rsidRPr="00886306" w:rsidRDefault="00886306" w:rsidP="00705E03">
            <w:pPr>
              <w:pStyle w:val="BoxText"/>
            </w:pPr>
            <w:r w:rsidRPr="00705E03">
              <w:t xml:space="preserve">The level of protection provided </w:t>
            </w:r>
            <w:r w:rsidR="00994148" w:rsidRPr="00705E03">
              <w:t xml:space="preserve">by the </w:t>
            </w:r>
            <w:r w:rsidRPr="00705E03">
              <w:t xml:space="preserve">$40,000 threshold </w:t>
            </w:r>
            <w:r w:rsidR="00994148" w:rsidRPr="00705E03">
              <w:t xml:space="preserve">in the definition of ‘consumer’ has eroded </w:t>
            </w:r>
            <w:r w:rsidRPr="00705E03">
              <w:t xml:space="preserve">since </w:t>
            </w:r>
            <w:r w:rsidR="00994148" w:rsidRPr="00705E03">
              <w:t xml:space="preserve">it was set in </w:t>
            </w:r>
            <w:r w:rsidRPr="00705E03">
              <w:t>1986. The decline in the real value of the threshold means that certain purchases not ordinarily made for personal, domestic or household use that were once covered under the ACL are no longer covered. The existing threshold may no longer be fit for purpose.</w:t>
            </w:r>
          </w:p>
        </w:tc>
      </w:tr>
    </w:tbl>
    <w:p w14:paraId="3DDF4EA6" w14:textId="77777777" w:rsidR="00886306" w:rsidRDefault="00886306" w:rsidP="00705E03">
      <w:pPr>
        <w:pStyle w:val="Singleparagraph"/>
      </w:pPr>
    </w:p>
    <w:p w14:paraId="15A003F9" w14:textId="35A6292D" w:rsidR="003A1FA5" w:rsidRDefault="002D0F7F" w:rsidP="00705E03">
      <w:pPr>
        <w:pStyle w:val="Heading2-NoNumbered"/>
      </w:pPr>
      <w:bookmarkStart w:id="19" w:name="_Toc507753710"/>
      <w:bookmarkStart w:id="20" w:name="_Toc507770065"/>
      <w:bookmarkStart w:id="21" w:name="_Toc508968512"/>
      <w:r>
        <w:t>The development of the mon</w:t>
      </w:r>
      <w:r w:rsidR="006C7054">
        <w:t>etary threshold: protecting small businesses</w:t>
      </w:r>
      <w:bookmarkEnd w:id="19"/>
      <w:bookmarkEnd w:id="20"/>
      <w:bookmarkEnd w:id="21"/>
    </w:p>
    <w:p w14:paraId="6F452AAC" w14:textId="67782343" w:rsidR="00E6757B" w:rsidRDefault="00E6757B" w:rsidP="00D7436B">
      <w:pPr>
        <w:pStyle w:val="OutlineNumbered1"/>
      </w:pPr>
      <w:r>
        <w:t xml:space="preserve">The history and development of the monetary threshold in </w:t>
      </w:r>
      <w:r w:rsidR="003172A1">
        <w:t>this</w:t>
      </w:r>
      <w:r>
        <w:t xml:space="preserve"> definition of ‘consumer’ demonstrates that lawmakers were conscious of the need to extend protection to small business </w:t>
      </w:r>
      <w:r w:rsidR="003172A1">
        <w:t>consumers</w:t>
      </w:r>
      <w:r>
        <w:t>.</w:t>
      </w:r>
      <w:r>
        <w:rPr>
          <w:rStyle w:val="FootnoteReference"/>
        </w:rPr>
        <w:footnoteReference w:id="2"/>
      </w:r>
    </w:p>
    <w:p w14:paraId="73E235E4" w14:textId="2DE085C9" w:rsidR="009D667D" w:rsidRPr="00D44A56" w:rsidRDefault="00356576" w:rsidP="00D7436B">
      <w:pPr>
        <w:pStyle w:val="OutlineNumbered1"/>
      </w:pPr>
      <w:r>
        <w:t>T</w:t>
      </w:r>
      <w:r w:rsidR="00951D90">
        <w:t xml:space="preserve">he 1976 </w:t>
      </w:r>
      <w:r w:rsidR="00951D90" w:rsidRPr="00951D90">
        <w:t>Trade</w:t>
      </w:r>
      <w:r w:rsidR="00951D90">
        <w:t xml:space="preserve"> Practices Act Review Committee Report </w:t>
      </w:r>
      <w:r w:rsidR="00241EA1">
        <w:t xml:space="preserve">(the </w:t>
      </w:r>
      <w:r w:rsidR="00241EA1" w:rsidRPr="00164335">
        <w:rPr>
          <w:i/>
        </w:rPr>
        <w:t>Swanson Report</w:t>
      </w:r>
      <w:r w:rsidR="00241EA1">
        <w:t xml:space="preserve">) was ‘strongly of the </w:t>
      </w:r>
      <w:r w:rsidR="00241EA1" w:rsidRPr="00AE7FDD">
        <w:t>view’ that consumer protections</w:t>
      </w:r>
      <w:r w:rsidR="009D667D" w:rsidRPr="00AE7FDD">
        <w:t xml:space="preserve"> should extend to </w:t>
      </w:r>
      <w:r w:rsidR="009D667D" w:rsidRPr="00D44A56">
        <w:t>‘a range of business transactions, particularly purchases by small businesses.’</w:t>
      </w:r>
      <w:r w:rsidR="009D667D" w:rsidRPr="00D44A56">
        <w:rPr>
          <w:rStyle w:val="FootnoteReference"/>
        </w:rPr>
        <w:footnoteReference w:id="3"/>
      </w:r>
      <w:r w:rsidR="00307A4F" w:rsidRPr="00D44A56">
        <w:t xml:space="preserve"> </w:t>
      </w:r>
      <w:r w:rsidR="00B72138">
        <w:t>In their view, t</w:t>
      </w:r>
      <w:r w:rsidR="00307A4F" w:rsidRPr="00D44A56">
        <w:t>his would address one of the functions of consumer protection laws, being</w:t>
      </w:r>
      <w:r w:rsidR="00AE7FDD" w:rsidRPr="00D44A56">
        <w:t xml:space="preserve"> ‘</w:t>
      </w:r>
      <w:r w:rsidR="00307A4F" w:rsidRPr="00D44A56">
        <w:t>to redress, between supplier and customer, inequalities in the technical expertise required to recognise, and the bargaining power to negotiate, a fair bargain.</w:t>
      </w:r>
      <w:r w:rsidR="00AE7FDD">
        <w:t>’</w:t>
      </w:r>
      <w:r w:rsidR="00AE7FDD">
        <w:rPr>
          <w:rStyle w:val="FootnoteReference"/>
        </w:rPr>
        <w:footnoteReference w:id="4"/>
      </w:r>
    </w:p>
    <w:p w14:paraId="5BE17DC5" w14:textId="6FFDB417" w:rsidR="007409B9" w:rsidRDefault="007C0174" w:rsidP="00D7436B">
      <w:pPr>
        <w:pStyle w:val="OutlineNumbered1"/>
      </w:pPr>
      <w:r>
        <w:t xml:space="preserve">The </w:t>
      </w:r>
      <w:r w:rsidRPr="00164335">
        <w:rPr>
          <w:i/>
        </w:rPr>
        <w:t>Trade Practices Amendment Act 1977</w:t>
      </w:r>
      <w:r>
        <w:t xml:space="preserve"> first introduced a</w:t>
      </w:r>
      <w:r w:rsidR="0083132B">
        <w:t xml:space="preserve"> </w:t>
      </w:r>
      <w:r w:rsidR="00536CA6">
        <w:t xml:space="preserve">monetary </w:t>
      </w:r>
      <w:r w:rsidR="0083132B">
        <w:t>threshold</w:t>
      </w:r>
      <w:r w:rsidR="00951D90">
        <w:t xml:space="preserve"> of $15,000. </w:t>
      </w:r>
      <w:r w:rsidR="00306F83">
        <w:t xml:space="preserve">According to the </w:t>
      </w:r>
      <w:r>
        <w:t>explanatory memorandum</w:t>
      </w:r>
      <w:r w:rsidR="00306F83">
        <w:t xml:space="preserve">, the </w:t>
      </w:r>
      <w:r w:rsidR="00C00A2A">
        <w:t xml:space="preserve">introduction of this threshold </w:t>
      </w:r>
      <w:r>
        <w:t xml:space="preserve">was to ‘permit parties to contract for a </w:t>
      </w:r>
      <w:r w:rsidRPr="00164335">
        <w:rPr>
          <w:b/>
        </w:rPr>
        <w:t xml:space="preserve">minimum </w:t>
      </w:r>
      <w:r w:rsidRPr="00F30919">
        <w:rPr>
          <w:b/>
        </w:rPr>
        <w:t>limitation on liability</w:t>
      </w:r>
      <w:r>
        <w:t xml:space="preserve">…in relation to goods or services not ordinarily acquired for personal, domestic or household use or consumption.’ The </w:t>
      </w:r>
      <w:r w:rsidR="00D8599C">
        <w:t>Bill</w:t>
      </w:r>
      <w:r>
        <w:t xml:space="preserve"> Digest noted that the definition was broadened for the benefit of </w:t>
      </w:r>
      <w:r w:rsidR="00BC4885">
        <w:t>‘</w:t>
      </w:r>
      <w:r>
        <w:t>small businessmen</w:t>
      </w:r>
      <w:r w:rsidR="00BC4885">
        <w:t>’</w:t>
      </w:r>
      <w:r>
        <w:t>.</w:t>
      </w:r>
    </w:p>
    <w:p w14:paraId="6CF08332" w14:textId="52332210" w:rsidR="000C4E35" w:rsidRDefault="007C0174" w:rsidP="00D7436B">
      <w:pPr>
        <w:pStyle w:val="OutlineNumbered1"/>
      </w:pPr>
      <w:r>
        <w:t xml:space="preserve">In 1986, the </w:t>
      </w:r>
      <w:r w:rsidRPr="00164335">
        <w:rPr>
          <w:i/>
        </w:rPr>
        <w:t>Trade P</w:t>
      </w:r>
      <w:r w:rsidRPr="00F30919">
        <w:rPr>
          <w:i/>
        </w:rPr>
        <w:t>ractices Revision Act</w:t>
      </w:r>
      <w:r w:rsidR="00607D3C" w:rsidRPr="00F30919">
        <w:rPr>
          <w:i/>
        </w:rPr>
        <w:t xml:space="preserve"> 1986</w:t>
      </w:r>
      <w:r w:rsidR="00607D3C">
        <w:t xml:space="preserve"> (</w:t>
      </w:r>
      <w:proofErr w:type="spellStart"/>
      <w:r w:rsidR="00607D3C">
        <w:t>Cth</w:t>
      </w:r>
      <w:proofErr w:type="spellEnd"/>
      <w:r w:rsidR="00607D3C">
        <w:t>)</w:t>
      </w:r>
      <w:r>
        <w:t xml:space="preserve"> increased </w:t>
      </w:r>
      <w:r w:rsidR="00AE0E81">
        <w:t>this threshold amount</w:t>
      </w:r>
      <w:r w:rsidR="00536CA6">
        <w:t xml:space="preserve"> </w:t>
      </w:r>
      <w:r>
        <w:t xml:space="preserve">to the current </w:t>
      </w:r>
      <w:r w:rsidR="00536CA6">
        <w:t>value</w:t>
      </w:r>
      <w:r>
        <w:t xml:space="preserve"> of $40,000</w:t>
      </w:r>
      <w:r w:rsidR="00E959D1">
        <w:t xml:space="preserve">. </w:t>
      </w:r>
      <w:r w:rsidR="000C4E35">
        <w:t>The Explanatory M</w:t>
      </w:r>
      <w:r w:rsidR="00195D92">
        <w:t>emorandum to the Bill explained that</w:t>
      </w:r>
      <w:r w:rsidR="00D7436B">
        <w:t>:</w:t>
      </w:r>
    </w:p>
    <w:p w14:paraId="60D3A53D" w14:textId="11D484C1" w:rsidR="00195D92" w:rsidRPr="00751A0A" w:rsidRDefault="00195D92" w:rsidP="00D7436B">
      <w:pPr>
        <w:pStyle w:val="Quote"/>
      </w:pPr>
      <w:r w:rsidRPr="00751A0A">
        <w:t xml:space="preserve">As a </w:t>
      </w:r>
      <w:r>
        <w:t>result of inflation over the past 8 years, the real value of the $15,000</w:t>
      </w:r>
      <w:r w:rsidR="00D7436B">
        <w:t> </w:t>
      </w:r>
      <w:r>
        <w:t>monetary limit … has been significant eroded, and an adjustment to the monetary limit is needed to restore the protection given by the Act to consumers and small businesses.</w:t>
      </w:r>
      <w:r>
        <w:rPr>
          <w:rStyle w:val="FootnoteReference"/>
          <w:sz w:val="20"/>
          <w:szCs w:val="20"/>
        </w:rPr>
        <w:footnoteReference w:id="5"/>
      </w:r>
    </w:p>
    <w:p w14:paraId="2A97AF6E" w14:textId="2D9907C6" w:rsidR="00EF4171" w:rsidRPr="001B37E6" w:rsidRDefault="00EF4171" w:rsidP="00D7436B">
      <w:pPr>
        <w:pStyle w:val="OutlineNumbered1"/>
      </w:pPr>
      <w:r w:rsidRPr="001B37E6">
        <w:t xml:space="preserve">A </w:t>
      </w:r>
      <w:r w:rsidR="00184F7F">
        <w:t>specific</w:t>
      </w:r>
      <w:r w:rsidR="006468E9" w:rsidRPr="001B37E6">
        <w:t xml:space="preserve"> </w:t>
      </w:r>
      <w:r w:rsidRPr="001B37E6">
        <w:t>example of</w:t>
      </w:r>
      <w:r w:rsidR="00184F7F">
        <w:t xml:space="preserve"> how</w:t>
      </w:r>
      <w:r w:rsidRPr="001B37E6">
        <w:t xml:space="preserve"> </w:t>
      </w:r>
      <w:r w:rsidR="00184F7F">
        <w:t xml:space="preserve">small business owners may benefit under the statutory regime </w:t>
      </w:r>
      <w:r w:rsidR="003802DB">
        <w:t xml:space="preserve">providing for simplified avenues of redress as a ‘consumer’ </w:t>
      </w:r>
      <w:r w:rsidR="00184F7F">
        <w:t>is outlined below (</w:t>
      </w:r>
      <w:r w:rsidR="00184F7F">
        <w:rPr>
          <w:b/>
        </w:rPr>
        <w:t>Case study 1</w:t>
      </w:r>
      <w:r w:rsidR="00184F7F">
        <w:t>).</w:t>
      </w:r>
    </w:p>
    <w:p w14:paraId="0E16C873" w14:textId="17A1616F" w:rsidR="00F14C68" w:rsidRPr="001B37E6" w:rsidRDefault="00F14C68" w:rsidP="00D7436B">
      <w:pPr>
        <w:pStyle w:val="Heading2-NoNumbered"/>
      </w:pPr>
      <w:bookmarkStart w:id="22" w:name="_Toc508968513"/>
      <w:r w:rsidRPr="001B37E6">
        <w:t xml:space="preserve">Case study 1 – </w:t>
      </w:r>
      <w:r w:rsidR="00A120F6">
        <w:t>P</w:t>
      </w:r>
      <w:r w:rsidRPr="001B37E6">
        <w:t>rotecting small business truck owner-operators</w:t>
      </w:r>
      <w:bookmarkEnd w:id="22"/>
    </w:p>
    <w:p w14:paraId="0D6E604C" w14:textId="2828611A" w:rsidR="006F1907" w:rsidRPr="00751A0A" w:rsidRDefault="00F1332E" w:rsidP="00D7436B">
      <w:pPr>
        <w:pStyle w:val="OutlineNumbered1"/>
      </w:pPr>
      <w:r w:rsidRPr="001B37E6">
        <w:t xml:space="preserve">The original 1986 </w:t>
      </w:r>
      <w:r w:rsidR="00287E4F" w:rsidRPr="001B37E6">
        <w:t>amendments</w:t>
      </w:r>
      <w:r w:rsidRPr="001B37E6">
        <w:t xml:space="preserve"> </w:t>
      </w:r>
      <w:r w:rsidR="00FA51AD">
        <w:t>considered increasing</w:t>
      </w:r>
      <w:r w:rsidR="005E0EA2" w:rsidRPr="001B37E6">
        <w:t xml:space="preserve"> the monetary threshold from $15,000 to $200,000. Speaking in this context, the </w:t>
      </w:r>
      <w:r w:rsidR="005E0EA2" w:rsidRPr="001B37E6">
        <w:rPr>
          <w:i/>
        </w:rPr>
        <w:t>National Road Freight Industry Inquiry Report</w:t>
      </w:r>
      <w:r w:rsidR="005E0EA2" w:rsidRPr="001B37E6">
        <w:t xml:space="preserve"> (September 1984) ‘wholeheartedly’ endorsed the </w:t>
      </w:r>
      <w:r w:rsidR="00BC4885" w:rsidRPr="00751A0A">
        <w:t xml:space="preserve">proposed </w:t>
      </w:r>
      <w:r w:rsidR="005E0EA2" w:rsidRPr="00751A0A">
        <w:t xml:space="preserve">increase of the monetary threshold as it would extend the </w:t>
      </w:r>
      <w:r w:rsidR="005E0EA2" w:rsidRPr="00751A0A">
        <w:rPr>
          <w:i/>
        </w:rPr>
        <w:t>Trade Practices Act 1974</w:t>
      </w:r>
      <w:r w:rsidR="005E0EA2" w:rsidRPr="00751A0A">
        <w:t xml:space="preserve"> implied warranties regime to protect truck owner-operators.</w:t>
      </w:r>
      <w:r w:rsidR="0046074E" w:rsidRPr="00751A0A">
        <w:t xml:space="preserve"> T</w:t>
      </w:r>
      <w:r w:rsidR="005E0EA2" w:rsidRPr="00751A0A">
        <w:t xml:space="preserve">he Inquiry </w:t>
      </w:r>
      <w:r w:rsidR="00DF7C9A">
        <w:t>found</w:t>
      </w:r>
      <w:r w:rsidR="005E0EA2" w:rsidRPr="001B37E6">
        <w:t xml:space="preserve"> that the then existing consumer protection arrangements available for truck owner-operators was complex, and that the ‘iterant owner-driver finds it very difficult to quickly establish his rights without involving legal advice with its attendant costs.’</w:t>
      </w:r>
    </w:p>
    <w:p w14:paraId="35151B08" w14:textId="494A6BA3" w:rsidR="00F14C68" w:rsidRPr="00751A0A" w:rsidRDefault="00DF7C9A" w:rsidP="00D7436B">
      <w:pPr>
        <w:pStyle w:val="OutlineNumbered1"/>
      </w:pPr>
      <w:r>
        <w:t>Consistent with inflation, the monetary threshold was</w:t>
      </w:r>
      <w:r w:rsidR="0055674A">
        <w:t xml:space="preserve"> eventually</w:t>
      </w:r>
      <w:r>
        <w:t xml:space="preserve"> increased to $40,000 in the 1986 amendments. In response to the Inquiry’s finding, the 1986 amendments </w:t>
      </w:r>
      <w:r w:rsidR="0055674A">
        <w:t xml:space="preserve">also provided that all purchases of commercial road vehicles would be deemed to be consumer purchases. </w:t>
      </w:r>
      <w:r w:rsidR="006C36DE">
        <w:t>Addressing the Inquiry’s concerns, the</w:t>
      </w:r>
      <w:r w:rsidR="00A60726">
        <w:t xml:space="preserve"> 1986</w:t>
      </w:r>
      <w:r w:rsidR="006C36DE">
        <w:t xml:space="preserve"> amendments </w:t>
      </w:r>
      <w:r w:rsidR="00A60726">
        <w:t>ensured that</w:t>
      </w:r>
      <w:r w:rsidR="0055674A">
        <w:t xml:space="preserve"> ‘truck</w:t>
      </w:r>
      <w:r w:rsidR="00D7436B">
        <w:br/>
      </w:r>
      <w:r w:rsidR="0055674A">
        <w:t>owner-operators who purchase a truck for use in their business are afforded the protection offered’ by the implied warranties regime.</w:t>
      </w:r>
      <w:r w:rsidR="0055674A">
        <w:rPr>
          <w:rStyle w:val="FootnoteReference"/>
        </w:rPr>
        <w:footnoteReference w:id="6"/>
      </w:r>
    </w:p>
    <w:p w14:paraId="5A3F3EF7" w14:textId="06A5699D" w:rsidR="006F0BD9" w:rsidRDefault="00536CA6" w:rsidP="00D7436B">
      <w:pPr>
        <w:pStyle w:val="OutlineNumbered1"/>
      </w:pPr>
      <w:r>
        <w:t xml:space="preserve">In 2010, when the </w:t>
      </w:r>
      <w:r w:rsidR="00607D3C">
        <w:t>ACL was being developed</w:t>
      </w:r>
      <w:r>
        <w:t xml:space="preserve">, </w:t>
      </w:r>
      <w:r w:rsidR="00580B00">
        <w:t>the removal of the monetary threshold</w:t>
      </w:r>
      <w:r w:rsidR="006359D7">
        <w:t xml:space="preserve"> part of the definition of ‘consumer’</w:t>
      </w:r>
      <w:r w:rsidR="00580B00">
        <w:t xml:space="preserve"> was considered.</w:t>
      </w:r>
      <w:r w:rsidR="00286C34">
        <w:t xml:space="preserve"> </w:t>
      </w:r>
      <w:r w:rsidR="00A60A89">
        <w:t xml:space="preserve">However, the threshold </w:t>
      </w:r>
      <w:r>
        <w:t>amount of $40,000</w:t>
      </w:r>
      <w:r w:rsidR="00D7436B">
        <w:t> </w:t>
      </w:r>
      <w:r>
        <w:t xml:space="preserve">was retained in the final version of the ACL. </w:t>
      </w:r>
      <w:r w:rsidR="009F0A57">
        <w:t xml:space="preserve">The </w:t>
      </w:r>
      <w:r w:rsidR="007C0174">
        <w:t>Second Reading speech for the Trade</w:t>
      </w:r>
      <w:r w:rsidR="00D7436B">
        <w:t> </w:t>
      </w:r>
      <w:r w:rsidR="007C0174">
        <w:t>Practices Amendment (Australian Consumer Law) Bill (No 2) justified</w:t>
      </w:r>
      <w:r w:rsidR="001268AC">
        <w:t xml:space="preserve"> retaining </w:t>
      </w:r>
      <w:r w:rsidR="009F0A57">
        <w:t xml:space="preserve">the threshold </w:t>
      </w:r>
      <w:r w:rsidR="007C0174">
        <w:t>on the basis of ensuring that ‘small businesses continue to be protected’ under the new regime.</w:t>
      </w:r>
    </w:p>
    <w:p w14:paraId="5E2EC365" w14:textId="3351F6CC" w:rsidR="00877586" w:rsidRDefault="00473577" w:rsidP="00D7436B">
      <w:pPr>
        <w:pStyle w:val="OutlineNumbered1"/>
      </w:pPr>
      <w:r>
        <w:t>From thi</w:t>
      </w:r>
      <w:r w:rsidR="005F07DF">
        <w:t xml:space="preserve">s history, </w:t>
      </w:r>
      <w:r w:rsidR="004B2950">
        <w:t>it appears that a key rationale</w:t>
      </w:r>
      <w:r>
        <w:t xml:space="preserve"> behind the </w:t>
      </w:r>
      <w:r w:rsidR="005F07DF">
        <w:t xml:space="preserve">1977 </w:t>
      </w:r>
      <w:r>
        <w:t>introduction of the monetary threshold, the</w:t>
      </w:r>
      <w:r w:rsidR="005F07DF">
        <w:t xml:space="preserve"> 1986 increased</w:t>
      </w:r>
      <w:r>
        <w:t xml:space="preserve"> threshold</w:t>
      </w:r>
      <w:r w:rsidR="005F07DF">
        <w:t xml:space="preserve"> amount</w:t>
      </w:r>
      <w:r>
        <w:t xml:space="preserve"> and the </w:t>
      </w:r>
      <w:r w:rsidR="005F07DF">
        <w:t xml:space="preserve">2010 </w:t>
      </w:r>
      <w:r w:rsidR="009E3332">
        <w:t xml:space="preserve">retention </w:t>
      </w:r>
      <w:r>
        <w:t xml:space="preserve">of the threshold </w:t>
      </w:r>
      <w:r w:rsidR="00A60A89">
        <w:t>was to</w:t>
      </w:r>
      <w:r>
        <w:t xml:space="preserve"> ensure that </w:t>
      </w:r>
      <w:r w:rsidR="00E50203">
        <w:t>small businesses</w:t>
      </w:r>
      <w:r w:rsidR="00A60A89">
        <w:t xml:space="preserve"> consumers</w:t>
      </w:r>
      <w:r>
        <w:t xml:space="preserve"> were afforded </w:t>
      </w:r>
      <w:r w:rsidR="00E64D7D">
        <w:t>legal</w:t>
      </w:r>
      <w:r>
        <w:t xml:space="preserve"> protections that </w:t>
      </w:r>
      <w:r w:rsidR="00DB2223">
        <w:t>were similar</w:t>
      </w:r>
      <w:r>
        <w:t xml:space="preserve"> </w:t>
      </w:r>
      <w:r w:rsidR="00DB2223">
        <w:t>to those afforded to</w:t>
      </w:r>
      <w:r>
        <w:t xml:space="preserve"> individual consumers</w:t>
      </w:r>
      <w:r w:rsidR="00A60A89">
        <w:t xml:space="preserve"> under </w:t>
      </w:r>
      <w:r w:rsidR="00A60A89" w:rsidRPr="00B80FC9">
        <w:rPr>
          <w:i/>
        </w:rPr>
        <w:t>the</w:t>
      </w:r>
      <w:r w:rsidR="00A60A89">
        <w:t xml:space="preserve"> </w:t>
      </w:r>
      <w:r w:rsidR="007915F0">
        <w:rPr>
          <w:i/>
        </w:rPr>
        <w:t xml:space="preserve">Trade Practices Act </w:t>
      </w:r>
      <w:r w:rsidR="007915F0" w:rsidRPr="00B80FC9">
        <w:t>1974</w:t>
      </w:r>
      <w:r w:rsidR="007915F0">
        <w:t xml:space="preserve"> (</w:t>
      </w:r>
      <w:proofErr w:type="spellStart"/>
      <w:r w:rsidR="007915F0">
        <w:t>Cth</w:t>
      </w:r>
      <w:proofErr w:type="spellEnd"/>
      <w:r w:rsidR="007915F0">
        <w:t>)</w:t>
      </w:r>
      <w:r w:rsidR="00A60A89">
        <w:t xml:space="preserve"> and </w:t>
      </w:r>
      <w:r w:rsidR="004A3413">
        <w:t xml:space="preserve">State and Territory consumer law </w:t>
      </w:r>
      <w:r w:rsidR="00A60A89">
        <w:t>regimes.</w:t>
      </w:r>
      <w:r w:rsidR="00DD643B">
        <w:t xml:space="preserve"> However,</w:t>
      </w:r>
      <w:r w:rsidR="003A1FDF">
        <w:t xml:space="preserve"> while the threshold was developed </w:t>
      </w:r>
      <w:r w:rsidR="00FD3DEB">
        <w:t>with</w:t>
      </w:r>
      <w:r w:rsidR="003A1FDF">
        <w:t xml:space="preserve"> small businesses</w:t>
      </w:r>
      <w:r w:rsidR="00FD3DEB">
        <w:t xml:space="preserve"> in mind</w:t>
      </w:r>
      <w:r w:rsidR="003A1FDF">
        <w:t xml:space="preserve">, there was no intention to exclude businesses, large or small, from the protections in the ACL. </w:t>
      </w:r>
      <w:r w:rsidR="00DD643B">
        <w:t xml:space="preserve"> </w:t>
      </w:r>
    </w:p>
    <w:p w14:paraId="630EEB42" w14:textId="4FFEED9E" w:rsidR="003A1FA5" w:rsidRDefault="006C7054" w:rsidP="00D7436B">
      <w:pPr>
        <w:pStyle w:val="Heading3-NoNumbered"/>
      </w:pPr>
      <w:bookmarkStart w:id="23" w:name="_Toc507753711"/>
      <w:bookmarkStart w:id="24" w:name="_Toc507770066"/>
      <w:r>
        <w:t>Small businesses</w:t>
      </w:r>
      <w:r w:rsidR="000445D8" w:rsidRPr="006541B0">
        <w:t xml:space="preserve"> require </w:t>
      </w:r>
      <w:r w:rsidR="006B078D" w:rsidRPr="006541B0">
        <w:t xml:space="preserve">the same </w:t>
      </w:r>
      <w:r>
        <w:t>protection as consumers</w:t>
      </w:r>
      <w:bookmarkEnd w:id="23"/>
      <w:bookmarkEnd w:id="24"/>
    </w:p>
    <w:p w14:paraId="576E4406" w14:textId="26E454A6" w:rsidR="00E6757B" w:rsidRDefault="004E0DC6" w:rsidP="00D7436B">
      <w:pPr>
        <w:pStyle w:val="OutlineNumbered1"/>
      </w:pPr>
      <w:r>
        <w:t xml:space="preserve">Small businesses play a key role in driving growth and creating jobs in the Australian economy. </w:t>
      </w:r>
      <w:r w:rsidR="00955B53">
        <w:t>In 2017, t</w:t>
      </w:r>
      <w:r w:rsidR="004B2904">
        <w:t>he Australian Bureau of Statistics a</w:t>
      </w:r>
      <w:r w:rsidR="00955B53">
        <w:t>nnounced an annual 2.4 percent increase</w:t>
      </w:r>
      <w:r w:rsidR="007A3158">
        <w:t xml:space="preserve"> in business numbers (in the 2015-16 financial year)</w:t>
      </w:r>
      <w:r w:rsidR="006B1EB6">
        <w:t>,</w:t>
      </w:r>
      <w:r w:rsidR="00955B53">
        <w:t xml:space="preserve"> </w:t>
      </w:r>
      <w:r w:rsidR="004B2904">
        <w:t>primarily driven by grow</w:t>
      </w:r>
      <w:r w:rsidR="00955B53">
        <w:t>th</w:t>
      </w:r>
      <w:r w:rsidR="004B2904">
        <w:t xml:space="preserve"> in small businesses.</w:t>
      </w:r>
      <w:r w:rsidR="001945A2">
        <w:rPr>
          <w:rStyle w:val="FootnoteReference"/>
        </w:rPr>
        <w:footnoteReference w:id="7"/>
      </w:r>
    </w:p>
    <w:p w14:paraId="2032E8E2" w14:textId="12076DB9" w:rsidR="00BB0B35" w:rsidRPr="006541B0" w:rsidRDefault="00BB0B35" w:rsidP="00D7436B">
      <w:pPr>
        <w:pStyle w:val="OutlineNumbered1"/>
      </w:pPr>
      <w:r w:rsidRPr="002B7E58">
        <w:t xml:space="preserve">In </w:t>
      </w:r>
      <w:r w:rsidR="00662F24">
        <w:t>the</w:t>
      </w:r>
      <w:r w:rsidRPr="002B7E58">
        <w:t xml:space="preserve"> </w:t>
      </w:r>
      <w:r w:rsidRPr="00164335">
        <w:rPr>
          <w:i/>
        </w:rPr>
        <w:t>Review of Australia’s Consumer Policy Framework: Inquiry Report</w:t>
      </w:r>
      <w:r w:rsidRPr="002B7E58">
        <w:t xml:space="preserve">, </w:t>
      </w:r>
      <w:r w:rsidR="00ED6447">
        <w:t>the</w:t>
      </w:r>
      <w:r w:rsidRPr="002B7E58">
        <w:t xml:space="preserve"> Productivity Commission </w:t>
      </w:r>
      <w:r w:rsidR="0022512D">
        <w:t>acknowledged</w:t>
      </w:r>
      <w:r w:rsidR="0022512D" w:rsidRPr="002B7E58">
        <w:t xml:space="preserve"> </w:t>
      </w:r>
      <w:r w:rsidR="004E798B" w:rsidRPr="002B7E58">
        <w:t>the</w:t>
      </w:r>
      <w:r w:rsidRPr="002B7E58">
        <w:t xml:space="preserve"> </w:t>
      </w:r>
      <w:r w:rsidR="00C6479E">
        <w:t xml:space="preserve">unique </w:t>
      </w:r>
      <w:r w:rsidRPr="002B7E58">
        <w:t xml:space="preserve">dual role of </w:t>
      </w:r>
      <w:r w:rsidR="00B90D3A">
        <w:t>s</w:t>
      </w:r>
      <w:r w:rsidR="00EB632B">
        <w:t>mall businesses</w:t>
      </w:r>
      <w:r w:rsidRPr="002B7E58">
        <w:t>: ‘as well as being supplie</w:t>
      </w:r>
      <w:r w:rsidR="00B90D3A">
        <w:t>r</w:t>
      </w:r>
      <w:r w:rsidRPr="002B7E58">
        <w:t xml:space="preserve">s of goods and </w:t>
      </w:r>
      <w:r w:rsidRPr="006541B0">
        <w:t>services, they are consumers in their own right.’</w:t>
      </w:r>
      <w:r w:rsidRPr="006541B0">
        <w:rPr>
          <w:rStyle w:val="FootnoteReference"/>
        </w:rPr>
        <w:footnoteReference w:id="8"/>
      </w:r>
      <w:r w:rsidR="00013CDE" w:rsidRPr="006541B0">
        <w:t xml:space="preserve"> </w:t>
      </w:r>
      <w:r w:rsidR="00307150" w:rsidRPr="006541B0">
        <w:t xml:space="preserve">The </w:t>
      </w:r>
      <w:r w:rsidR="00A067FC">
        <w:t xml:space="preserve">Productivity Commission </w:t>
      </w:r>
      <w:r w:rsidR="002A0273">
        <w:t>continued</w:t>
      </w:r>
      <w:r w:rsidR="00307150" w:rsidRPr="006541B0">
        <w:t>:</w:t>
      </w:r>
    </w:p>
    <w:p w14:paraId="67435AFC" w14:textId="453D9147" w:rsidR="00013CDE" w:rsidRDefault="004E798B" w:rsidP="00D7436B">
      <w:pPr>
        <w:pStyle w:val="Quote"/>
      </w:pPr>
      <w:r w:rsidRPr="00660062">
        <w:t>Indeed, in their dealings with larger businesses, small businesses can face ma</w:t>
      </w:r>
      <w:r w:rsidR="00DC3CD1" w:rsidRPr="00660062">
        <w:t>n</w:t>
      </w:r>
      <w:r w:rsidRPr="00660062">
        <w:t>y of the same issues as individual consumers, particularly relating to unequal bargaining power and the lack of resources to effectively negotiate contracts.</w:t>
      </w:r>
    </w:p>
    <w:p w14:paraId="4CEFFC23" w14:textId="1883531E" w:rsidR="00D53D02" w:rsidRDefault="00D53D02" w:rsidP="00D7436B">
      <w:pPr>
        <w:pStyle w:val="OutlineNumbered1"/>
      </w:pPr>
      <w:r>
        <w:t>From this perspective, the ACL simultaneously confers both protections and obligations on businesses of all sizes.</w:t>
      </w:r>
    </w:p>
    <w:p w14:paraId="081B6260" w14:textId="27899D4B" w:rsidR="00EA03A9" w:rsidRPr="006541B0" w:rsidRDefault="00907226" w:rsidP="00D7436B">
      <w:pPr>
        <w:pStyle w:val="OutlineNumbered1"/>
      </w:pPr>
      <w:proofErr w:type="spellStart"/>
      <w:r w:rsidRPr="006541B0">
        <w:t>Freilich</w:t>
      </w:r>
      <w:proofErr w:type="spellEnd"/>
      <w:r w:rsidRPr="006541B0">
        <w:t xml:space="preserve"> and Webb highlight that the general presumptions about businesses being on equal footing and not requiring protection does not reflect the reality of </w:t>
      </w:r>
      <w:r w:rsidR="00B90D3A">
        <w:t>s</w:t>
      </w:r>
      <w:r w:rsidR="00EB632B">
        <w:t>mall businesses</w:t>
      </w:r>
      <w:r w:rsidRPr="006541B0">
        <w:t>.</w:t>
      </w:r>
      <w:r w:rsidRPr="006541B0">
        <w:rPr>
          <w:rStyle w:val="FootnoteReference"/>
        </w:rPr>
        <w:footnoteReference w:id="9"/>
      </w:r>
    </w:p>
    <w:p w14:paraId="68530706" w14:textId="5956EC24" w:rsidR="00907226" w:rsidRPr="00A20F59" w:rsidRDefault="005238EA" w:rsidP="0078596D">
      <w:pPr>
        <w:pStyle w:val="OutlineNumbered1"/>
        <w:numPr>
          <w:ilvl w:val="0"/>
          <w:numId w:val="0"/>
        </w:numPr>
        <w:ind w:left="1134" w:right="521"/>
      </w:pPr>
      <w:r w:rsidRPr="0078596D">
        <w:rPr>
          <w:i/>
        </w:rPr>
        <w:t xml:space="preserve">Small-business persons come from a variety of backgrounds, levels of business and personal experience, financial liquidity, education and literacy. Moreover, small businesses feature a significant proportion of persons who are, in many circumstances, marginalised from the wider workforce, such as women and migrants. Also, being a good business person with regard to one’s own trade or profession does not automatically mean that a person is well versed in business and the law. In most cases, the future of a small business rests on the managerial expertise of an individual or small group of owners. … [M]any small businesses simply cannot afford the accounting, </w:t>
      </w:r>
      <w:r w:rsidR="00787AC0" w:rsidRPr="0078596D">
        <w:rPr>
          <w:i/>
        </w:rPr>
        <w:t>financial</w:t>
      </w:r>
      <w:r w:rsidRPr="0078596D">
        <w:rPr>
          <w:i/>
        </w:rPr>
        <w:t xml:space="preserve"> and legal advice which larger concerns take for granted</w:t>
      </w:r>
      <w:r w:rsidRPr="00A20F59">
        <w:t>.</w:t>
      </w:r>
      <w:r w:rsidRPr="00A20F59">
        <w:rPr>
          <w:rStyle w:val="FootnoteReference"/>
          <w:sz w:val="20"/>
          <w:szCs w:val="20"/>
        </w:rPr>
        <w:footnoteReference w:id="10"/>
      </w:r>
    </w:p>
    <w:p w14:paraId="44AC1B31" w14:textId="6D980E94" w:rsidR="00B90D3A" w:rsidRDefault="00333965" w:rsidP="00D7436B">
      <w:pPr>
        <w:pStyle w:val="OutlineNumbered1"/>
      </w:pPr>
      <w:r>
        <w:t>Like</w:t>
      </w:r>
      <w:r w:rsidR="007C43F6">
        <w:t xml:space="preserve"> individual consumers, small businesses are often in a weaker bargaining position and</w:t>
      </w:r>
      <w:r w:rsidR="00C666CB">
        <w:t xml:space="preserve"> </w:t>
      </w:r>
      <w:r w:rsidR="00C077B9" w:rsidRPr="006541B0">
        <w:t>should be afforded comparable</w:t>
      </w:r>
      <w:r w:rsidR="00B90D3A">
        <w:t xml:space="preserve"> legal</w:t>
      </w:r>
      <w:r w:rsidR="00C077B9" w:rsidRPr="006541B0">
        <w:t xml:space="preserve"> protection</w:t>
      </w:r>
      <w:r w:rsidR="00A72185" w:rsidRPr="006541B0">
        <w:t>.</w:t>
      </w:r>
    </w:p>
    <w:p w14:paraId="4ADEE185" w14:textId="255640AF" w:rsidR="003A1FA5" w:rsidRDefault="00C13057" w:rsidP="00D7436B">
      <w:pPr>
        <w:pStyle w:val="Heading3-NoNumbered"/>
      </w:pPr>
      <w:bookmarkStart w:id="25" w:name="_Toc507753712"/>
      <w:bookmarkStart w:id="26" w:name="_Toc507770067"/>
      <w:r>
        <w:t xml:space="preserve">Many small business </w:t>
      </w:r>
      <w:r w:rsidR="00924C30">
        <w:t>consumers</w:t>
      </w:r>
      <w:r>
        <w:t xml:space="preserve"> are denied access to the ACL solely due to </w:t>
      </w:r>
      <w:r w:rsidR="00BC582E">
        <w:t>the decline in the real value of the monetary threshold</w:t>
      </w:r>
      <w:bookmarkEnd w:id="25"/>
      <w:bookmarkEnd w:id="26"/>
    </w:p>
    <w:p w14:paraId="20BA51B1" w14:textId="053FE75A" w:rsidR="00A86003" w:rsidRDefault="00E544A6" w:rsidP="00D7436B">
      <w:pPr>
        <w:pStyle w:val="OutlineNumbered1"/>
      </w:pPr>
      <w:r>
        <w:t>With</w:t>
      </w:r>
      <w:r w:rsidR="00C13057">
        <w:t xml:space="preserve"> the decline in the real value of the threshold</w:t>
      </w:r>
      <w:r w:rsidR="00CB4983">
        <w:t xml:space="preserve"> which has occurred since 1986</w:t>
      </w:r>
      <w:r>
        <w:t xml:space="preserve">, </w:t>
      </w:r>
      <w:r w:rsidR="00C13057">
        <w:t xml:space="preserve">certain small business purchases that were once protected by the ACL regime </w:t>
      </w:r>
      <w:r w:rsidR="00063669">
        <w:t>are</w:t>
      </w:r>
      <w:r w:rsidR="00C13057">
        <w:t xml:space="preserve"> no longer so protected. The Review cited client record systems, certain farm and agricultural equipment, air-conditioning units for industrial buildings, water tanks and some vehicle purchases as examples.</w:t>
      </w:r>
    </w:p>
    <w:p w14:paraId="6FBD09C7" w14:textId="34410157" w:rsidR="00C13057" w:rsidRDefault="00C13057" w:rsidP="00D7436B">
      <w:pPr>
        <w:pStyle w:val="OutlineNumbered1"/>
      </w:pPr>
      <w:r>
        <w:t>Using producer price index (PPI)</w:t>
      </w:r>
      <w:r w:rsidR="00CB4983">
        <w:t xml:space="preserve"> analysis</w:t>
      </w:r>
      <w:r>
        <w:t>,</w:t>
      </w:r>
      <w:r w:rsidR="00F314BF">
        <w:t xml:space="preserve"> the NSW Department of Finance, Services and Innovation</w:t>
      </w:r>
      <w:r w:rsidR="009C20CC">
        <w:t xml:space="preserve"> (NSW DFSI)</w:t>
      </w:r>
      <w:r w:rsidR="00F314BF">
        <w:t xml:space="preserve"> </w:t>
      </w:r>
      <w:r w:rsidR="00096FB8">
        <w:t>provided a case study (</w:t>
      </w:r>
      <w:r w:rsidR="00357E54">
        <w:t xml:space="preserve">see </w:t>
      </w:r>
      <w:r w:rsidR="002F0C8F">
        <w:rPr>
          <w:b/>
        </w:rPr>
        <w:t>Case study</w:t>
      </w:r>
      <w:r w:rsidRPr="00164335">
        <w:rPr>
          <w:b/>
        </w:rPr>
        <w:t xml:space="preserve"> </w:t>
      </w:r>
      <w:r w:rsidR="00F14C68">
        <w:rPr>
          <w:b/>
        </w:rPr>
        <w:t>2</w:t>
      </w:r>
      <w:r>
        <w:t xml:space="preserve">) </w:t>
      </w:r>
      <w:r w:rsidR="00CB4983">
        <w:t xml:space="preserve">of </w:t>
      </w:r>
      <w:r>
        <w:t>a</w:t>
      </w:r>
      <w:r w:rsidR="00CB4983">
        <w:t xml:space="preserve"> particular</w:t>
      </w:r>
      <w:r>
        <w:t xml:space="preserve"> small business</w:t>
      </w:r>
      <w:r w:rsidR="00CB4983">
        <w:t xml:space="preserve"> purchase that</w:t>
      </w:r>
      <w:r>
        <w:t xml:space="preserve"> would have satisfied the definition of ‘consumer’ in 1986, but no longer did in 2011, solely due </w:t>
      </w:r>
      <w:r w:rsidR="00363A1F">
        <w:t>to the decline in the real value of the monetary threshold</w:t>
      </w:r>
      <w:r>
        <w:t xml:space="preserve">. </w:t>
      </w:r>
    </w:p>
    <w:p w14:paraId="422D037D" w14:textId="16EA4CD8" w:rsidR="00C13057" w:rsidRPr="002C026D" w:rsidRDefault="002F0C8F" w:rsidP="00D7436B">
      <w:pPr>
        <w:pStyle w:val="Heading2-NoNumbered"/>
      </w:pPr>
      <w:bookmarkStart w:id="27" w:name="_Toc508968514"/>
      <w:r>
        <w:t>Case study</w:t>
      </w:r>
      <w:r w:rsidRPr="002C026D">
        <w:t xml:space="preserve"> </w:t>
      </w:r>
      <w:r w:rsidR="00F14C68">
        <w:t>2</w:t>
      </w:r>
      <w:r w:rsidR="00F14C68" w:rsidRPr="002C026D">
        <w:t xml:space="preserve"> </w:t>
      </w:r>
      <w:r w:rsidR="00C13057" w:rsidRPr="002C026D">
        <w:t>– Complaint about an agricultural excavator</w:t>
      </w:r>
      <w:bookmarkEnd w:id="27"/>
    </w:p>
    <w:p w14:paraId="33897D10" w14:textId="28B65415" w:rsidR="004A3413" w:rsidRDefault="00C13057" w:rsidP="00D7436B">
      <w:pPr>
        <w:pStyle w:val="OutlineNumbered1"/>
      </w:pPr>
      <w:r w:rsidRPr="002C026D">
        <w:t xml:space="preserve">An agricultural business owner lodged a complaint about his agricultural excavator, which he purchased in 2011 for $54,000. The agricultural business owner needed to repair the excavator after it broke down. However, neither the manufacturer nor the </w:t>
      </w:r>
      <w:r w:rsidR="004E3339" w:rsidRPr="002C026D">
        <w:t xml:space="preserve">dealer </w:t>
      </w:r>
      <w:r w:rsidR="004E3339">
        <w:t>were</w:t>
      </w:r>
      <w:r w:rsidRPr="002C026D">
        <w:t xml:space="preserve"> able to provide the spare part. As </w:t>
      </w:r>
      <w:r w:rsidR="004A3413">
        <w:t>an</w:t>
      </w:r>
      <w:r w:rsidR="004A3413" w:rsidRPr="002C026D">
        <w:t xml:space="preserve"> </w:t>
      </w:r>
      <w:r w:rsidRPr="002C026D">
        <w:t>excavator is not likely to be considered something that is normally used for domestic or household use and costs more than $40,000, the agricultural business owner was advised that he</w:t>
      </w:r>
      <w:r w:rsidR="004E3339">
        <w:t xml:space="preserve"> was not </w:t>
      </w:r>
      <w:r w:rsidRPr="002C026D">
        <w:t xml:space="preserve">able to seek a remedy under the </w:t>
      </w:r>
      <w:r w:rsidR="00924C30">
        <w:t xml:space="preserve">ACL. </w:t>
      </w:r>
    </w:p>
    <w:p w14:paraId="53EBB756" w14:textId="3C8FA235" w:rsidR="00C13057" w:rsidRPr="002F489D" w:rsidRDefault="00924C30" w:rsidP="00D7436B">
      <w:pPr>
        <w:pStyle w:val="OutlineNumbered1"/>
      </w:pPr>
      <w:r>
        <w:t>According to the producer price index</w:t>
      </w:r>
      <w:r w:rsidR="00C13057" w:rsidRPr="002C026D">
        <w:t xml:space="preserve">, the prices of </w:t>
      </w:r>
      <w:r w:rsidR="00C13057" w:rsidRPr="00126847">
        <w:t>agricultural machinery and equipment in 2011 were 33 index point</w:t>
      </w:r>
      <w:r w:rsidR="009C20CC" w:rsidRPr="00126847">
        <w:t>s</w:t>
      </w:r>
      <w:r w:rsidR="00C13057" w:rsidRPr="00126847">
        <w:t xml:space="preserve"> or 41 percentage point</w:t>
      </w:r>
      <w:r w:rsidR="009C20CC" w:rsidRPr="00126847">
        <w:t>s</w:t>
      </w:r>
      <w:r w:rsidR="00C13057" w:rsidRPr="00126847">
        <w:t xml:space="preserve"> higher than the prices in 1986. This means the price paid for the excavator in 2011 ($54,000) would have been $38,297 if purchased in 1986 and therefore would have been covered by the ACL’s $40,000 </w:t>
      </w:r>
      <w:r w:rsidR="00C13057" w:rsidRPr="002F489D">
        <w:t>threshold.</w:t>
      </w:r>
    </w:p>
    <w:p w14:paraId="0C94C930" w14:textId="4C9324F5" w:rsidR="00560869" w:rsidRPr="005079B1" w:rsidRDefault="00560869" w:rsidP="00D7436B">
      <w:pPr>
        <w:pStyle w:val="OutlineNumbered1"/>
      </w:pPr>
      <w:r w:rsidRPr="005079B1">
        <w:t xml:space="preserve">NSW DFSI also provided </w:t>
      </w:r>
      <w:r w:rsidR="00357E54" w:rsidRPr="005079B1">
        <w:t xml:space="preserve">examples of other types of </w:t>
      </w:r>
      <w:r w:rsidRPr="005079B1">
        <w:t xml:space="preserve">machinery that would be </w:t>
      </w:r>
      <w:r w:rsidR="002F61EE">
        <w:t>covered by the ACL</w:t>
      </w:r>
      <w:r w:rsidR="002F61EE" w:rsidRPr="005079B1">
        <w:t xml:space="preserve"> </w:t>
      </w:r>
      <w:r w:rsidRPr="005079B1">
        <w:t>if the</w:t>
      </w:r>
      <w:r w:rsidR="00965F95">
        <w:t xml:space="preserve"> </w:t>
      </w:r>
      <w:r w:rsidRPr="005079B1">
        <w:t>threshold was raised to $100,000:</w:t>
      </w:r>
    </w:p>
    <w:p w14:paraId="14E551C9" w14:textId="4DBA0104" w:rsidR="00C13057" w:rsidRPr="00D7436B" w:rsidRDefault="002F489D" w:rsidP="00D7436B">
      <w:pPr>
        <w:pStyle w:val="Bullet-Indent"/>
      </w:pPr>
      <w:r w:rsidRPr="00D7436B">
        <w:t>Trucks ranging from $40,000 to $100,000</w:t>
      </w:r>
    </w:p>
    <w:p w14:paraId="2893EB63" w14:textId="6D54BC64" w:rsidR="002F489D" w:rsidRPr="00D7436B" w:rsidRDefault="007821E3" w:rsidP="00D7436B">
      <w:pPr>
        <w:pStyle w:val="Bullet-Indent"/>
      </w:pPr>
      <w:r w:rsidRPr="00D7436B">
        <w:t>Portable compressors – average price $45,000</w:t>
      </w:r>
    </w:p>
    <w:p w14:paraId="6BA62097" w14:textId="736B2EA3" w:rsidR="005D4B1A" w:rsidRPr="00D7436B" w:rsidRDefault="007821E3" w:rsidP="00D7436B">
      <w:pPr>
        <w:pStyle w:val="Bullet-Indent"/>
      </w:pPr>
      <w:r w:rsidRPr="00D7436B">
        <w:t xml:space="preserve">Forklifts – average </w:t>
      </w:r>
      <w:r w:rsidR="009B42E7" w:rsidRPr="00D7436B">
        <w:t>price $40,000 to $55,000</w:t>
      </w:r>
    </w:p>
    <w:p w14:paraId="68F7A0D9" w14:textId="2C928765" w:rsidR="007821E3" w:rsidRPr="00D7436B" w:rsidRDefault="007821E3" w:rsidP="00D7436B">
      <w:pPr>
        <w:pStyle w:val="Bullet-Indent"/>
      </w:pPr>
      <w:r w:rsidRPr="00D7436B">
        <w:t xml:space="preserve">Diesel  </w:t>
      </w:r>
      <w:r w:rsidR="009B42E7" w:rsidRPr="00D7436B">
        <w:t>powered pumps – average price $85,000</w:t>
      </w:r>
    </w:p>
    <w:p w14:paraId="04E6FD5D" w14:textId="119D908D" w:rsidR="009B42E7" w:rsidRPr="00D7436B" w:rsidRDefault="009B42E7" w:rsidP="00D7436B">
      <w:pPr>
        <w:pStyle w:val="Bullet-Indent"/>
      </w:pPr>
      <w:r w:rsidRPr="00D7436B">
        <w:t xml:space="preserve">Tanks for trucks – average price </w:t>
      </w:r>
      <w:r w:rsidR="00962EB8" w:rsidRPr="00D7436B">
        <w:t>$90,000</w:t>
      </w:r>
    </w:p>
    <w:p w14:paraId="4A7BFCC9" w14:textId="344ABCE4" w:rsidR="00962EB8" w:rsidRPr="00D7436B" w:rsidRDefault="005B5353" w:rsidP="00D7436B">
      <w:pPr>
        <w:pStyle w:val="Bullet-Indent"/>
      </w:pPr>
      <w:r w:rsidRPr="00D7436B">
        <w:t>Excavators</w:t>
      </w:r>
      <w:r w:rsidR="00962EB8" w:rsidRPr="00D7436B">
        <w:t xml:space="preserve"> – average price $85,000</w:t>
      </w:r>
    </w:p>
    <w:p w14:paraId="762C693B" w14:textId="1E827797" w:rsidR="004D6B96" w:rsidRPr="004D6B96" w:rsidRDefault="00C11F0E" w:rsidP="00705E03">
      <w:pPr>
        <w:pStyle w:val="OutlineNumbered1"/>
      </w:pPr>
      <w:r>
        <w:t>Since 1986,</w:t>
      </w:r>
      <w:r w:rsidR="00536A88" w:rsidRPr="00995940">
        <w:t xml:space="preserve"> there will also have been a </w:t>
      </w:r>
      <w:r w:rsidR="00536A88" w:rsidRPr="00995940">
        <w:rPr>
          <w:i/>
        </w:rPr>
        <w:t>decline</w:t>
      </w:r>
      <w:r w:rsidR="00536A88" w:rsidRPr="00995940">
        <w:t xml:space="preserve"> in the relative prices of some goods and services as a result of s</w:t>
      </w:r>
      <w:r w:rsidR="00222E3F" w:rsidRPr="00995940">
        <w:t>ignificant technological advancement and improvements</w:t>
      </w:r>
      <w:r>
        <w:t xml:space="preserve">, for example, </w:t>
      </w:r>
      <w:r w:rsidR="00222E3F" w:rsidRPr="00995940">
        <w:t xml:space="preserve">computer equipment. </w:t>
      </w:r>
      <w:r w:rsidR="00536A88" w:rsidRPr="00995940">
        <w:t>In these cases,</w:t>
      </w:r>
      <w:r w:rsidR="00CF2C79" w:rsidRPr="00995940">
        <w:t xml:space="preserve"> the </w:t>
      </w:r>
      <w:r w:rsidR="00B52E71" w:rsidRPr="00995940">
        <w:t xml:space="preserve">decline in the relative price of such goods and services </w:t>
      </w:r>
      <w:r w:rsidR="00CF2C79" w:rsidRPr="00995940">
        <w:t>offset</w:t>
      </w:r>
      <w:r w:rsidR="000F2B57" w:rsidRPr="00995940">
        <w:t>s</w:t>
      </w:r>
      <w:r w:rsidR="00CF2C79" w:rsidRPr="00995940">
        <w:t xml:space="preserve"> the impact of the decline in the real value of the monetary threshold</w:t>
      </w:r>
      <w:r w:rsidR="00953540" w:rsidRPr="00995940">
        <w:t>, so that these goods and services continue to be covered by the ACL.</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2C5F42" w14:paraId="15A6391A" w14:textId="77777777" w:rsidTr="002C5F42">
        <w:tc>
          <w:tcPr>
            <w:tcW w:w="9242" w:type="dxa"/>
            <w:shd w:val="clear" w:color="auto" w:fill="F2F2F2" w:themeFill="background1" w:themeFillShade="F2"/>
          </w:tcPr>
          <w:p w14:paraId="43E0FE60" w14:textId="77777777" w:rsidR="002C5F42" w:rsidRPr="002C5F42" w:rsidRDefault="002C5F42" w:rsidP="002C5F42">
            <w:pPr>
              <w:pStyle w:val="BoxHeading"/>
            </w:pPr>
            <w:r w:rsidRPr="002C5F42">
              <w:t>Focus question</w:t>
            </w:r>
          </w:p>
          <w:p w14:paraId="298B76CD" w14:textId="77777777" w:rsidR="002C5F42" w:rsidRPr="002C5F42" w:rsidRDefault="002C5F42" w:rsidP="002C5F42">
            <w:pPr>
              <w:pStyle w:val="BoxHeadingSub"/>
            </w:pPr>
            <w:r w:rsidRPr="002C5F42">
              <w:t>For everyone</w:t>
            </w:r>
          </w:p>
          <w:p w14:paraId="2B05B966" w14:textId="16C12C3B" w:rsidR="002C5F42" w:rsidRPr="002C5F42" w:rsidRDefault="002C5F42" w:rsidP="002C5F42">
            <w:pPr>
              <w:pStyle w:val="BoxBullet"/>
            </w:pPr>
            <w:r w:rsidRPr="002C5F42">
              <w:t>In your sale and purchase of goods experiences, what purchases of goods or services would have formerly met the requirements of the definition of ‘consumer’, but are now excluded from this definition due to the decline in the real value of the monetary threshold? Please describe how you have reached this conclusion.</w:t>
            </w:r>
          </w:p>
        </w:tc>
      </w:tr>
    </w:tbl>
    <w:p w14:paraId="756F5DA2" w14:textId="77777777" w:rsidR="0078596D" w:rsidRDefault="0078596D">
      <w:pPr>
        <w:spacing w:after="200" w:line="276" w:lineRule="auto"/>
        <w:jc w:val="left"/>
      </w:pPr>
      <w:r>
        <w:br w:type="page"/>
      </w:r>
    </w:p>
    <w:p w14:paraId="76FFE6AE" w14:textId="73FAAC09" w:rsidR="003A1FA5" w:rsidRPr="003A1FA5" w:rsidRDefault="002E16DA" w:rsidP="002C5F42">
      <w:pPr>
        <w:pStyle w:val="Heading3-NoNumbered"/>
      </w:pPr>
      <w:bookmarkStart w:id="28" w:name="_Toc507753713"/>
      <w:bookmarkStart w:id="29" w:name="_Toc507770068"/>
      <w:r>
        <w:t>Small businesses suffer a commercial impact</w:t>
      </w:r>
      <w:bookmarkEnd w:id="28"/>
      <w:bookmarkEnd w:id="29"/>
    </w:p>
    <w:p w14:paraId="6767A6BF" w14:textId="6ACD2769" w:rsidR="002E16DA" w:rsidRPr="00D2385E" w:rsidRDefault="004D6B96" w:rsidP="00705E03">
      <w:pPr>
        <w:pStyle w:val="OutlineNumbered1"/>
      </w:pPr>
      <w:r w:rsidRPr="00D2385E">
        <w:t xml:space="preserve">All consumers are, to varying degrees, adversely affected by the purchase of a good or service which fails to comply with a particular standard or guarantee. </w:t>
      </w:r>
      <w:r w:rsidR="00CC17C4">
        <w:t>Particularly f</w:t>
      </w:r>
      <w:r w:rsidRPr="00D2385E">
        <w:t xml:space="preserve">rom a small business perspective, faulty or defective goods or services could result in lost productivity or profits. An example of this was provided by NSW DFSI and is outlined below (see </w:t>
      </w:r>
      <w:r w:rsidR="002F0C8F">
        <w:t>Case</w:t>
      </w:r>
      <w:r w:rsidR="002C5F42">
        <w:t> </w:t>
      </w:r>
      <w:r w:rsidR="002F0C8F">
        <w:t>study</w:t>
      </w:r>
      <w:r w:rsidR="002C5F42">
        <w:t> </w:t>
      </w:r>
      <w:r w:rsidR="00F14C68">
        <w:t>3</w:t>
      </w:r>
      <w:r w:rsidRPr="00D2385E">
        <w:t>).</w:t>
      </w:r>
    </w:p>
    <w:p w14:paraId="0E74D2FE" w14:textId="40F965D5" w:rsidR="002E16DA" w:rsidRPr="00072FED" w:rsidRDefault="002F0C8F" w:rsidP="002C5F42">
      <w:pPr>
        <w:pStyle w:val="Heading2-NoNumbered"/>
      </w:pPr>
      <w:bookmarkStart w:id="30" w:name="_Toc508968515"/>
      <w:r>
        <w:t>Case study</w:t>
      </w:r>
      <w:r w:rsidRPr="00072FED">
        <w:t xml:space="preserve"> </w:t>
      </w:r>
      <w:r w:rsidR="00F14C68">
        <w:t>3</w:t>
      </w:r>
      <w:r w:rsidR="00F14C68" w:rsidRPr="00072FED">
        <w:t xml:space="preserve"> </w:t>
      </w:r>
      <w:r w:rsidR="002E16DA" w:rsidRPr="00072FED">
        <w:t xml:space="preserve">– </w:t>
      </w:r>
      <w:r w:rsidR="00F1612D">
        <w:t>A</w:t>
      </w:r>
      <w:r w:rsidR="002E16DA" w:rsidRPr="00072FED">
        <w:t xml:space="preserve"> small business dispute about </w:t>
      </w:r>
      <w:r w:rsidR="007F0E12">
        <w:t>a water tank</w:t>
      </w:r>
      <w:bookmarkEnd w:id="30"/>
    </w:p>
    <w:p w14:paraId="32CF1970" w14:textId="77777777" w:rsidR="002E16DA" w:rsidRPr="00072FED" w:rsidRDefault="002E16DA" w:rsidP="00594197">
      <w:r w:rsidRPr="00072FED">
        <w:t>A small business owner paid $70,000 for a water tank to be installed on his truck by the supplier. After installation, the water tank began to crack. The small business owner believed that the manufacturer had used inferior plastic to construct the tank. The small business owner lost four jobs as a result of the faulty water tank, causing financial loss. The manufacturer of the water tank declared bankruptcy and the supplier refused to provide a refund. The supplier refused to participate in mediation to resolve the dispute, forcing the small business owner to take the matter to Court.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2C5F42" w14:paraId="2500B9C7" w14:textId="77777777" w:rsidTr="00EE4199">
        <w:tc>
          <w:tcPr>
            <w:tcW w:w="9242" w:type="dxa"/>
            <w:shd w:val="clear" w:color="auto" w:fill="F2F2F2" w:themeFill="background1" w:themeFillShade="F2"/>
          </w:tcPr>
          <w:p w14:paraId="343688E7" w14:textId="77777777" w:rsidR="002C5F42" w:rsidRPr="002C5F42" w:rsidRDefault="002C5F42" w:rsidP="00EE4199">
            <w:pPr>
              <w:pStyle w:val="BoxHeading"/>
            </w:pPr>
            <w:r w:rsidRPr="002C5F42">
              <w:t>Focus question</w:t>
            </w:r>
          </w:p>
          <w:p w14:paraId="2B2EC4A2" w14:textId="493BC2D8" w:rsidR="002C5F42" w:rsidRPr="002C5F42" w:rsidRDefault="002C5F42" w:rsidP="00EE4199">
            <w:pPr>
              <w:pStyle w:val="BoxHeadingSub"/>
            </w:pPr>
            <w:r w:rsidRPr="002C5F42">
              <w:t xml:space="preserve">For </w:t>
            </w:r>
            <w:r>
              <w:t>businesses</w:t>
            </w:r>
          </w:p>
          <w:p w14:paraId="3C3A55F7" w14:textId="3A6048C0" w:rsidR="002C5F42" w:rsidRPr="002C5F42" w:rsidRDefault="002C5F42" w:rsidP="002C5F42">
            <w:pPr>
              <w:pStyle w:val="BoxBullet"/>
            </w:pPr>
            <w:r w:rsidRPr="002C5F42">
              <w:t>If you have been excluded from making a claim under the ACL due to the decline in the real value of the monetary threshold, how has this exclusion impacted or affected your business? Please explain the circumstances.</w:t>
            </w:r>
          </w:p>
        </w:tc>
      </w:tr>
    </w:tbl>
    <w:p w14:paraId="4E0FBC3F" w14:textId="77777777" w:rsidR="002E16DA" w:rsidRDefault="002E16DA" w:rsidP="002C5F42">
      <w:pPr>
        <w:pStyle w:val="Singleparagraph"/>
      </w:pPr>
    </w:p>
    <w:p w14:paraId="4F1C7B43" w14:textId="3732907F" w:rsidR="00872EA5" w:rsidRDefault="00872EA5" w:rsidP="002C5F42">
      <w:pPr>
        <w:pStyle w:val="Heading3-NoNumbered"/>
      </w:pPr>
      <w:bookmarkStart w:id="31" w:name="_Toc507753714"/>
      <w:bookmarkStart w:id="32" w:name="_Toc507770069"/>
      <w:r>
        <w:t>Consumer purchases of commercial products should be entitled to protection</w:t>
      </w:r>
      <w:bookmarkEnd w:id="31"/>
      <w:bookmarkEnd w:id="32"/>
    </w:p>
    <w:p w14:paraId="659010CA" w14:textId="670B8FE2" w:rsidR="0086557F" w:rsidRDefault="00B50BFE" w:rsidP="00705E03">
      <w:pPr>
        <w:pStyle w:val="OutlineNumbered1"/>
      </w:pPr>
      <w:r w:rsidRPr="00A06F7E">
        <w:t xml:space="preserve">The Review observed that a flow-on benefit of increasing the threshold was that consumer purchases of commercial products </w:t>
      </w:r>
      <w:r w:rsidR="00D2102C">
        <w:t xml:space="preserve">which are </w:t>
      </w:r>
      <w:r w:rsidRPr="00A06F7E">
        <w:t>above the current $40,000 threshold would also be protected.</w:t>
      </w:r>
      <w:r w:rsidRPr="00B50BFE">
        <w:rPr>
          <w:rStyle w:val="FootnoteReference"/>
          <w:b/>
        </w:rPr>
        <w:footnoteReference w:id="11"/>
      </w:r>
      <w:r w:rsidRPr="00A06F7E">
        <w:t xml:space="preserve"> </w:t>
      </w:r>
    </w:p>
    <w:p w14:paraId="2981E810" w14:textId="32BEA5B8" w:rsidR="00B50BFE" w:rsidRPr="00A06F7E" w:rsidRDefault="00B50BFE" w:rsidP="00705E03">
      <w:pPr>
        <w:pStyle w:val="OutlineNumbered1"/>
      </w:pPr>
      <w:r w:rsidRPr="00A06F7E">
        <w:t>An example is where an individual consumer purchases commercial glass for installation in a home. If the cost exceeds $40,000, it is likely that the consumer would not be protected under the ACL, as commercial glass is</w:t>
      </w:r>
      <w:r w:rsidR="00ED4B32">
        <w:t xml:space="preserve"> likely not</w:t>
      </w:r>
      <w:r w:rsidRPr="00A06F7E">
        <w:t xml:space="preserve"> ordinarily acquired for </w:t>
      </w:r>
      <w:r w:rsidR="00ED4B32">
        <w:t>personal, domestic or household use of consumption and the purchase does not fall within the threshold</w:t>
      </w:r>
      <w:r w:rsidRPr="00A06F7E">
        <w:t>.</w:t>
      </w:r>
      <w:r w:rsidRPr="00B50BFE">
        <w:rPr>
          <w:rStyle w:val="FootnoteReference"/>
          <w:b/>
        </w:rPr>
        <w:footnoteReference w:id="12"/>
      </w:r>
    </w:p>
    <w:p w14:paraId="63FAFE07" w14:textId="77777777" w:rsidR="002C5F42" w:rsidRPr="002C5F42" w:rsidRDefault="002C5F42" w:rsidP="002C5F42">
      <w:r w:rsidRPr="002C5F42">
        <w:br w:type="page"/>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2C5F42" w14:paraId="715E3D9B" w14:textId="77777777" w:rsidTr="00EE4199">
        <w:tc>
          <w:tcPr>
            <w:tcW w:w="9242" w:type="dxa"/>
            <w:shd w:val="clear" w:color="auto" w:fill="F2F2F2" w:themeFill="background1" w:themeFillShade="F2"/>
          </w:tcPr>
          <w:p w14:paraId="201CB47F" w14:textId="59A32CD0" w:rsidR="002C5F42" w:rsidRPr="002C5F42" w:rsidRDefault="002C5F42" w:rsidP="00EE4199">
            <w:pPr>
              <w:pStyle w:val="BoxHeading"/>
            </w:pPr>
            <w:r w:rsidRPr="002C5F42">
              <w:t>Focus question</w:t>
            </w:r>
          </w:p>
          <w:p w14:paraId="0845332C" w14:textId="1DD3990C" w:rsidR="002C5F42" w:rsidRPr="002C5F42" w:rsidRDefault="002C5F42" w:rsidP="00EE4199">
            <w:pPr>
              <w:pStyle w:val="BoxHeadingSub"/>
            </w:pPr>
            <w:r w:rsidRPr="002C5F42">
              <w:t xml:space="preserve">For </w:t>
            </w:r>
            <w:r>
              <w:t>businesses</w:t>
            </w:r>
          </w:p>
          <w:p w14:paraId="539BF901" w14:textId="77777777" w:rsidR="002C5F42" w:rsidRPr="00DC5BD0" w:rsidRDefault="002C5F42" w:rsidP="002C5F42">
            <w:pPr>
              <w:pStyle w:val="BoxBullet"/>
            </w:pPr>
            <w:r w:rsidRPr="00DC5BD0">
              <w:t>In your experience</w:t>
            </w:r>
            <w:r>
              <w:t xml:space="preserve"> as a business</w:t>
            </w:r>
            <w:r w:rsidRPr="00DC5BD0">
              <w:t xml:space="preserve">, how often have consumers bought goods or services which could be used in both a domestic and commercial setting? Can you provide some common examples? </w:t>
            </w:r>
          </w:p>
          <w:p w14:paraId="1608801B" w14:textId="77777777" w:rsidR="002C5F42" w:rsidRPr="00453BD0" w:rsidRDefault="002C5F42" w:rsidP="002C5F42">
            <w:pPr>
              <w:pStyle w:val="BoxHeadingSub"/>
            </w:pPr>
            <w:r w:rsidRPr="00453BD0">
              <w:t>For consumers</w:t>
            </w:r>
          </w:p>
          <w:p w14:paraId="61C8D9F4" w14:textId="261F1F9A" w:rsidR="002C5F42" w:rsidRPr="002C5F42" w:rsidRDefault="002C5F42" w:rsidP="002C5F42">
            <w:pPr>
              <w:pStyle w:val="BoxBullet"/>
            </w:pPr>
            <w:r w:rsidRPr="002C5F42">
              <w:t>Please describe your experiences as a consumer when you have acquired a good or service that would not ordinarily be acquired for personal, domestic or household use? Why did you make this choice?</w:t>
            </w:r>
          </w:p>
        </w:tc>
      </w:tr>
    </w:tbl>
    <w:p w14:paraId="3FE67CA5" w14:textId="77777777" w:rsidR="002C5F42" w:rsidRDefault="002C5F42" w:rsidP="002C5F42">
      <w:pPr>
        <w:pStyle w:val="Singleparagraph"/>
      </w:pPr>
    </w:p>
    <w:p w14:paraId="662048EE" w14:textId="163BA0AD" w:rsidR="00851107" w:rsidRDefault="0039717E" w:rsidP="00705E03">
      <w:pPr>
        <w:pStyle w:val="Heading2-NoNumbered"/>
      </w:pPr>
      <w:bookmarkStart w:id="33" w:name="_Toc507753715"/>
      <w:bookmarkStart w:id="34" w:name="_Toc507770070"/>
      <w:bookmarkStart w:id="35" w:name="_Toc508968516"/>
      <w:r>
        <w:t>Exclusion from the ACL</w:t>
      </w:r>
      <w:r w:rsidR="0099314B">
        <w:t>: limited alternative recourse</w:t>
      </w:r>
      <w:bookmarkEnd w:id="33"/>
      <w:bookmarkEnd w:id="34"/>
      <w:bookmarkEnd w:id="35"/>
    </w:p>
    <w:p w14:paraId="1C79D784" w14:textId="5CB8C230" w:rsidR="007E1908" w:rsidRPr="00A642EA" w:rsidRDefault="007E1908" w:rsidP="00705E03">
      <w:pPr>
        <w:pStyle w:val="OutlineNumbered1"/>
      </w:pPr>
      <w:r w:rsidRPr="00B80FC9">
        <w:t>The previous discussion suggests that but for the decline in the real value of the monetary threshold, more small businesses purchases would be protected by the ACL. The ACL was never intended to offer blanket protection coverage for all business purchases. However, the failure to reco</w:t>
      </w:r>
      <w:r w:rsidR="003E3411">
        <w:t>gnise inflation does mean some consumers</w:t>
      </w:r>
      <w:r w:rsidRPr="00B80FC9">
        <w:t>, including small businesses, have been unjustifiably excluded from the regime</w:t>
      </w:r>
      <w:r w:rsidR="004A3413">
        <w:t xml:space="preserve"> over time</w:t>
      </w:r>
      <w:r w:rsidRPr="00B80FC9">
        <w:t>.</w:t>
      </w:r>
    </w:p>
    <w:p w14:paraId="2956AD7D" w14:textId="53274973" w:rsidR="0067546A" w:rsidRDefault="004829C9" w:rsidP="00705E03">
      <w:pPr>
        <w:pStyle w:val="OutlineNumbered1"/>
      </w:pPr>
      <w:r w:rsidRPr="004829C9">
        <w:t>Under the current law, where the cost of a good or service exceeds the monetary threshold of $40,000 (and</w:t>
      </w:r>
      <w:r w:rsidR="003E3411">
        <w:t xml:space="preserve"> the</w:t>
      </w:r>
      <w:r w:rsidR="006470C8">
        <w:t xml:space="preserve"> nature of the</w:t>
      </w:r>
      <w:r w:rsidR="003E3411">
        <w:t xml:space="preserve"> transaction</w:t>
      </w:r>
      <w:r w:rsidRPr="004829C9">
        <w:t xml:space="preserve"> does not satisfy other definitions of ‘consumer’), the</w:t>
      </w:r>
      <w:r w:rsidR="00E51127">
        <w:t xml:space="preserve"> purchaser </w:t>
      </w:r>
      <w:r w:rsidRPr="004829C9">
        <w:t xml:space="preserve">would not be able to take advantage of </w:t>
      </w:r>
      <w:r w:rsidR="00990B04">
        <w:t>certain</w:t>
      </w:r>
      <w:r w:rsidR="00E51127">
        <w:t xml:space="preserve"> protections offered by ACL provisions, including the consumer guarantees. </w:t>
      </w:r>
      <w:r w:rsidR="0067546A">
        <w:t xml:space="preserve">The effect of such exclusion is that they would be </w:t>
      </w:r>
      <w:r w:rsidR="0067546A" w:rsidRPr="004829C9">
        <w:t>required to rely upon alternative legal avenues</w:t>
      </w:r>
      <w:r w:rsidR="0067546A">
        <w:t>, such as claims based on contract law or negligence.</w:t>
      </w:r>
    </w:p>
    <w:p w14:paraId="77665EA5" w14:textId="367EDAD3" w:rsidR="004829C9" w:rsidRDefault="00CD54E4" w:rsidP="00705E03">
      <w:pPr>
        <w:pStyle w:val="OutlineNumbered1"/>
      </w:pPr>
      <w:r>
        <w:t>However, many small businesses (like ordinary consumers) may not be able to negotiate contract terms or establish a duty of care from their supplier to support a claim under negligence. In contrast, the consumer guarantees cannot</w:t>
      </w:r>
      <w:r w:rsidR="000D73FD">
        <w:t xml:space="preserve"> </w:t>
      </w:r>
      <w:r w:rsidR="000D73FD" w:rsidRPr="000D73FD">
        <w:t>be excluded by contract</w:t>
      </w:r>
      <w:r>
        <w:t>, nor is it necessary to establish any duty of care.</w:t>
      </w:r>
    </w:p>
    <w:p w14:paraId="75ADB64F" w14:textId="561E71EA" w:rsidR="007563D7" w:rsidRDefault="007B3B3F" w:rsidP="00705E03">
      <w:pPr>
        <w:pStyle w:val="OutlineNumbered1"/>
      </w:pPr>
      <w:r w:rsidRPr="005814D3">
        <w:t>In the absence of ACL</w:t>
      </w:r>
      <w:r w:rsidR="00BE222A">
        <w:t xml:space="preserve"> protections, in particular the</w:t>
      </w:r>
      <w:r w:rsidR="00964248" w:rsidRPr="005814D3">
        <w:t xml:space="preserve"> consumer guarantee</w:t>
      </w:r>
      <w:r w:rsidR="00015DDE" w:rsidRPr="005814D3">
        <w:t xml:space="preserve"> </w:t>
      </w:r>
      <w:r w:rsidR="00BE222A">
        <w:t>provisions</w:t>
      </w:r>
      <w:r w:rsidR="00015DDE" w:rsidRPr="005814D3">
        <w:t>,</w:t>
      </w:r>
      <w:r w:rsidR="00BE222A">
        <w:t xml:space="preserve"> consumers and small businesses</w:t>
      </w:r>
      <w:r w:rsidR="00A12E0E">
        <w:t xml:space="preserve"> will need to</w:t>
      </w:r>
      <w:r w:rsidR="00BE222A">
        <w:t xml:space="preserve"> seek</w:t>
      </w:r>
      <w:r w:rsidR="00A12E0E">
        <w:t xml:space="preserve"> </w:t>
      </w:r>
      <w:r w:rsidR="00DA7BBE">
        <w:t xml:space="preserve">non-ACL based </w:t>
      </w:r>
      <w:r w:rsidR="00BE222A">
        <w:t>recourse</w:t>
      </w:r>
      <w:r w:rsidR="00A12E0E">
        <w:t xml:space="preserve">. </w:t>
      </w:r>
      <w:r w:rsidR="00A12E0E" w:rsidRPr="00A12E0E">
        <w:t>As the nature and extent of contractual warranties outside of the ACL’s consumer guarantees vary between suppliers</w:t>
      </w:r>
      <w:r w:rsidR="00591C83">
        <w:t xml:space="preserve"> and manufacturers</w:t>
      </w:r>
      <w:r w:rsidR="00A12E0E" w:rsidRPr="00A12E0E">
        <w:t>, a small business consumer may need to invest in locating a supplier who is able to provide adequate warranties.</w:t>
      </w:r>
      <w:r w:rsidR="0021456D">
        <w:t xml:space="preserve"> However, small businesses may (like ordinary c</w:t>
      </w:r>
      <w:r w:rsidR="00616F19">
        <w:t xml:space="preserve">onsumers) lack bargaining power as well as the time, </w:t>
      </w:r>
      <w:r w:rsidR="0021456D">
        <w:t>skill and expertise to assess the quality of products and the adequacy of any warranties provided.</w:t>
      </w:r>
      <w:r w:rsidR="00A12E0E" w:rsidRPr="00A12E0E">
        <w:t xml:space="preserve"> Where a good or service is faulty, the consumer will need to consider alternative, non-ACL legal redress or compensation, including commencing court proceedings.</w:t>
      </w:r>
      <w:r w:rsidR="0026251F">
        <w:t xml:space="preserve"> </w:t>
      </w:r>
      <w:r w:rsidR="00A12E0E">
        <w:t>T</w:t>
      </w:r>
      <w:r w:rsidR="00015DDE" w:rsidRPr="005814D3">
        <w:t>he pr</w:t>
      </w:r>
      <w:r w:rsidR="00EF6FE6" w:rsidRPr="005814D3">
        <w:t>ocess for</w:t>
      </w:r>
      <w:r w:rsidR="00015DDE" w:rsidRPr="005814D3">
        <w:t xml:space="preserve"> </w:t>
      </w:r>
      <w:r w:rsidR="00EF6FE6" w:rsidRPr="005814D3">
        <w:t>resolution of a</w:t>
      </w:r>
      <w:r w:rsidRPr="005814D3">
        <w:t xml:space="preserve"> dispute</w:t>
      </w:r>
      <w:r w:rsidR="00B934CE">
        <w:t xml:space="preserve"> for claims under contract and negligence</w:t>
      </w:r>
      <w:r w:rsidRPr="005814D3">
        <w:t xml:space="preserve"> can be complex, slow and resource-consuming</w:t>
      </w:r>
      <w:r w:rsidR="00941683">
        <w:t>, and may require professional legal advice</w:t>
      </w:r>
      <w:r w:rsidRPr="005814D3">
        <w:t>.</w:t>
      </w:r>
    </w:p>
    <w:p w14:paraId="0B9CA227" w14:textId="77777777" w:rsidR="002C5F42" w:rsidRDefault="002C5F42">
      <w:pPr>
        <w:spacing w:after="200" w:line="276" w:lineRule="auto"/>
        <w:jc w:val="left"/>
      </w:pPr>
      <w:r>
        <w:br w:type="page"/>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2C5F42" w14:paraId="1613E8E4" w14:textId="77777777" w:rsidTr="00EE4199">
        <w:tc>
          <w:tcPr>
            <w:tcW w:w="9242" w:type="dxa"/>
            <w:shd w:val="clear" w:color="auto" w:fill="F2F2F2" w:themeFill="background1" w:themeFillShade="F2"/>
          </w:tcPr>
          <w:p w14:paraId="138DCDE7" w14:textId="14DA30A6" w:rsidR="002C5F42" w:rsidRPr="002C5F42" w:rsidRDefault="002C5F42" w:rsidP="00EE4199">
            <w:pPr>
              <w:pStyle w:val="BoxHeading"/>
            </w:pPr>
            <w:r w:rsidRPr="002C5F42">
              <w:t>Focus question</w:t>
            </w:r>
            <w:r>
              <w:t>s</w:t>
            </w:r>
          </w:p>
          <w:p w14:paraId="148FF92F" w14:textId="77777777" w:rsidR="002C5F42" w:rsidRPr="00453BD0" w:rsidRDefault="002C5F42" w:rsidP="00EE4199">
            <w:pPr>
              <w:pStyle w:val="BoxHeadingSub"/>
            </w:pPr>
            <w:r w:rsidRPr="00453BD0">
              <w:t>For consumers</w:t>
            </w:r>
          </w:p>
          <w:p w14:paraId="3F4B0F4D" w14:textId="77777777" w:rsidR="002C5F42" w:rsidRPr="002C5F42" w:rsidRDefault="002C5F42" w:rsidP="002C5F42">
            <w:pPr>
              <w:pStyle w:val="BoxBullet"/>
            </w:pPr>
            <w:r w:rsidRPr="002C5F42">
              <w:t>If you have experienced exclusion from the ACL’s protective regime due to the monetary threshold, please outline your experience in obtaining redress and remedy. What alternative legal recourse/s did you rely on? What was the cost associated with obtaining this redress?</w:t>
            </w:r>
          </w:p>
          <w:p w14:paraId="72573186" w14:textId="3D96C44E" w:rsidR="002C5F42" w:rsidRPr="002C5F42" w:rsidRDefault="002C5F42" w:rsidP="002C5F42">
            <w:pPr>
              <w:pStyle w:val="BoxBullet"/>
            </w:pPr>
            <w:r w:rsidRPr="002C5F42">
              <w:t>What means have you adopted to protect your rights as a consumer? Please discuss costs, resources required and experiences in negotiating and dealing with suppliers (if applicable).</w:t>
            </w:r>
          </w:p>
        </w:tc>
      </w:tr>
    </w:tbl>
    <w:p w14:paraId="4C2B6D42" w14:textId="77777777" w:rsidR="00705E03" w:rsidRDefault="00705E03" w:rsidP="00594197"/>
    <w:p w14:paraId="7B29A935" w14:textId="77777777" w:rsidR="00705E03" w:rsidRDefault="00705E03" w:rsidP="00594197">
      <w:pPr>
        <w:sectPr w:rsidR="00705E03" w:rsidSect="00545D74">
          <w:pgSz w:w="11906" w:h="16838"/>
          <w:pgMar w:top="1440" w:right="1440" w:bottom="1440" w:left="1440" w:header="709" w:footer="709" w:gutter="0"/>
          <w:cols w:space="708"/>
          <w:titlePg/>
          <w:docGrid w:linePitch="360"/>
        </w:sectPr>
      </w:pPr>
    </w:p>
    <w:p w14:paraId="0F3D1729" w14:textId="2797A12F" w:rsidR="002B0709" w:rsidRPr="006344AB" w:rsidRDefault="00777EFB" w:rsidP="00705E03">
      <w:pPr>
        <w:pStyle w:val="Heading1-NoNumber"/>
      </w:pPr>
      <w:bookmarkStart w:id="36" w:name="_Toc507753716"/>
      <w:bookmarkStart w:id="37" w:name="_Toc507770071"/>
      <w:bookmarkStart w:id="38" w:name="_Toc508968517"/>
      <w:r>
        <w:t>Policy objective</w:t>
      </w:r>
      <w:bookmarkEnd w:id="36"/>
      <w:bookmarkEnd w:id="37"/>
      <w:bookmarkEnd w:id="38"/>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B83309" w14:paraId="4A187AA5" w14:textId="77777777" w:rsidTr="0086691B">
        <w:tc>
          <w:tcPr>
            <w:tcW w:w="5000" w:type="pct"/>
            <w:shd w:val="clear" w:color="auto" w:fill="DBE5F1" w:themeFill="accent1" w:themeFillTint="33"/>
            <w:hideMark/>
          </w:tcPr>
          <w:p w14:paraId="6D1051EE" w14:textId="77777777" w:rsidR="00B83309" w:rsidRPr="0086691B" w:rsidRDefault="00B83309" w:rsidP="0086691B">
            <w:pPr>
              <w:pStyle w:val="BoxHeading"/>
            </w:pPr>
            <w:r w:rsidRPr="0086691B">
              <w:t>OVERVIEW</w:t>
            </w:r>
          </w:p>
          <w:p w14:paraId="50B8516C" w14:textId="44351812" w:rsidR="00B83309" w:rsidRPr="00BD7FAB" w:rsidRDefault="00B83309" w:rsidP="0086691B">
            <w:pPr>
              <w:pStyle w:val="BoxText"/>
            </w:pPr>
            <w:r>
              <w:t xml:space="preserve">The policy objective </w:t>
            </w:r>
            <w:r w:rsidR="000625C5">
              <w:t>behind the proposal</w:t>
            </w:r>
            <w:r w:rsidRPr="00741CA4">
              <w:t xml:space="preserve"> to increase the monetary threshold in the definition of ‘consumer’ is to ensure that the ACL continues to be fit for purpose</w:t>
            </w:r>
            <w:r>
              <w:t xml:space="preserve"> in protecting individual and small business consumers when purchasing goods or services not ordinarily acquired for </w:t>
            </w:r>
            <w:r w:rsidRPr="00681ECD">
              <w:t>personal, domestic or household use or consumption</w:t>
            </w:r>
            <w:r w:rsidRPr="00741CA4">
              <w:t>.</w:t>
            </w:r>
          </w:p>
        </w:tc>
      </w:tr>
    </w:tbl>
    <w:p w14:paraId="4C17066E" w14:textId="7C5F515B" w:rsidR="0086691B" w:rsidRDefault="0086691B" w:rsidP="0086691B">
      <w:pPr>
        <w:pStyle w:val="Singleparagraph"/>
      </w:pPr>
    </w:p>
    <w:p w14:paraId="117A9AFF" w14:textId="2B1AC047" w:rsidR="00705E03" w:rsidRPr="00705E03" w:rsidRDefault="00C964F3" w:rsidP="00705E03">
      <w:pPr>
        <w:pStyle w:val="OutlineNumbered1"/>
      </w:pPr>
      <w:r>
        <w:t xml:space="preserve">The policy objective </w:t>
      </w:r>
      <w:r w:rsidR="00E509D9">
        <w:t>acknowledges that small businesses, like individual consumers, often face information asymmetries and are time and resource poor.</w:t>
      </w:r>
      <w:r w:rsidR="006C31DF">
        <w:t xml:space="preserve"> It</w:t>
      </w:r>
      <w:r w:rsidR="006C31DF" w:rsidRPr="00741CA4">
        <w:t xml:space="preserve"> remains unchanged from</w:t>
      </w:r>
      <w:r w:rsidR="006C31DF" w:rsidRPr="00091351">
        <w:t xml:space="preserve"> when it was first introduced in 1977. In light of the changes in prices since 1986, the increase to $100,000 would broadly reinstate the original purchasing</w:t>
      </w:r>
      <w:r w:rsidR="00F36C24">
        <w:t xml:space="preserve"> power of the $40,000 threshold, ensuring the ACL remains fit for purpose in this context.</w:t>
      </w:r>
    </w:p>
    <w:p w14:paraId="2798F358" w14:textId="77777777" w:rsidR="00705E03" w:rsidRPr="00705E03" w:rsidRDefault="00705E03" w:rsidP="00705E03"/>
    <w:p w14:paraId="3DA3CF09" w14:textId="77777777" w:rsidR="00705E03" w:rsidRDefault="00705E03" w:rsidP="00705E03">
      <w:pPr>
        <w:sectPr w:rsidR="00705E03" w:rsidSect="00594197">
          <w:footerReference w:type="first" r:id="rId27"/>
          <w:type w:val="oddPage"/>
          <w:pgSz w:w="11906" w:h="16838"/>
          <w:pgMar w:top="1440" w:right="1440" w:bottom="1440" w:left="1440" w:header="708" w:footer="708" w:gutter="0"/>
          <w:cols w:space="708"/>
          <w:titlePg/>
          <w:docGrid w:linePitch="360"/>
        </w:sectPr>
      </w:pPr>
    </w:p>
    <w:p w14:paraId="35AE44E8" w14:textId="52ADBF07" w:rsidR="002B0709" w:rsidRPr="00E90476" w:rsidRDefault="00E72A2D" w:rsidP="00705E03">
      <w:pPr>
        <w:pStyle w:val="Heading1-NoNumber"/>
      </w:pPr>
      <w:bookmarkStart w:id="39" w:name="_Toc507753717"/>
      <w:bookmarkStart w:id="40" w:name="_Toc507770072"/>
      <w:bookmarkStart w:id="41" w:name="_Toc508968518"/>
      <w:r>
        <w:t>O</w:t>
      </w:r>
      <w:r w:rsidR="00E90476">
        <w:t>ptions and impact analysis</w:t>
      </w:r>
      <w:bookmarkEnd w:id="39"/>
      <w:bookmarkEnd w:id="40"/>
      <w:bookmarkEnd w:id="41"/>
      <w:r w:rsidR="00302E5C">
        <w:rPr>
          <w:sz w:val="32"/>
        </w:rPr>
        <w:t xml:space="preserve"> </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E01B41" w14:paraId="7104C8F9" w14:textId="77777777" w:rsidTr="0086691B">
        <w:tc>
          <w:tcPr>
            <w:tcW w:w="5000" w:type="pct"/>
            <w:shd w:val="clear" w:color="auto" w:fill="DBE5F1" w:themeFill="accent1" w:themeFillTint="33"/>
            <w:hideMark/>
          </w:tcPr>
          <w:p w14:paraId="1E3AA9D2" w14:textId="150A3E28" w:rsidR="00E01B41" w:rsidRPr="0086691B" w:rsidRDefault="00E01B41" w:rsidP="0086691B">
            <w:pPr>
              <w:pStyle w:val="BoxHeading"/>
            </w:pPr>
            <w:r w:rsidRPr="0086691B">
              <w:t>OVERVIEW</w:t>
            </w:r>
          </w:p>
          <w:p w14:paraId="6E977B08" w14:textId="77777777" w:rsidR="00E01B41" w:rsidRPr="00833176" w:rsidRDefault="00E01B41" w:rsidP="0086691B">
            <w:pPr>
              <w:pStyle w:val="BoxText"/>
            </w:pPr>
            <w:r w:rsidRPr="00833176">
              <w:t xml:space="preserve">In achieving the policy objective, it is important that the benefit should exceed the costs. </w:t>
            </w:r>
            <w:r>
              <w:t>T</w:t>
            </w:r>
            <w:r w:rsidRPr="00833176">
              <w:t>he options addressing the problem should provide certainty to manufacturers and suppliers, and not increase their regulatory burden or compliance costs unnecessarily.</w:t>
            </w:r>
          </w:p>
          <w:p w14:paraId="5C2E9656" w14:textId="77777777" w:rsidR="00E01B41" w:rsidRPr="0086691B" w:rsidRDefault="00E01B41" w:rsidP="0086691B">
            <w:pPr>
              <w:pStyle w:val="BoxText"/>
            </w:pPr>
            <w:r w:rsidRPr="0086691B">
              <w:t>To address the defined problem, this RIS chapter explores three options:</w:t>
            </w:r>
          </w:p>
          <w:p w14:paraId="3D9103E8" w14:textId="77777777" w:rsidR="00E01B41" w:rsidRPr="0086691B" w:rsidRDefault="00E01B41" w:rsidP="0086691B">
            <w:pPr>
              <w:pStyle w:val="BoxBullet"/>
            </w:pPr>
            <w:r w:rsidRPr="0086691B">
              <w:rPr>
                <w:b/>
              </w:rPr>
              <w:t>Option 1</w:t>
            </w:r>
            <w:r w:rsidRPr="0086691B">
              <w:t>: maintain the status quo.</w:t>
            </w:r>
          </w:p>
          <w:p w14:paraId="4BF1C473" w14:textId="69821305" w:rsidR="00E01B41" w:rsidRPr="0086691B" w:rsidRDefault="00E01B41" w:rsidP="0086691B">
            <w:pPr>
              <w:pStyle w:val="BoxBullet"/>
            </w:pPr>
            <w:r w:rsidRPr="0086691B">
              <w:rPr>
                <w:b/>
              </w:rPr>
              <w:t>Option 2</w:t>
            </w:r>
            <w:r w:rsidRPr="0086691B">
              <w:t>: increase the threshold from $40,000 to $100,000 in th</w:t>
            </w:r>
            <w:r w:rsidR="0086691B">
              <w:t>e definition of ‘consumer’.</w:t>
            </w:r>
          </w:p>
          <w:p w14:paraId="2C73C978" w14:textId="2A7FC4E5" w:rsidR="00E01B41" w:rsidRPr="00E01B41" w:rsidRDefault="00E01B41" w:rsidP="0086691B">
            <w:pPr>
              <w:pStyle w:val="BoxBullet"/>
            </w:pPr>
            <w:r w:rsidRPr="0086691B">
              <w:rPr>
                <w:b/>
              </w:rPr>
              <w:t>Option 3</w:t>
            </w:r>
            <w:r w:rsidRPr="0086691B">
              <w:t>: increase the threshold from $40,000 to $100,000 in the definition of ‘consumer’ and apply indexation.</w:t>
            </w:r>
          </w:p>
        </w:tc>
      </w:tr>
    </w:tbl>
    <w:p w14:paraId="5F9EE421" w14:textId="77777777" w:rsidR="00E01B41" w:rsidRDefault="00E01B41" w:rsidP="0086691B">
      <w:pPr>
        <w:pStyle w:val="Singleparagraph"/>
      </w:pPr>
    </w:p>
    <w:p w14:paraId="12C5CFE2" w14:textId="17D717AA" w:rsidR="002B0709" w:rsidRDefault="002B0709" w:rsidP="00705E03">
      <w:pPr>
        <w:pStyle w:val="Heading2-NoNumbered"/>
      </w:pPr>
      <w:bookmarkStart w:id="42" w:name="_Toc507753718"/>
      <w:bookmarkStart w:id="43" w:name="_Toc507770073"/>
      <w:bookmarkStart w:id="44" w:name="_Toc508968519"/>
      <w:r w:rsidRPr="00164BB7">
        <w:t xml:space="preserve">Option 1: </w:t>
      </w:r>
      <w:r w:rsidR="007A7ABB">
        <w:t xml:space="preserve">Maintain the </w:t>
      </w:r>
      <w:r w:rsidRPr="00164BB7">
        <w:t>Status quo</w:t>
      </w:r>
      <w:bookmarkEnd w:id="42"/>
      <w:bookmarkEnd w:id="43"/>
      <w:bookmarkEnd w:id="44"/>
    </w:p>
    <w:p w14:paraId="47B3CCA2" w14:textId="717C6CA1" w:rsidR="00DB084F" w:rsidRPr="00F42E4E" w:rsidRDefault="00DB084F" w:rsidP="00705E03">
      <w:pPr>
        <w:pStyle w:val="OutlineNumbered1"/>
      </w:pPr>
      <w:r w:rsidRPr="00F42E4E">
        <w:t>If the status quo is maintained</w:t>
      </w:r>
      <w:r w:rsidR="00832A3C" w:rsidRPr="00F42E4E">
        <w:t>,</w:t>
      </w:r>
      <w:r w:rsidRPr="00F42E4E">
        <w:t xml:space="preserve"> current laws would continue to operate. </w:t>
      </w:r>
      <w:r w:rsidR="00CF4245" w:rsidRPr="00F42E4E">
        <w:t>All purchases of goods or services ordinarily</w:t>
      </w:r>
      <w:r w:rsidR="00B72F1E" w:rsidRPr="00F42E4E">
        <w:t xml:space="preserve"> acquired</w:t>
      </w:r>
      <w:r w:rsidR="00CF4245" w:rsidRPr="00F42E4E">
        <w:t xml:space="preserve"> for domestic, personal or household use will remain covered. A purchase will be outside the definition of ‘consumer’ when that purchase is ‘not ordinarily for domestic, personal or household use’ and in excess of</w:t>
      </w:r>
      <w:r w:rsidRPr="00F42E4E">
        <w:t xml:space="preserve"> the monetary threshold amount of</w:t>
      </w:r>
      <w:r w:rsidR="00CF4245" w:rsidRPr="00F42E4E">
        <w:t xml:space="preserve"> $40,000</w:t>
      </w:r>
      <w:r w:rsidR="001B27E2">
        <w:t>, and will not be covered by the ACL consumer guarantee protections.</w:t>
      </w:r>
    </w:p>
    <w:p w14:paraId="3DD288BF" w14:textId="007D501C" w:rsidR="002A125A" w:rsidRDefault="00BD0712" w:rsidP="00705E03">
      <w:pPr>
        <w:pStyle w:val="Heading3-NoNumbered"/>
      </w:pPr>
      <w:bookmarkStart w:id="45" w:name="_Toc507753719"/>
      <w:bookmarkStart w:id="46" w:name="_Toc507770074"/>
      <w:r>
        <w:t>Impact analysis</w:t>
      </w:r>
      <w:bookmarkEnd w:id="45"/>
      <w:bookmarkEnd w:id="46"/>
    </w:p>
    <w:p w14:paraId="01300C1F" w14:textId="3588FC22" w:rsidR="00C836DB" w:rsidRDefault="00DF2F4B" w:rsidP="00705E03">
      <w:pPr>
        <w:pStyle w:val="OutlineNumbered1"/>
      </w:pPr>
      <w:r>
        <w:t>A benefit to both</w:t>
      </w:r>
      <w:r w:rsidR="00E3235B">
        <w:t xml:space="preserve"> businesses</w:t>
      </w:r>
      <w:r>
        <w:t xml:space="preserve"> and consumers if the status quo is maintained is that it offers legal certainty </w:t>
      </w:r>
      <w:r w:rsidR="00D93A92">
        <w:t>as there is no change to the existing law, contractual arrangements or warranties</w:t>
      </w:r>
      <w:r w:rsidR="00E3235B">
        <w:t xml:space="preserve">. Businesses </w:t>
      </w:r>
      <w:r w:rsidRPr="009958A8">
        <w:t xml:space="preserve">would not have </w:t>
      </w:r>
      <w:r>
        <w:t xml:space="preserve">to take any action to reflect an increased monetary threshold amount in their </w:t>
      </w:r>
      <w:r w:rsidR="00C836DB">
        <w:t>transactions</w:t>
      </w:r>
      <w:r>
        <w:t>.</w:t>
      </w:r>
    </w:p>
    <w:p w14:paraId="70CDEE71" w14:textId="0C24FF01" w:rsidR="006C35D8" w:rsidRDefault="005D1499" w:rsidP="00705E03">
      <w:pPr>
        <w:pStyle w:val="OutlineNumbered1"/>
      </w:pPr>
      <w:r>
        <w:t xml:space="preserve">As outlined in the ‘Problem’ section, consumers would </w:t>
      </w:r>
      <w:r w:rsidR="00345D4B">
        <w:t xml:space="preserve">continue to </w:t>
      </w:r>
      <w:r>
        <w:t xml:space="preserve">be excluded from the </w:t>
      </w:r>
      <w:r w:rsidR="004F1F56">
        <w:t xml:space="preserve">ACL protections which rely on the definition of ‘consumer’ where </w:t>
      </w:r>
      <w:r>
        <w:t>their purchase</w:t>
      </w:r>
      <w:r w:rsidR="000D73FD">
        <w:t xml:space="preserve"> of commercial product</w:t>
      </w:r>
      <w:r>
        <w:t>s exceed</w:t>
      </w:r>
      <w:r w:rsidR="000D73FD">
        <w:t>s</w:t>
      </w:r>
      <w:r>
        <w:t xml:space="preserve"> the $40,000 monetary threshold amount. </w:t>
      </w:r>
      <w:r w:rsidR="00C836DB">
        <w:t>These consumers would need to consider alternative, non-ACL legal redress or compensation.</w:t>
      </w:r>
    </w:p>
    <w:p w14:paraId="4572758D" w14:textId="5A096588" w:rsidR="00D03E0A" w:rsidRDefault="00D03E0A" w:rsidP="00705E03">
      <w:pPr>
        <w:pStyle w:val="OutlineNumbered1"/>
      </w:pPr>
      <w:r>
        <w:t>There may also be issues about whether the threshold remains fit for purpose into the future as the price of goods and services continues to change over time.</w:t>
      </w:r>
    </w:p>
    <w:tbl>
      <w:tblPr>
        <w:tblW w:w="9242" w:type="dxa"/>
        <w:tblInd w:w="-6" w:type="dxa"/>
        <w:shd w:val="clear" w:color="auto" w:fill="F2F2F2" w:themeFill="background1" w:themeFillShade="F2"/>
        <w:tblLayout w:type="fixed"/>
        <w:tblLook w:val="04A0" w:firstRow="1" w:lastRow="0" w:firstColumn="1" w:lastColumn="0" w:noHBand="0" w:noVBand="1"/>
      </w:tblPr>
      <w:tblGrid>
        <w:gridCol w:w="4477"/>
        <w:gridCol w:w="4765"/>
      </w:tblGrid>
      <w:tr w:rsidR="00BB5674" w:rsidRPr="0086691B" w14:paraId="7E5F6E13" w14:textId="77777777" w:rsidTr="0086691B">
        <w:trPr>
          <w:trHeight w:val="243"/>
        </w:trPr>
        <w:tc>
          <w:tcPr>
            <w:tcW w:w="4395" w:type="dxa"/>
            <w:tcBorders>
              <w:top w:val="single" w:sz="4" w:space="0" w:color="1F497D" w:themeColor="text2"/>
              <w:bottom w:val="single" w:sz="4" w:space="0" w:color="1F497D" w:themeColor="text2"/>
            </w:tcBorders>
            <w:shd w:val="clear" w:color="auto" w:fill="DBE5F1" w:themeFill="accent1" w:themeFillTint="33"/>
          </w:tcPr>
          <w:p w14:paraId="3FFA02AC" w14:textId="76F42720" w:rsidR="00BB5674" w:rsidRPr="0086691B" w:rsidRDefault="00BB5674" w:rsidP="0086691B">
            <w:pPr>
              <w:pStyle w:val="TableColumnHeadingLeft"/>
            </w:pPr>
            <w:r w:rsidRPr="0086691B">
              <w:t>BENEFITS</w:t>
            </w:r>
          </w:p>
        </w:tc>
        <w:tc>
          <w:tcPr>
            <w:tcW w:w="4677" w:type="dxa"/>
            <w:tcBorders>
              <w:top w:val="single" w:sz="4" w:space="0" w:color="1F497D" w:themeColor="text2"/>
              <w:bottom w:val="single" w:sz="4" w:space="0" w:color="1F497D" w:themeColor="text2"/>
            </w:tcBorders>
            <w:shd w:val="clear" w:color="auto" w:fill="DBE5F1" w:themeFill="accent1" w:themeFillTint="33"/>
          </w:tcPr>
          <w:p w14:paraId="75454B1C" w14:textId="77777777" w:rsidR="00BB5674" w:rsidRPr="0086691B" w:rsidRDefault="00BB5674" w:rsidP="0086691B">
            <w:pPr>
              <w:pStyle w:val="TableColumnHeadingLeft"/>
            </w:pPr>
            <w:r w:rsidRPr="0086691B">
              <w:t>COSTS</w:t>
            </w:r>
          </w:p>
        </w:tc>
      </w:tr>
      <w:tr w:rsidR="00BB5674" w:rsidRPr="0086691B" w14:paraId="2DE8F351" w14:textId="77777777" w:rsidTr="0086691B">
        <w:trPr>
          <w:trHeight w:val="519"/>
        </w:trPr>
        <w:tc>
          <w:tcPr>
            <w:tcW w:w="4395" w:type="dxa"/>
            <w:tcBorders>
              <w:top w:val="single" w:sz="4" w:space="0" w:color="1F497D" w:themeColor="text2"/>
            </w:tcBorders>
            <w:shd w:val="clear" w:color="auto" w:fill="auto"/>
          </w:tcPr>
          <w:p w14:paraId="2E0EC750" w14:textId="1F5B284B" w:rsidR="00BB5674" w:rsidRPr="0086691B" w:rsidRDefault="00BB5674" w:rsidP="0086691B">
            <w:pPr>
              <w:pStyle w:val="TableTextLeft-Bullet"/>
              <w:rPr>
                <w:rFonts w:eastAsiaTheme="minorHAnsi"/>
              </w:rPr>
            </w:pPr>
            <w:r w:rsidRPr="0086691B">
              <w:t xml:space="preserve">Certainty for </w:t>
            </w:r>
            <w:r w:rsidR="00021851" w:rsidRPr="0086691B">
              <w:t>businesses</w:t>
            </w:r>
            <w:r w:rsidRPr="0086691B">
              <w:t xml:space="preserve"> and consumers as the law maintains the status quo</w:t>
            </w:r>
            <w:r w:rsidR="006B0262" w:rsidRPr="0086691B">
              <w:t>.</w:t>
            </w:r>
          </w:p>
        </w:tc>
        <w:tc>
          <w:tcPr>
            <w:tcW w:w="4677" w:type="dxa"/>
            <w:tcBorders>
              <w:top w:val="single" w:sz="4" w:space="0" w:color="1F497D" w:themeColor="text2"/>
            </w:tcBorders>
            <w:shd w:val="clear" w:color="auto" w:fill="auto"/>
          </w:tcPr>
          <w:p w14:paraId="08011E02" w14:textId="7CA20129" w:rsidR="00BB5674" w:rsidRPr="0086691B" w:rsidRDefault="00BB5674" w:rsidP="0086691B">
            <w:pPr>
              <w:pStyle w:val="TableTextLeft-Bullet"/>
            </w:pPr>
            <w:r w:rsidRPr="0086691B">
              <w:t xml:space="preserve">Consumers are not able to access the ACL’s protective regime if </w:t>
            </w:r>
            <w:r w:rsidR="000D73FD" w:rsidRPr="0086691B">
              <w:t xml:space="preserve">their </w:t>
            </w:r>
            <w:r w:rsidRPr="0086691B">
              <w:t>purchase</w:t>
            </w:r>
            <w:r w:rsidR="000D73FD" w:rsidRPr="0086691B">
              <w:t xml:space="preserve"> of a commercial product</w:t>
            </w:r>
            <w:r w:rsidRPr="0086691B">
              <w:t xml:space="preserve"> exceed</w:t>
            </w:r>
            <w:r w:rsidR="000D73FD" w:rsidRPr="0086691B">
              <w:t>s</w:t>
            </w:r>
            <w:r w:rsidRPr="0086691B">
              <w:t xml:space="preserve"> the $40,000 monetary threshold</w:t>
            </w:r>
            <w:r w:rsidR="006B0262" w:rsidRPr="0086691B">
              <w:t>.</w:t>
            </w:r>
          </w:p>
        </w:tc>
      </w:tr>
      <w:tr w:rsidR="00BB5674" w:rsidRPr="0086691B" w14:paraId="1D992E1A" w14:textId="77777777" w:rsidTr="0086691B">
        <w:trPr>
          <w:trHeight w:val="519"/>
        </w:trPr>
        <w:tc>
          <w:tcPr>
            <w:tcW w:w="4395" w:type="dxa"/>
            <w:tcBorders>
              <w:bottom w:val="single" w:sz="4" w:space="0" w:color="1F497D" w:themeColor="text2"/>
            </w:tcBorders>
            <w:shd w:val="clear" w:color="auto" w:fill="F2F2F2" w:themeFill="background1" w:themeFillShade="F2"/>
          </w:tcPr>
          <w:p w14:paraId="5CCB33EE" w14:textId="52720E78" w:rsidR="00BB5674" w:rsidRPr="0086691B" w:rsidRDefault="00021851" w:rsidP="0086691B">
            <w:pPr>
              <w:pStyle w:val="TableTextLeft-Bullet"/>
            </w:pPr>
            <w:r w:rsidRPr="0086691B">
              <w:t>Businesses</w:t>
            </w:r>
            <w:r w:rsidR="00BB5674" w:rsidRPr="0086691B">
              <w:t xml:space="preserve"> do not need </w:t>
            </w:r>
            <w:r w:rsidR="006B0262" w:rsidRPr="0086691B">
              <w:t>to adjust compliance mechanisms.</w:t>
            </w:r>
          </w:p>
        </w:tc>
        <w:tc>
          <w:tcPr>
            <w:tcW w:w="4677" w:type="dxa"/>
            <w:tcBorders>
              <w:bottom w:val="single" w:sz="4" w:space="0" w:color="1F497D" w:themeColor="text2"/>
            </w:tcBorders>
            <w:shd w:val="clear" w:color="auto" w:fill="F2F2F2" w:themeFill="background1" w:themeFillShade="F2"/>
          </w:tcPr>
          <w:p w14:paraId="7A941291" w14:textId="423567A5" w:rsidR="00BB5674" w:rsidRPr="0086691B" w:rsidRDefault="00BB5674" w:rsidP="0086691B">
            <w:pPr>
              <w:pStyle w:val="TableTextLeft-Bullet"/>
            </w:pPr>
            <w:r w:rsidRPr="0086691B">
              <w:t>Consumers would need to consider protection or legal redress outside the ACL’s consumer guarantee regime</w:t>
            </w:r>
            <w:r w:rsidR="006B0262" w:rsidRPr="0086691B">
              <w:t>.</w:t>
            </w:r>
          </w:p>
        </w:tc>
      </w:tr>
    </w:tbl>
    <w:p w14:paraId="616E5C46" w14:textId="77777777" w:rsidR="0086691B" w:rsidRPr="0086691B" w:rsidRDefault="0086691B" w:rsidP="0086691B"/>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86691B" w14:paraId="2F2B9139" w14:textId="77777777" w:rsidTr="00EE4199">
        <w:tc>
          <w:tcPr>
            <w:tcW w:w="9242" w:type="dxa"/>
            <w:shd w:val="clear" w:color="auto" w:fill="F2F2F2" w:themeFill="background1" w:themeFillShade="F2"/>
          </w:tcPr>
          <w:p w14:paraId="657E0E52" w14:textId="77777777" w:rsidR="0086691B" w:rsidRPr="002C5F42" w:rsidRDefault="0086691B" w:rsidP="00EE4199">
            <w:pPr>
              <w:pStyle w:val="BoxHeading"/>
            </w:pPr>
            <w:r w:rsidRPr="002C5F42">
              <w:t>Focus question</w:t>
            </w:r>
            <w:r>
              <w:t>s</w:t>
            </w:r>
          </w:p>
          <w:p w14:paraId="2FF85C2C" w14:textId="592CEA10" w:rsidR="0086691B" w:rsidRPr="00453BD0" w:rsidRDefault="0086691B" w:rsidP="00EE4199">
            <w:pPr>
              <w:pStyle w:val="BoxHeadingSub"/>
            </w:pPr>
            <w:r w:rsidRPr="00453BD0">
              <w:t xml:space="preserve">For </w:t>
            </w:r>
            <w:r>
              <w:t>everyone</w:t>
            </w:r>
          </w:p>
          <w:p w14:paraId="6D763566" w14:textId="77777777" w:rsidR="0086691B" w:rsidRPr="0086691B" w:rsidRDefault="0086691B" w:rsidP="0086691B">
            <w:pPr>
              <w:pStyle w:val="BoxBullet"/>
            </w:pPr>
            <w:r w:rsidRPr="0086691B">
              <w:t>Is the current monetary threshold a barrier to consumer access to the ACL regime?</w:t>
            </w:r>
          </w:p>
          <w:p w14:paraId="6AEB7C3E" w14:textId="77777777" w:rsidR="0086691B" w:rsidRPr="0086691B" w:rsidRDefault="0086691B" w:rsidP="0086691B">
            <w:pPr>
              <w:pStyle w:val="BoxBullet"/>
            </w:pPr>
            <w:r w:rsidRPr="0086691B">
              <w:t>Are there any other benefits associated with maintaining the status quo?</w:t>
            </w:r>
          </w:p>
          <w:p w14:paraId="670A4FD5" w14:textId="77777777" w:rsidR="0086691B" w:rsidRPr="0086691B" w:rsidRDefault="0086691B" w:rsidP="0086691B">
            <w:pPr>
              <w:pStyle w:val="BoxBullet"/>
            </w:pPr>
            <w:r w:rsidRPr="0086691B">
              <w:t>What are other potential costs to industry, consumers and businesses if the status quo was maintained?</w:t>
            </w:r>
          </w:p>
          <w:p w14:paraId="11A57B38" w14:textId="77777777" w:rsidR="0086691B" w:rsidRPr="0086691B" w:rsidRDefault="0086691B" w:rsidP="0086691B">
            <w:pPr>
              <w:pStyle w:val="BoxBullet"/>
            </w:pPr>
            <w:r w:rsidRPr="0086691B">
              <w:t xml:space="preserve">How many purchases have you made for a commercial product costing above $40,000? </w:t>
            </w:r>
          </w:p>
          <w:p w14:paraId="7B3158E0" w14:textId="5737336D" w:rsidR="0086691B" w:rsidRPr="002C5F42" w:rsidRDefault="0086691B" w:rsidP="0086691B">
            <w:pPr>
              <w:pStyle w:val="BoxBullet"/>
            </w:pPr>
            <w:r w:rsidRPr="0086691B">
              <w:t>If you have been excluded from the ACL’s regime as a result of the current monetary threshold amount, what means have you adopted to protect or enforce your rights? Please discuss costs, resources required and experiences in this context.</w:t>
            </w:r>
          </w:p>
        </w:tc>
      </w:tr>
    </w:tbl>
    <w:p w14:paraId="0BF20DE5" w14:textId="77777777" w:rsidR="0086691B" w:rsidRPr="0086691B" w:rsidRDefault="0086691B" w:rsidP="0086691B">
      <w:pPr>
        <w:pStyle w:val="Singleparagraph"/>
      </w:pPr>
    </w:p>
    <w:p w14:paraId="1D18BA58" w14:textId="77777777" w:rsidR="00080408" w:rsidRDefault="002B0709" w:rsidP="00705E03">
      <w:pPr>
        <w:pStyle w:val="Heading2-NoNumbered"/>
      </w:pPr>
      <w:bookmarkStart w:id="47" w:name="_Toc507753720"/>
      <w:bookmarkStart w:id="48" w:name="_Toc507770075"/>
      <w:bookmarkStart w:id="49" w:name="_Toc508968520"/>
      <w:r w:rsidRPr="00164BB7">
        <w:t xml:space="preserve">Option 2: </w:t>
      </w:r>
      <w:r w:rsidR="00080408">
        <w:t>Increase the threshold in the definition of consumer from $40,000 to $100,000</w:t>
      </w:r>
      <w:bookmarkEnd w:id="47"/>
      <w:bookmarkEnd w:id="48"/>
      <w:bookmarkEnd w:id="49"/>
    </w:p>
    <w:p w14:paraId="27601E0C" w14:textId="457987B7" w:rsidR="00AA4353" w:rsidRPr="009922DD" w:rsidRDefault="005C78CE" w:rsidP="00705E03">
      <w:pPr>
        <w:pStyle w:val="OutlineNumbered1"/>
      </w:pPr>
      <w:r w:rsidRPr="009922DD">
        <w:t xml:space="preserve">This option would increase the monetary threshold in the definition of </w:t>
      </w:r>
      <w:r w:rsidR="00FE4E8B" w:rsidRPr="009922DD">
        <w:t>‘</w:t>
      </w:r>
      <w:r w:rsidRPr="009922DD">
        <w:t>consumer</w:t>
      </w:r>
      <w:r w:rsidR="00FE4E8B" w:rsidRPr="009922DD">
        <w:t>’</w:t>
      </w:r>
      <w:r w:rsidRPr="009922DD">
        <w:t xml:space="preserve"> from $40,000 to $100,000</w:t>
      </w:r>
      <w:r w:rsidR="00DA2D47" w:rsidRPr="009922DD">
        <w:t xml:space="preserve">, thus </w:t>
      </w:r>
      <w:r w:rsidR="002555A0" w:rsidRPr="009922DD">
        <w:t>restoring the real value of the threshold</w:t>
      </w:r>
      <w:r w:rsidR="00890580">
        <w:t xml:space="preserve"> and achieving parity </w:t>
      </w:r>
      <w:r w:rsidR="00663FAA">
        <w:t>in protection available when the current threshold was established in 198</w:t>
      </w:r>
      <w:r w:rsidR="008B6301">
        <w:t>6.</w:t>
      </w:r>
      <w:r w:rsidR="002555A0" w:rsidRPr="009922DD">
        <w:t xml:space="preserve"> </w:t>
      </w:r>
      <w:r w:rsidR="007B3403" w:rsidRPr="009922DD">
        <w:t>An amendment would be made to the ACL to increase the threshold.</w:t>
      </w:r>
      <w:r w:rsidR="009D447F" w:rsidRPr="009922DD" w:rsidDel="009D447F">
        <w:t xml:space="preserve"> </w:t>
      </w:r>
    </w:p>
    <w:p w14:paraId="673AB018" w14:textId="384E7A4D" w:rsidR="00087D36" w:rsidRDefault="00087D36" w:rsidP="00705E03">
      <w:pPr>
        <w:pStyle w:val="Heading3-NoNumbered"/>
      </w:pPr>
      <w:bookmarkStart w:id="50" w:name="_Toc507753721"/>
      <w:bookmarkStart w:id="51" w:name="_Toc507770076"/>
      <w:r>
        <w:t>Impact analysis</w:t>
      </w:r>
      <w:bookmarkEnd w:id="50"/>
      <w:bookmarkEnd w:id="51"/>
    </w:p>
    <w:p w14:paraId="0D646EBF" w14:textId="0C67D3F4" w:rsidR="00F42E4E" w:rsidRPr="008C7116" w:rsidRDefault="00F42E4E" w:rsidP="00705E03">
      <w:pPr>
        <w:pStyle w:val="OutlineNumbered1"/>
      </w:pPr>
      <w:r w:rsidRPr="008C7116">
        <w:t>This option ensures that the definition of ‘consumer’ is fit for purpose and consistent with the original policy intent for ACL</w:t>
      </w:r>
      <w:r w:rsidR="008C3FFC">
        <w:t xml:space="preserve"> protections</w:t>
      </w:r>
      <w:r w:rsidRPr="008C7116">
        <w:t xml:space="preserve"> to extend to </w:t>
      </w:r>
      <w:r w:rsidR="008C3FFC">
        <w:t xml:space="preserve">consumers, including small businesses. </w:t>
      </w:r>
      <w:r w:rsidRPr="008C7116">
        <w:t>The real value of commercial purchases would be more accurately reflected, providing</w:t>
      </w:r>
      <w:r w:rsidR="007E388E">
        <w:t xml:space="preserve"> individual and small business</w:t>
      </w:r>
      <w:r w:rsidRPr="008C7116">
        <w:t xml:space="preserve"> consumers with the confidence that their purchases will be protected under the ACL regime </w:t>
      </w:r>
      <w:r w:rsidR="00D64FE5">
        <w:t>so</w:t>
      </w:r>
      <w:r w:rsidRPr="008C7116">
        <w:t xml:space="preserve"> long </w:t>
      </w:r>
      <w:r w:rsidR="00D64FE5">
        <w:t xml:space="preserve">as they fall </w:t>
      </w:r>
      <w:r w:rsidRPr="008C7116">
        <w:t>under the $100,000 threshold amount</w:t>
      </w:r>
      <w:r w:rsidR="00B0396D">
        <w:t xml:space="preserve"> and are not otherwise excluded (for example, by being for the purpose of resupply).</w:t>
      </w:r>
      <w:r w:rsidR="00455B5C">
        <w:t xml:space="preserve"> Search costs may also be reduced as consumers will not need to expend </w:t>
      </w:r>
      <w:r w:rsidR="00C622FD">
        <w:t>further cost and</w:t>
      </w:r>
      <w:r w:rsidR="00455B5C">
        <w:t xml:space="preserve"> effort in seeking non-ACL forms of protection or redress</w:t>
      </w:r>
      <w:r w:rsidR="00604FC5">
        <w:t>, including reliance upon common law actions grounded in contracts or tort law</w:t>
      </w:r>
      <w:r w:rsidR="0065036B">
        <w:t xml:space="preserve">, which are unclear in operation and uncertain in outcome. </w:t>
      </w:r>
    </w:p>
    <w:p w14:paraId="2370F595" w14:textId="07471EA8" w:rsidR="00B00CEC" w:rsidRPr="00164335" w:rsidRDefault="00862E2F" w:rsidP="00705E03">
      <w:pPr>
        <w:pStyle w:val="OutlineNumbered1"/>
      </w:pPr>
      <w:r w:rsidRPr="008C7116">
        <w:t xml:space="preserve">This option is not without potential compliance costs to </w:t>
      </w:r>
      <w:r w:rsidR="00C0168A" w:rsidRPr="008C7116">
        <w:t>suppliers of such goods</w:t>
      </w:r>
      <w:r w:rsidRPr="008C7116">
        <w:t>.</w:t>
      </w:r>
      <w:r w:rsidR="00B86D9D" w:rsidRPr="008C7116">
        <w:t xml:space="preserve"> </w:t>
      </w:r>
      <w:r w:rsidR="000D73FD">
        <w:t>Such suppliers</w:t>
      </w:r>
      <w:r w:rsidR="000D73FD" w:rsidRPr="008C7116">
        <w:t xml:space="preserve"> </w:t>
      </w:r>
      <w:r w:rsidR="00B86D9D" w:rsidRPr="008C7116">
        <w:t xml:space="preserve">may need to invest in </w:t>
      </w:r>
      <w:r w:rsidR="00164335">
        <w:t>updating record keeping mechanism</w:t>
      </w:r>
      <w:r w:rsidR="000904D8">
        <w:t>s to ensure that future sales</w:t>
      </w:r>
      <w:r w:rsidR="00164335">
        <w:t xml:space="preserve"> of goods or services reflect </w:t>
      </w:r>
      <w:r w:rsidR="002E0FE8" w:rsidRPr="00164335">
        <w:t>th</w:t>
      </w:r>
      <w:r w:rsidRPr="00164335">
        <w:t>e new threshold amount</w:t>
      </w:r>
      <w:r w:rsidR="00965F95">
        <w:t>,</w:t>
      </w:r>
      <w:r w:rsidRPr="00164335">
        <w:t xml:space="preserve"> and </w:t>
      </w:r>
      <w:r w:rsidR="00965F95" w:rsidRPr="00164335">
        <w:t>ensur</w:t>
      </w:r>
      <w:r w:rsidR="00965F95">
        <w:t>e</w:t>
      </w:r>
      <w:r w:rsidR="00965F95" w:rsidRPr="00164335">
        <w:t xml:space="preserve"> </w:t>
      </w:r>
      <w:r w:rsidRPr="00164335">
        <w:t xml:space="preserve">they meet </w:t>
      </w:r>
      <w:r w:rsidR="009B637F" w:rsidRPr="00164335">
        <w:t xml:space="preserve">any </w:t>
      </w:r>
      <w:r w:rsidR="00B86D9D" w:rsidRPr="00164335">
        <w:t xml:space="preserve">consequential obligations. </w:t>
      </w:r>
      <w:r w:rsidR="000D2922" w:rsidRPr="00164335">
        <w:t>F</w:t>
      </w:r>
      <w:r w:rsidR="008026CF" w:rsidRPr="00164335">
        <w:t xml:space="preserve">urther training of staff to assist them in understanding </w:t>
      </w:r>
      <w:r w:rsidR="00FE0ABA">
        <w:t>updated</w:t>
      </w:r>
      <w:r w:rsidR="00FE0ABA" w:rsidRPr="00164335">
        <w:t xml:space="preserve"> </w:t>
      </w:r>
      <w:r w:rsidR="008026CF" w:rsidRPr="00164335">
        <w:t>legal obligations</w:t>
      </w:r>
      <w:r w:rsidR="000D2922" w:rsidRPr="00164335">
        <w:t xml:space="preserve"> may also be necessary</w:t>
      </w:r>
      <w:r w:rsidR="008026CF" w:rsidRPr="00164335">
        <w:t xml:space="preserve">. </w:t>
      </w:r>
      <w:r w:rsidR="00284055" w:rsidRPr="00164335">
        <w:t xml:space="preserve">On the other hand, </w:t>
      </w:r>
      <w:r w:rsidR="008026CF" w:rsidRPr="00164335">
        <w:t>the ACL regime ha</w:t>
      </w:r>
      <w:r w:rsidR="00F8601D" w:rsidRPr="00164335">
        <w:t>s been in operation for almost seven</w:t>
      </w:r>
      <w:r w:rsidR="008026CF" w:rsidRPr="00164335">
        <w:t xml:space="preserve"> years</w:t>
      </w:r>
      <w:r w:rsidR="00284055" w:rsidRPr="00164335">
        <w:t>.</w:t>
      </w:r>
      <w:r w:rsidR="008026CF" w:rsidRPr="00164335">
        <w:t xml:space="preserve"> </w:t>
      </w:r>
      <w:r w:rsidR="009D47AF" w:rsidRPr="00164335">
        <w:t xml:space="preserve">If only the threshold </w:t>
      </w:r>
      <w:r w:rsidR="009D47AF" w:rsidRPr="00164335">
        <w:rPr>
          <w:i/>
        </w:rPr>
        <w:t>amount</w:t>
      </w:r>
      <w:r w:rsidR="000F1403" w:rsidRPr="00164335">
        <w:t xml:space="preserve"> is increased</w:t>
      </w:r>
      <w:r w:rsidR="000D2922" w:rsidRPr="00164335">
        <w:t>, but</w:t>
      </w:r>
      <w:r w:rsidR="005F7B80" w:rsidRPr="00164335">
        <w:t xml:space="preserve"> the law </w:t>
      </w:r>
      <w:r w:rsidR="000D2922" w:rsidRPr="00164335">
        <w:t xml:space="preserve">is </w:t>
      </w:r>
      <w:r w:rsidR="005F7B80" w:rsidRPr="00164335">
        <w:t>otherwise unaffected</w:t>
      </w:r>
      <w:r w:rsidR="009D47AF" w:rsidRPr="00164335">
        <w:t xml:space="preserve">, </w:t>
      </w:r>
      <w:r w:rsidR="009D2E0A" w:rsidRPr="00164335">
        <w:t>the</w:t>
      </w:r>
      <w:r w:rsidR="009D47AF" w:rsidRPr="00164335">
        <w:t xml:space="preserve"> costs associated with compliance and education initiatives </w:t>
      </w:r>
      <w:r w:rsidR="009D2E0A" w:rsidRPr="00164335">
        <w:t>may</w:t>
      </w:r>
      <w:r w:rsidR="009D47AF" w:rsidRPr="00164335">
        <w:t xml:space="preserve"> be minimal.</w:t>
      </w:r>
    </w:p>
    <w:p w14:paraId="42B3549B" w14:textId="4C4CDF98" w:rsidR="00B00CEC" w:rsidRPr="008C7116" w:rsidRDefault="007237BD" w:rsidP="00705E03">
      <w:pPr>
        <w:pStyle w:val="OutlineNumbered1"/>
      </w:pPr>
      <w:r>
        <w:t>While businesses of all s</w:t>
      </w:r>
      <w:r w:rsidR="008B1035">
        <w:t xml:space="preserve">izes would </w:t>
      </w:r>
      <w:r>
        <w:t xml:space="preserve">benefit from increased protections when purchasing goods and services, there is also </w:t>
      </w:r>
      <w:r w:rsidR="00ED21FA" w:rsidRPr="008C7116">
        <w:t xml:space="preserve">the potential financial loss faced by </w:t>
      </w:r>
      <w:r w:rsidR="009E0134" w:rsidRPr="008C7116">
        <w:t>businesses</w:t>
      </w:r>
      <w:r>
        <w:t xml:space="preserve"> in </w:t>
      </w:r>
      <w:r w:rsidR="000904D8">
        <w:t xml:space="preserve">the </w:t>
      </w:r>
      <w:r>
        <w:t>supply</w:t>
      </w:r>
      <w:r w:rsidR="000904D8">
        <w:t xml:space="preserve"> of</w:t>
      </w:r>
      <w:r>
        <w:t xml:space="preserve"> goods and services for commercial use</w:t>
      </w:r>
      <w:r w:rsidR="009E0134" w:rsidRPr="008C7116">
        <w:t xml:space="preserve"> due to the</w:t>
      </w:r>
      <w:r w:rsidR="00FA1555" w:rsidRPr="008C7116">
        <w:t xml:space="preserve"> wider range of </w:t>
      </w:r>
      <w:r w:rsidR="00FE0ABA">
        <w:t xml:space="preserve">purchases protected </w:t>
      </w:r>
      <w:r w:rsidR="009E0134" w:rsidRPr="008C7116">
        <w:t xml:space="preserve">by the ACL. </w:t>
      </w:r>
      <w:r w:rsidR="00F9394B" w:rsidRPr="008C7116">
        <w:t>Such costs</w:t>
      </w:r>
      <w:r w:rsidR="00A26D95">
        <w:t xml:space="preserve"> could</w:t>
      </w:r>
      <w:r w:rsidR="00F9394B" w:rsidRPr="008C7116">
        <w:t xml:space="preserve"> result from increased claims, compensation and other forms of redress</w:t>
      </w:r>
      <w:r w:rsidR="00A71017" w:rsidRPr="008C7116">
        <w:t xml:space="preserve"> and</w:t>
      </w:r>
      <w:r w:rsidR="00F9394B" w:rsidRPr="008C7116">
        <w:t xml:space="preserve"> insurance premiums.</w:t>
      </w:r>
      <w:r w:rsidR="00A71017" w:rsidRPr="008C7116">
        <w:t xml:space="preserve"> </w:t>
      </w:r>
    </w:p>
    <w:p w14:paraId="184D9BBE" w14:textId="11C47568" w:rsidR="008C7116" w:rsidRDefault="00FD3171" w:rsidP="00705E03">
      <w:pPr>
        <w:pStyle w:val="OutlineNumbered1"/>
      </w:pPr>
      <w:r w:rsidRPr="008C7116">
        <w:t xml:space="preserve">It </w:t>
      </w:r>
      <w:r w:rsidR="00A563B7" w:rsidRPr="008C7116">
        <w:t xml:space="preserve">is </w:t>
      </w:r>
      <w:r w:rsidRPr="008C7116">
        <w:t xml:space="preserve">also </w:t>
      </w:r>
      <w:r w:rsidR="00A563B7" w:rsidRPr="008C7116">
        <w:t xml:space="preserve">acknowledged that the real value of the threshold will decrease in value as </w:t>
      </w:r>
      <w:r w:rsidR="003C46DD">
        <w:t>the costs of certain goods increase</w:t>
      </w:r>
      <w:r w:rsidR="00A563B7" w:rsidRPr="008C7116">
        <w:t xml:space="preserve"> over time and may need to be updated again.</w:t>
      </w:r>
    </w:p>
    <w:tbl>
      <w:tblPr>
        <w:tblW w:w="9242" w:type="dxa"/>
        <w:tblInd w:w="-6" w:type="dxa"/>
        <w:shd w:val="clear" w:color="auto" w:fill="F2F2F2" w:themeFill="background1" w:themeFillShade="F2"/>
        <w:tblLayout w:type="fixed"/>
        <w:tblLook w:val="04A0" w:firstRow="1" w:lastRow="0" w:firstColumn="1" w:lastColumn="0" w:noHBand="0" w:noVBand="1"/>
      </w:tblPr>
      <w:tblGrid>
        <w:gridCol w:w="4477"/>
        <w:gridCol w:w="4765"/>
      </w:tblGrid>
      <w:tr w:rsidR="004B08A6" w:rsidRPr="000D40A7" w14:paraId="27CA23D1" w14:textId="77777777" w:rsidTr="0086691B">
        <w:trPr>
          <w:trHeight w:val="243"/>
        </w:trPr>
        <w:tc>
          <w:tcPr>
            <w:tcW w:w="4395" w:type="dxa"/>
            <w:tcBorders>
              <w:top w:val="single" w:sz="4" w:space="0" w:color="1F497D" w:themeColor="text2"/>
              <w:bottom w:val="single" w:sz="4" w:space="0" w:color="1F497D" w:themeColor="text2"/>
            </w:tcBorders>
            <w:shd w:val="clear" w:color="auto" w:fill="DBE5F1" w:themeFill="accent1" w:themeFillTint="33"/>
          </w:tcPr>
          <w:p w14:paraId="5343B01D" w14:textId="77777777" w:rsidR="004B08A6" w:rsidRPr="000D40A7" w:rsidRDefault="004B08A6" w:rsidP="0086691B">
            <w:pPr>
              <w:pStyle w:val="TableColumnHeadingLeft"/>
            </w:pPr>
            <w:r w:rsidRPr="000D40A7">
              <w:t>BENEFITS</w:t>
            </w:r>
          </w:p>
        </w:tc>
        <w:tc>
          <w:tcPr>
            <w:tcW w:w="4677" w:type="dxa"/>
            <w:tcBorders>
              <w:top w:val="single" w:sz="4" w:space="0" w:color="1F497D" w:themeColor="text2"/>
              <w:bottom w:val="single" w:sz="4" w:space="0" w:color="1F497D" w:themeColor="text2"/>
            </w:tcBorders>
            <w:shd w:val="clear" w:color="auto" w:fill="DBE5F1" w:themeFill="accent1" w:themeFillTint="33"/>
          </w:tcPr>
          <w:p w14:paraId="66C82897" w14:textId="77777777" w:rsidR="004B08A6" w:rsidRPr="000D40A7" w:rsidRDefault="004B08A6" w:rsidP="0086691B">
            <w:pPr>
              <w:pStyle w:val="TableColumnHeadingLeft"/>
            </w:pPr>
            <w:r w:rsidRPr="000D40A7">
              <w:t>COSTS</w:t>
            </w:r>
          </w:p>
        </w:tc>
      </w:tr>
      <w:tr w:rsidR="004B08A6" w:rsidRPr="00613C4D" w14:paraId="31B2D2B3" w14:textId="77777777" w:rsidTr="0086691B">
        <w:trPr>
          <w:trHeight w:val="519"/>
        </w:trPr>
        <w:tc>
          <w:tcPr>
            <w:tcW w:w="4395" w:type="dxa"/>
            <w:tcBorders>
              <w:top w:val="single" w:sz="4" w:space="0" w:color="1F497D" w:themeColor="text2"/>
            </w:tcBorders>
            <w:shd w:val="clear" w:color="auto" w:fill="auto"/>
          </w:tcPr>
          <w:p w14:paraId="10CCBF2D" w14:textId="06840AE5" w:rsidR="004B08A6" w:rsidRPr="007230A2" w:rsidRDefault="00B4200A" w:rsidP="0086691B">
            <w:pPr>
              <w:pStyle w:val="TableTextLeft-Bullet"/>
            </w:pPr>
            <w:r w:rsidRPr="007230A2">
              <w:t>T</w:t>
            </w:r>
            <w:r w:rsidR="004B08A6" w:rsidRPr="007230A2">
              <w:t>he real value of the threshold is maintained.</w:t>
            </w:r>
          </w:p>
        </w:tc>
        <w:tc>
          <w:tcPr>
            <w:tcW w:w="4677" w:type="dxa"/>
            <w:tcBorders>
              <w:top w:val="single" w:sz="4" w:space="0" w:color="1F497D" w:themeColor="text2"/>
            </w:tcBorders>
            <w:shd w:val="clear" w:color="auto" w:fill="auto"/>
          </w:tcPr>
          <w:p w14:paraId="19CEE84F" w14:textId="25DE5662" w:rsidR="004B08A6" w:rsidRPr="00613C4D" w:rsidRDefault="004B08A6" w:rsidP="0086691B">
            <w:pPr>
              <w:pStyle w:val="TableTextLeft-Bullet"/>
            </w:pPr>
            <w:r w:rsidRPr="00613C4D">
              <w:t xml:space="preserve">Compliance costs to ensure and maintain updated record keeping. </w:t>
            </w:r>
          </w:p>
        </w:tc>
      </w:tr>
      <w:tr w:rsidR="004B08A6" w:rsidRPr="00613C4D" w14:paraId="710BAFE5" w14:textId="77777777" w:rsidTr="0086691B">
        <w:trPr>
          <w:trHeight w:val="519"/>
        </w:trPr>
        <w:tc>
          <w:tcPr>
            <w:tcW w:w="4395" w:type="dxa"/>
            <w:shd w:val="clear" w:color="auto" w:fill="F2F2F2" w:themeFill="background1" w:themeFillShade="F2"/>
          </w:tcPr>
          <w:p w14:paraId="3449F91E" w14:textId="345E185E" w:rsidR="004B08A6" w:rsidRPr="007230A2" w:rsidRDefault="00731B35" w:rsidP="0086691B">
            <w:pPr>
              <w:pStyle w:val="TableTextLeft-Bullet"/>
            </w:pPr>
            <w:r w:rsidRPr="007230A2">
              <w:t>T</w:t>
            </w:r>
            <w:r w:rsidR="004B08A6" w:rsidRPr="007230A2">
              <w:t xml:space="preserve">he original policy intent of </w:t>
            </w:r>
            <w:r w:rsidR="000D73FD">
              <w:t xml:space="preserve">the monetary threshold within the definition of consumer </w:t>
            </w:r>
            <w:r w:rsidR="004B08A6" w:rsidRPr="007230A2">
              <w:t>is maintained</w:t>
            </w:r>
            <w:r w:rsidR="002631D1" w:rsidRPr="007230A2">
              <w:t xml:space="preserve"> in protecting small business consumers, and reducing search costs for businesses of all sizes.</w:t>
            </w:r>
          </w:p>
        </w:tc>
        <w:tc>
          <w:tcPr>
            <w:tcW w:w="4677" w:type="dxa"/>
            <w:shd w:val="clear" w:color="auto" w:fill="F2F2F2" w:themeFill="background1" w:themeFillShade="F2"/>
          </w:tcPr>
          <w:p w14:paraId="14E6B072" w14:textId="5CB3B2C7" w:rsidR="004B08A6" w:rsidRPr="00613C4D" w:rsidRDefault="00C21B4D" w:rsidP="0086691B">
            <w:pPr>
              <w:pStyle w:val="TableTextLeft-Bullet"/>
            </w:pPr>
            <w:r>
              <w:t>For businesses: t</w:t>
            </w:r>
            <w:r w:rsidRPr="00613C4D">
              <w:t xml:space="preserve">raining </w:t>
            </w:r>
            <w:r w:rsidR="004B08A6" w:rsidRPr="00613C4D">
              <w:t>costs to understand</w:t>
            </w:r>
            <w:r>
              <w:t xml:space="preserve"> and comply with</w:t>
            </w:r>
            <w:r w:rsidR="004B08A6" w:rsidRPr="00613C4D">
              <w:t xml:space="preserve"> legal obligations under the increased monetary threshold.</w:t>
            </w:r>
          </w:p>
        </w:tc>
      </w:tr>
      <w:tr w:rsidR="004B08A6" w:rsidRPr="00613C4D" w14:paraId="2D09E342" w14:textId="77777777" w:rsidTr="0086691B">
        <w:trPr>
          <w:trHeight w:val="519"/>
        </w:trPr>
        <w:tc>
          <w:tcPr>
            <w:tcW w:w="4395" w:type="dxa"/>
            <w:shd w:val="clear" w:color="auto" w:fill="FFFFFF" w:themeFill="background1"/>
          </w:tcPr>
          <w:p w14:paraId="52685A6D" w14:textId="61CF5F86" w:rsidR="004B08A6" w:rsidRPr="007230A2" w:rsidRDefault="00A26D95" w:rsidP="0086691B">
            <w:pPr>
              <w:pStyle w:val="TableTextLeft-Bullet"/>
            </w:pPr>
            <w:r w:rsidRPr="005B350E">
              <w:t xml:space="preserve">Small businesses receive maintained protection under </w:t>
            </w:r>
            <w:r w:rsidR="00C21B4D" w:rsidRPr="007230A2">
              <w:t>the ACL</w:t>
            </w:r>
            <w:r w:rsidR="008B1035">
              <w:t>.</w:t>
            </w:r>
          </w:p>
        </w:tc>
        <w:tc>
          <w:tcPr>
            <w:tcW w:w="4677" w:type="dxa"/>
            <w:shd w:val="clear" w:color="auto" w:fill="FFFFFF" w:themeFill="background1"/>
          </w:tcPr>
          <w:p w14:paraId="0861DA8C" w14:textId="74294DE4" w:rsidR="004B08A6" w:rsidRPr="00613C4D" w:rsidRDefault="004B08A6" w:rsidP="0086691B">
            <w:pPr>
              <w:pStyle w:val="TableTextLeft-Bullet"/>
            </w:pPr>
            <w:r w:rsidRPr="00613C4D">
              <w:t>Potential for increased financial loss due to the wider range of products covered by the ACL</w:t>
            </w:r>
            <w:r w:rsidR="008B1035">
              <w:t>.</w:t>
            </w:r>
          </w:p>
        </w:tc>
      </w:tr>
      <w:tr w:rsidR="00A26D95" w:rsidRPr="00613C4D" w14:paraId="02BDAC15" w14:textId="77777777" w:rsidTr="0086691B">
        <w:trPr>
          <w:trHeight w:val="519"/>
        </w:trPr>
        <w:tc>
          <w:tcPr>
            <w:tcW w:w="4395" w:type="dxa"/>
            <w:tcBorders>
              <w:bottom w:val="single" w:sz="4" w:space="0" w:color="1F497D" w:themeColor="text2"/>
            </w:tcBorders>
            <w:shd w:val="clear" w:color="auto" w:fill="F2F2F2" w:themeFill="background1" w:themeFillShade="F2"/>
          </w:tcPr>
          <w:p w14:paraId="1B1F7AA2" w14:textId="7192A0A1" w:rsidR="00A26D95" w:rsidRPr="007230A2" w:rsidRDefault="008E6EBA" w:rsidP="0086691B">
            <w:pPr>
              <w:pStyle w:val="TableTextLeft-Bullet"/>
            </w:pPr>
            <w:r>
              <w:t>ACL protection may lead to increased</w:t>
            </w:r>
            <w:r w:rsidR="00A26D95" w:rsidRPr="005B350E">
              <w:t xml:space="preserve"> small business demand because of increased purchasing confidence.</w:t>
            </w:r>
          </w:p>
        </w:tc>
        <w:tc>
          <w:tcPr>
            <w:tcW w:w="4677" w:type="dxa"/>
            <w:tcBorders>
              <w:bottom w:val="single" w:sz="4" w:space="0" w:color="1F497D" w:themeColor="text2"/>
            </w:tcBorders>
            <w:shd w:val="clear" w:color="auto" w:fill="F2F2F2" w:themeFill="background1" w:themeFillShade="F2"/>
          </w:tcPr>
          <w:p w14:paraId="21B047C2" w14:textId="77777777" w:rsidR="00A26D95" w:rsidRPr="00613C4D" w:rsidRDefault="00A26D95" w:rsidP="0086691B">
            <w:pPr>
              <w:pStyle w:val="TableTextLeft-Bullet"/>
            </w:pPr>
          </w:p>
        </w:tc>
      </w:tr>
    </w:tbl>
    <w:p w14:paraId="38D8C1DE" w14:textId="7596A332" w:rsidR="0086691B" w:rsidRPr="0086691B" w:rsidRDefault="0086691B" w:rsidP="0086691B"/>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86691B" w14:paraId="52D04A4C" w14:textId="77777777" w:rsidTr="00EE4199">
        <w:tc>
          <w:tcPr>
            <w:tcW w:w="9242" w:type="dxa"/>
            <w:shd w:val="clear" w:color="auto" w:fill="F2F2F2" w:themeFill="background1" w:themeFillShade="F2"/>
          </w:tcPr>
          <w:p w14:paraId="4FC31286" w14:textId="77777777" w:rsidR="0086691B" w:rsidRPr="002C5F42" w:rsidRDefault="0086691B" w:rsidP="00EE4199">
            <w:pPr>
              <w:pStyle w:val="BoxHeading"/>
            </w:pPr>
            <w:r w:rsidRPr="002C5F42">
              <w:t>Focus question</w:t>
            </w:r>
            <w:r>
              <w:t>s</w:t>
            </w:r>
          </w:p>
          <w:p w14:paraId="09AA9140" w14:textId="77777777" w:rsidR="0086691B" w:rsidRPr="00453BD0" w:rsidRDefault="0086691B" w:rsidP="00EE4199">
            <w:pPr>
              <w:pStyle w:val="BoxHeadingSub"/>
            </w:pPr>
            <w:r w:rsidRPr="00453BD0">
              <w:t xml:space="preserve">For </w:t>
            </w:r>
            <w:r>
              <w:t>everyone</w:t>
            </w:r>
          </w:p>
          <w:p w14:paraId="71655CD8" w14:textId="77777777" w:rsidR="0086691B" w:rsidRDefault="0086691B" w:rsidP="0086691B">
            <w:pPr>
              <w:pStyle w:val="BoxBullet"/>
            </w:pPr>
            <w:r w:rsidRPr="00B80FC9">
              <w:t>To what extent would consumers and businesses, especially small businesses, be better protected under the ACL if the threshold amount was increased to $100,000?</w:t>
            </w:r>
          </w:p>
          <w:p w14:paraId="58A7AD00" w14:textId="77777777" w:rsidR="0086691B" w:rsidRPr="00B80FC9" w:rsidRDefault="0086691B" w:rsidP="0086691B">
            <w:pPr>
              <w:pStyle w:val="BoxBullet"/>
            </w:pPr>
            <w:r>
              <w:t>Does increasing the threshold also result in increasing the potential class or categories of products that would not have been covered by the ACL regime under previous thresholds?</w:t>
            </w:r>
          </w:p>
          <w:p w14:paraId="3038B842" w14:textId="4A63B31D" w:rsidR="0086691B" w:rsidRDefault="0086691B" w:rsidP="0086691B">
            <w:pPr>
              <w:pStyle w:val="BoxHeadingSub"/>
            </w:pPr>
            <w:r>
              <w:t>For businesses</w:t>
            </w:r>
          </w:p>
          <w:p w14:paraId="0B017839" w14:textId="2AFEFE83" w:rsidR="0086691B" w:rsidRPr="00F7306A" w:rsidRDefault="0086691B" w:rsidP="0086691B">
            <w:pPr>
              <w:pStyle w:val="BoxBullet"/>
            </w:pPr>
            <w:r>
              <w:t>Would your costs for compliance and training purposes increase if the threshold amount was increased to $100,000? By how much?</w:t>
            </w:r>
          </w:p>
          <w:p w14:paraId="526DD7AE" w14:textId="42149759" w:rsidR="0086691B" w:rsidRDefault="0086691B" w:rsidP="0086691B">
            <w:pPr>
              <w:pStyle w:val="BoxBullet"/>
            </w:pPr>
            <w:r>
              <w:t>What are other</w:t>
            </w:r>
            <w:r w:rsidRPr="00FF3682">
              <w:t xml:space="preserve"> potential costs</w:t>
            </w:r>
            <w:r>
              <w:t xml:space="preserve"> (such as compensation and insurance coverage)</w:t>
            </w:r>
            <w:r w:rsidRPr="00FF3682">
              <w:t xml:space="preserve"> to busin</w:t>
            </w:r>
            <w:r>
              <w:t xml:space="preserve">esses </w:t>
            </w:r>
            <w:r w:rsidRPr="00FF3682">
              <w:t>if the monetary threshold was incr</w:t>
            </w:r>
            <w:r>
              <w:t>eased from $40,000 to $100,000?</w:t>
            </w:r>
          </w:p>
          <w:p w14:paraId="7230BD05" w14:textId="7DC4C2B9" w:rsidR="0086691B" w:rsidRPr="002C5F42" w:rsidRDefault="0086691B" w:rsidP="0086691B">
            <w:pPr>
              <w:pStyle w:val="BoxBullet"/>
            </w:pPr>
            <w:r>
              <w:t xml:space="preserve">Are there other benefits, costs or difficulties for your business </w:t>
            </w:r>
            <w:r w:rsidRPr="00FF3682">
              <w:t>if the monetary threshold was increased from $40,000 to $100,000</w:t>
            </w:r>
            <w:r>
              <w:t xml:space="preserve"> that should be considered?</w:t>
            </w:r>
          </w:p>
        </w:tc>
      </w:tr>
    </w:tbl>
    <w:p w14:paraId="2B6FA842" w14:textId="77777777" w:rsidR="0086691B" w:rsidRDefault="0086691B" w:rsidP="0086691B">
      <w:pPr>
        <w:pStyle w:val="Singleparagraph"/>
      </w:pPr>
    </w:p>
    <w:p w14:paraId="38FE0DBB" w14:textId="28F139A0" w:rsidR="0048728F" w:rsidRPr="008C7116" w:rsidRDefault="002B0709" w:rsidP="00705E03">
      <w:pPr>
        <w:pStyle w:val="Heading2-NoNumbered"/>
      </w:pPr>
      <w:bookmarkStart w:id="52" w:name="_Toc507753722"/>
      <w:bookmarkStart w:id="53" w:name="_Toc507770077"/>
      <w:bookmarkStart w:id="54" w:name="_Toc508968521"/>
      <w:r w:rsidRPr="00164BB7">
        <w:t xml:space="preserve">Option 3: </w:t>
      </w:r>
      <w:r w:rsidR="00707EB9">
        <w:t>Increase the threshold in the definition of consumer from $40,000</w:t>
      </w:r>
      <w:r w:rsidR="00205B15">
        <w:t xml:space="preserve"> to $100,000 </w:t>
      </w:r>
      <w:r w:rsidR="00494578">
        <w:t>and apply indexation</w:t>
      </w:r>
      <w:bookmarkEnd w:id="52"/>
      <w:bookmarkEnd w:id="53"/>
      <w:bookmarkEnd w:id="54"/>
    </w:p>
    <w:p w14:paraId="064FA789" w14:textId="099A1CD4" w:rsidR="008C7116" w:rsidRPr="009922DD" w:rsidRDefault="008C7116" w:rsidP="00705E03">
      <w:pPr>
        <w:pStyle w:val="OutlineNumbered1"/>
      </w:pPr>
      <w:r w:rsidRPr="009922DD">
        <w:t xml:space="preserve">This option builds upon </w:t>
      </w:r>
      <w:r w:rsidR="00917C54" w:rsidRPr="009922DD">
        <w:t>Option</w:t>
      </w:r>
      <w:r w:rsidRPr="009922DD">
        <w:t xml:space="preserve"> 2 by initially increasing the threshold in the definition of ‘consumer’ from $40,000 to $100,000, with a provision in the law to allow for indexation or other adjustment</w:t>
      </w:r>
      <w:r w:rsidR="002956D3">
        <w:t>s</w:t>
      </w:r>
      <w:r w:rsidRPr="009922DD">
        <w:t xml:space="preserve"> to this figure at regular intervals. The amount could be reviewed by using the Producer Price Indexes (PPIs), which measure changes in the prices received by businesses for categories of goods and services they produce. </w:t>
      </w:r>
      <w:r w:rsidR="00E276AD" w:rsidRPr="009922DD">
        <w:t>This option would only apply to goods not ordinarily purchased for pers</w:t>
      </w:r>
      <w:r w:rsidRPr="009922DD">
        <w:t>onal, domestic or household use.</w:t>
      </w:r>
    </w:p>
    <w:p w14:paraId="3FA8FD1A" w14:textId="70578F29" w:rsidR="008C7116" w:rsidRDefault="008C7116" w:rsidP="00705E03">
      <w:pPr>
        <w:pStyle w:val="Heading3-NoNumbered"/>
      </w:pPr>
      <w:bookmarkStart w:id="55" w:name="_Toc507753723"/>
      <w:bookmarkStart w:id="56" w:name="_Toc507770078"/>
      <w:r>
        <w:t>Impact analysis</w:t>
      </w:r>
      <w:bookmarkEnd w:id="55"/>
      <w:bookmarkEnd w:id="56"/>
      <w:r>
        <w:t xml:space="preserve"> </w:t>
      </w:r>
    </w:p>
    <w:p w14:paraId="554D56EA" w14:textId="05BF0175" w:rsidR="00245681" w:rsidRPr="00245681" w:rsidRDefault="00E276AD" w:rsidP="00705E03">
      <w:pPr>
        <w:pStyle w:val="OutlineNumbered1"/>
      </w:pPr>
      <w:r w:rsidRPr="00245681">
        <w:t xml:space="preserve">The benefits and costs are the same as those identified in Option 2. An </w:t>
      </w:r>
      <w:r w:rsidR="00AD2DE4" w:rsidRPr="00245681">
        <w:t>additional benefit under this option is that the threshold will be reviewed more frequently so that it reflects the real value of goods more accurately.</w:t>
      </w:r>
      <w:r w:rsidRPr="00245681">
        <w:t xml:space="preserve"> </w:t>
      </w:r>
      <w:r w:rsidR="00AD2DE4" w:rsidRPr="00245681">
        <w:t xml:space="preserve">It ensures that the law </w:t>
      </w:r>
      <w:r w:rsidRPr="00245681">
        <w:t xml:space="preserve">does not </w:t>
      </w:r>
      <w:r w:rsidR="00205B15" w:rsidRPr="00245681">
        <w:t xml:space="preserve">become significantly out of alignment with the original policy intent. </w:t>
      </w:r>
    </w:p>
    <w:p w14:paraId="32C1DCAC" w14:textId="7D8363CB" w:rsidR="008E2467" w:rsidRDefault="00930391" w:rsidP="00705E03">
      <w:pPr>
        <w:pStyle w:val="OutlineNumbered1"/>
      </w:pPr>
      <w:r w:rsidRPr="00245681">
        <w:t>An additional cost to this proposal is the</w:t>
      </w:r>
      <w:r w:rsidR="00AA4B93">
        <w:t xml:space="preserve"> potential</w:t>
      </w:r>
      <w:r w:rsidRPr="00245681">
        <w:t xml:space="preserve"> increase in uncertaint</w:t>
      </w:r>
      <w:r w:rsidR="00E65E9C" w:rsidRPr="00245681">
        <w:t>y, due to the threshold being regularly r</w:t>
      </w:r>
      <w:r w:rsidR="001B6774" w:rsidRPr="00245681">
        <w:t xml:space="preserve">eviewed and amended. </w:t>
      </w:r>
      <w:r w:rsidR="0049291E">
        <w:t xml:space="preserve">Purchasers may also find it more difficult to recall and assert their consumer guarantee rights if the threshold changes regularly. </w:t>
      </w:r>
      <w:r w:rsidR="001B6774" w:rsidRPr="00245681">
        <w:t xml:space="preserve">Suppliers may have difficulty in complying </w:t>
      </w:r>
      <w:r w:rsidR="004A7B16">
        <w:t>with regular amendments</w:t>
      </w:r>
      <w:r w:rsidR="001B6774" w:rsidRPr="00245681">
        <w:t xml:space="preserve">, potentially resulting in an </w:t>
      </w:r>
      <w:r w:rsidR="00C91800" w:rsidRPr="00245681">
        <w:t>increase</w:t>
      </w:r>
      <w:r w:rsidR="005215DE" w:rsidRPr="00245681">
        <w:t xml:space="preserve"> in</w:t>
      </w:r>
      <w:r w:rsidR="00C91800" w:rsidRPr="00245681">
        <w:t xml:space="preserve"> compliance and administrative costs as </w:t>
      </w:r>
      <w:r w:rsidR="00B14F16" w:rsidRPr="00245681">
        <w:t>they</w:t>
      </w:r>
      <w:r w:rsidR="00C91800" w:rsidRPr="00245681">
        <w:t xml:space="preserve"> will be requi</w:t>
      </w:r>
      <w:r w:rsidR="003F1F51" w:rsidRPr="00245681">
        <w:t xml:space="preserve">red to update their records on a </w:t>
      </w:r>
      <w:r w:rsidR="00564FD9" w:rsidRPr="00245681">
        <w:t>regular</w:t>
      </w:r>
      <w:r w:rsidR="003F1F51" w:rsidRPr="00245681">
        <w:t xml:space="preserve"> basis</w:t>
      </w:r>
      <w:r w:rsidR="00277F02" w:rsidRPr="00245681">
        <w:t xml:space="preserve">. </w:t>
      </w:r>
    </w:p>
    <w:p w14:paraId="19C21748" w14:textId="66D29656" w:rsidR="00205B15" w:rsidRDefault="00277F02" w:rsidP="00705E03">
      <w:pPr>
        <w:pStyle w:val="OutlineNumbered1"/>
      </w:pPr>
      <w:r w:rsidRPr="00245681">
        <w:t xml:space="preserve">Given that </w:t>
      </w:r>
      <w:r w:rsidR="00D8036B" w:rsidRPr="00245681">
        <w:t>the inflation rate</w:t>
      </w:r>
      <w:r w:rsidR="00F53B50" w:rsidRPr="00245681">
        <w:t xml:space="preserve"> in Australia is sufficiently low</w:t>
      </w:r>
      <w:r w:rsidR="00D8036B" w:rsidRPr="00245681">
        <w:t xml:space="preserve"> ‘that it does not materially distort economic decisions in the community’</w:t>
      </w:r>
      <w:r w:rsidR="00D8036B" w:rsidRPr="00245681">
        <w:rPr>
          <w:rStyle w:val="FootnoteReference"/>
          <w:b/>
        </w:rPr>
        <w:footnoteReference w:id="13"/>
      </w:r>
      <w:r w:rsidR="00F53B50" w:rsidRPr="00245681">
        <w:t xml:space="preserve">, </w:t>
      </w:r>
      <w:r w:rsidR="00273158">
        <w:t xml:space="preserve">there is a possibility that </w:t>
      </w:r>
      <w:r w:rsidR="00F53B50" w:rsidRPr="00245681">
        <w:t>the costs of this optio</w:t>
      </w:r>
      <w:r w:rsidR="00D80563" w:rsidRPr="00245681">
        <w:t>n may significantly outweigh associated</w:t>
      </w:r>
      <w:r w:rsidR="00F53B50" w:rsidRPr="00245681">
        <w:t xml:space="preserve"> benefits.</w:t>
      </w:r>
    </w:p>
    <w:tbl>
      <w:tblPr>
        <w:tblW w:w="9242" w:type="dxa"/>
        <w:tblInd w:w="-6" w:type="dxa"/>
        <w:shd w:val="clear" w:color="auto" w:fill="F2F2F2" w:themeFill="background1" w:themeFillShade="F2"/>
        <w:tblLayout w:type="fixed"/>
        <w:tblLook w:val="04A0" w:firstRow="1" w:lastRow="0" w:firstColumn="1" w:lastColumn="0" w:noHBand="0" w:noVBand="1"/>
      </w:tblPr>
      <w:tblGrid>
        <w:gridCol w:w="4656"/>
        <w:gridCol w:w="4586"/>
      </w:tblGrid>
      <w:tr w:rsidR="00542A18" w:rsidRPr="000D40A7" w14:paraId="3D6F337E" w14:textId="77777777" w:rsidTr="0086691B">
        <w:trPr>
          <w:trHeight w:val="243"/>
        </w:trPr>
        <w:tc>
          <w:tcPr>
            <w:tcW w:w="4570" w:type="dxa"/>
            <w:tcBorders>
              <w:top w:val="single" w:sz="4" w:space="0" w:color="004A7F"/>
              <w:bottom w:val="single" w:sz="4" w:space="0" w:color="004A7F"/>
            </w:tcBorders>
            <w:shd w:val="clear" w:color="auto" w:fill="DBE5F1" w:themeFill="accent1" w:themeFillTint="33"/>
          </w:tcPr>
          <w:p w14:paraId="24689CBB" w14:textId="77777777" w:rsidR="00542A18" w:rsidRPr="000D40A7" w:rsidRDefault="00542A18" w:rsidP="0086691B">
            <w:pPr>
              <w:pStyle w:val="TableColumnHeadingLeft"/>
            </w:pPr>
            <w:r w:rsidRPr="000D40A7">
              <w:t>BENEFITS</w:t>
            </w:r>
          </w:p>
        </w:tc>
        <w:tc>
          <w:tcPr>
            <w:tcW w:w="4502" w:type="dxa"/>
            <w:tcBorders>
              <w:top w:val="single" w:sz="4" w:space="0" w:color="004A7F"/>
              <w:bottom w:val="single" w:sz="4" w:space="0" w:color="004A7F"/>
            </w:tcBorders>
            <w:shd w:val="clear" w:color="auto" w:fill="DBE5F1" w:themeFill="accent1" w:themeFillTint="33"/>
          </w:tcPr>
          <w:p w14:paraId="5C517E82" w14:textId="77777777" w:rsidR="00542A18" w:rsidRPr="000D40A7" w:rsidRDefault="00542A18" w:rsidP="0086691B">
            <w:pPr>
              <w:pStyle w:val="TableColumnHeadingLeft"/>
            </w:pPr>
            <w:r w:rsidRPr="000D40A7">
              <w:t>COSTS</w:t>
            </w:r>
          </w:p>
        </w:tc>
      </w:tr>
      <w:tr w:rsidR="00542A18" w:rsidRPr="0086691B" w14:paraId="24AF2D1C" w14:textId="77777777" w:rsidTr="0086691B">
        <w:trPr>
          <w:trHeight w:val="519"/>
        </w:trPr>
        <w:tc>
          <w:tcPr>
            <w:tcW w:w="4570" w:type="dxa"/>
            <w:tcBorders>
              <w:top w:val="single" w:sz="4" w:space="0" w:color="004A7F"/>
            </w:tcBorders>
            <w:shd w:val="clear" w:color="auto" w:fill="auto"/>
          </w:tcPr>
          <w:p w14:paraId="6E1742AF" w14:textId="66DC62B4" w:rsidR="00542A18" w:rsidRPr="0086691B" w:rsidRDefault="00D455E8" w:rsidP="0086691B">
            <w:pPr>
              <w:pStyle w:val="TableTextLeft-Bullet"/>
              <w:rPr>
                <w:rFonts w:eastAsiaTheme="minorHAnsi"/>
              </w:rPr>
            </w:pPr>
            <w:r w:rsidRPr="0086691B">
              <w:t>T</w:t>
            </w:r>
            <w:r w:rsidR="00542A18" w:rsidRPr="0086691B">
              <w:t>he real value of the threshold is maintained.</w:t>
            </w:r>
          </w:p>
        </w:tc>
        <w:tc>
          <w:tcPr>
            <w:tcW w:w="4502" w:type="dxa"/>
            <w:tcBorders>
              <w:top w:val="single" w:sz="4" w:space="0" w:color="004A7F"/>
            </w:tcBorders>
            <w:shd w:val="clear" w:color="auto" w:fill="auto"/>
          </w:tcPr>
          <w:p w14:paraId="0D663295" w14:textId="6D1E0299" w:rsidR="00542A18" w:rsidRPr="0086691B" w:rsidRDefault="00542A18" w:rsidP="0086691B">
            <w:pPr>
              <w:pStyle w:val="TableTextLeft-Bullet"/>
            </w:pPr>
            <w:r w:rsidRPr="0086691B">
              <w:t xml:space="preserve">Increased uncertainty as the threshold amount will regularly change. </w:t>
            </w:r>
          </w:p>
        </w:tc>
      </w:tr>
      <w:tr w:rsidR="00542A18" w:rsidRPr="0086691B" w14:paraId="4D387F89" w14:textId="77777777" w:rsidTr="0086691B">
        <w:trPr>
          <w:trHeight w:val="519"/>
        </w:trPr>
        <w:tc>
          <w:tcPr>
            <w:tcW w:w="4570" w:type="dxa"/>
            <w:shd w:val="clear" w:color="auto" w:fill="F2F2F2" w:themeFill="background1" w:themeFillShade="F2"/>
          </w:tcPr>
          <w:p w14:paraId="6F6260BD" w14:textId="53A27423" w:rsidR="00542A18" w:rsidRPr="0086691B" w:rsidRDefault="00D455E8" w:rsidP="0086691B">
            <w:pPr>
              <w:pStyle w:val="TableTextLeft-Bullet"/>
            </w:pPr>
            <w:r w:rsidRPr="0086691B">
              <w:t>T</w:t>
            </w:r>
            <w:r w:rsidR="00542A18" w:rsidRPr="0086691B">
              <w:t xml:space="preserve">he original policy intent of the </w:t>
            </w:r>
            <w:r w:rsidR="0071291D" w:rsidRPr="0086691B">
              <w:t>ACL</w:t>
            </w:r>
            <w:r w:rsidR="00542A18" w:rsidRPr="0086691B">
              <w:t xml:space="preserve"> regime is maintained</w:t>
            </w:r>
            <w:r w:rsidR="002E3926" w:rsidRPr="0086691B">
              <w:t xml:space="preserve"> in protecting small businesses in particular, and reducing search costs for businesses of all sizes.</w:t>
            </w:r>
          </w:p>
        </w:tc>
        <w:tc>
          <w:tcPr>
            <w:tcW w:w="4502" w:type="dxa"/>
            <w:shd w:val="clear" w:color="auto" w:fill="F2F2F2" w:themeFill="background1" w:themeFillShade="F2"/>
          </w:tcPr>
          <w:p w14:paraId="2C261D23" w14:textId="684AB6C2" w:rsidR="00542A18" w:rsidRPr="0086691B" w:rsidRDefault="00542A18" w:rsidP="0086691B">
            <w:pPr>
              <w:pStyle w:val="TableTextLeft-Bullet"/>
            </w:pPr>
            <w:r w:rsidRPr="0086691B">
              <w:t>Compliance costs to ensure and maintain updated record keeping on a more regular basis.</w:t>
            </w:r>
          </w:p>
        </w:tc>
      </w:tr>
      <w:tr w:rsidR="00542A18" w:rsidRPr="0086691B" w14:paraId="70A6D81C" w14:textId="77777777" w:rsidTr="0086691B">
        <w:trPr>
          <w:trHeight w:val="519"/>
        </w:trPr>
        <w:tc>
          <w:tcPr>
            <w:tcW w:w="4570" w:type="dxa"/>
            <w:shd w:val="clear" w:color="auto" w:fill="FFFFFF" w:themeFill="background1"/>
          </w:tcPr>
          <w:p w14:paraId="1F026854" w14:textId="64ABD4B5" w:rsidR="00542A18" w:rsidRPr="0086691B" w:rsidRDefault="004A7B16" w:rsidP="0086691B">
            <w:pPr>
              <w:pStyle w:val="TableTextLeft-Bullet"/>
            </w:pPr>
            <w:r w:rsidRPr="0086691B">
              <w:t xml:space="preserve">The threshold </w:t>
            </w:r>
            <w:r w:rsidR="00542A18" w:rsidRPr="0086691B">
              <w:t>continues to increase in line with appropriate indexation</w:t>
            </w:r>
            <w:r w:rsidR="00D455E8" w:rsidRPr="0086691B">
              <w:t>, maintaining the real value of the goods</w:t>
            </w:r>
            <w:r w:rsidR="003357AB" w:rsidRPr="0086691B">
              <w:t xml:space="preserve"> entitled to protection under the ACL</w:t>
            </w:r>
            <w:r w:rsidR="00EE264F" w:rsidRPr="0086691B">
              <w:t>.</w:t>
            </w:r>
          </w:p>
        </w:tc>
        <w:tc>
          <w:tcPr>
            <w:tcW w:w="4502" w:type="dxa"/>
            <w:shd w:val="clear" w:color="auto" w:fill="FFFFFF" w:themeFill="background1"/>
          </w:tcPr>
          <w:p w14:paraId="3A6931C3" w14:textId="6FF5B61D" w:rsidR="00542A18" w:rsidRPr="0086691B" w:rsidRDefault="004A7B16" w:rsidP="0086691B">
            <w:pPr>
              <w:pStyle w:val="TableTextLeft-Bullet"/>
            </w:pPr>
            <w:r w:rsidRPr="0086691B">
              <w:t>For businesses: training costs to understand and comply with legal obligations under the increased monetary threshold</w:t>
            </w:r>
            <w:r w:rsidR="00EE264F" w:rsidRPr="0086691B">
              <w:t>.</w:t>
            </w:r>
          </w:p>
        </w:tc>
      </w:tr>
      <w:tr w:rsidR="00542A18" w:rsidRPr="0086691B" w14:paraId="3AA758D3" w14:textId="77777777" w:rsidTr="0086691B">
        <w:trPr>
          <w:trHeight w:val="519"/>
        </w:trPr>
        <w:tc>
          <w:tcPr>
            <w:tcW w:w="4570" w:type="dxa"/>
            <w:shd w:val="clear" w:color="auto" w:fill="F2F2F2" w:themeFill="background1" w:themeFillShade="F2"/>
          </w:tcPr>
          <w:p w14:paraId="4A9A9544" w14:textId="77777777" w:rsidR="00542A18" w:rsidRPr="0086691B" w:rsidRDefault="00542A18" w:rsidP="0086691B"/>
        </w:tc>
        <w:tc>
          <w:tcPr>
            <w:tcW w:w="4502" w:type="dxa"/>
            <w:shd w:val="clear" w:color="auto" w:fill="F2F2F2" w:themeFill="background1" w:themeFillShade="F2"/>
          </w:tcPr>
          <w:p w14:paraId="275D2028" w14:textId="441CAB8A" w:rsidR="00542A18" w:rsidRPr="0086691B" w:rsidRDefault="00542A18" w:rsidP="0086691B">
            <w:pPr>
              <w:pStyle w:val="TableTextLeft-Bullet"/>
            </w:pPr>
            <w:r w:rsidRPr="0086691B">
              <w:t>Potential for increased financial loss due to the wider range of products covered by the ACL</w:t>
            </w:r>
            <w:r w:rsidR="00EE264F" w:rsidRPr="0086691B">
              <w:t>.</w:t>
            </w:r>
          </w:p>
        </w:tc>
      </w:tr>
      <w:tr w:rsidR="00325093" w:rsidRPr="0086691B" w14:paraId="34ADF3F8" w14:textId="77777777" w:rsidTr="0086691B">
        <w:trPr>
          <w:trHeight w:val="519"/>
        </w:trPr>
        <w:tc>
          <w:tcPr>
            <w:tcW w:w="4570" w:type="dxa"/>
            <w:tcBorders>
              <w:bottom w:val="single" w:sz="4" w:space="0" w:color="1F497D" w:themeColor="text2"/>
            </w:tcBorders>
            <w:shd w:val="clear" w:color="auto" w:fill="auto"/>
          </w:tcPr>
          <w:p w14:paraId="6D57F3EB" w14:textId="77777777" w:rsidR="00325093" w:rsidRPr="0086691B" w:rsidRDefault="00325093" w:rsidP="0086691B"/>
        </w:tc>
        <w:tc>
          <w:tcPr>
            <w:tcW w:w="4502" w:type="dxa"/>
            <w:tcBorders>
              <w:bottom w:val="single" w:sz="4" w:space="0" w:color="1F497D" w:themeColor="text2"/>
            </w:tcBorders>
            <w:shd w:val="clear" w:color="auto" w:fill="auto"/>
          </w:tcPr>
          <w:p w14:paraId="62355FED" w14:textId="190F975F" w:rsidR="00325093" w:rsidRPr="0086691B" w:rsidRDefault="00325093" w:rsidP="0086691B">
            <w:pPr>
              <w:pStyle w:val="TableTextLeft-Bullet"/>
            </w:pPr>
            <w:r w:rsidRPr="0086691B">
              <w:t>Potential for greater confusion among consumers about their rights under the ACL</w:t>
            </w:r>
            <w:r w:rsidR="00953722" w:rsidRPr="0086691B">
              <w:t>, and whether their purchase is covered</w:t>
            </w:r>
            <w:r w:rsidR="00EE264F" w:rsidRPr="0086691B">
              <w:t>.</w:t>
            </w:r>
          </w:p>
        </w:tc>
      </w:tr>
    </w:tbl>
    <w:p w14:paraId="33A67B95" w14:textId="77777777" w:rsidR="0086691B" w:rsidRDefault="0086691B">
      <w:pPr>
        <w:spacing w:after="200" w:line="276" w:lineRule="auto"/>
        <w:jc w:val="left"/>
      </w:pPr>
      <w:r>
        <w:br w:type="page"/>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86691B" w14:paraId="761C5518" w14:textId="77777777" w:rsidTr="0086691B">
        <w:tc>
          <w:tcPr>
            <w:tcW w:w="9242" w:type="dxa"/>
            <w:shd w:val="clear" w:color="auto" w:fill="F2F2F2" w:themeFill="background1" w:themeFillShade="F2"/>
          </w:tcPr>
          <w:p w14:paraId="512A6329" w14:textId="77777777" w:rsidR="0086691B" w:rsidRDefault="0086691B" w:rsidP="00941D4F">
            <w:pPr>
              <w:pStyle w:val="BoxHeading"/>
            </w:pPr>
            <w:r>
              <w:t xml:space="preserve">Focus questions </w:t>
            </w:r>
          </w:p>
          <w:p w14:paraId="622B0CA9" w14:textId="77777777" w:rsidR="0086691B" w:rsidRPr="0001694A" w:rsidRDefault="0086691B" w:rsidP="00941D4F">
            <w:pPr>
              <w:pStyle w:val="BoxHeadingSub"/>
            </w:pPr>
            <w:r>
              <w:t>For everyone</w:t>
            </w:r>
          </w:p>
          <w:p w14:paraId="28919766" w14:textId="77777777" w:rsidR="0086691B" w:rsidRPr="009A2483" w:rsidRDefault="0086691B" w:rsidP="00941D4F">
            <w:pPr>
              <w:pStyle w:val="BoxBullet"/>
            </w:pPr>
            <w:r>
              <w:t xml:space="preserve">Should the threshold amount be reviewed or indexed? If so, how regularly and through what mechanism should this review or indexation occur? </w:t>
            </w:r>
          </w:p>
          <w:p w14:paraId="7469DC06" w14:textId="77777777" w:rsidR="0086691B" w:rsidRDefault="0086691B" w:rsidP="00941D4F">
            <w:pPr>
              <w:pStyle w:val="BoxBullet"/>
            </w:pPr>
            <w:r>
              <w:t>Would Producer Price Indexes (PPIs) be an appropriate form of indexation? Are there any other indexes which could be applied?</w:t>
            </w:r>
          </w:p>
          <w:p w14:paraId="1C2AC652" w14:textId="77777777" w:rsidR="0086691B" w:rsidRDefault="0086691B" w:rsidP="00941D4F">
            <w:pPr>
              <w:pStyle w:val="BoxBullet"/>
            </w:pPr>
            <w:r>
              <w:t>Are there any other regulatory mechanisms where units are indexed or adjusted which could be applied or used as guidance in the consumer law framework?</w:t>
            </w:r>
          </w:p>
          <w:p w14:paraId="30070019" w14:textId="77777777" w:rsidR="0086691B" w:rsidRDefault="0086691B" w:rsidP="00941D4F">
            <w:pPr>
              <w:pStyle w:val="BoxBullet"/>
            </w:pPr>
            <w:r>
              <w:t>Does this option</w:t>
            </w:r>
            <w:r w:rsidRPr="000946C2">
              <w:t xml:space="preserve"> offer any additional and/or significant benefits as compared to </w:t>
            </w:r>
            <w:r>
              <w:t>O</w:t>
            </w:r>
            <w:r w:rsidRPr="000946C2">
              <w:t>ption 2?</w:t>
            </w:r>
          </w:p>
          <w:p w14:paraId="179B7D6D" w14:textId="77777777" w:rsidR="0086691B" w:rsidRDefault="0086691B" w:rsidP="00941D4F">
            <w:pPr>
              <w:pStyle w:val="BoxBullet"/>
            </w:pPr>
            <w:r w:rsidRPr="00F34773">
              <w:t>Are there any particular goods, services or industries that would significantly benefit</w:t>
            </w:r>
            <w:r>
              <w:t xml:space="preserve"> from a threshold amount that is reviewed and amended on a regular basis? Please describe.</w:t>
            </w:r>
          </w:p>
          <w:p w14:paraId="432776DE" w14:textId="77777777" w:rsidR="0086691B" w:rsidRPr="000946C2" w:rsidRDefault="0086691B" w:rsidP="00941D4F">
            <w:pPr>
              <w:pStyle w:val="BoxHeadingSub"/>
            </w:pPr>
            <w:r>
              <w:t>For businesses</w:t>
            </w:r>
          </w:p>
          <w:p w14:paraId="5C080C4C" w14:textId="77777777" w:rsidR="0086691B" w:rsidRDefault="0086691B" w:rsidP="00941D4F">
            <w:pPr>
              <w:pStyle w:val="BoxBullet"/>
            </w:pPr>
            <w:r w:rsidRPr="00587F35">
              <w:t>As a supplier, would your</w:t>
            </w:r>
            <w:r>
              <w:t xml:space="preserve"> costs for</w:t>
            </w:r>
            <w:r w:rsidRPr="00587F35">
              <w:t xml:space="preserve"> compliance and training purposes increase if the threshold amount was reviewed and amended on a regular basis? By how much?</w:t>
            </w:r>
          </w:p>
          <w:p w14:paraId="3BCC9DCB" w14:textId="77777777" w:rsidR="0086691B" w:rsidRPr="005B350E" w:rsidRDefault="0086691B" w:rsidP="00941D4F">
            <w:pPr>
              <w:pStyle w:val="BoxBullet"/>
            </w:pPr>
            <w:r>
              <w:t>What would be the differences in cost between options 2 and 3?</w:t>
            </w:r>
          </w:p>
          <w:p w14:paraId="57D088C8" w14:textId="7969B823" w:rsidR="0086691B" w:rsidRDefault="0086691B" w:rsidP="00941D4F">
            <w:pPr>
              <w:pStyle w:val="BoxBullet"/>
            </w:pPr>
            <w:r>
              <w:t>Are there other benefits, costs or difficulties for your business if the monetary threshold was increased from $40,000 to $100,000 and then reviewed or amended on a regular basis that should be considered?</w:t>
            </w:r>
          </w:p>
        </w:tc>
      </w:tr>
    </w:tbl>
    <w:p w14:paraId="0BCFC2A5" w14:textId="77777777" w:rsidR="00705E03" w:rsidRDefault="00705E03" w:rsidP="00594197"/>
    <w:p w14:paraId="768C13CD" w14:textId="77777777" w:rsidR="00705E03" w:rsidRDefault="00705E03" w:rsidP="00594197">
      <w:pPr>
        <w:sectPr w:rsidR="00705E03" w:rsidSect="00545D74">
          <w:footerReference w:type="first" r:id="rId28"/>
          <w:pgSz w:w="11906" w:h="16838"/>
          <w:pgMar w:top="1440" w:right="1440" w:bottom="1440" w:left="1440" w:header="709" w:footer="709" w:gutter="0"/>
          <w:cols w:space="708"/>
          <w:titlePg/>
          <w:docGrid w:linePitch="360"/>
        </w:sectPr>
      </w:pPr>
    </w:p>
    <w:p w14:paraId="375BE794" w14:textId="77777777" w:rsidR="00CC613C" w:rsidRPr="00AF2B4F" w:rsidRDefault="00CC613C" w:rsidP="00705E03">
      <w:pPr>
        <w:pStyle w:val="Heading1-NoNumber"/>
      </w:pPr>
      <w:bookmarkStart w:id="57" w:name="_Toc507753724"/>
      <w:bookmarkStart w:id="58" w:name="_Toc507770079"/>
      <w:bookmarkStart w:id="59" w:name="_Toc508968522"/>
      <w:r>
        <w:t>Focus questions</w:t>
      </w:r>
      <w:bookmarkEnd w:id="57"/>
      <w:bookmarkEnd w:id="58"/>
      <w:bookmarkEnd w:id="59"/>
    </w:p>
    <w:p w14:paraId="5BCFDB73" w14:textId="580192FE" w:rsidR="00CC613C" w:rsidRDefault="00D90028" w:rsidP="00941D4F">
      <w:r>
        <w:t xml:space="preserve">The focus questions throughout this chapter are set out below for ease of reference. </w:t>
      </w:r>
      <w:r w:rsidR="00CC613C">
        <w:t>Stakeholders are encouraged to refer to the focus questions in their submissions. Where possible, Treasury encourages stakeholders to provide case studies, data and evidence to support their views.</w:t>
      </w:r>
    </w:p>
    <w:p w14:paraId="5022BDF1" w14:textId="77777777" w:rsidR="00CC613C" w:rsidRDefault="00CC613C" w:rsidP="004A5EBC">
      <w:pPr>
        <w:pStyle w:val="BoxHeading"/>
      </w:pPr>
      <w:bookmarkStart w:id="60" w:name="_Toc507753725"/>
      <w:bookmarkStart w:id="61" w:name="_Toc507770080"/>
      <w:r>
        <w:t>The Problem</w:t>
      </w:r>
      <w:bookmarkEnd w:id="60"/>
      <w:bookmarkEnd w:id="6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941D4F" w14:paraId="4DCEB3ED" w14:textId="77777777" w:rsidTr="00941D4F">
        <w:tc>
          <w:tcPr>
            <w:tcW w:w="9242" w:type="dxa"/>
            <w:shd w:val="clear" w:color="auto" w:fill="F2F2F2" w:themeFill="background1" w:themeFillShade="F2"/>
          </w:tcPr>
          <w:p w14:paraId="4A966F51" w14:textId="77777777" w:rsidR="00941D4F" w:rsidRDefault="00941D4F" w:rsidP="00941D4F">
            <w:pPr>
              <w:pStyle w:val="BoxHeadingSub"/>
            </w:pPr>
            <w:bookmarkStart w:id="62" w:name="_Toc507753726"/>
            <w:bookmarkStart w:id="63" w:name="_Toc507770081"/>
            <w:r>
              <w:t>For everyone</w:t>
            </w:r>
            <w:bookmarkEnd w:id="62"/>
            <w:bookmarkEnd w:id="63"/>
          </w:p>
          <w:p w14:paraId="7003688C" w14:textId="2A1AF4BC" w:rsidR="00941D4F" w:rsidRDefault="00941D4F" w:rsidP="00941D4F">
            <w:pPr>
              <w:pStyle w:val="BoxBullet"/>
            </w:pPr>
            <w:r w:rsidRPr="00B80FC9">
              <w:t>In your sale and purchase of goods experiences, what purchases of goods or services would have formerly met the requirements of the definition of ‘consumer’, but are now excluded from this definition due to the decline in the real value of the monetary threshold? Please describe how you have reached this conclusion.</w:t>
            </w:r>
          </w:p>
        </w:tc>
      </w:tr>
    </w:tbl>
    <w:p w14:paraId="4F7105A5" w14:textId="77777777" w:rsidR="00941D4F" w:rsidRDefault="00941D4F" w:rsidP="00941D4F"/>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941D4F" w14:paraId="07DB3A95" w14:textId="77777777" w:rsidTr="00941D4F">
        <w:tc>
          <w:tcPr>
            <w:tcW w:w="9242" w:type="dxa"/>
            <w:shd w:val="clear" w:color="auto" w:fill="F2F2F2" w:themeFill="background1" w:themeFillShade="F2"/>
          </w:tcPr>
          <w:p w14:paraId="69AB42BE" w14:textId="77777777" w:rsidR="00941D4F" w:rsidRDefault="00941D4F" w:rsidP="00941D4F">
            <w:pPr>
              <w:pStyle w:val="BoxHeadingSub"/>
            </w:pPr>
            <w:bookmarkStart w:id="64" w:name="_Toc507753727"/>
            <w:bookmarkStart w:id="65" w:name="_Toc507770082"/>
            <w:r>
              <w:t>For businesses</w:t>
            </w:r>
            <w:bookmarkEnd w:id="64"/>
            <w:bookmarkEnd w:id="65"/>
          </w:p>
          <w:p w14:paraId="6A2C68F5" w14:textId="77777777" w:rsidR="00941D4F" w:rsidRDefault="00941D4F" w:rsidP="00941D4F">
            <w:pPr>
              <w:pStyle w:val="BoxBullet"/>
            </w:pPr>
            <w:r w:rsidRPr="00DC5BD0">
              <w:t>In your experience</w:t>
            </w:r>
            <w:r>
              <w:t xml:space="preserve"> as a business</w:t>
            </w:r>
            <w:r w:rsidRPr="00DC5BD0">
              <w:t>, how often have consumers bought goods or services which could be used in both a domestic and commercial setting? Can you provide some common examples</w:t>
            </w:r>
            <w:r>
              <w:t>?</w:t>
            </w:r>
          </w:p>
          <w:p w14:paraId="6F46BD5B" w14:textId="7DA72EE1" w:rsidR="00941D4F" w:rsidRDefault="00941D4F" w:rsidP="00941D4F">
            <w:pPr>
              <w:pStyle w:val="BoxBullet"/>
            </w:pPr>
            <w:r>
              <w:t>I</w:t>
            </w:r>
            <w:r w:rsidRPr="003802DB">
              <w:t>f you have been excluded from making a claim under the ACL due to the decline in the real value of the monetary threshold, how has this exclusion impacted or affected your business? Please explain the circumstances.</w:t>
            </w:r>
          </w:p>
        </w:tc>
      </w:tr>
    </w:tbl>
    <w:p w14:paraId="04D7B885" w14:textId="77777777" w:rsidR="00941D4F" w:rsidRDefault="00941D4F" w:rsidP="00941D4F"/>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941D4F" w14:paraId="468748EF" w14:textId="77777777" w:rsidTr="00941D4F">
        <w:tc>
          <w:tcPr>
            <w:tcW w:w="9242" w:type="dxa"/>
            <w:shd w:val="clear" w:color="auto" w:fill="F2F2F2" w:themeFill="background1" w:themeFillShade="F2"/>
          </w:tcPr>
          <w:p w14:paraId="41F964B9" w14:textId="77777777" w:rsidR="00941D4F" w:rsidRPr="003A1FA5" w:rsidRDefault="00941D4F" w:rsidP="00941D4F">
            <w:pPr>
              <w:pStyle w:val="BoxHeadingSub"/>
            </w:pPr>
            <w:bookmarkStart w:id="66" w:name="_Toc507753728"/>
            <w:bookmarkStart w:id="67" w:name="_Toc507770083"/>
            <w:r>
              <w:t>For consumers</w:t>
            </w:r>
            <w:bookmarkEnd w:id="66"/>
            <w:bookmarkEnd w:id="67"/>
          </w:p>
          <w:p w14:paraId="1799EACC" w14:textId="77777777" w:rsidR="00941D4F" w:rsidRDefault="00941D4F" w:rsidP="00941D4F">
            <w:pPr>
              <w:pStyle w:val="BoxBullet"/>
            </w:pPr>
            <w:r w:rsidRPr="00DC5BD0">
              <w:t>Please describe your experiences</w:t>
            </w:r>
            <w:r>
              <w:t xml:space="preserve"> as a consumer</w:t>
            </w:r>
            <w:r w:rsidRPr="00DC5BD0">
              <w:t xml:space="preserve"> when you have acquired a good or service that would not ordinarily be acquired for </w:t>
            </w:r>
            <w:r>
              <w:t>personal,</w:t>
            </w:r>
            <w:r w:rsidRPr="00DC5BD0">
              <w:t xml:space="preserve"> domestic or </w:t>
            </w:r>
            <w:r>
              <w:t>household</w:t>
            </w:r>
            <w:r w:rsidRPr="00DC5BD0">
              <w:t xml:space="preserve"> use?</w:t>
            </w:r>
            <w:r>
              <w:t xml:space="preserve"> Why did you make this choice?</w:t>
            </w:r>
          </w:p>
          <w:p w14:paraId="06D14292" w14:textId="77777777" w:rsidR="00941D4F" w:rsidRDefault="00941D4F" w:rsidP="00941D4F">
            <w:pPr>
              <w:pStyle w:val="BoxBullet"/>
            </w:pPr>
            <w:r>
              <w:t>If you have experienced exclusion from the ACL’s protective regime due to the monetary threshold, please outline your experience in obtaining redress and remedy. What alternative legal recourse/s did you rely on? What was the cost associated with obtaining this redress?</w:t>
            </w:r>
          </w:p>
          <w:p w14:paraId="38D10A5C" w14:textId="0722F2F6" w:rsidR="00941D4F" w:rsidRDefault="00941D4F" w:rsidP="00941D4F">
            <w:pPr>
              <w:pStyle w:val="BoxBullet"/>
            </w:pPr>
            <w:r w:rsidRPr="002A0DCB">
              <w:t>What means have you adopted to protect your rights as a consumer? Please discuss costs, resources required and experiences in negotiating and dealing with suppliers</w:t>
            </w:r>
            <w:r>
              <w:t xml:space="preserve"> (if applicable).</w:t>
            </w:r>
          </w:p>
        </w:tc>
      </w:tr>
    </w:tbl>
    <w:p w14:paraId="4B3B7291" w14:textId="77777777" w:rsidR="00941D4F" w:rsidRDefault="00941D4F">
      <w:pPr>
        <w:spacing w:after="200" w:line="276" w:lineRule="auto"/>
        <w:jc w:val="left"/>
        <w:rPr>
          <w:rFonts w:ascii="Calibri" w:eastAsia="Times New Roman" w:hAnsi="Calibri" w:cs="Arial"/>
          <w:b/>
          <w:iCs/>
          <w:caps/>
          <w:color w:val="595959" w:themeColor="text1" w:themeTint="A6"/>
          <w:kern w:val="32"/>
          <w:sz w:val="32"/>
          <w:szCs w:val="28"/>
          <w:lang w:eastAsia="en-AU"/>
        </w:rPr>
      </w:pPr>
      <w:bookmarkStart w:id="68" w:name="_Toc507753729"/>
      <w:bookmarkStart w:id="69" w:name="_Toc507770084"/>
      <w:r>
        <w:br w:type="page"/>
      </w:r>
    </w:p>
    <w:p w14:paraId="164F0376" w14:textId="62CF7153" w:rsidR="00CC613C" w:rsidRDefault="00CC613C" w:rsidP="004A5EBC">
      <w:pPr>
        <w:pStyle w:val="BoxHeading"/>
      </w:pPr>
      <w:r>
        <w:t>The Policy Response</w:t>
      </w:r>
      <w:bookmarkEnd w:id="68"/>
      <w:bookmarkEnd w:id="69"/>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941D4F" w14:paraId="6F45CF7D" w14:textId="77777777" w:rsidTr="00941D4F">
        <w:tc>
          <w:tcPr>
            <w:tcW w:w="9242" w:type="dxa"/>
            <w:shd w:val="clear" w:color="auto" w:fill="F2F2F2" w:themeFill="background1" w:themeFillShade="F2"/>
          </w:tcPr>
          <w:p w14:paraId="5452625D" w14:textId="77777777" w:rsidR="00941D4F" w:rsidRPr="00725C77" w:rsidRDefault="00941D4F" w:rsidP="00941D4F">
            <w:pPr>
              <w:pStyle w:val="BoxHeadingSub"/>
            </w:pPr>
            <w:bookmarkStart w:id="70" w:name="_Toc507753730"/>
            <w:bookmarkStart w:id="71" w:name="_Toc507770085"/>
            <w:r>
              <w:t>For everyone</w:t>
            </w:r>
          </w:p>
          <w:p w14:paraId="7794662B" w14:textId="77777777" w:rsidR="00941D4F" w:rsidRPr="00941D4F" w:rsidRDefault="00941D4F" w:rsidP="00941D4F">
            <w:pPr>
              <w:pStyle w:val="BoxBullet"/>
            </w:pPr>
            <w:r w:rsidRPr="00941D4F">
              <w:t>Is the current monetary threshold a barrier to consumer access to the ACL regime?</w:t>
            </w:r>
          </w:p>
          <w:p w14:paraId="13207E67" w14:textId="77777777" w:rsidR="00941D4F" w:rsidRPr="00941D4F" w:rsidRDefault="00941D4F" w:rsidP="00941D4F">
            <w:pPr>
              <w:pStyle w:val="BoxBullet"/>
            </w:pPr>
            <w:r w:rsidRPr="00941D4F">
              <w:t>Are there any other benefits associated with maintaining the status quo?</w:t>
            </w:r>
          </w:p>
          <w:p w14:paraId="609DF5C8" w14:textId="77777777" w:rsidR="00941D4F" w:rsidRPr="00941D4F" w:rsidRDefault="00941D4F" w:rsidP="00941D4F">
            <w:pPr>
              <w:pStyle w:val="BoxBullet"/>
            </w:pPr>
            <w:r w:rsidRPr="00941D4F">
              <w:t>What are other potential costs to industry, consumers and businesses if the status quo was maintained?</w:t>
            </w:r>
          </w:p>
          <w:p w14:paraId="26EAD49F" w14:textId="77777777" w:rsidR="00941D4F" w:rsidRPr="00941D4F" w:rsidRDefault="00941D4F" w:rsidP="00941D4F">
            <w:pPr>
              <w:pStyle w:val="BoxBullet"/>
            </w:pPr>
            <w:r w:rsidRPr="00941D4F">
              <w:t>How many purchases have you made for a commercial product costing above $40,000?</w:t>
            </w:r>
          </w:p>
          <w:p w14:paraId="19EB9EDF" w14:textId="77777777" w:rsidR="00941D4F" w:rsidRPr="00941D4F" w:rsidRDefault="00941D4F" w:rsidP="00941D4F">
            <w:pPr>
              <w:pStyle w:val="BoxBullet"/>
            </w:pPr>
            <w:r w:rsidRPr="00941D4F">
              <w:t>If you have been excluded from the ACL’s regime as a result of the current monetary threshold amount, what means have you adopted to protect or enforce your rights? Please discuss costs, resources required and experiences in this context.</w:t>
            </w:r>
          </w:p>
          <w:p w14:paraId="7F3A92F2" w14:textId="77777777" w:rsidR="00941D4F" w:rsidRPr="00941D4F" w:rsidRDefault="00941D4F" w:rsidP="00941D4F">
            <w:pPr>
              <w:pStyle w:val="BoxBullet"/>
            </w:pPr>
            <w:r w:rsidRPr="00941D4F">
              <w:t>To what extent would consumers and businesses, especially small businesses, be better protected under the ACL if the threshold amount was increased to $100,000?</w:t>
            </w:r>
          </w:p>
          <w:p w14:paraId="05244820" w14:textId="77777777" w:rsidR="00941D4F" w:rsidRPr="00941D4F" w:rsidRDefault="00941D4F" w:rsidP="00941D4F">
            <w:pPr>
              <w:pStyle w:val="BoxBullet"/>
            </w:pPr>
            <w:r w:rsidRPr="00941D4F">
              <w:t>Does increasing the threshold also result in increasing the potential class or categories of products that would not have been covered by the ACL regime under previous thresholds?</w:t>
            </w:r>
          </w:p>
          <w:p w14:paraId="5BEFB0FD" w14:textId="77777777" w:rsidR="00941D4F" w:rsidRPr="00941D4F" w:rsidRDefault="00941D4F" w:rsidP="00941D4F">
            <w:pPr>
              <w:pStyle w:val="BoxBullet"/>
            </w:pPr>
            <w:r w:rsidRPr="00941D4F">
              <w:t>Should the threshold amount be reviewed or indexed? If so, how regularly and through what mechanism should this review or indexation occur?</w:t>
            </w:r>
          </w:p>
          <w:p w14:paraId="1565D10D" w14:textId="77777777" w:rsidR="00941D4F" w:rsidRPr="00941D4F" w:rsidRDefault="00941D4F" w:rsidP="00941D4F">
            <w:pPr>
              <w:pStyle w:val="BoxBullet"/>
            </w:pPr>
            <w:r w:rsidRPr="00941D4F">
              <w:t>Would Producer Price Indexes (PPIs) be an appropriate form of indexation? Are there any other indexes which could be applied?</w:t>
            </w:r>
          </w:p>
          <w:p w14:paraId="7E118BDA" w14:textId="77777777" w:rsidR="00941D4F" w:rsidRPr="00941D4F" w:rsidRDefault="00941D4F" w:rsidP="00941D4F">
            <w:pPr>
              <w:pStyle w:val="BoxBullet"/>
            </w:pPr>
            <w:r w:rsidRPr="00941D4F">
              <w:t>Are there any other regulatory mechanisms where units are indexed or adjusted which could be applied or used as guidance in the consumer law framework?</w:t>
            </w:r>
          </w:p>
          <w:p w14:paraId="022F29E1" w14:textId="77777777" w:rsidR="00941D4F" w:rsidRPr="00941D4F" w:rsidRDefault="00941D4F" w:rsidP="00941D4F">
            <w:pPr>
              <w:pStyle w:val="BoxBullet"/>
            </w:pPr>
            <w:r w:rsidRPr="00941D4F">
              <w:t>Does Option 3 offer any additional and/or significant benefits as compared to Option 2?</w:t>
            </w:r>
          </w:p>
          <w:p w14:paraId="5FD45175" w14:textId="0458AD99" w:rsidR="00941D4F" w:rsidRDefault="00941D4F" w:rsidP="00941D4F">
            <w:pPr>
              <w:pStyle w:val="BoxBullet"/>
            </w:pPr>
            <w:r w:rsidRPr="00941D4F">
              <w:t>Are there any particular goods, services or industries that would significantly benefit from a threshold amount that is reviewed and amended on a regular basis? Please describe.</w:t>
            </w:r>
          </w:p>
        </w:tc>
      </w:tr>
    </w:tbl>
    <w:p w14:paraId="6859799D" w14:textId="77777777" w:rsidR="00941D4F" w:rsidRPr="00941D4F" w:rsidRDefault="00941D4F" w:rsidP="00941D4F"/>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941D4F" w14:paraId="4B471F61" w14:textId="77777777" w:rsidTr="00941D4F">
        <w:tc>
          <w:tcPr>
            <w:tcW w:w="9242" w:type="dxa"/>
            <w:shd w:val="clear" w:color="auto" w:fill="F2F2F2" w:themeFill="background1" w:themeFillShade="F2"/>
          </w:tcPr>
          <w:p w14:paraId="5039BBE1" w14:textId="77777777" w:rsidR="00941D4F" w:rsidRPr="00BC6926" w:rsidRDefault="00941D4F" w:rsidP="00941D4F">
            <w:pPr>
              <w:pStyle w:val="BoxHeadingSub"/>
            </w:pPr>
            <w:bookmarkStart w:id="72" w:name="_Toc507753731"/>
            <w:bookmarkStart w:id="73" w:name="_Toc507770086"/>
            <w:r w:rsidRPr="00BC6926">
              <w:t>For b</w:t>
            </w:r>
            <w:r>
              <w:t>usinesses</w:t>
            </w:r>
            <w:bookmarkEnd w:id="72"/>
            <w:bookmarkEnd w:id="73"/>
          </w:p>
          <w:p w14:paraId="51E98CB7" w14:textId="77777777" w:rsidR="00941D4F" w:rsidRDefault="00941D4F" w:rsidP="00941D4F">
            <w:pPr>
              <w:pStyle w:val="BoxBullet"/>
            </w:pPr>
            <w:r>
              <w:t>Would your costs for compliance and training purposes increase if the threshold amount was increased to $100,000? By how much?</w:t>
            </w:r>
          </w:p>
          <w:p w14:paraId="07C82A7E" w14:textId="77777777" w:rsidR="00941D4F" w:rsidRDefault="00941D4F" w:rsidP="00941D4F">
            <w:pPr>
              <w:pStyle w:val="BoxBullet"/>
            </w:pPr>
            <w:r>
              <w:t>What are other</w:t>
            </w:r>
            <w:r w:rsidRPr="00FF3682">
              <w:t xml:space="preserve"> potential costs</w:t>
            </w:r>
            <w:r>
              <w:t xml:space="preserve"> (such as compensation and insurance coverage)</w:t>
            </w:r>
            <w:r w:rsidRPr="00FF3682">
              <w:t xml:space="preserve"> to busin</w:t>
            </w:r>
            <w:r>
              <w:t xml:space="preserve">esses </w:t>
            </w:r>
            <w:r w:rsidRPr="00FF3682">
              <w:t>if the monetary threshold was increased from $40,000 to $100,000?</w:t>
            </w:r>
          </w:p>
          <w:p w14:paraId="2512C75E" w14:textId="77777777" w:rsidR="00941D4F" w:rsidRDefault="00941D4F" w:rsidP="00941D4F">
            <w:pPr>
              <w:pStyle w:val="BoxBullet"/>
            </w:pPr>
            <w:r>
              <w:t>Are there other benefits, costs or difficulties for your business if the monetary threshold was increased from $40,000 to $100,000 that should be considered?</w:t>
            </w:r>
          </w:p>
          <w:p w14:paraId="5C771F56" w14:textId="77777777" w:rsidR="00941D4F" w:rsidRDefault="00941D4F" w:rsidP="00941D4F">
            <w:pPr>
              <w:pStyle w:val="BoxBullet"/>
            </w:pPr>
            <w:r w:rsidRPr="00587F35">
              <w:t>As a supplier, would your</w:t>
            </w:r>
            <w:r>
              <w:t xml:space="preserve"> costs for</w:t>
            </w:r>
            <w:r w:rsidRPr="00587F35">
              <w:t xml:space="preserve"> compliance and training purposes increase if the threshold amount was reviewed and amended on a regular basis? By how much?</w:t>
            </w:r>
          </w:p>
          <w:p w14:paraId="60FA1D4D" w14:textId="77777777" w:rsidR="00941D4F" w:rsidRDefault="00941D4F" w:rsidP="00941D4F">
            <w:pPr>
              <w:pStyle w:val="BoxBullet"/>
            </w:pPr>
            <w:r w:rsidRPr="005B350E">
              <w:t>What would be the differences in cost between options 2 and 3?</w:t>
            </w:r>
          </w:p>
          <w:p w14:paraId="618BCD12" w14:textId="72F751AD" w:rsidR="00941D4F" w:rsidRDefault="00941D4F" w:rsidP="00941D4F">
            <w:pPr>
              <w:pStyle w:val="BoxBullet"/>
            </w:pPr>
            <w:r>
              <w:t>Are there other benefits, costs or difficulties for your business if the monetary threshold was increased from $40,000 to $100,000 and then reviewed or amended on a regular basis that should be considered?</w:t>
            </w:r>
          </w:p>
        </w:tc>
      </w:tr>
      <w:bookmarkEnd w:id="70"/>
      <w:bookmarkEnd w:id="71"/>
    </w:tbl>
    <w:p w14:paraId="27B83339" w14:textId="0C064A35" w:rsidR="00CC613C" w:rsidRPr="00941D4F" w:rsidRDefault="00CC613C" w:rsidP="00941D4F">
      <w:pPr>
        <w:pStyle w:val="Singleparagraph"/>
      </w:pPr>
    </w:p>
    <w:sectPr w:rsidR="00CC613C" w:rsidRPr="00941D4F" w:rsidSect="00545D74">
      <w:footerReference w:type="first" r:id="rId2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63DC6" w14:textId="77777777" w:rsidR="00594197" w:rsidRDefault="00594197" w:rsidP="00594197">
      <w:r>
        <w:separator/>
      </w:r>
    </w:p>
  </w:endnote>
  <w:endnote w:type="continuationSeparator" w:id="0">
    <w:p w14:paraId="19241A1E" w14:textId="77777777" w:rsidR="00594197" w:rsidRDefault="00594197" w:rsidP="00594197">
      <w:r>
        <w:continuationSeparator/>
      </w:r>
    </w:p>
  </w:endnote>
  <w:endnote w:type="continuationNotice" w:id="1">
    <w:p w14:paraId="49D7B6F5" w14:textId="77777777" w:rsidR="00594197" w:rsidRDefault="00594197" w:rsidP="00594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8F75" w14:textId="4C48EC47" w:rsidR="00594197" w:rsidRPr="00050D6E" w:rsidRDefault="00050D6E" w:rsidP="00050D6E">
    <w:pPr>
      <w:pStyle w:val="Footer-Odd"/>
    </w:pPr>
    <w:r>
      <w:t xml:space="preserve">Page </w:t>
    </w:r>
    <w:r w:rsidR="00F837D3">
      <w:fldChar w:fldCharType="begin"/>
    </w:r>
    <w:r w:rsidR="00F837D3">
      <w:instrText xml:space="preserve"> COMMENTS   \* MERGEFORMAT </w:instrText>
    </w:r>
    <w:r w:rsidR="00F837D3">
      <w:fldChar w:fldCharType="separate"/>
    </w:r>
    <w:r w:rsidR="00545D74">
      <w:t>1-</w:t>
    </w:r>
    <w:r w:rsidR="00F837D3">
      <w:fldChar w:fldCharType="end"/>
    </w:r>
    <w:r>
      <w:fldChar w:fldCharType="begin"/>
    </w:r>
    <w:r>
      <w:instrText xml:space="preserve"> PAGE   \* MERGEFORMAT </w:instrText>
    </w:r>
    <w:r>
      <w:fldChar w:fldCharType="separate"/>
    </w:r>
    <w:r w:rsidR="00F837D3">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D9A98" w14:textId="2B9357F0" w:rsidR="00050D6E" w:rsidRPr="00050D6E" w:rsidRDefault="00050D6E" w:rsidP="00050D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8722C" w14:textId="429D2B81" w:rsidR="00050D6E" w:rsidRPr="00050D6E" w:rsidRDefault="00050D6E" w:rsidP="00545D74">
    <w:pPr>
      <w:pStyle w:val="Footer-Odd"/>
    </w:pPr>
    <w:r>
      <w:t xml:space="preserve">Page </w:t>
    </w:r>
    <w:r w:rsidR="00F837D3">
      <w:fldChar w:fldCharType="begin"/>
    </w:r>
    <w:r w:rsidR="00F837D3">
      <w:instrText xml:space="preserve"> COMMENTS   \* MERGEFORMAT </w:instrText>
    </w:r>
    <w:r w:rsidR="00F837D3">
      <w:fldChar w:fldCharType="separate"/>
    </w:r>
    <w:r w:rsidR="00545D74">
      <w:t>1-</w:t>
    </w:r>
    <w:r w:rsidR="00F837D3">
      <w:fldChar w:fldCharType="end"/>
    </w:r>
    <w:r>
      <w:fldChar w:fldCharType="begin"/>
    </w:r>
    <w:r>
      <w:instrText xml:space="preserve"> PAGE   \* MERGEFORMAT </w:instrText>
    </w:r>
    <w:r>
      <w:fldChar w:fldCharType="separate"/>
    </w:r>
    <w:r w:rsidR="00F837D3">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54B6" w14:textId="5CF1E146" w:rsidR="00050D6E" w:rsidRDefault="00050D6E" w:rsidP="00050D6E">
    <w:pPr>
      <w:pStyle w:val="Footer-Even"/>
    </w:pPr>
    <w:r>
      <w:t xml:space="preserve">Page </w:t>
    </w:r>
    <w:r w:rsidR="00F837D3">
      <w:fldChar w:fldCharType="begin"/>
    </w:r>
    <w:r w:rsidR="00F837D3">
      <w:instrText xml:space="preserve"> COMMENTS   \* MERGEFORMAT </w:instrText>
    </w:r>
    <w:r w:rsidR="00F837D3">
      <w:fldChar w:fldCharType="separate"/>
    </w:r>
    <w:r w:rsidR="00545D74">
      <w:t>1-</w:t>
    </w:r>
    <w:r w:rsidR="00F837D3">
      <w:fldChar w:fldCharType="end"/>
    </w:r>
    <w:r>
      <w:fldChar w:fldCharType="begin"/>
    </w:r>
    <w:r>
      <w:instrText xml:space="preserve"> PAGE   \* MERGEFORMAT </w:instrText>
    </w:r>
    <w:r>
      <w:fldChar w:fldCharType="separate"/>
    </w:r>
    <w:r w:rsidR="00F837D3">
      <w:rPr>
        <w:noProof/>
      </w:rPr>
      <w:t>18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97522" w14:textId="0E256301" w:rsidR="00545D74" w:rsidRPr="00050D6E" w:rsidRDefault="00545D74" w:rsidP="00545D74">
    <w:pPr>
      <w:pStyle w:val="Footer-Even"/>
    </w:pPr>
    <w:r>
      <w:t xml:space="preserve">Page </w:t>
    </w:r>
    <w:r w:rsidR="00F837D3">
      <w:fldChar w:fldCharType="begin"/>
    </w:r>
    <w:r w:rsidR="00F837D3">
      <w:instrText xml:space="preserve"> COMMENTS   \* MERGEFORMAT </w:instrText>
    </w:r>
    <w:r w:rsidR="00F837D3">
      <w:fldChar w:fldCharType="separate"/>
    </w:r>
    <w:r>
      <w:t>1-</w:t>
    </w:r>
    <w:r w:rsidR="00F837D3">
      <w:fldChar w:fldCharType="end"/>
    </w:r>
    <w:r>
      <w:fldChar w:fldCharType="begin"/>
    </w:r>
    <w:r>
      <w:instrText xml:space="preserve"> PAGE   \* MERGEFORMAT </w:instrText>
    </w:r>
    <w:r>
      <w:fldChar w:fldCharType="separate"/>
    </w:r>
    <w:r w:rsidR="00F837D3">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AC426" w14:textId="60F2DC78" w:rsidR="00545D74" w:rsidRPr="00050D6E" w:rsidRDefault="00545D74" w:rsidP="00545D74">
    <w:pPr>
      <w:pStyle w:val="Footer-Odd"/>
    </w:pPr>
    <w:r>
      <w:t xml:space="preserve">Page </w:t>
    </w:r>
    <w:r w:rsidR="00F837D3">
      <w:fldChar w:fldCharType="begin"/>
    </w:r>
    <w:r w:rsidR="00F837D3">
      <w:instrText xml:space="preserve"> COMMENTS   \* MERGEFORMAT </w:instrText>
    </w:r>
    <w:r w:rsidR="00F837D3">
      <w:fldChar w:fldCharType="separate"/>
    </w:r>
    <w:r>
      <w:t>1-</w:t>
    </w:r>
    <w:r w:rsidR="00F837D3">
      <w:fldChar w:fldCharType="end"/>
    </w:r>
    <w:r>
      <w:fldChar w:fldCharType="begin"/>
    </w:r>
    <w:r>
      <w:instrText xml:space="preserve"> PAGE   \* MERGEFORMAT </w:instrText>
    </w:r>
    <w:r>
      <w:fldChar w:fldCharType="separate"/>
    </w:r>
    <w:r w:rsidR="00F837D3">
      <w:rPr>
        <w:noProof/>
      </w:rPr>
      <w:t>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6EB3A" w14:textId="5FEF61A9" w:rsidR="00545D74" w:rsidRPr="00050D6E" w:rsidRDefault="00545D74" w:rsidP="00545D74">
    <w:pPr>
      <w:pStyle w:val="Footer-Even"/>
    </w:pPr>
    <w:r>
      <w:t xml:space="preserve">Page </w:t>
    </w:r>
    <w:r w:rsidR="00F837D3">
      <w:fldChar w:fldCharType="begin"/>
    </w:r>
    <w:r w:rsidR="00F837D3">
      <w:instrText xml:space="preserve"> COMMENTS   \* MERGEFORMAT </w:instrText>
    </w:r>
    <w:r w:rsidR="00F837D3">
      <w:fldChar w:fldCharType="separate"/>
    </w:r>
    <w:r>
      <w:t>1-</w:t>
    </w:r>
    <w:r w:rsidR="00F837D3">
      <w:fldChar w:fldCharType="end"/>
    </w:r>
    <w:r>
      <w:fldChar w:fldCharType="begin"/>
    </w:r>
    <w:r>
      <w:instrText xml:space="preserve"> PAGE   \* MERGEFORMAT </w:instrText>
    </w:r>
    <w:r>
      <w:fldChar w:fldCharType="separate"/>
    </w:r>
    <w:r w:rsidR="00F837D3">
      <w:rPr>
        <w:noProof/>
      </w:rPr>
      <w:t>12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AF40F" w14:textId="6C4643E5" w:rsidR="00545D74" w:rsidRPr="00050D6E" w:rsidRDefault="00545D74" w:rsidP="00545D74">
    <w:pPr>
      <w:pStyle w:val="Footer-Odd"/>
    </w:pPr>
    <w:r>
      <w:t xml:space="preserve">Page </w:t>
    </w:r>
    <w:r w:rsidR="00F837D3">
      <w:fldChar w:fldCharType="begin"/>
    </w:r>
    <w:r w:rsidR="00F837D3">
      <w:instrText xml:space="preserve"> COMMENTS   \* MERGEFORMAT </w:instrText>
    </w:r>
    <w:r w:rsidR="00F837D3">
      <w:fldChar w:fldCharType="separate"/>
    </w:r>
    <w:r>
      <w:t>1-</w:t>
    </w:r>
    <w:r w:rsidR="00F837D3">
      <w:fldChar w:fldCharType="end"/>
    </w:r>
    <w:r>
      <w:fldChar w:fldCharType="begin"/>
    </w:r>
    <w:r>
      <w:instrText xml:space="preserve"> PAGE   \* MERGEFORMAT </w:instrText>
    </w:r>
    <w:r>
      <w:fldChar w:fldCharType="separate"/>
    </w:r>
    <w:r w:rsidR="00F837D3">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93310" w14:textId="77777777" w:rsidR="00594197" w:rsidRDefault="00594197" w:rsidP="00594197">
      <w:r>
        <w:separator/>
      </w:r>
    </w:p>
  </w:footnote>
  <w:footnote w:type="continuationSeparator" w:id="0">
    <w:p w14:paraId="235AB8F3" w14:textId="77777777" w:rsidR="00594197" w:rsidRDefault="00594197" w:rsidP="00594197">
      <w:r>
        <w:continuationSeparator/>
      </w:r>
    </w:p>
  </w:footnote>
  <w:footnote w:type="continuationNotice" w:id="1">
    <w:p w14:paraId="4C028C08" w14:textId="77777777" w:rsidR="00594197" w:rsidRDefault="00594197" w:rsidP="00594197"/>
  </w:footnote>
  <w:footnote w:id="2">
    <w:p w14:paraId="20A52D3B" w14:textId="2C3B64F5" w:rsidR="00594197" w:rsidRPr="00D7436B" w:rsidRDefault="00594197" w:rsidP="00D7436B">
      <w:pPr>
        <w:pStyle w:val="FootnoteText"/>
      </w:pPr>
      <w:r w:rsidRPr="00D7436B">
        <w:rPr>
          <w:rStyle w:val="FootnoteReference"/>
          <w:vertAlign w:val="baseline"/>
        </w:rPr>
        <w:footnoteRef/>
      </w:r>
      <w:r w:rsidRPr="00D7436B">
        <w:t xml:space="preserve"> </w:t>
      </w:r>
      <w:r w:rsidR="00D7436B">
        <w:tab/>
      </w:r>
      <w:r w:rsidRPr="00D7436B">
        <w:t xml:space="preserve">However, larger businesses are not precluded from claiming protection under the ACL. In </w:t>
      </w:r>
      <w:r w:rsidRPr="00D7436B">
        <w:rPr>
          <w:i/>
        </w:rPr>
        <w:t xml:space="preserve">Qantas Airways Ltd v </w:t>
      </w:r>
      <w:proofErr w:type="spellStart"/>
      <w:r w:rsidRPr="00D7436B">
        <w:rPr>
          <w:i/>
        </w:rPr>
        <w:t>Aravco</w:t>
      </w:r>
      <w:proofErr w:type="spellEnd"/>
      <w:r w:rsidRPr="00D7436B">
        <w:rPr>
          <w:i/>
        </w:rPr>
        <w:t xml:space="preserve"> Ltd</w:t>
      </w:r>
      <w:r w:rsidRPr="00D7436B">
        <w:t xml:space="preserve"> (1996) 185 CLR 43, </w:t>
      </w:r>
      <w:proofErr w:type="spellStart"/>
      <w:r w:rsidRPr="00D7436B">
        <w:t>Aravco</w:t>
      </w:r>
      <w:proofErr w:type="spellEnd"/>
      <w:r w:rsidRPr="00D7436B">
        <w:t xml:space="preserve"> made a successful claim against Qantas for failure to render services worth around $5,000 with due care and skill under the section 74 of the </w:t>
      </w:r>
      <w:r w:rsidRPr="00D7436B">
        <w:rPr>
          <w:i/>
        </w:rPr>
        <w:t>Trade Practices Act 1974</w:t>
      </w:r>
      <w:r w:rsidRPr="00D7436B">
        <w:t xml:space="preserve"> (</w:t>
      </w:r>
      <w:proofErr w:type="spellStart"/>
      <w:r w:rsidRPr="00D7436B">
        <w:t>Cth</w:t>
      </w:r>
      <w:proofErr w:type="spellEnd"/>
      <w:r w:rsidRPr="00D7436B">
        <w:t>).</w:t>
      </w:r>
    </w:p>
  </w:footnote>
  <w:footnote w:id="3">
    <w:p w14:paraId="657187ED" w14:textId="1F517388" w:rsidR="00594197" w:rsidRPr="00D7436B" w:rsidRDefault="00594197" w:rsidP="00D7436B">
      <w:pPr>
        <w:pStyle w:val="FootnoteText"/>
      </w:pPr>
      <w:r w:rsidRPr="00D7436B">
        <w:footnoteRef/>
      </w:r>
      <w:r w:rsidRPr="00D7436B">
        <w:t xml:space="preserve"> </w:t>
      </w:r>
      <w:r w:rsidR="00D7436B" w:rsidRPr="00D7436B">
        <w:tab/>
      </w:r>
      <w:r w:rsidRPr="00D7436B">
        <w:t>Swanson Committee, Trade Practices Act Review Committee Report 1976, [9.40].</w:t>
      </w:r>
    </w:p>
  </w:footnote>
  <w:footnote w:id="4">
    <w:p w14:paraId="0DBC0BD1" w14:textId="12C9F91B" w:rsidR="00594197" w:rsidRPr="00D7436B" w:rsidRDefault="00594197" w:rsidP="00D7436B">
      <w:pPr>
        <w:pStyle w:val="FootnoteText"/>
      </w:pPr>
      <w:r w:rsidRPr="00D7436B">
        <w:footnoteRef/>
      </w:r>
      <w:r w:rsidRPr="00D7436B">
        <w:t xml:space="preserve"> </w:t>
      </w:r>
      <w:r w:rsidR="00D7436B" w:rsidRPr="00D7436B">
        <w:tab/>
      </w:r>
      <w:r w:rsidRPr="00D7436B">
        <w:t>Swanson Committee, Trade Practices Act Review Committee Report 1976, [9.40].</w:t>
      </w:r>
    </w:p>
  </w:footnote>
  <w:footnote w:id="5">
    <w:p w14:paraId="2D52B8D1" w14:textId="7D9CD2B5" w:rsidR="00594197" w:rsidRPr="00D7436B" w:rsidRDefault="00594197" w:rsidP="00D7436B">
      <w:pPr>
        <w:pStyle w:val="FootnoteText"/>
      </w:pPr>
      <w:r w:rsidRPr="00D7436B">
        <w:rPr>
          <w:rStyle w:val="FootnoteReference"/>
          <w:vertAlign w:val="baseline"/>
        </w:rPr>
        <w:footnoteRef/>
      </w:r>
      <w:r w:rsidRPr="00D7436B">
        <w:t xml:space="preserve"> </w:t>
      </w:r>
      <w:r w:rsidR="00D7436B">
        <w:tab/>
      </w:r>
      <w:r w:rsidRPr="00D7436B">
        <w:t>Parliament of the Commonwealth of Australia, Trade Practices Revision Bill 1986 – Explanatory Memorandum, [13].</w:t>
      </w:r>
    </w:p>
  </w:footnote>
  <w:footnote w:id="6">
    <w:p w14:paraId="28882FC5" w14:textId="33BE9458" w:rsidR="00594197" w:rsidRPr="00D7436B" w:rsidRDefault="00594197" w:rsidP="00594197">
      <w:pPr>
        <w:pStyle w:val="FootnoteText"/>
      </w:pPr>
      <w:r w:rsidRPr="00D7436B">
        <w:rPr>
          <w:rStyle w:val="FootnoteReference"/>
          <w:vertAlign w:val="baseline"/>
        </w:rPr>
        <w:footnoteRef/>
      </w:r>
      <w:r w:rsidRPr="00D7436B">
        <w:t xml:space="preserve"> </w:t>
      </w:r>
      <w:r w:rsidR="00D7436B">
        <w:tab/>
      </w:r>
      <w:r w:rsidRPr="00D7436B">
        <w:t xml:space="preserve">Parliament of the Commonwealth of Australia, </w:t>
      </w:r>
      <w:r w:rsidRPr="00D7436B">
        <w:rPr>
          <w:i/>
        </w:rPr>
        <w:t>Trade Practices Revision Bill 1986 – Explanatory Memorandum</w:t>
      </w:r>
      <w:r w:rsidRPr="00D7436B">
        <w:t>,</w:t>
      </w:r>
      <w:r w:rsidR="00D7436B">
        <w:br/>
      </w:r>
      <w:r w:rsidRPr="00D7436B">
        <w:t>[13]-[14].</w:t>
      </w:r>
    </w:p>
  </w:footnote>
  <w:footnote w:id="7">
    <w:p w14:paraId="5D330CBF" w14:textId="22685407" w:rsidR="00594197" w:rsidRPr="00D7436B" w:rsidRDefault="00594197" w:rsidP="00594197">
      <w:pPr>
        <w:pStyle w:val="FootnoteText"/>
      </w:pPr>
      <w:r w:rsidRPr="00D7436B">
        <w:rPr>
          <w:rStyle w:val="FootnoteReference"/>
          <w:vertAlign w:val="baseline"/>
        </w:rPr>
        <w:footnoteRef/>
      </w:r>
      <w:r w:rsidRPr="00D7436B">
        <w:t xml:space="preserve"> </w:t>
      </w:r>
      <w:r w:rsidR="00D7436B">
        <w:tab/>
      </w:r>
      <w:r w:rsidRPr="00D7436B">
        <w:t xml:space="preserve">ABS Media Release, </w:t>
      </w:r>
      <w:r w:rsidRPr="00D7436B">
        <w:rPr>
          <w:i/>
        </w:rPr>
        <w:t>Business numbers up 2.4% from June 2015</w:t>
      </w:r>
      <w:r w:rsidRPr="00D7436B">
        <w:t xml:space="preserve"> </w:t>
      </w:r>
      <w:hyperlink r:id="rId1" w:history="1">
        <w:r w:rsidR="00D7436B" w:rsidRPr="0086691B">
          <w:rPr>
            <w:rStyle w:val="Hyperlink"/>
          </w:rPr>
          <w:t>http://www.abs.gov.au/ausstats/abs@.nsf/media</w:t>
        </w:r>
        <w:r w:rsidR="00D7436B" w:rsidRPr="0086691B">
          <w:rPr>
            <w:rStyle w:val="Hyperlink"/>
          </w:rPr>
          <w:br/>
        </w:r>
        <w:proofErr w:type="spellStart"/>
        <w:r w:rsidR="00D7436B" w:rsidRPr="0086691B">
          <w:rPr>
            <w:rStyle w:val="Hyperlink"/>
          </w:rPr>
          <w:t>releasesbytitle</w:t>
        </w:r>
        <w:proofErr w:type="spellEnd"/>
        <w:r w:rsidR="00D7436B" w:rsidRPr="0086691B">
          <w:rPr>
            <w:rStyle w:val="Hyperlink"/>
          </w:rPr>
          <w:t>/950EC94DB899312ECA2573B00017B8F4</w:t>
        </w:r>
      </w:hyperlink>
      <w:r w:rsidR="00D7436B">
        <w:t>.</w:t>
      </w:r>
    </w:p>
  </w:footnote>
  <w:footnote w:id="8">
    <w:p w14:paraId="4BCDBCE6" w14:textId="4B3BBE8D" w:rsidR="00594197" w:rsidRPr="00D7436B" w:rsidRDefault="00594197" w:rsidP="00594197">
      <w:pPr>
        <w:pStyle w:val="FootnoteText"/>
      </w:pPr>
      <w:r w:rsidRPr="00D7436B">
        <w:rPr>
          <w:rStyle w:val="FootnoteReference"/>
          <w:vertAlign w:val="baseline"/>
        </w:rPr>
        <w:footnoteRef/>
      </w:r>
      <w:r w:rsidRPr="00D7436B">
        <w:t xml:space="preserve"> </w:t>
      </w:r>
      <w:r w:rsidR="00D7436B">
        <w:tab/>
      </w:r>
      <w:r w:rsidRPr="00D7436B">
        <w:t xml:space="preserve">Productivity Commission Inquiry Report, </w:t>
      </w:r>
      <w:r w:rsidRPr="00D7436B">
        <w:rPr>
          <w:i/>
        </w:rPr>
        <w:t>Review of Australia’s Consumer Policy Framework</w:t>
      </w:r>
      <w:r w:rsidRPr="00D7436B">
        <w:t>, 2008, page 318.</w:t>
      </w:r>
    </w:p>
  </w:footnote>
  <w:footnote w:id="9">
    <w:p w14:paraId="0AC44954" w14:textId="0976634A" w:rsidR="00594197" w:rsidRPr="00D7436B" w:rsidRDefault="00594197" w:rsidP="00594197">
      <w:pPr>
        <w:pStyle w:val="FootnoteText"/>
      </w:pPr>
      <w:r w:rsidRPr="00D7436B">
        <w:rPr>
          <w:rStyle w:val="FootnoteReference"/>
          <w:vertAlign w:val="baseline"/>
        </w:rPr>
        <w:footnoteRef/>
      </w:r>
      <w:r w:rsidRPr="00D7436B">
        <w:t xml:space="preserve"> </w:t>
      </w:r>
      <w:r w:rsidR="00D7436B">
        <w:tab/>
      </w:r>
      <w:r w:rsidRPr="00D7436B">
        <w:t xml:space="preserve">Aviva </w:t>
      </w:r>
      <w:proofErr w:type="spellStart"/>
      <w:r w:rsidRPr="00D7436B">
        <w:t>Freilich</w:t>
      </w:r>
      <w:proofErr w:type="spellEnd"/>
      <w:r w:rsidRPr="00D7436B">
        <w:t xml:space="preserve"> and Eileen Webb, ‘Small Business: Forgotten and in need of protection from unfairness?’ (2013) 37 </w:t>
      </w:r>
      <w:r w:rsidRPr="00D7436B">
        <w:rPr>
          <w:i/>
        </w:rPr>
        <w:t>University of Western Australia Law Review</w:t>
      </w:r>
      <w:r w:rsidRPr="00D7436B">
        <w:t xml:space="preserve"> 134, 138.</w:t>
      </w:r>
    </w:p>
  </w:footnote>
  <w:footnote w:id="10">
    <w:p w14:paraId="7AE412CC" w14:textId="054BC32B" w:rsidR="00594197" w:rsidRPr="00D7436B" w:rsidRDefault="00594197" w:rsidP="00594197">
      <w:pPr>
        <w:pStyle w:val="FootnoteText"/>
      </w:pPr>
      <w:r w:rsidRPr="00D7436B">
        <w:rPr>
          <w:rStyle w:val="FootnoteReference"/>
          <w:vertAlign w:val="baseline"/>
        </w:rPr>
        <w:footnoteRef/>
      </w:r>
      <w:r w:rsidRPr="00D7436B">
        <w:t xml:space="preserve"> </w:t>
      </w:r>
      <w:r w:rsidR="00D7436B">
        <w:tab/>
      </w:r>
      <w:r w:rsidRPr="00D7436B">
        <w:t xml:space="preserve">Aviva </w:t>
      </w:r>
      <w:proofErr w:type="spellStart"/>
      <w:r w:rsidRPr="00D7436B">
        <w:t>Freilich</w:t>
      </w:r>
      <w:proofErr w:type="spellEnd"/>
      <w:r w:rsidRPr="00D7436B">
        <w:t xml:space="preserve"> and Eileen Webb, ‘Small Business: Forgotten and in need of protection from unfairness?’ (2013) 37 </w:t>
      </w:r>
      <w:r w:rsidRPr="00D7436B">
        <w:rPr>
          <w:i/>
        </w:rPr>
        <w:t>University of Western Australia Law Review</w:t>
      </w:r>
      <w:r w:rsidRPr="00D7436B">
        <w:t xml:space="preserve"> 134, 138-139.</w:t>
      </w:r>
    </w:p>
  </w:footnote>
  <w:footnote w:id="11">
    <w:p w14:paraId="3A9E8443" w14:textId="3F34C1C6" w:rsidR="00594197" w:rsidRPr="00D7436B" w:rsidRDefault="00594197" w:rsidP="00594197">
      <w:pPr>
        <w:pStyle w:val="FootnoteText"/>
      </w:pPr>
      <w:r w:rsidRPr="00D7436B">
        <w:rPr>
          <w:rStyle w:val="FootnoteReference"/>
          <w:vertAlign w:val="baseline"/>
        </w:rPr>
        <w:footnoteRef/>
      </w:r>
      <w:r w:rsidRPr="00D7436B">
        <w:t xml:space="preserve"> </w:t>
      </w:r>
      <w:r w:rsidR="00D7436B">
        <w:tab/>
      </w:r>
      <w:r w:rsidRPr="00D7436B">
        <w:t xml:space="preserve">Consumer Affairs Australia and New Zealand, </w:t>
      </w:r>
      <w:r w:rsidRPr="00D7436B">
        <w:rPr>
          <w:i/>
        </w:rPr>
        <w:t xml:space="preserve">Australian Consumer Law Review Final Report, </w:t>
      </w:r>
      <w:r w:rsidRPr="00D7436B">
        <w:t>March 2017, page 74.</w:t>
      </w:r>
    </w:p>
  </w:footnote>
  <w:footnote w:id="12">
    <w:p w14:paraId="6E44CC1D" w14:textId="6F48EB7C" w:rsidR="00594197" w:rsidRPr="00D7436B" w:rsidRDefault="00594197" w:rsidP="00594197">
      <w:pPr>
        <w:pStyle w:val="FootnoteText"/>
      </w:pPr>
      <w:r w:rsidRPr="00D7436B">
        <w:rPr>
          <w:rStyle w:val="FootnoteReference"/>
          <w:vertAlign w:val="baseline"/>
        </w:rPr>
        <w:footnoteRef/>
      </w:r>
      <w:r w:rsidRPr="00D7436B">
        <w:t xml:space="preserve"> </w:t>
      </w:r>
      <w:r w:rsidR="00D7436B">
        <w:tab/>
      </w:r>
      <w:r w:rsidRPr="00D7436B">
        <w:t>Australian case law on the interpretation of when a good or service is ‘ordinarily acquired for personal, domestic or household use or consumption’ is currently unsettled on this point. In a key consumer guarantees case from New</w:t>
      </w:r>
      <w:r w:rsidR="00D7436B">
        <w:t> </w:t>
      </w:r>
      <w:r w:rsidRPr="00D7436B">
        <w:t xml:space="preserve">Zealand, </w:t>
      </w:r>
      <w:r w:rsidRPr="00D7436B">
        <w:rPr>
          <w:i/>
        </w:rPr>
        <w:t xml:space="preserve">Nesbit v Porter </w:t>
      </w:r>
      <w:r w:rsidRPr="00D7436B">
        <w:t xml:space="preserve">[2000] 2 NZLR 465, the Court of Appeal confirmed the view that goods and services could be acquired for both personal </w:t>
      </w:r>
      <w:r w:rsidR="00D7436B">
        <w:t>and commercial use.</w:t>
      </w:r>
    </w:p>
  </w:footnote>
  <w:footnote w:id="13">
    <w:p w14:paraId="04DA0066" w14:textId="20C07554" w:rsidR="00594197" w:rsidRPr="00D7436B" w:rsidRDefault="00594197" w:rsidP="00594197">
      <w:pPr>
        <w:pStyle w:val="FootnoteText"/>
      </w:pPr>
      <w:r w:rsidRPr="00D7436B">
        <w:rPr>
          <w:rStyle w:val="FootnoteReference"/>
          <w:vertAlign w:val="baseline"/>
        </w:rPr>
        <w:footnoteRef/>
      </w:r>
      <w:r w:rsidRPr="00D7436B">
        <w:t xml:space="preserve"> </w:t>
      </w:r>
      <w:r w:rsidR="00D7436B">
        <w:tab/>
      </w:r>
      <w:r w:rsidRPr="00D7436B">
        <w:t xml:space="preserve">Reserve Bank of Australia, </w:t>
      </w:r>
      <w:r w:rsidRPr="00D7436B">
        <w:rPr>
          <w:i/>
        </w:rPr>
        <w:t>Inflation Target</w:t>
      </w:r>
      <w:r w:rsidRPr="00D7436B">
        <w:t xml:space="preserve"> </w:t>
      </w:r>
      <w:hyperlink r:id="rId2" w:history="1">
        <w:r w:rsidRPr="00D7436B">
          <w:rPr>
            <w:rStyle w:val="Hyperlink"/>
          </w:rPr>
          <w:t>https://www.rba.gov.au/inflation/inflation-target.html</w:t>
        </w:r>
      </w:hyperlink>
      <w:r w:rsidR="00D7436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6CCD4" w14:textId="63D0132D" w:rsidR="00D323BD" w:rsidRDefault="007710DC" w:rsidP="00D323BD">
    <w:pPr>
      <w:pStyle w:val="Header-Even"/>
    </w:pPr>
    <w:fldSimple w:instr=" TITLE   \* MERGEFORMAT ">
      <w:r w:rsidR="00D323BD">
        <w:t>Australian Consumer Law Review: Proposal 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A727" w14:textId="546724A0" w:rsidR="00594197" w:rsidRDefault="00F837D3" w:rsidP="00D323BD">
    <w:pPr>
      <w:pStyle w:val="Header-Odd"/>
    </w:pPr>
    <w:r>
      <w:fldChar w:fldCharType="begin"/>
    </w:r>
    <w:r>
      <w:instrText xml:space="preserve"> STYLEREF  "Heading 1 - No Number"  \* MERGEFORMAT </w:instrText>
    </w:r>
    <w:r>
      <w:fldChar w:fldCharType="separate"/>
    </w:r>
    <w:r>
      <w:rPr>
        <w:noProof/>
      </w:rPr>
      <w:t>Options and impact analysis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7717"/>
    <w:multiLevelType w:val="multilevel"/>
    <w:tmpl w:val="1E4EE1C6"/>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55F3A"/>
    <w:multiLevelType w:val="hybridMultilevel"/>
    <w:tmpl w:val="F1E68396"/>
    <w:lvl w:ilvl="0" w:tplc="7DF00764">
      <w:start w:val="1"/>
      <w:numFmt w:val="decimal"/>
      <w:pStyle w:val="Heading1numbered0"/>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nsid w:val="4118098F"/>
    <w:multiLevelType w:val="multilevel"/>
    <w:tmpl w:val="DE1C537A"/>
    <w:name w:val="StandardBulletedList"/>
    <w:lvl w:ilvl="0">
      <w:start w:val="1"/>
      <w:numFmt w:val="bullet"/>
      <w:lvlText w:val="•"/>
      <w:lvlJc w:val="left"/>
      <w:pPr>
        <w:tabs>
          <w:tab w:val="num" w:pos="567"/>
        </w:tabs>
        <w:ind w:left="567" w:hanging="567"/>
      </w:pPr>
      <w:rPr>
        <w:rFonts w:ascii="Times New Roman" w:hAnsi="Times New Roman" w:cs="Times New Roman"/>
        <w:sz w:val="18"/>
        <w:szCs w:val="18"/>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D03314C"/>
    <w:multiLevelType w:val="hybridMultilevel"/>
    <w:tmpl w:val="7D022E6C"/>
    <w:lvl w:ilvl="0" w:tplc="605E7CDC">
      <w:start w:val="1"/>
      <w:numFmt w:val="lowerLetter"/>
      <w:pStyle w:val="AlphaParagraph-Indent"/>
      <w:lvlText w:val="%1."/>
      <w:lvlJc w:val="left"/>
      <w:pPr>
        <w:tabs>
          <w:tab w:val="num" w:pos="1134"/>
        </w:tabs>
        <w:ind w:left="1134" w:hanging="567"/>
      </w:pPr>
      <w:rPr>
        <w:rFonts w:hint="default"/>
        <w:b w:val="0"/>
        <w:i w:val="0"/>
        <w:color w:val="00000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5F4A5E70"/>
    <w:multiLevelType w:val="hybridMultilevel"/>
    <w:tmpl w:val="7ED0743A"/>
    <w:lvl w:ilvl="0" w:tplc="D56AC49A">
      <w:start w:val="1"/>
      <w:numFmt w:val="bullet"/>
      <w:pStyle w:val="Box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3FD3A36"/>
    <w:multiLevelType w:val="hybridMultilevel"/>
    <w:tmpl w:val="8C507B54"/>
    <w:lvl w:ilvl="0" w:tplc="472A6712">
      <w:start w:val="1"/>
      <w:numFmt w:val="decimal"/>
      <w:pStyle w:val="boxNumbering"/>
      <w:lvlText w:val="%1."/>
      <w:lvlJc w:val="left"/>
      <w:pPr>
        <w:tabs>
          <w:tab w:val="num" w:pos="454"/>
        </w:tabs>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6E80EF3"/>
    <w:multiLevelType w:val="hybridMultilevel"/>
    <w:tmpl w:val="BD1A20A2"/>
    <w:lvl w:ilvl="0" w:tplc="5DE45C66">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526B69"/>
    <w:multiLevelType w:val="multilevel"/>
    <w:tmpl w:val="F9BC6C9A"/>
    <w:lvl w:ilvl="0">
      <w:start w:val="1"/>
      <w:numFmt w:val="decimal"/>
      <w:pStyle w:val="OutlineNumbered1"/>
      <w:lvlText w:val="%1."/>
      <w:lvlJc w:val="left"/>
      <w:pPr>
        <w:tabs>
          <w:tab w:val="num" w:pos="567"/>
        </w:tabs>
        <w:ind w:left="567" w:hanging="567"/>
      </w:pPr>
      <w:rPr>
        <w:rFonts w:hint="default"/>
        <w:b w:val="0"/>
        <w:sz w:val="22"/>
      </w:rPr>
    </w:lvl>
    <w:lvl w:ilvl="1">
      <w:start w:val="1"/>
      <w:numFmt w:val="decimal"/>
      <w:pStyle w:val="OutlineNumbered2"/>
      <w:lvlText w:val="%1.%2."/>
      <w:lvlJc w:val="left"/>
      <w:pPr>
        <w:tabs>
          <w:tab w:val="num" w:pos="1322"/>
        </w:tabs>
        <w:ind w:left="1322" w:hanging="661"/>
      </w:pPr>
      <w:rPr>
        <w:rFonts w:hint="default"/>
      </w:rPr>
    </w:lvl>
    <w:lvl w:ilvl="2">
      <w:start w:val="1"/>
      <w:numFmt w:val="decimal"/>
      <w:pStyle w:val="OutlineNumbered3"/>
      <w:lvlText w:val="%1.%2.%3."/>
      <w:lvlJc w:val="left"/>
      <w:pPr>
        <w:tabs>
          <w:tab w:val="num" w:pos="1983"/>
        </w:tabs>
        <w:ind w:left="1983" w:hanging="6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8B16110"/>
    <w:multiLevelType w:val="multilevel"/>
    <w:tmpl w:val="C0FC0398"/>
    <w:lvl w:ilvl="0">
      <w:start w:val="1"/>
      <w:numFmt w:val="bullet"/>
      <w:pStyle w:val="Bullet-Indent"/>
      <w:lvlText w:val="•"/>
      <w:lvlJc w:val="left"/>
      <w:pPr>
        <w:tabs>
          <w:tab w:val="num" w:pos="1134"/>
        </w:tabs>
        <w:ind w:left="1134" w:hanging="567"/>
      </w:pPr>
      <w:rPr>
        <w:rFonts w:ascii="Times New Roman" w:hAnsi="Times New Roman" w:cs="Times New Roman" w:hint="default"/>
      </w:rPr>
    </w:lvl>
    <w:lvl w:ilvl="1">
      <w:start w:val="1"/>
      <w:numFmt w:val="bullet"/>
      <w:lvlText w:val="–"/>
      <w:lvlJc w:val="left"/>
      <w:pPr>
        <w:tabs>
          <w:tab w:val="num" w:pos="1322"/>
        </w:tabs>
        <w:ind w:left="1322" w:hanging="661"/>
      </w:pPr>
      <w:rPr>
        <w:rFonts w:ascii="Times New Roman" w:hAnsi="Times New Roman" w:cs="Times New Roman" w:hint="default"/>
      </w:rPr>
    </w:lvl>
    <w:lvl w:ilvl="2">
      <w:start w:val="1"/>
      <w:numFmt w:val="bullet"/>
      <w:lvlText w:val=":"/>
      <w:lvlJc w:val="left"/>
      <w:pPr>
        <w:tabs>
          <w:tab w:val="num" w:pos="1983"/>
        </w:tabs>
        <w:ind w:left="1983" w:hanging="661"/>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B0302EB"/>
    <w:multiLevelType w:val="hybridMultilevel"/>
    <w:tmpl w:val="FED6E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8"/>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4"/>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attachedTemplate r:id="rId1"/>
  <w:defaultTabStop w:val="720"/>
  <w:evenAndOddHeader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AF"/>
    <w:rsid w:val="000010F6"/>
    <w:rsid w:val="00002A73"/>
    <w:rsid w:val="00003167"/>
    <w:rsid w:val="000045E6"/>
    <w:rsid w:val="00006758"/>
    <w:rsid w:val="00006EB1"/>
    <w:rsid w:val="00007397"/>
    <w:rsid w:val="000113EE"/>
    <w:rsid w:val="00013CDE"/>
    <w:rsid w:val="00014570"/>
    <w:rsid w:val="00014B22"/>
    <w:rsid w:val="00015570"/>
    <w:rsid w:val="00015DDE"/>
    <w:rsid w:val="000160EA"/>
    <w:rsid w:val="0001694A"/>
    <w:rsid w:val="000172B5"/>
    <w:rsid w:val="00021851"/>
    <w:rsid w:val="00023CFC"/>
    <w:rsid w:val="00024CFC"/>
    <w:rsid w:val="00024E17"/>
    <w:rsid w:val="000267AA"/>
    <w:rsid w:val="00030955"/>
    <w:rsid w:val="000313E4"/>
    <w:rsid w:val="000314A0"/>
    <w:rsid w:val="00035682"/>
    <w:rsid w:val="00035765"/>
    <w:rsid w:val="000362D8"/>
    <w:rsid w:val="00041E63"/>
    <w:rsid w:val="00042E11"/>
    <w:rsid w:val="00043A11"/>
    <w:rsid w:val="000442D4"/>
    <w:rsid w:val="000445D8"/>
    <w:rsid w:val="00044D5D"/>
    <w:rsid w:val="00044DFC"/>
    <w:rsid w:val="000463D6"/>
    <w:rsid w:val="0005018C"/>
    <w:rsid w:val="00050D6E"/>
    <w:rsid w:val="00051990"/>
    <w:rsid w:val="00057D41"/>
    <w:rsid w:val="0006017A"/>
    <w:rsid w:val="000605B2"/>
    <w:rsid w:val="00060FF8"/>
    <w:rsid w:val="000625C5"/>
    <w:rsid w:val="000627AD"/>
    <w:rsid w:val="00063669"/>
    <w:rsid w:val="000638F8"/>
    <w:rsid w:val="00064279"/>
    <w:rsid w:val="0006480E"/>
    <w:rsid w:val="00066405"/>
    <w:rsid w:val="00066668"/>
    <w:rsid w:val="00066739"/>
    <w:rsid w:val="00066D30"/>
    <w:rsid w:val="000673E3"/>
    <w:rsid w:val="0007200F"/>
    <w:rsid w:val="00072FED"/>
    <w:rsid w:val="0007645E"/>
    <w:rsid w:val="00076591"/>
    <w:rsid w:val="000779FD"/>
    <w:rsid w:val="00080408"/>
    <w:rsid w:val="00080575"/>
    <w:rsid w:val="00081DD1"/>
    <w:rsid w:val="000839B7"/>
    <w:rsid w:val="00084CF6"/>
    <w:rsid w:val="00087D36"/>
    <w:rsid w:val="000904D8"/>
    <w:rsid w:val="00091351"/>
    <w:rsid w:val="00093C7A"/>
    <w:rsid w:val="00093ECE"/>
    <w:rsid w:val="000946C2"/>
    <w:rsid w:val="00094D20"/>
    <w:rsid w:val="0009594E"/>
    <w:rsid w:val="00096FB8"/>
    <w:rsid w:val="00097DF0"/>
    <w:rsid w:val="000A0563"/>
    <w:rsid w:val="000A19B7"/>
    <w:rsid w:val="000A1CA1"/>
    <w:rsid w:val="000A33AB"/>
    <w:rsid w:val="000A605C"/>
    <w:rsid w:val="000A61DB"/>
    <w:rsid w:val="000B1823"/>
    <w:rsid w:val="000B2523"/>
    <w:rsid w:val="000B2C36"/>
    <w:rsid w:val="000B3F16"/>
    <w:rsid w:val="000B6529"/>
    <w:rsid w:val="000B695D"/>
    <w:rsid w:val="000B6C40"/>
    <w:rsid w:val="000C2885"/>
    <w:rsid w:val="000C2A8C"/>
    <w:rsid w:val="000C301E"/>
    <w:rsid w:val="000C3CAB"/>
    <w:rsid w:val="000C4E35"/>
    <w:rsid w:val="000C5A28"/>
    <w:rsid w:val="000C637F"/>
    <w:rsid w:val="000C6513"/>
    <w:rsid w:val="000D0BEB"/>
    <w:rsid w:val="000D191B"/>
    <w:rsid w:val="000D2922"/>
    <w:rsid w:val="000D2F3F"/>
    <w:rsid w:val="000D5275"/>
    <w:rsid w:val="000D5696"/>
    <w:rsid w:val="000D6116"/>
    <w:rsid w:val="000D6CA6"/>
    <w:rsid w:val="000D721A"/>
    <w:rsid w:val="000D73FD"/>
    <w:rsid w:val="000D7BAF"/>
    <w:rsid w:val="000E04A6"/>
    <w:rsid w:val="000E071A"/>
    <w:rsid w:val="000E2082"/>
    <w:rsid w:val="000E3202"/>
    <w:rsid w:val="000E50EC"/>
    <w:rsid w:val="000E62EB"/>
    <w:rsid w:val="000F1403"/>
    <w:rsid w:val="000F2B57"/>
    <w:rsid w:val="000F34CE"/>
    <w:rsid w:val="000F34EB"/>
    <w:rsid w:val="000F4155"/>
    <w:rsid w:val="000F5778"/>
    <w:rsid w:val="000F5C72"/>
    <w:rsid w:val="000F65CA"/>
    <w:rsid w:val="00102BF3"/>
    <w:rsid w:val="00103B3D"/>
    <w:rsid w:val="00110A3B"/>
    <w:rsid w:val="00111284"/>
    <w:rsid w:val="00113031"/>
    <w:rsid w:val="001138CD"/>
    <w:rsid w:val="00114331"/>
    <w:rsid w:val="00114A3E"/>
    <w:rsid w:val="001151BD"/>
    <w:rsid w:val="00115CD2"/>
    <w:rsid w:val="00115F94"/>
    <w:rsid w:val="001209ED"/>
    <w:rsid w:val="00121897"/>
    <w:rsid w:val="00123A10"/>
    <w:rsid w:val="00124AE8"/>
    <w:rsid w:val="0012540F"/>
    <w:rsid w:val="00125C22"/>
    <w:rsid w:val="00125DCC"/>
    <w:rsid w:val="00125FFC"/>
    <w:rsid w:val="00126847"/>
    <w:rsid w:val="001268AC"/>
    <w:rsid w:val="0013015B"/>
    <w:rsid w:val="00130E9A"/>
    <w:rsid w:val="001319A1"/>
    <w:rsid w:val="00132A00"/>
    <w:rsid w:val="00133D56"/>
    <w:rsid w:val="00134E9E"/>
    <w:rsid w:val="001358BD"/>
    <w:rsid w:val="00136838"/>
    <w:rsid w:val="00137B05"/>
    <w:rsid w:val="00140046"/>
    <w:rsid w:val="001415DE"/>
    <w:rsid w:val="00146F7F"/>
    <w:rsid w:val="001518A2"/>
    <w:rsid w:val="00154626"/>
    <w:rsid w:val="00154686"/>
    <w:rsid w:val="00155CB1"/>
    <w:rsid w:val="00162DA9"/>
    <w:rsid w:val="001642EF"/>
    <w:rsid w:val="00164335"/>
    <w:rsid w:val="00164B9D"/>
    <w:rsid w:val="00164BB7"/>
    <w:rsid w:val="001711D5"/>
    <w:rsid w:val="00172A3E"/>
    <w:rsid w:val="001765B2"/>
    <w:rsid w:val="00177DC1"/>
    <w:rsid w:val="00180421"/>
    <w:rsid w:val="00182471"/>
    <w:rsid w:val="00184ECE"/>
    <w:rsid w:val="00184F22"/>
    <w:rsid w:val="00184F7F"/>
    <w:rsid w:val="00186475"/>
    <w:rsid w:val="001871A8"/>
    <w:rsid w:val="001876A1"/>
    <w:rsid w:val="001900CB"/>
    <w:rsid w:val="00191ED3"/>
    <w:rsid w:val="001945A2"/>
    <w:rsid w:val="001945DB"/>
    <w:rsid w:val="001958A7"/>
    <w:rsid w:val="00195D92"/>
    <w:rsid w:val="00196A8A"/>
    <w:rsid w:val="001A0FD7"/>
    <w:rsid w:val="001A282F"/>
    <w:rsid w:val="001A30DC"/>
    <w:rsid w:val="001A5914"/>
    <w:rsid w:val="001A613B"/>
    <w:rsid w:val="001A6BF9"/>
    <w:rsid w:val="001B27E2"/>
    <w:rsid w:val="001B37E6"/>
    <w:rsid w:val="001B6774"/>
    <w:rsid w:val="001B6A94"/>
    <w:rsid w:val="001C2D45"/>
    <w:rsid w:val="001C3B04"/>
    <w:rsid w:val="001C3E68"/>
    <w:rsid w:val="001D22A4"/>
    <w:rsid w:val="001D412B"/>
    <w:rsid w:val="001D5438"/>
    <w:rsid w:val="001E00FD"/>
    <w:rsid w:val="001E0873"/>
    <w:rsid w:val="001E108D"/>
    <w:rsid w:val="001E298E"/>
    <w:rsid w:val="001E2C53"/>
    <w:rsid w:val="001E34B1"/>
    <w:rsid w:val="001E3506"/>
    <w:rsid w:val="001E3606"/>
    <w:rsid w:val="001E3926"/>
    <w:rsid w:val="001E48D4"/>
    <w:rsid w:val="001E4D22"/>
    <w:rsid w:val="001E4D77"/>
    <w:rsid w:val="001E6050"/>
    <w:rsid w:val="001E6C6E"/>
    <w:rsid w:val="001F0A2F"/>
    <w:rsid w:val="001F1489"/>
    <w:rsid w:val="001F25DE"/>
    <w:rsid w:val="001F4353"/>
    <w:rsid w:val="001F46A1"/>
    <w:rsid w:val="001F4836"/>
    <w:rsid w:val="001F4DED"/>
    <w:rsid w:val="001F5899"/>
    <w:rsid w:val="001F6CF4"/>
    <w:rsid w:val="001F77CB"/>
    <w:rsid w:val="00202D8C"/>
    <w:rsid w:val="00204D4D"/>
    <w:rsid w:val="00205B15"/>
    <w:rsid w:val="00206C2E"/>
    <w:rsid w:val="0020764A"/>
    <w:rsid w:val="0021061A"/>
    <w:rsid w:val="00210819"/>
    <w:rsid w:val="00213751"/>
    <w:rsid w:val="00213D40"/>
    <w:rsid w:val="002143BF"/>
    <w:rsid w:val="0021456D"/>
    <w:rsid w:val="002152F3"/>
    <w:rsid w:val="00217426"/>
    <w:rsid w:val="00222B37"/>
    <w:rsid w:val="00222C03"/>
    <w:rsid w:val="00222E3F"/>
    <w:rsid w:val="00222E8F"/>
    <w:rsid w:val="002233F4"/>
    <w:rsid w:val="00223547"/>
    <w:rsid w:val="00223679"/>
    <w:rsid w:val="00223BCA"/>
    <w:rsid w:val="0022458E"/>
    <w:rsid w:val="00224A4D"/>
    <w:rsid w:val="0022512D"/>
    <w:rsid w:val="002264C8"/>
    <w:rsid w:val="00230AC4"/>
    <w:rsid w:val="0023148B"/>
    <w:rsid w:val="0023237E"/>
    <w:rsid w:val="002340F4"/>
    <w:rsid w:val="0023542D"/>
    <w:rsid w:val="00235A86"/>
    <w:rsid w:val="002369A3"/>
    <w:rsid w:val="002369E2"/>
    <w:rsid w:val="002378A8"/>
    <w:rsid w:val="00240009"/>
    <w:rsid w:val="00241EA1"/>
    <w:rsid w:val="002423B5"/>
    <w:rsid w:val="00242AE6"/>
    <w:rsid w:val="0024348A"/>
    <w:rsid w:val="00243A27"/>
    <w:rsid w:val="0024407A"/>
    <w:rsid w:val="002442CC"/>
    <w:rsid w:val="00244319"/>
    <w:rsid w:val="0024500F"/>
    <w:rsid w:val="00245681"/>
    <w:rsid w:val="00245A86"/>
    <w:rsid w:val="00246BAF"/>
    <w:rsid w:val="00246C49"/>
    <w:rsid w:val="00247388"/>
    <w:rsid w:val="002504E3"/>
    <w:rsid w:val="002517C0"/>
    <w:rsid w:val="002520A8"/>
    <w:rsid w:val="00252BEA"/>
    <w:rsid w:val="00253BE2"/>
    <w:rsid w:val="00254E41"/>
    <w:rsid w:val="002555A0"/>
    <w:rsid w:val="00257C1A"/>
    <w:rsid w:val="00260F3A"/>
    <w:rsid w:val="002623C9"/>
    <w:rsid w:val="0026251F"/>
    <w:rsid w:val="00262851"/>
    <w:rsid w:val="002631D1"/>
    <w:rsid w:val="00264EC9"/>
    <w:rsid w:val="00265075"/>
    <w:rsid w:val="002660DF"/>
    <w:rsid w:val="00271442"/>
    <w:rsid w:val="002714FF"/>
    <w:rsid w:val="002722EC"/>
    <w:rsid w:val="00273158"/>
    <w:rsid w:val="00273530"/>
    <w:rsid w:val="0027367F"/>
    <w:rsid w:val="00273949"/>
    <w:rsid w:val="00274070"/>
    <w:rsid w:val="002740F3"/>
    <w:rsid w:val="0027485C"/>
    <w:rsid w:val="00275CA7"/>
    <w:rsid w:val="0027643D"/>
    <w:rsid w:val="00276C57"/>
    <w:rsid w:val="00276DA0"/>
    <w:rsid w:val="0027709A"/>
    <w:rsid w:val="00277F02"/>
    <w:rsid w:val="002814FA"/>
    <w:rsid w:val="00283176"/>
    <w:rsid w:val="00284055"/>
    <w:rsid w:val="002846C4"/>
    <w:rsid w:val="00284A6D"/>
    <w:rsid w:val="00286C34"/>
    <w:rsid w:val="002874C7"/>
    <w:rsid w:val="00287E4F"/>
    <w:rsid w:val="00287FE7"/>
    <w:rsid w:val="002936E5"/>
    <w:rsid w:val="0029401F"/>
    <w:rsid w:val="00294CA0"/>
    <w:rsid w:val="002956D3"/>
    <w:rsid w:val="0029776C"/>
    <w:rsid w:val="002A0273"/>
    <w:rsid w:val="002A125A"/>
    <w:rsid w:val="002A239C"/>
    <w:rsid w:val="002A60BF"/>
    <w:rsid w:val="002A7412"/>
    <w:rsid w:val="002B0709"/>
    <w:rsid w:val="002B1446"/>
    <w:rsid w:val="002B1D20"/>
    <w:rsid w:val="002B339A"/>
    <w:rsid w:val="002B399D"/>
    <w:rsid w:val="002B553C"/>
    <w:rsid w:val="002B61EB"/>
    <w:rsid w:val="002B7CFF"/>
    <w:rsid w:val="002B7E58"/>
    <w:rsid w:val="002C026D"/>
    <w:rsid w:val="002C1027"/>
    <w:rsid w:val="002C17E5"/>
    <w:rsid w:val="002C23F9"/>
    <w:rsid w:val="002C4DC0"/>
    <w:rsid w:val="002C4E64"/>
    <w:rsid w:val="002C57E9"/>
    <w:rsid w:val="002C5BB3"/>
    <w:rsid w:val="002C5C17"/>
    <w:rsid w:val="002C5F42"/>
    <w:rsid w:val="002C794E"/>
    <w:rsid w:val="002D01C2"/>
    <w:rsid w:val="002D0F7F"/>
    <w:rsid w:val="002D2B9C"/>
    <w:rsid w:val="002D4FFA"/>
    <w:rsid w:val="002D6F4E"/>
    <w:rsid w:val="002E0626"/>
    <w:rsid w:val="002E0FE8"/>
    <w:rsid w:val="002E16DA"/>
    <w:rsid w:val="002E2D28"/>
    <w:rsid w:val="002E3926"/>
    <w:rsid w:val="002E4987"/>
    <w:rsid w:val="002E4B78"/>
    <w:rsid w:val="002E4FB5"/>
    <w:rsid w:val="002E6A38"/>
    <w:rsid w:val="002F0C8F"/>
    <w:rsid w:val="002F24EA"/>
    <w:rsid w:val="002F411B"/>
    <w:rsid w:val="002F47D6"/>
    <w:rsid w:val="002F489D"/>
    <w:rsid w:val="002F5B4B"/>
    <w:rsid w:val="002F61EE"/>
    <w:rsid w:val="002F7EAB"/>
    <w:rsid w:val="00300805"/>
    <w:rsid w:val="003018FF"/>
    <w:rsid w:val="00301FEE"/>
    <w:rsid w:val="00302E3B"/>
    <w:rsid w:val="00302E5C"/>
    <w:rsid w:val="00306F83"/>
    <w:rsid w:val="0030700A"/>
    <w:rsid w:val="00307150"/>
    <w:rsid w:val="00307A4F"/>
    <w:rsid w:val="00310030"/>
    <w:rsid w:val="00313294"/>
    <w:rsid w:val="00313590"/>
    <w:rsid w:val="003147C9"/>
    <w:rsid w:val="00314AAD"/>
    <w:rsid w:val="00316B3C"/>
    <w:rsid w:val="003172A1"/>
    <w:rsid w:val="00317AD6"/>
    <w:rsid w:val="00317C3D"/>
    <w:rsid w:val="00317D4E"/>
    <w:rsid w:val="00323BFD"/>
    <w:rsid w:val="00325093"/>
    <w:rsid w:val="00326EEA"/>
    <w:rsid w:val="003277AC"/>
    <w:rsid w:val="00327ECF"/>
    <w:rsid w:val="00330584"/>
    <w:rsid w:val="00332A24"/>
    <w:rsid w:val="00332C90"/>
    <w:rsid w:val="00332FBB"/>
    <w:rsid w:val="00333965"/>
    <w:rsid w:val="003357AB"/>
    <w:rsid w:val="00336E32"/>
    <w:rsid w:val="00340002"/>
    <w:rsid w:val="0034037B"/>
    <w:rsid w:val="0034197C"/>
    <w:rsid w:val="00342AC1"/>
    <w:rsid w:val="003442CE"/>
    <w:rsid w:val="003456A6"/>
    <w:rsid w:val="00345B41"/>
    <w:rsid w:val="00345D4B"/>
    <w:rsid w:val="0034772A"/>
    <w:rsid w:val="00350B24"/>
    <w:rsid w:val="00351531"/>
    <w:rsid w:val="003524F4"/>
    <w:rsid w:val="0035260F"/>
    <w:rsid w:val="00353B00"/>
    <w:rsid w:val="00354831"/>
    <w:rsid w:val="00354D27"/>
    <w:rsid w:val="00355369"/>
    <w:rsid w:val="00356576"/>
    <w:rsid w:val="00356A92"/>
    <w:rsid w:val="00357E54"/>
    <w:rsid w:val="003600F6"/>
    <w:rsid w:val="00363A1F"/>
    <w:rsid w:val="00363D2F"/>
    <w:rsid w:val="003654EC"/>
    <w:rsid w:val="0036587B"/>
    <w:rsid w:val="00366533"/>
    <w:rsid w:val="00371B0E"/>
    <w:rsid w:val="00376665"/>
    <w:rsid w:val="00377100"/>
    <w:rsid w:val="003802DB"/>
    <w:rsid w:val="00380A24"/>
    <w:rsid w:val="003822E4"/>
    <w:rsid w:val="00382692"/>
    <w:rsid w:val="00385F8F"/>
    <w:rsid w:val="003868F2"/>
    <w:rsid w:val="00386955"/>
    <w:rsid w:val="003877A5"/>
    <w:rsid w:val="00387BF7"/>
    <w:rsid w:val="00390981"/>
    <w:rsid w:val="003926F2"/>
    <w:rsid w:val="00393BEA"/>
    <w:rsid w:val="00394F6C"/>
    <w:rsid w:val="00395F1C"/>
    <w:rsid w:val="0039717E"/>
    <w:rsid w:val="00397BF1"/>
    <w:rsid w:val="003A0E4B"/>
    <w:rsid w:val="003A13C9"/>
    <w:rsid w:val="003A1836"/>
    <w:rsid w:val="003A1F3B"/>
    <w:rsid w:val="003A1FA5"/>
    <w:rsid w:val="003A1FDF"/>
    <w:rsid w:val="003A22B9"/>
    <w:rsid w:val="003A5964"/>
    <w:rsid w:val="003B074B"/>
    <w:rsid w:val="003B3151"/>
    <w:rsid w:val="003B3414"/>
    <w:rsid w:val="003B4349"/>
    <w:rsid w:val="003B481D"/>
    <w:rsid w:val="003B4B35"/>
    <w:rsid w:val="003B4C80"/>
    <w:rsid w:val="003B55E6"/>
    <w:rsid w:val="003B637C"/>
    <w:rsid w:val="003B7514"/>
    <w:rsid w:val="003C07D0"/>
    <w:rsid w:val="003C0AD3"/>
    <w:rsid w:val="003C3252"/>
    <w:rsid w:val="003C3EED"/>
    <w:rsid w:val="003C46DD"/>
    <w:rsid w:val="003C5BBA"/>
    <w:rsid w:val="003C5E0E"/>
    <w:rsid w:val="003C606E"/>
    <w:rsid w:val="003C7B61"/>
    <w:rsid w:val="003C7C61"/>
    <w:rsid w:val="003D061E"/>
    <w:rsid w:val="003D071E"/>
    <w:rsid w:val="003D1B2C"/>
    <w:rsid w:val="003D26CB"/>
    <w:rsid w:val="003D5F4C"/>
    <w:rsid w:val="003D7208"/>
    <w:rsid w:val="003E3411"/>
    <w:rsid w:val="003E3BD7"/>
    <w:rsid w:val="003E67E6"/>
    <w:rsid w:val="003E6C29"/>
    <w:rsid w:val="003F12B1"/>
    <w:rsid w:val="003F1F51"/>
    <w:rsid w:val="003F33A4"/>
    <w:rsid w:val="003F7ACB"/>
    <w:rsid w:val="004006D5"/>
    <w:rsid w:val="00402197"/>
    <w:rsid w:val="00402CCD"/>
    <w:rsid w:val="00402E31"/>
    <w:rsid w:val="00403431"/>
    <w:rsid w:val="00403DA9"/>
    <w:rsid w:val="00404484"/>
    <w:rsid w:val="0041051A"/>
    <w:rsid w:val="00411BEA"/>
    <w:rsid w:val="00417578"/>
    <w:rsid w:val="00421EB0"/>
    <w:rsid w:val="00424FE0"/>
    <w:rsid w:val="00425006"/>
    <w:rsid w:val="00432645"/>
    <w:rsid w:val="00432773"/>
    <w:rsid w:val="004343B1"/>
    <w:rsid w:val="004374CE"/>
    <w:rsid w:val="00440A1C"/>
    <w:rsid w:val="0044182F"/>
    <w:rsid w:val="00442375"/>
    <w:rsid w:val="004440B4"/>
    <w:rsid w:val="004476D6"/>
    <w:rsid w:val="004511E6"/>
    <w:rsid w:val="00451FA8"/>
    <w:rsid w:val="00453BD0"/>
    <w:rsid w:val="00453E96"/>
    <w:rsid w:val="00455AA5"/>
    <w:rsid w:val="00455B5C"/>
    <w:rsid w:val="0046074E"/>
    <w:rsid w:val="00460FCB"/>
    <w:rsid w:val="0046243C"/>
    <w:rsid w:val="0046398F"/>
    <w:rsid w:val="0046410B"/>
    <w:rsid w:val="00465BB5"/>
    <w:rsid w:val="00465CAA"/>
    <w:rsid w:val="00465D79"/>
    <w:rsid w:val="00466040"/>
    <w:rsid w:val="00466375"/>
    <w:rsid w:val="0046703B"/>
    <w:rsid w:val="004678E8"/>
    <w:rsid w:val="00467D9B"/>
    <w:rsid w:val="00470945"/>
    <w:rsid w:val="00470EF3"/>
    <w:rsid w:val="00471002"/>
    <w:rsid w:val="00471B28"/>
    <w:rsid w:val="00471BBC"/>
    <w:rsid w:val="0047346B"/>
    <w:rsid w:val="00473577"/>
    <w:rsid w:val="004746D5"/>
    <w:rsid w:val="004748BB"/>
    <w:rsid w:val="0047516C"/>
    <w:rsid w:val="00475828"/>
    <w:rsid w:val="00475D6E"/>
    <w:rsid w:val="00480230"/>
    <w:rsid w:val="00480CB2"/>
    <w:rsid w:val="004829C9"/>
    <w:rsid w:val="00484C86"/>
    <w:rsid w:val="00484E02"/>
    <w:rsid w:val="00486257"/>
    <w:rsid w:val="0048728F"/>
    <w:rsid w:val="0049175E"/>
    <w:rsid w:val="0049242A"/>
    <w:rsid w:val="0049291E"/>
    <w:rsid w:val="00493B33"/>
    <w:rsid w:val="00493CA5"/>
    <w:rsid w:val="00494578"/>
    <w:rsid w:val="00494EDB"/>
    <w:rsid w:val="00495388"/>
    <w:rsid w:val="00495A8E"/>
    <w:rsid w:val="00495D3A"/>
    <w:rsid w:val="00496BA6"/>
    <w:rsid w:val="004A26F1"/>
    <w:rsid w:val="004A3413"/>
    <w:rsid w:val="004A37F2"/>
    <w:rsid w:val="004A4726"/>
    <w:rsid w:val="004A5EBC"/>
    <w:rsid w:val="004A5F1F"/>
    <w:rsid w:val="004A7B16"/>
    <w:rsid w:val="004B08A6"/>
    <w:rsid w:val="004B0AAA"/>
    <w:rsid w:val="004B149C"/>
    <w:rsid w:val="004B15EA"/>
    <w:rsid w:val="004B21FA"/>
    <w:rsid w:val="004B2904"/>
    <w:rsid w:val="004B2950"/>
    <w:rsid w:val="004B3185"/>
    <w:rsid w:val="004B35E2"/>
    <w:rsid w:val="004B6379"/>
    <w:rsid w:val="004B6675"/>
    <w:rsid w:val="004B7A07"/>
    <w:rsid w:val="004C0419"/>
    <w:rsid w:val="004C1D80"/>
    <w:rsid w:val="004C4117"/>
    <w:rsid w:val="004C4650"/>
    <w:rsid w:val="004C6D06"/>
    <w:rsid w:val="004D284A"/>
    <w:rsid w:val="004D2A29"/>
    <w:rsid w:val="004D385B"/>
    <w:rsid w:val="004D4133"/>
    <w:rsid w:val="004D49EE"/>
    <w:rsid w:val="004D53F3"/>
    <w:rsid w:val="004D5F0F"/>
    <w:rsid w:val="004D6B96"/>
    <w:rsid w:val="004D6EA7"/>
    <w:rsid w:val="004D6F41"/>
    <w:rsid w:val="004E0DC6"/>
    <w:rsid w:val="004E1899"/>
    <w:rsid w:val="004E3339"/>
    <w:rsid w:val="004E4C6C"/>
    <w:rsid w:val="004E6C94"/>
    <w:rsid w:val="004E7098"/>
    <w:rsid w:val="004E798B"/>
    <w:rsid w:val="004F1081"/>
    <w:rsid w:val="004F1F56"/>
    <w:rsid w:val="004F23AF"/>
    <w:rsid w:val="004F2C4A"/>
    <w:rsid w:val="004F4AA1"/>
    <w:rsid w:val="004F5554"/>
    <w:rsid w:val="004F7FBF"/>
    <w:rsid w:val="0050253A"/>
    <w:rsid w:val="005055EE"/>
    <w:rsid w:val="005065F9"/>
    <w:rsid w:val="005079B1"/>
    <w:rsid w:val="00510FF3"/>
    <w:rsid w:val="0051145E"/>
    <w:rsid w:val="00514314"/>
    <w:rsid w:val="00516144"/>
    <w:rsid w:val="00517C81"/>
    <w:rsid w:val="00521548"/>
    <w:rsid w:val="005215DE"/>
    <w:rsid w:val="005238EA"/>
    <w:rsid w:val="0052638E"/>
    <w:rsid w:val="0052739D"/>
    <w:rsid w:val="00527B3E"/>
    <w:rsid w:val="00527CD8"/>
    <w:rsid w:val="00530221"/>
    <w:rsid w:val="0053128D"/>
    <w:rsid w:val="00536320"/>
    <w:rsid w:val="00536385"/>
    <w:rsid w:val="00536A88"/>
    <w:rsid w:val="00536CA6"/>
    <w:rsid w:val="00536FB9"/>
    <w:rsid w:val="005371E1"/>
    <w:rsid w:val="00542586"/>
    <w:rsid w:val="005426F4"/>
    <w:rsid w:val="00542A18"/>
    <w:rsid w:val="005436F9"/>
    <w:rsid w:val="00544C41"/>
    <w:rsid w:val="00545274"/>
    <w:rsid w:val="00545831"/>
    <w:rsid w:val="00545D09"/>
    <w:rsid w:val="00545D74"/>
    <w:rsid w:val="00547F5D"/>
    <w:rsid w:val="005501DA"/>
    <w:rsid w:val="005507E4"/>
    <w:rsid w:val="00550C74"/>
    <w:rsid w:val="005520AC"/>
    <w:rsid w:val="00555050"/>
    <w:rsid w:val="005553B5"/>
    <w:rsid w:val="00556141"/>
    <w:rsid w:val="005562CB"/>
    <w:rsid w:val="0055674A"/>
    <w:rsid w:val="00557C04"/>
    <w:rsid w:val="00560869"/>
    <w:rsid w:val="00560DDD"/>
    <w:rsid w:val="00561283"/>
    <w:rsid w:val="0056287A"/>
    <w:rsid w:val="005645AD"/>
    <w:rsid w:val="00564FD9"/>
    <w:rsid w:val="005658DD"/>
    <w:rsid w:val="00567F9D"/>
    <w:rsid w:val="00570F02"/>
    <w:rsid w:val="00574CFA"/>
    <w:rsid w:val="00574F26"/>
    <w:rsid w:val="00575365"/>
    <w:rsid w:val="00575991"/>
    <w:rsid w:val="00576291"/>
    <w:rsid w:val="0057745A"/>
    <w:rsid w:val="00580B00"/>
    <w:rsid w:val="005813B3"/>
    <w:rsid w:val="005814D3"/>
    <w:rsid w:val="00581D39"/>
    <w:rsid w:val="0058356D"/>
    <w:rsid w:val="0058560C"/>
    <w:rsid w:val="005869ED"/>
    <w:rsid w:val="005871D7"/>
    <w:rsid w:val="00587F35"/>
    <w:rsid w:val="00591C83"/>
    <w:rsid w:val="005929D5"/>
    <w:rsid w:val="00592F86"/>
    <w:rsid w:val="0059340C"/>
    <w:rsid w:val="00594197"/>
    <w:rsid w:val="00594B8B"/>
    <w:rsid w:val="00594D3C"/>
    <w:rsid w:val="005955D1"/>
    <w:rsid w:val="00596D18"/>
    <w:rsid w:val="00597324"/>
    <w:rsid w:val="005A224E"/>
    <w:rsid w:val="005A2A35"/>
    <w:rsid w:val="005A347E"/>
    <w:rsid w:val="005A4D51"/>
    <w:rsid w:val="005A63EC"/>
    <w:rsid w:val="005A7BC2"/>
    <w:rsid w:val="005B05DE"/>
    <w:rsid w:val="005B0A2C"/>
    <w:rsid w:val="005B0AEE"/>
    <w:rsid w:val="005B1C61"/>
    <w:rsid w:val="005B350E"/>
    <w:rsid w:val="005B3758"/>
    <w:rsid w:val="005B4013"/>
    <w:rsid w:val="005B47EC"/>
    <w:rsid w:val="005B5353"/>
    <w:rsid w:val="005B5B97"/>
    <w:rsid w:val="005C20F8"/>
    <w:rsid w:val="005C233E"/>
    <w:rsid w:val="005C28C3"/>
    <w:rsid w:val="005C2C5B"/>
    <w:rsid w:val="005C78CE"/>
    <w:rsid w:val="005C7CEC"/>
    <w:rsid w:val="005D0FE0"/>
    <w:rsid w:val="005D1499"/>
    <w:rsid w:val="005D19AA"/>
    <w:rsid w:val="005D3272"/>
    <w:rsid w:val="005D4201"/>
    <w:rsid w:val="005D49B7"/>
    <w:rsid w:val="005D4B1A"/>
    <w:rsid w:val="005E055D"/>
    <w:rsid w:val="005E0BA7"/>
    <w:rsid w:val="005E0EA2"/>
    <w:rsid w:val="005E260C"/>
    <w:rsid w:val="005E3B33"/>
    <w:rsid w:val="005E3DED"/>
    <w:rsid w:val="005E5A65"/>
    <w:rsid w:val="005F07DF"/>
    <w:rsid w:val="005F12B2"/>
    <w:rsid w:val="005F13BF"/>
    <w:rsid w:val="005F1D81"/>
    <w:rsid w:val="005F20A7"/>
    <w:rsid w:val="005F277C"/>
    <w:rsid w:val="005F3048"/>
    <w:rsid w:val="005F3FBA"/>
    <w:rsid w:val="005F5F10"/>
    <w:rsid w:val="005F6B15"/>
    <w:rsid w:val="005F7B80"/>
    <w:rsid w:val="00601958"/>
    <w:rsid w:val="00602F66"/>
    <w:rsid w:val="00602FE8"/>
    <w:rsid w:val="00604FC5"/>
    <w:rsid w:val="00605524"/>
    <w:rsid w:val="006065CB"/>
    <w:rsid w:val="00606C37"/>
    <w:rsid w:val="006071BE"/>
    <w:rsid w:val="00607D3C"/>
    <w:rsid w:val="00607DDE"/>
    <w:rsid w:val="006106C8"/>
    <w:rsid w:val="006107FB"/>
    <w:rsid w:val="006109C2"/>
    <w:rsid w:val="00610F34"/>
    <w:rsid w:val="0061248D"/>
    <w:rsid w:val="00613C4D"/>
    <w:rsid w:val="006155D0"/>
    <w:rsid w:val="00616360"/>
    <w:rsid w:val="00616DF4"/>
    <w:rsid w:val="00616F19"/>
    <w:rsid w:val="00617682"/>
    <w:rsid w:val="00620963"/>
    <w:rsid w:val="00621B8D"/>
    <w:rsid w:val="006225DA"/>
    <w:rsid w:val="00622A02"/>
    <w:rsid w:val="00624DB9"/>
    <w:rsid w:val="00625E87"/>
    <w:rsid w:val="00625EC9"/>
    <w:rsid w:val="006260DF"/>
    <w:rsid w:val="00627150"/>
    <w:rsid w:val="00627728"/>
    <w:rsid w:val="00631161"/>
    <w:rsid w:val="006330AB"/>
    <w:rsid w:val="0063432F"/>
    <w:rsid w:val="006344AB"/>
    <w:rsid w:val="006346B7"/>
    <w:rsid w:val="00634903"/>
    <w:rsid w:val="00634932"/>
    <w:rsid w:val="006351C6"/>
    <w:rsid w:val="006359D7"/>
    <w:rsid w:val="00636A5E"/>
    <w:rsid w:val="00637C0B"/>
    <w:rsid w:val="00637DB0"/>
    <w:rsid w:val="0064190A"/>
    <w:rsid w:val="00642D7D"/>
    <w:rsid w:val="00643D41"/>
    <w:rsid w:val="006465AB"/>
    <w:rsid w:val="006468E9"/>
    <w:rsid w:val="00646E19"/>
    <w:rsid w:val="006470C8"/>
    <w:rsid w:val="006477CF"/>
    <w:rsid w:val="00647988"/>
    <w:rsid w:val="0065036B"/>
    <w:rsid w:val="00650520"/>
    <w:rsid w:val="00651669"/>
    <w:rsid w:val="0065277F"/>
    <w:rsid w:val="0065317D"/>
    <w:rsid w:val="00653843"/>
    <w:rsid w:val="00653A3F"/>
    <w:rsid w:val="006541B0"/>
    <w:rsid w:val="00654AD9"/>
    <w:rsid w:val="00654D1B"/>
    <w:rsid w:val="00654DBB"/>
    <w:rsid w:val="00657726"/>
    <w:rsid w:val="00660062"/>
    <w:rsid w:val="00660826"/>
    <w:rsid w:val="0066112C"/>
    <w:rsid w:val="00662F24"/>
    <w:rsid w:val="00663B0A"/>
    <w:rsid w:val="00663FAA"/>
    <w:rsid w:val="00664E3D"/>
    <w:rsid w:val="00670036"/>
    <w:rsid w:val="00673153"/>
    <w:rsid w:val="00675108"/>
    <w:rsid w:val="0067546A"/>
    <w:rsid w:val="00675932"/>
    <w:rsid w:val="006769DA"/>
    <w:rsid w:val="00676D17"/>
    <w:rsid w:val="00677157"/>
    <w:rsid w:val="00677B82"/>
    <w:rsid w:val="00680473"/>
    <w:rsid w:val="006813CB"/>
    <w:rsid w:val="006866F4"/>
    <w:rsid w:val="00686C3D"/>
    <w:rsid w:val="00687AF9"/>
    <w:rsid w:val="00690F1A"/>
    <w:rsid w:val="00694567"/>
    <w:rsid w:val="006961A6"/>
    <w:rsid w:val="00697864"/>
    <w:rsid w:val="006A0CB4"/>
    <w:rsid w:val="006A1DB5"/>
    <w:rsid w:val="006A2921"/>
    <w:rsid w:val="006A51EE"/>
    <w:rsid w:val="006A56CF"/>
    <w:rsid w:val="006A6E06"/>
    <w:rsid w:val="006A7BF8"/>
    <w:rsid w:val="006B0262"/>
    <w:rsid w:val="006B0343"/>
    <w:rsid w:val="006B078D"/>
    <w:rsid w:val="006B148A"/>
    <w:rsid w:val="006B1EB6"/>
    <w:rsid w:val="006B46EE"/>
    <w:rsid w:val="006B4BCF"/>
    <w:rsid w:val="006B687E"/>
    <w:rsid w:val="006B71E4"/>
    <w:rsid w:val="006B77D6"/>
    <w:rsid w:val="006C0033"/>
    <w:rsid w:val="006C1D89"/>
    <w:rsid w:val="006C31DF"/>
    <w:rsid w:val="006C35D8"/>
    <w:rsid w:val="006C36DE"/>
    <w:rsid w:val="006C593B"/>
    <w:rsid w:val="006C7054"/>
    <w:rsid w:val="006C7D66"/>
    <w:rsid w:val="006D0F68"/>
    <w:rsid w:val="006D1049"/>
    <w:rsid w:val="006D22BE"/>
    <w:rsid w:val="006D7116"/>
    <w:rsid w:val="006E0A2B"/>
    <w:rsid w:val="006E18FB"/>
    <w:rsid w:val="006E210A"/>
    <w:rsid w:val="006E26C0"/>
    <w:rsid w:val="006E37CE"/>
    <w:rsid w:val="006E5656"/>
    <w:rsid w:val="006E5791"/>
    <w:rsid w:val="006E5E29"/>
    <w:rsid w:val="006E6207"/>
    <w:rsid w:val="006E66AA"/>
    <w:rsid w:val="006F0A82"/>
    <w:rsid w:val="006F0BD9"/>
    <w:rsid w:val="006F0EB3"/>
    <w:rsid w:val="006F1907"/>
    <w:rsid w:val="006F2011"/>
    <w:rsid w:val="006F2845"/>
    <w:rsid w:val="006F4A9A"/>
    <w:rsid w:val="006F71F3"/>
    <w:rsid w:val="006F7732"/>
    <w:rsid w:val="00700939"/>
    <w:rsid w:val="00702065"/>
    <w:rsid w:val="0070513F"/>
    <w:rsid w:val="00705E03"/>
    <w:rsid w:val="00706097"/>
    <w:rsid w:val="00707EB9"/>
    <w:rsid w:val="00710AF8"/>
    <w:rsid w:val="00711E5C"/>
    <w:rsid w:val="0071291D"/>
    <w:rsid w:val="00713185"/>
    <w:rsid w:val="00713BE1"/>
    <w:rsid w:val="00714BAB"/>
    <w:rsid w:val="00715ED6"/>
    <w:rsid w:val="00716DA1"/>
    <w:rsid w:val="00717C69"/>
    <w:rsid w:val="00721F22"/>
    <w:rsid w:val="007230A2"/>
    <w:rsid w:val="007237BD"/>
    <w:rsid w:val="00725556"/>
    <w:rsid w:val="007256DD"/>
    <w:rsid w:val="00725C77"/>
    <w:rsid w:val="0072675C"/>
    <w:rsid w:val="00727E5B"/>
    <w:rsid w:val="00730C74"/>
    <w:rsid w:val="00731971"/>
    <w:rsid w:val="00731B35"/>
    <w:rsid w:val="00733533"/>
    <w:rsid w:val="00735A67"/>
    <w:rsid w:val="007366D1"/>
    <w:rsid w:val="00736AA7"/>
    <w:rsid w:val="00737D11"/>
    <w:rsid w:val="00737D4C"/>
    <w:rsid w:val="007409B9"/>
    <w:rsid w:val="007414E2"/>
    <w:rsid w:val="00741CA4"/>
    <w:rsid w:val="007425AA"/>
    <w:rsid w:val="00743E72"/>
    <w:rsid w:val="00747AAA"/>
    <w:rsid w:val="00747F72"/>
    <w:rsid w:val="00751A0A"/>
    <w:rsid w:val="00751F8C"/>
    <w:rsid w:val="007563D7"/>
    <w:rsid w:val="00756B6F"/>
    <w:rsid w:val="00757EF9"/>
    <w:rsid w:val="00760273"/>
    <w:rsid w:val="00760D6F"/>
    <w:rsid w:val="00762562"/>
    <w:rsid w:val="0076281F"/>
    <w:rsid w:val="007635D9"/>
    <w:rsid w:val="00767514"/>
    <w:rsid w:val="0076771D"/>
    <w:rsid w:val="007709A6"/>
    <w:rsid w:val="007710DC"/>
    <w:rsid w:val="00771F2F"/>
    <w:rsid w:val="00773080"/>
    <w:rsid w:val="00773AF7"/>
    <w:rsid w:val="00774900"/>
    <w:rsid w:val="00777E19"/>
    <w:rsid w:val="00777EFB"/>
    <w:rsid w:val="007802EC"/>
    <w:rsid w:val="00781D83"/>
    <w:rsid w:val="007821E3"/>
    <w:rsid w:val="007848FB"/>
    <w:rsid w:val="0078596D"/>
    <w:rsid w:val="00787AC0"/>
    <w:rsid w:val="007904FD"/>
    <w:rsid w:val="00790AAF"/>
    <w:rsid w:val="00790ED0"/>
    <w:rsid w:val="007915F0"/>
    <w:rsid w:val="00791C62"/>
    <w:rsid w:val="007967D2"/>
    <w:rsid w:val="007A2808"/>
    <w:rsid w:val="007A3158"/>
    <w:rsid w:val="007A40BC"/>
    <w:rsid w:val="007A4FE7"/>
    <w:rsid w:val="007A6E69"/>
    <w:rsid w:val="007A7ABB"/>
    <w:rsid w:val="007A7EB1"/>
    <w:rsid w:val="007B0352"/>
    <w:rsid w:val="007B1A72"/>
    <w:rsid w:val="007B26D1"/>
    <w:rsid w:val="007B29B8"/>
    <w:rsid w:val="007B3403"/>
    <w:rsid w:val="007B3B3F"/>
    <w:rsid w:val="007B5E2E"/>
    <w:rsid w:val="007B60B1"/>
    <w:rsid w:val="007B7268"/>
    <w:rsid w:val="007C0174"/>
    <w:rsid w:val="007C25A5"/>
    <w:rsid w:val="007C297D"/>
    <w:rsid w:val="007C2CF3"/>
    <w:rsid w:val="007C43F6"/>
    <w:rsid w:val="007C5211"/>
    <w:rsid w:val="007C7704"/>
    <w:rsid w:val="007D0F2B"/>
    <w:rsid w:val="007D14E7"/>
    <w:rsid w:val="007D19A1"/>
    <w:rsid w:val="007D1A1B"/>
    <w:rsid w:val="007D3664"/>
    <w:rsid w:val="007D43F5"/>
    <w:rsid w:val="007D49ED"/>
    <w:rsid w:val="007D4AFF"/>
    <w:rsid w:val="007D556C"/>
    <w:rsid w:val="007D6A2B"/>
    <w:rsid w:val="007D6CEF"/>
    <w:rsid w:val="007D7653"/>
    <w:rsid w:val="007D7A47"/>
    <w:rsid w:val="007E0EBB"/>
    <w:rsid w:val="007E119B"/>
    <w:rsid w:val="007E15F9"/>
    <w:rsid w:val="007E1908"/>
    <w:rsid w:val="007E388E"/>
    <w:rsid w:val="007E6B7B"/>
    <w:rsid w:val="007F0247"/>
    <w:rsid w:val="007F06DA"/>
    <w:rsid w:val="007F0E12"/>
    <w:rsid w:val="007F35B4"/>
    <w:rsid w:val="007F42A9"/>
    <w:rsid w:val="007F68E8"/>
    <w:rsid w:val="007F691A"/>
    <w:rsid w:val="00800D8C"/>
    <w:rsid w:val="00800E62"/>
    <w:rsid w:val="008018AD"/>
    <w:rsid w:val="008026CF"/>
    <w:rsid w:val="00804F77"/>
    <w:rsid w:val="00807CBA"/>
    <w:rsid w:val="008108EF"/>
    <w:rsid w:val="00811CF2"/>
    <w:rsid w:val="008122FC"/>
    <w:rsid w:val="0081535D"/>
    <w:rsid w:val="00816C1C"/>
    <w:rsid w:val="00817EDB"/>
    <w:rsid w:val="0082026A"/>
    <w:rsid w:val="00823724"/>
    <w:rsid w:val="00824905"/>
    <w:rsid w:val="00825AE7"/>
    <w:rsid w:val="0083012D"/>
    <w:rsid w:val="0083132B"/>
    <w:rsid w:val="00832A3C"/>
    <w:rsid w:val="00832E3D"/>
    <w:rsid w:val="00833176"/>
    <w:rsid w:val="00833FE8"/>
    <w:rsid w:val="00835A2E"/>
    <w:rsid w:val="00835B9F"/>
    <w:rsid w:val="00837276"/>
    <w:rsid w:val="0083740E"/>
    <w:rsid w:val="008374CF"/>
    <w:rsid w:val="00837FD5"/>
    <w:rsid w:val="00840173"/>
    <w:rsid w:val="008402E0"/>
    <w:rsid w:val="008403BA"/>
    <w:rsid w:val="0084083F"/>
    <w:rsid w:val="00842893"/>
    <w:rsid w:val="00843ABB"/>
    <w:rsid w:val="0084620D"/>
    <w:rsid w:val="00846F4A"/>
    <w:rsid w:val="00847D54"/>
    <w:rsid w:val="00851107"/>
    <w:rsid w:val="00851572"/>
    <w:rsid w:val="0085163B"/>
    <w:rsid w:val="008523BC"/>
    <w:rsid w:val="00853118"/>
    <w:rsid w:val="008542BD"/>
    <w:rsid w:val="008571ED"/>
    <w:rsid w:val="0085722C"/>
    <w:rsid w:val="00857A58"/>
    <w:rsid w:val="008605B3"/>
    <w:rsid w:val="00860FEB"/>
    <w:rsid w:val="008617CE"/>
    <w:rsid w:val="00862E2F"/>
    <w:rsid w:val="0086311E"/>
    <w:rsid w:val="00864812"/>
    <w:rsid w:val="00864AAC"/>
    <w:rsid w:val="00864CBD"/>
    <w:rsid w:val="0086557F"/>
    <w:rsid w:val="00865678"/>
    <w:rsid w:val="0086691B"/>
    <w:rsid w:val="00871E14"/>
    <w:rsid w:val="00872EA5"/>
    <w:rsid w:val="008739FA"/>
    <w:rsid w:val="00873F8A"/>
    <w:rsid w:val="00874BF7"/>
    <w:rsid w:val="008751BE"/>
    <w:rsid w:val="00875A79"/>
    <w:rsid w:val="0087666F"/>
    <w:rsid w:val="008768A0"/>
    <w:rsid w:val="00877586"/>
    <w:rsid w:val="00880A61"/>
    <w:rsid w:val="00881B93"/>
    <w:rsid w:val="00882737"/>
    <w:rsid w:val="00884994"/>
    <w:rsid w:val="008857FA"/>
    <w:rsid w:val="00885B38"/>
    <w:rsid w:val="00885E70"/>
    <w:rsid w:val="00886306"/>
    <w:rsid w:val="00886A92"/>
    <w:rsid w:val="008870E7"/>
    <w:rsid w:val="00890580"/>
    <w:rsid w:val="00893F77"/>
    <w:rsid w:val="00896019"/>
    <w:rsid w:val="008979F8"/>
    <w:rsid w:val="00897D2B"/>
    <w:rsid w:val="008A3079"/>
    <w:rsid w:val="008A48B5"/>
    <w:rsid w:val="008A4E0D"/>
    <w:rsid w:val="008A5624"/>
    <w:rsid w:val="008A60C3"/>
    <w:rsid w:val="008A671B"/>
    <w:rsid w:val="008A7F1C"/>
    <w:rsid w:val="008B04A4"/>
    <w:rsid w:val="008B09A9"/>
    <w:rsid w:val="008B0F65"/>
    <w:rsid w:val="008B1035"/>
    <w:rsid w:val="008B2738"/>
    <w:rsid w:val="008B2CEB"/>
    <w:rsid w:val="008B6301"/>
    <w:rsid w:val="008C0193"/>
    <w:rsid w:val="008C038C"/>
    <w:rsid w:val="008C1071"/>
    <w:rsid w:val="008C1A40"/>
    <w:rsid w:val="008C3919"/>
    <w:rsid w:val="008C3FFC"/>
    <w:rsid w:val="008C6568"/>
    <w:rsid w:val="008C6ADF"/>
    <w:rsid w:val="008C7116"/>
    <w:rsid w:val="008D518B"/>
    <w:rsid w:val="008D7567"/>
    <w:rsid w:val="008E1510"/>
    <w:rsid w:val="008E1FCF"/>
    <w:rsid w:val="008E216D"/>
    <w:rsid w:val="008E2467"/>
    <w:rsid w:val="008E247C"/>
    <w:rsid w:val="008E272E"/>
    <w:rsid w:val="008E2AEA"/>
    <w:rsid w:val="008E676B"/>
    <w:rsid w:val="008E6EBA"/>
    <w:rsid w:val="008F07F3"/>
    <w:rsid w:val="008F1357"/>
    <w:rsid w:val="008F44E4"/>
    <w:rsid w:val="008F6883"/>
    <w:rsid w:val="008F69CE"/>
    <w:rsid w:val="009026DF"/>
    <w:rsid w:val="0090320B"/>
    <w:rsid w:val="009049C0"/>
    <w:rsid w:val="00905EBC"/>
    <w:rsid w:val="009061B9"/>
    <w:rsid w:val="0090676F"/>
    <w:rsid w:val="00907226"/>
    <w:rsid w:val="00907F50"/>
    <w:rsid w:val="00911779"/>
    <w:rsid w:val="00912095"/>
    <w:rsid w:val="0091272F"/>
    <w:rsid w:val="00913020"/>
    <w:rsid w:val="009156EA"/>
    <w:rsid w:val="00916AF5"/>
    <w:rsid w:val="00917C54"/>
    <w:rsid w:val="00923EA0"/>
    <w:rsid w:val="00924245"/>
    <w:rsid w:val="00924C30"/>
    <w:rsid w:val="0092599E"/>
    <w:rsid w:val="00926FAE"/>
    <w:rsid w:val="00927163"/>
    <w:rsid w:val="00930391"/>
    <w:rsid w:val="0093068C"/>
    <w:rsid w:val="009335E9"/>
    <w:rsid w:val="0093370B"/>
    <w:rsid w:val="00933AB8"/>
    <w:rsid w:val="0093769A"/>
    <w:rsid w:val="00941683"/>
    <w:rsid w:val="00941D4F"/>
    <w:rsid w:val="0094561D"/>
    <w:rsid w:val="0094580B"/>
    <w:rsid w:val="00950754"/>
    <w:rsid w:val="00951D90"/>
    <w:rsid w:val="009523C8"/>
    <w:rsid w:val="00953540"/>
    <w:rsid w:val="00953722"/>
    <w:rsid w:val="00953F35"/>
    <w:rsid w:val="009546A5"/>
    <w:rsid w:val="00955B53"/>
    <w:rsid w:val="00956341"/>
    <w:rsid w:val="00956D51"/>
    <w:rsid w:val="00957012"/>
    <w:rsid w:val="0096141E"/>
    <w:rsid w:val="00962291"/>
    <w:rsid w:val="00962C9B"/>
    <w:rsid w:val="00962EB8"/>
    <w:rsid w:val="00964248"/>
    <w:rsid w:val="00965067"/>
    <w:rsid w:val="00965F95"/>
    <w:rsid w:val="00966721"/>
    <w:rsid w:val="00967AB9"/>
    <w:rsid w:val="00972C43"/>
    <w:rsid w:val="009744C5"/>
    <w:rsid w:val="00976682"/>
    <w:rsid w:val="00976C3D"/>
    <w:rsid w:val="00981494"/>
    <w:rsid w:val="00981840"/>
    <w:rsid w:val="00984400"/>
    <w:rsid w:val="0098452D"/>
    <w:rsid w:val="0098453A"/>
    <w:rsid w:val="00984B71"/>
    <w:rsid w:val="009865FD"/>
    <w:rsid w:val="009867C8"/>
    <w:rsid w:val="00990B04"/>
    <w:rsid w:val="009922DD"/>
    <w:rsid w:val="00992B46"/>
    <w:rsid w:val="00992C09"/>
    <w:rsid w:val="0099314B"/>
    <w:rsid w:val="00993484"/>
    <w:rsid w:val="00994148"/>
    <w:rsid w:val="009955B1"/>
    <w:rsid w:val="009958A8"/>
    <w:rsid w:val="00995940"/>
    <w:rsid w:val="009A2483"/>
    <w:rsid w:val="009A4474"/>
    <w:rsid w:val="009A4943"/>
    <w:rsid w:val="009A666C"/>
    <w:rsid w:val="009B0705"/>
    <w:rsid w:val="009B11FA"/>
    <w:rsid w:val="009B3A5F"/>
    <w:rsid w:val="009B42E7"/>
    <w:rsid w:val="009B4A39"/>
    <w:rsid w:val="009B576A"/>
    <w:rsid w:val="009B58B8"/>
    <w:rsid w:val="009B637F"/>
    <w:rsid w:val="009B6831"/>
    <w:rsid w:val="009C20CC"/>
    <w:rsid w:val="009C2184"/>
    <w:rsid w:val="009C588F"/>
    <w:rsid w:val="009C5961"/>
    <w:rsid w:val="009C6906"/>
    <w:rsid w:val="009D0CF2"/>
    <w:rsid w:val="009D1BC9"/>
    <w:rsid w:val="009D2E0A"/>
    <w:rsid w:val="009D3045"/>
    <w:rsid w:val="009D3392"/>
    <w:rsid w:val="009D3D40"/>
    <w:rsid w:val="009D447F"/>
    <w:rsid w:val="009D47AF"/>
    <w:rsid w:val="009D667D"/>
    <w:rsid w:val="009D6B82"/>
    <w:rsid w:val="009D7960"/>
    <w:rsid w:val="009D7E32"/>
    <w:rsid w:val="009E0134"/>
    <w:rsid w:val="009E0DEE"/>
    <w:rsid w:val="009E10B2"/>
    <w:rsid w:val="009E156E"/>
    <w:rsid w:val="009E3332"/>
    <w:rsid w:val="009E45B4"/>
    <w:rsid w:val="009E522C"/>
    <w:rsid w:val="009E60DB"/>
    <w:rsid w:val="009E65D0"/>
    <w:rsid w:val="009F0A57"/>
    <w:rsid w:val="009F337C"/>
    <w:rsid w:val="009F3660"/>
    <w:rsid w:val="009F467D"/>
    <w:rsid w:val="009F7134"/>
    <w:rsid w:val="009F7D63"/>
    <w:rsid w:val="00A001A8"/>
    <w:rsid w:val="00A00217"/>
    <w:rsid w:val="00A04679"/>
    <w:rsid w:val="00A04D49"/>
    <w:rsid w:val="00A04DF9"/>
    <w:rsid w:val="00A067FC"/>
    <w:rsid w:val="00A06F7E"/>
    <w:rsid w:val="00A07A44"/>
    <w:rsid w:val="00A07D82"/>
    <w:rsid w:val="00A11401"/>
    <w:rsid w:val="00A1157B"/>
    <w:rsid w:val="00A12017"/>
    <w:rsid w:val="00A120F6"/>
    <w:rsid w:val="00A123B2"/>
    <w:rsid w:val="00A12E0E"/>
    <w:rsid w:val="00A13225"/>
    <w:rsid w:val="00A15BB0"/>
    <w:rsid w:val="00A15E35"/>
    <w:rsid w:val="00A160C2"/>
    <w:rsid w:val="00A161D4"/>
    <w:rsid w:val="00A1637B"/>
    <w:rsid w:val="00A1718F"/>
    <w:rsid w:val="00A17216"/>
    <w:rsid w:val="00A17720"/>
    <w:rsid w:val="00A17A19"/>
    <w:rsid w:val="00A2012F"/>
    <w:rsid w:val="00A207F9"/>
    <w:rsid w:val="00A20F59"/>
    <w:rsid w:val="00A21236"/>
    <w:rsid w:val="00A21E15"/>
    <w:rsid w:val="00A224BB"/>
    <w:rsid w:val="00A2259E"/>
    <w:rsid w:val="00A2386A"/>
    <w:rsid w:val="00A25B89"/>
    <w:rsid w:val="00A25C04"/>
    <w:rsid w:val="00A26017"/>
    <w:rsid w:val="00A26BFA"/>
    <w:rsid w:val="00A26D95"/>
    <w:rsid w:val="00A270CD"/>
    <w:rsid w:val="00A27F83"/>
    <w:rsid w:val="00A30B8E"/>
    <w:rsid w:val="00A32903"/>
    <w:rsid w:val="00A33E78"/>
    <w:rsid w:val="00A340BC"/>
    <w:rsid w:val="00A34610"/>
    <w:rsid w:val="00A3465E"/>
    <w:rsid w:val="00A34DD9"/>
    <w:rsid w:val="00A35EBC"/>
    <w:rsid w:val="00A4110A"/>
    <w:rsid w:val="00A43225"/>
    <w:rsid w:val="00A433F1"/>
    <w:rsid w:val="00A43694"/>
    <w:rsid w:val="00A43F34"/>
    <w:rsid w:val="00A46325"/>
    <w:rsid w:val="00A464C3"/>
    <w:rsid w:val="00A46D56"/>
    <w:rsid w:val="00A50C4C"/>
    <w:rsid w:val="00A534B7"/>
    <w:rsid w:val="00A53C6B"/>
    <w:rsid w:val="00A5491D"/>
    <w:rsid w:val="00A552BE"/>
    <w:rsid w:val="00A55CAA"/>
    <w:rsid w:val="00A562AE"/>
    <w:rsid w:val="00A563B7"/>
    <w:rsid w:val="00A57EBB"/>
    <w:rsid w:val="00A60726"/>
    <w:rsid w:val="00A60824"/>
    <w:rsid w:val="00A60A89"/>
    <w:rsid w:val="00A639D1"/>
    <w:rsid w:val="00A642EA"/>
    <w:rsid w:val="00A648E7"/>
    <w:rsid w:val="00A65484"/>
    <w:rsid w:val="00A71017"/>
    <w:rsid w:val="00A719A3"/>
    <w:rsid w:val="00A71DFB"/>
    <w:rsid w:val="00A72149"/>
    <w:rsid w:val="00A72185"/>
    <w:rsid w:val="00A75795"/>
    <w:rsid w:val="00A77414"/>
    <w:rsid w:val="00A836D6"/>
    <w:rsid w:val="00A8433F"/>
    <w:rsid w:val="00A84B17"/>
    <w:rsid w:val="00A86003"/>
    <w:rsid w:val="00A91F47"/>
    <w:rsid w:val="00A94297"/>
    <w:rsid w:val="00A94B66"/>
    <w:rsid w:val="00A95D08"/>
    <w:rsid w:val="00A96608"/>
    <w:rsid w:val="00A966F4"/>
    <w:rsid w:val="00A9707E"/>
    <w:rsid w:val="00AA2F7A"/>
    <w:rsid w:val="00AA4353"/>
    <w:rsid w:val="00AA4B93"/>
    <w:rsid w:val="00AA6120"/>
    <w:rsid w:val="00AA7FA2"/>
    <w:rsid w:val="00AB0B26"/>
    <w:rsid w:val="00AB2F9D"/>
    <w:rsid w:val="00AB3478"/>
    <w:rsid w:val="00AB3E25"/>
    <w:rsid w:val="00AB634E"/>
    <w:rsid w:val="00AC38B9"/>
    <w:rsid w:val="00AC424C"/>
    <w:rsid w:val="00AC6F2A"/>
    <w:rsid w:val="00AC780E"/>
    <w:rsid w:val="00AC7819"/>
    <w:rsid w:val="00AD0848"/>
    <w:rsid w:val="00AD0BD5"/>
    <w:rsid w:val="00AD183E"/>
    <w:rsid w:val="00AD2C5F"/>
    <w:rsid w:val="00AD2D97"/>
    <w:rsid w:val="00AD2DE4"/>
    <w:rsid w:val="00AD3378"/>
    <w:rsid w:val="00AD527F"/>
    <w:rsid w:val="00AD60F0"/>
    <w:rsid w:val="00AD6189"/>
    <w:rsid w:val="00AE0116"/>
    <w:rsid w:val="00AE0B3E"/>
    <w:rsid w:val="00AE0E81"/>
    <w:rsid w:val="00AE11F4"/>
    <w:rsid w:val="00AE1BF0"/>
    <w:rsid w:val="00AE371F"/>
    <w:rsid w:val="00AE416F"/>
    <w:rsid w:val="00AE41E5"/>
    <w:rsid w:val="00AE4613"/>
    <w:rsid w:val="00AE47B2"/>
    <w:rsid w:val="00AE4EC8"/>
    <w:rsid w:val="00AE61B3"/>
    <w:rsid w:val="00AE7FDD"/>
    <w:rsid w:val="00AF08FC"/>
    <w:rsid w:val="00AF0C78"/>
    <w:rsid w:val="00AF1225"/>
    <w:rsid w:val="00AF1239"/>
    <w:rsid w:val="00AF1A7E"/>
    <w:rsid w:val="00AF25F4"/>
    <w:rsid w:val="00AF27E6"/>
    <w:rsid w:val="00AF2B4F"/>
    <w:rsid w:val="00AF3078"/>
    <w:rsid w:val="00AF3F75"/>
    <w:rsid w:val="00AF5FF2"/>
    <w:rsid w:val="00AF6173"/>
    <w:rsid w:val="00B003D0"/>
    <w:rsid w:val="00B00CEC"/>
    <w:rsid w:val="00B0396D"/>
    <w:rsid w:val="00B0478F"/>
    <w:rsid w:val="00B05C17"/>
    <w:rsid w:val="00B0662F"/>
    <w:rsid w:val="00B070B5"/>
    <w:rsid w:val="00B073E3"/>
    <w:rsid w:val="00B101CB"/>
    <w:rsid w:val="00B11FD8"/>
    <w:rsid w:val="00B132AD"/>
    <w:rsid w:val="00B13F25"/>
    <w:rsid w:val="00B14F16"/>
    <w:rsid w:val="00B158DF"/>
    <w:rsid w:val="00B1683A"/>
    <w:rsid w:val="00B169DC"/>
    <w:rsid w:val="00B173A2"/>
    <w:rsid w:val="00B17A66"/>
    <w:rsid w:val="00B217CA"/>
    <w:rsid w:val="00B2264A"/>
    <w:rsid w:val="00B23338"/>
    <w:rsid w:val="00B23F9A"/>
    <w:rsid w:val="00B244FC"/>
    <w:rsid w:val="00B262BB"/>
    <w:rsid w:val="00B26D1C"/>
    <w:rsid w:val="00B31CDA"/>
    <w:rsid w:val="00B31E39"/>
    <w:rsid w:val="00B33801"/>
    <w:rsid w:val="00B33A3D"/>
    <w:rsid w:val="00B352DD"/>
    <w:rsid w:val="00B35B26"/>
    <w:rsid w:val="00B371BD"/>
    <w:rsid w:val="00B37BB7"/>
    <w:rsid w:val="00B37D4D"/>
    <w:rsid w:val="00B40CCB"/>
    <w:rsid w:val="00B410C2"/>
    <w:rsid w:val="00B41D31"/>
    <w:rsid w:val="00B4200A"/>
    <w:rsid w:val="00B4271B"/>
    <w:rsid w:val="00B43452"/>
    <w:rsid w:val="00B43F6E"/>
    <w:rsid w:val="00B452B7"/>
    <w:rsid w:val="00B4530D"/>
    <w:rsid w:val="00B455AA"/>
    <w:rsid w:val="00B4741C"/>
    <w:rsid w:val="00B5072D"/>
    <w:rsid w:val="00B50BFE"/>
    <w:rsid w:val="00B517F8"/>
    <w:rsid w:val="00B5193B"/>
    <w:rsid w:val="00B51A65"/>
    <w:rsid w:val="00B52E71"/>
    <w:rsid w:val="00B535AB"/>
    <w:rsid w:val="00B563D4"/>
    <w:rsid w:val="00B5644E"/>
    <w:rsid w:val="00B5686D"/>
    <w:rsid w:val="00B56D35"/>
    <w:rsid w:val="00B571E1"/>
    <w:rsid w:val="00B576F5"/>
    <w:rsid w:val="00B6089A"/>
    <w:rsid w:val="00B62F0A"/>
    <w:rsid w:val="00B63262"/>
    <w:rsid w:val="00B64717"/>
    <w:rsid w:val="00B6572E"/>
    <w:rsid w:val="00B66C30"/>
    <w:rsid w:val="00B67312"/>
    <w:rsid w:val="00B700B0"/>
    <w:rsid w:val="00B707D1"/>
    <w:rsid w:val="00B72138"/>
    <w:rsid w:val="00B72B14"/>
    <w:rsid w:val="00B72F1E"/>
    <w:rsid w:val="00B741CB"/>
    <w:rsid w:val="00B74940"/>
    <w:rsid w:val="00B80B37"/>
    <w:rsid w:val="00B80FC9"/>
    <w:rsid w:val="00B8314B"/>
    <w:rsid w:val="00B83309"/>
    <w:rsid w:val="00B84302"/>
    <w:rsid w:val="00B86D9D"/>
    <w:rsid w:val="00B9072F"/>
    <w:rsid w:val="00B90D3A"/>
    <w:rsid w:val="00B90D68"/>
    <w:rsid w:val="00B91069"/>
    <w:rsid w:val="00B9165E"/>
    <w:rsid w:val="00B92FEF"/>
    <w:rsid w:val="00B934CE"/>
    <w:rsid w:val="00B93A22"/>
    <w:rsid w:val="00B93D60"/>
    <w:rsid w:val="00B94E18"/>
    <w:rsid w:val="00B9620F"/>
    <w:rsid w:val="00B96BC0"/>
    <w:rsid w:val="00B96CEA"/>
    <w:rsid w:val="00BA013C"/>
    <w:rsid w:val="00BA075E"/>
    <w:rsid w:val="00BA0A43"/>
    <w:rsid w:val="00BA3CBD"/>
    <w:rsid w:val="00BA48B6"/>
    <w:rsid w:val="00BA5BE0"/>
    <w:rsid w:val="00BA6671"/>
    <w:rsid w:val="00BA769E"/>
    <w:rsid w:val="00BB02A0"/>
    <w:rsid w:val="00BB0B35"/>
    <w:rsid w:val="00BB13A7"/>
    <w:rsid w:val="00BB226E"/>
    <w:rsid w:val="00BB31F0"/>
    <w:rsid w:val="00BB37A0"/>
    <w:rsid w:val="00BB5674"/>
    <w:rsid w:val="00BB5F95"/>
    <w:rsid w:val="00BB6260"/>
    <w:rsid w:val="00BC409A"/>
    <w:rsid w:val="00BC4189"/>
    <w:rsid w:val="00BC4885"/>
    <w:rsid w:val="00BC5016"/>
    <w:rsid w:val="00BC582E"/>
    <w:rsid w:val="00BC6926"/>
    <w:rsid w:val="00BC69AC"/>
    <w:rsid w:val="00BC7A03"/>
    <w:rsid w:val="00BD0143"/>
    <w:rsid w:val="00BD01D4"/>
    <w:rsid w:val="00BD0712"/>
    <w:rsid w:val="00BD18DC"/>
    <w:rsid w:val="00BD4992"/>
    <w:rsid w:val="00BD5BAA"/>
    <w:rsid w:val="00BD7E16"/>
    <w:rsid w:val="00BE2154"/>
    <w:rsid w:val="00BE222A"/>
    <w:rsid w:val="00BE2848"/>
    <w:rsid w:val="00BE2F62"/>
    <w:rsid w:val="00BE3BBD"/>
    <w:rsid w:val="00BE66E5"/>
    <w:rsid w:val="00BF0CBF"/>
    <w:rsid w:val="00BF1215"/>
    <w:rsid w:val="00BF56C4"/>
    <w:rsid w:val="00C00A2A"/>
    <w:rsid w:val="00C0168A"/>
    <w:rsid w:val="00C02159"/>
    <w:rsid w:val="00C03944"/>
    <w:rsid w:val="00C04E3A"/>
    <w:rsid w:val="00C056A4"/>
    <w:rsid w:val="00C06778"/>
    <w:rsid w:val="00C075C7"/>
    <w:rsid w:val="00C07756"/>
    <w:rsid w:val="00C0777E"/>
    <w:rsid w:val="00C077B9"/>
    <w:rsid w:val="00C115D4"/>
    <w:rsid w:val="00C1164C"/>
    <w:rsid w:val="00C11F0E"/>
    <w:rsid w:val="00C12A46"/>
    <w:rsid w:val="00C13057"/>
    <w:rsid w:val="00C1567D"/>
    <w:rsid w:val="00C173DE"/>
    <w:rsid w:val="00C21193"/>
    <w:rsid w:val="00C21B4D"/>
    <w:rsid w:val="00C2229D"/>
    <w:rsid w:val="00C22A0B"/>
    <w:rsid w:val="00C22F2C"/>
    <w:rsid w:val="00C23D44"/>
    <w:rsid w:val="00C23EE0"/>
    <w:rsid w:val="00C251C4"/>
    <w:rsid w:val="00C27C8B"/>
    <w:rsid w:val="00C3008F"/>
    <w:rsid w:val="00C302B7"/>
    <w:rsid w:val="00C31B22"/>
    <w:rsid w:val="00C31CA5"/>
    <w:rsid w:val="00C32CAD"/>
    <w:rsid w:val="00C34F8A"/>
    <w:rsid w:val="00C365A0"/>
    <w:rsid w:val="00C408F7"/>
    <w:rsid w:val="00C40D5B"/>
    <w:rsid w:val="00C45B28"/>
    <w:rsid w:val="00C45C27"/>
    <w:rsid w:val="00C51022"/>
    <w:rsid w:val="00C51D95"/>
    <w:rsid w:val="00C52675"/>
    <w:rsid w:val="00C528D7"/>
    <w:rsid w:val="00C542FC"/>
    <w:rsid w:val="00C5481E"/>
    <w:rsid w:val="00C55410"/>
    <w:rsid w:val="00C564C2"/>
    <w:rsid w:val="00C60520"/>
    <w:rsid w:val="00C6080F"/>
    <w:rsid w:val="00C6217C"/>
    <w:rsid w:val="00C622FD"/>
    <w:rsid w:val="00C645CB"/>
    <w:rsid w:val="00C645EE"/>
    <w:rsid w:val="00C6470F"/>
    <w:rsid w:val="00C6479E"/>
    <w:rsid w:val="00C6496F"/>
    <w:rsid w:val="00C666CB"/>
    <w:rsid w:val="00C67243"/>
    <w:rsid w:val="00C67927"/>
    <w:rsid w:val="00C70CD6"/>
    <w:rsid w:val="00C71971"/>
    <w:rsid w:val="00C71E95"/>
    <w:rsid w:val="00C73A6B"/>
    <w:rsid w:val="00C74189"/>
    <w:rsid w:val="00C747BB"/>
    <w:rsid w:val="00C760C9"/>
    <w:rsid w:val="00C76966"/>
    <w:rsid w:val="00C769CC"/>
    <w:rsid w:val="00C76BF1"/>
    <w:rsid w:val="00C76C34"/>
    <w:rsid w:val="00C77449"/>
    <w:rsid w:val="00C77B7B"/>
    <w:rsid w:val="00C81188"/>
    <w:rsid w:val="00C8187E"/>
    <w:rsid w:val="00C820EB"/>
    <w:rsid w:val="00C8267E"/>
    <w:rsid w:val="00C836DB"/>
    <w:rsid w:val="00C84F81"/>
    <w:rsid w:val="00C859B1"/>
    <w:rsid w:val="00C86BA9"/>
    <w:rsid w:val="00C90036"/>
    <w:rsid w:val="00C90AD6"/>
    <w:rsid w:val="00C913D0"/>
    <w:rsid w:val="00C91800"/>
    <w:rsid w:val="00C91C93"/>
    <w:rsid w:val="00C9373F"/>
    <w:rsid w:val="00C964F3"/>
    <w:rsid w:val="00CA088D"/>
    <w:rsid w:val="00CA0FA7"/>
    <w:rsid w:val="00CA2744"/>
    <w:rsid w:val="00CA3864"/>
    <w:rsid w:val="00CA3A9F"/>
    <w:rsid w:val="00CA4AE7"/>
    <w:rsid w:val="00CA4F21"/>
    <w:rsid w:val="00CA5A81"/>
    <w:rsid w:val="00CA61B4"/>
    <w:rsid w:val="00CA7BA3"/>
    <w:rsid w:val="00CB1081"/>
    <w:rsid w:val="00CB156A"/>
    <w:rsid w:val="00CB27C2"/>
    <w:rsid w:val="00CB2BD0"/>
    <w:rsid w:val="00CB33BE"/>
    <w:rsid w:val="00CB3B6D"/>
    <w:rsid w:val="00CB3B74"/>
    <w:rsid w:val="00CB4983"/>
    <w:rsid w:val="00CC17C4"/>
    <w:rsid w:val="00CC3414"/>
    <w:rsid w:val="00CC613C"/>
    <w:rsid w:val="00CC6EC2"/>
    <w:rsid w:val="00CC71C4"/>
    <w:rsid w:val="00CD0CD5"/>
    <w:rsid w:val="00CD0D02"/>
    <w:rsid w:val="00CD11FF"/>
    <w:rsid w:val="00CD1F71"/>
    <w:rsid w:val="00CD4133"/>
    <w:rsid w:val="00CD49FF"/>
    <w:rsid w:val="00CD54E4"/>
    <w:rsid w:val="00CD57FE"/>
    <w:rsid w:val="00CD6A56"/>
    <w:rsid w:val="00CD6EE3"/>
    <w:rsid w:val="00CD7617"/>
    <w:rsid w:val="00CE017C"/>
    <w:rsid w:val="00CE0828"/>
    <w:rsid w:val="00CE09F1"/>
    <w:rsid w:val="00CE0C60"/>
    <w:rsid w:val="00CE1532"/>
    <w:rsid w:val="00CE18B6"/>
    <w:rsid w:val="00CE3098"/>
    <w:rsid w:val="00CE3115"/>
    <w:rsid w:val="00CE3464"/>
    <w:rsid w:val="00CE48FE"/>
    <w:rsid w:val="00CE4BBD"/>
    <w:rsid w:val="00CE5A96"/>
    <w:rsid w:val="00CE7744"/>
    <w:rsid w:val="00CF050C"/>
    <w:rsid w:val="00CF099C"/>
    <w:rsid w:val="00CF1225"/>
    <w:rsid w:val="00CF2C79"/>
    <w:rsid w:val="00CF3FD4"/>
    <w:rsid w:val="00CF4245"/>
    <w:rsid w:val="00CF7147"/>
    <w:rsid w:val="00CF79C6"/>
    <w:rsid w:val="00D03325"/>
    <w:rsid w:val="00D033D2"/>
    <w:rsid w:val="00D03E0A"/>
    <w:rsid w:val="00D05A6A"/>
    <w:rsid w:val="00D0636D"/>
    <w:rsid w:val="00D06E73"/>
    <w:rsid w:val="00D07063"/>
    <w:rsid w:val="00D10042"/>
    <w:rsid w:val="00D1015A"/>
    <w:rsid w:val="00D1155E"/>
    <w:rsid w:val="00D11730"/>
    <w:rsid w:val="00D13FD0"/>
    <w:rsid w:val="00D143E7"/>
    <w:rsid w:val="00D17555"/>
    <w:rsid w:val="00D2089F"/>
    <w:rsid w:val="00D2102C"/>
    <w:rsid w:val="00D21314"/>
    <w:rsid w:val="00D22AC4"/>
    <w:rsid w:val="00D2385E"/>
    <w:rsid w:val="00D23B84"/>
    <w:rsid w:val="00D24EE3"/>
    <w:rsid w:val="00D250D8"/>
    <w:rsid w:val="00D2608F"/>
    <w:rsid w:val="00D269E7"/>
    <w:rsid w:val="00D26FBC"/>
    <w:rsid w:val="00D273AC"/>
    <w:rsid w:val="00D27638"/>
    <w:rsid w:val="00D2767A"/>
    <w:rsid w:val="00D27F02"/>
    <w:rsid w:val="00D30A78"/>
    <w:rsid w:val="00D3115D"/>
    <w:rsid w:val="00D3126D"/>
    <w:rsid w:val="00D318B5"/>
    <w:rsid w:val="00D31B84"/>
    <w:rsid w:val="00D323BD"/>
    <w:rsid w:val="00D32C6D"/>
    <w:rsid w:val="00D36E2F"/>
    <w:rsid w:val="00D409A5"/>
    <w:rsid w:val="00D414C1"/>
    <w:rsid w:val="00D4250D"/>
    <w:rsid w:val="00D44A56"/>
    <w:rsid w:val="00D455E8"/>
    <w:rsid w:val="00D45E5C"/>
    <w:rsid w:val="00D470CD"/>
    <w:rsid w:val="00D510DD"/>
    <w:rsid w:val="00D518AF"/>
    <w:rsid w:val="00D52AC1"/>
    <w:rsid w:val="00D52ECF"/>
    <w:rsid w:val="00D52EF2"/>
    <w:rsid w:val="00D53750"/>
    <w:rsid w:val="00D53D02"/>
    <w:rsid w:val="00D547BF"/>
    <w:rsid w:val="00D54CD1"/>
    <w:rsid w:val="00D553ED"/>
    <w:rsid w:val="00D574E4"/>
    <w:rsid w:val="00D60CE1"/>
    <w:rsid w:val="00D6119B"/>
    <w:rsid w:val="00D619C9"/>
    <w:rsid w:val="00D6340E"/>
    <w:rsid w:val="00D64AB9"/>
    <w:rsid w:val="00D64FE5"/>
    <w:rsid w:val="00D65974"/>
    <w:rsid w:val="00D71B59"/>
    <w:rsid w:val="00D71EC7"/>
    <w:rsid w:val="00D7436B"/>
    <w:rsid w:val="00D7773C"/>
    <w:rsid w:val="00D77886"/>
    <w:rsid w:val="00D8036B"/>
    <w:rsid w:val="00D80563"/>
    <w:rsid w:val="00D808A8"/>
    <w:rsid w:val="00D80BB6"/>
    <w:rsid w:val="00D81D0C"/>
    <w:rsid w:val="00D841B2"/>
    <w:rsid w:val="00D851CE"/>
    <w:rsid w:val="00D85857"/>
    <w:rsid w:val="00D8599C"/>
    <w:rsid w:val="00D86242"/>
    <w:rsid w:val="00D86577"/>
    <w:rsid w:val="00D875A9"/>
    <w:rsid w:val="00D90028"/>
    <w:rsid w:val="00D90A32"/>
    <w:rsid w:val="00D9118D"/>
    <w:rsid w:val="00D91A5F"/>
    <w:rsid w:val="00D91EDA"/>
    <w:rsid w:val="00D9289E"/>
    <w:rsid w:val="00D93A92"/>
    <w:rsid w:val="00D94B1F"/>
    <w:rsid w:val="00D966EA"/>
    <w:rsid w:val="00D972A0"/>
    <w:rsid w:val="00DA0CC0"/>
    <w:rsid w:val="00DA18F5"/>
    <w:rsid w:val="00DA2D47"/>
    <w:rsid w:val="00DA54A2"/>
    <w:rsid w:val="00DA7BBE"/>
    <w:rsid w:val="00DB084F"/>
    <w:rsid w:val="00DB0AF0"/>
    <w:rsid w:val="00DB18AD"/>
    <w:rsid w:val="00DB1ED6"/>
    <w:rsid w:val="00DB1EEC"/>
    <w:rsid w:val="00DB215E"/>
    <w:rsid w:val="00DB2223"/>
    <w:rsid w:val="00DB4213"/>
    <w:rsid w:val="00DB4995"/>
    <w:rsid w:val="00DB5CF9"/>
    <w:rsid w:val="00DB74ED"/>
    <w:rsid w:val="00DC2B53"/>
    <w:rsid w:val="00DC3CD1"/>
    <w:rsid w:val="00DC3FB0"/>
    <w:rsid w:val="00DC4239"/>
    <w:rsid w:val="00DC5BD0"/>
    <w:rsid w:val="00DD0C9F"/>
    <w:rsid w:val="00DD1D1D"/>
    <w:rsid w:val="00DD20D6"/>
    <w:rsid w:val="00DD2A97"/>
    <w:rsid w:val="00DD3502"/>
    <w:rsid w:val="00DD3BF6"/>
    <w:rsid w:val="00DD4346"/>
    <w:rsid w:val="00DD47A9"/>
    <w:rsid w:val="00DD597D"/>
    <w:rsid w:val="00DD5AA5"/>
    <w:rsid w:val="00DD643B"/>
    <w:rsid w:val="00DD6C40"/>
    <w:rsid w:val="00DE0FED"/>
    <w:rsid w:val="00DE181B"/>
    <w:rsid w:val="00DE19F0"/>
    <w:rsid w:val="00DE1E50"/>
    <w:rsid w:val="00DE2756"/>
    <w:rsid w:val="00DE287B"/>
    <w:rsid w:val="00DE48FE"/>
    <w:rsid w:val="00DE50C4"/>
    <w:rsid w:val="00DF0806"/>
    <w:rsid w:val="00DF1FA0"/>
    <w:rsid w:val="00DF1FE8"/>
    <w:rsid w:val="00DF2F4B"/>
    <w:rsid w:val="00DF3AEF"/>
    <w:rsid w:val="00DF4602"/>
    <w:rsid w:val="00DF6C2C"/>
    <w:rsid w:val="00DF7B81"/>
    <w:rsid w:val="00DF7C9A"/>
    <w:rsid w:val="00DF7F76"/>
    <w:rsid w:val="00E00B5E"/>
    <w:rsid w:val="00E01B41"/>
    <w:rsid w:val="00E02E71"/>
    <w:rsid w:val="00E037F6"/>
    <w:rsid w:val="00E0397B"/>
    <w:rsid w:val="00E05745"/>
    <w:rsid w:val="00E0609D"/>
    <w:rsid w:val="00E065EC"/>
    <w:rsid w:val="00E06DEF"/>
    <w:rsid w:val="00E07342"/>
    <w:rsid w:val="00E12359"/>
    <w:rsid w:val="00E12FE7"/>
    <w:rsid w:val="00E1307B"/>
    <w:rsid w:val="00E133F2"/>
    <w:rsid w:val="00E1365B"/>
    <w:rsid w:val="00E168AB"/>
    <w:rsid w:val="00E20E9A"/>
    <w:rsid w:val="00E21A05"/>
    <w:rsid w:val="00E21C4B"/>
    <w:rsid w:val="00E254F2"/>
    <w:rsid w:val="00E25ED4"/>
    <w:rsid w:val="00E2625E"/>
    <w:rsid w:val="00E276AD"/>
    <w:rsid w:val="00E3235B"/>
    <w:rsid w:val="00E33C0D"/>
    <w:rsid w:val="00E33CF3"/>
    <w:rsid w:val="00E349AD"/>
    <w:rsid w:val="00E357AD"/>
    <w:rsid w:val="00E35BDF"/>
    <w:rsid w:val="00E36AA5"/>
    <w:rsid w:val="00E410C4"/>
    <w:rsid w:val="00E43F52"/>
    <w:rsid w:val="00E45205"/>
    <w:rsid w:val="00E463F6"/>
    <w:rsid w:val="00E50203"/>
    <w:rsid w:val="00E509D9"/>
    <w:rsid w:val="00E50DD2"/>
    <w:rsid w:val="00E50FA9"/>
    <w:rsid w:val="00E51127"/>
    <w:rsid w:val="00E5208D"/>
    <w:rsid w:val="00E534EF"/>
    <w:rsid w:val="00E544A6"/>
    <w:rsid w:val="00E5579B"/>
    <w:rsid w:val="00E558D0"/>
    <w:rsid w:val="00E56EC7"/>
    <w:rsid w:val="00E62462"/>
    <w:rsid w:val="00E62FD1"/>
    <w:rsid w:val="00E63490"/>
    <w:rsid w:val="00E64D7D"/>
    <w:rsid w:val="00E651A5"/>
    <w:rsid w:val="00E65D37"/>
    <w:rsid w:val="00E65E9C"/>
    <w:rsid w:val="00E6757B"/>
    <w:rsid w:val="00E701E1"/>
    <w:rsid w:val="00E71A73"/>
    <w:rsid w:val="00E72637"/>
    <w:rsid w:val="00E72A2D"/>
    <w:rsid w:val="00E73E40"/>
    <w:rsid w:val="00E74717"/>
    <w:rsid w:val="00E750F6"/>
    <w:rsid w:val="00E75F7A"/>
    <w:rsid w:val="00E76637"/>
    <w:rsid w:val="00E77C7F"/>
    <w:rsid w:val="00E77EC2"/>
    <w:rsid w:val="00E81023"/>
    <w:rsid w:val="00E8201B"/>
    <w:rsid w:val="00E821E3"/>
    <w:rsid w:val="00E828D7"/>
    <w:rsid w:val="00E82FF9"/>
    <w:rsid w:val="00E854A5"/>
    <w:rsid w:val="00E857A9"/>
    <w:rsid w:val="00E90476"/>
    <w:rsid w:val="00E90964"/>
    <w:rsid w:val="00E90C58"/>
    <w:rsid w:val="00E94827"/>
    <w:rsid w:val="00E94935"/>
    <w:rsid w:val="00E959D1"/>
    <w:rsid w:val="00EA03A9"/>
    <w:rsid w:val="00EA124E"/>
    <w:rsid w:val="00EA14CB"/>
    <w:rsid w:val="00EA3D04"/>
    <w:rsid w:val="00EA3E51"/>
    <w:rsid w:val="00EA4D43"/>
    <w:rsid w:val="00EA4D46"/>
    <w:rsid w:val="00EA5DEE"/>
    <w:rsid w:val="00EB0414"/>
    <w:rsid w:val="00EB1532"/>
    <w:rsid w:val="00EB212A"/>
    <w:rsid w:val="00EB29EF"/>
    <w:rsid w:val="00EB30D5"/>
    <w:rsid w:val="00EB3F6A"/>
    <w:rsid w:val="00EB3FC2"/>
    <w:rsid w:val="00EB53BA"/>
    <w:rsid w:val="00EB58CC"/>
    <w:rsid w:val="00EB5AE4"/>
    <w:rsid w:val="00EB5F49"/>
    <w:rsid w:val="00EB632B"/>
    <w:rsid w:val="00EB6471"/>
    <w:rsid w:val="00EB6B03"/>
    <w:rsid w:val="00EB7B83"/>
    <w:rsid w:val="00EC041D"/>
    <w:rsid w:val="00EC290F"/>
    <w:rsid w:val="00EC3B44"/>
    <w:rsid w:val="00EC577B"/>
    <w:rsid w:val="00EC63B9"/>
    <w:rsid w:val="00EC64DA"/>
    <w:rsid w:val="00EC7C60"/>
    <w:rsid w:val="00ED21FA"/>
    <w:rsid w:val="00ED247E"/>
    <w:rsid w:val="00ED2D81"/>
    <w:rsid w:val="00ED4B32"/>
    <w:rsid w:val="00ED6447"/>
    <w:rsid w:val="00ED6A62"/>
    <w:rsid w:val="00ED7AB0"/>
    <w:rsid w:val="00EE04F6"/>
    <w:rsid w:val="00EE08DD"/>
    <w:rsid w:val="00EE0F5C"/>
    <w:rsid w:val="00EE1BF9"/>
    <w:rsid w:val="00EE264F"/>
    <w:rsid w:val="00EE2784"/>
    <w:rsid w:val="00EE2A16"/>
    <w:rsid w:val="00EE36A3"/>
    <w:rsid w:val="00EE64AA"/>
    <w:rsid w:val="00EE7C9E"/>
    <w:rsid w:val="00EF0725"/>
    <w:rsid w:val="00EF1988"/>
    <w:rsid w:val="00EF1D24"/>
    <w:rsid w:val="00EF1E4E"/>
    <w:rsid w:val="00EF2C11"/>
    <w:rsid w:val="00EF4171"/>
    <w:rsid w:val="00EF5194"/>
    <w:rsid w:val="00EF5755"/>
    <w:rsid w:val="00EF65BD"/>
    <w:rsid w:val="00EF6FE6"/>
    <w:rsid w:val="00EF79F6"/>
    <w:rsid w:val="00EF7CB0"/>
    <w:rsid w:val="00F005CE"/>
    <w:rsid w:val="00F00947"/>
    <w:rsid w:val="00F0261A"/>
    <w:rsid w:val="00F03931"/>
    <w:rsid w:val="00F05A6B"/>
    <w:rsid w:val="00F074C3"/>
    <w:rsid w:val="00F1056A"/>
    <w:rsid w:val="00F1332E"/>
    <w:rsid w:val="00F13924"/>
    <w:rsid w:val="00F14682"/>
    <w:rsid w:val="00F14C68"/>
    <w:rsid w:val="00F1612D"/>
    <w:rsid w:val="00F172A9"/>
    <w:rsid w:val="00F17C98"/>
    <w:rsid w:val="00F219B8"/>
    <w:rsid w:val="00F235E1"/>
    <w:rsid w:val="00F25822"/>
    <w:rsid w:val="00F268F7"/>
    <w:rsid w:val="00F30919"/>
    <w:rsid w:val="00F30C25"/>
    <w:rsid w:val="00F31086"/>
    <w:rsid w:val="00F314BF"/>
    <w:rsid w:val="00F331A8"/>
    <w:rsid w:val="00F33555"/>
    <w:rsid w:val="00F34773"/>
    <w:rsid w:val="00F36C24"/>
    <w:rsid w:val="00F3792B"/>
    <w:rsid w:val="00F37F41"/>
    <w:rsid w:val="00F401EB"/>
    <w:rsid w:val="00F42E4E"/>
    <w:rsid w:val="00F43EA0"/>
    <w:rsid w:val="00F441B3"/>
    <w:rsid w:val="00F445FB"/>
    <w:rsid w:val="00F44FB7"/>
    <w:rsid w:val="00F45A5D"/>
    <w:rsid w:val="00F46C9E"/>
    <w:rsid w:val="00F47D43"/>
    <w:rsid w:val="00F502F6"/>
    <w:rsid w:val="00F51922"/>
    <w:rsid w:val="00F53B50"/>
    <w:rsid w:val="00F54886"/>
    <w:rsid w:val="00F5504E"/>
    <w:rsid w:val="00F55EAA"/>
    <w:rsid w:val="00F5728D"/>
    <w:rsid w:val="00F57E9D"/>
    <w:rsid w:val="00F602E6"/>
    <w:rsid w:val="00F608F6"/>
    <w:rsid w:val="00F6206F"/>
    <w:rsid w:val="00F62BB2"/>
    <w:rsid w:val="00F7169E"/>
    <w:rsid w:val="00F72DD6"/>
    <w:rsid w:val="00F7306A"/>
    <w:rsid w:val="00F731AA"/>
    <w:rsid w:val="00F77444"/>
    <w:rsid w:val="00F8108B"/>
    <w:rsid w:val="00F8169F"/>
    <w:rsid w:val="00F820CB"/>
    <w:rsid w:val="00F837D3"/>
    <w:rsid w:val="00F846CA"/>
    <w:rsid w:val="00F8601D"/>
    <w:rsid w:val="00F9006A"/>
    <w:rsid w:val="00F918CE"/>
    <w:rsid w:val="00F9394B"/>
    <w:rsid w:val="00F96389"/>
    <w:rsid w:val="00F968DE"/>
    <w:rsid w:val="00F972B5"/>
    <w:rsid w:val="00F97568"/>
    <w:rsid w:val="00FA05D2"/>
    <w:rsid w:val="00FA08F4"/>
    <w:rsid w:val="00FA1555"/>
    <w:rsid w:val="00FA16AC"/>
    <w:rsid w:val="00FA25E6"/>
    <w:rsid w:val="00FA28C9"/>
    <w:rsid w:val="00FA3D8E"/>
    <w:rsid w:val="00FA4904"/>
    <w:rsid w:val="00FA51AD"/>
    <w:rsid w:val="00FA5AA0"/>
    <w:rsid w:val="00FA7850"/>
    <w:rsid w:val="00FA7A1D"/>
    <w:rsid w:val="00FB15E2"/>
    <w:rsid w:val="00FB1D0E"/>
    <w:rsid w:val="00FB22A2"/>
    <w:rsid w:val="00FB2AE6"/>
    <w:rsid w:val="00FB2D2F"/>
    <w:rsid w:val="00FB32DD"/>
    <w:rsid w:val="00FB410C"/>
    <w:rsid w:val="00FB7286"/>
    <w:rsid w:val="00FB74FF"/>
    <w:rsid w:val="00FB76EF"/>
    <w:rsid w:val="00FB77BE"/>
    <w:rsid w:val="00FC074D"/>
    <w:rsid w:val="00FC184E"/>
    <w:rsid w:val="00FC2A55"/>
    <w:rsid w:val="00FC3ED9"/>
    <w:rsid w:val="00FC427A"/>
    <w:rsid w:val="00FC5205"/>
    <w:rsid w:val="00FC6356"/>
    <w:rsid w:val="00FD02AC"/>
    <w:rsid w:val="00FD0594"/>
    <w:rsid w:val="00FD22FE"/>
    <w:rsid w:val="00FD2EAC"/>
    <w:rsid w:val="00FD3171"/>
    <w:rsid w:val="00FD34BC"/>
    <w:rsid w:val="00FD3DEB"/>
    <w:rsid w:val="00FD7EDD"/>
    <w:rsid w:val="00FE0ABA"/>
    <w:rsid w:val="00FE4E8B"/>
    <w:rsid w:val="00FE67EA"/>
    <w:rsid w:val="00FF091F"/>
    <w:rsid w:val="00FF0A14"/>
    <w:rsid w:val="00FF0F77"/>
    <w:rsid w:val="00FF2134"/>
    <w:rsid w:val="00FF3682"/>
    <w:rsid w:val="00FF3E84"/>
    <w:rsid w:val="00FF4624"/>
    <w:rsid w:val="00FF4D54"/>
    <w:rsid w:val="00FF64DE"/>
    <w:rsid w:val="00FF7178"/>
    <w:rsid w:val="00FF7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11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97"/>
    <w:pPr>
      <w:spacing w:after="240" w:line="280" w:lineRule="exact"/>
      <w:jc w:val="both"/>
    </w:pPr>
  </w:style>
  <w:style w:type="paragraph" w:styleId="Heading1">
    <w:name w:val="heading 1"/>
    <w:basedOn w:val="Normal"/>
    <w:next w:val="Normal"/>
    <w:link w:val="Heading1Char"/>
    <w:uiPriority w:val="2"/>
    <w:qFormat/>
    <w:rsid w:val="003A5964"/>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basedOn w:val="Normal"/>
    <w:next w:val="Normal"/>
    <w:link w:val="Heading2Char"/>
    <w:uiPriority w:val="2"/>
    <w:qFormat/>
    <w:rsid w:val="003A5964"/>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unhideWhenUsed/>
    <w:qFormat/>
    <w:rsid w:val="003A5964"/>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9"/>
    <w:semiHidden/>
    <w:unhideWhenUsed/>
    <w:qFormat/>
    <w:rsid w:val="00756B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A5964"/>
    <w:rPr>
      <w:rFonts w:ascii="Calibri" w:eastAsiaTheme="majorEastAsia" w:hAnsi="Calibri" w:cstheme="majorBidi"/>
      <w:b/>
      <w:bCs/>
      <w:color w:val="1F497D" w:themeColor="text2"/>
      <w:sz w:val="32"/>
      <w:szCs w:val="28"/>
    </w:rPr>
  </w:style>
  <w:style w:type="character" w:customStyle="1" w:styleId="Heading2Char">
    <w:name w:val="Heading 2 Char"/>
    <w:basedOn w:val="DefaultParagraphFont"/>
    <w:link w:val="Heading2"/>
    <w:uiPriority w:val="2"/>
    <w:rsid w:val="003A5964"/>
    <w:rPr>
      <w:rFonts w:ascii="Calibri" w:eastAsiaTheme="majorEastAsia" w:hAnsi="Calibri" w:cstheme="majorBidi"/>
      <w:b/>
      <w:bCs/>
      <w:color w:val="1F497D" w:themeColor="text2"/>
      <w:sz w:val="26"/>
      <w:szCs w:val="26"/>
    </w:rPr>
  </w:style>
  <w:style w:type="character" w:customStyle="1" w:styleId="Heading3Char">
    <w:name w:val="Heading 3 Char"/>
    <w:basedOn w:val="DefaultParagraphFont"/>
    <w:link w:val="Heading3"/>
    <w:uiPriority w:val="2"/>
    <w:rsid w:val="003A5964"/>
    <w:rPr>
      <w:rFonts w:ascii="Calibri" w:eastAsiaTheme="majorEastAsia" w:hAnsi="Calibri" w:cstheme="majorBidi"/>
      <w:b/>
      <w:bCs/>
      <w:i/>
      <w:color w:val="1F497D" w:themeColor="text2"/>
      <w:sz w:val="24"/>
    </w:rPr>
  </w:style>
  <w:style w:type="paragraph" w:styleId="TOCHeading">
    <w:name w:val="TOC Heading"/>
    <w:basedOn w:val="Heading1"/>
    <w:next w:val="Normal"/>
    <w:uiPriority w:val="39"/>
    <w:unhideWhenUsed/>
    <w:qFormat/>
    <w:rsid w:val="00594197"/>
    <w:pPr>
      <w:keepLines w:val="0"/>
      <w:pBdr>
        <w:bottom w:val="single" w:sz="12" w:space="11" w:color="004A7F"/>
      </w:pBdr>
      <w:tabs>
        <w:tab w:val="left" w:pos="567"/>
      </w:tabs>
      <w:spacing w:before="0" w:after="480" w:line="240" w:lineRule="auto"/>
      <w:ind w:left="567" w:hanging="567"/>
      <w:outlineLvl w:val="9"/>
    </w:pPr>
    <w:rPr>
      <w:rFonts w:eastAsia="Times New Roman" w:cs="Arial"/>
      <w:bCs w:val="0"/>
      <w:caps/>
      <w:color w:val="004A7F"/>
      <w:kern w:val="32"/>
      <w:sz w:val="44"/>
      <w:szCs w:val="36"/>
      <w:lang w:eastAsia="en-AU"/>
    </w:rPr>
  </w:style>
  <w:style w:type="paragraph" w:styleId="TOC1">
    <w:name w:val="toc 1"/>
    <w:basedOn w:val="Normal"/>
    <w:next w:val="Normal"/>
    <w:uiPriority w:val="39"/>
    <w:unhideWhenUsed/>
    <w:rsid w:val="00594197"/>
    <w:pPr>
      <w:tabs>
        <w:tab w:val="right" w:leader="dot" w:pos="9016"/>
      </w:tabs>
      <w:spacing w:before="120" w:after="60" w:line="240" w:lineRule="exact"/>
    </w:pPr>
    <w:rPr>
      <w:b/>
      <w:caps/>
      <w:noProof/>
      <w:color w:val="1F497D" w:themeColor="text2"/>
    </w:rPr>
  </w:style>
  <w:style w:type="paragraph" w:styleId="TOC2">
    <w:name w:val="toc 2"/>
    <w:basedOn w:val="Normal"/>
    <w:next w:val="Normal"/>
    <w:uiPriority w:val="39"/>
    <w:unhideWhenUsed/>
    <w:rsid w:val="000B6529"/>
    <w:pPr>
      <w:tabs>
        <w:tab w:val="right" w:leader="dot" w:pos="9015"/>
      </w:tabs>
      <w:spacing w:before="60" w:after="60"/>
      <w:ind w:left="284" w:right="804"/>
      <w:jc w:val="left"/>
    </w:pPr>
    <w:rPr>
      <w:noProof/>
      <w:color w:val="1F497D" w:themeColor="text2"/>
    </w:rPr>
  </w:style>
  <w:style w:type="paragraph" w:styleId="TOC3">
    <w:name w:val="toc 3"/>
    <w:basedOn w:val="Normal"/>
    <w:next w:val="Normal"/>
    <w:autoRedefine/>
    <w:uiPriority w:val="39"/>
    <w:unhideWhenUsed/>
    <w:rsid w:val="00AD2D97"/>
    <w:pPr>
      <w:spacing w:after="100"/>
      <w:ind w:left="440"/>
    </w:pPr>
  </w:style>
  <w:style w:type="character" w:styleId="Hyperlink">
    <w:name w:val="Hyperlink"/>
    <w:basedOn w:val="DefaultParagraphFont"/>
    <w:uiPriority w:val="99"/>
    <w:unhideWhenUsed/>
    <w:rsid w:val="0086691B"/>
    <w:rPr>
      <w:b/>
      <w:color w:val="1F497D" w:themeColor="text2"/>
      <w:u w:val="none"/>
    </w:rPr>
  </w:style>
  <w:style w:type="paragraph" w:styleId="BalloonText">
    <w:name w:val="Balloon Text"/>
    <w:basedOn w:val="Normal"/>
    <w:link w:val="BalloonTextChar"/>
    <w:uiPriority w:val="99"/>
    <w:semiHidden/>
    <w:unhideWhenUsed/>
    <w:rsid w:val="003A59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964"/>
    <w:rPr>
      <w:rFonts w:ascii="Tahoma" w:hAnsi="Tahoma" w:cs="Tahoma"/>
      <w:sz w:val="16"/>
      <w:szCs w:val="16"/>
    </w:rPr>
  </w:style>
  <w:style w:type="paragraph" w:styleId="Header">
    <w:name w:val="header"/>
    <w:basedOn w:val="Normal"/>
    <w:link w:val="HeaderChar"/>
    <w:uiPriority w:val="99"/>
    <w:unhideWhenUsed/>
    <w:rsid w:val="003A5964"/>
    <w:pPr>
      <w:tabs>
        <w:tab w:val="center" w:pos="4513"/>
        <w:tab w:val="right" w:pos="9026"/>
      </w:tabs>
      <w:spacing w:after="0"/>
    </w:pPr>
  </w:style>
  <w:style w:type="character" w:customStyle="1" w:styleId="HeaderChar">
    <w:name w:val="Header Char"/>
    <w:basedOn w:val="DefaultParagraphFont"/>
    <w:link w:val="Header"/>
    <w:uiPriority w:val="99"/>
    <w:rsid w:val="003A5964"/>
  </w:style>
  <w:style w:type="paragraph" w:styleId="Footer">
    <w:name w:val="footer"/>
    <w:basedOn w:val="Normal"/>
    <w:link w:val="FooterChar"/>
    <w:uiPriority w:val="99"/>
    <w:unhideWhenUsed/>
    <w:rsid w:val="003A5964"/>
    <w:pPr>
      <w:tabs>
        <w:tab w:val="center" w:pos="4513"/>
        <w:tab w:val="right" w:pos="9026"/>
      </w:tabs>
      <w:spacing w:after="0"/>
      <w:jc w:val="center"/>
    </w:pPr>
  </w:style>
  <w:style w:type="character" w:customStyle="1" w:styleId="FooterChar">
    <w:name w:val="Footer Char"/>
    <w:basedOn w:val="DefaultParagraphFont"/>
    <w:link w:val="Footer"/>
    <w:uiPriority w:val="99"/>
    <w:rsid w:val="003A5964"/>
  </w:style>
  <w:style w:type="paragraph" w:customStyle="1" w:styleId="OutlineNumbered1">
    <w:name w:val="Outline Numbered 1"/>
    <w:basedOn w:val="Normal"/>
    <w:link w:val="OutlineNumbered1Char"/>
    <w:rsid w:val="00705E03"/>
    <w:pPr>
      <w:numPr>
        <w:numId w:val="8"/>
      </w:numPr>
    </w:pPr>
  </w:style>
  <w:style w:type="character" w:customStyle="1" w:styleId="OutlineNumbered1Char">
    <w:name w:val="Outline Numbered 1 Char"/>
    <w:basedOn w:val="DefaultParagraphFont"/>
    <w:link w:val="OutlineNumbered1"/>
    <w:rsid w:val="00705E03"/>
  </w:style>
  <w:style w:type="paragraph" w:customStyle="1" w:styleId="OutlineNumbered2">
    <w:name w:val="Outline Numbered 2"/>
    <w:basedOn w:val="Normal"/>
    <w:link w:val="OutlineNumbered2Char"/>
    <w:rsid w:val="00495A8E"/>
    <w:pPr>
      <w:numPr>
        <w:ilvl w:val="1"/>
        <w:numId w:val="8"/>
      </w:numPr>
    </w:pPr>
    <w:rPr>
      <w:b/>
      <w:sz w:val="28"/>
    </w:rPr>
  </w:style>
  <w:style w:type="character" w:customStyle="1" w:styleId="OutlineNumbered2Char">
    <w:name w:val="Outline Numbered 2 Char"/>
    <w:basedOn w:val="DefaultParagraphFont"/>
    <w:link w:val="OutlineNumbered2"/>
    <w:rsid w:val="00495A8E"/>
    <w:rPr>
      <w:b/>
      <w:sz w:val="28"/>
    </w:rPr>
  </w:style>
  <w:style w:type="paragraph" w:customStyle="1" w:styleId="OutlineNumbered3">
    <w:name w:val="Outline Numbered 3"/>
    <w:basedOn w:val="Normal"/>
    <w:link w:val="OutlineNumbered3Char"/>
    <w:rsid w:val="00495A8E"/>
    <w:pPr>
      <w:numPr>
        <w:ilvl w:val="2"/>
        <w:numId w:val="8"/>
      </w:numPr>
    </w:pPr>
    <w:rPr>
      <w:b/>
      <w:sz w:val="28"/>
    </w:rPr>
  </w:style>
  <w:style w:type="character" w:customStyle="1" w:styleId="OutlineNumbered3Char">
    <w:name w:val="Outline Numbered 3 Char"/>
    <w:basedOn w:val="DefaultParagraphFont"/>
    <w:link w:val="OutlineNumbered3"/>
    <w:rsid w:val="00495A8E"/>
    <w:rPr>
      <w:b/>
      <w:sz w:val="28"/>
    </w:rPr>
  </w:style>
  <w:style w:type="paragraph" w:customStyle="1" w:styleId="Bullet">
    <w:name w:val="Bullet"/>
    <w:aliases w:val="b,b1,b + line,Body,level 1"/>
    <w:basedOn w:val="Normal"/>
    <w:link w:val="BulletChar"/>
    <w:rsid w:val="003A5964"/>
    <w:pPr>
      <w:spacing w:before="120" w:after="120"/>
    </w:pPr>
    <w:rPr>
      <w:rFonts w:ascii="Calibri" w:eastAsiaTheme="majorEastAsia" w:hAnsi="Calibri" w:cstheme="majorBidi"/>
      <w:color w:val="000000" w:themeColor="text1"/>
      <w:sz w:val="32"/>
      <w:szCs w:val="28"/>
    </w:rPr>
  </w:style>
  <w:style w:type="character" w:customStyle="1" w:styleId="BulletChar">
    <w:name w:val="Bullet Char"/>
    <w:basedOn w:val="Heading1Char"/>
    <w:link w:val="Bullet"/>
    <w:rsid w:val="003A5964"/>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rsid w:val="003A5964"/>
    <w:rPr>
      <w:rFonts w:asciiTheme="majorHAnsi" w:eastAsiaTheme="majorEastAsia" w:hAnsiTheme="majorHAnsi" w:cstheme="majorBidi"/>
      <w:color w:val="365F91" w:themeColor="accent1" w:themeShade="BF"/>
      <w:sz w:val="28"/>
      <w:szCs w:val="28"/>
    </w:rPr>
  </w:style>
  <w:style w:type="character" w:customStyle="1" w:styleId="DashChar">
    <w:name w:val="Dash Char"/>
    <w:basedOn w:val="Heading1Char"/>
    <w:link w:val="Dash"/>
    <w:rsid w:val="003A5964"/>
    <w:rPr>
      <w:rFonts w:asciiTheme="majorHAnsi" w:eastAsiaTheme="majorEastAsia" w:hAnsiTheme="majorHAnsi" w:cstheme="majorBidi"/>
      <w:b w:val="0"/>
      <w:bCs w:val="0"/>
      <w:color w:val="365F91" w:themeColor="accent1" w:themeShade="BF"/>
      <w:sz w:val="28"/>
      <w:szCs w:val="28"/>
    </w:rPr>
  </w:style>
  <w:style w:type="paragraph" w:customStyle="1" w:styleId="DoubleDot">
    <w:name w:val="Double Dot"/>
    <w:basedOn w:val="Normal"/>
    <w:link w:val="DoubleDotChar"/>
    <w:rsid w:val="003A5964"/>
    <w:rPr>
      <w:rFonts w:asciiTheme="majorHAnsi" w:eastAsiaTheme="majorEastAsia" w:hAnsiTheme="majorHAnsi" w:cstheme="majorBidi"/>
      <w:color w:val="365F91" w:themeColor="accent1" w:themeShade="BF"/>
      <w:sz w:val="28"/>
      <w:szCs w:val="28"/>
    </w:rPr>
  </w:style>
  <w:style w:type="character" w:customStyle="1" w:styleId="DoubleDotChar">
    <w:name w:val="Double Dot Char"/>
    <w:basedOn w:val="Heading1Char"/>
    <w:link w:val="DoubleDot"/>
    <w:rsid w:val="003A5964"/>
    <w:rPr>
      <w:rFonts w:asciiTheme="majorHAnsi" w:eastAsiaTheme="majorEastAsia" w:hAnsiTheme="majorHAnsi" w:cstheme="majorBidi"/>
      <w:b w:val="0"/>
      <w:bCs w:val="0"/>
      <w:color w:val="365F91" w:themeColor="accent1" w:themeShade="BF"/>
      <w:sz w:val="28"/>
      <w:szCs w:val="28"/>
    </w:rPr>
  </w:style>
  <w:style w:type="character" w:customStyle="1" w:styleId="Heading4Char">
    <w:name w:val="Heading 4 Char"/>
    <w:basedOn w:val="DefaultParagraphFont"/>
    <w:link w:val="Heading4"/>
    <w:uiPriority w:val="9"/>
    <w:semiHidden/>
    <w:rsid w:val="00756B6F"/>
    <w:rPr>
      <w:rFonts w:asciiTheme="majorHAnsi" w:eastAsiaTheme="majorEastAsia" w:hAnsiTheme="majorHAnsi" w:cstheme="majorBidi"/>
      <w:b/>
      <w:bCs/>
      <w:i/>
      <w:iCs/>
      <w:color w:val="4F81BD" w:themeColor="accent1"/>
    </w:rPr>
  </w:style>
  <w:style w:type="paragraph" w:customStyle="1" w:styleId="OutlineNumbered5">
    <w:name w:val="Outline Numbered 5"/>
    <w:basedOn w:val="Normal"/>
    <w:uiPriority w:val="99"/>
    <w:rsid w:val="00756B6F"/>
    <w:pPr>
      <w:tabs>
        <w:tab w:val="num" w:pos="2835"/>
      </w:tabs>
      <w:spacing w:before="120"/>
      <w:ind w:left="2835" w:hanging="567"/>
    </w:pPr>
    <w:rPr>
      <w:rFonts w:ascii="Book Antiqua" w:eastAsia="Times New Roman" w:hAnsi="Book Antiqua" w:cs="Times New Roman"/>
      <w:color w:val="000000"/>
      <w:sz w:val="24"/>
      <w:szCs w:val="20"/>
      <w:lang w:eastAsia="en-AU"/>
    </w:rPr>
  </w:style>
  <w:style w:type="paragraph" w:customStyle="1" w:styleId="boxNumbering">
    <w:name w:val="boxNumbering"/>
    <w:basedOn w:val="Normal"/>
    <w:qFormat/>
    <w:rsid w:val="00756B6F"/>
    <w:pPr>
      <w:numPr>
        <w:numId w:val="1"/>
      </w:numPr>
      <w:spacing w:before="120" w:after="120"/>
    </w:pPr>
    <w:rPr>
      <w:rFonts w:ascii="Cambria" w:eastAsia="Times New Roman" w:hAnsi="Cambria" w:cs="Times New Roman"/>
      <w:color w:val="000000"/>
      <w:sz w:val="24"/>
      <w:szCs w:val="20"/>
      <w:lang w:eastAsia="en-AU"/>
    </w:rPr>
  </w:style>
  <w:style w:type="paragraph" w:customStyle="1" w:styleId="BoxHeadingSub">
    <w:name w:val="Box Heading Sub"/>
    <w:basedOn w:val="Normal"/>
    <w:qFormat/>
    <w:rsid w:val="002C5F42"/>
    <w:pPr>
      <w:keepNext/>
      <w:tabs>
        <w:tab w:val="left" w:pos="454"/>
      </w:tabs>
      <w:spacing w:before="120" w:after="120" w:line="240" w:lineRule="auto"/>
    </w:pPr>
    <w:rPr>
      <w:rFonts w:ascii="Arial" w:eastAsia="Times New Roman" w:hAnsi="Arial" w:cs="Times New Roman"/>
      <w:b/>
      <w:color w:val="808080" w:themeColor="background1" w:themeShade="80"/>
      <w:sz w:val="24"/>
      <w:szCs w:val="20"/>
      <w:lang w:eastAsia="en-AU"/>
    </w:rPr>
  </w:style>
  <w:style w:type="table" w:styleId="TableGrid">
    <w:name w:val="Table Grid"/>
    <w:basedOn w:val="TableNormal"/>
    <w:uiPriority w:val="59"/>
    <w:rsid w:val="006C3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7436B"/>
    <w:pPr>
      <w:tabs>
        <w:tab w:val="left" w:pos="357"/>
      </w:tabs>
      <w:spacing w:after="20" w:line="240" w:lineRule="auto"/>
      <w:ind w:left="357" w:hanging="357"/>
    </w:pPr>
    <w:rPr>
      <w:sz w:val="18"/>
      <w:szCs w:val="20"/>
    </w:rPr>
  </w:style>
  <w:style w:type="character" w:customStyle="1" w:styleId="FootnoteTextChar">
    <w:name w:val="Footnote Text Char"/>
    <w:basedOn w:val="DefaultParagraphFont"/>
    <w:link w:val="FootnoteText"/>
    <w:uiPriority w:val="99"/>
    <w:rsid w:val="00D7436B"/>
    <w:rPr>
      <w:sz w:val="18"/>
      <w:szCs w:val="20"/>
    </w:rPr>
  </w:style>
  <w:style w:type="character" w:styleId="FootnoteReference">
    <w:name w:val="footnote reference"/>
    <w:basedOn w:val="DefaultParagraphFont"/>
    <w:uiPriority w:val="99"/>
    <w:semiHidden/>
    <w:unhideWhenUsed/>
    <w:rsid w:val="00627150"/>
    <w:rPr>
      <w:vertAlign w:val="superscript"/>
    </w:rPr>
  </w:style>
  <w:style w:type="character" w:styleId="Strong">
    <w:name w:val="Strong"/>
    <w:basedOn w:val="DefaultParagraphFont"/>
    <w:uiPriority w:val="22"/>
    <w:qFormat/>
    <w:rsid w:val="00B33A3D"/>
    <w:rPr>
      <w:b/>
      <w:bCs/>
      <w:i w:val="0"/>
      <w:iCs w:val="0"/>
    </w:rPr>
  </w:style>
  <w:style w:type="character" w:customStyle="1" w:styleId="highlight1">
    <w:name w:val="highlight1"/>
    <w:basedOn w:val="DefaultParagraphFont"/>
    <w:rsid w:val="00B33A3D"/>
    <w:rPr>
      <w:color w:val="FFFFFF"/>
      <w:shd w:val="clear" w:color="auto" w:fill="336699"/>
    </w:rPr>
  </w:style>
  <w:style w:type="character" w:styleId="CommentReference">
    <w:name w:val="annotation reference"/>
    <w:basedOn w:val="DefaultParagraphFont"/>
    <w:uiPriority w:val="99"/>
    <w:semiHidden/>
    <w:unhideWhenUsed/>
    <w:rsid w:val="009B4A39"/>
    <w:rPr>
      <w:sz w:val="16"/>
      <w:szCs w:val="16"/>
    </w:rPr>
  </w:style>
  <w:style w:type="paragraph" w:styleId="CommentText">
    <w:name w:val="annotation text"/>
    <w:basedOn w:val="Normal"/>
    <w:link w:val="CommentTextChar"/>
    <w:uiPriority w:val="99"/>
    <w:semiHidden/>
    <w:unhideWhenUsed/>
    <w:rsid w:val="009B4A39"/>
    <w:rPr>
      <w:sz w:val="20"/>
      <w:szCs w:val="20"/>
    </w:rPr>
  </w:style>
  <w:style w:type="character" w:customStyle="1" w:styleId="CommentTextChar">
    <w:name w:val="Comment Text Char"/>
    <w:basedOn w:val="DefaultParagraphFont"/>
    <w:link w:val="CommentText"/>
    <w:uiPriority w:val="99"/>
    <w:semiHidden/>
    <w:rsid w:val="009B4A39"/>
    <w:rPr>
      <w:sz w:val="20"/>
      <w:szCs w:val="20"/>
    </w:rPr>
  </w:style>
  <w:style w:type="paragraph" w:styleId="CommentSubject">
    <w:name w:val="annotation subject"/>
    <w:basedOn w:val="CommentText"/>
    <w:next w:val="CommentText"/>
    <w:link w:val="CommentSubjectChar"/>
    <w:uiPriority w:val="99"/>
    <w:semiHidden/>
    <w:unhideWhenUsed/>
    <w:rsid w:val="009B4A39"/>
    <w:rPr>
      <w:b/>
      <w:bCs/>
    </w:rPr>
  </w:style>
  <w:style w:type="character" w:customStyle="1" w:styleId="CommentSubjectChar">
    <w:name w:val="Comment Subject Char"/>
    <w:basedOn w:val="CommentTextChar"/>
    <w:link w:val="CommentSubject"/>
    <w:uiPriority w:val="99"/>
    <w:semiHidden/>
    <w:rsid w:val="009B4A39"/>
    <w:rPr>
      <w:b/>
      <w:bCs/>
      <w:sz w:val="20"/>
      <w:szCs w:val="20"/>
    </w:rPr>
  </w:style>
  <w:style w:type="paragraph" w:styleId="ListParagraph">
    <w:name w:val="List Paragraph"/>
    <w:basedOn w:val="Normal"/>
    <w:uiPriority w:val="34"/>
    <w:qFormat/>
    <w:rsid w:val="00675932"/>
    <w:pPr>
      <w:ind w:left="720"/>
      <w:contextualSpacing/>
    </w:pPr>
  </w:style>
  <w:style w:type="paragraph" w:customStyle="1" w:styleId="Heading1Numbered">
    <w:name w:val="Heading 1 Numbered"/>
    <w:basedOn w:val="Heading1"/>
    <w:next w:val="Normal"/>
    <w:rsid w:val="00F820CB"/>
    <w:pPr>
      <w:keepLines w:val="0"/>
      <w:numPr>
        <w:numId w:val="7"/>
      </w:numPr>
      <w:pBdr>
        <w:bottom w:val="single" w:sz="12" w:space="11" w:color="004A7F"/>
      </w:pBdr>
      <w:tabs>
        <w:tab w:val="num" w:pos="360"/>
        <w:tab w:val="left" w:pos="567"/>
      </w:tabs>
      <w:spacing w:before="0" w:after="480"/>
      <w:ind w:left="567" w:hanging="567"/>
    </w:pPr>
    <w:rPr>
      <w:rFonts w:eastAsia="Times New Roman" w:cs="Arial"/>
      <w:bCs w:val="0"/>
      <w:caps/>
      <w:color w:val="004A7F"/>
      <w:kern w:val="32"/>
      <w:sz w:val="44"/>
      <w:szCs w:val="36"/>
      <w:lang w:eastAsia="en-AU"/>
    </w:rPr>
  </w:style>
  <w:style w:type="paragraph" w:customStyle="1" w:styleId="Heading2Numbered">
    <w:name w:val="Heading 2 Numbered"/>
    <w:basedOn w:val="Heading2"/>
    <w:next w:val="Normal"/>
    <w:rsid w:val="00F820CB"/>
    <w:pPr>
      <w:keepLines w:val="0"/>
      <w:numPr>
        <w:ilvl w:val="1"/>
        <w:numId w:val="7"/>
      </w:numPr>
      <w:spacing w:before="120" w:after="240"/>
      <w:ind w:left="284" w:hanging="284"/>
    </w:pPr>
    <w:rPr>
      <w:rFonts w:eastAsia="Times New Roman" w:cs="Arial"/>
      <w:bCs w:val="0"/>
      <w:iCs/>
      <w:caps/>
      <w:color w:val="595959" w:themeColor="text1" w:themeTint="A6"/>
      <w:kern w:val="32"/>
      <w:sz w:val="36"/>
      <w:szCs w:val="28"/>
      <w:lang w:eastAsia="en-AU"/>
    </w:rPr>
  </w:style>
  <w:style w:type="paragraph" w:customStyle="1" w:styleId="Heading3Numbered">
    <w:name w:val="Heading 3 Numbered"/>
    <w:basedOn w:val="Heading3"/>
    <w:qFormat/>
    <w:rsid w:val="00F820CB"/>
    <w:pPr>
      <w:keepLines w:val="0"/>
      <w:numPr>
        <w:ilvl w:val="2"/>
        <w:numId w:val="7"/>
      </w:numPr>
      <w:tabs>
        <w:tab w:val="num" w:pos="360"/>
      </w:tabs>
      <w:spacing w:after="240"/>
      <w:ind w:left="284" w:hanging="284"/>
    </w:pPr>
    <w:rPr>
      <w:rFonts w:eastAsia="Times New Roman" w:cs="Arial"/>
      <w:bCs w:val="0"/>
      <w:color w:val="004A7F"/>
      <w:kern w:val="32"/>
      <w:sz w:val="28"/>
      <w:szCs w:val="26"/>
      <w:lang w:eastAsia="en-AU"/>
    </w:rPr>
  </w:style>
  <w:style w:type="paragraph" w:customStyle="1" w:styleId="BoxText">
    <w:name w:val="Box Text"/>
    <w:basedOn w:val="Normal"/>
    <w:link w:val="BoxTextChar"/>
    <w:rsid w:val="00705E03"/>
    <w:pPr>
      <w:spacing w:before="120" w:after="120"/>
    </w:pPr>
    <w:rPr>
      <w:rFonts w:ascii="Arial" w:eastAsia="Times New Roman" w:hAnsi="Arial" w:cs="Arial"/>
      <w:color w:val="000000"/>
      <w:sz w:val="20"/>
      <w:szCs w:val="20"/>
      <w:lang w:eastAsia="en-AU"/>
    </w:rPr>
  </w:style>
  <w:style w:type="character" w:customStyle="1" w:styleId="BoxTextChar">
    <w:name w:val="Box Text Char"/>
    <w:basedOn w:val="DefaultParagraphFont"/>
    <w:link w:val="BoxText"/>
    <w:rsid w:val="00705E03"/>
    <w:rPr>
      <w:rFonts w:ascii="Arial" w:eastAsia="Times New Roman" w:hAnsi="Arial" w:cs="Arial"/>
      <w:color w:val="000000"/>
      <w:sz w:val="20"/>
      <w:szCs w:val="20"/>
      <w:lang w:eastAsia="en-AU"/>
    </w:rPr>
  </w:style>
  <w:style w:type="paragraph" w:customStyle="1" w:styleId="BoxHeading">
    <w:name w:val="Box Heading"/>
    <w:basedOn w:val="Normal"/>
    <w:next w:val="BoxText"/>
    <w:rsid w:val="002C5F42"/>
    <w:pPr>
      <w:widowControl w:val="0"/>
      <w:tabs>
        <w:tab w:val="left" w:pos="992"/>
      </w:tabs>
      <w:spacing w:before="120" w:after="120" w:line="240" w:lineRule="auto"/>
      <w:ind w:left="992" w:hanging="992"/>
      <w:jc w:val="left"/>
    </w:pPr>
    <w:rPr>
      <w:rFonts w:ascii="Arial Bold" w:eastAsiaTheme="majorEastAsia" w:hAnsi="Arial Bold" w:cs="Times New Roman"/>
      <w:b/>
      <w:caps/>
      <w:color w:val="1F497D" w:themeColor="text2"/>
      <w:sz w:val="24"/>
      <w:lang w:eastAsia="en-AU"/>
    </w:rPr>
  </w:style>
  <w:style w:type="paragraph" w:customStyle="1" w:styleId="TableColumnHeadingLeft">
    <w:name w:val="Table Column Heading Left"/>
    <w:basedOn w:val="Normal"/>
    <w:rsid w:val="0086691B"/>
    <w:pPr>
      <w:spacing w:before="80" w:after="80"/>
    </w:pPr>
    <w:rPr>
      <w:rFonts w:ascii="Arial" w:eastAsia="Times New Roman" w:hAnsi="Arial" w:cs="Times New Roman"/>
      <w:b/>
      <w:color w:val="004A7F"/>
      <w:sz w:val="21"/>
      <w:szCs w:val="20"/>
      <w:lang w:eastAsia="en-AU"/>
    </w:rPr>
  </w:style>
  <w:style w:type="paragraph" w:customStyle="1" w:styleId="TableTextLeft-Bullet">
    <w:name w:val="Table Text Left - Bullet"/>
    <w:basedOn w:val="Normal"/>
    <w:rsid w:val="0086691B"/>
    <w:pPr>
      <w:numPr>
        <w:numId w:val="9"/>
      </w:numPr>
      <w:tabs>
        <w:tab w:val="left" w:pos="425"/>
      </w:tabs>
      <w:spacing w:before="60" w:after="60" w:line="240" w:lineRule="exact"/>
      <w:ind w:left="425" w:hanging="425"/>
      <w:jc w:val="left"/>
    </w:pPr>
    <w:rPr>
      <w:rFonts w:ascii="Arial" w:eastAsia="Times New Roman" w:hAnsi="Arial" w:cs="Times New Roman"/>
      <w:color w:val="000000"/>
      <w:sz w:val="18"/>
      <w:szCs w:val="20"/>
      <w:lang w:eastAsia="en-AU"/>
    </w:rPr>
  </w:style>
  <w:style w:type="numbering" w:customStyle="1" w:styleId="BulletedList">
    <w:name w:val="Bulleted List"/>
    <w:uiPriority w:val="99"/>
    <w:rsid w:val="004B08A6"/>
    <w:pPr>
      <w:numPr>
        <w:numId w:val="10"/>
      </w:numPr>
    </w:pPr>
  </w:style>
  <w:style w:type="paragraph" w:styleId="Revision">
    <w:name w:val="Revision"/>
    <w:hidden/>
    <w:uiPriority w:val="99"/>
    <w:semiHidden/>
    <w:rsid w:val="000D73FD"/>
    <w:pPr>
      <w:spacing w:after="0" w:line="240" w:lineRule="auto"/>
    </w:pPr>
  </w:style>
  <w:style w:type="paragraph" w:styleId="EnvelopeAddress">
    <w:name w:val="envelope address"/>
    <w:basedOn w:val="Normal"/>
    <w:uiPriority w:val="99"/>
    <w:semiHidden/>
    <w:unhideWhenUsed/>
    <w:rsid w:val="003A5964"/>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0B6529"/>
    <w:pPr>
      <w:pBdr>
        <w:bottom w:val="single" w:sz="8" w:space="4" w:color="1F497D" w:themeColor="text2"/>
      </w:pBdr>
      <w:spacing w:after="1440" w:line="240" w:lineRule="auto"/>
      <w:contextualSpacing/>
      <w:jc w:val="left"/>
    </w:pPr>
    <w:rPr>
      <w:rFonts w:ascii="Arial" w:eastAsiaTheme="majorEastAsia" w:hAnsi="Arial" w:cstheme="majorBidi"/>
      <w:color w:val="1F497D" w:themeColor="text2"/>
      <w:spacing w:val="5"/>
      <w:kern w:val="28"/>
      <w:sz w:val="52"/>
      <w:szCs w:val="52"/>
    </w:rPr>
  </w:style>
  <w:style w:type="character" w:customStyle="1" w:styleId="TitleChar">
    <w:name w:val="Title Char"/>
    <w:basedOn w:val="DefaultParagraphFont"/>
    <w:link w:val="Title"/>
    <w:uiPriority w:val="10"/>
    <w:rsid w:val="000B6529"/>
    <w:rPr>
      <w:rFonts w:ascii="Arial" w:eastAsiaTheme="majorEastAsia" w:hAnsi="Arial" w:cstheme="majorBidi"/>
      <w:color w:val="1F497D" w:themeColor="text2"/>
      <w:spacing w:val="5"/>
      <w:kern w:val="28"/>
      <w:sz w:val="52"/>
      <w:szCs w:val="52"/>
    </w:rPr>
  </w:style>
  <w:style w:type="paragraph" w:customStyle="1" w:styleId="Singleparagraph">
    <w:name w:val="Single paragraph"/>
    <w:basedOn w:val="Normal"/>
    <w:qFormat/>
    <w:rsid w:val="003A5964"/>
    <w:pPr>
      <w:spacing w:after="0"/>
    </w:pPr>
  </w:style>
  <w:style w:type="paragraph" w:styleId="Quote">
    <w:name w:val="Quote"/>
    <w:basedOn w:val="Normal"/>
    <w:next w:val="Normal"/>
    <w:link w:val="QuoteChar"/>
    <w:uiPriority w:val="29"/>
    <w:qFormat/>
    <w:rsid w:val="00D7436B"/>
    <w:pPr>
      <w:ind w:left="1134" w:right="567"/>
    </w:pPr>
    <w:rPr>
      <w:i/>
      <w:iCs/>
      <w:color w:val="000000" w:themeColor="text1"/>
    </w:rPr>
  </w:style>
  <w:style w:type="character" w:customStyle="1" w:styleId="QuoteChar">
    <w:name w:val="Quote Char"/>
    <w:basedOn w:val="DefaultParagraphFont"/>
    <w:link w:val="Quote"/>
    <w:uiPriority w:val="29"/>
    <w:rsid w:val="00D7436B"/>
    <w:rPr>
      <w:i/>
      <w:iCs/>
      <w:color w:val="000000" w:themeColor="text1"/>
    </w:rPr>
  </w:style>
  <w:style w:type="paragraph" w:customStyle="1" w:styleId="Heading1numbered0">
    <w:name w:val="Heading 1 numbered"/>
    <w:basedOn w:val="Heading1"/>
    <w:uiPriority w:val="2"/>
    <w:qFormat/>
    <w:rsid w:val="003A5964"/>
    <w:pPr>
      <w:numPr>
        <w:numId w:val="16"/>
      </w:numPr>
      <w:tabs>
        <w:tab w:val="left" w:pos="567"/>
      </w:tabs>
      <w:ind w:left="0" w:firstLine="0"/>
    </w:pPr>
  </w:style>
  <w:style w:type="paragraph" w:styleId="Subtitle">
    <w:name w:val="Subtitle"/>
    <w:basedOn w:val="Normal"/>
    <w:next w:val="Normal"/>
    <w:link w:val="SubtitleChar"/>
    <w:uiPriority w:val="11"/>
    <w:qFormat/>
    <w:rsid w:val="000B6529"/>
    <w:pPr>
      <w:spacing w:after="1440" w:line="240" w:lineRule="auto"/>
    </w:pPr>
    <w:rPr>
      <w:rFonts w:ascii="Arial Bold" w:hAnsi="Arial Bold" w:cs="Arial"/>
      <w:b/>
      <w:caps/>
      <w:color w:val="1F497D" w:themeColor="text2"/>
      <w:spacing w:val="5"/>
      <w:kern w:val="28"/>
      <w:sz w:val="28"/>
    </w:rPr>
  </w:style>
  <w:style w:type="character" w:customStyle="1" w:styleId="SubtitleChar">
    <w:name w:val="Subtitle Char"/>
    <w:basedOn w:val="DefaultParagraphFont"/>
    <w:link w:val="Subtitle"/>
    <w:uiPriority w:val="11"/>
    <w:rsid w:val="000B6529"/>
    <w:rPr>
      <w:rFonts w:ascii="Arial Bold" w:hAnsi="Arial Bold" w:cs="Arial"/>
      <w:b/>
      <w:caps/>
      <w:color w:val="1F497D" w:themeColor="text2"/>
      <w:spacing w:val="5"/>
      <w:kern w:val="28"/>
      <w:sz w:val="28"/>
    </w:rPr>
  </w:style>
  <w:style w:type="paragraph" w:customStyle="1" w:styleId="SubSubtitle">
    <w:name w:val="Sub Subtitle"/>
    <w:basedOn w:val="Normal"/>
    <w:rsid w:val="000B6529"/>
    <w:pPr>
      <w:spacing w:after="120" w:line="240" w:lineRule="auto"/>
    </w:pPr>
    <w:rPr>
      <w:rFonts w:ascii="Arial" w:hAnsi="Arial" w:cs="Arial"/>
      <w:color w:val="1F497D" w:themeColor="text2"/>
      <w:sz w:val="36"/>
    </w:rPr>
  </w:style>
  <w:style w:type="paragraph" w:customStyle="1" w:styleId="Heading1-NoNumber">
    <w:name w:val="Heading 1 - No Number"/>
    <w:basedOn w:val="Heading1Numbered"/>
    <w:rsid w:val="00594197"/>
    <w:pPr>
      <w:numPr>
        <w:numId w:val="0"/>
      </w:numPr>
      <w:spacing w:line="240" w:lineRule="auto"/>
      <w:ind w:left="567" w:hanging="567"/>
    </w:pPr>
  </w:style>
  <w:style w:type="paragraph" w:customStyle="1" w:styleId="Heading2-NoNumbered">
    <w:name w:val="Heading 2 - No Numbered"/>
    <w:basedOn w:val="Heading2Numbered"/>
    <w:rsid w:val="00705E03"/>
    <w:pPr>
      <w:numPr>
        <w:ilvl w:val="0"/>
        <w:numId w:val="0"/>
      </w:numPr>
      <w:spacing w:before="240" w:line="240" w:lineRule="auto"/>
      <w:jc w:val="left"/>
    </w:pPr>
    <w:rPr>
      <w:sz w:val="32"/>
    </w:rPr>
  </w:style>
  <w:style w:type="paragraph" w:customStyle="1" w:styleId="Heading3-NoNumbered">
    <w:name w:val="Heading 3 - No Numbered"/>
    <w:basedOn w:val="Heading3Numbered"/>
    <w:rsid w:val="00594197"/>
    <w:pPr>
      <w:numPr>
        <w:ilvl w:val="0"/>
        <w:numId w:val="0"/>
      </w:numPr>
    </w:pPr>
    <w:rPr>
      <w:rFonts w:eastAsiaTheme="majorEastAsia"/>
      <w:i w:val="0"/>
    </w:rPr>
  </w:style>
  <w:style w:type="paragraph" w:customStyle="1" w:styleId="AlphaParagraph-Indent">
    <w:name w:val="Alpha Paragraph - Indent"/>
    <w:basedOn w:val="ListParagraph"/>
    <w:rsid w:val="00705E03"/>
    <w:pPr>
      <w:numPr>
        <w:numId w:val="17"/>
      </w:numPr>
      <w:contextualSpacing w:val="0"/>
    </w:pPr>
  </w:style>
  <w:style w:type="paragraph" w:customStyle="1" w:styleId="Bullet-Indent">
    <w:name w:val="Bullet - Indent"/>
    <w:basedOn w:val="Bullet"/>
    <w:rsid w:val="00D7436B"/>
    <w:pPr>
      <w:numPr>
        <w:numId w:val="15"/>
      </w:numPr>
      <w:spacing w:before="0" w:after="240"/>
    </w:pPr>
    <w:rPr>
      <w:sz w:val="22"/>
    </w:rPr>
  </w:style>
  <w:style w:type="paragraph" w:customStyle="1" w:styleId="Heading4-NoNumber">
    <w:name w:val="Heading 4 - No Number"/>
    <w:basedOn w:val="Heading4"/>
    <w:rsid w:val="00D7436B"/>
    <w:pPr>
      <w:spacing w:after="180" w:line="240" w:lineRule="auto"/>
    </w:pPr>
    <w:rPr>
      <w:rFonts w:ascii="Calibri" w:hAnsi="Calibri"/>
      <w:i w:val="0"/>
      <w:color w:val="808080" w:themeColor="background1" w:themeShade="80"/>
      <w:sz w:val="26"/>
    </w:rPr>
  </w:style>
  <w:style w:type="paragraph" w:customStyle="1" w:styleId="BoxBullet">
    <w:name w:val="Box Bullet"/>
    <w:basedOn w:val="BoxText"/>
    <w:rsid w:val="002C5F42"/>
    <w:pPr>
      <w:numPr>
        <w:numId w:val="18"/>
      </w:numPr>
      <w:tabs>
        <w:tab w:val="left" w:pos="425"/>
      </w:tabs>
      <w:ind w:left="425" w:hanging="425"/>
    </w:pPr>
  </w:style>
  <w:style w:type="paragraph" w:customStyle="1" w:styleId="Footer-Odd">
    <w:name w:val="Footer - Odd"/>
    <w:basedOn w:val="Footer"/>
    <w:rsid w:val="00050D6E"/>
    <w:pPr>
      <w:spacing w:line="240" w:lineRule="auto"/>
      <w:jc w:val="right"/>
    </w:pPr>
    <w:rPr>
      <w:color w:val="1F497D" w:themeColor="text2"/>
      <w:sz w:val="20"/>
    </w:rPr>
  </w:style>
  <w:style w:type="paragraph" w:customStyle="1" w:styleId="Footer-Even">
    <w:name w:val="Footer - Even"/>
    <w:basedOn w:val="Footer-Odd"/>
    <w:rsid w:val="00050D6E"/>
    <w:pPr>
      <w:jc w:val="left"/>
    </w:pPr>
  </w:style>
  <w:style w:type="paragraph" w:customStyle="1" w:styleId="Header-Even">
    <w:name w:val="Header - Even"/>
    <w:basedOn w:val="Header"/>
    <w:rsid w:val="00D323BD"/>
    <w:pPr>
      <w:spacing w:line="240" w:lineRule="auto"/>
      <w:jc w:val="left"/>
    </w:pPr>
    <w:rPr>
      <w:color w:val="1F497D" w:themeColor="text2"/>
      <w:sz w:val="20"/>
    </w:rPr>
  </w:style>
  <w:style w:type="paragraph" w:customStyle="1" w:styleId="Header-Odd">
    <w:name w:val="Header - Odd"/>
    <w:basedOn w:val="Header-Even"/>
    <w:rsid w:val="00D323BD"/>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97"/>
    <w:pPr>
      <w:spacing w:after="240" w:line="280" w:lineRule="exact"/>
      <w:jc w:val="both"/>
    </w:pPr>
  </w:style>
  <w:style w:type="paragraph" w:styleId="Heading1">
    <w:name w:val="heading 1"/>
    <w:basedOn w:val="Normal"/>
    <w:next w:val="Normal"/>
    <w:link w:val="Heading1Char"/>
    <w:uiPriority w:val="2"/>
    <w:qFormat/>
    <w:rsid w:val="003A5964"/>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basedOn w:val="Normal"/>
    <w:next w:val="Normal"/>
    <w:link w:val="Heading2Char"/>
    <w:uiPriority w:val="2"/>
    <w:qFormat/>
    <w:rsid w:val="003A5964"/>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unhideWhenUsed/>
    <w:qFormat/>
    <w:rsid w:val="003A5964"/>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9"/>
    <w:semiHidden/>
    <w:unhideWhenUsed/>
    <w:qFormat/>
    <w:rsid w:val="00756B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A5964"/>
    <w:rPr>
      <w:rFonts w:ascii="Calibri" w:eastAsiaTheme="majorEastAsia" w:hAnsi="Calibri" w:cstheme="majorBidi"/>
      <w:b/>
      <w:bCs/>
      <w:color w:val="1F497D" w:themeColor="text2"/>
      <w:sz w:val="32"/>
      <w:szCs w:val="28"/>
    </w:rPr>
  </w:style>
  <w:style w:type="character" w:customStyle="1" w:styleId="Heading2Char">
    <w:name w:val="Heading 2 Char"/>
    <w:basedOn w:val="DefaultParagraphFont"/>
    <w:link w:val="Heading2"/>
    <w:uiPriority w:val="2"/>
    <w:rsid w:val="003A5964"/>
    <w:rPr>
      <w:rFonts w:ascii="Calibri" w:eastAsiaTheme="majorEastAsia" w:hAnsi="Calibri" w:cstheme="majorBidi"/>
      <w:b/>
      <w:bCs/>
      <w:color w:val="1F497D" w:themeColor="text2"/>
      <w:sz w:val="26"/>
      <w:szCs w:val="26"/>
    </w:rPr>
  </w:style>
  <w:style w:type="character" w:customStyle="1" w:styleId="Heading3Char">
    <w:name w:val="Heading 3 Char"/>
    <w:basedOn w:val="DefaultParagraphFont"/>
    <w:link w:val="Heading3"/>
    <w:uiPriority w:val="2"/>
    <w:rsid w:val="003A5964"/>
    <w:rPr>
      <w:rFonts w:ascii="Calibri" w:eastAsiaTheme="majorEastAsia" w:hAnsi="Calibri" w:cstheme="majorBidi"/>
      <w:b/>
      <w:bCs/>
      <w:i/>
      <w:color w:val="1F497D" w:themeColor="text2"/>
      <w:sz w:val="24"/>
    </w:rPr>
  </w:style>
  <w:style w:type="paragraph" w:styleId="TOCHeading">
    <w:name w:val="TOC Heading"/>
    <w:basedOn w:val="Heading1"/>
    <w:next w:val="Normal"/>
    <w:uiPriority w:val="39"/>
    <w:unhideWhenUsed/>
    <w:qFormat/>
    <w:rsid w:val="00594197"/>
    <w:pPr>
      <w:keepLines w:val="0"/>
      <w:pBdr>
        <w:bottom w:val="single" w:sz="12" w:space="11" w:color="004A7F"/>
      </w:pBdr>
      <w:tabs>
        <w:tab w:val="left" w:pos="567"/>
      </w:tabs>
      <w:spacing w:before="0" w:after="480" w:line="240" w:lineRule="auto"/>
      <w:ind w:left="567" w:hanging="567"/>
      <w:outlineLvl w:val="9"/>
    </w:pPr>
    <w:rPr>
      <w:rFonts w:eastAsia="Times New Roman" w:cs="Arial"/>
      <w:bCs w:val="0"/>
      <w:caps/>
      <w:color w:val="004A7F"/>
      <w:kern w:val="32"/>
      <w:sz w:val="44"/>
      <w:szCs w:val="36"/>
      <w:lang w:eastAsia="en-AU"/>
    </w:rPr>
  </w:style>
  <w:style w:type="paragraph" w:styleId="TOC1">
    <w:name w:val="toc 1"/>
    <w:basedOn w:val="Normal"/>
    <w:next w:val="Normal"/>
    <w:uiPriority w:val="39"/>
    <w:unhideWhenUsed/>
    <w:rsid w:val="00594197"/>
    <w:pPr>
      <w:tabs>
        <w:tab w:val="right" w:leader="dot" w:pos="9016"/>
      </w:tabs>
      <w:spacing w:before="120" w:after="60" w:line="240" w:lineRule="exact"/>
    </w:pPr>
    <w:rPr>
      <w:b/>
      <w:caps/>
      <w:noProof/>
      <w:color w:val="1F497D" w:themeColor="text2"/>
    </w:rPr>
  </w:style>
  <w:style w:type="paragraph" w:styleId="TOC2">
    <w:name w:val="toc 2"/>
    <w:basedOn w:val="Normal"/>
    <w:next w:val="Normal"/>
    <w:uiPriority w:val="39"/>
    <w:unhideWhenUsed/>
    <w:rsid w:val="000B6529"/>
    <w:pPr>
      <w:tabs>
        <w:tab w:val="right" w:leader="dot" w:pos="9015"/>
      </w:tabs>
      <w:spacing w:before="60" w:after="60"/>
      <w:ind w:left="284" w:right="804"/>
      <w:jc w:val="left"/>
    </w:pPr>
    <w:rPr>
      <w:noProof/>
      <w:color w:val="1F497D" w:themeColor="text2"/>
    </w:rPr>
  </w:style>
  <w:style w:type="paragraph" w:styleId="TOC3">
    <w:name w:val="toc 3"/>
    <w:basedOn w:val="Normal"/>
    <w:next w:val="Normal"/>
    <w:autoRedefine/>
    <w:uiPriority w:val="39"/>
    <w:unhideWhenUsed/>
    <w:rsid w:val="00AD2D97"/>
    <w:pPr>
      <w:spacing w:after="100"/>
      <w:ind w:left="440"/>
    </w:pPr>
  </w:style>
  <w:style w:type="character" w:styleId="Hyperlink">
    <w:name w:val="Hyperlink"/>
    <w:basedOn w:val="DefaultParagraphFont"/>
    <w:uiPriority w:val="99"/>
    <w:unhideWhenUsed/>
    <w:rsid w:val="0086691B"/>
    <w:rPr>
      <w:b/>
      <w:color w:val="1F497D" w:themeColor="text2"/>
      <w:u w:val="none"/>
    </w:rPr>
  </w:style>
  <w:style w:type="paragraph" w:styleId="BalloonText">
    <w:name w:val="Balloon Text"/>
    <w:basedOn w:val="Normal"/>
    <w:link w:val="BalloonTextChar"/>
    <w:uiPriority w:val="99"/>
    <w:semiHidden/>
    <w:unhideWhenUsed/>
    <w:rsid w:val="003A59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964"/>
    <w:rPr>
      <w:rFonts w:ascii="Tahoma" w:hAnsi="Tahoma" w:cs="Tahoma"/>
      <w:sz w:val="16"/>
      <w:szCs w:val="16"/>
    </w:rPr>
  </w:style>
  <w:style w:type="paragraph" w:styleId="Header">
    <w:name w:val="header"/>
    <w:basedOn w:val="Normal"/>
    <w:link w:val="HeaderChar"/>
    <w:uiPriority w:val="99"/>
    <w:unhideWhenUsed/>
    <w:rsid w:val="003A5964"/>
    <w:pPr>
      <w:tabs>
        <w:tab w:val="center" w:pos="4513"/>
        <w:tab w:val="right" w:pos="9026"/>
      </w:tabs>
      <w:spacing w:after="0"/>
    </w:pPr>
  </w:style>
  <w:style w:type="character" w:customStyle="1" w:styleId="HeaderChar">
    <w:name w:val="Header Char"/>
    <w:basedOn w:val="DefaultParagraphFont"/>
    <w:link w:val="Header"/>
    <w:uiPriority w:val="99"/>
    <w:rsid w:val="003A5964"/>
  </w:style>
  <w:style w:type="paragraph" w:styleId="Footer">
    <w:name w:val="footer"/>
    <w:basedOn w:val="Normal"/>
    <w:link w:val="FooterChar"/>
    <w:uiPriority w:val="99"/>
    <w:unhideWhenUsed/>
    <w:rsid w:val="003A5964"/>
    <w:pPr>
      <w:tabs>
        <w:tab w:val="center" w:pos="4513"/>
        <w:tab w:val="right" w:pos="9026"/>
      </w:tabs>
      <w:spacing w:after="0"/>
      <w:jc w:val="center"/>
    </w:pPr>
  </w:style>
  <w:style w:type="character" w:customStyle="1" w:styleId="FooterChar">
    <w:name w:val="Footer Char"/>
    <w:basedOn w:val="DefaultParagraphFont"/>
    <w:link w:val="Footer"/>
    <w:uiPriority w:val="99"/>
    <w:rsid w:val="003A5964"/>
  </w:style>
  <w:style w:type="paragraph" w:customStyle="1" w:styleId="OutlineNumbered1">
    <w:name w:val="Outline Numbered 1"/>
    <w:basedOn w:val="Normal"/>
    <w:link w:val="OutlineNumbered1Char"/>
    <w:rsid w:val="00705E03"/>
    <w:pPr>
      <w:numPr>
        <w:numId w:val="8"/>
      </w:numPr>
    </w:pPr>
  </w:style>
  <w:style w:type="character" w:customStyle="1" w:styleId="OutlineNumbered1Char">
    <w:name w:val="Outline Numbered 1 Char"/>
    <w:basedOn w:val="DefaultParagraphFont"/>
    <w:link w:val="OutlineNumbered1"/>
    <w:rsid w:val="00705E03"/>
  </w:style>
  <w:style w:type="paragraph" w:customStyle="1" w:styleId="OutlineNumbered2">
    <w:name w:val="Outline Numbered 2"/>
    <w:basedOn w:val="Normal"/>
    <w:link w:val="OutlineNumbered2Char"/>
    <w:rsid w:val="00495A8E"/>
    <w:pPr>
      <w:numPr>
        <w:ilvl w:val="1"/>
        <w:numId w:val="8"/>
      </w:numPr>
    </w:pPr>
    <w:rPr>
      <w:b/>
      <w:sz w:val="28"/>
    </w:rPr>
  </w:style>
  <w:style w:type="character" w:customStyle="1" w:styleId="OutlineNumbered2Char">
    <w:name w:val="Outline Numbered 2 Char"/>
    <w:basedOn w:val="DefaultParagraphFont"/>
    <w:link w:val="OutlineNumbered2"/>
    <w:rsid w:val="00495A8E"/>
    <w:rPr>
      <w:b/>
      <w:sz w:val="28"/>
    </w:rPr>
  </w:style>
  <w:style w:type="paragraph" w:customStyle="1" w:styleId="OutlineNumbered3">
    <w:name w:val="Outline Numbered 3"/>
    <w:basedOn w:val="Normal"/>
    <w:link w:val="OutlineNumbered3Char"/>
    <w:rsid w:val="00495A8E"/>
    <w:pPr>
      <w:numPr>
        <w:ilvl w:val="2"/>
        <w:numId w:val="8"/>
      </w:numPr>
    </w:pPr>
    <w:rPr>
      <w:b/>
      <w:sz w:val="28"/>
    </w:rPr>
  </w:style>
  <w:style w:type="character" w:customStyle="1" w:styleId="OutlineNumbered3Char">
    <w:name w:val="Outline Numbered 3 Char"/>
    <w:basedOn w:val="DefaultParagraphFont"/>
    <w:link w:val="OutlineNumbered3"/>
    <w:rsid w:val="00495A8E"/>
    <w:rPr>
      <w:b/>
      <w:sz w:val="28"/>
    </w:rPr>
  </w:style>
  <w:style w:type="paragraph" w:customStyle="1" w:styleId="Bullet">
    <w:name w:val="Bullet"/>
    <w:aliases w:val="b,b1,b + line,Body,level 1"/>
    <w:basedOn w:val="Normal"/>
    <w:link w:val="BulletChar"/>
    <w:rsid w:val="003A5964"/>
    <w:pPr>
      <w:spacing w:before="120" w:after="120"/>
    </w:pPr>
    <w:rPr>
      <w:rFonts w:ascii="Calibri" w:eastAsiaTheme="majorEastAsia" w:hAnsi="Calibri" w:cstheme="majorBidi"/>
      <w:color w:val="000000" w:themeColor="text1"/>
      <w:sz w:val="32"/>
      <w:szCs w:val="28"/>
    </w:rPr>
  </w:style>
  <w:style w:type="character" w:customStyle="1" w:styleId="BulletChar">
    <w:name w:val="Bullet Char"/>
    <w:basedOn w:val="Heading1Char"/>
    <w:link w:val="Bullet"/>
    <w:rsid w:val="003A5964"/>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rsid w:val="003A5964"/>
    <w:rPr>
      <w:rFonts w:asciiTheme="majorHAnsi" w:eastAsiaTheme="majorEastAsia" w:hAnsiTheme="majorHAnsi" w:cstheme="majorBidi"/>
      <w:color w:val="365F91" w:themeColor="accent1" w:themeShade="BF"/>
      <w:sz w:val="28"/>
      <w:szCs w:val="28"/>
    </w:rPr>
  </w:style>
  <w:style w:type="character" w:customStyle="1" w:styleId="DashChar">
    <w:name w:val="Dash Char"/>
    <w:basedOn w:val="Heading1Char"/>
    <w:link w:val="Dash"/>
    <w:rsid w:val="003A5964"/>
    <w:rPr>
      <w:rFonts w:asciiTheme="majorHAnsi" w:eastAsiaTheme="majorEastAsia" w:hAnsiTheme="majorHAnsi" w:cstheme="majorBidi"/>
      <w:b w:val="0"/>
      <w:bCs w:val="0"/>
      <w:color w:val="365F91" w:themeColor="accent1" w:themeShade="BF"/>
      <w:sz w:val="28"/>
      <w:szCs w:val="28"/>
    </w:rPr>
  </w:style>
  <w:style w:type="paragraph" w:customStyle="1" w:styleId="DoubleDot">
    <w:name w:val="Double Dot"/>
    <w:basedOn w:val="Normal"/>
    <w:link w:val="DoubleDotChar"/>
    <w:rsid w:val="003A5964"/>
    <w:rPr>
      <w:rFonts w:asciiTheme="majorHAnsi" w:eastAsiaTheme="majorEastAsia" w:hAnsiTheme="majorHAnsi" w:cstheme="majorBidi"/>
      <w:color w:val="365F91" w:themeColor="accent1" w:themeShade="BF"/>
      <w:sz w:val="28"/>
      <w:szCs w:val="28"/>
    </w:rPr>
  </w:style>
  <w:style w:type="character" w:customStyle="1" w:styleId="DoubleDotChar">
    <w:name w:val="Double Dot Char"/>
    <w:basedOn w:val="Heading1Char"/>
    <w:link w:val="DoubleDot"/>
    <w:rsid w:val="003A5964"/>
    <w:rPr>
      <w:rFonts w:asciiTheme="majorHAnsi" w:eastAsiaTheme="majorEastAsia" w:hAnsiTheme="majorHAnsi" w:cstheme="majorBidi"/>
      <w:b w:val="0"/>
      <w:bCs w:val="0"/>
      <w:color w:val="365F91" w:themeColor="accent1" w:themeShade="BF"/>
      <w:sz w:val="28"/>
      <w:szCs w:val="28"/>
    </w:rPr>
  </w:style>
  <w:style w:type="character" w:customStyle="1" w:styleId="Heading4Char">
    <w:name w:val="Heading 4 Char"/>
    <w:basedOn w:val="DefaultParagraphFont"/>
    <w:link w:val="Heading4"/>
    <w:uiPriority w:val="9"/>
    <w:semiHidden/>
    <w:rsid w:val="00756B6F"/>
    <w:rPr>
      <w:rFonts w:asciiTheme="majorHAnsi" w:eastAsiaTheme="majorEastAsia" w:hAnsiTheme="majorHAnsi" w:cstheme="majorBidi"/>
      <w:b/>
      <w:bCs/>
      <w:i/>
      <w:iCs/>
      <w:color w:val="4F81BD" w:themeColor="accent1"/>
    </w:rPr>
  </w:style>
  <w:style w:type="paragraph" w:customStyle="1" w:styleId="OutlineNumbered5">
    <w:name w:val="Outline Numbered 5"/>
    <w:basedOn w:val="Normal"/>
    <w:uiPriority w:val="99"/>
    <w:rsid w:val="00756B6F"/>
    <w:pPr>
      <w:tabs>
        <w:tab w:val="num" w:pos="2835"/>
      </w:tabs>
      <w:spacing w:before="120"/>
      <w:ind w:left="2835" w:hanging="567"/>
    </w:pPr>
    <w:rPr>
      <w:rFonts w:ascii="Book Antiqua" w:eastAsia="Times New Roman" w:hAnsi="Book Antiqua" w:cs="Times New Roman"/>
      <w:color w:val="000000"/>
      <w:sz w:val="24"/>
      <w:szCs w:val="20"/>
      <w:lang w:eastAsia="en-AU"/>
    </w:rPr>
  </w:style>
  <w:style w:type="paragraph" w:customStyle="1" w:styleId="boxNumbering">
    <w:name w:val="boxNumbering"/>
    <w:basedOn w:val="Normal"/>
    <w:qFormat/>
    <w:rsid w:val="00756B6F"/>
    <w:pPr>
      <w:numPr>
        <w:numId w:val="1"/>
      </w:numPr>
      <w:spacing w:before="120" w:after="120"/>
    </w:pPr>
    <w:rPr>
      <w:rFonts w:ascii="Cambria" w:eastAsia="Times New Roman" w:hAnsi="Cambria" w:cs="Times New Roman"/>
      <w:color w:val="000000"/>
      <w:sz w:val="24"/>
      <w:szCs w:val="20"/>
      <w:lang w:eastAsia="en-AU"/>
    </w:rPr>
  </w:style>
  <w:style w:type="paragraph" w:customStyle="1" w:styleId="BoxHeadingSub">
    <w:name w:val="Box Heading Sub"/>
    <w:basedOn w:val="Normal"/>
    <w:qFormat/>
    <w:rsid w:val="002C5F42"/>
    <w:pPr>
      <w:keepNext/>
      <w:tabs>
        <w:tab w:val="left" w:pos="454"/>
      </w:tabs>
      <w:spacing w:before="120" w:after="120" w:line="240" w:lineRule="auto"/>
    </w:pPr>
    <w:rPr>
      <w:rFonts w:ascii="Arial" w:eastAsia="Times New Roman" w:hAnsi="Arial" w:cs="Times New Roman"/>
      <w:b/>
      <w:color w:val="808080" w:themeColor="background1" w:themeShade="80"/>
      <w:sz w:val="24"/>
      <w:szCs w:val="20"/>
      <w:lang w:eastAsia="en-AU"/>
    </w:rPr>
  </w:style>
  <w:style w:type="table" w:styleId="TableGrid">
    <w:name w:val="Table Grid"/>
    <w:basedOn w:val="TableNormal"/>
    <w:uiPriority w:val="59"/>
    <w:rsid w:val="006C3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7436B"/>
    <w:pPr>
      <w:tabs>
        <w:tab w:val="left" w:pos="357"/>
      </w:tabs>
      <w:spacing w:after="20" w:line="240" w:lineRule="auto"/>
      <w:ind w:left="357" w:hanging="357"/>
    </w:pPr>
    <w:rPr>
      <w:sz w:val="18"/>
      <w:szCs w:val="20"/>
    </w:rPr>
  </w:style>
  <w:style w:type="character" w:customStyle="1" w:styleId="FootnoteTextChar">
    <w:name w:val="Footnote Text Char"/>
    <w:basedOn w:val="DefaultParagraphFont"/>
    <w:link w:val="FootnoteText"/>
    <w:uiPriority w:val="99"/>
    <w:rsid w:val="00D7436B"/>
    <w:rPr>
      <w:sz w:val="18"/>
      <w:szCs w:val="20"/>
    </w:rPr>
  </w:style>
  <w:style w:type="character" w:styleId="FootnoteReference">
    <w:name w:val="footnote reference"/>
    <w:basedOn w:val="DefaultParagraphFont"/>
    <w:uiPriority w:val="99"/>
    <w:semiHidden/>
    <w:unhideWhenUsed/>
    <w:rsid w:val="00627150"/>
    <w:rPr>
      <w:vertAlign w:val="superscript"/>
    </w:rPr>
  </w:style>
  <w:style w:type="character" w:styleId="Strong">
    <w:name w:val="Strong"/>
    <w:basedOn w:val="DefaultParagraphFont"/>
    <w:uiPriority w:val="22"/>
    <w:qFormat/>
    <w:rsid w:val="00B33A3D"/>
    <w:rPr>
      <w:b/>
      <w:bCs/>
      <w:i w:val="0"/>
      <w:iCs w:val="0"/>
    </w:rPr>
  </w:style>
  <w:style w:type="character" w:customStyle="1" w:styleId="highlight1">
    <w:name w:val="highlight1"/>
    <w:basedOn w:val="DefaultParagraphFont"/>
    <w:rsid w:val="00B33A3D"/>
    <w:rPr>
      <w:color w:val="FFFFFF"/>
      <w:shd w:val="clear" w:color="auto" w:fill="336699"/>
    </w:rPr>
  </w:style>
  <w:style w:type="character" w:styleId="CommentReference">
    <w:name w:val="annotation reference"/>
    <w:basedOn w:val="DefaultParagraphFont"/>
    <w:uiPriority w:val="99"/>
    <w:semiHidden/>
    <w:unhideWhenUsed/>
    <w:rsid w:val="009B4A39"/>
    <w:rPr>
      <w:sz w:val="16"/>
      <w:szCs w:val="16"/>
    </w:rPr>
  </w:style>
  <w:style w:type="paragraph" w:styleId="CommentText">
    <w:name w:val="annotation text"/>
    <w:basedOn w:val="Normal"/>
    <w:link w:val="CommentTextChar"/>
    <w:uiPriority w:val="99"/>
    <w:semiHidden/>
    <w:unhideWhenUsed/>
    <w:rsid w:val="009B4A39"/>
    <w:rPr>
      <w:sz w:val="20"/>
      <w:szCs w:val="20"/>
    </w:rPr>
  </w:style>
  <w:style w:type="character" w:customStyle="1" w:styleId="CommentTextChar">
    <w:name w:val="Comment Text Char"/>
    <w:basedOn w:val="DefaultParagraphFont"/>
    <w:link w:val="CommentText"/>
    <w:uiPriority w:val="99"/>
    <w:semiHidden/>
    <w:rsid w:val="009B4A39"/>
    <w:rPr>
      <w:sz w:val="20"/>
      <w:szCs w:val="20"/>
    </w:rPr>
  </w:style>
  <w:style w:type="paragraph" w:styleId="CommentSubject">
    <w:name w:val="annotation subject"/>
    <w:basedOn w:val="CommentText"/>
    <w:next w:val="CommentText"/>
    <w:link w:val="CommentSubjectChar"/>
    <w:uiPriority w:val="99"/>
    <w:semiHidden/>
    <w:unhideWhenUsed/>
    <w:rsid w:val="009B4A39"/>
    <w:rPr>
      <w:b/>
      <w:bCs/>
    </w:rPr>
  </w:style>
  <w:style w:type="character" w:customStyle="1" w:styleId="CommentSubjectChar">
    <w:name w:val="Comment Subject Char"/>
    <w:basedOn w:val="CommentTextChar"/>
    <w:link w:val="CommentSubject"/>
    <w:uiPriority w:val="99"/>
    <w:semiHidden/>
    <w:rsid w:val="009B4A39"/>
    <w:rPr>
      <w:b/>
      <w:bCs/>
      <w:sz w:val="20"/>
      <w:szCs w:val="20"/>
    </w:rPr>
  </w:style>
  <w:style w:type="paragraph" w:styleId="ListParagraph">
    <w:name w:val="List Paragraph"/>
    <w:basedOn w:val="Normal"/>
    <w:uiPriority w:val="34"/>
    <w:qFormat/>
    <w:rsid w:val="00675932"/>
    <w:pPr>
      <w:ind w:left="720"/>
      <w:contextualSpacing/>
    </w:pPr>
  </w:style>
  <w:style w:type="paragraph" w:customStyle="1" w:styleId="Heading1Numbered">
    <w:name w:val="Heading 1 Numbered"/>
    <w:basedOn w:val="Heading1"/>
    <w:next w:val="Normal"/>
    <w:rsid w:val="00F820CB"/>
    <w:pPr>
      <w:keepLines w:val="0"/>
      <w:numPr>
        <w:numId w:val="7"/>
      </w:numPr>
      <w:pBdr>
        <w:bottom w:val="single" w:sz="12" w:space="11" w:color="004A7F"/>
      </w:pBdr>
      <w:tabs>
        <w:tab w:val="num" w:pos="360"/>
        <w:tab w:val="left" w:pos="567"/>
      </w:tabs>
      <w:spacing w:before="0" w:after="480"/>
      <w:ind w:left="567" w:hanging="567"/>
    </w:pPr>
    <w:rPr>
      <w:rFonts w:eastAsia="Times New Roman" w:cs="Arial"/>
      <w:bCs w:val="0"/>
      <w:caps/>
      <w:color w:val="004A7F"/>
      <w:kern w:val="32"/>
      <w:sz w:val="44"/>
      <w:szCs w:val="36"/>
      <w:lang w:eastAsia="en-AU"/>
    </w:rPr>
  </w:style>
  <w:style w:type="paragraph" w:customStyle="1" w:styleId="Heading2Numbered">
    <w:name w:val="Heading 2 Numbered"/>
    <w:basedOn w:val="Heading2"/>
    <w:next w:val="Normal"/>
    <w:rsid w:val="00F820CB"/>
    <w:pPr>
      <w:keepLines w:val="0"/>
      <w:numPr>
        <w:ilvl w:val="1"/>
        <w:numId w:val="7"/>
      </w:numPr>
      <w:spacing w:before="120" w:after="240"/>
      <w:ind w:left="284" w:hanging="284"/>
    </w:pPr>
    <w:rPr>
      <w:rFonts w:eastAsia="Times New Roman" w:cs="Arial"/>
      <w:bCs w:val="0"/>
      <w:iCs/>
      <w:caps/>
      <w:color w:val="595959" w:themeColor="text1" w:themeTint="A6"/>
      <w:kern w:val="32"/>
      <w:sz w:val="36"/>
      <w:szCs w:val="28"/>
      <w:lang w:eastAsia="en-AU"/>
    </w:rPr>
  </w:style>
  <w:style w:type="paragraph" w:customStyle="1" w:styleId="Heading3Numbered">
    <w:name w:val="Heading 3 Numbered"/>
    <w:basedOn w:val="Heading3"/>
    <w:qFormat/>
    <w:rsid w:val="00F820CB"/>
    <w:pPr>
      <w:keepLines w:val="0"/>
      <w:numPr>
        <w:ilvl w:val="2"/>
        <w:numId w:val="7"/>
      </w:numPr>
      <w:tabs>
        <w:tab w:val="num" w:pos="360"/>
      </w:tabs>
      <w:spacing w:after="240"/>
      <w:ind w:left="284" w:hanging="284"/>
    </w:pPr>
    <w:rPr>
      <w:rFonts w:eastAsia="Times New Roman" w:cs="Arial"/>
      <w:bCs w:val="0"/>
      <w:color w:val="004A7F"/>
      <w:kern w:val="32"/>
      <w:sz w:val="28"/>
      <w:szCs w:val="26"/>
      <w:lang w:eastAsia="en-AU"/>
    </w:rPr>
  </w:style>
  <w:style w:type="paragraph" w:customStyle="1" w:styleId="BoxText">
    <w:name w:val="Box Text"/>
    <w:basedOn w:val="Normal"/>
    <w:link w:val="BoxTextChar"/>
    <w:rsid w:val="00705E03"/>
    <w:pPr>
      <w:spacing w:before="120" w:after="120"/>
    </w:pPr>
    <w:rPr>
      <w:rFonts w:ascii="Arial" w:eastAsia="Times New Roman" w:hAnsi="Arial" w:cs="Arial"/>
      <w:color w:val="000000"/>
      <w:sz w:val="20"/>
      <w:szCs w:val="20"/>
      <w:lang w:eastAsia="en-AU"/>
    </w:rPr>
  </w:style>
  <w:style w:type="character" w:customStyle="1" w:styleId="BoxTextChar">
    <w:name w:val="Box Text Char"/>
    <w:basedOn w:val="DefaultParagraphFont"/>
    <w:link w:val="BoxText"/>
    <w:rsid w:val="00705E03"/>
    <w:rPr>
      <w:rFonts w:ascii="Arial" w:eastAsia="Times New Roman" w:hAnsi="Arial" w:cs="Arial"/>
      <w:color w:val="000000"/>
      <w:sz w:val="20"/>
      <w:szCs w:val="20"/>
      <w:lang w:eastAsia="en-AU"/>
    </w:rPr>
  </w:style>
  <w:style w:type="paragraph" w:customStyle="1" w:styleId="BoxHeading">
    <w:name w:val="Box Heading"/>
    <w:basedOn w:val="Normal"/>
    <w:next w:val="BoxText"/>
    <w:rsid w:val="002C5F42"/>
    <w:pPr>
      <w:widowControl w:val="0"/>
      <w:tabs>
        <w:tab w:val="left" w:pos="992"/>
      </w:tabs>
      <w:spacing w:before="120" w:after="120" w:line="240" w:lineRule="auto"/>
      <w:ind w:left="992" w:hanging="992"/>
      <w:jc w:val="left"/>
    </w:pPr>
    <w:rPr>
      <w:rFonts w:ascii="Arial Bold" w:eastAsiaTheme="majorEastAsia" w:hAnsi="Arial Bold" w:cs="Times New Roman"/>
      <w:b/>
      <w:caps/>
      <w:color w:val="1F497D" w:themeColor="text2"/>
      <w:sz w:val="24"/>
      <w:lang w:eastAsia="en-AU"/>
    </w:rPr>
  </w:style>
  <w:style w:type="paragraph" w:customStyle="1" w:styleId="TableColumnHeadingLeft">
    <w:name w:val="Table Column Heading Left"/>
    <w:basedOn w:val="Normal"/>
    <w:rsid w:val="0086691B"/>
    <w:pPr>
      <w:spacing w:before="80" w:after="80"/>
    </w:pPr>
    <w:rPr>
      <w:rFonts w:ascii="Arial" w:eastAsia="Times New Roman" w:hAnsi="Arial" w:cs="Times New Roman"/>
      <w:b/>
      <w:color w:val="004A7F"/>
      <w:sz w:val="21"/>
      <w:szCs w:val="20"/>
      <w:lang w:eastAsia="en-AU"/>
    </w:rPr>
  </w:style>
  <w:style w:type="paragraph" w:customStyle="1" w:styleId="TableTextLeft-Bullet">
    <w:name w:val="Table Text Left - Bullet"/>
    <w:basedOn w:val="Normal"/>
    <w:rsid w:val="0086691B"/>
    <w:pPr>
      <w:numPr>
        <w:numId w:val="9"/>
      </w:numPr>
      <w:tabs>
        <w:tab w:val="left" w:pos="425"/>
      </w:tabs>
      <w:spacing w:before="60" w:after="60" w:line="240" w:lineRule="exact"/>
      <w:ind w:left="425" w:hanging="425"/>
      <w:jc w:val="left"/>
    </w:pPr>
    <w:rPr>
      <w:rFonts w:ascii="Arial" w:eastAsia="Times New Roman" w:hAnsi="Arial" w:cs="Times New Roman"/>
      <w:color w:val="000000"/>
      <w:sz w:val="18"/>
      <w:szCs w:val="20"/>
      <w:lang w:eastAsia="en-AU"/>
    </w:rPr>
  </w:style>
  <w:style w:type="numbering" w:customStyle="1" w:styleId="BulletedList">
    <w:name w:val="Bulleted List"/>
    <w:uiPriority w:val="99"/>
    <w:rsid w:val="004B08A6"/>
    <w:pPr>
      <w:numPr>
        <w:numId w:val="10"/>
      </w:numPr>
    </w:pPr>
  </w:style>
  <w:style w:type="paragraph" w:styleId="Revision">
    <w:name w:val="Revision"/>
    <w:hidden/>
    <w:uiPriority w:val="99"/>
    <w:semiHidden/>
    <w:rsid w:val="000D73FD"/>
    <w:pPr>
      <w:spacing w:after="0" w:line="240" w:lineRule="auto"/>
    </w:pPr>
  </w:style>
  <w:style w:type="paragraph" w:styleId="EnvelopeAddress">
    <w:name w:val="envelope address"/>
    <w:basedOn w:val="Normal"/>
    <w:uiPriority w:val="99"/>
    <w:semiHidden/>
    <w:unhideWhenUsed/>
    <w:rsid w:val="003A5964"/>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0B6529"/>
    <w:pPr>
      <w:pBdr>
        <w:bottom w:val="single" w:sz="8" w:space="4" w:color="1F497D" w:themeColor="text2"/>
      </w:pBdr>
      <w:spacing w:after="1440" w:line="240" w:lineRule="auto"/>
      <w:contextualSpacing/>
      <w:jc w:val="left"/>
    </w:pPr>
    <w:rPr>
      <w:rFonts w:ascii="Arial" w:eastAsiaTheme="majorEastAsia" w:hAnsi="Arial" w:cstheme="majorBidi"/>
      <w:color w:val="1F497D" w:themeColor="text2"/>
      <w:spacing w:val="5"/>
      <w:kern w:val="28"/>
      <w:sz w:val="52"/>
      <w:szCs w:val="52"/>
    </w:rPr>
  </w:style>
  <w:style w:type="character" w:customStyle="1" w:styleId="TitleChar">
    <w:name w:val="Title Char"/>
    <w:basedOn w:val="DefaultParagraphFont"/>
    <w:link w:val="Title"/>
    <w:uiPriority w:val="10"/>
    <w:rsid w:val="000B6529"/>
    <w:rPr>
      <w:rFonts w:ascii="Arial" w:eastAsiaTheme="majorEastAsia" w:hAnsi="Arial" w:cstheme="majorBidi"/>
      <w:color w:val="1F497D" w:themeColor="text2"/>
      <w:spacing w:val="5"/>
      <w:kern w:val="28"/>
      <w:sz w:val="52"/>
      <w:szCs w:val="52"/>
    </w:rPr>
  </w:style>
  <w:style w:type="paragraph" w:customStyle="1" w:styleId="Singleparagraph">
    <w:name w:val="Single paragraph"/>
    <w:basedOn w:val="Normal"/>
    <w:qFormat/>
    <w:rsid w:val="003A5964"/>
    <w:pPr>
      <w:spacing w:after="0"/>
    </w:pPr>
  </w:style>
  <w:style w:type="paragraph" w:styleId="Quote">
    <w:name w:val="Quote"/>
    <w:basedOn w:val="Normal"/>
    <w:next w:val="Normal"/>
    <w:link w:val="QuoteChar"/>
    <w:uiPriority w:val="29"/>
    <w:qFormat/>
    <w:rsid w:val="00D7436B"/>
    <w:pPr>
      <w:ind w:left="1134" w:right="567"/>
    </w:pPr>
    <w:rPr>
      <w:i/>
      <w:iCs/>
      <w:color w:val="000000" w:themeColor="text1"/>
    </w:rPr>
  </w:style>
  <w:style w:type="character" w:customStyle="1" w:styleId="QuoteChar">
    <w:name w:val="Quote Char"/>
    <w:basedOn w:val="DefaultParagraphFont"/>
    <w:link w:val="Quote"/>
    <w:uiPriority w:val="29"/>
    <w:rsid w:val="00D7436B"/>
    <w:rPr>
      <w:i/>
      <w:iCs/>
      <w:color w:val="000000" w:themeColor="text1"/>
    </w:rPr>
  </w:style>
  <w:style w:type="paragraph" w:customStyle="1" w:styleId="Heading1numbered0">
    <w:name w:val="Heading 1 numbered"/>
    <w:basedOn w:val="Heading1"/>
    <w:uiPriority w:val="2"/>
    <w:qFormat/>
    <w:rsid w:val="003A5964"/>
    <w:pPr>
      <w:numPr>
        <w:numId w:val="16"/>
      </w:numPr>
      <w:tabs>
        <w:tab w:val="left" w:pos="567"/>
      </w:tabs>
      <w:ind w:left="0" w:firstLine="0"/>
    </w:pPr>
  </w:style>
  <w:style w:type="paragraph" w:styleId="Subtitle">
    <w:name w:val="Subtitle"/>
    <w:basedOn w:val="Normal"/>
    <w:next w:val="Normal"/>
    <w:link w:val="SubtitleChar"/>
    <w:uiPriority w:val="11"/>
    <w:qFormat/>
    <w:rsid w:val="000B6529"/>
    <w:pPr>
      <w:spacing w:after="1440" w:line="240" w:lineRule="auto"/>
    </w:pPr>
    <w:rPr>
      <w:rFonts w:ascii="Arial Bold" w:hAnsi="Arial Bold" w:cs="Arial"/>
      <w:b/>
      <w:caps/>
      <w:color w:val="1F497D" w:themeColor="text2"/>
      <w:spacing w:val="5"/>
      <w:kern w:val="28"/>
      <w:sz w:val="28"/>
    </w:rPr>
  </w:style>
  <w:style w:type="character" w:customStyle="1" w:styleId="SubtitleChar">
    <w:name w:val="Subtitle Char"/>
    <w:basedOn w:val="DefaultParagraphFont"/>
    <w:link w:val="Subtitle"/>
    <w:uiPriority w:val="11"/>
    <w:rsid w:val="000B6529"/>
    <w:rPr>
      <w:rFonts w:ascii="Arial Bold" w:hAnsi="Arial Bold" w:cs="Arial"/>
      <w:b/>
      <w:caps/>
      <w:color w:val="1F497D" w:themeColor="text2"/>
      <w:spacing w:val="5"/>
      <w:kern w:val="28"/>
      <w:sz w:val="28"/>
    </w:rPr>
  </w:style>
  <w:style w:type="paragraph" w:customStyle="1" w:styleId="SubSubtitle">
    <w:name w:val="Sub Subtitle"/>
    <w:basedOn w:val="Normal"/>
    <w:rsid w:val="000B6529"/>
    <w:pPr>
      <w:spacing w:after="120" w:line="240" w:lineRule="auto"/>
    </w:pPr>
    <w:rPr>
      <w:rFonts w:ascii="Arial" w:hAnsi="Arial" w:cs="Arial"/>
      <w:color w:val="1F497D" w:themeColor="text2"/>
      <w:sz w:val="36"/>
    </w:rPr>
  </w:style>
  <w:style w:type="paragraph" w:customStyle="1" w:styleId="Heading1-NoNumber">
    <w:name w:val="Heading 1 - No Number"/>
    <w:basedOn w:val="Heading1Numbered"/>
    <w:rsid w:val="00594197"/>
    <w:pPr>
      <w:numPr>
        <w:numId w:val="0"/>
      </w:numPr>
      <w:spacing w:line="240" w:lineRule="auto"/>
      <w:ind w:left="567" w:hanging="567"/>
    </w:pPr>
  </w:style>
  <w:style w:type="paragraph" w:customStyle="1" w:styleId="Heading2-NoNumbered">
    <w:name w:val="Heading 2 - No Numbered"/>
    <w:basedOn w:val="Heading2Numbered"/>
    <w:rsid w:val="00705E03"/>
    <w:pPr>
      <w:numPr>
        <w:ilvl w:val="0"/>
        <w:numId w:val="0"/>
      </w:numPr>
      <w:spacing w:before="240" w:line="240" w:lineRule="auto"/>
      <w:jc w:val="left"/>
    </w:pPr>
    <w:rPr>
      <w:sz w:val="32"/>
    </w:rPr>
  </w:style>
  <w:style w:type="paragraph" w:customStyle="1" w:styleId="Heading3-NoNumbered">
    <w:name w:val="Heading 3 - No Numbered"/>
    <w:basedOn w:val="Heading3Numbered"/>
    <w:rsid w:val="00594197"/>
    <w:pPr>
      <w:numPr>
        <w:ilvl w:val="0"/>
        <w:numId w:val="0"/>
      </w:numPr>
    </w:pPr>
    <w:rPr>
      <w:rFonts w:eastAsiaTheme="majorEastAsia"/>
      <w:i w:val="0"/>
    </w:rPr>
  </w:style>
  <w:style w:type="paragraph" w:customStyle="1" w:styleId="AlphaParagraph-Indent">
    <w:name w:val="Alpha Paragraph - Indent"/>
    <w:basedOn w:val="ListParagraph"/>
    <w:rsid w:val="00705E03"/>
    <w:pPr>
      <w:numPr>
        <w:numId w:val="17"/>
      </w:numPr>
      <w:contextualSpacing w:val="0"/>
    </w:pPr>
  </w:style>
  <w:style w:type="paragraph" w:customStyle="1" w:styleId="Bullet-Indent">
    <w:name w:val="Bullet - Indent"/>
    <w:basedOn w:val="Bullet"/>
    <w:rsid w:val="00D7436B"/>
    <w:pPr>
      <w:numPr>
        <w:numId w:val="15"/>
      </w:numPr>
      <w:spacing w:before="0" w:after="240"/>
    </w:pPr>
    <w:rPr>
      <w:sz w:val="22"/>
    </w:rPr>
  </w:style>
  <w:style w:type="paragraph" w:customStyle="1" w:styleId="Heading4-NoNumber">
    <w:name w:val="Heading 4 - No Number"/>
    <w:basedOn w:val="Heading4"/>
    <w:rsid w:val="00D7436B"/>
    <w:pPr>
      <w:spacing w:after="180" w:line="240" w:lineRule="auto"/>
    </w:pPr>
    <w:rPr>
      <w:rFonts w:ascii="Calibri" w:hAnsi="Calibri"/>
      <w:i w:val="0"/>
      <w:color w:val="808080" w:themeColor="background1" w:themeShade="80"/>
      <w:sz w:val="26"/>
    </w:rPr>
  </w:style>
  <w:style w:type="paragraph" w:customStyle="1" w:styleId="BoxBullet">
    <w:name w:val="Box Bullet"/>
    <w:basedOn w:val="BoxText"/>
    <w:rsid w:val="002C5F42"/>
    <w:pPr>
      <w:numPr>
        <w:numId w:val="18"/>
      </w:numPr>
      <w:tabs>
        <w:tab w:val="left" w:pos="425"/>
      </w:tabs>
      <w:ind w:left="425" w:hanging="425"/>
    </w:pPr>
  </w:style>
  <w:style w:type="paragraph" w:customStyle="1" w:styleId="Footer-Odd">
    <w:name w:val="Footer - Odd"/>
    <w:basedOn w:val="Footer"/>
    <w:rsid w:val="00050D6E"/>
    <w:pPr>
      <w:spacing w:line="240" w:lineRule="auto"/>
      <w:jc w:val="right"/>
    </w:pPr>
    <w:rPr>
      <w:color w:val="1F497D" w:themeColor="text2"/>
      <w:sz w:val="20"/>
    </w:rPr>
  </w:style>
  <w:style w:type="paragraph" w:customStyle="1" w:styleId="Footer-Even">
    <w:name w:val="Footer - Even"/>
    <w:basedOn w:val="Footer-Odd"/>
    <w:rsid w:val="00050D6E"/>
    <w:pPr>
      <w:jc w:val="left"/>
    </w:pPr>
  </w:style>
  <w:style w:type="paragraph" w:customStyle="1" w:styleId="Header-Even">
    <w:name w:val="Header - Even"/>
    <w:basedOn w:val="Header"/>
    <w:rsid w:val="00D323BD"/>
    <w:pPr>
      <w:spacing w:line="240" w:lineRule="auto"/>
      <w:jc w:val="left"/>
    </w:pPr>
    <w:rPr>
      <w:color w:val="1F497D" w:themeColor="text2"/>
      <w:sz w:val="20"/>
    </w:rPr>
  </w:style>
  <w:style w:type="paragraph" w:customStyle="1" w:styleId="Header-Odd">
    <w:name w:val="Header - Odd"/>
    <w:basedOn w:val="Header-Even"/>
    <w:rsid w:val="00D323B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legalcode"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itsanhonour.gov.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deed.e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mailto:medialiaison@treasury.gov.au" TargetMode="Externa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ba.gov.au/inflation/inflation-target.html" TargetMode="External"/><Relationship Id="rId1" Type="http://schemas.openxmlformats.org/officeDocument/2006/relationships/hyperlink" Target="http://www.abs.gov.au/ausstats/abs@.nsf/mediareleasesbytitle/950EC94DB899312ECA2573B00017B8F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Regulation%20Impact%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2018CSSG-528562461-253</_dlc_DocId>
    <TaxCatchAll xmlns="eb47d8b7-fefc-4923-b53c-9685ba6b7210">
      <Value>75</Value>
    </TaxCatchAll>
    <_dlc_DocIdUrl xmlns="eb47d8b7-fefc-4923-b53c-9685ba6b7210">
      <Url>http://tweb/sites/cssg/ped/pu/pt/_layouts/15/DocIdRedir.aspx?ID=2018CSSG-528562461-253</Url>
      <Description>2018CSSG-528562461-253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897" ma:contentTypeDescription="" ma:contentTypeScope="" ma:versionID="39fa637787a0f06100d2101545ff01bf">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FB51-D2C8-4B48-B94C-C0FF01E46186}">
  <ds:schemaRefs>
    <ds:schemaRef ds:uri="http://schemas.microsoft.com/office/2006/documentManagement/types"/>
    <ds:schemaRef ds:uri="http://schemas.microsoft.com/office/infopath/2007/PartnerControls"/>
    <ds:schemaRef ds:uri="http://schemas.microsoft.com/sharepoint/v3"/>
    <ds:schemaRef ds:uri="http://purl.org/dc/terms/"/>
    <ds:schemaRef ds:uri="http://www.w3.org/XML/1998/namespace"/>
    <ds:schemaRef ds:uri="http://purl.org/dc/elements/1.1/"/>
    <ds:schemaRef ds:uri="eb47d8b7-fefc-4923-b53c-9685ba6b7210"/>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CD7DE21-054B-4EAB-B0B7-6B27DE59DA4F}">
  <ds:schemaRefs>
    <ds:schemaRef ds:uri="http://schemas.microsoft.com/sharepoint/v3/contenttype/forms"/>
  </ds:schemaRefs>
</ds:datastoreItem>
</file>

<file path=customXml/itemProps3.xml><?xml version="1.0" encoding="utf-8"?>
<ds:datastoreItem xmlns:ds="http://schemas.openxmlformats.org/officeDocument/2006/customXml" ds:itemID="{905B7DBF-B455-4450-BCD0-943B2409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53B1E-1DC9-4158-955E-E1E13B2FD6D4}">
  <ds:schemaRefs>
    <ds:schemaRef ds:uri="http://schemas.microsoft.com/sharepoint/events"/>
  </ds:schemaRefs>
</ds:datastoreItem>
</file>

<file path=customXml/itemProps5.xml><?xml version="1.0" encoding="utf-8"?>
<ds:datastoreItem xmlns:ds="http://schemas.openxmlformats.org/officeDocument/2006/customXml" ds:itemID="{C471E69D-D4F6-4A3F-9E43-FF10113E8523}">
  <ds:schemaRefs>
    <ds:schemaRef ds:uri="office.server.policy"/>
  </ds:schemaRefs>
</ds:datastoreItem>
</file>

<file path=customXml/itemProps6.xml><?xml version="1.0" encoding="utf-8"?>
<ds:datastoreItem xmlns:ds="http://schemas.openxmlformats.org/officeDocument/2006/customXml" ds:itemID="{5D7C6106-AE3D-48DA-86B1-4A7C0CC6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Regulation Impact Statement.dotm</Template>
  <TotalTime>13</TotalTime>
  <Pages>22</Pages>
  <Words>6054</Words>
  <Characters>32634</Characters>
  <Application>Microsoft Office Word</Application>
  <DocSecurity>0</DocSecurity>
  <Lines>627</Lines>
  <Paragraphs>284</Paragraphs>
  <ScaleCrop>false</ScaleCrop>
  <HeadingPairs>
    <vt:vector size="2" baseType="variant">
      <vt:variant>
        <vt:lpstr>Title</vt:lpstr>
      </vt:variant>
      <vt:variant>
        <vt:i4>1</vt:i4>
      </vt:variant>
    </vt:vector>
  </HeadingPairs>
  <TitlesOfParts>
    <vt:vector size="1" baseType="lpstr">
      <vt:lpstr>Australian Consumer Law Review: Proposal 15</vt:lpstr>
    </vt:vector>
  </TitlesOfParts>
  <Company>Australian Government - The Treasury</Company>
  <LinksUpToDate>false</LinksUpToDate>
  <CharactersWithSpaces>38404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Consumer Law Review: Proposal 15</dc:title>
  <dc:creator>Australian Government</dc:creator>
  <dc:description>1-</dc:description>
  <cp:lastModifiedBy>Hill, Christine</cp:lastModifiedBy>
  <cp:revision>6</cp:revision>
  <cp:lastPrinted>2018-03-02T02:33:00Z</cp:lastPrinted>
  <dcterms:created xsi:type="dcterms:W3CDTF">2018-03-09T02:58:00Z</dcterms:created>
  <dcterms:modified xsi:type="dcterms:W3CDTF">2018-03-22T00:31:00Z</dcterms:modified>
</cp:coreProperties>
</file>