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F24F1" w14:textId="15FF94F9" w:rsidR="002B0709" w:rsidRDefault="002B0709" w:rsidP="00BD01D5">
      <w:pPr>
        <w:pStyle w:val="Subtitle"/>
        <w:spacing w:after="100" w:afterAutospacing="1"/>
      </w:pPr>
      <w:bookmarkStart w:id="0" w:name="_GoBack"/>
      <w:bookmarkEnd w:id="0"/>
      <w:r w:rsidRPr="004D127F">
        <w:t>Consultation Regulation Impact Statement</w:t>
      </w:r>
    </w:p>
    <w:p w14:paraId="0FF617D7" w14:textId="2087CA8C" w:rsidR="00FB7003" w:rsidRPr="00FB7003" w:rsidRDefault="00FB7003" w:rsidP="00FB7003">
      <w:pPr>
        <w:pStyle w:val="Subtitle"/>
      </w:pPr>
      <w:r>
        <w:t>Chapter Four</w:t>
      </w:r>
    </w:p>
    <w:p w14:paraId="7B19912E" w14:textId="498824A3" w:rsidR="002B0709" w:rsidRPr="004D127F" w:rsidRDefault="002B0709" w:rsidP="004D127F">
      <w:pPr>
        <w:pStyle w:val="Title"/>
      </w:pPr>
      <w:r w:rsidRPr="004D127F">
        <w:t xml:space="preserve">Australian Consumer Law Review: </w:t>
      </w:r>
      <w:r w:rsidR="00840AE0" w:rsidRPr="004D127F">
        <w:t>Access to consumer guarantees for goods sold at auctions</w:t>
      </w:r>
    </w:p>
    <w:p w14:paraId="423E941B" w14:textId="77777777" w:rsidR="002B0709" w:rsidRPr="004D127F" w:rsidRDefault="002B0709" w:rsidP="004D127F">
      <w:pPr>
        <w:pStyle w:val="SubSubtitle"/>
      </w:pPr>
      <w:r w:rsidRPr="004D127F">
        <w:t>Consumer Affairs Australia and New Zealand</w:t>
      </w:r>
    </w:p>
    <w:p w14:paraId="74D07BAC" w14:textId="27B9AD2E" w:rsidR="002B0709" w:rsidRPr="004D127F" w:rsidRDefault="002B0709" w:rsidP="004D127F">
      <w:pPr>
        <w:pStyle w:val="SubSubtitle"/>
      </w:pPr>
      <w:r w:rsidRPr="004D127F">
        <w:t>201</w:t>
      </w:r>
      <w:r w:rsidR="00EC2F76" w:rsidRPr="004D127F">
        <w:t>8</w:t>
      </w:r>
    </w:p>
    <w:p w14:paraId="1112796D" w14:textId="77777777" w:rsidR="0016292C" w:rsidRPr="004D127F" w:rsidRDefault="0016292C" w:rsidP="004D127F">
      <w:pPr>
        <w:pStyle w:val="SubSubtitle"/>
        <w:sectPr w:rsidR="0016292C" w:rsidRPr="004D127F" w:rsidSect="00E565DC">
          <w:headerReference w:type="even" r:id="rId14"/>
          <w:headerReference w:type="default" r:id="rId15"/>
          <w:footerReference w:type="even" r:id="rId16"/>
          <w:footerReference w:type="default" r:id="rId17"/>
          <w:pgSz w:w="11906" w:h="16838"/>
          <w:pgMar w:top="1440" w:right="1440" w:bottom="1440" w:left="1440" w:header="709" w:footer="709" w:gutter="0"/>
          <w:cols w:space="708"/>
          <w:vAlign w:val="center"/>
          <w:titlePg/>
          <w:docGrid w:linePitch="360"/>
        </w:sectPr>
      </w:pPr>
    </w:p>
    <w:p w14:paraId="730DDAC4" w14:textId="77777777" w:rsidR="0016292C" w:rsidRPr="00320097" w:rsidRDefault="0016292C" w:rsidP="00E565DC">
      <w:r w:rsidRPr="00320097">
        <w:lastRenderedPageBreak/>
        <w:t>© Commonwealth of Australia 2018</w:t>
      </w:r>
    </w:p>
    <w:p w14:paraId="758E906E" w14:textId="57943E3F" w:rsidR="0016292C" w:rsidRPr="00236C97" w:rsidRDefault="0016292C" w:rsidP="00E565DC">
      <w:pPr>
        <w:rPr>
          <w:sz w:val="24"/>
          <w:szCs w:val="24"/>
        </w:rPr>
      </w:pPr>
      <w:r w:rsidRPr="00236C97">
        <w:t>This publication is available for your use under a</w:t>
      </w:r>
      <w:r w:rsidRPr="00236C97">
        <w:rPr>
          <w:rFonts w:cs="Calibri"/>
          <w:sz w:val="24"/>
          <w:szCs w:val="24"/>
        </w:rPr>
        <w:t xml:space="preserve"> </w:t>
      </w:r>
      <w:hyperlink r:id="rId18" w:history="1">
        <w:r w:rsidRPr="00236C97">
          <w:rPr>
            <w:b/>
            <w:color w:val="004A7F"/>
          </w:rPr>
          <w:t>Creative Commons Attribution 3.0 Australia</w:t>
        </w:r>
      </w:hyperlink>
      <w:r w:rsidRPr="00236C97">
        <w:rPr>
          <w:rFonts w:cs="Calibri"/>
          <w:sz w:val="24"/>
          <w:szCs w:val="24"/>
        </w:rPr>
        <w:t xml:space="preserve"> </w:t>
      </w:r>
      <w:r w:rsidRPr="00236C97">
        <w:t>licence, with the exception of the Commonwealth Coat of Arms, the Treasury logo, photographs, images, signatures and where otherwise stated. The full licence terms are available from</w:t>
      </w:r>
      <w:r w:rsidRPr="00236C97">
        <w:rPr>
          <w:rFonts w:cs="Calibri"/>
          <w:sz w:val="24"/>
          <w:szCs w:val="24"/>
        </w:rPr>
        <w:t xml:space="preserve"> </w:t>
      </w:r>
      <w:hyperlink r:id="rId19" w:history="1">
        <w:r w:rsidRPr="00236C97">
          <w:rPr>
            <w:b/>
            <w:color w:val="004A7F"/>
          </w:rPr>
          <w:t>http://creativecommons.org/licenses/by/3.0/au/legalcode</w:t>
        </w:r>
      </w:hyperlink>
      <w:r w:rsidRPr="00236C97">
        <w:rPr>
          <w:b/>
          <w:color w:val="004A7F"/>
        </w:rPr>
        <w:t>.</w:t>
      </w:r>
    </w:p>
    <w:p w14:paraId="7947B622" w14:textId="6D24EE78" w:rsidR="0016292C" w:rsidRPr="00236C97" w:rsidRDefault="00E64A81" w:rsidP="00E64A81">
      <w:pPr>
        <w:spacing w:before="480" w:after="180"/>
        <w:rPr>
          <w:noProof/>
          <w:lang w:eastAsia="en-AU"/>
        </w:rPr>
      </w:pPr>
      <w:r w:rsidRPr="00236C97">
        <w:rPr>
          <w:noProof/>
          <w:lang w:eastAsia="en-AU"/>
        </w:rPr>
        <w:drawing>
          <wp:inline distT="0" distB="0" distL="0" distR="0" wp14:anchorId="4C735F19" wp14:editId="0114200C">
            <wp:extent cx="809625" cy="285750"/>
            <wp:effectExtent l="0" t="0" r="9525" b="0"/>
            <wp:docPr id="2" name="Picture 2"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F231F07" w14:textId="77777777" w:rsidR="0016292C" w:rsidRPr="00236C97" w:rsidRDefault="0016292C" w:rsidP="00E565DC">
      <w:r w:rsidRPr="00236C97">
        <w:t>Use of Treasury material under a</w:t>
      </w:r>
      <w:r w:rsidRPr="00236C97">
        <w:rPr>
          <w:rFonts w:cs="Calibri"/>
          <w:sz w:val="24"/>
          <w:szCs w:val="24"/>
        </w:rPr>
        <w:t xml:space="preserve"> </w:t>
      </w:r>
      <w:hyperlink r:id="rId21" w:history="1">
        <w:r w:rsidRPr="00236C97">
          <w:rPr>
            <w:b/>
            <w:color w:val="004A7F"/>
          </w:rPr>
          <w:t>Creative Commons Attribution 3.0 Australia</w:t>
        </w:r>
      </w:hyperlink>
      <w:r w:rsidRPr="00236C97">
        <w:rPr>
          <w:b/>
          <w:color w:val="004A7F"/>
        </w:rPr>
        <w:t xml:space="preserve"> </w:t>
      </w:r>
      <w:r w:rsidRPr="00236C97">
        <w:t>licence requires you to attribute the work (but not in any way that suggests that the Treasury endorses you or your use of the work).</w:t>
      </w:r>
    </w:p>
    <w:p w14:paraId="116A1FF2" w14:textId="77777777" w:rsidR="0016292C" w:rsidRPr="00E64A81" w:rsidRDefault="0016292C" w:rsidP="00E64A81">
      <w:pPr>
        <w:ind w:left="567"/>
        <w:rPr>
          <w:i/>
        </w:rPr>
      </w:pPr>
      <w:r w:rsidRPr="00E64A81">
        <w:rPr>
          <w:i/>
        </w:rPr>
        <w:t>Treasury material used ‘as supplied’.</w:t>
      </w:r>
    </w:p>
    <w:p w14:paraId="2F583692" w14:textId="77777777" w:rsidR="0016292C" w:rsidRPr="00236C97" w:rsidRDefault="0016292C" w:rsidP="00E565DC">
      <w:r w:rsidRPr="00236C97">
        <w:t>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w:t>
      </w:r>
    </w:p>
    <w:p w14:paraId="66324698" w14:textId="77777777" w:rsidR="0016292C" w:rsidRPr="00E64A81" w:rsidRDefault="0016292C" w:rsidP="00E64A81">
      <w:pPr>
        <w:ind w:left="567"/>
        <w:rPr>
          <w:i/>
        </w:rPr>
      </w:pPr>
      <w:r w:rsidRPr="00E64A81">
        <w:rPr>
          <w:i/>
        </w:rPr>
        <w:t>Source: The Australian Government the Treasury</w:t>
      </w:r>
    </w:p>
    <w:p w14:paraId="31CB20F8" w14:textId="77777777" w:rsidR="0016292C" w:rsidRPr="00E64A81" w:rsidRDefault="0016292C" w:rsidP="00E565DC">
      <w:pPr>
        <w:rPr>
          <w:b/>
        </w:rPr>
      </w:pPr>
      <w:r w:rsidRPr="00E64A81">
        <w:rPr>
          <w:b/>
        </w:rPr>
        <w:t>Derivative material</w:t>
      </w:r>
    </w:p>
    <w:p w14:paraId="58BC8536" w14:textId="77777777" w:rsidR="0016292C" w:rsidRPr="00236C97" w:rsidRDefault="0016292C" w:rsidP="00E565DC">
      <w:r w:rsidRPr="00236C97">
        <w:t>If you have modified or transformed Treasury material, or derived new material from those of the Treasury in any way, then Treasury prefers the following attribution:</w:t>
      </w:r>
    </w:p>
    <w:p w14:paraId="534F4E85" w14:textId="77777777" w:rsidR="0016292C" w:rsidRPr="00E64A81" w:rsidRDefault="0016292C" w:rsidP="00E64A81">
      <w:pPr>
        <w:ind w:left="567"/>
        <w:rPr>
          <w:i/>
        </w:rPr>
      </w:pPr>
      <w:r w:rsidRPr="00E64A81">
        <w:rPr>
          <w:i/>
        </w:rPr>
        <w:t>Based on The Australian Government the Treasury data</w:t>
      </w:r>
    </w:p>
    <w:p w14:paraId="24841F5B" w14:textId="77777777" w:rsidR="0016292C" w:rsidRPr="00E64A81" w:rsidRDefault="0016292C" w:rsidP="00E565DC">
      <w:pPr>
        <w:rPr>
          <w:b/>
        </w:rPr>
      </w:pPr>
      <w:r w:rsidRPr="00E64A81">
        <w:rPr>
          <w:b/>
        </w:rPr>
        <w:t>Use of the Coat of Arms</w:t>
      </w:r>
    </w:p>
    <w:p w14:paraId="7BB3B421" w14:textId="77777777" w:rsidR="0016292C" w:rsidRPr="00236C97" w:rsidRDefault="0016292C" w:rsidP="00E565DC">
      <w:r w:rsidRPr="00236C97">
        <w:t>The terms under which the Coat of Arms can be used are set out on the It’s an Honour website (see </w:t>
      </w:r>
      <w:hyperlink r:id="rId22" w:history="1">
        <w:r w:rsidRPr="00236C97">
          <w:rPr>
            <w:b/>
            <w:color w:val="004A7F"/>
          </w:rPr>
          <w:t>www.itsanhonour.gov.au</w:t>
        </w:r>
      </w:hyperlink>
      <w:r w:rsidRPr="00236C97">
        <w:t>).</w:t>
      </w:r>
    </w:p>
    <w:p w14:paraId="38126088" w14:textId="77777777" w:rsidR="0016292C" w:rsidRPr="00E64A81" w:rsidRDefault="0016292C" w:rsidP="00E565DC">
      <w:pPr>
        <w:rPr>
          <w:b/>
        </w:rPr>
      </w:pPr>
      <w:r w:rsidRPr="00E64A81">
        <w:rPr>
          <w:b/>
        </w:rPr>
        <w:t>Other uses</w:t>
      </w:r>
    </w:p>
    <w:p w14:paraId="340E15B4" w14:textId="77777777" w:rsidR="0016292C" w:rsidRPr="00236C97" w:rsidRDefault="0016292C" w:rsidP="00E565DC">
      <w:r w:rsidRPr="00236C97">
        <w:t>Enquiries regarding this licence and any other use of this document are welcome at:</w:t>
      </w:r>
    </w:p>
    <w:p w14:paraId="1B635B22" w14:textId="77777777" w:rsidR="0016292C" w:rsidRPr="00236C97" w:rsidRDefault="0016292C" w:rsidP="00E64A81">
      <w:pPr>
        <w:ind w:left="567"/>
        <w:jc w:val="left"/>
        <w:rPr>
          <w:b/>
          <w:color w:val="004A7F"/>
        </w:rPr>
      </w:pPr>
      <w:r w:rsidRPr="00236C97">
        <w:t>Manager</w:t>
      </w:r>
      <w:r w:rsidRPr="00236C97">
        <w:br/>
        <w:t>Editorial, Media and Speeches Unit</w:t>
      </w:r>
      <w:r w:rsidRPr="00236C97">
        <w:br/>
        <w:t>The Treasury</w:t>
      </w:r>
      <w:r w:rsidRPr="00236C97">
        <w:br/>
        <w:t xml:space="preserve">Langton Crescent </w:t>
      </w:r>
      <w:r w:rsidRPr="00236C97">
        <w:br/>
        <w:t>Parkes  ACT  2600</w:t>
      </w:r>
      <w:r w:rsidRPr="00236C97">
        <w:br/>
        <w:t xml:space="preserve">Email: </w:t>
      </w:r>
      <w:hyperlink r:id="rId23" w:history="1">
        <w:r w:rsidRPr="00236C97">
          <w:rPr>
            <w:b/>
            <w:color w:val="004A7F"/>
          </w:rPr>
          <w:t>medialiaison@treasury.gov.au</w:t>
        </w:r>
      </w:hyperlink>
    </w:p>
    <w:p w14:paraId="4DABD86E" w14:textId="77777777" w:rsidR="0016292C" w:rsidRPr="00F406F6" w:rsidRDefault="0016292C" w:rsidP="00E565DC"/>
    <w:p w14:paraId="729DF3A8" w14:textId="0317955E" w:rsidR="0016292C" w:rsidRDefault="0016292C" w:rsidP="00E565DC"/>
    <w:p w14:paraId="7969530F" w14:textId="77777777" w:rsidR="0016292C" w:rsidRDefault="0016292C" w:rsidP="00E565DC">
      <w:pPr>
        <w:sectPr w:rsidR="0016292C" w:rsidSect="00E64A81">
          <w:footerReference w:type="first" r:id="rId24"/>
          <w:pgSz w:w="11906" w:h="16838"/>
          <w:pgMar w:top="1440" w:right="1440" w:bottom="1440" w:left="1440" w:header="708" w:footer="708" w:gutter="0"/>
          <w:cols w:space="708"/>
          <w:titlePg/>
          <w:docGrid w:linePitch="360"/>
        </w:sectPr>
      </w:pPr>
    </w:p>
    <w:p w14:paraId="495D7586" w14:textId="77777777" w:rsidR="004D127F" w:rsidRPr="004D127F" w:rsidRDefault="004D127F" w:rsidP="004D127F">
      <w:pPr>
        <w:pStyle w:val="TOCHeading"/>
      </w:pPr>
      <w:bookmarkStart w:id="1" w:name="_Toc501112648"/>
      <w:bookmarkStart w:id="2" w:name="_Toc501363801"/>
      <w:bookmarkStart w:id="3" w:name="_Toc501376271"/>
      <w:bookmarkStart w:id="4" w:name="_Toc507771521"/>
      <w:r w:rsidRPr="004D127F">
        <w:lastRenderedPageBreak/>
        <w:t>Table of Contents</w:t>
      </w:r>
    </w:p>
    <w:sdt>
      <w:sdtPr>
        <w:rPr>
          <w:rFonts w:ascii="Calibri" w:eastAsia="Times New Roman" w:hAnsi="Calibri" w:cs="Arial"/>
          <w:b w:val="0"/>
          <w:caps w:val="0"/>
          <w:noProof w:val="0"/>
          <w:color w:val="004A7F"/>
          <w:kern w:val="32"/>
          <w:sz w:val="44"/>
          <w:szCs w:val="36"/>
          <w:lang w:eastAsia="en-AU"/>
        </w:rPr>
        <w:id w:val="-411694929"/>
        <w:docPartObj>
          <w:docPartGallery w:val="Table of Contents"/>
          <w:docPartUnique/>
        </w:docPartObj>
      </w:sdtPr>
      <w:sdtEndPr>
        <w:rPr>
          <w:rFonts w:asciiTheme="minorHAnsi" w:eastAsiaTheme="minorHAnsi" w:hAnsiTheme="minorHAnsi" w:cstheme="minorBidi"/>
          <w:color w:val="auto"/>
          <w:kern w:val="0"/>
          <w:sz w:val="22"/>
          <w:szCs w:val="22"/>
          <w:lang w:eastAsia="en-US"/>
        </w:rPr>
      </w:sdtEndPr>
      <w:sdtContent>
        <w:p w14:paraId="52EDE7CD" w14:textId="77777777" w:rsidR="004B7150" w:rsidRDefault="004D127F">
          <w:pPr>
            <w:pStyle w:val="TOC1"/>
            <w:rPr>
              <w:rFonts w:eastAsiaTheme="minorEastAsia"/>
              <w:b w:val="0"/>
              <w:caps w:val="0"/>
              <w:color w:val="auto"/>
              <w:lang w:eastAsia="en-AU"/>
            </w:rPr>
          </w:pPr>
          <w:r w:rsidRPr="004D127F">
            <w:fldChar w:fldCharType="begin"/>
          </w:r>
          <w:r w:rsidRPr="004D127F">
            <w:instrText xml:space="preserve"> TOC \o "1-1" \h \z \t "Heading 2,2,Heading 2 - No Numbered,2" </w:instrText>
          </w:r>
          <w:r w:rsidRPr="004D127F">
            <w:fldChar w:fldCharType="separate"/>
          </w:r>
          <w:hyperlink w:anchor="_Toc508969196" w:history="1">
            <w:r w:rsidR="004B7150" w:rsidRPr="005245E5">
              <w:rPr>
                <w:rStyle w:val="Hyperlink"/>
              </w:rPr>
              <w:t>Executive Summary</w:t>
            </w:r>
            <w:r w:rsidR="004B7150">
              <w:rPr>
                <w:webHidden/>
              </w:rPr>
              <w:tab/>
            </w:r>
            <w:r w:rsidR="004B7150">
              <w:rPr>
                <w:webHidden/>
              </w:rPr>
              <w:fldChar w:fldCharType="begin"/>
            </w:r>
            <w:r w:rsidR="004B7150">
              <w:rPr>
                <w:webHidden/>
              </w:rPr>
              <w:instrText xml:space="preserve"> PAGEREF _Toc508969196 \h </w:instrText>
            </w:r>
            <w:r w:rsidR="004B7150">
              <w:rPr>
                <w:webHidden/>
              </w:rPr>
            </w:r>
            <w:r w:rsidR="004B7150">
              <w:rPr>
                <w:webHidden/>
              </w:rPr>
              <w:fldChar w:fldCharType="separate"/>
            </w:r>
            <w:r w:rsidR="004B7150">
              <w:rPr>
                <w:webHidden/>
              </w:rPr>
              <w:t>1</w:t>
            </w:r>
            <w:r w:rsidR="004B7150">
              <w:rPr>
                <w:webHidden/>
              </w:rPr>
              <w:fldChar w:fldCharType="end"/>
            </w:r>
          </w:hyperlink>
        </w:p>
        <w:p w14:paraId="0BE29332" w14:textId="77777777" w:rsidR="004B7150" w:rsidRDefault="00D5595E">
          <w:pPr>
            <w:pStyle w:val="TOC1"/>
            <w:rPr>
              <w:rFonts w:eastAsiaTheme="minorEastAsia"/>
              <w:b w:val="0"/>
              <w:caps w:val="0"/>
              <w:color w:val="auto"/>
              <w:lang w:eastAsia="en-AU"/>
            </w:rPr>
          </w:pPr>
          <w:hyperlink w:anchor="_Toc508969197" w:history="1">
            <w:r w:rsidR="004B7150" w:rsidRPr="005245E5">
              <w:rPr>
                <w:rStyle w:val="Hyperlink"/>
              </w:rPr>
              <w:t>Introduction</w:t>
            </w:r>
            <w:r w:rsidR="004B7150">
              <w:rPr>
                <w:webHidden/>
              </w:rPr>
              <w:tab/>
            </w:r>
            <w:r w:rsidR="004B7150">
              <w:rPr>
                <w:webHidden/>
              </w:rPr>
              <w:fldChar w:fldCharType="begin"/>
            </w:r>
            <w:r w:rsidR="004B7150">
              <w:rPr>
                <w:webHidden/>
              </w:rPr>
              <w:instrText xml:space="preserve"> PAGEREF _Toc508969197 \h </w:instrText>
            </w:r>
            <w:r w:rsidR="004B7150">
              <w:rPr>
                <w:webHidden/>
              </w:rPr>
            </w:r>
            <w:r w:rsidR="004B7150">
              <w:rPr>
                <w:webHidden/>
              </w:rPr>
              <w:fldChar w:fldCharType="separate"/>
            </w:r>
            <w:r w:rsidR="004B7150">
              <w:rPr>
                <w:webHidden/>
              </w:rPr>
              <w:t>2</w:t>
            </w:r>
            <w:r w:rsidR="004B7150">
              <w:rPr>
                <w:webHidden/>
              </w:rPr>
              <w:fldChar w:fldCharType="end"/>
            </w:r>
          </w:hyperlink>
        </w:p>
        <w:p w14:paraId="0E3591F9" w14:textId="77777777" w:rsidR="004B7150" w:rsidRDefault="00D5595E">
          <w:pPr>
            <w:pStyle w:val="TOC2"/>
            <w:rPr>
              <w:rFonts w:eastAsiaTheme="minorEastAsia"/>
              <w:color w:val="auto"/>
              <w:lang w:eastAsia="en-AU"/>
            </w:rPr>
          </w:pPr>
          <w:hyperlink w:anchor="_Toc508969198" w:history="1">
            <w:r w:rsidR="004B7150" w:rsidRPr="005245E5">
              <w:rPr>
                <w:rStyle w:val="Hyperlink"/>
              </w:rPr>
              <w:t>Relevant state and territory laws</w:t>
            </w:r>
            <w:r w:rsidR="004B7150">
              <w:rPr>
                <w:webHidden/>
              </w:rPr>
              <w:tab/>
            </w:r>
            <w:r w:rsidR="004B7150">
              <w:rPr>
                <w:webHidden/>
              </w:rPr>
              <w:fldChar w:fldCharType="begin"/>
            </w:r>
            <w:r w:rsidR="004B7150">
              <w:rPr>
                <w:webHidden/>
              </w:rPr>
              <w:instrText xml:space="preserve"> PAGEREF _Toc508969198 \h </w:instrText>
            </w:r>
            <w:r w:rsidR="004B7150">
              <w:rPr>
                <w:webHidden/>
              </w:rPr>
            </w:r>
            <w:r w:rsidR="004B7150">
              <w:rPr>
                <w:webHidden/>
              </w:rPr>
              <w:fldChar w:fldCharType="separate"/>
            </w:r>
            <w:r w:rsidR="004B7150">
              <w:rPr>
                <w:webHidden/>
              </w:rPr>
              <w:t>3</w:t>
            </w:r>
            <w:r w:rsidR="004B7150">
              <w:rPr>
                <w:webHidden/>
              </w:rPr>
              <w:fldChar w:fldCharType="end"/>
            </w:r>
          </w:hyperlink>
        </w:p>
        <w:p w14:paraId="382DC8C3" w14:textId="77777777" w:rsidR="004B7150" w:rsidRDefault="00D5595E">
          <w:pPr>
            <w:pStyle w:val="TOC1"/>
            <w:rPr>
              <w:rFonts w:eastAsiaTheme="minorEastAsia"/>
              <w:b w:val="0"/>
              <w:caps w:val="0"/>
              <w:color w:val="auto"/>
              <w:lang w:eastAsia="en-AU"/>
            </w:rPr>
          </w:pPr>
          <w:hyperlink w:anchor="_Toc508969199" w:history="1">
            <w:r w:rsidR="004B7150" w:rsidRPr="005245E5">
              <w:rPr>
                <w:rStyle w:val="Hyperlink"/>
              </w:rPr>
              <w:t>The Problem</w:t>
            </w:r>
            <w:r w:rsidR="004B7150">
              <w:rPr>
                <w:webHidden/>
              </w:rPr>
              <w:tab/>
            </w:r>
            <w:r w:rsidR="004B7150">
              <w:rPr>
                <w:webHidden/>
              </w:rPr>
              <w:fldChar w:fldCharType="begin"/>
            </w:r>
            <w:r w:rsidR="004B7150">
              <w:rPr>
                <w:webHidden/>
              </w:rPr>
              <w:instrText xml:space="preserve"> PAGEREF _Toc508969199 \h </w:instrText>
            </w:r>
            <w:r w:rsidR="004B7150">
              <w:rPr>
                <w:webHidden/>
              </w:rPr>
            </w:r>
            <w:r w:rsidR="004B7150">
              <w:rPr>
                <w:webHidden/>
              </w:rPr>
              <w:fldChar w:fldCharType="separate"/>
            </w:r>
            <w:r w:rsidR="004B7150">
              <w:rPr>
                <w:webHidden/>
              </w:rPr>
              <w:t>4</w:t>
            </w:r>
            <w:r w:rsidR="004B7150">
              <w:rPr>
                <w:webHidden/>
              </w:rPr>
              <w:fldChar w:fldCharType="end"/>
            </w:r>
          </w:hyperlink>
        </w:p>
        <w:p w14:paraId="4F7BA95F" w14:textId="77777777" w:rsidR="004B7150" w:rsidRDefault="00D5595E">
          <w:pPr>
            <w:pStyle w:val="TOC2"/>
            <w:rPr>
              <w:rFonts w:eastAsiaTheme="minorEastAsia"/>
              <w:color w:val="auto"/>
              <w:lang w:eastAsia="en-AU"/>
            </w:rPr>
          </w:pPr>
          <w:hyperlink w:anchor="_Toc508969200" w:history="1">
            <w:r w:rsidR="004B7150" w:rsidRPr="005245E5">
              <w:rPr>
                <w:rStyle w:val="Hyperlink"/>
              </w:rPr>
              <w:t>What is the problem?</w:t>
            </w:r>
            <w:r w:rsidR="004B7150">
              <w:rPr>
                <w:webHidden/>
              </w:rPr>
              <w:tab/>
            </w:r>
            <w:r w:rsidR="004B7150">
              <w:rPr>
                <w:webHidden/>
              </w:rPr>
              <w:fldChar w:fldCharType="begin"/>
            </w:r>
            <w:r w:rsidR="004B7150">
              <w:rPr>
                <w:webHidden/>
              </w:rPr>
              <w:instrText xml:space="preserve"> PAGEREF _Toc508969200 \h </w:instrText>
            </w:r>
            <w:r w:rsidR="004B7150">
              <w:rPr>
                <w:webHidden/>
              </w:rPr>
            </w:r>
            <w:r w:rsidR="004B7150">
              <w:rPr>
                <w:webHidden/>
              </w:rPr>
              <w:fldChar w:fldCharType="separate"/>
            </w:r>
            <w:r w:rsidR="004B7150">
              <w:rPr>
                <w:webHidden/>
              </w:rPr>
              <w:t>4</w:t>
            </w:r>
            <w:r w:rsidR="004B7150">
              <w:rPr>
                <w:webHidden/>
              </w:rPr>
              <w:fldChar w:fldCharType="end"/>
            </w:r>
          </w:hyperlink>
        </w:p>
        <w:p w14:paraId="561D74C2" w14:textId="77777777" w:rsidR="004B7150" w:rsidRDefault="00D5595E">
          <w:pPr>
            <w:pStyle w:val="TOC2"/>
            <w:rPr>
              <w:rFonts w:eastAsiaTheme="minorEastAsia"/>
              <w:color w:val="auto"/>
              <w:lang w:eastAsia="en-AU"/>
            </w:rPr>
          </w:pPr>
          <w:hyperlink w:anchor="_Toc508969201" w:history="1">
            <w:r w:rsidR="004B7150" w:rsidRPr="005245E5">
              <w:rPr>
                <w:rStyle w:val="Hyperlink"/>
              </w:rPr>
              <w:t>How significant is the problem?</w:t>
            </w:r>
            <w:r w:rsidR="004B7150">
              <w:rPr>
                <w:webHidden/>
              </w:rPr>
              <w:tab/>
            </w:r>
            <w:r w:rsidR="004B7150">
              <w:rPr>
                <w:webHidden/>
              </w:rPr>
              <w:fldChar w:fldCharType="begin"/>
            </w:r>
            <w:r w:rsidR="004B7150">
              <w:rPr>
                <w:webHidden/>
              </w:rPr>
              <w:instrText xml:space="preserve"> PAGEREF _Toc508969201 \h </w:instrText>
            </w:r>
            <w:r w:rsidR="004B7150">
              <w:rPr>
                <w:webHidden/>
              </w:rPr>
            </w:r>
            <w:r w:rsidR="004B7150">
              <w:rPr>
                <w:webHidden/>
              </w:rPr>
              <w:fldChar w:fldCharType="separate"/>
            </w:r>
            <w:r w:rsidR="004B7150">
              <w:rPr>
                <w:webHidden/>
              </w:rPr>
              <w:t>5</w:t>
            </w:r>
            <w:r w:rsidR="004B7150">
              <w:rPr>
                <w:webHidden/>
              </w:rPr>
              <w:fldChar w:fldCharType="end"/>
            </w:r>
          </w:hyperlink>
        </w:p>
        <w:p w14:paraId="431508BF" w14:textId="77777777" w:rsidR="004B7150" w:rsidRDefault="00D5595E">
          <w:pPr>
            <w:pStyle w:val="TOC2"/>
            <w:rPr>
              <w:rFonts w:eastAsiaTheme="minorEastAsia"/>
              <w:color w:val="auto"/>
              <w:lang w:eastAsia="en-AU"/>
            </w:rPr>
          </w:pPr>
          <w:hyperlink w:anchor="_Toc508969202" w:history="1">
            <w:r w:rsidR="004B7150" w:rsidRPr="005245E5">
              <w:rPr>
                <w:rStyle w:val="Hyperlink"/>
              </w:rPr>
              <w:t>Previous consideration</w:t>
            </w:r>
            <w:r w:rsidR="004B7150">
              <w:rPr>
                <w:webHidden/>
              </w:rPr>
              <w:tab/>
            </w:r>
            <w:r w:rsidR="004B7150">
              <w:rPr>
                <w:webHidden/>
              </w:rPr>
              <w:fldChar w:fldCharType="begin"/>
            </w:r>
            <w:r w:rsidR="004B7150">
              <w:rPr>
                <w:webHidden/>
              </w:rPr>
              <w:instrText xml:space="preserve"> PAGEREF _Toc508969202 \h </w:instrText>
            </w:r>
            <w:r w:rsidR="004B7150">
              <w:rPr>
                <w:webHidden/>
              </w:rPr>
            </w:r>
            <w:r w:rsidR="004B7150">
              <w:rPr>
                <w:webHidden/>
              </w:rPr>
              <w:fldChar w:fldCharType="separate"/>
            </w:r>
            <w:r w:rsidR="004B7150">
              <w:rPr>
                <w:webHidden/>
              </w:rPr>
              <w:t>6</w:t>
            </w:r>
            <w:r w:rsidR="004B7150">
              <w:rPr>
                <w:webHidden/>
              </w:rPr>
              <w:fldChar w:fldCharType="end"/>
            </w:r>
          </w:hyperlink>
        </w:p>
        <w:p w14:paraId="18FD722A" w14:textId="77777777" w:rsidR="004B7150" w:rsidRDefault="00D5595E">
          <w:pPr>
            <w:pStyle w:val="TOC1"/>
            <w:rPr>
              <w:rFonts w:eastAsiaTheme="minorEastAsia"/>
              <w:b w:val="0"/>
              <w:caps w:val="0"/>
              <w:color w:val="auto"/>
              <w:lang w:eastAsia="en-AU"/>
            </w:rPr>
          </w:pPr>
          <w:hyperlink w:anchor="_Toc508969203" w:history="1">
            <w:r w:rsidR="004B7150" w:rsidRPr="005245E5">
              <w:rPr>
                <w:rStyle w:val="Hyperlink"/>
              </w:rPr>
              <w:t>Policy Objective</w:t>
            </w:r>
            <w:r w:rsidR="004B7150">
              <w:rPr>
                <w:webHidden/>
              </w:rPr>
              <w:tab/>
            </w:r>
            <w:r w:rsidR="004B7150">
              <w:rPr>
                <w:webHidden/>
              </w:rPr>
              <w:fldChar w:fldCharType="begin"/>
            </w:r>
            <w:r w:rsidR="004B7150">
              <w:rPr>
                <w:webHidden/>
              </w:rPr>
              <w:instrText xml:space="preserve"> PAGEREF _Toc508969203 \h </w:instrText>
            </w:r>
            <w:r w:rsidR="004B7150">
              <w:rPr>
                <w:webHidden/>
              </w:rPr>
            </w:r>
            <w:r w:rsidR="004B7150">
              <w:rPr>
                <w:webHidden/>
              </w:rPr>
              <w:fldChar w:fldCharType="separate"/>
            </w:r>
            <w:r w:rsidR="004B7150">
              <w:rPr>
                <w:webHidden/>
              </w:rPr>
              <w:t>7</w:t>
            </w:r>
            <w:r w:rsidR="004B7150">
              <w:rPr>
                <w:webHidden/>
              </w:rPr>
              <w:fldChar w:fldCharType="end"/>
            </w:r>
          </w:hyperlink>
        </w:p>
        <w:p w14:paraId="4E116284" w14:textId="77777777" w:rsidR="004B7150" w:rsidRDefault="00D5595E">
          <w:pPr>
            <w:pStyle w:val="TOC1"/>
            <w:rPr>
              <w:rFonts w:eastAsiaTheme="minorEastAsia"/>
              <w:b w:val="0"/>
              <w:caps w:val="0"/>
              <w:color w:val="auto"/>
              <w:lang w:eastAsia="en-AU"/>
            </w:rPr>
          </w:pPr>
          <w:hyperlink w:anchor="_Toc508969204" w:history="1">
            <w:r w:rsidR="004B7150" w:rsidRPr="005245E5">
              <w:rPr>
                <w:rStyle w:val="Hyperlink"/>
              </w:rPr>
              <w:t>Options and Impact Analysis</w:t>
            </w:r>
            <w:r w:rsidR="004B7150">
              <w:rPr>
                <w:webHidden/>
              </w:rPr>
              <w:tab/>
            </w:r>
            <w:r w:rsidR="004B7150">
              <w:rPr>
                <w:webHidden/>
              </w:rPr>
              <w:fldChar w:fldCharType="begin"/>
            </w:r>
            <w:r w:rsidR="004B7150">
              <w:rPr>
                <w:webHidden/>
              </w:rPr>
              <w:instrText xml:space="preserve"> PAGEREF _Toc508969204 \h </w:instrText>
            </w:r>
            <w:r w:rsidR="004B7150">
              <w:rPr>
                <w:webHidden/>
              </w:rPr>
            </w:r>
            <w:r w:rsidR="004B7150">
              <w:rPr>
                <w:webHidden/>
              </w:rPr>
              <w:fldChar w:fldCharType="separate"/>
            </w:r>
            <w:r w:rsidR="004B7150">
              <w:rPr>
                <w:webHidden/>
              </w:rPr>
              <w:t>8</w:t>
            </w:r>
            <w:r w:rsidR="004B7150">
              <w:rPr>
                <w:webHidden/>
              </w:rPr>
              <w:fldChar w:fldCharType="end"/>
            </w:r>
          </w:hyperlink>
        </w:p>
        <w:p w14:paraId="0BFD30B5" w14:textId="77777777" w:rsidR="004B7150" w:rsidRDefault="00D5595E">
          <w:pPr>
            <w:pStyle w:val="TOC2"/>
            <w:rPr>
              <w:rFonts w:eastAsiaTheme="minorEastAsia"/>
              <w:color w:val="auto"/>
              <w:lang w:eastAsia="en-AU"/>
            </w:rPr>
          </w:pPr>
          <w:hyperlink w:anchor="_Toc508969205" w:history="1">
            <w:r w:rsidR="004B7150" w:rsidRPr="004B7150">
              <w:rPr>
                <w:rStyle w:val="Hyperlink"/>
                <w:b w:val="0"/>
              </w:rPr>
              <w:t>Option 1</w:t>
            </w:r>
            <w:r w:rsidR="004B7150" w:rsidRPr="005245E5">
              <w:rPr>
                <w:rStyle w:val="Hyperlink"/>
              </w:rPr>
              <w:t>: Status quo</w:t>
            </w:r>
            <w:r w:rsidR="004B7150">
              <w:rPr>
                <w:webHidden/>
              </w:rPr>
              <w:tab/>
            </w:r>
            <w:r w:rsidR="004B7150">
              <w:rPr>
                <w:webHidden/>
              </w:rPr>
              <w:fldChar w:fldCharType="begin"/>
            </w:r>
            <w:r w:rsidR="004B7150">
              <w:rPr>
                <w:webHidden/>
              </w:rPr>
              <w:instrText xml:space="preserve"> PAGEREF _Toc508969205 \h </w:instrText>
            </w:r>
            <w:r w:rsidR="004B7150">
              <w:rPr>
                <w:webHidden/>
              </w:rPr>
            </w:r>
            <w:r w:rsidR="004B7150">
              <w:rPr>
                <w:webHidden/>
              </w:rPr>
              <w:fldChar w:fldCharType="separate"/>
            </w:r>
            <w:r w:rsidR="004B7150">
              <w:rPr>
                <w:webHidden/>
              </w:rPr>
              <w:t>8</w:t>
            </w:r>
            <w:r w:rsidR="004B7150">
              <w:rPr>
                <w:webHidden/>
              </w:rPr>
              <w:fldChar w:fldCharType="end"/>
            </w:r>
          </w:hyperlink>
        </w:p>
        <w:p w14:paraId="0B423F90" w14:textId="77777777" w:rsidR="004B7150" w:rsidRDefault="00D5595E">
          <w:pPr>
            <w:pStyle w:val="TOC2"/>
            <w:rPr>
              <w:rFonts w:eastAsiaTheme="minorEastAsia"/>
              <w:color w:val="auto"/>
              <w:lang w:eastAsia="en-AU"/>
            </w:rPr>
          </w:pPr>
          <w:hyperlink w:anchor="_Toc508969206" w:history="1">
            <w:r w:rsidR="004B7150" w:rsidRPr="005245E5">
              <w:rPr>
                <w:rStyle w:val="Hyperlink"/>
              </w:rPr>
              <w:t>Option 2: Goods purchased through auctions that are conducted entirely online, with no reasonable opportunity to inspect goods, receive access to the remainder of the consumer guarantees (that are available in the ACL for generic retail sales).</w:t>
            </w:r>
            <w:r w:rsidR="004B7150">
              <w:rPr>
                <w:webHidden/>
              </w:rPr>
              <w:tab/>
            </w:r>
            <w:r w:rsidR="004B7150">
              <w:rPr>
                <w:webHidden/>
              </w:rPr>
              <w:fldChar w:fldCharType="begin"/>
            </w:r>
            <w:r w:rsidR="004B7150">
              <w:rPr>
                <w:webHidden/>
              </w:rPr>
              <w:instrText xml:space="preserve"> PAGEREF _Toc508969206 \h </w:instrText>
            </w:r>
            <w:r w:rsidR="004B7150">
              <w:rPr>
                <w:webHidden/>
              </w:rPr>
            </w:r>
            <w:r w:rsidR="004B7150">
              <w:rPr>
                <w:webHidden/>
              </w:rPr>
              <w:fldChar w:fldCharType="separate"/>
            </w:r>
            <w:r w:rsidR="004B7150">
              <w:rPr>
                <w:webHidden/>
              </w:rPr>
              <w:t>12</w:t>
            </w:r>
            <w:r w:rsidR="004B7150">
              <w:rPr>
                <w:webHidden/>
              </w:rPr>
              <w:fldChar w:fldCharType="end"/>
            </w:r>
          </w:hyperlink>
        </w:p>
        <w:p w14:paraId="078D2672" w14:textId="77777777" w:rsidR="004B7150" w:rsidRDefault="00D5595E">
          <w:pPr>
            <w:pStyle w:val="TOC2"/>
            <w:rPr>
              <w:rFonts w:eastAsiaTheme="minorEastAsia"/>
              <w:color w:val="auto"/>
              <w:lang w:eastAsia="en-AU"/>
            </w:rPr>
          </w:pPr>
          <w:hyperlink w:anchor="_Toc508969207" w:history="1">
            <w:r w:rsidR="004B7150" w:rsidRPr="005245E5">
              <w:rPr>
                <w:rStyle w:val="Hyperlink"/>
              </w:rPr>
              <w:t>Option 3: Goods purchased through online auctions, regardless of the ability for a prior inspection (including traditional auctions that allow online bidding), receive access to the remainder of the consumer guarantees (that are available in the ACL for generic retail sales).</w:t>
            </w:r>
            <w:r w:rsidR="004B7150">
              <w:rPr>
                <w:webHidden/>
              </w:rPr>
              <w:tab/>
            </w:r>
            <w:r w:rsidR="004B7150">
              <w:rPr>
                <w:webHidden/>
              </w:rPr>
              <w:fldChar w:fldCharType="begin"/>
            </w:r>
            <w:r w:rsidR="004B7150">
              <w:rPr>
                <w:webHidden/>
              </w:rPr>
              <w:instrText xml:space="preserve"> PAGEREF _Toc508969207 \h </w:instrText>
            </w:r>
            <w:r w:rsidR="004B7150">
              <w:rPr>
                <w:webHidden/>
              </w:rPr>
            </w:r>
            <w:r w:rsidR="004B7150">
              <w:rPr>
                <w:webHidden/>
              </w:rPr>
              <w:fldChar w:fldCharType="separate"/>
            </w:r>
            <w:r w:rsidR="004B7150">
              <w:rPr>
                <w:webHidden/>
              </w:rPr>
              <w:t>16</w:t>
            </w:r>
            <w:r w:rsidR="004B7150">
              <w:rPr>
                <w:webHidden/>
              </w:rPr>
              <w:fldChar w:fldCharType="end"/>
            </w:r>
          </w:hyperlink>
        </w:p>
        <w:p w14:paraId="4D08A08E" w14:textId="77777777" w:rsidR="004B7150" w:rsidRDefault="00D5595E">
          <w:pPr>
            <w:pStyle w:val="TOC2"/>
            <w:rPr>
              <w:rFonts w:eastAsiaTheme="minorEastAsia"/>
              <w:color w:val="auto"/>
              <w:lang w:eastAsia="en-AU"/>
            </w:rPr>
          </w:pPr>
          <w:hyperlink w:anchor="_Toc508969208" w:history="1">
            <w:r w:rsidR="004B7150" w:rsidRPr="005245E5">
              <w:rPr>
                <w:rStyle w:val="Hyperlink"/>
              </w:rPr>
              <w:t>Option 4: All goods purchased through auctions will receive access to the remainder of the consumer guarantees (that are available in the ACL for generic retail sales).</w:t>
            </w:r>
            <w:r w:rsidR="004B7150">
              <w:rPr>
                <w:webHidden/>
              </w:rPr>
              <w:tab/>
            </w:r>
            <w:r w:rsidR="004B7150">
              <w:rPr>
                <w:webHidden/>
              </w:rPr>
              <w:fldChar w:fldCharType="begin"/>
            </w:r>
            <w:r w:rsidR="004B7150">
              <w:rPr>
                <w:webHidden/>
              </w:rPr>
              <w:instrText xml:space="preserve"> PAGEREF _Toc508969208 \h </w:instrText>
            </w:r>
            <w:r w:rsidR="004B7150">
              <w:rPr>
                <w:webHidden/>
              </w:rPr>
            </w:r>
            <w:r w:rsidR="004B7150">
              <w:rPr>
                <w:webHidden/>
              </w:rPr>
              <w:fldChar w:fldCharType="separate"/>
            </w:r>
            <w:r w:rsidR="004B7150">
              <w:rPr>
                <w:webHidden/>
              </w:rPr>
              <w:t>20</w:t>
            </w:r>
            <w:r w:rsidR="004B7150">
              <w:rPr>
                <w:webHidden/>
              </w:rPr>
              <w:fldChar w:fldCharType="end"/>
            </w:r>
          </w:hyperlink>
        </w:p>
        <w:p w14:paraId="5F0449D1" w14:textId="77777777" w:rsidR="004B7150" w:rsidRDefault="00D5595E">
          <w:pPr>
            <w:pStyle w:val="TOC1"/>
            <w:rPr>
              <w:rFonts w:eastAsiaTheme="minorEastAsia"/>
              <w:b w:val="0"/>
              <w:caps w:val="0"/>
              <w:color w:val="auto"/>
              <w:lang w:eastAsia="en-AU"/>
            </w:rPr>
          </w:pPr>
          <w:hyperlink w:anchor="_Toc508969209" w:history="1">
            <w:r w:rsidR="004B7150" w:rsidRPr="005245E5">
              <w:rPr>
                <w:rStyle w:val="Hyperlink"/>
              </w:rPr>
              <w:t>Focus Questions</w:t>
            </w:r>
            <w:r w:rsidR="004B7150">
              <w:rPr>
                <w:webHidden/>
              </w:rPr>
              <w:tab/>
            </w:r>
            <w:r w:rsidR="004B7150">
              <w:rPr>
                <w:webHidden/>
              </w:rPr>
              <w:fldChar w:fldCharType="begin"/>
            </w:r>
            <w:r w:rsidR="004B7150">
              <w:rPr>
                <w:webHidden/>
              </w:rPr>
              <w:instrText xml:space="preserve"> PAGEREF _Toc508969209 \h </w:instrText>
            </w:r>
            <w:r w:rsidR="004B7150">
              <w:rPr>
                <w:webHidden/>
              </w:rPr>
            </w:r>
            <w:r w:rsidR="004B7150">
              <w:rPr>
                <w:webHidden/>
              </w:rPr>
              <w:fldChar w:fldCharType="separate"/>
            </w:r>
            <w:r w:rsidR="004B7150">
              <w:rPr>
                <w:webHidden/>
              </w:rPr>
              <w:t>24</w:t>
            </w:r>
            <w:r w:rsidR="004B7150">
              <w:rPr>
                <w:webHidden/>
              </w:rPr>
              <w:fldChar w:fldCharType="end"/>
            </w:r>
          </w:hyperlink>
        </w:p>
        <w:p w14:paraId="545DF92D" w14:textId="77777777" w:rsidR="004D127F" w:rsidRPr="004D127F" w:rsidRDefault="004D127F" w:rsidP="004D127F">
          <w:pPr>
            <w:rPr>
              <w:b/>
            </w:rPr>
          </w:pPr>
          <w:r w:rsidRPr="004D127F">
            <w:fldChar w:fldCharType="end"/>
          </w:r>
        </w:p>
      </w:sdtContent>
    </w:sdt>
    <w:p w14:paraId="37450070" w14:textId="77777777" w:rsidR="00E565DC" w:rsidRPr="00E565DC" w:rsidRDefault="00E565DC" w:rsidP="00E565DC"/>
    <w:p w14:paraId="194A2579" w14:textId="086A9C4A" w:rsidR="00E565DC" w:rsidRPr="00E565DC" w:rsidRDefault="00E565DC" w:rsidP="00E565DC"/>
    <w:p w14:paraId="1C4E71A6" w14:textId="77777777" w:rsidR="00E565DC" w:rsidRPr="00E565DC" w:rsidRDefault="00E565DC" w:rsidP="00E565DC"/>
    <w:p w14:paraId="7CFA7216" w14:textId="77777777" w:rsidR="00E565DC" w:rsidRPr="00E565DC" w:rsidRDefault="00E565DC" w:rsidP="00E565DC"/>
    <w:p w14:paraId="4D4165CB" w14:textId="77777777" w:rsidR="00E565DC" w:rsidRPr="00E565DC" w:rsidRDefault="00E565DC" w:rsidP="00E565DC">
      <w:pPr>
        <w:sectPr w:rsidR="00E565DC" w:rsidRPr="00E565DC" w:rsidSect="0016292C">
          <w:headerReference w:type="first" r:id="rId25"/>
          <w:footerReference w:type="first" r:id="rId26"/>
          <w:type w:val="oddPage"/>
          <w:pgSz w:w="11906" w:h="16838"/>
          <w:pgMar w:top="1440" w:right="1440" w:bottom="1440" w:left="1440" w:header="708" w:footer="708" w:gutter="0"/>
          <w:cols w:space="708"/>
          <w:titlePg/>
          <w:docGrid w:linePitch="360"/>
        </w:sectPr>
      </w:pPr>
    </w:p>
    <w:p w14:paraId="1CD22904" w14:textId="365C9843" w:rsidR="007668BF" w:rsidRPr="004D127F" w:rsidRDefault="007517B8" w:rsidP="004D127F">
      <w:pPr>
        <w:pStyle w:val="Heading1-NoNumber"/>
      </w:pPr>
      <w:bookmarkStart w:id="5" w:name="_Toc508354777"/>
      <w:bookmarkStart w:id="6" w:name="_Toc508969196"/>
      <w:r w:rsidRPr="004D127F">
        <w:t>Executive Summary</w:t>
      </w:r>
      <w:bookmarkEnd w:id="1"/>
      <w:bookmarkEnd w:id="2"/>
      <w:bookmarkEnd w:id="3"/>
      <w:bookmarkEnd w:id="4"/>
      <w:bookmarkEnd w:id="5"/>
      <w:bookmarkEnd w:id="6"/>
      <w:r w:rsidR="007668BF" w:rsidRPr="004D127F">
        <w:t xml:space="preserve"> </w:t>
      </w:r>
    </w:p>
    <w:p w14:paraId="3D833809" w14:textId="77777777" w:rsidR="004E4529" w:rsidRPr="00E565DC" w:rsidRDefault="004E4529" w:rsidP="00E565DC">
      <w:r w:rsidRPr="00E565DC">
        <w:t>Currently, goods sold through some forms of auctions are exempt from certain consumer guarantees in the Australian Consumer Law (ACL) because, typically, consumers purchasing from traditional auctions have had the ability to inspect goods to identify any defects through an inspection.</w:t>
      </w:r>
    </w:p>
    <w:p w14:paraId="69EC5523" w14:textId="1400F9A6" w:rsidR="00BD6956" w:rsidRPr="00E565DC" w:rsidRDefault="004E4529" w:rsidP="00E565DC">
      <w:r w:rsidRPr="00E565DC">
        <w:t>Auctions that occur in an “online only” manner often do not provide consumers with the ability to inspect goods prior to purchase.</w:t>
      </w:r>
      <w:r w:rsidR="00BD6956" w:rsidRPr="00E565DC">
        <w:t xml:space="preserve"> However, the traditional rationa</w:t>
      </w:r>
      <w:r w:rsidR="007B3E9B" w:rsidRPr="00E565DC">
        <w:t>le for the exemptions is</w:t>
      </w:r>
      <w:r w:rsidR="00BD6956" w:rsidRPr="00E565DC">
        <w:t xml:space="preserve"> difficult to apply to the online context where consumer</w:t>
      </w:r>
      <w:r w:rsidR="007210E1" w:rsidRPr="00E565DC">
        <w:t>s</w:t>
      </w:r>
      <w:r w:rsidR="00BD6956" w:rsidRPr="00E565DC">
        <w:t xml:space="preserve"> usually do not have the opportunity to inspect goods prior to purchase</w:t>
      </w:r>
      <w:r w:rsidR="007B3E9B" w:rsidRPr="00E565DC">
        <w:t>.</w:t>
      </w:r>
    </w:p>
    <w:p w14:paraId="7EFC84E9" w14:textId="3788B6FA" w:rsidR="004E4529" w:rsidRPr="00E565DC" w:rsidRDefault="004E4529" w:rsidP="00E565DC">
      <w:r w:rsidRPr="00E565DC">
        <w:t>The Australian Consumer Law Review (the Review) proposed moderni</w:t>
      </w:r>
      <w:r w:rsidR="007B3E9B" w:rsidRPr="00E565DC">
        <w:t>s</w:t>
      </w:r>
      <w:r w:rsidRPr="00E565DC">
        <w:t>ing the ‘sale by auction’ exemption to ensure that the consumer guarantees apply regardless of whether the goods are being sold through an online auction. This chapter canvasses options regarding the appropriateness of the exemptions from certain consumer guarantees for online auctions and whether the remainder of the guarantees should apply.</w:t>
      </w:r>
    </w:p>
    <w:p w14:paraId="7FF6BB25" w14:textId="38DB7911" w:rsidR="00F02618" w:rsidRDefault="004E4529" w:rsidP="00E565DC">
      <w:r w:rsidRPr="00E565DC">
        <w:t>Views are sought on these options – including whether they would address the problem, how effective they would be and what impacts they would have on consumers</w:t>
      </w:r>
      <w:r w:rsidR="00BD6956" w:rsidRPr="00E565DC">
        <w:t xml:space="preserve"> and</w:t>
      </w:r>
      <w:r w:rsidRPr="00E565DC">
        <w:t xml:space="preserve"> businesses. Views on any alternative options regarding the exemptions auctions have from the consume</w:t>
      </w:r>
      <w:r w:rsidR="00040A95">
        <w:t>r guarantees are also welcome.</w:t>
      </w:r>
    </w:p>
    <w:p w14:paraId="2BDF8419" w14:textId="77777777" w:rsidR="00040A95" w:rsidRDefault="00040A95" w:rsidP="00E565DC"/>
    <w:p w14:paraId="38465E96" w14:textId="77777777" w:rsidR="00040A95" w:rsidRDefault="00040A95" w:rsidP="00E565DC"/>
    <w:p w14:paraId="799E79CB" w14:textId="77777777" w:rsidR="00040A95" w:rsidRDefault="00040A95" w:rsidP="00E565DC"/>
    <w:p w14:paraId="1E9D0EFF" w14:textId="77777777" w:rsidR="00040A95" w:rsidRDefault="00040A95" w:rsidP="00E565DC">
      <w:pPr>
        <w:sectPr w:rsidR="00040A95" w:rsidSect="002969BB">
          <w:footerReference w:type="first" r:id="rId27"/>
          <w:type w:val="oddPage"/>
          <w:pgSz w:w="11906" w:h="16838"/>
          <w:pgMar w:top="1440" w:right="1440" w:bottom="1440" w:left="1440" w:header="708" w:footer="708" w:gutter="0"/>
          <w:pgNumType w:start="1"/>
          <w:cols w:space="708"/>
          <w:titlePg/>
          <w:docGrid w:linePitch="360"/>
        </w:sectPr>
      </w:pPr>
    </w:p>
    <w:p w14:paraId="05B739EF" w14:textId="4DB7B36B" w:rsidR="00091581" w:rsidRPr="00653567" w:rsidRDefault="00D966EA" w:rsidP="00E565DC">
      <w:pPr>
        <w:pStyle w:val="Heading1-NoNumber"/>
      </w:pPr>
      <w:bookmarkStart w:id="7" w:name="_Toc501363803"/>
      <w:bookmarkStart w:id="8" w:name="_Toc501376273"/>
      <w:bookmarkStart w:id="9" w:name="_Toc507771522"/>
      <w:bookmarkStart w:id="10" w:name="_Toc508354778"/>
      <w:bookmarkStart w:id="11" w:name="_Toc508969197"/>
      <w:r w:rsidRPr="00653567">
        <w:t>Introduction</w:t>
      </w:r>
      <w:bookmarkEnd w:id="7"/>
      <w:bookmarkEnd w:id="8"/>
      <w:bookmarkEnd w:id="9"/>
      <w:bookmarkEnd w:id="10"/>
      <w:bookmarkEnd w:id="11"/>
    </w:p>
    <w:p w14:paraId="59D8562A" w14:textId="1670257E" w:rsidR="00AF2B8F" w:rsidRPr="00E565DC" w:rsidRDefault="00AF2B8F" w:rsidP="00E565DC">
      <w:pPr>
        <w:pStyle w:val="OutlineNumbered1"/>
      </w:pPr>
      <w:r w:rsidRPr="00E565DC">
        <w:t>An auction in the ACL covers situations where goods are sold through an auction that is conducted by an agent of a person. This definition covers ‘traditional auctions’</w:t>
      </w:r>
      <w:r w:rsidRPr="00E565DC">
        <w:rPr>
          <w:rStyle w:val="FootnoteReference"/>
        </w:rPr>
        <w:footnoteReference w:id="2"/>
      </w:r>
      <w:r w:rsidRPr="00E565DC">
        <w:t xml:space="preserve"> where an auctioneer is in a room taking bids on an item and some online auctions where the website operator is acting as an agent for the seller. Many online auction sites, such as EBay</w:t>
      </w:r>
      <w:r w:rsidR="007B3E9B" w:rsidRPr="00E565DC">
        <w:t>,</w:t>
      </w:r>
      <w:r w:rsidRPr="00E565DC">
        <w:t xml:space="preserve"> </w:t>
      </w:r>
      <w:r w:rsidR="007210E1" w:rsidRPr="00E565DC">
        <w:t xml:space="preserve">do not fall within the ACL’s definition of auction </w:t>
      </w:r>
      <w:r w:rsidRPr="00E565DC">
        <w:t xml:space="preserve">as the website in that instance is not acting as an agent. </w:t>
      </w:r>
    </w:p>
    <w:p w14:paraId="628DCF76" w14:textId="759E5795" w:rsidR="00BD6956" w:rsidRPr="00E565DC" w:rsidRDefault="00FD1A21" w:rsidP="00E565DC">
      <w:pPr>
        <w:pStyle w:val="OutlineNumbered1"/>
      </w:pPr>
      <w:r w:rsidRPr="00E565DC">
        <w:t xml:space="preserve">Currently, </w:t>
      </w:r>
      <w:r w:rsidR="000D6858" w:rsidRPr="00E565DC">
        <w:t>purchases</w:t>
      </w:r>
      <w:r w:rsidRPr="00E565DC">
        <w:t xml:space="preserve"> made</w:t>
      </w:r>
      <w:r w:rsidR="000D6858" w:rsidRPr="00E565DC">
        <w:t xml:space="preserve"> at auctions (in the scope of trade or commerce) </w:t>
      </w:r>
      <w:r w:rsidR="00420CF2" w:rsidRPr="00E565DC">
        <w:t>are sold subject</w:t>
      </w:r>
      <w:r w:rsidR="00992134" w:rsidRPr="00E565DC">
        <w:t xml:space="preserve"> to</w:t>
      </w:r>
      <w:r w:rsidR="00BD6956" w:rsidRPr="00E565DC">
        <w:t xml:space="preserve"> some, but not all of, the consumer guarantees. The consumer guarantees set out certain standards for goods and services that apply automatically, and provide consumers with a basis for seeking redress where suppliers fail to comply with the guarantees. The guarantees apply automatically and cannot be excluded, modified or restricted by any contractual terms.</w:t>
      </w:r>
    </w:p>
    <w:p w14:paraId="3A81D97F" w14:textId="106498DF" w:rsidR="00C739E7" w:rsidRPr="00E565DC" w:rsidRDefault="00BD6956" w:rsidP="00E565DC">
      <w:pPr>
        <w:pStyle w:val="OutlineNumbered1"/>
      </w:pPr>
      <w:r w:rsidRPr="00E565DC">
        <w:t>The guarantees that currently apply to auctions are those that e</w:t>
      </w:r>
      <w:r w:rsidR="00420CF2" w:rsidRPr="00E565DC">
        <w:t>nsure that</w:t>
      </w:r>
      <w:r w:rsidR="00C739E7" w:rsidRPr="00E565DC">
        <w:t xml:space="preserve"> the person selling the goods </w:t>
      </w:r>
      <w:r w:rsidR="00420CF2" w:rsidRPr="00E565DC">
        <w:t>has</w:t>
      </w:r>
      <w:r w:rsidR="00C739E7" w:rsidRPr="00E565DC">
        <w:t xml:space="preserve"> the right to sell those goods</w:t>
      </w:r>
      <w:r w:rsidR="00420CF2" w:rsidRPr="00E565DC">
        <w:t>. They have been</w:t>
      </w:r>
      <w:r w:rsidR="008D6A8A" w:rsidRPr="00E565DC">
        <w:t xml:space="preserve"> </w:t>
      </w:r>
      <w:r w:rsidR="00C739E7" w:rsidRPr="00E565DC">
        <w:t xml:space="preserve">considered critical for goods purchased at auction as a physical inspection of the goods would not reveal </w:t>
      </w:r>
      <w:r w:rsidR="00420CF2" w:rsidRPr="00E565DC">
        <w:t xml:space="preserve">the existence of </w:t>
      </w:r>
      <w:r w:rsidR="00C739E7" w:rsidRPr="00E565DC">
        <w:t>undeclared securities, uninterrupted title or undisturbed possession</w:t>
      </w:r>
      <w:r w:rsidR="00F4653B" w:rsidRPr="00E565DC">
        <w:t xml:space="preserve"> (sections 51, 52 and 53)</w:t>
      </w:r>
      <w:r w:rsidR="00C739E7" w:rsidRPr="00E565DC">
        <w:t>.</w:t>
      </w:r>
      <w:r w:rsidR="00C30B31" w:rsidRPr="00E565DC">
        <w:rPr>
          <w:rStyle w:val="FootnoteReference"/>
        </w:rPr>
        <w:footnoteReference w:id="3"/>
      </w:r>
      <w:r w:rsidR="00C739E7" w:rsidRPr="00E565DC">
        <w:t xml:space="preserve"> The application of these </w:t>
      </w:r>
      <w:r w:rsidR="00FD1A21" w:rsidRPr="00E565DC">
        <w:t xml:space="preserve">guarantees </w:t>
      </w:r>
      <w:r w:rsidR="00C739E7" w:rsidRPr="00E565DC">
        <w:t>to</w:t>
      </w:r>
      <w:r w:rsidR="00FD1A21" w:rsidRPr="00E565DC">
        <w:t xml:space="preserve"> purchases made at</w:t>
      </w:r>
      <w:r w:rsidR="00C739E7" w:rsidRPr="00E565DC">
        <w:t xml:space="preserve"> auction </w:t>
      </w:r>
      <w:r w:rsidR="00FD1A21" w:rsidRPr="00E565DC">
        <w:t>means</w:t>
      </w:r>
      <w:r w:rsidR="00C739E7" w:rsidRPr="00E565DC">
        <w:t xml:space="preserve"> consumer</w:t>
      </w:r>
      <w:r w:rsidR="00FD1A21" w:rsidRPr="00E565DC">
        <w:t>s</w:t>
      </w:r>
      <w:r w:rsidR="00C739E7" w:rsidRPr="00E565DC">
        <w:t xml:space="preserve"> </w:t>
      </w:r>
      <w:r w:rsidR="00FD1A21" w:rsidRPr="00E565DC">
        <w:t>can</w:t>
      </w:r>
      <w:r w:rsidR="00C739E7" w:rsidRPr="00E565DC">
        <w:t xml:space="preserve"> make purchases at auction confidently, knowing that there will not be a subsequent attempt to reclaim the goods </w:t>
      </w:r>
      <w:r w:rsidR="005D7569" w:rsidRPr="00E565DC">
        <w:t>by</w:t>
      </w:r>
      <w:r w:rsidR="00C739E7" w:rsidRPr="00E565DC">
        <w:t xml:space="preserve"> another person.</w:t>
      </w:r>
      <w:r w:rsidR="008D6A8A" w:rsidRPr="00E565DC">
        <w:t xml:space="preserve"> </w:t>
      </w:r>
    </w:p>
    <w:p w14:paraId="328D78B8" w14:textId="015859C2" w:rsidR="00091581" w:rsidRPr="00E565DC" w:rsidRDefault="000D6858" w:rsidP="00E565DC">
      <w:pPr>
        <w:pStyle w:val="OutlineNumbered1"/>
      </w:pPr>
      <w:r w:rsidRPr="00E565DC">
        <w:t xml:space="preserve">Goods purchased at auction </w:t>
      </w:r>
      <w:r w:rsidR="00B32C49" w:rsidRPr="00E565DC">
        <w:t xml:space="preserve">are currently </w:t>
      </w:r>
      <w:r w:rsidR="00307862" w:rsidRPr="00E565DC">
        <w:t>exempted</w:t>
      </w:r>
      <w:r w:rsidRPr="00E565DC">
        <w:t xml:space="preserve"> from</w:t>
      </w:r>
      <w:r w:rsidR="00091581" w:rsidRPr="00E565DC">
        <w:t xml:space="preserve"> the following guarantees on the basis that consumers should be able to inspect goods prior to the auction:</w:t>
      </w:r>
    </w:p>
    <w:p w14:paraId="677B7FD7" w14:textId="5C9270FD" w:rsidR="000D6858" w:rsidRPr="004D127F" w:rsidRDefault="000D6858" w:rsidP="004D127F">
      <w:pPr>
        <w:pStyle w:val="Bullet-Indent"/>
      </w:pPr>
      <w:r w:rsidRPr="004D127F">
        <w:rPr>
          <w:b/>
        </w:rPr>
        <w:t>Section 54</w:t>
      </w:r>
      <w:r w:rsidRPr="004D127F">
        <w:t xml:space="preserve"> </w:t>
      </w:r>
      <w:r w:rsidR="007B3E9B" w:rsidRPr="004D127F">
        <w:t>–</w:t>
      </w:r>
      <w:r w:rsidRPr="004D127F">
        <w:t xml:space="preserve"> Guarantee as to acceptable quality</w:t>
      </w:r>
    </w:p>
    <w:p w14:paraId="6E9687A7" w14:textId="316E1925" w:rsidR="00091581" w:rsidRPr="004D127F" w:rsidRDefault="00091581" w:rsidP="004D127F">
      <w:pPr>
        <w:pStyle w:val="Dash-Indent"/>
      </w:pPr>
      <w:r w:rsidRPr="004D127F">
        <w:t>Goods supplied must be of acceptable quality</w:t>
      </w:r>
      <w:r w:rsidR="00F36231" w:rsidRPr="004D127F">
        <w:t>,</w:t>
      </w:r>
      <w:r w:rsidRPr="004D127F">
        <w:t xml:space="preserve"> that is, fit for all the purposes for which goods of that kind are commonly supplied, acceptable in appearance and finish, free from defects, safe, and durable. </w:t>
      </w:r>
    </w:p>
    <w:p w14:paraId="07E443A2" w14:textId="68FB44BF" w:rsidR="000D6858" w:rsidRPr="004D127F" w:rsidRDefault="000D6858" w:rsidP="004D127F">
      <w:pPr>
        <w:pStyle w:val="Bullet-Indent"/>
      </w:pPr>
      <w:r w:rsidRPr="004D127F">
        <w:rPr>
          <w:b/>
        </w:rPr>
        <w:t>Section 55</w:t>
      </w:r>
      <w:r w:rsidRPr="004D127F">
        <w:t xml:space="preserve"> </w:t>
      </w:r>
      <w:r w:rsidR="007B3E9B" w:rsidRPr="004D127F">
        <w:t>–</w:t>
      </w:r>
      <w:r w:rsidRPr="004D127F">
        <w:t xml:space="preserve"> Guarantee as to fitness for any disclosed purpose </w:t>
      </w:r>
    </w:p>
    <w:p w14:paraId="48B89B39" w14:textId="42F254B1" w:rsidR="00A7101A" w:rsidRPr="00653567" w:rsidRDefault="00091581" w:rsidP="00E565DC">
      <w:pPr>
        <w:pStyle w:val="Dash-Indent"/>
      </w:pPr>
      <w:r w:rsidRPr="00653567">
        <w:t>Goods must be fit to be used for any particular purpose disclosed by the consumer to the supplier, where the consumer relies on, or it is reasonable for a consumer to rely on, the skill or judgement of the supplier.</w:t>
      </w:r>
    </w:p>
    <w:p w14:paraId="67A3E593" w14:textId="77777777" w:rsidR="00E565DC" w:rsidRDefault="00E565DC">
      <w:pPr>
        <w:spacing w:after="200" w:line="276" w:lineRule="auto"/>
        <w:jc w:val="left"/>
        <w:rPr>
          <w:rFonts w:ascii="Calibri" w:eastAsiaTheme="majorEastAsia" w:hAnsi="Calibri" w:cstheme="majorBidi"/>
          <w:color w:val="000000" w:themeColor="text1"/>
          <w:szCs w:val="28"/>
        </w:rPr>
      </w:pPr>
      <w:r>
        <w:br w:type="page"/>
      </w:r>
    </w:p>
    <w:p w14:paraId="5B03603D" w14:textId="18A0B09B" w:rsidR="000D6858" w:rsidRPr="00E565DC" w:rsidRDefault="000D6858" w:rsidP="004D127F">
      <w:pPr>
        <w:pStyle w:val="Bullet-Indent"/>
      </w:pPr>
      <w:r w:rsidRPr="00E565DC">
        <w:rPr>
          <w:b/>
        </w:rPr>
        <w:t>Section 56</w:t>
      </w:r>
      <w:r w:rsidRPr="00E565DC">
        <w:t xml:space="preserve"> – Guarantee relating to the supply of goods by description</w:t>
      </w:r>
    </w:p>
    <w:p w14:paraId="058CBE77" w14:textId="4825F517" w:rsidR="00A320DE" w:rsidRPr="00653567" w:rsidRDefault="00091581" w:rsidP="00E565DC">
      <w:pPr>
        <w:pStyle w:val="Dash-Indent"/>
      </w:pPr>
      <w:r w:rsidRPr="00653567">
        <w:t>Goods must match any description of a good made by the supplier prior to the supply</w:t>
      </w:r>
      <w:r w:rsidR="00FD37D9" w:rsidRPr="00653567">
        <w:t>.</w:t>
      </w:r>
      <w:r w:rsidR="008E430E" w:rsidRPr="00653567">
        <w:t xml:space="preserve">  </w:t>
      </w:r>
    </w:p>
    <w:p w14:paraId="2B8FDB74" w14:textId="77777777" w:rsidR="000D6858" w:rsidRPr="00E565DC" w:rsidRDefault="000D6858" w:rsidP="004D127F">
      <w:pPr>
        <w:pStyle w:val="Bullet-Indent"/>
      </w:pPr>
      <w:r w:rsidRPr="00E565DC">
        <w:rPr>
          <w:b/>
        </w:rPr>
        <w:t>Section 57</w:t>
      </w:r>
      <w:r w:rsidRPr="00E565DC">
        <w:t xml:space="preserve"> – Guarantee relating to the supply of goods by sample or demonstration model</w:t>
      </w:r>
    </w:p>
    <w:p w14:paraId="03738C2A" w14:textId="1D2A0651" w:rsidR="00A320DE" w:rsidRPr="00653567" w:rsidRDefault="00091581" w:rsidP="00E565DC">
      <w:pPr>
        <w:pStyle w:val="Dash-Indent"/>
      </w:pPr>
      <w:r w:rsidRPr="00653567">
        <w:t>Where goods are sold by reference to a sample or demonstration model, the goods must correspond to that sample or demonstration model.</w:t>
      </w:r>
      <w:r w:rsidR="008E430E" w:rsidRPr="00653567">
        <w:t xml:space="preserve">  </w:t>
      </w:r>
    </w:p>
    <w:p w14:paraId="48E2BC12" w14:textId="77777777" w:rsidR="000D6858" w:rsidRPr="00E565DC" w:rsidRDefault="000D6858" w:rsidP="004D127F">
      <w:pPr>
        <w:pStyle w:val="Bullet-Indent"/>
      </w:pPr>
      <w:r w:rsidRPr="00E565DC">
        <w:rPr>
          <w:b/>
        </w:rPr>
        <w:t>Section 58</w:t>
      </w:r>
      <w:r w:rsidRPr="00E565DC">
        <w:t xml:space="preserve"> – Guarantee as to repairs and spare parts</w:t>
      </w:r>
    </w:p>
    <w:p w14:paraId="318B966E" w14:textId="7EB586F2" w:rsidR="00FD37D9" w:rsidRPr="00653567" w:rsidRDefault="00091581" w:rsidP="00E565DC">
      <w:pPr>
        <w:pStyle w:val="Dash-Indent"/>
      </w:pPr>
      <w:r w:rsidRPr="00653567">
        <w:t>Spare parts and repair facilities for goods must be available for a reasonable period of time after the supply of the good.</w:t>
      </w:r>
    </w:p>
    <w:p w14:paraId="3C746A78" w14:textId="4CDCF729" w:rsidR="00420CF2" w:rsidRPr="00E565DC" w:rsidRDefault="000D6858" w:rsidP="004D127F">
      <w:pPr>
        <w:pStyle w:val="Bullet-Indent"/>
      </w:pPr>
      <w:r w:rsidRPr="00E565DC">
        <w:rPr>
          <w:b/>
        </w:rPr>
        <w:t>Section 59</w:t>
      </w:r>
      <w:r w:rsidRPr="00E565DC">
        <w:t xml:space="preserve"> – Guarantee as to express warranties </w:t>
      </w:r>
    </w:p>
    <w:p w14:paraId="10B4925C" w14:textId="781370D3" w:rsidR="008E430E" w:rsidRPr="00653567" w:rsidRDefault="00091581" w:rsidP="00E565DC">
      <w:pPr>
        <w:pStyle w:val="Dash-Indent"/>
      </w:pPr>
      <w:r w:rsidRPr="00653567">
        <w:t xml:space="preserve">Suppliers and manufacturers must comply with any express warranties made when they sell goods to consumers.  </w:t>
      </w:r>
      <w:r w:rsidR="008E430E" w:rsidRPr="00653567">
        <w:t xml:space="preserve">  </w:t>
      </w:r>
    </w:p>
    <w:p w14:paraId="4609D3E4" w14:textId="43F5EB2F" w:rsidR="00711990" w:rsidRPr="00653567" w:rsidRDefault="00327F7C" w:rsidP="00E565DC">
      <w:pPr>
        <w:pStyle w:val="OutlineNumbered1"/>
      </w:pPr>
      <w:r w:rsidRPr="00653567">
        <w:t xml:space="preserve">When there is a </w:t>
      </w:r>
      <w:r w:rsidR="00B22E51" w:rsidRPr="00B22E51">
        <w:t xml:space="preserve">failure to meet the guarantees </w:t>
      </w:r>
      <w:r w:rsidRPr="00653567">
        <w:t xml:space="preserve">for a good sold by auction, </w:t>
      </w:r>
      <w:r w:rsidR="00711990" w:rsidRPr="00653567">
        <w:t>any action to right the failure will need to be pursued against t</w:t>
      </w:r>
      <w:r w:rsidRPr="00653567">
        <w:t xml:space="preserve">he person who provided the good for auction. Generally, this will be the business putting their good up for auction through the auction house.  </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2F2F2" w:themeFill="background1" w:themeFillShade="F2"/>
        <w:tblLook w:val="04A0" w:firstRow="1" w:lastRow="0" w:firstColumn="1" w:lastColumn="0" w:noHBand="0" w:noVBand="1"/>
      </w:tblPr>
      <w:tblGrid>
        <w:gridCol w:w="9242"/>
      </w:tblGrid>
      <w:tr w:rsidR="00F85174" w:rsidRPr="00653567" w14:paraId="1D3F3703" w14:textId="77777777" w:rsidTr="00BD01D5">
        <w:tc>
          <w:tcPr>
            <w:tcW w:w="9242" w:type="dxa"/>
            <w:shd w:val="clear" w:color="auto" w:fill="F2F2F2" w:themeFill="background1" w:themeFillShade="F2"/>
          </w:tcPr>
          <w:p w14:paraId="296F3326" w14:textId="792AD875" w:rsidR="00F85174" w:rsidRPr="00653567" w:rsidRDefault="00F85174" w:rsidP="00E565DC">
            <w:pPr>
              <w:pStyle w:val="BoxHeading"/>
            </w:pPr>
            <w:r w:rsidRPr="00653567">
              <w:t xml:space="preserve">Focus Questions </w:t>
            </w:r>
          </w:p>
          <w:p w14:paraId="2A0A011D" w14:textId="29B7E4E9" w:rsidR="00F85174" w:rsidRPr="00E565DC" w:rsidRDefault="008C739B" w:rsidP="00E565DC">
            <w:pPr>
              <w:pStyle w:val="BoxHeadingSub"/>
            </w:pPr>
            <w:r w:rsidRPr="00E565DC">
              <w:t>For businesses</w:t>
            </w:r>
          </w:p>
          <w:p w14:paraId="491177E5" w14:textId="5C183CC5" w:rsidR="008C739B" w:rsidRPr="00653567" w:rsidRDefault="008C739B" w:rsidP="00E565DC">
            <w:pPr>
              <w:pStyle w:val="BoxBullet"/>
            </w:pPr>
            <w:r w:rsidRPr="00653567">
              <w:t>Are you aware that you have obligations under the consumer guarantee framework</w:t>
            </w:r>
            <w:r w:rsidR="00327F7C" w:rsidRPr="00653567">
              <w:t xml:space="preserve"> when selling goods through auction</w:t>
            </w:r>
            <w:r w:rsidR="00C03373" w:rsidRPr="00653567">
              <w:t xml:space="preserve"> and do you have m</w:t>
            </w:r>
            <w:r w:rsidR="007B3E9B">
              <w:t xml:space="preserve">echanisms in place to </w:t>
            </w:r>
            <w:r w:rsidR="00C03373" w:rsidRPr="00653567">
              <w:t>inform consumers of these rights</w:t>
            </w:r>
            <w:r w:rsidRPr="00653567">
              <w:t>?</w:t>
            </w:r>
          </w:p>
          <w:p w14:paraId="5AFF86AD" w14:textId="1FCDF35C" w:rsidR="008C739B" w:rsidRPr="00653567" w:rsidRDefault="008C739B" w:rsidP="00E565DC">
            <w:pPr>
              <w:pStyle w:val="BoxHeadingSub"/>
            </w:pPr>
            <w:r w:rsidRPr="00653567">
              <w:t>For consumers</w:t>
            </w:r>
          </w:p>
          <w:p w14:paraId="5CD973E0" w14:textId="3662C20B" w:rsidR="00F85174" w:rsidRPr="00E565DC" w:rsidRDefault="00684E8B" w:rsidP="00E565DC">
            <w:pPr>
              <w:pStyle w:val="BoxBullet"/>
            </w:pPr>
            <w:r w:rsidRPr="00E565DC">
              <w:t>Are</w:t>
            </w:r>
            <w:r w:rsidR="008C739B" w:rsidRPr="00E565DC">
              <w:t xml:space="preserve"> you aware that you ha</w:t>
            </w:r>
            <w:r w:rsidRPr="00E565DC">
              <w:t>ve</w:t>
            </w:r>
            <w:r w:rsidR="008C739B" w:rsidRPr="00E565DC">
              <w:t xml:space="preserve"> </w:t>
            </w:r>
            <w:r w:rsidRPr="00E565DC">
              <w:t>some</w:t>
            </w:r>
            <w:r w:rsidR="008C739B" w:rsidRPr="00E565DC">
              <w:t xml:space="preserve"> consumer guarantee rights when purchasing at an auction?</w:t>
            </w:r>
          </w:p>
        </w:tc>
      </w:tr>
    </w:tbl>
    <w:p w14:paraId="611CBEE7" w14:textId="77777777" w:rsidR="00E565DC" w:rsidRDefault="00E565DC" w:rsidP="00E565DC">
      <w:pPr>
        <w:pStyle w:val="Singleparagraph"/>
      </w:pPr>
    </w:p>
    <w:p w14:paraId="40E59528" w14:textId="2064F9EA" w:rsidR="00B105D3" w:rsidRPr="0016292C" w:rsidRDefault="00A763BD" w:rsidP="00E565DC">
      <w:pPr>
        <w:pStyle w:val="Heading2-NoNumbered"/>
      </w:pPr>
      <w:bookmarkStart w:id="12" w:name="_Toc508354779"/>
      <w:bookmarkStart w:id="13" w:name="_Toc508969198"/>
      <w:r w:rsidRPr="0016292C">
        <w:t>Relevant state and territory laws</w:t>
      </w:r>
      <w:bookmarkEnd w:id="12"/>
      <w:bookmarkEnd w:id="13"/>
      <w:r w:rsidRPr="0016292C">
        <w:t xml:space="preserve"> </w:t>
      </w:r>
    </w:p>
    <w:p w14:paraId="61C55609" w14:textId="789E4418" w:rsidR="00A11BF8" w:rsidRPr="00653567" w:rsidRDefault="00A763BD" w:rsidP="00E565DC">
      <w:pPr>
        <w:pStyle w:val="OutlineNumbered1"/>
      </w:pPr>
      <w:r w:rsidRPr="00653567">
        <w:t xml:space="preserve">In addition to the ACL, auctions and auctioneers are regulated by various state and territory laws. </w:t>
      </w:r>
      <w:r w:rsidR="005739A8" w:rsidRPr="00653567">
        <w:t>The various laws prescribe the conditions under which auctions</w:t>
      </w:r>
      <w:r w:rsidR="00F3707E" w:rsidRPr="00653567">
        <w:t xml:space="preserve"> can be held and</w:t>
      </w:r>
      <w:r w:rsidR="005739A8" w:rsidRPr="00653567">
        <w:t xml:space="preserve"> the licencing of auctioneers</w:t>
      </w:r>
      <w:r w:rsidR="00F3707E" w:rsidRPr="00653567">
        <w:t xml:space="preserve">. </w:t>
      </w:r>
      <w:r w:rsidR="00A11BF8" w:rsidRPr="00653567">
        <w:t xml:space="preserve">Many auctioneering </w:t>
      </w:r>
      <w:r w:rsidR="00317F54" w:rsidRPr="00653567">
        <w:t xml:space="preserve">laws require </w:t>
      </w:r>
      <w:r w:rsidR="00A11BF8" w:rsidRPr="00653567">
        <w:t xml:space="preserve">that an auctioneer must not knowingly </w:t>
      </w:r>
      <w:r w:rsidR="00B618B1" w:rsidRPr="00653567">
        <w:t>misrepresent their</w:t>
      </w:r>
      <w:r w:rsidR="00A11BF8" w:rsidRPr="00653567">
        <w:t xml:space="preserve"> description of the goods being sold. </w:t>
      </w:r>
    </w:p>
    <w:p w14:paraId="6ECB5764" w14:textId="4F89DB67" w:rsidR="00A11BF8" w:rsidRDefault="00AF2B8F" w:rsidP="00E565DC">
      <w:pPr>
        <w:pStyle w:val="OutlineNumbered1"/>
      </w:pPr>
      <w:r w:rsidRPr="00653567">
        <w:t>In addition</w:t>
      </w:r>
      <w:r w:rsidR="00A7101A" w:rsidRPr="00653567">
        <w:t>,</w:t>
      </w:r>
      <w:r w:rsidRPr="00653567">
        <w:t xml:space="preserve"> </w:t>
      </w:r>
      <w:r w:rsidR="007B3E9B">
        <w:t>s</w:t>
      </w:r>
      <w:r w:rsidRPr="00653567">
        <w:t>tate</w:t>
      </w:r>
      <w:r w:rsidR="00A7101A" w:rsidRPr="00653567">
        <w:t xml:space="preserve"> and </w:t>
      </w:r>
      <w:r w:rsidR="007B3E9B">
        <w:t>t</w:t>
      </w:r>
      <w:r w:rsidR="00A7101A" w:rsidRPr="00653567">
        <w:t>erritory</w:t>
      </w:r>
      <w:r w:rsidRPr="00653567">
        <w:t xml:space="preserve"> regulations may pres</w:t>
      </w:r>
      <w:r w:rsidR="007B3E9B">
        <w:t>cribe additional requirements. F</w:t>
      </w:r>
      <w:r w:rsidRPr="00653567">
        <w:t>or example</w:t>
      </w:r>
      <w:r w:rsidR="007B3E9B">
        <w:t>,</w:t>
      </w:r>
      <w:r w:rsidRPr="00653567">
        <w:t xml:space="preserve"> </w:t>
      </w:r>
      <w:r w:rsidR="00F3707E" w:rsidRPr="00653567">
        <w:rPr>
          <w:i/>
        </w:rPr>
        <w:t>The Motor Dealers and Chattel Auctioneers Act 2014</w:t>
      </w:r>
      <w:r w:rsidR="00317F54" w:rsidRPr="00653567">
        <w:t xml:space="preserve"> (Qld)</w:t>
      </w:r>
      <w:r w:rsidR="00F3707E" w:rsidRPr="00653567">
        <w:t xml:space="preserve"> </w:t>
      </w:r>
      <w:r w:rsidR="00317F54" w:rsidRPr="00653567">
        <w:t>also</w:t>
      </w:r>
      <w:r w:rsidR="00F3707E" w:rsidRPr="00653567">
        <w:t xml:space="preserve"> provide</w:t>
      </w:r>
      <w:r w:rsidR="00317F54" w:rsidRPr="00653567">
        <w:t>s</w:t>
      </w:r>
      <w:r w:rsidR="00F3707E" w:rsidRPr="00653567">
        <w:t xml:space="preserve"> consumers with an additional statutory warranty in relation to motor vehicles</w:t>
      </w:r>
      <w:r w:rsidR="00D32CB9" w:rsidRPr="00653567">
        <w:t>, including those sold at auction,</w:t>
      </w:r>
      <w:r w:rsidR="00E565DC">
        <w:t xml:space="preserve"> in certain circumstances.</w:t>
      </w:r>
    </w:p>
    <w:p w14:paraId="10EB879B" w14:textId="77777777" w:rsidR="00E565DC" w:rsidRDefault="00E565DC" w:rsidP="00E565DC">
      <w:pPr>
        <w:sectPr w:rsidR="00E565DC" w:rsidSect="002969BB">
          <w:footerReference w:type="first" r:id="rId28"/>
          <w:pgSz w:w="11906" w:h="16838"/>
          <w:pgMar w:top="1440" w:right="1440" w:bottom="1440" w:left="1440" w:header="709" w:footer="709" w:gutter="0"/>
          <w:cols w:space="708"/>
          <w:titlePg/>
          <w:docGrid w:linePitch="360"/>
        </w:sectPr>
      </w:pPr>
    </w:p>
    <w:p w14:paraId="1479B0B2" w14:textId="05F52436" w:rsidR="002B0709" w:rsidRPr="00653567" w:rsidRDefault="00D966EA" w:rsidP="00E565DC">
      <w:pPr>
        <w:pStyle w:val="Heading1-NoNumber"/>
      </w:pPr>
      <w:bookmarkStart w:id="14" w:name="_Toc501363805"/>
      <w:bookmarkStart w:id="15" w:name="_Toc501376275"/>
      <w:bookmarkStart w:id="16" w:name="_Toc507771523"/>
      <w:bookmarkStart w:id="17" w:name="_Toc508354780"/>
      <w:bookmarkStart w:id="18" w:name="_Toc508969199"/>
      <w:r w:rsidRPr="00653567">
        <w:t xml:space="preserve">The </w:t>
      </w:r>
      <w:r w:rsidR="002B0709" w:rsidRPr="00653567">
        <w:t>Problem</w:t>
      </w:r>
      <w:bookmarkEnd w:id="14"/>
      <w:bookmarkEnd w:id="15"/>
      <w:bookmarkEnd w:id="16"/>
      <w:bookmarkEnd w:id="17"/>
      <w:bookmarkEnd w:id="18"/>
    </w:p>
    <w:tbl>
      <w:tblPr>
        <w:tblW w:w="9242" w:type="dxa"/>
        <w:tblInd w:w="-6"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242"/>
      </w:tblGrid>
      <w:tr w:rsidR="00C55EC3" w:rsidRPr="00653567" w14:paraId="0F64748F" w14:textId="77777777" w:rsidTr="0063134B">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1E0D502F" w14:textId="5502B44C" w:rsidR="00C55EC3" w:rsidRDefault="0037429E" w:rsidP="00E565DC">
            <w:pPr>
              <w:pStyle w:val="BoxHeading"/>
            </w:pPr>
            <w:r w:rsidRPr="00653567">
              <w:t>Summar</w:t>
            </w:r>
            <w:r>
              <w:t>y</w:t>
            </w:r>
          </w:p>
          <w:p w14:paraId="1F335584" w14:textId="6E648ADC" w:rsidR="00C55EC3" w:rsidRPr="00E565DC" w:rsidRDefault="00C55EC3" w:rsidP="00E565DC">
            <w:pPr>
              <w:pStyle w:val="BoxText"/>
            </w:pPr>
            <w:r w:rsidRPr="00E565DC">
              <w:t xml:space="preserve">Goods sold, in trade or commerce, by auction are currently exempt from the majority of consumer guarantees. The Review reached the conclusion that the “sale by auction exemptions” should be modernised to take account of the increasing number of online auctions which do not allow for prior inspection of goods.   </w:t>
            </w:r>
          </w:p>
        </w:tc>
      </w:tr>
    </w:tbl>
    <w:p w14:paraId="7198BB83" w14:textId="77777777" w:rsidR="00C55EC3" w:rsidRDefault="00C55EC3" w:rsidP="00E565DC">
      <w:pPr>
        <w:pStyle w:val="Singleparagraph"/>
      </w:pPr>
    </w:p>
    <w:p w14:paraId="6EA32E3A" w14:textId="77777777" w:rsidR="00AD231A" w:rsidRPr="00653567" w:rsidRDefault="00AD231A" w:rsidP="00E565DC">
      <w:pPr>
        <w:pStyle w:val="Heading2-NoNumbered"/>
      </w:pPr>
      <w:bookmarkStart w:id="19" w:name="_Toc508354781"/>
      <w:bookmarkStart w:id="20" w:name="_Toc508969200"/>
      <w:r w:rsidRPr="00653567">
        <w:t>What is the problem?</w:t>
      </w:r>
      <w:bookmarkEnd w:id="19"/>
      <w:bookmarkEnd w:id="20"/>
      <w:r w:rsidRPr="00653567">
        <w:t xml:space="preserve"> </w:t>
      </w:r>
    </w:p>
    <w:p w14:paraId="6E01D2DC" w14:textId="77777777" w:rsidR="00C8322C" w:rsidRPr="00653567" w:rsidRDefault="00250E46" w:rsidP="00E565DC">
      <w:pPr>
        <w:pStyle w:val="OutlineNumbered1"/>
      </w:pPr>
      <w:r w:rsidRPr="00653567">
        <w:t xml:space="preserve">Auctions are a popular way for consumers to purchase goods and for businesses to dispose of goods cheaply and efficiently. </w:t>
      </w:r>
      <w:r w:rsidR="00C8322C" w:rsidRPr="00653567">
        <w:t>Auctions fulfil an important role in the economy by allowing businesses to dispose of goods quickly and without ongoing liabilities. This low cost mechanism is particularly important for businesses in receivership or seeking to dispose of goods at the end of their saleable life.</w:t>
      </w:r>
    </w:p>
    <w:p w14:paraId="782C302D" w14:textId="71E9B826" w:rsidR="0017559A" w:rsidRPr="00653567" w:rsidRDefault="00DF5B6F" w:rsidP="00E565DC">
      <w:pPr>
        <w:pStyle w:val="OutlineNumbered1"/>
      </w:pPr>
      <w:r w:rsidRPr="00653567">
        <w:t>Traditionally,</w:t>
      </w:r>
      <w:r w:rsidR="00250E46" w:rsidRPr="00653567">
        <w:t xml:space="preserve"> consumers purchasing at auction</w:t>
      </w:r>
      <w:r w:rsidRPr="00653567">
        <w:t>s</w:t>
      </w:r>
      <w:r w:rsidR="00250E46" w:rsidRPr="00653567">
        <w:t xml:space="preserve"> would inspect goods prior to </w:t>
      </w:r>
      <w:r w:rsidRPr="00653567">
        <w:t>the sale</w:t>
      </w:r>
      <w:r w:rsidR="00250E46" w:rsidRPr="00653567">
        <w:t xml:space="preserve"> </w:t>
      </w:r>
      <w:r w:rsidRPr="00653567">
        <w:t xml:space="preserve">so they </w:t>
      </w:r>
      <w:r w:rsidR="00786676" w:rsidRPr="00653567">
        <w:t>could make an assessment of the condition of the good</w:t>
      </w:r>
      <w:r w:rsidR="00250E46" w:rsidRPr="00653567">
        <w:t xml:space="preserve">. </w:t>
      </w:r>
    </w:p>
    <w:p w14:paraId="1E40B5DA" w14:textId="599B459F" w:rsidR="00F31C2B" w:rsidRPr="00653567" w:rsidRDefault="0017559A" w:rsidP="00E565DC">
      <w:pPr>
        <w:pStyle w:val="OutlineNumbered1"/>
      </w:pPr>
      <w:r w:rsidRPr="00653567">
        <w:t xml:space="preserve">Businesses are not under an obligation to disclose the quality of goods sold at auction and without an </w:t>
      </w:r>
      <w:r w:rsidR="00FA451A" w:rsidRPr="00653567">
        <w:t xml:space="preserve">inspection </w:t>
      </w:r>
      <w:r w:rsidRPr="00653567">
        <w:t xml:space="preserve">it may be difficult for a consumer to determine the various qualities of the good being auctioned. </w:t>
      </w:r>
    </w:p>
    <w:p w14:paraId="46B7A0A3" w14:textId="16A55CE8" w:rsidR="004A65D9" w:rsidRPr="00653567" w:rsidRDefault="00B20590" w:rsidP="00E565DC">
      <w:pPr>
        <w:pStyle w:val="OutlineNumbered1"/>
      </w:pPr>
      <w:r w:rsidRPr="00653567">
        <w:t xml:space="preserve">Consumers purchasing goods without the option to inspect are at a significant disadvantage. </w:t>
      </w:r>
      <w:r w:rsidR="001B07B7" w:rsidRPr="00653567">
        <w:t xml:space="preserve">Over recent years the use </w:t>
      </w:r>
      <w:r w:rsidR="007210E1" w:rsidRPr="00653567">
        <w:t xml:space="preserve">of </w:t>
      </w:r>
      <w:r w:rsidR="001B07B7" w:rsidRPr="00653567">
        <w:t>online auctions has increased</w:t>
      </w:r>
      <w:r w:rsidR="00F31C2B" w:rsidRPr="00653567">
        <w:t xml:space="preserve">. For many goods sold </w:t>
      </w:r>
      <w:r w:rsidR="001B07B7" w:rsidRPr="00653567">
        <w:t>through an online</w:t>
      </w:r>
      <w:r w:rsidR="00F31C2B" w:rsidRPr="00653567">
        <w:t xml:space="preserve"> auction it </w:t>
      </w:r>
      <w:r w:rsidR="00AF2B8F" w:rsidRPr="00653567">
        <w:t xml:space="preserve">is </w:t>
      </w:r>
      <w:r w:rsidR="0075096C" w:rsidRPr="00653567">
        <w:t>im</w:t>
      </w:r>
      <w:r w:rsidR="00F31C2B" w:rsidRPr="00653567">
        <w:t xml:space="preserve">possible for a consumer to </w:t>
      </w:r>
      <w:r w:rsidR="001B07B7" w:rsidRPr="00653567">
        <w:t xml:space="preserve">examine and </w:t>
      </w:r>
      <w:r w:rsidR="00F31C2B" w:rsidRPr="00653567">
        <w:t xml:space="preserve">determine the </w:t>
      </w:r>
      <w:r w:rsidR="001B07B7" w:rsidRPr="00653567">
        <w:t>condition</w:t>
      </w:r>
      <w:r w:rsidR="00F31C2B" w:rsidRPr="00653567">
        <w:t xml:space="preserve"> of the goods. </w:t>
      </w:r>
    </w:p>
    <w:p w14:paraId="6A5A1D3A" w14:textId="535950D0" w:rsidR="00AF2B8F" w:rsidRPr="00653567" w:rsidRDefault="001B07B7" w:rsidP="00E565DC">
      <w:pPr>
        <w:pStyle w:val="OutlineNumbered1"/>
      </w:pPr>
      <w:r w:rsidRPr="00653567">
        <w:t>For a</w:t>
      </w:r>
      <w:r w:rsidR="00470D2F" w:rsidRPr="00653567">
        <w:t xml:space="preserve">uctions occurring in an “online only” manner the sole source </w:t>
      </w:r>
      <w:r w:rsidR="00C0607D" w:rsidRPr="00653567">
        <w:t>o</w:t>
      </w:r>
      <w:r w:rsidR="00470D2F" w:rsidRPr="00653567">
        <w:t xml:space="preserve">f information available to the consumer </w:t>
      </w:r>
      <w:r w:rsidR="007B3E9B">
        <w:t>is</w:t>
      </w:r>
      <w:r w:rsidR="00470D2F" w:rsidRPr="00653567">
        <w:t xml:space="preserve"> the representations made</w:t>
      </w:r>
      <w:r w:rsidRPr="00653567">
        <w:t xml:space="preserve"> by the seller</w:t>
      </w:r>
      <w:r w:rsidR="00470D2F" w:rsidRPr="00653567">
        <w:t xml:space="preserve"> regarding the quality and nature of the goods.</w:t>
      </w:r>
      <w:r w:rsidRPr="00653567">
        <w:t xml:space="preserve"> The incidence of consumers being able to bid in a traditional auction online or via the telephone has also increased and</w:t>
      </w:r>
      <w:r w:rsidR="00B22E51">
        <w:t xml:space="preserve"> may</w:t>
      </w:r>
      <w:r w:rsidRPr="00653567">
        <w:t xml:space="preserve"> present the same issues with the</w:t>
      </w:r>
      <w:r w:rsidR="00B22E51">
        <w:t xml:space="preserve"> lack of</w:t>
      </w:r>
      <w:r w:rsidRPr="00653567">
        <w:t xml:space="preserve"> ability to inspect.</w:t>
      </w:r>
    </w:p>
    <w:tbl>
      <w:tblPr>
        <w:tblStyle w:val="TableGrid"/>
        <w:tblW w:w="0" w:type="auto"/>
        <w:shd w:val="clear" w:color="auto" w:fill="F2F2F2" w:themeFill="background1" w:themeFillShade="F2"/>
        <w:tblLook w:val="04A0" w:firstRow="1" w:lastRow="0" w:firstColumn="1" w:lastColumn="0" w:noHBand="0" w:noVBand="1"/>
      </w:tblPr>
      <w:tblGrid>
        <w:gridCol w:w="9242"/>
      </w:tblGrid>
      <w:tr w:rsidR="00F85174" w:rsidRPr="00653567" w14:paraId="0C939055" w14:textId="77777777" w:rsidTr="00BD01D5">
        <w:tc>
          <w:tcPr>
            <w:tcW w:w="9242" w:type="dxa"/>
            <w:shd w:val="clear" w:color="auto" w:fill="F2F2F2" w:themeFill="background1" w:themeFillShade="F2"/>
          </w:tcPr>
          <w:p w14:paraId="55BEC18C" w14:textId="2DD97E6A" w:rsidR="00F85174" w:rsidRPr="00653567" w:rsidRDefault="00F85174" w:rsidP="00E565DC">
            <w:pPr>
              <w:pStyle w:val="BoxHeading"/>
            </w:pPr>
            <w:r w:rsidRPr="00653567">
              <w:t xml:space="preserve">Focus Questions </w:t>
            </w:r>
          </w:p>
          <w:p w14:paraId="130F8F2B" w14:textId="76950632" w:rsidR="008C739B" w:rsidRPr="00653567" w:rsidRDefault="008C739B" w:rsidP="0063134B">
            <w:pPr>
              <w:pStyle w:val="BoxHeadingSub"/>
            </w:pPr>
            <w:r w:rsidRPr="00653567">
              <w:t>For consumers</w:t>
            </w:r>
          </w:p>
          <w:p w14:paraId="22615F59" w14:textId="58E86FBA" w:rsidR="00AF2B8F" w:rsidRPr="00653567" w:rsidRDefault="008C739B" w:rsidP="0063134B">
            <w:pPr>
              <w:pStyle w:val="BoxBullet"/>
              <w:rPr>
                <w:szCs w:val="24"/>
              </w:rPr>
            </w:pPr>
            <w:r w:rsidRPr="00653567">
              <w:t>Have you ever purchased a good from an auction without inspecting the good?</w:t>
            </w:r>
            <w:r w:rsidR="001E326B" w:rsidRPr="00653567">
              <w:t xml:space="preserve"> If yes, how often</w:t>
            </w:r>
            <w:r w:rsidR="00AF2B8F" w:rsidRPr="00653567">
              <w:t xml:space="preserve">, why were you unable to </w:t>
            </w:r>
            <w:r w:rsidR="007B3E9B">
              <w:t>inspect</w:t>
            </w:r>
            <w:r w:rsidR="00AF2B8F" w:rsidRPr="00653567">
              <w:t xml:space="preserve"> and was a detailed condition report made available?</w:t>
            </w:r>
          </w:p>
        </w:tc>
      </w:tr>
    </w:tbl>
    <w:p w14:paraId="77A4AF7C" w14:textId="77777777" w:rsidR="00765CAC" w:rsidRDefault="00765CAC" w:rsidP="00E565DC"/>
    <w:p w14:paraId="321224D3" w14:textId="77777777" w:rsidR="00765CAC" w:rsidRDefault="00765CAC" w:rsidP="00E565DC"/>
    <w:p w14:paraId="1CFD06F1" w14:textId="55957D9A" w:rsidR="00AD231A" w:rsidRPr="00653567" w:rsidRDefault="00437CE5" w:rsidP="00E565DC">
      <w:pPr>
        <w:pStyle w:val="Heading2-NoNumbered"/>
      </w:pPr>
      <w:bookmarkStart w:id="21" w:name="_Toc508354782"/>
      <w:bookmarkStart w:id="22" w:name="_Toc508969201"/>
      <w:r w:rsidRPr="00653567">
        <w:t>How significant is the problem</w:t>
      </w:r>
      <w:bookmarkEnd w:id="21"/>
      <w:r w:rsidR="00A46ECA">
        <w:t>?</w:t>
      </w:r>
      <w:bookmarkEnd w:id="22"/>
    </w:p>
    <w:p w14:paraId="12DED68C" w14:textId="16023FD3" w:rsidR="00DF5B6F" w:rsidRPr="00653567" w:rsidRDefault="007948A1" w:rsidP="00E565DC">
      <w:pPr>
        <w:pStyle w:val="OutlineNumbered1"/>
      </w:pPr>
      <w:r w:rsidRPr="00653567">
        <w:t xml:space="preserve">There has been significant growth in the online auction marketplace since the early 2000s. </w:t>
      </w:r>
      <w:r w:rsidR="00FD4E65" w:rsidRPr="00653567">
        <w:t>The emergence of</w:t>
      </w:r>
      <w:r w:rsidR="00DF5B6F" w:rsidRPr="00653567">
        <w:t xml:space="preserve"> online auctions</w:t>
      </w:r>
      <w:r w:rsidR="00FD4E65" w:rsidRPr="00653567">
        <w:t xml:space="preserve"> has</w:t>
      </w:r>
      <w:r w:rsidR="00DF5B6F" w:rsidRPr="00653567">
        <w:t xml:space="preserve"> expand</w:t>
      </w:r>
      <w:r w:rsidR="00FD4E65" w:rsidRPr="00653567">
        <w:t>ed</w:t>
      </w:r>
      <w:r w:rsidR="00DF5B6F" w:rsidRPr="00653567">
        <w:t xml:space="preserve"> the </w:t>
      </w:r>
      <w:r w:rsidR="00FD4E65" w:rsidRPr="00653567">
        <w:t>number</w:t>
      </w:r>
      <w:r w:rsidR="00DF5B6F" w:rsidRPr="00653567">
        <w:t xml:space="preserve"> of consumers who purchase goods through</w:t>
      </w:r>
      <w:r w:rsidR="00FD4E65" w:rsidRPr="00653567">
        <w:t xml:space="preserve"> </w:t>
      </w:r>
      <w:r w:rsidR="00DF5B6F" w:rsidRPr="00653567">
        <w:t>auction</w:t>
      </w:r>
      <w:r w:rsidR="00FD4E65" w:rsidRPr="00653567">
        <w:t>s</w:t>
      </w:r>
      <w:r w:rsidR="009B168C" w:rsidRPr="00653567">
        <w:t>.</w:t>
      </w:r>
      <w:r w:rsidR="00F25A00" w:rsidRPr="00653567">
        <w:t xml:space="preserve"> </w:t>
      </w:r>
      <w:r w:rsidR="00FD4E65" w:rsidRPr="00653567">
        <w:t>Traditional a</w:t>
      </w:r>
      <w:r w:rsidR="00F25A00" w:rsidRPr="00653567">
        <w:t>uction services that offer online sales are a</w:t>
      </w:r>
      <w:r w:rsidR="00FD4E65" w:rsidRPr="00653567">
        <w:t>lso</w:t>
      </w:r>
      <w:r w:rsidR="00F25A00" w:rsidRPr="00653567">
        <w:t xml:space="preserve"> increasingly co</w:t>
      </w:r>
      <w:r w:rsidR="007B3E9B">
        <w:t>mmon in the marketplace. I</w:t>
      </w:r>
      <w:r w:rsidR="00F25A00" w:rsidRPr="00653567">
        <w:t>t is unclear how rapidly these services are expanding and the market penetration of online auctions</w:t>
      </w:r>
      <w:r w:rsidR="007B3E9B">
        <w:t>. However,</w:t>
      </w:r>
      <w:r w:rsidR="00FD4E65" w:rsidRPr="00653567">
        <w:t xml:space="preserve"> i</w:t>
      </w:r>
      <w:r w:rsidR="00DA5894" w:rsidRPr="00653567">
        <w:t>nformation from online auctioneers, while not comprehensive, provides some indication of the scope of online auctioneering</w:t>
      </w:r>
      <w:r w:rsidR="00FD4E65" w:rsidRPr="00653567">
        <w:t xml:space="preserve"> with t</w:t>
      </w:r>
      <w:r w:rsidR="00DF5B6F" w:rsidRPr="00653567">
        <w:t xml:space="preserve">urnover at major auction services, offering online auctions, </w:t>
      </w:r>
      <w:r w:rsidR="00FD4E65" w:rsidRPr="00653567">
        <w:t>estimated at</w:t>
      </w:r>
      <w:r w:rsidR="00DF5B6F" w:rsidRPr="00653567">
        <w:t xml:space="preserve"> between $608</w:t>
      </w:r>
      <w:r w:rsidR="004D69AE" w:rsidRPr="004D127F">
        <w:rPr>
          <w:rStyle w:val="FootnoteReference"/>
        </w:rPr>
        <w:footnoteReference w:id="4"/>
      </w:r>
      <w:r w:rsidR="004D127F" w:rsidRPr="004D127F">
        <w:rPr>
          <w:rStyle w:val="FootnoteReference"/>
        </w:rPr>
        <w:t> </w:t>
      </w:r>
      <w:r w:rsidR="00DF5B6F" w:rsidRPr="00653567">
        <w:t>million to $2.2 billion</w:t>
      </w:r>
      <w:r w:rsidR="00205849" w:rsidRPr="00653567">
        <w:t xml:space="preserve"> per year</w:t>
      </w:r>
      <w:r w:rsidR="00DF5B6F" w:rsidRPr="00653567">
        <w:t>.</w:t>
      </w:r>
      <w:r w:rsidR="004D69AE" w:rsidRPr="00653567">
        <w:rPr>
          <w:rStyle w:val="FootnoteReference"/>
        </w:rPr>
        <w:footnoteReference w:id="5"/>
      </w:r>
      <w:r w:rsidR="00FD4E65" w:rsidRPr="00653567">
        <w:t xml:space="preserve"> I</w:t>
      </w:r>
      <w:r w:rsidR="00DF5B6F" w:rsidRPr="00653567">
        <w:t xml:space="preserve">t is unclear what </w:t>
      </w:r>
      <w:r w:rsidR="007B3E9B" w:rsidRPr="00653567">
        <w:t>proportion of these sales is</w:t>
      </w:r>
      <w:r w:rsidR="00DF5B6F" w:rsidRPr="00653567">
        <w:t xml:space="preserve"> online only and what </w:t>
      </w:r>
      <w:r w:rsidR="007B3E9B" w:rsidRPr="00653567">
        <w:t>proportion is</w:t>
      </w:r>
      <w:r w:rsidR="00FD4E65" w:rsidRPr="00653567">
        <w:t xml:space="preserve"> readily available for pre-inspection</w:t>
      </w:r>
      <w:r w:rsidR="00DF5B6F" w:rsidRPr="00653567">
        <w:t xml:space="preserve">. </w:t>
      </w:r>
    </w:p>
    <w:p w14:paraId="66C00A26" w14:textId="34572937" w:rsidR="000F0DC3" w:rsidRPr="00637CC8" w:rsidRDefault="000F0DC3" w:rsidP="00E565DC">
      <w:pPr>
        <w:pStyle w:val="OutlineNumbered1"/>
      </w:pPr>
      <w:r w:rsidRPr="00637CC8">
        <w:t xml:space="preserve">Importantly </w:t>
      </w:r>
      <w:r w:rsidR="00F02618" w:rsidRPr="00637CC8">
        <w:t>the</w:t>
      </w:r>
      <w:r w:rsidRPr="00637CC8">
        <w:t xml:space="preserve"> problem </w:t>
      </w:r>
      <w:r w:rsidR="00F02618" w:rsidRPr="00637CC8">
        <w:t>only relates</w:t>
      </w:r>
      <w:r w:rsidRPr="00637CC8">
        <w:t xml:space="preserve"> to sites which fall inside the definition of an auction in the ACL. Websites like </w:t>
      </w:r>
      <w:proofErr w:type="spellStart"/>
      <w:r w:rsidRPr="00637CC8">
        <w:t>Ebay</w:t>
      </w:r>
      <w:proofErr w:type="spellEnd"/>
      <w:r w:rsidRPr="00637CC8">
        <w:t xml:space="preserve"> and Gumtree are not considered to be auctions</w:t>
      </w:r>
      <w:r w:rsidR="00F02618" w:rsidRPr="00637CC8">
        <w:t xml:space="preserve"> under the ACL for reason that both offer a platform for sellers to sell goods</w:t>
      </w:r>
      <w:r w:rsidR="00FD2969" w:rsidRPr="00637CC8">
        <w:t>,</w:t>
      </w:r>
      <w:r w:rsidR="00F02618" w:rsidRPr="00637CC8">
        <w:t xml:space="preserve"> but do not act as agent of the seller. In those circumstances, the full range of consumer guarantees are available on items purchased from businesses sellers</w:t>
      </w:r>
      <w:r w:rsidRPr="00637CC8">
        <w:t>.</w:t>
      </w:r>
      <w:r w:rsidR="00B26B57" w:rsidRPr="00637CC8">
        <w:rPr>
          <w:rStyle w:val="FootnoteReference"/>
        </w:rPr>
        <w:footnoteReference w:id="6"/>
      </w:r>
      <w:r w:rsidRPr="00637CC8">
        <w:t xml:space="preserve"> </w:t>
      </w:r>
      <w:r w:rsidR="00FD2969" w:rsidRPr="00637CC8">
        <w:t xml:space="preserve">However, </w:t>
      </w:r>
      <w:r w:rsidRPr="00637CC8">
        <w:t xml:space="preserve">a website like </w:t>
      </w:r>
      <w:proofErr w:type="spellStart"/>
      <w:r w:rsidRPr="00637CC8">
        <w:t>Gray’s</w:t>
      </w:r>
      <w:proofErr w:type="spellEnd"/>
      <w:r w:rsidRPr="00637CC8">
        <w:t xml:space="preserve"> Online in certain circumstances may be acting as an agent for the seller</w:t>
      </w:r>
      <w:r w:rsidR="00EE080E" w:rsidRPr="00637CC8">
        <w:t xml:space="preserve"> and in those circumstances, the full range of </w:t>
      </w:r>
      <w:r w:rsidR="00F02618" w:rsidRPr="00637CC8">
        <w:t xml:space="preserve">consumer guarantees will </w:t>
      </w:r>
      <w:r w:rsidR="00EE080E" w:rsidRPr="00637CC8">
        <w:t xml:space="preserve">not </w:t>
      </w:r>
      <w:r w:rsidR="00F02618" w:rsidRPr="00637CC8">
        <w:t>apply</w:t>
      </w:r>
      <w:r w:rsidR="00FD2969" w:rsidRPr="00637CC8">
        <w:t xml:space="preserve"> to goods sold</w:t>
      </w:r>
      <w:r w:rsidR="00EE080E" w:rsidRPr="00637CC8">
        <w:t xml:space="preserve"> by businesses</w:t>
      </w:r>
      <w:r w:rsidR="00FD2969" w:rsidRPr="00637CC8">
        <w:t>.</w:t>
      </w:r>
      <w:r w:rsidR="00EE080E" w:rsidRPr="00637CC8">
        <w:t xml:space="preserve"> </w:t>
      </w:r>
    </w:p>
    <w:p w14:paraId="33EF6933" w14:textId="335BFE68" w:rsidR="0049565F" w:rsidRPr="00637CC8" w:rsidRDefault="000F0DC3" w:rsidP="00E565DC">
      <w:pPr>
        <w:pStyle w:val="OutlineNumbered1"/>
      </w:pPr>
      <w:r w:rsidRPr="00637CC8">
        <w:t>The ACL Review was not able to identify</w:t>
      </w:r>
      <w:r w:rsidR="00EE080E" w:rsidRPr="00637CC8">
        <w:t xml:space="preserve"> the level of</w:t>
      </w:r>
      <w:r w:rsidRPr="00637CC8">
        <w:t xml:space="preserve"> consumer detriment stemming from the current operation of the exemptions from the consumer guarantees</w:t>
      </w:r>
      <w:r w:rsidR="007210E1" w:rsidRPr="00637CC8">
        <w:t xml:space="preserve"> for auctions</w:t>
      </w:r>
      <w:r w:rsidRPr="00637CC8">
        <w:t>.</w:t>
      </w:r>
      <w:r w:rsidR="007210E1" w:rsidRPr="00637CC8">
        <w:t xml:space="preserve"> However</w:t>
      </w:r>
      <w:r w:rsidR="00B22E51">
        <w:t>,</w:t>
      </w:r>
      <w:r w:rsidR="007210E1" w:rsidRPr="00637CC8">
        <w:t xml:space="preserve"> it recognised the principle that consumers may incur detriment from purchasing in an online auction, where consumers could not rely on the ACL to obtain a remedy for a faulty product, </w:t>
      </w:r>
      <w:r w:rsidR="0049565F" w:rsidRPr="00637CC8">
        <w:t>and the difficulty this may cause when consumers do not have an ability to inspect the goods.</w:t>
      </w:r>
    </w:p>
    <w:p w14:paraId="143F65E2" w14:textId="634F5359" w:rsidR="00304679" w:rsidRPr="00637CC8" w:rsidRDefault="000F0DC3" w:rsidP="00E565DC">
      <w:pPr>
        <w:pStyle w:val="OutlineNumbered1"/>
      </w:pPr>
      <w:r w:rsidRPr="00637CC8">
        <w:t xml:space="preserve">It is </w:t>
      </w:r>
      <w:r w:rsidR="0049565F" w:rsidRPr="00637CC8">
        <w:t>unclear</w:t>
      </w:r>
      <w:r w:rsidRPr="00637CC8">
        <w:t xml:space="preserve"> </w:t>
      </w:r>
      <w:r w:rsidR="0049565F" w:rsidRPr="00637CC8">
        <w:t>how many</w:t>
      </w:r>
      <w:r w:rsidRPr="00637CC8">
        <w:t xml:space="preserve"> goods </w:t>
      </w:r>
      <w:r w:rsidR="0049565F" w:rsidRPr="00637CC8">
        <w:t xml:space="preserve">are </w:t>
      </w:r>
      <w:r w:rsidRPr="00637CC8">
        <w:t>being sold that a</w:t>
      </w:r>
      <w:r w:rsidR="008D4995" w:rsidRPr="00637CC8">
        <w:t>re not fit for purpose and do not have faults disclosed</w:t>
      </w:r>
      <w:r w:rsidR="0049565F" w:rsidRPr="00637CC8">
        <w:t xml:space="preserve"> in online auctions</w:t>
      </w:r>
      <w:r w:rsidR="008D4995" w:rsidRPr="00637CC8">
        <w:t xml:space="preserve">. </w:t>
      </w:r>
      <w:r w:rsidR="00304679" w:rsidRPr="00637CC8">
        <w:t xml:space="preserve">The detriment </w:t>
      </w:r>
      <w:r w:rsidR="00EC2F76" w:rsidRPr="00637CC8">
        <w:t xml:space="preserve">that </w:t>
      </w:r>
      <w:r w:rsidR="00304679" w:rsidRPr="00637CC8">
        <w:t>arises</w:t>
      </w:r>
      <w:r w:rsidR="00EC2F76" w:rsidRPr="00637CC8">
        <w:t xml:space="preserve"> is </w:t>
      </w:r>
      <w:r w:rsidR="00E14636" w:rsidRPr="00637CC8">
        <w:t xml:space="preserve">from </w:t>
      </w:r>
      <w:r w:rsidR="00EC2F76" w:rsidRPr="00637CC8">
        <w:t>when a</w:t>
      </w:r>
      <w:r w:rsidR="00304679" w:rsidRPr="00637CC8">
        <w:t xml:space="preserve"> consumer </w:t>
      </w:r>
      <w:r w:rsidR="00EC2F76" w:rsidRPr="00637CC8">
        <w:t xml:space="preserve">is </w:t>
      </w:r>
      <w:r w:rsidR="00304679" w:rsidRPr="00637CC8">
        <w:t>unable to seek a remedy</w:t>
      </w:r>
      <w:r w:rsidR="007B3E9B" w:rsidRPr="00637CC8">
        <w:t xml:space="preserve"> in the event of a product failure</w:t>
      </w:r>
      <w:r w:rsidR="00EC2F76" w:rsidRPr="00637CC8">
        <w:t xml:space="preserve"> after purchasing the article at auction</w:t>
      </w:r>
      <w:r w:rsidR="00304679" w:rsidRPr="00637CC8">
        <w:t xml:space="preserve">. With the rise of many “online only” auctions where </w:t>
      </w:r>
      <w:r w:rsidR="00E14636" w:rsidRPr="00637CC8">
        <w:t xml:space="preserve">many </w:t>
      </w:r>
      <w:r w:rsidR="00304679" w:rsidRPr="00637CC8">
        <w:t>near new or new products are potentially sold, consumers</w:t>
      </w:r>
      <w:r w:rsidR="007B3E9B" w:rsidRPr="00637CC8">
        <w:t>’</w:t>
      </w:r>
      <w:r w:rsidR="00304679" w:rsidRPr="00637CC8">
        <w:t xml:space="preserve"> expectations for product performance may be higher. In these circumstances where a consumer’s expectation is higher</w:t>
      </w:r>
      <w:r w:rsidR="00E14636" w:rsidRPr="00637CC8">
        <w:t>,</w:t>
      </w:r>
      <w:r w:rsidR="00304679" w:rsidRPr="00637CC8">
        <w:t xml:space="preserve"> that consumer may experience detriment if a remedy is unavailable in the event of a product failure.</w:t>
      </w:r>
    </w:p>
    <w:p w14:paraId="31A0A05C" w14:textId="77777777" w:rsidR="0063134B" w:rsidRDefault="0063134B">
      <w:pPr>
        <w:spacing w:after="200" w:line="276" w:lineRule="auto"/>
        <w:jc w:val="left"/>
        <w:rPr>
          <w:rFonts w:ascii="Calibri" w:eastAsia="Times New Roman" w:hAnsi="Calibri" w:cs="Arial"/>
          <w:b/>
          <w:iCs/>
          <w:caps/>
          <w:color w:val="595959" w:themeColor="text1" w:themeTint="A6"/>
          <w:kern w:val="32"/>
          <w:sz w:val="32"/>
          <w:szCs w:val="28"/>
          <w:lang w:eastAsia="en-AU"/>
        </w:rPr>
      </w:pPr>
      <w:r>
        <w:br w:type="page"/>
      </w:r>
    </w:p>
    <w:p w14:paraId="09D9830B" w14:textId="468684C7" w:rsidR="00DF5B6F" w:rsidRPr="00653567" w:rsidRDefault="00AF2B8F" w:rsidP="00E565DC">
      <w:pPr>
        <w:pStyle w:val="Heading2-NoNumbered"/>
      </w:pPr>
      <w:bookmarkStart w:id="23" w:name="_Toc508354783"/>
      <w:bookmarkStart w:id="24" w:name="_Toc508969202"/>
      <w:r w:rsidRPr="00653567">
        <w:t xml:space="preserve">Previous </w:t>
      </w:r>
      <w:r w:rsidR="00DF5B6F" w:rsidRPr="00653567">
        <w:t>consideration</w:t>
      </w:r>
      <w:bookmarkEnd w:id="23"/>
      <w:bookmarkEnd w:id="24"/>
      <w:r w:rsidR="00DF5B6F" w:rsidRPr="00653567">
        <w:t xml:space="preserve"> </w:t>
      </w:r>
    </w:p>
    <w:p w14:paraId="712C904F" w14:textId="515346F2" w:rsidR="009F1B43" w:rsidRPr="00653567" w:rsidRDefault="00AE4305" w:rsidP="00E565DC">
      <w:pPr>
        <w:pStyle w:val="OutlineNumbered1"/>
      </w:pPr>
      <w:r w:rsidRPr="00653567">
        <w:t>The</w:t>
      </w:r>
      <w:r w:rsidR="007948A1" w:rsidRPr="00653567">
        <w:t xml:space="preserve"> rapid emergence</w:t>
      </w:r>
      <w:r w:rsidRPr="00653567">
        <w:t xml:space="preserve"> of </w:t>
      </w:r>
      <w:r w:rsidR="00852545">
        <w:t>“</w:t>
      </w:r>
      <w:r w:rsidRPr="00653567">
        <w:t xml:space="preserve">online </w:t>
      </w:r>
      <w:r w:rsidR="00ED04BF" w:rsidRPr="00653567">
        <w:t>only</w:t>
      </w:r>
      <w:r w:rsidR="00852545">
        <w:t>”</w:t>
      </w:r>
      <w:r w:rsidR="00ED04BF" w:rsidRPr="00653567">
        <w:t xml:space="preserve"> </w:t>
      </w:r>
      <w:r w:rsidRPr="00653567">
        <w:t>auctions was not a</w:t>
      </w:r>
      <w:r w:rsidR="007948A1" w:rsidRPr="00653567">
        <w:t>ccounted for during</w:t>
      </w:r>
      <w:r w:rsidRPr="00653567">
        <w:t xml:space="preserve"> the development of the ACL. </w:t>
      </w:r>
      <w:r w:rsidR="002E20C5" w:rsidRPr="00653567">
        <w:t xml:space="preserve">In 2009, when </w:t>
      </w:r>
      <w:r w:rsidR="00243DA6" w:rsidRPr="00653567">
        <w:t xml:space="preserve">the </w:t>
      </w:r>
      <w:r w:rsidR="00084FAF" w:rsidRPr="00653567">
        <w:t>Commonwealth Consumer Affairs Advisory Council (CCAAC)</w:t>
      </w:r>
      <w:r w:rsidR="002E20C5" w:rsidRPr="00653567">
        <w:t xml:space="preserve"> conducted its r</w:t>
      </w:r>
      <w:r w:rsidR="009F1B43" w:rsidRPr="00653567">
        <w:t xml:space="preserve">eview into statutory implied conditions and warranties, </w:t>
      </w:r>
      <w:r w:rsidR="00243DA6" w:rsidRPr="00653567">
        <w:t xml:space="preserve">they </w:t>
      </w:r>
      <w:r w:rsidR="009F1B43" w:rsidRPr="00653567">
        <w:t xml:space="preserve">considered that the exemptions for auctions were appropriate and should apply to both online and </w:t>
      </w:r>
      <w:r w:rsidR="007948A1" w:rsidRPr="00653567">
        <w:t>traditional</w:t>
      </w:r>
      <w:r w:rsidR="009F1B43" w:rsidRPr="00653567">
        <w:t xml:space="preserve"> auctions</w:t>
      </w:r>
      <w:r w:rsidR="00084FAF" w:rsidRPr="00653567">
        <w:t>.</w:t>
      </w:r>
      <w:r w:rsidR="00650227" w:rsidRPr="00653567">
        <w:rPr>
          <w:rStyle w:val="FootnoteReference"/>
        </w:rPr>
        <w:footnoteReference w:id="7"/>
      </w:r>
      <w:r w:rsidR="009F1B43" w:rsidRPr="00653567">
        <w:t xml:space="preserve"> The review, however, noted that most auction websites operate differently to traditional auctions</w:t>
      </w:r>
      <w:r w:rsidR="00084FAF" w:rsidRPr="00653567">
        <w:t xml:space="preserve"> and</w:t>
      </w:r>
      <w:r w:rsidR="00CD44C0" w:rsidRPr="00653567">
        <w:t xml:space="preserve"> the report</w:t>
      </w:r>
      <w:r w:rsidR="00084FAF" w:rsidRPr="00653567">
        <w:t xml:space="preserve"> typically discussed sites such as eBay</w:t>
      </w:r>
      <w:r w:rsidR="00B13CCD" w:rsidRPr="00653567">
        <w:t>, which are not considered to be auctions under the ACL</w:t>
      </w:r>
      <w:r w:rsidR="009F1B43" w:rsidRPr="00653567">
        <w:t xml:space="preserve">. In determining that the existing exemptions were appropriate for online auctions, the report had not </w:t>
      </w:r>
      <w:r w:rsidR="008F1579" w:rsidRPr="00653567">
        <w:t>envisaged the</w:t>
      </w:r>
      <w:r w:rsidR="009F1B43" w:rsidRPr="00653567">
        <w:t xml:space="preserve"> increase in </w:t>
      </w:r>
      <w:r w:rsidR="00852545">
        <w:t>“</w:t>
      </w:r>
      <w:r w:rsidR="009F1B43" w:rsidRPr="00653567">
        <w:t>online only</w:t>
      </w:r>
      <w:r w:rsidR="00852545">
        <w:t>”</w:t>
      </w:r>
      <w:r w:rsidR="009F1B43" w:rsidRPr="00653567">
        <w:t xml:space="preserve"> auctions that met the definition of a</w:t>
      </w:r>
      <w:r w:rsidR="00AA7FAE">
        <w:t>n</w:t>
      </w:r>
      <w:r w:rsidR="009F1B43" w:rsidRPr="00653567">
        <w:t xml:space="preserve"> auction</w:t>
      </w:r>
      <w:r w:rsidR="00AD4EAD" w:rsidRPr="00653567">
        <w:t xml:space="preserve"> in the ACL</w:t>
      </w:r>
      <w:r w:rsidR="009F1B43" w:rsidRPr="00653567">
        <w:t xml:space="preserve">. </w:t>
      </w:r>
    </w:p>
    <w:p w14:paraId="52ED789E" w14:textId="45917C1E" w:rsidR="009F1B43" w:rsidRPr="00653567" w:rsidRDefault="009F1B43" w:rsidP="00E565DC">
      <w:pPr>
        <w:pStyle w:val="OutlineNumbered1"/>
      </w:pPr>
      <w:r w:rsidRPr="00653567">
        <w:t xml:space="preserve">The report affirmed that </w:t>
      </w:r>
      <w:r w:rsidR="005371D1" w:rsidRPr="00653567">
        <w:t xml:space="preserve">the </w:t>
      </w:r>
      <w:r w:rsidRPr="00653567">
        <w:t xml:space="preserve">ability to physically inspect goods is an important feature </w:t>
      </w:r>
      <w:r w:rsidR="00B5180D" w:rsidRPr="00653567">
        <w:t>of traditional auctions and t</w:t>
      </w:r>
      <w:r w:rsidR="002B4933" w:rsidRPr="00653567">
        <w:t>he ability for consumers to inspect goods</w:t>
      </w:r>
      <w:r w:rsidRPr="00653567">
        <w:t xml:space="preserve"> </w:t>
      </w:r>
      <w:r w:rsidR="002B4933" w:rsidRPr="00653567">
        <w:t>was</w:t>
      </w:r>
      <w:r w:rsidRPr="00653567">
        <w:t xml:space="preserve"> the reason that auctions should continue to receive certain exemptions. </w:t>
      </w:r>
      <w:r w:rsidR="00B5180D" w:rsidRPr="00653567">
        <w:t>The report’s</w:t>
      </w:r>
      <w:r w:rsidR="002B4933" w:rsidRPr="00653567">
        <w:t xml:space="preserve"> assessment of the appropriateness of the </w:t>
      </w:r>
      <w:r w:rsidR="00AD4EAD" w:rsidRPr="00653567">
        <w:t xml:space="preserve">existing </w:t>
      </w:r>
      <w:r w:rsidR="002B4933" w:rsidRPr="00653567">
        <w:t>exemptions</w:t>
      </w:r>
      <w:r w:rsidR="00AD4EAD" w:rsidRPr="00653567">
        <w:t xml:space="preserve"> </w:t>
      </w:r>
      <w:r w:rsidR="00B5180D" w:rsidRPr="00653567">
        <w:t xml:space="preserve">from the majority of consumer guarantees </w:t>
      </w:r>
      <w:r w:rsidR="004F1A0A" w:rsidRPr="00653567">
        <w:t xml:space="preserve">no longer </w:t>
      </w:r>
      <w:r w:rsidR="00AD4EAD" w:rsidRPr="00653567">
        <w:t>captures</w:t>
      </w:r>
      <w:r w:rsidR="004F1A0A" w:rsidRPr="00653567">
        <w:t xml:space="preserve"> the range of auctions and auction models that occur in the marketplace.</w:t>
      </w:r>
    </w:p>
    <w:tbl>
      <w:tblPr>
        <w:tblStyle w:val="TableGrid"/>
        <w:tblW w:w="0" w:type="auto"/>
        <w:shd w:val="clear" w:color="auto" w:fill="F2F2F2" w:themeFill="background1" w:themeFillShade="F2"/>
        <w:tblLook w:val="04A0" w:firstRow="1" w:lastRow="0" w:firstColumn="1" w:lastColumn="0" w:noHBand="0" w:noVBand="1"/>
      </w:tblPr>
      <w:tblGrid>
        <w:gridCol w:w="9242"/>
      </w:tblGrid>
      <w:tr w:rsidR="00F85174" w:rsidRPr="00653567" w14:paraId="1E52CFE6" w14:textId="77777777" w:rsidTr="00BD01D5">
        <w:tc>
          <w:tcPr>
            <w:tcW w:w="9242" w:type="dxa"/>
            <w:shd w:val="clear" w:color="auto" w:fill="F2F2F2" w:themeFill="background1" w:themeFillShade="F2"/>
          </w:tcPr>
          <w:p w14:paraId="1A5A9978" w14:textId="77777777" w:rsidR="00F85174" w:rsidRPr="00653567" w:rsidRDefault="00F85174" w:rsidP="00E565DC">
            <w:pPr>
              <w:pStyle w:val="BoxHeading"/>
            </w:pPr>
            <w:r w:rsidRPr="00653567">
              <w:t xml:space="preserve">Focus Questions </w:t>
            </w:r>
          </w:p>
          <w:p w14:paraId="5C453907" w14:textId="1D44D94D" w:rsidR="001E326B" w:rsidRPr="00653567" w:rsidRDefault="00F7731E" w:rsidP="0063134B">
            <w:pPr>
              <w:pStyle w:val="BoxHeadingSub"/>
            </w:pPr>
            <w:r w:rsidRPr="00653567">
              <w:t>For consumers</w:t>
            </w:r>
          </w:p>
          <w:p w14:paraId="427F0796" w14:textId="3BABE476" w:rsidR="00F85174" w:rsidRPr="00653567" w:rsidRDefault="001E326B" w:rsidP="0063134B">
            <w:pPr>
              <w:pStyle w:val="BoxBullet"/>
              <w:rPr>
                <w:szCs w:val="24"/>
              </w:rPr>
            </w:pPr>
            <w:r w:rsidRPr="00653567">
              <w:t>What steps do you take to make an informed bid when considering an article at auction if you do not have a reasonable opportunity to inspect the goods?</w:t>
            </w:r>
          </w:p>
        </w:tc>
      </w:tr>
    </w:tbl>
    <w:p w14:paraId="6ABDAA1F" w14:textId="49460455" w:rsidR="00EB53BA" w:rsidRPr="00637C44" w:rsidRDefault="00EB53BA" w:rsidP="00E565DC"/>
    <w:p w14:paraId="60024D36" w14:textId="77777777" w:rsidR="00205849" w:rsidRPr="00637C44" w:rsidRDefault="00205849" w:rsidP="00E565DC"/>
    <w:p w14:paraId="074F49CE" w14:textId="5D0A448E" w:rsidR="0063134B" w:rsidRDefault="0063134B" w:rsidP="00E565DC">
      <w:pPr>
        <w:sectPr w:rsidR="0063134B" w:rsidSect="002969BB">
          <w:pgSz w:w="11906" w:h="16838"/>
          <w:pgMar w:top="1440" w:right="1440" w:bottom="1440" w:left="1440" w:header="709" w:footer="709" w:gutter="0"/>
          <w:cols w:space="708"/>
          <w:titlePg/>
          <w:docGrid w:linePitch="360"/>
        </w:sectPr>
      </w:pPr>
    </w:p>
    <w:p w14:paraId="0F3D1729" w14:textId="43F84856" w:rsidR="002B0709" w:rsidRPr="00653567" w:rsidRDefault="00342B4D" w:rsidP="00E565DC">
      <w:pPr>
        <w:pStyle w:val="Heading1-NoNumber"/>
      </w:pPr>
      <w:bookmarkStart w:id="25" w:name="_Toc501363806"/>
      <w:bookmarkStart w:id="26" w:name="_Toc501376276"/>
      <w:bookmarkStart w:id="27" w:name="_Toc507771524"/>
      <w:bookmarkStart w:id="28" w:name="_Toc508354784"/>
      <w:bookmarkStart w:id="29" w:name="_Toc508969203"/>
      <w:r w:rsidRPr="00653567">
        <w:t xml:space="preserve">Policy </w:t>
      </w:r>
      <w:r w:rsidR="002B0709" w:rsidRPr="00653567">
        <w:t>Objective</w:t>
      </w:r>
      <w:bookmarkEnd w:id="25"/>
      <w:bookmarkEnd w:id="26"/>
      <w:bookmarkEnd w:id="27"/>
      <w:bookmarkEnd w:id="28"/>
      <w:bookmarkEnd w:id="29"/>
      <w:r w:rsidR="002B0709" w:rsidRPr="00653567">
        <w:t xml:space="preserve"> </w:t>
      </w:r>
    </w:p>
    <w:p w14:paraId="1AC6ED2D" w14:textId="0C9B99A9" w:rsidR="004108ED" w:rsidRPr="00637CC8" w:rsidRDefault="004108ED" w:rsidP="00E565DC">
      <w:pPr>
        <w:pStyle w:val="OutlineNumbered1"/>
      </w:pPr>
      <w:r w:rsidRPr="00637CC8">
        <w:t>The policy objective is to ensure that exemptions from the consumer guarantees framework in the ACL are facilitat</w:t>
      </w:r>
      <w:r w:rsidR="008D5905" w:rsidRPr="00637CC8">
        <w:t>ing</w:t>
      </w:r>
      <w:r w:rsidRPr="00637CC8">
        <w:t xml:space="preserve"> the effective operation of the auction market</w:t>
      </w:r>
      <w:r w:rsidR="00F8249F" w:rsidRPr="00637CC8">
        <w:t xml:space="preserve"> by balancing the needs of businesses to </w:t>
      </w:r>
      <w:r w:rsidR="002C5FB2" w:rsidRPr="00637CC8">
        <w:t xml:space="preserve">efficiently </w:t>
      </w:r>
      <w:r w:rsidR="00F8249F" w:rsidRPr="00637CC8">
        <w:t xml:space="preserve">dispose of </w:t>
      </w:r>
      <w:r w:rsidR="0049565F" w:rsidRPr="00637CC8">
        <w:t xml:space="preserve">a variety of </w:t>
      </w:r>
      <w:r w:rsidR="00F8249F" w:rsidRPr="00637CC8">
        <w:t>goods</w:t>
      </w:r>
      <w:r w:rsidR="0049565F" w:rsidRPr="00637CC8">
        <w:t xml:space="preserve"> </w:t>
      </w:r>
      <w:r w:rsidR="00F8249F" w:rsidRPr="00637CC8">
        <w:t>and the needs of consumers to have confidence when</w:t>
      </w:r>
      <w:r w:rsidR="008E53E6" w:rsidRPr="00637CC8">
        <w:t xml:space="preserve"> purchasing</w:t>
      </w:r>
      <w:r w:rsidR="00F8249F" w:rsidRPr="00637CC8">
        <w:t xml:space="preserve"> </w:t>
      </w:r>
      <w:r w:rsidR="008E53E6" w:rsidRPr="00637CC8">
        <w:t>those</w:t>
      </w:r>
      <w:r w:rsidR="00F8249F" w:rsidRPr="00637CC8">
        <w:t xml:space="preserve"> goods</w:t>
      </w:r>
      <w:r w:rsidRPr="00637CC8">
        <w:t xml:space="preserve">. </w:t>
      </w:r>
    </w:p>
    <w:p w14:paraId="43C2A849" w14:textId="135C6A2A" w:rsidR="004108ED" w:rsidRPr="00637CC8" w:rsidRDefault="00526046" w:rsidP="00E565DC">
      <w:pPr>
        <w:pStyle w:val="OutlineNumbered1"/>
      </w:pPr>
      <w:r w:rsidRPr="00637CC8">
        <w:t>The options</w:t>
      </w:r>
      <w:r w:rsidR="004108ED" w:rsidRPr="00637CC8">
        <w:t xml:space="preserve"> proposed seek to improve the operation of the market for consumers who are purchasing through online auctions</w:t>
      </w:r>
      <w:r w:rsidR="00F8249F" w:rsidRPr="00637CC8">
        <w:t xml:space="preserve"> by ensuring that where they have no ability to inspect goods they will be able to have easy access to remedies in the event something goes wrong</w:t>
      </w:r>
      <w:r w:rsidR="004108ED" w:rsidRPr="00637CC8">
        <w:t>.</w:t>
      </w:r>
    </w:p>
    <w:p w14:paraId="212C0B92" w14:textId="77777777" w:rsidR="0063134B" w:rsidRDefault="0063134B" w:rsidP="00E565DC"/>
    <w:p w14:paraId="7825D6F8" w14:textId="77777777" w:rsidR="0063134B" w:rsidRDefault="0063134B" w:rsidP="00E565DC"/>
    <w:p w14:paraId="318918A3" w14:textId="77777777" w:rsidR="0063134B" w:rsidRDefault="0063134B" w:rsidP="00E565DC"/>
    <w:p w14:paraId="344C19A9" w14:textId="77777777" w:rsidR="0063134B" w:rsidRDefault="0063134B" w:rsidP="00E565DC">
      <w:pPr>
        <w:sectPr w:rsidR="0063134B" w:rsidSect="002969BB">
          <w:footerReference w:type="first" r:id="rId29"/>
          <w:pgSz w:w="11906" w:h="16838"/>
          <w:pgMar w:top="1440" w:right="1440" w:bottom="1440" w:left="1440" w:header="709" w:footer="709" w:gutter="0"/>
          <w:cols w:space="708"/>
          <w:titlePg/>
          <w:docGrid w:linePitch="360"/>
        </w:sectPr>
      </w:pPr>
    </w:p>
    <w:p w14:paraId="35AE44E8" w14:textId="303CFB0D" w:rsidR="002B0709" w:rsidRPr="00653567" w:rsidRDefault="00E565DC" w:rsidP="00E565DC">
      <w:pPr>
        <w:pStyle w:val="Heading1-NoNumber"/>
      </w:pPr>
      <w:bookmarkStart w:id="30" w:name="_Toc501363807"/>
      <w:bookmarkStart w:id="31" w:name="_Toc501376277"/>
      <w:bookmarkStart w:id="32" w:name="_Toc507771525"/>
      <w:bookmarkStart w:id="33" w:name="_Toc508354785"/>
      <w:bookmarkStart w:id="34" w:name="_Toc508969204"/>
      <w:r>
        <w:t>O</w:t>
      </w:r>
      <w:r w:rsidR="00C60F7B" w:rsidRPr="00653567">
        <w:t xml:space="preserve">ptions and </w:t>
      </w:r>
      <w:r>
        <w:t>I</w:t>
      </w:r>
      <w:r w:rsidR="00C60F7B" w:rsidRPr="00653567">
        <w:t xml:space="preserve">mpact </w:t>
      </w:r>
      <w:r>
        <w:t>A</w:t>
      </w:r>
      <w:r w:rsidR="00C60F7B" w:rsidRPr="00653567">
        <w:t>nalysis</w:t>
      </w:r>
      <w:bookmarkEnd w:id="30"/>
      <w:bookmarkEnd w:id="31"/>
      <w:bookmarkEnd w:id="32"/>
      <w:bookmarkEnd w:id="33"/>
      <w:bookmarkEnd w:id="34"/>
    </w:p>
    <w:tbl>
      <w:tblPr>
        <w:tblW w:w="4885" w:type="pct"/>
        <w:tblInd w:w="108"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shd w:val="clear" w:color="auto" w:fill="E6E6E6"/>
        <w:tblLook w:val="01E0" w:firstRow="1" w:lastRow="1" w:firstColumn="1" w:lastColumn="1" w:noHBand="0" w:noVBand="0"/>
      </w:tblPr>
      <w:tblGrid>
        <w:gridCol w:w="9029"/>
      </w:tblGrid>
      <w:tr w:rsidR="00F443B6" w:rsidRPr="00653567" w14:paraId="22DA50C2" w14:textId="77777777" w:rsidTr="00F443B6">
        <w:tc>
          <w:tcPr>
            <w:tcW w:w="5000" w:type="pct"/>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DBE5F1" w:themeFill="accent1" w:themeFillTint="33"/>
            <w:hideMark/>
          </w:tcPr>
          <w:p w14:paraId="1FC122E4" w14:textId="14898BC7" w:rsidR="00F443B6" w:rsidRPr="00653567" w:rsidRDefault="0037429E" w:rsidP="00E565DC">
            <w:pPr>
              <w:pStyle w:val="BoxHeading"/>
            </w:pPr>
            <w:r w:rsidRPr="00653567">
              <w:t>Summary</w:t>
            </w:r>
          </w:p>
          <w:p w14:paraId="70C69574" w14:textId="60983848" w:rsidR="00F443B6" w:rsidRPr="00653567" w:rsidRDefault="00F443B6" w:rsidP="0063134B">
            <w:pPr>
              <w:pStyle w:val="BoxText"/>
            </w:pPr>
            <w:r w:rsidRPr="00653567">
              <w:t xml:space="preserve">The consumer guarantees provisions currently exempt goods sold by auction from a number of consumer guarantees. These exemptions may not be appropriate for goods sold through online auctions, as a person is unable to view the goods </w:t>
            </w:r>
            <w:r w:rsidR="00261B9C" w:rsidRPr="00653567">
              <w:t>in order to form a view as to the quality and attributes of goods</w:t>
            </w:r>
            <w:r w:rsidRPr="00653567">
              <w:t xml:space="preserve">. </w:t>
            </w:r>
          </w:p>
          <w:p w14:paraId="131D8A03" w14:textId="031C1F7C" w:rsidR="00F443B6" w:rsidRPr="00653567" w:rsidRDefault="00F443B6" w:rsidP="0063134B">
            <w:pPr>
              <w:pStyle w:val="BoxText"/>
            </w:pPr>
            <w:r w:rsidRPr="00653567">
              <w:t>To address the problem, four options are proposed:</w:t>
            </w:r>
          </w:p>
          <w:p w14:paraId="4354136F" w14:textId="73AAE12C" w:rsidR="00F443B6" w:rsidRPr="00653567" w:rsidRDefault="00F443B6" w:rsidP="0063134B">
            <w:pPr>
              <w:pStyle w:val="BoxBullet"/>
            </w:pPr>
            <w:r w:rsidRPr="00653567">
              <w:rPr>
                <w:b/>
              </w:rPr>
              <w:t>Option 1:</w:t>
            </w:r>
            <w:r w:rsidRPr="00653567">
              <w:t xml:space="preserve"> Status quo.</w:t>
            </w:r>
          </w:p>
          <w:p w14:paraId="0B7A62EC" w14:textId="3A31FAC7" w:rsidR="00F443B6" w:rsidRPr="00653567" w:rsidRDefault="00F443B6" w:rsidP="0063134B">
            <w:pPr>
              <w:pStyle w:val="BoxBullet"/>
            </w:pPr>
            <w:r w:rsidRPr="00653567">
              <w:rPr>
                <w:b/>
              </w:rPr>
              <w:t>Option 2</w:t>
            </w:r>
            <w:r w:rsidRPr="00653567">
              <w:t xml:space="preserve">: Goods purchased through </w:t>
            </w:r>
            <w:r w:rsidR="00261B9C" w:rsidRPr="00653567">
              <w:t xml:space="preserve">online </w:t>
            </w:r>
            <w:r w:rsidRPr="00653567">
              <w:t xml:space="preserve">auctions that are conducted entirely online, with no reasonable opportunity to inspect goods, receive access to the remainder of the consumer guarantees (that are available in the ACL for generic retail sales). The status quo remains if the auctioneer makes the goods reasonably available for inspection. </w:t>
            </w:r>
          </w:p>
          <w:p w14:paraId="7131BC5E" w14:textId="2ABCFA2C" w:rsidR="00F443B6" w:rsidRPr="00653567" w:rsidRDefault="00F443B6" w:rsidP="0063134B">
            <w:pPr>
              <w:pStyle w:val="BoxBullet"/>
            </w:pPr>
            <w:r w:rsidRPr="00653567">
              <w:rPr>
                <w:b/>
              </w:rPr>
              <w:t>Option 3:</w:t>
            </w:r>
            <w:r w:rsidRPr="00653567">
              <w:t xml:space="preserve"> Goods purchased through online auctions, regardless of the ability for a prior inspection (including traditional auctions that allow online bidding) receive access to the remainder of consumer guarantees (that are available in the ACL for generic retail sales). The status quo will remain for consumers who purchase from auctions in person.  </w:t>
            </w:r>
          </w:p>
          <w:p w14:paraId="483B37D9" w14:textId="4B85F53F" w:rsidR="00F443B6" w:rsidRPr="00653567" w:rsidRDefault="00F443B6" w:rsidP="0063134B">
            <w:pPr>
              <w:pStyle w:val="BoxBullet"/>
            </w:pPr>
            <w:r w:rsidRPr="00653567">
              <w:rPr>
                <w:b/>
              </w:rPr>
              <w:t>Option 4:</w:t>
            </w:r>
            <w:r w:rsidRPr="00653567">
              <w:t xml:space="preserve"> All goods purchased through auctions will receive access to the remainder of consumer guarantees (that are available in the ACL for generic retail sales).</w:t>
            </w:r>
          </w:p>
        </w:tc>
      </w:tr>
    </w:tbl>
    <w:p w14:paraId="5EBB0CC3" w14:textId="77777777" w:rsidR="00F443B6" w:rsidRPr="00653567" w:rsidRDefault="00F443B6" w:rsidP="00E565DC"/>
    <w:p w14:paraId="12C5CFE2" w14:textId="29147CBB" w:rsidR="002B0709" w:rsidRPr="00653567" w:rsidRDefault="0063134B" w:rsidP="00E565DC">
      <w:pPr>
        <w:pStyle w:val="Heading2-NoNumbered"/>
      </w:pPr>
      <w:bookmarkStart w:id="35" w:name="_Toc501363808"/>
      <w:bookmarkStart w:id="36" w:name="_Toc501376278"/>
      <w:bookmarkStart w:id="37" w:name="_Toc507771526"/>
      <w:bookmarkStart w:id="38" w:name="_Toc508354786"/>
      <w:bookmarkStart w:id="39" w:name="_Toc508969205"/>
      <w:r w:rsidRPr="00653567">
        <w:rPr>
          <w:noProof/>
        </w:rPr>
        <w:drawing>
          <wp:anchor distT="0" distB="0" distL="7200900" distR="7200900" simplePos="0" relativeHeight="251643392" behindDoc="0" locked="0" layoutInCell="0" allowOverlap="0" wp14:anchorId="6B24E0F1" wp14:editId="5B61AAA0">
            <wp:simplePos x="0" y="0"/>
            <wp:positionH relativeFrom="margin">
              <wp:align>center</wp:align>
            </wp:positionH>
            <wp:positionV relativeFrom="page">
              <wp:posOffset>6029325</wp:posOffset>
            </wp:positionV>
            <wp:extent cx="3387725" cy="3514725"/>
            <wp:effectExtent l="0" t="0" r="317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l="1797" t="2292" r="2057" b="2292"/>
                    <a:stretch/>
                  </pic:blipFill>
                  <pic:spPr bwMode="auto">
                    <a:xfrm>
                      <a:off x="0" y="0"/>
                      <a:ext cx="3387725" cy="3514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0709" w:rsidRPr="00653567">
        <w:t xml:space="preserve">Option 1: </w:t>
      </w:r>
      <w:r w:rsidR="000D6858" w:rsidRPr="00653567">
        <w:t>Status quo</w:t>
      </w:r>
      <w:bookmarkEnd w:id="35"/>
      <w:bookmarkEnd w:id="36"/>
      <w:bookmarkEnd w:id="37"/>
      <w:bookmarkEnd w:id="38"/>
      <w:bookmarkEnd w:id="39"/>
    </w:p>
    <w:p w14:paraId="5C3230DE" w14:textId="6EAD5A1B" w:rsidR="002B0709" w:rsidRPr="0063134B" w:rsidRDefault="002B0709" w:rsidP="0063134B">
      <w:pPr>
        <w:spacing w:after="0"/>
        <w:rPr>
          <w:sz w:val="2"/>
          <w:szCs w:val="2"/>
        </w:rPr>
      </w:pPr>
    </w:p>
    <w:p w14:paraId="19B8499B" w14:textId="4D019D02" w:rsidR="006D5E50" w:rsidRPr="00653567" w:rsidRDefault="00691291" w:rsidP="00E565DC">
      <w:pPr>
        <w:pStyle w:val="OutlineNumbered1"/>
      </w:pPr>
      <w:r w:rsidRPr="00653567">
        <w:t xml:space="preserve">In this option </w:t>
      </w:r>
      <w:r w:rsidR="004A65D9" w:rsidRPr="00653567">
        <w:t>c</w:t>
      </w:r>
      <w:r w:rsidRPr="00653567">
        <w:t>onsumer</w:t>
      </w:r>
      <w:r w:rsidR="00E0236B" w:rsidRPr="00653567">
        <w:t>s</w:t>
      </w:r>
      <w:r w:rsidRPr="00653567">
        <w:t xml:space="preserve"> that purchase from online auctions will be treated in the same way as those that purchase </w:t>
      </w:r>
      <w:r w:rsidR="008053EC" w:rsidRPr="00653567">
        <w:t xml:space="preserve">in person </w:t>
      </w:r>
      <w:r w:rsidRPr="00653567">
        <w:t xml:space="preserve">from </w:t>
      </w:r>
      <w:r w:rsidR="008053EC" w:rsidRPr="00653567">
        <w:t>traditional auctions</w:t>
      </w:r>
      <w:r w:rsidRPr="00653567">
        <w:t xml:space="preserve">. </w:t>
      </w:r>
      <w:r w:rsidR="001E326B" w:rsidRPr="00653567">
        <w:t xml:space="preserve">That is, they will have consumer guarantee rights that address title, undisturbed possession and undisclosed securities, but not the general guarantees going to </w:t>
      </w:r>
      <w:r w:rsidR="00261B9C" w:rsidRPr="00653567">
        <w:t xml:space="preserve">quality or </w:t>
      </w:r>
      <w:r w:rsidR="0002342D" w:rsidRPr="00653567">
        <w:t xml:space="preserve">fitness of the actual goods. </w:t>
      </w:r>
      <w:r w:rsidRPr="00653567">
        <w:t xml:space="preserve">This will not overcome the </w:t>
      </w:r>
      <w:r w:rsidR="008053EC" w:rsidRPr="00653567">
        <w:t xml:space="preserve">difficulty of being </w:t>
      </w:r>
      <w:r w:rsidRPr="00653567">
        <w:t>able to physically inspect goods</w:t>
      </w:r>
      <w:r w:rsidR="008053EC" w:rsidRPr="00653567">
        <w:t xml:space="preserve"> prior to purchase</w:t>
      </w:r>
      <w:r w:rsidR="002343B9" w:rsidRPr="00653567">
        <w:t xml:space="preserve"> in all instances, particularly for online auctions</w:t>
      </w:r>
      <w:r w:rsidRPr="00653567">
        <w:t>.</w:t>
      </w:r>
      <w:r w:rsidR="00E0236B" w:rsidRPr="00653567">
        <w:t xml:space="preserve"> </w:t>
      </w:r>
    </w:p>
    <w:p w14:paraId="38A5AE3C" w14:textId="6482999E" w:rsidR="006C2D62" w:rsidRPr="00653567" w:rsidRDefault="008841D5" w:rsidP="00E565DC">
      <w:pPr>
        <w:pStyle w:val="OutlineNumbered1"/>
      </w:pPr>
      <w:r w:rsidRPr="00653567">
        <w:t>Consumer</w:t>
      </w:r>
      <w:r w:rsidR="006D5E50" w:rsidRPr="00653567">
        <w:t>s</w:t>
      </w:r>
      <w:r w:rsidRPr="00653567">
        <w:t xml:space="preserve"> </w:t>
      </w:r>
      <w:r w:rsidR="00FD3A14" w:rsidRPr="00653567">
        <w:t>will continue to</w:t>
      </w:r>
      <w:r w:rsidR="00344B39" w:rsidRPr="00653567">
        <w:t xml:space="preserve"> place </w:t>
      </w:r>
      <w:r w:rsidRPr="00653567">
        <w:t>value</w:t>
      </w:r>
      <w:r w:rsidR="002343B9" w:rsidRPr="00653567">
        <w:t xml:space="preserve"> and rely</w:t>
      </w:r>
      <w:r w:rsidR="00344B39" w:rsidRPr="00653567">
        <w:t xml:space="preserve"> on </w:t>
      </w:r>
      <w:r w:rsidR="00E0236B" w:rsidRPr="00653567">
        <w:t xml:space="preserve">information </w:t>
      </w:r>
      <w:r w:rsidRPr="00653567">
        <w:t>provid</w:t>
      </w:r>
      <w:r w:rsidR="00FD3A14" w:rsidRPr="00653567">
        <w:t>ed by sellers</w:t>
      </w:r>
      <w:r w:rsidR="00261B9C" w:rsidRPr="00653567">
        <w:t xml:space="preserve">. </w:t>
      </w:r>
      <w:r w:rsidR="006C2D62" w:rsidRPr="00653567">
        <w:t>However, while suppliers are prohibited from making false or misleading representations and may be penalised for doing so, individual consumers will not have direct rights to remedies (such as a repair, refund or replacement) under the consumer guarantees</w:t>
      </w:r>
      <w:r w:rsidR="008D153F" w:rsidRPr="00653567">
        <w:t>.</w:t>
      </w:r>
    </w:p>
    <w:p w14:paraId="1B21D0DB" w14:textId="60DF280E" w:rsidR="004724C2" w:rsidRPr="00653567" w:rsidRDefault="002343B9" w:rsidP="00E565DC">
      <w:pPr>
        <w:pStyle w:val="OutlineNumbered1"/>
      </w:pPr>
      <w:r w:rsidRPr="00653567">
        <w:t>S</w:t>
      </w:r>
      <w:r w:rsidR="004724C2" w:rsidRPr="00653567">
        <w:t>ellers in the online auction marketplace</w:t>
      </w:r>
      <w:r w:rsidRPr="00653567">
        <w:t xml:space="preserve"> </w:t>
      </w:r>
      <w:r w:rsidR="00261B9C" w:rsidRPr="00653567">
        <w:t xml:space="preserve">may </w:t>
      </w:r>
      <w:r w:rsidRPr="00653567">
        <w:t>continue to</w:t>
      </w:r>
      <w:r w:rsidR="004724C2" w:rsidRPr="00653567">
        <w:t xml:space="preserve"> </w:t>
      </w:r>
      <w:r w:rsidRPr="00653567">
        <w:t>develop</w:t>
      </w:r>
      <w:r w:rsidR="004724C2" w:rsidRPr="00653567">
        <w:t xml:space="preserve"> </w:t>
      </w:r>
      <w:r w:rsidR="00BB14B2" w:rsidRPr="00653567">
        <w:t>alternative</w:t>
      </w:r>
      <w:r w:rsidR="004724C2" w:rsidRPr="00653567">
        <w:t xml:space="preserve"> approaches to resolving disputes between sellers and customers.</w:t>
      </w:r>
      <w:r w:rsidRPr="00653567">
        <w:t xml:space="preserve"> For example current approaches include:</w:t>
      </w:r>
      <w:r w:rsidR="003B459A" w:rsidRPr="00653567">
        <w:t xml:space="preserve"> </w:t>
      </w:r>
    </w:p>
    <w:p w14:paraId="2DD7C7CE" w14:textId="32B08152" w:rsidR="004724C2" w:rsidRPr="00653567" w:rsidRDefault="002343B9" w:rsidP="004D127F">
      <w:pPr>
        <w:pStyle w:val="Bullet-Indent"/>
      </w:pPr>
      <w:r w:rsidRPr="00653567">
        <w:t>T</w:t>
      </w:r>
      <w:r w:rsidR="00781E93" w:rsidRPr="00653567">
        <w:t xml:space="preserve">he auctioneer </w:t>
      </w:r>
      <w:r w:rsidR="004724C2" w:rsidRPr="00653567">
        <w:t>tak</w:t>
      </w:r>
      <w:r w:rsidRPr="00653567">
        <w:t>ing</w:t>
      </w:r>
      <w:r w:rsidR="004724C2" w:rsidRPr="00653567">
        <w:t xml:space="preserve"> direct responsibility for disputes that arise in relation to the goods sold. </w:t>
      </w:r>
      <w:r w:rsidR="00781E93" w:rsidRPr="00653567">
        <w:t>The auctioneer</w:t>
      </w:r>
      <w:r w:rsidRPr="00653567">
        <w:t>’</w:t>
      </w:r>
      <w:r w:rsidR="00781E93" w:rsidRPr="00653567">
        <w:t xml:space="preserve">s </w:t>
      </w:r>
      <w:r w:rsidR="004724C2" w:rsidRPr="00653567">
        <w:t xml:space="preserve">terms and conditions state that </w:t>
      </w:r>
      <w:r w:rsidR="0004317D" w:rsidRPr="00653567">
        <w:t xml:space="preserve">they </w:t>
      </w:r>
      <w:r w:rsidR="004724C2" w:rsidRPr="00653567">
        <w:t>will bear the seller’s obligations</w:t>
      </w:r>
      <w:r w:rsidR="00C70653" w:rsidRPr="00653567">
        <w:t xml:space="preserve">, provide support and handle </w:t>
      </w:r>
      <w:r w:rsidR="004724C2" w:rsidRPr="00653567">
        <w:t xml:space="preserve">disputes about the goods </w:t>
      </w:r>
      <w:r w:rsidR="00C70653" w:rsidRPr="00653567">
        <w:t>through their own</w:t>
      </w:r>
      <w:r w:rsidR="004724C2" w:rsidRPr="00653567">
        <w:t xml:space="preserve"> complaints </w:t>
      </w:r>
      <w:r w:rsidRPr="00653567">
        <w:t>processes</w:t>
      </w:r>
      <w:r w:rsidR="004724C2" w:rsidRPr="00653567">
        <w:t>. Th</w:t>
      </w:r>
      <w:r w:rsidRPr="00653567">
        <w:t>e auctioneer</w:t>
      </w:r>
      <w:r w:rsidR="004724C2" w:rsidRPr="00653567">
        <w:t xml:space="preserve"> makes the decision whether or not to provide a remedy under the</w:t>
      </w:r>
      <w:r w:rsidRPr="00653567">
        <w:t xml:space="preserve"> auctioneer</w:t>
      </w:r>
      <w:r w:rsidR="004724C2" w:rsidRPr="00653567">
        <w:t>’s return policy</w:t>
      </w:r>
      <w:r w:rsidR="00FD101F" w:rsidRPr="00653567">
        <w:t>.</w:t>
      </w:r>
      <w:r w:rsidR="004724C2" w:rsidRPr="00653567">
        <w:t xml:space="preserve"> </w:t>
      </w:r>
    </w:p>
    <w:p w14:paraId="05020DA9" w14:textId="77B93362" w:rsidR="00AA7FAE" w:rsidRDefault="002343B9" w:rsidP="004D127F">
      <w:pPr>
        <w:pStyle w:val="Bullet-Indent"/>
      </w:pPr>
      <w:r w:rsidRPr="00653567">
        <w:t>T</w:t>
      </w:r>
      <w:r w:rsidR="00781E93" w:rsidRPr="00653567">
        <w:t>he auctioneer</w:t>
      </w:r>
      <w:r w:rsidR="004724C2" w:rsidRPr="00653567">
        <w:t xml:space="preserve"> leaves all disputes to be settled between the buyer and the seller. </w:t>
      </w:r>
      <w:r w:rsidR="00781E93" w:rsidRPr="00653567">
        <w:t xml:space="preserve">The auctioneer’s </w:t>
      </w:r>
      <w:r w:rsidR="004724C2" w:rsidRPr="00653567">
        <w:t xml:space="preserve">terms and conditions seek agreement from the buyer to release </w:t>
      </w:r>
      <w:r w:rsidR="003B459A" w:rsidRPr="00653567">
        <w:t>the auctioneer</w:t>
      </w:r>
      <w:r w:rsidR="004724C2" w:rsidRPr="00653567">
        <w:t xml:space="preserve"> from any claim, action, </w:t>
      </w:r>
      <w:r w:rsidR="003B459A" w:rsidRPr="00653567">
        <w:t>t</w:t>
      </w:r>
      <w:r w:rsidR="004724C2" w:rsidRPr="00653567">
        <w:t xml:space="preserve">ribunal or court proceedings in respect of an item they purchased through auction. </w:t>
      </w:r>
      <w:r w:rsidR="003B459A" w:rsidRPr="00653567">
        <w:t>While it is not possible for existing consumer guarantee rights to be written away by a contract</w:t>
      </w:r>
      <w:r w:rsidR="00C70653" w:rsidRPr="00653567">
        <w:t>, where such rights validly apply</w:t>
      </w:r>
      <w:r w:rsidR="003B459A" w:rsidRPr="00653567">
        <w:t xml:space="preserve">, those rights </w:t>
      </w:r>
      <w:r w:rsidRPr="00653567">
        <w:t>remain</w:t>
      </w:r>
      <w:r w:rsidR="003B459A" w:rsidRPr="00653567">
        <w:t xml:space="preserve"> the responsibility of the seller </w:t>
      </w:r>
      <w:r w:rsidR="00C70653" w:rsidRPr="00653567">
        <w:t xml:space="preserve">and </w:t>
      </w:r>
      <w:r w:rsidR="003B459A" w:rsidRPr="00653567">
        <w:t>not the auctioneer. Under this model the auctioneer acts solely to facilitate the sale of goods.</w:t>
      </w:r>
    </w:p>
    <w:p w14:paraId="642BBDDC" w14:textId="615501BA" w:rsidR="003B459A" w:rsidRPr="00653567" w:rsidRDefault="00261B9C" w:rsidP="00E565DC">
      <w:pPr>
        <w:pStyle w:val="OutlineNumbered1"/>
      </w:pPr>
      <w:r w:rsidRPr="004305A1">
        <w:t>As</w:t>
      </w:r>
      <w:r w:rsidRPr="00653567">
        <w:t xml:space="preserve"> the online auctioneer</w:t>
      </w:r>
      <w:r w:rsidR="00195FD7" w:rsidRPr="00653567">
        <w:t>ing</w:t>
      </w:r>
      <w:r w:rsidRPr="00653567">
        <w:t xml:space="preserve"> marketplace develops further, businesses may increasingly</w:t>
      </w:r>
      <w:r w:rsidR="003B459A" w:rsidRPr="00653567">
        <w:t xml:space="preserve"> adopt best practice models to facilitate the sale and purchase of goods. By adopting best practice and facilitating consumers seeking redress when goods are faulty, auction service</w:t>
      </w:r>
      <w:r w:rsidR="006D5E50" w:rsidRPr="00653567">
        <w:t>s</w:t>
      </w:r>
      <w:r w:rsidR="003B459A" w:rsidRPr="00653567">
        <w:t xml:space="preserve"> </w:t>
      </w:r>
      <w:r w:rsidR="006C2D62" w:rsidRPr="00653567">
        <w:t xml:space="preserve">could </w:t>
      </w:r>
      <w:r w:rsidR="00C74B6E" w:rsidRPr="00653567">
        <w:t>facilitate</w:t>
      </w:r>
      <w:r w:rsidR="003B459A" w:rsidRPr="00653567">
        <w:t xml:space="preserve"> more confident participation in the market. </w:t>
      </w:r>
    </w:p>
    <w:p w14:paraId="5E504636" w14:textId="77777777" w:rsidR="00C53EF7" w:rsidRPr="00653567" w:rsidRDefault="00C53EF7" w:rsidP="00E565DC">
      <w:pPr>
        <w:pStyle w:val="Heading3-NoNumbered"/>
      </w:pPr>
      <w:r w:rsidRPr="00653567">
        <w:t>Impact Analysis</w:t>
      </w:r>
    </w:p>
    <w:p w14:paraId="1CCC8849" w14:textId="57CA13D0" w:rsidR="00C53EF7" w:rsidRPr="00637CC8" w:rsidRDefault="00C53EF7" w:rsidP="00E565DC">
      <w:pPr>
        <w:pStyle w:val="OutlineNumbered1"/>
      </w:pPr>
      <w:r w:rsidRPr="00637CC8">
        <w:t>Under the status quo, the law would remain as it is, with the existing framework of exemptions from the consumer guarantees for all good</w:t>
      </w:r>
      <w:r w:rsidR="006C2D62" w:rsidRPr="00637CC8">
        <w:t>s</w:t>
      </w:r>
      <w:r w:rsidRPr="00637CC8">
        <w:t xml:space="preserve"> sold at auction. Consumers </w:t>
      </w:r>
      <w:r w:rsidR="0028770C" w:rsidRPr="00637CC8">
        <w:t>bidding online</w:t>
      </w:r>
      <w:r w:rsidRPr="00637CC8">
        <w:t xml:space="preserve"> without an inspection of goods would continue to determine their bidding strategy with </w:t>
      </w:r>
      <w:r w:rsidR="006C2D62" w:rsidRPr="00637CC8">
        <w:t>less information</w:t>
      </w:r>
      <w:r w:rsidRPr="00637CC8">
        <w:t xml:space="preserve"> than consumers who are able to inspect goods.</w:t>
      </w:r>
    </w:p>
    <w:p w14:paraId="7C7DB6AD" w14:textId="2A470EE1" w:rsidR="00717F6B" w:rsidRPr="00637CC8" w:rsidRDefault="00D22180" w:rsidP="00E565DC">
      <w:pPr>
        <w:pStyle w:val="OutlineNumbered1"/>
      </w:pPr>
      <w:r w:rsidRPr="00637CC8">
        <w:t xml:space="preserve">The status quo continues to offer </w:t>
      </w:r>
      <w:r w:rsidR="00844E48" w:rsidRPr="00637CC8">
        <w:t>consumers access to a wide range of products</w:t>
      </w:r>
      <w:r w:rsidR="002C5FB2" w:rsidRPr="00637CC8">
        <w:t xml:space="preserve">, ranging </w:t>
      </w:r>
      <w:r w:rsidR="007B3E9B" w:rsidRPr="00637CC8">
        <w:t xml:space="preserve">from </w:t>
      </w:r>
      <w:r w:rsidR="002C5FB2" w:rsidRPr="00637CC8">
        <w:t xml:space="preserve">goods sold for parts through to brand new stock. </w:t>
      </w:r>
      <w:r w:rsidR="00882065" w:rsidRPr="00637CC8">
        <w:t>While</w:t>
      </w:r>
      <w:r w:rsidR="00717F6B" w:rsidRPr="00637CC8">
        <w:t xml:space="preserve"> </w:t>
      </w:r>
      <w:r w:rsidR="00882065" w:rsidRPr="00637CC8">
        <w:t>consumers</w:t>
      </w:r>
      <w:r w:rsidR="00717F6B" w:rsidRPr="00637CC8">
        <w:t xml:space="preserve"> purchasing at auctions do not have access to the majority of the consumer </w:t>
      </w:r>
      <w:r w:rsidR="00882065" w:rsidRPr="00637CC8">
        <w:t>guarantees</w:t>
      </w:r>
      <w:r w:rsidR="00717F6B" w:rsidRPr="00637CC8">
        <w:t xml:space="preserve"> this is balanced by </w:t>
      </w:r>
      <w:r w:rsidR="002C5FB2" w:rsidRPr="00637CC8">
        <w:t>possibly</w:t>
      </w:r>
      <w:r w:rsidR="00717F6B" w:rsidRPr="00637CC8">
        <w:t xml:space="preserve"> low</w:t>
      </w:r>
      <w:r w:rsidR="002C5FB2" w:rsidRPr="00637CC8">
        <w:t>er</w:t>
      </w:r>
      <w:r w:rsidR="00717F6B" w:rsidRPr="00637CC8">
        <w:t xml:space="preserve"> prices. </w:t>
      </w:r>
    </w:p>
    <w:p w14:paraId="58B06014" w14:textId="77777777" w:rsidR="0063134B" w:rsidRPr="0063134B" w:rsidRDefault="0063134B" w:rsidP="0063134B">
      <w:r w:rsidRPr="0063134B">
        <w:br w:type="page"/>
      </w:r>
    </w:p>
    <w:p w14:paraId="14DC9C41" w14:textId="33AB9643" w:rsidR="00D66864" w:rsidRPr="00637CC8" w:rsidRDefault="00717F6B" w:rsidP="00E565DC">
      <w:pPr>
        <w:pStyle w:val="OutlineNumbered1"/>
      </w:pPr>
      <w:r w:rsidRPr="00637CC8">
        <w:t xml:space="preserve">In </w:t>
      </w:r>
      <w:r w:rsidR="00882065" w:rsidRPr="00637CC8">
        <w:t>maintaining</w:t>
      </w:r>
      <w:r w:rsidRPr="00637CC8">
        <w:t xml:space="preserve"> the current exemptions </w:t>
      </w:r>
      <w:r w:rsidR="00882065" w:rsidRPr="00637CC8">
        <w:t>fr</w:t>
      </w:r>
      <w:r w:rsidR="00111921" w:rsidRPr="00637CC8">
        <w:t>o</w:t>
      </w:r>
      <w:r w:rsidR="00882065" w:rsidRPr="00637CC8">
        <w:t>m</w:t>
      </w:r>
      <w:r w:rsidRPr="00637CC8">
        <w:t xml:space="preserve"> the consumer </w:t>
      </w:r>
      <w:r w:rsidR="00882065" w:rsidRPr="00637CC8">
        <w:t>guarantees</w:t>
      </w:r>
      <w:r w:rsidRPr="00637CC8">
        <w:t xml:space="preserve"> framework the status quo </w:t>
      </w:r>
      <w:r w:rsidR="00882065" w:rsidRPr="00637CC8">
        <w:t>allows</w:t>
      </w:r>
      <w:r w:rsidRPr="00637CC8">
        <w:t xml:space="preserve"> </w:t>
      </w:r>
      <w:r w:rsidR="00882065" w:rsidRPr="00637CC8">
        <w:t>businesses to</w:t>
      </w:r>
      <w:r w:rsidRPr="00637CC8">
        <w:t xml:space="preserve"> </w:t>
      </w:r>
      <w:r w:rsidR="00882065" w:rsidRPr="00637CC8">
        <w:t>continue</w:t>
      </w:r>
      <w:r w:rsidRPr="00637CC8">
        <w:t xml:space="preserve"> to have a low cost mechanism to dispose of goods.  This </w:t>
      </w:r>
      <w:r w:rsidR="00882065" w:rsidRPr="00637CC8">
        <w:t>will provide</w:t>
      </w:r>
      <w:r w:rsidRPr="00637CC8">
        <w:t xml:space="preserve"> </w:t>
      </w:r>
      <w:r w:rsidR="00882065" w:rsidRPr="00637CC8">
        <w:t>businesses with a means to</w:t>
      </w:r>
      <w:r w:rsidRPr="00637CC8">
        <w:t xml:space="preserve"> dispose of goods that </w:t>
      </w:r>
      <w:r w:rsidR="002C5FB2" w:rsidRPr="00637CC8">
        <w:t xml:space="preserve">can be </w:t>
      </w:r>
      <w:r w:rsidRPr="00637CC8">
        <w:t xml:space="preserve">at the end of their </w:t>
      </w:r>
      <w:r w:rsidR="00882065" w:rsidRPr="00637CC8">
        <w:t>saleable</w:t>
      </w:r>
      <w:r w:rsidRPr="00637CC8">
        <w:t xml:space="preserve"> life without the ongoing </w:t>
      </w:r>
      <w:r w:rsidR="00882065" w:rsidRPr="00637CC8">
        <w:t>liabilities</w:t>
      </w:r>
      <w:r w:rsidRPr="00637CC8">
        <w:t xml:space="preserve"> from the consumer </w:t>
      </w:r>
      <w:r w:rsidR="00882065" w:rsidRPr="00637CC8">
        <w:t>guarantees</w:t>
      </w:r>
      <w:r w:rsidRPr="00637CC8">
        <w:t xml:space="preserve"> </w:t>
      </w:r>
      <w:r w:rsidR="00882065" w:rsidRPr="00637CC8">
        <w:t>regime</w:t>
      </w:r>
      <w:r w:rsidRPr="00637CC8">
        <w:t xml:space="preserve">. </w:t>
      </w:r>
      <w:r w:rsidR="00882065" w:rsidRPr="00637CC8">
        <w:t>This</w:t>
      </w:r>
      <w:r w:rsidR="00DF1E18" w:rsidRPr="00637CC8">
        <w:t xml:space="preserve"> ensures that </w:t>
      </w:r>
      <w:r w:rsidR="00882065" w:rsidRPr="00637CC8">
        <w:t>businesses</w:t>
      </w:r>
      <w:r w:rsidR="00DF1E18" w:rsidRPr="00637CC8">
        <w:t xml:space="preserve"> will </w:t>
      </w:r>
      <w:r w:rsidR="00882065" w:rsidRPr="00637CC8">
        <w:t>be</w:t>
      </w:r>
      <w:r w:rsidR="00DF1E18" w:rsidRPr="00637CC8">
        <w:t xml:space="preserve"> able to </w:t>
      </w:r>
      <w:r w:rsidR="00882065" w:rsidRPr="00637CC8">
        <w:t>recoup</w:t>
      </w:r>
      <w:r w:rsidR="00DF1E18" w:rsidRPr="00637CC8">
        <w:t xml:space="preserve"> some benefits from goods </w:t>
      </w:r>
      <w:r w:rsidR="007B3E9B" w:rsidRPr="00637CC8">
        <w:t xml:space="preserve">where </w:t>
      </w:r>
      <w:r w:rsidR="00DF1E18" w:rsidRPr="00637CC8">
        <w:t xml:space="preserve">they would not </w:t>
      </w:r>
      <w:r w:rsidR="00882065" w:rsidRPr="00637CC8">
        <w:t>otherwise</w:t>
      </w:r>
      <w:r w:rsidR="00DF1E18" w:rsidRPr="00637CC8">
        <w:t xml:space="preserve"> be </w:t>
      </w:r>
      <w:r w:rsidR="00882065" w:rsidRPr="00637CC8">
        <w:t>able</w:t>
      </w:r>
      <w:r w:rsidR="00DF1E18" w:rsidRPr="00637CC8">
        <w:t xml:space="preserve"> to.</w:t>
      </w:r>
    </w:p>
    <w:p w14:paraId="7BF8C82E" w14:textId="26553589" w:rsidR="001A3F42" w:rsidRPr="00637CC8" w:rsidRDefault="00DF1E18" w:rsidP="00E565DC">
      <w:pPr>
        <w:pStyle w:val="OutlineNumbered1"/>
      </w:pPr>
      <w:r w:rsidRPr="00637CC8">
        <w:t xml:space="preserve">Auctioneers </w:t>
      </w:r>
      <w:r w:rsidR="00882065" w:rsidRPr="00637CC8">
        <w:t xml:space="preserve">will continue to be able to </w:t>
      </w:r>
      <w:r w:rsidR="00E92CE5" w:rsidRPr="00637CC8">
        <w:t xml:space="preserve">sell the range of </w:t>
      </w:r>
      <w:r w:rsidR="00E83049" w:rsidRPr="00637CC8">
        <w:t xml:space="preserve">new and used </w:t>
      </w:r>
      <w:r w:rsidR="00E92CE5" w:rsidRPr="00637CC8">
        <w:t xml:space="preserve">goods that they currently do. </w:t>
      </w:r>
      <w:r w:rsidR="002C5FB2" w:rsidRPr="00637CC8">
        <w:t xml:space="preserve">The possibility exists that traders may provide </w:t>
      </w:r>
      <w:r w:rsidR="00E92CE5" w:rsidRPr="00637CC8">
        <w:t xml:space="preserve">more information </w:t>
      </w:r>
      <w:r w:rsidR="002C5FB2" w:rsidRPr="00637CC8">
        <w:t xml:space="preserve">to prospective buyers </w:t>
      </w:r>
      <w:r w:rsidR="00EC2F76" w:rsidRPr="00637CC8">
        <w:t>regarding</w:t>
      </w:r>
      <w:r w:rsidR="002C5FB2" w:rsidRPr="00637CC8">
        <w:t xml:space="preserve"> the condition of their goods to bring about higher bids.</w:t>
      </w:r>
      <w:r w:rsidR="00E92CE5" w:rsidRPr="00637CC8">
        <w:t xml:space="preserve"> </w:t>
      </w:r>
    </w:p>
    <w:p w14:paraId="5A483584" w14:textId="592794A8" w:rsidR="001A3F42" w:rsidRPr="00637CC8" w:rsidRDefault="002C5FB2" w:rsidP="00E565DC">
      <w:pPr>
        <w:pStyle w:val="OutlineNumbered1"/>
      </w:pPr>
      <w:r w:rsidRPr="00637CC8">
        <w:t>Further, a</w:t>
      </w:r>
      <w:r w:rsidR="00E92CE5" w:rsidRPr="00637CC8">
        <w:t xml:space="preserve">uctioneering facilities will be able to compete with each other on the basis of the services that they provide to sellers and consumers. </w:t>
      </w:r>
      <w:r w:rsidR="001A3F42" w:rsidRPr="00637CC8">
        <w:t>Some online auctioneers may continue to develop alternative ways in which to help resolve disputes between buyers and sellers. This has already occurred with some of the “online only” auction facilities offering dispute resolution services to consumers.</w:t>
      </w:r>
    </w:p>
    <w:p w14:paraId="1B1FBCC1" w14:textId="1F39E139" w:rsidR="00DF1E18" w:rsidRPr="00637CC8" w:rsidRDefault="00E92CE5" w:rsidP="00E565DC">
      <w:pPr>
        <w:pStyle w:val="OutlineNumbered1"/>
      </w:pPr>
      <w:r w:rsidRPr="00637CC8">
        <w:t xml:space="preserve">The auction market will continue to grow and auctioneers would expect no change to the value of commissions received from individual goods. </w:t>
      </w:r>
    </w:p>
    <w:p w14:paraId="4CA49A6F" w14:textId="0C173722" w:rsidR="004C5E9A" w:rsidRPr="00637CC8" w:rsidRDefault="00844E48" w:rsidP="00E565DC">
      <w:pPr>
        <w:pStyle w:val="OutlineNumbered1"/>
      </w:pPr>
      <w:r w:rsidRPr="00637CC8">
        <w:t>Most auctions in the Australian marketplace are likely to offer some form of inspection. Consumer</w:t>
      </w:r>
      <w:r w:rsidR="00717F6B" w:rsidRPr="00637CC8">
        <w:t>s</w:t>
      </w:r>
      <w:r w:rsidRPr="00637CC8">
        <w:t xml:space="preserve"> </w:t>
      </w:r>
      <w:r w:rsidR="00717F6B" w:rsidRPr="00637CC8">
        <w:t xml:space="preserve">are able to </w:t>
      </w:r>
      <w:r w:rsidRPr="00637CC8">
        <w:t xml:space="preserve">inspect in person or have a friend, relative or profession inspect goods on their behalf. </w:t>
      </w:r>
      <w:r w:rsidR="00717F6B" w:rsidRPr="00637CC8">
        <w:t xml:space="preserve">If a consumer, seeking to purchase a good at auction, wishes to increase their knowledge about a good the status quo does </w:t>
      </w:r>
      <w:r w:rsidR="00111921" w:rsidRPr="00637CC8">
        <w:t>maintain</w:t>
      </w:r>
      <w:r w:rsidR="00717F6B" w:rsidRPr="00637CC8">
        <w:t xml:space="preserve"> costs in time and </w:t>
      </w:r>
      <w:r w:rsidR="00882065" w:rsidRPr="00637CC8">
        <w:t>labour</w:t>
      </w:r>
      <w:r w:rsidR="00717F6B" w:rsidRPr="00637CC8">
        <w:t xml:space="preserve"> to provide </w:t>
      </w:r>
      <w:r w:rsidR="00882065" w:rsidRPr="00637CC8">
        <w:t>additional</w:t>
      </w:r>
      <w:r w:rsidR="00717F6B" w:rsidRPr="00637CC8">
        <w:t xml:space="preserve"> information. </w:t>
      </w:r>
      <w:r w:rsidR="00882065" w:rsidRPr="00637CC8">
        <w:t xml:space="preserve">If they do not choose to inspect the good the lack of information available to consumers </w:t>
      </w:r>
      <w:r w:rsidR="001A3F42" w:rsidRPr="00637CC8">
        <w:t xml:space="preserve">is likely to </w:t>
      </w:r>
      <w:r w:rsidR="00882065" w:rsidRPr="00637CC8">
        <w:t>factor into the development of their bidding strategy.</w:t>
      </w:r>
      <w:r w:rsidR="00111921" w:rsidRPr="00637CC8">
        <w:t xml:space="preserve"> </w:t>
      </w:r>
      <w:r w:rsidR="004C5E9A" w:rsidRPr="00637CC8">
        <w:t xml:space="preserve">Where an inspection is not feasible </w:t>
      </w:r>
      <w:r w:rsidR="00111921" w:rsidRPr="00637CC8">
        <w:t xml:space="preserve">a </w:t>
      </w:r>
      <w:r w:rsidR="004C5E9A" w:rsidRPr="00637CC8">
        <w:t xml:space="preserve">consumer purchasing goods through </w:t>
      </w:r>
      <w:r w:rsidR="00111921" w:rsidRPr="00637CC8">
        <w:t xml:space="preserve">an </w:t>
      </w:r>
      <w:r w:rsidR="004C5E9A" w:rsidRPr="00637CC8">
        <w:t xml:space="preserve">auction will continue to face higher levels of information asymmetry. </w:t>
      </w:r>
    </w:p>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C53EF7" w:rsidRPr="00637CC8" w14:paraId="79646635" w14:textId="77777777" w:rsidTr="0063134B">
        <w:trPr>
          <w:trHeight w:val="243"/>
        </w:trPr>
        <w:tc>
          <w:tcPr>
            <w:tcW w:w="4570" w:type="dxa"/>
            <w:tcBorders>
              <w:top w:val="single" w:sz="4" w:space="0" w:color="004A7F"/>
              <w:bottom w:val="single" w:sz="4" w:space="0" w:color="004A7F"/>
            </w:tcBorders>
            <w:shd w:val="clear" w:color="auto" w:fill="DBE5F1" w:themeFill="accent1" w:themeFillTint="33"/>
          </w:tcPr>
          <w:p w14:paraId="6D950E04" w14:textId="77777777" w:rsidR="00C53EF7" w:rsidRPr="00637CC8" w:rsidRDefault="00C53EF7" w:rsidP="00E565DC">
            <w:pPr>
              <w:pStyle w:val="TableColumnHeadingLeft"/>
            </w:pPr>
            <w:r w:rsidRPr="00637CC8">
              <w:t>BENEFITS</w:t>
            </w:r>
          </w:p>
        </w:tc>
        <w:tc>
          <w:tcPr>
            <w:tcW w:w="4502" w:type="dxa"/>
            <w:tcBorders>
              <w:top w:val="single" w:sz="4" w:space="0" w:color="004A7F"/>
              <w:bottom w:val="single" w:sz="4" w:space="0" w:color="004A7F"/>
            </w:tcBorders>
            <w:shd w:val="clear" w:color="auto" w:fill="DBE5F1" w:themeFill="accent1" w:themeFillTint="33"/>
          </w:tcPr>
          <w:p w14:paraId="0A47A3D2" w14:textId="77777777" w:rsidR="00C53EF7" w:rsidRPr="00637CC8" w:rsidRDefault="00C53EF7" w:rsidP="00E565DC">
            <w:pPr>
              <w:pStyle w:val="TableColumnHeadingLeft"/>
            </w:pPr>
            <w:r w:rsidRPr="00637CC8">
              <w:t>COSTS</w:t>
            </w:r>
          </w:p>
        </w:tc>
      </w:tr>
      <w:tr w:rsidR="00C53EF7" w:rsidRPr="004D127F" w14:paraId="518EB2C1" w14:textId="77777777" w:rsidTr="0063134B">
        <w:trPr>
          <w:trHeight w:val="519"/>
        </w:trPr>
        <w:tc>
          <w:tcPr>
            <w:tcW w:w="4570" w:type="dxa"/>
            <w:tcBorders>
              <w:top w:val="single" w:sz="4" w:space="0" w:color="004A7F"/>
            </w:tcBorders>
            <w:shd w:val="clear" w:color="auto" w:fill="auto"/>
          </w:tcPr>
          <w:p w14:paraId="1BB204EE" w14:textId="1A126341" w:rsidR="00C53EF7" w:rsidRPr="004D127F" w:rsidRDefault="00111921" w:rsidP="004D127F">
            <w:pPr>
              <w:pStyle w:val="TableTextLeft-Bullet"/>
            </w:pPr>
            <w:r w:rsidRPr="004D127F">
              <w:t>Sellers and auctioneers</w:t>
            </w:r>
            <w:r w:rsidR="00233314" w:rsidRPr="004D127F">
              <w:t xml:space="preserve"> could continue to undertake voluntary measures to improve the level of information provided</w:t>
            </w:r>
            <w:r w:rsidRPr="004D127F">
              <w:t xml:space="preserve"> to consumers</w:t>
            </w:r>
            <w:r w:rsidR="00233314" w:rsidRPr="004D127F">
              <w:t>.</w:t>
            </w:r>
          </w:p>
        </w:tc>
        <w:tc>
          <w:tcPr>
            <w:tcW w:w="4502" w:type="dxa"/>
            <w:tcBorders>
              <w:top w:val="single" w:sz="4" w:space="0" w:color="004A7F"/>
            </w:tcBorders>
            <w:shd w:val="clear" w:color="auto" w:fill="auto"/>
          </w:tcPr>
          <w:p w14:paraId="1773D3BD" w14:textId="4E768130" w:rsidR="00C53EF7" w:rsidRPr="004D127F" w:rsidRDefault="00233314" w:rsidP="004D127F">
            <w:pPr>
              <w:pStyle w:val="TableTextLeft-Bullet"/>
            </w:pPr>
            <w:r w:rsidRPr="004D127F">
              <w:t>Consumers would</w:t>
            </w:r>
            <w:r w:rsidR="00111921" w:rsidRPr="004D127F">
              <w:t xml:space="preserve"> continue</w:t>
            </w:r>
            <w:r w:rsidRPr="004D127F">
              <w:t xml:space="preserve"> </w:t>
            </w:r>
            <w:r w:rsidR="00270A72" w:rsidRPr="004D127F">
              <w:t xml:space="preserve">to </w:t>
            </w:r>
            <w:r w:rsidRPr="004D127F">
              <w:t>not have automatic remedies for defect</w:t>
            </w:r>
            <w:r w:rsidR="00111921" w:rsidRPr="004D127F">
              <w:t xml:space="preserve">ive or unfit goods purchased through </w:t>
            </w:r>
            <w:r w:rsidRPr="004D127F">
              <w:t>auction</w:t>
            </w:r>
            <w:r w:rsidR="00111921" w:rsidRPr="004D127F">
              <w:t>s</w:t>
            </w:r>
            <w:r w:rsidRPr="004D127F">
              <w:t>.</w:t>
            </w:r>
          </w:p>
        </w:tc>
      </w:tr>
      <w:tr w:rsidR="00B27908" w:rsidRPr="004D127F" w14:paraId="4766742A" w14:textId="77777777" w:rsidTr="0063134B">
        <w:trPr>
          <w:trHeight w:val="519"/>
        </w:trPr>
        <w:tc>
          <w:tcPr>
            <w:tcW w:w="4570" w:type="dxa"/>
            <w:shd w:val="clear" w:color="auto" w:fill="F2F2F2" w:themeFill="background1" w:themeFillShade="F2"/>
          </w:tcPr>
          <w:p w14:paraId="26961099" w14:textId="00620B71" w:rsidR="00B27908" w:rsidRPr="004D127F" w:rsidRDefault="00B27908" w:rsidP="004D127F">
            <w:pPr>
              <w:pStyle w:val="TableTextLeft-Bullet"/>
            </w:pPr>
            <w:r w:rsidRPr="004D127F">
              <w:t>Consumers</w:t>
            </w:r>
            <w:r w:rsidR="00111921" w:rsidRPr="004D127F">
              <w:t xml:space="preserve"> continue to</w:t>
            </w:r>
            <w:r w:rsidRPr="004D127F">
              <w:t xml:space="preserve"> have access to a wide range of goods at auctions </w:t>
            </w:r>
            <w:r w:rsidR="002A1571" w:rsidRPr="004D127F">
              <w:t xml:space="preserve">and the possibility of purchasing like for like goods </w:t>
            </w:r>
            <w:r w:rsidRPr="004D127F">
              <w:t>at low</w:t>
            </w:r>
            <w:r w:rsidR="002A1571" w:rsidRPr="004D127F">
              <w:t>er</w:t>
            </w:r>
            <w:r w:rsidRPr="004D127F">
              <w:t xml:space="preserve"> prices</w:t>
            </w:r>
            <w:r w:rsidR="002A1571" w:rsidRPr="004D127F">
              <w:t xml:space="preserve"> than that supplied by traditional retailers</w:t>
            </w:r>
            <w:r w:rsidR="009113A2" w:rsidRPr="004D127F">
              <w:t>.</w:t>
            </w:r>
          </w:p>
        </w:tc>
        <w:tc>
          <w:tcPr>
            <w:tcW w:w="4502" w:type="dxa"/>
            <w:shd w:val="clear" w:color="auto" w:fill="F2F2F2" w:themeFill="background1" w:themeFillShade="F2"/>
          </w:tcPr>
          <w:p w14:paraId="660776D3" w14:textId="202375AC" w:rsidR="00B27908" w:rsidRPr="004D127F" w:rsidRDefault="00CF38C6" w:rsidP="004D127F">
            <w:pPr>
              <w:pStyle w:val="TableTextLeft-Bullet"/>
            </w:pPr>
            <w:r w:rsidRPr="004D127F">
              <w:t>Consumer confidence for goods purchased at all auctions is unlikely to increase</w:t>
            </w:r>
            <w:r w:rsidR="009113A2" w:rsidRPr="004D127F">
              <w:t>.</w:t>
            </w:r>
          </w:p>
        </w:tc>
      </w:tr>
      <w:tr w:rsidR="00B27908" w:rsidRPr="004D127F" w14:paraId="418C0F2E" w14:textId="77777777" w:rsidTr="0063134B">
        <w:trPr>
          <w:trHeight w:val="519"/>
        </w:trPr>
        <w:tc>
          <w:tcPr>
            <w:tcW w:w="4570" w:type="dxa"/>
            <w:shd w:val="clear" w:color="auto" w:fill="auto"/>
          </w:tcPr>
          <w:p w14:paraId="64720EAD" w14:textId="02015FF5" w:rsidR="00B27908" w:rsidRPr="004D127F" w:rsidRDefault="00CF38C6" w:rsidP="004D127F">
            <w:pPr>
              <w:pStyle w:val="TableTextLeft-Bullet"/>
            </w:pPr>
            <w:r w:rsidRPr="004D127F">
              <w:t>Businesses</w:t>
            </w:r>
            <w:r w:rsidR="00B27908" w:rsidRPr="004D127F">
              <w:t xml:space="preserve"> continue to be able to access a low </w:t>
            </w:r>
            <w:r w:rsidRPr="004D127F">
              <w:t>cost</w:t>
            </w:r>
            <w:r w:rsidR="00B27908" w:rsidRPr="004D127F">
              <w:t xml:space="preserve"> mechanism to dispose of goods</w:t>
            </w:r>
            <w:r w:rsidR="009113A2" w:rsidRPr="004D127F">
              <w:t>.</w:t>
            </w:r>
          </w:p>
        </w:tc>
        <w:tc>
          <w:tcPr>
            <w:tcW w:w="4502" w:type="dxa"/>
            <w:shd w:val="clear" w:color="auto" w:fill="auto"/>
          </w:tcPr>
          <w:p w14:paraId="06A9F797" w14:textId="17ABC91E" w:rsidR="00B27908" w:rsidRPr="004D127F" w:rsidRDefault="00CF38C6" w:rsidP="004D127F">
            <w:pPr>
              <w:pStyle w:val="TableTextLeft-Bullet"/>
            </w:pPr>
            <w:r w:rsidRPr="004D127F">
              <w:t>Consumers will continue to have search costs</w:t>
            </w:r>
            <w:r w:rsidR="00111921" w:rsidRPr="004D127F">
              <w:t xml:space="preserve"> if they wish </w:t>
            </w:r>
            <w:r w:rsidRPr="004D127F">
              <w:t xml:space="preserve">to identify the attributes of a product in </w:t>
            </w:r>
            <w:r w:rsidR="00111921" w:rsidRPr="004D127F">
              <w:t>d</w:t>
            </w:r>
            <w:r w:rsidRPr="004D127F">
              <w:t>evelop</w:t>
            </w:r>
            <w:r w:rsidR="00111921" w:rsidRPr="004D127F">
              <w:t>ing</w:t>
            </w:r>
            <w:r w:rsidRPr="004D127F">
              <w:t xml:space="preserve"> their bidding strategy. </w:t>
            </w:r>
          </w:p>
        </w:tc>
      </w:tr>
      <w:tr w:rsidR="00B27908" w:rsidRPr="004D127F" w14:paraId="24895089" w14:textId="77777777" w:rsidTr="0063134B">
        <w:trPr>
          <w:trHeight w:val="519"/>
        </w:trPr>
        <w:tc>
          <w:tcPr>
            <w:tcW w:w="4570" w:type="dxa"/>
            <w:shd w:val="clear" w:color="auto" w:fill="F2F2F2" w:themeFill="background1" w:themeFillShade="F2"/>
          </w:tcPr>
          <w:p w14:paraId="57420CE2" w14:textId="22EB1F33" w:rsidR="00B27908" w:rsidRPr="004D127F" w:rsidRDefault="00B27908" w:rsidP="004D127F">
            <w:pPr>
              <w:pStyle w:val="TableTextLeft-Bullet"/>
            </w:pPr>
            <w:r w:rsidRPr="004D127F">
              <w:t xml:space="preserve">Auctioneers will continue to have access to a wide range of </w:t>
            </w:r>
            <w:r w:rsidR="00CF38C6" w:rsidRPr="004D127F">
              <w:t>products</w:t>
            </w:r>
            <w:r w:rsidRPr="004D127F">
              <w:t xml:space="preserve"> to </w:t>
            </w:r>
            <w:r w:rsidR="00CF38C6" w:rsidRPr="004D127F">
              <w:t>sell</w:t>
            </w:r>
            <w:r w:rsidR="009113A2" w:rsidRPr="004D127F">
              <w:t>.</w:t>
            </w:r>
          </w:p>
        </w:tc>
        <w:tc>
          <w:tcPr>
            <w:tcW w:w="4502" w:type="dxa"/>
            <w:shd w:val="clear" w:color="auto" w:fill="F2F2F2" w:themeFill="background1" w:themeFillShade="F2"/>
          </w:tcPr>
          <w:p w14:paraId="1BF5173D" w14:textId="77777777" w:rsidR="00B27908" w:rsidRPr="004D127F" w:rsidRDefault="00B27908" w:rsidP="004D127F"/>
        </w:tc>
      </w:tr>
      <w:tr w:rsidR="00B27908" w:rsidRPr="004D127F" w14:paraId="54F0DB8B" w14:textId="77777777" w:rsidTr="0063134B">
        <w:trPr>
          <w:trHeight w:val="519"/>
        </w:trPr>
        <w:tc>
          <w:tcPr>
            <w:tcW w:w="4570" w:type="dxa"/>
            <w:tcBorders>
              <w:bottom w:val="single" w:sz="4" w:space="0" w:color="004A7F"/>
            </w:tcBorders>
            <w:shd w:val="clear" w:color="auto" w:fill="auto"/>
          </w:tcPr>
          <w:p w14:paraId="50196AD3" w14:textId="55F2086B" w:rsidR="00B27908" w:rsidRPr="004D127F" w:rsidRDefault="00B27908" w:rsidP="004D127F">
            <w:pPr>
              <w:pStyle w:val="TableTextLeft-Bullet"/>
            </w:pPr>
            <w:r w:rsidRPr="004D127F">
              <w:t>Auctioneers will continue to compete for both</w:t>
            </w:r>
            <w:r w:rsidR="007B3E9B" w:rsidRPr="004D127F">
              <w:t xml:space="preserve"> buyers and</w:t>
            </w:r>
            <w:r w:rsidRPr="004D127F">
              <w:t xml:space="preserve"> sellers </w:t>
            </w:r>
            <w:r w:rsidR="00111921" w:rsidRPr="004D127F">
              <w:t>through</w:t>
            </w:r>
            <w:r w:rsidR="001A3F42" w:rsidRPr="004D127F">
              <w:t xml:space="preserve"> offering support to consumers in the event of a product failure.</w:t>
            </w:r>
          </w:p>
        </w:tc>
        <w:tc>
          <w:tcPr>
            <w:tcW w:w="4502" w:type="dxa"/>
            <w:tcBorders>
              <w:bottom w:val="single" w:sz="4" w:space="0" w:color="004A7F"/>
            </w:tcBorders>
            <w:shd w:val="clear" w:color="auto" w:fill="auto"/>
          </w:tcPr>
          <w:p w14:paraId="7A2412C4" w14:textId="77777777" w:rsidR="00B27908" w:rsidRPr="004D127F" w:rsidRDefault="00B27908" w:rsidP="004D127F"/>
        </w:tc>
      </w:tr>
    </w:tbl>
    <w:p w14:paraId="6903E5E6" w14:textId="4644155F" w:rsidR="00997401" w:rsidRPr="0063134B" w:rsidRDefault="00997401" w:rsidP="0063134B"/>
    <w:p w14:paraId="12C73138" w14:textId="77777777" w:rsidR="0063134B" w:rsidRPr="0063134B" w:rsidRDefault="0063134B" w:rsidP="0063134B">
      <w:r w:rsidRPr="0063134B">
        <w:br w:type="page"/>
      </w:r>
    </w:p>
    <w:tbl>
      <w:tblPr>
        <w:tblStyle w:val="TableGrid"/>
        <w:tblW w:w="0" w:type="auto"/>
        <w:shd w:val="clear" w:color="auto" w:fill="F2F2F2" w:themeFill="background1" w:themeFillShade="F2"/>
        <w:tblLook w:val="04A0" w:firstRow="1" w:lastRow="0" w:firstColumn="1" w:lastColumn="0" w:noHBand="0" w:noVBand="1"/>
      </w:tblPr>
      <w:tblGrid>
        <w:gridCol w:w="9242"/>
      </w:tblGrid>
      <w:tr w:rsidR="00F85174" w:rsidRPr="00653567" w14:paraId="3FBF155F" w14:textId="77777777" w:rsidTr="00BD01D5">
        <w:tc>
          <w:tcPr>
            <w:tcW w:w="9242" w:type="dxa"/>
            <w:shd w:val="clear" w:color="auto" w:fill="F2F2F2" w:themeFill="background1" w:themeFillShade="F2"/>
          </w:tcPr>
          <w:p w14:paraId="013EE695" w14:textId="099E2391" w:rsidR="00F85174" w:rsidRPr="00637CC8" w:rsidRDefault="00F85174" w:rsidP="00E565DC">
            <w:pPr>
              <w:pStyle w:val="BoxHeading"/>
            </w:pPr>
            <w:r w:rsidRPr="00637CC8">
              <w:t xml:space="preserve">Focus Questions </w:t>
            </w:r>
          </w:p>
          <w:p w14:paraId="652082DF" w14:textId="562518F7" w:rsidR="00F85174" w:rsidRPr="00637CC8" w:rsidRDefault="007B3E9B" w:rsidP="0063134B">
            <w:pPr>
              <w:pStyle w:val="BoxHeadingSub"/>
            </w:pPr>
            <w:r w:rsidRPr="00637CC8">
              <w:t>For c</w:t>
            </w:r>
            <w:r w:rsidR="006651A5" w:rsidRPr="00637CC8">
              <w:t xml:space="preserve">onsumers </w:t>
            </w:r>
          </w:p>
          <w:p w14:paraId="2175E7CF" w14:textId="60D1CD42" w:rsidR="00653567" w:rsidRPr="00637CC8" w:rsidRDefault="00C40298" w:rsidP="0063134B">
            <w:pPr>
              <w:pStyle w:val="BoxBullet"/>
            </w:pPr>
            <w:r w:rsidRPr="00637CC8">
              <w:t>Do you physically inspect goods before you place a bid</w:t>
            </w:r>
            <w:r w:rsidR="00AB05DF" w:rsidRPr="00637CC8">
              <w:t>? H</w:t>
            </w:r>
            <w:r w:rsidR="00C03373" w:rsidRPr="00637CC8">
              <w:t>ow does it influence your bidding strategy</w:t>
            </w:r>
            <w:r w:rsidRPr="00637CC8">
              <w:t>? Do you bid in person</w:t>
            </w:r>
            <w:r w:rsidR="00684E8B" w:rsidRPr="00637CC8">
              <w:t xml:space="preserve"> or</w:t>
            </w:r>
            <w:r w:rsidRPr="00637CC8">
              <w:t xml:space="preserve"> </w:t>
            </w:r>
            <w:r w:rsidR="00684E8B" w:rsidRPr="00637CC8">
              <w:t>r</w:t>
            </w:r>
            <w:r w:rsidRPr="00637CC8">
              <w:t>emotely</w:t>
            </w:r>
            <w:r w:rsidR="00C03373" w:rsidRPr="00637CC8">
              <w:t xml:space="preserve"> and why</w:t>
            </w:r>
            <w:r w:rsidRPr="00637CC8">
              <w:t>?</w:t>
            </w:r>
          </w:p>
          <w:p w14:paraId="7DD745F2" w14:textId="0E409864" w:rsidR="00C40298" w:rsidRPr="00637CC8" w:rsidRDefault="00653567" w:rsidP="0063134B">
            <w:pPr>
              <w:pStyle w:val="BoxBullet"/>
            </w:pPr>
            <w:r w:rsidRPr="00637CC8">
              <w:t>Where you have been unable to inspect goods in person</w:t>
            </w:r>
            <w:r w:rsidR="001A3F42" w:rsidRPr="00637CC8">
              <w:t>,</w:t>
            </w:r>
            <w:r w:rsidRPr="00637CC8">
              <w:t xml:space="preserve"> have you ever sought to have someone inspect on your behalf? </w:t>
            </w:r>
            <w:r w:rsidR="00C40298" w:rsidRPr="00637CC8">
              <w:t xml:space="preserve"> </w:t>
            </w:r>
          </w:p>
          <w:p w14:paraId="484CFF77" w14:textId="40662793" w:rsidR="006651A5" w:rsidRPr="00637CC8" w:rsidRDefault="006651A5" w:rsidP="0063134B">
            <w:pPr>
              <w:pStyle w:val="BoxBullet"/>
            </w:pPr>
            <w:r w:rsidRPr="00637CC8">
              <w:t xml:space="preserve">Are you confident placing a bid in an online auction </w:t>
            </w:r>
            <w:r w:rsidR="0002342D" w:rsidRPr="00637CC8">
              <w:t>where there is not a reasonable opportunity to inspect the good</w:t>
            </w:r>
            <w:r w:rsidR="0004317D" w:rsidRPr="00637CC8">
              <w:t>, if the good has a comprehensive de</w:t>
            </w:r>
            <w:r w:rsidR="00684E8B" w:rsidRPr="00637CC8">
              <w:t>scription</w:t>
            </w:r>
            <w:r w:rsidR="0004317D" w:rsidRPr="00637CC8">
              <w:t>?</w:t>
            </w:r>
            <w:r w:rsidR="00233314" w:rsidRPr="00637CC8">
              <w:t xml:space="preserve"> Were there opportunities available to seek further details about goods for sale?</w:t>
            </w:r>
          </w:p>
          <w:p w14:paraId="20214640" w14:textId="4B6C03B1" w:rsidR="00684E8B" w:rsidRPr="00637CC8" w:rsidRDefault="0099494D" w:rsidP="0063134B">
            <w:pPr>
              <w:pStyle w:val="BoxBullet"/>
              <w:rPr>
                <w:i/>
              </w:rPr>
            </w:pPr>
            <w:r w:rsidRPr="00637CC8">
              <w:t>Have you ever purchased a good that did not meet your expectations through an auction?</w:t>
            </w:r>
            <w:r w:rsidR="00684E8B" w:rsidRPr="00637CC8">
              <w:t xml:space="preserve"> If so how was the problem remedied</w:t>
            </w:r>
            <w:r w:rsidR="004A3BDE" w:rsidRPr="00637CC8">
              <w:t>, and by who</w:t>
            </w:r>
            <w:r w:rsidR="00684E8B" w:rsidRPr="00637CC8">
              <w:t>?</w:t>
            </w:r>
          </w:p>
          <w:p w14:paraId="315A33E2" w14:textId="7736A4E6" w:rsidR="00653567" w:rsidRPr="00637CC8" w:rsidRDefault="00653567" w:rsidP="0063134B">
            <w:pPr>
              <w:pStyle w:val="BoxBullet"/>
              <w:rPr>
                <w:i/>
              </w:rPr>
            </w:pPr>
            <w:r w:rsidRPr="00637CC8">
              <w:t>Do you have an expectation when purchasing goods from auctions that the seller will assist in the event of a product failure?</w:t>
            </w:r>
          </w:p>
          <w:p w14:paraId="4FE7CE2F" w14:textId="5E3B3BE7" w:rsidR="00653567" w:rsidRPr="00637CC8" w:rsidRDefault="00653567" w:rsidP="0063134B">
            <w:pPr>
              <w:pStyle w:val="BoxBullet"/>
              <w:rPr>
                <w:i/>
              </w:rPr>
            </w:pPr>
            <w:r w:rsidRPr="00637CC8">
              <w:t>What classes of goods do you purchase at auction (used, new, or refurbished)?</w:t>
            </w:r>
          </w:p>
          <w:p w14:paraId="78058E86" w14:textId="5B30C5F7" w:rsidR="006651A5" w:rsidRPr="00637CC8" w:rsidRDefault="006651A5" w:rsidP="0063134B">
            <w:pPr>
              <w:pStyle w:val="BoxHeadingSub"/>
            </w:pPr>
            <w:r w:rsidRPr="00637CC8">
              <w:t xml:space="preserve">For </w:t>
            </w:r>
            <w:r w:rsidR="00BA248C" w:rsidRPr="00637CC8">
              <w:t>businesses</w:t>
            </w:r>
          </w:p>
          <w:p w14:paraId="1BBEFE07" w14:textId="77777777" w:rsidR="00BA248C" w:rsidRPr="00637CC8" w:rsidRDefault="00BA248C" w:rsidP="0063134B">
            <w:pPr>
              <w:pStyle w:val="BoxBullet"/>
            </w:pPr>
            <w:r w:rsidRPr="00637CC8">
              <w:t>How many goods are sold through your auction house each year? How many of these are: sold only in person; sold only online; or sold in person but with online bidding allowed?</w:t>
            </w:r>
          </w:p>
          <w:p w14:paraId="09241349" w14:textId="77777777" w:rsidR="00BA248C" w:rsidRPr="00637CC8" w:rsidRDefault="00BA248C" w:rsidP="0063134B">
            <w:pPr>
              <w:pStyle w:val="BoxBullet"/>
            </w:pPr>
            <w:r w:rsidRPr="00637CC8">
              <w:t>What is the average value of goods sold through your auction house/platform?</w:t>
            </w:r>
          </w:p>
          <w:p w14:paraId="48048899" w14:textId="77777777" w:rsidR="00BA248C" w:rsidRPr="00637CC8" w:rsidRDefault="00BA248C" w:rsidP="0063134B">
            <w:pPr>
              <w:pStyle w:val="BoxBullet"/>
            </w:pPr>
            <w:r w:rsidRPr="00637CC8">
              <w:t>How many bidders on average are there for each good sold? Does this vary significantly for online as opposed to in person auctions?</w:t>
            </w:r>
          </w:p>
          <w:p w14:paraId="2B498D51" w14:textId="6F451E31" w:rsidR="00F85174" w:rsidRPr="00637CC8" w:rsidRDefault="008C739B" w:rsidP="0063134B">
            <w:pPr>
              <w:pStyle w:val="BoxBullet"/>
            </w:pPr>
            <w:r w:rsidRPr="00637CC8">
              <w:t>What initiatives is your business taking to increase the confidence of consumers purchasing online</w:t>
            </w:r>
            <w:r w:rsidR="00233314" w:rsidRPr="00637CC8">
              <w:t>, and provide redress when things go wrong</w:t>
            </w:r>
            <w:r w:rsidR="001A3F42" w:rsidRPr="00637CC8">
              <w:t>?</w:t>
            </w:r>
          </w:p>
        </w:tc>
      </w:tr>
    </w:tbl>
    <w:p w14:paraId="42C03724" w14:textId="288CB910" w:rsidR="00BC24A9" w:rsidRPr="00653567" w:rsidRDefault="00BC24A9" w:rsidP="00267972">
      <w:pPr>
        <w:pStyle w:val="Singleparagraph"/>
      </w:pPr>
    </w:p>
    <w:p w14:paraId="1E9327E0" w14:textId="77777777" w:rsidR="00267972" w:rsidRDefault="00267972">
      <w:pPr>
        <w:spacing w:after="200" w:line="276" w:lineRule="auto"/>
        <w:jc w:val="left"/>
        <w:rPr>
          <w:rFonts w:ascii="Calibri" w:eastAsia="Times New Roman" w:hAnsi="Calibri" w:cs="Arial"/>
          <w:b/>
          <w:iCs/>
          <w:caps/>
          <w:color w:val="595959" w:themeColor="text1" w:themeTint="A6"/>
          <w:kern w:val="32"/>
          <w:sz w:val="32"/>
          <w:szCs w:val="28"/>
          <w:lang w:eastAsia="en-AU"/>
        </w:rPr>
      </w:pPr>
      <w:bookmarkStart w:id="40" w:name="_Toc501363809"/>
      <w:bookmarkStart w:id="41" w:name="_Toc501376279"/>
      <w:bookmarkStart w:id="42" w:name="_Toc507771527"/>
      <w:r>
        <w:br w:type="page"/>
      </w:r>
    </w:p>
    <w:p w14:paraId="112A0E9C" w14:textId="54B428EE" w:rsidR="001A321D" w:rsidRPr="00653567" w:rsidRDefault="002B0709" w:rsidP="00267972">
      <w:pPr>
        <w:pStyle w:val="Heading2-NoNumbered"/>
      </w:pPr>
      <w:bookmarkStart w:id="43" w:name="_Toc508354787"/>
      <w:bookmarkStart w:id="44" w:name="_Toc508969206"/>
      <w:r w:rsidRPr="00653567">
        <w:t xml:space="preserve">Option </w:t>
      </w:r>
      <w:r w:rsidR="00173DC0" w:rsidRPr="00653567">
        <w:t>2</w:t>
      </w:r>
      <w:r w:rsidRPr="00653567">
        <w:t xml:space="preserve">: </w:t>
      </w:r>
      <w:r w:rsidR="001A321D" w:rsidRPr="00653567">
        <w:t xml:space="preserve">Goods purchased through auctions that are conducted entirely online, with no reasonable opportunity to inspect goods, receive access to </w:t>
      </w:r>
      <w:r w:rsidR="00B37D1B" w:rsidRPr="00653567">
        <w:t xml:space="preserve">the </w:t>
      </w:r>
      <w:r w:rsidR="001A321D" w:rsidRPr="00653567">
        <w:t>remainder of the consumer guarantees (that are available in the ACL for generic retail sales).</w:t>
      </w:r>
      <w:bookmarkEnd w:id="40"/>
      <w:bookmarkEnd w:id="41"/>
      <w:bookmarkEnd w:id="42"/>
      <w:bookmarkEnd w:id="43"/>
      <w:bookmarkEnd w:id="44"/>
      <w:r w:rsidR="001A321D" w:rsidRPr="00653567">
        <w:t xml:space="preserve"> </w:t>
      </w:r>
    </w:p>
    <w:p w14:paraId="1D2BD468" w14:textId="28AAAA4A" w:rsidR="000D6858" w:rsidRPr="00267972" w:rsidRDefault="00267972" w:rsidP="00267972">
      <w:pPr>
        <w:pStyle w:val="Heading3-NoNumbered"/>
      </w:pPr>
      <w:bookmarkStart w:id="45" w:name="_Toc501363810"/>
      <w:bookmarkStart w:id="46" w:name="_Toc501376280"/>
      <w:bookmarkStart w:id="47" w:name="_Toc507771528"/>
      <w:r w:rsidRPr="00653567">
        <w:rPr>
          <w:noProof/>
        </w:rPr>
        <w:drawing>
          <wp:anchor distT="0" distB="0" distL="7200900" distR="7200900" simplePos="0" relativeHeight="251655680" behindDoc="0" locked="0" layoutInCell="1" allowOverlap="1" wp14:anchorId="19695F39" wp14:editId="2C3C567D">
            <wp:simplePos x="0" y="0"/>
            <wp:positionH relativeFrom="column">
              <wp:posOffset>114300</wp:posOffset>
            </wp:positionH>
            <wp:positionV relativeFrom="paragraph">
              <wp:posOffset>615315</wp:posOffset>
            </wp:positionV>
            <wp:extent cx="5443220" cy="4029075"/>
            <wp:effectExtent l="0" t="0" r="508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a:extLst>
                        <a:ext uri="{28A0092B-C50C-407E-A947-70E740481C1C}">
                          <a14:useLocalDpi xmlns:a14="http://schemas.microsoft.com/office/drawing/2010/main" val="0"/>
                        </a:ext>
                      </a:extLst>
                    </a:blip>
                    <a:srcRect l="1818" t="2670" r="909" b="1166"/>
                    <a:stretch/>
                  </pic:blipFill>
                  <pic:spPr bwMode="auto">
                    <a:xfrm>
                      <a:off x="0" y="0"/>
                      <a:ext cx="5443220" cy="4029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321D" w:rsidRPr="00267972">
        <w:t>The status quo remains if the auctioneer makes the goods reasonably available for inspection</w:t>
      </w:r>
      <w:bookmarkEnd w:id="45"/>
      <w:bookmarkEnd w:id="46"/>
      <w:bookmarkEnd w:id="47"/>
    </w:p>
    <w:p w14:paraId="6CAC2E94" w14:textId="1ECFE5AC" w:rsidR="003B473C" w:rsidRPr="00653567" w:rsidRDefault="003B473C" w:rsidP="00267972">
      <w:pPr>
        <w:pStyle w:val="Singleparagraph"/>
        <w:rPr>
          <w:lang w:eastAsia="en-AU"/>
        </w:rPr>
      </w:pPr>
    </w:p>
    <w:p w14:paraId="4254E70C" w14:textId="519B1B31" w:rsidR="000D14CC" w:rsidRPr="00653567" w:rsidRDefault="0009640D" w:rsidP="00E565DC">
      <w:pPr>
        <w:pStyle w:val="OutlineNumbered1"/>
      </w:pPr>
      <w:r w:rsidRPr="00653567">
        <w:t xml:space="preserve">Under this model, </w:t>
      </w:r>
      <w:r w:rsidR="000D14CC" w:rsidRPr="00653567">
        <w:t xml:space="preserve">only purely </w:t>
      </w:r>
      <w:r w:rsidRPr="00653567">
        <w:t>online auction</w:t>
      </w:r>
      <w:r w:rsidR="000D14CC" w:rsidRPr="00653567">
        <w:t>s</w:t>
      </w:r>
      <w:r w:rsidRPr="00653567">
        <w:t xml:space="preserve"> that </w:t>
      </w:r>
      <w:r w:rsidR="00387A51" w:rsidRPr="00653567">
        <w:t xml:space="preserve">do not </w:t>
      </w:r>
      <w:r w:rsidRPr="00653567">
        <w:t>allow a person a rea</w:t>
      </w:r>
      <w:r w:rsidR="000D14CC" w:rsidRPr="00653567">
        <w:t xml:space="preserve">sonable opportunity to inspect the goods will </w:t>
      </w:r>
      <w:r w:rsidR="00AB05DF">
        <w:t>have</w:t>
      </w:r>
      <w:r w:rsidR="004C4233" w:rsidRPr="00653567">
        <w:t xml:space="preserve"> </w:t>
      </w:r>
      <w:r w:rsidR="003825D5" w:rsidRPr="00653567">
        <w:t>the</w:t>
      </w:r>
      <w:r w:rsidR="004C4233" w:rsidRPr="00653567">
        <w:t xml:space="preserve"> remaining </w:t>
      </w:r>
      <w:r w:rsidR="000D14CC" w:rsidRPr="00653567">
        <w:t>consumer guarantee rights</w:t>
      </w:r>
      <w:r w:rsidR="00AB05DF">
        <w:t xml:space="preserve"> applied</w:t>
      </w:r>
      <w:r w:rsidR="000D14CC" w:rsidRPr="00653567">
        <w:t xml:space="preserve">. This follows from the rationale behind the current </w:t>
      </w:r>
      <w:r w:rsidR="004A6F2E" w:rsidRPr="00653567">
        <w:t>exemptions that additional consumer guarantees are not necessary when consumers can inspect the goods at auction.</w:t>
      </w:r>
    </w:p>
    <w:p w14:paraId="30069F98" w14:textId="201E004C" w:rsidR="008762E1" w:rsidRPr="00653567" w:rsidRDefault="00387A51" w:rsidP="00E565DC">
      <w:pPr>
        <w:pStyle w:val="OutlineNumbered1"/>
      </w:pPr>
      <w:r w:rsidRPr="00653567">
        <w:t>A</w:t>
      </w:r>
      <w:r w:rsidR="008762E1" w:rsidRPr="00653567">
        <w:t xml:space="preserve"> consumer would not receive </w:t>
      </w:r>
      <w:r w:rsidRPr="00653567">
        <w:t xml:space="preserve">the </w:t>
      </w:r>
      <w:r w:rsidR="00217F95" w:rsidRPr="00653567">
        <w:t>remainder</w:t>
      </w:r>
      <w:r w:rsidRPr="00653567">
        <w:t xml:space="preserve"> of the consumer </w:t>
      </w:r>
      <w:r w:rsidR="008762E1" w:rsidRPr="00653567">
        <w:t xml:space="preserve">guarantees if they </w:t>
      </w:r>
      <w:r w:rsidRPr="00653567">
        <w:t xml:space="preserve">participated in </w:t>
      </w:r>
      <w:r w:rsidR="008762E1" w:rsidRPr="00653567">
        <w:t xml:space="preserve">an auction </w:t>
      </w:r>
      <w:r w:rsidRPr="00653567">
        <w:t xml:space="preserve">where there was a reasonable opportunity </w:t>
      </w:r>
      <w:r w:rsidR="00AB05DF">
        <w:t xml:space="preserve">to </w:t>
      </w:r>
      <w:r w:rsidRPr="00653567">
        <w:t>inspect goods</w:t>
      </w:r>
      <w:r w:rsidR="008762E1" w:rsidRPr="00653567">
        <w:t>. This includes both auctions where:</w:t>
      </w:r>
    </w:p>
    <w:p w14:paraId="78531487" w14:textId="744E22C8" w:rsidR="008762E1" w:rsidRPr="00653567" w:rsidRDefault="008762E1" w:rsidP="004D127F">
      <w:pPr>
        <w:pStyle w:val="Bullet-Indent"/>
      </w:pPr>
      <w:r w:rsidRPr="00653567">
        <w:t xml:space="preserve">a </w:t>
      </w:r>
      <w:r w:rsidR="00217F95" w:rsidRPr="00653567">
        <w:t>‘</w:t>
      </w:r>
      <w:r w:rsidRPr="00653567">
        <w:t>traditional auction</w:t>
      </w:r>
      <w:r w:rsidR="00217F95" w:rsidRPr="00653567">
        <w:t>’</w:t>
      </w:r>
      <w:r w:rsidRPr="00653567">
        <w:t xml:space="preserve"> operates an online portal for remote bidding, and </w:t>
      </w:r>
    </w:p>
    <w:p w14:paraId="2213EC78" w14:textId="5710D8E6" w:rsidR="008762E1" w:rsidRPr="00653567" w:rsidRDefault="008762E1" w:rsidP="004D127F">
      <w:pPr>
        <w:pStyle w:val="Bullet-Indent"/>
      </w:pPr>
      <w:r w:rsidRPr="00653567">
        <w:t>a website offer</w:t>
      </w:r>
      <w:r w:rsidR="00AB05DF">
        <w:t>s</w:t>
      </w:r>
      <w:r w:rsidRPr="00653567">
        <w:t xml:space="preserve"> auction services</w:t>
      </w:r>
      <w:r w:rsidR="00AB05DF">
        <w:t xml:space="preserve"> with</w:t>
      </w:r>
      <w:r w:rsidRPr="00653567">
        <w:t xml:space="preserve"> </w:t>
      </w:r>
      <w:r w:rsidR="00BC118D" w:rsidRPr="00653567">
        <w:t>a facility for consumers to inspect goods.</w:t>
      </w:r>
    </w:p>
    <w:p w14:paraId="1E37BE7E" w14:textId="08304966" w:rsidR="00387A51" w:rsidRPr="00267972" w:rsidRDefault="008762E1" w:rsidP="00267972">
      <w:pPr>
        <w:pStyle w:val="OutlineNumbered1"/>
      </w:pPr>
      <w:r w:rsidRPr="00267972">
        <w:t xml:space="preserve">Both of these </w:t>
      </w:r>
      <w:r w:rsidR="00387A51" w:rsidRPr="00267972">
        <w:t xml:space="preserve">examples </w:t>
      </w:r>
      <w:r w:rsidRPr="00267972">
        <w:t>allow consumers a reasonable opportunity to view the goods before determining their bidding strategy</w:t>
      </w:r>
      <w:r w:rsidR="00387A51" w:rsidRPr="00267972">
        <w:t>.</w:t>
      </w:r>
    </w:p>
    <w:p w14:paraId="1689A434" w14:textId="59AE7F6A" w:rsidR="00205DD9" w:rsidRPr="00637CC8" w:rsidRDefault="00387A51" w:rsidP="00E565DC">
      <w:pPr>
        <w:pStyle w:val="OutlineNumbered1"/>
      </w:pPr>
      <w:r w:rsidRPr="00637CC8">
        <w:t xml:space="preserve">A reasonable opportunity for inspection </w:t>
      </w:r>
      <w:r w:rsidR="002A1571" w:rsidRPr="00637CC8">
        <w:t>could</w:t>
      </w:r>
      <w:r w:rsidRPr="00637CC8">
        <w:t xml:space="preserve"> encompass the approach taken in ‘traditional auctions’ towards the inspection of goods, where goods are available for inspection in a specified place at a specified time. </w:t>
      </w:r>
      <w:r w:rsidR="003C6019" w:rsidRPr="00637CC8">
        <w:t>In general</w:t>
      </w:r>
      <w:r w:rsidR="00B22E51">
        <w:t>,</w:t>
      </w:r>
      <w:r w:rsidR="003C6019" w:rsidRPr="00637CC8">
        <w:t xml:space="preserve"> the ACL does not define what ‘reasonable’ is taken to mean and leaves </w:t>
      </w:r>
      <w:r w:rsidR="000D3709" w:rsidRPr="00637CC8">
        <w:t>the definition of reasonableness</w:t>
      </w:r>
      <w:r w:rsidR="003C6019" w:rsidRPr="00637CC8">
        <w:t xml:space="preserve"> to a court to decide </w:t>
      </w:r>
      <w:r w:rsidR="000D3709" w:rsidRPr="00637CC8">
        <w:t xml:space="preserve">within the </w:t>
      </w:r>
      <w:r w:rsidR="003C6019" w:rsidRPr="00637CC8">
        <w:t>context</w:t>
      </w:r>
      <w:r w:rsidR="000D3709" w:rsidRPr="00637CC8">
        <w:t xml:space="preserve"> of a given case</w:t>
      </w:r>
      <w:r w:rsidRPr="00637CC8">
        <w:t>.</w:t>
      </w:r>
      <w:r w:rsidR="003C6019" w:rsidRPr="00637CC8">
        <w:t xml:space="preserve"> Th</w:t>
      </w:r>
      <w:r w:rsidR="00AB05DF" w:rsidRPr="00637CC8">
        <w:t>is</w:t>
      </w:r>
      <w:r w:rsidR="003C6019" w:rsidRPr="00637CC8">
        <w:t xml:space="preserve"> RIS is specifically looking for views on what would constitute a reasonable opportunity to inspect. </w:t>
      </w:r>
    </w:p>
    <w:p w14:paraId="600974BC" w14:textId="02D594AC" w:rsidR="00341C23" w:rsidRPr="00653567" w:rsidRDefault="005772AA" w:rsidP="00E565DC">
      <w:pPr>
        <w:pStyle w:val="OutlineNumbered1"/>
      </w:pPr>
      <w:r w:rsidRPr="00637CC8">
        <w:t xml:space="preserve">For </w:t>
      </w:r>
      <w:r w:rsidR="00852545">
        <w:t>“</w:t>
      </w:r>
      <w:r w:rsidRPr="00637CC8">
        <w:t>online only</w:t>
      </w:r>
      <w:r w:rsidR="00852545">
        <w:t>”</w:t>
      </w:r>
      <w:r w:rsidRPr="00637CC8">
        <w:t xml:space="preserve"> auctions it is proposed that</w:t>
      </w:r>
      <w:r w:rsidR="00142646" w:rsidRPr="00637CC8">
        <w:t xml:space="preserve"> consumer</w:t>
      </w:r>
      <w:r w:rsidR="00EB3745" w:rsidRPr="00637CC8">
        <w:t>s</w:t>
      </w:r>
      <w:r w:rsidR="00142646" w:rsidRPr="00637CC8">
        <w:t xml:space="preserve"> have access to </w:t>
      </w:r>
      <w:r w:rsidRPr="00637CC8">
        <w:t>the</w:t>
      </w:r>
      <w:r w:rsidR="00341C23" w:rsidRPr="00637CC8">
        <w:t xml:space="preserve"> remainder of the consumer guarantees</w:t>
      </w:r>
      <w:r w:rsidR="00387A51" w:rsidRPr="00637CC8">
        <w:t xml:space="preserve"> that are noted </w:t>
      </w:r>
      <w:r w:rsidR="00A46ECA">
        <w:t>i</w:t>
      </w:r>
      <w:r w:rsidR="00387A51" w:rsidRPr="00637CC8">
        <w:t xml:space="preserve">n </w:t>
      </w:r>
      <w:r w:rsidR="004305A1" w:rsidRPr="00637CC8">
        <w:t>paragraph 4</w:t>
      </w:r>
      <w:r w:rsidR="00217F95" w:rsidRPr="00637CC8">
        <w:t xml:space="preserve"> relating to</w:t>
      </w:r>
      <w:r w:rsidR="00217F95" w:rsidRPr="00653567">
        <w:t xml:space="preserve"> the quality of goods</w:t>
      </w:r>
      <w:r w:rsidR="00387A51" w:rsidRPr="00653567">
        <w:t>.</w:t>
      </w:r>
      <w:r w:rsidR="00341C23" w:rsidRPr="00653567">
        <w:t xml:space="preserve">  </w:t>
      </w:r>
    </w:p>
    <w:p w14:paraId="352A9128" w14:textId="66E93AAD" w:rsidR="00341C23" w:rsidRPr="00653567" w:rsidRDefault="00936AA9" w:rsidP="00E565DC">
      <w:pPr>
        <w:pStyle w:val="OutlineNumbered1"/>
      </w:pPr>
      <w:r w:rsidRPr="00653567">
        <w:t xml:space="preserve">The consumer guarantees were designed for consumers purchasing through traditional retail sale mediums. </w:t>
      </w:r>
      <w:r w:rsidR="0089137F" w:rsidRPr="00653567">
        <w:t xml:space="preserve">Accordingly, input is sought on what impacts may arise </w:t>
      </w:r>
      <w:r w:rsidRPr="00653567">
        <w:t xml:space="preserve">if the full range of consumer guarantees </w:t>
      </w:r>
      <w:r w:rsidR="0089137F" w:rsidRPr="00653567">
        <w:t>are made</w:t>
      </w:r>
      <w:r w:rsidRPr="00653567">
        <w:t xml:space="preserve"> available to consumers purchasing through online only auctions</w:t>
      </w:r>
      <w:r w:rsidR="0089137F" w:rsidRPr="00653567">
        <w:t xml:space="preserve"> </w:t>
      </w:r>
      <w:r w:rsidRPr="00653567">
        <w:t>whe</w:t>
      </w:r>
      <w:r w:rsidR="0089137F" w:rsidRPr="00653567">
        <w:t>re</w:t>
      </w:r>
      <w:r w:rsidRPr="00653567">
        <w:t xml:space="preserve"> the </w:t>
      </w:r>
      <w:r w:rsidR="0089137F" w:rsidRPr="00653567">
        <w:t>consumer has</w:t>
      </w:r>
      <w:r w:rsidRPr="00653567">
        <w:t xml:space="preserve"> not had a reasonable opportunity to inspect the goods.  </w:t>
      </w:r>
      <w:r w:rsidR="00341C23" w:rsidRPr="00653567">
        <w:t xml:space="preserve"> </w:t>
      </w:r>
    </w:p>
    <w:p w14:paraId="21303B7C" w14:textId="43A22612" w:rsidR="009744C0" w:rsidRPr="00653567" w:rsidRDefault="003337E4" w:rsidP="00E565DC">
      <w:pPr>
        <w:pStyle w:val="OutlineNumbered1"/>
      </w:pPr>
      <w:r w:rsidRPr="00653567">
        <w:t>A</w:t>
      </w:r>
      <w:r w:rsidR="00FC4187" w:rsidRPr="00653567">
        <w:t xml:space="preserve">ccess to </w:t>
      </w:r>
      <w:r w:rsidR="008A64BE" w:rsidRPr="00653567">
        <w:t>the</w:t>
      </w:r>
      <w:r w:rsidRPr="00653567">
        <w:t xml:space="preserve"> additional </w:t>
      </w:r>
      <w:r w:rsidR="009744C0" w:rsidRPr="00653567">
        <w:t xml:space="preserve">consumer guarantees for goods purchased </w:t>
      </w:r>
      <w:r w:rsidR="00D323F2" w:rsidRPr="00653567">
        <w:t>through</w:t>
      </w:r>
      <w:r w:rsidR="009744C0" w:rsidRPr="00653567">
        <w:t xml:space="preserve"> </w:t>
      </w:r>
      <w:r w:rsidR="00852545">
        <w:t>“</w:t>
      </w:r>
      <w:r w:rsidR="009744C0" w:rsidRPr="00653567">
        <w:t>online only</w:t>
      </w:r>
      <w:r w:rsidR="00852545">
        <w:t>”</w:t>
      </w:r>
      <w:r w:rsidR="009744C0" w:rsidRPr="00653567">
        <w:t xml:space="preserve"> auctions </w:t>
      </w:r>
      <w:r w:rsidR="00196C60" w:rsidRPr="00653567">
        <w:t xml:space="preserve">may </w:t>
      </w:r>
      <w:r w:rsidR="009744C0" w:rsidRPr="00653567">
        <w:t>improve the confidence of consumers purchas</w:t>
      </w:r>
      <w:r w:rsidRPr="00653567">
        <w:t>ing</w:t>
      </w:r>
      <w:r w:rsidR="009744C0" w:rsidRPr="00653567">
        <w:t xml:space="preserve"> goods through these </w:t>
      </w:r>
      <w:r w:rsidRPr="00653567">
        <w:t>auctions</w:t>
      </w:r>
      <w:r w:rsidR="009744C0" w:rsidRPr="00653567">
        <w:t xml:space="preserve">. </w:t>
      </w:r>
    </w:p>
    <w:p w14:paraId="6CA4C785" w14:textId="07F8FAE5" w:rsidR="00205DD9" w:rsidRPr="00653567" w:rsidRDefault="003B473C" w:rsidP="00E565DC">
      <w:pPr>
        <w:pStyle w:val="OutlineNumbered1"/>
      </w:pPr>
      <w:r w:rsidRPr="00653567">
        <w:t>Businesses</w:t>
      </w:r>
      <w:r w:rsidR="009744C0" w:rsidRPr="00653567">
        <w:t xml:space="preserve"> selling goods via </w:t>
      </w:r>
      <w:r w:rsidRPr="00653567">
        <w:t>auction will continue to</w:t>
      </w:r>
      <w:r w:rsidR="00217F95" w:rsidRPr="00653567">
        <w:t xml:space="preserve"> have</w:t>
      </w:r>
      <w:r w:rsidRPr="00653567">
        <w:t xml:space="preserve"> access </w:t>
      </w:r>
      <w:r w:rsidR="00217F95" w:rsidRPr="00653567">
        <w:t xml:space="preserve">to an important </w:t>
      </w:r>
      <w:r w:rsidRPr="00653567">
        <w:t xml:space="preserve">low cost mechanism </w:t>
      </w:r>
      <w:r w:rsidR="00217F95" w:rsidRPr="00653567">
        <w:t xml:space="preserve">for the </w:t>
      </w:r>
      <w:r w:rsidRPr="00653567">
        <w:t>dispos</w:t>
      </w:r>
      <w:r w:rsidR="00217F95" w:rsidRPr="00653567">
        <w:t>al</w:t>
      </w:r>
      <w:r w:rsidRPr="00653567">
        <w:t xml:space="preserve"> of goods, while</w:t>
      </w:r>
      <w:r w:rsidR="00217F95" w:rsidRPr="00653567">
        <w:t xml:space="preserve"> being able to</w:t>
      </w:r>
      <w:r w:rsidRPr="00653567">
        <w:t xml:space="preserve"> recover costs</w:t>
      </w:r>
      <w:r w:rsidR="00217F95" w:rsidRPr="00653567">
        <w:t xml:space="preserve">. </w:t>
      </w:r>
      <w:r w:rsidR="001A31CE" w:rsidRPr="00653567">
        <w:t>B</w:t>
      </w:r>
      <w:r w:rsidRPr="00653567">
        <w:t xml:space="preserve">usinesses selling through online auctions will have an increase in ongoing liabilities in relation to the possible </w:t>
      </w:r>
      <w:r w:rsidR="00AB05DF">
        <w:t>application</w:t>
      </w:r>
      <w:r w:rsidRPr="00653567">
        <w:t xml:space="preserve"> of consumer guarantees</w:t>
      </w:r>
      <w:r w:rsidR="00E42AAF" w:rsidRPr="00653567">
        <w:t>.</w:t>
      </w:r>
    </w:p>
    <w:p w14:paraId="3C0F9498" w14:textId="6DCE39DB" w:rsidR="009744C0" w:rsidRPr="00653567" w:rsidRDefault="00205DD9" w:rsidP="00E565DC">
      <w:pPr>
        <w:pStyle w:val="OutlineNumbered1"/>
      </w:pPr>
      <w:r w:rsidRPr="00653567">
        <w:t>Businesses selling goods through auctions need to determine the appropriate auction facility to dispose of their goods. Auction facilities should clearly disclose to the sellers of goods whether they are offering an online only sale or if they have facilities to allow for a reasonable inspection. Auctioneers</w:t>
      </w:r>
      <w:r w:rsidR="00AB05DF">
        <w:t>’</w:t>
      </w:r>
      <w:r w:rsidRPr="00653567">
        <w:t xml:space="preserve"> responsibilities will not change in relation to the consumer guarantees as it is the seller of the goods who is responsible for providing a remedy in the event something goes wrong. </w:t>
      </w:r>
      <w:r w:rsidR="001E7808" w:rsidRPr="00653567">
        <w:t>Auctioneers must not mislead or deceive a consumer in relation to the availably of a consumer guarantee or the goods for sale.</w:t>
      </w:r>
      <w:r w:rsidRPr="00653567">
        <w:t xml:space="preserve">   </w:t>
      </w:r>
    </w:p>
    <w:p w14:paraId="3A5BB3BB" w14:textId="77777777" w:rsidR="002043F3" w:rsidRPr="00653567" w:rsidRDefault="002043F3" w:rsidP="00E565DC">
      <w:pPr>
        <w:pStyle w:val="Heading3-NoNumbered"/>
      </w:pPr>
      <w:r w:rsidRPr="00653567">
        <w:t>Impact Analysis</w:t>
      </w:r>
    </w:p>
    <w:p w14:paraId="1F30CFD7" w14:textId="0466FD67" w:rsidR="002043F3" w:rsidRPr="00637CC8" w:rsidRDefault="002043F3" w:rsidP="00E565DC">
      <w:pPr>
        <w:pStyle w:val="OutlineNumbered1"/>
      </w:pPr>
      <w:r w:rsidRPr="004305A1">
        <w:t xml:space="preserve">Compliance costs under </w:t>
      </w:r>
      <w:r w:rsidR="00EC2F76">
        <w:t>Option 2</w:t>
      </w:r>
      <w:r w:rsidRPr="004305A1">
        <w:t xml:space="preserve"> are expected to be </w:t>
      </w:r>
      <w:r w:rsidR="004716DD" w:rsidRPr="004305A1">
        <w:t xml:space="preserve">relatively </w:t>
      </w:r>
      <w:r w:rsidRPr="004305A1">
        <w:t>low as this option only affects a limited number of auctions</w:t>
      </w:r>
      <w:r w:rsidR="001F0122" w:rsidRPr="004305A1">
        <w:t>, noting that there is uncertainty as to what proportion of auctions offer inspections</w:t>
      </w:r>
      <w:r w:rsidRPr="004305A1">
        <w:t xml:space="preserve">. This option does not provide access to the consumer guarantees where there is a reasonable opportunity to </w:t>
      </w:r>
      <w:r w:rsidR="00196C60" w:rsidRPr="004305A1">
        <w:t xml:space="preserve">inspect the </w:t>
      </w:r>
      <w:r w:rsidRPr="004305A1">
        <w:t xml:space="preserve">goods. As such, </w:t>
      </w:r>
      <w:r w:rsidR="00217F95" w:rsidRPr="004305A1">
        <w:t xml:space="preserve">there </w:t>
      </w:r>
      <w:r w:rsidRPr="004305A1">
        <w:t>will only</w:t>
      </w:r>
      <w:r w:rsidR="00217F95" w:rsidRPr="004305A1">
        <w:t xml:space="preserve"> be an increase in costs </w:t>
      </w:r>
      <w:r w:rsidR="00217F95" w:rsidRPr="00637CC8">
        <w:t>to businesses</w:t>
      </w:r>
      <w:r w:rsidRPr="00637CC8">
        <w:t xml:space="preserve"> </w:t>
      </w:r>
      <w:r w:rsidR="00217F95" w:rsidRPr="00637CC8">
        <w:t xml:space="preserve">that sell </w:t>
      </w:r>
      <w:r w:rsidRPr="00637CC8">
        <w:t xml:space="preserve">goods sold through </w:t>
      </w:r>
      <w:r w:rsidR="00852545">
        <w:t>“</w:t>
      </w:r>
      <w:r w:rsidRPr="00637CC8">
        <w:t>online only</w:t>
      </w:r>
      <w:r w:rsidR="00852545">
        <w:t>”</w:t>
      </w:r>
      <w:r w:rsidRPr="00637CC8">
        <w:t xml:space="preserve"> auctions.</w:t>
      </w:r>
    </w:p>
    <w:p w14:paraId="7E304B58" w14:textId="64BCA378" w:rsidR="00A91B83" w:rsidRPr="00637CC8" w:rsidRDefault="004716DD" w:rsidP="00E565DC">
      <w:pPr>
        <w:pStyle w:val="OutlineNumbered1"/>
      </w:pPr>
      <w:r w:rsidRPr="00637CC8">
        <w:t xml:space="preserve">Consumers who purchase goods from </w:t>
      </w:r>
      <w:r w:rsidR="00852545">
        <w:t>“</w:t>
      </w:r>
      <w:r w:rsidRPr="00637CC8">
        <w:t>online only</w:t>
      </w:r>
      <w:r w:rsidR="00852545">
        <w:t>”</w:t>
      </w:r>
      <w:r w:rsidRPr="00637CC8">
        <w:t xml:space="preserve"> auctions will likely have increased confidence to purchase good</w:t>
      </w:r>
      <w:r w:rsidR="00053CE1" w:rsidRPr="00637CC8">
        <w:t>s</w:t>
      </w:r>
      <w:r w:rsidRPr="00637CC8">
        <w:t xml:space="preserve"> knowing that in the event of an undisclosed product failure they will have access to consumer guarantees.</w:t>
      </w:r>
      <w:r w:rsidR="00A91B83" w:rsidRPr="00637CC8">
        <w:t xml:space="preserve"> </w:t>
      </w:r>
      <w:r w:rsidR="008B6D43" w:rsidRPr="00637CC8">
        <w:t>This increased confidence could translate into consumer</w:t>
      </w:r>
      <w:r w:rsidR="00AB05DF" w:rsidRPr="00637CC8">
        <w:t>s</w:t>
      </w:r>
      <w:r w:rsidR="008B6D43" w:rsidRPr="00637CC8">
        <w:t xml:space="preserve"> developing more aggressive biddings strategies. </w:t>
      </w:r>
    </w:p>
    <w:p w14:paraId="15321F72" w14:textId="77777777" w:rsidR="00267972" w:rsidRDefault="00267972">
      <w:pPr>
        <w:spacing w:after="200" w:line="276" w:lineRule="auto"/>
        <w:jc w:val="left"/>
      </w:pPr>
      <w:r>
        <w:br w:type="page"/>
      </w:r>
    </w:p>
    <w:p w14:paraId="11E640C0" w14:textId="21CECA43" w:rsidR="00A91B83" w:rsidRPr="00637CC8" w:rsidRDefault="00A91B83" w:rsidP="00E565DC">
      <w:pPr>
        <w:pStyle w:val="OutlineNumbered1"/>
      </w:pPr>
      <w:r w:rsidRPr="00637CC8">
        <w:t xml:space="preserve">Where the auctioneering facility provides a reasonable </w:t>
      </w:r>
      <w:r w:rsidR="00AB55B3" w:rsidRPr="00637CC8">
        <w:t>opportunity</w:t>
      </w:r>
      <w:r w:rsidRPr="00637CC8">
        <w:t xml:space="preserve"> to view goods</w:t>
      </w:r>
      <w:r w:rsidR="00AB05DF" w:rsidRPr="00637CC8">
        <w:t>,</w:t>
      </w:r>
      <w:r w:rsidRPr="00637CC8">
        <w:t xml:space="preserve"> consumers are still able purchase the good without a physical inspection. As is currently </w:t>
      </w:r>
      <w:r w:rsidR="00AB55B3" w:rsidRPr="00637CC8">
        <w:t>the</w:t>
      </w:r>
      <w:r w:rsidRPr="00637CC8">
        <w:t xml:space="preserve"> case, </w:t>
      </w:r>
      <w:r w:rsidR="00AB55B3" w:rsidRPr="00637CC8">
        <w:t>consumers</w:t>
      </w:r>
      <w:r w:rsidRPr="00637CC8">
        <w:t xml:space="preserve"> who cannot </w:t>
      </w:r>
      <w:r w:rsidR="00AB55B3" w:rsidRPr="00637CC8">
        <w:t>physically</w:t>
      </w:r>
      <w:r w:rsidRPr="00637CC8">
        <w:t xml:space="preserve"> </w:t>
      </w:r>
      <w:r w:rsidR="00AB55B3" w:rsidRPr="00637CC8">
        <w:t>inspect</w:t>
      </w:r>
      <w:r w:rsidRPr="00637CC8">
        <w:t xml:space="preserve"> goods have alternatives to gain information about a product apart </w:t>
      </w:r>
      <w:r w:rsidR="00AB55B3" w:rsidRPr="00637CC8">
        <w:t>from</w:t>
      </w:r>
      <w:r w:rsidRPr="00637CC8">
        <w:t xml:space="preserve"> the </w:t>
      </w:r>
      <w:r w:rsidR="00AB55B3" w:rsidRPr="00637CC8">
        <w:t>seller’s</w:t>
      </w:r>
      <w:r w:rsidRPr="00637CC8">
        <w:t xml:space="preserve"> </w:t>
      </w:r>
      <w:r w:rsidR="00AB55B3" w:rsidRPr="00637CC8">
        <w:t>representations</w:t>
      </w:r>
      <w:r w:rsidRPr="00637CC8">
        <w:t xml:space="preserve">. Consumers may have a friend, family member, or professional inspect the goods on their behalf and provide them with additional information. </w:t>
      </w:r>
      <w:r w:rsidR="00AB55B3" w:rsidRPr="00637CC8">
        <w:t>Alternatively</w:t>
      </w:r>
      <w:r w:rsidRPr="00637CC8">
        <w:t xml:space="preserve">, the consumer may factor this information </w:t>
      </w:r>
      <w:r w:rsidR="00AB55B3" w:rsidRPr="00637CC8">
        <w:t>asymmetry</w:t>
      </w:r>
      <w:r w:rsidRPr="00637CC8">
        <w:t xml:space="preserve"> into their bidding strategy. </w:t>
      </w:r>
      <w:r w:rsidR="00AB55B3" w:rsidRPr="00637CC8">
        <w:t>This is currently the case an</w:t>
      </w:r>
      <w:r w:rsidR="008B6D43" w:rsidRPr="00637CC8">
        <w:t>d</w:t>
      </w:r>
      <w:r w:rsidR="00AB55B3" w:rsidRPr="00637CC8">
        <w:t xml:space="preserve"> imposes no additional search costs on consumers above the status quo</w:t>
      </w:r>
      <w:r w:rsidRPr="00637CC8">
        <w:t xml:space="preserve"> </w:t>
      </w:r>
      <w:r w:rsidR="008B6D43" w:rsidRPr="00637CC8">
        <w:t>for purchases at ‘traditional auctions’.</w:t>
      </w:r>
    </w:p>
    <w:p w14:paraId="1BDAA31C" w14:textId="6696C330" w:rsidR="00A91B83" w:rsidRPr="00637CC8" w:rsidRDefault="00A91B83" w:rsidP="00E565DC">
      <w:pPr>
        <w:pStyle w:val="OutlineNumbered1"/>
      </w:pPr>
      <w:r w:rsidRPr="00637CC8">
        <w:t xml:space="preserve">As </w:t>
      </w:r>
      <w:r w:rsidR="00AB05DF" w:rsidRPr="00637CC8">
        <w:t>O</w:t>
      </w:r>
      <w:r w:rsidRPr="00637CC8">
        <w:t>ption</w:t>
      </w:r>
      <w:r w:rsidR="00AB05DF" w:rsidRPr="00637CC8">
        <w:t xml:space="preserve"> 2</w:t>
      </w:r>
      <w:r w:rsidRPr="00637CC8">
        <w:t xml:space="preserve"> does not alter the access to consumer </w:t>
      </w:r>
      <w:r w:rsidR="00AB55B3" w:rsidRPr="00637CC8">
        <w:t>guarantees</w:t>
      </w:r>
      <w:r w:rsidRPr="00637CC8">
        <w:t xml:space="preserve"> for auctioneering facilities that offer </w:t>
      </w:r>
      <w:r w:rsidR="008B6D43" w:rsidRPr="00637CC8">
        <w:t>“</w:t>
      </w:r>
      <w:r w:rsidRPr="00637CC8">
        <w:t>online</w:t>
      </w:r>
      <w:r w:rsidR="008B6D43" w:rsidRPr="00637CC8">
        <w:t xml:space="preserve"> auctions”</w:t>
      </w:r>
      <w:r w:rsidRPr="00637CC8">
        <w:t xml:space="preserve"> and </w:t>
      </w:r>
      <w:r w:rsidR="008B6D43" w:rsidRPr="00637CC8">
        <w:t>“</w:t>
      </w:r>
      <w:r w:rsidRPr="00637CC8">
        <w:t>traditional auctions</w:t>
      </w:r>
      <w:r w:rsidR="008B6D43" w:rsidRPr="00637CC8">
        <w:t xml:space="preserve">” for the same auction </w:t>
      </w:r>
      <w:r w:rsidRPr="00637CC8">
        <w:t xml:space="preserve">it is unlikely to result in a reduction in the number of auctioneering facilities or goods sold at auction. This will ensure </w:t>
      </w:r>
      <w:r w:rsidR="00AB55B3" w:rsidRPr="00637CC8">
        <w:t>consumers</w:t>
      </w:r>
      <w:r w:rsidRPr="00637CC8">
        <w:t xml:space="preserve"> continue to be able to purchase goods at </w:t>
      </w:r>
      <w:r w:rsidR="00AB55B3" w:rsidRPr="00637CC8">
        <w:t>low</w:t>
      </w:r>
      <w:r w:rsidRPr="00637CC8">
        <w:t xml:space="preserve"> prices from a wide </w:t>
      </w:r>
      <w:r w:rsidR="00AB55B3" w:rsidRPr="00637CC8">
        <w:t>range</w:t>
      </w:r>
      <w:r w:rsidRPr="00637CC8">
        <w:t xml:space="preserve"> of auctioneering facilities. This option also ensures that there </w:t>
      </w:r>
      <w:r w:rsidR="002D241E" w:rsidRPr="00637CC8">
        <w:t xml:space="preserve">is </w:t>
      </w:r>
      <w:r w:rsidR="00AB05DF" w:rsidRPr="00637CC8">
        <w:t xml:space="preserve">a </w:t>
      </w:r>
      <w:r w:rsidR="002D241E" w:rsidRPr="00637CC8">
        <w:t>wide range</w:t>
      </w:r>
      <w:r w:rsidRPr="00637CC8">
        <w:t xml:space="preserve"> of </w:t>
      </w:r>
      <w:r w:rsidR="00AB55B3" w:rsidRPr="00637CC8">
        <w:t>auctioneering</w:t>
      </w:r>
      <w:r w:rsidRPr="00637CC8">
        <w:t xml:space="preserve"> facilities </w:t>
      </w:r>
      <w:r w:rsidR="00AB55B3" w:rsidRPr="00637CC8">
        <w:t>available</w:t>
      </w:r>
      <w:r w:rsidRPr="00637CC8">
        <w:t xml:space="preserve"> to have a low cost method of </w:t>
      </w:r>
      <w:r w:rsidR="00AB55B3" w:rsidRPr="00637CC8">
        <w:t>disposing</w:t>
      </w:r>
      <w:r w:rsidRPr="00637CC8">
        <w:t xml:space="preserve"> of </w:t>
      </w:r>
      <w:r w:rsidR="00AB55B3" w:rsidRPr="00637CC8">
        <w:t xml:space="preserve">goods. </w:t>
      </w:r>
    </w:p>
    <w:p w14:paraId="2D2DAB36" w14:textId="21F4C4EC" w:rsidR="0059458C" w:rsidRPr="00637CC8" w:rsidRDefault="00AB55B3" w:rsidP="00E565DC">
      <w:pPr>
        <w:pStyle w:val="OutlineNumbered1"/>
      </w:pPr>
      <w:r w:rsidRPr="00637CC8">
        <w:t>For regional auctioneering facilities</w:t>
      </w:r>
      <w:r w:rsidR="002A1571" w:rsidRPr="00637CC8">
        <w:t>,</w:t>
      </w:r>
      <w:r w:rsidRPr="00637CC8">
        <w:t xml:space="preserve"> </w:t>
      </w:r>
      <w:r w:rsidR="004C153F" w:rsidRPr="00637CC8">
        <w:t xml:space="preserve">who offer both “online” and “traditional auctions” for the same auction, </w:t>
      </w:r>
      <w:r w:rsidRPr="00637CC8">
        <w:t>this approach ensures that they will be able to continue to have a</w:t>
      </w:r>
      <w:r w:rsidR="008B6D43" w:rsidRPr="00637CC8">
        <w:t>ccess to a</w:t>
      </w:r>
      <w:r w:rsidRPr="00637CC8">
        <w:t xml:space="preserve"> wide range of consumers</w:t>
      </w:r>
      <w:r w:rsidR="008B6D43" w:rsidRPr="00637CC8">
        <w:t xml:space="preserve"> through their online bidding platforms </w:t>
      </w:r>
      <w:r w:rsidRPr="00637CC8">
        <w:t xml:space="preserve">to encourage competitive bidding on goods. </w:t>
      </w:r>
    </w:p>
    <w:p w14:paraId="4343FE3D" w14:textId="49E94AE6" w:rsidR="004C153F" w:rsidRPr="00637CC8" w:rsidRDefault="00A91B83" w:rsidP="00E565DC">
      <w:pPr>
        <w:pStyle w:val="OutlineNumbered1"/>
      </w:pPr>
      <w:r w:rsidRPr="00637CC8">
        <w:t xml:space="preserve">Where a business sells through an </w:t>
      </w:r>
      <w:r w:rsidR="00852545">
        <w:t>“</w:t>
      </w:r>
      <w:r w:rsidRPr="00637CC8">
        <w:t>online only</w:t>
      </w:r>
      <w:r w:rsidR="00852545">
        <w:t>”</w:t>
      </w:r>
      <w:r w:rsidRPr="00637CC8">
        <w:t xml:space="preserve"> auction house they will need to be aware that they must comply with the </w:t>
      </w:r>
      <w:r w:rsidR="00AB05DF" w:rsidRPr="00637CC8">
        <w:t xml:space="preserve">full </w:t>
      </w:r>
      <w:r w:rsidRPr="00637CC8">
        <w:t>consumer guarantees regime. This will add training costs to staff to ensure that they</w:t>
      </w:r>
      <w:r w:rsidR="00AB55B3" w:rsidRPr="00637CC8">
        <w:t xml:space="preserve"> </w:t>
      </w:r>
      <w:r w:rsidRPr="00637CC8">
        <w:t xml:space="preserve">are aware of this requirement. </w:t>
      </w:r>
    </w:p>
    <w:p w14:paraId="51295EC3" w14:textId="1D199111" w:rsidR="00371C25" w:rsidRPr="00637CC8" w:rsidRDefault="0051558D" w:rsidP="00E565DC">
      <w:pPr>
        <w:pStyle w:val="OutlineNumbered1"/>
      </w:pPr>
      <w:r w:rsidRPr="00637CC8">
        <w:t xml:space="preserve">Businesses that sell through “online only” auctions, may </w:t>
      </w:r>
      <w:r w:rsidR="00332EA4" w:rsidRPr="00637CC8">
        <w:t>be incentivised to provide better information to prospective purchasers as to the condition of</w:t>
      </w:r>
      <w:r w:rsidR="00AB05DF" w:rsidRPr="00637CC8">
        <w:t xml:space="preserve"> articles for sale under Option</w:t>
      </w:r>
      <w:r w:rsidR="00332EA4" w:rsidRPr="00637CC8">
        <w:t xml:space="preserve"> 2. </w:t>
      </w:r>
      <w:r w:rsidRPr="00637CC8">
        <w:t>Certain consumer guarantees, such as the guarantee relating to spare parts, do not apply if the seller takes reasonable step</w:t>
      </w:r>
      <w:r w:rsidR="00AB05DF" w:rsidRPr="00637CC8">
        <w:t>s</w:t>
      </w:r>
      <w:r w:rsidRPr="00637CC8">
        <w:t xml:space="preserve"> to ensure the consumer is aware that repair facilities and spare parts will not be available. Additionally, the guarantee as to acceptable quality takes into account the price, relevant circumstances and any statements made about a good. For example, when a consumer purchases a crate of dinner plates at an auction for $5 described as being in ‘mixed condition’ they would not be able to claim there was a failure entitling them to a remedy if many of the plates in the crate were damaged or broken. </w:t>
      </w:r>
    </w:p>
    <w:p w14:paraId="6803EF3E" w14:textId="5A0C8BDB" w:rsidR="00B73BC8" w:rsidRPr="00637CC8" w:rsidRDefault="00332EA4" w:rsidP="00E565DC">
      <w:pPr>
        <w:pStyle w:val="OutlineNumbered1"/>
      </w:pPr>
      <w:r w:rsidRPr="00637CC8">
        <w:t>Accordingly, it is possible that businesses will incur higher costs in providing greater information about the products they sell</w:t>
      </w:r>
      <w:r w:rsidR="00371C25" w:rsidRPr="00637CC8">
        <w:t xml:space="preserve"> in </w:t>
      </w:r>
      <w:r w:rsidR="00852545">
        <w:t>“</w:t>
      </w:r>
      <w:r w:rsidR="00371C25" w:rsidRPr="00637CC8">
        <w:t>online only</w:t>
      </w:r>
      <w:r w:rsidR="00852545">
        <w:t>”</w:t>
      </w:r>
      <w:r w:rsidR="00371C25" w:rsidRPr="00637CC8">
        <w:t xml:space="preserve"> auctions</w:t>
      </w:r>
      <w:r w:rsidRPr="00637CC8">
        <w:t xml:space="preserve"> with a view to minimising their consumer guarantee </w:t>
      </w:r>
      <w:r w:rsidR="003A0247" w:rsidRPr="00637CC8">
        <w:t>liability</w:t>
      </w:r>
      <w:r w:rsidRPr="00637CC8">
        <w:t xml:space="preserve">. </w:t>
      </w:r>
    </w:p>
    <w:p w14:paraId="1F01BB8F" w14:textId="70EB3A53" w:rsidR="00734363" w:rsidRPr="00637CC8" w:rsidRDefault="00852545" w:rsidP="00E565DC">
      <w:pPr>
        <w:pStyle w:val="OutlineNumbered1"/>
      </w:pPr>
      <w:r>
        <w:t>“</w:t>
      </w:r>
      <w:r w:rsidR="00734363" w:rsidRPr="00637CC8">
        <w:t>Online only</w:t>
      </w:r>
      <w:r>
        <w:t>”</w:t>
      </w:r>
      <w:r w:rsidR="00734363" w:rsidRPr="00637CC8">
        <w:t xml:space="preserve"> auction facilities will be required to update their terms and conditions, develop processes to connect buyers and sellers in the event of product failures and train staff as to their responsibilities under the consumer guarantees regime. This RIS seeks information on the potential costs that would come from implementing these changes to auctioneering facilities.</w:t>
      </w:r>
    </w:p>
    <w:p w14:paraId="65327BC1" w14:textId="7CACD012" w:rsidR="002043F3" w:rsidRPr="00267972" w:rsidRDefault="002043F3" w:rsidP="00267972"/>
    <w:p w14:paraId="72892A7B" w14:textId="77777777" w:rsidR="00267972" w:rsidRPr="00267972" w:rsidRDefault="00267972" w:rsidP="00267972">
      <w:r w:rsidRPr="00267972">
        <w:br w:type="page"/>
      </w:r>
    </w:p>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2043F3" w:rsidRPr="00637CC8" w14:paraId="6F76757A" w14:textId="77777777" w:rsidTr="00267972">
        <w:trPr>
          <w:trHeight w:val="243"/>
        </w:trPr>
        <w:tc>
          <w:tcPr>
            <w:tcW w:w="4570" w:type="dxa"/>
            <w:tcBorders>
              <w:top w:val="single" w:sz="4" w:space="0" w:color="004A7F"/>
              <w:bottom w:val="single" w:sz="4" w:space="0" w:color="004A7F"/>
            </w:tcBorders>
            <w:shd w:val="clear" w:color="auto" w:fill="DBE5F1" w:themeFill="accent1" w:themeFillTint="33"/>
          </w:tcPr>
          <w:p w14:paraId="4BECBA56" w14:textId="5DC891AB" w:rsidR="002043F3" w:rsidRPr="00637CC8" w:rsidRDefault="002043F3" w:rsidP="00E565DC">
            <w:pPr>
              <w:pStyle w:val="TableColumnHeadingLeft"/>
            </w:pPr>
            <w:r w:rsidRPr="00637CC8">
              <w:t>BENEFITS</w:t>
            </w:r>
          </w:p>
        </w:tc>
        <w:tc>
          <w:tcPr>
            <w:tcW w:w="4502" w:type="dxa"/>
            <w:tcBorders>
              <w:top w:val="single" w:sz="4" w:space="0" w:color="004A7F"/>
              <w:bottom w:val="single" w:sz="4" w:space="0" w:color="004A7F"/>
            </w:tcBorders>
            <w:shd w:val="clear" w:color="auto" w:fill="DBE5F1" w:themeFill="accent1" w:themeFillTint="33"/>
          </w:tcPr>
          <w:p w14:paraId="53B55B25" w14:textId="77777777" w:rsidR="002043F3" w:rsidRPr="00637CC8" w:rsidRDefault="002043F3" w:rsidP="00E565DC">
            <w:pPr>
              <w:pStyle w:val="TableColumnHeadingLeft"/>
            </w:pPr>
            <w:r w:rsidRPr="00637CC8">
              <w:t>COSTS</w:t>
            </w:r>
          </w:p>
        </w:tc>
      </w:tr>
      <w:tr w:rsidR="002043F3" w:rsidRPr="00267972" w14:paraId="7A72C43F" w14:textId="77777777" w:rsidTr="00267972">
        <w:trPr>
          <w:trHeight w:val="519"/>
        </w:trPr>
        <w:tc>
          <w:tcPr>
            <w:tcW w:w="4570" w:type="dxa"/>
            <w:tcBorders>
              <w:top w:val="single" w:sz="4" w:space="0" w:color="004A7F"/>
            </w:tcBorders>
            <w:shd w:val="clear" w:color="auto" w:fill="auto"/>
          </w:tcPr>
          <w:p w14:paraId="2E85BDC3" w14:textId="25E30DFB" w:rsidR="002043F3" w:rsidRPr="00267972" w:rsidRDefault="002043F3" w:rsidP="00267972">
            <w:pPr>
              <w:pStyle w:val="TableTextLeft-Bullet"/>
              <w:rPr>
                <w:rFonts w:eastAsiaTheme="minorHAnsi"/>
              </w:rPr>
            </w:pPr>
            <w:r w:rsidRPr="00267972">
              <w:t>Consumers would be able to purchase goods through online auctions with</w:t>
            </w:r>
            <w:r w:rsidR="00AB05DF" w:rsidRPr="00267972">
              <w:t xml:space="preserve"> increased</w:t>
            </w:r>
            <w:r w:rsidRPr="00267972">
              <w:t xml:space="preserve"> confidence as they will be able to rely on consumer guarantees.</w:t>
            </w:r>
          </w:p>
        </w:tc>
        <w:tc>
          <w:tcPr>
            <w:tcW w:w="4502" w:type="dxa"/>
            <w:tcBorders>
              <w:top w:val="single" w:sz="4" w:space="0" w:color="004A7F"/>
            </w:tcBorders>
            <w:shd w:val="clear" w:color="auto" w:fill="auto"/>
          </w:tcPr>
          <w:p w14:paraId="5BCD9FA8" w14:textId="4211433F" w:rsidR="002043F3" w:rsidRPr="00267972" w:rsidRDefault="00852545" w:rsidP="00267972">
            <w:pPr>
              <w:pStyle w:val="TableTextLeft-Bullet"/>
            </w:pPr>
            <w:r>
              <w:t>“</w:t>
            </w:r>
            <w:r w:rsidR="008B6D43" w:rsidRPr="00267972">
              <w:t>Online only</w:t>
            </w:r>
            <w:r>
              <w:t>”</w:t>
            </w:r>
            <w:r w:rsidR="008B6D43" w:rsidRPr="00267972">
              <w:t xml:space="preserve"> auctioneering facilities may need to develop mechanisms to assist consumers</w:t>
            </w:r>
            <w:r w:rsidR="00AB05DF" w:rsidRPr="00267972">
              <w:t xml:space="preserve"> to</w:t>
            </w:r>
            <w:r w:rsidR="008B6D43" w:rsidRPr="00267972">
              <w:t xml:space="preserve"> contact sellers in the event of a product failure. </w:t>
            </w:r>
          </w:p>
        </w:tc>
      </w:tr>
      <w:tr w:rsidR="002043F3" w:rsidRPr="00267972" w14:paraId="4795C59E" w14:textId="77777777" w:rsidTr="00267972">
        <w:trPr>
          <w:trHeight w:val="519"/>
        </w:trPr>
        <w:tc>
          <w:tcPr>
            <w:tcW w:w="4570" w:type="dxa"/>
            <w:shd w:val="clear" w:color="auto" w:fill="F2F2F2" w:themeFill="background1" w:themeFillShade="F2"/>
          </w:tcPr>
          <w:p w14:paraId="1FDFAB63" w14:textId="26204806" w:rsidR="002043F3" w:rsidRPr="00267972" w:rsidRDefault="00071FB7" w:rsidP="00267972">
            <w:pPr>
              <w:pStyle w:val="TableTextLeft-Bullet"/>
              <w:numPr>
                <w:ilvl w:val="0"/>
                <w:numId w:val="36"/>
              </w:numPr>
            </w:pPr>
            <w:r w:rsidRPr="00267972">
              <w:t>Sellers may provide better information to prospective purchasers as to the condition of articles.</w:t>
            </w:r>
          </w:p>
        </w:tc>
        <w:tc>
          <w:tcPr>
            <w:tcW w:w="4502" w:type="dxa"/>
            <w:shd w:val="clear" w:color="auto" w:fill="F2F2F2" w:themeFill="background1" w:themeFillShade="F2"/>
          </w:tcPr>
          <w:p w14:paraId="62BEAA3D" w14:textId="7F41535A" w:rsidR="002043F3" w:rsidRPr="00267972" w:rsidRDefault="00AA208B" w:rsidP="00267972">
            <w:pPr>
              <w:pStyle w:val="TableTextLeft-Bullet"/>
            </w:pPr>
            <w:r w:rsidRPr="00267972">
              <w:t xml:space="preserve">Sellers using </w:t>
            </w:r>
            <w:r w:rsidR="00852545">
              <w:t>“</w:t>
            </w:r>
            <w:r w:rsidRPr="00267972">
              <w:t>online only</w:t>
            </w:r>
            <w:r w:rsidR="00852545">
              <w:t>”</w:t>
            </w:r>
            <w:r w:rsidRPr="00267972">
              <w:t xml:space="preserve"> auctions </w:t>
            </w:r>
            <w:r w:rsidR="00071FB7" w:rsidRPr="00267972">
              <w:t xml:space="preserve">are likely to incur additional costs </w:t>
            </w:r>
            <w:r w:rsidR="008F25E6" w:rsidRPr="00267972">
              <w:t>if they</w:t>
            </w:r>
            <w:r w:rsidR="00071FB7" w:rsidRPr="00267972">
              <w:t xml:space="preserve"> provid</w:t>
            </w:r>
            <w:r w:rsidR="008F25E6" w:rsidRPr="00267972">
              <w:t>e</w:t>
            </w:r>
            <w:r w:rsidR="00071FB7" w:rsidRPr="00267972">
              <w:t xml:space="preserve"> better information to consumers as to the condition of articles. </w:t>
            </w:r>
          </w:p>
        </w:tc>
      </w:tr>
      <w:tr w:rsidR="004703FA" w:rsidRPr="00267972" w14:paraId="152DB971" w14:textId="77777777" w:rsidTr="00267972">
        <w:trPr>
          <w:trHeight w:val="519"/>
        </w:trPr>
        <w:tc>
          <w:tcPr>
            <w:tcW w:w="4570" w:type="dxa"/>
            <w:shd w:val="clear" w:color="auto" w:fill="FFFFFF" w:themeFill="background1"/>
          </w:tcPr>
          <w:p w14:paraId="7AD9D9B4" w14:textId="0ED7B5A3" w:rsidR="00371C25" w:rsidRPr="00267972" w:rsidRDefault="00AA208B" w:rsidP="00267972">
            <w:pPr>
              <w:pStyle w:val="TableTextLeft-Bullet"/>
            </w:pPr>
            <w:r w:rsidRPr="00267972">
              <w:t>Consumers may be willing to bid more aggressively on goods due to increased confidence.</w:t>
            </w:r>
          </w:p>
        </w:tc>
        <w:tc>
          <w:tcPr>
            <w:tcW w:w="4502" w:type="dxa"/>
            <w:shd w:val="clear" w:color="auto" w:fill="FFFFFF" w:themeFill="background1"/>
          </w:tcPr>
          <w:p w14:paraId="1281B5F2" w14:textId="288B914D" w:rsidR="004703FA" w:rsidRPr="00267972" w:rsidRDefault="00DF4CA3" w:rsidP="00267972">
            <w:pPr>
              <w:pStyle w:val="TableTextLeft-Bullet"/>
            </w:pPr>
            <w:r w:rsidRPr="00267972">
              <w:t xml:space="preserve">There will be training costs to auctioneering facilities as well as </w:t>
            </w:r>
            <w:r w:rsidR="00AB05DF" w:rsidRPr="00267972">
              <w:t xml:space="preserve">for </w:t>
            </w:r>
            <w:r w:rsidRPr="00267972">
              <w:t>sellers using auction</w:t>
            </w:r>
            <w:r w:rsidR="00AB05DF" w:rsidRPr="00267972">
              <w:t>s</w:t>
            </w:r>
            <w:r w:rsidRPr="00267972">
              <w:t xml:space="preserve"> to be aware of the new requirements for </w:t>
            </w:r>
            <w:r w:rsidR="00852545">
              <w:t>“</w:t>
            </w:r>
            <w:r w:rsidRPr="00267972">
              <w:t>online only</w:t>
            </w:r>
            <w:r w:rsidR="00852545">
              <w:t>”</w:t>
            </w:r>
            <w:r w:rsidRPr="00267972">
              <w:t xml:space="preserve"> auctions.</w:t>
            </w:r>
          </w:p>
        </w:tc>
      </w:tr>
      <w:tr w:rsidR="004703FA" w:rsidRPr="00267972" w14:paraId="03729E89" w14:textId="77777777" w:rsidTr="00267972">
        <w:trPr>
          <w:trHeight w:val="519"/>
        </w:trPr>
        <w:tc>
          <w:tcPr>
            <w:tcW w:w="4570" w:type="dxa"/>
            <w:shd w:val="clear" w:color="auto" w:fill="F2F2F2" w:themeFill="background1" w:themeFillShade="F2"/>
          </w:tcPr>
          <w:p w14:paraId="39A8C246" w14:textId="24B1DC35" w:rsidR="004703FA" w:rsidRPr="00267972" w:rsidRDefault="00676471" w:rsidP="00267972">
            <w:pPr>
              <w:pStyle w:val="TableTextLeft-Bullet"/>
            </w:pPr>
            <w:r w:rsidRPr="00267972">
              <w:t>Sellers</w:t>
            </w:r>
            <w:r w:rsidR="007F22B9" w:rsidRPr="00267972">
              <w:t xml:space="preserve"> w</w:t>
            </w:r>
            <w:r w:rsidRPr="00267972">
              <w:t xml:space="preserve">ill continue to be able </w:t>
            </w:r>
            <w:r w:rsidR="00124870" w:rsidRPr="00267972">
              <w:t xml:space="preserve">to </w:t>
            </w:r>
            <w:r w:rsidRPr="00267972">
              <w:t xml:space="preserve">access local auction facilities (especially in regional areas) that offer online bidding, maintaining their access to the widest pool of consumers.  </w:t>
            </w:r>
          </w:p>
        </w:tc>
        <w:tc>
          <w:tcPr>
            <w:tcW w:w="4502" w:type="dxa"/>
            <w:shd w:val="clear" w:color="auto" w:fill="F2F2F2" w:themeFill="background1" w:themeFillShade="F2"/>
          </w:tcPr>
          <w:p w14:paraId="1A31CC2D" w14:textId="042D54F9" w:rsidR="004703FA" w:rsidRPr="00267972" w:rsidRDefault="00852545" w:rsidP="00267972">
            <w:pPr>
              <w:pStyle w:val="TableTextLeft-Bullet"/>
            </w:pPr>
            <w:r>
              <w:t>“</w:t>
            </w:r>
            <w:r w:rsidR="00DF4CA3" w:rsidRPr="00267972">
              <w:t>Online only</w:t>
            </w:r>
            <w:r>
              <w:t>”</w:t>
            </w:r>
            <w:r w:rsidR="00DF4CA3" w:rsidRPr="00267972">
              <w:t xml:space="preserve"> auctioneering facilities will have to upgrade their website’s terms and conditions.</w:t>
            </w:r>
          </w:p>
        </w:tc>
      </w:tr>
      <w:tr w:rsidR="004703FA" w:rsidRPr="00267972" w14:paraId="13418E92" w14:textId="77777777" w:rsidTr="00267972">
        <w:trPr>
          <w:trHeight w:val="519"/>
        </w:trPr>
        <w:tc>
          <w:tcPr>
            <w:tcW w:w="4570" w:type="dxa"/>
            <w:tcBorders>
              <w:bottom w:val="single" w:sz="4" w:space="0" w:color="004A7F"/>
            </w:tcBorders>
            <w:shd w:val="clear" w:color="auto" w:fill="FFFFFF" w:themeFill="background1"/>
          </w:tcPr>
          <w:p w14:paraId="380E7D7B" w14:textId="68057EC1" w:rsidR="004703FA" w:rsidRPr="00267972" w:rsidRDefault="004703FA" w:rsidP="00267972"/>
        </w:tc>
        <w:tc>
          <w:tcPr>
            <w:tcW w:w="4502" w:type="dxa"/>
            <w:tcBorders>
              <w:bottom w:val="single" w:sz="4" w:space="0" w:color="004A7F"/>
            </w:tcBorders>
            <w:shd w:val="clear" w:color="auto" w:fill="FFFFFF" w:themeFill="background1"/>
          </w:tcPr>
          <w:p w14:paraId="1EF0B44C" w14:textId="3F3D2465" w:rsidR="004703FA" w:rsidRPr="00267972" w:rsidRDefault="00DF4CA3" w:rsidP="00267972">
            <w:pPr>
              <w:pStyle w:val="TableTextLeft-Bullet"/>
            </w:pPr>
            <w:r w:rsidRPr="00267972">
              <w:t xml:space="preserve">Businesses that sell through </w:t>
            </w:r>
            <w:r w:rsidR="00852545">
              <w:t>“</w:t>
            </w:r>
            <w:r w:rsidRPr="00267972">
              <w:t>online only</w:t>
            </w:r>
            <w:r w:rsidR="00852545">
              <w:t>”</w:t>
            </w:r>
            <w:r w:rsidRPr="00267972">
              <w:t xml:space="preserve"> auctions will need to comply with additional consumer guarantees.</w:t>
            </w:r>
            <w:r w:rsidRPr="00267972" w:rsidDel="00071FB7">
              <w:t xml:space="preserve"> </w:t>
            </w:r>
          </w:p>
        </w:tc>
      </w:tr>
    </w:tbl>
    <w:p w14:paraId="475529DD" w14:textId="20EEFC4E" w:rsidR="00F85174" w:rsidRPr="0037429E" w:rsidDel="00DA0409" w:rsidRDefault="00F85174" w:rsidP="00267972"/>
    <w:tbl>
      <w:tblPr>
        <w:tblStyle w:val="TableGrid"/>
        <w:tblW w:w="0" w:type="auto"/>
        <w:shd w:val="clear" w:color="auto" w:fill="F2F2F2" w:themeFill="background1" w:themeFillShade="F2"/>
        <w:tblLook w:val="04A0" w:firstRow="1" w:lastRow="0" w:firstColumn="1" w:lastColumn="0" w:noHBand="0" w:noVBand="1"/>
      </w:tblPr>
      <w:tblGrid>
        <w:gridCol w:w="9242"/>
      </w:tblGrid>
      <w:tr w:rsidR="00F85174" w:rsidRPr="00653567" w14:paraId="63B8ECD1" w14:textId="77777777" w:rsidTr="00BD01D5">
        <w:tc>
          <w:tcPr>
            <w:tcW w:w="9242" w:type="dxa"/>
            <w:shd w:val="clear" w:color="auto" w:fill="F2F2F2" w:themeFill="background1" w:themeFillShade="F2"/>
          </w:tcPr>
          <w:p w14:paraId="2933DCFA" w14:textId="77B4F363" w:rsidR="00F85174" w:rsidRPr="0016292C" w:rsidRDefault="00F85174" w:rsidP="00E565DC">
            <w:pPr>
              <w:pStyle w:val="BoxHeading"/>
            </w:pPr>
            <w:r w:rsidRPr="0016292C">
              <w:t xml:space="preserve">Focus Questions </w:t>
            </w:r>
          </w:p>
          <w:p w14:paraId="07FD34EB" w14:textId="6D24FECC" w:rsidR="006651A5" w:rsidRPr="00637CC8" w:rsidRDefault="00AB05DF" w:rsidP="00267972">
            <w:pPr>
              <w:pStyle w:val="BoxHeadingSub"/>
            </w:pPr>
            <w:r w:rsidRPr="00637CC8">
              <w:t>For c</w:t>
            </w:r>
            <w:r w:rsidR="006651A5" w:rsidRPr="00637CC8">
              <w:t xml:space="preserve">onsumers </w:t>
            </w:r>
          </w:p>
          <w:p w14:paraId="72C99361" w14:textId="6DF1E7B7" w:rsidR="00B95F5E" w:rsidRPr="00637CC8" w:rsidRDefault="006651A5" w:rsidP="00267972">
            <w:pPr>
              <w:pStyle w:val="BoxBullet"/>
            </w:pPr>
            <w:r w:rsidRPr="00637CC8">
              <w:t xml:space="preserve">Have you bid through an online portal </w:t>
            </w:r>
            <w:r w:rsidR="00D00816" w:rsidRPr="00637CC8">
              <w:t xml:space="preserve">at </w:t>
            </w:r>
            <w:r w:rsidRPr="00637CC8">
              <w:t>a traditional auction</w:t>
            </w:r>
            <w:r w:rsidR="00AB05DF" w:rsidRPr="00637CC8">
              <w:t>?</w:t>
            </w:r>
            <w:r w:rsidR="00645471" w:rsidRPr="00637CC8">
              <w:t xml:space="preserve"> </w:t>
            </w:r>
            <w:r w:rsidR="00AB05DF" w:rsidRPr="00637CC8">
              <w:t>H</w:t>
            </w:r>
            <w:r w:rsidR="00645471" w:rsidRPr="00637CC8">
              <w:t>ow frequently and on what types of good</w:t>
            </w:r>
            <w:r w:rsidRPr="00637CC8">
              <w:t>?</w:t>
            </w:r>
          </w:p>
          <w:p w14:paraId="6F317AF8" w14:textId="3A330AAF" w:rsidR="003C6019" w:rsidRPr="00637CC8" w:rsidRDefault="008D5905" w:rsidP="00267972">
            <w:pPr>
              <w:pStyle w:val="BoxBullet"/>
            </w:pPr>
            <w:r w:rsidRPr="00637CC8">
              <w:t xml:space="preserve">When purchasing online, without inspecting a good, to what extent does the lack </w:t>
            </w:r>
            <w:r w:rsidR="00AB05DF" w:rsidRPr="00637CC8">
              <w:t>o</w:t>
            </w:r>
            <w:r w:rsidRPr="00637CC8">
              <w:t>f inspection affect your bidding strategy?</w:t>
            </w:r>
          </w:p>
          <w:p w14:paraId="0A87B92A" w14:textId="1D918D0C" w:rsidR="009F1C81" w:rsidRPr="00637CC8" w:rsidRDefault="009F1C81" w:rsidP="00267972">
            <w:pPr>
              <w:pStyle w:val="BoxBullet"/>
            </w:pPr>
            <w:r w:rsidRPr="00637CC8">
              <w:t>To what extent are you likely to bid more aggressively when you have access to greater information about the product?</w:t>
            </w:r>
          </w:p>
          <w:p w14:paraId="0B5E0B3C" w14:textId="54DC5BA5" w:rsidR="00773E28" w:rsidRPr="00637CC8" w:rsidRDefault="00773E28" w:rsidP="00267972">
            <w:pPr>
              <w:pStyle w:val="BoxBullet"/>
            </w:pPr>
            <w:r w:rsidRPr="00637CC8">
              <w:t xml:space="preserve">To what extent are you likely to bid more aggressively </w:t>
            </w:r>
            <w:r w:rsidR="009F1C81" w:rsidRPr="00637CC8">
              <w:t xml:space="preserve">at auction if you could rely on consumer guarantees applying to the same extent as if the good was purchased at retail? </w:t>
            </w:r>
          </w:p>
          <w:p w14:paraId="740983E5" w14:textId="1E656B68" w:rsidR="008D5905" w:rsidRPr="00637CC8" w:rsidRDefault="003C6019" w:rsidP="00267972">
            <w:pPr>
              <w:pStyle w:val="BoxBullet"/>
            </w:pPr>
            <w:r w:rsidRPr="00637CC8">
              <w:t>What would you consider to be a reasonable opportunity for inspection?</w:t>
            </w:r>
            <w:r w:rsidR="008D5905" w:rsidRPr="00637CC8">
              <w:t xml:space="preserve"> </w:t>
            </w:r>
          </w:p>
          <w:p w14:paraId="1875B0A2" w14:textId="77777777" w:rsidR="006651A5" w:rsidRPr="00637CC8" w:rsidRDefault="006651A5" w:rsidP="00267972">
            <w:pPr>
              <w:pStyle w:val="BoxHeadingSub"/>
            </w:pPr>
            <w:r w:rsidRPr="00637CC8">
              <w:t xml:space="preserve">For businesses </w:t>
            </w:r>
          </w:p>
          <w:p w14:paraId="54E22A42" w14:textId="7D673F0A" w:rsidR="00653567" w:rsidRPr="00637CC8" w:rsidRDefault="00653567" w:rsidP="00267972">
            <w:pPr>
              <w:pStyle w:val="BoxBullet"/>
            </w:pPr>
            <w:r w:rsidRPr="00637CC8">
              <w:t>Do you provide a service for consumers to contact sellers of goods in the event of a product failure? If yes,</w:t>
            </w:r>
            <w:r w:rsidR="00AB05DF" w:rsidRPr="00637CC8">
              <w:t xml:space="preserve"> how often is this service used?</w:t>
            </w:r>
            <w:r w:rsidRPr="00637CC8">
              <w:t xml:space="preserve"> </w:t>
            </w:r>
            <w:r w:rsidR="00AB05DF" w:rsidRPr="00637CC8">
              <w:t>W</w:t>
            </w:r>
            <w:r w:rsidRPr="00637CC8">
              <w:t>hat costs would you see in developing such a system?</w:t>
            </w:r>
          </w:p>
          <w:p w14:paraId="36D461DC" w14:textId="2ADD6AFC" w:rsidR="00773E28" w:rsidRPr="00637CC8" w:rsidRDefault="00773E28" w:rsidP="00267972">
            <w:pPr>
              <w:pStyle w:val="BoxBullet"/>
            </w:pPr>
            <w:r w:rsidRPr="00637CC8">
              <w:t>What costs do you see associated with the provision of information regarding the quality of goods?</w:t>
            </w:r>
          </w:p>
          <w:p w14:paraId="387AF0E8" w14:textId="77777777" w:rsidR="00285119" w:rsidRPr="00637CC8" w:rsidRDefault="00285119" w:rsidP="00267972">
            <w:pPr>
              <w:pStyle w:val="BoxBullet"/>
            </w:pPr>
            <w:r w:rsidRPr="00637CC8">
              <w:t xml:space="preserve">Do you offer an online portal in conjunction to your ‘traditional auction’, and what percentage of your sales go through this mechanism? </w:t>
            </w:r>
          </w:p>
          <w:p w14:paraId="3820F738" w14:textId="4A1C71E1" w:rsidR="00653567" w:rsidRPr="00267972" w:rsidRDefault="006651A5" w:rsidP="00267972">
            <w:pPr>
              <w:pStyle w:val="BoxBullet"/>
            </w:pPr>
            <w:r w:rsidRPr="00637CC8">
              <w:t>Do you offer the opportunity to inspect goods</w:t>
            </w:r>
            <w:r w:rsidR="00AB05DF" w:rsidRPr="00637CC8">
              <w:t>?</w:t>
            </w:r>
            <w:r w:rsidR="00645471" w:rsidRPr="00637CC8">
              <w:t xml:space="preserve"> </w:t>
            </w:r>
            <w:r w:rsidR="00AB05DF" w:rsidRPr="00637CC8">
              <w:t>I</w:t>
            </w:r>
            <w:r w:rsidR="00645471" w:rsidRPr="00637CC8">
              <w:t>f so</w:t>
            </w:r>
            <w:r w:rsidR="00AB05DF" w:rsidRPr="00637CC8">
              <w:t>,</w:t>
            </w:r>
            <w:r w:rsidR="00645471" w:rsidRPr="00637CC8">
              <w:t xml:space="preserve"> for how long are goods generally offered for inspection</w:t>
            </w:r>
            <w:r w:rsidRPr="00637CC8">
              <w:t>?</w:t>
            </w:r>
          </w:p>
        </w:tc>
      </w:tr>
    </w:tbl>
    <w:p w14:paraId="7BA608B5" w14:textId="77777777" w:rsidR="00267972" w:rsidRPr="00267972" w:rsidRDefault="00267972" w:rsidP="00267972">
      <w:r w:rsidRPr="00267972">
        <w:br w:type="page"/>
      </w:r>
    </w:p>
    <w:tbl>
      <w:tblPr>
        <w:tblStyle w:val="TableGrid"/>
        <w:tblW w:w="0" w:type="auto"/>
        <w:shd w:val="clear" w:color="auto" w:fill="F2F2F2" w:themeFill="background1" w:themeFillShade="F2"/>
        <w:tblLook w:val="04A0" w:firstRow="1" w:lastRow="0" w:firstColumn="1" w:lastColumn="0" w:noHBand="0" w:noVBand="1"/>
      </w:tblPr>
      <w:tblGrid>
        <w:gridCol w:w="9242"/>
      </w:tblGrid>
      <w:tr w:rsidR="00267972" w:rsidRPr="00653567" w14:paraId="4C27D4A9" w14:textId="77777777" w:rsidTr="00BD01D5">
        <w:tc>
          <w:tcPr>
            <w:tcW w:w="9242" w:type="dxa"/>
            <w:shd w:val="clear" w:color="auto" w:fill="F2F2F2" w:themeFill="background1" w:themeFillShade="F2"/>
          </w:tcPr>
          <w:p w14:paraId="7A36F848" w14:textId="5A72A80E" w:rsidR="00267972" w:rsidRDefault="00267972" w:rsidP="00E565DC">
            <w:pPr>
              <w:pStyle w:val="BoxHeading"/>
            </w:pPr>
            <w:r>
              <w:t>focus questions (continued)</w:t>
            </w:r>
          </w:p>
          <w:p w14:paraId="4D7B0A75" w14:textId="77777777" w:rsidR="00267972" w:rsidRPr="00637CC8" w:rsidRDefault="00267972" w:rsidP="00267972">
            <w:pPr>
              <w:pStyle w:val="BoxHeadingSub"/>
            </w:pPr>
            <w:r w:rsidRPr="00637CC8">
              <w:t xml:space="preserve">For businesses </w:t>
            </w:r>
          </w:p>
          <w:p w14:paraId="7D0C17BE" w14:textId="77777777" w:rsidR="00267972" w:rsidRPr="00637CC8" w:rsidRDefault="00267972" w:rsidP="00267972">
            <w:pPr>
              <w:pStyle w:val="BoxBullet"/>
            </w:pPr>
            <w:r w:rsidRPr="00637CC8">
              <w:t>What do you consider a reasonable opportunity for inspection would involve?</w:t>
            </w:r>
          </w:p>
          <w:p w14:paraId="53F7CE15" w14:textId="0CC22028" w:rsidR="00267972" w:rsidRPr="00637CC8" w:rsidRDefault="00267972" w:rsidP="00267972">
            <w:pPr>
              <w:pStyle w:val="BoxBullet"/>
            </w:pPr>
            <w:r w:rsidRPr="00637CC8">
              <w:t xml:space="preserve">Do you consider that any of the consumer guarantees are inappropriate for goods sold through </w:t>
            </w:r>
            <w:r w:rsidR="00852545">
              <w:t>“</w:t>
            </w:r>
            <w:r w:rsidRPr="00637CC8">
              <w:t>online only</w:t>
            </w:r>
            <w:r w:rsidR="00852545">
              <w:t>”</w:t>
            </w:r>
            <w:r w:rsidRPr="00637CC8">
              <w:t xml:space="preserve"> auctions, and which guarantees and why?  </w:t>
            </w:r>
          </w:p>
          <w:p w14:paraId="64A9D16B" w14:textId="77777777" w:rsidR="00267972" w:rsidRPr="00637CC8" w:rsidRDefault="00267972" w:rsidP="00267972">
            <w:pPr>
              <w:pStyle w:val="BoxBullet"/>
              <w:rPr>
                <w:szCs w:val="24"/>
              </w:rPr>
            </w:pPr>
            <w:r w:rsidRPr="00637CC8">
              <w:t>Would you look to provide a reasonable opportunity to inspect with a view to reducing the scope of your consumer guarantee liability?</w:t>
            </w:r>
          </w:p>
          <w:p w14:paraId="61D3F53F" w14:textId="77777777" w:rsidR="00267972" w:rsidRPr="00637CC8" w:rsidRDefault="00267972" w:rsidP="00267972">
            <w:pPr>
              <w:pStyle w:val="BoxBullet"/>
            </w:pPr>
            <w:r w:rsidRPr="00637CC8">
              <w:t>What costs would you face in updating your website’s terms and conditions to adjust to the new regime?</w:t>
            </w:r>
          </w:p>
          <w:p w14:paraId="6E1F91C3" w14:textId="1B746A00" w:rsidR="00267972" w:rsidRPr="00267972" w:rsidRDefault="00267972" w:rsidP="00267972">
            <w:pPr>
              <w:pStyle w:val="BoxBullet"/>
            </w:pPr>
            <w:r w:rsidRPr="00637CC8">
              <w:t>To what extent are your staff already aware of their responsibilities in relation to consumer guarantees? What costs would be associated with training staff, were the exemptions framework to change as outlined in this option?</w:t>
            </w:r>
          </w:p>
        </w:tc>
      </w:tr>
    </w:tbl>
    <w:p w14:paraId="31F504CC" w14:textId="77777777" w:rsidR="00267972" w:rsidRDefault="00267972" w:rsidP="00267972">
      <w:pPr>
        <w:pStyle w:val="Singleparagraph"/>
      </w:pPr>
      <w:bookmarkStart w:id="48" w:name="_Toc501363811"/>
      <w:bookmarkStart w:id="49" w:name="_Toc501376281"/>
      <w:bookmarkStart w:id="50" w:name="_Toc507771529"/>
    </w:p>
    <w:p w14:paraId="2E7097B3" w14:textId="1FC5DA68" w:rsidR="001A321D" w:rsidRPr="00267972" w:rsidRDefault="00173DC0" w:rsidP="00267972">
      <w:pPr>
        <w:pStyle w:val="Heading2-NoNumbered"/>
      </w:pPr>
      <w:bookmarkStart w:id="51" w:name="_Toc508354788"/>
      <w:bookmarkStart w:id="52" w:name="_Toc508969207"/>
      <w:r w:rsidRPr="00267972">
        <w:t xml:space="preserve">Option 3: </w:t>
      </w:r>
      <w:r w:rsidR="001A321D" w:rsidRPr="00267972">
        <w:t>Goods purchased through online auctions, regardless of the ability for a prior inspection (including traditional auctions that allow online bidding)</w:t>
      </w:r>
      <w:r w:rsidR="00D92E51" w:rsidRPr="00267972">
        <w:t>,</w:t>
      </w:r>
      <w:r w:rsidR="001A321D" w:rsidRPr="00267972">
        <w:t xml:space="preserve"> receive access to the remainder of </w:t>
      </w:r>
      <w:r w:rsidR="00D92E51" w:rsidRPr="00267972">
        <w:t xml:space="preserve">the </w:t>
      </w:r>
      <w:r w:rsidR="001A321D" w:rsidRPr="00267972">
        <w:t>consumer guarantees (that are available in the ACL for generic retail sales).</w:t>
      </w:r>
      <w:bookmarkEnd w:id="48"/>
      <w:bookmarkEnd w:id="49"/>
      <w:bookmarkEnd w:id="50"/>
      <w:bookmarkEnd w:id="51"/>
      <w:bookmarkEnd w:id="52"/>
    </w:p>
    <w:p w14:paraId="6FB7432C" w14:textId="7FDA1817" w:rsidR="00173DC0" w:rsidRPr="00653567" w:rsidRDefault="00267972" w:rsidP="00E565DC">
      <w:pPr>
        <w:pStyle w:val="Heading3-NoNumbered"/>
      </w:pPr>
      <w:bookmarkStart w:id="53" w:name="_Toc501363812"/>
      <w:bookmarkStart w:id="54" w:name="_Toc501376282"/>
      <w:bookmarkStart w:id="55" w:name="_Toc507771530"/>
      <w:r w:rsidRPr="00653567">
        <w:rPr>
          <w:noProof/>
        </w:rPr>
        <w:drawing>
          <wp:anchor distT="0" distB="0" distL="7200900" distR="7200900" simplePos="0" relativeHeight="251664896" behindDoc="0" locked="0" layoutInCell="1" allowOverlap="1" wp14:anchorId="0E56F3C5" wp14:editId="4ACFED9B">
            <wp:simplePos x="0" y="0"/>
            <wp:positionH relativeFrom="margin">
              <wp:align>center</wp:align>
            </wp:positionH>
            <wp:positionV relativeFrom="paragraph">
              <wp:posOffset>589915</wp:posOffset>
            </wp:positionV>
            <wp:extent cx="3862070" cy="3819525"/>
            <wp:effectExtent l="0" t="0" r="508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a:extLst>
                        <a:ext uri="{28A0092B-C50C-407E-A947-70E740481C1C}">
                          <a14:useLocalDpi xmlns:a14="http://schemas.microsoft.com/office/drawing/2010/main" val="0"/>
                        </a:ext>
                      </a:extLst>
                    </a:blip>
                    <a:srcRect l="-1945" t="1907" r="2168" b="1363"/>
                    <a:stretch/>
                  </pic:blipFill>
                  <pic:spPr bwMode="auto">
                    <a:xfrm>
                      <a:off x="0" y="0"/>
                      <a:ext cx="3866628" cy="38235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321D" w:rsidRPr="00653567">
        <w:t>The status quo will remain for consumers who purchase from auctions in person</w:t>
      </w:r>
      <w:bookmarkStart w:id="56" w:name="_Toc507682523"/>
      <w:r w:rsidR="001A321D" w:rsidRPr="00653567">
        <w:t>.</w:t>
      </w:r>
      <w:bookmarkEnd w:id="53"/>
      <w:bookmarkEnd w:id="54"/>
      <w:bookmarkEnd w:id="55"/>
      <w:bookmarkEnd w:id="56"/>
    </w:p>
    <w:p w14:paraId="78A0592B" w14:textId="77777777" w:rsidR="00267972" w:rsidRDefault="00267972" w:rsidP="00267972">
      <w:pPr>
        <w:pStyle w:val="Singleparagraph"/>
      </w:pPr>
      <w:r>
        <w:br w:type="page"/>
      </w:r>
    </w:p>
    <w:p w14:paraId="55938A6E" w14:textId="002077CB" w:rsidR="00173DC0" w:rsidRPr="00653567" w:rsidRDefault="00173DC0" w:rsidP="00E565DC">
      <w:pPr>
        <w:pStyle w:val="OutlineNumbered1"/>
      </w:pPr>
      <w:r w:rsidRPr="00653567">
        <w:t>In this option, when a consumer purchases a good from an online auction</w:t>
      </w:r>
      <w:r w:rsidR="0076788E" w:rsidRPr="00653567">
        <w:t xml:space="preserve"> (including from traditional auctions in which online bidding is available)</w:t>
      </w:r>
      <w:r w:rsidRPr="00653567">
        <w:t>, in trade or commerce, they will be entitled to the full range of consumer guarantees</w:t>
      </w:r>
      <w:r w:rsidR="008665EA" w:rsidRPr="00653567">
        <w:t xml:space="preserve"> even if an inspection is possible</w:t>
      </w:r>
      <w:r w:rsidRPr="00653567">
        <w:t>.</w:t>
      </w:r>
      <w:r w:rsidR="008217DA" w:rsidRPr="00653567">
        <w:t xml:space="preserve"> This option creates a simple regime for consumers who may be purchasing through online auctions.</w:t>
      </w:r>
      <w:r w:rsidRPr="00653567">
        <w:t xml:space="preserve"> </w:t>
      </w:r>
      <w:r w:rsidR="00D92E51">
        <w:t>However, c</w:t>
      </w:r>
      <w:r w:rsidRPr="00653567">
        <w:t>onsumers</w:t>
      </w:r>
      <w:r w:rsidR="0076788E" w:rsidRPr="00653567">
        <w:t xml:space="preserve"> </w:t>
      </w:r>
      <w:r w:rsidR="00D92E51">
        <w:t>w</w:t>
      </w:r>
      <w:r w:rsidRPr="00653567">
        <w:t>ho purchase from auctions in person will not receive</w:t>
      </w:r>
      <w:r w:rsidR="008665EA" w:rsidRPr="00653567">
        <w:t xml:space="preserve"> access to</w:t>
      </w:r>
      <w:r w:rsidR="0076788E" w:rsidRPr="00653567">
        <w:t xml:space="preserve"> the remainder of</w:t>
      </w:r>
      <w:r w:rsidRPr="00653567">
        <w:t xml:space="preserve"> consumer guarantees.</w:t>
      </w:r>
    </w:p>
    <w:p w14:paraId="0AD8D0F0" w14:textId="2E0C6107" w:rsidR="00C22BBA" w:rsidRPr="00637CC8" w:rsidRDefault="00C22BBA" w:rsidP="00267972">
      <w:pPr>
        <w:pStyle w:val="Heading4-NoNumber"/>
      </w:pPr>
      <w:r w:rsidRPr="001025CD">
        <w:t xml:space="preserve">For online auctions it is </w:t>
      </w:r>
      <w:r w:rsidRPr="00637CC8">
        <w:t>proposed that consumers have access to the remainder of the consumer guarantees</w:t>
      </w:r>
      <w:r w:rsidR="00DC7CC6" w:rsidRPr="00637CC8">
        <w:t xml:space="preserve"> outlined </w:t>
      </w:r>
      <w:r w:rsidR="00C44243" w:rsidRPr="00637CC8">
        <w:t>at paragraph four</w:t>
      </w:r>
      <w:r w:rsidR="00DC7CC6" w:rsidRPr="00637CC8">
        <w:t>.</w:t>
      </w:r>
      <w:r w:rsidR="003530A8" w:rsidRPr="00637CC8">
        <w:t xml:space="preserve"> </w:t>
      </w:r>
    </w:p>
    <w:p w14:paraId="029AAE6D" w14:textId="44B1E44C" w:rsidR="00715880" w:rsidRPr="00653567" w:rsidRDefault="00890D92" w:rsidP="00E565DC">
      <w:pPr>
        <w:pStyle w:val="OutlineNumbered1"/>
      </w:pPr>
      <w:r w:rsidRPr="00637CC8">
        <w:t xml:space="preserve">Similar to </w:t>
      </w:r>
      <w:r w:rsidR="00B618B1" w:rsidRPr="00637CC8">
        <w:t>Option 2</w:t>
      </w:r>
      <w:r w:rsidRPr="00637CC8">
        <w:t xml:space="preserve">, </w:t>
      </w:r>
      <w:r w:rsidR="00715880" w:rsidRPr="00637CC8">
        <w:t>your input is sought on what impacts may arise if the full range of consumer guarantees are made available to consumers purchasing through</w:t>
      </w:r>
      <w:r w:rsidR="00715880" w:rsidRPr="00653567">
        <w:t xml:space="preserve"> online auctions.   </w:t>
      </w:r>
    </w:p>
    <w:p w14:paraId="4D62068F" w14:textId="5583828A" w:rsidR="00663D93" w:rsidRPr="00653567" w:rsidRDefault="00B618B1" w:rsidP="00E565DC">
      <w:pPr>
        <w:pStyle w:val="OutlineNumbered1"/>
      </w:pPr>
      <w:r>
        <w:t>Option 3</w:t>
      </w:r>
      <w:r w:rsidR="00CC0840" w:rsidRPr="00653567">
        <w:t xml:space="preserve"> addresses the </w:t>
      </w:r>
      <w:r w:rsidR="00161D70" w:rsidRPr="00653567">
        <w:t>issue</w:t>
      </w:r>
      <w:r w:rsidR="00CC0840" w:rsidRPr="00653567">
        <w:t xml:space="preserve"> </w:t>
      </w:r>
      <w:r w:rsidR="00161D70" w:rsidRPr="00653567">
        <w:t>of</w:t>
      </w:r>
      <w:r w:rsidR="00CC0840" w:rsidRPr="00653567">
        <w:t xml:space="preserve"> exemptions </w:t>
      </w:r>
      <w:r w:rsidR="00161D70" w:rsidRPr="00653567">
        <w:t>from the majority of consumer guarantees</w:t>
      </w:r>
      <w:r w:rsidR="00CC0840" w:rsidRPr="00653567">
        <w:t xml:space="preserve"> for online auctions where it is not possible to inspect goods. This option</w:t>
      </w:r>
      <w:r w:rsidR="00161D70" w:rsidRPr="00653567">
        <w:t xml:space="preserve"> will</w:t>
      </w:r>
      <w:r w:rsidR="00CC0840" w:rsidRPr="00653567">
        <w:t xml:space="preserve"> allow consumers to confidently bid </w:t>
      </w:r>
      <w:r w:rsidR="00DC7CC6" w:rsidRPr="00653567">
        <w:t xml:space="preserve">in </w:t>
      </w:r>
      <w:r w:rsidR="00CC0840" w:rsidRPr="00653567">
        <w:t>online auction</w:t>
      </w:r>
      <w:r w:rsidR="00DC7CC6" w:rsidRPr="00653567">
        <w:t>s</w:t>
      </w:r>
      <w:r w:rsidR="00CC0840" w:rsidRPr="00653567">
        <w:t xml:space="preserve"> in locations </w:t>
      </w:r>
      <w:r w:rsidR="00D92E51">
        <w:t xml:space="preserve">where </w:t>
      </w:r>
      <w:r w:rsidR="00CC0840" w:rsidRPr="00653567">
        <w:t>they a</w:t>
      </w:r>
      <w:r w:rsidR="00D92E51">
        <w:t>re unable to access a viewing – f</w:t>
      </w:r>
      <w:r w:rsidR="00CC0840" w:rsidRPr="00653567">
        <w:t xml:space="preserve">or example, bidding from their home in Perth on an item being sold through the online portal for an auction occurring in Brisbane. </w:t>
      </w:r>
    </w:p>
    <w:p w14:paraId="665742E6" w14:textId="77777777" w:rsidR="003B7A92" w:rsidRPr="00653567" w:rsidRDefault="003B7A92" w:rsidP="00E565DC">
      <w:pPr>
        <w:pStyle w:val="Heading3-NoNumbered"/>
      </w:pPr>
      <w:r w:rsidRPr="00653567">
        <w:t>Impact Analysis</w:t>
      </w:r>
    </w:p>
    <w:p w14:paraId="0CA2DBCD" w14:textId="0055123F" w:rsidR="003B7A92" w:rsidRPr="00637CC8" w:rsidRDefault="003B7A92" w:rsidP="00E565DC">
      <w:pPr>
        <w:pStyle w:val="OutlineNumbered1"/>
      </w:pPr>
      <w:r w:rsidRPr="00653567">
        <w:t>Compliance costs under option three are expected to be higher than option two as this option affects all auctions that offer an online ability to bid on goods. This option provide</w:t>
      </w:r>
      <w:r w:rsidR="0089562C" w:rsidRPr="00653567">
        <w:t>s</w:t>
      </w:r>
      <w:r w:rsidRPr="00653567">
        <w:t xml:space="preserve"> access to the consumer guarantees</w:t>
      </w:r>
      <w:r w:rsidR="0089562C" w:rsidRPr="00653567">
        <w:t xml:space="preserve"> even</w:t>
      </w:r>
      <w:r w:rsidRPr="00653567">
        <w:t xml:space="preserve"> where there is a reasonable opportunity to view goods</w:t>
      </w:r>
      <w:r w:rsidR="00D92E51">
        <w:t>, and</w:t>
      </w:r>
      <w:r w:rsidRPr="00653567">
        <w:t xml:space="preserve"> appl</w:t>
      </w:r>
      <w:r w:rsidR="0089562C" w:rsidRPr="00653567">
        <w:t>ies</w:t>
      </w:r>
      <w:r w:rsidRPr="00653567">
        <w:t xml:space="preserve"> </w:t>
      </w:r>
      <w:r w:rsidRPr="00637CC8">
        <w:t>to</w:t>
      </w:r>
      <w:r w:rsidR="0089562C" w:rsidRPr="00637CC8">
        <w:t xml:space="preserve"> all</w:t>
      </w:r>
      <w:r w:rsidRPr="00637CC8">
        <w:t xml:space="preserve"> goods sold </w:t>
      </w:r>
      <w:r w:rsidR="0089562C" w:rsidRPr="00637CC8">
        <w:t>through any online auction platform</w:t>
      </w:r>
      <w:r w:rsidR="00D92E51" w:rsidRPr="00637CC8">
        <w:t xml:space="preserve"> in trade or commerce</w:t>
      </w:r>
      <w:r w:rsidRPr="00637CC8">
        <w:t>.</w:t>
      </w:r>
    </w:p>
    <w:p w14:paraId="75C3D971" w14:textId="0A2E0F0D" w:rsidR="00C6219E" w:rsidRPr="00637CC8" w:rsidRDefault="00C6219E" w:rsidP="00E565DC">
      <w:pPr>
        <w:pStyle w:val="OutlineNumbered1"/>
      </w:pPr>
      <w:r w:rsidRPr="00637CC8">
        <w:t xml:space="preserve">Consumers will be able to make confident purchasing decisions. This confidence may result in consumers developing </w:t>
      </w:r>
      <w:r w:rsidR="00514156" w:rsidRPr="00637CC8">
        <w:t xml:space="preserve">more aggressive </w:t>
      </w:r>
      <w:r w:rsidRPr="00637CC8">
        <w:t xml:space="preserve">bidding strategies. Sellers of goods through </w:t>
      </w:r>
      <w:r w:rsidR="00514156" w:rsidRPr="00637CC8">
        <w:t xml:space="preserve">any online </w:t>
      </w:r>
      <w:r w:rsidRPr="00637CC8">
        <w:t xml:space="preserve">auction could experience higher returns on goods </w:t>
      </w:r>
      <w:r w:rsidR="00A1343E" w:rsidRPr="00637CC8">
        <w:t>a</w:t>
      </w:r>
      <w:r w:rsidRPr="00637CC8">
        <w:t>nd auctioneers may receive higher commissions on those sales. This RIS chapter is seeking evidence on the likelihood that consumers would be willing to pay more for goods sold at auction if they were confident that they would receive access to the consumer guarantees in the event that something goes wrong.</w:t>
      </w:r>
    </w:p>
    <w:p w14:paraId="11E27C34" w14:textId="7C222B62" w:rsidR="00F73100" w:rsidRPr="00637CC8" w:rsidRDefault="00F73100" w:rsidP="00E565DC">
      <w:pPr>
        <w:pStyle w:val="OutlineNumbered1"/>
      </w:pPr>
      <w:r w:rsidRPr="00637CC8">
        <w:t xml:space="preserve">It is possible that businesses that sell through online auctions, where the full range of the ACL consumer guarantees apply, will be incentivised to provide better information to prospective purchasers as to the condition of articles for sale. As noted previously in relation to </w:t>
      </w:r>
      <w:r w:rsidR="00B618B1" w:rsidRPr="00637CC8">
        <w:t>Option</w:t>
      </w:r>
      <w:r w:rsidRPr="00637CC8">
        <w:t xml:space="preserve"> 2, this situation may arise as businesses seek to </w:t>
      </w:r>
      <w:r w:rsidR="00C44243" w:rsidRPr="00637CC8">
        <w:t xml:space="preserve">minimise consumer guarantee </w:t>
      </w:r>
      <w:r w:rsidRPr="00637CC8">
        <w:t>liability.</w:t>
      </w:r>
    </w:p>
    <w:p w14:paraId="3D280FFA" w14:textId="5B179BFA" w:rsidR="00F73100" w:rsidRPr="00637CC8" w:rsidRDefault="00F73100" w:rsidP="00E565DC">
      <w:pPr>
        <w:pStyle w:val="OutlineNumbered1"/>
      </w:pPr>
      <w:r w:rsidRPr="00637CC8">
        <w:t>It is also possible that b</w:t>
      </w:r>
      <w:r w:rsidR="00F85AE2" w:rsidRPr="00637CC8">
        <w:t xml:space="preserve">usinesses </w:t>
      </w:r>
      <w:r w:rsidR="00514156" w:rsidRPr="00637CC8">
        <w:t xml:space="preserve">may </w:t>
      </w:r>
      <w:r w:rsidR="00F85AE2" w:rsidRPr="00637CC8">
        <w:t>seek to avoid selling goods through auction sites that offer any online bidding facilities</w:t>
      </w:r>
      <w:r w:rsidR="00A1343E" w:rsidRPr="00637CC8">
        <w:t xml:space="preserve"> </w:t>
      </w:r>
      <w:r w:rsidR="003C222D" w:rsidRPr="00637CC8">
        <w:t>to maintain their current</w:t>
      </w:r>
      <w:r w:rsidR="00671A05" w:rsidRPr="00637CC8">
        <w:t xml:space="preserve"> level of</w:t>
      </w:r>
      <w:r w:rsidR="003C222D" w:rsidRPr="00637CC8">
        <w:t xml:space="preserve"> consumer guarantee</w:t>
      </w:r>
      <w:r w:rsidR="00A1343E" w:rsidRPr="00637CC8">
        <w:t xml:space="preserve"> liabilities </w:t>
      </w:r>
      <w:r w:rsidR="00671A05" w:rsidRPr="00637CC8">
        <w:t xml:space="preserve">to those </w:t>
      </w:r>
      <w:r w:rsidR="00C44243" w:rsidRPr="00637CC8">
        <w:t>associated with</w:t>
      </w:r>
      <w:r w:rsidR="003C222D" w:rsidRPr="00637CC8">
        <w:t xml:space="preserve"> </w:t>
      </w:r>
      <w:r w:rsidR="00C44243" w:rsidRPr="00637CC8">
        <w:t xml:space="preserve">their right to </w:t>
      </w:r>
      <w:r w:rsidR="003C222D" w:rsidRPr="00637CC8">
        <w:t>sell the good</w:t>
      </w:r>
      <w:r w:rsidR="00F85AE2" w:rsidRPr="00637CC8">
        <w:t xml:space="preserve">. </w:t>
      </w:r>
    </w:p>
    <w:p w14:paraId="518831C3" w14:textId="33C7AAE6" w:rsidR="00F85AE2" w:rsidRPr="00637CC8" w:rsidRDefault="00F85AE2" w:rsidP="00E565DC">
      <w:pPr>
        <w:pStyle w:val="OutlineNumbered1"/>
      </w:pPr>
      <w:r w:rsidRPr="00637CC8">
        <w:t xml:space="preserve">As a </w:t>
      </w:r>
      <w:r w:rsidR="00A1343E" w:rsidRPr="00637CC8">
        <w:t>consumer</w:t>
      </w:r>
      <w:r w:rsidRPr="00637CC8">
        <w:t xml:space="preserve"> </w:t>
      </w:r>
      <w:r w:rsidR="00D92E51" w:rsidRPr="00637CC8">
        <w:t xml:space="preserve">would be able to </w:t>
      </w:r>
      <w:r w:rsidRPr="00637CC8">
        <w:t>access the full range of guarantees if they bid through an online portal, consumer</w:t>
      </w:r>
      <w:r w:rsidR="00514156" w:rsidRPr="00637CC8">
        <w:t>s</w:t>
      </w:r>
      <w:r w:rsidRPr="00637CC8">
        <w:t xml:space="preserve"> </w:t>
      </w:r>
      <w:r w:rsidR="00514156" w:rsidRPr="00637CC8">
        <w:t>are likely to</w:t>
      </w:r>
      <w:r w:rsidRPr="00637CC8">
        <w:t xml:space="preserve"> seek </w:t>
      </w:r>
      <w:r w:rsidR="00514156" w:rsidRPr="00637CC8">
        <w:t>online</w:t>
      </w:r>
      <w:r w:rsidRPr="00637CC8">
        <w:t xml:space="preserve"> purchasing channel</w:t>
      </w:r>
      <w:r w:rsidR="00514156" w:rsidRPr="00637CC8">
        <w:t>s</w:t>
      </w:r>
      <w:r w:rsidRPr="00637CC8">
        <w:t xml:space="preserve"> over attending </w:t>
      </w:r>
      <w:r w:rsidR="00514156" w:rsidRPr="00637CC8">
        <w:t>traditional</w:t>
      </w:r>
      <w:r w:rsidRPr="00637CC8">
        <w:t xml:space="preserve"> auctions, even when they have physically inspected goods. </w:t>
      </w:r>
      <w:r w:rsidR="00F73100" w:rsidRPr="00637CC8">
        <w:t xml:space="preserve">In this event, it is unclear whether sellers would prefer online auctions, which may obtain a greater pool of </w:t>
      </w:r>
      <w:r w:rsidR="00F2588D" w:rsidRPr="00637CC8">
        <w:t>bidders</w:t>
      </w:r>
      <w:r w:rsidR="00024F6E" w:rsidRPr="00637CC8">
        <w:t xml:space="preserve"> albeit with </w:t>
      </w:r>
      <w:r w:rsidR="003C222D" w:rsidRPr="00637CC8">
        <w:t xml:space="preserve">the </w:t>
      </w:r>
      <w:r w:rsidR="00024F6E" w:rsidRPr="00637CC8">
        <w:t xml:space="preserve">potential </w:t>
      </w:r>
      <w:r w:rsidR="003C222D" w:rsidRPr="00637CC8">
        <w:t xml:space="preserve">for new </w:t>
      </w:r>
      <w:r w:rsidR="00024F6E" w:rsidRPr="00637CC8">
        <w:t xml:space="preserve">consumer guarantee </w:t>
      </w:r>
      <w:r w:rsidR="003C222D" w:rsidRPr="00637CC8">
        <w:t>liability</w:t>
      </w:r>
      <w:r w:rsidR="00024F6E" w:rsidRPr="00637CC8">
        <w:t xml:space="preserve">, </w:t>
      </w:r>
      <w:r w:rsidR="00F73100" w:rsidRPr="00637CC8">
        <w:t xml:space="preserve">or traditional auctions, where their goods may be </w:t>
      </w:r>
      <w:r w:rsidR="00DD7F89" w:rsidRPr="00637CC8">
        <w:t>bid</w:t>
      </w:r>
      <w:r w:rsidR="00024F6E" w:rsidRPr="00637CC8">
        <w:t xml:space="preserve"> on by a smaller audience generally </w:t>
      </w:r>
      <w:r w:rsidR="00C44243" w:rsidRPr="00637CC8">
        <w:t xml:space="preserve">with less </w:t>
      </w:r>
      <w:r w:rsidR="00024F6E" w:rsidRPr="00637CC8">
        <w:t>risk of consumer guarantee claims</w:t>
      </w:r>
      <w:r w:rsidR="00F73100" w:rsidRPr="00637CC8">
        <w:t>.</w:t>
      </w:r>
      <w:r w:rsidR="00F73100" w:rsidRPr="00637CC8" w:rsidDel="00F73100">
        <w:t xml:space="preserve"> </w:t>
      </w:r>
    </w:p>
    <w:p w14:paraId="288F4580" w14:textId="3C307182" w:rsidR="00F85AE2" w:rsidRPr="00637CC8" w:rsidRDefault="00371C25" w:rsidP="00E565DC">
      <w:pPr>
        <w:pStyle w:val="OutlineNumbered1"/>
      </w:pPr>
      <w:r w:rsidRPr="00637CC8">
        <w:t xml:space="preserve">If </w:t>
      </w:r>
      <w:r w:rsidR="00F85AE2" w:rsidRPr="00637CC8">
        <w:t>business</w:t>
      </w:r>
      <w:r w:rsidR="00671A05" w:rsidRPr="00637CC8">
        <w:t xml:space="preserve"> sellers </w:t>
      </w:r>
      <w:r w:rsidR="00F85AE2" w:rsidRPr="00637CC8">
        <w:t>seek to avoid auction facilities with online portals</w:t>
      </w:r>
      <w:r w:rsidRPr="00637CC8">
        <w:t>,</w:t>
      </w:r>
      <w:r w:rsidR="00F85AE2" w:rsidRPr="00637CC8">
        <w:t xml:space="preserve"> there may be a significant reduction in the number of goods available th</w:t>
      </w:r>
      <w:r w:rsidR="000A0B5E" w:rsidRPr="00637CC8">
        <w:t>r</w:t>
      </w:r>
      <w:r w:rsidR="00F85AE2" w:rsidRPr="00637CC8">
        <w:t xml:space="preserve">ough online facilities. This reduction </w:t>
      </w:r>
      <w:r w:rsidR="00671A05" w:rsidRPr="00637CC8">
        <w:t xml:space="preserve">could </w:t>
      </w:r>
      <w:r w:rsidR="00F85AE2" w:rsidRPr="00637CC8">
        <w:t xml:space="preserve">occur </w:t>
      </w:r>
      <w:r w:rsidR="00514156" w:rsidRPr="00637CC8">
        <w:t>in two ways</w:t>
      </w:r>
      <w:r w:rsidR="00D92E51" w:rsidRPr="00637CC8">
        <w:t>. T</w:t>
      </w:r>
      <w:r w:rsidR="00F85AE2" w:rsidRPr="00637CC8">
        <w:t>he first is that sellers may avoid auction fa</w:t>
      </w:r>
      <w:r w:rsidR="00D92E51" w:rsidRPr="00637CC8">
        <w:t>cilities with online portals; and</w:t>
      </w:r>
      <w:r w:rsidR="00F85AE2" w:rsidRPr="00637CC8">
        <w:t xml:space="preserve"> the second is where auction facilities withdraw their online bidding platforms</w:t>
      </w:r>
      <w:r w:rsidR="00671A05" w:rsidRPr="00637CC8">
        <w:t xml:space="preserve"> due to reduced demand</w:t>
      </w:r>
      <w:r w:rsidR="00514156" w:rsidRPr="00637CC8">
        <w:t>.</w:t>
      </w:r>
      <w:r w:rsidR="00A1343E" w:rsidRPr="00637CC8">
        <w:t xml:space="preserve"> </w:t>
      </w:r>
    </w:p>
    <w:p w14:paraId="0F8C664A" w14:textId="037EA1E2" w:rsidR="00F85AE2" w:rsidRPr="00637CC8" w:rsidRDefault="000A0B5E" w:rsidP="00E565DC">
      <w:pPr>
        <w:pStyle w:val="OutlineNumbered1"/>
      </w:pPr>
      <w:r w:rsidRPr="00637CC8">
        <w:t xml:space="preserve">There may </w:t>
      </w:r>
      <w:r w:rsidR="00DA32DB" w:rsidRPr="00637CC8">
        <w:t>be significant</w:t>
      </w:r>
      <w:r w:rsidR="00F85AE2" w:rsidRPr="00637CC8">
        <w:t xml:space="preserve"> regional impacts on auctioneering businesses</w:t>
      </w:r>
      <w:r w:rsidRPr="00637CC8">
        <w:t xml:space="preserve"> if businesses seek to avoid selling articles through online auctions. </w:t>
      </w:r>
      <w:r w:rsidR="00F85AE2" w:rsidRPr="00637CC8">
        <w:t xml:space="preserve">At present many auction houses in remote areas are likely to operate an online portal to </w:t>
      </w:r>
      <w:r w:rsidR="00514156" w:rsidRPr="00637CC8">
        <w:t>facilitate</w:t>
      </w:r>
      <w:r w:rsidR="00F85AE2" w:rsidRPr="00637CC8">
        <w:t xml:space="preserve"> bidding</w:t>
      </w:r>
      <w:r w:rsidR="00514156" w:rsidRPr="00637CC8">
        <w:t xml:space="preserve"> in addition to their traditional auctioneering</w:t>
      </w:r>
      <w:r w:rsidR="00F85AE2" w:rsidRPr="00637CC8">
        <w:t>. If sellers become unwilling to sell through these mediums</w:t>
      </w:r>
      <w:r w:rsidRPr="00637CC8">
        <w:t>, rather than being incentivised to provide additional information as to the condition of goods,</w:t>
      </w:r>
      <w:r w:rsidR="00F85AE2" w:rsidRPr="00637CC8">
        <w:t xml:space="preserve"> these auction houses may experience a drop in </w:t>
      </w:r>
      <w:r w:rsidR="00514156" w:rsidRPr="00637CC8">
        <w:t>commissions</w:t>
      </w:r>
      <w:r w:rsidR="00F85AE2" w:rsidRPr="00637CC8">
        <w:t xml:space="preserve">. Sellers may also experience diminished returns through these regional auction houses (where no online portal is </w:t>
      </w:r>
      <w:r w:rsidR="00A1343E" w:rsidRPr="00637CC8">
        <w:t xml:space="preserve">subsequently </w:t>
      </w:r>
      <w:r w:rsidR="00F85AE2" w:rsidRPr="00637CC8">
        <w:t>used) as there would be less com</w:t>
      </w:r>
      <w:r w:rsidR="00D92E51" w:rsidRPr="00637CC8">
        <w:t>petition for goods with</w:t>
      </w:r>
      <w:r w:rsidR="00F85AE2" w:rsidRPr="00637CC8">
        <w:t xml:space="preserve"> the pool of consumers </w:t>
      </w:r>
      <w:r w:rsidR="00D92E51" w:rsidRPr="00637CC8">
        <w:t>being</w:t>
      </w:r>
      <w:r w:rsidR="00F85AE2" w:rsidRPr="00637CC8">
        <w:t xml:space="preserve"> smaller than an online portal allows. </w:t>
      </w:r>
    </w:p>
    <w:p w14:paraId="7496DE2B" w14:textId="2C1503A4" w:rsidR="00E56899" w:rsidRPr="00637CC8" w:rsidRDefault="00C6219E" w:rsidP="00E565DC">
      <w:pPr>
        <w:pStyle w:val="OutlineNumbered1"/>
      </w:pPr>
      <w:r w:rsidRPr="00637CC8">
        <w:t>Auction houses will be required to update their disclaimer documents and provide training to staff to assist consumer</w:t>
      </w:r>
      <w:r w:rsidR="00D92E51" w:rsidRPr="00637CC8">
        <w:t>s</w:t>
      </w:r>
      <w:r w:rsidRPr="00637CC8">
        <w:t xml:space="preserve"> in the event of a product failure. Auctioneers at present are </w:t>
      </w:r>
      <w:r w:rsidR="00514156" w:rsidRPr="00637CC8">
        <w:t xml:space="preserve">generally </w:t>
      </w:r>
      <w:r w:rsidRPr="00637CC8">
        <w:t xml:space="preserve">not required to assist consumers </w:t>
      </w:r>
      <w:r w:rsidR="00053CE1" w:rsidRPr="00637CC8">
        <w:t>dealing with</w:t>
      </w:r>
      <w:r w:rsidRPr="00637CC8">
        <w:t xml:space="preserve"> sellers of goods </w:t>
      </w:r>
      <w:r w:rsidR="00053CE1" w:rsidRPr="00637CC8">
        <w:t>a</w:t>
      </w:r>
      <w:r w:rsidRPr="00637CC8">
        <w:t>nd would need mechanism</w:t>
      </w:r>
      <w:r w:rsidR="00514156" w:rsidRPr="00637CC8">
        <w:t>s</w:t>
      </w:r>
      <w:r w:rsidRPr="00637CC8">
        <w:t xml:space="preserve"> to assist</w:t>
      </w:r>
      <w:r w:rsidR="00514156" w:rsidRPr="00637CC8">
        <w:t xml:space="preserve"> consumers</w:t>
      </w:r>
      <w:r w:rsidRPr="00637CC8">
        <w:t xml:space="preserve">. There will be additional training requirements for businesses seeking to dispose of goods via auction. </w:t>
      </w:r>
    </w:p>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3B7A92" w:rsidRPr="00637CC8" w14:paraId="680F0CE5" w14:textId="77777777" w:rsidTr="00267972">
        <w:trPr>
          <w:trHeight w:val="243"/>
        </w:trPr>
        <w:tc>
          <w:tcPr>
            <w:tcW w:w="4570" w:type="dxa"/>
            <w:tcBorders>
              <w:top w:val="single" w:sz="4" w:space="0" w:color="004A7F"/>
              <w:bottom w:val="single" w:sz="4" w:space="0" w:color="004A7F"/>
            </w:tcBorders>
            <w:shd w:val="clear" w:color="auto" w:fill="DBE5F1" w:themeFill="accent1" w:themeFillTint="33"/>
          </w:tcPr>
          <w:p w14:paraId="5ED70DFB" w14:textId="77777777" w:rsidR="003B7A92" w:rsidRPr="00637CC8" w:rsidRDefault="003B7A92" w:rsidP="00E565DC">
            <w:pPr>
              <w:pStyle w:val="TableColumnHeadingLeft"/>
            </w:pPr>
            <w:r w:rsidRPr="00637CC8">
              <w:t>BENEFITS</w:t>
            </w:r>
          </w:p>
        </w:tc>
        <w:tc>
          <w:tcPr>
            <w:tcW w:w="4502" w:type="dxa"/>
            <w:tcBorders>
              <w:top w:val="single" w:sz="4" w:space="0" w:color="004A7F"/>
              <w:bottom w:val="single" w:sz="4" w:space="0" w:color="004A7F"/>
            </w:tcBorders>
            <w:shd w:val="clear" w:color="auto" w:fill="DBE5F1" w:themeFill="accent1" w:themeFillTint="33"/>
          </w:tcPr>
          <w:p w14:paraId="7B402D19" w14:textId="77777777" w:rsidR="003B7A92" w:rsidRPr="00637CC8" w:rsidRDefault="003B7A92" w:rsidP="00E565DC">
            <w:pPr>
              <w:pStyle w:val="TableColumnHeadingLeft"/>
            </w:pPr>
            <w:r w:rsidRPr="00637CC8">
              <w:t>COSTS</w:t>
            </w:r>
          </w:p>
        </w:tc>
      </w:tr>
      <w:tr w:rsidR="003B7A92" w:rsidRPr="00637CC8" w14:paraId="40D8F169" w14:textId="77777777" w:rsidTr="00267972">
        <w:trPr>
          <w:trHeight w:val="519"/>
        </w:trPr>
        <w:tc>
          <w:tcPr>
            <w:tcW w:w="4570" w:type="dxa"/>
            <w:tcBorders>
              <w:top w:val="single" w:sz="4" w:space="0" w:color="004A7F"/>
            </w:tcBorders>
            <w:shd w:val="clear" w:color="auto" w:fill="auto"/>
          </w:tcPr>
          <w:p w14:paraId="246E8DED" w14:textId="3B0A2FFA" w:rsidR="003B7A92" w:rsidRPr="00637CC8" w:rsidRDefault="008C2C47" w:rsidP="00267972">
            <w:pPr>
              <w:pStyle w:val="TableTextLeft-Bullet"/>
              <w:rPr>
                <w:rFonts w:eastAsiaTheme="minorHAnsi"/>
              </w:rPr>
            </w:pPr>
            <w:r w:rsidRPr="00637CC8">
              <w:t xml:space="preserve">Consumers can purchase goods </w:t>
            </w:r>
            <w:r w:rsidR="003635D0" w:rsidRPr="00637CC8">
              <w:t xml:space="preserve">through </w:t>
            </w:r>
            <w:r w:rsidRPr="00637CC8">
              <w:t>online</w:t>
            </w:r>
            <w:r w:rsidR="00053CE1" w:rsidRPr="00637CC8">
              <w:t xml:space="preserve"> auctions</w:t>
            </w:r>
            <w:r w:rsidR="003635D0" w:rsidRPr="00637CC8">
              <w:t xml:space="preserve"> </w:t>
            </w:r>
            <w:r w:rsidRPr="00637CC8">
              <w:t xml:space="preserve">with </w:t>
            </w:r>
            <w:r w:rsidR="003635D0" w:rsidRPr="00637CC8">
              <w:t xml:space="preserve">increased </w:t>
            </w:r>
            <w:r w:rsidRPr="00637CC8">
              <w:t>confidence that they will be able to rely on a relevant consumer guarantee.</w:t>
            </w:r>
          </w:p>
        </w:tc>
        <w:tc>
          <w:tcPr>
            <w:tcW w:w="4502" w:type="dxa"/>
            <w:tcBorders>
              <w:top w:val="single" w:sz="4" w:space="0" w:color="004A7F"/>
            </w:tcBorders>
            <w:shd w:val="clear" w:color="auto" w:fill="auto"/>
          </w:tcPr>
          <w:p w14:paraId="12938819" w14:textId="649AFD10" w:rsidR="003B7A92" w:rsidRPr="00637CC8" w:rsidRDefault="00D92E51" w:rsidP="00267972">
            <w:pPr>
              <w:pStyle w:val="TableTextLeft-Bullet"/>
            </w:pPr>
            <w:r w:rsidRPr="00637CC8">
              <w:t>All auctioneering facilities offering online portals and sellers of goods through auctions would face staff training costs regarding the new regime.</w:t>
            </w:r>
          </w:p>
        </w:tc>
      </w:tr>
      <w:tr w:rsidR="0049582A" w:rsidRPr="00637CC8" w14:paraId="384EDDFD" w14:textId="77777777" w:rsidTr="00267972">
        <w:trPr>
          <w:trHeight w:val="519"/>
        </w:trPr>
        <w:tc>
          <w:tcPr>
            <w:tcW w:w="4570" w:type="dxa"/>
            <w:shd w:val="clear" w:color="auto" w:fill="F2F2F2" w:themeFill="background1" w:themeFillShade="F2"/>
          </w:tcPr>
          <w:p w14:paraId="1708E2CE" w14:textId="09E26D64" w:rsidR="0049582A" w:rsidRPr="00637CC8" w:rsidRDefault="0049582A" w:rsidP="00267972">
            <w:pPr>
              <w:pStyle w:val="TableTextLeft-Bullet"/>
            </w:pPr>
            <w:r w:rsidRPr="00637CC8">
              <w:t xml:space="preserve">It will be easier for consumers to know and understand the consumer guarantee regime and when it applies to auctions. </w:t>
            </w:r>
          </w:p>
        </w:tc>
        <w:tc>
          <w:tcPr>
            <w:tcW w:w="4502" w:type="dxa"/>
            <w:shd w:val="clear" w:color="auto" w:fill="F2F2F2" w:themeFill="background1" w:themeFillShade="F2"/>
          </w:tcPr>
          <w:p w14:paraId="4AF1C63D" w14:textId="20CCDDD8" w:rsidR="0049582A" w:rsidRPr="00637CC8" w:rsidRDefault="0049582A" w:rsidP="00267972">
            <w:pPr>
              <w:pStyle w:val="TableTextLeft-Bullet"/>
            </w:pPr>
            <w:r w:rsidRPr="00637CC8">
              <w:t>Businesses may seek to avoid their goods being sold t</w:t>
            </w:r>
            <w:r w:rsidR="00D92E51" w:rsidRPr="00637CC8">
              <w:t>hrough online auctions,</w:t>
            </w:r>
            <w:r w:rsidRPr="00637CC8">
              <w:t xml:space="preserve"> decreas</w:t>
            </w:r>
            <w:r w:rsidR="00D92E51" w:rsidRPr="00637CC8">
              <w:t>ing consumer choice and possibly</w:t>
            </w:r>
            <w:r w:rsidRPr="00637CC8">
              <w:t xml:space="preserve"> result</w:t>
            </w:r>
            <w:r w:rsidR="00D92E51" w:rsidRPr="00637CC8">
              <w:t>ing</w:t>
            </w:r>
            <w:r w:rsidRPr="00637CC8">
              <w:t xml:space="preserve"> in lower returns for businesses. </w:t>
            </w:r>
          </w:p>
        </w:tc>
      </w:tr>
      <w:tr w:rsidR="0049582A" w:rsidRPr="00637CC8" w14:paraId="5A621124" w14:textId="77777777" w:rsidTr="00267972">
        <w:trPr>
          <w:trHeight w:val="519"/>
        </w:trPr>
        <w:tc>
          <w:tcPr>
            <w:tcW w:w="4570" w:type="dxa"/>
            <w:shd w:val="clear" w:color="auto" w:fill="FFFFFF" w:themeFill="background1"/>
          </w:tcPr>
          <w:p w14:paraId="09AAAEFA" w14:textId="515025B6" w:rsidR="0049582A" w:rsidRPr="00637CC8" w:rsidRDefault="0049582A" w:rsidP="00267972">
            <w:pPr>
              <w:pStyle w:val="TableTextLeft-Bullet"/>
            </w:pPr>
            <w:r w:rsidRPr="00637CC8">
              <w:t xml:space="preserve">Sellers and auctioneers may benefit as consumers could be willing to </w:t>
            </w:r>
            <w:r w:rsidR="00267972">
              <w:t>bid more aggressively on goods.</w:t>
            </w:r>
          </w:p>
        </w:tc>
        <w:tc>
          <w:tcPr>
            <w:tcW w:w="4502" w:type="dxa"/>
            <w:shd w:val="clear" w:color="auto" w:fill="FFFFFF" w:themeFill="background1"/>
          </w:tcPr>
          <w:p w14:paraId="5272FEAD" w14:textId="297F5913" w:rsidR="0049582A" w:rsidRPr="00637CC8" w:rsidRDefault="0049582A" w:rsidP="00267972">
            <w:pPr>
              <w:pStyle w:val="TableTextLeft-Bullet"/>
            </w:pPr>
            <w:r w:rsidRPr="00637CC8">
              <w:t xml:space="preserve">There could be a reduction in the willingness of businesses to sell through online auctions due to the possibility of additional liabilities. </w:t>
            </w:r>
          </w:p>
          <w:p w14:paraId="740762B1" w14:textId="2BFDA23A" w:rsidR="0049582A" w:rsidRPr="00267972" w:rsidRDefault="0049582A" w:rsidP="00267972">
            <w:pPr>
              <w:pStyle w:val="TableTextLeft-Dash"/>
            </w:pPr>
            <w:r w:rsidRPr="00267972">
              <w:t>Businesses may face higher costs to dispose of goods.</w:t>
            </w:r>
          </w:p>
        </w:tc>
      </w:tr>
      <w:tr w:rsidR="0049582A" w:rsidRPr="00637CC8" w14:paraId="59FA0DB2" w14:textId="77777777" w:rsidTr="00267972">
        <w:trPr>
          <w:trHeight w:val="519"/>
        </w:trPr>
        <w:tc>
          <w:tcPr>
            <w:tcW w:w="4570" w:type="dxa"/>
            <w:shd w:val="clear" w:color="auto" w:fill="F2F2F2" w:themeFill="background1" w:themeFillShade="F2"/>
          </w:tcPr>
          <w:p w14:paraId="78DD349B" w14:textId="6C3D7B39" w:rsidR="0049582A" w:rsidRPr="00637CC8" w:rsidRDefault="0049582A" w:rsidP="00267972">
            <w:pPr>
              <w:pStyle w:val="TableTextLeft-Bullet"/>
            </w:pPr>
            <w:r w:rsidRPr="00637CC8">
              <w:t>Sellers may provide better information to prospective purchasers as to the condition of articles</w:t>
            </w:r>
          </w:p>
        </w:tc>
        <w:tc>
          <w:tcPr>
            <w:tcW w:w="4502" w:type="dxa"/>
            <w:shd w:val="clear" w:color="auto" w:fill="F2F2F2" w:themeFill="background1" w:themeFillShade="F2"/>
          </w:tcPr>
          <w:p w14:paraId="59382541" w14:textId="306740A1" w:rsidR="0049582A" w:rsidRPr="00637CC8" w:rsidRDefault="0049582A" w:rsidP="00267972">
            <w:pPr>
              <w:pStyle w:val="TableTextLeft-Bullet"/>
            </w:pPr>
            <w:r w:rsidRPr="00637CC8">
              <w:t xml:space="preserve">Sellers using </w:t>
            </w:r>
            <w:r w:rsidR="00852545">
              <w:t>“</w:t>
            </w:r>
            <w:r w:rsidRPr="00637CC8">
              <w:t>online only</w:t>
            </w:r>
            <w:r w:rsidR="00852545">
              <w:t>”</w:t>
            </w:r>
            <w:r w:rsidRPr="00637CC8">
              <w:t xml:space="preserve"> auctions are likely to incur additional costs if they provide better information to consumers as to the condition of articles</w:t>
            </w:r>
            <w:r w:rsidR="00E52AF2" w:rsidRPr="00637CC8">
              <w:t>.</w:t>
            </w:r>
          </w:p>
        </w:tc>
      </w:tr>
      <w:tr w:rsidR="0049582A" w:rsidRPr="00637CC8" w14:paraId="4B7600D7" w14:textId="77777777" w:rsidTr="00267972">
        <w:trPr>
          <w:trHeight w:val="519"/>
        </w:trPr>
        <w:tc>
          <w:tcPr>
            <w:tcW w:w="4570" w:type="dxa"/>
            <w:shd w:val="clear" w:color="auto" w:fill="FFFFFF" w:themeFill="background1"/>
          </w:tcPr>
          <w:p w14:paraId="6A940EF5" w14:textId="77777777" w:rsidR="0049582A" w:rsidRPr="00267972" w:rsidRDefault="0049582A" w:rsidP="00267972"/>
        </w:tc>
        <w:tc>
          <w:tcPr>
            <w:tcW w:w="4502" w:type="dxa"/>
            <w:shd w:val="clear" w:color="auto" w:fill="FFFFFF" w:themeFill="background1"/>
          </w:tcPr>
          <w:p w14:paraId="4D0ECA5C" w14:textId="16FF76EB" w:rsidR="0049582A" w:rsidRPr="00637CC8" w:rsidRDefault="0049582A" w:rsidP="00267972">
            <w:pPr>
              <w:pStyle w:val="TableTextLeft-Bullet"/>
            </w:pPr>
            <w:r w:rsidRPr="00637CC8">
              <w:t>Possible busines</w:t>
            </w:r>
            <w:r w:rsidR="00D92E51" w:rsidRPr="00637CC8">
              <w:t xml:space="preserve">s impact </w:t>
            </w:r>
            <w:r w:rsidRPr="00637CC8">
              <w:t>o</w:t>
            </w:r>
            <w:r w:rsidR="00D92E51" w:rsidRPr="00637CC8">
              <w:t>n</w:t>
            </w:r>
            <w:r w:rsidRPr="00637CC8">
              <w:t xml:space="preserve"> regional auction houses if online auctions are not favoured by sellers</w:t>
            </w:r>
            <w:r w:rsidR="00D92E51" w:rsidRPr="00637CC8">
              <w:t>.</w:t>
            </w:r>
          </w:p>
        </w:tc>
      </w:tr>
      <w:tr w:rsidR="0049582A" w:rsidRPr="00637CC8" w14:paraId="06216E71" w14:textId="77777777" w:rsidTr="00267972">
        <w:trPr>
          <w:trHeight w:val="519"/>
        </w:trPr>
        <w:tc>
          <w:tcPr>
            <w:tcW w:w="4570" w:type="dxa"/>
            <w:tcBorders>
              <w:bottom w:val="single" w:sz="4" w:space="0" w:color="004A7F"/>
            </w:tcBorders>
            <w:shd w:val="clear" w:color="auto" w:fill="F2F2F2" w:themeFill="background1" w:themeFillShade="F2"/>
          </w:tcPr>
          <w:p w14:paraId="4C749C8D" w14:textId="77777777" w:rsidR="0049582A" w:rsidRPr="00267972" w:rsidRDefault="0049582A" w:rsidP="00267972"/>
        </w:tc>
        <w:tc>
          <w:tcPr>
            <w:tcW w:w="4502" w:type="dxa"/>
            <w:tcBorders>
              <w:bottom w:val="single" w:sz="4" w:space="0" w:color="004A7F"/>
            </w:tcBorders>
            <w:shd w:val="clear" w:color="auto" w:fill="F2F2F2" w:themeFill="background1" w:themeFillShade="F2"/>
          </w:tcPr>
          <w:p w14:paraId="30A6B2AD" w14:textId="3E84D59A" w:rsidR="0049582A" w:rsidRPr="00637CC8" w:rsidRDefault="0049582A" w:rsidP="00267972">
            <w:pPr>
              <w:pStyle w:val="TableTextLeft-Bullet"/>
            </w:pPr>
            <w:r w:rsidRPr="00637CC8">
              <w:t xml:space="preserve">Costs </w:t>
            </w:r>
            <w:r w:rsidR="00D92E51" w:rsidRPr="00637CC8">
              <w:t xml:space="preserve">to sellers </w:t>
            </w:r>
            <w:r w:rsidRPr="00637CC8">
              <w:t xml:space="preserve">from the possibility of being liable for a broader range </w:t>
            </w:r>
            <w:r w:rsidR="00D92E51" w:rsidRPr="00637CC8">
              <w:t xml:space="preserve">of </w:t>
            </w:r>
            <w:r w:rsidRPr="00637CC8">
              <w:t>consumer guarantees</w:t>
            </w:r>
            <w:r w:rsidR="00E52AF2" w:rsidRPr="00637CC8">
              <w:t xml:space="preserve">. </w:t>
            </w:r>
          </w:p>
        </w:tc>
      </w:tr>
    </w:tbl>
    <w:p w14:paraId="135FE581" w14:textId="77777777" w:rsidR="00267972" w:rsidRPr="00267972" w:rsidRDefault="00267972" w:rsidP="00267972">
      <w:r w:rsidRPr="00267972">
        <w:br w:type="page"/>
      </w:r>
    </w:p>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267972" w:rsidRPr="00637CC8" w14:paraId="6B410EF6" w14:textId="77777777" w:rsidTr="00267972">
        <w:trPr>
          <w:trHeight w:val="243"/>
        </w:trPr>
        <w:tc>
          <w:tcPr>
            <w:tcW w:w="4570" w:type="dxa"/>
            <w:tcBorders>
              <w:top w:val="single" w:sz="4" w:space="0" w:color="004A7F"/>
              <w:bottom w:val="single" w:sz="4" w:space="0" w:color="004A7F"/>
            </w:tcBorders>
            <w:shd w:val="clear" w:color="auto" w:fill="DBE5F1" w:themeFill="accent1" w:themeFillTint="33"/>
          </w:tcPr>
          <w:p w14:paraId="219AB6D1" w14:textId="37820E00" w:rsidR="00267972" w:rsidRPr="00637CC8" w:rsidRDefault="00267972" w:rsidP="006E4716">
            <w:pPr>
              <w:pStyle w:val="TableColumnHeadingLeft"/>
            </w:pPr>
            <w:r w:rsidRPr="00637CC8">
              <w:t>BENEFITS</w:t>
            </w:r>
          </w:p>
        </w:tc>
        <w:tc>
          <w:tcPr>
            <w:tcW w:w="4502" w:type="dxa"/>
            <w:tcBorders>
              <w:top w:val="single" w:sz="4" w:space="0" w:color="004A7F"/>
              <w:bottom w:val="single" w:sz="4" w:space="0" w:color="004A7F"/>
            </w:tcBorders>
            <w:shd w:val="clear" w:color="auto" w:fill="DBE5F1" w:themeFill="accent1" w:themeFillTint="33"/>
          </w:tcPr>
          <w:p w14:paraId="47643B3B" w14:textId="77777777" w:rsidR="00267972" w:rsidRPr="00637CC8" w:rsidRDefault="00267972" w:rsidP="006E4716">
            <w:pPr>
              <w:pStyle w:val="TableColumnHeadingLeft"/>
            </w:pPr>
            <w:r w:rsidRPr="00637CC8">
              <w:t>COSTS</w:t>
            </w:r>
          </w:p>
        </w:tc>
      </w:tr>
      <w:tr w:rsidR="0049582A" w:rsidRPr="00637CC8" w14:paraId="689E7826" w14:textId="77777777" w:rsidTr="00267972">
        <w:trPr>
          <w:trHeight w:val="519"/>
        </w:trPr>
        <w:tc>
          <w:tcPr>
            <w:tcW w:w="4570" w:type="dxa"/>
            <w:shd w:val="clear" w:color="auto" w:fill="FFFFFF" w:themeFill="background1"/>
          </w:tcPr>
          <w:p w14:paraId="64B6B0BF" w14:textId="77777777" w:rsidR="0049582A" w:rsidRPr="00267972" w:rsidRDefault="0049582A" w:rsidP="00267972"/>
        </w:tc>
        <w:tc>
          <w:tcPr>
            <w:tcW w:w="4502" w:type="dxa"/>
            <w:shd w:val="clear" w:color="auto" w:fill="FFFFFF" w:themeFill="background1"/>
          </w:tcPr>
          <w:p w14:paraId="4FA784CC" w14:textId="5CECDDF8" w:rsidR="0049582A" w:rsidRPr="00637CC8" w:rsidRDefault="0049582A" w:rsidP="00267972">
            <w:pPr>
              <w:pStyle w:val="TableTextLeft-Bullet"/>
            </w:pPr>
            <w:r w:rsidRPr="00637CC8">
              <w:t>All auctioneering facilities offering online portals may need to develop mechanisms to link consumers with sellers in the event of a product failure.</w:t>
            </w:r>
          </w:p>
        </w:tc>
      </w:tr>
      <w:tr w:rsidR="0049582A" w:rsidRPr="00637CC8" w14:paraId="12DBFC06" w14:textId="77777777" w:rsidTr="00267972">
        <w:trPr>
          <w:trHeight w:val="519"/>
        </w:trPr>
        <w:tc>
          <w:tcPr>
            <w:tcW w:w="4570" w:type="dxa"/>
            <w:shd w:val="clear" w:color="auto" w:fill="F2F2F2" w:themeFill="background1" w:themeFillShade="F2"/>
          </w:tcPr>
          <w:p w14:paraId="2AD6C7B5" w14:textId="77777777" w:rsidR="0049582A" w:rsidRPr="00267972" w:rsidRDefault="0049582A" w:rsidP="00267972"/>
        </w:tc>
        <w:tc>
          <w:tcPr>
            <w:tcW w:w="4502" w:type="dxa"/>
            <w:shd w:val="clear" w:color="auto" w:fill="F2F2F2" w:themeFill="background1" w:themeFillShade="F2"/>
          </w:tcPr>
          <w:p w14:paraId="0CB83BD4" w14:textId="060C5960" w:rsidR="0049582A" w:rsidRPr="00637CC8" w:rsidRDefault="0049582A" w:rsidP="00267972">
            <w:pPr>
              <w:pStyle w:val="TableTextLeft-Bullet"/>
            </w:pPr>
            <w:r w:rsidRPr="00637CC8">
              <w:t>Consumer confusion around the application</w:t>
            </w:r>
            <w:r w:rsidR="00D92E51" w:rsidRPr="00637CC8">
              <w:t xml:space="preserve"> of the guarantees would remain</w:t>
            </w:r>
            <w:r w:rsidRPr="00637CC8">
              <w:t xml:space="preserve"> when purchasing at a traditional auction.</w:t>
            </w:r>
          </w:p>
        </w:tc>
      </w:tr>
      <w:tr w:rsidR="0049582A" w:rsidRPr="00637CC8" w14:paraId="063121AD" w14:textId="77777777" w:rsidTr="00267972">
        <w:trPr>
          <w:trHeight w:val="519"/>
        </w:trPr>
        <w:tc>
          <w:tcPr>
            <w:tcW w:w="4570" w:type="dxa"/>
            <w:tcBorders>
              <w:bottom w:val="single" w:sz="4" w:space="0" w:color="004A7F"/>
            </w:tcBorders>
            <w:shd w:val="clear" w:color="auto" w:fill="FFFFFF" w:themeFill="background1"/>
          </w:tcPr>
          <w:p w14:paraId="24096905" w14:textId="77777777" w:rsidR="0049582A" w:rsidRPr="00267972" w:rsidRDefault="0049582A" w:rsidP="00267972"/>
        </w:tc>
        <w:tc>
          <w:tcPr>
            <w:tcW w:w="4502" w:type="dxa"/>
            <w:tcBorders>
              <w:bottom w:val="single" w:sz="4" w:space="0" w:color="004A7F"/>
            </w:tcBorders>
            <w:shd w:val="clear" w:color="auto" w:fill="FFFFFF" w:themeFill="background1"/>
          </w:tcPr>
          <w:p w14:paraId="180EADE0" w14:textId="03A567E1" w:rsidR="0049582A" w:rsidRPr="00637CC8" w:rsidRDefault="0049582A" w:rsidP="00267972">
            <w:pPr>
              <w:pStyle w:val="TableTextLeft-Bullet"/>
            </w:pPr>
            <w:r w:rsidRPr="00637CC8">
              <w:t>Auctioneering facilities would need to amend their terms and conditions.</w:t>
            </w:r>
          </w:p>
        </w:tc>
      </w:tr>
    </w:tbl>
    <w:p w14:paraId="0CDDDEA7" w14:textId="21064D5A" w:rsidR="004C2579" w:rsidRPr="00D527DB" w:rsidRDefault="004C2579" w:rsidP="00D527DB"/>
    <w:tbl>
      <w:tblPr>
        <w:tblStyle w:val="TableGrid"/>
        <w:tblW w:w="0" w:type="auto"/>
        <w:shd w:val="clear" w:color="auto" w:fill="F2F2F2" w:themeFill="background1" w:themeFillShade="F2"/>
        <w:tblLook w:val="04A0" w:firstRow="1" w:lastRow="0" w:firstColumn="1" w:lastColumn="0" w:noHBand="0" w:noVBand="1"/>
      </w:tblPr>
      <w:tblGrid>
        <w:gridCol w:w="9242"/>
      </w:tblGrid>
      <w:tr w:rsidR="00F85174" w:rsidRPr="00653567" w14:paraId="3E18FF86" w14:textId="77777777" w:rsidTr="00BD01D5">
        <w:tc>
          <w:tcPr>
            <w:tcW w:w="9242" w:type="dxa"/>
            <w:shd w:val="clear" w:color="auto" w:fill="F2F2F2" w:themeFill="background1" w:themeFillShade="F2"/>
          </w:tcPr>
          <w:p w14:paraId="0D0656CD" w14:textId="5011BB71" w:rsidR="00F85174" w:rsidRPr="00637CC8" w:rsidRDefault="00F85174" w:rsidP="00E565DC">
            <w:pPr>
              <w:pStyle w:val="BoxHeading"/>
            </w:pPr>
            <w:r w:rsidRPr="00637CC8">
              <w:t xml:space="preserve">Focus Questions </w:t>
            </w:r>
          </w:p>
          <w:p w14:paraId="473CBFFA" w14:textId="64E17431" w:rsidR="00F85174" w:rsidRPr="00637CC8" w:rsidRDefault="006651A5" w:rsidP="00267972">
            <w:pPr>
              <w:pStyle w:val="BoxHeadingSub"/>
            </w:pPr>
            <w:r w:rsidRPr="00637CC8">
              <w:t xml:space="preserve">For consumers </w:t>
            </w:r>
          </w:p>
          <w:p w14:paraId="5193DB33" w14:textId="79C0125E" w:rsidR="0099494D" w:rsidRPr="00637CC8" w:rsidRDefault="006651A5" w:rsidP="00267972">
            <w:pPr>
              <w:pStyle w:val="BoxBullet"/>
            </w:pPr>
            <w:r w:rsidRPr="00637CC8">
              <w:t xml:space="preserve">If the same good was being auctioned in person and online, would you still attend </w:t>
            </w:r>
            <w:r w:rsidR="00933869" w:rsidRPr="00637CC8">
              <w:t>the auction in person</w:t>
            </w:r>
            <w:r w:rsidRPr="00637CC8">
              <w:t xml:space="preserve">? </w:t>
            </w:r>
          </w:p>
          <w:p w14:paraId="78F347B0" w14:textId="60FA4ACF" w:rsidR="006973CC" w:rsidRPr="00637CC8" w:rsidRDefault="00AA3127" w:rsidP="00267972">
            <w:pPr>
              <w:pStyle w:val="BoxBullet"/>
            </w:pPr>
            <w:r w:rsidRPr="00637CC8">
              <w:t>If you rarely, or do not bid, at online auctions now, would you be more willing to consider bidding if the goods came with the full range of consumer guarantees?</w:t>
            </w:r>
          </w:p>
          <w:p w14:paraId="752EA0F2" w14:textId="22CD6908" w:rsidR="009F1C81" w:rsidRPr="00637CC8" w:rsidRDefault="009F1C81" w:rsidP="00267972">
            <w:pPr>
              <w:pStyle w:val="BoxBullet"/>
            </w:pPr>
            <w:r w:rsidRPr="00637CC8">
              <w:t xml:space="preserve">To what extent are you likely to bid more aggressively at auction if you could rely on consumer guarantees applying to the same extent as if the good was purchased at retail? </w:t>
            </w:r>
          </w:p>
          <w:p w14:paraId="420F03AB" w14:textId="28E8CB72" w:rsidR="006651A5" w:rsidRPr="00637CC8" w:rsidRDefault="006651A5" w:rsidP="00267972">
            <w:pPr>
              <w:pStyle w:val="BoxHeadingSub"/>
            </w:pPr>
            <w:r w:rsidRPr="00637CC8">
              <w:t xml:space="preserve">For businesses </w:t>
            </w:r>
          </w:p>
          <w:p w14:paraId="4E7F276B" w14:textId="3E5252F5" w:rsidR="00DA32DB" w:rsidRPr="00637CC8" w:rsidRDefault="00DA32DB" w:rsidP="00267972">
            <w:pPr>
              <w:pStyle w:val="BoxBullet"/>
            </w:pPr>
            <w:r w:rsidRPr="00637CC8">
              <w:t>Do you offer an online portal in conjunction to your ‘traditional auction’</w:t>
            </w:r>
            <w:r w:rsidR="00D92E51" w:rsidRPr="00637CC8">
              <w:t>?</w:t>
            </w:r>
            <w:r w:rsidRPr="00637CC8">
              <w:t xml:space="preserve"> </w:t>
            </w:r>
            <w:r w:rsidR="00D92E51" w:rsidRPr="00637CC8">
              <w:t xml:space="preserve">If so, </w:t>
            </w:r>
            <w:r w:rsidRPr="00637CC8">
              <w:t>what percentage of your sales go</w:t>
            </w:r>
            <w:r w:rsidR="004127A5" w:rsidRPr="00637CC8">
              <w:t>es</w:t>
            </w:r>
            <w:r w:rsidRPr="00637CC8">
              <w:t xml:space="preserve"> through this mechanism? </w:t>
            </w:r>
          </w:p>
          <w:p w14:paraId="1E71CA1F" w14:textId="472ED330" w:rsidR="00DA32DB" w:rsidRPr="00637CC8" w:rsidRDefault="00DA32DB" w:rsidP="00267972">
            <w:pPr>
              <w:pStyle w:val="BoxBullet"/>
            </w:pPr>
            <w:r w:rsidRPr="00637CC8">
              <w:t xml:space="preserve">For regional auctioneers, what </w:t>
            </w:r>
            <w:r w:rsidR="002042C3" w:rsidRPr="00637CC8">
              <w:t>percentage of your sales comes</w:t>
            </w:r>
            <w:r w:rsidRPr="00637CC8">
              <w:t xml:space="preserve"> from bidders in different locations</w:t>
            </w:r>
            <w:r w:rsidR="002042C3" w:rsidRPr="00637CC8">
              <w:t xml:space="preserve"> to the ‘traditional auction’</w:t>
            </w:r>
            <w:r w:rsidRPr="00637CC8">
              <w:t xml:space="preserve">? </w:t>
            </w:r>
          </w:p>
          <w:p w14:paraId="089F6FEA" w14:textId="6B65E014" w:rsidR="00DA32DB" w:rsidRPr="00637CC8" w:rsidRDefault="00DA32DB" w:rsidP="00267972">
            <w:pPr>
              <w:pStyle w:val="BoxBullet"/>
            </w:pPr>
            <w:r w:rsidRPr="00637CC8">
              <w:t>Do you provide a service for consumers to contact sellers of goods in the event of a product failure? If yes, how often is this service used</w:t>
            </w:r>
            <w:r w:rsidR="00D92E51" w:rsidRPr="00637CC8">
              <w:t>?</w:t>
            </w:r>
            <w:r w:rsidRPr="00637CC8">
              <w:t xml:space="preserve"> </w:t>
            </w:r>
            <w:r w:rsidR="00D92E51" w:rsidRPr="00637CC8">
              <w:t>W</w:t>
            </w:r>
            <w:r w:rsidRPr="00637CC8">
              <w:t>hat costs would you see in developing such a system?</w:t>
            </w:r>
          </w:p>
          <w:p w14:paraId="741BC44F" w14:textId="728C3E06" w:rsidR="00DA32DB" w:rsidRPr="00637CC8" w:rsidRDefault="00DA32DB" w:rsidP="00267972">
            <w:pPr>
              <w:pStyle w:val="BoxBullet"/>
            </w:pPr>
            <w:r w:rsidRPr="00637CC8">
              <w:t>What costs do you see associated with the provision of information regarding the quality of goods?</w:t>
            </w:r>
          </w:p>
          <w:p w14:paraId="597D0FF3" w14:textId="06C8822B" w:rsidR="0099494D" w:rsidRPr="00637CC8" w:rsidRDefault="006651A5" w:rsidP="00267972">
            <w:pPr>
              <w:pStyle w:val="BoxBullet"/>
            </w:pPr>
            <w:r w:rsidRPr="00637CC8">
              <w:t>If all online auctions received access to all consumer guarantees, would you be less willing to auction your goods through an online portal</w:t>
            </w:r>
            <w:r w:rsidR="00DC7CC6" w:rsidRPr="00637CC8">
              <w:t xml:space="preserve"> or by a business that offers an online portal</w:t>
            </w:r>
            <w:r w:rsidRPr="00637CC8">
              <w:t xml:space="preserve">? </w:t>
            </w:r>
          </w:p>
          <w:p w14:paraId="1C83F356" w14:textId="0800E4B2" w:rsidR="00DA32DB" w:rsidRPr="00637CC8" w:rsidRDefault="00DA32DB" w:rsidP="00267972">
            <w:pPr>
              <w:pStyle w:val="BoxBullet"/>
            </w:pPr>
            <w:r w:rsidRPr="00637CC8">
              <w:t>What costs would you face in updating your website</w:t>
            </w:r>
            <w:r w:rsidR="00D92E51" w:rsidRPr="00637CC8">
              <w:t>’</w:t>
            </w:r>
            <w:r w:rsidRPr="00637CC8">
              <w:t>s terms and conditions to adjust to the new regime?</w:t>
            </w:r>
          </w:p>
          <w:p w14:paraId="009DBAEE" w14:textId="63DBEAB8" w:rsidR="00DA32DB" w:rsidRPr="00637CC8" w:rsidRDefault="00DA32DB" w:rsidP="00267972">
            <w:pPr>
              <w:pStyle w:val="BoxBullet"/>
            </w:pPr>
            <w:r w:rsidRPr="00637CC8">
              <w:t>To what extent are your staff already aware of their responsibilities in relation to consumer guarantees? What costs would be associated with training staff</w:t>
            </w:r>
            <w:r w:rsidR="00D92E51" w:rsidRPr="00637CC8">
              <w:t>,</w:t>
            </w:r>
            <w:r w:rsidRPr="00637CC8">
              <w:t xml:space="preserve"> were the exemptions framework to change as outlined in this option?</w:t>
            </w:r>
          </w:p>
        </w:tc>
      </w:tr>
    </w:tbl>
    <w:p w14:paraId="7DAF9845" w14:textId="77777777" w:rsidR="00DA32DB" w:rsidRPr="00E64A81" w:rsidRDefault="00DA32DB" w:rsidP="00E64A81">
      <w:bookmarkStart w:id="57" w:name="_Toc501363813"/>
      <w:bookmarkStart w:id="58" w:name="_Toc501376283"/>
    </w:p>
    <w:p w14:paraId="232AA079" w14:textId="77777777" w:rsidR="00DA32DB" w:rsidRPr="00E64A81" w:rsidRDefault="00DA32DB" w:rsidP="00E64A81">
      <w:r w:rsidRPr="00E64A81">
        <w:br w:type="page"/>
      </w:r>
    </w:p>
    <w:p w14:paraId="2CA78B8E" w14:textId="4765F116" w:rsidR="001A321D" w:rsidRPr="00653567" w:rsidRDefault="000D6858" w:rsidP="00E565DC">
      <w:pPr>
        <w:pStyle w:val="Heading2-NoNumbered"/>
      </w:pPr>
      <w:bookmarkStart w:id="59" w:name="_Toc507771531"/>
      <w:bookmarkStart w:id="60" w:name="_Toc508354789"/>
      <w:bookmarkStart w:id="61" w:name="_Toc508969208"/>
      <w:r w:rsidRPr="00653567">
        <w:t xml:space="preserve">Option </w:t>
      </w:r>
      <w:r w:rsidR="00173DC0" w:rsidRPr="00653567">
        <w:t>4</w:t>
      </w:r>
      <w:r w:rsidRPr="00653567">
        <w:t xml:space="preserve">: </w:t>
      </w:r>
      <w:r w:rsidR="001A321D" w:rsidRPr="00653567">
        <w:t xml:space="preserve">All goods purchased through auctions will receive access to </w:t>
      </w:r>
      <w:r w:rsidR="00B37D1B" w:rsidRPr="00653567">
        <w:t xml:space="preserve">the </w:t>
      </w:r>
      <w:r w:rsidR="001A321D" w:rsidRPr="00653567">
        <w:t xml:space="preserve">remainder of </w:t>
      </w:r>
      <w:r w:rsidR="004127A5">
        <w:t xml:space="preserve">the </w:t>
      </w:r>
      <w:r w:rsidR="001A321D" w:rsidRPr="00653567">
        <w:t>consumer guarantees (that are available in the ACL for generic retail sales).</w:t>
      </w:r>
      <w:bookmarkEnd w:id="57"/>
      <w:bookmarkEnd w:id="58"/>
      <w:bookmarkEnd w:id="59"/>
      <w:bookmarkEnd w:id="60"/>
      <w:bookmarkEnd w:id="61"/>
    </w:p>
    <w:p w14:paraId="38F533AB" w14:textId="2CDEB53B" w:rsidR="000D6858" w:rsidRPr="00653567" w:rsidRDefault="00267972" w:rsidP="00E565DC">
      <w:pPr>
        <w:pStyle w:val="Heading3-NoNumbered"/>
      </w:pPr>
      <w:bookmarkStart w:id="62" w:name="_Toc501363814"/>
      <w:bookmarkStart w:id="63" w:name="_Toc501376284"/>
      <w:bookmarkStart w:id="64" w:name="_Toc507771532"/>
      <w:r w:rsidRPr="00653567">
        <w:rPr>
          <w:noProof/>
        </w:rPr>
        <w:drawing>
          <wp:anchor distT="0" distB="0" distL="7200900" distR="7200900" simplePos="0" relativeHeight="251674112" behindDoc="0" locked="0" layoutInCell="1" allowOverlap="1" wp14:anchorId="387C1689" wp14:editId="6CBBD4FF">
            <wp:simplePos x="0" y="0"/>
            <wp:positionH relativeFrom="margin">
              <wp:align>center</wp:align>
            </wp:positionH>
            <wp:positionV relativeFrom="paragraph">
              <wp:posOffset>584200</wp:posOffset>
            </wp:positionV>
            <wp:extent cx="3505200" cy="35147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a:extLst>
                        <a:ext uri="{28A0092B-C50C-407E-A947-70E740481C1C}">
                          <a14:useLocalDpi xmlns:a14="http://schemas.microsoft.com/office/drawing/2010/main" val="0"/>
                        </a:ext>
                      </a:extLst>
                    </a:blip>
                    <a:srcRect l="2151" t="1837" r="2403" b="4725"/>
                    <a:stretch/>
                  </pic:blipFill>
                  <pic:spPr bwMode="auto">
                    <a:xfrm>
                      <a:off x="0" y="0"/>
                      <a:ext cx="3508460" cy="35183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321D" w:rsidRPr="00653567">
        <w:t>This option removes all the exemptions in relation to consumer guarantees for goods bought via an auction, no matter the medium of the auction.</w:t>
      </w:r>
      <w:bookmarkEnd w:id="62"/>
      <w:bookmarkEnd w:id="63"/>
      <w:bookmarkEnd w:id="64"/>
    </w:p>
    <w:p w14:paraId="778FF397" w14:textId="12A413D6" w:rsidR="000D6858" w:rsidRPr="00653567" w:rsidRDefault="000D6858" w:rsidP="00E64A81">
      <w:pPr>
        <w:pStyle w:val="Singleparagraph"/>
      </w:pPr>
    </w:p>
    <w:p w14:paraId="3646DAC2" w14:textId="5D2C57E6" w:rsidR="0085067C" w:rsidRPr="00637CC8" w:rsidRDefault="005772AA" w:rsidP="00E565DC">
      <w:pPr>
        <w:pStyle w:val="OutlineNumbered1"/>
      </w:pPr>
      <w:r w:rsidRPr="00653567">
        <w:t xml:space="preserve">This option addresses the issue by removing all </w:t>
      </w:r>
      <w:r w:rsidR="0010001A" w:rsidRPr="00653567">
        <w:t xml:space="preserve">consumer guarantee </w:t>
      </w:r>
      <w:r w:rsidRPr="00653567">
        <w:t xml:space="preserve">exemptions for goods bought </w:t>
      </w:r>
      <w:r w:rsidR="002C25B7" w:rsidRPr="00653567">
        <w:t>through</w:t>
      </w:r>
      <w:r w:rsidRPr="00653567">
        <w:t xml:space="preserve"> </w:t>
      </w:r>
      <w:r w:rsidRPr="00637CC8">
        <w:t>auction</w:t>
      </w:r>
      <w:r w:rsidR="002C25B7" w:rsidRPr="00637CC8">
        <w:t>s</w:t>
      </w:r>
      <w:r w:rsidRPr="00637CC8">
        <w:t xml:space="preserve">. </w:t>
      </w:r>
      <w:r w:rsidR="0085067C" w:rsidRPr="00637CC8">
        <w:t>It would also result in consumers having the same level of consumer guarantee protection when they buy from a business regardless of whether the good was purchased at auction, a traditional retail store or an online trading store.</w:t>
      </w:r>
    </w:p>
    <w:p w14:paraId="51C6E20E" w14:textId="089EA9E6" w:rsidR="009106D2" w:rsidRPr="00653567" w:rsidRDefault="005772AA" w:rsidP="00E565DC">
      <w:pPr>
        <w:pStyle w:val="OutlineNumbered1"/>
      </w:pPr>
      <w:r w:rsidRPr="00637CC8">
        <w:t xml:space="preserve">This </w:t>
      </w:r>
      <w:r w:rsidR="002C25B7" w:rsidRPr="00637CC8">
        <w:t>option will increase consumer protection</w:t>
      </w:r>
      <w:r w:rsidRPr="00637CC8">
        <w:t xml:space="preserve"> by ensuring that all </w:t>
      </w:r>
      <w:r w:rsidR="00C05401" w:rsidRPr="00637CC8">
        <w:t xml:space="preserve">goods purchased at </w:t>
      </w:r>
      <w:r w:rsidRPr="00637CC8">
        <w:t xml:space="preserve">auctions in trade or </w:t>
      </w:r>
      <w:r w:rsidR="00C05401" w:rsidRPr="00637CC8">
        <w:t>commerce</w:t>
      </w:r>
      <w:r w:rsidRPr="00637CC8">
        <w:t xml:space="preserve"> come </w:t>
      </w:r>
      <w:r w:rsidR="004127A5" w:rsidRPr="00637CC8">
        <w:t>wit</w:t>
      </w:r>
      <w:r w:rsidR="002C25B7" w:rsidRPr="00637CC8">
        <w:t>h access to all</w:t>
      </w:r>
      <w:r w:rsidRPr="00637CC8">
        <w:t xml:space="preserve"> consumer guarantees. </w:t>
      </w:r>
      <w:r w:rsidR="004127A5" w:rsidRPr="00637CC8">
        <w:t xml:space="preserve">It will also remove </w:t>
      </w:r>
      <w:r w:rsidR="009106D2" w:rsidRPr="00637CC8">
        <w:t>confusion for consumers, auctioneers and businesses by clarifying and simplifying the rights that apply. For example, parties would not need to identify whether or not a sale is by auction (which can be unclear, for example, when some websites offer online auctions combined</w:t>
      </w:r>
      <w:r w:rsidR="009106D2" w:rsidRPr="00653567">
        <w:t xml:space="preserve"> with ‘buy now’ options), and then identify whether the auctioneer is acting on behalf of the seller or i</w:t>
      </w:r>
      <w:r w:rsidR="004127A5">
        <w:t>t i</w:t>
      </w:r>
      <w:r w:rsidR="009106D2" w:rsidRPr="00653567">
        <w:t>s merely an intermediary platform.</w:t>
      </w:r>
    </w:p>
    <w:p w14:paraId="5704495A" w14:textId="55DB0D26" w:rsidR="00277F91" w:rsidRPr="00653567" w:rsidRDefault="009106D2" w:rsidP="00E565DC">
      <w:pPr>
        <w:pStyle w:val="OutlineNumbered1"/>
      </w:pPr>
      <w:r w:rsidRPr="00653567">
        <w:t>Further, while the traditional rationale applies in theory to physical auctions, it is not always clear that consumers do, in practice, have a reasonable opportunity to inspect the goods beforehand. This can be due, for example, to limited time to inspect the goods, restrictions on handling the goods, or the number of attendees at a physical auction.</w:t>
      </w:r>
    </w:p>
    <w:p w14:paraId="22B0A828" w14:textId="77777777" w:rsidR="00E64A81" w:rsidRPr="00E64A81" w:rsidRDefault="00E64A81" w:rsidP="00E64A81"/>
    <w:p w14:paraId="3B8927A9" w14:textId="77777777" w:rsidR="00E64A81" w:rsidRPr="00E64A81" w:rsidRDefault="00E64A81" w:rsidP="00E64A81">
      <w:r w:rsidRPr="00E64A81">
        <w:br w:type="page"/>
      </w:r>
    </w:p>
    <w:p w14:paraId="15F9D982" w14:textId="6E2FD19B" w:rsidR="00464D38" w:rsidRPr="00637CC8" w:rsidRDefault="00E42AAF" w:rsidP="00E565DC">
      <w:pPr>
        <w:pStyle w:val="OutlineNumbered1"/>
      </w:pPr>
      <w:r w:rsidRPr="00F4165B">
        <w:t>S</w:t>
      </w:r>
      <w:r w:rsidR="00277F91" w:rsidRPr="00F4165B">
        <w:t xml:space="preserve">ome </w:t>
      </w:r>
      <w:r w:rsidRPr="00F4165B">
        <w:t xml:space="preserve">overseas jurisdictions </w:t>
      </w:r>
      <w:r w:rsidR="00277F91" w:rsidRPr="00F4165B">
        <w:t>have</w:t>
      </w:r>
      <w:r w:rsidR="002C25B7" w:rsidRPr="00F4165B">
        <w:t xml:space="preserve"> already</w:t>
      </w:r>
      <w:r w:rsidR="00277F91" w:rsidRPr="00F4165B">
        <w:t xml:space="preserve"> </w:t>
      </w:r>
      <w:r w:rsidR="00277F91" w:rsidRPr="00637CC8">
        <w:t xml:space="preserve">removed exemptions for auctions. </w:t>
      </w:r>
      <w:r w:rsidRPr="00637CC8">
        <w:t>In particular, New</w:t>
      </w:r>
      <w:r w:rsidR="00E64A81">
        <w:t> </w:t>
      </w:r>
      <w:r w:rsidRPr="00637CC8">
        <w:t>Zealand</w:t>
      </w:r>
      <w:r w:rsidR="00277F91" w:rsidRPr="00637CC8">
        <w:t xml:space="preserve"> removed the exemptions for sale by auction</w:t>
      </w:r>
      <w:r w:rsidR="00AA7FAE" w:rsidRPr="00637CC8">
        <w:t xml:space="preserve"> in 2014</w:t>
      </w:r>
      <w:r w:rsidR="00277F91" w:rsidRPr="00637CC8">
        <w:t xml:space="preserve">. </w:t>
      </w:r>
      <w:r w:rsidR="00B12787" w:rsidRPr="00637CC8">
        <w:t>The impacts of this change are unclear on the New Zealand auction market in relation t</w:t>
      </w:r>
      <w:r w:rsidR="004127A5" w:rsidRPr="00637CC8">
        <w:t>o t</w:t>
      </w:r>
      <w:r w:rsidR="00B12787" w:rsidRPr="00637CC8">
        <w:t xml:space="preserve">he throughput of goods and the prices paid for goods at auction. These are </w:t>
      </w:r>
      <w:r w:rsidR="00F70815" w:rsidRPr="00637CC8">
        <w:t>the types</w:t>
      </w:r>
      <w:r w:rsidR="002D068F" w:rsidRPr="00637CC8">
        <w:t xml:space="preserve"> of</w:t>
      </w:r>
      <w:r w:rsidR="00F70815" w:rsidRPr="00637CC8">
        <w:t xml:space="preserve"> </w:t>
      </w:r>
      <w:r w:rsidR="00B12787" w:rsidRPr="00637CC8">
        <w:t>impacts that this RIS chapter is seeking information on</w:t>
      </w:r>
      <w:r w:rsidR="00F70815" w:rsidRPr="00637CC8">
        <w:t xml:space="preserve"> for the Australian context</w:t>
      </w:r>
      <w:r w:rsidR="00B12787" w:rsidRPr="00637CC8">
        <w:t>.</w:t>
      </w:r>
    </w:p>
    <w:tbl>
      <w:tblPr>
        <w:tblStyle w:val="TableGrid"/>
        <w:tblW w:w="0" w:type="auto"/>
        <w:shd w:val="clear" w:color="auto" w:fill="DBE5F1" w:themeFill="accent1" w:themeFillTint="33"/>
        <w:tblLook w:val="04A0" w:firstRow="1" w:lastRow="0" w:firstColumn="1" w:lastColumn="0" w:noHBand="0" w:noVBand="1"/>
      </w:tblPr>
      <w:tblGrid>
        <w:gridCol w:w="9242"/>
      </w:tblGrid>
      <w:tr w:rsidR="00464D38" w:rsidRPr="00653567" w14:paraId="47F715E1" w14:textId="77777777" w:rsidTr="00EF3CB9">
        <w:tc>
          <w:tcPr>
            <w:tcW w:w="9242" w:type="dxa"/>
            <w:shd w:val="clear" w:color="auto" w:fill="DBE5F1" w:themeFill="accent1" w:themeFillTint="33"/>
          </w:tcPr>
          <w:p w14:paraId="5982A375" w14:textId="77777777" w:rsidR="00464D38" w:rsidRPr="00E64A81" w:rsidRDefault="00464D38" w:rsidP="00E64A81">
            <w:pPr>
              <w:pStyle w:val="BoxHeading"/>
            </w:pPr>
            <w:r w:rsidRPr="00E64A81">
              <w:t xml:space="preserve">Consumer Guarantees at auctions in New Zealand </w:t>
            </w:r>
          </w:p>
          <w:p w14:paraId="03C59CF2" w14:textId="31C81CE6" w:rsidR="00464D38" w:rsidRPr="00653567" w:rsidRDefault="00464D38" w:rsidP="00E64A81">
            <w:pPr>
              <w:pStyle w:val="BoxText"/>
            </w:pPr>
            <w:r w:rsidRPr="00653567">
              <w:t>The Consumer Guarantees Act will apply if the seller is in trade and the property is usually purchased for personal, domestic or household use. People are not usually in trade when they sell property they initially bought or acquired for personal use and this is often the case for online bidding sites like Trade Me</w:t>
            </w:r>
            <w:r w:rsidR="00C05401" w:rsidRPr="00653567">
              <w:t xml:space="preserve"> (A New Zealand auction site)</w:t>
            </w:r>
            <w:r w:rsidRPr="00653567">
              <w:t>.</w:t>
            </w:r>
          </w:p>
          <w:p w14:paraId="4F22906F" w14:textId="77777777" w:rsidR="00464D38" w:rsidRPr="00653567" w:rsidRDefault="00464D38" w:rsidP="00E64A81">
            <w:pPr>
              <w:pStyle w:val="BoxText"/>
            </w:pPr>
            <w:r w:rsidRPr="00653567">
              <w:t>Under the Consumer Guarantees Act, goods must:</w:t>
            </w:r>
          </w:p>
          <w:p w14:paraId="7C0BC5B7" w14:textId="77777777" w:rsidR="00464D38" w:rsidRPr="00653567" w:rsidRDefault="00464D38" w:rsidP="00E64A81">
            <w:pPr>
              <w:pStyle w:val="BoxBullet"/>
            </w:pPr>
            <w:r w:rsidRPr="00653567">
              <w:t>match their description</w:t>
            </w:r>
          </w:p>
          <w:p w14:paraId="6AAD040D" w14:textId="77777777" w:rsidR="00464D38" w:rsidRPr="00653567" w:rsidRDefault="00464D38" w:rsidP="00E64A81">
            <w:pPr>
              <w:pStyle w:val="BoxBullet"/>
            </w:pPr>
            <w:r w:rsidRPr="00653567">
              <w:t>have no undisclosed defects</w:t>
            </w:r>
          </w:p>
          <w:p w14:paraId="0A814942" w14:textId="77777777" w:rsidR="00464D38" w:rsidRPr="00653567" w:rsidRDefault="00464D38" w:rsidP="00E64A81">
            <w:pPr>
              <w:pStyle w:val="BoxBullet"/>
            </w:pPr>
            <w:r w:rsidRPr="00653567">
              <w:t>be fit for their normal purpose</w:t>
            </w:r>
          </w:p>
          <w:p w14:paraId="1CE416FC" w14:textId="77777777" w:rsidR="00464D38" w:rsidRPr="00653567" w:rsidRDefault="00464D38" w:rsidP="00E64A81">
            <w:pPr>
              <w:pStyle w:val="BoxBullet"/>
            </w:pPr>
            <w:r w:rsidRPr="00653567">
              <w:t>be safe, durable, and of a reasonable quality</w:t>
            </w:r>
          </w:p>
          <w:p w14:paraId="0C05721A" w14:textId="0692C9BC" w:rsidR="00464D38" w:rsidRPr="00653567" w:rsidRDefault="00464D38" w:rsidP="00E64A81">
            <w:pPr>
              <w:pStyle w:val="BoxBullet"/>
            </w:pPr>
            <w:r w:rsidRPr="00653567">
              <w:t>be acceptable in look and finish.</w:t>
            </w:r>
          </w:p>
        </w:tc>
      </w:tr>
    </w:tbl>
    <w:p w14:paraId="69D11A76" w14:textId="77777777" w:rsidR="00E64A81" w:rsidRDefault="00E64A81" w:rsidP="00E64A81">
      <w:pPr>
        <w:pStyle w:val="Singleparagraph"/>
      </w:pPr>
    </w:p>
    <w:p w14:paraId="32D97C33" w14:textId="77777777" w:rsidR="00AA7FAE" w:rsidRPr="00653567" w:rsidRDefault="009106D2" w:rsidP="00E565DC">
      <w:pPr>
        <w:pStyle w:val="OutlineNumbered1"/>
      </w:pPr>
      <w:r w:rsidRPr="00653567">
        <w:t xml:space="preserve">On the other hand, removing the exemptions may not remove all confusion for a consumer seeking to exercise their rights. The seller (rather than auctioneer, as the seller’s agent) would remain responsible for the provision of remedies under the ACL. Some confusion may result for consumers if the responsible party is not made clear. </w:t>
      </w:r>
    </w:p>
    <w:p w14:paraId="36F0D4A3" w14:textId="77777777" w:rsidR="0089562C" w:rsidRPr="00653567" w:rsidRDefault="0089562C" w:rsidP="00E64A81">
      <w:pPr>
        <w:pStyle w:val="Heading3-NoNumbered"/>
      </w:pPr>
      <w:r w:rsidRPr="00653567">
        <w:t>Impact Analysis</w:t>
      </w:r>
    </w:p>
    <w:p w14:paraId="456BA43D" w14:textId="52289D2C" w:rsidR="00F03B05" w:rsidRPr="00637CC8" w:rsidRDefault="00B618B1" w:rsidP="00E565DC">
      <w:pPr>
        <w:pStyle w:val="OutlineNumbered1"/>
      </w:pPr>
      <w:r>
        <w:t>Compliance costs under Option 4</w:t>
      </w:r>
      <w:r w:rsidR="0089562C" w:rsidRPr="00653567">
        <w:t xml:space="preserve"> would be significantly higher than the other options as this option affects all auctions, regardless of whether they are online or not. </w:t>
      </w:r>
      <w:r w:rsidR="00F03B05" w:rsidRPr="00653567">
        <w:t xml:space="preserve">This would require all businesses selling goods through auctions to be aware that they have increased responsibilities in </w:t>
      </w:r>
      <w:r w:rsidR="00F03B05" w:rsidRPr="00637CC8">
        <w:t xml:space="preserve">relation to consumer guarantees. </w:t>
      </w:r>
    </w:p>
    <w:p w14:paraId="3C740445" w14:textId="5697BC66" w:rsidR="00A328F7" w:rsidRPr="00637CC8" w:rsidRDefault="00A328F7" w:rsidP="00E565DC">
      <w:pPr>
        <w:pStyle w:val="OutlineNumbered1"/>
      </w:pPr>
      <w:r w:rsidRPr="00637CC8">
        <w:t xml:space="preserve">All consumers purchasing goods at auctions would have increased confidence in </w:t>
      </w:r>
      <w:r w:rsidR="000476B8" w:rsidRPr="00637CC8">
        <w:t>determining</w:t>
      </w:r>
      <w:r w:rsidRPr="00637CC8">
        <w:t xml:space="preserve"> their bidding strategy. The </w:t>
      </w:r>
      <w:r w:rsidR="000476B8" w:rsidRPr="00637CC8">
        <w:t>complete</w:t>
      </w:r>
      <w:r w:rsidRPr="00637CC8">
        <w:t xml:space="preserve"> removal of these exemptions would mean that at all auctions </w:t>
      </w:r>
      <w:r w:rsidR="000476B8" w:rsidRPr="00637CC8">
        <w:t>consumers</w:t>
      </w:r>
      <w:r w:rsidRPr="00637CC8">
        <w:t xml:space="preserve"> would have </w:t>
      </w:r>
      <w:r w:rsidR="000476B8" w:rsidRPr="00637CC8">
        <w:t>protections</w:t>
      </w:r>
      <w:r w:rsidRPr="00637CC8">
        <w:t xml:space="preserve"> if there is</w:t>
      </w:r>
      <w:r w:rsidR="004127A5" w:rsidRPr="00637CC8">
        <w:t xml:space="preserve"> a</w:t>
      </w:r>
      <w:r w:rsidRPr="00637CC8">
        <w:t xml:space="preserve"> failure with the goods they purchase. </w:t>
      </w:r>
    </w:p>
    <w:p w14:paraId="2FBCC534" w14:textId="27B2DAF7" w:rsidR="00E85FB1" w:rsidRPr="00637CC8" w:rsidRDefault="00A328F7" w:rsidP="00E565DC">
      <w:pPr>
        <w:pStyle w:val="OutlineNumbered1"/>
      </w:pPr>
      <w:r w:rsidRPr="00637CC8">
        <w:t xml:space="preserve">This option would </w:t>
      </w:r>
      <w:r w:rsidR="000476B8" w:rsidRPr="00637CC8">
        <w:t>dramatically</w:t>
      </w:r>
      <w:r w:rsidRPr="00637CC8">
        <w:t xml:space="preserve"> </w:t>
      </w:r>
      <w:r w:rsidR="00955BF0" w:rsidRPr="00637CC8">
        <w:t>simplify</w:t>
      </w:r>
      <w:r w:rsidRPr="00637CC8">
        <w:t xml:space="preserve"> the consumer </w:t>
      </w:r>
      <w:r w:rsidR="000476B8" w:rsidRPr="00637CC8">
        <w:t>guarantees</w:t>
      </w:r>
      <w:r w:rsidRPr="00637CC8">
        <w:t xml:space="preserve"> </w:t>
      </w:r>
      <w:r w:rsidR="000476B8" w:rsidRPr="00637CC8">
        <w:t>regime</w:t>
      </w:r>
      <w:r w:rsidRPr="00637CC8">
        <w:t xml:space="preserve"> for </w:t>
      </w:r>
      <w:r w:rsidR="000476B8" w:rsidRPr="00637CC8">
        <w:t>consumers</w:t>
      </w:r>
      <w:r w:rsidRPr="00637CC8">
        <w:t xml:space="preserve"> purchasing at aucti</w:t>
      </w:r>
      <w:r w:rsidR="000476B8" w:rsidRPr="00637CC8">
        <w:t>on. Rather than having a mix of</w:t>
      </w:r>
      <w:r w:rsidRPr="00637CC8">
        <w:t xml:space="preserve"> </w:t>
      </w:r>
      <w:r w:rsidR="00024BA1" w:rsidRPr="00637CC8">
        <w:t>exemptions</w:t>
      </w:r>
      <w:r w:rsidRPr="00637CC8">
        <w:t xml:space="preserve"> </w:t>
      </w:r>
      <w:r w:rsidR="000476B8" w:rsidRPr="00637CC8">
        <w:t>depending</w:t>
      </w:r>
      <w:r w:rsidRPr="00637CC8">
        <w:t xml:space="preserve"> on the medium through which an</w:t>
      </w:r>
      <w:r w:rsidR="000476B8" w:rsidRPr="00637CC8">
        <w:t xml:space="preserve"> </w:t>
      </w:r>
      <w:r w:rsidRPr="00637CC8">
        <w:t xml:space="preserve">auction occurs they would generally have access to the consumer </w:t>
      </w:r>
      <w:r w:rsidR="000476B8" w:rsidRPr="00637CC8">
        <w:t>guarantees</w:t>
      </w:r>
      <w:r w:rsidRPr="00637CC8">
        <w:t xml:space="preserve">. </w:t>
      </w:r>
    </w:p>
    <w:p w14:paraId="5B66CE26" w14:textId="7018C285" w:rsidR="00F67AEE" w:rsidRPr="00637CC8" w:rsidRDefault="00F67AEE" w:rsidP="00E565DC">
      <w:pPr>
        <w:pStyle w:val="OutlineNumbered1"/>
      </w:pPr>
      <w:r w:rsidRPr="00637CC8">
        <w:t>Similarly,</w:t>
      </w:r>
      <w:r w:rsidR="00FC1659" w:rsidRPr="00637CC8">
        <w:t xml:space="preserve"> for </w:t>
      </w:r>
      <w:r w:rsidR="009F7592" w:rsidRPr="00637CC8">
        <w:t>businesses</w:t>
      </w:r>
      <w:r w:rsidR="00FC1659" w:rsidRPr="00637CC8">
        <w:t xml:space="preserve"> who sell goods at auction and through retail channels,</w:t>
      </w:r>
      <w:r w:rsidRPr="00637CC8">
        <w:t xml:space="preserve"> </w:t>
      </w:r>
      <w:r w:rsidR="00FC1659" w:rsidRPr="00637CC8">
        <w:t>there is the prospect of simplification through one set of rules governing consumer guarantee liability.</w:t>
      </w:r>
      <w:r w:rsidR="00146F70" w:rsidRPr="00637CC8">
        <w:t xml:space="preserve"> </w:t>
      </w:r>
      <w:r w:rsidR="009F7592" w:rsidRPr="00637CC8">
        <w:t>This may raise the prospect of familiarisation costs being less for such businesses.</w:t>
      </w:r>
    </w:p>
    <w:p w14:paraId="12CE3698" w14:textId="77777777" w:rsidR="00E64A81" w:rsidRDefault="00E64A81">
      <w:pPr>
        <w:spacing w:after="200" w:line="276" w:lineRule="auto"/>
        <w:jc w:val="left"/>
      </w:pPr>
      <w:r>
        <w:br w:type="page"/>
      </w:r>
    </w:p>
    <w:p w14:paraId="1CB7B8BC" w14:textId="06ABDE99" w:rsidR="00A328F7" w:rsidRPr="00637CC8" w:rsidRDefault="00A328F7" w:rsidP="00E565DC">
      <w:pPr>
        <w:pStyle w:val="OutlineNumbered1"/>
      </w:pPr>
      <w:r w:rsidRPr="00637CC8">
        <w:t xml:space="preserve">Confusion </w:t>
      </w:r>
      <w:r w:rsidR="00825846" w:rsidRPr="00637CC8">
        <w:t>may</w:t>
      </w:r>
      <w:r w:rsidRPr="00637CC8">
        <w:t xml:space="preserve"> still exist in the auctions </w:t>
      </w:r>
      <w:r w:rsidR="000476B8" w:rsidRPr="00637CC8">
        <w:t>regime</w:t>
      </w:r>
      <w:r w:rsidRPr="00637CC8">
        <w:t xml:space="preserve"> as many goods sold at auction may not </w:t>
      </w:r>
      <w:r w:rsidR="000476B8" w:rsidRPr="00637CC8">
        <w:t>be inside</w:t>
      </w:r>
      <w:r w:rsidRPr="00637CC8">
        <w:t xml:space="preserve"> the scope of </w:t>
      </w:r>
      <w:r w:rsidR="00320613">
        <w:t>‘</w:t>
      </w:r>
      <w:r w:rsidRPr="00637CC8">
        <w:t>trade or commerce</w:t>
      </w:r>
      <w:r w:rsidR="00320613">
        <w:t>’</w:t>
      </w:r>
      <w:r w:rsidRPr="00637CC8">
        <w:t xml:space="preserve">. </w:t>
      </w:r>
      <w:r w:rsidR="00825846" w:rsidRPr="00637CC8">
        <w:t>That is, in the event of a</w:t>
      </w:r>
      <w:r w:rsidR="00B22E51" w:rsidRPr="00B22E51">
        <w:t xml:space="preserve"> failure to meet the guarantees</w:t>
      </w:r>
      <w:r w:rsidR="00825846" w:rsidRPr="00637CC8">
        <w:t>, buyers would only have a right to a consumer guarantee remedy against a seller acting in trade or commerce.</w:t>
      </w:r>
      <w:r w:rsidR="00825846" w:rsidRPr="00BD01D5">
        <w:rPr>
          <w:vertAlign w:val="superscript"/>
        </w:rPr>
        <w:footnoteReference w:id="8"/>
      </w:r>
      <w:r w:rsidR="00E85FB1" w:rsidRPr="00637CC8">
        <w:t xml:space="preserve"> It may not be clear to buyers in an auction whether the article has been offered for sale by a person in trade or commerce. </w:t>
      </w:r>
      <w:r w:rsidR="006B284F" w:rsidRPr="00637CC8">
        <w:t>A s</w:t>
      </w:r>
      <w:r w:rsidR="002143D2" w:rsidRPr="00637CC8">
        <w:t>imilar observation ha</w:t>
      </w:r>
      <w:r w:rsidR="006B284F" w:rsidRPr="00637CC8">
        <w:t>s</w:t>
      </w:r>
      <w:r w:rsidR="002143D2" w:rsidRPr="00637CC8">
        <w:t xml:space="preserve"> been made in the context of New Zealand’s repeal of its auctions exemption.</w:t>
      </w:r>
      <w:r w:rsidR="002143D2" w:rsidRPr="00BD01D5">
        <w:rPr>
          <w:vertAlign w:val="superscript"/>
        </w:rPr>
        <w:footnoteReference w:id="9"/>
      </w:r>
    </w:p>
    <w:p w14:paraId="15FFCC64" w14:textId="0A874543" w:rsidR="00383B48" w:rsidRPr="00637CC8" w:rsidRDefault="00383B48" w:rsidP="00E565DC">
      <w:pPr>
        <w:pStyle w:val="OutlineNumbered1"/>
      </w:pPr>
      <w:r w:rsidRPr="00637CC8">
        <w:t xml:space="preserve">Sellers of goods at auctions could </w:t>
      </w:r>
      <w:r w:rsidR="000476B8" w:rsidRPr="00637CC8">
        <w:t>experience</w:t>
      </w:r>
      <w:r w:rsidRPr="00637CC8">
        <w:t xml:space="preserve"> benefits from th</w:t>
      </w:r>
      <w:r w:rsidR="002143D2" w:rsidRPr="00637CC8">
        <w:t>e</w:t>
      </w:r>
      <w:r w:rsidRPr="00637CC8">
        <w:t xml:space="preserve"> approach </w:t>
      </w:r>
      <w:r w:rsidR="002143D2" w:rsidRPr="00637CC8">
        <w:t>in option four</w:t>
      </w:r>
      <w:r w:rsidRPr="00637CC8">
        <w:t xml:space="preserve"> if </w:t>
      </w:r>
      <w:r w:rsidR="000476B8" w:rsidRPr="00637CC8">
        <w:t>consumers</w:t>
      </w:r>
      <w:r w:rsidRPr="00637CC8">
        <w:t xml:space="preserve"> are </w:t>
      </w:r>
      <w:r w:rsidR="00955BF0" w:rsidRPr="00637CC8">
        <w:t xml:space="preserve">willing to </w:t>
      </w:r>
      <w:r w:rsidRPr="00637CC8">
        <w:t xml:space="preserve">develop more </w:t>
      </w:r>
      <w:r w:rsidR="000476B8" w:rsidRPr="00637CC8">
        <w:t>aggressive</w:t>
      </w:r>
      <w:r w:rsidRPr="00637CC8">
        <w:t xml:space="preserve"> bidding </w:t>
      </w:r>
      <w:r w:rsidR="000476B8" w:rsidRPr="00637CC8">
        <w:t>strategies</w:t>
      </w:r>
      <w:r w:rsidRPr="00637CC8">
        <w:t xml:space="preserve">. This RIS is particularly interested to </w:t>
      </w:r>
      <w:r w:rsidR="000476B8" w:rsidRPr="00637CC8">
        <w:t>identify</w:t>
      </w:r>
      <w:r w:rsidRPr="00637CC8">
        <w:t xml:space="preserve"> if </w:t>
      </w:r>
      <w:r w:rsidR="000476B8" w:rsidRPr="00637CC8">
        <w:t>consumers</w:t>
      </w:r>
      <w:r w:rsidRPr="00637CC8">
        <w:t xml:space="preserve"> are willing to pay higher prices for goods sold at auctions if they came with </w:t>
      </w:r>
      <w:r w:rsidR="00E57E96" w:rsidRPr="00637CC8">
        <w:t>the full range</w:t>
      </w:r>
      <w:r w:rsidRPr="00637CC8">
        <w:t xml:space="preserve"> of consumer </w:t>
      </w:r>
      <w:r w:rsidR="000476B8" w:rsidRPr="00637CC8">
        <w:t>guarantees</w:t>
      </w:r>
      <w:r w:rsidRPr="00637CC8">
        <w:t xml:space="preserve">. At present it is unclear that this is likely to be the case. An increase in </w:t>
      </w:r>
      <w:r w:rsidR="000476B8" w:rsidRPr="00637CC8">
        <w:t>price</w:t>
      </w:r>
      <w:r w:rsidRPr="00637CC8">
        <w:t xml:space="preserve"> for </w:t>
      </w:r>
      <w:r w:rsidR="000476B8" w:rsidRPr="00637CC8">
        <w:t>individual</w:t>
      </w:r>
      <w:r w:rsidRPr="00637CC8">
        <w:t xml:space="preserve"> goods sold at auctions would also benefit </w:t>
      </w:r>
      <w:r w:rsidR="000476B8" w:rsidRPr="00637CC8">
        <w:t>auctioneers</w:t>
      </w:r>
      <w:r w:rsidRPr="00637CC8">
        <w:t xml:space="preserve"> through increases in commissions on sales.</w:t>
      </w:r>
    </w:p>
    <w:p w14:paraId="46012654" w14:textId="301ED40F" w:rsidR="00955BF0" w:rsidRPr="00637CC8" w:rsidRDefault="00E85FB1" w:rsidP="00E565DC">
      <w:pPr>
        <w:pStyle w:val="OutlineNumbered1"/>
      </w:pPr>
      <w:r w:rsidRPr="00637CC8">
        <w:t xml:space="preserve">However it is unclear whether any possible increase in prices could be diffused by a reduction in throughput in auction houses. </w:t>
      </w:r>
      <w:r w:rsidR="00955BF0" w:rsidRPr="00637CC8">
        <w:t xml:space="preserve">Sellers may introduce the use of high reserve </w:t>
      </w:r>
      <w:r w:rsidRPr="00637CC8">
        <w:t>prices</w:t>
      </w:r>
      <w:r w:rsidR="00955BF0" w:rsidRPr="00637CC8">
        <w:t xml:space="preserve"> to ensure that any future liabilities are covered.</w:t>
      </w:r>
      <w:r w:rsidR="00383B48" w:rsidRPr="00637CC8">
        <w:t xml:space="preserve"> With these increased </w:t>
      </w:r>
      <w:r w:rsidR="000476B8" w:rsidRPr="00637CC8">
        <w:t>costs</w:t>
      </w:r>
      <w:r w:rsidR="00383B48" w:rsidRPr="00637CC8">
        <w:t xml:space="preserve"> sellers of goods may </w:t>
      </w:r>
      <w:r w:rsidR="00E57E96" w:rsidRPr="00637CC8">
        <w:t xml:space="preserve">also </w:t>
      </w:r>
      <w:r w:rsidR="00383B48" w:rsidRPr="00637CC8">
        <w:t>seek to use alternative strategies to dispose of their goods resulting in fewer goods entering the auction market.</w:t>
      </w:r>
      <w:r w:rsidR="00955BF0" w:rsidRPr="00637CC8">
        <w:t xml:space="preserve">  Additionally, if there was a reduction in supply of goods sold at auction consumers may have reduced choice when purchasing at auctions.</w:t>
      </w:r>
      <w:r w:rsidRPr="00637CC8">
        <w:t xml:space="preserve"> However, it may also be possible consumers may look to purchase like for like goods equally through auctions </w:t>
      </w:r>
      <w:r w:rsidR="00014B8A" w:rsidRPr="00637CC8">
        <w:t>and</w:t>
      </w:r>
      <w:r w:rsidRPr="00637CC8">
        <w:t xml:space="preserve"> traditional retail outlets.</w:t>
      </w:r>
    </w:p>
    <w:p w14:paraId="11F366FC" w14:textId="231B1DA2" w:rsidR="002D241E" w:rsidRPr="00637CC8" w:rsidRDefault="00955BF0" w:rsidP="00E565DC">
      <w:pPr>
        <w:pStyle w:val="OutlineNumbered1"/>
      </w:pPr>
      <w:r w:rsidRPr="00637CC8">
        <w:t>Auctioneers would face significant costs in adjusting to this system. As in options two and three</w:t>
      </w:r>
      <w:r w:rsidR="004127A5" w:rsidRPr="00637CC8">
        <w:t>,</w:t>
      </w:r>
      <w:r w:rsidRPr="00637CC8">
        <w:t xml:space="preserve"> under this option they would be required to train staff in relation to the new requirements,</w:t>
      </w:r>
      <w:r w:rsidR="004127A5" w:rsidRPr="00637CC8">
        <w:t xml:space="preserve"> and</w:t>
      </w:r>
      <w:r w:rsidRPr="00637CC8">
        <w:t xml:space="preserve"> they would need to develop systems to connect sellers and consumers in the event of product failure (in the scope of the consumer guarantees). </w:t>
      </w:r>
    </w:p>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89562C" w:rsidRPr="00637CC8" w14:paraId="2D560549" w14:textId="77777777" w:rsidTr="004D127F">
        <w:trPr>
          <w:trHeight w:val="243"/>
        </w:trPr>
        <w:tc>
          <w:tcPr>
            <w:tcW w:w="4656" w:type="dxa"/>
            <w:tcBorders>
              <w:top w:val="single" w:sz="4" w:space="0" w:color="004A7F"/>
              <w:bottom w:val="single" w:sz="4" w:space="0" w:color="004A7F"/>
            </w:tcBorders>
            <w:shd w:val="clear" w:color="auto" w:fill="DBE5F1" w:themeFill="accent1" w:themeFillTint="33"/>
          </w:tcPr>
          <w:p w14:paraId="056AA70C" w14:textId="77777777" w:rsidR="0089562C" w:rsidRPr="00637CC8" w:rsidRDefault="0089562C" w:rsidP="00E565DC">
            <w:pPr>
              <w:pStyle w:val="TableColumnHeadingLeft"/>
            </w:pPr>
            <w:r w:rsidRPr="00637CC8">
              <w:t>BENEFITS</w:t>
            </w:r>
          </w:p>
        </w:tc>
        <w:tc>
          <w:tcPr>
            <w:tcW w:w="4586" w:type="dxa"/>
            <w:tcBorders>
              <w:top w:val="single" w:sz="4" w:space="0" w:color="004A7F"/>
              <w:bottom w:val="single" w:sz="4" w:space="0" w:color="004A7F"/>
            </w:tcBorders>
            <w:shd w:val="clear" w:color="auto" w:fill="DBE5F1" w:themeFill="accent1" w:themeFillTint="33"/>
          </w:tcPr>
          <w:p w14:paraId="67972AE8" w14:textId="77777777" w:rsidR="0089562C" w:rsidRPr="00637CC8" w:rsidRDefault="0089562C" w:rsidP="00E565DC">
            <w:pPr>
              <w:pStyle w:val="TableColumnHeadingLeft"/>
            </w:pPr>
            <w:r w:rsidRPr="00637CC8">
              <w:t>COSTS</w:t>
            </w:r>
          </w:p>
        </w:tc>
      </w:tr>
      <w:tr w:rsidR="0089562C" w:rsidRPr="00E64A81" w14:paraId="60A6D74C" w14:textId="77777777" w:rsidTr="004D127F">
        <w:trPr>
          <w:trHeight w:val="519"/>
        </w:trPr>
        <w:tc>
          <w:tcPr>
            <w:tcW w:w="4656" w:type="dxa"/>
            <w:tcBorders>
              <w:top w:val="single" w:sz="4" w:space="0" w:color="004A7F"/>
            </w:tcBorders>
            <w:shd w:val="clear" w:color="auto" w:fill="auto"/>
          </w:tcPr>
          <w:p w14:paraId="581596C9" w14:textId="5D47823F" w:rsidR="0089562C" w:rsidRPr="00E64A81" w:rsidRDefault="0089562C" w:rsidP="00E64A81">
            <w:pPr>
              <w:pStyle w:val="TableTextLeft-Bullet"/>
              <w:rPr>
                <w:rFonts w:eastAsiaTheme="minorHAnsi"/>
              </w:rPr>
            </w:pPr>
            <w:r w:rsidRPr="00E64A81">
              <w:rPr>
                <w:rFonts w:eastAsiaTheme="minorHAnsi"/>
              </w:rPr>
              <w:t>Consumers will be more confident when purchasing at auctions. Consumers can make purchasing decision</w:t>
            </w:r>
            <w:r w:rsidR="00E004D3" w:rsidRPr="00E64A81">
              <w:rPr>
                <w:rFonts w:eastAsiaTheme="minorHAnsi"/>
              </w:rPr>
              <w:t>s</w:t>
            </w:r>
            <w:r w:rsidRPr="00E64A81">
              <w:rPr>
                <w:rFonts w:eastAsiaTheme="minorHAnsi"/>
              </w:rPr>
              <w:t xml:space="preserve"> in the knowledge that their purchases are protected by consumer guarantees</w:t>
            </w:r>
            <w:r w:rsidR="009113A2" w:rsidRPr="00E64A81">
              <w:rPr>
                <w:rFonts w:eastAsiaTheme="minorHAnsi"/>
              </w:rPr>
              <w:t>.</w:t>
            </w:r>
          </w:p>
        </w:tc>
        <w:tc>
          <w:tcPr>
            <w:tcW w:w="4586" w:type="dxa"/>
            <w:tcBorders>
              <w:top w:val="single" w:sz="4" w:space="0" w:color="004A7F"/>
            </w:tcBorders>
            <w:shd w:val="clear" w:color="auto" w:fill="auto"/>
          </w:tcPr>
          <w:p w14:paraId="039E0808" w14:textId="36A2591B" w:rsidR="0089562C" w:rsidRPr="00E64A81" w:rsidRDefault="0089562C" w:rsidP="00E64A81">
            <w:pPr>
              <w:pStyle w:val="TableTextLeft-Bullet"/>
            </w:pPr>
            <w:r w:rsidRPr="00E64A81">
              <w:t>Increase</w:t>
            </w:r>
            <w:r w:rsidR="00EF71FB" w:rsidRPr="00E64A81">
              <w:t>d</w:t>
            </w:r>
            <w:r w:rsidRPr="00E64A81">
              <w:t xml:space="preserve"> compliance costs due to the need to be aware of the revised framework, consumer education and the possibility of being liable for consumer guarantees</w:t>
            </w:r>
            <w:r w:rsidR="009113A2" w:rsidRPr="00E64A81">
              <w:t>.</w:t>
            </w:r>
            <w:r w:rsidRPr="00E64A81">
              <w:t xml:space="preserve"> </w:t>
            </w:r>
          </w:p>
        </w:tc>
      </w:tr>
      <w:tr w:rsidR="0089562C" w:rsidRPr="00E64A81" w14:paraId="6790579D" w14:textId="77777777" w:rsidTr="004D127F">
        <w:trPr>
          <w:trHeight w:val="519"/>
        </w:trPr>
        <w:tc>
          <w:tcPr>
            <w:tcW w:w="4656" w:type="dxa"/>
            <w:shd w:val="clear" w:color="auto" w:fill="F2F2F2" w:themeFill="background1" w:themeFillShade="F2"/>
          </w:tcPr>
          <w:p w14:paraId="7B9E67E1" w14:textId="624CA33F" w:rsidR="0089562C" w:rsidRPr="00E64A81" w:rsidRDefault="00F03B05" w:rsidP="00E64A81">
            <w:pPr>
              <w:pStyle w:val="TableTextLeft-Bullet"/>
            </w:pPr>
            <w:r w:rsidRPr="00E64A81">
              <w:rPr>
                <w:rFonts w:eastAsiaTheme="minorHAnsi"/>
              </w:rPr>
              <w:t xml:space="preserve">Simplifies the consumer guarantee framework </w:t>
            </w:r>
            <w:r w:rsidR="00BF3D35" w:rsidRPr="00E64A81">
              <w:rPr>
                <w:rFonts w:eastAsiaTheme="minorHAnsi"/>
              </w:rPr>
              <w:t>for all parties using auctions</w:t>
            </w:r>
            <w:r w:rsidR="004127A5" w:rsidRPr="00E64A81">
              <w:rPr>
                <w:rFonts w:eastAsiaTheme="minorHAnsi"/>
              </w:rPr>
              <w:t>,</w:t>
            </w:r>
            <w:r w:rsidR="001444AD" w:rsidRPr="00E64A81">
              <w:rPr>
                <w:rFonts w:eastAsiaTheme="minorHAnsi"/>
              </w:rPr>
              <w:t xml:space="preserve"> reducing their search costs to determine if the consumer guarantees apply.</w:t>
            </w:r>
          </w:p>
        </w:tc>
        <w:tc>
          <w:tcPr>
            <w:tcW w:w="4586" w:type="dxa"/>
            <w:shd w:val="clear" w:color="auto" w:fill="F2F2F2" w:themeFill="background1" w:themeFillShade="F2"/>
          </w:tcPr>
          <w:p w14:paraId="45EB1BA5" w14:textId="0473D84D" w:rsidR="0089562C" w:rsidRPr="00E64A81" w:rsidRDefault="0089562C" w:rsidP="00E64A81">
            <w:pPr>
              <w:pStyle w:val="TableTextLeft-Bullet"/>
            </w:pPr>
            <w:r w:rsidRPr="00E64A81">
              <w:t xml:space="preserve">Significant likelihood that businesses may begin to introduce reserve prices for goods sold by auctions to cover the potential for future liabilities relating to consumer guarantees. </w:t>
            </w:r>
          </w:p>
        </w:tc>
      </w:tr>
      <w:tr w:rsidR="001444AD" w:rsidRPr="00E64A81" w14:paraId="5F0B7C25" w14:textId="77777777" w:rsidTr="004D127F">
        <w:trPr>
          <w:trHeight w:val="519"/>
        </w:trPr>
        <w:tc>
          <w:tcPr>
            <w:tcW w:w="4656" w:type="dxa"/>
            <w:tcBorders>
              <w:bottom w:val="single" w:sz="4" w:space="0" w:color="004A7F"/>
            </w:tcBorders>
            <w:shd w:val="clear" w:color="auto" w:fill="FFFFFF" w:themeFill="background1"/>
          </w:tcPr>
          <w:p w14:paraId="2DC51D83" w14:textId="7EBA58E2" w:rsidR="00BB516D" w:rsidRPr="00E64A81" w:rsidRDefault="001444AD" w:rsidP="00E64A81">
            <w:pPr>
              <w:pStyle w:val="TableTextLeft-Bullet"/>
            </w:pPr>
            <w:r w:rsidRPr="00E64A81">
              <w:t>Th</w:t>
            </w:r>
            <w:r w:rsidRPr="00E64A81">
              <w:rPr>
                <w:rFonts w:eastAsiaTheme="minorHAnsi"/>
              </w:rPr>
              <w:t>ere could potentially be higher prices for individual goods sold at auctions</w:t>
            </w:r>
            <w:r w:rsidR="009113A2" w:rsidRPr="00E64A81">
              <w:rPr>
                <w:rFonts w:eastAsiaTheme="minorHAnsi"/>
              </w:rPr>
              <w:t>.</w:t>
            </w:r>
          </w:p>
        </w:tc>
        <w:tc>
          <w:tcPr>
            <w:tcW w:w="4586" w:type="dxa"/>
            <w:tcBorders>
              <w:bottom w:val="single" w:sz="4" w:space="0" w:color="004A7F"/>
            </w:tcBorders>
            <w:shd w:val="clear" w:color="auto" w:fill="FFFFFF" w:themeFill="background1"/>
          </w:tcPr>
          <w:p w14:paraId="7E09F511" w14:textId="6B0014BC" w:rsidR="001444AD" w:rsidRPr="00E64A81" w:rsidRDefault="001444AD" w:rsidP="00E64A81">
            <w:pPr>
              <w:pStyle w:val="TableTextLeft-Bullet"/>
            </w:pPr>
            <w:r w:rsidRPr="00E64A81">
              <w:t xml:space="preserve">Possible higher prices for </w:t>
            </w:r>
            <w:r w:rsidR="004F2D6F" w:rsidRPr="00E64A81">
              <w:t xml:space="preserve">individual goods sold </w:t>
            </w:r>
            <w:r w:rsidRPr="00E64A81">
              <w:t>at auction</w:t>
            </w:r>
            <w:r w:rsidR="004F2D6F" w:rsidRPr="00E64A81">
              <w:t>s</w:t>
            </w:r>
            <w:r w:rsidRPr="00E64A81">
              <w:t>.</w:t>
            </w:r>
          </w:p>
        </w:tc>
      </w:tr>
    </w:tbl>
    <w:p w14:paraId="0881208B" w14:textId="77777777" w:rsidR="004D127F" w:rsidRDefault="004D127F">
      <w:r>
        <w:rPr>
          <w:b/>
        </w:rPr>
        <w:br w:type="page"/>
      </w:r>
    </w:p>
    <w:tbl>
      <w:tblPr>
        <w:tblW w:w="9242" w:type="dxa"/>
        <w:shd w:val="clear" w:color="auto" w:fill="F2F2F2" w:themeFill="background1" w:themeFillShade="F2"/>
        <w:tblLayout w:type="fixed"/>
        <w:tblLook w:val="04A0" w:firstRow="1" w:lastRow="0" w:firstColumn="1" w:lastColumn="0" w:noHBand="0" w:noVBand="1"/>
      </w:tblPr>
      <w:tblGrid>
        <w:gridCol w:w="4656"/>
        <w:gridCol w:w="4586"/>
      </w:tblGrid>
      <w:tr w:rsidR="00E64A81" w:rsidRPr="00637CC8" w14:paraId="0D7A5DE2" w14:textId="77777777" w:rsidTr="004D127F">
        <w:trPr>
          <w:trHeight w:val="243"/>
        </w:trPr>
        <w:tc>
          <w:tcPr>
            <w:tcW w:w="4656" w:type="dxa"/>
            <w:tcBorders>
              <w:top w:val="single" w:sz="4" w:space="0" w:color="004A7F"/>
              <w:bottom w:val="single" w:sz="4" w:space="0" w:color="004A7F"/>
            </w:tcBorders>
            <w:shd w:val="clear" w:color="auto" w:fill="DBE5F1" w:themeFill="accent1" w:themeFillTint="33"/>
          </w:tcPr>
          <w:p w14:paraId="5150C74E" w14:textId="204169B6" w:rsidR="00E64A81" w:rsidRPr="00637CC8" w:rsidRDefault="00E64A81" w:rsidP="006E4716">
            <w:pPr>
              <w:pStyle w:val="TableColumnHeadingLeft"/>
            </w:pPr>
            <w:r w:rsidRPr="00637CC8">
              <w:t>BENEFITS</w:t>
            </w:r>
          </w:p>
        </w:tc>
        <w:tc>
          <w:tcPr>
            <w:tcW w:w="4586" w:type="dxa"/>
            <w:tcBorders>
              <w:top w:val="single" w:sz="4" w:space="0" w:color="004A7F"/>
              <w:bottom w:val="single" w:sz="4" w:space="0" w:color="004A7F"/>
            </w:tcBorders>
            <w:shd w:val="clear" w:color="auto" w:fill="DBE5F1" w:themeFill="accent1" w:themeFillTint="33"/>
          </w:tcPr>
          <w:p w14:paraId="22FAE044" w14:textId="77777777" w:rsidR="00E64A81" w:rsidRPr="00637CC8" w:rsidRDefault="00E64A81" w:rsidP="006E4716">
            <w:pPr>
              <w:pStyle w:val="TableColumnHeadingLeft"/>
            </w:pPr>
            <w:r w:rsidRPr="00637CC8">
              <w:t>COSTS</w:t>
            </w:r>
          </w:p>
        </w:tc>
      </w:tr>
      <w:tr w:rsidR="001444AD" w:rsidRPr="00637CC8" w14:paraId="17E32155" w14:textId="77777777" w:rsidTr="004D127F">
        <w:trPr>
          <w:trHeight w:val="519"/>
        </w:trPr>
        <w:tc>
          <w:tcPr>
            <w:tcW w:w="4656" w:type="dxa"/>
            <w:tcBorders>
              <w:top w:val="single" w:sz="4" w:space="0" w:color="004A7F"/>
            </w:tcBorders>
            <w:shd w:val="clear" w:color="auto" w:fill="F2F2F2" w:themeFill="background1" w:themeFillShade="F2"/>
          </w:tcPr>
          <w:p w14:paraId="7B22C598" w14:textId="446D4FAB" w:rsidR="001444AD" w:rsidRPr="00637CC8" w:rsidRDefault="00B53BEF" w:rsidP="00E64A81">
            <w:pPr>
              <w:pStyle w:val="TableTextLeft-Bullet"/>
            </w:pPr>
            <w:r w:rsidRPr="00637CC8">
              <w:t>One level of consumer protection applies across all business sales to consumers.</w:t>
            </w:r>
          </w:p>
        </w:tc>
        <w:tc>
          <w:tcPr>
            <w:tcW w:w="4586" w:type="dxa"/>
            <w:tcBorders>
              <w:top w:val="single" w:sz="4" w:space="0" w:color="004A7F"/>
            </w:tcBorders>
            <w:shd w:val="clear" w:color="auto" w:fill="F2F2F2" w:themeFill="background1" w:themeFillShade="F2"/>
          </w:tcPr>
          <w:p w14:paraId="0003410C" w14:textId="5722AE0E" w:rsidR="001444AD" w:rsidRPr="00637CC8" w:rsidRDefault="001444AD" w:rsidP="00E64A81">
            <w:pPr>
              <w:pStyle w:val="TableTextLeft-Bullet"/>
            </w:pPr>
            <w:r w:rsidRPr="00637CC8">
              <w:t xml:space="preserve">Possible reduction </w:t>
            </w:r>
            <w:r w:rsidR="00D77AFF" w:rsidRPr="00637CC8">
              <w:t xml:space="preserve">in the volume </w:t>
            </w:r>
            <w:r w:rsidRPr="00637CC8">
              <w:t xml:space="preserve">of goods sold through auctions </w:t>
            </w:r>
            <w:r w:rsidR="00A15BE5" w:rsidRPr="00637CC8">
              <w:t>as businesses seek other low cost means to dispose of goods, such as dumping or overseas markets.</w:t>
            </w:r>
          </w:p>
        </w:tc>
      </w:tr>
      <w:tr w:rsidR="001444AD" w:rsidRPr="00637CC8" w14:paraId="68F843C8" w14:textId="77777777" w:rsidTr="004D127F">
        <w:trPr>
          <w:trHeight w:val="519"/>
        </w:trPr>
        <w:tc>
          <w:tcPr>
            <w:tcW w:w="4656" w:type="dxa"/>
            <w:shd w:val="clear" w:color="auto" w:fill="FFFFFF" w:themeFill="background1"/>
          </w:tcPr>
          <w:p w14:paraId="19D48F8E" w14:textId="7D583E3C" w:rsidR="001444AD" w:rsidRPr="00E64A81" w:rsidRDefault="001444AD" w:rsidP="00E64A81"/>
        </w:tc>
        <w:tc>
          <w:tcPr>
            <w:tcW w:w="4586" w:type="dxa"/>
            <w:shd w:val="clear" w:color="auto" w:fill="FFFFFF" w:themeFill="background1"/>
          </w:tcPr>
          <w:p w14:paraId="0A93F3AF" w14:textId="7DF02121" w:rsidR="001444AD" w:rsidRPr="00637CC8" w:rsidRDefault="00A15BE5" w:rsidP="00E64A81">
            <w:pPr>
              <w:pStyle w:val="TableTextLeft-Bullet"/>
            </w:pPr>
            <w:r w:rsidRPr="00637CC8">
              <w:t xml:space="preserve">Possible lower commissions for auctioneering facilities in the event of </w:t>
            </w:r>
            <w:r w:rsidR="004F2D6F" w:rsidRPr="00637CC8">
              <w:t>reduced volume of</w:t>
            </w:r>
            <w:r w:rsidRPr="00637CC8">
              <w:t xml:space="preserve"> </w:t>
            </w:r>
            <w:r w:rsidR="004F2D6F" w:rsidRPr="00637CC8">
              <w:t>goods sold through auction facilities</w:t>
            </w:r>
            <w:r w:rsidRPr="00637CC8">
              <w:t>.</w:t>
            </w:r>
          </w:p>
        </w:tc>
      </w:tr>
      <w:tr w:rsidR="001444AD" w:rsidRPr="00637CC8" w14:paraId="402AC79F" w14:textId="77777777" w:rsidTr="004D127F">
        <w:trPr>
          <w:trHeight w:val="519"/>
        </w:trPr>
        <w:tc>
          <w:tcPr>
            <w:tcW w:w="4656" w:type="dxa"/>
            <w:shd w:val="clear" w:color="auto" w:fill="F2F2F2" w:themeFill="background1" w:themeFillShade="F2"/>
          </w:tcPr>
          <w:p w14:paraId="63169365" w14:textId="77777777" w:rsidR="001444AD" w:rsidRPr="00E64A81" w:rsidRDefault="001444AD" w:rsidP="00E64A81"/>
        </w:tc>
        <w:tc>
          <w:tcPr>
            <w:tcW w:w="4586" w:type="dxa"/>
            <w:shd w:val="clear" w:color="auto" w:fill="F2F2F2" w:themeFill="background1" w:themeFillShade="F2"/>
          </w:tcPr>
          <w:p w14:paraId="742164F4" w14:textId="7E82B249" w:rsidR="001444AD" w:rsidRPr="00637CC8" w:rsidRDefault="001444AD" w:rsidP="00E64A81">
            <w:pPr>
              <w:pStyle w:val="TableTextLeft-Bullet"/>
            </w:pPr>
            <w:r w:rsidRPr="00637CC8">
              <w:t xml:space="preserve">All </w:t>
            </w:r>
            <w:r w:rsidR="00D96519" w:rsidRPr="00637CC8">
              <w:t>a</w:t>
            </w:r>
            <w:r w:rsidRPr="00637CC8">
              <w:t>uctioneering facilities and sellers of goods would need to provide training to staff regarding the changes</w:t>
            </w:r>
            <w:r w:rsidR="005366CE" w:rsidRPr="00637CC8">
              <w:t>.</w:t>
            </w:r>
            <w:r w:rsidR="00954BC4" w:rsidRPr="00637CC8">
              <w:t xml:space="preserve"> </w:t>
            </w:r>
          </w:p>
        </w:tc>
      </w:tr>
      <w:tr w:rsidR="00954BC4" w:rsidRPr="00637CC8" w14:paraId="695EFC13" w14:textId="77777777" w:rsidTr="004D127F">
        <w:trPr>
          <w:trHeight w:val="519"/>
        </w:trPr>
        <w:tc>
          <w:tcPr>
            <w:tcW w:w="4656" w:type="dxa"/>
            <w:shd w:val="clear" w:color="auto" w:fill="FFFFFF" w:themeFill="background1"/>
          </w:tcPr>
          <w:p w14:paraId="2B731289" w14:textId="1B3AD3D2" w:rsidR="00954BC4" w:rsidRPr="00E64A81" w:rsidRDefault="00954BC4" w:rsidP="00E64A81"/>
        </w:tc>
        <w:tc>
          <w:tcPr>
            <w:tcW w:w="4586" w:type="dxa"/>
            <w:shd w:val="clear" w:color="auto" w:fill="FFFFFF" w:themeFill="background1"/>
          </w:tcPr>
          <w:p w14:paraId="789AE563" w14:textId="2B56A2B2" w:rsidR="00954BC4" w:rsidRPr="00637CC8" w:rsidRDefault="00954BC4" w:rsidP="00E64A81">
            <w:pPr>
              <w:pStyle w:val="TableTextLeft-Bullet"/>
            </w:pPr>
            <w:r w:rsidRPr="00637CC8">
              <w:t>All auctioneering facilities may need to develop mechanisms to link consumers with sellers in the event of a product failure.</w:t>
            </w:r>
          </w:p>
        </w:tc>
      </w:tr>
      <w:tr w:rsidR="00954BC4" w:rsidRPr="00637CC8" w14:paraId="7F49CB23" w14:textId="77777777" w:rsidTr="004D127F">
        <w:trPr>
          <w:trHeight w:val="519"/>
        </w:trPr>
        <w:tc>
          <w:tcPr>
            <w:tcW w:w="4656" w:type="dxa"/>
            <w:shd w:val="clear" w:color="auto" w:fill="F2F2F2" w:themeFill="background1" w:themeFillShade="F2"/>
          </w:tcPr>
          <w:p w14:paraId="62C75AD4" w14:textId="77777777" w:rsidR="00954BC4" w:rsidRPr="00E64A81" w:rsidRDefault="00954BC4" w:rsidP="00E64A81"/>
        </w:tc>
        <w:tc>
          <w:tcPr>
            <w:tcW w:w="4586" w:type="dxa"/>
            <w:shd w:val="clear" w:color="auto" w:fill="F2F2F2" w:themeFill="background1" w:themeFillShade="F2"/>
          </w:tcPr>
          <w:p w14:paraId="14F46816" w14:textId="5F3A0F4B" w:rsidR="00954BC4" w:rsidRPr="00637CC8" w:rsidRDefault="00954BC4" w:rsidP="00E64A81">
            <w:pPr>
              <w:pStyle w:val="TableTextLeft-Bullet"/>
            </w:pPr>
            <w:r w:rsidRPr="00637CC8">
              <w:t xml:space="preserve">All </w:t>
            </w:r>
            <w:r w:rsidR="00D96519" w:rsidRPr="00637CC8">
              <w:t>a</w:t>
            </w:r>
            <w:r w:rsidRPr="00637CC8">
              <w:t>uctioneering facilities and sellers of goods would need to update their websites regarding the changes.</w:t>
            </w:r>
          </w:p>
        </w:tc>
      </w:tr>
      <w:tr w:rsidR="00954BC4" w:rsidRPr="00637CC8" w14:paraId="29F1EE64" w14:textId="77777777" w:rsidTr="004D127F">
        <w:trPr>
          <w:trHeight w:val="519"/>
        </w:trPr>
        <w:tc>
          <w:tcPr>
            <w:tcW w:w="4656" w:type="dxa"/>
            <w:shd w:val="clear" w:color="auto" w:fill="FFFFFF" w:themeFill="background1"/>
          </w:tcPr>
          <w:p w14:paraId="4D94DDB7" w14:textId="77777777" w:rsidR="00954BC4" w:rsidRPr="00E64A81" w:rsidRDefault="00954BC4" w:rsidP="00E64A81"/>
        </w:tc>
        <w:tc>
          <w:tcPr>
            <w:tcW w:w="4586" w:type="dxa"/>
            <w:shd w:val="clear" w:color="auto" w:fill="FFFFFF" w:themeFill="background1"/>
          </w:tcPr>
          <w:p w14:paraId="630AA1E6" w14:textId="628C5843" w:rsidR="00954BC4" w:rsidRPr="00637CC8" w:rsidRDefault="00954BC4" w:rsidP="00E64A81">
            <w:pPr>
              <w:pStyle w:val="TableTextLeft-Bullet"/>
            </w:pPr>
            <w:r w:rsidRPr="00637CC8">
              <w:t xml:space="preserve">Sellers of goods would have costs through providing additional information to consumer regarding the nature of their goods. </w:t>
            </w:r>
          </w:p>
        </w:tc>
      </w:tr>
      <w:tr w:rsidR="00954BC4" w:rsidRPr="00637CC8" w14:paraId="0516949A" w14:textId="77777777" w:rsidTr="004D127F">
        <w:trPr>
          <w:trHeight w:val="519"/>
        </w:trPr>
        <w:tc>
          <w:tcPr>
            <w:tcW w:w="4656" w:type="dxa"/>
            <w:tcBorders>
              <w:bottom w:val="single" w:sz="4" w:space="0" w:color="004A7F"/>
            </w:tcBorders>
            <w:shd w:val="clear" w:color="auto" w:fill="F2F2F2" w:themeFill="background1" w:themeFillShade="F2"/>
          </w:tcPr>
          <w:p w14:paraId="614828E6" w14:textId="77777777" w:rsidR="00954BC4" w:rsidRPr="00E64A81" w:rsidRDefault="00954BC4" w:rsidP="00E64A81"/>
        </w:tc>
        <w:tc>
          <w:tcPr>
            <w:tcW w:w="4586" w:type="dxa"/>
            <w:tcBorders>
              <w:bottom w:val="single" w:sz="4" w:space="0" w:color="004A7F"/>
            </w:tcBorders>
            <w:shd w:val="clear" w:color="auto" w:fill="F2F2F2" w:themeFill="background1" w:themeFillShade="F2"/>
          </w:tcPr>
          <w:p w14:paraId="2855F7F7" w14:textId="169568F6" w:rsidR="00954BC4" w:rsidRPr="00637CC8" w:rsidRDefault="00954BC4" w:rsidP="00E64A81">
            <w:pPr>
              <w:pStyle w:val="TableTextLeft-Bullet"/>
            </w:pPr>
            <w:r w:rsidRPr="00637CC8">
              <w:t>Possible reduction in choice of goods being sold at auction as business seek other low cost means to dispose of goods, such as dumping or overseas markets.</w:t>
            </w:r>
          </w:p>
        </w:tc>
      </w:tr>
    </w:tbl>
    <w:p w14:paraId="7B3D03B5" w14:textId="77777777" w:rsidR="0089562C" w:rsidRPr="00637CC8" w:rsidRDefault="0089562C" w:rsidP="00E565DC"/>
    <w:tbl>
      <w:tblPr>
        <w:tblStyle w:val="TableGrid"/>
        <w:tblW w:w="0" w:type="auto"/>
        <w:shd w:val="clear" w:color="auto" w:fill="F2F2F2" w:themeFill="background1" w:themeFillShade="F2"/>
        <w:tblLook w:val="04A0" w:firstRow="1" w:lastRow="0" w:firstColumn="1" w:lastColumn="0" w:noHBand="0" w:noVBand="1"/>
      </w:tblPr>
      <w:tblGrid>
        <w:gridCol w:w="9242"/>
      </w:tblGrid>
      <w:tr w:rsidR="00F85174" w:rsidRPr="00653567" w14:paraId="6925487C" w14:textId="77777777" w:rsidTr="00BD01D5">
        <w:tc>
          <w:tcPr>
            <w:tcW w:w="9242" w:type="dxa"/>
            <w:shd w:val="clear" w:color="auto" w:fill="F2F2F2" w:themeFill="background1" w:themeFillShade="F2"/>
          </w:tcPr>
          <w:p w14:paraId="000E4EEF" w14:textId="7E86B362" w:rsidR="00F85174" w:rsidRPr="00637CC8" w:rsidRDefault="00F85174" w:rsidP="00E565DC">
            <w:pPr>
              <w:pStyle w:val="BoxHeading"/>
            </w:pPr>
            <w:r w:rsidRPr="00637CC8">
              <w:t xml:space="preserve">Focus Questions </w:t>
            </w:r>
          </w:p>
          <w:p w14:paraId="62E40276" w14:textId="643710C8" w:rsidR="006E1D5E" w:rsidRPr="00637CC8" w:rsidRDefault="00110DB5" w:rsidP="00E64A81">
            <w:pPr>
              <w:pStyle w:val="BoxHeadingSub"/>
            </w:pPr>
            <w:r w:rsidRPr="00637CC8">
              <w:t>For consumers</w:t>
            </w:r>
          </w:p>
          <w:p w14:paraId="663EDBAB" w14:textId="42BB1527" w:rsidR="006E1D5E" w:rsidRPr="00637CC8" w:rsidRDefault="006E1D5E" w:rsidP="00E64A81">
            <w:pPr>
              <w:pStyle w:val="BoxBullet"/>
            </w:pPr>
            <w:r w:rsidRPr="00637CC8">
              <w:t>If you rarely, or do not bid, at online auctions now, would you be more willing to consider bidding if the goods came with the full range of consumer guarantees?</w:t>
            </w:r>
          </w:p>
          <w:p w14:paraId="011E97AB" w14:textId="77777777" w:rsidR="00B819F3" w:rsidRPr="00637CC8" w:rsidRDefault="00B819F3" w:rsidP="00E64A81">
            <w:pPr>
              <w:pStyle w:val="BoxBullet"/>
            </w:pPr>
            <w:r w:rsidRPr="00637CC8">
              <w:t xml:space="preserve">To what extent are you likely to bid more aggressively at auction if you could rely on consumer guarantees applying to the same extent as if the good was purchased at retail? </w:t>
            </w:r>
          </w:p>
          <w:p w14:paraId="1E78436C" w14:textId="7378EA01" w:rsidR="0099494D" w:rsidRPr="00637CC8" w:rsidRDefault="0099494D" w:rsidP="00E64A81">
            <w:pPr>
              <w:pStyle w:val="BoxHeadingSub"/>
            </w:pPr>
            <w:r w:rsidRPr="00637CC8">
              <w:t>For businesses</w:t>
            </w:r>
          </w:p>
          <w:p w14:paraId="126E04BC" w14:textId="77777777" w:rsidR="00110DB5" w:rsidRPr="00637CC8" w:rsidRDefault="00110DB5" w:rsidP="00E64A81">
            <w:pPr>
              <w:pStyle w:val="BoxBullet"/>
            </w:pPr>
            <w:r w:rsidRPr="00637CC8">
              <w:t>What benefits do you see as potentially flowing to your business if goods sold at auction came with the full range of consumer guarantees?</w:t>
            </w:r>
          </w:p>
          <w:p w14:paraId="3543135A" w14:textId="3710E013" w:rsidR="006E1D5E" w:rsidRPr="00637CC8" w:rsidRDefault="006E1D5E" w:rsidP="00E64A81">
            <w:pPr>
              <w:pStyle w:val="BoxBullet"/>
            </w:pPr>
            <w:r w:rsidRPr="00637CC8">
              <w:t>When disposing of goods via auction, would you seek to introduce reserve pr</w:t>
            </w:r>
            <w:r w:rsidR="00325B4D" w:rsidRPr="00637CC8">
              <w:t>i</w:t>
            </w:r>
            <w:r w:rsidRPr="00637CC8">
              <w:t>ces to cover any potential liabilities from the consumer guarantees?</w:t>
            </w:r>
          </w:p>
          <w:p w14:paraId="553EF312" w14:textId="5BEA64A0" w:rsidR="006E1D5E" w:rsidRPr="00637CC8" w:rsidRDefault="006E1D5E" w:rsidP="00E64A81">
            <w:pPr>
              <w:pStyle w:val="BoxBullet"/>
            </w:pPr>
            <w:r w:rsidRPr="00637CC8">
              <w:t>Apart from auctions what mechanisms exist for you to dispose of goods that cannot be sold through conventional retail channels? Do these alternatives have higher costs and what are these costs?</w:t>
            </w:r>
          </w:p>
          <w:p w14:paraId="7D4F6010" w14:textId="0DDEA9D4" w:rsidR="0099494D" w:rsidRPr="00637CC8" w:rsidRDefault="0099494D" w:rsidP="00E64A81">
            <w:pPr>
              <w:pStyle w:val="BoxBullet"/>
            </w:pPr>
            <w:r w:rsidRPr="00637CC8">
              <w:t>What costs would be associated with removal of the exemptions for auctions from the consumer guarantee framework?</w:t>
            </w:r>
          </w:p>
        </w:tc>
      </w:tr>
    </w:tbl>
    <w:p w14:paraId="75AE707A" w14:textId="77777777" w:rsidR="00E64A81" w:rsidRDefault="00E64A81" w:rsidP="00E565DC">
      <w:pPr>
        <w:sectPr w:rsidR="00E64A81" w:rsidSect="002969BB">
          <w:footerReference w:type="first" r:id="rId34"/>
          <w:pgSz w:w="11906" w:h="16838"/>
          <w:pgMar w:top="1440" w:right="1440" w:bottom="1440" w:left="1440" w:header="709" w:footer="709" w:gutter="0"/>
          <w:cols w:space="708"/>
          <w:titlePg/>
          <w:docGrid w:linePitch="360"/>
        </w:sectPr>
      </w:pPr>
    </w:p>
    <w:p w14:paraId="58246EC5" w14:textId="77777777" w:rsidR="00BC3F49" w:rsidRPr="00653567" w:rsidRDefault="00BC3F49" w:rsidP="00E565DC">
      <w:pPr>
        <w:pStyle w:val="Heading1-NoNumber"/>
      </w:pPr>
      <w:bookmarkStart w:id="65" w:name="_Toc507771533"/>
      <w:bookmarkStart w:id="66" w:name="_Toc508354790"/>
      <w:bookmarkStart w:id="67" w:name="_Toc508969209"/>
      <w:r w:rsidRPr="001873EA">
        <w:t>Focus Questions</w:t>
      </w:r>
      <w:bookmarkEnd w:id="65"/>
      <w:bookmarkEnd w:id="66"/>
      <w:bookmarkEnd w:id="67"/>
    </w:p>
    <w:p w14:paraId="3602A0D4" w14:textId="23AD6BE0" w:rsidR="0079627E" w:rsidRDefault="00BC3F49" w:rsidP="00E64A81">
      <w:r w:rsidRPr="00653567">
        <w:t xml:space="preserve">Throughout this consultation paper there are a number of detailed questions for stakeholders to answer to better define the problem and assess the costs and benefits of the different options. Stakeholders lodging formal submissions are encouraged to refer to these detailed questions in their submissions. </w:t>
      </w:r>
      <w:r w:rsidR="0079627E" w:rsidRPr="0079627E">
        <w:t>The focus questions from throughout this chapter are set out below for ease of reference.</w:t>
      </w:r>
    </w:p>
    <w:p w14:paraId="7181F065" w14:textId="6EE0BE53" w:rsidR="00BC3F49" w:rsidRDefault="00BC3F49" w:rsidP="00886727">
      <w:pPr>
        <w:pStyle w:val="BoxHeading"/>
      </w:pPr>
      <w:bookmarkStart w:id="68" w:name="_Toc508354791"/>
      <w:r w:rsidRPr="00653567">
        <w:t xml:space="preserve">For </w:t>
      </w:r>
      <w:r w:rsidR="00E64A81">
        <w:t>B</w:t>
      </w:r>
      <w:r w:rsidRPr="00653567">
        <w:t>usinesses</w:t>
      </w:r>
      <w:bookmarkEnd w:id="68"/>
    </w:p>
    <w:tbl>
      <w:tblPr>
        <w:tblW w:w="0" w:type="auto"/>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F2F2F2" w:themeFill="background1" w:themeFillShade="F2"/>
        <w:tblLook w:val="04A0" w:firstRow="1" w:lastRow="0" w:firstColumn="1" w:lastColumn="0" w:noHBand="0" w:noVBand="1"/>
      </w:tblPr>
      <w:tblGrid>
        <w:gridCol w:w="9242"/>
      </w:tblGrid>
      <w:tr w:rsidR="00886727" w:rsidRPr="00886727" w14:paraId="08032C0A" w14:textId="77777777" w:rsidTr="00886727">
        <w:tc>
          <w:tcPr>
            <w:tcW w:w="9242" w:type="dxa"/>
            <w:shd w:val="clear" w:color="auto" w:fill="F2F2F2" w:themeFill="background1" w:themeFillShade="F2"/>
          </w:tcPr>
          <w:p w14:paraId="2F1D1B8A" w14:textId="77777777" w:rsidR="00886727" w:rsidRPr="00886727" w:rsidRDefault="00886727" w:rsidP="00886727">
            <w:pPr>
              <w:pStyle w:val="BoxBullet"/>
            </w:pPr>
            <w:r w:rsidRPr="00886727">
              <w:t>Are you aware that you have obligations under the consumer guarantee framework when selling goods through auction and do you have mechanisms in place to ensure to inform consumers of these rights?</w:t>
            </w:r>
          </w:p>
          <w:p w14:paraId="0AB636C2" w14:textId="77777777" w:rsidR="00886727" w:rsidRPr="00886727" w:rsidRDefault="00886727" w:rsidP="00886727">
            <w:pPr>
              <w:pStyle w:val="BoxBullet"/>
            </w:pPr>
            <w:r w:rsidRPr="00886727">
              <w:t>How many goods are sold through your auction house each year? How many of these are: sold only in person; sold only online; or sold in person but with online bidding allowed?</w:t>
            </w:r>
          </w:p>
          <w:p w14:paraId="0B5F57BE" w14:textId="77777777" w:rsidR="00886727" w:rsidRPr="00886727" w:rsidRDefault="00886727" w:rsidP="00886727">
            <w:pPr>
              <w:pStyle w:val="BoxBullet"/>
            </w:pPr>
            <w:r w:rsidRPr="00886727">
              <w:t>What is the average value of goods sold through your auction house/platform?</w:t>
            </w:r>
          </w:p>
          <w:p w14:paraId="63B5CE64" w14:textId="77777777" w:rsidR="00886727" w:rsidRPr="00886727" w:rsidRDefault="00886727" w:rsidP="00886727">
            <w:pPr>
              <w:pStyle w:val="BoxBullet"/>
            </w:pPr>
            <w:r w:rsidRPr="00886727">
              <w:t>What initiatives is your business taking to increase the confidence of consumers purchasing online, and provide redress when things go wrong?</w:t>
            </w:r>
          </w:p>
          <w:p w14:paraId="50BBBF46" w14:textId="77777777" w:rsidR="00886727" w:rsidRPr="00886727" w:rsidRDefault="00886727" w:rsidP="00886727">
            <w:pPr>
              <w:pStyle w:val="BoxBullet"/>
            </w:pPr>
            <w:r w:rsidRPr="00886727">
              <w:t>Do you provide a service for consumers to contact sellers of goods in the event of a product failure? If yes, how often is this service used? What costs would you see in developing such a system?</w:t>
            </w:r>
          </w:p>
          <w:p w14:paraId="4DA5BE50" w14:textId="77777777" w:rsidR="00886727" w:rsidRPr="00886727" w:rsidRDefault="00886727" w:rsidP="00886727">
            <w:pPr>
              <w:pStyle w:val="BoxBullet"/>
            </w:pPr>
            <w:r w:rsidRPr="00886727">
              <w:t>What costs do you see associated with the provision of information regarding the quality of goods?</w:t>
            </w:r>
          </w:p>
          <w:p w14:paraId="6A82F3C1" w14:textId="77777777" w:rsidR="00886727" w:rsidRPr="00886727" w:rsidRDefault="00886727" w:rsidP="00886727">
            <w:pPr>
              <w:pStyle w:val="BoxBullet"/>
            </w:pPr>
            <w:r w:rsidRPr="00886727">
              <w:t>How many bidders on average are there for each good sold? Does this vary significantly for online as opposed to in person auctions?</w:t>
            </w:r>
          </w:p>
          <w:p w14:paraId="3CCE1425" w14:textId="77777777" w:rsidR="00886727" w:rsidRPr="00886727" w:rsidRDefault="00886727" w:rsidP="00886727">
            <w:pPr>
              <w:pStyle w:val="BoxBullet"/>
            </w:pPr>
            <w:r w:rsidRPr="00886727">
              <w:t>Do you offer the opportunity to inspect goods? If so, for how long are goods generally offered for inspection?</w:t>
            </w:r>
          </w:p>
          <w:p w14:paraId="48E7B1E6" w14:textId="77777777" w:rsidR="00886727" w:rsidRPr="00886727" w:rsidRDefault="00886727" w:rsidP="00886727">
            <w:pPr>
              <w:pStyle w:val="BoxBullet"/>
            </w:pPr>
            <w:r w:rsidRPr="00886727">
              <w:t>What do you consider a reasonable opportunity for inspection would involve?</w:t>
            </w:r>
          </w:p>
          <w:p w14:paraId="599096D9" w14:textId="77777777" w:rsidR="00886727" w:rsidRPr="00886727" w:rsidRDefault="00886727" w:rsidP="00886727">
            <w:pPr>
              <w:pStyle w:val="BoxBullet"/>
            </w:pPr>
            <w:r w:rsidRPr="00886727">
              <w:t xml:space="preserve">Do you consider that any of the consumer guarantees are inappropriate for goods sold through “online only” auctions, and which guarantees and why?  </w:t>
            </w:r>
          </w:p>
          <w:p w14:paraId="1AF7F566" w14:textId="77777777" w:rsidR="00886727" w:rsidRPr="00886727" w:rsidRDefault="00886727" w:rsidP="00886727">
            <w:pPr>
              <w:pStyle w:val="BoxBullet"/>
            </w:pPr>
            <w:r w:rsidRPr="00886727">
              <w:t>Would you look to provide a reasonable opportunity to inspect with a view to reducing the scope of your consumer guarantee liability?</w:t>
            </w:r>
          </w:p>
          <w:p w14:paraId="6634DB43" w14:textId="77777777" w:rsidR="00886727" w:rsidRPr="00886727" w:rsidRDefault="00886727" w:rsidP="00886727">
            <w:pPr>
              <w:pStyle w:val="BoxBullet"/>
            </w:pPr>
            <w:r w:rsidRPr="00886727">
              <w:t>What costs would you face in updating your website’s terms and conditions to adjust to the new regime?</w:t>
            </w:r>
          </w:p>
          <w:p w14:paraId="14CC7B93" w14:textId="77777777" w:rsidR="00886727" w:rsidRPr="00886727" w:rsidRDefault="00886727" w:rsidP="00886727">
            <w:pPr>
              <w:pStyle w:val="BoxBullet"/>
            </w:pPr>
            <w:r w:rsidRPr="00886727">
              <w:t>To what extent are your staff already aware of their responsibilities in relation to consumer guarantees? What costs would be associated with training staff, were the exemptions framework to change as outlined in this option?</w:t>
            </w:r>
          </w:p>
          <w:p w14:paraId="03AD6EE7" w14:textId="77777777" w:rsidR="00886727" w:rsidRPr="00886727" w:rsidRDefault="00886727" w:rsidP="00886727">
            <w:pPr>
              <w:pStyle w:val="BoxBullet"/>
            </w:pPr>
            <w:r w:rsidRPr="00886727">
              <w:t xml:space="preserve">Do you offer an online portal in conjunction to your ‘traditional auction’? If so, what percentage of your sales goes through this mechanism? </w:t>
            </w:r>
          </w:p>
          <w:p w14:paraId="45E1F1B9" w14:textId="1A00277E" w:rsidR="00886727" w:rsidRPr="00886727" w:rsidRDefault="00886727" w:rsidP="00886727">
            <w:pPr>
              <w:pStyle w:val="BoxBullet"/>
            </w:pPr>
            <w:r w:rsidRPr="00E64A81">
              <w:t>For regional auctioneers, what percentage of your sales comes from bidders in different location</w:t>
            </w:r>
            <w:r>
              <w:t>s to the ‘traditional auction’?</w:t>
            </w:r>
          </w:p>
        </w:tc>
      </w:tr>
      <w:tr w:rsidR="00886727" w14:paraId="7FE7C0CC" w14:textId="77777777" w:rsidTr="00886727">
        <w:tc>
          <w:tcPr>
            <w:tcW w:w="9242" w:type="dxa"/>
            <w:shd w:val="clear" w:color="auto" w:fill="F2F2F2" w:themeFill="background1" w:themeFillShade="F2"/>
          </w:tcPr>
          <w:p w14:paraId="34ABAA0B" w14:textId="38A731CD" w:rsidR="00886727" w:rsidRDefault="00886727" w:rsidP="00886727">
            <w:pPr>
              <w:pStyle w:val="BoxHeadingSub"/>
            </w:pPr>
            <w:r w:rsidRPr="00653567">
              <w:t xml:space="preserve">For </w:t>
            </w:r>
            <w:r>
              <w:t>B</w:t>
            </w:r>
            <w:r w:rsidRPr="00653567">
              <w:t>usinesses</w:t>
            </w:r>
            <w:r>
              <w:t xml:space="preserve"> (continued)</w:t>
            </w:r>
          </w:p>
          <w:p w14:paraId="72C107A8" w14:textId="77777777" w:rsidR="00886727" w:rsidRPr="00E64A81" w:rsidRDefault="00886727" w:rsidP="00886727">
            <w:pPr>
              <w:pStyle w:val="BoxBullet"/>
            </w:pPr>
            <w:r w:rsidRPr="00E64A81">
              <w:t>Do you provide a service for consumers to contact sellers of goods in the event of a product failure? If yes, how often is this service used? What costs would you see in developing such a system?</w:t>
            </w:r>
          </w:p>
          <w:p w14:paraId="724FBE00" w14:textId="77777777" w:rsidR="00886727" w:rsidRPr="00E64A81" w:rsidRDefault="00886727" w:rsidP="00886727">
            <w:pPr>
              <w:pStyle w:val="BoxBullet"/>
            </w:pPr>
            <w:r w:rsidRPr="00E64A81">
              <w:t xml:space="preserve">If all online auctions received access to all consumer guarantees, would you be less willing to auction your goods through an online portal or by a business that offers an online portal? </w:t>
            </w:r>
          </w:p>
          <w:p w14:paraId="7838FD82" w14:textId="77777777" w:rsidR="00886727" w:rsidRPr="00E64A81" w:rsidRDefault="00886727" w:rsidP="00886727">
            <w:pPr>
              <w:pStyle w:val="BoxBullet"/>
            </w:pPr>
            <w:r w:rsidRPr="00E64A81">
              <w:t>What benefits do you see as potentially flowing to your business if goods sold at auction came with the full range of consumer guarantees?</w:t>
            </w:r>
          </w:p>
          <w:p w14:paraId="3D6259A4" w14:textId="77777777" w:rsidR="00886727" w:rsidRPr="00E64A81" w:rsidRDefault="00886727" w:rsidP="00886727">
            <w:pPr>
              <w:pStyle w:val="BoxBullet"/>
            </w:pPr>
            <w:r w:rsidRPr="00E64A81">
              <w:t>When disposing of goods via auction, would you seek to introduce reserve prices to cover any potential liabilities from the consumer guarantees?</w:t>
            </w:r>
          </w:p>
          <w:p w14:paraId="7CBD2956" w14:textId="66FCD312" w:rsidR="00886727" w:rsidRDefault="00886727" w:rsidP="00886727">
            <w:pPr>
              <w:pStyle w:val="BoxBullet"/>
            </w:pPr>
            <w:r w:rsidRPr="00E64A81">
              <w:t>Apart from auctions what mechanisms exist for you to dispose of goods that cannot be sold through conventional retail channels? Do these alternatives have higher costs and what are these costs?</w:t>
            </w:r>
          </w:p>
        </w:tc>
      </w:tr>
    </w:tbl>
    <w:p w14:paraId="1B8CB0A0" w14:textId="77777777" w:rsidR="00886727" w:rsidRPr="00886727" w:rsidRDefault="00886727" w:rsidP="00886727"/>
    <w:p w14:paraId="528E832F" w14:textId="27C48A2E" w:rsidR="004F4044" w:rsidRDefault="00BC3F49" w:rsidP="00886727">
      <w:pPr>
        <w:pStyle w:val="BoxHeading"/>
      </w:pPr>
      <w:bookmarkStart w:id="69" w:name="_Toc508354792"/>
      <w:r w:rsidRPr="00653567">
        <w:t xml:space="preserve">For </w:t>
      </w:r>
      <w:r w:rsidR="00E64A81">
        <w:t>C</w:t>
      </w:r>
      <w:r w:rsidRPr="00653567">
        <w:t>onsumers</w:t>
      </w:r>
      <w:bookmarkEnd w:id="69"/>
    </w:p>
    <w:tbl>
      <w:tblPr>
        <w:tblStyle w:val="TableGrid"/>
        <w:tblW w:w="0" w:type="auto"/>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F2F2F2" w:themeFill="background1" w:themeFillShade="F2"/>
        <w:tblLook w:val="04A0" w:firstRow="1" w:lastRow="0" w:firstColumn="1" w:lastColumn="0" w:noHBand="0" w:noVBand="1"/>
      </w:tblPr>
      <w:tblGrid>
        <w:gridCol w:w="9242"/>
      </w:tblGrid>
      <w:tr w:rsidR="00886727" w14:paraId="042AA0BA" w14:textId="77777777" w:rsidTr="00886727">
        <w:tc>
          <w:tcPr>
            <w:tcW w:w="9242" w:type="dxa"/>
            <w:shd w:val="clear" w:color="auto" w:fill="F2F2F2" w:themeFill="background1" w:themeFillShade="F2"/>
          </w:tcPr>
          <w:p w14:paraId="69F9AE45" w14:textId="77777777" w:rsidR="00886727" w:rsidRPr="00FE389A" w:rsidRDefault="00886727" w:rsidP="00886727">
            <w:pPr>
              <w:pStyle w:val="BoxBullet"/>
            </w:pPr>
            <w:r w:rsidRPr="00FE389A">
              <w:t>Are you aware that you have some consumer guarantee rights when purchasing at an auction?</w:t>
            </w:r>
          </w:p>
          <w:p w14:paraId="2A9F7A17" w14:textId="77777777" w:rsidR="00886727" w:rsidRPr="00FE389A" w:rsidRDefault="00886727" w:rsidP="00886727">
            <w:pPr>
              <w:pStyle w:val="BoxBullet"/>
            </w:pPr>
            <w:r w:rsidRPr="00FE389A">
              <w:t>Have you ever purchased a good from an auction without inspecting the good? If yes, how often, why were you unable to inspect and was a detailed condition report made available?</w:t>
            </w:r>
          </w:p>
          <w:p w14:paraId="431B82D9" w14:textId="77777777" w:rsidR="00886727" w:rsidRPr="00FE389A" w:rsidRDefault="00886727" w:rsidP="00886727">
            <w:pPr>
              <w:pStyle w:val="BoxBullet"/>
            </w:pPr>
            <w:r w:rsidRPr="00FE389A">
              <w:t>What steps do you take to make an informed bid when considering an article at auction if you do not have a reasonable opportunity to inspect the goods?</w:t>
            </w:r>
          </w:p>
          <w:p w14:paraId="1177850B" w14:textId="77777777" w:rsidR="00886727" w:rsidRPr="00FE389A" w:rsidRDefault="00886727" w:rsidP="00886727">
            <w:pPr>
              <w:pStyle w:val="BoxBullet"/>
            </w:pPr>
            <w:r w:rsidRPr="00FE389A">
              <w:t>Do you physically inspect goods before you place a bid? How does it influence your bidding strategy? Do you bid in person or remotely and why?</w:t>
            </w:r>
          </w:p>
          <w:p w14:paraId="3137B20A" w14:textId="77777777" w:rsidR="00886727" w:rsidRPr="00FE389A" w:rsidRDefault="00886727" w:rsidP="00886727">
            <w:pPr>
              <w:pStyle w:val="BoxBullet"/>
            </w:pPr>
            <w:r w:rsidRPr="00FE389A">
              <w:t xml:space="preserve">Where you have been unable to inspect goods in person have you ever sought to have someone inspect on your behalf?  </w:t>
            </w:r>
          </w:p>
          <w:p w14:paraId="40B60891" w14:textId="77777777" w:rsidR="00886727" w:rsidRPr="00FE389A" w:rsidRDefault="00886727" w:rsidP="00886727">
            <w:pPr>
              <w:pStyle w:val="BoxBullet"/>
            </w:pPr>
            <w:r w:rsidRPr="00FE389A">
              <w:t>Are you confident placing a bid in an online auction where there is not a reasonable opportunity to inspect the good, if the good has a comprehensive description? Were there opportunities available to seek further details about goods for sale?</w:t>
            </w:r>
          </w:p>
          <w:p w14:paraId="227381D6" w14:textId="77777777" w:rsidR="00886727" w:rsidRPr="00FE389A" w:rsidRDefault="00886727" w:rsidP="00886727">
            <w:pPr>
              <w:pStyle w:val="BoxBullet"/>
            </w:pPr>
            <w:r w:rsidRPr="00FE389A">
              <w:t>Have you ever purchased a good that did not meet your expectations through an auction? If so how was the problem remedied, and by who?</w:t>
            </w:r>
          </w:p>
          <w:p w14:paraId="4448BC71" w14:textId="77777777" w:rsidR="00886727" w:rsidRPr="00FE389A" w:rsidRDefault="00886727" w:rsidP="00886727">
            <w:pPr>
              <w:pStyle w:val="BoxBullet"/>
            </w:pPr>
            <w:r w:rsidRPr="00FE389A">
              <w:t>Do you have an expectation when purchasing goods from auctions that the seller will assist in the event of a product failure?</w:t>
            </w:r>
          </w:p>
          <w:p w14:paraId="357222C1" w14:textId="77777777" w:rsidR="00886727" w:rsidRPr="00FE389A" w:rsidRDefault="00886727" w:rsidP="00886727">
            <w:pPr>
              <w:pStyle w:val="BoxBullet"/>
            </w:pPr>
            <w:r w:rsidRPr="00FE389A">
              <w:t>What classes of goods do you purchase at auction (used, new, or refurbished)?</w:t>
            </w:r>
          </w:p>
          <w:p w14:paraId="3521108F" w14:textId="77777777" w:rsidR="00886727" w:rsidRPr="00FE389A" w:rsidRDefault="00886727" w:rsidP="00886727">
            <w:pPr>
              <w:pStyle w:val="BoxBullet"/>
            </w:pPr>
            <w:r w:rsidRPr="00FE389A">
              <w:t>Have you bid through an online portal at a traditional auction? How frequently and on what types of good?</w:t>
            </w:r>
          </w:p>
          <w:p w14:paraId="50851BD5" w14:textId="77777777" w:rsidR="00886727" w:rsidRPr="00FE389A" w:rsidRDefault="00886727" w:rsidP="00886727">
            <w:pPr>
              <w:pStyle w:val="BoxBullet"/>
            </w:pPr>
            <w:r w:rsidRPr="00FE389A">
              <w:t>When purchasing online, without inspecting a good, to what extent does the lack of inspection affect your bidding strategy?</w:t>
            </w:r>
          </w:p>
          <w:p w14:paraId="45E1D80F" w14:textId="616E8A5F" w:rsidR="00886727" w:rsidRDefault="00886727" w:rsidP="00886727">
            <w:pPr>
              <w:pStyle w:val="BoxBullet"/>
            </w:pPr>
            <w:r w:rsidRPr="00FE389A">
              <w:t>To what extent are you likely to bid more aggressively when you have access to greater informa</w:t>
            </w:r>
            <w:r>
              <w:t>tion about a product?</w:t>
            </w:r>
          </w:p>
        </w:tc>
      </w:tr>
    </w:tbl>
    <w:p w14:paraId="0DC18543" w14:textId="77777777" w:rsidR="00886727" w:rsidRDefault="00886727">
      <w:r>
        <w:br w:type="page"/>
      </w:r>
    </w:p>
    <w:tbl>
      <w:tblPr>
        <w:tblStyle w:val="TableGrid"/>
        <w:tblW w:w="0" w:type="auto"/>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F2F2F2" w:themeFill="background1" w:themeFillShade="F2"/>
        <w:tblLook w:val="04A0" w:firstRow="1" w:lastRow="0" w:firstColumn="1" w:lastColumn="0" w:noHBand="0" w:noVBand="1"/>
      </w:tblPr>
      <w:tblGrid>
        <w:gridCol w:w="9242"/>
      </w:tblGrid>
      <w:tr w:rsidR="00886727" w14:paraId="1D637774" w14:textId="77777777" w:rsidTr="00886727">
        <w:tc>
          <w:tcPr>
            <w:tcW w:w="9242" w:type="dxa"/>
            <w:shd w:val="clear" w:color="auto" w:fill="F2F2F2" w:themeFill="background1" w:themeFillShade="F2"/>
          </w:tcPr>
          <w:p w14:paraId="5457D753" w14:textId="21BD8BF0" w:rsidR="00886727" w:rsidRDefault="00886727" w:rsidP="00886727">
            <w:pPr>
              <w:pStyle w:val="BoxHeadingSub"/>
            </w:pPr>
            <w:r w:rsidRPr="00653567">
              <w:t xml:space="preserve">For </w:t>
            </w:r>
            <w:r>
              <w:t>C</w:t>
            </w:r>
            <w:r w:rsidRPr="00653567">
              <w:t>onsumers</w:t>
            </w:r>
            <w:r>
              <w:t xml:space="preserve"> (continued)</w:t>
            </w:r>
          </w:p>
          <w:p w14:paraId="58A8B04D" w14:textId="48EC654A" w:rsidR="00886727" w:rsidRPr="00FE389A" w:rsidRDefault="00886727" w:rsidP="00886727">
            <w:pPr>
              <w:pStyle w:val="BoxBullet"/>
            </w:pPr>
            <w:r w:rsidRPr="00FE389A">
              <w:t xml:space="preserve">To what extent are you likely to bid more aggressively at auction if you could rely on consumer guarantees applying to the same extent as if the good was purchased at retail? </w:t>
            </w:r>
          </w:p>
          <w:p w14:paraId="1F6B6F3F" w14:textId="5A80523D" w:rsidR="00886727" w:rsidRPr="00FE389A" w:rsidRDefault="00886727" w:rsidP="00886727">
            <w:pPr>
              <w:pStyle w:val="BoxBullet"/>
            </w:pPr>
            <w:r w:rsidRPr="00FE389A">
              <w:t xml:space="preserve">What would you consider to be a reasonable opportunity for </w:t>
            </w:r>
            <w:proofErr w:type="spellStart"/>
            <w:r w:rsidRPr="00FE389A">
              <w:t>inspection?If</w:t>
            </w:r>
            <w:proofErr w:type="spellEnd"/>
            <w:r w:rsidRPr="00FE389A">
              <w:t xml:space="preserve"> the same good was being auctioned in person and online, would you still attend the auction in person? </w:t>
            </w:r>
          </w:p>
          <w:p w14:paraId="77978F1D" w14:textId="77777777" w:rsidR="00886727" w:rsidRPr="00FE389A" w:rsidRDefault="00886727" w:rsidP="00886727">
            <w:pPr>
              <w:pStyle w:val="BoxBullet"/>
            </w:pPr>
            <w:r w:rsidRPr="00FE389A">
              <w:t>If you rarely, or do not bid, at online auctions now, would you be more willing to consider bidding if the goods came with the full range of consumer guarantees?</w:t>
            </w:r>
          </w:p>
          <w:p w14:paraId="7264BAE9" w14:textId="294045AB" w:rsidR="00886727" w:rsidRDefault="00886727" w:rsidP="00886727">
            <w:pPr>
              <w:pStyle w:val="BoxBullet"/>
            </w:pPr>
            <w:r w:rsidRPr="00FE389A">
              <w:t>To what extent would you ever consider seeking to contact a seller of a good from an auction in the event of a product failure?</w:t>
            </w:r>
          </w:p>
        </w:tc>
      </w:tr>
    </w:tbl>
    <w:p w14:paraId="363CEE5C" w14:textId="4CF3991D" w:rsidR="00886727" w:rsidRPr="00886727" w:rsidRDefault="00886727" w:rsidP="00886727"/>
    <w:p w14:paraId="14A65ABC" w14:textId="77777777" w:rsidR="00886727" w:rsidRPr="00886727" w:rsidRDefault="00886727" w:rsidP="00886727"/>
    <w:p w14:paraId="1060B7D2" w14:textId="35CB0993" w:rsidR="00495A8E" w:rsidRPr="00E64A81" w:rsidRDefault="00495A8E" w:rsidP="00E64A81"/>
    <w:sectPr w:rsidR="00495A8E" w:rsidRPr="00E64A81" w:rsidSect="002969BB">
      <w:footerReference w:type="first" r:id="rId3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B34E9" w14:textId="77777777" w:rsidR="002969BB" w:rsidRDefault="002969BB" w:rsidP="00E565DC">
      <w:r>
        <w:separator/>
      </w:r>
    </w:p>
  </w:endnote>
  <w:endnote w:type="continuationSeparator" w:id="0">
    <w:p w14:paraId="464DFBD7" w14:textId="77777777" w:rsidR="002969BB" w:rsidRDefault="002969BB" w:rsidP="00E565DC">
      <w:r>
        <w:continuationSeparator/>
      </w:r>
    </w:p>
  </w:endnote>
  <w:endnote w:type="continuationNotice" w:id="1">
    <w:p w14:paraId="34BC3FCE" w14:textId="77777777" w:rsidR="002969BB" w:rsidRDefault="002969BB" w:rsidP="00E56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C8C11" w14:textId="719CAC3E" w:rsidR="002969BB" w:rsidRPr="00E64A81" w:rsidRDefault="002969BB" w:rsidP="00040A95">
    <w:pPr>
      <w:pStyle w:val="Footer-Even"/>
    </w:pPr>
    <w:r w:rsidRPr="007B4230">
      <w:t xml:space="preserve">Page </w:t>
    </w:r>
    <w:fldSimple w:instr=" COMMENTS   \* MERGEFORMAT ">
      <w:r>
        <w:t>4-</w:t>
      </w:r>
    </w:fldSimple>
    <w:r w:rsidRPr="007B4230">
      <w:fldChar w:fldCharType="begin"/>
    </w:r>
    <w:r w:rsidRPr="007B4230">
      <w:instrText xml:space="preserve"> PAGE   \* MERGEFORMAT </w:instrText>
    </w:r>
    <w:r w:rsidRPr="007B4230">
      <w:fldChar w:fldCharType="separate"/>
    </w:r>
    <w:r w:rsidR="00D5595E">
      <w:rPr>
        <w:noProof/>
      </w:rPr>
      <w:t>26</w:t>
    </w:r>
    <w:r w:rsidRPr="007B423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78F75" w14:textId="16909E3D" w:rsidR="002969BB" w:rsidRPr="00040A95" w:rsidRDefault="002969BB" w:rsidP="00040A95">
    <w:pPr>
      <w:pStyle w:val="Footer-Odd"/>
    </w:pPr>
    <w:r w:rsidRPr="007B4230">
      <w:t xml:space="preserve">Page </w:t>
    </w:r>
    <w:fldSimple w:instr=" COMMENTS   \* MERGEFORMAT ">
      <w:r>
        <w:t>4-</w:t>
      </w:r>
    </w:fldSimple>
    <w:r w:rsidRPr="007B4230">
      <w:fldChar w:fldCharType="begin"/>
    </w:r>
    <w:r w:rsidRPr="007B4230">
      <w:instrText xml:space="preserve"> PAGE   \* MERGEFORMAT </w:instrText>
    </w:r>
    <w:r w:rsidRPr="007B4230">
      <w:fldChar w:fldCharType="separate"/>
    </w:r>
    <w:r w:rsidR="00D5595E">
      <w:rPr>
        <w:noProof/>
      </w:rPr>
      <w:t>25</w:t>
    </w:r>
    <w:r w:rsidRPr="007B423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A521D" w14:textId="77777777" w:rsidR="002969BB" w:rsidRDefault="002969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D4EFB" w14:textId="77777777" w:rsidR="002969BB" w:rsidRDefault="002969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8E2F9" w14:textId="6A39698C" w:rsidR="002969BB" w:rsidRDefault="002969BB" w:rsidP="002969BB">
    <w:pPr>
      <w:pStyle w:val="Footer-Odd"/>
    </w:pPr>
    <w:r>
      <w:t>P</w:t>
    </w:r>
    <w:r w:rsidRPr="007B4230">
      <w:t xml:space="preserve">age </w:t>
    </w:r>
    <w:fldSimple w:instr=" COMMENTS   \* MERGEFORMAT ">
      <w:r>
        <w:t>4-</w:t>
      </w:r>
    </w:fldSimple>
    <w:r w:rsidRPr="007B4230">
      <w:fldChar w:fldCharType="begin"/>
    </w:r>
    <w:r w:rsidRPr="007B4230">
      <w:instrText xml:space="preserve"> PAGE   \* MERGEFORMAT </w:instrText>
    </w:r>
    <w:r w:rsidRPr="007B4230">
      <w:fldChar w:fldCharType="separate"/>
    </w:r>
    <w:r w:rsidR="00D5595E">
      <w:rPr>
        <w:noProof/>
      </w:rPr>
      <w:t>1</w:t>
    </w:r>
    <w:r w:rsidRPr="007B423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59A45" w14:textId="77777777" w:rsidR="002969BB" w:rsidRDefault="002969BB" w:rsidP="002969BB">
    <w:pPr>
      <w:pStyle w:val="Footer-Even"/>
    </w:pPr>
    <w:r>
      <w:t>P</w:t>
    </w:r>
    <w:r w:rsidRPr="007B4230">
      <w:t xml:space="preserve">age </w:t>
    </w:r>
    <w:fldSimple w:instr=" COMMENTS   \* MERGEFORMAT ">
      <w:r>
        <w:t>4-</w:t>
      </w:r>
    </w:fldSimple>
    <w:r w:rsidRPr="007B4230">
      <w:fldChar w:fldCharType="begin"/>
    </w:r>
    <w:r w:rsidRPr="007B4230">
      <w:instrText xml:space="preserve"> PAGE   \* MERGEFORMAT </w:instrText>
    </w:r>
    <w:r w:rsidRPr="007B4230">
      <w:fldChar w:fldCharType="separate"/>
    </w:r>
    <w:r w:rsidR="00D5595E">
      <w:rPr>
        <w:noProof/>
      </w:rPr>
      <w:t>4</w:t>
    </w:r>
    <w:r w:rsidRPr="007B4230">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2E070" w14:textId="77777777" w:rsidR="002969BB" w:rsidRDefault="002969BB" w:rsidP="002969BB">
    <w:pPr>
      <w:pStyle w:val="Footer-Odd"/>
    </w:pPr>
    <w:r>
      <w:t>P</w:t>
    </w:r>
    <w:r w:rsidRPr="007B4230">
      <w:t xml:space="preserve">age </w:t>
    </w:r>
    <w:fldSimple w:instr=" COMMENTS   \* MERGEFORMAT ">
      <w:r>
        <w:t>4-</w:t>
      </w:r>
    </w:fldSimple>
    <w:r w:rsidRPr="007B4230">
      <w:fldChar w:fldCharType="begin"/>
    </w:r>
    <w:r w:rsidRPr="007B4230">
      <w:instrText xml:space="preserve"> PAGE   \* MERGEFORMAT </w:instrText>
    </w:r>
    <w:r w:rsidRPr="007B4230">
      <w:fldChar w:fldCharType="separate"/>
    </w:r>
    <w:r w:rsidR="00D5595E">
      <w:rPr>
        <w:noProof/>
      </w:rPr>
      <w:t>7</w:t>
    </w:r>
    <w:r w:rsidRPr="007B4230">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19F19" w14:textId="77777777" w:rsidR="002969BB" w:rsidRDefault="002969BB" w:rsidP="002969BB">
    <w:pPr>
      <w:pStyle w:val="Footer-Even"/>
    </w:pPr>
    <w:r>
      <w:t>P</w:t>
    </w:r>
    <w:r w:rsidRPr="007B4230">
      <w:t xml:space="preserve">age </w:t>
    </w:r>
    <w:fldSimple w:instr=" COMMENTS   \* MERGEFORMAT ">
      <w:r>
        <w:t>4-</w:t>
      </w:r>
    </w:fldSimple>
    <w:r w:rsidRPr="007B4230">
      <w:fldChar w:fldCharType="begin"/>
    </w:r>
    <w:r w:rsidRPr="007B4230">
      <w:instrText xml:space="preserve"> PAGE   \* MERGEFORMAT </w:instrText>
    </w:r>
    <w:r w:rsidRPr="007B4230">
      <w:fldChar w:fldCharType="separate"/>
    </w:r>
    <w:r w:rsidR="00D5595E">
      <w:rPr>
        <w:noProof/>
      </w:rPr>
      <w:t>8</w:t>
    </w:r>
    <w:r w:rsidRPr="007B4230">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CA05B" w14:textId="77777777" w:rsidR="002969BB" w:rsidRDefault="002969BB" w:rsidP="002969BB">
    <w:pPr>
      <w:pStyle w:val="Footer-Even"/>
    </w:pPr>
    <w:r>
      <w:t>P</w:t>
    </w:r>
    <w:r w:rsidRPr="007B4230">
      <w:t xml:space="preserve">age </w:t>
    </w:r>
    <w:fldSimple w:instr=" COMMENTS   \* MERGEFORMAT ">
      <w:r>
        <w:t>4-</w:t>
      </w:r>
    </w:fldSimple>
    <w:r w:rsidRPr="007B4230">
      <w:fldChar w:fldCharType="begin"/>
    </w:r>
    <w:r w:rsidRPr="007B4230">
      <w:instrText xml:space="preserve"> PAGE   \* MERGEFORMAT </w:instrText>
    </w:r>
    <w:r w:rsidRPr="007B4230">
      <w:fldChar w:fldCharType="separate"/>
    </w:r>
    <w:r w:rsidR="00D5595E">
      <w:rPr>
        <w:noProof/>
      </w:rPr>
      <w:t>24</w:t>
    </w:r>
    <w:r w:rsidRPr="007B423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73E40" w14:textId="77777777" w:rsidR="002969BB" w:rsidRDefault="002969BB" w:rsidP="00E565DC">
      <w:r>
        <w:separator/>
      </w:r>
    </w:p>
  </w:footnote>
  <w:footnote w:type="continuationSeparator" w:id="0">
    <w:p w14:paraId="75BFE4FD" w14:textId="77777777" w:rsidR="002969BB" w:rsidRDefault="002969BB" w:rsidP="00E565DC">
      <w:r>
        <w:continuationSeparator/>
      </w:r>
    </w:p>
  </w:footnote>
  <w:footnote w:type="continuationNotice" w:id="1">
    <w:p w14:paraId="46E2895A" w14:textId="77777777" w:rsidR="002969BB" w:rsidRDefault="002969BB" w:rsidP="00E565DC"/>
  </w:footnote>
  <w:footnote w:id="2">
    <w:p w14:paraId="39766F69" w14:textId="4B8DFAF7" w:rsidR="002969BB" w:rsidRPr="00BD01D5" w:rsidRDefault="002969BB" w:rsidP="0049005F">
      <w:pPr>
        <w:pStyle w:val="FootnoteText"/>
        <w:spacing w:after="20" w:line="240" w:lineRule="auto"/>
      </w:pPr>
      <w:r w:rsidRPr="00EC4115">
        <w:rPr>
          <w:rStyle w:val="FootnoteReference"/>
          <w:szCs w:val="18"/>
          <w:vertAlign w:val="baseline"/>
        </w:rPr>
        <w:footnoteRef/>
      </w:r>
      <w:r w:rsidRPr="00EC4115">
        <w:rPr>
          <w:rStyle w:val="FootnoteReference"/>
          <w:szCs w:val="18"/>
          <w:vertAlign w:val="baseline"/>
        </w:rPr>
        <w:t xml:space="preserve"> </w:t>
      </w:r>
      <w:r w:rsidRPr="0049005F">
        <w:rPr>
          <w:rStyle w:val="FootnoteReference"/>
          <w:szCs w:val="18"/>
        </w:rPr>
        <w:tab/>
      </w:r>
      <w:r w:rsidRPr="00BD01D5">
        <w:t xml:space="preserve">Throughout this RIS chapter ‘traditional auction’ will be used to define an auction that occurs in a face-to-face manner by an agent. </w:t>
      </w:r>
    </w:p>
  </w:footnote>
  <w:footnote w:id="3">
    <w:p w14:paraId="7E49603A" w14:textId="3B9A2AAF" w:rsidR="002969BB" w:rsidRPr="0049005F" w:rsidRDefault="002969BB" w:rsidP="0049005F">
      <w:pPr>
        <w:pStyle w:val="FootnoteText"/>
        <w:spacing w:after="20" w:line="240" w:lineRule="auto"/>
        <w:rPr>
          <w:rStyle w:val="FootnoteReference"/>
          <w:szCs w:val="18"/>
        </w:rPr>
      </w:pPr>
      <w:r w:rsidRPr="00EC4115">
        <w:rPr>
          <w:rStyle w:val="FootnoteReference"/>
          <w:szCs w:val="18"/>
          <w:vertAlign w:val="baseline"/>
        </w:rPr>
        <w:footnoteRef/>
      </w:r>
      <w:r w:rsidRPr="00EC4115">
        <w:rPr>
          <w:rStyle w:val="FootnoteReference"/>
          <w:szCs w:val="18"/>
          <w:vertAlign w:val="baseline"/>
        </w:rPr>
        <w:t xml:space="preserve"> </w:t>
      </w:r>
      <w:r w:rsidRPr="0049005F">
        <w:rPr>
          <w:rStyle w:val="FootnoteReference"/>
          <w:szCs w:val="18"/>
        </w:rPr>
        <w:tab/>
      </w:r>
      <w:r w:rsidRPr="00BD01D5">
        <w:t>Australian Consumer Law, section 51: Guarantee as to title, section 52: Guarantee as to undisturbed possession, section 53: Guarantee as to undisclosed securities.</w:t>
      </w:r>
    </w:p>
  </w:footnote>
  <w:footnote w:id="4">
    <w:p w14:paraId="69E97BB4" w14:textId="5C06B501" w:rsidR="002969BB" w:rsidRPr="0049005F" w:rsidRDefault="002969BB" w:rsidP="0049005F">
      <w:pPr>
        <w:pStyle w:val="FootnoteText"/>
        <w:spacing w:after="20" w:line="240" w:lineRule="auto"/>
        <w:rPr>
          <w:rStyle w:val="FootnoteReference"/>
          <w:szCs w:val="18"/>
        </w:rPr>
      </w:pPr>
      <w:r w:rsidRPr="00EC4115">
        <w:rPr>
          <w:rStyle w:val="FootnoteReference"/>
          <w:szCs w:val="18"/>
          <w:vertAlign w:val="baseline"/>
        </w:rPr>
        <w:footnoteRef/>
      </w:r>
      <w:r w:rsidRPr="00EC4115">
        <w:rPr>
          <w:rStyle w:val="FootnoteReference"/>
          <w:szCs w:val="18"/>
          <w:vertAlign w:val="baseline"/>
        </w:rPr>
        <w:t xml:space="preserve"> </w:t>
      </w:r>
      <w:r w:rsidRPr="0049005F">
        <w:rPr>
          <w:rStyle w:val="Hyperlink"/>
          <w:sz w:val="18"/>
          <w:szCs w:val="18"/>
        </w:rPr>
        <w:tab/>
      </w:r>
      <w:hyperlink r:id="rId1" w:history="1">
        <w:r w:rsidRPr="00BD01D5">
          <w:t>http://www.graysonline.com/aboutus/</w:t>
        </w:r>
      </w:hyperlink>
      <w:r w:rsidRPr="00FB7003">
        <w:rPr>
          <w:sz w:val="18"/>
        </w:rPr>
        <w:t>.</w:t>
      </w:r>
    </w:p>
  </w:footnote>
  <w:footnote w:id="5">
    <w:p w14:paraId="26C8E79B" w14:textId="5DE86E49" w:rsidR="002969BB" w:rsidRPr="0049005F" w:rsidRDefault="002969BB" w:rsidP="0049005F">
      <w:pPr>
        <w:pStyle w:val="FootnoteText"/>
        <w:spacing w:after="20" w:line="240" w:lineRule="auto"/>
        <w:rPr>
          <w:rStyle w:val="FootnoteReference"/>
          <w:szCs w:val="18"/>
        </w:rPr>
      </w:pPr>
      <w:r w:rsidRPr="00EC4115">
        <w:rPr>
          <w:rStyle w:val="FootnoteReference"/>
          <w:szCs w:val="18"/>
          <w:vertAlign w:val="baseline"/>
        </w:rPr>
        <w:footnoteRef/>
      </w:r>
      <w:r w:rsidRPr="00EC4115">
        <w:rPr>
          <w:rStyle w:val="FootnoteReference"/>
          <w:szCs w:val="18"/>
          <w:vertAlign w:val="baseline"/>
        </w:rPr>
        <w:t xml:space="preserve"> </w:t>
      </w:r>
      <w:r w:rsidRPr="0049005F">
        <w:rPr>
          <w:rStyle w:val="FootnoteReference"/>
          <w:szCs w:val="18"/>
        </w:rPr>
        <w:tab/>
      </w:r>
      <w:hyperlink r:id="rId2" w:history="1">
        <w:r w:rsidRPr="00BD01D5">
          <w:t>https://www.pickles.com.au/about</w:t>
        </w:r>
      </w:hyperlink>
      <w:r w:rsidRPr="00FB7003">
        <w:rPr>
          <w:sz w:val="18"/>
        </w:rPr>
        <w:t>.</w:t>
      </w:r>
    </w:p>
  </w:footnote>
  <w:footnote w:id="6">
    <w:p w14:paraId="0ED4E73E" w14:textId="0CFBBD00" w:rsidR="002969BB" w:rsidRPr="004D127F" w:rsidRDefault="002969BB" w:rsidP="0049005F">
      <w:pPr>
        <w:pStyle w:val="FootnoteText"/>
        <w:spacing w:after="20" w:line="240" w:lineRule="auto"/>
        <w:rPr>
          <w:rStyle w:val="FootnoteReference"/>
        </w:rPr>
      </w:pPr>
      <w:r w:rsidRPr="00EC4115">
        <w:rPr>
          <w:rStyle w:val="FootnoteReference"/>
          <w:vertAlign w:val="baseline"/>
        </w:rPr>
        <w:footnoteRef/>
      </w:r>
      <w:r w:rsidRPr="00EC4115">
        <w:rPr>
          <w:rStyle w:val="FootnoteReference"/>
          <w:vertAlign w:val="baseline"/>
        </w:rPr>
        <w:t xml:space="preserve"> </w:t>
      </w:r>
      <w:r w:rsidRPr="004D127F">
        <w:rPr>
          <w:rStyle w:val="FootnoteReference"/>
        </w:rPr>
        <w:tab/>
      </w:r>
      <w:r w:rsidRPr="00BD01D5">
        <w:t>However, where purchases are not from sellers in trade or commerce, no consumer guarantees will be available.</w:t>
      </w:r>
    </w:p>
  </w:footnote>
  <w:footnote w:id="7">
    <w:p w14:paraId="7AEE8B5B" w14:textId="0281B3AB" w:rsidR="002969BB" w:rsidRPr="0049005F" w:rsidRDefault="002969BB" w:rsidP="0049005F">
      <w:pPr>
        <w:pStyle w:val="FootnoteText"/>
        <w:spacing w:after="20" w:line="240" w:lineRule="auto"/>
        <w:rPr>
          <w:rStyle w:val="FootnoteReference"/>
          <w:szCs w:val="18"/>
        </w:rPr>
      </w:pPr>
      <w:r w:rsidRPr="00EC4115">
        <w:rPr>
          <w:rStyle w:val="FootnoteReference"/>
          <w:szCs w:val="18"/>
          <w:vertAlign w:val="baseline"/>
        </w:rPr>
        <w:footnoteRef/>
      </w:r>
      <w:r w:rsidRPr="00EC4115">
        <w:rPr>
          <w:rStyle w:val="FootnoteReference"/>
          <w:szCs w:val="18"/>
          <w:vertAlign w:val="baseline"/>
        </w:rPr>
        <w:t xml:space="preserve"> </w:t>
      </w:r>
      <w:r w:rsidRPr="0049005F">
        <w:rPr>
          <w:rStyle w:val="FootnoteReference"/>
          <w:szCs w:val="18"/>
        </w:rPr>
        <w:tab/>
      </w:r>
      <w:r w:rsidRPr="00BD01D5">
        <w:t>Commonwealth Consumer Affairs Advisory Committee, Consumer Rights: Reforming Statutory Implied Conditions and Warranties, 2009, page 124.</w:t>
      </w:r>
    </w:p>
  </w:footnote>
  <w:footnote w:id="8">
    <w:p w14:paraId="6936B6B1" w14:textId="00F54D77" w:rsidR="002969BB" w:rsidRPr="00BD01D5" w:rsidRDefault="002969BB" w:rsidP="0049005F">
      <w:pPr>
        <w:pStyle w:val="FootnoteText"/>
        <w:spacing w:after="20" w:line="240" w:lineRule="auto"/>
        <w:rPr>
          <w:sz w:val="18"/>
        </w:rPr>
      </w:pPr>
      <w:r w:rsidRPr="00EC4115">
        <w:rPr>
          <w:rStyle w:val="FootnoteReference"/>
          <w:szCs w:val="18"/>
          <w:vertAlign w:val="baseline"/>
        </w:rPr>
        <w:footnoteRef/>
      </w:r>
      <w:r w:rsidRPr="00EC4115">
        <w:rPr>
          <w:rStyle w:val="FootnoteReference"/>
          <w:szCs w:val="18"/>
          <w:vertAlign w:val="baseline"/>
        </w:rPr>
        <w:t xml:space="preserve"> </w:t>
      </w:r>
      <w:r w:rsidRPr="0049005F">
        <w:rPr>
          <w:rStyle w:val="FootnoteReference"/>
          <w:szCs w:val="18"/>
        </w:rPr>
        <w:tab/>
      </w:r>
      <w:r w:rsidRPr="00BD01D5">
        <w:rPr>
          <w:sz w:val="18"/>
        </w:rPr>
        <w:t xml:space="preserve">This same scenario applies in relation to consumer purchasers from businesses on online platforms like </w:t>
      </w:r>
      <w:proofErr w:type="spellStart"/>
      <w:r w:rsidRPr="00BD01D5">
        <w:rPr>
          <w:sz w:val="18"/>
        </w:rPr>
        <w:t>Ebay</w:t>
      </w:r>
      <w:proofErr w:type="spellEnd"/>
      <w:r w:rsidRPr="00BD01D5">
        <w:rPr>
          <w:sz w:val="18"/>
        </w:rPr>
        <w:t xml:space="preserve">. At present, it is common for sellers on </w:t>
      </w:r>
      <w:proofErr w:type="spellStart"/>
      <w:r w:rsidRPr="00BD01D5">
        <w:rPr>
          <w:sz w:val="18"/>
        </w:rPr>
        <w:t>Ebay</w:t>
      </w:r>
      <w:proofErr w:type="spellEnd"/>
      <w:r w:rsidRPr="00BD01D5">
        <w:rPr>
          <w:sz w:val="18"/>
        </w:rPr>
        <w:t xml:space="preserve"> to identify themselves as businesses. However this same practice has not emerged for businesses selling via auction. One off sales by individuals are not likely to be in trade or commerce.</w:t>
      </w:r>
    </w:p>
  </w:footnote>
  <w:footnote w:id="9">
    <w:p w14:paraId="7BE902E8" w14:textId="14725360" w:rsidR="002969BB" w:rsidRPr="008D3DD3" w:rsidRDefault="002969BB" w:rsidP="0049005F">
      <w:pPr>
        <w:pStyle w:val="FootnoteText"/>
        <w:spacing w:after="20" w:line="240" w:lineRule="auto"/>
      </w:pPr>
      <w:r w:rsidRPr="00EC4115">
        <w:rPr>
          <w:rStyle w:val="FootnoteReference"/>
          <w:vertAlign w:val="baseline"/>
        </w:rPr>
        <w:footnoteRef/>
      </w:r>
      <w:r w:rsidRPr="00EC4115">
        <w:rPr>
          <w:rStyle w:val="FootnoteReference"/>
          <w:sz w:val="20"/>
          <w:vertAlign w:val="baseline"/>
        </w:rPr>
        <w:t xml:space="preserve"> </w:t>
      </w:r>
      <w:r w:rsidRPr="008D3DD3">
        <w:rPr>
          <w:rStyle w:val="FootnoteReference"/>
          <w:sz w:val="20"/>
        </w:rPr>
        <w:tab/>
      </w:r>
      <w:r w:rsidRPr="00BD01D5">
        <w:rPr>
          <w:sz w:val="18"/>
        </w:rPr>
        <w:t xml:space="preserve">Kate </w:t>
      </w:r>
      <w:proofErr w:type="spellStart"/>
      <w:r w:rsidRPr="00BD01D5">
        <w:rPr>
          <w:sz w:val="18"/>
        </w:rPr>
        <w:t>Tokeley</w:t>
      </w:r>
      <w:proofErr w:type="spellEnd"/>
      <w:r w:rsidRPr="00BD01D5">
        <w:rPr>
          <w:sz w:val="18"/>
        </w:rPr>
        <w:t xml:space="preserve">, </w:t>
      </w:r>
      <w:r w:rsidRPr="00BD01D5">
        <w:rPr>
          <w:i/>
        </w:rPr>
        <w:t>When Not All Sellers Are Traders: Re-Evaluating the Scope of Consumer Protection Legislation in the Modern Marketplace</w:t>
      </w:r>
      <w:r w:rsidRPr="00BD01D5">
        <w:t xml:space="preserve">, 2017, 39(1) </w:t>
      </w:r>
      <w:r w:rsidRPr="00BD01D5">
        <w:rPr>
          <w:i/>
        </w:rPr>
        <w:t>Sydney Law Review</w:t>
      </w:r>
      <w:r w:rsidRPr="00BD01D5">
        <w:t>, page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02BDE" w14:textId="0B01B635" w:rsidR="002969BB" w:rsidRDefault="00D527DB" w:rsidP="00040A95">
    <w:pPr>
      <w:pStyle w:val="Header-Even"/>
    </w:pPr>
    <w:fldSimple w:instr=" TITLE   \* MERGEFORMAT ">
      <w:r w:rsidR="002969BB">
        <w:t>Australian Consumer Law Review: Access to consumer guarantees for goods sold at auctions</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87139" w14:textId="36031EDC" w:rsidR="002969BB" w:rsidRDefault="00D527DB" w:rsidP="00040A95">
    <w:pPr>
      <w:pStyle w:val="Header-Odd"/>
    </w:pPr>
    <w:fldSimple w:instr=" STYLEREF  &quot;Heading 1 - No Number&quot;  \* MERGEFORMAT ">
      <w:r w:rsidR="00D5595E">
        <w:rPr>
          <w:noProof/>
        </w:rPr>
        <w:t>Focus Questions</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1133E" w14:textId="77777777" w:rsidR="002969BB" w:rsidRDefault="00296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1A2002"/>
    <w:lvl w:ilvl="0">
      <w:start w:val="1"/>
      <w:numFmt w:val="decimal"/>
      <w:lvlText w:val="%1."/>
      <w:lvlJc w:val="left"/>
      <w:pPr>
        <w:tabs>
          <w:tab w:val="num" w:pos="1492"/>
        </w:tabs>
        <w:ind w:left="1492" w:hanging="360"/>
      </w:pPr>
    </w:lvl>
  </w:abstractNum>
  <w:abstractNum w:abstractNumId="1">
    <w:nsid w:val="FFFFFF7D"/>
    <w:multiLevelType w:val="singleLevel"/>
    <w:tmpl w:val="399EC714"/>
    <w:lvl w:ilvl="0">
      <w:start w:val="1"/>
      <w:numFmt w:val="decimal"/>
      <w:lvlText w:val="%1."/>
      <w:lvlJc w:val="left"/>
      <w:pPr>
        <w:tabs>
          <w:tab w:val="num" w:pos="1209"/>
        </w:tabs>
        <w:ind w:left="1209" w:hanging="360"/>
      </w:pPr>
    </w:lvl>
  </w:abstractNum>
  <w:abstractNum w:abstractNumId="2">
    <w:nsid w:val="FFFFFF7E"/>
    <w:multiLevelType w:val="singleLevel"/>
    <w:tmpl w:val="1CB25F0E"/>
    <w:lvl w:ilvl="0">
      <w:start w:val="1"/>
      <w:numFmt w:val="decimal"/>
      <w:lvlText w:val="%1."/>
      <w:lvlJc w:val="left"/>
      <w:pPr>
        <w:tabs>
          <w:tab w:val="num" w:pos="926"/>
        </w:tabs>
        <w:ind w:left="926" w:hanging="360"/>
      </w:pPr>
    </w:lvl>
  </w:abstractNum>
  <w:abstractNum w:abstractNumId="3">
    <w:nsid w:val="FFFFFF7F"/>
    <w:multiLevelType w:val="singleLevel"/>
    <w:tmpl w:val="65F837E8"/>
    <w:lvl w:ilvl="0">
      <w:start w:val="1"/>
      <w:numFmt w:val="decimal"/>
      <w:lvlText w:val="%1."/>
      <w:lvlJc w:val="left"/>
      <w:pPr>
        <w:tabs>
          <w:tab w:val="num" w:pos="643"/>
        </w:tabs>
        <w:ind w:left="643" w:hanging="360"/>
      </w:pPr>
    </w:lvl>
  </w:abstractNum>
  <w:abstractNum w:abstractNumId="4">
    <w:nsid w:val="FFFFFF80"/>
    <w:multiLevelType w:val="singleLevel"/>
    <w:tmpl w:val="10CCC2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AC2DB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583A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0EE7C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7ED1C8"/>
    <w:lvl w:ilvl="0">
      <w:start w:val="1"/>
      <w:numFmt w:val="decimal"/>
      <w:lvlText w:val="%1."/>
      <w:lvlJc w:val="left"/>
      <w:pPr>
        <w:tabs>
          <w:tab w:val="num" w:pos="360"/>
        </w:tabs>
        <w:ind w:left="360" w:hanging="360"/>
      </w:pPr>
    </w:lvl>
  </w:abstractNum>
  <w:abstractNum w:abstractNumId="9">
    <w:nsid w:val="FFFFFF89"/>
    <w:multiLevelType w:val="singleLevel"/>
    <w:tmpl w:val="7958A4B8"/>
    <w:lvl w:ilvl="0">
      <w:start w:val="1"/>
      <w:numFmt w:val="bullet"/>
      <w:lvlText w:val=""/>
      <w:lvlJc w:val="left"/>
      <w:pPr>
        <w:tabs>
          <w:tab w:val="num" w:pos="360"/>
        </w:tabs>
        <w:ind w:left="360" w:hanging="360"/>
      </w:pPr>
      <w:rPr>
        <w:rFonts w:ascii="Symbol" w:hAnsi="Symbol" w:hint="default"/>
      </w:rPr>
    </w:lvl>
  </w:abstractNum>
  <w:abstractNum w:abstractNumId="10">
    <w:nsid w:val="0DB33704"/>
    <w:multiLevelType w:val="hybridMultilevel"/>
    <w:tmpl w:val="F2E4976C"/>
    <w:name w:val="StandardBulletedList2"/>
    <w:lvl w:ilvl="0" w:tplc="0C090001">
      <w:start w:val="1"/>
      <w:numFmt w:val="bullet"/>
      <w:lvlText w:val=""/>
      <w:lvlJc w:val="left"/>
      <w:pPr>
        <w:ind w:left="1287" w:hanging="360"/>
      </w:pPr>
      <w:rPr>
        <w:rFonts w:ascii="Symbol" w:hAnsi="Symbol" w:hint="default"/>
      </w:rPr>
    </w:lvl>
    <w:lvl w:ilvl="1" w:tplc="E324738E">
      <w:numFmt w:val="bullet"/>
      <w:lvlText w:val="-"/>
      <w:lvlJc w:val="left"/>
      <w:pPr>
        <w:ind w:left="2007" w:hanging="360"/>
      </w:pPr>
      <w:rPr>
        <w:rFonts w:ascii="Calibri" w:eastAsiaTheme="minorHAnsi" w:hAnsi="Calibri" w:cstheme="minorBidi"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7DF7717"/>
    <w:multiLevelType w:val="multilevel"/>
    <w:tmpl w:val="1E4EE1C6"/>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A955F3A"/>
    <w:multiLevelType w:val="hybridMultilevel"/>
    <w:tmpl w:val="F1E68396"/>
    <w:lvl w:ilvl="0" w:tplc="7DF00764">
      <w:start w:val="1"/>
      <w:numFmt w:val="decimal"/>
      <w:pStyle w:val="Heading1numbered0"/>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nsid w:val="38920524"/>
    <w:multiLevelType w:val="hybridMultilevel"/>
    <w:tmpl w:val="CE9A8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18098F"/>
    <w:multiLevelType w:val="multilevel"/>
    <w:tmpl w:val="E48A461C"/>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6FC7EFC"/>
    <w:multiLevelType w:val="hybridMultilevel"/>
    <w:tmpl w:val="3ED4B102"/>
    <w:lvl w:ilvl="0" w:tplc="2B98D1CE">
      <w:start w:val="1"/>
      <w:numFmt w:val="bullet"/>
      <w:pStyle w:val="Bullet-Inden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46114A"/>
    <w:multiLevelType w:val="multilevel"/>
    <w:tmpl w:val="FDB0EC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9E64991"/>
    <w:multiLevelType w:val="hybridMultilevel"/>
    <w:tmpl w:val="FC9CB510"/>
    <w:lvl w:ilvl="0" w:tplc="0C09000F">
      <w:start w:val="1"/>
      <w:numFmt w:val="decimal"/>
      <w:lvlText w:val="%1."/>
      <w:lvlJc w:val="left"/>
      <w:pPr>
        <w:ind w:left="644"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C286360"/>
    <w:multiLevelType w:val="hybridMultilevel"/>
    <w:tmpl w:val="47F86EEC"/>
    <w:lvl w:ilvl="0" w:tplc="DCB825B6">
      <w:start w:val="1"/>
      <w:numFmt w:val="bullet"/>
      <w:lvlText w:val="•"/>
      <w:lvlJc w:val="left"/>
      <w:pPr>
        <w:tabs>
          <w:tab w:val="num" w:pos="567"/>
        </w:tabs>
        <w:ind w:left="567" w:hanging="567"/>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AE5558"/>
    <w:multiLevelType w:val="hybridMultilevel"/>
    <w:tmpl w:val="95149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296017"/>
    <w:multiLevelType w:val="hybridMultilevel"/>
    <w:tmpl w:val="464AF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95560F"/>
    <w:multiLevelType w:val="hybridMultilevel"/>
    <w:tmpl w:val="F8A2F732"/>
    <w:lvl w:ilvl="0" w:tplc="CB1C9CB2">
      <w:start w:val="1"/>
      <w:numFmt w:val="bullet"/>
      <w:pStyle w:val="Box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FD17AE"/>
    <w:multiLevelType w:val="hybridMultilevel"/>
    <w:tmpl w:val="2AF460EC"/>
    <w:lvl w:ilvl="0" w:tplc="BCC43BE4">
      <w:start w:val="1"/>
      <w:numFmt w:val="bullet"/>
      <w:pStyle w:val="Dash-Indent"/>
      <w:lvlText w:val="-"/>
      <w:lvlJc w:val="left"/>
      <w:pPr>
        <w:ind w:left="1494" w:hanging="360"/>
      </w:pPr>
      <w:rPr>
        <w:rFonts w:ascii="Courier New" w:hAnsi="Courier New"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nsid w:val="66E80EF3"/>
    <w:multiLevelType w:val="hybridMultilevel"/>
    <w:tmpl w:val="7F6E4326"/>
    <w:lvl w:ilvl="0" w:tplc="2A8C9222">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D48355B"/>
    <w:multiLevelType w:val="hybridMultilevel"/>
    <w:tmpl w:val="90F44F2A"/>
    <w:lvl w:ilvl="0" w:tplc="635A035E">
      <w:start w:val="1"/>
      <w:numFmt w:val="bullet"/>
      <w:pStyle w:val="TableTextLeft-Bullet"/>
      <w:lvlText w:val="•"/>
      <w:lvlJc w:val="left"/>
      <w:pPr>
        <w:tabs>
          <w:tab w:val="num" w:pos="425"/>
        </w:tabs>
        <w:ind w:left="425" w:hanging="425"/>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F526B69"/>
    <w:multiLevelType w:val="multilevel"/>
    <w:tmpl w:val="7122825E"/>
    <w:name w:val="StandardNumberedList"/>
    <w:lvl w:ilvl="0">
      <w:start w:val="1"/>
      <w:numFmt w:val="decimal"/>
      <w:pStyle w:val="OutlineNumbered1"/>
      <w:lvlText w:val="%1."/>
      <w:lvlJc w:val="left"/>
      <w:pPr>
        <w:tabs>
          <w:tab w:val="num" w:pos="520"/>
        </w:tabs>
        <w:ind w:left="520" w:hanging="520"/>
      </w:pPr>
      <w:rPr>
        <w:b w:val="0"/>
        <w:sz w:val="22"/>
      </w:rPr>
    </w:lvl>
    <w:lvl w:ilvl="1">
      <w:start w:val="1"/>
      <w:numFmt w:val="decimal"/>
      <w:lvlText w:val="%1.%2."/>
      <w:lvlJc w:val="left"/>
      <w:pPr>
        <w:tabs>
          <w:tab w:val="num" w:pos="1181"/>
        </w:tabs>
        <w:ind w:left="1181" w:hanging="661"/>
      </w:pPr>
    </w:lvl>
    <w:lvl w:ilvl="2">
      <w:start w:val="1"/>
      <w:numFmt w:val="decimal"/>
      <w:lvlText w:val="%1.%2.%3."/>
      <w:lvlJc w:val="left"/>
      <w:pPr>
        <w:tabs>
          <w:tab w:val="num" w:pos="1842"/>
        </w:tabs>
        <w:ind w:left="1842" w:hanging="661"/>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8B16110"/>
    <w:multiLevelType w:val="multilevel"/>
    <w:tmpl w:val="73A01CC2"/>
    <w:lvl w:ilvl="0">
      <w:start w:val="1"/>
      <w:numFmt w:val="bullet"/>
      <w:pStyle w:val="Bullet"/>
      <w:lvlText w:val="•"/>
      <w:lvlJc w:val="left"/>
      <w:pPr>
        <w:tabs>
          <w:tab w:val="num" w:pos="661"/>
        </w:tabs>
        <w:ind w:left="661" w:hanging="661"/>
      </w:pPr>
      <w:rPr>
        <w:rFonts w:ascii="Times New Roman" w:hAnsi="Times New Roman" w:cs="Times New Roman"/>
      </w:rPr>
    </w:lvl>
    <w:lvl w:ilvl="1">
      <w:start w:val="1"/>
      <w:numFmt w:val="bullet"/>
      <w:pStyle w:val="Dash"/>
      <w:lvlText w:val="–"/>
      <w:lvlJc w:val="left"/>
      <w:pPr>
        <w:tabs>
          <w:tab w:val="num" w:pos="1322"/>
        </w:tabs>
        <w:ind w:left="1322" w:hanging="661"/>
      </w:pPr>
      <w:rPr>
        <w:rFonts w:ascii="Times New Roman" w:hAnsi="Times New Roman" w:cs="Times New Roman"/>
      </w:rPr>
    </w:lvl>
    <w:lvl w:ilvl="2">
      <w:start w:val="1"/>
      <w:numFmt w:val="bullet"/>
      <w:pStyle w:val="DoubleDo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47667A"/>
    <w:multiLevelType w:val="hybridMultilevel"/>
    <w:tmpl w:val="345C29F6"/>
    <w:lvl w:ilvl="0" w:tplc="24AC2ED4">
      <w:numFmt w:val="bullet"/>
      <w:pStyle w:val="TableTextLeft-Dash"/>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20"/>
  </w:num>
  <w:num w:numId="4">
    <w:abstractNumId w:val="21"/>
  </w:num>
  <w:num w:numId="5">
    <w:abstractNumId w:val="14"/>
  </w:num>
  <w:num w:numId="6">
    <w:abstractNumId w:val="11"/>
  </w:num>
  <w:num w:numId="7">
    <w:abstractNumId w:val="18"/>
  </w:num>
  <w:num w:numId="8">
    <w:abstractNumId w:val="24"/>
  </w:num>
  <w:num w:numId="9">
    <w:abstractNumId w:val="13"/>
  </w:num>
  <w:num w:numId="10">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num>
  <w:num w:numId="13">
    <w:abstractNumId w:val="24"/>
  </w:num>
  <w:num w:numId="14">
    <w:abstractNumId w:val="24"/>
  </w:num>
  <w:num w:numId="15">
    <w:abstractNumId w:val="24"/>
  </w:num>
  <w:num w:numId="16">
    <w:abstractNumId w:val="15"/>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4"/>
  </w:num>
  <w:num w:numId="24">
    <w:abstractNumId w:val="15"/>
  </w:num>
  <w:num w:numId="25">
    <w:abstractNumId w:val="24"/>
  </w:num>
  <w:num w:numId="26">
    <w:abstractNumId w:val="24"/>
  </w:num>
  <w:num w:numId="27">
    <w:abstractNumId w:val="15"/>
  </w:num>
  <w:num w:numId="28">
    <w:abstractNumId w:val="15"/>
  </w:num>
  <w:num w:numId="29">
    <w:abstractNumId w:val="15"/>
  </w:num>
  <w:num w:numId="30">
    <w:abstractNumId w:val="15"/>
  </w:num>
  <w:num w:numId="31">
    <w:abstractNumId w:val="27"/>
  </w:num>
  <w:num w:numId="32">
    <w:abstractNumId w:val="12"/>
  </w:num>
  <w:num w:numId="33">
    <w:abstractNumId w:val="23"/>
  </w:num>
  <w:num w:numId="34">
    <w:abstractNumId w:val="22"/>
  </w:num>
  <w:num w:numId="35">
    <w:abstractNumId w:val="25"/>
  </w:num>
  <w:num w:numId="36">
    <w:abstractNumId w:val="25"/>
    <w:lvlOverride w:ilvl="0">
      <w:startOverride w:val="1"/>
    </w:lvlOverride>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8"/>
  </w:num>
  <w:num w:numId="48">
    <w:abstractNumId w:val="19"/>
  </w:num>
  <w:num w:numId="49">
    <w:abstractNumId w:val="19"/>
    <w:lvlOverride w:ilvl="0">
      <w:startOverride w:val="1"/>
    </w:lvlOverride>
  </w:num>
  <w:num w:numId="5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evenAndOddHeaders/>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AF"/>
    <w:rsid w:val="00000FF3"/>
    <w:rsid w:val="00001CB0"/>
    <w:rsid w:val="00002BBD"/>
    <w:rsid w:val="00003D8B"/>
    <w:rsid w:val="000061D1"/>
    <w:rsid w:val="000079EC"/>
    <w:rsid w:val="00011474"/>
    <w:rsid w:val="0001157F"/>
    <w:rsid w:val="00014B8A"/>
    <w:rsid w:val="0002342D"/>
    <w:rsid w:val="00024181"/>
    <w:rsid w:val="00024BA1"/>
    <w:rsid w:val="00024F6E"/>
    <w:rsid w:val="00027459"/>
    <w:rsid w:val="00040A95"/>
    <w:rsid w:val="00041E56"/>
    <w:rsid w:val="0004317D"/>
    <w:rsid w:val="000471C9"/>
    <w:rsid w:val="000476B8"/>
    <w:rsid w:val="000515E0"/>
    <w:rsid w:val="00053CE1"/>
    <w:rsid w:val="00055201"/>
    <w:rsid w:val="00056E17"/>
    <w:rsid w:val="00064223"/>
    <w:rsid w:val="00065B8E"/>
    <w:rsid w:val="0006673E"/>
    <w:rsid w:val="00066779"/>
    <w:rsid w:val="00067F7D"/>
    <w:rsid w:val="0007149D"/>
    <w:rsid w:val="00071FB7"/>
    <w:rsid w:val="00076CD9"/>
    <w:rsid w:val="00077786"/>
    <w:rsid w:val="00080D6B"/>
    <w:rsid w:val="00084536"/>
    <w:rsid w:val="00084FAF"/>
    <w:rsid w:val="00091581"/>
    <w:rsid w:val="0009640D"/>
    <w:rsid w:val="00096BE6"/>
    <w:rsid w:val="000A011B"/>
    <w:rsid w:val="000A0B5E"/>
    <w:rsid w:val="000A170A"/>
    <w:rsid w:val="000A2F99"/>
    <w:rsid w:val="000A30B5"/>
    <w:rsid w:val="000A6455"/>
    <w:rsid w:val="000A710C"/>
    <w:rsid w:val="000A7B81"/>
    <w:rsid w:val="000B738F"/>
    <w:rsid w:val="000D14CC"/>
    <w:rsid w:val="000D3709"/>
    <w:rsid w:val="000D6858"/>
    <w:rsid w:val="000E3CAA"/>
    <w:rsid w:val="000E6732"/>
    <w:rsid w:val="000F0DC3"/>
    <w:rsid w:val="000F107F"/>
    <w:rsid w:val="000F1F9B"/>
    <w:rsid w:val="000F4A25"/>
    <w:rsid w:val="000F4B05"/>
    <w:rsid w:val="000F5058"/>
    <w:rsid w:val="000F6955"/>
    <w:rsid w:val="0010001A"/>
    <w:rsid w:val="001025CD"/>
    <w:rsid w:val="0010304A"/>
    <w:rsid w:val="00105052"/>
    <w:rsid w:val="00110DB5"/>
    <w:rsid w:val="00111921"/>
    <w:rsid w:val="001146E2"/>
    <w:rsid w:val="001175C1"/>
    <w:rsid w:val="00117889"/>
    <w:rsid w:val="00122489"/>
    <w:rsid w:val="00124339"/>
    <w:rsid w:val="00124870"/>
    <w:rsid w:val="0013015B"/>
    <w:rsid w:val="00137B29"/>
    <w:rsid w:val="00140389"/>
    <w:rsid w:val="00142646"/>
    <w:rsid w:val="00143FF2"/>
    <w:rsid w:val="001444AD"/>
    <w:rsid w:val="00145743"/>
    <w:rsid w:val="00146F70"/>
    <w:rsid w:val="00150311"/>
    <w:rsid w:val="00154B4A"/>
    <w:rsid w:val="00154FEF"/>
    <w:rsid w:val="00157B51"/>
    <w:rsid w:val="00160405"/>
    <w:rsid w:val="00161CFB"/>
    <w:rsid w:val="00161D70"/>
    <w:rsid w:val="0016292C"/>
    <w:rsid w:val="0016380D"/>
    <w:rsid w:val="00164BB7"/>
    <w:rsid w:val="00171F76"/>
    <w:rsid w:val="00173DC0"/>
    <w:rsid w:val="0017559A"/>
    <w:rsid w:val="00176C69"/>
    <w:rsid w:val="00181052"/>
    <w:rsid w:val="00181769"/>
    <w:rsid w:val="0018728D"/>
    <w:rsid w:val="001873EA"/>
    <w:rsid w:val="00195FD7"/>
    <w:rsid w:val="001965E3"/>
    <w:rsid w:val="00196C60"/>
    <w:rsid w:val="001A31CE"/>
    <w:rsid w:val="001A321D"/>
    <w:rsid w:val="001A37F3"/>
    <w:rsid w:val="001A3F42"/>
    <w:rsid w:val="001A4AC0"/>
    <w:rsid w:val="001B07B7"/>
    <w:rsid w:val="001B0A65"/>
    <w:rsid w:val="001B4E0C"/>
    <w:rsid w:val="001B5E31"/>
    <w:rsid w:val="001C0594"/>
    <w:rsid w:val="001C5096"/>
    <w:rsid w:val="001C6E36"/>
    <w:rsid w:val="001C7D8A"/>
    <w:rsid w:val="001E18F4"/>
    <w:rsid w:val="001E326B"/>
    <w:rsid w:val="001E452E"/>
    <w:rsid w:val="001E7808"/>
    <w:rsid w:val="001E7D1A"/>
    <w:rsid w:val="001F0122"/>
    <w:rsid w:val="001F25EA"/>
    <w:rsid w:val="001F5A9F"/>
    <w:rsid w:val="00201766"/>
    <w:rsid w:val="00201C70"/>
    <w:rsid w:val="0020299B"/>
    <w:rsid w:val="00202BDC"/>
    <w:rsid w:val="00203EBE"/>
    <w:rsid w:val="002042C3"/>
    <w:rsid w:val="002043F3"/>
    <w:rsid w:val="00205849"/>
    <w:rsid w:val="00205DD9"/>
    <w:rsid w:val="002143D2"/>
    <w:rsid w:val="00217F95"/>
    <w:rsid w:val="0022097E"/>
    <w:rsid w:val="002211E2"/>
    <w:rsid w:val="00223591"/>
    <w:rsid w:val="00224EB3"/>
    <w:rsid w:val="00233314"/>
    <w:rsid w:val="002340F4"/>
    <w:rsid w:val="002343B9"/>
    <w:rsid w:val="00243DA6"/>
    <w:rsid w:val="002467D1"/>
    <w:rsid w:val="00246BAF"/>
    <w:rsid w:val="00247B92"/>
    <w:rsid w:val="00250E46"/>
    <w:rsid w:val="00254DA6"/>
    <w:rsid w:val="00256B06"/>
    <w:rsid w:val="00256F6A"/>
    <w:rsid w:val="002572F9"/>
    <w:rsid w:val="00257C1A"/>
    <w:rsid w:val="00260147"/>
    <w:rsid w:val="00261B9C"/>
    <w:rsid w:val="0026571A"/>
    <w:rsid w:val="00267972"/>
    <w:rsid w:val="00270A72"/>
    <w:rsid w:val="00270B4E"/>
    <w:rsid w:val="00277F91"/>
    <w:rsid w:val="00284E89"/>
    <w:rsid w:val="00285119"/>
    <w:rsid w:val="00286BE4"/>
    <w:rsid w:val="0028770C"/>
    <w:rsid w:val="00292EC2"/>
    <w:rsid w:val="002947CF"/>
    <w:rsid w:val="00294F1E"/>
    <w:rsid w:val="00295AD2"/>
    <w:rsid w:val="002969BB"/>
    <w:rsid w:val="002A1571"/>
    <w:rsid w:val="002A7034"/>
    <w:rsid w:val="002B0709"/>
    <w:rsid w:val="002B48AD"/>
    <w:rsid w:val="002B4933"/>
    <w:rsid w:val="002B6630"/>
    <w:rsid w:val="002C25B7"/>
    <w:rsid w:val="002C5FB2"/>
    <w:rsid w:val="002C79C1"/>
    <w:rsid w:val="002D068F"/>
    <w:rsid w:val="002D241E"/>
    <w:rsid w:val="002D7671"/>
    <w:rsid w:val="002E20C5"/>
    <w:rsid w:val="002F48DD"/>
    <w:rsid w:val="002F66A7"/>
    <w:rsid w:val="002F7E94"/>
    <w:rsid w:val="00301AEE"/>
    <w:rsid w:val="00303B47"/>
    <w:rsid w:val="00304679"/>
    <w:rsid w:val="00307862"/>
    <w:rsid w:val="00307C79"/>
    <w:rsid w:val="00312DF6"/>
    <w:rsid w:val="00317B30"/>
    <w:rsid w:val="00317F54"/>
    <w:rsid w:val="00320613"/>
    <w:rsid w:val="00325766"/>
    <w:rsid w:val="00325B4D"/>
    <w:rsid w:val="00327F7C"/>
    <w:rsid w:val="00332EA4"/>
    <w:rsid w:val="003337E4"/>
    <w:rsid w:val="00341942"/>
    <w:rsid w:val="00341C23"/>
    <w:rsid w:val="00342B4D"/>
    <w:rsid w:val="003431B1"/>
    <w:rsid w:val="00344B39"/>
    <w:rsid w:val="00346882"/>
    <w:rsid w:val="003530A8"/>
    <w:rsid w:val="003564F5"/>
    <w:rsid w:val="0036064A"/>
    <w:rsid w:val="003618BB"/>
    <w:rsid w:val="00362C1E"/>
    <w:rsid w:val="003635D0"/>
    <w:rsid w:val="003661CC"/>
    <w:rsid w:val="00371C25"/>
    <w:rsid w:val="003721E5"/>
    <w:rsid w:val="0037429E"/>
    <w:rsid w:val="00375528"/>
    <w:rsid w:val="0037603D"/>
    <w:rsid w:val="003814D8"/>
    <w:rsid w:val="003825D5"/>
    <w:rsid w:val="00383B48"/>
    <w:rsid w:val="00387A51"/>
    <w:rsid w:val="00387B1F"/>
    <w:rsid w:val="00396BE5"/>
    <w:rsid w:val="00397B41"/>
    <w:rsid w:val="003A0247"/>
    <w:rsid w:val="003A21D9"/>
    <w:rsid w:val="003A2AD9"/>
    <w:rsid w:val="003A6B3A"/>
    <w:rsid w:val="003A71F0"/>
    <w:rsid w:val="003B2E7E"/>
    <w:rsid w:val="003B459A"/>
    <w:rsid w:val="003B473C"/>
    <w:rsid w:val="003B7A92"/>
    <w:rsid w:val="003C222D"/>
    <w:rsid w:val="003C40AE"/>
    <w:rsid w:val="003C6019"/>
    <w:rsid w:val="003C7CB3"/>
    <w:rsid w:val="003D0BE2"/>
    <w:rsid w:val="003D43D2"/>
    <w:rsid w:val="003D6811"/>
    <w:rsid w:val="003E12E3"/>
    <w:rsid w:val="003E6847"/>
    <w:rsid w:val="003F38D4"/>
    <w:rsid w:val="003F7F77"/>
    <w:rsid w:val="00404E88"/>
    <w:rsid w:val="0040785E"/>
    <w:rsid w:val="004108ED"/>
    <w:rsid w:val="004127A5"/>
    <w:rsid w:val="004143CB"/>
    <w:rsid w:val="00414A38"/>
    <w:rsid w:val="00420CF2"/>
    <w:rsid w:val="004215FA"/>
    <w:rsid w:val="00425006"/>
    <w:rsid w:val="004259FC"/>
    <w:rsid w:val="00427E31"/>
    <w:rsid w:val="004305A1"/>
    <w:rsid w:val="00436F28"/>
    <w:rsid w:val="00437807"/>
    <w:rsid w:val="00437CE5"/>
    <w:rsid w:val="00441DEB"/>
    <w:rsid w:val="004504CA"/>
    <w:rsid w:val="004560D9"/>
    <w:rsid w:val="00464D38"/>
    <w:rsid w:val="004703FA"/>
    <w:rsid w:val="00470D2F"/>
    <w:rsid w:val="004712DC"/>
    <w:rsid w:val="004716DD"/>
    <w:rsid w:val="004724C2"/>
    <w:rsid w:val="00473ED3"/>
    <w:rsid w:val="0048654F"/>
    <w:rsid w:val="0049005F"/>
    <w:rsid w:val="0049565F"/>
    <w:rsid w:val="0049582A"/>
    <w:rsid w:val="00495A8E"/>
    <w:rsid w:val="00495AD6"/>
    <w:rsid w:val="00496ADF"/>
    <w:rsid w:val="00497539"/>
    <w:rsid w:val="004A3A0F"/>
    <w:rsid w:val="004A3BDE"/>
    <w:rsid w:val="004A65D9"/>
    <w:rsid w:val="004A6F2E"/>
    <w:rsid w:val="004B7150"/>
    <w:rsid w:val="004C153F"/>
    <w:rsid w:val="004C2579"/>
    <w:rsid w:val="004C2B4F"/>
    <w:rsid w:val="004C2FBC"/>
    <w:rsid w:val="004C4233"/>
    <w:rsid w:val="004C4C74"/>
    <w:rsid w:val="004C5CB2"/>
    <w:rsid w:val="004C5E9A"/>
    <w:rsid w:val="004D01B7"/>
    <w:rsid w:val="004D0C32"/>
    <w:rsid w:val="004D127F"/>
    <w:rsid w:val="004D4EE1"/>
    <w:rsid w:val="004D69AE"/>
    <w:rsid w:val="004E4529"/>
    <w:rsid w:val="004E76A4"/>
    <w:rsid w:val="004F1A0A"/>
    <w:rsid w:val="004F2D6F"/>
    <w:rsid w:val="004F4044"/>
    <w:rsid w:val="004F6222"/>
    <w:rsid w:val="004F6C13"/>
    <w:rsid w:val="00500D0A"/>
    <w:rsid w:val="005121C6"/>
    <w:rsid w:val="00514156"/>
    <w:rsid w:val="00514F3A"/>
    <w:rsid w:val="0051558D"/>
    <w:rsid w:val="00526046"/>
    <w:rsid w:val="005268FE"/>
    <w:rsid w:val="00527AE9"/>
    <w:rsid w:val="00530530"/>
    <w:rsid w:val="005337D5"/>
    <w:rsid w:val="005339B0"/>
    <w:rsid w:val="00534F0F"/>
    <w:rsid w:val="005366CE"/>
    <w:rsid w:val="005371D1"/>
    <w:rsid w:val="005375CB"/>
    <w:rsid w:val="00545329"/>
    <w:rsid w:val="005467F8"/>
    <w:rsid w:val="00550751"/>
    <w:rsid w:val="00553CBA"/>
    <w:rsid w:val="005563B9"/>
    <w:rsid w:val="00560BAE"/>
    <w:rsid w:val="00560D3A"/>
    <w:rsid w:val="0056380D"/>
    <w:rsid w:val="00565636"/>
    <w:rsid w:val="005739A8"/>
    <w:rsid w:val="005772AA"/>
    <w:rsid w:val="0058278B"/>
    <w:rsid w:val="0059458C"/>
    <w:rsid w:val="00594874"/>
    <w:rsid w:val="00595396"/>
    <w:rsid w:val="005A37C1"/>
    <w:rsid w:val="005A3E6E"/>
    <w:rsid w:val="005A701F"/>
    <w:rsid w:val="005A7E0D"/>
    <w:rsid w:val="005B2363"/>
    <w:rsid w:val="005B28A1"/>
    <w:rsid w:val="005B6300"/>
    <w:rsid w:val="005B6395"/>
    <w:rsid w:val="005D5C0B"/>
    <w:rsid w:val="005D6202"/>
    <w:rsid w:val="005D7569"/>
    <w:rsid w:val="005D7C34"/>
    <w:rsid w:val="005E19AB"/>
    <w:rsid w:val="005E2021"/>
    <w:rsid w:val="005E3BA5"/>
    <w:rsid w:val="005E7E2C"/>
    <w:rsid w:val="005F2F60"/>
    <w:rsid w:val="005F3CED"/>
    <w:rsid w:val="005F762F"/>
    <w:rsid w:val="005F769E"/>
    <w:rsid w:val="006068A1"/>
    <w:rsid w:val="006068AD"/>
    <w:rsid w:val="006073B4"/>
    <w:rsid w:val="00611085"/>
    <w:rsid w:val="00611D8A"/>
    <w:rsid w:val="00612D0C"/>
    <w:rsid w:val="00613607"/>
    <w:rsid w:val="00615621"/>
    <w:rsid w:val="00616F12"/>
    <w:rsid w:val="006300BE"/>
    <w:rsid w:val="0063134B"/>
    <w:rsid w:val="00633A90"/>
    <w:rsid w:val="006349EB"/>
    <w:rsid w:val="00637C44"/>
    <w:rsid w:val="00637CC8"/>
    <w:rsid w:val="006410F6"/>
    <w:rsid w:val="00645471"/>
    <w:rsid w:val="00647D59"/>
    <w:rsid w:val="00650227"/>
    <w:rsid w:val="00652210"/>
    <w:rsid w:val="0065269F"/>
    <w:rsid w:val="00653567"/>
    <w:rsid w:val="00663D93"/>
    <w:rsid w:val="006651A5"/>
    <w:rsid w:val="00671A05"/>
    <w:rsid w:val="00672000"/>
    <w:rsid w:val="00674654"/>
    <w:rsid w:val="0067626C"/>
    <w:rsid w:val="00676471"/>
    <w:rsid w:val="00684E8B"/>
    <w:rsid w:val="00685E37"/>
    <w:rsid w:val="0069063F"/>
    <w:rsid w:val="00691291"/>
    <w:rsid w:val="00691365"/>
    <w:rsid w:val="00691FCB"/>
    <w:rsid w:val="006952BC"/>
    <w:rsid w:val="006973CC"/>
    <w:rsid w:val="006B284F"/>
    <w:rsid w:val="006B37A0"/>
    <w:rsid w:val="006B599B"/>
    <w:rsid w:val="006B66DF"/>
    <w:rsid w:val="006C2D62"/>
    <w:rsid w:val="006C47D3"/>
    <w:rsid w:val="006C4BA2"/>
    <w:rsid w:val="006D5E50"/>
    <w:rsid w:val="006E1D5E"/>
    <w:rsid w:val="006E4716"/>
    <w:rsid w:val="006E77EA"/>
    <w:rsid w:val="006F44C9"/>
    <w:rsid w:val="007001AC"/>
    <w:rsid w:val="00701015"/>
    <w:rsid w:val="00701F0E"/>
    <w:rsid w:val="00704760"/>
    <w:rsid w:val="00707BE2"/>
    <w:rsid w:val="00710323"/>
    <w:rsid w:val="00711990"/>
    <w:rsid w:val="00714A56"/>
    <w:rsid w:val="00715880"/>
    <w:rsid w:val="00717F6B"/>
    <w:rsid w:val="007210E1"/>
    <w:rsid w:val="00730977"/>
    <w:rsid w:val="00734363"/>
    <w:rsid w:val="00741665"/>
    <w:rsid w:val="00742AA4"/>
    <w:rsid w:val="00742F21"/>
    <w:rsid w:val="00750818"/>
    <w:rsid w:val="0075096C"/>
    <w:rsid w:val="007517B8"/>
    <w:rsid w:val="007603A2"/>
    <w:rsid w:val="00765CAC"/>
    <w:rsid w:val="007668BF"/>
    <w:rsid w:val="0076788E"/>
    <w:rsid w:val="00772BCC"/>
    <w:rsid w:val="00773E28"/>
    <w:rsid w:val="00780FD2"/>
    <w:rsid w:val="00781E93"/>
    <w:rsid w:val="007840C5"/>
    <w:rsid w:val="00784EF5"/>
    <w:rsid w:val="00786196"/>
    <w:rsid w:val="00786676"/>
    <w:rsid w:val="00786FAB"/>
    <w:rsid w:val="007906CF"/>
    <w:rsid w:val="0079195F"/>
    <w:rsid w:val="007948A1"/>
    <w:rsid w:val="0079627E"/>
    <w:rsid w:val="0079675B"/>
    <w:rsid w:val="00796A23"/>
    <w:rsid w:val="007975F4"/>
    <w:rsid w:val="007A0BFF"/>
    <w:rsid w:val="007A24DA"/>
    <w:rsid w:val="007A3E93"/>
    <w:rsid w:val="007A4CD5"/>
    <w:rsid w:val="007A6EC9"/>
    <w:rsid w:val="007B214A"/>
    <w:rsid w:val="007B3E9B"/>
    <w:rsid w:val="007B6C4B"/>
    <w:rsid w:val="007C2A41"/>
    <w:rsid w:val="007C369F"/>
    <w:rsid w:val="007C6001"/>
    <w:rsid w:val="007D2A6C"/>
    <w:rsid w:val="007E0095"/>
    <w:rsid w:val="007E11B3"/>
    <w:rsid w:val="007E3B97"/>
    <w:rsid w:val="007E5554"/>
    <w:rsid w:val="007F16FD"/>
    <w:rsid w:val="007F22B9"/>
    <w:rsid w:val="00803CC3"/>
    <w:rsid w:val="00804F77"/>
    <w:rsid w:val="008053EC"/>
    <w:rsid w:val="008114D3"/>
    <w:rsid w:val="00813139"/>
    <w:rsid w:val="00815138"/>
    <w:rsid w:val="008217DA"/>
    <w:rsid w:val="008256BB"/>
    <w:rsid w:val="00825846"/>
    <w:rsid w:val="00825F6E"/>
    <w:rsid w:val="00827B94"/>
    <w:rsid w:val="00833432"/>
    <w:rsid w:val="00836F36"/>
    <w:rsid w:val="00840AE0"/>
    <w:rsid w:val="00840B66"/>
    <w:rsid w:val="0084157B"/>
    <w:rsid w:val="008424DF"/>
    <w:rsid w:val="008425A4"/>
    <w:rsid w:val="00844E48"/>
    <w:rsid w:val="00845DCA"/>
    <w:rsid w:val="0085067C"/>
    <w:rsid w:val="00851406"/>
    <w:rsid w:val="00851717"/>
    <w:rsid w:val="00852545"/>
    <w:rsid w:val="0085259D"/>
    <w:rsid w:val="008525FB"/>
    <w:rsid w:val="008577AE"/>
    <w:rsid w:val="00861BC3"/>
    <w:rsid w:val="008665EA"/>
    <w:rsid w:val="00872041"/>
    <w:rsid w:val="00873E08"/>
    <w:rsid w:val="00876135"/>
    <w:rsid w:val="008762E1"/>
    <w:rsid w:val="00882065"/>
    <w:rsid w:val="008841D5"/>
    <w:rsid w:val="008849AD"/>
    <w:rsid w:val="00886031"/>
    <w:rsid w:val="00886727"/>
    <w:rsid w:val="00890D92"/>
    <w:rsid w:val="0089137F"/>
    <w:rsid w:val="008925C0"/>
    <w:rsid w:val="00892A19"/>
    <w:rsid w:val="0089562C"/>
    <w:rsid w:val="008A25CE"/>
    <w:rsid w:val="008A5624"/>
    <w:rsid w:val="008A64BE"/>
    <w:rsid w:val="008A6524"/>
    <w:rsid w:val="008B236F"/>
    <w:rsid w:val="008B649C"/>
    <w:rsid w:val="008B6D43"/>
    <w:rsid w:val="008C2C47"/>
    <w:rsid w:val="008C738E"/>
    <w:rsid w:val="008C739B"/>
    <w:rsid w:val="008C7A0C"/>
    <w:rsid w:val="008D0575"/>
    <w:rsid w:val="008D153F"/>
    <w:rsid w:val="008D3673"/>
    <w:rsid w:val="008D3DD3"/>
    <w:rsid w:val="008D4995"/>
    <w:rsid w:val="008D4BDC"/>
    <w:rsid w:val="008D4E35"/>
    <w:rsid w:val="008D5905"/>
    <w:rsid w:val="008D6A8A"/>
    <w:rsid w:val="008D7612"/>
    <w:rsid w:val="008E216D"/>
    <w:rsid w:val="008E430E"/>
    <w:rsid w:val="008E53E6"/>
    <w:rsid w:val="008E76F2"/>
    <w:rsid w:val="008F1579"/>
    <w:rsid w:val="008F17DB"/>
    <w:rsid w:val="008F25E6"/>
    <w:rsid w:val="008F31B1"/>
    <w:rsid w:val="008F37DB"/>
    <w:rsid w:val="008F5C65"/>
    <w:rsid w:val="008F6D13"/>
    <w:rsid w:val="00900068"/>
    <w:rsid w:val="00903097"/>
    <w:rsid w:val="009044D8"/>
    <w:rsid w:val="009106D2"/>
    <w:rsid w:val="009113A2"/>
    <w:rsid w:val="0091169F"/>
    <w:rsid w:val="00915C02"/>
    <w:rsid w:val="00917A20"/>
    <w:rsid w:val="00917F0B"/>
    <w:rsid w:val="00921E5B"/>
    <w:rsid w:val="00931B35"/>
    <w:rsid w:val="00933869"/>
    <w:rsid w:val="00933EC3"/>
    <w:rsid w:val="00936AA9"/>
    <w:rsid w:val="009401EC"/>
    <w:rsid w:val="009421AE"/>
    <w:rsid w:val="009443B1"/>
    <w:rsid w:val="0094710D"/>
    <w:rsid w:val="00953863"/>
    <w:rsid w:val="00954BC4"/>
    <w:rsid w:val="00955BF0"/>
    <w:rsid w:val="009603E6"/>
    <w:rsid w:val="00964CB2"/>
    <w:rsid w:val="00974260"/>
    <w:rsid w:val="009744C0"/>
    <w:rsid w:val="00976ED6"/>
    <w:rsid w:val="00977122"/>
    <w:rsid w:val="009848E0"/>
    <w:rsid w:val="00992134"/>
    <w:rsid w:val="0099232A"/>
    <w:rsid w:val="00992628"/>
    <w:rsid w:val="00992859"/>
    <w:rsid w:val="009937FC"/>
    <w:rsid w:val="0099494D"/>
    <w:rsid w:val="00995C0F"/>
    <w:rsid w:val="00997401"/>
    <w:rsid w:val="009A112F"/>
    <w:rsid w:val="009A33D9"/>
    <w:rsid w:val="009A6E77"/>
    <w:rsid w:val="009B168C"/>
    <w:rsid w:val="009C45CB"/>
    <w:rsid w:val="009D4478"/>
    <w:rsid w:val="009D4F10"/>
    <w:rsid w:val="009D6059"/>
    <w:rsid w:val="009E051C"/>
    <w:rsid w:val="009E28B9"/>
    <w:rsid w:val="009E2D5C"/>
    <w:rsid w:val="009E3124"/>
    <w:rsid w:val="009E3EBE"/>
    <w:rsid w:val="009E6440"/>
    <w:rsid w:val="009E6BEC"/>
    <w:rsid w:val="009F1B43"/>
    <w:rsid w:val="009F1C59"/>
    <w:rsid w:val="009F1C81"/>
    <w:rsid w:val="009F3A65"/>
    <w:rsid w:val="009F4EBC"/>
    <w:rsid w:val="009F7592"/>
    <w:rsid w:val="009F7CA0"/>
    <w:rsid w:val="00A0008F"/>
    <w:rsid w:val="00A02110"/>
    <w:rsid w:val="00A022B5"/>
    <w:rsid w:val="00A119F4"/>
    <w:rsid w:val="00A11BF8"/>
    <w:rsid w:val="00A1343E"/>
    <w:rsid w:val="00A14EB8"/>
    <w:rsid w:val="00A15BE5"/>
    <w:rsid w:val="00A227F0"/>
    <w:rsid w:val="00A275C0"/>
    <w:rsid w:val="00A30BBC"/>
    <w:rsid w:val="00A320DE"/>
    <w:rsid w:val="00A328F7"/>
    <w:rsid w:val="00A342C7"/>
    <w:rsid w:val="00A423B5"/>
    <w:rsid w:val="00A43E60"/>
    <w:rsid w:val="00A44219"/>
    <w:rsid w:val="00A46ECA"/>
    <w:rsid w:val="00A53A69"/>
    <w:rsid w:val="00A54A34"/>
    <w:rsid w:val="00A57325"/>
    <w:rsid w:val="00A57EBB"/>
    <w:rsid w:val="00A664C4"/>
    <w:rsid w:val="00A67BC1"/>
    <w:rsid w:val="00A7101A"/>
    <w:rsid w:val="00A73738"/>
    <w:rsid w:val="00A75339"/>
    <w:rsid w:val="00A7608A"/>
    <w:rsid w:val="00A763BD"/>
    <w:rsid w:val="00A77786"/>
    <w:rsid w:val="00A77BAA"/>
    <w:rsid w:val="00A8111E"/>
    <w:rsid w:val="00A84264"/>
    <w:rsid w:val="00A91B83"/>
    <w:rsid w:val="00AA17CF"/>
    <w:rsid w:val="00AA208B"/>
    <w:rsid w:val="00AA2A89"/>
    <w:rsid w:val="00AA3127"/>
    <w:rsid w:val="00AA5C28"/>
    <w:rsid w:val="00AA7FAE"/>
    <w:rsid w:val="00AB05DF"/>
    <w:rsid w:val="00AB076D"/>
    <w:rsid w:val="00AB0CFB"/>
    <w:rsid w:val="00AB2252"/>
    <w:rsid w:val="00AB2CDF"/>
    <w:rsid w:val="00AB55B3"/>
    <w:rsid w:val="00AC4C0A"/>
    <w:rsid w:val="00AC675F"/>
    <w:rsid w:val="00AC7E31"/>
    <w:rsid w:val="00AD231A"/>
    <w:rsid w:val="00AD2D97"/>
    <w:rsid w:val="00AD4EAD"/>
    <w:rsid w:val="00AE4305"/>
    <w:rsid w:val="00AE44A9"/>
    <w:rsid w:val="00AE56E8"/>
    <w:rsid w:val="00AF2B8F"/>
    <w:rsid w:val="00AF4B88"/>
    <w:rsid w:val="00AF520C"/>
    <w:rsid w:val="00AF53E7"/>
    <w:rsid w:val="00B00880"/>
    <w:rsid w:val="00B105D3"/>
    <w:rsid w:val="00B12787"/>
    <w:rsid w:val="00B135D7"/>
    <w:rsid w:val="00B13620"/>
    <w:rsid w:val="00B13CCD"/>
    <w:rsid w:val="00B20590"/>
    <w:rsid w:val="00B22E51"/>
    <w:rsid w:val="00B2588A"/>
    <w:rsid w:val="00B26B57"/>
    <w:rsid w:val="00B27633"/>
    <w:rsid w:val="00B27908"/>
    <w:rsid w:val="00B32921"/>
    <w:rsid w:val="00B32C49"/>
    <w:rsid w:val="00B32FD4"/>
    <w:rsid w:val="00B35116"/>
    <w:rsid w:val="00B37D1B"/>
    <w:rsid w:val="00B442F3"/>
    <w:rsid w:val="00B45332"/>
    <w:rsid w:val="00B50621"/>
    <w:rsid w:val="00B5180D"/>
    <w:rsid w:val="00B53BEF"/>
    <w:rsid w:val="00B54587"/>
    <w:rsid w:val="00B61793"/>
    <w:rsid w:val="00B618B1"/>
    <w:rsid w:val="00B61EA6"/>
    <w:rsid w:val="00B66202"/>
    <w:rsid w:val="00B72080"/>
    <w:rsid w:val="00B73BC8"/>
    <w:rsid w:val="00B803C9"/>
    <w:rsid w:val="00B813E8"/>
    <w:rsid w:val="00B819F3"/>
    <w:rsid w:val="00B81BD1"/>
    <w:rsid w:val="00B81EE9"/>
    <w:rsid w:val="00B82E11"/>
    <w:rsid w:val="00B90AD7"/>
    <w:rsid w:val="00B91C3B"/>
    <w:rsid w:val="00B95F5E"/>
    <w:rsid w:val="00BA248C"/>
    <w:rsid w:val="00BB14B2"/>
    <w:rsid w:val="00BB1B8B"/>
    <w:rsid w:val="00BB516D"/>
    <w:rsid w:val="00BC0B4F"/>
    <w:rsid w:val="00BC118D"/>
    <w:rsid w:val="00BC24A9"/>
    <w:rsid w:val="00BC3F49"/>
    <w:rsid w:val="00BD01D5"/>
    <w:rsid w:val="00BD095C"/>
    <w:rsid w:val="00BD598C"/>
    <w:rsid w:val="00BD6956"/>
    <w:rsid w:val="00BD706A"/>
    <w:rsid w:val="00BE4190"/>
    <w:rsid w:val="00BE4C9D"/>
    <w:rsid w:val="00BE6CA5"/>
    <w:rsid w:val="00BF0CDB"/>
    <w:rsid w:val="00BF363A"/>
    <w:rsid w:val="00BF3D35"/>
    <w:rsid w:val="00C03373"/>
    <w:rsid w:val="00C04E57"/>
    <w:rsid w:val="00C05401"/>
    <w:rsid w:val="00C0607D"/>
    <w:rsid w:val="00C1046F"/>
    <w:rsid w:val="00C22BBA"/>
    <w:rsid w:val="00C27320"/>
    <w:rsid w:val="00C30050"/>
    <w:rsid w:val="00C30B31"/>
    <w:rsid w:val="00C31A75"/>
    <w:rsid w:val="00C37B4E"/>
    <w:rsid w:val="00C40298"/>
    <w:rsid w:val="00C41DEF"/>
    <w:rsid w:val="00C44243"/>
    <w:rsid w:val="00C52AEC"/>
    <w:rsid w:val="00C53EF7"/>
    <w:rsid w:val="00C55EC3"/>
    <w:rsid w:val="00C60F7B"/>
    <w:rsid w:val="00C6219E"/>
    <w:rsid w:val="00C6760A"/>
    <w:rsid w:val="00C7019A"/>
    <w:rsid w:val="00C70653"/>
    <w:rsid w:val="00C709DB"/>
    <w:rsid w:val="00C727A5"/>
    <w:rsid w:val="00C734E2"/>
    <w:rsid w:val="00C739E7"/>
    <w:rsid w:val="00C74189"/>
    <w:rsid w:val="00C74B6E"/>
    <w:rsid w:val="00C75B68"/>
    <w:rsid w:val="00C8063A"/>
    <w:rsid w:val="00C8322C"/>
    <w:rsid w:val="00C83410"/>
    <w:rsid w:val="00C86A70"/>
    <w:rsid w:val="00C900F4"/>
    <w:rsid w:val="00C9514E"/>
    <w:rsid w:val="00CA0A11"/>
    <w:rsid w:val="00CA104F"/>
    <w:rsid w:val="00CA1834"/>
    <w:rsid w:val="00CA1A9C"/>
    <w:rsid w:val="00CA5E57"/>
    <w:rsid w:val="00CA74C3"/>
    <w:rsid w:val="00CB6992"/>
    <w:rsid w:val="00CC043B"/>
    <w:rsid w:val="00CC0840"/>
    <w:rsid w:val="00CC2548"/>
    <w:rsid w:val="00CD0275"/>
    <w:rsid w:val="00CD44C0"/>
    <w:rsid w:val="00CE0A1F"/>
    <w:rsid w:val="00CF38C6"/>
    <w:rsid w:val="00D00816"/>
    <w:rsid w:val="00D01DA7"/>
    <w:rsid w:val="00D106C0"/>
    <w:rsid w:val="00D10DE8"/>
    <w:rsid w:val="00D11316"/>
    <w:rsid w:val="00D12CEC"/>
    <w:rsid w:val="00D22180"/>
    <w:rsid w:val="00D22E0E"/>
    <w:rsid w:val="00D323F2"/>
    <w:rsid w:val="00D32CB9"/>
    <w:rsid w:val="00D32CFE"/>
    <w:rsid w:val="00D400D8"/>
    <w:rsid w:val="00D441B3"/>
    <w:rsid w:val="00D44E2F"/>
    <w:rsid w:val="00D50968"/>
    <w:rsid w:val="00D527DB"/>
    <w:rsid w:val="00D5433A"/>
    <w:rsid w:val="00D5595E"/>
    <w:rsid w:val="00D66864"/>
    <w:rsid w:val="00D7562E"/>
    <w:rsid w:val="00D77AFF"/>
    <w:rsid w:val="00D811A0"/>
    <w:rsid w:val="00D8689C"/>
    <w:rsid w:val="00D922B9"/>
    <w:rsid w:val="00D92E51"/>
    <w:rsid w:val="00D95593"/>
    <w:rsid w:val="00D95F94"/>
    <w:rsid w:val="00D96519"/>
    <w:rsid w:val="00D966EA"/>
    <w:rsid w:val="00DA0409"/>
    <w:rsid w:val="00DA32DB"/>
    <w:rsid w:val="00DA44F3"/>
    <w:rsid w:val="00DA5894"/>
    <w:rsid w:val="00DB22A8"/>
    <w:rsid w:val="00DB31B1"/>
    <w:rsid w:val="00DB460E"/>
    <w:rsid w:val="00DC0EC4"/>
    <w:rsid w:val="00DC54D0"/>
    <w:rsid w:val="00DC7288"/>
    <w:rsid w:val="00DC7CC6"/>
    <w:rsid w:val="00DD7F89"/>
    <w:rsid w:val="00DF1E18"/>
    <w:rsid w:val="00DF4CA3"/>
    <w:rsid w:val="00DF5B6F"/>
    <w:rsid w:val="00DF69BD"/>
    <w:rsid w:val="00DF7426"/>
    <w:rsid w:val="00E004D3"/>
    <w:rsid w:val="00E00B75"/>
    <w:rsid w:val="00E0145C"/>
    <w:rsid w:val="00E0236B"/>
    <w:rsid w:val="00E03251"/>
    <w:rsid w:val="00E100B8"/>
    <w:rsid w:val="00E133DE"/>
    <w:rsid w:val="00E1365B"/>
    <w:rsid w:val="00E14636"/>
    <w:rsid w:val="00E15214"/>
    <w:rsid w:val="00E25399"/>
    <w:rsid w:val="00E26249"/>
    <w:rsid w:val="00E31408"/>
    <w:rsid w:val="00E32341"/>
    <w:rsid w:val="00E33117"/>
    <w:rsid w:val="00E36CBE"/>
    <w:rsid w:val="00E3725D"/>
    <w:rsid w:val="00E42AAF"/>
    <w:rsid w:val="00E50C04"/>
    <w:rsid w:val="00E50EA0"/>
    <w:rsid w:val="00E52AF2"/>
    <w:rsid w:val="00E565DC"/>
    <w:rsid w:val="00E56899"/>
    <w:rsid w:val="00E57E96"/>
    <w:rsid w:val="00E64A81"/>
    <w:rsid w:val="00E66308"/>
    <w:rsid w:val="00E83049"/>
    <w:rsid w:val="00E85FB1"/>
    <w:rsid w:val="00E90B84"/>
    <w:rsid w:val="00E91C01"/>
    <w:rsid w:val="00E92CE5"/>
    <w:rsid w:val="00E940A5"/>
    <w:rsid w:val="00EA19F9"/>
    <w:rsid w:val="00EA5973"/>
    <w:rsid w:val="00EA693B"/>
    <w:rsid w:val="00EB119B"/>
    <w:rsid w:val="00EB1A05"/>
    <w:rsid w:val="00EB3745"/>
    <w:rsid w:val="00EB53BA"/>
    <w:rsid w:val="00EB61B1"/>
    <w:rsid w:val="00EB6C93"/>
    <w:rsid w:val="00EC1A53"/>
    <w:rsid w:val="00EC2CD0"/>
    <w:rsid w:val="00EC2F76"/>
    <w:rsid w:val="00EC4115"/>
    <w:rsid w:val="00ED04BF"/>
    <w:rsid w:val="00ED0CE5"/>
    <w:rsid w:val="00ED1224"/>
    <w:rsid w:val="00ED3D1E"/>
    <w:rsid w:val="00ED59A2"/>
    <w:rsid w:val="00EE080E"/>
    <w:rsid w:val="00EE7160"/>
    <w:rsid w:val="00EF0744"/>
    <w:rsid w:val="00EF3CB9"/>
    <w:rsid w:val="00EF4153"/>
    <w:rsid w:val="00EF5FB6"/>
    <w:rsid w:val="00EF71FB"/>
    <w:rsid w:val="00F02618"/>
    <w:rsid w:val="00F02EEA"/>
    <w:rsid w:val="00F03931"/>
    <w:rsid w:val="00F03B05"/>
    <w:rsid w:val="00F052AE"/>
    <w:rsid w:val="00F06329"/>
    <w:rsid w:val="00F064D0"/>
    <w:rsid w:val="00F07CCE"/>
    <w:rsid w:val="00F15AD0"/>
    <w:rsid w:val="00F17777"/>
    <w:rsid w:val="00F20758"/>
    <w:rsid w:val="00F24E03"/>
    <w:rsid w:val="00F2588D"/>
    <w:rsid w:val="00F25A00"/>
    <w:rsid w:val="00F2646B"/>
    <w:rsid w:val="00F31C2B"/>
    <w:rsid w:val="00F33E0E"/>
    <w:rsid w:val="00F36231"/>
    <w:rsid w:val="00F36993"/>
    <w:rsid w:val="00F3707E"/>
    <w:rsid w:val="00F40C31"/>
    <w:rsid w:val="00F4165B"/>
    <w:rsid w:val="00F441B3"/>
    <w:rsid w:val="00F443B6"/>
    <w:rsid w:val="00F44DD9"/>
    <w:rsid w:val="00F45C1E"/>
    <w:rsid w:val="00F4653B"/>
    <w:rsid w:val="00F50C02"/>
    <w:rsid w:val="00F51248"/>
    <w:rsid w:val="00F60922"/>
    <w:rsid w:val="00F61362"/>
    <w:rsid w:val="00F67AEE"/>
    <w:rsid w:val="00F70815"/>
    <w:rsid w:val="00F72F8E"/>
    <w:rsid w:val="00F73100"/>
    <w:rsid w:val="00F73DF7"/>
    <w:rsid w:val="00F753E3"/>
    <w:rsid w:val="00F7731E"/>
    <w:rsid w:val="00F820F0"/>
    <w:rsid w:val="00F8249F"/>
    <w:rsid w:val="00F85174"/>
    <w:rsid w:val="00F85AE2"/>
    <w:rsid w:val="00F91542"/>
    <w:rsid w:val="00FA2C7B"/>
    <w:rsid w:val="00FA451A"/>
    <w:rsid w:val="00FB1331"/>
    <w:rsid w:val="00FB1C70"/>
    <w:rsid w:val="00FB310E"/>
    <w:rsid w:val="00FB6D33"/>
    <w:rsid w:val="00FB7003"/>
    <w:rsid w:val="00FB72CF"/>
    <w:rsid w:val="00FC1659"/>
    <w:rsid w:val="00FC4187"/>
    <w:rsid w:val="00FD101F"/>
    <w:rsid w:val="00FD1A21"/>
    <w:rsid w:val="00FD2969"/>
    <w:rsid w:val="00FD37D9"/>
    <w:rsid w:val="00FD3A14"/>
    <w:rsid w:val="00FD4E65"/>
    <w:rsid w:val="00FE389A"/>
    <w:rsid w:val="00FE4CDB"/>
    <w:rsid w:val="00FF4574"/>
    <w:rsid w:val="00FF4BE1"/>
    <w:rsid w:val="00FF69AA"/>
    <w:rsid w:val="00FF7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511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27F"/>
    <w:pPr>
      <w:spacing w:after="240" w:line="280" w:lineRule="exact"/>
      <w:jc w:val="both"/>
    </w:pPr>
  </w:style>
  <w:style w:type="paragraph" w:styleId="Heading1">
    <w:name w:val="heading 1"/>
    <w:basedOn w:val="Normal"/>
    <w:next w:val="Normal"/>
    <w:link w:val="Heading1Char"/>
    <w:uiPriority w:val="2"/>
    <w:qFormat/>
    <w:rsid w:val="004D127F"/>
    <w:pPr>
      <w:keepNext/>
      <w:keepLines/>
      <w:spacing w:before="300" w:after="180"/>
      <w:outlineLvl w:val="0"/>
    </w:pPr>
    <w:rPr>
      <w:rFonts w:ascii="Calibri" w:eastAsiaTheme="majorEastAsia" w:hAnsi="Calibri" w:cstheme="majorBidi"/>
      <w:b/>
      <w:bCs/>
      <w:color w:val="1F497D" w:themeColor="text2"/>
      <w:sz w:val="32"/>
      <w:szCs w:val="28"/>
    </w:rPr>
  </w:style>
  <w:style w:type="paragraph" w:styleId="Heading2">
    <w:name w:val="heading 2"/>
    <w:basedOn w:val="Normal"/>
    <w:next w:val="Normal"/>
    <w:link w:val="Heading2Char"/>
    <w:uiPriority w:val="2"/>
    <w:qFormat/>
    <w:rsid w:val="004D127F"/>
    <w:pPr>
      <w:keepNext/>
      <w:keepLines/>
      <w:spacing w:before="240" w:after="180"/>
      <w:outlineLvl w:val="1"/>
    </w:pPr>
    <w:rPr>
      <w:rFonts w:ascii="Calibri" w:eastAsiaTheme="majorEastAsia" w:hAnsi="Calibri" w:cstheme="majorBidi"/>
      <w:b/>
      <w:bCs/>
      <w:color w:val="1F497D" w:themeColor="text2"/>
      <w:sz w:val="26"/>
      <w:szCs w:val="26"/>
    </w:rPr>
  </w:style>
  <w:style w:type="paragraph" w:styleId="Heading3">
    <w:name w:val="heading 3"/>
    <w:basedOn w:val="Normal"/>
    <w:next w:val="Normal"/>
    <w:link w:val="Heading3Char"/>
    <w:uiPriority w:val="2"/>
    <w:unhideWhenUsed/>
    <w:qFormat/>
    <w:rsid w:val="004D127F"/>
    <w:pPr>
      <w:keepNext/>
      <w:keepLines/>
      <w:spacing w:before="240" w:after="120"/>
      <w:outlineLvl w:val="2"/>
    </w:pPr>
    <w:rPr>
      <w:rFonts w:ascii="Calibri" w:eastAsiaTheme="majorEastAsia" w:hAnsi="Calibri" w:cstheme="majorBidi"/>
      <w:b/>
      <w:bCs/>
      <w:i/>
      <w:color w:val="1F497D" w:themeColor="text2"/>
      <w:sz w:val="24"/>
    </w:rPr>
  </w:style>
  <w:style w:type="paragraph" w:styleId="Heading4">
    <w:name w:val="heading 4"/>
    <w:basedOn w:val="Normal"/>
    <w:next w:val="Normal"/>
    <w:link w:val="Heading4Char"/>
    <w:uiPriority w:val="9"/>
    <w:semiHidden/>
    <w:unhideWhenUsed/>
    <w:qFormat/>
    <w:rsid w:val="002679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D127F"/>
    <w:rPr>
      <w:rFonts w:ascii="Calibri" w:eastAsiaTheme="majorEastAsia" w:hAnsi="Calibri" w:cstheme="majorBidi"/>
      <w:b/>
      <w:bCs/>
      <w:color w:val="1F497D" w:themeColor="text2"/>
      <w:sz w:val="32"/>
      <w:szCs w:val="28"/>
    </w:rPr>
  </w:style>
  <w:style w:type="character" w:customStyle="1" w:styleId="Heading2Char">
    <w:name w:val="Heading 2 Char"/>
    <w:basedOn w:val="DefaultParagraphFont"/>
    <w:link w:val="Heading2"/>
    <w:uiPriority w:val="2"/>
    <w:rsid w:val="004D127F"/>
    <w:rPr>
      <w:rFonts w:ascii="Calibri" w:eastAsiaTheme="majorEastAsia" w:hAnsi="Calibri" w:cstheme="majorBidi"/>
      <w:b/>
      <w:bCs/>
      <w:color w:val="1F497D" w:themeColor="text2"/>
      <w:sz w:val="26"/>
      <w:szCs w:val="26"/>
    </w:rPr>
  </w:style>
  <w:style w:type="character" w:customStyle="1" w:styleId="Heading3Char">
    <w:name w:val="Heading 3 Char"/>
    <w:basedOn w:val="DefaultParagraphFont"/>
    <w:link w:val="Heading3"/>
    <w:uiPriority w:val="2"/>
    <w:rsid w:val="004D127F"/>
    <w:rPr>
      <w:rFonts w:ascii="Calibri" w:eastAsiaTheme="majorEastAsia" w:hAnsi="Calibri" w:cstheme="majorBidi"/>
      <w:b/>
      <w:bCs/>
      <w:i/>
      <w:color w:val="1F497D" w:themeColor="text2"/>
      <w:sz w:val="24"/>
    </w:rPr>
  </w:style>
  <w:style w:type="paragraph" w:styleId="TOCHeading">
    <w:name w:val="TOC Heading"/>
    <w:basedOn w:val="Heading1"/>
    <w:next w:val="Normal"/>
    <w:uiPriority w:val="39"/>
    <w:unhideWhenUsed/>
    <w:qFormat/>
    <w:rsid w:val="00886727"/>
    <w:pPr>
      <w:keepLines w:val="0"/>
      <w:pBdr>
        <w:bottom w:val="single" w:sz="12" w:space="11" w:color="004A7F"/>
      </w:pBdr>
      <w:tabs>
        <w:tab w:val="left" w:pos="567"/>
      </w:tabs>
      <w:spacing w:before="0" w:after="480" w:line="240" w:lineRule="auto"/>
      <w:ind w:left="567" w:hanging="567"/>
      <w:outlineLvl w:val="9"/>
    </w:pPr>
    <w:rPr>
      <w:rFonts w:eastAsia="Times New Roman" w:cs="Arial"/>
      <w:bCs w:val="0"/>
      <w:caps/>
      <w:color w:val="004A7F"/>
      <w:kern w:val="32"/>
      <w:sz w:val="44"/>
      <w:szCs w:val="36"/>
      <w:lang w:eastAsia="en-AU"/>
    </w:rPr>
  </w:style>
  <w:style w:type="paragraph" w:styleId="TOC1">
    <w:name w:val="toc 1"/>
    <w:basedOn w:val="Normal"/>
    <w:next w:val="Normal"/>
    <w:uiPriority w:val="39"/>
    <w:unhideWhenUsed/>
    <w:rsid w:val="004D127F"/>
    <w:pPr>
      <w:tabs>
        <w:tab w:val="right" w:leader="dot" w:pos="9016"/>
      </w:tabs>
      <w:spacing w:before="120" w:after="60" w:line="240" w:lineRule="exact"/>
    </w:pPr>
    <w:rPr>
      <w:b/>
      <w:caps/>
      <w:noProof/>
      <w:color w:val="1F497D" w:themeColor="text2"/>
    </w:rPr>
  </w:style>
  <w:style w:type="paragraph" w:styleId="TOC2">
    <w:name w:val="toc 2"/>
    <w:basedOn w:val="Normal"/>
    <w:next w:val="Normal"/>
    <w:uiPriority w:val="39"/>
    <w:unhideWhenUsed/>
    <w:rsid w:val="004D127F"/>
    <w:pPr>
      <w:tabs>
        <w:tab w:val="right" w:leader="dot" w:pos="9016"/>
      </w:tabs>
      <w:spacing w:before="60" w:after="60"/>
      <w:ind w:left="284" w:right="804"/>
    </w:pPr>
    <w:rPr>
      <w:noProof/>
      <w:color w:val="1F497D" w:themeColor="text2"/>
    </w:rPr>
  </w:style>
  <w:style w:type="paragraph" w:styleId="TOC3">
    <w:name w:val="toc 3"/>
    <w:basedOn w:val="Normal"/>
    <w:next w:val="Normal"/>
    <w:autoRedefine/>
    <w:uiPriority w:val="39"/>
    <w:unhideWhenUsed/>
    <w:rsid w:val="00AD2D97"/>
    <w:pPr>
      <w:spacing w:after="100"/>
      <w:ind w:left="440"/>
    </w:pPr>
  </w:style>
  <w:style w:type="character" w:styleId="Hyperlink">
    <w:name w:val="Hyperlink"/>
    <w:basedOn w:val="DefaultParagraphFont"/>
    <w:uiPriority w:val="99"/>
    <w:unhideWhenUsed/>
    <w:rsid w:val="004D127F"/>
    <w:rPr>
      <w:b/>
      <w:color w:val="1F497D" w:themeColor="text2"/>
      <w:u w:val="none"/>
    </w:rPr>
  </w:style>
  <w:style w:type="paragraph" w:styleId="BalloonText">
    <w:name w:val="Balloon Text"/>
    <w:basedOn w:val="Normal"/>
    <w:link w:val="BalloonTextChar"/>
    <w:uiPriority w:val="99"/>
    <w:semiHidden/>
    <w:unhideWhenUsed/>
    <w:rsid w:val="004D12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27F"/>
    <w:rPr>
      <w:rFonts w:ascii="Tahoma" w:hAnsi="Tahoma" w:cs="Tahoma"/>
      <w:sz w:val="16"/>
      <w:szCs w:val="16"/>
    </w:rPr>
  </w:style>
  <w:style w:type="paragraph" w:styleId="Header">
    <w:name w:val="header"/>
    <w:basedOn w:val="Normal"/>
    <w:link w:val="HeaderChar"/>
    <w:uiPriority w:val="99"/>
    <w:unhideWhenUsed/>
    <w:rsid w:val="004D127F"/>
    <w:pPr>
      <w:tabs>
        <w:tab w:val="center" w:pos="4513"/>
        <w:tab w:val="right" w:pos="9026"/>
      </w:tabs>
      <w:spacing w:after="0"/>
    </w:pPr>
  </w:style>
  <w:style w:type="character" w:customStyle="1" w:styleId="HeaderChar">
    <w:name w:val="Header Char"/>
    <w:basedOn w:val="DefaultParagraphFont"/>
    <w:link w:val="Header"/>
    <w:uiPriority w:val="99"/>
    <w:rsid w:val="004D127F"/>
  </w:style>
  <w:style w:type="paragraph" w:styleId="Footer">
    <w:name w:val="footer"/>
    <w:basedOn w:val="Normal"/>
    <w:link w:val="FooterChar"/>
    <w:uiPriority w:val="99"/>
    <w:unhideWhenUsed/>
    <w:rsid w:val="004D127F"/>
    <w:pPr>
      <w:tabs>
        <w:tab w:val="center" w:pos="4513"/>
        <w:tab w:val="right" w:pos="9026"/>
      </w:tabs>
      <w:spacing w:after="0"/>
      <w:jc w:val="center"/>
    </w:pPr>
  </w:style>
  <w:style w:type="character" w:customStyle="1" w:styleId="FooterChar">
    <w:name w:val="Footer Char"/>
    <w:basedOn w:val="DefaultParagraphFont"/>
    <w:link w:val="Footer"/>
    <w:uiPriority w:val="99"/>
    <w:rsid w:val="004D127F"/>
  </w:style>
  <w:style w:type="paragraph" w:customStyle="1" w:styleId="OutlineNumbered1">
    <w:name w:val="Outline Numbered 1"/>
    <w:basedOn w:val="Normal"/>
    <w:link w:val="OutlineNumbered1Char"/>
    <w:rsid w:val="00E565DC"/>
    <w:pPr>
      <w:numPr>
        <w:numId w:val="1"/>
      </w:numPr>
      <w:tabs>
        <w:tab w:val="clear" w:pos="520"/>
        <w:tab w:val="num" w:pos="567"/>
      </w:tabs>
      <w:ind w:left="567" w:hanging="567"/>
    </w:pPr>
  </w:style>
  <w:style w:type="character" w:customStyle="1" w:styleId="OutlineNumbered1Char">
    <w:name w:val="Outline Numbered 1 Char"/>
    <w:basedOn w:val="DefaultParagraphFont"/>
    <w:link w:val="OutlineNumbered1"/>
    <w:rsid w:val="00E565DC"/>
  </w:style>
  <w:style w:type="paragraph" w:customStyle="1" w:styleId="OutlineNumbered2">
    <w:name w:val="Outline Numbered 2"/>
    <w:basedOn w:val="Normal"/>
    <w:link w:val="OutlineNumbered2Char"/>
    <w:rsid w:val="00495A8E"/>
    <w:rPr>
      <w:b/>
      <w:sz w:val="28"/>
    </w:rPr>
  </w:style>
  <w:style w:type="character" w:customStyle="1" w:styleId="OutlineNumbered2Char">
    <w:name w:val="Outline Numbered 2 Char"/>
    <w:basedOn w:val="DefaultParagraphFont"/>
    <w:link w:val="OutlineNumbered2"/>
    <w:rsid w:val="00495A8E"/>
    <w:rPr>
      <w:b/>
      <w:sz w:val="28"/>
    </w:rPr>
  </w:style>
  <w:style w:type="paragraph" w:customStyle="1" w:styleId="OutlineNumbered3">
    <w:name w:val="Outline Numbered 3"/>
    <w:basedOn w:val="Normal"/>
    <w:link w:val="OutlineNumbered3Char"/>
    <w:rsid w:val="00495A8E"/>
    <w:rPr>
      <w:b/>
      <w:sz w:val="28"/>
    </w:rPr>
  </w:style>
  <w:style w:type="character" w:customStyle="1" w:styleId="OutlineNumbered3Char">
    <w:name w:val="Outline Numbered 3 Char"/>
    <w:basedOn w:val="DefaultParagraphFont"/>
    <w:link w:val="OutlineNumbered3"/>
    <w:rsid w:val="00495A8E"/>
    <w:rPr>
      <w:b/>
      <w:sz w:val="28"/>
    </w:rPr>
  </w:style>
  <w:style w:type="paragraph" w:customStyle="1" w:styleId="Bullet">
    <w:name w:val="Bullet"/>
    <w:aliases w:val="b,b1,b + line,Body,level 1"/>
    <w:basedOn w:val="Normal"/>
    <w:link w:val="BulletChar"/>
    <w:rsid w:val="004D127F"/>
    <w:pPr>
      <w:numPr>
        <w:numId w:val="31"/>
      </w:numPr>
      <w:ind w:left="567" w:hanging="567"/>
    </w:pPr>
    <w:rPr>
      <w:rFonts w:ascii="Calibri" w:eastAsiaTheme="majorEastAsia" w:hAnsi="Calibri" w:cstheme="majorBidi"/>
      <w:color w:val="000000" w:themeColor="text1"/>
      <w:szCs w:val="28"/>
    </w:rPr>
  </w:style>
  <w:style w:type="character" w:customStyle="1" w:styleId="BulletChar">
    <w:name w:val="Bullet Char"/>
    <w:aliases w:val="b Char,b1 Char,b + line Char,Body Char,level 1 Char"/>
    <w:basedOn w:val="Heading1Char"/>
    <w:link w:val="Bullet"/>
    <w:rsid w:val="004D127F"/>
    <w:rPr>
      <w:rFonts w:ascii="Calibri" w:eastAsiaTheme="majorEastAsia" w:hAnsi="Calibri" w:cstheme="majorBidi"/>
      <w:b w:val="0"/>
      <w:bCs w:val="0"/>
      <w:color w:val="000000" w:themeColor="text1"/>
      <w:sz w:val="32"/>
      <w:szCs w:val="28"/>
    </w:rPr>
  </w:style>
  <w:style w:type="paragraph" w:customStyle="1" w:styleId="Dash">
    <w:name w:val="Dash"/>
    <w:basedOn w:val="Normal"/>
    <w:link w:val="DashChar"/>
    <w:rsid w:val="004D127F"/>
    <w:pPr>
      <w:numPr>
        <w:ilvl w:val="1"/>
        <w:numId w:val="31"/>
      </w:numPr>
    </w:pPr>
    <w:rPr>
      <w:rFonts w:asciiTheme="majorHAnsi" w:eastAsiaTheme="majorEastAsia" w:hAnsiTheme="majorHAnsi" w:cstheme="majorBidi"/>
      <w:color w:val="365F91" w:themeColor="accent1" w:themeShade="BF"/>
      <w:sz w:val="28"/>
      <w:szCs w:val="28"/>
    </w:rPr>
  </w:style>
  <w:style w:type="character" w:customStyle="1" w:styleId="DashChar">
    <w:name w:val="Dash Char"/>
    <w:basedOn w:val="Heading1Char"/>
    <w:link w:val="Dash"/>
    <w:rsid w:val="004D127F"/>
    <w:rPr>
      <w:rFonts w:asciiTheme="majorHAnsi" w:eastAsiaTheme="majorEastAsia" w:hAnsiTheme="majorHAnsi" w:cstheme="majorBidi"/>
      <w:b w:val="0"/>
      <w:bCs w:val="0"/>
      <w:color w:val="365F91" w:themeColor="accent1" w:themeShade="BF"/>
      <w:sz w:val="28"/>
      <w:szCs w:val="28"/>
    </w:rPr>
  </w:style>
  <w:style w:type="paragraph" w:customStyle="1" w:styleId="DoubleDot">
    <w:name w:val="Double Dot"/>
    <w:basedOn w:val="Normal"/>
    <w:link w:val="DoubleDotChar"/>
    <w:rsid w:val="004D127F"/>
    <w:pPr>
      <w:numPr>
        <w:ilvl w:val="2"/>
        <w:numId w:val="31"/>
      </w:numPr>
    </w:pPr>
    <w:rPr>
      <w:rFonts w:asciiTheme="majorHAnsi" w:eastAsiaTheme="majorEastAsia" w:hAnsiTheme="majorHAnsi" w:cstheme="majorBidi"/>
      <w:color w:val="365F91" w:themeColor="accent1" w:themeShade="BF"/>
      <w:sz w:val="28"/>
      <w:szCs w:val="28"/>
    </w:rPr>
  </w:style>
  <w:style w:type="character" w:customStyle="1" w:styleId="DoubleDotChar">
    <w:name w:val="Double Dot Char"/>
    <w:basedOn w:val="Heading1Char"/>
    <w:link w:val="DoubleDot"/>
    <w:rsid w:val="004D127F"/>
    <w:rPr>
      <w:rFonts w:asciiTheme="majorHAnsi" w:eastAsiaTheme="majorEastAsia" w:hAnsiTheme="majorHAnsi" w:cstheme="majorBidi"/>
      <w:b w:val="0"/>
      <w:bCs w:val="0"/>
      <w:color w:val="365F91" w:themeColor="accent1" w:themeShade="BF"/>
      <w:sz w:val="28"/>
      <w:szCs w:val="28"/>
    </w:rPr>
  </w:style>
  <w:style w:type="paragraph" w:styleId="FootnoteText">
    <w:name w:val="footnote text"/>
    <w:basedOn w:val="Normal"/>
    <w:link w:val="FootnoteTextChar"/>
    <w:uiPriority w:val="99"/>
    <w:rsid w:val="004D127F"/>
    <w:pPr>
      <w:tabs>
        <w:tab w:val="left" w:pos="357"/>
      </w:tabs>
      <w:spacing w:after="0"/>
      <w:ind w:left="357" w:hanging="357"/>
    </w:pPr>
    <w:rPr>
      <w:sz w:val="20"/>
      <w:szCs w:val="20"/>
    </w:rPr>
  </w:style>
  <w:style w:type="character" w:customStyle="1" w:styleId="FootnoteTextChar">
    <w:name w:val="Footnote Text Char"/>
    <w:basedOn w:val="DefaultParagraphFont"/>
    <w:link w:val="FootnoteText"/>
    <w:uiPriority w:val="99"/>
    <w:rsid w:val="004D127F"/>
    <w:rPr>
      <w:sz w:val="20"/>
      <w:szCs w:val="20"/>
    </w:rPr>
  </w:style>
  <w:style w:type="character" w:styleId="FootnoteReference">
    <w:name w:val="footnote reference"/>
    <w:basedOn w:val="DefaultParagraphFont"/>
    <w:uiPriority w:val="99"/>
    <w:unhideWhenUsed/>
    <w:rsid w:val="004D127F"/>
    <w:rPr>
      <w:rFonts w:ascii="Calibri" w:hAnsi="Calibri"/>
      <w:sz w:val="18"/>
      <w:vertAlign w:val="superscript"/>
    </w:rPr>
  </w:style>
  <w:style w:type="character" w:styleId="CommentReference">
    <w:name w:val="annotation reference"/>
    <w:basedOn w:val="DefaultParagraphFont"/>
    <w:uiPriority w:val="99"/>
    <w:semiHidden/>
    <w:unhideWhenUsed/>
    <w:rsid w:val="00F51248"/>
    <w:rPr>
      <w:sz w:val="16"/>
      <w:szCs w:val="16"/>
    </w:rPr>
  </w:style>
  <w:style w:type="paragraph" w:styleId="CommentText">
    <w:name w:val="annotation text"/>
    <w:basedOn w:val="Normal"/>
    <w:link w:val="CommentTextChar"/>
    <w:uiPriority w:val="99"/>
    <w:semiHidden/>
    <w:unhideWhenUsed/>
    <w:rsid w:val="00F51248"/>
    <w:rPr>
      <w:sz w:val="20"/>
      <w:szCs w:val="20"/>
    </w:rPr>
  </w:style>
  <w:style w:type="character" w:customStyle="1" w:styleId="CommentTextChar">
    <w:name w:val="Comment Text Char"/>
    <w:basedOn w:val="DefaultParagraphFont"/>
    <w:link w:val="CommentText"/>
    <w:uiPriority w:val="99"/>
    <w:semiHidden/>
    <w:rsid w:val="00F51248"/>
    <w:rPr>
      <w:sz w:val="20"/>
      <w:szCs w:val="20"/>
    </w:rPr>
  </w:style>
  <w:style w:type="paragraph" w:styleId="CommentSubject">
    <w:name w:val="annotation subject"/>
    <w:basedOn w:val="CommentText"/>
    <w:next w:val="CommentText"/>
    <w:link w:val="CommentSubjectChar"/>
    <w:uiPriority w:val="99"/>
    <w:semiHidden/>
    <w:unhideWhenUsed/>
    <w:rsid w:val="00F51248"/>
    <w:rPr>
      <w:b/>
      <w:bCs/>
    </w:rPr>
  </w:style>
  <w:style w:type="character" w:customStyle="1" w:styleId="CommentSubjectChar">
    <w:name w:val="Comment Subject Char"/>
    <w:basedOn w:val="CommentTextChar"/>
    <w:link w:val="CommentSubject"/>
    <w:uiPriority w:val="99"/>
    <w:semiHidden/>
    <w:rsid w:val="00F51248"/>
    <w:rPr>
      <w:b/>
      <w:bCs/>
      <w:sz w:val="20"/>
      <w:szCs w:val="20"/>
    </w:rPr>
  </w:style>
  <w:style w:type="paragraph" w:styleId="NormalWeb">
    <w:name w:val="Normal (Web)"/>
    <w:basedOn w:val="Normal"/>
    <w:uiPriority w:val="99"/>
    <w:semiHidden/>
    <w:unhideWhenUsed/>
    <w:rsid w:val="004F6C13"/>
    <w:rPr>
      <w:rFonts w:ascii="Times New Roman" w:hAnsi="Times New Roman" w:cs="Times New Roman"/>
      <w:sz w:val="24"/>
      <w:szCs w:val="24"/>
    </w:rPr>
  </w:style>
  <w:style w:type="paragraph" w:styleId="ListParagraph">
    <w:name w:val="List Paragraph"/>
    <w:basedOn w:val="Normal"/>
    <w:uiPriority w:val="34"/>
    <w:qFormat/>
    <w:rsid w:val="005772AA"/>
    <w:pPr>
      <w:ind w:left="720"/>
      <w:contextualSpacing/>
    </w:pPr>
  </w:style>
  <w:style w:type="table" w:styleId="TableGrid">
    <w:name w:val="Table Grid"/>
    <w:basedOn w:val="TableNormal"/>
    <w:uiPriority w:val="59"/>
    <w:rsid w:val="00742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39A8"/>
    <w:rPr>
      <w:color w:val="800080" w:themeColor="followedHyperlink"/>
      <w:u w:val="single"/>
    </w:rPr>
  </w:style>
  <w:style w:type="paragraph" w:styleId="Revision">
    <w:name w:val="Revision"/>
    <w:hidden/>
    <w:uiPriority w:val="99"/>
    <w:semiHidden/>
    <w:rsid w:val="00B32C49"/>
    <w:pPr>
      <w:spacing w:after="0" w:line="240" w:lineRule="auto"/>
    </w:pPr>
  </w:style>
  <w:style w:type="paragraph" w:customStyle="1" w:styleId="Heading1Numbered">
    <w:name w:val="Heading 1 Numbered"/>
    <w:basedOn w:val="Heading1"/>
    <w:next w:val="Normal"/>
    <w:rsid w:val="007517B8"/>
    <w:pPr>
      <w:keepLines w:val="0"/>
      <w:numPr>
        <w:numId w:val="6"/>
      </w:numPr>
      <w:pBdr>
        <w:bottom w:val="single" w:sz="12" w:space="11" w:color="004A7F"/>
      </w:pBdr>
      <w:tabs>
        <w:tab w:val="left" w:pos="567"/>
      </w:tabs>
      <w:spacing w:before="0" w:after="480"/>
    </w:pPr>
    <w:rPr>
      <w:rFonts w:eastAsia="Times New Roman" w:cs="Arial"/>
      <w:bCs w:val="0"/>
      <w:caps/>
      <w:color w:val="004A7F"/>
      <w:kern w:val="32"/>
      <w:sz w:val="44"/>
      <w:szCs w:val="36"/>
      <w:lang w:eastAsia="en-AU"/>
    </w:rPr>
  </w:style>
  <w:style w:type="paragraph" w:customStyle="1" w:styleId="Heading2Numbered">
    <w:name w:val="Heading 2 Numbered"/>
    <w:basedOn w:val="Heading2"/>
    <w:next w:val="Normal"/>
    <w:rsid w:val="007517B8"/>
    <w:pPr>
      <w:keepLines w:val="0"/>
      <w:numPr>
        <w:ilvl w:val="1"/>
        <w:numId w:val="6"/>
      </w:numPr>
      <w:spacing w:before="120" w:after="240"/>
      <w:ind w:left="284" w:hanging="284"/>
    </w:pPr>
    <w:rPr>
      <w:rFonts w:eastAsia="Times New Roman" w:cs="Arial"/>
      <w:bCs w:val="0"/>
      <w:iCs/>
      <w:caps/>
      <w:color w:val="595959" w:themeColor="text1" w:themeTint="A6"/>
      <w:kern w:val="32"/>
      <w:sz w:val="36"/>
      <w:szCs w:val="28"/>
      <w:lang w:eastAsia="en-AU"/>
    </w:rPr>
  </w:style>
  <w:style w:type="paragraph" w:customStyle="1" w:styleId="Heading3Numbered">
    <w:name w:val="Heading 3 Numbered"/>
    <w:basedOn w:val="Heading3"/>
    <w:qFormat/>
    <w:rsid w:val="007517B8"/>
    <w:pPr>
      <w:keepLines w:val="0"/>
      <w:numPr>
        <w:ilvl w:val="2"/>
        <w:numId w:val="6"/>
      </w:numPr>
      <w:tabs>
        <w:tab w:val="num" w:pos="360"/>
      </w:tabs>
      <w:spacing w:after="240"/>
      <w:ind w:left="284" w:hanging="284"/>
    </w:pPr>
    <w:rPr>
      <w:rFonts w:eastAsia="Times New Roman" w:cs="Arial"/>
      <w:bCs w:val="0"/>
      <w:color w:val="004A7F"/>
      <w:kern w:val="32"/>
      <w:szCs w:val="26"/>
      <w:lang w:eastAsia="en-AU"/>
    </w:rPr>
  </w:style>
  <w:style w:type="paragraph" w:customStyle="1" w:styleId="BoxText">
    <w:name w:val="Box Text"/>
    <w:basedOn w:val="Normal"/>
    <w:link w:val="BoxTextChar"/>
    <w:rsid w:val="00E565DC"/>
    <w:pPr>
      <w:spacing w:before="120" w:after="120"/>
    </w:pPr>
    <w:rPr>
      <w:rFonts w:ascii="Arial" w:eastAsia="Times New Roman" w:hAnsi="Arial" w:cs="Arial"/>
      <w:color w:val="000000"/>
      <w:sz w:val="20"/>
      <w:szCs w:val="20"/>
      <w:lang w:eastAsia="en-AU"/>
    </w:rPr>
  </w:style>
  <w:style w:type="character" w:customStyle="1" w:styleId="BoxTextChar">
    <w:name w:val="Box Text Char"/>
    <w:basedOn w:val="DefaultParagraphFont"/>
    <w:link w:val="BoxText"/>
    <w:rsid w:val="00E565DC"/>
    <w:rPr>
      <w:rFonts w:ascii="Arial" w:eastAsia="Times New Roman" w:hAnsi="Arial" w:cs="Arial"/>
      <w:color w:val="000000"/>
      <w:sz w:val="20"/>
      <w:szCs w:val="20"/>
      <w:lang w:eastAsia="en-AU"/>
    </w:rPr>
  </w:style>
  <w:style w:type="paragraph" w:customStyle="1" w:styleId="BoxHeading">
    <w:name w:val="Box Heading"/>
    <w:basedOn w:val="Normal"/>
    <w:next w:val="BoxText"/>
    <w:rsid w:val="0016292C"/>
    <w:pPr>
      <w:widowControl w:val="0"/>
      <w:tabs>
        <w:tab w:val="left" w:pos="992"/>
      </w:tabs>
      <w:spacing w:before="120" w:after="120"/>
      <w:ind w:left="992" w:hanging="992"/>
    </w:pPr>
    <w:rPr>
      <w:rFonts w:ascii="Arial Bold" w:eastAsiaTheme="majorEastAsia" w:hAnsi="Arial Bold" w:cs="Times New Roman"/>
      <w:b/>
      <w:caps/>
      <w:color w:val="1F497D" w:themeColor="text2"/>
      <w:sz w:val="24"/>
      <w:lang w:eastAsia="en-AU"/>
    </w:rPr>
  </w:style>
  <w:style w:type="numbering" w:customStyle="1" w:styleId="BulletedList">
    <w:name w:val="Bulleted List"/>
    <w:uiPriority w:val="99"/>
    <w:rsid w:val="007517B8"/>
    <w:pPr>
      <w:numPr>
        <w:numId w:val="9"/>
      </w:numPr>
    </w:pPr>
  </w:style>
  <w:style w:type="paragraph" w:customStyle="1" w:styleId="TableColumnHeadingLeft">
    <w:name w:val="Table Column Heading Left"/>
    <w:basedOn w:val="Normal"/>
    <w:rsid w:val="00C53EF7"/>
    <w:pPr>
      <w:spacing w:before="80" w:after="80"/>
    </w:pPr>
    <w:rPr>
      <w:rFonts w:ascii="Arial" w:eastAsia="Times New Roman" w:hAnsi="Arial" w:cs="Times New Roman"/>
      <w:b/>
      <w:color w:val="004A7F"/>
      <w:sz w:val="21"/>
      <w:szCs w:val="20"/>
      <w:lang w:eastAsia="en-AU"/>
    </w:rPr>
  </w:style>
  <w:style w:type="paragraph" w:customStyle="1" w:styleId="TableTextLeft-Bullet">
    <w:name w:val="Table Text Left - Bullet"/>
    <w:basedOn w:val="Normal"/>
    <w:rsid w:val="00267972"/>
    <w:pPr>
      <w:numPr>
        <w:numId w:val="35"/>
      </w:numPr>
      <w:spacing w:before="60" w:after="60" w:line="240" w:lineRule="exact"/>
      <w:jc w:val="left"/>
    </w:pPr>
    <w:rPr>
      <w:rFonts w:ascii="Arial" w:eastAsia="Times New Roman" w:hAnsi="Arial" w:cs="Times New Roman"/>
      <w:color w:val="000000"/>
      <w:sz w:val="18"/>
      <w:szCs w:val="20"/>
      <w:lang w:eastAsia="en-AU"/>
    </w:rPr>
  </w:style>
  <w:style w:type="paragraph" w:customStyle="1" w:styleId="BoxHeadingSub">
    <w:name w:val="Box Heading Sub"/>
    <w:basedOn w:val="Normal"/>
    <w:qFormat/>
    <w:rsid w:val="00E565DC"/>
    <w:pPr>
      <w:keepNext/>
      <w:tabs>
        <w:tab w:val="left" w:pos="454"/>
      </w:tabs>
      <w:spacing w:before="120" w:after="120" w:line="240" w:lineRule="auto"/>
      <w:ind w:left="454" w:hanging="454"/>
    </w:pPr>
    <w:rPr>
      <w:rFonts w:ascii="Arial" w:eastAsia="Times New Roman" w:hAnsi="Arial" w:cs="Times New Roman"/>
      <w:b/>
      <w:color w:val="808080" w:themeColor="background1" w:themeShade="80"/>
      <w:sz w:val="24"/>
      <w:szCs w:val="20"/>
      <w:lang w:eastAsia="en-AU"/>
    </w:rPr>
  </w:style>
  <w:style w:type="paragraph" w:styleId="EnvelopeAddress">
    <w:name w:val="envelope address"/>
    <w:basedOn w:val="Normal"/>
    <w:uiPriority w:val="99"/>
    <w:semiHidden/>
    <w:unhideWhenUsed/>
    <w:rsid w:val="004D127F"/>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uiPriority w:val="10"/>
    <w:qFormat/>
    <w:rsid w:val="004D127F"/>
    <w:pPr>
      <w:pBdr>
        <w:bottom w:val="single" w:sz="8" w:space="4" w:color="1F497D" w:themeColor="text2"/>
      </w:pBdr>
      <w:spacing w:after="1440" w:line="240" w:lineRule="auto"/>
      <w:contextualSpacing/>
      <w:jc w:val="left"/>
    </w:pPr>
    <w:rPr>
      <w:rFonts w:ascii="Arial" w:eastAsiaTheme="majorEastAsia" w:hAnsi="Arial" w:cstheme="majorBidi"/>
      <w:color w:val="1F497D" w:themeColor="text2"/>
      <w:spacing w:val="5"/>
      <w:kern w:val="28"/>
      <w:sz w:val="52"/>
      <w:szCs w:val="52"/>
    </w:rPr>
  </w:style>
  <w:style w:type="character" w:customStyle="1" w:styleId="TitleChar">
    <w:name w:val="Title Char"/>
    <w:basedOn w:val="DefaultParagraphFont"/>
    <w:link w:val="Title"/>
    <w:uiPriority w:val="10"/>
    <w:rsid w:val="004D127F"/>
    <w:rPr>
      <w:rFonts w:ascii="Arial" w:eastAsiaTheme="majorEastAsia" w:hAnsi="Arial" w:cstheme="majorBidi"/>
      <w:color w:val="1F497D" w:themeColor="text2"/>
      <w:spacing w:val="5"/>
      <w:kern w:val="28"/>
      <w:sz w:val="52"/>
      <w:szCs w:val="52"/>
    </w:rPr>
  </w:style>
  <w:style w:type="paragraph" w:customStyle="1" w:styleId="Singleparagraph">
    <w:name w:val="Single paragraph"/>
    <w:basedOn w:val="Normal"/>
    <w:qFormat/>
    <w:rsid w:val="004D127F"/>
    <w:pPr>
      <w:spacing w:after="0"/>
    </w:pPr>
  </w:style>
  <w:style w:type="paragraph" w:styleId="Quote">
    <w:name w:val="Quote"/>
    <w:basedOn w:val="Normal"/>
    <w:next w:val="Normal"/>
    <w:link w:val="QuoteChar"/>
    <w:uiPriority w:val="29"/>
    <w:qFormat/>
    <w:rsid w:val="004D127F"/>
    <w:pPr>
      <w:spacing w:before="120"/>
      <w:ind w:left="567" w:hanging="567"/>
    </w:pPr>
    <w:rPr>
      <w:iCs/>
      <w:color w:val="000000" w:themeColor="text1"/>
    </w:rPr>
  </w:style>
  <w:style w:type="character" w:customStyle="1" w:styleId="QuoteChar">
    <w:name w:val="Quote Char"/>
    <w:basedOn w:val="DefaultParagraphFont"/>
    <w:link w:val="Quote"/>
    <w:uiPriority w:val="29"/>
    <w:rsid w:val="004D127F"/>
    <w:rPr>
      <w:iCs/>
      <w:color w:val="000000" w:themeColor="text1"/>
    </w:rPr>
  </w:style>
  <w:style w:type="paragraph" w:customStyle="1" w:styleId="Heading1numbered0">
    <w:name w:val="Heading 1 numbered"/>
    <w:basedOn w:val="Heading1"/>
    <w:uiPriority w:val="2"/>
    <w:qFormat/>
    <w:rsid w:val="004D127F"/>
    <w:pPr>
      <w:numPr>
        <w:numId w:val="32"/>
      </w:numPr>
      <w:tabs>
        <w:tab w:val="left" w:pos="567"/>
      </w:tabs>
      <w:ind w:left="0" w:firstLine="0"/>
    </w:pPr>
  </w:style>
  <w:style w:type="paragraph" w:styleId="Subtitle">
    <w:name w:val="Subtitle"/>
    <w:basedOn w:val="Normal"/>
    <w:next w:val="Normal"/>
    <w:link w:val="SubtitleChar"/>
    <w:uiPriority w:val="11"/>
    <w:qFormat/>
    <w:rsid w:val="004D127F"/>
    <w:pPr>
      <w:numPr>
        <w:ilvl w:val="1"/>
      </w:numPr>
      <w:spacing w:after="1440" w:line="240" w:lineRule="auto"/>
      <w:jc w:val="left"/>
    </w:pPr>
    <w:rPr>
      <w:rFonts w:ascii="Arial Bold" w:hAnsi="Arial Bold" w:cs="Arial"/>
      <w:b/>
      <w:caps/>
      <w:color w:val="1F497D" w:themeColor="text2"/>
      <w:spacing w:val="5"/>
      <w:kern w:val="28"/>
      <w:sz w:val="28"/>
    </w:rPr>
  </w:style>
  <w:style w:type="character" w:customStyle="1" w:styleId="SubtitleChar">
    <w:name w:val="Subtitle Char"/>
    <w:basedOn w:val="DefaultParagraphFont"/>
    <w:link w:val="Subtitle"/>
    <w:uiPriority w:val="11"/>
    <w:rsid w:val="004D127F"/>
    <w:rPr>
      <w:rFonts w:ascii="Arial Bold" w:hAnsi="Arial Bold" w:cs="Arial"/>
      <w:b/>
      <w:caps/>
      <w:color w:val="1F497D" w:themeColor="text2"/>
      <w:spacing w:val="5"/>
      <w:kern w:val="28"/>
      <w:sz w:val="28"/>
    </w:rPr>
  </w:style>
  <w:style w:type="paragraph" w:styleId="NoSpacing">
    <w:name w:val="No Spacing"/>
    <w:uiPriority w:val="1"/>
    <w:qFormat/>
    <w:rsid w:val="0037429E"/>
    <w:pPr>
      <w:spacing w:after="0" w:line="240" w:lineRule="auto"/>
    </w:pPr>
  </w:style>
  <w:style w:type="paragraph" w:customStyle="1" w:styleId="footnotenumber">
    <w:name w:val="footnote number"/>
    <w:basedOn w:val="FootnoteText"/>
    <w:qFormat/>
    <w:rsid w:val="0037429E"/>
  </w:style>
  <w:style w:type="paragraph" w:customStyle="1" w:styleId="SubSubtitle">
    <w:name w:val="Sub Subtitle"/>
    <w:basedOn w:val="Normal"/>
    <w:rsid w:val="004D127F"/>
    <w:pPr>
      <w:spacing w:after="120" w:line="240" w:lineRule="auto"/>
      <w:jc w:val="left"/>
    </w:pPr>
    <w:rPr>
      <w:rFonts w:ascii="Arial" w:hAnsi="Arial" w:cs="Arial"/>
      <w:color w:val="1F497D" w:themeColor="text2"/>
      <w:sz w:val="36"/>
    </w:rPr>
  </w:style>
  <w:style w:type="paragraph" w:customStyle="1" w:styleId="Heading2-NoNumbered">
    <w:name w:val="Heading 2 - No Numbered"/>
    <w:basedOn w:val="Heading2Numbered"/>
    <w:rsid w:val="00267972"/>
    <w:pPr>
      <w:numPr>
        <w:ilvl w:val="0"/>
        <w:numId w:val="0"/>
      </w:numPr>
      <w:spacing w:before="240"/>
      <w:jc w:val="left"/>
    </w:pPr>
    <w:rPr>
      <w:sz w:val="32"/>
    </w:rPr>
  </w:style>
  <w:style w:type="paragraph" w:customStyle="1" w:styleId="Heading3-NoNumbered">
    <w:name w:val="Heading 3 - No Numbered"/>
    <w:basedOn w:val="Heading3Numbered"/>
    <w:rsid w:val="0016292C"/>
    <w:pPr>
      <w:numPr>
        <w:ilvl w:val="0"/>
        <w:numId w:val="0"/>
      </w:numPr>
    </w:pPr>
    <w:rPr>
      <w:rFonts w:eastAsiaTheme="majorEastAsia"/>
      <w:i w:val="0"/>
      <w:sz w:val="28"/>
    </w:rPr>
  </w:style>
  <w:style w:type="paragraph" w:customStyle="1" w:styleId="Heading1-NoNumber">
    <w:name w:val="Heading 1 - No Number"/>
    <w:basedOn w:val="Heading1Numbered"/>
    <w:rsid w:val="00E565DC"/>
    <w:pPr>
      <w:numPr>
        <w:numId w:val="0"/>
      </w:numPr>
      <w:spacing w:line="240" w:lineRule="auto"/>
      <w:ind w:left="567" w:hanging="567"/>
    </w:pPr>
  </w:style>
  <w:style w:type="paragraph" w:customStyle="1" w:styleId="Bullet-Indent">
    <w:name w:val="Bullet - Indent"/>
    <w:basedOn w:val="Bullet"/>
    <w:rsid w:val="004D127F"/>
    <w:pPr>
      <w:numPr>
        <w:numId w:val="50"/>
      </w:numPr>
      <w:tabs>
        <w:tab w:val="num" w:pos="1134"/>
      </w:tabs>
      <w:ind w:left="1134" w:hanging="567"/>
    </w:pPr>
    <w:rPr>
      <w:rFonts w:asciiTheme="minorHAnsi" w:eastAsiaTheme="minorHAnsi" w:hAnsiTheme="minorHAnsi" w:cstheme="minorBidi"/>
      <w:color w:val="auto"/>
      <w:szCs w:val="22"/>
    </w:rPr>
  </w:style>
  <w:style w:type="paragraph" w:customStyle="1" w:styleId="Dash-Indent">
    <w:name w:val="Dash - Indent"/>
    <w:basedOn w:val="Dash"/>
    <w:rsid w:val="004D127F"/>
    <w:pPr>
      <w:numPr>
        <w:ilvl w:val="0"/>
        <w:numId w:val="33"/>
      </w:numPr>
      <w:tabs>
        <w:tab w:val="left" w:pos="1701"/>
      </w:tabs>
      <w:ind w:left="1701" w:hanging="567"/>
    </w:pPr>
    <w:rPr>
      <w:rFonts w:asciiTheme="minorHAnsi" w:hAnsiTheme="minorHAnsi"/>
      <w:color w:val="auto"/>
      <w:sz w:val="22"/>
    </w:rPr>
  </w:style>
  <w:style w:type="paragraph" w:customStyle="1" w:styleId="BoxBullet">
    <w:name w:val="Box Bullet"/>
    <w:basedOn w:val="BoxText"/>
    <w:rsid w:val="00E565DC"/>
    <w:pPr>
      <w:numPr>
        <w:numId w:val="34"/>
      </w:numPr>
      <w:tabs>
        <w:tab w:val="left" w:pos="425"/>
      </w:tabs>
      <w:ind w:left="425" w:hanging="425"/>
    </w:pPr>
  </w:style>
  <w:style w:type="paragraph" w:customStyle="1" w:styleId="Heading4-NoNumber">
    <w:name w:val="Heading 4 - No Number"/>
    <w:basedOn w:val="Heading4"/>
    <w:rsid w:val="00267972"/>
    <w:pPr>
      <w:spacing w:after="180" w:line="240" w:lineRule="auto"/>
    </w:pPr>
    <w:rPr>
      <w:rFonts w:ascii="Calibri" w:hAnsi="Calibri"/>
      <w:i w:val="0"/>
      <w:color w:val="808080" w:themeColor="background1" w:themeShade="80"/>
      <w:sz w:val="26"/>
    </w:rPr>
  </w:style>
  <w:style w:type="character" w:customStyle="1" w:styleId="Heading4Char">
    <w:name w:val="Heading 4 Char"/>
    <w:basedOn w:val="DefaultParagraphFont"/>
    <w:link w:val="Heading4"/>
    <w:uiPriority w:val="9"/>
    <w:semiHidden/>
    <w:rsid w:val="00267972"/>
    <w:rPr>
      <w:rFonts w:asciiTheme="majorHAnsi" w:eastAsiaTheme="majorEastAsia" w:hAnsiTheme="majorHAnsi" w:cstheme="majorBidi"/>
      <w:b/>
      <w:bCs/>
      <w:i/>
      <w:iCs/>
      <w:color w:val="4F81BD" w:themeColor="accent1"/>
    </w:rPr>
  </w:style>
  <w:style w:type="paragraph" w:customStyle="1" w:styleId="TableTextLeft-Dash">
    <w:name w:val="Table Text Left - Dash"/>
    <w:basedOn w:val="TableTextLeft-Bullet"/>
    <w:rsid w:val="00267972"/>
    <w:pPr>
      <w:numPr>
        <w:numId w:val="47"/>
      </w:numPr>
      <w:tabs>
        <w:tab w:val="left" w:pos="851"/>
      </w:tabs>
      <w:ind w:left="850" w:hanging="425"/>
    </w:pPr>
  </w:style>
  <w:style w:type="paragraph" w:customStyle="1" w:styleId="Footer-Odd">
    <w:name w:val="Footer - Odd"/>
    <w:basedOn w:val="Footer"/>
    <w:rsid w:val="00E64A81"/>
    <w:pPr>
      <w:spacing w:line="240" w:lineRule="auto"/>
      <w:jc w:val="right"/>
    </w:pPr>
    <w:rPr>
      <w:color w:val="1F497D" w:themeColor="text2"/>
      <w:sz w:val="20"/>
    </w:rPr>
  </w:style>
  <w:style w:type="paragraph" w:customStyle="1" w:styleId="Footer-Even">
    <w:name w:val="Footer - Even"/>
    <w:basedOn w:val="Footer-Odd"/>
    <w:rsid w:val="00040A95"/>
    <w:pPr>
      <w:jc w:val="left"/>
    </w:pPr>
  </w:style>
  <w:style w:type="paragraph" w:customStyle="1" w:styleId="Header-Even">
    <w:name w:val="Header - Even"/>
    <w:basedOn w:val="Header"/>
    <w:rsid w:val="00040A95"/>
    <w:pPr>
      <w:spacing w:line="240" w:lineRule="auto"/>
      <w:jc w:val="left"/>
    </w:pPr>
    <w:rPr>
      <w:color w:val="1F497D" w:themeColor="text2"/>
      <w:sz w:val="20"/>
    </w:rPr>
  </w:style>
  <w:style w:type="paragraph" w:customStyle="1" w:styleId="Header-Odd">
    <w:name w:val="Header - Odd"/>
    <w:basedOn w:val="Header-Even"/>
    <w:rsid w:val="00040A95"/>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27F"/>
    <w:pPr>
      <w:spacing w:after="240" w:line="280" w:lineRule="exact"/>
      <w:jc w:val="both"/>
    </w:pPr>
  </w:style>
  <w:style w:type="paragraph" w:styleId="Heading1">
    <w:name w:val="heading 1"/>
    <w:basedOn w:val="Normal"/>
    <w:next w:val="Normal"/>
    <w:link w:val="Heading1Char"/>
    <w:uiPriority w:val="2"/>
    <w:qFormat/>
    <w:rsid w:val="004D127F"/>
    <w:pPr>
      <w:keepNext/>
      <w:keepLines/>
      <w:spacing w:before="300" w:after="180"/>
      <w:outlineLvl w:val="0"/>
    </w:pPr>
    <w:rPr>
      <w:rFonts w:ascii="Calibri" w:eastAsiaTheme="majorEastAsia" w:hAnsi="Calibri" w:cstheme="majorBidi"/>
      <w:b/>
      <w:bCs/>
      <w:color w:val="1F497D" w:themeColor="text2"/>
      <w:sz w:val="32"/>
      <w:szCs w:val="28"/>
    </w:rPr>
  </w:style>
  <w:style w:type="paragraph" w:styleId="Heading2">
    <w:name w:val="heading 2"/>
    <w:basedOn w:val="Normal"/>
    <w:next w:val="Normal"/>
    <w:link w:val="Heading2Char"/>
    <w:uiPriority w:val="2"/>
    <w:qFormat/>
    <w:rsid w:val="004D127F"/>
    <w:pPr>
      <w:keepNext/>
      <w:keepLines/>
      <w:spacing w:before="240" w:after="180"/>
      <w:outlineLvl w:val="1"/>
    </w:pPr>
    <w:rPr>
      <w:rFonts w:ascii="Calibri" w:eastAsiaTheme="majorEastAsia" w:hAnsi="Calibri" w:cstheme="majorBidi"/>
      <w:b/>
      <w:bCs/>
      <w:color w:val="1F497D" w:themeColor="text2"/>
      <w:sz w:val="26"/>
      <w:szCs w:val="26"/>
    </w:rPr>
  </w:style>
  <w:style w:type="paragraph" w:styleId="Heading3">
    <w:name w:val="heading 3"/>
    <w:basedOn w:val="Normal"/>
    <w:next w:val="Normal"/>
    <w:link w:val="Heading3Char"/>
    <w:uiPriority w:val="2"/>
    <w:unhideWhenUsed/>
    <w:qFormat/>
    <w:rsid w:val="004D127F"/>
    <w:pPr>
      <w:keepNext/>
      <w:keepLines/>
      <w:spacing w:before="240" w:after="120"/>
      <w:outlineLvl w:val="2"/>
    </w:pPr>
    <w:rPr>
      <w:rFonts w:ascii="Calibri" w:eastAsiaTheme="majorEastAsia" w:hAnsi="Calibri" w:cstheme="majorBidi"/>
      <w:b/>
      <w:bCs/>
      <w:i/>
      <w:color w:val="1F497D" w:themeColor="text2"/>
      <w:sz w:val="24"/>
    </w:rPr>
  </w:style>
  <w:style w:type="paragraph" w:styleId="Heading4">
    <w:name w:val="heading 4"/>
    <w:basedOn w:val="Normal"/>
    <w:next w:val="Normal"/>
    <w:link w:val="Heading4Char"/>
    <w:uiPriority w:val="9"/>
    <w:semiHidden/>
    <w:unhideWhenUsed/>
    <w:qFormat/>
    <w:rsid w:val="002679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D127F"/>
    <w:rPr>
      <w:rFonts w:ascii="Calibri" w:eastAsiaTheme="majorEastAsia" w:hAnsi="Calibri" w:cstheme="majorBidi"/>
      <w:b/>
      <w:bCs/>
      <w:color w:val="1F497D" w:themeColor="text2"/>
      <w:sz w:val="32"/>
      <w:szCs w:val="28"/>
    </w:rPr>
  </w:style>
  <w:style w:type="character" w:customStyle="1" w:styleId="Heading2Char">
    <w:name w:val="Heading 2 Char"/>
    <w:basedOn w:val="DefaultParagraphFont"/>
    <w:link w:val="Heading2"/>
    <w:uiPriority w:val="2"/>
    <w:rsid w:val="004D127F"/>
    <w:rPr>
      <w:rFonts w:ascii="Calibri" w:eastAsiaTheme="majorEastAsia" w:hAnsi="Calibri" w:cstheme="majorBidi"/>
      <w:b/>
      <w:bCs/>
      <w:color w:val="1F497D" w:themeColor="text2"/>
      <w:sz w:val="26"/>
      <w:szCs w:val="26"/>
    </w:rPr>
  </w:style>
  <w:style w:type="character" w:customStyle="1" w:styleId="Heading3Char">
    <w:name w:val="Heading 3 Char"/>
    <w:basedOn w:val="DefaultParagraphFont"/>
    <w:link w:val="Heading3"/>
    <w:uiPriority w:val="2"/>
    <w:rsid w:val="004D127F"/>
    <w:rPr>
      <w:rFonts w:ascii="Calibri" w:eastAsiaTheme="majorEastAsia" w:hAnsi="Calibri" w:cstheme="majorBidi"/>
      <w:b/>
      <w:bCs/>
      <w:i/>
      <w:color w:val="1F497D" w:themeColor="text2"/>
      <w:sz w:val="24"/>
    </w:rPr>
  </w:style>
  <w:style w:type="paragraph" w:styleId="TOCHeading">
    <w:name w:val="TOC Heading"/>
    <w:basedOn w:val="Heading1"/>
    <w:next w:val="Normal"/>
    <w:uiPriority w:val="39"/>
    <w:unhideWhenUsed/>
    <w:qFormat/>
    <w:rsid w:val="00886727"/>
    <w:pPr>
      <w:keepLines w:val="0"/>
      <w:pBdr>
        <w:bottom w:val="single" w:sz="12" w:space="11" w:color="004A7F"/>
      </w:pBdr>
      <w:tabs>
        <w:tab w:val="left" w:pos="567"/>
      </w:tabs>
      <w:spacing w:before="0" w:after="480" w:line="240" w:lineRule="auto"/>
      <w:ind w:left="567" w:hanging="567"/>
      <w:outlineLvl w:val="9"/>
    </w:pPr>
    <w:rPr>
      <w:rFonts w:eastAsia="Times New Roman" w:cs="Arial"/>
      <w:bCs w:val="0"/>
      <w:caps/>
      <w:color w:val="004A7F"/>
      <w:kern w:val="32"/>
      <w:sz w:val="44"/>
      <w:szCs w:val="36"/>
      <w:lang w:eastAsia="en-AU"/>
    </w:rPr>
  </w:style>
  <w:style w:type="paragraph" w:styleId="TOC1">
    <w:name w:val="toc 1"/>
    <w:basedOn w:val="Normal"/>
    <w:next w:val="Normal"/>
    <w:uiPriority w:val="39"/>
    <w:unhideWhenUsed/>
    <w:rsid w:val="004D127F"/>
    <w:pPr>
      <w:tabs>
        <w:tab w:val="right" w:leader="dot" w:pos="9016"/>
      </w:tabs>
      <w:spacing w:before="120" w:after="60" w:line="240" w:lineRule="exact"/>
    </w:pPr>
    <w:rPr>
      <w:b/>
      <w:caps/>
      <w:noProof/>
      <w:color w:val="1F497D" w:themeColor="text2"/>
    </w:rPr>
  </w:style>
  <w:style w:type="paragraph" w:styleId="TOC2">
    <w:name w:val="toc 2"/>
    <w:basedOn w:val="Normal"/>
    <w:next w:val="Normal"/>
    <w:uiPriority w:val="39"/>
    <w:unhideWhenUsed/>
    <w:rsid w:val="004D127F"/>
    <w:pPr>
      <w:tabs>
        <w:tab w:val="right" w:leader="dot" w:pos="9016"/>
      </w:tabs>
      <w:spacing w:before="60" w:after="60"/>
      <w:ind w:left="284" w:right="804"/>
    </w:pPr>
    <w:rPr>
      <w:noProof/>
      <w:color w:val="1F497D" w:themeColor="text2"/>
    </w:rPr>
  </w:style>
  <w:style w:type="paragraph" w:styleId="TOC3">
    <w:name w:val="toc 3"/>
    <w:basedOn w:val="Normal"/>
    <w:next w:val="Normal"/>
    <w:autoRedefine/>
    <w:uiPriority w:val="39"/>
    <w:unhideWhenUsed/>
    <w:rsid w:val="00AD2D97"/>
    <w:pPr>
      <w:spacing w:after="100"/>
      <w:ind w:left="440"/>
    </w:pPr>
  </w:style>
  <w:style w:type="character" w:styleId="Hyperlink">
    <w:name w:val="Hyperlink"/>
    <w:basedOn w:val="DefaultParagraphFont"/>
    <w:uiPriority w:val="99"/>
    <w:unhideWhenUsed/>
    <w:rsid w:val="004D127F"/>
    <w:rPr>
      <w:b/>
      <w:color w:val="1F497D" w:themeColor="text2"/>
      <w:u w:val="none"/>
    </w:rPr>
  </w:style>
  <w:style w:type="paragraph" w:styleId="BalloonText">
    <w:name w:val="Balloon Text"/>
    <w:basedOn w:val="Normal"/>
    <w:link w:val="BalloonTextChar"/>
    <w:uiPriority w:val="99"/>
    <w:semiHidden/>
    <w:unhideWhenUsed/>
    <w:rsid w:val="004D12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27F"/>
    <w:rPr>
      <w:rFonts w:ascii="Tahoma" w:hAnsi="Tahoma" w:cs="Tahoma"/>
      <w:sz w:val="16"/>
      <w:szCs w:val="16"/>
    </w:rPr>
  </w:style>
  <w:style w:type="paragraph" w:styleId="Header">
    <w:name w:val="header"/>
    <w:basedOn w:val="Normal"/>
    <w:link w:val="HeaderChar"/>
    <w:uiPriority w:val="99"/>
    <w:unhideWhenUsed/>
    <w:rsid w:val="004D127F"/>
    <w:pPr>
      <w:tabs>
        <w:tab w:val="center" w:pos="4513"/>
        <w:tab w:val="right" w:pos="9026"/>
      </w:tabs>
      <w:spacing w:after="0"/>
    </w:pPr>
  </w:style>
  <w:style w:type="character" w:customStyle="1" w:styleId="HeaderChar">
    <w:name w:val="Header Char"/>
    <w:basedOn w:val="DefaultParagraphFont"/>
    <w:link w:val="Header"/>
    <w:uiPriority w:val="99"/>
    <w:rsid w:val="004D127F"/>
  </w:style>
  <w:style w:type="paragraph" w:styleId="Footer">
    <w:name w:val="footer"/>
    <w:basedOn w:val="Normal"/>
    <w:link w:val="FooterChar"/>
    <w:uiPriority w:val="99"/>
    <w:unhideWhenUsed/>
    <w:rsid w:val="004D127F"/>
    <w:pPr>
      <w:tabs>
        <w:tab w:val="center" w:pos="4513"/>
        <w:tab w:val="right" w:pos="9026"/>
      </w:tabs>
      <w:spacing w:after="0"/>
      <w:jc w:val="center"/>
    </w:pPr>
  </w:style>
  <w:style w:type="character" w:customStyle="1" w:styleId="FooterChar">
    <w:name w:val="Footer Char"/>
    <w:basedOn w:val="DefaultParagraphFont"/>
    <w:link w:val="Footer"/>
    <w:uiPriority w:val="99"/>
    <w:rsid w:val="004D127F"/>
  </w:style>
  <w:style w:type="paragraph" w:customStyle="1" w:styleId="OutlineNumbered1">
    <w:name w:val="Outline Numbered 1"/>
    <w:basedOn w:val="Normal"/>
    <w:link w:val="OutlineNumbered1Char"/>
    <w:rsid w:val="00E565DC"/>
    <w:pPr>
      <w:numPr>
        <w:numId w:val="1"/>
      </w:numPr>
      <w:tabs>
        <w:tab w:val="clear" w:pos="520"/>
        <w:tab w:val="num" w:pos="567"/>
      </w:tabs>
      <w:ind w:left="567" w:hanging="567"/>
    </w:pPr>
  </w:style>
  <w:style w:type="character" w:customStyle="1" w:styleId="OutlineNumbered1Char">
    <w:name w:val="Outline Numbered 1 Char"/>
    <w:basedOn w:val="DefaultParagraphFont"/>
    <w:link w:val="OutlineNumbered1"/>
    <w:rsid w:val="00E565DC"/>
  </w:style>
  <w:style w:type="paragraph" w:customStyle="1" w:styleId="OutlineNumbered2">
    <w:name w:val="Outline Numbered 2"/>
    <w:basedOn w:val="Normal"/>
    <w:link w:val="OutlineNumbered2Char"/>
    <w:rsid w:val="00495A8E"/>
    <w:rPr>
      <w:b/>
      <w:sz w:val="28"/>
    </w:rPr>
  </w:style>
  <w:style w:type="character" w:customStyle="1" w:styleId="OutlineNumbered2Char">
    <w:name w:val="Outline Numbered 2 Char"/>
    <w:basedOn w:val="DefaultParagraphFont"/>
    <w:link w:val="OutlineNumbered2"/>
    <w:rsid w:val="00495A8E"/>
    <w:rPr>
      <w:b/>
      <w:sz w:val="28"/>
    </w:rPr>
  </w:style>
  <w:style w:type="paragraph" w:customStyle="1" w:styleId="OutlineNumbered3">
    <w:name w:val="Outline Numbered 3"/>
    <w:basedOn w:val="Normal"/>
    <w:link w:val="OutlineNumbered3Char"/>
    <w:rsid w:val="00495A8E"/>
    <w:rPr>
      <w:b/>
      <w:sz w:val="28"/>
    </w:rPr>
  </w:style>
  <w:style w:type="character" w:customStyle="1" w:styleId="OutlineNumbered3Char">
    <w:name w:val="Outline Numbered 3 Char"/>
    <w:basedOn w:val="DefaultParagraphFont"/>
    <w:link w:val="OutlineNumbered3"/>
    <w:rsid w:val="00495A8E"/>
    <w:rPr>
      <w:b/>
      <w:sz w:val="28"/>
    </w:rPr>
  </w:style>
  <w:style w:type="paragraph" w:customStyle="1" w:styleId="Bullet">
    <w:name w:val="Bullet"/>
    <w:aliases w:val="b,b1,b + line,Body,level 1"/>
    <w:basedOn w:val="Normal"/>
    <w:link w:val="BulletChar"/>
    <w:rsid w:val="004D127F"/>
    <w:pPr>
      <w:numPr>
        <w:numId w:val="31"/>
      </w:numPr>
      <w:ind w:left="567" w:hanging="567"/>
    </w:pPr>
    <w:rPr>
      <w:rFonts w:ascii="Calibri" w:eastAsiaTheme="majorEastAsia" w:hAnsi="Calibri" w:cstheme="majorBidi"/>
      <w:color w:val="000000" w:themeColor="text1"/>
      <w:szCs w:val="28"/>
    </w:rPr>
  </w:style>
  <w:style w:type="character" w:customStyle="1" w:styleId="BulletChar">
    <w:name w:val="Bullet Char"/>
    <w:aliases w:val="b Char,b1 Char,b + line Char,Body Char,level 1 Char"/>
    <w:basedOn w:val="Heading1Char"/>
    <w:link w:val="Bullet"/>
    <w:rsid w:val="004D127F"/>
    <w:rPr>
      <w:rFonts w:ascii="Calibri" w:eastAsiaTheme="majorEastAsia" w:hAnsi="Calibri" w:cstheme="majorBidi"/>
      <w:b w:val="0"/>
      <w:bCs w:val="0"/>
      <w:color w:val="000000" w:themeColor="text1"/>
      <w:sz w:val="32"/>
      <w:szCs w:val="28"/>
    </w:rPr>
  </w:style>
  <w:style w:type="paragraph" w:customStyle="1" w:styleId="Dash">
    <w:name w:val="Dash"/>
    <w:basedOn w:val="Normal"/>
    <w:link w:val="DashChar"/>
    <w:rsid w:val="004D127F"/>
    <w:pPr>
      <w:numPr>
        <w:ilvl w:val="1"/>
        <w:numId w:val="31"/>
      </w:numPr>
    </w:pPr>
    <w:rPr>
      <w:rFonts w:asciiTheme="majorHAnsi" w:eastAsiaTheme="majorEastAsia" w:hAnsiTheme="majorHAnsi" w:cstheme="majorBidi"/>
      <w:color w:val="365F91" w:themeColor="accent1" w:themeShade="BF"/>
      <w:sz w:val="28"/>
      <w:szCs w:val="28"/>
    </w:rPr>
  </w:style>
  <w:style w:type="character" w:customStyle="1" w:styleId="DashChar">
    <w:name w:val="Dash Char"/>
    <w:basedOn w:val="Heading1Char"/>
    <w:link w:val="Dash"/>
    <w:rsid w:val="004D127F"/>
    <w:rPr>
      <w:rFonts w:asciiTheme="majorHAnsi" w:eastAsiaTheme="majorEastAsia" w:hAnsiTheme="majorHAnsi" w:cstheme="majorBidi"/>
      <w:b w:val="0"/>
      <w:bCs w:val="0"/>
      <w:color w:val="365F91" w:themeColor="accent1" w:themeShade="BF"/>
      <w:sz w:val="28"/>
      <w:szCs w:val="28"/>
    </w:rPr>
  </w:style>
  <w:style w:type="paragraph" w:customStyle="1" w:styleId="DoubleDot">
    <w:name w:val="Double Dot"/>
    <w:basedOn w:val="Normal"/>
    <w:link w:val="DoubleDotChar"/>
    <w:rsid w:val="004D127F"/>
    <w:pPr>
      <w:numPr>
        <w:ilvl w:val="2"/>
        <w:numId w:val="31"/>
      </w:numPr>
    </w:pPr>
    <w:rPr>
      <w:rFonts w:asciiTheme="majorHAnsi" w:eastAsiaTheme="majorEastAsia" w:hAnsiTheme="majorHAnsi" w:cstheme="majorBidi"/>
      <w:color w:val="365F91" w:themeColor="accent1" w:themeShade="BF"/>
      <w:sz w:val="28"/>
      <w:szCs w:val="28"/>
    </w:rPr>
  </w:style>
  <w:style w:type="character" w:customStyle="1" w:styleId="DoubleDotChar">
    <w:name w:val="Double Dot Char"/>
    <w:basedOn w:val="Heading1Char"/>
    <w:link w:val="DoubleDot"/>
    <w:rsid w:val="004D127F"/>
    <w:rPr>
      <w:rFonts w:asciiTheme="majorHAnsi" w:eastAsiaTheme="majorEastAsia" w:hAnsiTheme="majorHAnsi" w:cstheme="majorBidi"/>
      <w:b w:val="0"/>
      <w:bCs w:val="0"/>
      <w:color w:val="365F91" w:themeColor="accent1" w:themeShade="BF"/>
      <w:sz w:val="28"/>
      <w:szCs w:val="28"/>
    </w:rPr>
  </w:style>
  <w:style w:type="paragraph" w:styleId="FootnoteText">
    <w:name w:val="footnote text"/>
    <w:basedOn w:val="Normal"/>
    <w:link w:val="FootnoteTextChar"/>
    <w:uiPriority w:val="99"/>
    <w:rsid w:val="004D127F"/>
    <w:pPr>
      <w:tabs>
        <w:tab w:val="left" w:pos="357"/>
      </w:tabs>
      <w:spacing w:after="0"/>
      <w:ind w:left="357" w:hanging="357"/>
    </w:pPr>
    <w:rPr>
      <w:sz w:val="20"/>
      <w:szCs w:val="20"/>
    </w:rPr>
  </w:style>
  <w:style w:type="character" w:customStyle="1" w:styleId="FootnoteTextChar">
    <w:name w:val="Footnote Text Char"/>
    <w:basedOn w:val="DefaultParagraphFont"/>
    <w:link w:val="FootnoteText"/>
    <w:uiPriority w:val="99"/>
    <w:rsid w:val="004D127F"/>
    <w:rPr>
      <w:sz w:val="20"/>
      <w:szCs w:val="20"/>
    </w:rPr>
  </w:style>
  <w:style w:type="character" w:styleId="FootnoteReference">
    <w:name w:val="footnote reference"/>
    <w:basedOn w:val="DefaultParagraphFont"/>
    <w:uiPriority w:val="99"/>
    <w:unhideWhenUsed/>
    <w:rsid w:val="004D127F"/>
    <w:rPr>
      <w:rFonts w:ascii="Calibri" w:hAnsi="Calibri"/>
      <w:sz w:val="18"/>
      <w:vertAlign w:val="superscript"/>
    </w:rPr>
  </w:style>
  <w:style w:type="character" w:styleId="CommentReference">
    <w:name w:val="annotation reference"/>
    <w:basedOn w:val="DefaultParagraphFont"/>
    <w:uiPriority w:val="99"/>
    <w:semiHidden/>
    <w:unhideWhenUsed/>
    <w:rsid w:val="00F51248"/>
    <w:rPr>
      <w:sz w:val="16"/>
      <w:szCs w:val="16"/>
    </w:rPr>
  </w:style>
  <w:style w:type="paragraph" w:styleId="CommentText">
    <w:name w:val="annotation text"/>
    <w:basedOn w:val="Normal"/>
    <w:link w:val="CommentTextChar"/>
    <w:uiPriority w:val="99"/>
    <w:semiHidden/>
    <w:unhideWhenUsed/>
    <w:rsid w:val="00F51248"/>
    <w:rPr>
      <w:sz w:val="20"/>
      <w:szCs w:val="20"/>
    </w:rPr>
  </w:style>
  <w:style w:type="character" w:customStyle="1" w:styleId="CommentTextChar">
    <w:name w:val="Comment Text Char"/>
    <w:basedOn w:val="DefaultParagraphFont"/>
    <w:link w:val="CommentText"/>
    <w:uiPriority w:val="99"/>
    <w:semiHidden/>
    <w:rsid w:val="00F51248"/>
    <w:rPr>
      <w:sz w:val="20"/>
      <w:szCs w:val="20"/>
    </w:rPr>
  </w:style>
  <w:style w:type="paragraph" w:styleId="CommentSubject">
    <w:name w:val="annotation subject"/>
    <w:basedOn w:val="CommentText"/>
    <w:next w:val="CommentText"/>
    <w:link w:val="CommentSubjectChar"/>
    <w:uiPriority w:val="99"/>
    <w:semiHidden/>
    <w:unhideWhenUsed/>
    <w:rsid w:val="00F51248"/>
    <w:rPr>
      <w:b/>
      <w:bCs/>
    </w:rPr>
  </w:style>
  <w:style w:type="character" w:customStyle="1" w:styleId="CommentSubjectChar">
    <w:name w:val="Comment Subject Char"/>
    <w:basedOn w:val="CommentTextChar"/>
    <w:link w:val="CommentSubject"/>
    <w:uiPriority w:val="99"/>
    <w:semiHidden/>
    <w:rsid w:val="00F51248"/>
    <w:rPr>
      <w:b/>
      <w:bCs/>
      <w:sz w:val="20"/>
      <w:szCs w:val="20"/>
    </w:rPr>
  </w:style>
  <w:style w:type="paragraph" w:styleId="NormalWeb">
    <w:name w:val="Normal (Web)"/>
    <w:basedOn w:val="Normal"/>
    <w:uiPriority w:val="99"/>
    <w:semiHidden/>
    <w:unhideWhenUsed/>
    <w:rsid w:val="004F6C13"/>
    <w:rPr>
      <w:rFonts w:ascii="Times New Roman" w:hAnsi="Times New Roman" w:cs="Times New Roman"/>
      <w:sz w:val="24"/>
      <w:szCs w:val="24"/>
    </w:rPr>
  </w:style>
  <w:style w:type="paragraph" w:styleId="ListParagraph">
    <w:name w:val="List Paragraph"/>
    <w:basedOn w:val="Normal"/>
    <w:uiPriority w:val="34"/>
    <w:qFormat/>
    <w:rsid w:val="005772AA"/>
    <w:pPr>
      <w:ind w:left="720"/>
      <w:contextualSpacing/>
    </w:pPr>
  </w:style>
  <w:style w:type="table" w:styleId="TableGrid">
    <w:name w:val="Table Grid"/>
    <w:basedOn w:val="TableNormal"/>
    <w:uiPriority w:val="59"/>
    <w:rsid w:val="00742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39A8"/>
    <w:rPr>
      <w:color w:val="800080" w:themeColor="followedHyperlink"/>
      <w:u w:val="single"/>
    </w:rPr>
  </w:style>
  <w:style w:type="paragraph" w:styleId="Revision">
    <w:name w:val="Revision"/>
    <w:hidden/>
    <w:uiPriority w:val="99"/>
    <w:semiHidden/>
    <w:rsid w:val="00B32C49"/>
    <w:pPr>
      <w:spacing w:after="0" w:line="240" w:lineRule="auto"/>
    </w:pPr>
  </w:style>
  <w:style w:type="paragraph" w:customStyle="1" w:styleId="Heading1Numbered">
    <w:name w:val="Heading 1 Numbered"/>
    <w:basedOn w:val="Heading1"/>
    <w:next w:val="Normal"/>
    <w:rsid w:val="007517B8"/>
    <w:pPr>
      <w:keepLines w:val="0"/>
      <w:numPr>
        <w:numId w:val="6"/>
      </w:numPr>
      <w:pBdr>
        <w:bottom w:val="single" w:sz="12" w:space="11" w:color="004A7F"/>
      </w:pBdr>
      <w:tabs>
        <w:tab w:val="left" w:pos="567"/>
      </w:tabs>
      <w:spacing w:before="0" w:after="480"/>
    </w:pPr>
    <w:rPr>
      <w:rFonts w:eastAsia="Times New Roman" w:cs="Arial"/>
      <w:bCs w:val="0"/>
      <w:caps/>
      <w:color w:val="004A7F"/>
      <w:kern w:val="32"/>
      <w:sz w:val="44"/>
      <w:szCs w:val="36"/>
      <w:lang w:eastAsia="en-AU"/>
    </w:rPr>
  </w:style>
  <w:style w:type="paragraph" w:customStyle="1" w:styleId="Heading2Numbered">
    <w:name w:val="Heading 2 Numbered"/>
    <w:basedOn w:val="Heading2"/>
    <w:next w:val="Normal"/>
    <w:rsid w:val="007517B8"/>
    <w:pPr>
      <w:keepLines w:val="0"/>
      <w:numPr>
        <w:ilvl w:val="1"/>
        <w:numId w:val="6"/>
      </w:numPr>
      <w:spacing w:before="120" w:after="240"/>
      <w:ind w:left="284" w:hanging="284"/>
    </w:pPr>
    <w:rPr>
      <w:rFonts w:eastAsia="Times New Roman" w:cs="Arial"/>
      <w:bCs w:val="0"/>
      <w:iCs/>
      <w:caps/>
      <w:color w:val="595959" w:themeColor="text1" w:themeTint="A6"/>
      <w:kern w:val="32"/>
      <w:sz w:val="36"/>
      <w:szCs w:val="28"/>
      <w:lang w:eastAsia="en-AU"/>
    </w:rPr>
  </w:style>
  <w:style w:type="paragraph" w:customStyle="1" w:styleId="Heading3Numbered">
    <w:name w:val="Heading 3 Numbered"/>
    <w:basedOn w:val="Heading3"/>
    <w:qFormat/>
    <w:rsid w:val="007517B8"/>
    <w:pPr>
      <w:keepLines w:val="0"/>
      <w:numPr>
        <w:ilvl w:val="2"/>
        <w:numId w:val="6"/>
      </w:numPr>
      <w:tabs>
        <w:tab w:val="num" w:pos="360"/>
      </w:tabs>
      <w:spacing w:after="240"/>
      <w:ind w:left="284" w:hanging="284"/>
    </w:pPr>
    <w:rPr>
      <w:rFonts w:eastAsia="Times New Roman" w:cs="Arial"/>
      <w:bCs w:val="0"/>
      <w:color w:val="004A7F"/>
      <w:kern w:val="32"/>
      <w:szCs w:val="26"/>
      <w:lang w:eastAsia="en-AU"/>
    </w:rPr>
  </w:style>
  <w:style w:type="paragraph" w:customStyle="1" w:styleId="BoxText">
    <w:name w:val="Box Text"/>
    <w:basedOn w:val="Normal"/>
    <w:link w:val="BoxTextChar"/>
    <w:rsid w:val="00E565DC"/>
    <w:pPr>
      <w:spacing w:before="120" w:after="120"/>
    </w:pPr>
    <w:rPr>
      <w:rFonts w:ascii="Arial" w:eastAsia="Times New Roman" w:hAnsi="Arial" w:cs="Arial"/>
      <w:color w:val="000000"/>
      <w:sz w:val="20"/>
      <w:szCs w:val="20"/>
      <w:lang w:eastAsia="en-AU"/>
    </w:rPr>
  </w:style>
  <w:style w:type="character" w:customStyle="1" w:styleId="BoxTextChar">
    <w:name w:val="Box Text Char"/>
    <w:basedOn w:val="DefaultParagraphFont"/>
    <w:link w:val="BoxText"/>
    <w:rsid w:val="00E565DC"/>
    <w:rPr>
      <w:rFonts w:ascii="Arial" w:eastAsia="Times New Roman" w:hAnsi="Arial" w:cs="Arial"/>
      <w:color w:val="000000"/>
      <w:sz w:val="20"/>
      <w:szCs w:val="20"/>
      <w:lang w:eastAsia="en-AU"/>
    </w:rPr>
  </w:style>
  <w:style w:type="paragraph" w:customStyle="1" w:styleId="BoxHeading">
    <w:name w:val="Box Heading"/>
    <w:basedOn w:val="Normal"/>
    <w:next w:val="BoxText"/>
    <w:rsid w:val="0016292C"/>
    <w:pPr>
      <w:widowControl w:val="0"/>
      <w:tabs>
        <w:tab w:val="left" w:pos="992"/>
      </w:tabs>
      <w:spacing w:before="120" w:after="120"/>
      <w:ind w:left="992" w:hanging="992"/>
    </w:pPr>
    <w:rPr>
      <w:rFonts w:ascii="Arial Bold" w:eastAsiaTheme="majorEastAsia" w:hAnsi="Arial Bold" w:cs="Times New Roman"/>
      <w:b/>
      <w:caps/>
      <w:color w:val="1F497D" w:themeColor="text2"/>
      <w:sz w:val="24"/>
      <w:lang w:eastAsia="en-AU"/>
    </w:rPr>
  </w:style>
  <w:style w:type="numbering" w:customStyle="1" w:styleId="BulletedList">
    <w:name w:val="Bulleted List"/>
    <w:uiPriority w:val="99"/>
    <w:rsid w:val="007517B8"/>
    <w:pPr>
      <w:numPr>
        <w:numId w:val="9"/>
      </w:numPr>
    </w:pPr>
  </w:style>
  <w:style w:type="paragraph" w:customStyle="1" w:styleId="TableColumnHeadingLeft">
    <w:name w:val="Table Column Heading Left"/>
    <w:basedOn w:val="Normal"/>
    <w:rsid w:val="00C53EF7"/>
    <w:pPr>
      <w:spacing w:before="80" w:after="80"/>
    </w:pPr>
    <w:rPr>
      <w:rFonts w:ascii="Arial" w:eastAsia="Times New Roman" w:hAnsi="Arial" w:cs="Times New Roman"/>
      <w:b/>
      <w:color w:val="004A7F"/>
      <w:sz w:val="21"/>
      <w:szCs w:val="20"/>
      <w:lang w:eastAsia="en-AU"/>
    </w:rPr>
  </w:style>
  <w:style w:type="paragraph" w:customStyle="1" w:styleId="TableTextLeft-Bullet">
    <w:name w:val="Table Text Left - Bullet"/>
    <w:basedOn w:val="Normal"/>
    <w:rsid w:val="00267972"/>
    <w:pPr>
      <w:numPr>
        <w:numId w:val="35"/>
      </w:numPr>
      <w:spacing w:before="60" w:after="60" w:line="240" w:lineRule="exact"/>
      <w:jc w:val="left"/>
    </w:pPr>
    <w:rPr>
      <w:rFonts w:ascii="Arial" w:eastAsia="Times New Roman" w:hAnsi="Arial" w:cs="Times New Roman"/>
      <w:color w:val="000000"/>
      <w:sz w:val="18"/>
      <w:szCs w:val="20"/>
      <w:lang w:eastAsia="en-AU"/>
    </w:rPr>
  </w:style>
  <w:style w:type="paragraph" w:customStyle="1" w:styleId="BoxHeadingSub">
    <w:name w:val="Box Heading Sub"/>
    <w:basedOn w:val="Normal"/>
    <w:qFormat/>
    <w:rsid w:val="00E565DC"/>
    <w:pPr>
      <w:keepNext/>
      <w:tabs>
        <w:tab w:val="left" w:pos="454"/>
      </w:tabs>
      <w:spacing w:before="120" w:after="120" w:line="240" w:lineRule="auto"/>
      <w:ind w:left="454" w:hanging="454"/>
    </w:pPr>
    <w:rPr>
      <w:rFonts w:ascii="Arial" w:eastAsia="Times New Roman" w:hAnsi="Arial" w:cs="Times New Roman"/>
      <w:b/>
      <w:color w:val="808080" w:themeColor="background1" w:themeShade="80"/>
      <w:sz w:val="24"/>
      <w:szCs w:val="20"/>
      <w:lang w:eastAsia="en-AU"/>
    </w:rPr>
  </w:style>
  <w:style w:type="paragraph" w:styleId="EnvelopeAddress">
    <w:name w:val="envelope address"/>
    <w:basedOn w:val="Normal"/>
    <w:uiPriority w:val="99"/>
    <w:semiHidden/>
    <w:unhideWhenUsed/>
    <w:rsid w:val="004D127F"/>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uiPriority w:val="10"/>
    <w:qFormat/>
    <w:rsid w:val="004D127F"/>
    <w:pPr>
      <w:pBdr>
        <w:bottom w:val="single" w:sz="8" w:space="4" w:color="1F497D" w:themeColor="text2"/>
      </w:pBdr>
      <w:spacing w:after="1440" w:line="240" w:lineRule="auto"/>
      <w:contextualSpacing/>
      <w:jc w:val="left"/>
    </w:pPr>
    <w:rPr>
      <w:rFonts w:ascii="Arial" w:eastAsiaTheme="majorEastAsia" w:hAnsi="Arial" w:cstheme="majorBidi"/>
      <w:color w:val="1F497D" w:themeColor="text2"/>
      <w:spacing w:val="5"/>
      <w:kern w:val="28"/>
      <w:sz w:val="52"/>
      <w:szCs w:val="52"/>
    </w:rPr>
  </w:style>
  <w:style w:type="character" w:customStyle="1" w:styleId="TitleChar">
    <w:name w:val="Title Char"/>
    <w:basedOn w:val="DefaultParagraphFont"/>
    <w:link w:val="Title"/>
    <w:uiPriority w:val="10"/>
    <w:rsid w:val="004D127F"/>
    <w:rPr>
      <w:rFonts w:ascii="Arial" w:eastAsiaTheme="majorEastAsia" w:hAnsi="Arial" w:cstheme="majorBidi"/>
      <w:color w:val="1F497D" w:themeColor="text2"/>
      <w:spacing w:val="5"/>
      <w:kern w:val="28"/>
      <w:sz w:val="52"/>
      <w:szCs w:val="52"/>
    </w:rPr>
  </w:style>
  <w:style w:type="paragraph" w:customStyle="1" w:styleId="Singleparagraph">
    <w:name w:val="Single paragraph"/>
    <w:basedOn w:val="Normal"/>
    <w:qFormat/>
    <w:rsid w:val="004D127F"/>
    <w:pPr>
      <w:spacing w:after="0"/>
    </w:pPr>
  </w:style>
  <w:style w:type="paragraph" w:styleId="Quote">
    <w:name w:val="Quote"/>
    <w:basedOn w:val="Normal"/>
    <w:next w:val="Normal"/>
    <w:link w:val="QuoteChar"/>
    <w:uiPriority w:val="29"/>
    <w:qFormat/>
    <w:rsid w:val="004D127F"/>
    <w:pPr>
      <w:spacing w:before="120"/>
      <w:ind w:left="567" w:hanging="567"/>
    </w:pPr>
    <w:rPr>
      <w:iCs/>
      <w:color w:val="000000" w:themeColor="text1"/>
    </w:rPr>
  </w:style>
  <w:style w:type="character" w:customStyle="1" w:styleId="QuoteChar">
    <w:name w:val="Quote Char"/>
    <w:basedOn w:val="DefaultParagraphFont"/>
    <w:link w:val="Quote"/>
    <w:uiPriority w:val="29"/>
    <w:rsid w:val="004D127F"/>
    <w:rPr>
      <w:iCs/>
      <w:color w:val="000000" w:themeColor="text1"/>
    </w:rPr>
  </w:style>
  <w:style w:type="paragraph" w:customStyle="1" w:styleId="Heading1numbered0">
    <w:name w:val="Heading 1 numbered"/>
    <w:basedOn w:val="Heading1"/>
    <w:uiPriority w:val="2"/>
    <w:qFormat/>
    <w:rsid w:val="004D127F"/>
    <w:pPr>
      <w:numPr>
        <w:numId w:val="32"/>
      </w:numPr>
      <w:tabs>
        <w:tab w:val="left" w:pos="567"/>
      </w:tabs>
      <w:ind w:left="0" w:firstLine="0"/>
    </w:pPr>
  </w:style>
  <w:style w:type="paragraph" w:styleId="Subtitle">
    <w:name w:val="Subtitle"/>
    <w:basedOn w:val="Normal"/>
    <w:next w:val="Normal"/>
    <w:link w:val="SubtitleChar"/>
    <w:uiPriority w:val="11"/>
    <w:qFormat/>
    <w:rsid w:val="004D127F"/>
    <w:pPr>
      <w:numPr>
        <w:ilvl w:val="1"/>
      </w:numPr>
      <w:spacing w:after="1440" w:line="240" w:lineRule="auto"/>
      <w:jc w:val="left"/>
    </w:pPr>
    <w:rPr>
      <w:rFonts w:ascii="Arial Bold" w:hAnsi="Arial Bold" w:cs="Arial"/>
      <w:b/>
      <w:caps/>
      <w:color w:val="1F497D" w:themeColor="text2"/>
      <w:spacing w:val="5"/>
      <w:kern w:val="28"/>
      <w:sz w:val="28"/>
    </w:rPr>
  </w:style>
  <w:style w:type="character" w:customStyle="1" w:styleId="SubtitleChar">
    <w:name w:val="Subtitle Char"/>
    <w:basedOn w:val="DefaultParagraphFont"/>
    <w:link w:val="Subtitle"/>
    <w:uiPriority w:val="11"/>
    <w:rsid w:val="004D127F"/>
    <w:rPr>
      <w:rFonts w:ascii="Arial Bold" w:hAnsi="Arial Bold" w:cs="Arial"/>
      <w:b/>
      <w:caps/>
      <w:color w:val="1F497D" w:themeColor="text2"/>
      <w:spacing w:val="5"/>
      <w:kern w:val="28"/>
      <w:sz w:val="28"/>
    </w:rPr>
  </w:style>
  <w:style w:type="paragraph" w:styleId="NoSpacing">
    <w:name w:val="No Spacing"/>
    <w:uiPriority w:val="1"/>
    <w:qFormat/>
    <w:rsid w:val="0037429E"/>
    <w:pPr>
      <w:spacing w:after="0" w:line="240" w:lineRule="auto"/>
    </w:pPr>
  </w:style>
  <w:style w:type="paragraph" w:customStyle="1" w:styleId="footnotenumber">
    <w:name w:val="footnote number"/>
    <w:basedOn w:val="FootnoteText"/>
    <w:qFormat/>
    <w:rsid w:val="0037429E"/>
  </w:style>
  <w:style w:type="paragraph" w:customStyle="1" w:styleId="SubSubtitle">
    <w:name w:val="Sub Subtitle"/>
    <w:basedOn w:val="Normal"/>
    <w:rsid w:val="004D127F"/>
    <w:pPr>
      <w:spacing w:after="120" w:line="240" w:lineRule="auto"/>
      <w:jc w:val="left"/>
    </w:pPr>
    <w:rPr>
      <w:rFonts w:ascii="Arial" w:hAnsi="Arial" w:cs="Arial"/>
      <w:color w:val="1F497D" w:themeColor="text2"/>
      <w:sz w:val="36"/>
    </w:rPr>
  </w:style>
  <w:style w:type="paragraph" w:customStyle="1" w:styleId="Heading2-NoNumbered">
    <w:name w:val="Heading 2 - No Numbered"/>
    <w:basedOn w:val="Heading2Numbered"/>
    <w:rsid w:val="00267972"/>
    <w:pPr>
      <w:numPr>
        <w:ilvl w:val="0"/>
        <w:numId w:val="0"/>
      </w:numPr>
      <w:spacing w:before="240"/>
      <w:jc w:val="left"/>
    </w:pPr>
    <w:rPr>
      <w:sz w:val="32"/>
    </w:rPr>
  </w:style>
  <w:style w:type="paragraph" w:customStyle="1" w:styleId="Heading3-NoNumbered">
    <w:name w:val="Heading 3 - No Numbered"/>
    <w:basedOn w:val="Heading3Numbered"/>
    <w:rsid w:val="0016292C"/>
    <w:pPr>
      <w:numPr>
        <w:ilvl w:val="0"/>
        <w:numId w:val="0"/>
      </w:numPr>
    </w:pPr>
    <w:rPr>
      <w:rFonts w:eastAsiaTheme="majorEastAsia"/>
      <w:i w:val="0"/>
      <w:sz w:val="28"/>
    </w:rPr>
  </w:style>
  <w:style w:type="paragraph" w:customStyle="1" w:styleId="Heading1-NoNumber">
    <w:name w:val="Heading 1 - No Number"/>
    <w:basedOn w:val="Heading1Numbered"/>
    <w:rsid w:val="00E565DC"/>
    <w:pPr>
      <w:numPr>
        <w:numId w:val="0"/>
      </w:numPr>
      <w:spacing w:line="240" w:lineRule="auto"/>
      <w:ind w:left="567" w:hanging="567"/>
    </w:pPr>
  </w:style>
  <w:style w:type="paragraph" w:customStyle="1" w:styleId="Bullet-Indent">
    <w:name w:val="Bullet - Indent"/>
    <w:basedOn w:val="Bullet"/>
    <w:rsid w:val="004D127F"/>
    <w:pPr>
      <w:numPr>
        <w:numId w:val="50"/>
      </w:numPr>
      <w:tabs>
        <w:tab w:val="num" w:pos="1134"/>
      </w:tabs>
      <w:ind w:left="1134" w:hanging="567"/>
    </w:pPr>
    <w:rPr>
      <w:rFonts w:asciiTheme="minorHAnsi" w:eastAsiaTheme="minorHAnsi" w:hAnsiTheme="minorHAnsi" w:cstheme="minorBidi"/>
      <w:color w:val="auto"/>
      <w:szCs w:val="22"/>
    </w:rPr>
  </w:style>
  <w:style w:type="paragraph" w:customStyle="1" w:styleId="Dash-Indent">
    <w:name w:val="Dash - Indent"/>
    <w:basedOn w:val="Dash"/>
    <w:rsid w:val="004D127F"/>
    <w:pPr>
      <w:numPr>
        <w:ilvl w:val="0"/>
        <w:numId w:val="33"/>
      </w:numPr>
      <w:tabs>
        <w:tab w:val="left" w:pos="1701"/>
      </w:tabs>
      <w:ind w:left="1701" w:hanging="567"/>
    </w:pPr>
    <w:rPr>
      <w:rFonts w:asciiTheme="minorHAnsi" w:hAnsiTheme="minorHAnsi"/>
      <w:color w:val="auto"/>
      <w:sz w:val="22"/>
    </w:rPr>
  </w:style>
  <w:style w:type="paragraph" w:customStyle="1" w:styleId="BoxBullet">
    <w:name w:val="Box Bullet"/>
    <w:basedOn w:val="BoxText"/>
    <w:rsid w:val="00E565DC"/>
    <w:pPr>
      <w:numPr>
        <w:numId w:val="34"/>
      </w:numPr>
      <w:tabs>
        <w:tab w:val="left" w:pos="425"/>
      </w:tabs>
      <w:ind w:left="425" w:hanging="425"/>
    </w:pPr>
  </w:style>
  <w:style w:type="paragraph" w:customStyle="1" w:styleId="Heading4-NoNumber">
    <w:name w:val="Heading 4 - No Number"/>
    <w:basedOn w:val="Heading4"/>
    <w:rsid w:val="00267972"/>
    <w:pPr>
      <w:spacing w:after="180" w:line="240" w:lineRule="auto"/>
    </w:pPr>
    <w:rPr>
      <w:rFonts w:ascii="Calibri" w:hAnsi="Calibri"/>
      <w:i w:val="0"/>
      <w:color w:val="808080" w:themeColor="background1" w:themeShade="80"/>
      <w:sz w:val="26"/>
    </w:rPr>
  </w:style>
  <w:style w:type="character" w:customStyle="1" w:styleId="Heading4Char">
    <w:name w:val="Heading 4 Char"/>
    <w:basedOn w:val="DefaultParagraphFont"/>
    <w:link w:val="Heading4"/>
    <w:uiPriority w:val="9"/>
    <w:semiHidden/>
    <w:rsid w:val="00267972"/>
    <w:rPr>
      <w:rFonts w:asciiTheme="majorHAnsi" w:eastAsiaTheme="majorEastAsia" w:hAnsiTheme="majorHAnsi" w:cstheme="majorBidi"/>
      <w:b/>
      <w:bCs/>
      <w:i/>
      <w:iCs/>
      <w:color w:val="4F81BD" w:themeColor="accent1"/>
    </w:rPr>
  </w:style>
  <w:style w:type="paragraph" w:customStyle="1" w:styleId="TableTextLeft-Dash">
    <w:name w:val="Table Text Left - Dash"/>
    <w:basedOn w:val="TableTextLeft-Bullet"/>
    <w:rsid w:val="00267972"/>
    <w:pPr>
      <w:numPr>
        <w:numId w:val="47"/>
      </w:numPr>
      <w:tabs>
        <w:tab w:val="left" w:pos="851"/>
      </w:tabs>
      <w:ind w:left="850" w:hanging="425"/>
    </w:pPr>
  </w:style>
  <w:style w:type="paragraph" w:customStyle="1" w:styleId="Footer-Odd">
    <w:name w:val="Footer - Odd"/>
    <w:basedOn w:val="Footer"/>
    <w:rsid w:val="00E64A81"/>
    <w:pPr>
      <w:spacing w:line="240" w:lineRule="auto"/>
      <w:jc w:val="right"/>
    </w:pPr>
    <w:rPr>
      <w:color w:val="1F497D" w:themeColor="text2"/>
      <w:sz w:val="20"/>
    </w:rPr>
  </w:style>
  <w:style w:type="paragraph" w:customStyle="1" w:styleId="Footer-Even">
    <w:name w:val="Footer - Even"/>
    <w:basedOn w:val="Footer-Odd"/>
    <w:rsid w:val="00040A95"/>
    <w:pPr>
      <w:jc w:val="left"/>
    </w:pPr>
  </w:style>
  <w:style w:type="paragraph" w:customStyle="1" w:styleId="Header-Even">
    <w:name w:val="Header - Even"/>
    <w:basedOn w:val="Header"/>
    <w:rsid w:val="00040A95"/>
    <w:pPr>
      <w:spacing w:line="240" w:lineRule="auto"/>
      <w:jc w:val="left"/>
    </w:pPr>
    <w:rPr>
      <w:color w:val="1F497D" w:themeColor="text2"/>
      <w:sz w:val="20"/>
    </w:rPr>
  </w:style>
  <w:style w:type="paragraph" w:customStyle="1" w:styleId="Header-Odd">
    <w:name w:val="Header - Odd"/>
    <w:basedOn w:val="Header-Even"/>
    <w:rsid w:val="00040A9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631">
      <w:bodyDiv w:val="1"/>
      <w:marLeft w:val="0"/>
      <w:marRight w:val="0"/>
      <w:marTop w:val="0"/>
      <w:marBottom w:val="0"/>
      <w:divBdr>
        <w:top w:val="none" w:sz="0" w:space="0" w:color="auto"/>
        <w:left w:val="none" w:sz="0" w:space="0" w:color="auto"/>
        <w:bottom w:val="none" w:sz="0" w:space="0" w:color="auto"/>
        <w:right w:val="none" w:sz="0" w:space="0" w:color="auto"/>
      </w:divBdr>
    </w:div>
    <w:div w:id="83965990">
      <w:bodyDiv w:val="1"/>
      <w:marLeft w:val="0"/>
      <w:marRight w:val="0"/>
      <w:marTop w:val="0"/>
      <w:marBottom w:val="0"/>
      <w:divBdr>
        <w:top w:val="none" w:sz="0" w:space="0" w:color="auto"/>
        <w:left w:val="none" w:sz="0" w:space="0" w:color="auto"/>
        <w:bottom w:val="none" w:sz="0" w:space="0" w:color="auto"/>
        <w:right w:val="none" w:sz="0" w:space="0" w:color="auto"/>
      </w:divBdr>
      <w:divsChild>
        <w:div w:id="506140020">
          <w:marLeft w:val="274"/>
          <w:marRight w:val="0"/>
          <w:marTop w:val="0"/>
          <w:marBottom w:val="0"/>
          <w:divBdr>
            <w:top w:val="none" w:sz="0" w:space="0" w:color="auto"/>
            <w:left w:val="none" w:sz="0" w:space="0" w:color="auto"/>
            <w:bottom w:val="none" w:sz="0" w:space="0" w:color="auto"/>
            <w:right w:val="none" w:sz="0" w:space="0" w:color="auto"/>
          </w:divBdr>
        </w:div>
      </w:divsChild>
    </w:div>
    <w:div w:id="87503010">
      <w:bodyDiv w:val="1"/>
      <w:marLeft w:val="0"/>
      <w:marRight w:val="0"/>
      <w:marTop w:val="0"/>
      <w:marBottom w:val="0"/>
      <w:divBdr>
        <w:top w:val="none" w:sz="0" w:space="0" w:color="auto"/>
        <w:left w:val="none" w:sz="0" w:space="0" w:color="auto"/>
        <w:bottom w:val="none" w:sz="0" w:space="0" w:color="auto"/>
        <w:right w:val="none" w:sz="0" w:space="0" w:color="auto"/>
      </w:divBdr>
      <w:divsChild>
        <w:div w:id="1306011283">
          <w:marLeft w:val="547"/>
          <w:marRight w:val="0"/>
          <w:marTop w:val="106"/>
          <w:marBottom w:val="0"/>
          <w:divBdr>
            <w:top w:val="none" w:sz="0" w:space="0" w:color="auto"/>
            <w:left w:val="none" w:sz="0" w:space="0" w:color="auto"/>
            <w:bottom w:val="none" w:sz="0" w:space="0" w:color="auto"/>
            <w:right w:val="none" w:sz="0" w:space="0" w:color="auto"/>
          </w:divBdr>
        </w:div>
        <w:div w:id="972295477">
          <w:marLeft w:val="1166"/>
          <w:marRight w:val="0"/>
          <w:marTop w:val="91"/>
          <w:marBottom w:val="0"/>
          <w:divBdr>
            <w:top w:val="none" w:sz="0" w:space="0" w:color="auto"/>
            <w:left w:val="none" w:sz="0" w:space="0" w:color="auto"/>
            <w:bottom w:val="none" w:sz="0" w:space="0" w:color="auto"/>
            <w:right w:val="none" w:sz="0" w:space="0" w:color="auto"/>
          </w:divBdr>
        </w:div>
        <w:div w:id="795565229">
          <w:marLeft w:val="1166"/>
          <w:marRight w:val="0"/>
          <w:marTop w:val="91"/>
          <w:marBottom w:val="0"/>
          <w:divBdr>
            <w:top w:val="none" w:sz="0" w:space="0" w:color="auto"/>
            <w:left w:val="none" w:sz="0" w:space="0" w:color="auto"/>
            <w:bottom w:val="none" w:sz="0" w:space="0" w:color="auto"/>
            <w:right w:val="none" w:sz="0" w:space="0" w:color="auto"/>
          </w:divBdr>
        </w:div>
        <w:div w:id="502282626">
          <w:marLeft w:val="1166"/>
          <w:marRight w:val="0"/>
          <w:marTop w:val="91"/>
          <w:marBottom w:val="0"/>
          <w:divBdr>
            <w:top w:val="none" w:sz="0" w:space="0" w:color="auto"/>
            <w:left w:val="none" w:sz="0" w:space="0" w:color="auto"/>
            <w:bottom w:val="none" w:sz="0" w:space="0" w:color="auto"/>
            <w:right w:val="none" w:sz="0" w:space="0" w:color="auto"/>
          </w:divBdr>
        </w:div>
        <w:div w:id="1834488649">
          <w:marLeft w:val="547"/>
          <w:marRight w:val="0"/>
          <w:marTop w:val="106"/>
          <w:marBottom w:val="0"/>
          <w:divBdr>
            <w:top w:val="none" w:sz="0" w:space="0" w:color="auto"/>
            <w:left w:val="none" w:sz="0" w:space="0" w:color="auto"/>
            <w:bottom w:val="none" w:sz="0" w:space="0" w:color="auto"/>
            <w:right w:val="none" w:sz="0" w:space="0" w:color="auto"/>
          </w:divBdr>
        </w:div>
        <w:div w:id="1450469670">
          <w:marLeft w:val="1166"/>
          <w:marRight w:val="0"/>
          <w:marTop w:val="91"/>
          <w:marBottom w:val="0"/>
          <w:divBdr>
            <w:top w:val="none" w:sz="0" w:space="0" w:color="auto"/>
            <w:left w:val="none" w:sz="0" w:space="0" w:color="auto"/>
            <w:bottom w:val="none" w:sz="0" w:space="0" w:color="auto"/>
            <w:right w:val="none" w:sz="0" w:space="0" w:color="auto"/>
          </w:divBdr>
        </w:div>
        <w:div w:id="829953317">
          <w:marLeft w:val="1166"/>
          <w:marRight w:val="0"/>
          <w:marTop w:val="91"/>
          <w:marBottom w:val="0"/>
          <w:divBdr>
            <w:top w:val="none" w:sz="0" w:space="0" w:color="auto"/>
            <w:left w:val="none" w:sz="0" w:space="0" w:color="auto"/>
            <w:bottom w:val="none" w:sz="0" w:space="0" w:color="auto"/>
            <w:right w:val="none" w:sz="0" w:space="0" w:color="auto"/>
          </w:divBdr>
        </w:div>
        <w:div w:id="1788544169">
          <w:marLeft w:val="1166"/>
          <w:marRight w:val="0"/>
          <w:marTop w:val="91"/>
          <w:marBottom w:val="0"/>
          <w:divBdr>
            <w:top w:val="none" w:sz="0" w:space="0" w:color="auto"/>
            <w:left w:val="none" w:sz="0" w:space="0" w:color="auto"/>
            <w:bottom w:val="none" w:sz="0" w:space="0" w:color="auto"/>
            <w:right w:val="none" w:sz="0" w:space="0" w:color="auto"/>
          </w:divBdr>
        </w:div>
        <w:div w:id="1214074133">
          <w:marLeft w:val="1166"/>
          <w:marRight w:val="0"/>
          <w:marTop w:val="91"/>
          <w:marBottom w:val="0"/>
          <w:divBdr>
            <w:top w:val="none" w:sz="0" w:space="0" w:color="auto"/>
            <w:left w:val="none" w:sz="0" w:space="0" w:color="auto"/>
            <w:bottom w:val="none" w:sz="0" w:space="0" w:color="auto"/>
            <w:right w:val="none" w:sz="0" w:space="0" w:color="auto"/>
          </w:divBdr>
        </w:div>
        <w:div w:id="1005354105">
          <w:marLeft w:val="1166"/>
          <w:marRight w:val="0"/>
          <w:marTop w:val="91"/>
          <w:marBottom w:val="0"/>
          <w:divBdr>
            <w:top w:val="none" w:sz="0" w:space="0" w:color="auto"/>
            <w:left w:val="none" w:sz="0" w:space="0" w:color="auto"/>
            <w:bottom w:val="none" w:sz="0" w:space="0" w:color="auto"/>
            <w:right w:val="none" w:sz="0" w:space="0" w:color="auto"/>
          </w:divBdr>
        </w:div>
        <w:div w:id="423305552">
          <w:marLeft w:val="1166"/>
          <w:marRight w:val="0"/>
          <w:marTop w:val="91"/>
          <w:marBottom w:val="0"/>
          <w:divBdr>
            <w:top w:val="none" w:sz="0" w:space="0" w:color="auto"/>
            <w:left w:val="none" w:sz="0" w:space="0" w:color="auto"/>
            <w:bottom w:val="none" w:sz="0" w:space="0" w:color="auto"/>
            <w:right w:val="none" w:sz="0" w:space="0" w:color="auto"/>
          </w:divBdr>
        </w:div>
      </w:divsChild>
    </w:div>
    <w:div w:id="543445576">
      <w:bodyDiv w:val="1"/>
      <w:marLeft w:val="0"/>
      <w:marRight w:val="0"/>
      <w:marTop w:val="0"/>
      <w:marBottom w:val="0"/>
      <w:divBdr>
        <w:top w:val="none" w:sz="0" w:space="0" w:color="auto"/>
        <w:left w:val="none" w:sz="0" w:space="0" w:color="auto"/>
        <w:bottom w:val="none" w:sz="0" w:space="0" w:color="auto"/>
        <w:right w:val="none" w:sz="0" w:space="0" w:color="auto"/>
      </w:divBdr>
    </w:div>
    <w:div w:id="658189635">
      <w:bodyDiv w:val="1"/>
      <w:marLeft w:val="0"/>
      <w:marRight w:val="0"/>
      <w:marTop w:val="0"/>
      <w:marBottom w:val="0"/>
      <w:divBdr>
        <w:top w:val="none" w:sz="0" w:space="0" w:color="auto"/>
        <w:left w:val="none" w:sz="0" w:space="0" w:color="auto"/>
        <w:bottom w:val="none" w:sz="0" w:space="0" w:color="auto"/>
        <w:right w:val="none" w:sz="0" w:space="0" w:color="auto"/>
      </w:divBdr>
      <w:divsChild>
        <w:div w:id="1845625323">
          <w:marLeft w:val="547"/>
          <w:marRight w:val="0"/>
          <w:marTop w:val="106"/>
          <w:marBottom w:val="0"/>
          <w:divBdr>
            <w:top w:val="none" w:sz="0" w:space="0" w:color="auto"/>
            <w:left w:val="none" w:sz="0" w:space="0" w:color="auto"/>
            <w:bottom w:val="none" w:sz="0" w:space="0" w:color="auto"/>
            <w:right w:val="none" w:sz="0" w:space="0" w:color="auto"/>
          </w:divBdr>
        </w:div>
        <w:div w:id="152262943">
          <w:marLeft w:val="1166"/>
          <w:marRight w:val="0"/>
          <w:marTop w:val="91"/>
          <w:marBottom w:val="0"/>
          <w:divBdr>
            <w:top w:val="none" w:sz="0" w:space="0" w:color="auto"/>
            <w:left w:val="none" w:sz="0" w:space="0" w:color="auto"/>
            <w:bottom w:val="none" w:sz="0" w:space="0" w:color="auto"/>
            <w:right w:val="none" w:sz="0" w:space="0" w:color="auto"/>
          </w:divBdr>
        </w:div>
        <w:div w:id="336734390">
          <w:marLeft w:val="1166"/>
          <w:marRight w:val="0"/>
          <w:marTop w:val="91"/>
          <w:marBottom w:val="0"/>
          <w:divBdr>
            <w:top w:val="none" w:sz="0" w:space="0" w:color="auto"/>
            <w:left w:val="none" w:sz="0" w:space="0" w:color="auto"/>
            <w:bottom w:val="none" w:sz="0" w:space="0" w:color="auto"/>
            <w:right w:val="none" w:sz="0" w:space="0" w:color="auto"/>
          </w:divBdr>
        </w:div>
        <w:div w:id="867718632">
          <w:marLeft w:val="1166"/>
          <w:marRight w:val="0"/>
          <w:marTop w:val="91"/>
          <w:marBottom w:val="0"/>
          <w:divBdr>
            <w:top w:val="none" w:sz="0" w:space="0" w:color="auto"/>
            <w:left w:val="none" w:sz="0" w:space="0" w:color="auto"/>
            <w:bottom w:val="none" w:sz="0" w:space="0" w:color="auto"/>
            <w:right w:val="none" w:sz="0" w:space="0" w:color="auto"/>
          </w:divBdr>
        </w:div>
        <w:div w:id="451872081">
          <w:marLeft w:val="547"/>
          <w:marRight w:val="0"/>
          <w:marTop w:val="106"/>
          <w:marBottom w:val="0"/>
          <w:divBdr>
            <w:top w:val="none" w:sz="0" w:space="0" w:color="auto"/>
            <w:left w:val="none" w:sz="0" w:space="0" w:color="auto"/>
            <w:bottom w:val="none" w:sz="0" w:space="0" w:color="auto"/>
            <w:right w:val="none" w:sz="0" w:space="0" w:color="auto"/>
          </w:divBdr>
        </w:div>
        <w:div w:id="413672810">
          <w:marLeft w:val="1166"/>
          <w:marRight w:val="0"/>
          <w:marTop w:val="91"/>
          <w:marBottom w:val="0"/>
          <w:divBdr>
            <w:top w:val="none" w:sz="0" w:space="0" w:color="auto"/>
            <w:left w:val="none" w:sz="0" w:space="0" w:color="auto"/>
            <w:bottom w:val="none" w:sz="0" w:space="0" w:color="auto"/>
            <w:right w:val="none" w:sz="0" w:space="0" w:color="auto"/>
          </w:divBdr>
        </w:div>
        <w:div w:id="746415837">
          <w:marLeft w:val="1166"/>
          <w:marRight w:val="0"/>
          <w:marTop w:val="91"/>
          <w:marBottom w:val="0"/>
          <w:divBdr>
            <w:top w:val="none" w:sz="0" w:space="0" w:color="auto"/>
            <w:left w:val="none" w:sz="0" w:space="0" w:color="auto"/>
            <w:bottom w:val="none" w:sz="0" w:space="0" w:color="auto"/>
            <w:right w:val="none" w:sz="0" w:space="0" w:color="auto"/>
          </w:divBdr>
        </w:div>
        <w:div w:id="1751152457">
          <w:marLeft w:val="1166"/>
          <w:marRight w:val="0"/>
          <w:marTop w:val="91"/>
          <w:marBottom w:val="0"/>
          <w:divBdr>
            <w:top w:val="none" w:sz="0" w:space="0" w:color="auto"/>
            <w:left w:val="none" w:sz="0" w:space="0" w:color="auto"/>
            <w:bottom w:val="none" w:sz="0" w:space="0" w:color="auto"/>
            <w:right w:val="none" w:sz="0" w:space="0" w:color="auto"/>
          </w:divBdr>
        </w:div>
        <w:div w:id="1475560191">
          <w:marLeft w:val="1166"/>
          <w:marRight w:val="0"/>
          <w:marTop w:val="91"/>
          <w:marBottom w:val="0"/>
          <w:divBdr>
            <w:top w:val="none" w:sz="0" w:space="0" w:color="auto"/>
            <w:left w:val="none" w:sz="0" w:space="0" w:color="auto"/>
            <w:bottom w:val="none" w:sz="0" w:space="0" w:color="auto"/>
            <w:right w:val="none" w:sz="0" w:space="0" w:color="auto"/>
          </w:divBdr>
        </w:div>
        <w:div w:id="552429133">
          <w:marLeft w:val="1166"/>
          <w:marRight w:val="0"/>
          <w:marTop w:val="91"/>
          <w:marBottom w:val="0"/>
          <w:divBdr>
            <w:top w:val="none" w:sz="0" w:space="0" w:color="auto"/>
            <w:left w:val="none" w:sz="0" w:space="0" w:color="auto"/>
            <w:bottom w:val="none" w:sz="0" w:space="0" w:color="auto"/>
            <w:right w:val="none" w:sz="0" w:space="0" w:color="auto"/>
          </w:divBdr>
        </w:div>
        <w:div w:id="2050033368">
          <w:marLeft w:val="1166"/>
          <w:marRight w:val="0"/>
          <w:marTop w:val="91"/>
          <w:marBottom w:val="0"/>
          <w:divBdr>
            <w:top w:val="none" w:sz="0" w:space="0" w:color="auto"/>
            <w:left w:val="none" w:sz="0" w:space="0" w:color="auto"/>
            <w:bottom w:val="none" w:sz="0" w:space="0" w:color="auto"/>
            <w:right w:val="none" w:sz="0" w:space="0" w:color="auto"/>
          </w:divBdr>
        </w:div>
      </w:divsChild>
    </w:div>
    <w:div w:id="686641075">
      <w:bodyDiv w:val="1"/>
      <w:marLeft w:val="0"/>
      <w:marRight w:val="0"/>
      <w:marTop w:val="0"/>
      <w:marBottom w:val="0"/>
      <w:divBdr>
        <w:top w:val="none" w:sz="0" w:space="0" w:color="auto"/>
        <w:left w:val="none" w:sz="0" w:space="0" w:color="auto"/>
        <w:bottom w:val="none" w:sz="0" w:space="0" w:color="auto"/>
        <w:right w:val="none" w:sz="0" w:space="0" w:color="auto"/>
      </w:divBdr>
    </w:div>
    <w:div w:id="1112558508">
      <w:bodyDiv w:val="1"/>
      <w:marLeft w:val="0"/>
      <w:marRight w:val="0"/>
      <w:marTop w:val="0"/>
      <w:marBottom w:val="0"/>
      <w:divBdr>
        <w:top w:val="none" w:sz="0" w:space="0" w:color="auto"/>
        <w:left w:val="none" w:sz="0" w:space="0" w:color="auto"/>
        <w:bottom w:val="none" w:sz="0" w:space="0" w:color="auto"/>
        <w:right w:val="none" w:sz="0" w:space="0" w:color="auto"/>
      </w:divBdr>
    </w:div>
    <w:div w:id="1281759531">
      <w:bodyDiv w:val="1"/>
      <w:marLeft w:val="0"/>
      <w:marRight w:val="0"/>
      <w:marTop w:val="0"/>
      <w:marBottom w:val="0"/>
      <w:divBdr>
        <w:top w:val="none" w:sz="0" w:space="0" w:color="auto"/>
        <w:left w:val="none" w:sz="0" w:space="0" w:color="auto"/>
        <w:bottom w:val="none" w:sz="0" w:space="0" w:color="auto"/>
        <w:right w:val="none" w:sz="0" w:space="0" w:color="auto"/>
      </w:divBdr>
    </w:div>
    <w:div w:id="1410348264">
      <w:bodyDiv w:val="1"/>
      <w:marLeft w:val="0"/>
      <w:marRight w:val="0"/>
      <w:marTop w:val="0"/>
      <w:marBottom w:val="0"/>
      <w:divBdr>
        <w:top w:val="none" w:sz="0" w:space="0" w:color="auto"/>
        <w:left w:val="none" w:sz="0" w:space="0" w:color="auto"/>
        <w:bottom w:val="none" w:sz="0" w:space="0" w:color="auto"/>
        <w:right w:val="none" w:sz="0" w:space="0" w:color="auto"/>
      </w:divBdr>
    </w:div>
    <w:div w:id="1493058899">
      <w:bodyDiv w:val="1"/>
      <w:marLeft w:val="0"/>
      <w:marRight w:val="0"/>
      <w:marTop w:val="0"/>
      <w:marBottom w:val="0"/>
      <w:divBdr>
        <w:top w:val="none" w:sz="0" w:space="0" w:color="auto"/>
        <w:left w:val="none" w:sz="0" w:space="0" w:color="auto"/>
        <w:bottom w:val="none" w:sz="0" w:space="0" w:color="auto"/>
        <w:right w:val="none" w:sz="0" w:space="0" w:color="auto"/>
      </w:divBdr>
    </w:div>
    <w:div w:id="1544096955">
      <w:bodyDiv w:val="1"/>
      <w:marLeft w:val="0"/>
      <w:marRight w:val="0"/>
      <w:marTop w:val="0"/>
      <w:marBottom w:val="0"/>
      <w:divBdr>
        <w:top w:val="none" w:sz="0" w:space="0" w:color="auto"/>
        <w:left w:val="none" w:sz="0" w:space="0" w:color="auto"/>
        <w:bottom w:val="none" w:sz="0" w:space="0" w:color="auto"/>
        <w:right w:val="none" w:sz="0" w:space="0" w:color="auto"/>
      </w:divBdr>
      <w:divsChild>
        <w:div w:id="1166361272">
          <w:marLeft w:val="274"/>
          <w:marRight w:val="0"/>
          <w:marTop w:val="0"/>
          <w:marBottom w:val="0"/>
          <w:divBdr>
            <w:top w:val="none" w:sz="0" w:space="0" w:color="auto"/>
            <w:left w:val="none" w:sz="0" w:space="0" w:color="auto"/>
            <w:bottom w:val="none" w:sz="0" w:space="0" w:color="auto"/>
            <w:right w:val="none" w:sz="0" w:space="0" w:color="auto"/>
          </w:divBdr>
        </w:div>
        <w:div w:id="860632635">
          <w:marLeft w:val="274"/>
          <w:marRight w:val="0"/>
          <w:marTop w:val="0"/>
          <w:marBottom w:val="0"/>
          <w:divBdr>
            <w:top w:val="none" w:sz="0" w:space="0" w:color="auto"/>
            <w:left w:val="none" w:sz="0" w:space="0" w:color="auto"/>
            <w:bottom w:val="none" w:sz="0" w:space="0" w:color="auto"/>
            <w:right w:val="none" w:sz="0" w:space="0" w:color="auto"/>
          </w:divBdr>
        </w:div>
        <w:div w:id="965893420">
          <w:marLeft w:val="274"/>
          <w:marRight w:val="0"/>
          <w:marTop w:val="0"/>
          <w:marBottom w:val="0"/>
          <w:divBdr>
            <w:top w:val="none" w:sz="0" w:space="0" w:color="auto"/>
            <w:left w:val="none" w:sz="0" w:space="0" w:color="auto"/>
            <w:bottom w:val="none" w:sz="0" w:space="0" w:color="auto"/>
            <w:right w:val="none" w:sz="0" w:space="0" w:color="auto"/>
          </w:divBdr>
        </w:div>
        <w:div w:id="1153911117">
          <w:marLeft w:val="274"/>
          <w:marRight w:val="0"/>
          <w:marTop w:val="0"/>
          <w:marBottom w:val="0"/>
          <w:divBdr>
            <w:top w:val="none" w:sz="0" w:space="0" w:color="auto"/>
            <w:left w:val="none" w:sz="0" w:space="0" w:color="auto"/>
            <w:bottom w:val="none" w:sz="0" w:space="0" w:color="auto"/>
            <w:right w:val="none" w:sz="0" w:space="0" w:color="auto"/>
          </w:divBdr>
        </w:div>
        <w:div w:id="571701546">
          <w:marLeft w:val="274"/>
          <w:marRight w:val="0"/>
          <w:marTop w:val="0"/>
          <w:marBottom w:val="0"/>
          <w:divBdr>
            <w:top w:val="none" w:sz="0" w:space="0" w:color="auto"/>
            <w:left w:val="none" w:sz="0" w:space="0" w:color="auto"/>
            <w:bottom w:val="none" w:sz="0" w:space="0" w:color="auto"/>
            <w:right w:val="none" w:sz="0" w:space="0" w:color="auto"/>
          </w:divBdr>
        </w:div>
        <w:div w:id="138573093">
          <w:marLeft w:val="274"/>
          <w:marRight w:val="0"/>
          <w:marTop w:val="0"/>
          <w:marBottom w:val="0"/>
          <w:divBdr>
            <w:top w:val="none" w:sz="0" w:space="0" w:color="auto"/>
            <w:left w:val="none" w:sz="0" w:space="0" w:color="auto"/>
            <w:bottom w:val="none" w:sz="0" w:space="0" w:color="auto"/>
            <w:right w:val="none" w:sz="0" w:space="0" w:color="auto"/>
          </w:divBdr>
        </w:div>
        <w:div w:id="219487343">
          <w:marLeft w:val="274"/>
          <w:marRight w:val="0"/>
          <w:marTop w:val="0"/>
          <w:marBottom w:val="0"/>
          <w:divBdr>
            <w:top w:val="none" w:sz="0" w:space="0" w:color="auto"/>
            <w:left w:val="none" w:sz="0" w:space="0" w:color="auto"/>
            <w:bottom w:val="none" w:sz="0" w:space="0" w:color="auto"/>
            <w:right w:val="none" w:sz="0" w:space="0" w:color="auto"/>
          </w:divBdr>
        </w:div>
      </w:divsChild>
    </w:div>
    <w:div w:id="1759445476">
      <w:bodyDiv w:val="1"/>
      <w:marLeft w:val="0"/>
      <w:marRight w:val="0"/>
      <w:marTop w:val="0"/>
      <w:marBottom w:val="0"/>
      <w:divBdr>
        <w:top w:val="none" w:sz="0" w:space="0" w:color="auto"/>
        <w:left w:val="none" w:sz="0" w:space="0" w:color="auto"/>
        <w:bottom w:val="none" w:sz="0" w:space="0" w:color="auto"/>
        <w:right w:val="none" w:sz="0" w:space="0" w:color="auto"/>
      </w:divBdr>
    </w:div>
    <w:div w:id="212645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creativecommons.org/licenses/by/3.0/au/deed.en" TargetMode="External"/><Relationship Id="rId34" Type="http://schemas.openxmlformats.org/officeDocument/2006/relationships/footer" Target="footer8.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3.xml"/><Relationship Id="rId33"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medialiaison@treasury.gov.au" TargetMode="Externa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creativecommons.org/licenses/by/3.0/au/legalcode"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itsanhonour.gov.au" TargetMode="External"/><Relationship Id="rId27" Type="http://schemas.openxmlformats.org/officeDocument/2006/relationships/footer" Target="footer5.xml"/><Relationship Id="rId30" Type="http://schemas.openxmlformats.org/officeDocument/2006/relationships/image" Target="media/image2.png"/><Relationship Id="rId35" Type="http://schemas.openxmlformats.org/officeDocument/2006/relationships/footer" Target="footer9.xml"/></Relationships>
</file>

<file path=word/_rels/footnotes.xml.rels><?xml version="1.0" encoding="UTF-8" standalone="yes"?>
<Relationships xmlns="http://schemas.openxmlformats.org/package/2006/relationships"><Relationship Id="rId2" Type="http://schemas.openxmlformats.org/officeDocument/2006/relationships/hyperlink" Target="https://www.pickles.com.au/about" TargetMode="External"/><Relationship Id="rId1" Type="http://schemas.openxmlformats.org/officeDocument/2006/relationships/hyperlink" Target="http://www.graysonline.com/abou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Resource\Workgroup%20Templates\Publications\Regulation%20Impact%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_dlc_DocId xmlns="eb47d8b7-fefc-4923-b53c-9685ba6b7210">2018CSSG-528562461-255</_dlc_DocId>
    <TaxCatchAll xmlns="eb47d8b7-fefc-4923-b53c-9685ba6b7210">
      <Value>75</Value>
    </TaxCatchAll>
    <_dlc_DocIdUrl xmlns="eb47d8b7-fefc-4923-b53c-9685ba6b7210">
      <Url>http://tweb/sites/cssg/ped/pu/pt/_layouts/15/DocIdRedir.aspx?ID=2018CSSG-528562461-255</Url>
      <Description>2018CSSG-528562461-255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897" ma:contentTypeDescription="" ma:contentTypeScope="" ma:versionID="39fa637787a0f06100d2101545ff01bf">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7DE21-054B-4EAB-B0B7-6B27DE59DA4F}">
  <ds:schemaRefs>
    <ds:schemaRef ds:uri="http://schemas.microsoft.com/sharepoint/v3/contenttype/forms"/>
  </ds:schemaRefs>
</ds:datastoreItem>
</file>

<file path=customXml/itemProps2.xml><?xml version="1.0" encoding="utf-8"?>
<ds:datastoreItem xmlns:ds="http://schemas.openxmlformats.org/officeDocument/2006/customXml" ds:itemID="{4ACCFB51-D2C8-4B48-B94C-C0FF01E46186}">
  <ds:schemaRefs>
    <ds:schemaRef ds:uri="http://purl.org/dc/elements/1.1/"/>
    <ds:schemaRef ds:uri="http://schemas.microsoft.com/sharepoint/v3"/>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eb47d8b7-fefc-4923-b53c-9685ba6b721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520377A-E245-4251-ABBC-84FD7C4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FF2E2-0FD8-48EB-B11C-14E2C30AA210}">
  <ds:schemaRefs>
    <ds:schemaRef ds:uri="http://schemas.microsoft.com/sharepoint/events"/>
  </ds:schemaRefs>
</ds:datastoreItem>
</file>

<file path=customXml/itemProps5.xml><?xml version="1.0" encoding="utf-8"?>
<ds:datastoreItem xmlns:ds="http://schemas.openxmlformats.org/officeDocument/2006/customXml" ds:itemID="{67FBBE79-5B34-48EA-A8B0-5A8F0A122386}">
  <ds:schemaRefs>
    <ds:schemaRef ds:uri="office.server.policy"/>
  </ds:schemaRefs>
</ds:datastoreItem>
</file>

<file path=customXml/itemProps6.xml><?xml version="1.0" encoding="utf-8"?>
<ds:datastoreItem xmlns:ds="http://schemas.openxmlformats.org/officeDocument/2006/customXml" ds:itemID="{9102B3B6-DDB2-4FB4-B276-223322CC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Regulation Impact Statement.dotm</Template>
  <TotalTime>23</TotalTime>
  <Pages>30</Pages>
  <Words>9337</Words>
  <Characters>49113</Characters>
  <Application>Microsoft Office Word</Application>
  <DocSecurity>0</DocSecurity>
  <Lines>982</Lines>
  <Paragraphs>397</Paragraphs>
  <ScaleCrop>false</ScaleCrop>
  <HeadingPairs>
    <vt:vector size="2" baseType="variant">
      <vt:variant>
        <vt:lpstr>Title</vt:lpstr>
      </vt:variant>
      <vt:variant>
        <vt:i4>1</vt:i4>
      </vt:variant>
    </vt:vector>
  </HeadingPairs>
  <TitlesOfParts>
    <vt:vector size="1" baseType="lpstr">
      <vt:lpstr>Australian Consumer Law Review: Access to consumer guarantees for goods sold at auctions</vt:lpstr>
    </vt:vector>
  </TitlesOfParts>
  <Company>Australian Government - The Treasury</Company>
  <LinksUpToDate>false</LinksUpToDate>
  <CharactersWithSpaces>58053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Consumer Law Review: Access to consumer guarantees for goods sold at auctions</dc:title>
  <dc:creator/>
  <dc:description>4-</dc:description>
  <cp:lastModifiedBy>Hill, Christine</cp:lastModifiedBy>
  <cp:revision>7</cp:revision>
  <cp:lastPrinted>2018-03-09T01:00:00Z</cp:lastPrinted>
  <dcterms:created xsi:type="dcterms:W3CDTF">2018-03-09T03:26:00Z</dcterms:created>
  <dcterms:modified xsi:type="dcterms:W3CDTF">2018-03-22T00:26:00Z</dcterms:modified>
</cp:coreProperties>
</file>