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0DECD" w14:textId="77777777" w:rsidR="006F25C7" w:rsidRPr="00F21DD0" w:rsidRDefault="006F25C7" w:rsidP="00F21DD0">
      <w:pPr>
        <w:pStyle w:val="CoverTitleMain"/>
      </w:pPr>
      <w:bookmarkStart w:id="0" w:name="_GoBack"/>
      <w:bookmarkEnd w:id="0"/>
      <w:r w:rsidRPr="003420AE">
        <w:t>Proposed Industry Funding Model</w:t>
      </w:r>
      <w:r w:rsidR="000273CA" w:rsidRPr="003420AE">
        <w:br/>
      </w:r>
      <w:r w:rsidRPr="003420AE">
        <w:t xml:space="preserve">for the Australian Securities and </w:t>
      </w:r>
      <w:r w:rsidRPr="00F21DD0">
        <w:t>Investments Commission</w:t>
      </w:r>
    </w:p>
    <w:p w14:paraId="2B002A01" w14:textId="77777777" w:rsidR="003420AE" w:rsidRDefault="006D58D9" w:rsidP="00DA1CAF">
      <w:pPr>
        <w:pStyle w:val="CoverTitleSub"/>
      </w:pPr>
      <w:r>
        <w:t>Proposals Paper</w:t>
      </w:r>
    </w:p>
    <w:p w14:paraId="40581F70" w14:textId="0A32B6E5" w:rsidR="00DE2576" w:rsidRDefault="008373BC" w:rsidP="00DA1CAF">
      <w:pPr>
        <w:pStyle w:val="CoverTitleSub"/>
      </w:pPr>
      <w:r>
        <w:t>November</w:t>
      </w:r>
      <w:r w:rsidR="00700C73">
        <w:t xml:space="preserve"> </w:t>
      </w:r>
      <w:r w:rsidR="006F25C7" w:rsidRPr="003D4405">
        <w:t>201</w:t>
      </w:r>
      <w:r w:rsidR="00E5526C">
        <w:t>6</w:t>
      </w:r>
    </w:p>
    <w:p w14:paraId="0FBAD293" w14:textId="77777777" w:rsidR="00F21DD0" w:rsidRDefault="00F21DD0" w:rsidP="00DA1CAF">
      <w:pPr>
        <w:pStyle w:val="CoverTitleSub"/>
        <w:sectPr w:rsidR="00F21DD0" w:rsidSect="00DE2576">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vAlign w:val="center"/>
          <w:titlePg/>
          <w:docGrid w:linePitch="360"/>
        </w:sectPr>
      </w:pPr>
    </w:p>
    <w:p w14:paraId="0D2CFE70" w14:textId="77777777" w:rsidR="00DA1CAF" w:rsidRDefault="00DA1CAF" w:rsidP="001B68EF">
      <w:r w:rsidRPr="00661BF0">
        <w:lastRenderedPageBreak/>
        <w:t xml:space="preserve">© </w:t>
      </w:r>
      <w:r w:rsidRPr="00621674">
        <w:t>Commonwealth of Australia 201</w:t>
      </w:r>
      <w:r w:rsidR="00945988">
        <w:t>6</w:t>
      </w:r>
    </w:p>
    <w:p w14:paraId="1229C889" w14:textId="77777777" w:rsidR="001B68EF" w:rsidRPr="001B68EF" w:rsidRDefault="00D4521F" w:rsidP="00D4521F">
      <w:r w:rsidRPr="00D4521F">
        <w:t>ISBN 978-1-925504-08-8</w:t>
      </w:r>
    </w:p>
    <w:p w14:paraId="67FEEBEF" w14:textId="77777777" w:rsidR="00DA1CAF" w:rsidRPr="00086F82" w:rsidRDefault="00DA1CAF" w:rsidP="001B68EF">
      <w:pPr>
        <w:rPr>
          <w:rStyle w:val="A5"/>
          <w:sz w:val="24"/>
          <w:szCs w:val="24"/>
        </w:rPr>
      </w:pPr>
      <w:r w:rsidRPr="002F1BC2">
        <w:t>This publication is available for your use under a</w:t>
      </w:r>
      <w:r w:rsidRPr="00476F09">
        <w:rPr>
          <w:rStyle w:val="A5"/>
          <w:rFonts w:cs="Calibri"/>
          <w:sz w:val="24"/>
          <w:szCs w:val="24"/>
        </w:rPr>
        <w:t xml:space="preserve"> </w:t>
      </w:r>
      <w:hyperlink r:id="rId20" w:history="1">
        <w:r w:rsidRPr="001B68EF">
          <w:t>Creative Commons Attribution 3.0 Australia</w:t>
        </w:r>
      </w:hyperlink>
      <w:r w:rsidRPr="00476F09">
        <w:rPr>
          <w:rStyle w:val="A5"/>
          <w:rFonts w:cs="Calibri"/>
          <w:sz w:val="24"/>
          <w:szCs w:val="24"/>
        </w:rPr>
        <w:t xml:space="preserve"> </w:t>
      </w:r>
      <w:r w:rsidRPr="002F1BC2">
        <w:t>licence, with the exception of the Commonwealth Coat of Arms, the Treasury logo</w:t>
      </w:r>
      <w:r>
        <w:t>, photographs, images, signatures and where otherwise stated</w:t>
      </w:r>
      <w:r w:rsidR="009B7C3C">
        <w:t xml:space="preserve">. </w:t>
      </w:r>
      <w:r w:rsidRPr="002F1BC2">
        <w:t>The full licence terms are available from</w:t>
      </w:r>
      <w:r w:rsidRPr="00476F09">
        <w:rPr>
          <w:rStyle w:val="A5"/>
          <w:rFonts w:cs="Calibri"/>
          <w:sz w:val="24"/>
          <w:szCs w:val="24"/>
        </w:rPr>
        <w:t xml:space="preserve"> </w:t>
      </w:r>
      <w:hyperlink r:id="rId21" w:history="1">
        <w:r w:rsidRPr="009314FF">
          <w:rPr>
            <w:rStyle w:val="Hyperlink"/>
          </w:rPr>
          <w:t>http://creativecommons.org/licenses/by/3.0/au/legalcode</w:t>
        </w:r>
      </w:hyperlink>
      <w:r w:rsidRPr="001B68EF">
        <w:t>.</w:t>
      </w:r>
    </w:p>
    <w:p w14:paraId="39AE2A8F" w14:textId="77777777" w:rsidR="00DA1CAF" w:rsidRDefault="00DA1CAF" w:rsidP="00F37DCE">
      <w:pPr>
        <w:pStyle w:val="ChartGraphic"/>
        <w:spacing w:after="240"/>
        <w:jc w:val="left"/>
      </w:pPr>
      <w:r>
        <w:rPr>
          <w:noProof/>
        </w:rPr>
        <w:drawing>
          <wp:inline distT="0" distB="0" distL="0" distR="0" wp14:anchorId="1E271ECE" wp14:editId="5DD59263">
            <wp:extent cx="809625" cy="285750"/>
            <wp:effectExtent l="0" t="0" r="9525" b="0"/>
            <wp:docPr id="2" name="Picture 2"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69A377A7" w14:textId="77777777" w:rsidR="00DA1CAF" w:rsidRPr="006627B4" w:rsidRDefault="00DA1CAF" w:rsidP="001B68EF">
      <w:r w:rsidRPr="006627B4">
        <w:t>Use of Treasury material under a</w:t>
      </w:r>
      <w:r w:rsidRPr="00476F09">
        <w:rPr>
          <w:rFonts w:cs="Calibri"/>
          <w:sz w:val="24"/>
          <w:szCs w:val="24"/>
        </w:rPr>
        <w:t xml:space="preserve"> </w:t>
      </w:r>
      <w:hyperlink r:id="rId23" w:history="1">
        <w:r w:rsidRPr="001B68EF">
          <w:t>Creative Commons Attribution 3.0 Australia</w:t>
        </w:r>
      </w:hyperlink>
      <w:r w:rsidRPr="001B68EF">
        <w:t xml:space="preserve"> </w:t>
      </w:r>
      <w:r w:rsidRPr="006627B4">
        <w:t>licence requires you to attribute the work (but not in any way that suggests that the Treasury endorse</w:t>
      </w:r>
      <w:r>
        <w:t>s you or your use of the work).</w:t>
      </w:r>
    </w:p>
    <w:p w14:paraId="3F323B5A" w14:textId="77777777" w:rsidR="00DA1CAF" w:rsidRPr="002F1BC2" w:rsidRDefault="00DA1CAF" w:rsidP="00DA1CAF">
      <w:pPr>
        <w:ind w:left="720"/>
        <w:rPr>
          <w:i/>
        </w:rPr>
      </w:pPr>
      <w:r w:rsidRPr="002F1BC2">
        <w:rPr>
          <w:i/>
        </w:rPr>
        <w:t xml:space="preserve">Treasury material used </w:t>
      </w:r>
      <w:r>
        <w:rPr>
          <w:i/>
        </w:rPr>
        <w:t>‘</w:t>
      </w:r>
      <w:r w:rsidRPr="002F1BC2">
        <w:rPr>
          <w:i/>
        </w:rPr>
        <w:t>as supplied</w:t>
      </w:r>
      <w:r>
        <w:rPr>
          <w:i/>
        </w:rPr>
        <w:t>’.</w:t>
      </w:r>
    </w:p>
    <w:p w14:paraId="051BC4F0" w14:textId="77777777" w:rsidR="00DA1CAF" w:rsidRPr="00476F09" w:rsidRDefault="00DA1CAF" w:rsidP="001B68EF">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00D4521F">
        <w:t>he following attribution:</w:t>
      </w:r>
    </w:p>
    <w:p w14:paraId="155EEB7B" w14:textId="77777777" w:rsidR="00DA1CAF" w:rsidRPr="00A13A11" w:rsidRDefault="00DA1CAF" w:rsidP="00DA1CAF">
      <w:pPr>
        <w:ind w:firstLine="720"/>
      </w:pPr>
      <w:r w:rsidRPr="002F1BC2">
        <w:rPr>
          <w:i/>
        </w:rPr>
        <w:t xml:space="preserve">Source: The </w:t>
      </w:r>
      <w:r w:rsidRPr="002F1BC2">
        <w:rPr>
          <w:i/>
          <w:iCs/>
        </w:rPr>
        <w:t>Aus</w:t>
      </w:r>
      <w:r>
        <w:rPr>
          <w:i/>
          <w:iCs/>
        </w:rPr>
        <w:t>tralian Government the Treasury</w:t>
      </w:r>
      <w:r>
        <w:t>.</w:t>
      </w:r>
    </w:p>
    <w:p w14:paraId="757C7B50" w14:textId="77777777" w:rsidR="00DA1CAF" w:rsidRPr="006627B4" w:rsidRDefault="00DA1CAF" w:rsidP="00DA1CAF">
      <w:pPr>
        <w:spacing w:after="40"/>
      </w:pPr>
      <w:r w:rsidRPr="00CC63CC">
        <w:rPr>
          <w:b/>
        </w:rPr>
        <w:t>Derivative</w:t>
      </w:r>
      <w:r w:rsidRPr="006627B4">
        <w:t xml:space="preserve"> </w:t>
      </w:r>
      <w:r w:rsidRPr="00CC63CC">
        <w:rPr>
          <w:b/>
        </w:rPr>
        <w:t>material</w:t>
      </w:r>
    </w:p>
    <w:p w14:paraId="43939DA7" w14:textId="77777777" w:rsidR="00DA1CAF" w:rsidRPr="006627B4" w:rsidRDefault="00DA1CAF" w:rsidP="001B68EF">
      <w:r w:rsidRPr="006627B4">
        <w:t>If you have modified or transformed Treasury material, or derived new material from those of the Treasury in any way, then Treasury pre</w:t>
      </w:r>
      <w:r w:rsidR="00D4521F">
        <w:t>fers the following attribution:</w:t>
      </w:r>
    </w:p>
    <w:p w14:paraId="1113F799" w14:textId="77777777" w:rsidR="00DA1CAF" w:rsidRPr="006627B4" w:rsidRDefault="00DA1CAF" w:rsidP="00DA1CAF">
      <w:pPr>
        <w:ind w:firstLine="720"/>
      </w:pPr>
      <w:r w:rsidRPr="002F1BC2">
        <w:rPr>
          <w:i/>
        </w:rPr>
        <w:t>Based on The Australian Government the Treasury data</w:t>
      </w:r>
      <w:r>
        <w:t>.</w:t>
      </w:r>
    </w:p>
    <w:p w14:paraId="460E5996" w14:textId="77777777" w:rsidR="00DA1CAF" w:rsidRPr="006627B4" w:rsidRDefault="00DA1CAF" w:rsidP="00DA1CAF">
      <w:pPr>
        <w:spacing w:after="40"/>
        <w:rPr>
          <w:b/>
        </w:rPr>
      </w:pPr>
      <w:r w:rsidRPr="006627B4">
        <w:rPr>
          <w:b/>
        </w:rPr>
        <w:t>Use of the Coat of Arms</w:t>
      </w:r>
    </w:p>
    <w:p w14:paraId="2F8FA164" w14:textId="77777777" w:rsidR="00DA1CAF" w:rsidRPr="006627B4" w:rsidRDefault="00DA1CAF" w:rsidP="001B68EF">
      <w:r w:rsidRPr="006627B4">
        <w:t>The terms under which the Coat of Arms can be used are set out on the It</w:t>
      </w:r>
      <w:r>
        <w:t>’</w:t>
      </w:r>
      <w:r w:rsidRPr="006627B4">
        <w:t>s an Honour website (see</w:t>
      </w:r>
      <w:r w:rsidR="00055724">
        <w:t> </w:t>
      </w:r>
      <w:hyperlink r:id="rId24" w:history="1">
        <w:r w:rsidRPr="009314FF">
          <w:rPr>
            <w:rStyle w:val="Hyperlink"/>
          </w:rPr>
          <w:t>www.itsanhonour.gov.au</w:t>
        </w:r>
      </w:hyperlink>
      <w:r w:rsidRPr="006627B4">
        <w:t>)</w:t>
      </w:r>
      <w:r>
        <w:t>.</w:t>
      </w:r>
    </w:p>
    <w:p w14:paraId="342F4143" w14:textId="77777777" w:rsidR="00DA1CAF" w:rsidRPr="006627B4" w:rsidRDefault="00DA1CAF" w:rsidP="00DA1CAF">
      <w:pPr>
        <w:spacing w:after="40"/>
        <w:rPr>
          <w:b/>
        </w:rPr>
      </w:pPr>
      <w:r>
        <w:rPr>
          <w:b/>
        </w:rPr>
        <w:t>Other u</w:t>
      </w:r>
      <w:r w:rsidRPr="006627B4">
        <w:rPr>
          <w:b/>
        </w:rPr>
        <w:t>ses</w:t>
      </w:r>
    </w:p>
    <w:p w14:paraId="13E76934" w14:textId="77777777" w:rsidR="00DA1CAF" w:rsidRPr="006627B4" w:rsidRDefault="00DA1CAF" w:rsidP="001B68EF">
      <w:r>
        <w:t>E</w:t>
      </w:r>
      <w:r w:rsidRPr="006627B4">
        <w:t>nquiries regarding this licence and any other use of this document are welcome at:</w:t>
      </w:r>
    </w:p>
    <w:p w14:paraId="2FBBBCC5" w14:textId="77777777" w:rsidR="00DA1CAF" w:rsidRPr="002F1BC2" w:rsidRDefault="00DA1CAF" w:rsidP="00F21DD0">
      <w:pPr>
        <w:ind w:left="720"/>
        <w:jc w:val="left"/>
        <w:rPr>
          <w:rStyle w:val="Hyperlink"/>
        </w:rPr>
      </w:pPr>
      <w:r w:rsidRPr="006627B4">
        <w:t>Manager</w:t>
      </w:r>
      <w:r>
        <w:br/>
        <w:t>Communications</w:t>
      </w:r>
      <w:r>
        <w:br/>
      </w:r>
      <w:r w:rsidRPr="006627B4">
        <w:t>The Treasury</w:t>
      </w:r>
      <w:r w:rsidR="00D4521F">
        <w:br/>
        <w:t>Langton Crescent</w:t>
      </w:r>
      <w:r>
        <w:br/>
      </w:r>
      <w:proofErr w:type="spellStart"/>
      <w:r>
        <w:t>Parkes</w:t>
      </w:r>
      <w:proofErr w:type="spellEnd"/>
      <w:r>
        <w:t>  </w:t>
      </w:r>
      <w:r w:rsidRPr="006627B4">
        <w:t>ACT</w:t>
      </w:r>
      <w:r>
        <w:t>  </w:t>
      </w:r>
      <w:r w:rsidRPr="006627B4">
        <w:t>2600</w:t>
      </w:r>
      <w:r>
        <w:br/>
      </w:r>
      <w:r w:rsidRPr="006627B4">
        <w:t xml:space="preserve">Email: </w:t>
      </w:r>
      <w:hyperlink r:id="rId25" w:history="1">
        <w:r w:rsidRPr="009314FF">
          <w:rPr>
            <w:rStyle w:val="Hyperlink"/>
          </w:rPr>
          <w:t>medialiaison@treasury.gov.au</w:t>
        </w:r>
      </w:hyperlink>
    </w:p>
    <w:p w14:paraId="504592FA" w14:textId="77777777" w:rsidR="00DA1CAF" w:rsidRPr="00DA1CAF" w:rsidRDefault="00DA1CAF" w:rsidP="00DA1CAF"/>
    <w:p w14:paraId="1824709E" w14:textId="77777777" w:rsidR="00DA1CAF" w:rsidRPr="00DA1CAF" w:rsidRDefault="00DA1CAF" w:rsidP="00DA1CAF">
      <w:pPr>
        <w:sectPr w:rsidR="00DA1CAF" w:rsidRPr="00DA1CAF" w:rsidSect="00DE2576">
          <w:headerReference w:type="first" r:id="rId26"/>
          <w:footerReference w:type="first" r:id="rId27"/>
          <w:pgSz w:w="11906" w:h="16838"/>
          <w:pgMar w:top="1440" w:right="1440" w:bottom="1440" w:left="1440" w:header="708" w:footer="708" w:gutter="0"/>
          <w:cols w:space="708"/>
          <w:titlePg/>
          <w:docGrid w:linePitch="360"/>
        </w:sectPr>
      </w:pPr>
    </w:p>
    <w:p w14:paraId="4901112C" w14:textId="77777777" w:rsidR="006F25C7" w:rsidRPr="00DA1CAF" w:rsidRDefault="006F25C7" w:rsidP="007564EF">
      <w:pPr>
        <w:pStyle w:val="Heading1"/>
      </w:pPr>
      <w:bookmarkStart w:id="1" w:name="_Toc388256290"/>
      <w:bookmarkStart w:id="2" w:name="_Toc388349531"/>
      <w:bookmarkStart w:id="3" w:name="_Toc452626304"/>
      <w:bookmarkStart w:id="4" w:name="_Toc453236809"/>
      <w:bookmarkStart w:id="5" w:name="_Toc453336856"/>
      <w:bookmarkStart w:id="6" w:name="_Toc453683972"/>
      <w:bookmarkStart w:id="7" w:name="_Toc453750612"/>
      <w:bookmarkStart w:id="8" w:name="_Toc453771898"/>
      <w:bookmarkStart w:id="9" w:name="_Toc453836144"/>
      <w:bookmarkStart w:id="10" w:name="_Toc454203046"/>
      <w:bookmarkStart w:id="11" w:name="_Toc454874891"/>
      <w:bookmarkStart w:id="12" w:name="_Toc454898010"/>
      <w:bookmarkStart w:id="13" w:name="_Toc456266505"/>
      <w:bookmarkStart w:id="14" w:name="_Toc466038541"/>
      <w:r w:rsidRPr="00DA1CAF">
        <w:lastRenderedPageBreak/>
        <w:t>Consultation Process</w:t>
      </w:r>
      <w:bookmarkEnd w:id="1"/>
      <w:bookmarkEnd w:id="2"/>
      <w:bookmarkEnd w:id="3"/>
      <w:bookmarkEnd w:id="4"/>
      <w:bookmarkEnd w:id="5"/>
      <w:bookmarkEnd w:id="6"/>
      <w:bookmarkEnd w:id="7"/>
      <w:bookmarkEnd w:id="8"/>
      <w:bookmarkEnd w:id="9"/>
      <w:bookmarkEnd w:id="10"/>
      <w:bookmarkEnd w:id="11"/>
      <w:bookmarkEnd w:id="12"/>
      <w:bookmarkEnd w:id="13"/>
      <w:bookmarkEnd w:id="14"/>
    </w:p>
    <w:p w14:paraId="48FCB288" w14:textId="77777777" w:rsidR="006F25C7" w:rsidRPr="007564EF" w:rsidRDefault="006F25C7" w:rsidP="00F740FA">
      <w:pPr>
        <w:pStyle w:val="Heading2-NoTOC"/>
      </w:pPr>
      <w:r w:rsidRPr="007564EF">
        <w:t>Request for feedback and comments</w:t>
      </w:r>
    </w:p>
    <w:p w14:paraId="2159D450" w14:textId="77777777" w:rsidR="006F25C7" w:rsidRPr="001B1797" w:rsidRDefault="006F25C7" w:rsidP="00057148">
      <w:r w:rsidRPr="001B1797">
        <w:t>The Government seeks your feedback on the measure</w:t>
      </w:r>
      <w:r>
        <w:t>s</w:t>
      </w:r>
      <w:r w:rsidRPr="001B1797">
        <w:t xml:space="preserve"> outlined in this </w:t>
      </w:r>
      <w:r w:rsidR="00732C06">
        <w:t>proposals paper</w:t>
      </w:r>
      <w:r w:rsidR="009B7C3C">
        <w:t xml:space="preserve">. </w:t>
      </w:r>
      <w:r w:rsidRPr="001B1797">
        <w:t>The information obtained through this process will inform the Government</w:t>
      </w:r>
      <w:r>
        <w:t>’</w:t>
      </w:r>
      <w:r w:rsidRPr="001B1797">
        <w:t xml:space="preserve">s approach to implementation and </w:t>
      </w:r>
      <w:r>
        <w:t xml:space="preserve">aid it in </w:t>
      </w:r>
      <w:r w:rsidRPr="001B1797">
        <w:t xml:space="preserve">meeting the </w:t>
      </w:r>
      <w:r>
        <w:t>objectives</w:t>
      </w:r>
      <w:r w:rsidRPr="001B1797">
        <w:t xml:space="preserve"> of </w:t>
      </w:r>
      <w:r>
        <w:t>b</w:t>
      </w:r>
      <w:r w:rsidRPr="001B1797">
        <w:t xml:space="preserve">est </w:t>
      </w:r>
      <w:r>
        <w:t>p</w:t>
      </w:r>
      <w:r w:rsidRPr="001B1797">
        <w:t xml:space="preserve">ractice </w:t>
      </w:r>
      <w:r>
        <w:t>r</w:t>
      </w:r>
      <w:r w:rsidRPr="001B1797">
        <w:t>egulation.</w:t>
      </w:r>
    </w:p>
    <w:p w14:paraId="0E32D0CA" w14:textId="77777777" w:rsidR="006F25C7" w:rsidRPr="001B1797" w:rsidRDefault="006F25C7" w:rsidP="00057148">
      <w:r w:rsidRPr="001B1797">
        <w:t>While submissions may be lodged electronically or by post, electronic lodgement is preferred</w:t>
      </w:r>
      <w:r w:rsidR="009B7C3C">
        <w:t xml:space="preserve">. </w:t>
      </w:r>
      <w:r w:rsidRPr="001B1797">
        <w:t>For accessibility reasons, please email responses in a Word or RTF format</w:t>
      </w:r>
      <w:r w:rsidR="009B7C3C">
        <w:t xml:space="preserve">. </w:t>
      </w:r>
      <w:r w:rsidRPr="001B1797">
        <w:t>An additional PDF version may also be submitted.</w:t>
      </w:r>
    </w:p>
    <w:p w14:paraId="4E80930C" w14:textId="77777777" w:rsidR="006F25C7" w:rsidRDefault="006F25C7" w:rsidP="0021601B">
      <w:r w:rsidRPr="001B1797">
        <w:t>All information (including name and address details) contained in submissions will be made available to the public on the Treasury website, unless you indicate that you would like all or part of your submission to remain in confidence</w:t>
      </w:r>
      <w:r w:rsidR="009B7C3C">
        <w:t xml:space="preserve">. </w:t>
      </w:r>
      <w:r w:rsidRPr="001B1797">
        <w:t>Automatically generated confidentiality statements in emails do not suffice for this purpose</w:t>
      </w:r>
      <w:r w:rsidR="009B7C3C">
        <w:t xml:space="preserve">. </w:t>
      </w:r>
      <w:r w:rsidR="00FE2803" w:rsidRPr="001B1797">
        <w:t xml:space="preserve">Respondents who would like part </w:t>
      </w:r>
      <w:r w:rsidR="00FE2803">
        <w:t xml:space="preserve">or all </w:t>
      </w:r>
      <w:r w:rsidR="00FE2803" w:rsidRPr="001B1797">
        <w:t>of their submission to remain in confidence should provide this information marked as such in a separate attachment</w:t>
      </w:r>
      <w:r w:rsidR="009B7C3C">
        <w:t xml:space="preserve">. </w:t>
      </w:r>
      <w:r w:rsidRPr="001B1797">
        <w:t xml:space="preserve">A request made under the </w:t>
      </w:r>
      <w:r w:rsidRPr="003D4405">
        <w:rPr>
          <w:i/>
        </w:rPr>
        <w:t>Freedom of Information Act 1982</w:t>
      </w:r>
      <w:r w:rsidRPr="001B1797">
        <w:t xml:space="preserve"> for a submission marked </w:t>
      </w:r>
      <w:r>
        <w:t>‘</w:t>
      </w:r>
      <w:r w:rsidRPr="001B1797">
        <w:t>confidential</w:t>
      </w:r>
      <w:r>
        <w:t>’</w:t>
      </w:r>
      <w:r w:rsidRPr="001B1797">
        <w:t xml:space="preserve"> to be made available will be determined in accordance with that Act</w:t>
      </w:r>
      <w:r>
        <w:t>.</w:t>
      </w:r>
    </w:p>
    <w:p w14:paraId="35962002" w14:textId="77777777" w:rsidR="00C621EA" w:rsidRDefault="00C621EA" w:rsidP="00F740FA">
      <w:pPr>
        <w:pStyle w:val="Heading3-NoTOC"/>
      </w:pPr>
      <w:r>
        <w:t>Submissions</w:t>
      </w:r>
    </w:p>
    <w:p w14:paraId="5B56AEBD" w14:textId="04306DFE" w:rsidR="00C621EA" w:rsidRDefault="00C621EA" w:rsidP="0021601B">
      <w:r>
        <w:t xml:space="preserve">Written submissions will be accepted during the formal consultation period, ending </w:t>
      </w:r>
      <w:r w:rsidR="00A617DC" w:rsidRPr="008373BC">
        <w:rPr>
          <w:b/>
        </w:rPr>
        <w:t>16</w:t>
      </w:r>
      <w:r w:rsidR="007564EF" w:rsidRPr="008373BC">
        <w:rPr>
          <w:b/>
        </w:rPr>
        <w:t> </w:t>
      </w:r>
      <w:r w:rsidR="005778B3" w:rsidRPr="008373BC">
        <w:rPr>
          <w:b/>
        </w:rPr>
        <w:t>December</w:t>
      </w:r>
      <w:r w:rsidR="007564EF" w:rsidRPr="008373BC">
        <w:rPr>
          <w:b/>
        </w:rPr>
        <w:t> </w:t>
      </w:r>
      <w:r w:rsidRPr="008373BC">
        <w:rPr>
          <w:b/>
        </w:rPr>
        <w:t>2016.</w:t>
      </w:r>
    </w:p>
    <w:p w14:paraId="277A637A" w14:textId="77777777" w:rsidR="00C621EA" w:rsidRDefault="00C621EA" w:rsidP="00F740FA">
      <w:pPr>
        <w:pStyle w:val="Heading3-NoTOC"/>
      </w:pPr>
      <w:r>
        <w:t>Round table meetings</w:t>
      </w:r>
    </w:p>
    <w:p w14:paraId="1D46F87E" w14:textId="79FBEBCF" w:rsidR="00C621EA" w:rsidRPr="008373BC" w:rsidRDefault="00C621EA" w:rsidP="0021601B">
      <w:pPr>
        <w:rPr>
          <w:b/>
          <w:bCs/>
        </w:rPr>
      </w:pPr>
      <w:r>
        <w:t xml:space="preserve">Round table meetings will be scheduled during the </w:t>
      </w:r>
      <w:r w:rsidRPr="008373BC">
        <w:t xml:space="preserve">week of </w:t>
      </w:r>
      <w:r w:rsidR="00A617DC" w:rsidRPr="008373BC">
        <w:t>28</w:t>
      </w:r>
      <w:r w:rsidRPr="008373BC">
        <w:t xml:space="preserve"> </w:t>
      </w:r>
      <w:r w:rsidR="008605AF" w:rsidRPr="008373BC">
        <w:t>November</w:t>
      </w:r>
      <w:r w:rsidRPr="008373BC">
        <w:t xml:space="preserve"> 2016. Please register your interest by emailing your details and nominate which industry sector meetings you </w:t>
      </w:r>
      <w:r w:rsidR="008605AF" w:rsidRPr="008373BC">
        <w:t>are interested in</w:t>
      </w:r>
      <w:r w:rsidRPr="008373BC">
        <w:t xml:space="preserve"> attending to </w:t>
      </w:r>
      <w:hyperlink r:id="rId28" w:history="1">
        <w:r w:rsidRPr="008373BC">
          <w:rPr>
            <w:rStyle w:val="Hyperlink"/>
          </w:rPr>
          <w:t>asicfunding@treasury.gov.au</w:t>
        </w:r>
      </w:hyperlink>
      <w:r w:rsidRPr="008373BC">
        <w:t>.</w:t>
      </w:r>
    </w:p>
    <w:p w14:paraId="46B7C3F4" w14:textId="569179C7" w:rsidR="006F25C7" w:rsidRDefault="006F25C7" w:rsidP="009314FF">
      <w:pPr>
        <w:pStyle w:val="Heading3-NoTOC"/>
        <w:tabs>
          <w:tab w:val="left" w:pos="4395"/>
        </w:tabs>
      </w:pPr>
      <w:r w:rsidRPr="008373BC">
        <w:t>Closing date for submissions:</w:t>
      </w:r>
      <w:r w:rsidR="009314FF" w:rsidRPr="008373BC">
        <w:tab/>
      </w:r>
      <w:r w:rsidR="00A617DC" w:rsidRPr="008373BC">
        <w:t>16</w:t>
      </w:r>
      <w:r w:rsidR="00E5526C" w:rsidRPr="008373BC">
        <w:t xml:space="preserve"> </w:t>
      </w:r>
      <w:r w:rsidR="00FA521E" w:rsidRPr="008373BC">
        <w:t>Dece</w:t>
      </w:r>
      <w:r w:rsidR="00C90A65" w:rsidRPr="008373BC">
        <w:t>mbe</w:t>
      </w:r>
      <w:r w:rsidR="001F60B5" w:rsidRPr="008373BC">
        <w:t>r</w:t>
      </w:r>
      <w:r w:rsidR="00E5526C" w:rsidRPr="008373BC">
        <w:t xml:space="preserve"> 2016</w:t>
      </w:r>
    </w:p>
    <w:p w14:paraId="12E53ABD" w14:textId="77777777" w:rsidR="00444BB8" w:rsidRDefault="00444BB8" w:rsidP="00444BB8">
      <w:pPr>
        <w:tabs>
          <w:tab w:val="left" w:pos="1560"/>
        </w:tabs>
        <w:ind w:left="1560" w:hanging="1560"/>
        <w:rPr>
          <w:rStyle w:val="Hyperlink"/>
        </w:rPr>
      </w:pPr>
      <w:r w:rsidRPr="003D4405">
        <w:t>Email:</w:t>
      </w:r>
      <w:r>
        <w:tab/>
      </w:r>
      <w:hyperlink r:id="rId29" w:history="1">
        <w:r w:rsidRPr="003144EC">
          <w:rPr>
            <w:rStyle w:val="Hyperlink"/>
          </w:rPr>
          <w:t>asicfunding@treasury.gov.au</w:t>
        </w:r>
      </w:hyperlink>
    </w:p>
    <w:p w14:paraId="7F0B28FE" w14:textId="77777777" w:rsidR="00444BB8" w:rsidRPr="00444BB8" w:rsidRDefault="00444BB8" w:rsidP="00444BB8">
      <w:pPr>
        <w:tabs>
          <w:tab w:val="left" w:pos="1560"/>
        </w:tabs>
        <w:ind w:left="1560" w:hanging="1560"/>
        <w:jc w:val="left"/>
      </w:pPr>
      <w:r w:rsidRPr="00444BB8">
        <w:t>Mail:</w:t>
      </w:r>
      <w:r w:rsidRPr="00444BB8">
        <w:tab/>
        <w:t>Corporations and Schemes Unit (CSU)</w:t>
      </w:r>
      <w:r>
        <w:br/>
      </w:r>
      <w:r w:rsidRPr="00444BB8">
        <w:t xml:space="preserve">Financial System Division </w:t>
      </w:r>
      <w:r>
        <w:br/>
      </w:r>
      <w:r w:rsidRPr="00444BB8">
        <w:t>The Treasury</w:t>
      </w:r>
      <w:r>
        <w:br/>
      </w:r>
      <w:r w:rsidRPr="00444BB8">
        <w:t>100 Market Street</w:t>
      </w:r>
      <w:r>
        <w:br/>
      </w:r>
      <w:r w:rsidRPr="00444BB8">
        <w:t>Sydney  NSW  2000</w:t>
      </w:r>
    </w:p>
    <w:p w14:paraId="6A308B49" w14:textId="0B1AAA38" w:rsidR="00444BB8" w:rsidRPr="00444BB8" w:rsidRDefault="00444BB8" w:rsidP="00444BB8">
      <w:pPr>
        <w:tabs>
          <w:tab w:val="left" w:pos="1560"/>
        </w:tabs>
        <w:ind w:left="1560" w:hanging="1560"/>
      </w:pPr>
      <w:r w:rsidRPr="00444BB8">
        <w:t>Enq</w:t>
      </w:r>
      <w:r w:rsidRPr="00444BB8">
        <w:rPr>
          <w:rFonts w:eastAsiaTheme="majorEastAsia"/>
        </w:rPr>
        <w:t>u</w:t>
      </w:r>
      <w:r w:rsidRPr="00444BB8">
        <w:t>iries:</w:t>
      </w:r>
      <w:r w:rsidRPr="00444BB8">
        <w:tab/>
        <w:t xml:space="preserve">Enquiries can be directed to </w:t>
      </w:r>
      <w:r w:rsidR="00A617DC" w:rsidRPr="00A617DC">
        <w:t>Percy Bell (02 6263 2048)</w:t>
      </w:r>
    </w:p>
    <w:p w14:paraId="635C68D4" w14:textId="77777777" w:rsidR="00D20E3D" w:rsidRPr="00E15F1E" w:rsidRDefault="00D20E3D" w:rsidP="00E15F1E"/>
    <w:p w14:paraId="6B2E69C6" w14:textId="77777777" w:rsidR="00D20E3D" w:rsidRPr="00E15F1E" w:rsidRDefault="00D20E3D" w:rsidP="00E15F1E"/>
    <w:p w14:paraId="6E9CCC2F" w14:textId="77777777" w:rsidR="00D20E3D" w:rsidRPr="00E15F1E" w:rsidRDefault="00D20E3D" w:rsidP="00E15F1E">
      <w:pPr>
        <w:sectPr w:rsidR="00D20E3D" w:rsidRPr="00E15F1E" w:rsidSect="008E23C0">
          <w:headerReference w:type="first" r:id="rId30"/>
          <w:footerReference w:type="first" r:id="rId31"/>
          <w:type w:val="oddPage"/>
          <w:pgSz w:w="11906" w:h="16838"/>
          <w:pgMar w:top="1440" w:right="1440" w:bottom="1440" w:left="1440" w:header="708" w:footer="708" w:gutter="0"/>
          <w:pgNumType w:fmt="lowerRoman"/>
          <w:cols w:space="708"/>
          <w:titlePg/>
          <w:docGrid w:linePitch="360"/>
        </w:sectPr>
      </w:pPr>
    </w:p>
    <w:sdt>
      <w:sdtPr>
        <w:rPr>
          <w:rFonts w:eastAsiaTheme="minorHAnsi"/>
          <w:smallCaps w:val="0"/>
          <w:noProof/>
          <w:sz w:val="21"/>
          <w:szCs w:val="22"/>
        </w:rPr>
        <w:id w:val="553664695"/>
        <w:docPartObj>
          <w:docPartGallery w:val="Table of Contents"/>
          <w:docPartUnique/>
        </w:docPartObj>
      </w:sdtPr>
      <w:sdtEndPr>
        <w:rPr>
          <w:rFonts w:eastAsia="Times New Roman"/>
        </w:rPr>
      </w:sdtEndPr>
      <w:sdtContent>
        <w:p w14:paraId="10521FA3" w14:textId="77777777" w:rsidR="00E61F99" w:rsidRPr="00F21DD0" w:rsidRDefault="00C37D00" w:rsidP="00F21DD0">
          <w:pPr>
            <w:pStyle w:val="ContentsHeading"/>
            <w:jc w:val="left"/>
          </w:pPr>
          <w:r w:rsidRPr="00F21DD0">
            <w:t>Contents</w:t>
          </w:r>
        </w:p>
        <w:p w14:paraId="05731346" w14:textId="77777777" w:rsidR="0002611D" w:rsidRDefault="00A17EE5">
          <w:pPr>
            <w:pStyle w:val="TOC1"/>
            <w:rPr>
              <w:rFonts w:asciiTheme="minorHAnsi" w:eastAsiaTheme="minorEastAsia" w:hAnsiTheme="minorHAnsi" w:cstheme="minorBidi"/>
              <w:b w:val="0"/>
              <w:color w:val="auto"/>
              <w:sz w:val="22"/>
            </w:rPr>
          </w:pPr>
          <w:r>
            <w:rPr>
              <w:szCs w:val="21"/>
            </w:rPr>
            <w:fldChar w:fldCharType="begin"/>
          </w:r>
          <w:r>
            <w:rPr>
              <w:szCs w:val="21"/>
            </w:rPr>
            <w:instrText xml:space="preserve"> TOC \o "2-2" \h \z \t "Heading 1,1,Heading 1 Not Numbered,1,Attachment Heading,1" </w:instrText>
          </w:r>
          <w:r>
            <w:rPr>
              <w:szCs w:val="21"/>
            </w:rPr>
            <w:fldChar w:fldCharType="separate"/>
          </w:r>
          <w:hyperlink w:anchor="_Toc466038541" w:history="1">
            <w:r w:rsidR="0002611D" w:rsidRPr="006864DA">
              <w:rPr>
                <w:rStyle w:val="Hyperlink"/>
              </w:rPr>
              <w:t>Consultation Process</w:t>
            </w:r>
            <w:r w:rsidR="0002611D">
              <w:rPr>
                <w:webHidden/>
              </w:rPr>
              <w:tab/>
            </w:r>
            <w:r w:rsidR="0002611D">
              <w:rPr>
                <w:webHidden/>
              </w:rPr>
              <w:fldChar w:fldCharType="begin"/>
            </w:r>
            <w:r w:rsidR="0002611D">
              <w:rPr>
                <w:webHidden/>
              </w:rPr>
              <w:instrText xml:space="preserve"> PAGEREF _Toc466038541 \h </w:instrText>
            </w:r>
            <w:r w:rsidR="0002611D">
              <w:rPr>
                <w:webHidden/>
              </w:rPr>
            </w:r>
            <w:r w:rsidR="0002611D">
              <w:rPr>
                <w:webHidden/>
              </w:rPr>
              <w:fldChar w:fldCharType="separate"/>
            </w:r>
            <w:r w:rsidR="0002611D">
              <w:rPr>
                <w:webHidden/>
              </w:rPr>
              <w:t>iii</w:t>
            </w:r>
            <w:r w:rsidR="0002611D">
              <w:rPr>
                <w:webHidden/>
              </w:rPr>
              <w:fldChar w:fldCharType="end"/>
            </w:r>
          </w:hyperlink>
        </w:p>
        <w:p w14:paraId="2AB71EBA" w14:textId="77777777" w:rsidR="0002611D" w:rsidRDefault="00D641F2" w:rsidP="0002611D">
          <w:pPr>
            <w:pStyle w:val="TOC1"/>
            <w:tabs>
              <w:tab w:val="clear" w:pos="1276"/>
            </w:tabs>
            <w:rPr>
              <w:rFonts w:asciiTheme="minorHAnsi" w:eastAsiaTheme="minorEastAsia" w:hAnsiTheme="minorHAnsi" w:cstheme="minorBidi"/>
              <w:b w:val="0"/>
              <w:color w:val="auto"/>
              <w:sz w:val="22"/>
            </w:rPr>
          </w:pPr>
          <w:hyperlink w:anchor="_Toc466038542" w:history="1">
            <w:r w:rsidR="0002611D" w:rsidRPr="006864DA">
              <w:rPr>
                <w:rStyle w:val="Hyperlink"/>
              </w:rPr>
              <w:t>Foreword</w:t>
            </w:r>
            <w:r w:rsidR="0002611D">
              <w:rPr>
                <w:webHidden/>
              </w:rPr>
              <w:tab/>
            </w:r>
            <w:r w:rsidR="0002611D">
              <w:rPr>
                <w:webHidden/>
              </w:rPr>
              <w:fldChar w:fldCharType="begin"/>
            </w:r>
            <w:r w:rsidR="0002611D">
              <w:rPr>
                <w:webHidden/>
              </w:rPr>
              <w:instrText xml:space="preserve"> PAGEREF _Toc466038542 \h </w:instrText>
            </w:r>
            <w:r w:rsidR="0002611D">
              <w:rPr>
                <w:webHidden/>
              </w:rPr>
            </w:r>
            <w:r w:rsidR="0002611D">
              <w:rPr>
                <w:webHidden/>
              </w:rPr>
              <w:fldChar w:fldCharType="separate"/>
            </w:r>
            <w:r w:rsidR="0002611D">
              <w:rPr>
                <w:webHidden/>
              </w:rPr>
              <w:t>1</w:t>
            </w:r>
            <w:r w:rsidR="0002611D">
              <w:rPr>
                <w:webHidden/>
              </w:rPr>
              <w:fldChar w:fldCharType="end"/>
            </w:r>
          </w:hyperlink>
        </w:p>
        <w:p w14:paraId="4E22852F" w14:textId="77777777" w:rsidR="0002611D" w:rsidRDefault="00D641F2">
          <w:pPr>
            <w:pStyle w:val="TOC1"/>
            <w:rPr>
              <w:rFonts w:asciiTheme="minorHAnsi" w:eastAsiaTheme="minorEastAsia" w:hAnsiTheme="minorHAnsi" w:cstheme="minorBidi"/>
              <w:b w:val="0"/>
              <w:color w:val="auto"/>
              <w:sz w:val="22"/>
            </w:rPr>
          </w:pPr>
          <w:hyperlink w:anchor="_Toc466038543" w:history="1">
            <w:r w:rsidR="0002611D" w:rsidRPr="006864DA">
              <w:rPr>
                <w:rStyle w:val="Hyperlink"/>
              </w:rPr>
              <w:t>Chapter 1:</w:t>
            </w:r>
            <w:r w:rsidR="0002611D">
              <w:rPr>
                <w:rFonts w:asciiTheme="minorHAnsi" w:eastAsiaTheme="minorEastAsia" w:hAnsiTheme="minorHAnsi" w:cstheme="minorBidi"/>
                <w:b w:val="0"/>
                <w:color w:val="auto"/>
                <w:sz w:val="22"/>
              </w:rPr>
              <w:tab/>
            </w:r>
            <w:r w:rsidR="0002611D" w:rsidRPr="006864DA">
              <w:rPr>
                <w:rStyle w:val="Hyperlink"/>
              </w:rPr>
              <w:t>Context and environment for proposed industry funding model</w:t>
            </w:r>
            <w:r w:rsidR="0002611D">
              <w:rPr>
                <w:webHidden/>
              </w:rPr>
              <w:tab/>
            </w:r>
            <w:r w:rsidR="0002611D">
              <w:rPr>
                <w:webHidden/>
              </w:rPr>
              <w:fldChar w:fldCharType="begin"/>
            </w:r>
            <w:r w:rsidR="0002611D">
              <w:rPr>
                <w:webHidden/>
              </w:rPr>
              <w:instrText xml:space="preserve"> PAGEREF _Toc466038543 \h </w:instrText>
            </w:r>
            <w:r w:rsidR="0002611D">
              <w:rPr>
                <w:webHidden/>
              </w:rPr>
            </w:r>
            <w:r w:rsidR="0002611D">
              <w:rPr>
                <w:webHidden/>
              </w:rPr>
              <w:fldChar w:fldCharType="separate"/>
            </w:r>
            <w:r w:rsidR="0002611D">
              <w:rPr>
                <w:webHidden/>
              </w:rPr>
              <w:t>3</w:t>
            </w:r>
            <w:r w:rsidR="0002611D">
              <w:rPr>
                <w:webHidden/>
              </w:rPr>
              <w:fldChar w:fldCharType="end"/>
            </w:r>
          </w:hyperlink>
        </w:p>
        <w:p w14:paraId="1D5C3E15" w14:textId="77777777" w:rsidR="0002611D" w:rsidRDefault="00D641F2">
          <w:pPr>
            <w:pStyle w:val="TOC2"/>
            <w:rPr>
              <w:rFonts w:asciiTheme="minorHAnsi" w:eastAsiaTheme="minorEastAsia" w:hAnsiTheme="minorHAnsi" w:cstheme="minorBidi"/>
              <w:color w:val="auto"/>
              <w:sz w:val="22"/>
              <w:szCs w:val="22"/>
            </w:rPr>
          </w:pPr>
          <w:hyperlink w:anchor="_Toc466038544" w:history="1">
            <w:r w:rsidR="0002611D" w:rsidRPr="006864DA">
              <w:rPr>
                <w:rStyle w:val="Hyperlink"/>
              </w:rPr>
              <w:t>ASIC Capability Review</w:t>
            </w:r>
            <w:r w:rsidR="0002611D">
              <w:rPr>
                <w:webHidden/>
              </w:rPr>
              <w:tab/>
            </w:r>
            <w:r w:rsidR="0002611D">
              <w:rPr>
                <w:webHidden/>
              </w:rPr>
              <w:fldChar w:fldCharType="begin"/>
            </w:r>
            <w:r w:rsidR="0002611D">
              <w:rPr>
                <w:webHidden/>
              </w:rPr>
              <w:instrText xml:space="preserve"> PAGEREF _Toc466038544 \h </w:instrText>
            </w:r>
            <w:r w:rsidR="0002611D">
              <w:rPr>
                <w:webHidden/>
              </w:rPr>
            </w:r>
            <w:r w:rsidR="0002611D">
              <w:rPr>
                <w:webHidden/>
              </w:rPr>
              <w:fldChar w:fldCharType="separate"/>
            </w:r>
            <w:r w:rsidR="0002611D">
              <w:rPr>
                <w:webHidden/>
              </w:rPr>
              <w:t>4</w:t>
            </w:r>
            <w:r w:rsidR="0002611D">
              <w:rPr>
                <w:webHidden/>
              </w:rPr>
              <w:fldChar w:fldCharType="end"/>
            </w:r>
          </w:hyperlink>
        </w:p>
        <w:p w14:paraId="76C67595" w14:textId="77777777" w:rsidR="0002611D" w:rsidRDefault="00D641F2">
          <w:pPr>
            <w:pStyle w:val="TOC2"/>
            <w:rPr>
              <w:rFonts w:asciiTheme="minorHAnsi" w:eastAsiaTheme="minorEastAsia" w:hAnsiTheme="minorHAnsi" w:cstheme="minorBidi"/>
              <w:color w:val="auto"/>
              <w:sz w:val="22"/>
              <w:szCs w:val="22"/>
            </w:rPr>
          </w:pPr>
          <w:hyperlink w:anchor="_Toc466038545" w:history="1">
            <w:r w:rsidR="0002611D" w:rsidRPr="006864DA">
              <w:rPr>
                <w:rStyle w:val="Hyperlink"/>
              </w:rPr>
              <w:t>The Australian Government Charging Framework</w:t>
            </w:r>
            <w:r w:rsidR="0002611D">
              <w:rPr>
                <w:webHidden/>
              </w:rPr>
              <w:tab/>
            </w:r>
            <w:r w:rsidR="0002611D">
              <w:rPr>
                <w:webHidden/>
              </w:rPr>
              <w:fldChar w:fldCharType="begin"/>
            </w:r>
            <w:r w:rsidR="0002611D">
              <w:rPr>
                <w:webHidden/>
              </w:rPr>
              <w:instrText xml:space="preserve"> PAGEREF _Toc466038545 \h </w:instrText>
            </w:r>
            <w:r w:rsidR="0002611D">
              <w:rPr>
                <w:webHidden/>
              </w:rPr>
            </w:r>
            <w:r w:rsidR="0002611D">
              <w:rPr>
                <w:webHidden/>
              </w:rPr>
              <w:fldChar w:fldCharType="separate"/>
            </w:r>
            <w:r w:rsidR="0002611D">
              <w:rPr>
                <w:webHidden/>
              </w:rPr>
              <w:t>4</w:t>
            </w:r>
            <w:r w:rsidR="0002611D">
              <w:rPr>
                <w:webHidden/>
              </w:rPr>
              <w:fldChar w:fldCharType="end"/>
            </w:r>
          </w:hyperlink>
        </w:p>
        <w:p w14:paraId="3699B9AF" w14:textId="77777777" w:rsidR="0002611D" w:rsidRDefault="00D641F2">
          <w:pPr>
            <w:pStyle w:val="TOC1"/>
            <w:rPr>
              <w:rFonts w:asciiTheme="minorHAnsi" w:eastAsiaTheme="minorEastAsia" w:hAnsiTheme="minorHAnsi" w:cstheme="minorBidi"/>
              <w:b w:val="0"/>
              <w:color w:val="auto"/>
              <w:sz w:val="22"/>
            </w:rPr>
          </w:pPr>
          <w:hyperlink w:anchor="_Toc466038546" w:history="1">
            <w:r w:rsidR="0002611D" w:rsidRPr="006864DA">
              <w:rPr>
                <w:rStyle w:val="Hyperlink"/>
              </w:rPr>
              <w:t>Chapter 2:</w:t>
            </w:r>
            <w:r w:rsidR="0002611D">
              <w:rPr>
                <w:rFonts w:asciiTheme="minorHAnsi" w:eastAsiaTheme="minorEastAsia" w:hAnsiTheme="minorHAnsi" w:cstheme="minorBidi"/>
                <w:b w:val="0"/>
                <w:color w:val="auto"/>
                <w:sz w:val="22"/>
              </w:rPr>
              <w:tab/>
            </w:r>
            <w:r w:rsidR="0002611D" w:rsidRPr="006864DA">
              <w:rPr>
                <w:rStyle w:val="Hyperlink"/>
              </w:rPr>
              <w:t>Overview of proposed industry funding model</w:t>
            </w:r>
            <w:r w:rsidR="0002611D">
              <w:rPr>
                <w:webHidden/>
              </w:rPr>
              <w:tab/>
            </w:r>
            <w:r w:rsidR="0002611D">
              <w:rPr>
                <w:webHidden/>
              </w:rPr>
              <w:fldChar w:fldCharType="begin"/>
            </w:r>
            <w:r w:rsidR="0002611D">
              <w:rPr>
                <w:webHidden/>
              </w:rPr>
              <w:instrText xml:space="preserve"> PAGEREF _Toc466038546 \h </w:instrText>
            </w:r>
            <w:r w:rsidR="0002611D">
              <w:rPr>
                <w:webHidden/>
              </w:rPr>
            </w:r>
            <w:r w:rsidR="0002611D">
              <w:rPr>
                <w:webHidden/>
              </w:rPr>
              <w:fldChar w:fldCharType="separate"/>
            </w:r>
            <w:r w:rsidR="0002611D">
              <w:rPr>
                <w:webHidden/>
              </w:rPr>
              <w:t>7</w:t>
            </w:r>
            <w:r w:rsidR="0002611D">
              <w:rPr>
                <w:webHidden/>
              </w:rPr>
              <w:fldChar w:fldCharType="end"/>
            </w:r>
          </w:hyperlink>
        </w:p>
        <w:p w14:paraId="42753F46" w14:textId="77777777" w:rsidR="0002611D" w:rsidRDefault="00D641F2">
          <w:pPr>
            <w:pStyle w:val="TOC2"/>
            <w:rPr>
              <w:rFonts w:asciiTheme="minorHAnsi" w:eastAsiaTheme="minorEastAsia" w:hAnsiTheme="minorHAnsi" w:cstheme="minorBidi"/>
              <w:color w:val="auto"/>
              <w:sz w:val="22"/>
              <w:szCs w:val="22"/>
            </w:rPr>
          </w:pPr>
          <w:hyperlink w:anchor="_Toc466038547" w:history="1">
            <w:r w:rsidR="0002611D" w:rsidRPr="006864DA">
              <w:rPr>
                <w:rStyle w:val="Hyperlink"/>
              </w:rPr>
              <w:t>ASIC costs to be recovered</w:t>
            </w:r>
            <w:r w:rsidR="0002611D">
              <w:rPr>
                <w:webHidden/>
              </w:rPr>
              <w:tab/>
            </w:r>
            <w:r w:rsidR="0002611D">
              <w:rPr>
                <w:webHidden/>
              </w:rPr>
              <w:fldChar w:fldCharType="begin"/>
            </w:r>
            <w:r w:rsidR="0002611D">
              <w:rPr>
                <w:webHidden/>
              </w:rPr>
              <w:instrText xml:space="preserve"> PAGEREF _Toc466038547 \h </w:instrText>
            </w:r>
            <w:r w:rsidR="0002611D">
              <w:rPr>
                <w:webHidden/>
              </w:rPr>
            </w:r>
            <w:r w:rsidR="0002611D">
              <w:rPr>
                <w:webHidden/>
              </w:rPr>
              <w:fldChar w:fldCharType="separate"/>
            </w:r>
            <w:r w:rsidR="0002611D">
              <w:rPr>
                <w:webHidden/>
              </w:rPr>
              <w:t>7</w:t>
            </w:r>
            <w:r w:rsidR="0002611D">
              <w:rPr>
                <w:webHidden/>
              </w:rPr>
              <w:fldChar w:fldCharType="end"/>
            </w:r>
          </w:hyperlink>
        </w:p>
        <w:p w14:paraId="27092BF6" w14:textId="77777777" w:rsidR="0002611D" w:rsidRDefault="00D641F2">
          <w:pPr>
            <w:pStyle w:val="TOC2"/>
            <w:rPr>
              <w:rFonts w:asciiTheme="minorHAnsi" w:eastAsiaTheme="minorEastAsia" w:hAnsiTheme="minorHAnsi" w:cstheme="minorBidi"/>
              <w:color w:val="auto"/>
              <w:sz w:val="22"/>
              <w:szCs w:val="22"/>
            </w:rPr>
          </w:pPr>
          <w:hyperlink w:anchor="_Toc466038548" w:history="1">
            <w:r w:rsidR="0002611D" w:rsidRPr="006864DA">
              <w:rPr>
                <w:rStyle w:val="Hyperlink"/>
              </w:rPr>
              <w:t>Model design objectives</w:t>
            </w:r>
            <w:r w:rsidR="0002611D">
              <w:rPr>
                <w:webHidden/>
              </w:rPr>
              <w:tab/>
            </w:r>
            <w:r w:rsidR="0002611D">
              <w:rPr>
                <w:webHidden/>
              </w:rPr>
              <w:fldChar w:fldCharType="begin"/>
            </w:r>
            <w:r w:rsidR="0002611D">
              <w:rPr>
                <w:webHidden/>
              </w:rPr>
              <w:instrText xml:space="preserve"> PAGEREF _Toc466038548 \h </w:instrText>
            </w:r>
            <w:r w:rsidR="0002611D">
              <w:rPr>
                <w:webHidden/>
              </w:rPr>
            </w:r>
            <w:r w:rsidR="0002611D">
              <w:rPr>
                <w:webHidden/>
              </w:rPr>
              <w:fldChar w:fldCharType="separate"/>
            </w:r>
            <w:r w:rsidR="0002611D">
              <w:rPr>
                <w:webHidden/>
              </w:rPr>
              <w:t>9</w:t>
            </w:r>
            <w:r w:rsidR="0002611D">
              <w:rPr>
                <w:webHidden/>
              </w:rPr>
              <w:fldChar w:fldCharType="end"/>
            </w:r>
          </w:hyperlink>
        </w:p>
        <w:p w14:paraId="25E83371" w14:textId="77777777" w:rsidR="0002611D" w:rsidRDefault="00D641F2">
          <w:pPr>
            <w:pStyle w:val="TOC2"/>
            <w:rPr>
              <w:rFonts w:asciiTheme="minorHAnsi" w:eastAsiaTheme="minorEastAsia" w:hAnsiTheme="minorHAnsi" w:cstheme="minorBidi"/>
              <w:color w:val="auto"/>
              <w:sz w:val="22"/>
              <w:szCs w:val="22"/>
            </w:rPr>
          </w:pPr>
          <w:hyperlink w:anchor="_Toc466038549" w:history="1">
            <w:r w:rsidR="0002611D" w:rsidRPr="006864DA">
              <w:rPr>
                <w:rStyle w:val="Hyperlink"/>
              </w:rPr>
              <w:t>Model description</w:t>
            </w:r>
            <w:r w:rsidR="0002611D">
              <w:rPr>
                <w:webHidden/>
              </w:rPr>
              <w:tab/>
            </w:r>
            <w:r w:rsidR="0002611D">
              <w:rPr>
                <w:webHidden/>
              </w:rPr>
              <w:fldChar w:fldCharType="begin"/>
            </w:r>
            <w:r w:rsidR="0002611D">
              <w:rPr>
                <w:webHidden/>
              </w:rPr>
              <w:instrText xml:space="preserve"> PAGEREF _Toc466038549 \h </w:instrText>
            </w:r>
            <w:r w:rsidR="0002611D">
              <w:rPr>
                <w:webHidden/>
              </w:rPr>
            </w:r>
            <w:r w:rsidR="0002611D">
              <w:rPr>
                <w:webHidden/>
              </w:rPr>
              <w:fldChar w:fldCharType="separate"/>
            </w:r>
            <w:r w:rsidR="0002611D">
              <w:rPr>
                <w:webHidden/>
              </w:rPr>
              <w:t>9</w:t>
            </w:r>
            <w:r w:rsidR="0002611D">
              <w:rPr>
                <w:webHidden/>
              </w:rPr>
              <w:fldChar w:fldCharType="end"/>
            </w:r>
          </w:hyperlink>
        </w:p>
        <w:p w14:paraId="580A3CEF" w14:textId="77777777" w:rsidR="0002611D" w:rsidRDefault="00D641F2">
          <w:pPr>
            <w:pStyle w:val="TOC1"/>
            <w:rPr>
              <w:rFonts w:asciiTheme="minorHAnsi" w:eastAsiaTheme="minorEastAsia" w:hAnsiTheme="minorHAnsi" w:cstheme="minorBidi"/>
              <w:b w:val="0"/>
              <w:color w:val="auto"/>
              <w:sz w:val="22"/>
            </w:rPr>
          </w:pPr>
          <w:hyperlink w:anchor="_Toc466038550" w:history="1">
            <w:r w:rsidR="0002611D" w:rsidRPr="006864DA">
              <w:rPr>
                <w:rStyle w:val="Hyperlink"/>
              </w:rPr>
              <w:t>Chapter 3:</w:t>
            </w:r>
            <w:r w:rsidR="0002611D">
              <w:rPr>
                <w:rFonts w:asciiTheme="minorHAnsi" w:eastAsiaTheme="minorEastAsia" w:hAnsiTheme="minorHAnsi" w:cstheme="minorBidi"/>
                <w:b w:val="0"/>
                <w:color w:val="auto"/>
                <w:sz w:val="22"/>
              </w:rPr>
              <w:tab/>
            </w:r>
            <w:r w:rsidR="0002611D" w:rsidRPr="006864DA">
              <w:rPr>
                <w:rStyle w:val="Hyperlink"/>
              </w:rPr>
              <w:t>ASIC stakeholder engagement and accountability</w:t>
            </w:r>
            <w:r w:rsidR="0002611D">
              <w:rPr>
                <w:webHidden/>
              </w:rPr>
              <w:tab/>
            </w:r>
            <w:r w:rsidR="0002611D">
              <w:rPr>
                <w:webHidden/>
              </w:rPr>
              <w:fldChar w:fldCharType="begin"/>
            </w:r>
            <w:r w:rsidR="0002611D">
              <w:rPr>
                <w:webHidden/>
              </w:rPr>
              <w:instrText xml:space="preserve"> PAGEREF _Toc466038550 \h </w:instrText>
            </w:r>
            <w:r w:rsidR="0002611D">
              <w:rPr>
                <w:webHidden/>
              </w:rPr>
            </w:r>
            <w:r w:rsidR="0002611D">
              <w:rPr>
                <w:webHidden/>
              </w:rPr>
              <w:fldChar w:fldCharType="separate"/>
            </w:r>
            <w:r w:rsidR="0002611D">
              <w:rPr>
                <w:webHidden/>
              </w:rPr>
              <w:t>13</w:t>
            </w:r>
            <w:r w:rsidR="0002611D">
              <w:rPr>
                <w:webHidden/>
              </w:rPr>
              <w:fldChar w:fldCharType="end"/>
            </w:r>
          </w:hyperlink>
        </w:p>
        <w:p w14:paraId="1BD07039" w14:textId="77777777" w:rsidR="0002611D" w:rsidRDefault="00D641F2">
          <w:pPr>
            <w:pStyle w:val="TOC2"/>
            <w:rPr>
              <w:rFonts w:asciiTheme="minorHAnsi" w:eastAsiaTheme="minorEastAsia" w:hAnsiTheme="minorHAnsi" w:cstheme="minorBidi"/>
              <w:color w:val="auto"/>
              <w:sz w:val="22"/>
              <w:szCs w:val="22"/>
            </w:rPr>
          </w:pPr>
          <w:hyperlink w:anchor="_Toc466038551" w:history="1">
            <w:r w:rsidR="0002611D" w:rsidRPr="006864DA">
              <w:rPr>
                <w:rStyle w:val="Hyperlink"/>
              </w:rPr>
              <w:t>Cost Recovery Implementation Statement (CRIS)</w:t>
            </w:r>
            <w:r w:rsidR="0002611D">
              <w:rPr>
                <w:webHidden/>
              </w:rPr>
              <w:tab/>
            </w:r>
            <w:r w:rsidR="0002611D">
              <w:rPr>
                <w:webHidden/>
              </w:rPr>
              <w:fldChar w:fldCharType="begin"/>
            </w:r>
            <w:r w:rsidR="0002611D">
              <w:rPr>
                <w:webHidden/>
              </w:rPr>
              <w:instrText xml:space="preserve"> PAGEREF _Toc466038551 \h </w:instrText>
            </w:r>
            <w:r w:rsidR="0002611D">
              <w:rPr>
                <w:webHidden/>
              </w:rPr>
            </w:r>
            <w:r w:rsidR="0002611D">
              <w:rPr>
                <w:webHidden/>
              </w:rPr>
              <w:fldChar w:fldCharType="separate"/>
            </w:r>
            <w:r w:rsidR="0002611D">
              <w:rPr>
                <w:webHidden/>
              </w:rPr>
              <w:t>13</w:t>
            </w:r>
            <w:r w:rsidR="0002611D">
              <w:rPr>
                <w:webHidden/>
              </w:rPr>
              <w:fldChar w:fldCharType="end"/>
            </w:r>
          </w:hyperlink>
        </w:p>
        <w:p w14:paraId="266DF48E" w14:textId="77777777" w:rsidR="0002611D" w:rsidRDefault="00D641F2">
          <w:pPr>
            <w:pStyle w:val="TOC2"/>
            <w:rPr>
              <w:rFonts w:asciiTheme="minorHAnsi" w:eastAsiaTheme="minorEastAsia" w:hAnsiTheme="minorHAnsi" w:cstheme="minorBidi"/>
              <w:color w:val="auto"/>
              <w:sz w:val="22"/>
              <w:szCs w:val="22"/>
            </w:rPr>
          </w:pPr>
          <w:hyperlink w:anchor="_Toc466038552" w:history="1">
            <w:r w:rsidR="0002611D" w:rsidRPr="006864DA">
              <w:rPr>
                <w:rStyle w:val="Hyperlink"/>
              </w:rPr>
              <w:t>Ongoing stakeholder engagement and data collection</w:t>
            </w:r>
            <w:r w:rsidR="0002611D">
              <w:rPr>
                <w:webHidden/>
              </w:rPr>
              <w:tab/>
            </w:r>
            <w:r w:rsidR="0002611D">
              <w:rPr>
                <w:webHidden/>
              </w:rPr>
              <w:fldChar w:fldCharType="begin"/>
            </w:r>
            <w:r w:rsidR="0002611D">
              <w:rPr>
                <w:webHidden/>
              </w:rPr>
              <w:instrText xml:space="preserve"> PAGEREF _Toc466038552 \h </w:instrText>
            </w:r>
            <w:r w:rsidR="0002611D">
              <w:rPr>
                <w:webHidden/>
              </w:rPr>
            </w:r>
            <w:r w:rsidR="0002611D">
              <w:rPr>
                <w:webHidden/>
              </w:rPr>
              <w:fldChar w:fldCharType="separate"/>
            </w:r>
            <w:r w:rsidR="0002611D">
              <w:rPr>
                <w:webHidden/>
              </w:rPr>
              <w:t>14</w:t>
            </w:r>
            <w:r w:rsidR="0002611D">
              <w:rPr>
                <w:webHidden/>
              </w:rPr>
              <w:fldChar w:fldCharType="end"/>
            </w:r>
          </w:hyperlink>
        </w:p>
        <w:p w14:paraId="634BA7C0" w14:textId="77777777" w:rsidR="0002611D" w:rsidRDefault="00D641F2">
          <w:pPr>
            <w:pStyle w:val="TOC2"/>
            <w:rPr>
              <w:rFonts w:asciiTheme="minorHAnsi" w:eastAsiaTheme="minorEastAsia" w:hAnsiTheme="minorHAnsi" w:cstheme="minorBidi"/>
              <w:color w:val="auto"/>
              <w:sz w:val="22"/>
              <w:szCs w:val="22"/>
            </w:rPr>
          </w:pPr>
          <w:hyperlink w:anchor="_Toc466038553" w:history="1">
            <w:r w:rsidR="0002611D" w:rsidRPr="006864DA">
              <w:rPr>
                <w:rStyle w:val="Hyperlink"/>
              </w:rPr>
              <w:t>Sector level Dashboard Reporting</w:t>
            </w:r>
            <w:r w:rsidR="0002611D">
              <w:rPr>
                <w:webHidden/>
              </w:rPr>
              <w:tab/>
            </w:r>
            <w:r w:rsidR="0002611D">
              <w:rPr>
                <w:webHidden/>
              </w:rPr>
              <w:fldChar w:fldCharType="begin"/>
            </w:r>
            <w:r w:rsidR="0002611D">
              <w:rPr>
                <w:webHidden/>
              </w:rPr>
              <w:instrText xml:space="preserve"> PAGEREF _Toc466038553 \h </w:instrText>
            </w:r>
            <w:r w:rsidR="0002611D">
              <w:rPr>
                <w:webHidden/>
              </w:rPr>
            </w:r>
            <w:r w:rsidR="0002611D">
              <w:rPr>
                <w:webHidden/>
              </w:rPr>
              <w:fldChar w:fldCharType="separate"/>
            </w:r>
            <w:r w:rsidR="0002611D">
              <w:rPr>
                <w:webHidden/>
              </w:rPr>
              <w:t>15</w:t>
            </w:r>
            <w:r w:rsidR="0002611D">
              <w:rPr>
                <w:webHidden/>
              </w:rPr>
              <w:fldChar w:fldCharType="end"/>
            </w:r>
          </w:hyperlink>
        </w:p>
        <w:p w14:paraId="686F6B7B" w14:textId="77777777" w:rsidR="0002611D" w:rsidRDefault="00D641F2">
          <w:pPr>
            <w:pStyle w:val="TOC2"/>
            <w:rPr>
              <w:rFonts w:asciiTheme="minorHAnsi" w:eastAsiaTheme="minorEastAsia" w:hAnsiTheme="minorHAnsi" w:cstheme="minorBidi"/>
              <w:color w:val="auto"/>
              <w:sz w:val="22"/>
              <w:szCs w:val="22"/>
            </w:rPr>
          </w:pPr>
          <w:hyperlink w:anchor="_Toc466038554" w:history="1">
            <w:r w:rsidR="0002611D" w:rsidRPr="006864DA">
              <w:rPr>
                <w:rStyle w:val="Hyperlink"/>
              </w:rPr>
              <w:t>Other accountability measures</w:t>
            </w:r>
            <w:r w:rsidR="0002611D">
              <w:rPr>
                <w:webHidden/>
              </w:rPr>
              <w:tab/>
            </w:r>
            <w:r w:rsidR="0002611D">
              <w:rPr>
                <w:webHidden/>
              </w:rPr>
              <w:fldChar w:fldCharType="begin"/>
            </w:r>
            <w:r w:rsidR="0002611D">
              <w:rPr>
                <w:webHidden/>
              </w:rPr>
              <w:instrText xml:space="preserve"> PAGEREF _Toc466038554 \h </w:instrText>
            </w:r>
            <w:r w:rsidR="0002611D">
              <w:rPr>
                <w:webHidden/>
              </w:rPr>
            </w:r>
            <w:r w:rsidR="0002611D">
              <w:rPr>
                <w:webHidden/>
              </w:rPr>
              <w:fldChar w:fldCharType="separate"/>
            </w:r>
            <w:r w:rsidR="0002611D">
              <w:rPr>
                <w:webHidden/>
              </w:rPr>
              <w:t>16</w:t>
            </w:r>
            <w:r w:rsidR="0002611D">
              <w:rPr>
                <w:webHidden/>
              </w:rPr>
              <w:fldChar w:fldCharType="end"/>
            </w:r>
          </w:hyperlink>
        </w:p>
        <w:p w14:paraId="157B3BC2" w14:textId="77777777" w:rsidR="0002611D" w:rsidRDefault="00D641F2">
          <w:pPr>
            <w:pStyle w:val="TOC1"/>
            <w:rPr>
              <w:rFonts w:asciiTheme="minorHAnsi" w:eastAsiaTheme="minorEastAsia" w:hAnsiTheme="minorHAnsi" w:cstheme="minorBidi"/>
              <w:b w:val="0"/>
              <w:color w:val="auto"/>
              <w:sz w:val="22"/>
            </w:rPr>
          </w:pPr>
          <w:hyperlink w:anchor="_Toc466038555" w:history="1">
            <w:r w:rsidR="0002611D" w:rsidRPr="006864DA">
              <w:rPr>
                <w:rStyle w:val="Hyperlink"/>
              </w:rPr>
              <w:t>Chapter 4:</w:t>
            </w:r>
            <w:r w:rsidR="0002611D">
              <w:rPr>
                <w:rFonts w:asciiTheme="minorHAnsi" w:eastAsiaTheme="minorEastAsia" w:hAnsiTheme="minorHAnsi" w:cstheme="minorBidi"/>
                <w:b w:val="0"/>
                <w:color w:val="auto"/>
                <w:sz w:val="22"/>
              </w:rPr>
              <w:tab/>
            </w:r>
            <w:r w:rsidR="0002611D" w:rsidRPr="006864DA">
              <w:rPr>
                <w:rStyle w:val="Hyperlink"/>
              </w:rPr>
              <w:t>Implementation</w:t>
            </w:r>
            <w:r w:rsidR="0002611D">
              <w:rPr>
                <w:webHidden/>
              </w:rPr>
              <w:tab/>
            </w:r>
            <w:r w:rsidR="0002611D">
              <w:rPr>
                <w:webHidden/>
              </w:rPr>
              <w:fldChar w:fldCharType="begin"/>
            </w:r>
            <w:r w:rsidR="0002611D">
              <w:rPr>
                <w:webHidden/>
              </w:rPr>
              <w:instrText xml:space="preserve"> PAGEREF _Toc466038555 \h </w:instrText>
            </w:r>
            <w:r w:rsidR="0002611D">
              <w:rPr>
                <w:webHidden/>
              </w:rPr>
            </w:r>
            <w:r w:rsidR="0002611D">
              <w:rPr>
                <w:webHidden/>
              </w:rPr>
              <w:fldChar w:fldCharType="separate"/>
            </w:r>
            <w:r w:rsidR="0002611D">
              <w:rPr>
                <w:webHidden/>
              </w:rPr>
              <w:t>17</w:t>
            </w:r>
            <w:r w:rsidR="0002611D">
              <w:rPr>
                <w:webHidden/>
              </w:rPr>
              <w:fldChar w:fldCharType="end"/>
            </w:r>
          </w:hyperlink>
        </w:p>
        <w:p w14:paraId="33B02E6F" w14:textId="77777777" w:rsidR="0002611D" w:rsidRDefault="00D641F2">
          <w:pPr>
            <w:pStyle w:val="TOC2"/>
            <w:rPr>
              <w:rFonts w:asciiTheme="minorHAnsi" w:eastAsiaTheme="minorEastAsia" w:hAnsiTheme="minorHAnsi" w:cstheme="minorBidi"/>
              <w:color w:val="auto"/>
              <w:sz w:val="22"/>
              <w:szCs w:val="22"/>
            </w:rPr>
          </w:pPr>
          <w:hyperlink w:anchor="_Toc466038556" w:history="1">
            <w:r w:rsidR="0002611D" w:rsidRPr="006864DA">
              <w:rPr>
                <w:rStyle w:val="Hyperlink"/>
              </w:rPr>
              <w:t>Transition arrangements with other industry levies</w:t>
            </w:r>
            <w:r w:rsidR="0002611D">
              <w:rPr>
                <w:webHidden/>
              </w:rPr>
              <w:tab/>
            </w:r>
            <w:r w:rsidR="0002611D">
              <w:rPr>
                <w:webHidden/>
              </w:rPr>
              <w:fldChar w:fldCharType="begin"/>
            </w:r>
            <w:r w:rsidR="0002611D">
              <w:rPr>
                <w:webHidden/>
              </w:rPr>
              <w:instrText xml:space="preserve"> PAGEREF _Toc466038556 \h </w:instrText>
            </w:r>
            <w:r w:rsidR="0002611D">
              <w:rPr>
                <w:webHidden/>
              </w:rPr>
            </w:r>
            <w:r w:rsidR="0002611D">
              <w:rPr>
                <w:webHidden/>
              </w:rPr>
              <w:fldChar w:fldCharType="separate"/>
            </w:r>
            <w:r w:rsidR="0002611D">
              <w:rPr>
                <w:webHidden/>
              </w:rPr>
              <w:t>17</w:t>
            </w:r>
            <w:r w:rsidR="0002611D">
              <w:rPr>
                <w:webHidden/>
              </w:rPr>
              <w:fldChar w:fldCharType="end"/>
            </w:r>
          </w:hyperlink>
        </w:p>
        <w:p w14:paraId="08F23191" w14:textId="77777777" w:rsidR="0002611D" w:rsidRDefault="00D641F2">
          <w:pPr>
            <w:pStyle w:val="TOC1"/>
            <w:rPr>
              <w:rFonts w:asciiTheme="minorHAnsi" w:eastAsiaTheme="minorEastAsia" w:hAnsiTheme="minorHAnsi" w:cstheme="minorBidi"/>
              <w:b w:val="0"/>
              <w:color w:val="auto"/>
              <w:sz w:val="22"/>
            </w:rPr>
          </w:pPr>
          <w:hyperlink w:anchor="_Toc466038557" w:history="1">
            <w:r w:rsidR="0002611D" w:rsidRPr="006864DA">
              <w:rPr>
                <w:rStyle w:val="Hyperlink"/>
              </w:rPr>
              <w:t>Chapter 5:</w:t>
            </w:r>
            <w:r w:rsidR="0002611D">
              <w:rPr>
                <w:rFonts w:asciiTheme="minorHAnsi" w:eastAsiaTheme="minorEastAsia" w:hAnsiTheme="minorHAnsi" w:cstheme="minorBidi"/>
                <w:b w:val="0"/>
                <w:color w:val="auto"/>
                <w:sz w:val="22"/>
              </w:rPr>
              <w:tab/>
            </w:r>
            <w:r w:rsidR="0002611D" w:rsidRPr="006864DA">
              <w:rPr>
                <w:rStyle w:val="Hyperlink"/>
              </w:rPr>
              <w:t>Regulatory impact</w:t>
            </w:r>
            <w:r w:rsidR="0002611D">
              <w:rPr>
                <w:webHidden/>
              </w:rPr>
              <w:tab/>
            </w:r>
            <w:r w:rsidR="0002611D">
              <w:rPr>
                <w:webHidden/>
              </w:rPr>
              <w:fldChar w:fldCharType="begin"/>
            </w:r>
            <w:r w:rsidR="0002611D">
              <w:rPr>
                <w:webHidden/>
              </w:rPr>
              <w:instrText xml:space="preserve"> PAGEREF _Toc466038557 \h </w:instrText>
            </w:r>
            <w:r w:rsidR="0002611D">
              <w:rPr>
                <w:webHidden/>
              </w:rPr>
            </w:r>
            <w:r w:rsidR="0002611D">
              <w:rPr>
                <w:webHidden/>
              </w:rPr>
              <w:fldChar w:fldCharType="separate"/>
            </w:r>
            <w:r w:rsidR="0002611D">
              <w:rPr>
                <w:webHidden/>
              </w:rPr>
              <w:t>21</w:t>
            </w:r>
            <w:r w:rsidR="0002611D">
              <w:rPr>
                <w:webHidden/>
              </w:rPr>
              <w:fldChar w:fldCharType="end"/>
            </w:r>
          </w:hyperlink>
        </w:p>
        <w:p w14:paraId="4E6447F7" w14:textId="77777777" w:rsidR="0002611D" w:rsidRDefault="00D641F2">
          <w:pPr>
            <w:pStyle w:val="TOC1"/>
            <w:rPr>
              <w:rFonts w:asciiTheme="minorHAnsi" w:eastAsiaTheme="minorEastAsia" w:hAnsiTheme="minorHAnsi" w:cstheme="minorBidi"/>
              <w:b w:val="0"/>
              <w:color w:val="auto"/>
              <w:sz w:val="22"/>
            </w:rPr>
          </w:pPr>
          <w:hyperlink w:anchor="_Toc466038558" w:history="1">
            <w:r w:rsidR="0002611D" w:rsidRPr="006864DA">
              <w:rPr>
                <w:rStyle w:val="Hyperlink"/>
              </w:rPr>
              <w:t>Chapter 6:</w:t>
            </w:r>
            <w:r w:rsidR="0002611D">
              <w:rPr>
                <w:rFonts w:asciiTheme="minorHAnsi" w:eastAsiaTheme="minorEastAsia" w:hAnsiTheme="minorHAnsi" w:cstheme="minorBidi"/>
                <w:b w:val="0"/>
                <w:color w:val="auto"/>
                <w:sz w:val="22"/>
              </w:rPr>
              <w:tab/>
            </w:r>
            <w:r w:rsidR="0002611D" w:rsidRPr="006864DA">
              <w:rPr>
                <w:rStyle w:val="Hyperlink"/>
              </w:rPr>
              <w:t>Summary of previous consultation</w:t>
            </w:r>
            <w:r w:rsidR="0002611D">
              <w:rPr>
                <w:webHidden/>
              </w:rPr>
              <w:tab/>
            </w:r>
            <w:r w:rsidR="0002611D">
              <w:rPr>
                <w:webHidden/>
              </w:rPr>
              <w:fldChar w:fldCharType="begin"/>
            </w:r>
            <w:r w:rsidR="0002611D">
              <w:rPr>
                <w:webHidden/>
              </w:rPr>
              <w:instrText xml:space="preserve"> PAGEREF _Toc466038558 \h </w:instrText>
            </w:r>
            <w:r w:rsidR="0002611D">
              <w:rPr>
                <w:webHidden/>
              </w:rPr>
            </w:r>
            <w:r w:rsidR="0002611D">
              <w:rPr>
                <w:webHidden/>
              </w:rPr>
              <w:fldChar w:fldCharType="separate"/>
            </w:r>
            <w:r w:rsidR="0002611D">
              <w:rPr>
                <w:webHidden/>
              </w:rPr>
              <w:t>22</w:t>
            </w:r>
            <w:r w:rsidR="0002611D">
              <w:rPr>
                <w:webHidden/>
              </w:rPr>
              <w:fldChar w:fldCharType="end"/>
            </w:r>
          </w:hyperlink>
        </w:p>
        <w:p w14:paraId="7829A2B9" w14:textId="77777777" w:rsidR="0002611D" w:rsidRDefault="00D641F2">
          <w:pPr>
            <w:pStyle w:val="TOC2"/>
            <w:rPr>
              <w:rFonts w:asciiTheme="minorHAnsi" w:eastAsiaTheme="minorEastAsia" w:hAnsiTheme="minorHAnsi" w:cstheme="minorBidi"/>
              <w:color w:val="auto"/>
              <w:sz w:val="22"/>
              <w:szCs w:val="22"/>
            </w:rPr>
          </w:pPr>
          <w:hyperlink w:anchor="_Toc466038559" w:history="1">
            <w:r w:rsidR="0002611D" w:rsidRPr="006864DA">
              <w:rPr>
                <w:rStyle w:val="Hyperlink"/>
              </w:rPr>
              <w:t>Stakeholder feedback</w:t>
            </w:r>
            <w:r w:rsidR="0002611D">
              <w:rPr>
                <w:webHidden/>
              </w:rPr>
              <w:tab/>
            </w:r>
            <w:r w:rsidR="0002611D">
              <w:rPr>
                <w:webHidden/>
              </w:rPr>
              <w:fldChar w:fldCharType="begin"/>
            </w:r>
            <w:r w:rsidR="0002611D">
              <w:rPr>
                <w:webHidden/>
              </w:rPr>
              <w:instrText xml:space="preserve"> PAGEREF _Toc466038559 \h </w:instrText>
            </w:r>
            <w:r w:rsidR="0002611D">
              <w:rPr>
                <w:webHidden/>
              </w:rPr>
            </w:r>
            <w:r w:rsidR="0002611D">
              <w:rPr>
                <w:webHidden/>
              </w:rPr>
              <w:fldChar w:fldCharType="separate"/>
            </w:r>
            <w:r w:rsidR="0002611D">
              <w:rPr>
                <w:webHidden/>
              </w:rPr>
              <w:t>22</w:t>
            </w:r>
            <w:r w:rsidR="0002611D">
              <w:rPr>
                <w:webHidden/>
              </w:rPr>
              <w:fldChar w:fldCharType="end"/>
            </w:r>
          </w:hyperlink>
        </w:p>
        <w:p w14:paraId="705484CC" w14:textId="77777777" w:rsidR="0002611D" w:rsidRDefault="00D641F2">
          <w:pPr>
            <w:pStyle w:val="TOC1"/>
            <w:rPr>
              <w:rFonts w:asciiTheme="minorHAnsi" w:eastAsiaTheme="minorEastAsia" w:hAnsiTheme="minorHAnsi" w:cstheme="minorBidi"/>
              <w:b w:val="0"/>
              <w:color w:val="auto"/>
              <w:sz w:val="22"/>
            </w:rPr>
          </w:pPr>
          <w:hyperlink w:anchor="_Toc466038560" w:history="1">
            <w:r w:rsidR="0002611D" w:rsidRPr="006864DA">
              <w:rPr>
                <w:rStyle w:val="Hyperlink"/>
              </w:rPr>
              <w:t>Schedule 1: Proposed definitions for industry subsectors</w:t>
            </w:r>
            <w:r w:rsidR="0002611D">
              <w:rPr>
                <w:webHidden/>
              </w:rPr>
              <w:tab/>
            </w:r>
            <w:r w:rsidR="0002611D">
              <w:rPr>
                <w:webHidden/>
              </w:rPr>
              <w:fldChar w:fldCharType="begin"/>
            </w:r>
            <w:r w:rsidR="0002611D">
              <w:rPr>
                <w:webHidden/>
              </w:rPr>
              <w:instrText xml:space="preserve"> PAGEREF _Toc466038560 \h </w:instrText>
            </w:r>
            <w:r w:rsidR="0002611D">
              <w:rPr>
                <w:webHidden/>
              </w:rPr>
            </w:r>
            <w:r w:rsidR="0002611D">
              <w:rPr>
                <w:webHidden/>
              </w:rPr>
              <w:fldChar w:fldCharType="separate"/>
            </w:r>
            <w:r w:rsidR="0002611D">
              <w:rPr>
                <w:webHidden/>
              </w:rPr>
              <w:t>25</w:t>
            </w:r>
            <w:r w:rsidR="0002611D">
              <w:rPr>
                <w:webHidden/>
              </w:rPr>
              <w:fldChar w:fldCharType="end"/>
            </w:r>
          </w:hyperlink>
        </w:p>
        <w:p w14:paraId="75776E08" w14:textId="77777777" w:rsidR="0002611D" w:rsidRDefault="00D641F2">
          <w:pPr>
            <w:pStyle w:val="TOC1"/>
            <w:rPr>
              <w:rFonts w:asciiTheme="minorHAnsi" w:eastAsiaTheme="minorEastAsia" w:hAnsiTheme="minorHAnsi" w:cstheme="minorBidi"/>
              <w:b w:val="0"/>
              <w:color w:val="auto"/>
              <w:sz w:val="22"/>
            </w:rPr>
          </w:pPr>
          <w:hyperlink w:anchor="_Toc466038561" w:history="1">
            <w:r w:rsidR="0002611D" w:rsidRPr="006864DA">
              <w:rPr>
                <w:rStyle w:val="Hyperlink"/>
              </w:rPr>
              <w:t>Schedule 2: Proposed definitions of levy metrics</w:t>
            </w:r>
            <w:r w:rsidR="0002611D">
              <w:rPr>
                <w:webHidden/>
              </w:rPr>
              <w:tab/>
            </w:r>
            <w:r w:rsidR="0002611D">
              <w:rPr>
                <w:webHidden/>
              </w:rPr>
              <w:fldChar w:fldCharType="begin"/>
            </w:r>
            <w:r w:rsidR="0002611D">
              <w:rPr>
                <w:webHidden/>
              </w:rPr>
              <w:instrText xml:space="preserve"> PAGEREF _Toc466038561 \h </w:instrText>
            </w:r>
            <w:r w:rsidR="0002611D">
              <w:rPr>
                <w:webHidden/>
              </w:rPr>
            </w:r>
            <w:r w:rsidR="0002611D">
              <w:rPr>
                <w:webHidden/>
              </w:rPr>
              <w:fldChar w:fldCharType="separate"/>
            </w:r>
            <w:r w:rsidR="0002611D">
              <w:rPr>
                <w:webHidden/>
              </w:rPr>
              <w:t>31</w:t>
            </w:r>
            <w:r w:rsidR="0002611D">
              <w:rPr>
                <w:webHidden/>
              </w:rPr>
              <w:fldChar w:fldCharType="end"/>
            </w:r>
          </w:hyperlink>
        </w:p>
        <w:p w14:paraId="01C526B7" w14:textId="77777777" w:rsidR="0002611D" w:rsidRDefault="00D641F2">
          <w:pPr>
            <w:pStyle w:val="TOC1"/>
            <w:rPr>
              <w:rFonts w:asciiTheme="minorHAnsi" w:eastAsiaTheme="minorEastAsia" w:hAnsiTheme="minorHAnsi" w:cstheme="minorBidi"/>
              <w:b w:val="0"/>
              <w:color w:val="auto"/>
              <w:sz w:val="22"/>
            </w:rPr>
          </w:pPr>
          <w:hyperlink w:anchor="_Toc466038562" w:history="1">
            <w:r w:rsidR="0002611D" w:rsidRPr="006864DA">
              <w:rPr>
                <w:rStyle w:val="Hyperlink"/>
              </w:rPr>
              <w:t>Schedule 3:</w:t>
            </w:r>
            <w:r w:rsidR="0002611D">
              <w:rPr>
                <w:rFonts w:asciiTheme="minorHAnsi" w:eastAsiaTheme="minorEastAsia" w:hAnsiTheme="minorHAnsi" w:cstheme="minorBidi"/>
                <w:b w:val="0"/>
                <w:color w:val="auto"/>
                <w:sz w:val="22"/>
              </w:rPr>
              <w:tab/>
            </w:r>
            <w:r w:rsidR="0002611D" w:rsidRPr="006864DA">
              <w:rPr>
                <w:rStyle w:val="Hyperlink"/>
              </w:rPr>
              <w:t>Proposed Indicative levies based on financial year 2016-17</w:t>
            </w:r>
            <w:r w:rsidR="0002611D">
              <w:rPr>
                <w:webHidden/>
              </w:rPr>
              <w:tab/>
            </w:r>
            <w:r w:rsidR="0002611D">
              <w:rPr>
                <w:webHidden/>
              </w:rPr>
              <w:fldChar w:fldCharType="begin"/>
            </w:r>
            <w:r w:rsidR="0002611D">
              <w:rPr>
                <w:webHidden/>
              </w:rPr>
              <w:instrText xml:space="preserve"> PAGEREF _Toc466038562 \h </w:instrText>
            </w:r>
            <w:r w:rsidR="0002611D">
              <w:rPr>
                <w:webHidden/>
              </w:rPr>
            </w:r>
            <w:r w:rsidR="0002611D">
              <w:rPr>
                <w:webHidden/>
              </w:rPr>
              <w:fldChar w:fldCharType="separate"/>
            </w:r>
            <w:r w:rsidR="0002611D">
              <w:rPr>
                <w:webHidden/>
              </w:rPr>
              <w:t>37</w:t>
            </w:r>
            <w:r w:rsidR="0002611D">
              <w:rPr>
                <w:webHidden/>
              </w:rPr>
              <w:fldChar w:fldCharType="end"/>
            </w:r>
          </w:hyperlink>
        </w:p>
        <w:p w14:paraId="549E65F9" w14:textId="77777777" w:rsidR="004D6E9B" w:rsidRDefault="00A17EE5" w:rsidP="008A3190">
          <w:pPr>
            <w:pStyle w:val="TOC1"/>
          </w:pPr>
          <w:r>
            <w:rPr>
              <w:szCs w:val="21"/>
            </w:rPr>
            <w:fldChar w:fldCharType="end"/>
          </w:r>
        </w:p>
      </w:sdtContent>
    </w:sdt>
    <w:bookmarkStart w:id="15" w:name="_Toc425759875" w:displacedByCustomXml="prev"/>
    <w:bookmarkStart w:id="16" w:name="_Toc425759452" w:displacedByCustomXml="prev"/>
    <w:bookmarkStart w:id="17" w:name="_Toc388349532" w:displacedByCustomXml="prev"/>
    <w:bookmarkStart w:id="18" w:name="_Toc425592334" w:displacedByCustomXml="prev"/>
    <w:p w14:paraId="5BBAEF3A" w14:textId="77777777" w:rsidR="00D20E3D" w:rsidRDefault="00D20E3D" w:rsidP="00DA1CAF">
      <w:pPr>
        <w:pStyle w:val="Heading1NotNumbered"/>
        <w:sectPr w:rsidR="00D20E3D" w:rsidSect="000273CA">
          <w:headerReference w:type="first" r:id="rId32"/>
          <w:type w:val="oddPage"/>
          <w:pgSz w:w="11906" w:h="16838"/>
          <w:pgMar w:top="1440" w:right="1440" w:bottom="1440" w:left="1440" w:header="708" w:footer="708" w:gutter="0"/>
          <w:pgNumType w:fmt="lowerRoman"/>
          <w:cols w:space="708"/>
          <w:titlePg/>
          <w:docGrid w:linePitch="360"/>
        </w:sectPr>
      </w:pPr>
      <w:bookmarkStart w:id="19" w:name="_Toc425877611"/>
      <w:bookmarkStart w:id="20" w:name="_Toc427227852"/>
      <w:bookmarkStart w:id="21" w:name="_Toc427314347"/>
    </w:p>
    <w:p w14:paraId="2D7861E2" w14:textId="77777777" w:rsidR="006F25C7" w:rsidRPr="00F21DD0" w:rsidRDefault="006F25C7" w:rsidP="007564EF">
      <w:pPr>
        <w:pStyle w:val="Heading1"/>
      </w:pPr>
      <w:bookmarkStart w:id="22" w:name="_Toc427741454"/>
      <w:bookmarkStart w:id="23" w:name="_Toc452626305"/>
      <w:bookmarkStart w:id="24" w:name="_Toc453236810"/>
      <w:bookmarkStart w:id="25" w:name="_Toc453336857"/>
      <w:bookmarkStart w:id="26" w:name="_Toc453683973"/>
      <w:bookmarkStart w:id="27" w:name="_Toc453750613"/>
      <w:bookmarkStart w:id="28" w:name="_Toc453771899"/>
      <w:bookmarkStart w:id="29" w:name="_Toc453836145"/>
      <w:bookmarkStart w:id="30" w:name="_Toc454203047"/>
      <w:bookmarkStart w:id="31" w:name="_Toc454874892"/>
      <w:bookmarkStart w:id="32" w:name="_Toc454898011"/>
      <w:bookmarkStart w:id="33" w:name="_Toc456266506"/>
      <w:bookmarkStart w:id="34" w:name="_Toc466038542"/>
      <w:r w:rsidRPr="00F21DD0">
        <w:t>Foreword</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18"/>
      <w:bookmarkEnd w:id="17"/>
      <w:bookmarkEnd w:id="16"/>
      <w:bookmarkEnd w:id="15"/>
    </w:p>
    <w:p w14:paraId="7E4FDE75" w14:textId="2C92CB48" w:rsidR="002F3424" w:rsidRDefault="002F3424" w:rsidP="0021601B">
      <w:bookmarkStart w:id="35" w:name="_Toc424750349"/>
      <w:bookmarkStart w:id="36" w:name="_Toc424832320"/>
      <w:bookmarkStart w:id="37" w:name="_Toc424832353"/>
      <w:bookmarkStart w:id="38" w:name="_Toc425523675"/>
      <w:r w:rsidRPr="00C367C6">
        <w:t xml:space="preserve">Australia’s financial system is of critical importance to our economy. It touches the </w:t>
      </w:r>
      <w:r w:rsidR="004705C8">
        <w:t>lives</w:t>
      </w:r>
      <w:r w:rsidRPr="00C367C6">
        <w:t xml:space="preserve"> of every individual, family and business. It helps us manage risks, hold</w:t>
      </w:r>
      <w:r w:rsidR="001D2FED">
        <w:t>s</w:t>
      </w:r>
      <w:r w:rsidRPr="00C367C6">
        <w:t xml:space="preserve"> our savings, and provides the credit we need to innovate and invest. Given this, it is critical that we ensure that the financial system is delivering the right outcomes for A</w:t>
      </w:r>
      <w:r w:rsidR="00C15676">
        <w:t>ustralians.</w:t>
      </w:r>
    </w:p>
    <w:p w14:paraId="59163A05" w14:textId="77777777" w:rsidR="002F3424" w:rsidRDefault="002F3424" w:rsidP="0021601B">
      <w:r w:rsidRPr="00DD0F46">
        <w:t>ASIC plays a</w:t>
      </w:r>
      <w:r w:rsidR="00142B3F">
        <w:t xml:space="preserve">n important </w:t>
      </w:r>
      <w:r w:rsidRPr="00DD0F46">
        <w:t xml:space="preserve">role in achieving </w:t>
      </w:r>
      <w:r w:rsidR="002123F6">
        <w:t xml:space="preserve">Australia’s </w:t>
      </w:r>
      <w:r w:rsidRPr="00DD0F46">
        <w:t>sound and effective financial and corporate regulatory framework.</w:t>
      </w:r>
      <w:r>
        <w:t xml:space="preserve"> In order for ASIC to fulfil this role it must have</w:t>
      </w:r>
      <w:r w:rsidRPr="00FF6EDC">
        <w:t xml:space="preserve"> the appropriate governance, capabilities</w:t>
      </w:r>
      <w:r w:rsidR="00142B3F">
        <w:t>, funding</w:t>
      </w:r>
      <w:r w:rsidRPr="00FF6EDC">
        <w:t xml:space="preserve"> and s</w:t>
      </w:r>
      <w:r>
        <w:t>ystems to deliver its mandate to ensure that Australians continue to benefit from a resilient financial system that effectively s</w:t>
      </w:r>
      <w:r w:rsidR="00C15676">
        <w:t>ervices the needs of consumers.</w:t>
      </w:r>
    </w:p>
    <w:p w14:paraId="44BCB3E6" w14:textId="12E57D0C" w:rsidR="002F3424" w:rsidRDefault="002F3424" w:rsidP="0021601B">
      <w:r w:rsidRPr="00FF6EDC">
        <w:t xml:space="preserve">In July 2015 the Government established an expert panel to review </w:t>
      </w:r>
      <w:r>
        <w:t xml:space="preserve">the capabilities of </w:t>
      </w:r>
      <w:r w:rsidRPr="00FF6EDC">
        <w:t>ASIC</w:t>
      </w:r>
      <w:r w:rsidR="00E77408">
        <w:t xml:space="preserve">, including </w:t>
      </w:r>
      <w:r>
        <w:t xml:space="preserve">ASIC’s ability to perform as a capable and transparent regulator. The findings of the review </w:t>
      </w:r>
      <w:r w:rsidR="001D2FED">
        <w:t xml:space="preserve">have </w:t>
      </w:r>
      <w:r>
        <w:t>also assist</w:t>
      </w:r>
      <w:r w:rsidR="00142B3F">
        <w:t>ed</w:t>
      </w:r>
      <w:r>
        <w:t xml:space="preserve"> the Government’s consideration of the F</w:t>
      </w:r>
      <w:r w:rsidR="00142B3F">
        <w:t xml:space="preserve">inancial </w:t>
      </w:r>
      <w:r>
        <w:t>S</w:t>
      </w:r>
      <w:r w:rsidR="00142B3F">
        <w:t xml:space="preserve">ystem </w:t>
      </w:r>
      <w:r>
        <w:t>I</w:t>
      </w:r>
      <w:r w:rsidR="00142B3F">
        <w:t>nquiry’s</w:t>
      </w:r>
      <w:r>
        <w:t xml:space="preserve"> recommendation for ASIC’s regulatory activ</w:t>
      </w:r>
      <w:r w:rsidR="00C15676">
        <w:t>ities to be funded by industry.</w:t>
      </w:r>
    </w:p>
    <w:p w14:paraId="164E4F7B" w14:textId="77777777" w:rsidR="002F3424" w:rsidRDefault="002F3424" w:rsidP="0021601B">
      <w:r>
        <w:t xml:space="preserve">The </w:t>
      </w:r>
      <w:r w:rsidR="00142B3F">
        <w:t xml:space="preserve">expert </w:t>
      </w:r>
      <w:r>
        <w:t>panel found that ASIC’s regulatory capabilities were in line with, or at the forefront of, global best practice and that it was broadly discharging its mandate. However, there were some aspects of strategy, IT, data infrastructure, management information systems and ASIC’s approach to stakeholder engagement that required improvement.</w:t>
      </w:r>
    </w:p>
    <w:p w14:paraId="554BDBC1" w14:textId="5F8B96B6" w:rsidR="002F3424" w:rsidRDefault="002F3424" w:rsidP="0021601B">
      <w:r>
        <w:t>In response to these findings, on 20 April 2016, the Government announced a package of reforms</w:t>
      </w:r>
      <w:r w:rsidRPr="00C367C6">
        <w:t xml:space="preserve"> to </w:t>
      </w:r>
      <w:r>
        <w:t xml:space="preserve">bolster the role of ASIC and to </w:t>
      </w:r>
      <w:r w:rsidRPr="00C367C6">
        <w:t xml:space="preserve">reform the regulation of Australia’s financial services sector </w:t>
      </w:r>
      <w:r w:rsidR="001D2FED">
        <w:t xml:space="preserve">in order </w:t>
      </w:r>
      <w:r w:rsidRPr="00C367C6">
        <w:t>to deliver better outcomes for consumers.</w:t>
      </w:r>
      <w:r>
        <w:t xml:space="preserve"> </w:t>
      </w:r>
      <w:r w:rsidR="00142B3F">
        <w:t>Additional f</w:t>
      </w:r>
      <w:r>
        <w:t>unding</w:t>
      </w:r>
      <w:r w:rsidR="00142B3F">
        <w:t xml:space="preserve"> included in the </w:t>
      </w:r>
      <w:r>
        <w:t xml:space="preserve">package </w:t>
      </w:r>
      <w:r w:rsidR="00142B3F">
        <w:t xml:space="preserve">will allow </w:t>
      </w:r>
      <w:r>
        <w:t xml:space="preserve">ASIC to </w:t>
      </w:r>
      <w:r w:rsidR="001D2FED">
        <w:t xml:space="preserve">effectively </w:t>
      </w:r>
      <w:r>
        <w:t>assess large quantities of data and information, to spot trends and patterns and use this to focus surveillance and enforcement resources in areas that pose the biggest threats. This will mean that ASIC can identify wrongdoing earlier, and respond more quickly – meaning less investors and consumers being affected.</w:t>
      </w:r>
      <w:r w:rsidR="00142B3F">
        <w:t xml:space="preserve"> </w:t>
      </w:r>
      <w:r w:rsidR="008B1CE9">
        <w:t xml:space="preserve">The package also provides ASIC with ongoing funding to increase </w:t>
      </w:r>
      <w:r w:rsidR="00D941FD">
        <w:t>surveillance</w:t>
      </w:r>
      <w:r w:rsidR="008B1CE9">
        <w:t xml:space="preserve"> and enforcement in the areas of financial advice, responsible lending, life </w:t>
      </w:r>
      <w:r w:rsidR="00C15676">
        <w:t>insurance and breach reporting.</w:t>
      </w:r>
    </w:p>
    <w:p w14:paraId="5A3A4C2F" w14:textId="6D3B9AC1" w:rsidR="002F3424" w:rsidRDefault="002F3424" w:rsidP="0021601B">
      <w:r>
        <w:t xml:space="preserve">The </w:t>
      </w:r>
      <w:r w:rsidR="00142B3F">
        <w:t xml:space="preserve">reform </w:t>
      </w:r>
      <w:r>
        <w:t xml:space="preserve">package also </w:t>
      </w:r>
      <w:r w:rsidR="00AF304E">
        <w:t>included a commitment to introduce</w:t>
      </w:r>
      <w:r>
        <w:t xml:space="preserve"> an industry funding model for ASIC to commence in the second half of 2017. </w:t>
      </w:r>
      <w:r w:rsidR="002123F6">
        <w:t xml:space="preserve">The proposed industry funding model </w:t>
      </w:r>
      <w:r>
        <w:t>will</w:t>
      </w:r>
      <w:r w:rsidR="00CA39B5">
        <w:t xml:space="preserve"> include measures to</w:t>
      </w:r>
      <w:r>
        <w:t xml:space="preserve"> </w:t>
      </w:r>
      <w:r w:rsidRPr="009F78A7">
        <w:t>support ASIC becoming a stronger regulator, through increased accountability</w:t>
      </w:r>
      <w:r w:rsidR="00142B3F">
        <w:t xml:space="preserve">, </w:t>
      </w:r>
      <w:r w:rsidRPr="009F78A7">
        <w:t>transparency</w:t>
      </w:r>
      <w:r w:rsidR="00142B3F">
        <w:t xml:space="preserve"> and </w:t>
      </w:r>
      <w:r>
        <w:t xml:space="preserve">engagement </w:t>
      </w:r>
      <w:r w:rsidR="00142B3F">
        <w:t>with consumer</w:t>
      </w:r>
      <w:r w:rsidR="00614EE7">
        <w:t>s</w:t>
      </w:r>
      <w:r w:rsidR="00142B3F">
        <w:t xml:space="preserve"> and its regulated entities.</w:t>
      </w:r>
      <w:r w:rsidR="002123F6">
        <w:t xml:space="preserve"> In particular the funding model will</w:t>
      </w:r>
      <w:r w:rsidR="00C15676">
        <w:t>:</w:t>
      </w:r>
    </w:p>
    <w:p w14:paraId="09899572" w14:textId="0AD78016" w:rsidR="002F3424" w:rsidRDefault="002123F6" w:rsidP="002F3424">
      <w:pPr>
        <w:pStyle w:val="Bullet"/>
      </w:pPr>
      <w:r>
        <w:t>I</w:t>
      </w:r>
      <w:r w:rsidR="004705C8">
        <w:t>ncrease</w:t>
      </w:r>
      <w:r w:rsidR="002F3424">
        <w:t xml:space="preserve"> accountability – ASIC will </w:t>
      </w:r>
      <w:r>
        <w:t>a</w:t>
      </w:r>
      <w:r w:rsidR="002F3424">
        <w:t xml:space="preserve">nnually </w:t>
      </w:r>
      <w:r>
        <w:t xml:space="preserve">explain </w:t>
      </w:r>
      <w:r w:rsidR="002F3424">
        <w:t xml:space="preserve">its regulatory priorities, the means by which it intends to address those priorities and the allocation of resources to each regulatory activity. </w:t>
      </w:r>
      <w:r w:rsidR="002F3424" w:rsidRPr="00EA0CCA">
        <w:t>The Government expects that ASIC will develop a communications strategy consistent with the recommendations of the Capability Review</w:t>
      </w:r>
      <w:r>
        <w:t xml:space="preserve"> that </w:t>
      </w:r>
      <w:r w:rsidR="002F3424" w:rsidRPr="00EA0CCA">
        <w:t>clearly explain</w:t>
      </w:r>
      <w:r>
        <w:t>s</w:t>
      </w:r>
      <w:r w:rsidR="002F3424" w:rsidRPr="00EA0CCA">
        <w:t xml:space="preserve"> </w:t>
      </w:r>
      <w:r w:rsidR="002F3424">
        <w:t xml:space="preserve">to industry </w:t>
      </w:r>
      <w:r>
        <w:t xml:space="preserve">and consumers </w:t>
      </w:r>
      <w:r w:rsidR="002F3424" w:rsidRPr="00EA0CCA">
        <w:t>its choice of regulatory tools or pursuit of particular objectives in making regulatory decisions.</w:t>
      </w:r>
    </w:p>
    <w:p w14:paraId="7E36FF3E" w14:textId="1C0E1390" w:rsidR="002F3424" w:rsidRDefault="002123F6" w:rsidP="002F3424">
      <w:pPr>
        <w:pStyle w:val="Bullet"/>
      </w:pPr>
      <w:r>
        <w:t>Create a</w:t>
      </w:r>
      <w:r w:rsidR="002F3424">
        <w:t xml:space="preserve"> richer dataset to </w:t>
      </w:r>
      <w:r>
        <w:t xml:space="preserve">help ASIC </w:t>
      </w:r>
      <w:r w:rsidR="002F3424">
        <w:t xml:space="preserve">prioritise resources — ASIC will </w:t>
      </w:r>
      <w:r w:rsidR="00CA39B5">
        <w:t xml:space="preserve">be required to </w:t>
      </w:r>
      <w:r w:rsidR="002F3424">
        <w:t xml:space="preserve">improve its collection and use of </w:t>
      </w:r>
      <w:r>
        <w:t>data generated by financial</w:t>
      </w:r>
      <w:r w:rsidR="008B1CE9">
        <w:t xml:space="preserve"> entitie</w:t>
      </w:r>
      <w:r>
        <w:t xml:space="preserve">s </w:t>
      </w:r>
      <w:r w:rsidR="00E77408">
        <w:t>which will</w:t>
      </w:r>
      <w:r w:rsidR="002F3424">
        <w:t xml:space="preserve"> assist with regulation</w:t>
      </w:r>
      <w:r>
        <w:t xml:space="preserve">, </w:t>
      </w:r>
      <w:r w:rsidR="00CA39B5">
        <w:t>c</w:t>
      </w:r>
      <w:r w:rsidR="002F3424">
        <w:t>ompliance</w:t>
      </w:r>
      <w:r>
        <w:t xml:space="preserve"> and prioritisation</w:t>
      </w:r>
      <w:r w:rsidR="002F3424">
        <w:t xml:space="preserve"> – by developing technological systems tha</w:t>
      </w:r>
      <w:r w:rsidR="00C15676">
        <w:t>t are both agile and adaptable.</w:t>
      </w:r>
    </w:p>
    <w:p w14:paraId="1EEADCA5" w14:textId="77777777" w:rsidR="0021601B" w:rsidRDefault="0021601B">
      <w:pPr>
        <w:spacing w:after="200" w:line="276" w:lineRule="auto"/>
        <w:jc w:val="left"/>
      </w:pPr>
      <w:r>
        <w:br w:type="page"/>
      </w:r>
    </w:p>
    <w:p w14:paraId="331F67CE" w14:textId="77777777" w:rsidR="002F3424" w:rsidRDefault="002F3424" w:rsidP="0021601B">
      <w:r>
        <w:t>Whilst the industry funding model will ensure greater transparency and accountability of ASIC’s regulatory activities</w:t>
      </w:r>
      <w:r w:rsidR="00CA39B5">
        <w:t xml:space="preserve"> for stakeholders</w:t>
      </w:r>
      <w:r>
        <w:t>, the Government still recognises</w:t>
      </w:r>
      <w:r w:rsidRPr="009F78A7">
        <w:t xml:space="preserve"> and </w:t>
      </w:r>
      <w:r w:rsidR="000C11A6">
        <w:t>value</w:t>
      </w:r>
      <w:r>
        <w:t>s</w:t>
      </w:r>
      <w:r w:rsidRPr="009F78A7">
        <w:t xml:space="preserve"> the statutory independence of ASIC. </w:t>
      </w:r>
      <w:r>
        <w:t>Continued c</w:t>
      </w:r>
      <w:r w:rsidRPr="009F78A7">
        <w:t xml:space="preserve">onfidence in the regulatory framework requires that ASIC is, and is seen to be, exercising independent judgment about the application of </w:t>
      </w:r>
      <w:r w:rsidR="002123F6">
        <w:t>the statutory</w:t>
      </w:r>
      <w:r w:rsidRPr="009F78A7">
        <w:t xml:space="preserve"> regulatory framework to individual circumstances.</w:t>
      </w:r>
    </w:p>
    <w:p w14:paraId="56DE16B6" w14:textId="7824BD7F" w:rsidR="002F3424" w:rsidRDefault="002F3424" w:rsidP="0021601B">
      <w:r>
        <w:t xml:space="preserve">This proposals paper contains a detailed model, developed </w:t>
      </w:r>
      <w:r w:rsidR="001D2FED">
        <w:t>with the benefit of</w:t>
      </w:r>
      <w:r>
        <w:t xml:space="preserve"> the extensive feedback received through stakeholder consultations</w:t>
      </w:r>
      <w:r w:rsidR="002123F6">
        <w:t xml:space="preserve"> during 2015</w:t>
      </w:r>
      <w:r>
        <w:t>. Elements from successful industry funding models in Australia and overseas have been incorporated in the model, where appropriate.</w:t>
      </w:r>
    </w:p>
    <w:p w14:paraId="211A2BE5" w14:textId="77777777" w:rsidR="002F3424" w:rsidRDefault="002F3424" w:rsidP="0021601B">
      <w:r>
        <w:t xml:space="preserve">Submissions on this proposals paper will </w:t>
      </w:r>
      <w:r w:rsidR="00CA39B5">
        <w:t>inform</w:t>
      </w:r>
      <w:r>
        <w:t xml:space="preserve"> the Government’s </w:t>
      </w:r>
      <w:r w:rsidR="00CA39B5">
        <w:t>decision</w:t>
      </w:r>
      <w:r>
        <w:t xml:space="preserve"> on the final design of the model. Additional public consultation will be held on the legislation and related legislative instruments prior to </w:t>
      </w:r>
      <w:r w:rsidR="00C15676">
        <w:t>its introduction in Parliament.</w:t>
      </w:r>
    </w:p>
    <w:p w14:paraId="0412B9A0" w14:textId="77777777" w:rsidR="002F3424" w:rsidRPr="008373BC" w:rsidRDefault="002F3424" w:rsidP="0021601B">
      <w:r>
        <w:t>I encourage all those who have an interest in the effective operation of ASIC to c</w:t>
      </w:r>
      <w:r w:rsidR="00C15676">
        <w:t xml:space="preserve">omment on this proposals </w:t>
      </w:r>
      <w:r w:rsidR="00C15676" w:rsidRPr="008373BC">
        <w:t>paper.</w:t>
      </w:r>
    </w:p>
    <w:p w14:paraId="5D67E2E6" w14:textId="52774A87" w:rsidR="002F3424" w:rsidRDefault="002F3424" w:rsidP="0021601B">
      <w:r w:rsidRPr="008373BC">
        <w:t xml:space="preserve">The deadline for submissions is </w:t>
      </w:r>
      <w:r w:rsidR="00A617DC" w:rsidRPr="008373BC">
        <w:t>16</w:t>
      </w:r>
      <w:r w:rsidRPr="008373BC">
        <w:t xml:space="preserve"> </w:t>
      </w:r>
      <w:r w:rsidR="00FA521E" w:rsidRPr="008373BC">
        <w:t>Dece</w:t>
      </w:r>
      <w:r w:rsidRPr="008373BC">
        <w:t>mber 2016</w:t>
      </w:r>
      <w:r w:rsidR="00C15676" w:rsidRPr="008373BC">
        <w:t>.</w:t>
      </w:r>
    </w:p>
    <w:p w14:paraId="75787F19" w14:textId="77777777" w:rsidR="002F3424" w:rsidRDefault="00F21DD0" w:rsidP="00F37DCE">
      <w:pPr>
        <w:pStyle w:val="ChartGraphic"/>
        <w:spacing w:after="240"/>
        <w:jc w:val="left"/>
      </w:pPr>
      <w:r>
        <w:rPr>
          <w:noProof/>
        </w:rPr>
        <w:drawing>
          <wp:inline distT="0" distB="0" distL="0" distR="0" wp14:anchorId="655DB9BA" wp14:editId="57AB05A3">
            <wp:extent cx="1690777" cy="830762"/>
            <wp:effectExtent l="0" t="0" r="5080" b="7620"/>
            <wp:docPr id="1" name="Picture 1" descr="H:\MCD\Publishing\Graphic Design Services Team\Digital_Assets\Signatures\Kelly ODwyer\Kelly Odwyer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D\Publishing\Graphic Design Services Team\Digital_Assets\Signatures\Kelly ODwyer\Kelly Odwyer_Signature.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871" t="10441" r="2903" b="11529"/>
                    <a:stretch/>
                  </pic:blipFill>
                  <pic:spPr bwMode="auto">
                    <a:xfrm>
                      <a:off x="0" y="0"/>
                      <a:ext cx="1690649" cy="830699"/>
                    </a:xfrm>
                    <a:prstGeom prst="rect">
                      <a:avLst/>
                    </a:prstGeom>
                    <a:noFill/>
                    <a:ln>
                      <a:noFill/>
                    </a:ln>
                    <a:extLst>
                      <a:ext uri="{53640926-AAD7-44D8-BBD7-CCE9431645EC}">
                        <a14:shadowObscured xmlns:a14="http://schemas.microsoft.com/office/drawing/2010/main"/>
                      </a:ext>
                    </a:extLst>
                  </pic:spPr>
                </pic:pic>
              </a:graphicData>
            </a:graphic>
          </wp:inline>
        </w:drawing>
      </w:r>
    </w:p>
    <w:p w14:paraId="2AB0D15A" w14:textId="77777777" w:rsidR="00F21DD0" w:rsidRDefault="002F3424" w:rsidP="0021601B">
      <w:pPr>
        <w:jc w:val="left"/>
      </w:pPr>
      <w:r>
        <w:t xml:space="preserve">The </w:t>
      </w:r>
      <w:proofErr w:type="spellStart"/>
      <w:r>
        <w:t>Hon</w:t>
      </w:r>
      <w:proofErr w:type="spellEnd"/>
      <w:r>
        <w:t xml:space="preserve"> Kelly O’Dwyer MP</w:t>
      </w:r>
      <w:r w:rsidR="00F21DD0">
        <w:br/>
      </w:r>
      <w:r>
        <w:t>Minister for Revenue and Financial Services</w:t>
      </w:r>
    </w:p>
    <w:p w14:paraId="591681C5" w14:textId="49FD0539" w:rsidR="002F3424" w:rsidRPr="00635192" w:rsidRDefault="002F3424" w:rsidP="00F21DD0">
      <w:pPr>
        <w:jc w:val="left"/>
        <w:sectPr w:rsidR="002F3424" w:rsidRPr="00635192" w:rsidSect="008E23C0">
          <w:headerReference w:type="first" r:id="rId34"/>
          <w:footerReference w:type="first" r:id="rId35"/>
          <w:type w:val="oddPage"/>
          <w:pgSz w:w="11906" w:h="16838"/>
          <w:pgMar w:top="1440" w:right="1440" w:bottom="1440" w:left="1440" w:header="708" w:footer="708" w:gutter="0"/>
          <w:pgNumType w:start="1"/>
          <w:cols w:space="708"/>
          <w:titlePg/>
          <w:docGrid w:linePitch="360"/>
        </w:sectPr>
      </w:pPr>
    </w:p>
    <w:p w14:paraId="4F7D4B17" w14:textId="77777777" w:rsidR="000C20FE" w:rsidRPr="007564EF" w:rsidRDefault="000C20FE" w:rsidP="007564EF">
      <w:pPr>
        <w:pStyle w:val="Heading1"/>
      </w:pPr>
      <w:bookmarkStart w:id="39" w:name="_Toc466038543"/>
      <w:bookmarkStart w:id="40" w:name="_Toc452626306"/>
      <w:bookmarkStart w:id="41" w:name="_Toc453236811"/>
      <w:bookmarkStart w:id="42" w:name="_Toc453336858"/>
      <w:bookmarkStart w:id="43" w:name="_Toc453683974"/>
      <w:bookmarkStart w:id="44" w:name="_Toc453750614"/>
      <w:bookmarkStart w:id="45" w:name="_Toc453771900"/>
      <w:bookmarkStart w:id="46" w:name="_Toc453836146"/>
      <w:bookmarkStart w:id="47" w:name="_Toc454203048"/>
      <w:bookmarkStart w:id="48" w:name="_Toc454874893"/>
      <w:bookmarkStart w:id="49" w:name="_Toc454898012"/>
      <w:bookmarkStart w:id="50" w:name="_Toc425580622"/>
      <w:bookmarkStart w:id="51" w:name="_Toc425591654"/>
      <w:bookmarkStart w:id="52" w:name="_Toc425759876"/>
      <w:bookmarkStart w:id="53" w:name="_Toc425877612"/>
      <w:bookmarkStart w:id="54" w:name="_Toc427227853"/>
      <w:bookmarkStart w:id="55" w:name="_Toc427314348"/>
      <w:bookmarkStart w:id="56" w:name="_Toc456266507"/>
      <w:r w:rsidRPr="007564EF" w:rsidDel="005214A4">
        <w:t xml:space="preserve">Chapter </w:t>
      </w:r>
      <w:r w:rsidRPr="007564EF">
        <w:t>1</w:t>
      </w:r>
      <w:r w:rsidRPr="007564EF" w:rsidDel="005214A4">
        <w:t>:</w:t>
      </w:r>
      <w:r w:rsidR="007564EF">
        <w:tab/>
      </w:r>
      <w:r w:rsidRPr="007564EF">
        <w:t>Context and environment for proposed industry funding model</w:t>
      </w:r>
      <w:bookmarkEnd w:id="39"/>
      <w:r w:rsidRPr="007564EF">
        <w:t xml:space="preserve"> </w:t>
      </w:r>
    </w:p>
    <w:p w14:paraId="14B69A1C" w14:textId="77777777" w:rsidR="000C20FE" w:rsidRPr="00133CE7" w:rsidRDefault="000C20FE" w:rsidP="0021601B">
      <w:r w:rsidRPr="00133CE7">
        <w:t xml:space="preserve">ASIC is the corporate, markets, financial services and consumer credit regulator. It </w:t>
      </w:r>
      <w:r>
        <w:t xml:space="preserve">is </w:t>
      </w:r>
      <w:r w:rsidRPr="00133CE7">
        <w:t xml:space="preserve">an independent Australian </w:t>
      </w:r>
      <w:r w:rsidRPr="0006685D">
        <w:t xml:space="preserve">government statutory authority, set up under the </w:t>
      </w:r>
      <w:r w:rsidRPr="00D93FDF">
        <w:rPr>
          <w:rStyle w:val="Emphasis"/>
          <w:rFonts w:cs="Tahoma"/>
          <w:lang w:val="en"/>
        </w:rPr>
        <w:t>Australian Securities and Investments Commission Act 2001</w:t>
      </w:r>
      <w:r w:rsidRPr="00D93FDF">
        <w:rPr>
          <w:rFonts w:cs="Tahoma"/>
          <w:lang w:val="en"/>
        </w:rPr>
        <w:t xml:space="preserve"> (ASIC Act)</w:t>
      </w:r>
      <w:r w:rsidRPr="0006685D">
        <w:t xml:space="preserve">. </w:t>
      </w:r>
      <w:r>
        <w:t xml:space="preserve">While </w:t>
      </w:r>
      <w:r w:rsidR="00DE456A">
        <w:t>much</w:t>
      </w:r>
      <w:r w:rsidRPr="00D93FDF">
        <w:t xml:space="preserve"> of ASIC’s work is carried out under the </w:t>
      </w:r>
      <w:r w:rsidRPr="00D93FDF">
        <w:rPr>
          <w:i/>
          <w:iCs/>
        </w:rPr>
        <w:t>Corporations Act 2001</w:t>
      </w:r>
      <w:r w:rsidRPr="00D93FDF">
        <w:t xml:space="preserve"> (Corporations Act), ASIC</w:t>
      </w:r>
      <w:r w:rsidR="00024862">
        <w:t xml:space="preserve"> also administers other Acts, </w:t>
      </w:r>
      <w:r w:rsidR="00024862" w:rsidRPr="00024862">
        <w:t xml:space="preserve">for example the </w:t>
      </w:r>
      <w:r w:rsidR="00024862" w:rsidRPr="000C11A6">
        <w:rPr>
          <w:i/>
        </w:rPr>
        <w:t>National Consumer Credit Protection Act 2009</w:t>
      </w:r>
      <w:r w:rsidR="00024862" w:rsidRPr="00024862">
        <w:t>.</w:t>
      </w:r>
    </w:p>
    <w:p w14:paraId="3C42D51A" w14:textId="77777777" w:rsidR="000C20FE" w:rsidRPr="00D93FDF" w:rsidRDefault="000C20FE" w:rsidP="0021601B">
      <w:pPr>
        <w:rPr>
          <w:rFonts w:asciiTheme="minorHAnsi" w:eastAsiaTheme="minorHAnsi" w:hAnsiTheme="minorHAnsi" w:cstheme="minorBidi"/>
          <w:szCs w:val="22"/>
          <w:lang w:eastAsia="en-US"/>
        </w:rPr>
      </w:pPr>
      <w:r w:rsidRPr="00D93FDF">
        <w:rPr>
          <w:rFonts w:asciiTheme="minorHAnsi" w:eastAsiaTheme="minorHAnsi" w:hAnsiTheme="minorHAnsi" w:cstheme="minorBidi"/>
          <w:szCs w:val="22"/>
          <w:lang w:eastAsia="en-US"/>
        </w:rPr>
        <w:t>Specifically,</w:t>
      </w:r>
      <w:r>
        <w:t xml:space="preserve"> </w:t>
      </w:r>
      <w:r>
        <w:rPr>
          <w:rFonts w:asciiTheme="minorHAnsi" w:eastAsiaTheme="minorHAnsi" w:hAnsiTheme="minorHAnsi" w:cstheme="minorBidi"/>
          <w:szCs w:val="22"/>
          <w:lang w:eastAsia="en-US"/>
        </w:rPr>
        <w:t>t</w:t>
      </w:r>
      <w:r w:rsidRPr="00D93FDF">
        <w:rPr>
          <w:rFonts w:asciiTheme="minorHAnsi" w:eastAsiaTheme="minorHAnsi" w:hAnsiTheme="minorHAnsi" w:cstheme="minorBidi"/>
          <w:szCs w:val="22"/>
          <w:lang w:eastAsia="en-US"/>
        </w:rPr>
        <w:t xml:space="preserve">he ASIC Act requires </w:t>
      </w:r>
      <w:r>
        <w:rPr>
          <w:rFonts w:asciiTheme="minorHAnsi" w:eastAsiaTheme="minorHAnsi" w:hAnsiTheme="minorHAnsi" w:cstheme="minorBidi"/>
          <w:szCs w:val="22"/>
          <w:lang w:eastAsia="en-US"/>
        </w:rPr>
        <w:t>ASIC</w:t>
      </w:r>
      <w:r w:rsidRPr="00D93FDF">
        <w:rPr>
          <w:rFonts w:asciiTheme="minorHAnsi" w:eastAsiaTheme="minorHAnsi" w:hAnsiTheme="minorHAnsi" w:cstheme="minorBidi"/>
          <w:szCs w:val="22"/>
          <w:lang w:eastAsia="en-US"/>
        </w:rPr>
        <w:t xml:space="preserve"> to:</w:t>
      </w:r>
    </w:p>
    <w:p w14:paraId="6AF6115F" w14:textId="64519EEE" w:rsidR="000C20FE" w:rsidRPr="00F21DD0" w:rsidRDefault="000C20FE" w:rsidP="004705C8">
      <w:pPr>
        <w:pStyle w:val="Bullet"/>
      </w:pPr>
      <w:r w:rsidRPr="00F21DD0">
        <w:t xml:space="preserve">maintain, facilitate and improve the performance of the financial system and entities </w:t>
      </w:r>
      <w:r w:rsidR="004705C8" w:rsidRPr="004705C8">
        <w:t>within it in the interests of commercial certainty, reducing business costs, and the efficiency and development of the economy</w:t>
      </w:r>
    </w:p>
    <w:p w14:paraId="7D055BEC" w14:textId="77777777" w:rsidR="000C20FE" w:rsidRPr="00F21DD0" w:rsidRDefault="000C20FE" w:rsidP="00F21DD0">
      <w:pPr>
        <w:pStyle w:val="Bullet"/>
      </w:pPr>
      <w:r w:rsidRPr="00F21DD0">
        <w:t>promote confident and informed participation by investors and consumers in the financial system</w:t>
      </w:r>
    </w:p>
    <w:p w14:paraId="51A47B06" w14:textId="77777777" w:rsidR="000C20FE" w:rsidRPr="00F21DD0" w:rsidRDefault="000C20FE" w:rsidP="00F21DD0">
      <w:pPr>
        <w:pStyle w:val="Bullet"/>
      </w:pPr>
      <w:r w:rsidRPr="00F21DD0">
        <w:t>administer the law effectively and with minimal procedural requirements</w:t>
      </w:r>
    </w:p>
    <w:p w14:paraId="2E106C9F" w14:textId="77777777" w:rsidR="000C20FE" w:rsidRPr="00F21DD0" w:rsidRDefault="000C20FE" w:rsidP="00F21DD0">
      <w:pPr>
        <w:pStyle w:val="Bullet"/>
      </w:pPr>
      <w:r w:rsidRPr="00F21DD0">
        <w:t>enforce and give effect to the law</w:t>
      </w:r>
    </w:p>
    <w:p w14:paraId="4723E8A0" w14:textId="77777777" w:rsidR="000C20FE" w:rsidRPr="00F21DD0" w:rsidRDefault="000C20FE" w:rsidP="00F21DD0">
      <w:pPr>
        <w:pStyle w:val="Bullet"/>
      </w:pPr>
      <w:r w:rsidRPr="00F21DD0">
        <w:t>receive, process and store, efficiently and quickly, information given to ASIC</w:t>
      </w:r>
    </w:p>
    <w:p w14:paraId="47A02C4C" w14:textId="2BDB8EDA" w:rsidR="000C20FE" w:rsidRDefault="000C20FE" w:rsidP="00F21DD0">
      <w:pPr>
        <w:pStyle w:val="Bullet"/>
      </w:pPr>
      <w:r w:rsidRPr="00F21DD0">
        <w:t>make information about companies and other bodies available to th</w:t>
      </w:r>
      <w:r w:rsidR="004705C8">
        <w:t>e public as soon as practicable</w:t>
      </w:r>
    </w:p>
    <w:p w14:paraId="40522ED6" w14:textId="6231D7CA" w:rsidR="004705C8" w:rsidRPr="004705C8" w:rsidRDefault="004705C8" w:rsidP="004705C8">
      <w:pPr>
        <w:pStyle w:val="Bullet"/>
        <w:rPr>
          <w:lang w:val="en-US"/>
        </w:rPr>
      </w:pPr>
      <w:r w:rsidRPr="00855027">
        <w:rPr>
          <w:lang w:val="en-US"/>
        </w:rPr>
        <w:t xml:space="preserve">take whatever action </w:t>
      </w:r>
      <w:r>
        <w:rPr>
          <w:lang w:val="en-US"/>
        </w:rPr>
        <w:t>ASIC</w:t>
      </w:r>
      <w:r w:rsidRPr="00855027">
        <w:rPr>
          <w:lang w:val="en-US"/>
        </w:rPr>
        <w:t xml:space="preserve"> can, and which is necessary, to enforce and give effect to the law</w:t>
      </w:r>
      <w:r>
        <w:rPr>
          <w:lang w:val="en-US"/>
        </w:rPr>
        <w:t>.</w:t>
      </w:r>
    </w:p>
    <w:p w14:paraId="66D04835" w14:textId="77777777" w:rsidR="000C20FE" w:rsidRDefault="000C20FE" w:rsidP="0021601B">
      <w:pPr>
        <w:rPr>
          <w:rFonts w:eastAsiaTheme="minorHAnsi"/>
          <w:lang w:eastAsia="en-US"/>
        </w:rPr>
      </w:pPr>
      <w:r w:rsidRPr="00D93FDF">
        <w:rPr>
          <w:rFonts w:eastAsiaTheme="minorHAnsi"/>
          <w:lang w:eastAsia="en-US"/>
        </w:rPr>
        <w:t>ASIC's purpose is to contribute to Australia's economic reputation and wellbeing by ensuring that Australia's financial markets are fair and transparent, supported by confident and informed investors and consumers.</w:t>
      </w:r>
    </w:p>
    <w:p w14:paraId="5F6F08F8" w14:textId="77777777" w:rsidR="000C20FE" w:rsidRDefault="00947672" w:rsidP="0021601B">
      <w:pPr>
        <w:rPr>
          <w:rFonts w:eastAsiaTheme="minorHAnsi"/>
          <w:lang w:eastAsia="en-US"/>
        </w:rPr>
      </w:pPr>
      <w:r>
        <w:rPr>
          <w:rFonts w:eastAsiaTheme="minorHAnsi"/>
          <w:lang w:eastAsia="en-US"/>
        </w:rPr>
        <w:t xml:space="preserve">To achieve this purpose, </w:t>
      </w:r>
      <w:r w:rsidR="000C20FE" w:rsidRPr="00D93FDF">
        <w:rPr>
          <w:rFonts w:eastAsiaTheme="minorHAnsi"/>
          <w:lang w:eastAsia="en-US"/>
        </w:rPr>
        <w:t>ASIC's</w:t>
      </w:r>
      <w:r>
        <w:rPr>
          <w:rFonts w:eastAsiaTheme="minorHAnsi"/>
          <w:lang w:eastAsia="en-US"/>
        </w:rPr>
        <w:t xml:space="preserve"> </w:t>
      </w:r>
      <w:r w:rsidR="00756ED9">
        <w:rPr>
          <w:rFonts w:eastAsiaTheme="minorHAnsi"/>
          <w:lang w:eastAsia="en-US"/>
        </w:rPr>
        <w:t>objectives</w:t>
      </w:r>
      <w:r w:rsidR="000C20FE">
        <w:rPr>
          <w:rFonts w:eastAsiaTheme="minorHAnsi"/>
          <w:lang w:eastAsia="en-US"/>
        </w:rPr>
        <w:t xml:space="preserve"> are to:</w:t>
      </w:r>
    </w:p>
    <w:p w14:paraId="41B80BA1" w14:textId="09CAC11C" w:rsidR="00756ED9" w:rsidRPr="007D02BC" w:rsidRDefault="00756ED9" w:rsidP="00F21DD0">
      <w:pPr>
        <w:pStyle w:val="Bullet"/>
      </w:pPr>
      <w:r w:rsidRPr="007D02BC">
        <w:t>promot</w:t>
      </w:r>
      <w:r>
        <w:t>e</w:t>
      </w:r>
      <w:r w:rsidRPr="007D02BC">
        <w:t xml:space="preserve"> investor and consumer trust and confidence</w:t>
      </w:r>
    </w:p>
    <w:p w14:paraId="4CA2EACA" w14:textId="77777777" w:rsidR="00756ED9" w:rsidRPr="007D02BC" w:rsidRDefault="00756ED9" w:rsidP="00F21DD0">
      <w:pPr>
        <w:pStyle w:val="Bullet"/>
      </w:pPr>
      <w:r w:rsidRPr="007D02BC">
        <w:t>ensur</w:t>
      </w:r>
      <w:r>
        <w:t>e</w:t>
      </w:r>
      <w:r w:rsidRPr="007D02BC">
        <w:t xml:space="preserve"> fair and efficient markets, and</w:t>
      </w:r>
    </w:p>
    <w:p w14:paraId="21163647" w14:textId="77777777" w:rsidR="00756ED9" w:rsidRPr="007D02BC" w:rsidRDefault="00756ED9" w:rsidP="00F21DD0">
      <w:pPr>
        <w:pStyle w:val="Bullet"/>
      </w:pPr>
      <w:r>
        <w:t>p</w:t>
      </w:r>
      <w:r w:rsidRPr="007D02BC">
        <w:t>rovid</w:t>
      </w:r>
      <w:r>
        <w:t xml:space="preserve">e </w:t>
      </w:r>
      <w:r w:rsidRPr="007D02BC">
        <w:t>efficient registration</w:t>
      </w:r>
      <w:r>
        <w:t xml:space="preserve"> services</w:t>
      </w:r>
      <w:r w:rsidRPr="007D02BC">
        <w:t>.</w:t>
      </w:r>
    </w:p>
    <w:p w14:paraId="6C2D1509" w14:textId="77777777" w:rsidR="00756ED9" w:rsidRDefault="00065799" w:rsidP="0021601B">
      <w:r w:rsidRPr="00065799">
        <w:t xml:space="preserve">ASIC’s </w:t>
      </w:r>
      <w:r w:rsidRPr="00065799">
        <w:rPr>
          <w:i/>
        </w:rPr>
        <w:t>Corporate Plan 2016–17 to 2019–2020</w:t>
      </w:r>
      <w:r w:rsidRPr="00065799">
        <w:t xml:space="preserve"> </w:t>
      </w:r>
      <w:r w:rsidR="000C20FE">
        <w:t>provides an overview of ASIC’s strategic</w:t>
      </w:r>
      <w:r>
        <w:t xml:space="preserve"> objectives</w:t>
      </w:r>
      <w:r w:rsidR="000C20FE">
        <w:t xml:space="preserve">. </w:t>
      </w:r>
      <w:r w:rsidR="000C20FE" w:rsidRPr="003868DE">
        <w:t xml:space="preserve">To achieve </w:t>
      </w:r>
      <w:r w:rsidR="003064EB">
        <w:t>its</w:t>
      </w:r>
      <w:r w:rsidR="000C20FE" w:rsidRPr="003868DE">
        <w:t xml:space="preserve"> strategic </w:t>
      </w:r>
      <w:r w:rsidR="00756ED9">
        <w:t>objective</w:t>
      </w:r>
      <w:r w:rsidR="000C20FE" w:rsidRPr="003868DE">
        <w:t>s</w:t>
      </w:r>
      <w:r w:rsidR="00C90A65">
        <w:t>,</w:t>
      </w:r>
      <w:r w:rsidR="000C20FE" w:rsidRPr="003868DE">
        <w:t xml:space="preserve"> ASIC undertakes a range of</w:t>
      </w:r>
      <w:r w:rsidR="000C20FE" w:rsidRPr="0081697D">
        <w:t xml:space="preserve"> regulatory </w:t>
      </w:r>
      <w:r w:rsidR="00C90A65">
        <w:t>activities</w:t>
      </w:r>
      <w:r w:rsidR="00C90A65" w:rsidRPr="0081697D">
        <w:t xml:space="preserve"> that</w:t>
      </w:r>
      <w:r w:rsidR="000C20FE">
        <w:t xml:space="preserve"> can be broadly categorised as: </w:t>
      </w:r>
      <w:r w:rsidR="00756ED9">
        <w:t>stakeholder engagement, education, guidance, surveillance,</w:t>
      </w:r>
      <w:r w:rsidR="00C15676">
        <w:t xml:space="preserve"> enforcement and policy advice.</w:t>
      </w:r>
    </w:p>
    <w:p w14:paraId="188CF2E8" w14:textId="5136A1E9" w:rsidR="000C20FE" w:rsidRDefault="00D66CA4" w:rsidP="0021601B">
      <w:r>
        <w:t>Under t</w:t>
      </w:r>
      <w:r w:rsidR="000C20FE">
        <w:t xml:space="preserve">he accountability mechanisms that form part of the proposed industry funding model ASIC </w:t>
      </w:r>
      <w:r>
        <w:t>would</w:t>
      </w:r>
      <w:r w:rsidR="000C20FE">
        <w:t xml:space="preserve"> explain how</w:t>
      </w:r>
      <w:r w:rsidR="000C20FE" w:rsidRPr="0081697D">
        <w:t xml:space="preserve"> it allocate</w:t>
      </w:r>
      <w:r w:rsidR="000C20FE">
        <w:t>s</w:t>
      </w:r>
      <w:r w:rsidR="000C20FE" w:rsidRPr="0081697D">
        <w:t xml:space="preserve"> </w:t>
      </w:r>
      <w:r w:rsidR="000C20FE">
        <w:t xml:space="preserve">its </w:t>
      </w:r>
      <w:r w:rsidR="000C20FE" w:rsidRPr="0081697D">
        <w:t>resources</w:t>
      </w:r>
      <w:r w:rsidR="000C20FE">
        <w:t xml:space="preserve"> to meet </w:t>
      </w:r>
      <w:r w:rsidR="000C20FE" w:rsidRPr="0081697D">
        <w:t xml:space="preserve">its </w:t>
      </w:r>
      <w:r w:rsidR="000C20FE">
        <w:t xml:space="preserve">statutory </w:t>
      </w:r>
      <w:r w:rsidR="000C20FE" w:rsidRPr="0081697D">
        <w:t xml:space="preserve">objectives given </w:t>
      </w:r>
      <w:r w:rsidR="003064EB">
        <w:t xml:space="preserve">its </w:t>
      </w:r>
      <w:r w:rsidR="000C20FE">
        <w:t xml:space="preserve">current </w:t>
      </w:r>
      <w:r w:rsidR="000C20FE" w:rsidRPr="0099753A">
        <w:t xml:space="preserve">assessment of the risk environment. Further detail on the activities that ASIC currently undertakes and how they align to </w:t>
      </w:r>
      <w:r w:rsidR="003064EB">
        <w:t>its</w:t>
      </w:r>
      <w:r w:rsidR="003064EB" w:rsidRPr="0099753A">
        <w:t xml:space="preserve"> </w:t>
      </w:r>
      <w:r w:rsidR="000C20FE" w:rsidRPr="0099753A">
        <w:t xml:space="preserve">strategic objectives is provided in ASIC’s </w:t>
      </w:r>
      <w:r w:rsidR="00D36683">
        <w:t>supporting attachment to the Government’s Proposals Paper</w:t>
      </w:r>
      <w:r w:rsidR="00C15676">
        <w:t xml:space="preserve"> on the funding model.</w:t>
      </w:r>
    </w:p>
    <w:p w14:paraId="475E0908" w14:textId="13E76904" w:rsidR="004705C8" w:rsidRDefault="004705C8" w:rsidP="004705C8">
      <w:r>
        <w:t>The Government will determine the overall policy design and legislative framework of the model, as well as continuing its existing role of determining ASIC’s funding envelope and the setting of financial and corporate legislation and regulations. In making these determinations, the Government will be informed by the advice of ASIC and industry on the form that an industry funding model may take which best achieves the objectives of the Government, as well as the flexibility to adjus</w:t>
      </w:r>
      <w:r w:rsidR="00E77408">
        <w:t>t as ASIC’s priorities evolve.</w:t>
      </w:r>
    </w:p>
    <w:p w14:paraId="7B9FB0CC" w14:textId="7D8D5E7B" w:rsidR="004705C8" w:rsidRDefault="004705C8" w:rsidP="004705C8">
      <w:r>
        <w:t>ASIC will administer the model once it has been agreed by Government, including functions such as data collection to inform the model’s metrics, invoicing and bill collection.</w:t>
      </w:r>
    </w:p>
    <w:p w14:paraId="724F72B0" w14:textId="77777777" w:rsidR="000C20FE" w:rsidRPr="007564EF" w:rsidRDefault="000C20FE" w:rsidP="007564EF">
      <w:pPr>
        <w:pStyle w:val="Heading2"/>
      </w:pPr>
      <w:bookmarkStart w:id="57" w:name="_Toc466038544"/>
      <w:r w:rsidRPr="007564EF">
        <w:t>ASIC Capability Review</w:t>
      </w:r>
      <w:bookmarkEnd w:id="57"/>
    </w:p>
    <w:p w14:paraId="6CEFC3EB" w14:textId="77777777" w:rsidR="000C20FE" w:rsidRDefault="000C20FE" w:rsidP="0021601B">
      <w:pPr>
        <w:rPr>
          <w:rFonts w:eastAsiaTheme="minorHAnsi"/>
          <w:lang w:eastAsia="en-US"/>
        </w:rPr>
      </w:pPr>
      <w:r>
        <w:rPr>
          <w:rFonts w:eastAsiaTheme="minorHAnsi"/>
          <w:lang w:eastAsia="en-US"/>
        </w:rPr>
        <w:t xml:space="preserve">An independent Capability Review of ASIC was undertaken during 2015, with the report provided to the </w:t>
      </w:r>
      <w:r w:rsidRPr="00567C14">
        <w:rPr>
          <w:rFonts w:eastAsiaTheme="minorHAnsi"/>
          <w:lang w:eastAsia="en-US"/>
        </w:rPr>
        <w:t>Government in December 2015</w:t>
      </w:r>
      <w:r>
        <w:rPr>
          <w:rFonts w:eastAsiaTheme="minorHAnsi"/>
          <w:lang w:eastAsia="en-US"/>
        </w:rPr>
        <w:t xml:space="preserve">, and the Government’s and ASIC’s response released in </w:t>
      </w:r>
      <w:r w:rsidR="000B63BF">
        <w:rPr>
          <w:rFonts w:eastAsiaTheme="minorHAnsi"/>
          <w:lang w:eastAsia="en-US"/>
        </w:rPr>
        <w:br/>
        <w:t>April 2016</w:t>
      </w:r>
      <w:r w:rsidR="0021601B">
        <w:rPr>
          <w:rFonts w:eastAsiaTheme="minorHAnsi"/>
          <w:lang w:eastAsia="en-US"/>
        </w:rPr>
        <w:t>.</w:t>
      </w:r>
      <w:r w:rsidR="007564D1">
        <w:rPr>
          <w:rStyle w:val="FootnoteReference"/>
          <w:rFonts w:asciiTheme="minorHAnsi" w:eastAsiaTheme="minorHAnsi" w:hAnsiTheme="minorHAnsi" w:cstheme="minorBidi"/>
          <w:szCs w:val="22"/>
          <w:lang w:eastAsia="en-US"/>
        </w:rPr>
        <w:footnoteReference w:id="2"/>
      </w:r>
    </w:p>
    <w:p w14:paraId="453C037C" w14:textId="77777777" w:rsidR="007564D1" w:rsidRDefault="000C20FE" w:rsidP="0021601B">
      <w:pPr>
        <w:rPr>
          <w:rFonts w:eastAsiaTheme="minorHAnsi"/>
          <w:lang w:eastAsia="en-US"/>
        </w:rPr>
      </w:pPr>
      <w:r w:rsidRPr="00567C14">
        <w:rPr>
          <w:rFonts w:eastAsiaTheme="minorHAnsi"/>
          <w:lang w:eastAsia="en-US"/>
        </w:rPr>
        <w:t>The Panel found that some of ASIC’s regulatory capabilities are in line with, or at the forefront of, global best practices</w:t>
      </w:r>
      <w:r w:rsidR="007564D1">
        <w:rPr>
          <w:rFonts w:eastAsiaTheme="minorHAnsi"/>
          <w:lang w:eastAsia="en-US"/>
        </w:rPr>
        <w:t xml:space="preserve">. It also found that </w:t>
      </w:r>
      <w:r w:rsidRPr="00567C14">
        <w:rPr>
          <w:rFonts w:eastAsiaTheme="minorHAnsi"/>
          <w:lang w:eastAsia="en-US"/>
        </w:rPr>
        <w:t xml:space="preserve">there were </w:t>
      </w:r>
      <w:r w:rsidR="007564D1">
        <w:rPr>
          <w:rFonts w:eastAsiaTheme="minorHAnsi"/>
          <w:lang w:eastAsia="en-US"/>
        </w:rPr>
        <w:t xml:space="preserve">some </w:t>
      </w:r>
      <w:r w:rsidRPr="00567C14">
        <w:rPr>
          <w:rFonts w:eastAsiaTheme="minorHAnsi"/>
          <w:lang w:eastAsia="en-US"/>
        </w:rPr>
        <w:t>aspects of strateg</w:t>
      </w:r>
      <w:r>
        <w:rPr>
          <w:rFonts w:eastAsiaTheme="minorHAnsi"/>
          <w:lang w:eastAsia="en-US"/>
        </w:rPr>
        <w:t>ic communications</w:t>
      </w:r>
      <w:r w:rsidRPr="00567C14">
        <w:rPr>
          <w:rFonts w:eastAsiaTheme="minorHAnsi"/>
          <w:lang w:eastAsia="en-US"/>
        </w:rPr>
        <w:t>, governance, IT, data infrastructure, management information systems and stakeholder engagement that could be improved.</w:t>
      </w:r>
      <w:r w:rsidR="007564D1">
        <w:rPr>
          <w:rFonts w:eastAsiaTheme="minorHAnsi"/>
          <w:lang w:eastAsia="en-US"/>
        </w:rPr>
        <w:t xml:space="preserve"> </w:t>
      </w:r>
      <w:r w:rsidRPr="00567C14">
        <w:rPr>
          <w:rFonts w:eastAsiaTheme="minorHAnsi"/>
          <w:lang w:eastAsia="en-US"/>
        </w:rPr>
        <w:t xml:space="preserve">The Government </w:t>
      </w:r>
      <w:r>
        <w:rPr>
          <w:rFonts w:eastAsiaTheme="minorHAnsi"/>
          <w:lang w:eastAsia="en-US"/>
        </w:rPr>
        <w:t xml:space="preserve">has accepted </w:t>
      </w:r>
      <w:r w:rsidRPr="00567C14">
        <w:rPr>
          <w:rFonts w:eastAsiaTheme="minorHAnsi"/>
          <w:lang w:eastAsia="en-US"/>
        </w:rPr>
        <w:t>the five recommendations addressed to it and ASIC’s Implementation Plan address</w:t>
      </w:r>
      <w:r>
        <w:rPr>
          <w:rFonts w:eastAsiaTheme="minorHAnsi"/>
          <w:lang w:eastAsia="en-US"/>
        </w:rPr>
        <w:t>es</w:t>
      </w:r>
      <w:r w:rsidRPr="00567C14">
        <w:rPr>
          <w:rFonts w:eastAsiaTheme="minorHAnsi"/>
          <w:lang w:eastAsia="en-US"/>
        </w:rPr>
        <w:t xml:space="preserve"> </w:t>
      </w:r>
      <w:r w:rsidR="007564D1">
        <w:rPr>
          <w:rFonts w:eastAsiaTheme="minorHAnsi"/>
          <w:lang w:eastAsia="en-US"/>
        </w:rPr>
        <w:t xml:space="preserve">the </w:t>
      </w:r>
      <w:r>
        <w:rPr>
          <w:rFonts w:eastAsiaTheme="minorHAnsi"/>
          <w:lang w:eastAsia="en-US"/>
        </w:rPr>
        <w:t xml:space="preserve">other </w:t>
      </w:r>
      <w:r w:rsidRPr="00567C14">
        <w:rPr>
          <w:rFonts w:eastAsiaTheme="minorHAnsi"/>
          <w:lang w:eastAsia="en-US"/>
        </w:rPr>
        <w:t>recommendations</w:t>
      </w:r>
      <w:r w:rsidR="00C15676">
        <w:rPr>
          <w:rFonts w:eastAsiaTheme="minorHAnsi"/>
          <w:lang w:eastAsia="en-US"/>
        </w:rPr>
        <w:t>.</w:t>
      </w:r>
    </w:p>
    <w:p w14:paraId="2A5E824A" w14:textId="77777777" w:rsidR="00947672" w:rsidRDefault="00947672" w:rsidP="0021601B">
      <w:pPr>
        <w:rPr>
          <w:rFonts w:eastAsiaTheme="minorHAnsi"/>
          <w:lang w:eastAsia="en-US"/>
        </w:rPr>
      </w:pPr>
      <w:r w:rsidRPr="00317360">
        <w:rPr>
          <w:rFonts w:eastAsiaTheme="minorHAnsi"/>
          <w:lang w:eastAsia="en-US"/>
        </w:rPr>
        <w:t>The proposed industry funding model will support the delivery of the Panel’s recommendations</w:t>
      </w:r>
      <w:r w:rsidR="00C15676">
        <w:rPr>
          <w:rFonts w:eastAsiaTheme="minorHAnsi"/>
          <w:lang w:eastAsia="en-US"/>
        </w:rPr>
        <w:t>:</w:t>
      </w:r>
    </w:p>
    <w:p w14:paraId="06B92D59" w14:textId="1AB33A39" w:rsidR="000C20FE" w:rsidRPr="007B3765" w:rsidRDefault="000C20FE" w:rsidP="00F21DD0">
      <w:pPr>
        <w:pStyle w:val="Bullet"/>
      </w:pPr>
      <w:r w:rsidRPr="007B3765">
        <w:t xml:space="preserve">ASIC will be </w:t>
      </w:r>
      <w:r w:rsidRPr="00D15640">
        <w:rPr>
          <w:b/>
        </w:rPr>
        <w:t xml:space="preserve">more </w:t>
      </w:r>
      <w:r w:rsidR="004705C8">
        <w:rPr>
          <w:b/>
        </w:rPr>
        <w:t xml:space="preserve">transparent and </w:t>
      </w:r>
      <w:r w:rsidRPr="00D15640">
        <w:rPr>
          <w:b/>
        </w:rPr>
        <w:t>accountable</w:t>
      </w:r>
      <w:r w:rsidRPr="007B3765">
        <w:t xml:space="preserve"> — ASIC </w:t>
      </w:r>
      <w:r>
        <w:t>w</w:t>
      </w:r>
      <w:r w:rsidR="007564D1">
        <w:t>ould</w:t>
      </w:r>
      <w:r>
        <w:t xml:space="preserve"> publish it</w:t>
      </w:r>
      <w:r w:rsidR="007564D1">
        <w:t>s</w:t>
      </w:r>
      <w:r>
        <w:t xml:space="preserve"> indicative </w:t>
      </w:r>
      <w:r w:rsidRPr="007B3765">
        <w:t xml:space="preserve">spending for each </w:t>
      </w:r>
      <w:r>
        <w:t>regulated</w:t>
      </w:r>
      <w:r w:rsidRPr="007B3765">
        <w:t xml:space="preserve"> sector</w:t>
      </w:r>
      <w:r>
        <w:t xml:space="preserve"> and engage with stakeholders on its strategic risks and cost drivers before th</w:t>
      </w:r>
      <w:r w:rsidR="00C15676">
        <w:t>e start of each financial year.</w:t>
      </w:r>
    </w:p>
    <w:p w14:paraId="090D685B" w14:textId="77777777" w:rsidR="000C20FE" w:rsidRPr="007B3765" w:rsidRDefault="000C20FE" w:rsidP="00F21DD0">
      <w:pPr>
        <w:pStyle w:val="Bullet"/>
      </w:pPr>
      <w:r w:rsidRPr="007B3765">
        <w:t>ASIC w</w:t>
      </w:r>
      <w:r w:rsidR="007564D1">
        <w:t>ould</w:t>
      </w:r>
      <w:r w:rsidRPr="007B3765">
        <w:t xml:space="preserve"> have a richer dataset to </w:t>
      </w:r>
      <w:r w:rsidRPr="00D15640">
        <w:rPr>
          <w:b/>
        </w:rPr>
        <w:t>prioritise its resources</w:t>
      </w:r>
      <w:r w:rsidRPr="007B3765">
        <w:t xml:space="preserve"> — </w:t>
      </w:r>
      <w:r>
        <w:t>additional business activity metrics w</w:t>
      </w:r>
      <w:r w:rsidR="007564D1">
        <w:t>ould</w:t>
      </w:r>
      <w:r>
        <w:t xml:space="preserve"> support ASIC’s identification of strategic </w:t>
      </w:r>
      <w:r w:rsidRPr="007B3765">
        <w:t>risk</w:t>
      </w:r>
      <w:r>
        <w:t>s</w:t>
      </w:r>
      <w:r w:rsidRPr="007B3765">
        <w:t xml:space="preserve"> and </w:t>
      </w:r>
      <w:r>
        <w:t xml:space="preserve">regulatory </w:t>
      </w:r>
      <w:r w:rsidRPr="007B3765">
        <w:t>activities</w:t>
      </w:r>
      <w:r>
        <w:t xml:space="preserve"> to address those risks.</w:t>
      </w:r>
    </w:p>
    <w:p w14:paraId="6269274D" w14:textId="77777777" w:rsidR="000C20FE" w:rsidRPr="007564EF" w:rsidDel="005214A4" w:rsidRDefault="000C20FE" w:rsidP="007564EF">
      <w:pPr>
        <w:pStyle w:val="Heading2"/>
      </w:pPr>
      <w:bookmarkStart w:id="58" w:name="_Toc466038545"/>
      <w:r w:rsidRPr="007564EF" w:rsidDel="005214A4">
        <w:t>The Australian Government Charging Framework</w:t>
      </w:r>
      <w:bookmarkEnd w:id="58"/>
    </w:p>
    <w:p w14:paraId="7715904F" w14:textId="4ED43811" w:rsidR="000C20FE" w:rsidRPr="00A76436" w:rsidRDefault="000C20FE" w:rsidP="0021601B">
      <w:pPr>
        <w:rPr>
          <w:lang w:val="en"/>
        </w:rPr>
      </w:pPr>
      <w:r w:rsidRPr="00A76436" w:rsidDel="005214A4">
        <w:t xml:space="preserve">In </w:t>
      </w:r>
      <w:r w:rsidRPr="00A76436">
        <w:t xml:space="preserve">July </w:t>
      </w:r>
      <w:r w:rsidRPr="00A76436" w:rsidDel="005214A4">
        <w:t xml:space="preserve">2015, the </w:t>
      </w:r>
      <w:r w:rsidRPr="00A76436">
        <w:t xml:space="preserve">Australian </w:t>
      </w:r>
      <w:r w:rsidRPr="00A76436" w:rsidDel="005214A4">
        <w:t xml:space="preserve">Government agreed to implement a whole-of-government </w:t>
      </w:r>
      <w:r w:rsidRPr="00A76436">
        <w:t>C</w:t>
      </w:r>
      <w:r w:rsidRPr="00A76436" w:rsidDel="005214A4">
        <w:t xml:space="preserve">harging </w:t>
      </w:r>
      <w:r w:rsidRPr="00A76436">
        <w:t>F</w:t>
      </w:r>
      <w:r w:rsidRPr="00A76436" w:rsidDel="005214A4">
        <w:t xml:space="preserve">ramework </w:t>
      </w:r>
      <w:r w:rsidRPr="00A76436">
        <w:t xml:space="preserve">(Charging Framework) </w:t>
      </w:r>
      <w:r w:rsidRPr="00A76436" w:rsidDel="005214A4">
        <w:t xml:space="preserve">to apply across the general government sector. </w:t>
      </w:r>
      <w:r w:rsidRPr="00A76436">
        <w:t>T</w:t>
      </w:r>
      <w:r w:rsidRPr="00A76436">
        <w:rPr>
          <w:lang w:val="en"/>
        </w:rPr>
        <w:t>he Charging Framework covers activities where the government charges the non-government sector for a specific gover</w:t>
      </w:r>
      <w:r w:rsidR="00614EE7">
        <w:rPr>
          <w:lang w:val="en"/>
        </w:rPr>
        <w:t>nment activity such as</w:t>
      </w:r>
      <w:r w:rsidRPr="00A76436">
        <w:rPr>
          <w:lang w:val="en"/>
        </w:rPr>
        <w:t xml:space="preserve"> regulation, goods, services, or access to resources or infrastructure.</w:t>
      </w:r>
    </w:p>
    <w:p w14:paraId="114E10A7" w14:textId="77777777" w:rsidR="000C20FE" w:rsidRPr="00A76436" w:rsidRDefault="000C20FE" w:rsidP="0021601B">
      <w:pPr>
        <w:rPr>
          <w:rFonts w:asciiTheme="minorHAnsi" w:hAnsiTheme="minorHAnsi"/>
          <w:szCs w:val="22"/>
          <w:lang w:val="en"/>
        </w:rPr>
      </w:pPr>
      <w:r w:rsidRPr="00A76436">
        <w:rPr>
          <w:rFonts w:asciiTheme="minorHAnsi" w:hAnsiTheme="minorHAnsi"/>
          <w:szCs w:val="22"/>
          <w:lang w:val="en"/>
        </w:rPr>
        <w:t>The Charging Framework builds on the Australian Government Cost Recovery Guidelines</w:t>
      </w:r>
      <w:r w:rsidR="004418CE">
        <w:rPr>
          <w:rFonts w:asciiTheme="minorHAnsi" w:hAnsiTheme="minorHAnsi"/>
          <w:szCs w:val="22"/>
          <w:lang w:val="en"/>
        </w:rPr>
        <w:t xml:space="preserve"> (CRGs</w:t>
      </w:r>
      <w:r w:rsidR="008A3190">
        <w:rPr>
          <w:rFonts w:asciiTheme="minorHAnsi" w:hAnsiTheme="minorHAnsi"/>
          <w:szCs w:val="22"/>
          <w:lang w:val="en"/>
        </w:rPr>
        <w:t>).</w:t>
      </w:r>
      <w:r w:rsidR="001A270A" w:rsidRPr="00A76436">
        <w:rPr>
          <w:rStyle w:val="FootnoteReference"/>
        </w:rPr>
        <w:footnoteReference w:id="3"/>
      </w:r>
      <w:r w:rsidRPr="00A76436">
        <w:rPr>
          <w:rFonts w:asciiTheme="minorHAnsi" w:hAnsiTheme="minorHAnsi"/>
          <w:szCs w:val="22"/>
          <w:lang w:val="en"/>
        </w:rPr>
        <w:t xml:space="preserve"> It</w:t>
      </w:r>
      <w:r w:rsidR="00D4521F">
        <w:rPr>
          <w:rFonts w:asciiTheme="minorHAnsi" w:hAnsiTheme="minorHAnsi"/>
          <w:szCs w:val="22"/>
          <w:lang w:val="en"/>
        </w:rPr>
        <w:t> </w:t>
      </w:r>
      <w:r w:rsidRPr="00A76436">
        <w:rPr>
          <w:rFonts w:asciiTheme="minorHAnsi" w:hAnsiTheme="minorHAnsi"/>
          <w:szCs w:val="22"/>
          <w:lang w:val="en"/>
        </w:rPr>
        <w:t>encourages a common approach to planning, designing, implementing and reviewing government charging activities, which should lead to improvements in government charging.</w:t>
      </w:r>
    </w:p>
    <w:p w14:paraId="5F910AD9" w14:textId="77777777" w:rsidR="00057148" w:rsidRDefault="00057148">
      <w:pPr>
        <w:spacing w:after="200" w:line="276" w:lineRule="auto"/>
        <w:jc w:val="left"/>
        <w:rPr>
          <w:rFonts w:asciiTheme="minorHAnsi" w:eastAsiaTheme="minorHAnsi" w:hAnsiTheme="minorHAnsi" w:cstheme="minorBidi"/>
          <w:szCs w:val="22"/>
          <w:lang w:val="en" w:eastAsia="en-US"/>
        </w:rPr>
      </w:pPr>
      <w:r>
        <w:rPr>
          <w:rFonts w:asciiTheme="minorHAnsi" w:eastAsiaTheme="minorHAnsi" w:hAnsiTheme="minorHAnsi" w:cstheme="minorBidi"/>
          <w:szCs w:val="22"/>
          <w:lang w:val="en" w:eastAsia="en-US"/>
        </w:rPr>
        <w:br w:type="page"/>
      </w:r>
    </w:p>
    <w:p w14:paraId="7AE183FF" w14:textId="1907E962" w:rsidR="000C20FE" w:rsidRPr="00A76436" w:rsidRDefault="000C20FE" w:rsidP="0021601B">
      <w:pPr>
        <w:rPr>
          <w:rFonts w:asciiTheme="minorHAnsi" w:eastAsiaTheme="minorHAnsi" w:hAnsiTheme="minorHAnsi" w:cstheme="minorBidi"/>
          <w:szCs w:val="22"/>
          <w:lang w:val="en" w:eastAsia="en-US"/>
        </w:rPr>
      </w:pPr>
      <w:r w:rsidRPr="00A76436">
        <w:rPr>
          <w:rFonts w:asciiTheme="minorHAnsi" w:eastAsiaTheme="minorHAnsi" w:hAnsiTheme="minorHAnsi" w:cstheme="minorBidi"/>
          <w:szCs w:val="22"/>
          <w:lang w:val="en" w:eastAsia="en-US"/>
        </w:rPr>
        <w:t>Charging for government activities can:</w:t>
      </w:r>
    </w:p>
    <w:p w14:paraId="3891C9B8" w14:textId="77777777" w:rsidR="000C20FE" w:rsidRPr="00F21DD0" w:rsidRDefault="000C20FE" w:rsidP="00F21DD0">
      <w:pPr>
        <w:pStyle w:val="Bullet"/>
      </w:pPr>
      <w:r w:rsidRPr="00F21DD0">
        <w:t>promote equity, whereby the recipients who create the need for a government activity, rather than the general public, bear its costs</w:t>
      </w:r>
    </w:p>
    <w:p w14:paraId="4BF469E4" w14:textId="77777777" w:rsidR="000C20FE" w:rsidRPr="00F21DD0" w:rsidRDefault="000C20FE" w:rsidP="00F21DD0">
      <w:pPr>
        <w:pStyle w:val="Bullet"/>
      </w:pPr>
      <w:r w:rsidRPr="00F21DD0">
        <w:t>influence demand for government activities</w:t>
      </w:r>
    </w:p>
    <w:p w14:paraId="7A8F25B1" w14:textId="77777777" w:rsidR="000C20FE" w:rsidRPr="00F21DD0" w:rsidRDefault="000C20FE" w:rsidP="00F21DD0">
      <w:pPr>
        <w:pStyle w:val="Bullet"/>
      </w:pPr>
      <w:r w:rsidRPr="00F21DD0">
        <w:t>improve the efficiency, productivity and responsiveness of government activities and accountability for those activities</w:t>
      </w:r>
    </w:p>
    <w:p w14:paraId="60A5FDA5" w14:textId="77777777" w:rsidR="000C20FE" w:rsidRPr="00F21DD0" w:rsidRDefault="000C20FE" w:rsidP="00F21DD0">
      <w:pPr>
        <w:pStyle w:val="Bullet"/>
      </w:pPr>
      <w:r w:rsidRPr="00F21DD0">
        <w:t>increase cost consciousness for all stakeholders by raising awareness of how much a government activity costs.</w:t>
      </w:r>
    </w:p>
    <w:p w14:paraId="5B009701" w14:textId="77777777" w:rsidR="000C20FE" w:rsidRPr="00A76436" w:rsidRDefault="000C20FE" w:rsidP="00D4521F">
      <w:r w:rsidRPr="00A76436" w:rsidDel="005214A4">
        <w:t>The Framework provides that where an individual or organisation creates the demand for a government activity, they should generally be charged for it, unless the Government has decided to fund the activity.</w:t>
      </w:r>
    </w:p>
    <w:p w14:paraId="40ADE910" w14:textId="77777777" w:rsidR="000C20FE" w:rsidRPr="00A76436" w:rsidDel="005214A4" w:rsidRDefault="000C20FE" w:rsidP="00D4521F">
      <w:r w:rsidRPr="00A76436" w:rsidDel="005214A4">
        <w:t xml:space="preserve">The </w:t>
      </w:r>
      <w:r w:rsidRPr="00A76436">
        <w:t xml:space="preserve">Charging </w:t>
      </w:r>
      <w:r w:rsidRPr="00A76436" w:rsidDel="005214A4">
        <w:t xml:space="preserve">Framework requires that </w:t>
      </w:r>
      <w:r w:rsidRPr="00A76436">
        <w:t xml:space="preserve">for </w:t>
      </w:r>
      <w:r w:rsidRPr="00A76436" w:rsidDel="005214A4">
        <w:t xml:space="preserve">regulatory charging activities the </w:t>
      </w:r>
      <w:r w:rsidR="001A270A">
        <w:t>CRGs</w:t>
      </w:r>
      <w:r w:rsidR="004418CE">
        <w:t xml:space="preserve"> apply. The CRGs set out</w:t>
      </w:r>
      <w:r w:rsidRPr="00A76436">
        <w:t xml:space="preserve"> the requirements of how </w:t>
      </w:r>
      <w:r w:rsidRPr="00A76436" w:rsidDel="005214A4">
        <w:t xml:space="preserve">government entities design, implement and review </w:t>
      </w:r>
      <w:r w:rsidRPr="00A76436">
        <w:t xml:space="preserve">regulatory </w:t>
      </w:r>
      <w:r w:rsidRPr="00A76436" w:rsidDel="005214A4">
        <w:t>activities.</w:t>
      </w:r>
    </w:p>
    <w:p w14:paraId="6AD2F3A3" w14:textId="77777777" w:rsidR="000C20FE" w:rsidRPr="00A76436" w:rsidDel="005214A4" w:rsidRDefault="000C20FE" w:rsidP="00D4521F">
      <w:r w:rsidRPr="00A76436" w:rsidDel="005214A4">
        <w:t xml:space="preserve">The </w:t>
      </w:r>
      <w:r w:rsidRPr="00A76436">
        <w:t xml:space="preserve">CRGs are </w:t>
      </w:r>
      <w:r w:rsidRPr="00A76436" w:rsidDel="005214A4">
        <w:t>underpinned by the following three principles:</w:t>
      </w:r>
    </w:p>
    <w:p w14:paraId="39D9927A" w14:textId="77777777" w:rsidR="000C20FE" w:rsidRPr="00D4521F" w:rsidDel="005214A4" w:rsidRDefault="000C20FE" w:rsidP="00D4521F">
      <w:pPr>
        <w:pStyle w:val="Bullet"/>
      </w:pPr>
      <w:r w:rsidRPr="00D4521F">
        <w:t>e</w:t>
      </w:r>
      <w:r w:rsidRPr="00D4521F" w:rsidDel="005214A4">
        <w:t>fficiency and effectiveness</w:t>
      </w:r>
    </w:p>
    <w:p w14:paraId="6AD51920" w14:textId="77777777" w:rsidR="000C20FE" w:rsidRPr="00D4521F" w:rsidDel="005214A4" w:rsidRDefault="000C20FE" w:rsidP="00D4521F">
      <w:pPr>
        <w:pStyle w:val="Bullet"/>
      </w:pPr>
      <w:r w:rsidRPr="00D4521F">
        <w:t>t</w:t>
      </w:r>
      <w:r w:rsidR="008A3190" w:rsidRPr="00D4521F">
        <w:t>ransparency and accountability</w:t>
      </w:r>
    </w:p>
    <w:p w14:paraId="0C31D36B" w14:textId="77777777" w:rsidR="000C20FE" w:rsidRPr="00D4521F" w:rsidDel="005214A4" w:rsidRDefault="000C20FE" w:rsidP="00D4521F">
      <w:pPr>
        <w:pStyle w:val="Bullet"/>
      </w:pPr>
      <w:r w:rsidRPr="00D4521F">
        <w:t>s</w:t>
      </w:r>
      <w:r w:rsidRPr="00D4521F" w:rsidDel="005214A4">
        <w:t>takeholder engagement</w:t>
      </w:r>
    </w:p>
    <w:p w14:paraId="6E886DD6" w14:textId="0BFAC23F" w:rsidR="000C20FE" w:rsidRPr="00F633CF" w:rsidRDefault="000C20FE" w:rsidP="00F633CF">
      <w:r w:rsidRPr="00F633CF">
        <w:t>The industry funding model for ASIC has been designed to comply with these principles</w:t>
      </w:r>
      <w:r w:rsidRPr="00F633CF" w:rsidDel="005214A4">
        <w:t>. To further build on these principles and to ensure consistency across ASIC’s regulated population</w:t>
      </w:r>
      <w:r w:rsidR="00614EE7" w:rsidRPr="00F633CF">
        <w:t>,</w:t>
      </w:r>
      <w:r w:rsidRPr="00F633CF">
        <w:t xml:space="preserve"> a number of objectives have been developed for the industry funding model as discussed in </w:t>
      </w:r>
      <w:r w:rsidRPr="008B383F">
        <w:rPr>
          <w:b/>
        </w:rPr>
        <w:t xml:space="preserve">Chapter </w:t>
      </w:r>
      <w:r w:rsidR="007564D1" w:rsidRPr="008B383F">
        <w:rPr>
          <w:b/>
        </w:rPr>
        <w:t>2</w:t>
      </w:r>
      <w:r w:rsidRPr="00F633CF">
        <w:t>.</w:t>
      </w:r>
    </w:p>
    <w:p w14:paraId="02EA8CE7" w14:textId="77777777" w:rsidR="000C20FE" w:rsidRPr="007564EF" w:rsidRDefault="000C20FE" w:rsidP="007564EF">
      <w:pPr>
        <w:pStyle w:val="Heading3"/>
      </w:pPr>
      <w:r w:rsidRPr="007564EF">
        <w:t>Setting a regulatory charge</w:t>
      </w:r>
    </w:p>
    <w:p w14:paraId="7B2C2B71" w14:textId="77777777" w:rsidR="000C20FE" w:rsidRPr="00A76436" w:rsidRDefault="000C20FE" w:rsidP="00D4521F">
      <w:r w:rsidRPr="00A76436">
        <w:t xml:space="preserve">The Charging Framework requires that there </w:t>
      </w:r>
      <w:r>
        <w:t>is an</w:t>
      </w:r>
      <w:r w:rsidRPr="00A76436">
        <w:t xml:space="preserve"> alignment between the expenses of the regulatory activity (the costs involved in providing it) and the revenue (the income generated through charges for it). Regulatory charges are required to be:</w:t>
      </w:r>
    </w:p>
    <w:p w14:paraId="688B90BA" w14:textId="77777777" w:rsidR="000C20FE" w:rsidRPr="00F21DD0" w:rsidRDefault="000C20FE" w:rsidP="00F21DD0">
      <w:pPr>
        <w:pStyle w:val="Bullet"/>
      </w:pPr>
      <w:r w:rsidRPr="00F21DD0">
        <w:t>clear and easy to understand</w:t>
      </w:r>
    </w:p>
    <w:p w14:paraId="4D3C17F2" w14:textId="77777777" w:rsidR="000C20FE" w:rsidRPr="00F21DD0" w:rsidRDefault="000C20FE" w:rsidP="00F21DD0">
      <w:pPr>
        <w:pStyle w:val="Bullet"/>
      </w:pPr>
      <w:r w:rsidRPr="00F21DD0">
        <w:t>closely linked to the specific activity</w:t>
      </w:r>
    </w:p>
    <w:p w14:paraId="156F79BB" w14:textId="77777777" w:rsidR="000C20FE" w:rsidRPr="00F21DD0" w:rsidRDefault="000C20FE" w:rsidP="00F21DD0">
      <w:pPr>
        <w:pStyle w:val="Bullet"/>
      </w:pPr>
      <w:r w:rsidRPr="00F21DD0">
        <w:t>set to recover the full efficient costs of the specific activity</w:t>
      </w:r>
      <w:r w:rsidR="00982004" w:rsidRPr="008A3190">
        <w:rPr>
          <w:rStyle w:val="FootnoteReference"/>
        </w:rPr>
        <w:footnoteReference w:id="4"/>
      </w:r>
    </w:p>
    <w:p w14:paraId="709DB41A" w14:textId="77777777" w:rsidR="000C20FE" w:rsidRPr="00F21DD0" w:rsidRDefault="000C20FE" w:rsidP="00F21DD0">
      <w:pPr>
        <w:pStyle w:val="Bullet"/>
      </w:pPr>
      <w:r w:rsidRPr="00F21DD0">
        <w:t>efficient to determine, collect and enforce</w:t>
      </w:r>
    </w:p>
    <w:p w14:paraId="6D1339FC" w14:textId="77777777" w:rsidR="000C20FE" w:rsidRPr="00F21DD0" w:rsidRDefault="000C20FE" w:rsidP="00F21DD0">
      <w:pPr>
        <w:pStyle w:val="Bullet"/>
      </w:pPr>
      <w:r w:rsidRPr="00F21DD0">
        <w:t>set to avoid volatility, while still being flexible enough to allow for changes based on fluctuations in demand or costs.</w:t>
      </w:r>
    </w:p>
    <w:p w14:paraId="15A47202" w14:textId="77777777" w:rsidR="000C20FE" w:rsidRPr="00A76436" w:rsidRDefault="000C20FE" w:rsidP="0021601B">
      <w:r w:rsidRPr="00A76436">
        <w:t>Ideally, the expenses and revenue should be aligned on a yearly basis. However, where justified, they can be aligned over a longer period (</w:t>
      </w:r>
      <w:r w:rsidR="0021601B">
        <w:t>for example,</w:t>
      </w:r>
      <w:r w:rsidRPr="00A76436">
        <w:t xml:space="preserve"> the business cycle of the activity). There must not be systematic over- or under-recovery of costs</w:t>
      </w:r>
      <w:r w:rsidR="000E7A51">
        <w:t xml:space="preserve"> over time</w:t>
      </w:r>
      <w:r w:rsidRPr="00A76436">
        <w:t>.</w:t>
      </w:r>
    </w:p>
    <w:p w14:paraId="60B67B22" w14:textId="77777777" w:rsidR="000C20FE" w:rsidRPr="00A76436" w:rsidRDefault="000C20FE" w:rsidP="0021601B">
      <w:r w:rsidRPr="00A76436">
        <w:t>The characteristics of a government activity determine the type of charge to be used. There are two</w:t>
      </w:r>
      <w:r w:rsidR="00444BB8">
        <w:t> </w:t>
      </w:r>
      <w:r w:rsidRPr="00A76436">
        <w:t>types of regulatory charges:</w:t>
      </w:r>
    </w:p>
    <w:p w14:paraId="539EC155" w14:textId="5FC48627" w:rsidR="000E7A51" w:rsidRPr="00F21DD0" w:rsidRDefault="000E7A51" w:rsidP="00F21DD0">
      <w:pPr>
        <w:pStyle w:val="Bullet"/>
      </w:pPr>
      <w:r w:rsidRPr="00F21DD0">
        <w:rPr>
          <w:b/>
        </w:rPr>
        <w:t>regulatory levies</w:t>
      </w:r>
      <w:r w:rsidRPr="00F21DD0">
        <w:t xml:space="preserve"> - charges imposed when a good, service or regulation is provided to a group of individuals or organisations (</w:t>
      </w:r>
      <w:r w:rsidR="000A1BB8">
        <w:t xml:space="preserve">for example, </w:t>
      </w:r>
      <w:r w:rsidRPr="00F21DD0">
        <w:t>an industry sector or subsector) rather than to a speci</w:t>
      </w:r>
      <w:r w:rsidR="00C15676">
        <w:t>fic individual or organisation.</w:t>
      </w:r>
    </w:p>
    <w:p w14:paraId="0C6BCEFF" w14:textId="77777777" w:rsidR="000C20FE" w:rsidRPr="00F21DD0" w:rsidRDefault="000C20FE" w:rsidP="00F21DD0">
      <w:pPr>
        <w:pStyle w:val="Bullet"/>
      </w:pPr>
      <w:r w:rsidRPr="00F21DD0">
        <w:rPr>
          <w:b/>
        </w:rPr>
        <w:t>regulatory fees</w:t>
      </w:r>
      <w:r w:rsidRPr="00F21DD0">
        <w:t xml:space="preserve"> - fees charged when a good, service or regulation (in certain circumstances) is provided directly to a specific individual or organisation. Examples of activities that are charged through a regulatory fee include licence</w:t>
      </w:r>
      <w:r w:rsidR="00C15676">
        <w:t>s, registrations and approvals.</w:t>
      </w:r>
    </w:p>
    <w:p w14:paraId="1EF0BC71" w14:textId="77777777" w:rsidR="000C20FE" w:rsidRPr="00A76436" w:rsidRDefault="000C20FE" w:rsidP="007564EF">
      <w:pPr>
        <w:pStyle w:val="Heading3"/>
      </w:pPr>
      <w:r w:rsidRPr="00982004">
        <w:t>Portfolio Charging Review</w:t>
      </w:r>
    </w:p>
    <w:p w14:paraId="147A108C" w14:textId="77777777" w:rsidR="00F21DD0" w:rsidRDefault="000C20FE" w:rsidP="0021601B">
      <w:r w:rsidRPr="00A76436">
        <w:t>As part of the Charging Framework</w:t>
      </w:r>
      <w:r w:rsidR="00982004" w:rsidRPr="00A76436">
        <w:t>, periodic</w:t>
      </w:r>
      <w:r w:rsidRPr="00A76436">
        <w:t xml:space="preserve"> review</w:t>
      </w:r>
      <w:r w:rsidR="0087017E">
        <w:t>s</w:t>
      </w:r>
      <w:r w:rsidRPr="00A76436">
        <w:t xml:space="preserve"> of all existing and potential charging activities within </w:t>
      </w:r>
      <w:r w:rsidR="0087017E">
        <w:t>each</w:t>
      </w:r>
      <w:r w:rsidRPr="00A76436">
        <w:t xml:space="preserve"> portfolio </w:t>
      </w:r>
      <w:r w:rsidR="0087017E">
        <w:t>must be conducted on a</w:t>
      </w:r>
      <w:r w:rsidRPr="00A76436">
        <w:t xml:space="preserve"> rolling five year basis</w:t>
      </w:r>
      <w:r w:rsidR="0021601B">
        <w:t>.</w:t>
      </w:r>
      <w:r w:rsidRPr="00A76436">
        <w:rPr>
          <w:rStyle w:val="FootnoteReference"/>
        </w:rPr>
        <w:footnoteReference w:id="5"/>
      </w:r>
      <w:r w:rsidRPr="00A76436">
        <w:t xml:space="preserve"> The Treasury portfolio charging review is being undertaken this year with the outcomes to feed i</w:t>
      </w:r>
      <w:r w:rsidR="00C15676">
        <w:t>nto the 2017-18 Budget process.</w:t>
      </w:r>
    </w:p>
    <w:p w14:paraId="29D98801" w14:textId="77777777" w:rsidR="00C15676" w:rsidRDefault="00C15676" w:rsidP="0021601B">
      <w:pPr>
        <w:sectPr w:rsidR="00C15676" w:rsidSect="00732C06">
          <w:headerReference w:type="default" r:id="rId36"/>
          <w:pgSz w:w="11906" w:h="16838"/>
          <w:pgMar w:top="1440" w:right="1440" w:bottom="1440" w:left="1440" w:header="708" w:footer="708" w:gutter="0"/>
          <w:cols w:space="708"/>
          <w:titlePg/>
          <w:docGrid w:linePitch="360"/>
        </w:sectPr>
      </w:pPr>
    </w:p>
    <w:p w14:paraId="19434A3C" w14:textId="77777777" w:rsidR="009250A6" w:rsidRDefault="00166B9D" w:rsidP="007564EF">
      <w:pPr>
        <w:pStyle w:val="Heading1"/>
      </w:pPr>
      <w:bookmarkStart w:id="59" w:name="_Toc466038546"/>
      <w:r w:rsidRPr="00DA1CAF">
        <w:t xml:space="preserve">Chapter </w:t>
      </w:r>
      <w:r w:rsidR="007564D1">
        <w:t>2</w:t>
      </w:r>
      <w:r w:rsidRPr="00DA1CAF">
        <w:t>:</w:t>
      </w:r>
      <w:r w:rsidR="00DA1CAF" w:rsidRPr="00DA1CAF">
        <w:tab/>
      </w:r>
      <w:bookmarkEnd w:id="35"/>
      <w:bookmarkEnd w:id="36"/>
      <w:bookmarkEnd w:id="37"/>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0E7A51">
        <w:t>Overview of p</w:t>
      </w:r>
      <w:r w:rsidR="007A71B9">
        <w:t>roposed industry funding model</w:t>
      </w:r>
      <w:bookmarkEnd w:id="59"/>
    </w:p>
    <w:p w14:paraId="4583984B" w14:textId="77777777" w:rsidR="007A71B9" w:rsidRPr="007564EF" w:rsidRDefault="00761245" w:rsidP="007564EF">
      <w:pPr>
        <w:pStyle w:val="Heading2"/>
      </w:pPr>
      <w:bookmarkStart w:id="60" w:name="_Toc466038547"/>
      <w:bookmarkStart w:id="61" w:name="_Toc454203049"/>
      <w:bookmarkStart w:id="62" w:name="_Toc454874894"/>
      <w:bookmarkStart w:id="63" w:name="_Toc454898013"/>
      <w:bookmarkStart w:id="64" w:name="_Toc456266508"/>
      <w:bookmarkStart w:id="65" w:name="_Toc452626307"/>
      <w:bookmarkStart w:id="66" w:name="_Toc453236812"/>
      <w:bookmarkStart w:id="67" w:name="_Toc453336859"/>
      <w:bookmarkStart w:id="68" w:name="_Toc453683975"/>
      <w:bookmarkStart w:id="69" w:name="_Toc453750615"/>
      <w:bookmarkStart w:id="70" w:name="_Toc453771901"/>
      <w:bookmarkStart w:id="71" w:name="_Toc453836147"/>
      <w:bookmarkStart w:id="72" w:name="_Toc425877613"/>
      <w:bookmarkStart w:id="73" w:name="_Toc427227854"/>
      <w:bookmarkStart w:id="74" w:name="_Toc427314349"/>
      <w:bookmarkStart w:id="75" w:name="_Toc425523676"/>
      <w:bookmarkStart w:id="76" w:name="_Toc425580623"/>
      <w:bookmarkStart w:id="77" w:name="_Toc425591655"/>
      <w:bookmarkStart w:id="78" w:name="_Toc425759877"/>
      <w:r w:rsidRPr="007564EF">
        <w:t>ASIC costs to be recovered</w:t>
      </w:r>
      <w:bookmarkEnd w:id="60"/>
    </w:p>
    <w:p w14:paraId="64764D6F" w14:textId="1ADC92BC" w:rsidR="00EF0098" w:rsidRPr="008373BC" w:rsidRDefault="007A71B9" w:rsidP="0021601B">
      <w:r w:rsidRPr="00FD4B8A">
        <w:t>This</w:t>
      </w:r>
      <w:r w:rsidDel="009C6067">
        <w:t xml:space="preserve"> </w:t>
      </w:r>
      <w:r>
        <w:t>paper</w:t>
      </w:r>
      <w:r w:rsidRPr="00FD4B8A">
        <w:t xml:space="preserve"> </w:t>
      </w:r>
      <w:r>
        <w:t xml:space="preserve">seeks views on </w:t>
      </w:r>
      <w:r w:rsidR="00F87101">
        <w:t>the</w:t>
      </w:r>
      <w:r>
        <w:t xml:space="preserve"> proposed </w:t>
      </w:r>
      <w:r w:rsidRPr="00FD4B8A">
        <w:t xml:space="preserve">industry funding model </w:t>
      </w:r>
      <w:r w:rsidR="001D7A82">
        <w:t xml:space="preserve">(the model) </w:t>
      </w:r>
      <w:r w:rsidRPr="00FD4B8A">
        <w:t>to recover the regulatory costs of the ASIC</w:t>
      </w:r>
      <w:r>
        <w:t xml:space="preserve"> th</w:t>
      </w:r>
      <w:r w:rsidR="00614EE7">
        <w:t>r</w:t>
      </w:r>
      <w:r>
        <w:t>ough</w:t>
      </w:r>
      <w:r w:rsidRPr="00FD4B8A">
        <w:t xml:space="preserve"> annual levies and fees</w:t>
      </w:r>
      <w:r>
        <w:t>-</w:t>
      </w:r>
      <w:r w:rsidRPr="00FD4B8A">
        <w:t>for</w:t>
      </w:r>
      <w:r>
        <w:t>-</w:t>
      </w:r>
      <w:r w:rsidRPr="00FD4B8A">
        <w:t xml:space="preserve">service. </w:t>
      </w:r>
      <w:r w:rsidR="00773870">
        <w:t xml:space="preserve">It provides an updated proposed model following extensive consultation in </w:t>
      </w:r>
      <w:r w:rsidR="00773870" w:rsidRPr="008373BC">
        <w:t xml:space="preserve">2015 (see </w:t>
      </w:r>
      <w:r w:rsidR="00773870" w:rsidRPr="008B383F">
        <w:rPr>
          <w:b/>
        </w:rPr>
        <w:t xml:space="preserve">Chapter </w:t>
      </w:r>
      <w:r w:rsidR="00C90D5F" w:rsidRPr="008B383F">
        <w:rPr>
          <w:b/>
        </w:rPr>
        <w:t>7</w:t>
      </w:r>
      <w:r w:rsidR="00773870" w:rsidRPr="008373BC">
        <w:t xml:space="preserve"> for a summary of </w:t>
      </w:r>
      <w:r w:rsidR="009C0EC7" w:rsidRPr="008373BC">
        <w:t>consultation</w:t>
      </w:r>
      <w:r w:rsidR="00773870" w:rsidRPr="008373BC">
        <w:t xml:space="preserve"> and responses).</w:t>
      </w:r>
    </w:p>
    <w:p w14:paraId="29859383" w14:textId="77777777" w:rsidR="006441B4" w:rsidRDefault="000E7A51" w:rsidP="0021601B">
      <w:r w:rsidRPr="008373BC">
        <w:t xml:space="preserve">It is intended that </w:t>
      </w:r>
      <w:r w:rsidR="007A71B9" w:rsidRPr="008373BC">
        <w:t>ASIC’s regulatory activities w</w:t>
      </w:r>
      <w:r w:rsidRPr="008373BC">
        <w:t>ould</w:t>
      </w:r>
      <w:r w:rsidR="007A71B9" w:rsidRPr="008373BC">
        <w:t xml:space="preserve"> continue to be funded </w:t>
      </w:r>
      <w:r w:rsidR="005D4582" w:rsidRPr="008373BC">
        <w:t>through direct appropriation</w:t>
      </w:r>
      <w:r w:rsidR="00EF0098" w:rsidRPr="008373BC">
        <w:t xml:space="preserve"> </w:t>
      </w:r>
      <w:r w:rsidR="007A71B9" w:rsidRPr="008373BC">
        <w:t>from the Commonwealth Budget, with th</w:t>
      </w:r>
      <w:r w:rsidR="00EF0098" w:rsidRPr="008373BC">
        <w:t xml:space="preserve">e appropriation to be </w:t>
      </w:r>
      <w:r w:rsidR="007A71B9" w:rsidRPr="008373BC">
        <w:t>offset by levies and fees charged to industry.</w:t>
      </w:r>
      <w:r w:rsidR="00EF0098" w:rsidRPr="008373BC">
        <w:t xml:space="preserve"> </w:t>
      </w:r>
      <w:r w:rsidR="006441B4" w:rsidRPr="008373BC">
        <w:t>Industry funding w</w:t>
      </w:r>
      <w:r w:rsidR="00C828AE" w:rsidRPr="008373BC">
        <w:t>ould</w:t>
      </w:r>
      <w:r w:rsidR="006441B4" w:rsidRPr="008373BC">
        <w:t xml:space="preserve"> recover ASIC regulatory costs for the 2017-18 financial year, with $240 million projected as the </w:t>
      </w:r>
      <w:r w:rsidR="000C11A6" w:rsidRPr="008373BC">
        <w:t xml:space="preserve">anticipated </w:t>
      </w:r>
      <w:r w:rsidR="00FA6679" w:rsidRPr="008373BC">
        <w:t>cost</w:t>
      </w:r>
      <w:r w:rsidR="006441B4" w:rsidRPr="008373BC">
        <w:t xml:space="preserve"> </w:t>
      </w:r>
      <w:r w:rsidR="00FA6679" w:rsidRPr="008373BC">
        <w:t>of</w:t>
      </w:r>
      <w:r w:rsidR="006441B4" w:rsidRPr="008373BC">
        <w:t xml:space="preserve"> ASIC’s regulatory</w:t>
      </w:r>
      <w:r w:rsidR="006441B4">
        <w:t xml:space="preserve"> activities </w:t>
      </w:r>
      <w:r w:rsidR="000C11A6">
        <w:t xml:space="preserve">for the period </w:t>
      </w:r>
      <w:r w:rsidR="006441B4">
        <w:t>in the 2016-17 Budget.</w:t>
      </w:r>
    </w:p>
    <w:p w14:paraId="0478C98E" w14:textId="77777777" w:rsidR="007A71B9" w:rsidRDefault="007A71B9" w:rsidP="0021601B">
      <w:r>
        <w:t xml:space="preserve">This amount </w:t>
      </w:r>
      <w:r w:rsidR="00515979">
        <w:t>excludes</w:t>
      </w:r>
      <w:r w:rsidR="006441B4">
        <w:t xml:space="preserve"> the</w:t>
      </w:r>
      <w:r w:rsidR="00EF0098">
        <w:t xml:space="preserve"> additional </w:t>
      </w:r>
      <w:r w:rsidR="0053768C">
        <w:t>$</w:t>
      </w:r>
      <w:r w:rsidR="00D31BC0">
        <w:t>12</w:t>
      </w:r>
      <w:r w:rsidR="001F1FAD">
        <w:t>1.3</w:t>
      </w:r>
      <w:r w:rsidR="0053768C">
        <w:t xml:space="preserve"> </w:t>
      </w:r>
      <w:r w:rsidR="00216378">
        <w:t xml:space="preserve">million </w:t>
      </w:r>
      <w:r w:rsidR="006441B4">
        <w:t xml:space="preserve">over four years </w:t>
      </w:r>
      <w:r>
        <w:t xml:space="preserve">to </w:t>
      </w:r>
      <w:r w:rsidR="00515979">
        <w:t>I</w:t>
      </w:r>
      <w:r>
        <w:t xml:space="preserve">mprove </w:t>
      </w:r>
      <w:r w:rsidR="00515979">
        <w:t>O</w:t>
      </w:r>
      <w:r>
        <w:t xml:space="preserve">utcomes in </w:t>
      </w:r>
      <w:r w:rsidR="00515979">
        <w:t>F</w:t>
      </w:r>
      <w:r>
        <w:t xml:space="preserve">inancial </w:t>
      </w:r>
      <w:r w:rsidR="00515979">
        <w:t>S</w:t>
      </w:r>
      <w:r>
        <w:t>ervices</w:t>
      </w:r>
      <w:r w:rsidR="00515979">
        <w:t>, a funding package</w:t>
      </w:r>
      <w:r w:rsidR="00EF0098">
        <w:t xml:space="preserve"> </w:t>
      </w:r>
      <w:r>
        <w:t xml:space="preserve">announced by the Government on 20 April 2016. </w:t>
      </w:r>
      <w:r w:rsidR="00EF0098">
        <w:t xml:space="preserve">The additional funding consists of: </w:t>
      </w:r>
      <w:r>
        <w:t>$</w:t>
      </w:r>
      <w:r w:rsidR="00D31BC0">
        <w:t>61.11</w:t>
      </w:r>
      <w:r>
        <w:t xml:space="preserve"> million to enhance ASIC’s data analytics and surveillance capabilities as well as modernise ASIC’s data management systems</w:t>
      </w:r>
      <w:r w:rsidR="00EF0098">
        <w:t xml:space="preserve">; </w:t>
      </w:r>
      <w:r>
        <w:t>$</w:t>
      </w:r>
      <w:r w:rsidR="00D31BC0">
        <w:t>57</w:t>
      </w:r>
      <w:r>
        <w:t xml:space="preserve"> million to enable increased surveillance and enforcement of financial advice</w:t>
      </w:r>
      <w:r w:rsidR="00216378">
        <w:t>,</w:t>
      </w:r>
      <w:r w:rsidR="00216378" w:rsidRPr="00216378">
        <w:t xml:space="preserve"> responsible lending, life</w:t>
      </w:r>
      <w:r w:rsidR="00515979">
        <w:t xml:space="preserve"> insurance and breach reporting</w:t>
      </w:r>
      <w:r w:rsidR="00216378">
        <w:t>;</w:t>
      </w:r>
      <w:r w:rsidR="00EF0098">
        <w:t xml:space="preserve"> and $</w:t>
      </w:r>
      <w:r w:rsidR="001F1FAD">
        <w:t>3.3</w:t>
      </w:r>
      <w:r w:rsidR="00E57739">
        <w:t> </w:t>
      </w:r>
      <w:r w:rsidR="00EF0098">
        <w:t xml:space="preserve">million to </w:t>
      </w:r>
      <w:r>
        <w:t xml:space="preserve">accelerate implementation of key </w:t>
      </w:r>
      <w:r w:rsidR="00EF0098">
        <w:t xml:space="preserve">Financial System Inquiry </w:t>
      </w:r>
      <w:r>
        <w:t>recommend</w:t>
      </w:r>
      <w:r w:rsidR="00EF0098">
        <w:t>ations</w:t>
      </w:r>
      <w:r>
        <w:t>.</w:t>
      </w:r>
    </w:p>
    <w:p w14:paraId="28D91292" w14:textId="77777777" w:rsidR="0099753A" w:rsidRDefault="0099753A" w:rsidP="0021601B">
      <w:r>
        <w:t>For simplicity, it is proposed that funding for non-ongoing expenditure under the package to improve outcomes in financial services w</w:t>
      </w:r>
      <w:r w:rsidR="00C828AE">
        <w:t>ould</w:t>
      </w:r>
      <w:r>
        <w:t xml:space="preserve"> continue to be recouped through </w:t>
      </w:r>
      <w:r w:rsidR="00641FDE">
        <w:t xml:space="preserve">the </w:t>
      </w:r>
      <w:r w:rsidR="00641FDE" w:rsidRPr="00641FDE">
        <w:t>Financial Institutions Supervisory Levies</w:t>
      </w:r>
      <w:r w:rsidR="007A15B8">
        <w:t xml:space="preserve"> (FISL)</w:t>
      </w:r>
      <w:r w:rsidR="00475401">
        <w:t xml:space="preserve"> applied to APRA regulated entities</w:t>
      </w:r>
      <w:r>
        <w:t xml:space="preserve">, </w:t>
      </w:r>
      <w:r w:rsidR="00641FDE">
        <w:t xml:space="preserve">until the funding ends in 2018-19. </w:t>
      </w:r>
      <w:r>
        <w:t xml:space="preserve">Funding recovered for the Superannuation Complaints Tribunal (SCT) </w:t>
      </w:r>
      <w:r w:rsidR="00641FDE">
        <w:t xml:space="preserve">is </w:t>
      </w:r>
      <w:r w:rsidR="00475401">
        <w:t xml:space="preserve">also </w:t>
      </w:r>
      <w:r w:rsidR="00641FDE">
        <w:t xml:space="preserve">proposed to </w:t>
      </w:r>
      <w:r>
        <w:t xml:space="preserve">continue to be recovered through the </w:t>
      </w:r>
      <w:r w:rsidR="007A15B8">
        <w:t>FISL</w:t>
      </w:r>
      <w:r w:rsidR="00475401">
        <w:t xml:space="preserve"> as APRA is responsible for the bulk of regulatory activity related to superannuation</w:t>
      </w:r>
      <w:r>
        <w:t>.</w:t>
      </w:r>
    </w:p>
    <w:p w14:paraId="2AAA378B" w14:textId="77777777" w:rsidR="007A71B9" w:rsidRDefault="007A71B9" w:rsidP="007564EF">
      <w:pPr>
        <w:pStyle w:val="Heading3"/>
      </w:pPr>
      <w:r>
        <w:t xml:space="preserve">ASIC activities </w:t>
      </w:r>
      <w:r w:rsidR="00475401">
        <w:t xml:space="preserve">not consistent with </w:t>
      </w:r>
      <w:r>
        <w:t>cost recovery</w:t>
      </w:r>
      <w:r w:rsidR="00C15676">
        <w:t xml:space="preserve"> framework</w:t>
      </w:r>
    </w:p>
    <w:p w14:paraId="5F21946E" w14:textId="77777777" w:rsidR="00D64C3F" w:rsidRPr="006D6F65" w:rsidRDefault="00D64C3F" w:rsidP="006D6F65">
      <w:pPr>
        <w:pStyle w:val="Heading4"/>
      </w:pPr>
      <w:r w:rsidRPr="006D6F65">
        <w:t>Previously</w:t>
      </w:r>
      <w:r w:rsidR="008A3190" w:rsidRPr="006D6F65">
        <w:t xml:space="preserve"> excluded regulatory activities</w:t>
      </w:r>
    </w:p>
    <w:p w14:paraId="26481DFF" w14:textId="77777777" w:rsidR="007A15B8" w:rsidRDefault="000B63BF" w:rsidP="0021601B">
      <w:r>
        <w:t xml:space="preserve">In the 2015 model, </w:t>
      </w:r>
      <w:r w:rsidR="007A15B8">
        <w:t>five</w:t>
      </w:r>
      <w:r w:rsidR="00D64C3F">
        <w:t xml:space="preserve"> regulatory activities were considered for exclusion from the industry funding model</w:t>
      </w:r>
      <w:r w:rsidR="007A15B8">
        <w:t>:</w:t>
      </w:r>
    </w:p>
    <w:p w14:paraId="37B397E7" w14:textId="48A18497" w:rsidR="007A15B8" w:rsidRPr="00F21DD0" w:rsidRDefault="00D64C3F" w:rsidP="00F21DD0">
      <w:pPr>
        <w:pStyle w:val="Bullet"/>
      </w:pPr>
      <w:r w:rsidRPr="00F21DD0">
        <w:t>the ASIC Enforcement Special Account</w:t>
      </w:r>
      <w:r w:rsidR="00614EE7">
        <w:t xml:space="preserve"> (ESA)</w:t>
      </w:r>
    </w:p>
    <w:p w14:paraId="7FD751B4" w14:textId="77777777" w:rsidR="007A15B8" w:rsidRPr="00F21DD0" w:rsidRDefault="00D64C3F" w:rsidP="00F21DD0">
      <w:pPr>
        <w:pStyle w:val="Bullet"/>
      </w:pPr>
      <w:r w:rsidRPr="00F21DD0">
        <w:t>financial literacy</w:t>
      </w:r>
    </w:p>
    <w:p w14:paraId="02666FF7" w14:textId="77777777" w:rsidR="007A15B8" w:rsidRPr="00F21DD0" w:rsidRDefault="00D64C3F" w:rsidP="00F21DD0">
      <w:pPr>
        <w:pStyle w:val="Bullet"/>
      </w:pPr>
      <w:r w:rsidRPr="00F21DD0">
        <w:t>administration of unclaimed moneys</w:t>
      </w:r>
    </w:p>
    <w:p w14:paraId="2EE1F6BA" w14:textId="77777777" w:rsidR="007A15B8" w:rsidRPr="00F21DD0" w:rsidRDefault="00D64C3F" w:rsidP="00F21DD0">
      <w:pPr>
        <w:pStyle w:val="Bullet"/>
      </w:pPr>
      <w:r w:rsidRPr="00F21DD0">
        <w:t xml:space="preserve">administration of the </w:t>
      </w:r>
      <w:proofErr w:type="spellStart"/>
      <w:r w:rsidRPr="00F21DD0">
        <w:t>Assetless</w:t>
      </w:r>
      <w:proofErr w:type="spellEnd"/>
      <w:r w:rsidRPr="00F21DD0">
        <w:t xml:space="preserve"> Administration Fund</w:t>
      </w:r>
    </w:p>
    <w:p w14:paraId="2DC3068E" w14:textId="77777777" w:rsidR="00D64C3F" w:rsidRDefault="00D64C3F" w:rsidP="00F21DD0">
      <w:pPr>
        <w:pStyle w:val="Bullet"/>
      </w:pPr>
      <w:r w:rsidRPr="00F21DD0">
        <w:t>operation of the North Queensland Insurance aggregator website.</w:t>
      </w:r>
    </w:p>
    <w:p w14:paraId="4CC3F688" w14:textId="77777777" w:rsidR="00057148" w:rsidRDefault="00057148">
      <w:pPr>
        <w:spacing w:after="200" w:line="276" w:lineRule="auto"/>
        <w:jc w:val="left"/>
      </w:pPr>
      <w:r>
        <w:br w:type="page"/>
      </w:r>
    </w:p>
    <w:p w14:paraId="5549695B" w14:textId="5A5A1427" w:rsidR="00124AFD" w:rsidRDefault="00124AFD" w:rsidP="00124AFD">
      <w:pPr>
        <w:pStyle w:val="Bullet"/>
        <w:numPr>
          <w:ilvl w:val="0"/>
          <w:numId w:val="0"/>
        </w:numPr>
      </w:pPr>
      <w:r>
        <w:t xml:space="preserve">The proposed model presented in this paper includes the recovery of all of the costs of ASIC’s regulatory activities from industry. Activities that are consistent with the Government’s Charging Framework will be recovered from industry via a cost recovery levy. Other activities will be recovered from industry via a statutory industry levy. </w:t>
      </w:r>
    </w:p>
    <w:p w14:paraId="7C5BA6B1" w14:textId="6201EF61" w:rsidR="00124AFD" w:rsidRDefault="00124AFD" w:rsidP="00124AFD">
      <w:pPr>
        <w:pStyle w:val="Bullet"/>
        <w:numPr>
          <w:ilvl w:val="0"/>
          <w:numId w:val="0"/>
        </w:numPr>
      </w:pPr>
      <w:r>
        <w:t xml:space="preserve">Full recovery of all of ASIC’s regulatory activities from industry would ensure that ASIC is accountable for all of its regulatory costs in each sector. </w:t>
      </w:r>
    </w:p>
    <w:p w14:paraId="6316BDF3" w14:textId="6A21C460" w:rsidR="00124AFD" w:rsidRDefault="00124AFD" w:rsidP="00124AFD">
      <w:pPr>
        <w:pStyle w:val="Bullet"/>
        <w:numPr>
          <w:ilvl w:val="0"/>
          <w:numId w:val="0"/>
        </w:numPr>
      </w:pPr>
      <w:r>
        <w:t xml:space="preserve">Statutory industry levies would be included in the same legislation, regulations, invoice and </w:t>
      </w:r>
      <w:r w:rsidR="00614EE7" w:rsidRPr="00614EE7">
        <w:t xml:space="preserve">Cost Recovery Implementation Statement </w:t>
      </w:r>
      <w:r w:rsidR="00614EE7">
        <w:t>(</w:t>
      </w:r>
      <w:r>
        <w:t>CRIS</w:t>
      </w:r>
      <w:r w:rsidR="00614EE7">
        <w:t>)</w:t>
      </w:r>
      <w:r>
        <w:t xml:space="preserve"> as the other cost recovery levies. There is no difference proposed in the methodology to calculate each of the levies. </w:t>
      </w:r>
    </w:p>
    <w:p w14:paraId="7A81F175" w14:textId="77777777" w:rsidR="00124AFD" w:rsidRDefault="00124AFD" w:rsidP="00124AFD">
      <w:pPr>
        <w:pStyle w:val="Heading4"/>
      </w:pPr>
      <w:r>
        <w:t>Enforcement Special Account</w:t>
      </w:r>
    </w:p>
    <w:p w14:paraId="66192211" w14:textId="694C569A" w:rsidR="00124AFD" w:rsidRDefault="00124AFD" w:rsidP="00124AFD">
      <w:pPr>
        <w:pStyle w:val="Bullet"/>
        <w:numPr>
          <w:ilvl w:val="0"/>
          <w:numId w:val="0"/>
        </w:numPr>
      </w:pPr>
      <w:r>
        <w:t>ASIC’s operating budget includes approximately $27 million which is credited to ASIC’s ESA annually to investigate and litigate matters o</w:t>
      </w:r>
      <w:r w:rsidR="00E77408">
        <w:t>f significant public interest.</w:t>
      </w:r>
    </w:p>
    <w:p w14:paraId="6D3CDD16" w14:textId="7D8F3C30" w:rsidR="00124AFD" w:rsidRDefault="00124AFD" w:rsidP="00124AFD">
      <w:pPr>
        <w:pStyle w:val="Bullet"/>
        <w:numPr>
          <w:ilvl w:val="0"/>
          <w:numId w:val="0"/>
        </w:numPr>
      </w:pPr>
      <w:r>
        <w:t>Due to the nature of investigations and litigation, expenditure funded by the ESA is subject to f</w:t>
      </w:r>
      <w:r w:rsidR="00E77408">
        <w:t xml:space="preserve">luctuations from year to year. </w:t>
      </w:r>
      <w:r>
        <w:t xml:space="preserve">As a result, the actual amount expended from the ESA may be more or less than the </w:t>
      </w:r>
      <w:r w:rsidR="00E77408">
        <w:t>$27 million credited annually.</w:t>
      </w:r>
    </w:p>
    <w:p w14:paraId="094767E5" w14:textId="06D44D2A" w:rsidR="004705C8" w:rsidRPr="00F21DD0" w:rsidRDefault="00124AFD" w:rsidP="00124AFD">
      <w:pPr>
        <w:pStyle w:val="Bullet"/>
        <w:numPr>
          <w:ilvl w:val="0"/>
          <w:numId w:val="0"/>
        </w:numPr>
      </w:pPr>
      <w:r>
        <w:t>To limit volatility in levies charged to industry arising from matters funded by the ESA, ASIC will recover $27 million annually from industry subsectors in the same proportion as the actual inv</w:t>
      </w:r>
      <w:r w:rsidR="00E77408">
        <w:t xml:space="preserve">estigations funded by the ESA. </w:t>
      </w:r>
      <w:r>
        <w:t>The budget figures in this paper are based on a three year average from 2012–13 to 2014–15.</w:t>
      </w:r>
    </w:p>
    <w:p w14:paraId="35303777" w14:textId="77777777" w:rsidR="007A71B9" w:rsidRPr="001F60B5" w:rsidRDefault="007A71B9" w:rsidP="006D6F65">
      <w:pPr>
        <w:pStyle w:val="Heading4"/>
      </w:pPr>
      <w:r w:rsidRPr="001F60B5">
        <w:t>Registry business</w:t>
      </w:r>
    </w:p>
    <w:p w14:paraId="15CC8EA6" w14:textId="77777777" w:rsidR="007A71B9" w:rsidRPr="009A024F" w:rsidRDefault="006A2303" w:rsidP="0021601B">
      <w:r>
        <w:t>C</w:t>
      </w:r>
      <w:r w:rsidR="007A71B9" w:rsidRPr="00D15640">
        <w:t>osts associated with ASIC’s registry business</w:t>
      </w:r>
      <w:r>
        <w:t xml:space="preserve"> are not proposed to be recovered through the industry funding model.</w:t>
      </w:r>
    </w:p>
    <w:p w14:paraId="6389358B" w14:textId="77777777" w:rsidR="007A71B9" w:rsidRPr="009A024F" w:rsidRDefault="006A2303" w:rsidP="0021601B">
      <w:r w:rsidRPr="00D15640">
        <w:t>ASIC’s registry business focuses on maintaining data on the 31 registers for which ASIC is responsible.</w:t>
      </w:r>
      <w:r>
        <w:t xml:space="preserve"> For example, </w:t>
      </w:r>
      <w:r w:rsidR="007A71B9" w:rsidRPr="00D15640">
        <w:t>ASIC’s registry business provides information about Australian companies, business names, Australian Financial Services (AFS) Licensees, Australian Credit Licensees and other prof</w:t>
      </w:r>
      <w:r w:rsidR="00C15676">
        <w:t>essionals registered with ASIC.</w:t>
      </w:r>
    </w:p>
    <w:p w14:paraId="21D7FB07" w14:textId="77777777" w:rsidR="007A71B9" w:rsidRPr="009A024F" w:rsidRDefault="006A2303" w:rsidP="0021601B">
      <w:r>
        <w:t>In a separate process, t</w:t>
      </w:r>
      <w:r w:rsidR="007A71B9" w:rsidRPr="00D15640">
        <w:t>he Government is undertaking a competitive tender process to test the market on the capacity of a private operator to upgrade and o</w:t>
      </w:r>
      <w:r w:rsidR="00C15676">
        <w:t>perate the ASIC registry.</w:t>
      </w:r>
    </w:p>
    <w:p w14:paraId="75C5F3BC" w14:textId="77777777" w:rsidR="007A71B9" w:rsidRPr="001F60B5" w:rsidRDefault="00DC4A11" w:rsidP="006D6F65">
      <w:pPr>
        <w:pStyle w:val="Heading4"/>
      </w:pPr>
      <w:r>
        <w:t xml:space="preserve">Commonwealth </w:t>
      </w:r>
      <w:r w:rsidR="007A71B9" w:rsidRPr="001F60B5">
        <w:t>D</w:t>
      </w:r>
      <w:r w:rsidR="00CE1FFC">
        <w:t xml:space="preserve">irector of </w:t>
      </w:r>
      <w:r w:rsidR="007A71B9" w:rsidRPr="001F60B5">
        <w:t>P</w:t>
      </w:r>
      <w:r w:rsidR="00CE1FFC">
        <w:t xml:space="preserve">ublic </w:t>
      </w:r>
      <w:r w:rsidR="007A71B9" w:rsidRPr="001F60B5">
        <w:t>P</w:t>
      </w:r>
      <w:r w:rsidR="00CE1FFC">
        <w:t>rosecutions (</w:t>
      </w:r>
      <w:r w:rsidR="00B92A1A">
        <w:t>C</w:t>
      </w:r>
      <w:r w:rsidR="00CE1FFC">
        <w:t>DPP)</w:t>
      </w:r>
      <w:r w:rsidR="00C15676">
        <w:t xml:space="preserve"> litigation costs</w:t>
      </w:r>
    </w:p>
    <w:p w14:paraId="46247C57" w14:textId="77777777" w:rsidR="00D64C3F" w:rsidRDefault="00761245" w:rsidP="0021601B">
      <w:r>
        <w:t>T</w:t>
      </w:r>
      <w:r w:rsidR="007A71B9" w:rsidRPr="00D15640">
        <w:t xml:space="preserve">he </w:t>
      </w:r>
      <w:r w:rsidR="00B92A1A">
        <w:t xml:space="preserve">CDPP’s </w:t>
      </w:r>
      <w:r w:rsidR="007A71B9" w:rsidRPr="00D15640">
        <w:t xml:space="preserve">litigation costs for criminal actions to enforce the law referred by ASIC to the </w:t>
      </w:r>
      <w:r w:rsidR="00515979">
        <w:t>C</w:t>
      </w:r>
      <w:r w:rsidR="007A71B9" w:rsidRPr="00D15640">
        <w:t xml:space="preserve">DPP would not be </w:t>
      </w:r>
      <w:r w:rsidR="00D64C3F">
        <w:t>recovered through the industry funding model</w:t>
      </w:r>
      <w:r w:rsidR="007A71B9" w:rsidRPr="00D15640">
        <w:t>.</w:t>
      </w:r>
      <w:r w:rsidR="0053768C">
        <w:t xml:space="preserve"> This is consistent with the Australian </w:t>
      </w:r>
      <w:r w:rsidR="00CE1FFC">
        <w:t xml:space="preserve">Government </w:t>
      </w:r>
      <w:r w:rsidR="0053768C">
        <w:t xml:space="preserve">Charging </w:t>
      </w:r>
      <w:r w:rsidR="00CE1FFC">
        <w:t>F</w:t>
      </w:r>
      <w:r w:rsidR="0053768C">
        <w:t>ramework</w:t>
      </w:r>
      <w:r w:rsidR="007A15B8">
        <w:t xml:space="preserve">, which </w:t>
      </w:r>
      <w:r w:rsidR="0053768C">
        <w:t>recommends that these activities be excluded from cost recovery.</w:t>
      </w:r>
    </w:p>
    <w:tbl>
      <w:tblPr>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F2F2F2" w:themeFill="background1" w:themeFillShade="F2"/>
        <w:tblLook w:val="04A0" w:firstRow="1" w:lastRow="0" w:firstColumn="1" w:lastColumn="0" w:noHBand="0" w:noVBand="1"/>
      </w:tblPr>
      <w:tblGrid>
        <w:gridCol w:w="9242"/>
      </w:tblGrid>
      <w:tr w:rsidR="007A71B9" w:rsidRPr="006A2303" w14:paraId="5512DEEB" w14:textId="77777777" w:rsidTr="006D6F65">
        <w:tc>
          <w:tcPr>
            <w:tcW w:w="9242" w:type="dxa"/>
            <w:shd w:val="clear" w:color="auto" w:fill="F2F2F2" w:themeFill="background1" w:themeFillShade="F2"/>
            <w:hideMark/>
          </w:tcPr>
          <w:p w14:paraId="00C2F7FE" w14:textId="77777777" w:rsidR="007A71B9" w:rsidRPr="006D6F65" w:rsidRDefault="006D6F65" w:rsidP="006D6F65">
            <w:pPr>
              <w:pStyle w:val="BoxQuestions-Heading"/>
            </w:pPr>
            <w:r w:rsidRPr="006D6F65">
              <w:t>Question</w:t>
            </w:r>
          </w:p>
          <w:p w14:paraId="52B06B58" w14:textId="77777777" w:rsidR="001F1FAD" w:rsidRPr="00115B57" w:rsidRDefault="007A71B9" w:rsidP="00115B57">
            <w:pPr>
              <w:pStyle w:val="BoxQuestions"/>
            </w:pPr>
            <w:r w:rsidRPr="00115B57">
              <w:t>Do you agree with the proposal that all of ASIC’s regulatory costs should be include</w:t>
            </w:r>
            <w:r w:rsidR="00761245" w:rsidRPr="00115B57">
              <w:t xml:space="preserve">d in the industry funding model, </w:t>
            </w:r>
            <w:r w:rsidRPr="00115B57">
              <w:t xml:space="preserve">excluding </w:t>
            </w:r>
            <w:r w:rsidR="00B92A1A" w:rsidRPr="00115B57">
              <w:t xml:space="preserve">ASIC’s </w:t>
            </w:r>
            <w:r w:rsidRPr="00115B57">
              <w:t xml:space="preserve">registry costs and criminal prosecutions </w:t>
            </w:r>
            <w:r w:rsidR="00B92A1A" w:rsidRPr="00115B57">
              <w:t xml:space="preserve">incurred by </w:t>
            </w:r>
            <w:r w:rsidRPr="00115B57">
              <w:t>the DPP? If not, please describe your preferr</w:t>
            </w:r>
            <w:r w:rsidR="00C15676" w:rsidRPr="00115B57">
              <w:t>ed approach and reasons for it.</w:t>
            </w:r>
          </w:p>
        </w:tc>
      </w:tr>
    </w:tbl>
    <w:p w14:paraId="4FFEBB68" w14:textId="77777777" w:rsidR="007A71B9" w:rsidRPr="007564EF" w:rsidRDefault="007A71B9" w:rsidP="007564EF">
      <w:pPr>
        <w:pStyle w:val="Heading2"/>
      </w:pPr>
      <w:bookmarkStart w:id="79" w:name="_Toc466038548"/>
      <w:bookmarkEnd w:id="61"/>
      <w:bookmarkEnd w:id="62"/>
      <w:bookmarkEnd w:id="63"/>
      <w:bookmarkEnd w:id="64"/>
      <w:r w:rsidRPr="007564EF">
        <w:t>Model design objectives</w:t>
      </w:r>
      <w:bookmarkEnd w:id="79"/>
    </w:p>
    <w:p w14:paraId="10C66E27" w14:textId="5AAF3070" w:rsidR="00AE400F" w:rsidRDefault="007A71B9" w:rsidP="005E7BCA">
      <w:pPr>
        <w:pStyle w:val="Bullet"/>
        <w:numPr>
          <w:ilvl w:val="0"/>
          <w:numId w:val="0"/>
        </w:numPr>
        <w:rPr>
          <w:rFonts w:ascii="Century Gothic" w:hAnsi="Century Gothic"/>
          <w:b/>
          <w:color w:val="1F497D" w:themeColor="text2"/>
        </w:rPr>
      </w:pPr>
      <w:r>
        <w:t xml:space="preserve">The </w:t>
      </w:r>
      <w:r w:rsidR="00C931C3">
        <w:t xml:space="preserve">below </w:t>
      </w:r>
      <w:r>
        <w:t>design objectives</w:t>
      </w:r>
      <w:r w:rsidRPr="007B3765">
        <w:t xml:space="preserve"> </w:t>
      </w:r>
      <w:r w:rsidR="006A2303">
        <w:t xml:space="preserve">for </w:t>
      </w:r>
      <w:r w:rsidR="001D7A82">
        <w:t xml:space="preserve">the </w:t>
      </w:r>
      <w:r w:rsidR="006A2303">
        <w:t xml:space="preserve">industry funding </w:t>
      </w:r>
      <w:r w:rsidR="001D7A82">
        <w:t xml:space="preserve">model </w:t>
      </w:r>
      <w:r>
        <w:t xml:space="preserve">have been </w:t>
      </w:r>
      <w:r w:rsidR="001D7A82">
        <w:t xml:space="preserve">developed </w:t>
      </w:r>
      <w:r w:rsidR="00C931C3">
        <w:t xml:space="preserve">following feedback received </w:t>
      </w:r>
      <w:r w:rsidR="00C21845">
        <w:t>from stakeholders</w:t>
      </w:r>
      <w:r w:rsidR="001D7A82">
        <w:t xml:space="preserve">. They have been </w:t>
      </w:r>
      <w:r w:rsidR="006A2303">
        <w:t xml:space="preserve">used to </w:t>
      </w:r>
      <w:r w:rsidR="00F87101">
        <w:t>apply</w:t>
      </w:r>
      <w:r w:rsidRPr="007B3765">
        <w:t xml:space="preserve"> </w:t>
      </w:r>
      <w:r w:rsidR="001D7A82">
        <w:t xml:space="preserve">a </w:t>
      </w:r>
      <w:r w:rsidRPr="007B3765">
        <w:t>consisten</w:t>
      </w:r>
      <w:r w:rsidR="001D7A82">
        <w:t>t</w:t>
      </w:r>
      <w:r w:rsidRPr="007B3765">
        <w:t xml:space="preserve"> approach to setting levies across ASIC’s </w:t>
      </w:r>
      <w:r w:rsidRPr="008373BC">
        <w:t>regulated population. These are in addition to</w:t>
      </w:r>
      <w:r w:rsidR="001073DF" w:rsidRPr="008373BC">
        <w:t>,</w:t>
      </w:r>
      <w:r w:rsidR="00901BB0" w:rsidRPr="008373BC">
        <w:t xml:space="preserve"> and consistent with</w:t>
      </w:r>
      <w:r w:rsidR="001073DF" w:rsidRPr="008373BC">
        <w:t>,</w:t>
      </w:r>
      <w:r w:rsidRPr="008373BC">
        <w:t xml:space="preserve"> the cost recovery principles described in </w:t>
      </w:r>
      <w:r w:rsidRPr="008B383F">
        <w:rPr>
          <w:b/>
        </w:rPr>
        <w:t xml:space="preserve">Chapter </w:t>
      </w:r>
      <w:r w:rsidR="00C90D5F" w:rsidRPr="008B383F">
        <w:rPr>
          <w:b/>
        </w:rPr>
        <w:t>1</w:t>
      </w:r>
      <w:r w:rsidRPr="008373BC">
        <w:t>.</w:t>
      </w:r>
    </w:p>
    <w:p w14:paraId="277C8B16" w14:textId="77777777" w:rsidR="007A71B9" w:rsidRPr="00A10009" w:rsidRDefault="007A71B9" w:rsidP="006804CB">
      <w:pPr>
        <w:pStyle w:val="TableMainHeading"/>
      </w:pPr>
      <w:r w:rsidRPr="00A10009">
        <w:t xml:space="preserve">Table </w:t>
      </w:r>
      <w:fldSimple w:instr=" SEQ Table \* ARABIC ">
        <w:r w:rsidR="00336CF6">
          <w:rPr>
            <w:noProof/>
          </w:rPr>
          <w:t>1</w:t>
        </w:r>
      </w:fldSimple>
      <w:r w:rsidRPr="00A10009">
        <w:t xml:space="preserve">: Model </w:t>
      </w:r>
      <w:r w:rsidR="001D7A82">
        <w:t xml:space="preserve">design </w:t>
      </w:r>
      <w:r w:rsidRPr="00A10009">
        <w:t>objectives</w:t>
      </w:r>
    </w:p>
    <w:tbl>
      <w:tblPr>
        <w:tblW w:w="9233"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0" w:type="dxa"/>
          <w:right w:w="0" w:type="dxa"/>
        </w:tblCellMar>
        <w:tblLook w:val="04A0" w:firstRow="1" w:lastRow="0" w:firstColumn="1" w:lastColumn="0" w:noHBand="0" w:noVBand="1"/>
      </w:tblPr>
      <w:tblGrid>
        <w:gridCol w:w="1666"/>
        <w:gridCol w:w="7567"/>
      </w:tblGrid>
      <w:tr w:rsidR="00AE400F" w:rsidRPr="0003290A" w14:paraId="17732573" w14:textId="77777777" w:rsidTr="004C0A8B">
        <w:trPr>
          <w:trHeight w:val="151"/>
        </w:trPr>
        <w:tc>
          <w:tcPr>
            <w:tcW w:w="1666" w:type="dxa"/>
            <w:tcBorders>
              <w:bottom w:val="single" w:sz="2" w:space="0" w:color="FFFFFF" w:themeColor="background1"/>
            </w:tcBorders>
            <w:shd w:val="clear" w:color="auto" w:fill="1F497D" w:themeFill="text2"/>
            <w:tcMar>
              <w:top w:w="15" w:type="dxa"/>
              <w:left w:w="106" w:type="dxa"/>
              <w:bottom w:w="0" w:type="dxa"/>
              <w:right w:w="106" w:type="dxa"/>
            </w:tcMar>
            <w:vAlign w:val="center"/>
            <w:hideMark/>
          </w:tcPr>
          <w:p w14:paraId="6FF09851" w14:textId="77777777" w:rsidR="007A71B9" w:rsidRPr="0003290A" w:rsidRDefault="007A71B9" w:rsidP="0019629B">
            <w:pPr>
              <w:pStyle w:val="TableColumnHeadingLeft"/>
            </w:pPr>
            <w:r w:rsidRPr="0003290A">
              <w:t>Objectives</w:t>
            </w:r>
          </w:p>
        </w:tc>
        <w:tc>
          <w:tcPr>
            <w:tcW w:w="7567" w:type="dxa"/>
            <w:tcBorders>
              <w:bottom w:val="single" w:sz="2" w:space="0" w:color="FFFFFF" w:themeColor="background1"/>
            </w:tcBorders>
            <w:shd w:val="clear" w:color="auto" w:fill="1F497D" w:themeFill="text2"/>
            <w:tcMar>
              <w:top w:w="15" w:type="dxa"/>
              <w:left w:w="106" w:type="dxa"/>
              <w:bottom w:w="0" w:type="dxa"/>
              <w:right w:w="106" w:type="dxa"/>
            </w:tcMar>
            <w:vAlign w:val="center"/>
            <w:hideMark/>
          </w:tcPr>
          <w:p w14:paraId="7C1046A5" w14:textId="77777777" w:rsidR="007A71B9" w:rsidRPr="0003290A" w:rsidRDefault="007A71B9" w:rsidP="0019629B">
            <w:pPr>
              <w:pStyle w:val="TableColumnHeadingLeft"/>
            </w:pPr>
            <w:r w:rsidRPr="0003290A">
              <w:t>Description</w:t>
            </w:r>
          </w:p>
        </w:tc>
      </w:tr>
      <w:tr w:rsidR="007A71B9" w:rsidRPr="00A93FE6" w14:paraId="0CD40EEB" w14:textId="77777777" w:rsidTr="004C0A8B">
        <w:trPr>
          <w:trHeight w:val="354"/>
        </w:trPr>
        <w:tc>
          <w:tcPr>
            <w:tcW w:w="1666" w:type="dxa"/>
            <w:tcBorders>
              <w:top w:val="single" w:sz="2" w:space="0" w:color="FFFFFF" w:themeColor="background1"/>
            </w:tcBorders>
            <w:shd w:val="clear" w:color="auto" w:fill="DBE5F1" w:themeFill="accent1" w:themeFillTint="33"/>
            <w:tcMar>
              <w:top w:w="15" w:type="dxa"/>
              <w:left w:w="106" w:type="dxa"/>
              <w:bottom w:w="0" w:type="dxa"/>
              <w:right w:w="106" w:type="dxa"/>
            </w:tcMar>
            <w:vAlign w:val="center"/>
            <w:hideMark/>
          </w:tcPr>
          <w:p w14:paraId="377069D8" w14:textId="77777777" w:rsidR="007A71B9" w:rsidRPr="00E57739" w:rsidRDefault="007A71B9" w:rsidP="00055724">
            <w:pPr>
              <w:pStyle w:val="TableRowHeadingLeft"/>
            </w:pPr>
            <w:r w:rsidRPr="00E57739">
              <w:t>Simple</w:t>
            </w:r>
          </w:p>
        </w:tc>
        <w:tc>
          <w:tcPr>
            <w:tcW w:w="7567" w:type="dxa"/>
            <w:tcBorders>
              <w:top w:val="single" w:sz="2" w:space="0" w:color="FFFFFF" w:themeColor="background1"/>
            </w:tcBorders>
            <w:shd w:val="clear" w:color="auto" w:fill="DBE5F1" w:themeFill="accent1" w:themeFillTint="33"/>
            <w:tcMar>
              <w:top w:w="15" w:type="dxa"/>
              <w:left w:w="106" w:type="dxa"/>
              <w:bottom w:w="0" w:type="dxa"/>
              <w:right w:w="106" w:type="dxa"/>
            </w:tcMar>
            <w:vAlign w:val="center"/>
            <w:hideMark/>
          </w:tcPr>
          <w:p w14:paraId="6E995EBB" w14:textId="77777777" w:rsidR="007A71B9" w:rsidRPr="00E57739" w:rsidRDefault="007A71B9" w:rsidP="00055724">
            <w:pPr>
              <w:pStyle w:val="TableTextLeft"/>
            </w:pPr>
            <w:r w:rsidRPr="00E57739">
              <w:t xml:space="preserve">The model should be simple and enable any </w:t>
            </w:r>
            <w:r w:rsidR="008B1CE9" w:rsidRPr="00E57739">
              <w:t>entity</w:t>
            </w:r>
            <w:r w:rsidRPr="00E57739">
              <w:t xml:space="preserve"> to calculate </w:t>
            </w:r>
            <w:r w:rsidR="001D002B" w:rsidRPr="00E57739">
              <w:t>its applicable levy.</w:t>
            </w:r>
          </w:p>
        </w:tc>
      </w:tr>
      <w:tr w:rsidR="007A71B9" w:rsidRPr="00A93FE6" w14:paraId="45AAAB18" w14:textId="77777777" w:rsidTr="0003290A">
        <w:trPr>
          <w:trHeight w:val="304"/>
        </w:trPr>
        <w:tc>
          <w:tcPr>
            <w:tcW w:w="1666" w:type="dxa"/>
            <w:shd w:val="clear" w:color="auto" w:fill="auto"/>
            <w:tcMar>
              <w:top w:w="15" w:type="dxa"/>
              <w:left w:w="106" w:type="dxa"/>
              <w:bottom w:w="0" w:type="dxa"/>
              <w:right w:w="106" w:type="dxa"/>
            </w:tcMar>
            <w:vAlign w:val="center"/>
            <w:hideMark/>
          </w:tcPr>
          <w:p w14:paraId="3E4CFEE6" w14:textId="77777777" w:rsidR="007A71B9" w:rsidRPr="00E57739" w:rsidRDefault="007A71B9" w:rsidP="00055724">
            <w:pPr>
              <w:pStyle w:val="TableRowHeadingLeft"/>
            </w:pPr>
            <w:r w:rsidRPr="00E57739">
              <w:t>Certain</w:t>
            </w:r>
          </w:p>
        </w:tc>
        <w:tc>
          <w:tcPr>
            <w:tcW w:w="7567" w:type="dxa"/>
            <w:shd w:val="clear" w:color="auto" w:fill="auto"/>
            <w:tcMar>
              <w:top w:w="15" w:type="dxa"/>
              <w:left w:w="106" w:type="dxa"/>
              <w:bottom w:w="0" w:type="dxa"/>
              <w:right w:w="106" w:type="dxa"/>
            </w:tcMar>
            <w:vAlign w:val="center"/>
            <w:hideMark/>
          </w:tcPr>
          <w:p w14:paraId="2ADB99DE" w14:textId="77777777" w:rsidR="007A71B9" w:rsidRPr="00E57739" w:rsidRDefault="007A71B9" w:rsidP="00055724">
            <w:pPr>
              <w:pStyle w:val="TableTextLeft"/>
            </w:pPr>
            <w:r w:rsidRPr="00E57739">
              <w:t xml:space="preserve">Levies should, wherever possible, provide </w:t>
            </w:r>
            <w:r w:rsidR="001D7A82" w:rsidRPr="00E57739">
              <w:t xml:space="preserve">enough </w:t>
            </w:r>
            <w:r w:rsidRPr="00E57739">
              <w:t xml:space="preserve">certainty for </w:t>
            </w:r>
            <w:r w:rsidR="008B1CE9" w:rsidRPr="00E57739">
              <w:t>entities</w:t>
            </w:r>
            <w:r w:rsidRPr="00E57739">
              <w:t xml:space="preserve"> to </w:t>
            </w:r>
            <w:r w:rsidR="001D7A82" w:rsidRPr="00E57739">
              <w:t xml:space="preserve">allow them to </w:t>
            </w:r>
            <w:r w:rsidRPr="00E57739">
              <w:t>incorporate the levies into commercial decisions.</w:t>
            </w:r>
          </w:p>
        </w:tc>
      </w:tr>
      <w:tr w:rsidR="007A71B9" w:rsidRPr="00A93FE6" w14:paraId="476CA635" w14:textId="77777777" w:rsidTr="0003290A">
        <w:trPr>
          <w:trHeight w:val="39"/>
        </w:trPr>
        <w:tc>
          <w:tcPr>
            <w:tcW w:w="1666" w:type="dxa"/>
            <w:shd w:val="clear" w:color="auto" w:fill="DBE5F1" w:themeFill="accent1" w:themeFillTint="33"/>
            <w:tcMar>
              <w:top w:w="15" w:type="dxa"/>
              <w:left w:w="106" w:type="dxa"/>
              <w:bottom w:w="0" w:type="dxa"/>
              <w:right w:w="106" w:type="dxa"/>
            </w:tcMar>
            <w:vAlign w:val="center"/>
            <w:hideMark/>
          </w:tcPr>
          <w:p w14:paraId="3F72A291" w14:textId="77777777" w:rsidR="007A71B9" w:rsidRPr="00E57739" w:rsidRDefault="007A71B9" w:rsidP="00055724">
            <w:pPr>
              <w:pStyle w:val="TableRowHeadingLeft"/>
            </w:pPr>
            <w:r w:rsidRPr="00E57739">
              <w:t>Proportional</w:t>
            </w:r>
          </w:p>
        </w:tc>
        <w:tc>
          <w:tcPr>
            <w:tcW w:w="7567" w:type="dxa"/>
            <w:shd w:val="clear" w:color="auto" w:fill="DBE5F1" w:themeFill="accent1" w:themeFillTint="33"/>
            <w:tcMar>
              <w:top w:w="15" w:type="dxa"/>
              <w:left w:w="106" w:type="dxa"/>
              <w:bottom w:w="0" w:type="dxa"/>
              <w:right w:w="106" w:type="dxa"/>
            </w:tcMar>
            <w:vAlign w:val="center"/>
            <w:hideMark/>
          </w:tcPr>
          <w:p w14:paraId="2BD36F44" w14:textId="77777777" w:rsidR="007A71B9" w:rsidRPr="00A10009" w:rsidRDefault="007A71B9" w:rsidP="00055724">
            <w:pPr>
              <w:pStyle w:val="TableTextLeft"/>
            </w:pPr>
            <w:r w:rsidRPr="00A10009">
              <w:t>Levies for each sector should be calculated from readily available metrics of business activity, such as revenue generated or funds under management. Selection of each sector’s activity metric should:</w:t>
            </w:r>
          </w:p>
          <w:p w14:paraId="69604E54" w14:textId="77777777" w:rsidR="007A71B9" w:rsidRPr="00115B57" w:rsidRDefault="007A71B9" w:rsidP="00115B57">
            <w:pPr>
              <w:pStyle w:val="TableTexLeft-Bullets"/>
            </w:pPr>
            <w:r w:rsidRPr="00115B57">
              <w:t>align to expected regulatory oversight, including the level of anticipated consumer or investor exposure</w:t>
            </w:r>
          </w:p>
          <w:p w14:paraId="2EA9E96C" w14:textId="77777777" w:rsidR="007A71B9" w:rsidRPr="00A10009" w:rsidRDefault="007A71B9" w:rsidP="00115B57">
            <w:pPr>
              <w:pStyle w:val="TableTexLeft-Bullets"/>
            </w:pPr>
            <w:r w:rsidRPr="00115B57">
              <w:t>ensure that the reporting burden for industry is kept to a minimum.</w:t>
            </w:r>
          </w:p>
        </w:tc>
      </w:tr>
      <w:tr w:rsidR="007A71B9" w:rsidRPr="00A93FE6" w14:paraId="26A794AF" w14:textId="77777777" w:rsidTr="0003290A">
        <w:trPr>
          <w:trHeight w:val="500"/>
        </w:trPr>
        <w:tc>
          <w:tcPr>
            <w:tcW w:w="1666" w:type="dxa"/>
            <w:shd w:val="clear" w:color="auto" w:fill="auto"/>
            <w:tcMar>
              <w:top w:w="15" w:type="dxa"/>
              <w:left w:w="106" w:type="dxa"/>
              <w:bottom w:w="0" w:type="dxa"/>
              <w:right w:w="106" w:type="dxa"/>
            </w:tcMar>
            <w:vAlign w:val="center"/>
            <w:hideMark/>
          </w:tcPr>
          <w:p w14:paraId="2E310E28" w14:textId="77777777" w:rsidR="007A71B9" w:rsidRPr="00E57739" w:rsidRDefault="007A71B9" w:rsidP="00055724">
            <w:pPr>
              <w:pStyle w:val="TableRowHeadingLeft"/>
            </w:pPr>
            <w:r w:rsidRPr="00E57739">
              <w:t>Commercially-based</w:t>
            </w:r>
          </w:p>
        </w:tc>
        <w:tc>
          <w:tcPr>
            <w:tcW w:w="7567" w:type="dxa"/>
            <w:shd w:val="clear" w:color="auto" w:fill="auto"/>
            <w:tcMar>
              <w:top w:w="15" w:type="dxa"/>
              <w:left w:w="106" w:type="dxa"/>
              <w:bottom w:w="0" w:type="dxa"/>
              <w:right w:w="106" w:type="dxa"/>
            </w:tcMar>
            <w:vAlign w:val="center"/>
            <w:hideMark/>
          </w:tcPr>
          <w:p w14:paraId="2AF8D246" w14:textId="77777777" w:rsidR="007A71B9" w:rsidRPr="00A10009" w:rsidRDefault="007A71B9" w:rsidP="00055724">
            <w:pPr>
              <w:pStyle w:val="TableTextLeft"/>
              <w:rPr>
                <w:rFonts w:ascii="Arial" w:hAnsi="Arial" w:cs="Arial"/>
              </w:rPr>
            </w:pPr>
            <w:r w:rsidRPr="00A10009">
              <w:t xml:space="preserve">Sector definitions should group together </w:t>
            </w:r>
            <w:r w:rsidR="008B1CE9">
              <w:t>entitie</w:t>
            </w:r>
            <w:r w:rsidRPr="00A10009">
              <w:t>s that are providing similar services, and compete in the same market — for example, group together all investment banking activity in Australia.</w:t>
            </w:r>
          </w:p>
        </w:tc>
      </w:tr>
      <w:tr w:rsidR="007A71B9" w:rsidRPr="00A93FE6" w14:paraId="0B3BA7E3" w14:textId="77777777" w:rsidTr="0003290A">
        <w:trPr>
          <w:trHeight w:val="456"/>
        </w:trPr>
        <w:tc>
          <w:tcPr>
            <w:tcW w:w="1666" w:type="dxa"/>
            <w:shd w:val="clear" w:color="auto" w:fill="DBE5F1" w:themeFill="accent1" w:themeFillTint="33"/>
            <w:tcMar>
              <w:top w:w="15" w:type="dxa"/>
              <w:left w:w="106" w:type="dxa"/>
              <w:bottom w:w="0" w:type="dxa"/>
              <w:right w:w="106" w:type="dxa"/>
            </w:tcMar>
            <w:vAlign w:val="center"/>
            <w:hideMark/>
          </w:tcPr>
          <w:p w14:paraId="05FFBB78" w14:textId="77777777" w:rsidR="007A71B9" w:rsidRPr="00E57739" w:rsidRDefault="007A71B9" w:rsidP="00055724">
            <w:pPr>
              <w:pStyle w:val="TableRowHeadingLeft"/>
            </w:pPr>
            <w:r w:rsidRPr="00E57739">
              <w:t>Efficient processing</w:t>
            </w:r>
          </w:p>
        </w:tc>
        <w:tc>
          <w:tcPr>
            <w:tcW w:w="7567" w:type="dxa"/>
            <w:shd w:val="clear" w:color="auto" w:fill="DBE5F1" w:themeFill="accent1" w:themeFillTint="33"/>
            <w:tcMar>
              <w:top w:w="15" w:type="dxa"/>
              <w:left w:w="106" w:type="dxa"/>
              <w:bottom w:w="0" w:type="dxa"/>
              <w:right w:w="106" w:type="dxa"/>
            </w:tcMar>
            <w:vAlign w:val="center"/>
            <w:hideMark/>
          </w:tcPr>
          <w:p w14:paraId="3EC79F6B" w14:textId="77777777" w:rsidR="007A71B9" w:rsidRPr="00A10009" w:rsidRDefault="007A71B9" w:rsidP="00055724">
            <w:pPr>
              <w:pStyle w:val="TableTextLeft"/>
              <w:rPr>
                <w:rFonts w:ascii="Arial" w:hAnsi="Arial" w:cs="Arial"/>
              </w:rPr>
            </w:pPr>
            <w:r w:rsidRPr="00A10009">
              <w:t xml:space="preserve">Billing and business activity collection should be done </w:t>
            </w:r>
            <w:r w:rsidR="00292F77" w:rsidRPr="00A10009">
              <w:t>through a web portal that users</w:t>
            </w:r>
            <w:r w:rsidRPr="00A10009">
              <w:t xml:space="preserve"> find </w:t>
            </w:r>
            <w:r w:rsidRPr="00A10009">
              <w:rPr>
                <w:lang w:val="en-US"/>
              </w:rPr>
              <w:t>simple, clear and fast to use</w:t>
            </w:r>
            <w:r w:rsidRPr="00A10009">
              <w:t>, and that is seamlessly connected to ASIC databases.</w:t>
            </w:r>
          </w:p>
        </w:tc>
      </w:tr>
    </w:tbl>
    <w:p w14:paraId="0AA4650B" w14:textId="77777777" w:rsidR="004D6DC6" w:rsidRDefault="004D6DC6" w:rsidP="004D6DC6"/>
    <w:tbl>
      <w:tblPr>
        <w:tblStyle w:val="boxQuestions0"/>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F2F2F2" w:themeFill="background1" w:themeFillShade="F2"/>
        <w:tblLook w:val="04A0" w:firstRow="1" w:lastRow="0" w:firstColumn="1" w:lastColumn="0" w:noHBand="0" w:noVBand="1"/>
      </w:tblPr>
      <w:tblGrid>
        <w:gridCol w:w="9235"/>
      </w:tblGrid>
      <w:tr w:rsidR="004D6DC6" w:rsidRPr="00AA0DF4" w14:paraId="2DAB37FC" w14:textId="77777777" w:rsidTr="00F633CF">
        <w:tc>
          <w:tcPr>
            <w:tcW w:w="9235" w:type="dxa"/>
            <w:shd w:val="clear" w:color="auto" w:fill="F2F2F2" w:themeFill="background1" w:themeFillShade="F2"/>
            <w:hideMark/>
          </w:tcPr>
          <w:p w14:paraId="5FC5059A" w14:textId="77777777" w:rsidR="004D6DC6" w:rsidRPr="009F21D6" w:rsidRDefault="006D6F65" w:rsidP="009F21D6">
            <w:pPr>
              <w:pStyle w:val="BoxQuestions-Heading"/>
            </w:pPr>
            <w:r w:rsidRPr="009F21D6">
              <w:t>Question</w:t>
            </w:r>
          </w:p>
          <w:p w14:paraId="2474BE09" w14:textId="7F7C1382" w:rsidR="004D6DC6" w:rsidRPr="006D6F65" w:rsidRDefault="004D6DC6" w:rsidP="00115B57">
            <w:pPr>
              <w:pStyle w:val="BoxQuestions"/>
            </w:pPr>
            <w:r w:rsidRPr="006D6F65">
              <w:t xml:space="preserve">Will the proposed model design objectives ensure consistency </w:t>
            </w:r>
            <w:r w:rsidR="008F03D3">
              <w:t xml:space="preserve">of </w:t>
            </w:r>
            <w:r w:rsidR="00614EE7">
              <w:t>approach</w:t>
            </w:r>
            <w:r w:rsidRPr="006D6F65">
              <w:t xml:space="preserve"> to setting levies and fees across ASIC’s regulated population? Are there other objectives that should be </w:t>
            </w:r>
            <w:r w:rsidR="004F0CCD" w:rsidRPr="006D6F65">
              <w:t>considered</w:t>
            </w:r>
            <w:r w:rsidRPr="006D6F65">
              <w:t>? If so, why?</w:t>
            </w:r>
          </w:p>
        </w:tc>
      </w:tr>
    </w:tbl>
    <w:p w14:paraId="1C8F9AC9" w14:textId="77777777" w:rsidR="00FD4B8A" w:rsidRPr="007564EF" w:rsidRDefault="007A71B9" w:rsidP="007564EF">
      <w:pPr>
        <w:pStyle w:val="Heading2"/>
      </w:pPr>
      <w:bookmarkStart w:id="80" w:name="_Toc466038549"/>
      <w:r w:rsidRPr="007564EF">
        <w:t>Model description</w:t>
      </w:r>
      <w:bookmarkEnd w:id="80"/>
    </w:p>
    <w:p w14:paraId="4C31DB7F" w14:textId="77777777" w:rsidR="00886EB9" w:rsidRDefault="00886EB9" w:rsidP="0021601B">
      <w:r>
        <w:t xml:space="preserve">In line with the principles of the Cost Recovery Framework, only the efficient costs </w:t>
      </w:r>
      <w:r w:rsidR="006F049E">
        <w:t xml:space="preserve">of ASIC’s regulatory </w:t>
      </w:r>
      <w:r>
        <w:t>activities would be recovered. The efficient costs represent the minimum necessary costs for ASIC to undertake these activities.</w:t>
      </w:r>
      <w:r w:rsidR="006F049E">
        <w:t xml:space="preserve"> ASIC w</w:t>
      </w:r>
      <w:r w:rsidR="00C828AE">
        <w:t>ould</w:t>
      </w:r>
      <w:r w:rsidR="006F049E">
        <w:t xml:space="preserve"> publish its actual costs of regulating each subsector in the previous year prior to calculating and is</w:t>
      </w:r>
      <w:r w:rsidR="00773505">
        <w:t>suing invoices for that period.</w:t>
      </w:r>
    </w:p>
    <w:p w14:paraId="2FBE861B" w14:textId="77777777" w:rsidR="004F0CCD" w:rsidRDefault="004F0CCD" w:rsidP="0021601B">
      <w:r>
        <w:t>ASIC’s activities can be broken up into two categories</w:t>
      </w:r>
      <w:r w:rsidR="001D7A82">
        <w:t xml:space="preserve">: </w:t>
      </w:r>
      <w:r w:rsidR="008243A9">
        <w:t>ongoing regulatory</w:t>
      </w:r>
      <w:r>
        <w:t xml:space="preserve"> activities</w:t>
      </w:r>
      <w:r w:rsidR="001D7A82">
        <w:t>;</w:t>
      </w:r>
      <w:r w:rsidR="008243A9">
        <w:t xml:space="preserve"> and</w:t>
      </w:r>
      <w:r w:rsidR="00055724">
        <w:br/>
      </w:r>
      <w:r w:rsidR="008243A9">
        <w:t>user-initiated service costs</w:t>
      </w:r>
      <w:r>
        <w:t>.</w:t>
      </w:r>
    </w:p>
    <w:p w14:paraId="3B2B9406" w14:textId="77777777" w:rsidR="008243A9" w:rsidRPr="00F21DD0" w:rsidRDefault="008243A9" w:rsidP="00F21DD0">
      <w:pPr>
        <w:pStyle w:val="Bullet"/>
      </w:pPr>
      <w:r w:rsidRPr="00F21DD0">
        <w:t>Ongoing regulatory activities, such as the cost of regulating financial advisers, w</w:t>
      </w:r>
      <w:r w:rsidR="006F049E" w:rsidRPr="00F21DD0">
        <w:t>ould</w:t>
      </w:r>
      <w:r w:rsidRPr="00F21DD0">
        <w:t xml:space="preserve"> be recovered via a levy.</w:t>
      </w:r>
    </w:p>
    <w:p w14:paraId="11DA7855" w14:textId="77777777" w:rsidR="00886EB9" w:rsidRPr="00F21DD0" w:rsidRDefault="008243A9" w:rsidP="00F21DD0">
      <w:pPr>
        <w:pStyle w:val="Bullet"/>
      </w:pPr>
      <w:r w:rsidRPr="00F21DD0">
        <w:t>User-initiated service costs</w:t>
      </w:r>
      <w:r w:rsidR="004F0CCD" w:rsidRPr="00F21DD0">
        <w:t xml:space="preserve">, such as </w:t>
      </w:r>
      <w:r w:rsidRPr="00F21DD0">
        <w:t xml:space="preserve">licensing, </w:t>
      </w:r>
      <w:r w:rsidR="006F049E" w:rsidRPr="00F21DD0">
        <w:t>would</w:t>
      </w:r>
      <w:r w:rsidR="004F0CCD" w:rsidRPr="00F21DD0">
        <w:t xml:space="preserve"> be recovered via </w:t>
      </w:r>
      <w:r w:rsidR="006F049E" w:rsidRPr="00F21DD0">
        <w:t>fees-for-service</w:t>
      </w:r>
      <w:r w:rsidRPr="00F21DD0">
        <w:t>.</w:t>
      </w:r>
    </w:p>
    <w:p w14:paraId="054719AB" w14:textId="77777777" w:rsidR="001A14DE" w:rsidRPr="00D15640" w:rsidRDefault="001A14DE" w:rsidP="007564EF">
      <w:pPr>
        <w:pStyle w:val="Heading3"/>
      </w:pPr>
      <w:r w:rsidRPr="00D15640">
        <w:t>Ongoing</w:t>
      </w:r>
      <w:r w:rsidR="00773505">
        <w:t xml:space="preserve"> regulatory activities – levies</w:t>
      </w:r>
    </w:p>
    <w:p w14:paraId="13B05EDC" w14:textId="0023AA37" w:rsidR="00A46EC0" w:rsidRPr="00C231F6" w:rsidRDefault="008F03D3" w:rsidP="0021601B">
      <w:r w:rsidRPr="008F03D3">
        <w:t>Under the proposed model approximately 88% of ASIC’s regulatory costs would be recovered through levies (Chart 1) with the remainder recovered through fees-for-service.</w:t>
      </w:r>
    </w:p>
    <w:p w14:paraId="7033D810" w14:textId="6622D172" w:rsidR="00A46EC0" w:rsidRPr="00057148" w:rsidRDefault="00A46EC0" w:rsidP="00057148">
      <w:pPr>
        <w:pStyle w:val="ChartMainHeading"/>
      </w:pPr>
      <w:r w:rsidRPr="00057148">
        <w:t xml:space="preserve">Chart </w:t>
      </w:r>
      <w:r w:rsidR="007E4B6E">
        <w:t>1</w:t>
      </w:r>
      <w:r w:rsidRPr="00057148">
        <w:t xml:space="preserve">: Forecast cost to be recovered through levies by sector </w:t>
      </w:r>
      <w:r w:rsidR="000D0A22" w:rsidRPr="00057148">
        <w:t>2016-17</w:t>
      </w:r>
    </w:p>
    <w:p w14:paraId="0FF4DC38" w14:textId="77777777" w:rsidR="00A46EC0" w:rsidRDefault="00515979" w:rsidP="00AE400F">
      <w:pPr>
        <w:pStyle w:val="ChartGraphic"/>
      </w:pPr>
      <w:r>
        <w:rPr>
          <w:noProof/>
        </w:rPr>
        <w:drawing>
          <wp:inline distT="0" distB="0" distL="0" distR="0" wp14:anchorId="57041BB9" wp14:editId="5EDBAAAB">
            <wp:extent cx="5148000" cy="397819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7">
                      <a:extLst>
                        <a:ext uri="{28A0092B-C50C-407E-A947-70E740481C1C}">
                          <a14:useLocalDpi xmlns:a14="http://schemas.microsoft.com/office/drawing/2010/main" val="0"/>
                        </a:ext>
                      </a:extLst>
                    </a:blip>
                    <a:srcRect l="571" t="2166" r="-1"/>
                    <a:stretch/>
                  </pic:blipFill>
                  <pic:spPr bwMode="auto">
                    <a:xfrm>
                      <a:off x="0" y="0"/>
                      <a:ext cx="5148000" cy="3978198"/>
                    </a:xfrm>
                    <a:prstGeom prst="rect">
                      <a:avLst/>
                    </a:prstGeom>
                    <a:noFill/>
                    <a:ln>
                      <a:noFill/>
                    </a:ln>
                    <a:extLst>
                      <a:ext uri="{53640926-AAD7-44D8-BBD7-CCE9431645EC}">
                        <a14:shadowObscured xmlns:a14="http://schemas.microsoft.com/office/drawing/2010/main"/>
                      </a:ext>
                    </a:extLst>
                  </pic:spPr>
                </pic:pic>
              </a:graphicData>
            </a:graphic>
          </wp:inline>
        </w:drawing>
      </w:r>
    </w:p>
    <w:p w14:paraId="3FB1144E" w14:textId="77777777" w:rsidR="00AE400F" w:rsidRDefault="00AE400F" w:rsidP="00057148">
      <w:pPr>
        <w:pStyle w:val="SingleParagraph"/>
      </w:pPr>
    </w:p>
    <w:p w14:paraId="0764C483" w14:textId="4435FD7A" w:rsidR="00A46EC0" w:rsidRDefault="00A46EC0" w:rsidP="0021601B">
      <w:pPr>
        <w:rPr>
          <w:rFonts w:asciiTheme="majorHAnsi" w:eastAsiaTheme="majorEastAsia" w:hAnsiTheme="majorHAnsi" w:cstheme="majorBidi"/>
          <w:b/>
          <w:bCs/>
          <w:color w:val="1F497D" w:themeColor="text2"/>
          <w:sz w:val="40"/>
          <w:szCs w:val="28"/>
        </w:rPr>
      </w:pPr>
      <w:r>
        <w:t>ASIC</w:t>
      </w:r>
      <w:r w:rsidR="00855394">
        <w:t>’s</w:t>
      </w:r>
      <w:r>
        <w:t xml:space="preserve"> </w:t>
      </w:r>
      <w:r w:rsidR="00D36683">
        <w:t>supporting attachment to the Government’s Proposals Paper</w:t>
      </w:r>
      <w:r w:rsidR="00855394">
        <w:t xml:space="preserve"> has </w:t>
      </w:r>
      <w:r>
        <w:t>further detail on the amount</w:t>
      </w:r>
      <w:r w:rsidR="005F60B7">
        <w:t>s</w:t>
      </w:r>
      <w:r>
        <w:t xml:space="preserve"> to be recovered </w:t>
      </w:r>
      <w:r w:rsidR="005F60B7">
        <w:t>from</w:t>
      </w:r>
      <w:r>
        <w:t xml:space="preserve"> industry.</w:t>
      </w:r>
    </w:p>
    <w:p w14:paraId="3FD396B4" w14:textId="0FEB74D6" w:rsidR="00A46EC0" w:rsidRDefault="00E406F1" w:rsidP="0021601B">
      <w:r>
        <w:t xml:space="preserve">The model </w:t>
      </w:r>
      <w:r w:rsidR="005212BC">
        <w:t xml:space="preserve">for recovering </w:t>
      </w:r>
      <w:r w:rsidR="002834F9">
        <w:t xml:space="preserve">ASIC’s </w:t>
      </w:r>
      <w:r w:rsidR="00EE7BDC">
        <w:t xml:space="preserve">regulatory costs </w:t>
      </w:r>
      <w:r w:rsidR="002834F9">
        <w:t xml:space="preserve">via </w:t>
      </w:r>
      <w:r w:rsidR="00EE7BDC">
        <w:t xml:space="preserve">levies </w:t>
      </w:r>
      <w:r>
        <w:t xml:space="preserve">is designed to ensure that only </w:t>
      </w:r>
      <w:r w:rsidR="002834F9">
        <w:t>the</w:t>
      </w:r>
      <w:r>
        <w:t xml:space="preserve"> </w:t>
      </w:r>
      <w:r w:rsidR="00D36683">
        <w:t xml:space="preserve">efficient </w:t>
      </w:r>
      <w:r>
        <w:t xml:space="preserve">costs </w:t>
      </w:r>
      <w:r w:rsidR="007A39CC">
        <w:t xml:space="preserve">of regulating each sector </w:t>
      </w:r>
      <w:r w:rsidR="000002A7">
        <w:t>are</w:t>
      </w:r>
      <w:r>
        <w:t xml:space="preserve"> recovered</w:t>
      </w:r>
      <w:r w:rsidR="002834F9">
        <w:t xml:space="preserve"> in a </w:t>
      </w:r>
      <w:r w:rsidR="002834F9" w:rsidDel="00E7776F">
        <w:t xml:space="preserve">transparent and accountable </w:t>
      </w:r>
      <w:r w:rsidR="00A617DC">
        <w:t>way.</w:t>
      </w:r>
    </w:p>
    <w:p w14:paraId="33494B50" w14:textId="77777777" w:rsidR="002834F9" w:rsidRDefault="0041732B" w:rsidP="0021601B">
      <w:r>
        <w:t xml:space="preserve">There are two steps in the </w:t>
      </w:r>
      <w:r w:rsidR="006F049E">
        <w:t xml:space="preserve">cost </w:t>
      </w:r>
      <w:r w:rsidR="00454068">
        <w:t>allocation process.</w:t>
      </w:r>
    </w:p>
    <w:p w14:paraId="1DDB0053" w14:textId="08E6937D" w:rsidR="00A46EC0" w:rsidRDefault="00A46EC0" w:rsidP="00057148">
      <w:pPr>
        <w:pStyle w:val="FigureHeading"/>
      </w:pPr>
      <w:r>
        <w:t xml:space="preserve">Figure </w:t>
      </w:r>
      <w:r w:rsidR="00A617DC">
        <w:t>1</w:t>
      </w:r>
      <w:r>
        <w:t>: Levy calculation</w:t>
      </w:r>
      <w:r w:rsidR="00773505">
        <w:t>: Step One</w:t>
      </w:r>
    </w:p>
    <w:p w14:paraId="75A835D5" w14:textId="77777777" w:rsidR="00A46EC0" w:rsidRDefault="0060584C" w:rsidP="00057148">
      <w:pPr>
        <w:pStyle w:val="ChartGraphic"/>
      </w:pPr>
      <w:r>
        <w:rPr>
          <w:noProof/>
        </w:rPr>
        <w:drawing>
          <wp:inline distT="0" distB="0" distL="0" distR="0" wp14:anchorId="01BA0A83" wp14:editId="4A2590AF">
            <wp:extent cx="5400000" cy="189554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8">
                      <a:extLst>
                        <a:ext uri="{28A0092B-C50C-407E-A947-70E740481C1C}">
                          <a14:useLocalDpi xmlns:a14="http://schemas.microsoft.com/office/drawing/2010/main" val="0"/>
                        </a:ext>
                      </a:extLst>
                    </a:blip>
                    <a:srcRect t="2299" b="3441"/>
                    <a:stretch/>
                  </pic:blipFill>
                  <pic:spPr bwMode="auto">
                    <a:xfrm>
                      <a:off x="0" y="0"/>
                      <a:ext cx="5400000" cy="1895548"/>
                    </a:xfrm>
                    <a:prstGeom prst="rect">
                      <a:avLst/>
                    </a:prstGeom>
                    <a:noFill/>
                    <a:ln>
                      <a:noFill/>
                    </a:ln>
                    <a:extLst>
                      <a:ext uri="{53640926-AAD7-44D8-BBD7-CCE9431645EC}">
                        <a14:shadowObscured xmlns:a14="http://schemas.microsoft.com/office/drawing/2010/main"/>
                      </a:ext>
                    </a:extLst>
                  </pic:spPr>
                </pic:pic>
              </a:graphicData>
            </a:graphic>
          </wp:inline>
        </w:drawing>
      </w:r>
    </w:p>
    <w:p w14:paraId="0971B6E4" w14:textId="13878F8D" w:rsidR="00AE400F" w:rsidRDefault="00AE400F" w:rsidP="005E7BCA">
      <w:pPr>
        <w:pStyle w:val="Heading4"/>
      </w:pPr>
      <w:r>
        <w:br w:type="page"/>
      </w:r>
      <w:r w:rsidR="0041732B">
        <w:t>Step 1</w:t>
      </w:r>
    </w:p>
    <w:p w14:paraId="6A8204B2" w14:textId="471621B1" w:rsidR="00A46EC0" w:rsidRDefault="002630B6" w:rsidP="00AE400F">
      <w:r w:rsidRPr="002630B6">
        <w:t xml:space="preserve">The model </w:t>
      </w:r>
      <w:r>
        <w:t>allocate</w:t>
      </w:r>
      <w:r w:rsidR="002834F9">
        <w:t>s</w:t>
      </w:r>
      <w:r w:rsidRPr="002630B6">
        <w:t xml:space="preserve"> levies </w:t>
      </w:r>
      <w:r w:rsidR="002834F9">
        <w:t xml:space="preserve">to </w:t>
      </w:r>
      <w:r w:rsidR="00FA6679">
        <w:t xml:space="preserve">each </w:t>
      </w:r>
      <w:r w:rsidR="002834F9">
        <w:t xml:space="preserve">subsector </w:t>
      </w:r>
      <w:r w:rsidRPr="002630B6">
        <w:t xml:space="preserve">based on ASIC’s </w:t>
      </w:r>
      <w:r w:rsidR="00A46EC0">
        <w:t xml:space="preserve">actual </w:t>
      </w:r>
      <w:r w:rsidRPr="002630B6">
        <w:t xml:space="preserve">reported </w:t>
      </w:r>
      <w:r w:rsidR="002834F9">
        <w:t xml:space="preserve">regulatory </w:t>
      </w:r>
      <w:r w:rsidR="00A46EC0">
        <w:t>effort</w:t>
      </w:r>
      <w:r w:rsidR="00A46EC0" w:rsidRPr="002630B6">
        <w:t xml:space="preserve"> </w:t>
      </w:r>
      <w:r w:rsidRPr="002630B6">
        <w:t>for the previous year.</w:t>
      </w:r>
      <w:r w:rsidR="00A46EC0">
        <w:t xml:space="preserve"> Levies w</w:t>
      </w:r>
      <w:r w:rsidR="00C828AE">
        <w:t>ould</w:t>
      </w:r>
      <w:r w:rsidR="00A46EC0">
        <w:t xml:space="preserve"> be calculated after the business activity has occurred and ASIC has finalised its regulatory costs (</w:t>
      </w:r>
      <w:r w:rsidR="00F633CF">
        <w:t xml:space="preserve">that is, </w:t>
      </w:r>
      <w:r w:rsidR="00F96D0F">
        <w:t>‘ex-</w:t>
      </w:r>
      <w:r w:rsidR="00A46EC0">
        <w:t>post’).</w:t>
      </w:r>
    </w:p>
    <w:p w14:paraId="18FAFF87" w14:textId="4090CC9B" w:rsidR="008806FB" w:rsidRPr="00F21DD0" w:rsidRDefault="006F049E" w:rsidP="00AE400F">
      <w:pPr>
        <w:pStyle w:val="Bullet"/>
      </w:pPr>
      <w:r w:rsidRPr="00F21DD0">
        <w:t>S</w:t>
      </w:r>
      <w:r w:rsidR="0041732B" w:rsidRPr="00F21DD0">
        <w:t xml:space="preserve">ectors </w:t>
      </w:r>
      <w:r w:rsidRPr="00F21DD0">
        <w:t>are broken</w:t>
      </w:r>
      <w:r w:rsidR="0041732B" w:rsidRPr="00F21DD0">
        <w:t xml:space="preserve"> down further where it is possible to </w:t>
      </w:r>
      <w:r w:rsidR="00202174" w:rsidRPr="00F21DD0">
        <w:t>define</w:t>
      </w:r>
      <w:r w:rsidR="00690E44" w:rsidRPr="00F21DD0">
        <w:t xml:space="preserve"> group</w:t>
      </w:r>
      <w:r w:rsidR="0041732B" w:rsidRPr="00F21DD0">
        <w:t>s of</w:t>
      </w:r>
      <w:r w:rsidR="00690E44" w:rsidRPr="00F21DD0">
        <w:t xml:space="preserve"> </w:t>
      </w:r>
      <w:r w:rsidR="008B1CE9" w:rsidRPr="00F21DD0">
        <w:t>entitie</w:t>
      </w:r>
      <w:r w:rsidR="00690E44" w:rsidRPr="00F21DD0">
        <w:t>s within a sector who share similar regulatory oversight. For example</w:t>
      </w:r>
      <w:r w:rsidR="000002A7">
        <w:t>,</w:t>
      </w:r>
      <w:r w:rsidR="00690E44" w:rsidRPr="00F21DD0">
        <w:t xml:space="preserve"> within the </w:t>
      </w:r>
      <w:r w:rsidR="00CE1FFC" w:rsidRPr="00F21DD0">
        <w:t xml:space="preserve">deposit taking and </w:t>
      </w:r>
      <w:r w:rsidR="005611D3" w:rsidRPr="00F21DD0">
        <w:t>credit</w:t>
      </w:r>
      <w:r w:rsidR="00690E44" w:rsidRPr="00F21DD0">
        <w:t xml:space="preserve"> sector, credit </w:t>
      </w:r>
      <w:r w:rsidR="005611D3" w:rsidRPr="00F21DD0">
        <w:t xml:space="preserve">providers </w:t>
      </w:r>
      <w:r w:rsidR="00690E44" w:rsidRPr="00F21DD0">
        <w:t xml:space="preserve">are </w:t>
      </w:r>
      <w:r w:rsidR="00690E44" w:rsidRPr="008373BC">
        <w:t xml:space="preserve">grouped </w:t>
      </w:r>
      <w:r w:rsidR="001D002B" w:rsidRPr="008373BC">
        <w:t>together into</w:t>
      </w:r>
      <w:r w:rsidR="00690E44" w:rsidRPr="008373BC">
        <w:t xml:space="preserve"> a subsector</w:t>
      </w:r>
      <w:r w:rsidR="0096623C" w:rsidRPr="008373BC">
        <w:t xml:space="preserve"> as they share common regulatory oversight requirements</w:t>
      </w:r>
      <w:r w:rsidR="00690E44" w:rsidRPr="008373BC">
        <w:t>.</w:t>
      </w:r>
      <w:r w:rsidR="00761245" w:rsidRPr="008373BC">
        <w:t xml:space="preserve"> (See </w:t>
      </w:r>
      <w:r w:rsidR="00761245" w:rsidRPr="008B383F">
        <w:rPr>
          <w:b/>
        </w:rPr>
        <w:t xml:space="preserve">Schedule </w:t>
      </w:r>
      <w:r w:rsidR="006B3C6D" w:rsidRPr="008B383F">
        <w:rPr>
          <w:b/>
        </w:rPr>
        <w:t>3</w:t>
      </w:r>
      <w:r w:rsidR="00761245" w:rsidRPr="008373BC">
        <w:t xml:space="preserve"> for a complete</w:t>
      </w:r>
      <w:r w:rsidR="00761245" w:rsidRPr="00F21DD0">
        <w:t xml:space="preserve"> list)</w:t>
      </w:r>
      <w:r w:rsidR="002834F9" w:rsidRPr="00F21DD0">
        <w:t>.</w:t>
      </w:r>
    </w:p>
    <w:p w14:paraId="70298FDE" w14:textId="01802ADB" w:rsidR="006301C8" w:rsidRPr="00AE400F" w:rsidRDefault="006301C8" w:rsidP="00057148">
      <w:pPr>
        <w:pStyle w:val="FigureHeading"/>
      </w:pPr>
      <w:r w:rsidRPr="00AE400F">
        <w:t xml:space="preserve">Figure </w:t>
      </w:r>
      <w:r w:rsidR="00A617DC">
        <w:t>2</w:t>
      </w:r>
      <w:r w:rsidR="00773505">
        <w:t>: Levy calculation: Step Two</w:t>
      </w:r>
    </w:p>
    <w:p w14:paraId="05812FD6" w14:textId="77777777" w:rsidR="006301C8" w:rsidRDefault="006301C8" w:rsidP="00057148">
      <w:pPr>
        <w:pStyle w:val="ChartGraphic"/>
      </w:pPr>
      <w:r w:rsidRPr="00AE400F">
        <w:rPr>
          <w:noProof/>
        </w:rPr>
        <w:drawing>
          <wp:inline distT="0" distB="0" distL="0" distR="0" wp14:anchorId="6DE2CD35" wp14:editId="30E76763">
            <wp:extent cx="5148000" cy="185186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9">
                      <a:extLst>
                        <a:ext uri="{28A0092B-C50C-407E-A947-70E740481C1C}">
                          <a14:useLocalDpi xmlns:a14="http://schemas.microsoft.com/office/drawing/2010/main" val="0"/>
                        </a:ext>
                      </a:extLst>
                    </a:blip>
                    <a:srcRect l="1168" r="1836" b="4062"/>
                    <a:stretch/>
                  </pic:blipFill>
                  <pic:spPr bwMode="auto">
                    <a:xfrm>
                      <a:off x="0" y="0"/>
                      <a:ext cx="5148000" cy="1851862"/>
                    </a:xfrm>
                    <a:prstGeom prst="rect">
                      <a:avLst/>
                    </a:prstGeom>
                    <a:noFill/>
                    <a:ln>
                      <a:noFill/>
                    </a:ln>
                    <a:extLst>
                      <a:ext uri="{53640926-AAD7-44D8-BBD7-CCE9431645EC}">
                        <a14:shadowObscured xmlns:a14="http://schemas.microsoft.com/office/drawing/2010/main"/>
                      </a:ext>
                    </a:extLst>
                  </pic:spPr>
                </pic:pic>
              </a:graphicData>
            </a:graphic>
          </wp:inline>
        </w:drawing>
      </w:r>
    </w:p>
    <w:p w14:paraId="4814E5B4" w14:textId="77777777" w:rsidR="00AE400F" w:rsidRDefault="00AE400F" w:rsidP="00AE400F">
      <w:pPr>
        <w:pStyle w:val="SingleParagraph"/>
      </w:pPr>
    </w:p>
    <w:p w14:paraId="64BD16BC" w14:textId="77777777" w:rsidR="00AE400F" w:rsidRDefault="00AE400F" w:rsidP="00AE400F">
      <w:pPr>
        <w:pStyle w:val="Heading4"/>
      </w:pPr>
      <w:r>
        <w:t>Step 2</w:t>
      </w:r>
    </w:p>
    <w:p w14:paraId="451E1D29" w14:textId="2D760515" w:rsidR="0041732B" w:rsidRPr="002630B6" w:rsidRDefault="0041732B" w:rsidP="00AE400F">
      <w:r>
        <w:t xml:space="preserve">Individual </w:t>
      </w:r>
      <w:r w:rsidR="008B1CE9">
        <w:t>entity</w:t>
      </w:r>
      <w:r>
        <w:t xml:space="preserve"> levi</w:t>
      </w:r>
      <w:r w:rsidRPr="002630B6">
        <w:t xml:space="preserve">es are then allocated based on </w:t>
      </w:r>
      <w:r>
        <w:t xml:space="preserve">their actual </w:t>
      </w:r>
      <w:r w:rsidR="00A46EC0">
        <w:t xml:space="preserve">reported </w:t>
      </w:r>
      <w:r w:rsidRPr="002630B6">
        <w:t xml:space="preserve">business activity </w:t>
      </w:r>
      <w:r>
        <w:t xml:space="preserve">metrics </w:t>
      </w:r>
      <w:r w:rsidRPr="002630B6">
        <w:t xml:space="preserve">or </w:t>
      </w:r>
      <w:r w:rsidR="00A46EC0">
        <w:t xml:space="preserve">for some subsectors </w:t>
      </w:r>
      <w:r w:rsidRPr="002630B6">
        <w:t>as a flat levy where there is no relevant activity metric</w:t>
      </w:r>
      <w:r w:rsidR="00A617DC">
        <w:t>.</w:t>
      </w:r>
    </w:p>
    <w:p w14:paraId="2F519931" w14:textId="1DDD446C" w:rsidR="008806FB" w:rsidRPr="0021601B" w:rsidRDefault="00AA7089" w:rsidP="00AE400F">
      <w:r w:rsidRPr="0021601B">
        <w:t xml:space="preserve">The </w:t>
      </w:r>
      <w:r w:rsidR="0041732B" w:rsidRPr="0021601B">
        <w:t xml:space="preserve">activity </w:t>
      </w:r>
      <w:r w:rsidRPr="0021601B">
        <w:t xml:space="preserve">metrics chosen </w:t>
      </w:r>
      <w:r w:rsidR="002834F9" w:rsidRPr="0021601B">
        <w:t xml:space="preserve">for each subsector </w:t>
      </w:r>
      <w:r w:rsidRPr="0021601B">
        <w:t xml:space="preserve">are those </w:t>
      </w:r>
      <w:r w:rsidR="0041732B" w:rsidRPr="0021601B">
        <w:t xml:space="preserve">judged to most closely represent </w:t>
      </w:r>
      <w:r w:rsidR="008806FB" w:rsidRPr="0021601B">
        <w:t xml:space="preserve">ASIC’s </w:t>
      </w:r>
      <w:r w:rsidR="00A46EC0" w:rsidRPr="0021601B">
        <w:t xml:space="preserve">cost of regulating and the </w:t>
      </w:r>
      <w:r w:rsidR="001D2FED">
        <w:t xml:space="preserve">extent to which entities create the need for regulation. </w:t>
      </w:r>
      <w:r w:rsidR="00A46EC0" w:rsidRPr="0021601B">
        <w:t>Metrics used include f</w:t>
      </w:r>
      <w:r w:rsidR="008806FB" w:rsidRPr="0021601B">
        <w:t>or example:</w:t>
      </w:r>
    </w:p>
    <w:p w14:paraId="686ECAD5" w14:textId="77777777" w:rsidR="008806FB" w:rsidRPr="00F21DD0" w:rsidRDefault="008806FB" w:rsidP="00AE400F">
      <w:pPr>
        <w:pStyle w:val="Bullet"/>
      </w:pPr>
      <w:r w:rsidRPr="00F21DD0">
        <w:t xml:space="preserve">the number of financial </w:t>
      </w:r>
      <w:r w:rsidR="00DC4A11" w:rsidRPr="00F21DD0">
        <w:t>adviser</w:t>
      </w:r>
      <w:r w:rsidRPr="00F21DD0">
        <w:t xml:space="preserve">s </w:t>
      </w:r>
      <w:r w:rsidR="002834F9" w:rsidRPr="00F21DD0">
        <w:t>employed by</w:t>
      </w:r>
      <w:r w:rsidRPr="00F21DD0">
        <w:t xml:space="preserve"> a</w:t>
      </w:r>
      <w:r w:rsidR="00320FD1" w:rsidRPr="00F21DD0">
        <w:t>n</w:t>
      </w:r>
      <w:r w:rsidRPr="00F21DD0">
        <w:t xml:space="preserve"> </w:t>
      </w:r>
      <w:r w:rsidR="008B1CE9" w:rsidRPr="00F21DD0">
        <w:t>entity</w:t>
      </w:r>
      <w:r w:rsidR="002834F9" w:rsidRPr="00F21DD0">
        <w:t xml:space="preserve"> </w:t>
      </w:r>
      <w:r w:rsidR="0041732B" w:rsidRPr="00F21DD0">
        <w:t>is the metric t</w:t>
      </w:r>
      <w:r w:rsidR="002E7B08" w:rsidRPr="00F21DD0">
        <w:t xml:space="preserve">hat reflects </w:t>
      </w:r>
      <w:r w:rsidRPr="00F21DD0">
        <w:t xml:space="preserve">ASIC’s </w:t>
      </w:r>
      <w:r w:rsidR="008102A5" w:rsidRPr="00F21DD0">
        <w:t xml:space="preserve">regulatory </w:t>
      </w:r>
      <w:r w:rsidRPr="00F21DD0">
        <w:t>cost</w:t>
      </w:r>
      <w:r w:rsidR="002E7B08" w:rsidRPr="00F21DD0">
        <w:t>, as the greater the number of adviser</w:t>
      </w:r>
      <w:r w:rsidR="00AF059C" w:rsidRPr="00F21DD0">
        <w:t>s</w:t>
      </w:r>
      <w:r w:rsidR="002E7B08" w:rsidRPr="00F21DD0">
        <w:t>, the larger the number of clients being serviced and the higher the level of regulatory oversight required by ASIC.</w:t>
      </w:r>
    </w:p>
    <w:p w14:paraId="7D684C01" w14:textId="77777777" w:rsidR="006D58D9" w:rsidRPr="00F21DD0" w:rsidRDefault="008806FB" w:rsidP="00AE400F">
      <w:pPr>
        <w:pStyle w:val="Bullet"/>
      </w:pPr>
      <w:r w:rsidRPr="00F21DD0">
        <w:t>the market capitalisation of</w:t>
      </w:r>
      <w:r w:rsidR="000D0A22" w:rsidRPr="00F21DD0">
        <w:t xml:space="preserve"> public</w:t>
      </w:r>
      <w:r w:rsidR="00FC0549" w:rsidRPr="00F21DD0">
        <w:t xml:space="preserve"> listed companies</w:t>
      </w:r>
      <w:r w:rsidRPr="00F21DD0">
        <w:t xml:space="preserve"> </w:t>
      </w:r>
      <w:r w:rsidR="0041732B" w:rsidRPr="00F21DD0">
        <w:t>is the metric judged to r</w:t>
      </w:r>
      <w:r w:rsidRPr="00F21DD0">
        <w:t xml:space="preserve">eflect the </w:t>
      </w:r>
      <w:r w:rsidR="00633C1F" w:rsidRPr="00F21DD0">
        <w:t xml:space="preserve">quantum of </w:t>
      </w:r>
      <w:r w:rsidR="00AE6254" w:rsidRPr="00F21DD0">
        <w:t xml:space="preserve">potential </w:t>
      </w:r>
      <w:r w:rsidRPr="00F21DD0">
        <w:t>investor harm from any misconduct</w:t>
      </w:r>
      <w:r w:rsidR="001E18DE" w:rsidRPr="00F21DD0">
        <w:t>,</w:t>
      </w:r>
      <w:r w:rsidRPr="00F21DD0">
        <w:t xml:space="preserve"> as well</w:t>
      </w:r>
      <w:r w:rsidR="001E18DE" w:rsidRPr="00F21DD0">
        <w:t xml:space="preserve"> </w:t>
      </w:r>
      <w:r w:rsidRPr="00F21DD0">
        <w:t xml:space="preserve">as the </w:t>
      </w:r>
      <w:r w:rsidR="0096623C" w:rsidRPr="00F21DD0">
        <w:t xml:space="preserve">rising </w:t>
      </w:r>
      <w:r w:rsidRPr="00F21DD0">
        <w:t>cost and com</w:t>
      </w:r>
      <w:r w:rsidR="001E18DE" w:rsidRPr="00F21DD0">
        <w:t xml:space="preserve">plexity of </w:t>
      </w:r>
      <w:r w:rsidR="00847098" w:rsidRPr="00F21DD0">
        <w:t>regulation</w:t>
      </w:r>
      <w:r w:rsidR="0096623C" w:rsidRPr="00F21DD0">
        <w:t xml:space="preserve"> with increasing company size.</w:t>
      </w:r>
    </w:p>
    <w:p w14:paraId="2538C185" w14:textId="77777777" w:rsidR="0041732B" w:rsidRPr="00AE400F" w:rsidRDefault="00927CAC" w:rsidP="00AE400F">
      <w:r w:rsidRPr="00AE400F">
        <w:t xml:space="preserve">In some </w:t>
      </w:r>
      <w:r w:rsidR="0096623C" w:rsidRPr="00AE400F">
        <w:t xml:space="preserve">cases </w:t>
      </w:r>
      <w:r w:rsidR="002834F9" w:rsidRPr="00AE400F">
        <w:t xml:space="preserve">an appropriate metric is not available, or it </w:t>
      </w:r>
      <w:r w:rsidR="0041732B" w:rsidRPr="00AE400F">
        <w:t xml:space="preserve">was </w:t>
      </w:r>
      <w:r w:rsidR="002834F9" w:rsidRPr="00AE400F">
        <w:t xml:space="preserve">judged </w:t>
      </w:r>
      <w:r w:rsidR="0096623C" w:rsidRPr="00AE400F">
        <w:t>too burdensome to</w:t>
      </w:r>
      <w:r w:rsidR="0096623C">
        <w:t xml:space="preserve"> </w:t>
      </w:r>
      <w:r w:rsidR="0096623C" w:rsidRPr="00AE400F">
        <w:t>collect information</w:t>
      </w:r>
      <w:r w:rsidR="00202174" w:rsidRPr="00AE400F">
        <w:t xml:space="preserve"> on </w:t>
      </w:r>
      <w:r w:rsidR="002834F9" w:rsidRPr="00AE400F">
        <w:t xml:space="preserve">a particular </w:t>
      </w:r>
      <w:r w:rsidR="00202174" w:rsidRPr="00AE400F">
        <w:t>business activity</w:t>
      </w:r>
      <w:r w:rsidR="0096623C" w:rsidRPr="00AE400F">
        <w:t xml:space="preserve"> </w:t>
      </w:r>
      <w:r w:rsidR="002834F9" w:rsidRPr="00AE400F">
        <w:t xml:space="preserve">only </w:t>
      </w:r>
      <w:r w:rsidR="0041732B" w:rsidRPr="00AE400F">
        <w:t xml:space="preserve">for </w:t>
      </w:r>
      <w:r w:rsidR="002834F9" w:rsidRPr="00AE400F">
        <w:t>the purpose of calculating the levy</w:t>
      </w:r>
      <w:r w:rsidR="0096623C" w:rsidRPr="00AE400F">
        <w:t xml:space="preserve">. </w:t>
      </w:r>
      <w:r w:rsidR="002834F9" w:rsidRPr="00AE400F">
        <w:t xml:space="preserve">In this case, </w:t>
      </w:r>
      <w:r w:rsidR="0041732B" w:rsidRPr="00AE400F">
        <w:t>the regulatory</w:t>
      </w:r>
      <w:r w:rsidRPr="00AE400F">
        <w:t xml:space="preserve"> costs w</w:t>
      </w:r>
      <w:r w:rsidR="00C828AE" w:rsidRPr="00AE400F">
        <w:t>ould</w:t>
      </w:r>
      <w:r w:rsidRPr="00AE400F">
        <w:t xml:space="preserve"> be shared equally </w:t>
      </w:r>
      <w:r w:rsidR="002834F9" w:rsidRPr="00AE400F">
        <w:t xml:space="preserve">across </w:t>
      </w:r>
      <w:r w:rsidR="008B1CE9" w:rsidRPr="00AE400F">
        <w:t>entitie</w:t>
      </w:r>
      <w:r w:rsidR="002834F9" w:rsidRPr="00AE400F">
        <w:t>s i</w:t>
      </w:r>
      <w:r w:rsidRPr="00AE400F">
        <w:t>n a subsector.</w:t>
      </w:r>
      <w:r w:rsidR="00690E44" w:rsidRPr="00AE400F">
        <w:t xml:space="preserve"> </w:t>
      </w:r>
      <w:r w:rsidR="002834F9" w:rsidRPr="00AE400F">
        <w:t>F</w:t>
      </w:r>
      <w:r w:rsidR="00690E44" w:rsidRPr="00AE400F">
        <w:t>or example</w:t>
      </w:r>
      <w:r w:rsidR="0041732B" w:rsidRPr="00AE400F">
        <w:t>:</w:t>
      </w:r>
    </w:p>
    <w:p w14:paraId="0D64C83D" w14:textId="77777777" w:rsidR="00633C1F" w:rsidRPr="00F21DD0" w:rsidRDefault="002834F9" w:rsidP="00AE400F">
      <w:pPr>
        <w:pStyle w:val="Bullet"/>
      </w:pPr>
      <w:r w:rsidRPr="00F21DD0">
        <w:t>for</w:t>
      </w:r>
      <w:r w:rsidR="00847098" w:rsidRPr="00F21DD0">
        <w:t xml:space="preserve"> </w:t>
      </w:r>
      <w:r w:rsidR="00C74477" w:rsidRPr="00F21DD0">
        <w:t xml:space="preserve">large </w:t>
      </w:r>
      <w:r w:rsidR="00690E44" w:rsidRPr="00F21DD0">
        <w:t>proprietary companies, each w</w:t>
      </w:r>
      <w:r w:rsidR="00C828AE" w:rsidRPr="00F21DD0">
        <w:t>ould</w:t>
      </w:r>
      <w:r w:rsidR="00690E44" w:rsidRPr="00F21DD0">
        <w:t xml:space="preserve"> pay a small levy </w:t>
      </w:r>
      <w:r w:rsidR="00847098" w:rsidRPr="00F21DD0">
        <w:t>of</w:t>
      </w:r>
      <w:r w:rsidR="00690E44" w:rsidRPr="00F21DD0">
        <w:t xml:space="preserve"> $</w:t>
      </w:r>
      <w:r w:rsidR="00AF059C" w:rsidRPr="00F21DD0">
        <w:t>350</w:t>
      </w:r>
      <w:r w:rsidR="008102A5" w:rsidRPr="00F21DD0">
        <w:t xml:space="preserve"> reflect</w:t>
      </w:r>
      <w:r w:rsidR="00F87101" w:rsidRPr="00F21DD0">
        <w:t>ing</w:t>
      </w:r>
      <w:r w:rsidR="008102A5" w:rsidRPr="00F21DD0">
        <w:t xml:space="preserve"> the costs of regulating this subsector.</w:t>
      </w:r>
    </w:p>
    <w:p w14:paraId="51E7577C" w14:textId="1CD42D4A" w:rsidR="009459F1" w:rsidRPr="0099468D" w:rsidRDefault="00A46EC0" w:rsidP="0099468D">
      <w:pPr>
        <w:rPr>
          <w:rFonts w:eastAsiaTheme="minorHAnsi"/>
          <w:lang w:eastAsia="en-US"/>
        </w:rPr>
      </w:pPr>
      <w:r>
        <w:rPr>
          <w:rFonts w:eastAsiaTheme="minorHAnsi"/>
          <w:lang w:eastAsia="en-US"/>
        </w:rPr>
        <w:t>T</w:t>
      </w:r>
      <w:r w:rsidRPr="005F2438">
        <w:rPr>
          <w:rFonts w:eastAsiaTheme="minorHAnsi"/>
          <w:lang w:eastAsia="en-US"/>
        </w:rPr>
        <w:t xml:space="preserve">here </w:t>
      </w:r>
      <w:r w:rsidR="00C828AE">
        <w:rPr>
          <w:rFonts w:eastAsiaTheme="minorHAnsi"/>
          <w:lang w:eastAsia="en-US"/>
        </w:rPr>
        <w:t>would</w:t>
      </w:r>
      <w:r w:rsidRPr="005F2438">
        <w:rPr>
          <w:rFonts w:eastAsiaTheme="minorHAnsi"/>
          <w:lang w:eastAsia="en-US"/>
        </w:rPr>
        <w:t xml:space="preserve"> be a minimum levy to reflect the minim</w:t>
      </w:r>
      <w:r w:rsidR="00FC0549">
        <w:rPr>
          <w:rFonts w:eastAsiaTheme="minorHAnsi"/>
          <w:lang w:eastAsia="en-US"/>
        </w:rPr>
        <w:t>um</w:t>
      </w:r>
      <w:r w:rsidRPr="005F2438">
        <w:rPr>
          <w:rFonts w:eastAsiaTheme="minorHAnsi"/>
          <w:lang w:eastAsia="en-US"/>
        </w:rPr>
        <w:t xml:space="preserve"> cost for ASIC in regulating any entity.</w:t>
      </w:r>
      <w:r>
        <w:rPr>
          <w:rFonts w:eastAsiaTheme="minorHAnsi"/>
          <w:lang w:eastAsia="en-US"/>
        </w:rPr>
        <w:t xml:space="preserve"> </w:t>
      </w:r>
      <w:r w:rsidR="00FA6679">
        <w:rPr>
          <w:rFonts w:eastAsiaTheme="minorHAnsi"/>
          <w:lang w:eastAsia="en-US"/>
        </w:rPr>
        <w:t>In</w:t>
      </w:r>
      <w:r w:rsidR="00F633CF">
        <w:rPr>
          <w:rFonts w:eastAsiaTheme="minorHAnsi"/>
          <w:lang w:eastAsia="en-US"/>
        </w:rPr>
        <w:t> </w:t>
      </w:r>
      <w:r w:rsidR="00FA6679">
        <w:rPr>
          <w:rFonts w:eastAsiaTheme="minorHAnsi"/>
          <w:lang w:eastAsia="en-US"/>
        </w:rPr>
        <w:t>many</w:t>
      </w:r>
      <w:r>
        <w:rPr>
          <w:rFonts w:eastAsiaTheme="minorHAnsi"/>
          <w:lang w:eastAsia="en-US"/>
        </w:rPr>
        <w:t xml:space="preserve"> cases these minimum levies </w:t>
      </w:r>
      <w:r w:rsidR="00AE6254">
        <w:rPr>
          <w:rFonts w:eastAsiaTheme="minorHAnsi"/>
          <w:lang w:eastAsia="en-US"/>
        </w:rPr>
        <w:t>are lower than those proposed in the 2015 consultation reflecting the more precise model design</w:t>
      </w:r>
      <w:r w:rsidR="00AD5A29">
        <w:rPr>
          <w:rFonts w:eastAsiaTheme="minorHAnsi"/>
          <w:lang w:eastAsia="en-US"/>
        </w:rPr>
        <w:t xml:space="preserve">. </w:t>
      </w:r>
      <w:r w:rsidR="0099468D">
        <w:rPr>
          <w:rFonts w:eastAsiaTheme="minorHAnsi"/>
          <w:lang w:eastAsia="en-US"/>
        </w:rPr>
        <w:t xml:space="preserve"> </w:t>
      </w:r>
    </w:p>
    <w:p w14:paraId="27C38D1F" w14:textId="77777777" w:rsidR="00057148" w:rsidRDefault="00057148">
      <w:pPr>
        <w:spacing w:after="200" w:line="276" w:lineRule="auto"/>
        <w:jc w:val="left"/>
      </w:pPr>
      <w:r>
        <w:br w:type="page"/>
      </w:r>
    </w:p>
    <w:p w14:paraId="33140731" w14:textId="1E2C624B" w:rsidR="00A46EC0" w:rsidRPr="009F41D6" w:rsidRDefault="00A46EC0" w:rsidP="009459F1">
      <w:r>
        <w:t xml:space="preserve">In response to stakeholder feedback, the proposed </w:t>
      </w:r>
      <w:r w:rsidRPr="009F41D6">
        <w:t xml:space="preserve">model </w:t>
      </w:r>
      <w:r>
        <w:t xml:space="preserve">has a graduated levy </w:t>
      </w:r>
      <w:r w:rsidRPr="009F41D6">
        <w:t xml:space="preserve">that incorporates a minimum levy </w:t>
      </w:r>
      <w:r>
        <w:t xml:space="preserve">rather than the previously proposed </w:t>
      </w:r>
      <w:r w:rsidRPr="009F41D6">
        <w:t>tiering approach for</w:t>
      </w:r>
      <w:r w:rsidRPr="009F41D6" w:rsidDel="00534D72">
        <w:t xml:space="preserve"> </w:t>
      </w:r>
      <w:r w:rsidRPr="009F41D6">
        <w:t>most industry sectors.</w:t>
      </w:r>
      <w:r>
        <w:t xml:space="preserve"> This change </w:t>
      </w:r>
      <w:r w:rsidRPr="009F41D6">
        <w:t xml:space="preserve">spreads </w:t>
      </w:r>
      <w:r>
        <w:t xml:space="preserve">levy </w:t>
      </w:r>
      <w:r w:rsidRPr="009F41D6">
        <w:t xml:space="preserve">costs more equitably between small and larger entities. </w:t>
      </w:r>
      <w:r>
        <w:t>It</w:t>
      </w:r>
      <w:r w:rsidRPr="009F41D6">
        <w:t xml:space="preserve"> </w:t>
      </w:r>
      <w:r>
        <w:t xml:space="preserve">also prevents potentially large threshold shifts in </w:t>
      </w:r>
      <w:r w:rsidRPr="009F41D6">
        <w:t xml:space="preserve">levy </w:t>
      </w:r>
      <w:r>
        <w:t>costs for small changes in business activi</w:t>
      </w:r>
      <w:r w:rsidR="00773505">
        <w:t>ties.</w:t>
      </w:r>
    </w:p>
    <w:p w14:paraId="11BB7DF7" w14:textId="77777777" w:rsidR="008F03D3" w:rsidRDefault="008F03D3" w:rsidP="008F03D3">
      <w:r>
        <w:t xml:space="preserve">The minimum levy for a subsector recovers ASIC’s actual direct and indirect costs from undertaking the activities of stakeholder engagement, policy advice, guidance, education and for a portion of ASIC’s capital allowance. These costs are generally more stable over time. As all industry participants have similar access to the output of these activities, these costs are shared across all participants in the subsector through the minimum levy (refer to </w:t>
      </w:r>
      <w:r w:rsidRPr="008B383F">
        <w:rPr>
          <w:b/>
        </w:rPr>
        <w:t>Figure 2</w:t>
      </w:r>
      <w:r>
        <w:t>).</w:t>
      </w:r>
    </w:p>
    <w:p w14:paraId="131E4A4C" w14:textId="54A38B82" w:rsidR="008F03D3" w:rsidRDefault="008F03D3" w:rsidP="008F03D3">
      <w:r>
        <w:t>The graduated (variable) component of the levy for a subsector recovers ASIC’s remaining costs to regulate the subsector using the total reported industry metric, for example, total industry funds under management for Responsible Entities</w:t>
      </w:r>
      <w:r w:rsidR="0099468D">
        <w:t xml:space="preserve"> of Managed Investment Funds</w:t>
      </w:r>
      <w:r w:rsidR="00E77408">
        <w:t>.</w:t>
      </w:r>
    </w:p>
    <w:p w14:paraId="22649FCB" w14:textId="4A7A36B3" w:rsidR="008133C0" w:rsidRDefault="00A46EC0" w:rsidP="008F03D3">
      <w:r w:rsidRPr="009F41D6">
        <w:t xml:space="preserve">It is proposed that a </w:t>
      </w:r>
      <w:r>
        <w:t xml:space="preserve">maximum levy </w:t>
      </w:r>
      <w:r w:rsidRPr="009F41D6">
        <w:t xml:space="preserve">cap </w:t>
      </w:r>
      <w:r w:rsidR="00C828AE">
        <w:t>would</w:t>
      </w:r>
      <w:r w:rsidRPr="009F41D6">
        <w:t xml:space="preserve"> be applied to the levy for publicly listed companies</w:t>
      </w:r>
      <w:r>
        <w:t xml:space="preserve">. </w:t>
      </w:r>
      <w:r w:rsidRPr="009F41D6">
        <w:t>This recognises that the regulatory effort does not increase indefinitely with size</w:t>
      </w:r>
      <w:r w:rsidR="008133C0">
        <w:t xml:space="preserve"> in this sector</w:t>
      </w:r>
      <w:r w:rsidRPr="009F41D6">
        <w:t>.</w:t>
      </w:r>
      <w:r>
        <w:t xml:space="preserve"> </w:t>
      </w:r>
      <w:r w:rsidRPr="009F41D6">
        <w:t>The</w:t>
      </w:r>
      <w:r w:rsidR="00F633CF">
        <w:t> </w:t>
      </w:r>
      <w:r w:rsidRPr="009F41D6">
        <w:t>benefit derived from participating in a market would continue to increase with scale but this would be counterbalanced by a proportionally reduced need for additional regulatory resources.</w:t>
      </w:r>
    </w:p>
    <w:p w14:paraId="0953030B" w14:textId="65C8C4B7" w:rsidR="00A46EC0" w:rsidRDefault="00A46EC0" w:rsidP="009459F1">
      <w:r>
        <w:t xml:space="preserve">In response to stakeholder feedback the proposed model </w:t>
      </w:r>
      <w:r w:rsidRPr="007B3765">
        <w:t>simplif</w:t>
      </w:r>
      <w:r>
        <w:t>ies</w:t>
      </w:r>
      <w:r w:rsidRPr="007B3765">
        <w:t xml:space="preserve"> the levy applied to A</w:t>
      </w:r>
      <w:r w:rsidR="005D31C9">
        <w:t xml:space="preserve">ustralian </w:t>
      </w:r>
      <w:r w:rsidRPr="007B3765">
        <w:t>F</w:t>
      </w:r>
      <w:r w:rsidR="005D31C9">
        <w:t xml:space="preserve">inancial </w:t>
      </w:r>
      <w:r w:rsidRPr="007B3765">
        <w:t>S</w:t>
      </w:r>
      <w:r w:rsidR="005D31C9">
        <w:t xml:space="preserve">ervices </w:t>
      </w:r>
      <w:r>
        <w:t>L</w:t>
      </w:r>
      <w:r w:rsidR="005D31C9">
        <w:t>icen</w:t>
      </w:r>
      <w:r w:rsidR="00675FF0">
        <w:t>c</w:t>
      </w:r>
      <w:r w:rsidR="005D31C9">
        <w:t>e</w:t>
      </w:r>
      <w:r w:rsidRPr="007B3765">
        <w:t xml:space="preserve">s </w:t>
      </w:r>
      <w:r w:rsidR="005D31C9">
        <w:t xml:space="preserve">(ASFL) </w:t>
      </w:r>
      <w:r w:rsidRPr="007B3765">
        <w:t>into a single levy</w:t>
      </w:r>
      <w:r>
        <w:t xml:space="preserve">. </w:t>
      </w:r>
      <w:r w:rsidRPr="007B3765">
        <w:t>AFS</w:t>
      </w:r>
      <w:r>
        <w:t>L</w:t>
      </w:r>
      <w:r w:rsidRPr="007B3765">
        <w:t>s would pay an activity-based levy for each AFS</w:t>
      </w:r>
      <w:r>
        <w:t>L</w:t>
      </w:r>
      <w:r w:rsidRPr="007B3765">
        <w:t xml:space="preserve"> authorisation they hold, </w:t>
      </w:r>
      <w:r w:rsidR="000A1BB8">
        <w:t xml:space="preserve">for example, </w:t>
      </w:r>
      <w:r w:rsidR="000D0A22">
        <w:t xml:space="preserve">personal </w:t>
      </w:r>
      <w:r>
        <w:t>f</w:t>
      </w:r>
      <w:r w:rsidRPr="007B3765">
        <w:t xml:space="preserve">inancial </w:t>
      </w:r>
      <w:r>
        <w:t>a</w:t>
      </w:r>
      <w:r w:rsidRPr="007B3765">
        <w:t xml:space="preserve">dvice </w:t>
      </w:r>
      <w:r>
        <w:t>p</w:t>
      </w:r>
      <w:r w:rsidRPr="007B3765">
        <w:t xml:space="preserve">roviders </w:t>
      </w:r>
      <w:r w:rsidR="00675FF0">
        <w:t xml:space="preserve">on Tier 1 products </w:t>
      </w:r>
      <w:r w:rsidRPr="007B3765">
        <w:t xml:space="preserve">or </w:t>
      </w:r>
      <w:r>
        <w:t>r</w:t>
      </w:r>
      <w:r w:rsidRPr="007B3765">
        <w:t>etail O</w:t>
      </w:r>
      <w:r w:rsidR="0099468D">
        <w:t>ver-</w:t>
      </w:r>
      <w:r w:rsidRPr="007B3765">
        <w:t>T</w:t>
      </w:r>
      <w:r w:rsidR="0099468D">
        <w:t>he-</w:t>
      </w:r>
      <w:r w:rsidRPr="007B3765">
        <w:t>C</w:t>
      </w:r>
      <w:r w:rsidR="0099468D">
        <w:t>ounter (OTC)</w:t>
      </w:r>
      <w:r w:rsidRPr="007B3765">
        <w:t xml:space="preserve"> </w:t>
      </w:r>
      <w:r>
        <w:t>d</w:t>
      </w:r>
      <w:r w:rsidRPr="007B3765">
        <w:t xml:space="preserve">erivatives </w:t>
      </w:r>
      <w:r>
        <w:t>i</w:t>
      </w:r>
      <w:r w:rsidRPr="007B3765">
        <w:t>ssuers.</w:t>
      </w:r>
      <w:r>
        <w:t xml:space="preserve"> This </w:t>
      </w:r>
      <w:r w:rsidR="008133C0">
        <w:t>price signal on the full cost to ASIC of supervising licenses and authorisations</w:t>
      </w:r>
      <w:r>
        <w:t xml:space="preserve"> in time may encourage industry to review and rationalise, where appropriate, their suite of licences</w:t>
      </w:r>
      <w:r w:rsidR="000D0A22">
        <w:t xml:space="preserve"> or licen</w:t>
      </w:r>
      <w:r w:rsidR="00675FF0">
        <w:t>c</w:t>
      </w:r>
      <w:r w:rsidR="000D0A22">
        <w:t>e authorisations</w:t>
      </w:r>
      <w:r w:rsidR="00773505">
        <w:t>.</w:t>
      </w:r>
    </w:p>
    <w:p w14:paraId="50A87DBC" w14:textId="77777777" w:rsidR="00927CAC" w:rsidRDefault="005443D0" w:rsidP="009459F1">
      <w:r>
        <w:t xml:space="preserve">ASIC </w:t>
      </w:r>
      <w:r w:rsidR="00C828AE">
        <w:t>would</w:t>
      </w:r>
      <w:r>
        <w:t xml:space="preserve"> </w:t>
      </w:r>
      <w:r w:rsidR="00F87101">
        <w:t xml:space="preserve">incorporate the </w:t>
      </w:r>
      <w:r>
        <w:t xml:space="preserve">business activity </w:t>
      </w:r>
      <w:r w:rsidR="008133C0">
        <w:t xml:space="preserve">information reported to it </w:t>
      </w:r>
      <w:r w:rsidR="00F87101">
        <w:t>in</w:t>
      </w:r>
      <w:r>
        <w:t xml:space="preserve">to </w:t>
      </w:r>
      <w:r w:rsidR="008133C0">
        <w:t>its</w:t>
      </w:r>
      <w:r w:rsidR="00F87101">
        <w:t xml:space="preserve"> </w:t>
      </w:r>
      <w:r>
        <w:t>resource allocation</w:t>
      </w:r>
      <w:r w:rsidR="00F87101">
        <w:t xml:space="preserve"> decisions, supporting improved targeting of regulatory activity and levy collection</w:t>
      </w:r>
      <w:r w:rsidR="0041732B">
        <w:t xml:space="preserve"> over time</w:t>
      </w:r>
      <w:r>
        <w:t>.</w:t>
      </w:r>
    </w:p>
    <w:p w14:paraId="6AEC6CBC" w14:textId="004571BA" w:rsidR="00B12DD8" w:rsidRPr="006301C8" w:rsidRDefault="00D36683" w:rsidP="009459F1">
      <w:pPr>
        <w:rPr>
          <w:rFonts w:asciiTheme="minorHAnsi" w:eastAsiaTheme="minorHAnsi" w:hAnsiTheme="minorHAnsi" w:cstheme="minorBidi"/>
          <w:szCs w:val="22"/>
          <w:lang w:eastAsia="en-US"/>
        </w:rPr>
      </w:pPr>
      <w:bookmarkStart w:id="81" w:name="_Toc452626309"/>
      <w:bookmarkStart w:id="82" w:name="_Toc453236814"/>
      <w:bookmarkStart w:id="83" w:name="_Toc453336861"/>
      <w:bookmarkStart w:id="84" w:name="_Toc453683977"/>
      <w:bookmarkStart w:id="85" w:name="_Toc453750617"/>
      <w:bookmarkStart w:id="86" w:name="_Toc453771903"/>
      <w:bookmarkStart w:id="87" w:name="_Toc453836149"/>
      <w:bookmarkStart w:id="88" w:name="_Toc454203052"/>
      <w:bookmarkStart w:id="89" w:name="_Toc454874897"/>
      <w:bookmarkStart w:id="90" w:name="_Toc454898016"/>
      <w:bookmarkStart w:id="91" w:name="_Toc454203058"/>
      <w:bookmarkStart w:id="92" w:name="_Toc454874904"/>
      <w:bookmarkStart w:id="93" w:name="_Toc454898023"/>
      <w:bookmarkStart w:id="94" w:name="_Toc425523681"/>
      <w:bookmarkStart w:id="95" w:name="_Toc425580631"/>
      <w:bookmarkStart w:id="96" w:name="_Toc425591663"/>
      <w:bookmarkStart w:id="97" w:name="_Toc425759885"/>
      <w:bookmarkStart w:id="98" w:name="_Toc425877621"/>
      <w:bookmarkStart w:id="99" w:name="_Toc427227862"/>
      <w:bookmarkStart w:id="100" w:name="_Toc427314357"/>
      <w:bookmarkStart w:id="101" w:name="_Toc424750358"/>
      <w:bookmarkStart w:id="102" w:name="_Toc424832328"/>
      <w:bookmarkStart w:id="103" w:name="_Toc424832361"/>
      <w:bookmarkStart w:id="104" w:name="_Toc42552368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81"/>
      <w:bookmarkEnd w:id="82"/>
      <w:bookmarkEnd w:id="83"/>
      <w:bookmarkEnd w:id="84"/>
      <w:bookmarkEnd w:id="85"/>
      <w:bookmarkEnd w:id="86"/>
      <w:bookmarkEnd w:id="87"/>
      <w:bookmarkEnd w:id="88"/>
      <w:bookmarkEnd w:id="89"/>
      <w:bookmarkEnd w:id="90"/>
      <w:r>
        <w:rPr>
          <w:rFonts w:asciiTheme="minorHAnsi" w:eastAsiaTheme="minorHAnsi" w:hAnsiTheme="minorHAnsi" w:cstheme="minorBidi"/>
          <w:szCs w:val="22"/>
          <w:lang w:eastAsia="en-US"/>
        </w:rPr>
        <w:t>ASIC’s supporting attachment to the Government’s Proposals Paper</w:t>
      </w:r>
      <w:r w:rsidR="001F60B5" w:rsidRPr="006301C8">
        <w:rPr>
          <w:rFonts w:asciiTheme="minorHAnsi" w:eastAsiaTheme="minorHAnsi" w:hAnsiTheme="minorHAnsi" w:cstheme="minorBidi"/>
          <w:szCs w:val="22"/>
          <w:lang w:eastAsia="en-US"/>
        </w:rPr>
        <w:t xml:space="preserve"> provides further details of the </w:t>
      </w:r>
      <w:r w:rsidR="007D287E" w:rsidRPr="006301C8">
        <w:rPr>
          <w:rFonts w:asciiTheme="minorHAnsi" w:eastAsiaTheme="minorHAnsi" w:hAnsiTheme="minorHAnsi" w:cstheme="minorBidi"/>
          <w:szCs w:val="22"/>
          <w:lang w:eastAsia="en-US"/>
        </w:rPr>
        <w:t>costs of regulating each sector and how the levies are calculated for each sector to reflect these costs</w:t>
      </w:r>
      <w:r w:rsidR="001F60B5" w:rsidRPr="006301C8">
        <w:rPr>
          <w:rFonts w:asciiTheme="minorHAnsi" w:eastAsiaTheme="minorHAnsi" w:hAnsiTheme="minorHAnsi" w:cstheme="minorBidi"/>
          <w:szCs w:val="22"/>
          <w:lang w:eastAsia="en-US"/>
        </w:rPr>
        <w:t xml:space="preserve">. </w:t>
      </w:r>
      <w:r w:rsidR="00B12DD8" w:rsidRPr="006301C8">
        <w:rPr>
          <w:rFonts w:asciiTheme="minorHAnsi" w:eastAsiaTheme="minorHAnsi" w:hAnsiTheme="minorHAnsi" w:cstheme="minorBidi"/>
          <w:szCs w:val="22"/>
          <w:lang w:eastAsia="en-US"/>
        </w:rPr>
        <w:t>It also explores the a</w:t>
      </w:r>
      <w:r w:rsidR="00B12DD8">
        <w:rPr>
          <w:rFonts w:asciiTheme="minorHAnsi" w:eastAsiaTheme="minorHAnsi" w:hAnsiTheme="minorHAnsi" w:cstheme="minorBidi"/>
          <w:szCs w:val="22"/>
          <w:lang w:eastAsia="en-US"/>
        </w:rPr>
        <w:t>dditional data reporting requirements for subsectors.</w:t>
      </w:r>
    </w:p>
    <w:tbl>
      <w:tblPr>
        <w:tblStyle w:val="boxQuestions0"/>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F2F2F2" w:themeFill="background1" w:themeFillShade="F2"/>
        <w:tblLook w:val="04A0" w:firstRow="1" w:lastRow="0" w:firstColumn="1" w:lastColumn="0" w:noHBand="0" w:noVBand="1"/>
      </w:tblPr>
      <w:tblGrid>
        <w:gridCol w:w="9242"/>
      </w:tblGrid>
      <w:tr w:rsidR="00292F77" w14:paraId="75D73376" w14:textId="77777777" w:rsidTr="009F21D6">
        <w:tc>
          <w:tcPr>
            <w:tcW w:w="9242" w:type="dxa"/>
            <w:shd w:val="clear" w:color="auto" w:fill="F2F2F2" w:themeFill="background1" w:themeFillShade="F2"/>
            <w:hideMark/>
          </w:tcPr>
          <w:p w14:paraId="0B146787" w14:textId="77777777" w:rsidR="00292F77" w:rsidRDefault="009F21D6" w:rsidP="009F21D6">
            <w:pPr>
              <w:pStyle w:val="BoxQuestions-Heading"/>
            </w:pPr>
            <w:r>
              <w:t>Questions</w:t>
            </w:r>
          </w:p>
          <w:p w14:paraId="28D469DB" w14:textId="502EC3B2" w:rsidR="00292F77" w:rsidRPr="009F21D6" w:rsidRDefault="00292F77" w:rsidP="00115B57">
            <w:pPr>
              <w:pStyle w:val="BoxQuestions"/>
            </w:pPr>
            <w:r w:rsidRPr="009F21D6">
              <w:t>Do you agree with the proposed model for calculating levies? Is there an alternate a</w:t>
            </w:r>
            <w:r w:rsidR="00946F78">
              <w:t xml:space="preserve">pproach you would prefer? If so, </w:t>
            </w:r>
            <w:r w:rsidRPr="009F21D6">
              <w:t>please explain why.</w:t>
            </w:r>
          </w:p>
          <w:p w14:paraId="77EDB8CB" w14:textId="519B49A1" w:rsidR="00B92A1A" w:rsidRPr="006D6F65" w:rsidRDefault="00B92A1A" w:rsidP="00057148">
            <w:pPr>
              <w:pStyle w:val="BoxQuestions"/>
              <w:rPr>
                <w:lang w:eastAsia="en-AU"/>
              </w:rPr>
            </w:pPr>
            <w:r w:rsidRPr="009F21D6">
              <w:t>Do you agree with the proposed definitions for industry subsectors and levy metrics</w:t>
            </w:r>
            <w:r w:rsidR="00FC0549" w:rsidRPr="009F21D6">
              <w:t xml:space="preserve"> </w:t>
            </w:r>
            <w:r w:rsidR="00675FF0">
              <w:t xml:space="preserve">at </w:t>
            </w:r>
            <w:r w:rsidR="00675FF0" w:rsidRPr="008B383F">
              <w:rPr>
                <w:b/>
              </w:rPr>
              <w:t>Schedule 1</w:t>
            </w:r>
            <w:r w:rsidRPr="009F21D6">
              <w:t>? Is</w:t>
            </w:r>
            <w:r w:rsidR="00057148">
              <w:t> </w:t>
            </w:r>
            <w:r w:rsidRPr="009F21D6">
              <w:t>there an alternative approach you would prefer? If so, please explain why.</w:t>
            </w:r>
          </w:p>
        </w:tc>
      </w:tr>
    </w:tbl>
    <w:p w14:paraId="5BDE2F79" w14:textId="77777777" w:rsidR="00F21DD0" w:rsidRDefault="00F21DD0" w:rsidP="000C6A00">
      <w:pPr>
        <w:pStyle w:val="Heading2"/>
        <w:rPr>
          <w:sz w:val="40"/>
        </w:rPr>
        <w:sectPr w:rsidR="00F21DD0" w:rsidSect="00732C06">
          <w:pgSz w:w="11906" w:h="16838"/>
          <w:pgMar w:top="1440" w:right="1440" w:bottom="1440" w:left="1440" w:header="708" w:footer="708" w:gutter="0"/>
          <w:cols w:space="708"/>
          <w:titlePg/>
          <w:docGrid w:linePitch="360"/>
        </w:sectPr>
      </w:pPr>
      <w:bookmarkStart w:id="105" w:name="_Toc452626316"/>
      <w:bookmarkStart w:id="106" w:name="_Toc453236821"/>
      <w:bookmarkStart w:id="107" w:name="_Toc453336868"/>
      <w:bookmarkStart w:id="108" w:name="_Toc453683984"/>
      <w:bookmarkStart w:id="109" w:name="_Toc453750624"/>
      <w:bookmarkStart w:id="110" w:name="_Toc453771910"/>
      <w:bookmarkStart w:id="111" w:name="_Toc453836156"/>
      <w:bookmarkStart w:id="112" w:name="_Toc454203060"/>
      <w:bookmarkStart w:id="113" w:name="_Toc454874906"/>
      <w:bookmarkStart w:id="114" w:name="_Toc454898025"/>
      <w:bookmarkStart w:id="115" w:name="_Toc456266528"/>
      <w:bookmarkStart w:id="116" w:name="_Toc425580632"/>
      <w:bookmarkStart w:id="117" w:name="_Toc425591664"/>
      <w:bookmarkStart w:id="118" w:name="_Toc425759886"/>
      <w:bookmarkStart w:id="119" w:name="_Toc425877622"/>
      <w:bookmarkStart w:id="120" w:name="_Toc427227863"/>
      <w:bookmarkStart w:id="121" w:name="_Toc427314358"/>
      <w:bookmarkEnd w:id="91"/>
      <w:bookmarkEnd w:id="92"/>
      <w:bookmarkEnd w:id="93"/>
      <w:bookmarkEnd w:id="94"/>
      <w:bookmarkEnd w:id="95"/>
      <w:bookmarkEnd w:id="96"/>
      <w:bookmarkEnd w:id="97"/>
      <w:bookmarkEnd w:id="98"/>
      <w:bookmarkEnd w:id="99"/>
      <w:bookmarkEnd w:id="100"/>
    </w:p>
    <w:p w14:paraId="75D02DAA" w14:textId="77777777" w:rsidR="005E24B9" w:rsidRPr="008605AF" w:rsidRDefault="00FA7380" w:rsidP="007564EF">
      <w:pPr>
        <w:pStyle w:val="Heading1"/>
      </w:pPr>
      <w:bookmarkStart w:id="122" w:name="_Toc466038550"/>
      <w:r w:rsidRPr="008605AF">
        <w:t xml:space="preserve">Chapter </w:t>
      </w:r>
      <w:r w:rsidR="00A46EC0" w:rsidRPr="008605AF">
        <w:t>3</w:t>
      </w:r>
      <w:r w:rsidRPr="008605AF">
        <w:t>:</w:t>
      </w:r>
      <w:r w:rsidR="007564EF">
        <w:tab/>
      </w:r>
      <w:r w:rsidR="00732C06" w:rsidRPr="008605AF">
        <w:t xml:space="preserve">ASIC </w:t>
      </w:r>
      <w:r w:rsidR="00F03242" w:rsidRPr="008605AF">
        <w:t xml:space="preserve">stakeholder engagement </w:t>
      </w:r>
      <w:r w:rsidR="00463CC9" w:rsidRPr="008605AF">
        <w:t>and accountability</w:t>
      </w:r>
      <w:bookmarkEnd w:id="105"/>
      <w:bookmarkEnd w:id="106"/>
      <w:bookmarkEnd w:id="107"/>
      <w:bookmarkEnd w:id="108"/>
      <w:bookmarkEnd w:id="109"/>
      <w:bookmarkEnd w:id="110"/>
      <w:bookmarkEnd w:id="111"/>
      <w:bookmarkEnd w:id="112"/>
      <w:bookmarkEnd w:id="113"/>
      <w:bookmarkEnd w:id="114"/>
      <w:bookmarkEnd w:id="115"/>
      <w:bookmarkEnd w:id="122"/>
    </w:p>
    <w:p w14:paraId="4E74C480" w14:textId="77777777" w:rsidR="002958A3" w:rsidRDefault="002958A3" w:rsidP="00773505">
      <w:pPr>
        <w:spacing w:after="220"/>
      </w:pPr>
      <w:bookmarkStart w:id="123" w:name="_Toc452626317"/>
      <w:r>
        <w:t xml:space="preserve">Feedback from the 2015 consultation was that </w:t>
      </w:r>
      <w:r w:rsidR="00DB7DE2">
        <w:t xml:space="preserve">most </w:t>
      </w:r>
      <w:r w:rsidRPr="007B3765">
        <w:t>stakeholders expressed in</w:t>
      </w:r>
      <w:r w:rsidRPr="007B3765">
        <w:noBreakHyphen/>
        <w:t>principle support for an ASIC indust</w:t>
      </w:r>
      <w:r>
        <w:t xml:space="preserve">ry funding model, provided that it </w:t>
      </w:r>
      <w:r w:rsidRPr="007B3765">
        <w:t>was accompanied by transparency and accountability measures</w:t>
      </w:r>
      <w:r>
        <w:t>. A range of transparency and accountability measures are included in the proposed industry funding model.</w:t>
      </w:r>
    </w:p>
    <w:p w14:paraId="70A331FF" w14:textId="77777777" w:rsidR="00A116C4" w:rsidRDefault="00A116C4" w:rsidP="00773505">
      <w:pPr>
        <w:spacing w:after="220"/>
      </w:pPr>
      <w:r w:rsidRPr="00B72EF2">
        <w:t>The Government recognises and respects the statutory independence of ASIC</w:t>
      </w:r>
      <w:r w:rsidR="0007647E">
        <w:t xml:space="preserve">, as well as </w:t>
      </w:r>
      <w:r w:rsidRPr="00B72EF2">
        <w:t>its responsibility for financial and corporate regulation as provided by the ASIC Act. Confidence in the regulatory framework requires that ASIC is, and is seen to be, exercising independen</w:t>
      </w:r>
      <w:r>
        <w:t>t</w:t>
      </w:r>
      <w:r w:rsidRPr="00B72EF2">
        <w:t xml:space="preserve"> judgment about the application of the regulatory framework to individual circumstances.</w:t>
      </w:r>
    </w:p>
    <w:p w14:paraId="3FC1F920" w14:textId="7E0F23F1" w:rsidR="002958A3" w:rsidRDefault="002958A3" w:rsidP="00773505">
      <w:pPr>
        <w:spacing w:after="220"/>
      </w:pPr>
      <w:r>
        <w:t xml:space="preserve">As such the government does not propose that industry groups be given any oversight function in relation to ASIC’s decision-making. Under the model ASIC </w:t>
      </w:r>
      <w:r w:rsidR="00C828AE">
        <w:t>would</w:t>
      </w:r>
      <w:r w:rsidR="00FC0549">
        <w:t xml:space="preserve"> </w:t>
      </w:r>
      <w:r w:rsidR="00675FF0">
        <w:t>consult with</w:t>
      </w:r>
      <w:r>
        <w:t xml:space="preserve"> stakeholders prior to the start of each period on its strategic risks and expected levies, and then ASIC </w:t>
      </w:r>
      <w:r w:rsidR="00C828AE">
        <w:t>would</w:t>
      </w:r>
      <w:r>
        <w:t xml:space="preserve"> be accountable for how it actually allocated its budget at the end of the period. ASIC </w:t>
      </w:r>
      <w:r w:rsidR="00C828AE">
        <w:t>would</w:t>
      </w:r>
      <w:r>
        <w:t xml:space="preserve"> remain independent in its decision making.</w:t>
      </w:r>
    </w:p>
    <w:p w14:paraId="0F7F1346" w14:textId="77777777" w:rsidR="00DE15CF" w:rsidRDefault="00DE15CF" w:rsidP="00773505">
      <w:pPr>
        <w:spacing w:after="220"/>
      </w:pPr>
      <w:r>
        <w:t>The Government would continue to determine ASIC’s total funding through the annual budget process. In determining ASIC’s funding each year, the Government would take account of feedback from stakeholders on:</w:t>
      </w:r>
    </w:p>
    <w:p w14:paraId="19132552" w14:textId="77777777" w:rsidR="00DE15CF" w:rsidRDefault="00DE15CF" w:rsidP="00773505">
      <w:pPr>
        <w:pStyle w:val="Bullet"/>
        <w:spacing w:after="200"/>
      </w:pPr>
      <w:r>
        <w:t xml:space="preserve">whether </w:t>
      </w:r>
      <w:r w:rsidR="00773505">
        <w:t>funding levels are appropriate;</w:t>
      </w:r>
    </w:p>
    <w:p w14:paraId="0E8B79CF" w14:textId="77777777" w:rsidR="00DE15CF" w:rsidRDefault="00DE15CF" w:rsidP="00773505">
      <w:pPr>
        <w:pStyle w:val="Bullet"/>
        <w:spacing w:after="200"/>
      </w:pPr>
      <w:r>
        <w:t>whether cost recovery charges are being minimised through the efficient implementation of regulatory activities; and</w:t>
      </w:r>
    </w:p>
    <w:p w14:paraId="17CCA476" w14:textId="77777777" w:rsidR="00DE15CF" w:rsidRDefault="00DE15CF" w:rsidP="00773505">
      <w:pPr>
        <w:pStyle w:val="Bullet"/>
        <w:spacing w:after="200"/>
      </w:pPr>
      <w:r>
        <w:t>whether the proposed levy and fee mechanisms continue to be appropriate.</w:t>
      </w:r>
    </w:p>
    <w:p w14:paraId="20CE076E" w14:textId="77777777" w:rsidR="00B46FB1" w:rsidRPr="007564EF" w:rsidRDefault="00B46FB1" w:rsidP="007564EF">
      <w:pPr>
        <w:pStyle w:val="Heading2"/>
      </w:pPr>
      <w:bookmarkStart w:id="124" w:name="_Toc456266529"/>
      <w:bookmarkStart w:id="125" w:name="_Toc466038551"/>
      <w:bookmarkStart w:id="126" w:name="_Toc454874907"/>
      <w:bookmarkStart w:id="127" w:name="_Toc454898026"/>
      <w:r w:rsidRPr="007564EF">
        <w:t>Cost Recovery Implementation Statement (CRIS)</w:t>
      </w:r>
      <w:bookmarkEnd w:id="124"/>
      <w:bookmarkEnd w:id="125"/>
    </w:p>
    <w:p w14:paraId="1AFFC228" w14:textId="77777777" w:rsidR="00B174AA" w:rsidRDefault="002958A3" w:rsidP="00773505">
      <w:pPr>
        <w:spacing w:after="220"/>
      </w:pPr>
      <w:r>
        <w:rPr>
          <w:rFonts w:eastAsiaTheme="minorHAnsi"/>
          <w:lang w:eastAsia="en-US"/>
        </w:rPr>
        <w:t xml:space="preserve">As required under the </w:t>
      </w:r>
      <w:r w:rsidR="000D0A22">
        <w:rPr>
          <w:rFonts w:eastAsiaTheme="minorHAnsi"/>
          <w:lang w:eastAsia="en-US"/>
        </w:rPr>
        <w:t>CRGs</w:t>
      </w:r>
      <w:r>
        <w:rPr>
          <w:rFonts w:eastAsiaTheme="minorHAnsi"/>
          <w:lang w:eastAsia="en-US"/>
        </w:rPr>
        <w:t xml:space="preserve">, </w:t>
      </w:r>
      <w:r w:rsidR="00B174AA" w:rsidRPr="00281E7D">
        <w:rPr>
          <w:rFonts w:eastAsiaTheme="minorHAnsi"/>
          <w:lang w:eastAsia="en-US"/>
        </w:rPr>
        <w:t xml:space="preserve">ASIC </w:t>
      </w:r>
      <w:r w:rsidR="00C828AE">
        <w:rPr>
          <w:rFonts w:eastAsiaTheme="minorHAnsi"/>
          <w:lang w:eastAsia="en-US"/>
        </w:rPr>
        <w:t>would</w:t>
      </w:r>
      <w:r w:rsidR="00B174AA" w:rsidRPr="00281E7D">
        <w:rPr>
          <w:rFonts w:eastAsiaTheme="minorHAnsi"/>
          <w:lang w:eastAsia="en-US"/>
        </w:rPr>
        <w:t xml:space="preserve"> publish a Cost Recovery Implementation Statement (CRIS) each </w:t>
      </w:r>
      <w:r w:rsidR="00855394">
        <w:rPr>
          <w:rFonts w:eastAsiaTheme="minorHAnsi"/>
          <w:lang w:eastAsia="en-US"/>
        </w:rPr>
        <w:t>October</w:t>
      </w:r>
      <w:r w:rsidR="00B174AA" w:rsidRPr="00281E7D">
        <w:rPr>
          <w:rFonts w:eastAsiaTheme="minorHAnsi"/>
          <w:lang w:eastAsia="en-US"/>
        </w:rPr>
        <w:t xml:space="preserve">. The CRIS </w:t>
      </w:r>
      <w:r w:rsidR="00C828AE">
        <w:rPr>
          <w:rFonts w:eastAsiaTheme="minorHAnsi"/>
          <w:lang w:eastAsia="en-US"/>
        </w:rPr>
        <w:t>would</w:t>
      </w:r>
      <w:r w:rsidR="00B174AA" w:rsidRPr="00281E7D">
        <w:rPr>
          <w:rFonts w:eastAsiaTheme="minorHAnsi"/>
          <w:lang w:eastAsia="en-US"/>
        </w:rPr>
        <w:t xml:space="preserve"> provide information on how ASIC’s regulatory activities are cost recovered from the relevant sectors. </w:t>
      </w:r>
      <w:r w:rsidR="00B174AA">
        <w:rPr>
          <w:rFonts w:eastAsiaTheme="minorHAnsi"/>
          <w:lang w:eastAsia="en-US"/>
        </w:rPr>
        <w:t xml:space="preserve">It </w:t>
      </w:r>
      <w:r w:rsidR="00C828AE">
        <w:rPr>
          <w:rFonts w:eastAsiaTheme="minorHAnsi"/>
          <w:lang w:eastAsia="en-US"/>
        </w:rPr>
        <w:t>would</w:t>
      </w:r>
      <w:r w:rsidR="00B174AA">
        <w:rPr>
          <w:rFonts w:eastAsiaTheme="minorHAnsi"/>
          <w:lang w:eastAsia="en-US"/>
        </w:rPr>
        <w:t xml:space="preserve"> also include information on the breakdown of each </w:t>
      </w:r>
      <w:r w:rsidR="00B174AA" w:rsidRPr="00281E7D">
        <w:rPr>
          <w:rFonts w:eastAsiaTheme="minorHAnsi"/>
          <w:lang w:eastAsia="en-US"/>
        </w:rPr>
        <w:t>regulatory activity</w:t>
      </w:r>
      <w:r w:rsidR="00B174AA">
        <w:rPr>
          <w:rFonts w:eastAsiaTheme="minorHAnsi"/>
          <w:lang w:eastAsia="en-US"/>
        </w:rPr>
        <w:t xml:space="preserve">, an </w:t>
      </w:r>
      <w:r w:rsidR="00B174AA" w:rsidRPr="00281E7D">
        <w:rPr>
          <w:rFonts w:eastAsiaTheme="minorHAnsi"/>
          <w:lang w:eastAsia="en-US"/>
        </w:rPr>
        <w:t>explanation of how the activity was costed</w:t>
      </w:r>
      <w:r w:rsidR="00B174AA">
        <w:rPr>
          <w:rFonts w:eastAsiaTheme="minorHAnsi"/>
          <w:lang w:eastAsia="en-US"/>
        </w:rPr>
        <w:t xml:space="preserve"> and </w:t>
      </w:r>
      <w:r w:rsidR="00B174AA" w:rsidRPr="00281E7D">
        <w:rPr>
          <w:rFonts w:eastAsiaTheme="minorHAnsi"/>
          <w:lang w:eastAsia="en-US"/>
        </w:rPr>
        <w:t xml:space="preserve">an explanation of the design of </w:t>
      </w:r>
      <w:r w:rsidR="00B174AA">
        <w:rPr>
          <w:rFonts w:eastAsiaTheme="minorHAnsi"/>
          <w:lang w:eastAsia="en-US"/>
        </w:rPr>
        <w:t xml:space="preserve">levy or fee </w:t>
      </w:r>
      <w:r w:rsidR="00B174AA" w:rsidRPr="00281E7D">
        <w:rPr>
          <w:rFonts w:eastAsiaTheme="minorHAnsi"/>
          <w:lang w:eastAsia="en-US"/>
        </w:rPr>
        <w:t>charges</w:t>
      </w:r>
      <w:r w:rsidR="00B174AA">
        <w:rPr>
          <w:rFonts w:eastAsiaTheme="minorHAnsi"/>
          <w:lang w:eastAsia="en-US"/>
        </w:rPr>
        <w:t>.</w:t>
      </w:r>
    </w:p>
    <w:p w14:paraId="60C83F09" w14:textId="77777777" w:rsidR="00B46FB1" w:rsidRDefault="00B46FB1" w:rsidP="00773505">
      <w:pPr>
        <w:spacing w:after="220"/>
      </w:pPr>
      <w:r>
        <w:t>The information included in the CRIS</w:t>
      </w:r>
      <w:r w:rsidR="00806E4D">
        <w:t xml:space="preserve"> includes</w:t>
      </w:r>
      <w:r>
        <w:t>:</w:t>
      </w:r>
    </w:p>
    <w:p w14:paraId="7D27398C" w14:textId="77777777" w:rsidR="00B46FB1" w:rsidRDefault="00B46FB1" w:rsidP="00773505">
      <w:pPr>
        <w:pStyle w:val="Bullet"/>
        <w:spacing w:after="190"/>
      </w:pPr>
      <w:r>
        <w:t>Policy and statutory authority</w:t>
      </w:r>
    </w:p>
    <w:p w14:paraId="64D7A4AC" w14:textId="77777777" w:rsidR="00B46FB1" w:rsidRDefault="00B46FB1" w:rsidP="00773505">
      <w:pPr>
        <w:pStyle w:val="Bullet"/>
        <w:spacing w:after="190"/>
      </w:pPr>
      <w:r>
        <w:t>Cost recovery model – outputs, costs, charges</w:t>
      </w:r>
    </w:p>
    <w:p w14:paraId="3FD53B38" w14:textId="77777777" w:rsidR="00B46FB1" w:rsidRDefault="00B46FB1" w:rsidP="00773505">
      <w:pPr>
        <w:pStyle w:val="Bullet"/>
        <w:spacing w:after="190"/>
      </w:pPr>
      <w:r>
        <w:t>Risk assessment</w:t>
      </w:r>
    </w:p>
    <w:p w14:paraId="724D99EC" w14:textId="77777777" w:rsidR="00B46FB1" w:rsidRDefault="00B46FB1" w:rsidP="00773505">
      <w:pPr>
        <w:pStyle w:val="Bullet"/>
        <w:spacing w:after="190"/>
      </w:pPr>
      <w:r>
        <w:t>Stakeholder engagement</w:t>
      </w:r>
    </w:p>
    <w:p w14:paraId="2616F6FC" w14:textId="77777777" w:rsidR="00B46FB1" w:rsidRDefault="00B46FB1" w:rsidP="00773505">
      <w:pPr>
        <w:pStyle w:val="Bullet"/>
        <w:spacing w:after="190"/>
      </w:pPr>
      <w:r>
        <w:t>Financial estimates – 4 years</w:t>
      </w:r>
    </w:p>
    <w:p w14:paraId="5A0DEBF3" w14:textId="77777777" w:rsidR="00B46FB1" w:rsidRDefault="00B46FB1" w:rsidP="00773505">
      <w:pPr>
        <w:pStyle w:val="Bullet"/>
        <w:spacing w:after="190"/>
      </w:pPr>
      <w:r>
        <w:t>Financ</w:t>
      </w:r>
      <w:r w:rsidR="00577AC2">
        <w:t>ial performance – past 4 years</w:t>
      </w:r>
    </w:p>
    <w:p w14:paraId="6321B147" w14:textId="16C99B48" w:rsidR="00B46FB1" w:rsidRDefault="00B46FB1" w:rsidP="00773505">
      <w:pPr>
        <w:pStyle w:val="Bullet"/>
        <w:spacing w:after="0"/>
      </w:pPr>
      <w:r>
        <w:t xml:space="preserve">Non-financial performance – </w:t>
      </w:r>
      <w:r w:rsidR="00057148">
        <w:t>for example,</w:t>
      </w:r>
      <w:r w:rsidR="003137ED">
        <w:t xml:space="preserve"> </w:t>
      </w:r>
      <w:r>
        <w:t>KPIs</w:t>
      </w:r>
      <w:r w:rsidR="00055724">
        <w:t>,</w:t>
      </w:r>
      <w:r w:rsidR="003137ED">
        <w:t xml:space="preserve"> etc</w:t>
      </w:r>
      <w:r w:rsidR="00773505">
        <w:t>.</w:t>
      </w:r>
    </w:p>
    <w:p w14:paraId="1E9ACF21" w14:textId="20DC7568" w:rsidR="00B46FB1" w:rsidRDefault="00B46FB1" w:rsidP="00E41A2D">
      <w:r>
        <w:t xml:space="preserve">A </w:t>
      </w:r>
      <w:r w:rsidR="003405BB">
        <w:t xml:space="preserve">draft </w:t>
      </w:r>
      <w:r>
        <w:t xml:space="preserve">CRIS </w:t>
      </w:r>
      <w:r w:rsidR="003137ED">
        <w:t>is intended to be</w:t>
      </w:r>
      <w:r>
        <w:t xml:space="preserve"> </w:t>
      </w:r>
      <w:r w:rsidR="00F03242">
        <w:t xml:space="preserve">published </w:t>
      </w:r>
      <w:r w:rsidR="003137ED">
        <w:t>in October 2017 f</w:t>
      </w:r>
      <w:r w:rsidR="00F03242">
        <w:t>or comment.</w:t>
      </w:r>
    </w:p>
    <w:p w14:paraId="3408F2C4" w14:textId="77777777" w:rsidR="00790C07" w:rsidRPr="007564EF" w:rsidRDefault="00B46FB1" w:rsidP="007564EF">
      <w:pPr>
        <w:pStyle w:val="Heading2"/>
      </w:pPr>
      <w:bookmarkStart w:id="128" w:name="_Toc456266530"/>
      <w:bookmarkStart w:id="129" w:name="_Toc466038552"/>
      <w:r w:rsidRPr="007564EF">
        <w:t>Ongoing stakeholder engagement</w:t>
      </w:r>
      <w:bookmarkEnd w:id="126"/>
      <w:bookmarkEnd w:id="127"/>
      <w:bookmarkEnd w:id="128"/>
      <w:r w:rsidR="00F03242" w:rsidRPr="007564EF">
        <w:t xml:space="preserve"> and data collection</w:t>
      </w:r>
      <w:bookmarkEnd w:id="129"/>
    </w:p>
    <w:p w14:paraId="56561182" w14:textId="77777777" w:rsidR="00577AC2" w:rsidRPr="007564EF" w:rsidRDefault="00773505" w:rsidP="007564EF">
      <w:pPr>
        <w:pStyle w:val="Heading3-Numbered"/>
      </w:pPr>
      <w:r>
        <w:t>Information gathering</w:t>
      </w:r>
    </w:p>
    <w:p w14:paraId="3EEA8CEE" w14:textId="77777777" w:rsidR="00F03242" w:rsidRDefault="007D5CDE" w:rsidP="009459F1">
      <w:r w:rsidRPr="007D5CDE">
        <w:t xml:space="preserve">Between July and October </w:t>
      </w:r>
      <w:r w:rsidR="00F03242">
        <w:t>of each year businesses w</w:t>
      </w:r>
      <w:r w:rsidR="003137ED">
        <w:t>ould</w:t>
      </w:r>
      <w:r w:rsidR="00F03242">
        <w:t xml:space="preserve"> report their activity from the previous year </w:t>
      </w:r>
      <w:r w:rsidR="004A0F7E">
        <w:t>through an online portal.</w:t>
      </w:r>
    </w:p>
    <w:p w14:paraId="472D6518" w14:textId="77777777" w:rsidR="00D666A0" w:rsidRDefault="00D666A0" w:rsidP="00057148">
      <w:pPr>
        <w:pStyle w:val="FigureHeading"/>
      </w:pPr>
      <w:r>
        <w:t xml:space="preserve">Figure </w:t>
      </w:r>
      <w:r w:rsidR="00E41A2D">
        <w:t>3</w:t>
      </w:r>
      <w:r>
        <w:t>: Illustration of portal for online reporting</w:t>
      </w:r>
    </w:p>
    <w:p w14:paraId="338C335E" w14:textId="063918E1" w:rsidR="004A0F7E" w:rsidRDefault="00675FF0" w:rsidP="00057148">
      <w:pPr>
        <w:pStyle w:val="ChartGraphic"/>
      </w:pPr>
      <w:r>
        <w:rPr>
          <w:noProof/>
        </w:rPr>
        <w:drawing>
          <wp:inline distT="0" distB="0" distL="0" distR="0" wp14:anchorId="12E042E6" wp14:editId="68879F9A">
            <wp:extent cx="5688000" cy="40416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0">
                      <a:extLst>
                        <a:ext uri="{28A0092B-C50C-407E-A947-70E740481C1C}">
                          <a14:useLocalDpi xmlns:a14="http://schemas.microsoft.com/office/drawing/2010/main" val="0"/>
                        </a:ext>
                      </a:extLst>
                    </a:blip>
                    <a:srcRect t="1848" b="1385"/>
                    <a:stretch/>
                  </pic:blipFill>
                  <pic:spPr bwMode="auto">
                    <a:xfrm>
                      <a:off x="0" y="0"/>
                      <a:ext cx="5688000" cy="4041640"/>
                    </a:xfrm>
                    <a:prstGeom prst="rect">
                      <a:avLst/>
                    </a:prstGeom>
                    <a:noFill/>
                    <a:ln>
                      <a:noFill/>
                    </a:ln>
                    <a:extLst>
                      <a:ext uri="{53640926-AAD7-44D8-BBD7-CCE9431645EC}">
                        <a14:shadowObscured xmlns:a14="http://schemas.microsoft.com/office/drawing/2010/main"/>
                      </a:ext>
                    </a:extLst>
                  </pic:spPr>
                </pic:pic>
              </a:graphicData>
            </a:graphic>
          </wp:inline>
        </w:drawing>
      </w:r>
    </w:p>
    <w:p w14:paraId="249B7B56" w14:textId="77777777" w:rsidR="00454068" w:rsidRDefault="00454068" w:rsidP="00454068">
      <w:pPr>
        <w:pStyle w:val="SingleParagraph"/>
      </w:pPr>
    </w:p>
    <w:p w14:paraId="7BD75214" w14:textId="77777777" w:rsidR="00577AC2" w:rsidRDefault="00577AC2" w:rsidP="007564EF">
      <w:pPr>
        <w:pStyle w:val="Heading3-Numbered"/>
      </w:pPr>
      <w:r>
        <w:t>Assessing risk and engaging with stakeholders</w:t>
      </w:r>
    </w:p>
    <w:p w14:paraId="0E74C02E" w14:textId="72B88B2D" w:rsidR="00B46FB1" w:rsidRDefault="0053768C" w:rsidP="009459F1">
      <w:r>
        <w:t xml:space="preserve">In </w:t>
      </w:r>
      <w:r w:rsidR="007D5CDE" w:rsidRPr="007D5CDE">
        <w:t>October to December</w:t>
      </w:r>
      <w:r w:rsidR="00BB1183">
        <w:t>,</w:t>
      </w:r>
      <w:r>
        <w:t xml:space="preserve"> ASIC w</w:t>
      </w:r>
      <w:r w:rsidR="003137ED">
        <w:t>ould</w:t>
      </w:r>
      <w:r>
        <w:t xml:space="preserve"> use information obtained through </w:t>
      </w:r>
      <w:r w:rsidR="007425FE">
        <w:t>industry funding</w:t>
      </w:r>
      <w:r w:rsidR="004751A5">
        <w:t xml:space="preserve"> data collection</w:t>
      </w:r>
      <w:r w:rsidR="007425FE">
        <w:t xml:space="preserve"> and elsewhere to conduct it</w:t>
      </w:r>
      <w:r w:rsidR="007D5CDE">
        <w:t>s</w:t>
      </w:r>
      <w:r w:rsidR="007425FE">
        <w:t xml:space="preserve"> environmental scan.</w:t>
      </w:r>
      <w:r w:rsidR="00D41B23">
        <w:t xml:space="preserve"> </w:t>
      </w:r>
      <w:r w:rsidR="00B46FB1" w:rsidRPr="00C250FD">
        <w:t xml:space="preserve">In March of every </w:t>
      </w:r>
      <w:r w:rsidR="00B46FB1">
        <w:t>year ASIC w</w:t>
      </w:r>
      <w:r w:rsidR="003137ED">
        <w:t>ould</w:t>
      </w:r>
      <w:r w:rsidR="00B46FB1">
        <w:t xml:space="preserve"> consult on the strategic risks for the coming financial year.</w:t>
      </w:r>
      <w:r w:rsidR="00D41B23">
        <w:t xml:space="preserve"> </w:t>
      </w:r>
      <w:r w:rsidR="00B46FB1">
        <w:t>The outcome of th</w:t>
      </w:r>
      <w:r w:rsidR="00B174AA">
        <w:t xml:space="preserve">e consultation </w:t>
      </w:r>
      <w:r w:rsidR="00B46FB1">
        <w:t>w</w:t>
      </w:r>
      <w:r w:rsidR="003137ED">
        <w:t>ould</w:t>
      </w:r>
      <w:r w:rsidR="00B46FB1">
        <w:t xml:space="preserve"> feed into </w:t>
      </w:r>
      <w:r w:rsidR="00B174AA">
        <w:t>ASIC’s</w:t>
      </w:r>
      <w:r w:rsidR="00B46FB1">
        <w:t xml:space="preserve"> allocation of re</w:t>
      </w:r>
      <w:r w:rsidR="00773505">
        <w:t>sources to address those risks.</w:t>
      </w:r>
    </w:p>
    <w:p w14:paraId="2FFD6261" w14:textId="77777777" w:rsidR="00577AC2" w:rsidRDefault="00577AC2" w:rsidP="007564EF">
      <w:pPr>
        <w:pStyle w:val="Heading3-Numbered"/>
      </w:pPr>
      <w:r>
        <w:t>Accounting for regulatory activity</w:t>
      </w:r>
    </w:p>
    <w:p w14:paraId="26B3E986" w14:textId="77777777" w:rsidR="00A424EA" w:rsidRDefault="007D5CDE" w:rsidP="009459F1">
      <w:r w:rsidRPr="007D5CDE">
        <w:t xml:space="preserve">In October </w:t>
      </w:r>
      <w:r w:rsidR="00790C07" w:rsidRPr="00BA0E22">
        <w:t>of each financial year, ASIC w</w:t>
      </w:r>
      <w:r w:rsidR="003137ED">
        <w:t>ould</w:t>
      </w:r>
      <w:r w:rsidR="00790C07" w:rsidRPr="00BA0E22">
        <w:t xml:space="preserve"> publicly report on its performance relative to its stated objectives in its An</w:t>
      </w:r>
      <w:r w:rsidR="00F60A15" w:rsidRPr="00BA0E22">
        <w:t>nual Report</w:t>
      </w:r>
      <w:r w:rsidR="00B174AA">
        <w:t xml:space="preserve"> and </w:t>
      </w:r>
      <w:r w:rsidR="00961FBC">
        <w:t xml:space="preserve">through sector-level </w:t>
      </w:r>
      <w:r w:rsidR="00B174AA">
        <w:t>Dashboard Reporting – see further details below</w:t>
      </w:r>
      <w:r w:rsidR="00773505">
        <w:t>.</w:t>
      </w:r>
    </w:p>
    <w:p w14:paraId="5F127BB1" w14:textId="57825B76" w:rsidR="002D7F3F" w:rsidRDefault="00D666A0" w:rsidP="00057148">
      <w:pPr>
        <w:pStyle w:val="FigureHeading"/>
      </w:pPr>
      <w:r>
        <w:t xml:space="preserve">Figure </w:t>
      </w:r>
      <w:r w:rsidR="00AD5A29">
        <w:t>4</w:t>
      </w:r>
      <w:r>
        <w:t xml:space="preserve">: </w:t>
      </w:r>
      <w:r w:rsidRPr="001B5D05">
        <w:t>ASIC information collection and reporting cycle</w:t>
      </w:r>
    </w:p>
    <w:p w14:paraId="6320101D" w14:textId="6AF837A0" w:rsidR="002D7F3F" w:rsidRPr="00577AC2" w:rsidRDefault="00D36683" w:rsidP="0002219D">
      <w:pPr>
        <w:pStyle w:val="CABNETParagraphAtt"/>
        <w:tabs>
          <w:tab w:val="left" w:pos="426"/>
          <w:tab w:val="left" w:pos="851"/>
        </w:tabs>
        <w:rPr>
          <w:rStyle w:val="Heading2Char"/>
        </w:rPr>
      </w:pPr>
      <w:r>
        <w:rPr>
          <w:noProof/>
        </w:rPr>
        <mc:AlternateContent>
          <mc:Choice Requires="wpg">
            <w:drawing>
              <wp:anchor distT="0" distB="0" distL="114300" distR="114300" simplePos="0" relativeHeight="251540480" behindDoc="0" locked="0" layoutInCell="1" allowOverlap="1" wp14:anchorId="4913DF92" wp14:editId="6B9B49CD">
                <wp:simplePos x="0" y="0"/>
                <wp:positionH relativeFrom="column">
                  <wp:posOffset>2276475</wp:posOffset>
                </wp:positionH>
                <wp:positionV relativeFrom="paragraph">
                  <wp:posOffset>1978025</wp:posOffset>
                </wp:positionV>
                <wp:extent cx="1047750" cy="997585"/>
                <wp:effectExtent l="0" t="0" r="0" b="12065"/>
                <wp:wrapNone/>
                <wp:docPr id="15" name="Group 15"/>
                <wp:cNvGraphicFramePr/>
                <a:graphic xmlns:a="http://schemas.openxmlformats.org/drawingml/2006/main">
                  <a:graphicData uri="http://schemas.microsoft.com/office/word/2010/wordprocessingGroup">
                    <wpg:wgp>
                      <wpg:cNvGrpSpPr/>
                      <wpg:grpSpPr>
                        <a:xfrm>
                          <a:off x="0" y="0"/>
                          <a:ext cx="1047750" cy="997585"/>
                          <a:chOff x="0" y="0"/>
                          <a:chExt cx="1047918" cy="885825"/>
                        </a:xfrm>
                      </wpg:grpSpPr>
                      <wps:wsp>
                        <wps:cNvPr id="19" name="Rounded Rectangle 19"/>
                        <wps:cNvSpPr/>
                        <wps:spPr>
                          <a:xfrm>
                            <a:off x="0" y="0"/>
                            <a:ext cx="1019175" cy="885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8743" y="0"/>
                            <a:ext cx="1019175" cy="828674"/>
                          </a:xfrm>
                          <a:prstGeom prst="rect">
                            <a:avLst/>
                          </a:prstGeom>
                          <a:noFill/>
                          <a:ln w="6350">
                            <a:noFill/>
                          </a:ln>
                        </wps:spPr>
                        <wps:txbx>
                          <w:txbxContent>
                            <w:p w14:paraId="5E6B1825" w14:textId="056B1994" w:rsidR="00F37DCE" w:rsidRPr="009459F1" w:rsidRDefault="00F37DCE" w:rsidP="002D7F3F">
                              <w:pPr>
                                <w:jc w:val="center"/>
                                <w:rPr>
                                  <w:b/>
                                  <w:color w:val="FFFFFF" w:themeColor="background1"/>
                                </w:rPr>
                              </w:pPr>
                              <w:r w:rsidRPr="009459F1">
                                <w:rPr>
                                  <w:b/>
                                  <w:color w:val="FFFFFF" w:themeColor="background1"/>
                                </w:rPr>
                                <w:t xml:space="preserve">ASIC </w:t>
                              </w:r>
                              <w:r w:rsidRPr="00D36683">
                                <w:rPr>
                                  <w:b/>
                                  <w:color w:val="FFFFFF" w:themeColor="background1"/>
                                </w:rPr>
                                <w:t>information collection and reporting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left:0;text-align:left;margin-left:179.25pt;margin-top:155.75pt;width:82.5pt;height:78.55pt;z-index:251540480;mso-width-relative:margin;mso-height-relative:margin" coordsize="10479,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">
                <v:roundrect id="Rounded Rectangle 19" o:spid="_x0000_s1027" style="position:absolute;width:10191;height:8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Q7sA&#10;AADbAAAADwAAAGRycy9kb3ducmV2LnhtbERPSwrCMBDdC94hjOBGNFVBbDWKCH62Vg8wNGNbbCal&#10;SbXe3giCu3m876y3nanEkxpXWlYwnUQgiDOrS84V3K6H8RKE88gaK8uk4E0Otpt+b42Jti++0DP1&#10;uQgh7BJUUHhfJ1K6rCCDbmJr4sDdbWPQB9jkUjf4CuGmkrMoWkiDJYeGAmvaF5Q90tYoiNvTOy3l&#10;fX5FP2qPZOMUc63UcNDtViA8df4v/rnPOsyP4ftLOEB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llGkO7AAAA2wAAAA8AAAAAAAAAAAAAAAAAmAIAAGRycy9kb3ducmV2Lnht&#10;bFBLBQYAAAAABAAEAPUAAACAAwAAAAA=&#10;" fillcolor="#4f81bd [3204]" strokecolor="#243f60 [1604]" strokeweight="2pt"/>
                <v:shapetype id="_x0000_t202" coordsize="21600,21600" o:spt="202" path="m,l,21600r21600,l21600,xe">
                  <v:stroke joinstyle="miter"/>
                  <v:path gradientshapeok="t" o:connecttype="rect"/>
                </v:shapetype>
                <v:shape id="Text Box 24" o:spid="_x0000_s1028" type="#_x0000_t202" style="position:absolute;left:287;width:10192;height: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5E6B1825" w14:textId="056B1994" w:rsidR="00F37DCE" w:rsidRPr="009459F1" w:rsidRDefault="00F37DCE" w:rsidP="002D7F3F">
                        <w:pPr>
                          <w:jc w:val="center"/>
                          <w:rPr>
                            <w:b/>
                            <w:color w:val="FFFFFF" w:themeColor="background1"/>
                          </w:rPr>
                        </w:pPr>
                        <w:r w:rsidRPr="009459F1">
                          <w:rPr>
                            <w:b/>
                            <w:color w:val="FFFFFF" w:themeColor="background1"/>
                          </w:rPr>
                          <w:t xml:space="preserve">ASIC </w:t>
                        </w:r>
                        <w:r w:rsidRPr="00D36683">
                          <w:rPr>
                            <w:b/>
                            <w:color w:val="FFFFFF" w:themeColor="background1"/>
                          </w:rPr>
                          <w:t>information collection and reporting cycle</w:t>
                        </w:r>
                      </w:p>
                    </w:txbxContent>
                  </v:textbox>
                </v:shape>
              </v:group>
            </w:pict>
          </mc:Fallback>
        </mc:AlternateContent>
      </w:r>
      <w:r>
        <w:rPr>
          <w:noProof/>
        </w:rPr>
        <mc:AlternateContent>
          <mc:Choice Requires="wps">
            <w:drawing>
              <wp:anchor distT="0" distB="0" distL="114300" distR="114300" simplePos="0" relativeHeight="251696128" behindDoc="0" locked="0" layoutInCell="1" allowOverlap="1" wp14:anchorId="00B82348" wp14:editId="7EB55BD1">
                <wp:simplePos x="0" y="0"/>
                <wp:positionH relativeFrom="column">
                  <wp:posOffset>3318510</wp:posOffset>
                </wp:positionH>
                <wp:positionV relativeFrom="paragraph">
                  <wp:posOffset>2553970</wp:posOffset>
                </wp:positionV>
                <wp:extent cx="583565" cy="234950"/>
                <wp:effectExtent l="0" t="95250" r="0" b="88900"/>
                <wp:wrapNone/>
                <wp:docPr id="13" name="Left-Right Arrow 13"/>
                <wp:cNvGraphicFramePr/>
                <a:graphic xmlns:a="http://schemas.openxmlformats.org/drawingml/2006/main">
                  <a:graphicData uri="http://schemas.microsoft.com/office/word/2010/wordprocessingShape">
                    <wps:wsp>
                      <wps:cNvSpPr/>
                      <wps:spPr>
                        <a:xfrm rot="1602941">
                          <a:off x="0" y="0"/>
                          <a:ext cx="583565" cy="234950"/>
                        </a:xfrm>
                        <a:prstGeom prst="leftRightArrow">
                          <a:avLst/>
                        </a:prstGeom>
                        <a:solidFill>
                          <a:srgbClr val="1CD9D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3" o:spid="_x0000_s1026" type="#_x0000_t69" style="position:absolute;margin-left:261.3pt;margin-top:201.1pt;width:45.95pt;height:18.5pt;rotation:1750839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" adj="4348" fillcolor="#1cd9de" strokecolor="#243f60 [1604]" strokeweight="2pt"/>
            </w:pict>
          </mc:Fallback>
        </mc:AlternateContent>
      </w:r>
      <w:r>
        <w:rPr>
          <w:noProof/>
        </w:rPr>
        <mc:AlternateContent>
          <mc:Choice Requires="wps">
            <w:drawing>
              <wp:anchor distT="0" distB="0" distL="114300" distR="114300" simplePos="0" relativeHeight="251773952" behindDoc="0" locked="0" layoutInCell="1" allowOverlap="1" wp14:anchorId="0B0A4F42" wp14:editId="326F4D05">
                <wp:simplePos x="0" y="0"/>
                <wp:positionH relativeFrom="column">
                  <wp:posOffset>3264535</wp:posOffset>
                </wp:positionH>
                <wp:positionV relativeFrom="paragraph">
                  <wp:posOffset>1736090</wp:posOffset>
                </wp:positionV>
                <wp:extent cx="584200" cy="234950"/>
                <wp:effectExtent l="0" t="114300" r="0" b="107950"/>
                <wp:wrapNone/>
                <wp:docPr id="10" name="Left-Right Arrow 10"/>
                <wp:cNvGraphicFramePr/>
                <a:graphic xmlns:a="http://schemas.openxmlformats.org/drawingml/2006/main">
                  <a:graphicData uri="http://schemas.microsoft.com/office/word/2010/wordprocessingShape">
                    <wps:wsp>
                      <wps:cNvSpPr/>
                      <wps:spPr>
                        <a:xfrm rot="8120743">
                          <a:off x="0" y="0"/>
                          <a:ext cx="584200" cy="234950"/>
                        </a:xfrm>
                        <a:prstGeom prst="leftRightArrow">
                          <a:avLst/>
                        </a:prstGeom>
                        <a:solidFill>
                          <a:srgbClr val="1CD9D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10" o:spid="_x0000_s1026" type="#_x0000_t69" style="position:absolute;margin-left:257.05pt;margin-top:136.7pt;width:46pt;height:18.5pt;rotation:8870017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" adj="4343" fillcolor="#1cd9de" strokecolor="#243f60 [1604]" strokeweight="2pt"/>
            </w:pict>
          </mc:Fallback>
        </mc:AlternateContent>
      </w:r>
      <w:r>
        <w:rPr>
          <w:noProof/>
        </w:rPr>
        <mc:AlternateContent>
          <mc:Choice Requires="wps">
            <w:drawing>
              <wp:anchor distT="0" distB="0" distL="114300" distR="114300" simplePos="0" relativeHeight="251735040" behindDoc="0" locked="0" layoutInCell="1" allowOverlap="1" wp14:anchorId="2FE60850" wp14:editId="62F7BAD0">
                <wp:simplePos x="0" y="0"/>
                <wp:positionH relativeFrom="column">
                  <wp:posOffset>2681605</wp:posOffset>
                </wp:positionH>
                <wp:positionV relativeFrom="paragraph">
                  <wp:posOffset>3510915</wp:posOffset>
                </wp:positionV>
                <wp:extent cx="1320165" cy="234950"/>
                <wp:effectExtent l="180658" t="0" r="213042" b="0"/>
                <wp:wrapNone/>
                <wp:docPr id="8" name="Left-Right Arrow 8"/>
                <wp:cNvGraphicFramePr/>
                <a:graphic xmlns:a="http://schemas.openxmlformats.org/drawingml/2006/main">
                  <a:graphicData uri="http://schemas.microsoft.com/office/word/2010/wordprocessingShape">
                    <wps:wsp>
                      <wps:cNvSpPr/>
                      <wps:spPr>
                        <a:xfrm rot="4051716">
                          <a:off x="0" y="0"/>
                          <a:ext cx="1320165" cy="234950"/>
                        </a:xfrm>
                        <a:prstGeom prst="leftRightArrow">
                          <a:avLst/>
                        </a:prstGeom>
                        <a:solidFill>
                          <a:srgbClr val="1CD9D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8" o:spid="_x0000_s1026" type="#_x0000_t69" style="position:absolute;margin-left:211.15pt;margin-top:276.45pt;width:103.95pt;height:18.5pt;rotation:4425554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" adj="1922" fillcolor="#1cd9de" strokecolor="#243f60 [1604]" strokeweight="2pt"/>
            </w:pict>
          </mc:Fallback>
        </mc:AlternateContent>
      </w:r>
      <w:r>
        <w:rPr>
          <w:noProof/>
        </w:rPr>
        <mc:AlternateContent>
          <mc:Choice Requires="wps">
            <w:drawing>
              <wp:anchor distT="0" distB="0" distL="114300" distR="114300" simplePos="0" relativeHeight="251579392" behindDoc="0" locked="0" layoutInCell="1" allowOverlap="1" wp14:anchorId="0DECB829" wp14:editId="4F7AE1B2">
                <wp:simplePos x="0" y="0"/>
                <wp:positionH relativeFrom="column">
                  <wp:posOffset>1644650</wp:posOffset>
                </wp:positionH>
                <wp:positionV relativeFrom="paragraph">
                  <wp:posOffset>3489960</wp:posOffset>
                </wp:positionV>
                <wp:extent cx="1247140" cy="233680"/>
                <wp:effectExtent l="125730" t="0" r="212090" b="2540"/>
                <wp:wrapNone/>
                <wp:docPr id="3" name="Right Arrow 3"/>
                <wp:cNvGraphicFramePr/>
                <a:graphic xmlns:a="http://schemas.openxmlformats.org/drawingml/2006/main">
                  <a:graphicData uri="http://schemas.microsoft.com/office/word/2010/wordprocessingShape">
                    <wps:wsp>
                      <wps:cNvSpPr/>
                      <wps:spPr>
                        <a:xfrm rot="17420442">
                          <a:off x="0" y="0"/>
                          <a:ext cx="1247140" cy="233680"/>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29.5pt;margin-top:274.8pt;width:98.2pt;height:18.4pt;rotation:-4565192fd;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" adj="19576" fillcolor="#4f81bd [3204]" strokecolor="#243f60 [1604]" strokeweight="2pt"/>
            </w:pict>
          </mc:Fallback>
        </mc:AlternateContent>
      </w:r>
      <w:r w:rsidR="002D7F3F">
        <w:rPr>
          <w:noProof/>
        </w:rPr>
        <mc:AlternateContent>
          <mc:Choice Requires="wps">
            <w:drawing>
              <wp:anchor distT="0" distB="0" distL="114300" distR="114300" simplePos="0" relativeHeight="251812864" behindDoc="0" locked="0" layoutInCell="1" allowOverlap="1" wp14:anchorId="38C35228" wp14:editId="245A2CA4">
                <wp:simplePos x="0" y="0"/>
                <wp:positionH relativeFrom="margin">
                  <wp:posOffset>1889125</wp:posOffset>
                </wp:positionH>
                <wp:positionV relativeFrom="paragraph">
                  <wp:posOffset>2547854</wp:posOffset>
                </wp:positionV>
                <wp:extent cx="386931" cy="233680"/>
                <wp:effectExtent l="0" t="57150" r="32385" b="52070"/>
                <wp:wrapNone/>
                <wp:docPr id="11" name="Right Arrow 11"/>
                <wp:cNvGraphicFramePr/>
                <a:graphic xmlns:a="http://schemas.openxmlformats.org/drawingml/2006/main">
                  <a:graphicData uri="http://schemas.microsoft.com/office/word/2010/wordprocessingShape">
                    <wps:wsp>
                      <wps:cNvSpPr/>
                      <wps:spPr>
                        <a:xfrm rot="8958857">
                          <a:off x="0" y="0"/>
                          <a:ext cx="386931" cy="233680"/>
                        </a:xfrm>
                        <a:prstGeom prst="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1" o:spid="_x0000_s1026" type="#_x0000_t13" style="position:absolute;margin-left:148.75pt;margin-top:200.6pt;width:30.45pt;height:18.4pt;rotation:9785461fd;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" adj="15078" fillcolor="#0070c0" strokecolor="#243f60 [1604]" strokeweight="2pt">
                <w10:wrap anchorx="margin"/>
              </v:shape>
            </w:pict>
          </mc:Fallback>
        </mc:AlternateContent>
      </w:r>
      <w:r w:rsidR="002D7F3F">
        <w:rPr>
          <w:noProof/>
        </w:rPr>
        <mc:AlternateContent>
          <mc:Choice Requires="wps">
            <w:drawing>
              <wp:anchor distT="0" distB="0" distL="114300" distR="114300" simplePos="0" relativeHeight="251657216" behindDoc="0" locked="0" layoutInCell="1" allowOverlap="1" wp14:anchorId="0392C80D" wp14:editId="175A4FD5">
                <wp:simplePos x="0" y="0"/>
                <wp:positionH relativeFrom="column">
                  <wp:posOffset>1906357</wp:posOffset>
                </wp:positionH>
                <wp:positionV relativeFrom="paragraph">
                  <wp:posOffset>1657721</wp:posOffset>
                </wp:positionV>
                <wp:extent cx="541400" cy="235131"/>
                <wp:effectExtent l="95885" t="0" r="88265" b="0"/>
                <wp:wrapNone/>
                <wp:docPr id="12" name="Left-Right Arrow 12"/>
                <wp:cNvGraphicFramePr/>
                <a:graphic xmlns:a="http://schemas.openxmlformats.org/drawingml/2006/main">
                  <a:graphicData uri="http://schemas.microsoft.com/office/word/2010/wordprocessingShape">
                    <wps:wsp>
                      <wps:cNvSpPr/>
                      <wps:spPr>
                        <a:xfrm rot="2963763">
                          <a:off x="0" y="0"/>
                          <a:ext cx="541400" cy="235131"/>
                        </a:xfrm>
                        <a:prstGeom prst="leftRightArrow">
                          <a:avLst/>
                        </a:prstGeom>
                        <a:solidFill>
                          <a:srgbClr val="1CD9D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12" o:spid="_x0000_s1026" type="#_x0000_t69" style="position:absolute;margin-left:150.1pt;margin-top:130.55pt;width:42.65pt;height:18.5pt;rotation:323722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" adj="4690" fillcolor="#1cd9de" strokecolor="#243f60 [1604]" strokeweight="2pt"/>
            </w:pict>
          </mc:Fallback>
        </mc:AlternateContent>
      </w:r>
      <w:r w:rsidR="002D7F3F">
        <w:rPr>
          <w:noProof/>
        </w:rPr>
        <mc:AlternateContent>
          <mc:Choice Requires="wps">
            <w:drawing>
              <wp:anchor distT="0" distB="0" distL="114300" distR="114300" simplePos="0" relativeHeight="251618304" behindDoc="0" locked="0" layoutInCell="1" allowOverlap="1" wp14:anchorId="0C363897" wp14:editId="1725C34D">
                <wp:simplePos x="0" y="0"/>
                <wp:positionH relativeFrom="margin">
                  <wp:posOffset>2491898</wp:posOffset>
                </wp:positionH>
                <wp:positionV relativeFrom="paragraph">
                  <wp:posOffset>1460978</wp:posOffset>
                </wp:positionV>
                <wp:extent cx="711520" cy="233680"/>
                <wp:effectExtent l="10160" t="8890" r="41910" b="41910"/>
                <wp:wrapNone/>
                <wp:docPr id="14" name="Right Arrow 14"/>
                <wp:cNvGraphicFramePr/>
                <a:graphic xmlns:a="http://schemas.openxmlformats.org/drawingml/2006/main">
                  <a:graphicData uri="http://schemas.microsoft.com/office/word/2010/wordprocessingShape">
                    <wps:wsp>
                      <wps:cNvSpPr/>
                      <wps:spPr>
                        <a:xfrm rot="5400000">
                          <a:off x="0" y="0"/>
                          <a:ext cx="711520" cy="233680"/>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96.2pt;margin-top:115.05pt;width:56.05pt;height:18.4pt;rotation:90;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" adj="18053" fillcolor="#4f81bd [3204]" strokecolor="#243f60 [1604]" strokeweight="2pt">
                <w10:wrap anchorx="margin"/>
              </v:shape>
            </w:pict>
          </mc:Fallback>
        </mc:AlternateContent>
      </w:r>
      <w:r w:rsidR="002D7F3F">
        <w:rPr>
          <w:noProof/>
        </w:rPr>
        <w:drawing>
          <wp:inline distT="0" distB="0" distL="0" distR="0" wp14:anchorId="1EC212EA" wp14:editId="7412362F">
            <wp:extent cx="5772150" cy="5000625"/>
            <wp:effectExtent l="0" t="114300" r="0" b="14287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0170811" w14:textId="77777777" w:rsidR="009459F1" w:rsidRPr="009459F1" w:rsidRDefault="009459F1" w:rsidP="009459F1">
      <w:bookmarkStart w:id="130" w:name="_Toc454874911"/>
      <w:bookmarkStart w:id="131" w:name="_Toc454898030"/>
      <w:bookmarkStart w:id="132" w:name="_Toc456266532"/>
    </w:p>
    <w:p w14:paraId="6E9D64B7" w14:textId="77777777" w:rsidR="00AA2477" w:rsidRPr="00577AC2" w:rsidRDefault="00B46FB1" w:rsidP="00D15640">
      <w:pPr>
        <w:rPr>
          <w:rStyle w:val="Heading2Char"/>
        </w:rPr>
      </w:pPr>
      <w:bookmarkStart w:id="133" w:name="_Toc466038553"/>
      <w:r w:rsidRPr="00577AC2">
        <w:rPr>
          <w:rStyle w:val="Heading2Char"/>
        </w:rPr>
        <w:t>S</w:t>
      </w:r>
      <w:r w:rsidR="00143689" w:rsidRPr="00577AC2">
        <w:rPr>
          <w:rStyle w:val="Heading2Char"/>
        </w:rPr>
        <w:t>ector level Dashboard R</w:t>
      </w:r>
      <w:r w:rsidR="00AA2477" w:rsidRPr="00577AC2">
        <w:rPr>
          <w:rStyle w:val="Heading2Char"/>
        </w:rPr>
        <w:t>eporting</w:t>
      </w:r>
      <w:bookmarkEnd w:id="130"/>
      <w:bookmarkEnd w:id="131"/>
      <w:bookmarkEnd w:id="132"/>
      <w:bookmarkEnd w:id="133"/>
    </w:p>
    <w:p w14:paraId="272DB9F1" w14:textId="77777777" w:rsidR="00482319" w:rsidRPr="00174E0D" w:rsidRDefault="00482319" w:rsidP="00482319">
      <w:pPr>
        <w:pStyle w:val="Bullet"/>
        <w:numPr>
          <w:ilvl w:val="0"/>
          <w:numId w:val="0"/>
        </w:numPr>
      </w:pPr>
      <w:r>
        <w:t xml:space="preserve">The </w:t>
      </w:r>
      <w:r w:rsidR="00806E4D">
        <w:t xml:space="preserve">proposed </w:t>
      </w:r>
      <w:r>
        <w:t xml:space="preserve">model </w:t>
      </w:r>
      <w:r w:rsidR="00806E4D">
        <w:t xml:space="preserve">includes </w:t>
      </w:r>
      <w:r w:rsidRPr="007B3765">
        <w:t>sector-level activity reporting through an annual industry funding dashboard report</w:t>
      </w:r>
      <w:r w:rsidR="00773505">
        <w:t>.</w:t>
      </w:r>
    </w:p>
    <w:p w14:paraId="204316F6" w14:textId="48776E24" w:rsidR="00482319" w:rsidRPr="00B174AA" w:rsidRDefault="00482319" w:rsidP="00F21DD0">
      <w:pPr>
        <w:pStyle w:val="Bullet"/>
        <w:rPr>
          <w:lang w:val="en-US"/>
        </w:rPr>
      </w:pPr>
      <w:r w:rsidRPr="00B174AA">
        <w:rPr>
          <w:lang w:val="en-US"/>
        </w:rPr>
        <w:t>The dashboard report w</w:t>
      </w:r>
      <w:r w:rsidR="00806E4D">
        <w:rPr>
          <w:lang w:val="en-US"/>
        </w:rPr>
        <w:t>ould</w:t>
      </w:r>
      <w:r w:rsidRPr="00B174AA">
        <w:rPr>
          <w:lang w:val="en-US"/>
        </w:rPr>
        <w:t xml:space="preserve"> include a breakdown of ASIC’s costs by regulatory activity. It </w:t>
      </w:r>
      <w:r w:rsidR="00C828AE">
        <w:rPr>
          <w:lang w:val="en-US"/>
        </w:rPr>
        <w:t>would</w:t>
      </w:r>
      <w:r w:rsidRPr="00B174AA">
        <w:rPr>
          <w:lang w:val="en-US"/>
        </w:rPr>
        <w:t xml:space="preserve"> also include a breakdown by direct costs (staff</w:t>
      </w:r>
      <w:r w:rsidR="00EC7884">
        <w:rPr>
          <w:lang w:val="en-US"/>
        </w:rPr>
        <w:t xml:space="preserve"> and supplier expenses</w:t>
      </w:r>
      <w:r w:rsidRPr="00B174AA">
        <w:rPr>
          <w:lang w:val="en-US"/>
        </w:rPr>
        <w:t>), indirect costs (IT,</w:t>
      </w:r>
      <w:r w:rsidR="00F633CF">
        <w:rPr>
          <w:lang w:val="en-US"/>
        </w:rPr>
        <w:t> </w:t>
      </w:r>
      <w:r w:rsidR="00EC7884" w:rsidRPr="00EC7884">
        <w:rPr>
          <w:lang w:val="en-US"/>
        </w:rPr>
        <w:t xml:space="preserve">compliance, governance, leadership </w:t>
      </w:r>
      <w:r w:rsidRPr="00B174AA">
        <w:rPr>
          <w:lang w:val="en-US"/>
        </w:rPr>
        <w:t xml:space="preserve">and property) and </w:t>
      </w:r>
      <w:r w:rsidRPr="007B3765">
        <w:t>capital</w:t>
      </w:r>
      <w:r w:rsidRPr="00B174AA">
        <w:rPr>
          <w:lang w:val="en-US"/>
        </w:rPr>
        <w:t xml:space="preserve"> costs</w:t>
      </w:r>
      <w:r w:rsidR="00BB1183">
        <w:rPr>
          <w:lang w:val="en-US"/>
        </w:rPr>
        <w:t>.</w:t>
      </w:r>
    </w:p>
    <w:p w14:paraId="48D4AEFD" w14:textId="1BD57CC0" w:rsidR="00577AC2" w:rsidRDefault="00482319" w:rsidP="00F21DD0">
      <w:pPr>
        <w:pStyle w:val="Bullet"/>
      </w:pPr>
      <w:r w:rsidRPr="007B3765">
        <w:t xml:space="preserve">Stakeholders </w:t>
      </w:r>
      <w:r w:rsidR="00806E4D">
        <w:t>would</w:t>
      </w:r>
      <w:r w:rsidR="00806E4D" w:rsidRPr="007B3765">
        <w:t xml:space="preserve"> </w:t>
      </w:r>
      <w:r w:rsidRPr="007B3765">
        <w:t xml:space="preserve">be able to </w:t>
      </w:r>
      <w:r>
        <w:t>understand</w:t>
      </w:r>
      <w:r w:rsidRPr="007B3765">
        <w:t xml:space="preserve"> the levy cost drivers for each sector ASIC regulates</w:t>
      </w:r>
      <w:r w:rsidR="00BB1183">
        <w:t>.</w:t>
      </w:r>
    </w:p>
    <w:p w14:paraId="2249EEA9" w14:textId="77777777" w:rsidR="00482319" w:rsidRPr="007B3765" w:rsidRDefault="00482319" w:rsidP="00F21DD0">
      <w:pPr>
        <w:pStyle w:val="Bullet"/>
      </w:pPr>
      <w:r>
        <w:t>There w</w:t>
      </w:r>
      <w:r w:rsidR="003137ED">
        <w:t>ould</w:t>
      </w:r>
      <w:r>
        <w:t xml:space="preserve"> be transparency in how the funding has been spent</w:t>
      </w:r>
      <w:r w:rsidR="006205D6">
        <w:t xml:space="preserve">, </w:t>
      </w:r>
      <w:r>
        <w:t>the regulatory activities that ASIC ha</w:t>
      </w:r>
      <w:r w:rsidR="00577AC2">
        <w:t>s undertaken and the outcomes</w:t>
      </w:r>
      <w:r w:rsidR="00773505">
        <w:t xml:space="preserve"> delivered.</w:t>
      </w:r>
    </w:p>
    <w:p w14:paraId="09559F91" w14:textId="77777777" w:rsidR="00F12374" w:rsidRDefault="00F12374" w:rsidP="00F21DD0">
      <w:pPr>
        <w:pStyle w:val="Bullet"/>
      </w:pPr>
      <w:bookmarkStart w:id="134" w:name="_Toc454874912"/>
      <w:bookmarkStart w:id="135" w:name="_Toc454898031"/>
      <w:r w:rsidRPr="007B3765">
        <w:t>Stakeholders and ASIC w</w:t>
      </w:r>
      <w:r w:rsidR="003137ED">
        <w:t>ould</w:t>
      </w:r>
      <w:r w:rsidRPr="007B3765">
        <w:t xml:space="preserve"> be able to scrutinise the levy cost drivers for each sector ASIC regulates</w:t>
      </w:r>
      <w:r w:rsidR="009B7C3C">
        <w:t xml:space="preserve">. </w:t>
      </w:r>
      <w:r w:rsidRPr="007B3765">
        <w:t>It w</w:t>
      </w:r>
      <w:r w:rsidR="003137ED">
        <w:t>ould</w:t>
      </w:r>
      <w:r w:rsidRPr="007B3765">
        <w:t xml:space="preserve"> also help stakeholders to benchmark the efficiency of ASIC’s regulatory costs over time and see how regulatory intensity changes the cost profile for </w:t>
      </w:r>
      <w:r>
        <w:t xml:space="preserve">each </w:t>
      </w:r>
      <w:r w:rsidRPr="007B3765">
        <w:t>sector.</w:t>
      </w:r>
    </w:p>
    <w:p w14:paraId="34D72CCF" w14:textId="7A687F28" w:rsidR="00D666A0" w:rsidRDefault="00D666A0" w:rsidP="00057148">
      <w:pPr>
        <w:pStyle w:val="FigureHeading"/>
      </w:pPr>
      <w:r>
        <w:t xml:space="preserve">Figure </w:t>
      </w:r>
      <w:r w:rsidR="00A31BDC">
        <w:t>5</w:t>
      </w:r>
      <w:r>
        <w:t>: Example of dashboard report</w:t>
      </w:r>
      <w:r w:rsidR="005754EC">
        <w:t xml:space="preserve"> for the </w:t>
      </w:r>
      <w:r w:rsidR="005754EC" w:rsidRPr="005754EC">
        <w:t>deposit taking and credit sector</w:t>
      </w:r>
    </w:p>
    <w:p w14:paraId="3DDEBE57" w14:textId="3C4F42E2" w:rsidR="00692F8B" w:rsidRPr="007B3765" w:rsidRDefault="00675FF0" w:rsidP="0002219D">
      <w:pPr>
        <w:pStyle w:val="ChartGraphic"/>
      </w:pPr>
      <w:r>
        <w:rPr>
          <w:noProof/>
        </w:rPr>
        <w:drawing>
          <wp:inline distT="0" distB="0" distL="0" distR="0" wp14:anchorId="0B81998D" wp14:editId="455E2E18">
            <wp:extent cx="5629274" cy="217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6">
                      <a:extLst>
                        <a:ext uri="{28A0092B-C50C-407E-A947-70E740481C1C}">
                          <a14:useLocalDpi xmlns:a14="http://schemas.microsoft.com/office/drawing/2010/main" val="0"/>
                        </a:ext>
                      </a:extLst>
                    </a:blip>
                    <a:srcRect l="1828" b="11218"/>
                    <a:stretch/>
                  </pic:blipFill>
                  <pic:spPr bwMode="auto">
                    <a:xfrm>
                      <a:off x="0" y="0"/>
                      <a:ext cx="5626158" cy="2170498"/>
                    </a:xfrm>
                    <a:prstGeom prst="rect">
                      <a:avLst/>
                    </a:prstGeom>
                    <a:noFill/>
                    <a:ln>
                      <a:noFill/>
                    </a:ln>
                    <a:extLst>
                      <a:ext uri="{53640926-AAD7-44D8-BBD7-CCE9431645EC}">
                        <a14:shadowObscured xmlns:a14="http://schemas.microsoft.com/office/drawing/2010/main"/>
                      </a:ext>
                    </a:extLst>
                  </pic:spPr>
                </pic:pic>
              </a:graphicData>
            </a:graphic>
          </wp:inline>
        </w:drawing>
      </w:r>
    </w:p>
    <w:p w14:paraId="2538F1D7" w14:textId="77777777" w:rsidR="009459F1" w:rsidRDefault="009459F1" w:rsidP="009459F1">
      <w:pPr>
        <w:pStyle w:val="SingleParagraph"/>
      </w:pPr>
      <w:bookmarkStart w:id="136" w:name="_Toc456266533"/>
    </w:p>
    <w:p w14:paraId="14A27D9B" w14:textId="77777777" w:rsidR="00F60A15" w:rsidRPr="007564EF" w:rsidRDefault="00B46FB1" w:rsidP="007564EF">
      <w:pPr>
        <w:pStyle w:val="Heading2"/>
      </w:pPr>
      <w:bookmarkStart w:id="137" w:name="_Toc466038554"/>
      <w:r w:rsidRPr="007564EF">
        <w:t xml:space="preserve">Other accountability </w:t>
      </w:r>
      <w:bookmarkEnd w:id="134"/>
      <w:bookmarkEnd w:id="135"/>
      <w:bookmarkEnd w:id="136"/>
      <w:r w:rsidR="002E6DDE" w:rsidRPr="007564EF">
        <w:t>measures</w:t>
      </w:r>
      <w:bookmarkEnd w:id="137"/>
    </w:p>
    <w:p w14:paraId="38B95523" w14:textId="77777777" w:rsidR="00B46FB1" w:rsidRDefault="00B46FB1" w:rsidP="007564EF">
      <w:pPr>
        <w:pStyle w:val="Heading3"/>
      </w:pPr>
      <w:r>
        <w:t>Annual consultation</w:t>
      </w:r>
    </w:p>
    <w:p w14:paraId="3903F18A" w14:textId="77777777" w:rsidR="0006003C" w:rsidRDefault="00B46FB1" w:rsidP="009459F1">
      <w:r>
        <w:t>A</w:t>
      </w:r>
      <w:r w:rsidR="0006003C">
        <w:t>nnual consultation on the industry funding model</w:t>
      </w:r>
      <w:r>
        <w:t xml:space="preserve"> w</w:t>
      </w:r>
      <w:r w:rsidR="003137ED">
        <w:t>ould</w:t>
      </w:r>
      <w:r>
        <w:t xml:space="preserve"> occur in October each year</w:t>
      </w:r>
      <w:r w:rsidR="0006003C">
        <w:t>. This w</w:t>
      </w:r>
      <w:r w:rsidR="003137ED">
        <w:t>ould</w:t>
      </w:r>
      <w:r w:rsidR="0006003C">
        <w:t xml:space="preserve"> be an opportunity for stakeholders to provide feedback on how the model is working and the model methodology.</w:t>
      </w:r>
    </w:p>
    <w:p w14:paraId="6755FC18" w14:textId="77777777" w:rsidR="0006003C" w:rsidRDefault="0006003C" w:rsidP="009459F1">
      <w:r>
        <w:t>Government w</w:t>
      </w:r>
      <w:r w:rsidR="003137ED">
        <w:t>ould</w:t>
      </w:r>
      <w:r>
        <w:t xml:space="preserve"> receive stakeholder feedback on the industry funding model through this annual consultation, rather than establishing a formal Cost Recovery Stakeholder Panel.</w:t>
      </w:r>
    </w:p>
    <w:p w14:paraId="68B51110" w14:textId="77777777" w:rsidR="00B46FB1" w:rsidRDefault="00B46FB1" w:rsidP="007564EF">
      <w:pPr>
        <w:pStyle w:val="Heading3"/>
      </w:pPr>
      <w:bookmarkStart w:id="138" w:name="_Toc454874910"/>
      <w:bookmarkStart w:id="139" w:name="_Toc454898029"/>
      <w:r>
        <w:t>ASIC Corporate Plan</w:t>
      </w:r>
      <w:bookmarkEnd w:id="138"/>
      <w:bookmarkEnd w:id="139"/>
    </w:p>
    <w:p w14:paraId="055C85AE" w14:textId="34540C13" w:rsidR="00B46FB1" w:rsidRDefault="00B46FB1" w:rsidP="009459F1">
      <w:r>
        <w:t>The ASIC Corporate Plan is published each August. The Corporate Plan details the strategic risks that ASIC intends to focus on in the coming year, as well as the emerging risks over the forward three</w:t>
      </w:r>
      <w:r w:rsidR="0002219D">
        <w:t> </w:t>
      </w:r>
      <w:r>
        <w:t xml:space="preserve">years. The identified risks are the result of consultation that ASIC </w:t>
      </w:r>
      <w:r w:rsidR="00C828AE">
        <w:t>would</w:t>
      </w:r>
      <w:r>
        <w:t xml:space="preserve"> undertake with stakeholders in March each year.</w:t>
      </w:r>
    </w:p>
    <w:tbl>
      <w:tblPr>
        <w:tblStyle w:val="boxQuestions0"/>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F2F2F2" w:themeFill="background1" w:themeFillShade="F2"/>
        <w:tblLook w:val="04A0" w:firstRow="1" w:lastRow="0" w:firstColumn="1" w:lastColumn="0" w:noHBand="0" w:noVBand="1"/>
      </w:tblPr>
      <w:tblGrid>
        <w:gridCol w:w="9242"/>
      </w:tblGrid>
      <w:tr w:rsidR="00790C07" w14:paraId="66B93148" w14:textId="77777777" w:rsidTr="009F21D6">
        <w:tc>
          <w:tcPr>
            <w:tcW w:w="9242" w:type="dxa"/>
            <w:shd w:val="clear" w:color="auto" w:fill="F2F2F2" w:themeFill="background1" w:themeFillShade="F2"/>
            <w:hideMark/>
          </w:tcPr>
          <w:p w14:paraId="49812925" w14:textId="77777777" w:rsidR="00790C07" w:rsidRDefault="00F60A15" w:rsidP="009F21D6">
            <w:pPr>
              <w:pStyle w:val="BoxQuestions-Heading"/>
            </w:pPr>
            <w:r>
              <w:t>Question</w:t>
            </w:r>
            <w:r w:rsidR="00143689">
              <w:t>s</w:t>
            </w:r>
          </w:p>
          <w:p w14:paraId="7B144E79" w14:textId="77777777" w:rsidR="00760605" w:rsidRPr="009F21D6" w:rsidRDefault="00760605" w:rsidP="00115B57">
            <w:pPr>
              <w:pStyle w:val="BoxQuestions"/>
            </w:pPr>
            <w:r w:rsidRPr="009F21D6">
              <w:t>Do you agree with the proposed timeline for the annual reporting? Are there any reas</w:t>
            </w:r>
            <w:r w:rsidR="004751A5" w:rsidRPr="009F21D6">
              <w:t>ons as to why the suggested timelines</w:t>
            </w:r>
            <w:r w:rsidRPr="009F21D6">
              <w:t xml:space="preserve"> may not work for your</w:t>
            </w:r>
            <w:r w:rsidR="00773505">
              <w:t xml:space="preserve"> organisation’s business cycle?</w:t>
            </w:r>
          </w:p>
          <w:p w14:paraId="55137696" w14:textId="77777777" w:rsidR="00760605" w:rsidRPr="006D6F65" w:rsidRDefault="00760605" w:rsidP="00115B57">
            <w:pPr>
              <w:pStyle w:val="BoxQuestions"/>
              <w:rPr>
                <w:b/>
                <w:lang w:eastAsia="en-AU"/>
              </w:rPr>
            </w:pPr>
            <w:r w:rsidRPr="009F21D6">
              <w:t xml:space="preserve">Do you </w:t>
            </w:r>
            <w:r w:rsidR="00292F77" w:rsidRPr="009F21D6">
              <w:t xml:space="preserve">agree with the proposed engagement and accountability </w:t>
            </w:r>
            <w:r w:rsidR="002E6DDE" w:rsidRPr="009F21D6">
              <w:t>measures</w:t>
            </w:r>
            <w:r w:rsidR="00292F77" w:rsidRPr="009F21D6">
              <w:t xml:space="preserve">? Are there additional </w:t>
            </w:r>
            <w:r w:rsidR="002E6DDE" w:rsidRPr="009F21D6">
              <w:t>measures</w:t>
            </w:r>
            <w:r w:rsidR="001F60B5" w:rsidRPr="009F21D6">
              <w:t xml:space="preserve"> you would prefer? If so, p</w:t>
            </w:r>
            <w:r w:rsidR="00292F77" w:rsidRPr="009F21D6">
              <w:t>lease explain why</w:t>
            </w:r>
            <w:r w:rsidR="001F60B5" w:rsidRPr="009F21D6">
              <w:t>.</w:t>
            </w:r>
          </w:p>
        </w:tc>
      </w:tr>
    </w:tbl>
    <w:p w14:paraId="69A47A5C" w14:textId="77777777" w:rsidR="00F21DD0" w:rsidRDefault="00F21DD0" w:rsidP="007564EF">
      <w:pPr>
        <w:pStyle w:val="Heading1"/>
        <w:sectPr w:rsidR="00F21DD0" w:rsidSect="00732C06">
          <w:pgSz w:w="11906" w:h="16838"/>
          <w:pgMar w:top="1440" w:right="1440" w:bottom="1440" w:left="1440" w:header="708" w:footer="708" w:gutter="0"/>
          <w:cols w:space="708"/>
          <w:titlePg/>
          <w:docGrid w:linePitch="360"/>
        </w:sectPr>
      </w:pPr>
      <w:bookmarkStart w:id="140" w:name="_Toc456266534"/>
      <w:bookmarkEnd w:id="101"/>
      <w:bookmarkEnd w:id="102"/>
      <w:bookmarkEnd w:id="103"/>
      <w:bookmarkEnd w:id="104"/>
      <w:bookmarkEnd w:id="116"/>
      <w:bookmarkEnd w:id="117"/>
      <w:bookmarkEnd w:id="118"/>
      <w:bookmarkEnd w:id="119"/>
      <w:bookmarkEnd w:id="120"/>
      <w:bookmarkEnd w:id="121"/>
      <w:bookmarkEnd w:id="123"/>
    </w:p>
    <w:p w14:paraId="65F70824" w14:textId="77777777" w:rsidR="00773870" w:rsidRPr="0041208F" w:rsidRDefault="00773870" w:rsidP="007564EF">
      <w:pPr>
        <w:pStyle w:val="Heading1"/>
      </w:pPr>
      <w:bookmarkStart w:id="141" w:name="_Toc466038555"/>
      <w:r w:rsidRPr="0041208F">
        <w:t xml:space="preserve">Chapter </w:t>
      </w:r>
      <w:r w:rsidR="00A46EC0">
        <w:t>4</w:t>
      </w:r>
      <w:r w:rsidRPr="0041208F">
        <w:t>:</w:t>
      </w:r>
      <w:r>
        <w:tab/>
        <w:t>Implementation</w:t>
      </w:r>
      <w:bookmarkEnd w:id="141"/>
    </w:p>
    <w:p w14:paraId="51003C6C" w14:textId="2074C943" w:rsidR="00773870" w:rsidRDefault="00773870" w:rsidP="009459F1">
      <w:r>
        <w:t>The Government has announced that the industry funding model will commence in the second half of 2017. Given the ex</w:t>
      </w:r>
      <w:r w:rsidR="00F96D0F">
        <w:t>-</w:t>
      </w:r>
      <w:r>
        <w:t xml:space="preserve">post nature of the proposed model, the first </w:t>
      </w:r>
      <w:r w:rsidR="003137ED">
        <w:t xml:space="preserve">payable </w:t>
      </w:r>
      <w:r>
        <w:t>bill w</w:t>
      </w:r>
      <w:r w:rsidR="003137ED">
        <w:t>ould</w:t>
      </w:r>
      <w:r>
        <w:t xml:space="preserve"> be issue</w:t>
      </w:r>
      <w:r w:rsidR="0068524D">
        <w:t>d</w:t>
      </w:r>
      <w:r>
        <w:t xml:space="preserve"> in early 2019, allowing industry time to prepare and ad</w:t>
      </w:r>
      <w:r w:rsidR="00773505">
        <w:t>just their systems as required.</w:t>
      </w:r>
    </w:p>
    <w:p w14:paraId="111AD1EE" w14:textId="77777777" w:rsidR="00773870" w:rsidRDefault="00773870" w:rsidP="007564EF">
      <w:pPr>
        <w:pStyle w:val="Heading2"/>
      </w:pPr>
      <w:bookmarkStart w:id="142" w:name="_Toc466038556"/>
      <w:r>
        <w:t>Transition arrangements with other industry levies</w:t>
      </w:r>
      <w:bookmarkEnd w:id="142"/>
    </w:p>
    <w:p w14:paraId="4CF45101" w14:textId="655D0CC2" w:rsidR="00A116C4" w:rsidRDefault="00A116C4" w:rsidP="009459F1">
      <w:r>
        <w:t xml:space="preserve">From 2017-18 onwards, the intention is that, as practically possible, all of ASIC’s regulatory costs be recovered via the industry funding model. </w:t>
      </w:r>
      <w:r w:rsidR="0099753A">
        <w:t xml:space="preserve">Ongoing ASIC </w:t>
      </w:r>
      <w:r w:rsidR="00A27491">
        <w:t>f</w:t>
      </w:r>
      <w:r>
        <w:t>unding w</w:t>
      </w:r>
      <w:r w:rsidR="003137ED">
        <w:t>ould</w:t>
      </w:r>
      <w:r>
        <w:t xml:space="preserve"> no longer be recovered through the current levy mechanisms, including the Market Supervision Cost Recovery levies and the Financial Institutions Supervisory Levies</w:t>
      </w:r>
      <w:r w:rsidR="002C0148">
        <w:t xml:space="preserve"> (FISL)</w:t>
      </w:r>
      <w:r>
        <w:t>.</w:t>
      </w:r>
    </w:p>
    <w:p w14:paraId="53D48062" w14:textId="77777777" w:rsidR="00773870" w:rsidRDefault="00773870" w:rsidP="009459F1">
      <w:r w:rsidRPr="00AA4813">
        <w:t xml:space="preserve">Market </w:t>
      </w:r>
      <w:r>
        <w:t>S</w:t>
      </w:r>
      <w:r w:rsidRPr="00AA4813">
        <w:t xml:space="preserve">upervision </w:t>
      </w:r>
      <w:r>
        <w:t>C</w:t>
      </w:r>
      <w:r w:rsidRPr="00AA4813">
        <w:t xml:space="preserve">ost </w:t>
      </w:r>
      <w:r>
        <w:t>R</w:t>
      </w:r>
      <w:r w:rsidRPr="00AA4813">
        <w:t>ecovery arrangements for ASIC w</w:t>
      </w:r>
      <w:r w:rsidR="003137ED">
        <w:t>ould</w:t>
      </w:r>
      <w:r w:rsidRPr="00AA4813">
        <w:t xml:space="preserve"> continue until the </w:t>
      </w:r>
      <w:r>
        <w:t xml:space="preserve">proposed </w:t>
      </w:r>
      <w:r w:rsidRPr="00AA4813">
        <w:t>funding model</w:t>
      </w:r>
      <w:r>
        <w:t xml:space="preserve"> is in place</w:t>
      </w:r>
      <w:r w:rsidRPr="00AA4813">
        <w:t xml:space="preserve">. Once </w:t>
      </w:r>
      <w:r>
        <w:t>in place, t</w:t>
      </w:r>
      <w:r w:rsidRPr="00AA4813">
        <w:t xml:space="preserve">he </w:t>
      </w:r>
      <w:r>
        <w:t>a</w:t>
      </w:r>
      <w:r w:rsidRPr="00AA4813">
        <w:t>mount</w:t>
      </w:r>
      <w:r>
        <w:t xml:space="preserve">s currently cost recovered under the Markets Supervision Cost Recovery </w:t>
      </w:r>
      <w:r w:rsidRPr="00AA4813">
        <w:t>arrangements</w:t>
      </w:r>
      <w:r w:rsidR="001503BE">
        <w:t>, around $20 million per annum,</w:t>
      </w:r>
      <w:r w:rsidRPr="00AA4813">
        <w:t xml:space="preserve"> </w:t>
      </w:r>
      <w:r>
        <w:t>w</w:t>
      </w:r>
      <w:r w:rsidR="003137ED">
        <w:t>ould</w:t>
      </w:r>
      <w:r>
        <w:t xml:space="preserve"> cease </w:t>
      </w:r>
      <w:r w:rsidRPr="00AA4813">
        <w:t xml:space="preserve">and be replaced with </w:t>
      </w:r>
      <w:r>
        <w:t xml:space="preserve">new </w:t>
      </w:r>
      <w:r w:rsidRPr="00AA4813">
        <w:t>levies or fees</w:t>
      </w:r>
      <w:r w:rsidR="00454068">
        <w:t>.</w:t>
      </w:r>
    </w:p>
    <w:p w14:paraId="1A4E1475" w14:textId="40090FA2" w:rsidR="0099753A" w:rsidRDefault="001503BE" w:rsidP="009459F1">
      <w:r>
        <w:t>Around $23 million</w:t>
      </w:r>
      <w:r w:rsidR="00773870">
        <w:t xml:space="preserve"> of ASIC’s current </w:t>
      </w:r>
      <w:r w:rsidR="003137ED">
        <w:t>ongoing regulatory activities</w:t>
      </w:r>
      <w:r w:rsidR="00773870">
        <w:t xml:space="preserve"> are recovered through the </w:t>
      </w:r>
      <w:r>
        <w:t xml:space="preserve">annual </w:t>
      </w:r>
      <w:r w:rsidR="00773870">
        <w:t>Financial Institutions Supervisory Levies</w:t>
      </w:r>
      <w:r w:rsidR="003137ED">
        <w:t xml:space="preserve"> applied to APRA regulated entities</w:t>
      </w:r>
      <w:r w:rsidR="00773870">
        <w:t xml:space="preserve">. This includes levies that fund: financial literacy; the operation of the Superannuation Complaints Tribunal (SCT); over the counter (OTC) </w:t>
      </w:r>
      <w:r w:rsidR="00675FF0">
        <w:t>derivatives market supervision</w:t>
      </w:r>
      <w:r w:rsidR="00773870">
        <w:t xml:space="preserve"> an</w:t>
      </w:r>
      <w:r w:rsidR="00454068">
        <w:t xml:space="preserve">d ASIC’s </w:t>
      </w:r>
      <w:proofErr w:type="spellStart"/>
      <w:r w:rsidR="00454068">
        <w:t>MoneySmart</w:t>
      </w:r>
      <w:proofErr w:type="spellEnd"/>
      <w:r w:rsidR="00454068">
        <w:t xml:space="preserve"> programmes.</w:t>
      </w:r>
    </w:p>
    <w:p w14:paraId="407392B6" w14:textId="5DE5BBAF" w:rsidR="0099753A" w:rsidRDefault="0099753A" w:rsidP="009459F1">
      <w:r>
        <w:t>The costs relating to the operation of the SCT w</w:t>
      </w:r>
      <w:r w:rsidR="003137ED">
        <w:t>ould</w:t>
      </w:r>
      <w:r>
        <w:t xml:space="preserve"> continue to be collected under the Financial Institutions Supervisory Levies</w:t>
      </w:r>
      <w:r w:rsidR="003137ED">
        <w:t xml:space="preserve"> as APRA undertakes the bulk of regulatory activities related to superannuation</w:t>
      </w:r>
      <w:r>
        <w:t>. Non-ongoing costs</w:t>
      </w:r>
      <w:r w:rsidR="007D5CDE">
        <w:t xml:space="preserve"> such as </w:t>
      </w:r>
      <w:r w:rsidR="007D5CDE" w:rsidRPr="007D5CDE">
        <w:t xml:space="preserve">the implementation and </w:t>
      </w:r>
      <w:r w:rsidR="007D5CDE" w:rsidRPr="00961FBC">
        <w:t>capital costs</w:t>
      </w:r>
      <w:r w:rsidR="00A72BE3" w:rsidRPr="00961FBC">
        <w:t xml:space="preserve"> </w:t>
      </w:r>
      <w:r>
        <w:t xml:space="preserve">from the </w:t>
      </w:r>
      <w:r w:rsidR="003137ED">
        <w:t xml:space="preserve">ASIC reform </w:t>
      </w:r>
      <w:r>
        <w:t xml:space="preserve">package </w:t>
      </w:r>
      <w:r w:rsidR="003137ED">
        <w:t xml:space="preserve">announced in April 2016 </w:t>
      </w:r>
      <w:r>
        <w:t xml:space="preserve">to improve outcomes in financial services </w:t>
      </w:r>
      <w:r w:rsidR="00C828AE">
        <w:t>would</w:t>
      </w:r>
      <w:r>
        <w:t xml:space="preserve"> continue to be collected through</w:t>
      </w:r>
      <w:r w:rsidR="002C0148">
        <w:t xml:space="preserve"> the</w:t>
      </w:r>
      <w:r>
        <w:t xml:space="preserve"> </w:t>
      </w:r>
      <w:r w:rsidR="00E87C81">
        <w:t>FISL</w:t>
      </w:r>
      <w:r>
        <w:t xml:space="preserve"> for the </w:t>
      </w:r>
      <w:r w:rsidR="00454068">
        <w:t>remaining two years of funding.</w:t>
      </w:r>
    </w:p>
    <w:p w14:paraId="2CD03187" w14:textId="77777777" w:rsidR="004751A5" w:rsidRDefault="00A116C4" w:rsidP="009459F1">
      <w:r>
        <w:t>If</w:t>
      </w:r>
      <w:r w:rsidR="00773870">
        <w:t xml:space="preserve"> </w:t>
      </w:r>
      <w:r w:rsidR="008B1CE9">
        <w:t>entitie</w:t>
      </w:r>
      <w:r w:rsidR="00773870">
        <w:t xml:space="preserve">s have already paid </w:t>
      </w:r>
      <w:r w:rsidR="0099753A">
        <w:t>these</w:t>
      </w:r>
      <w:r w:rsidR="00773870">
        <w:t xml:space="preserve"> costs through </w:t>
      </w:r>
      <w:r>
        <w:t>either of these levy</w:t>
      </w:r>
      <w:r w:rsidR="00773870" w:rsidRPr="00732C06">
        <w:t xml:space="preserve"> </w:t>
      </w:r>
      <w:r w:rsidR="00773870">
        <w:t>arrangements, these w</w:t>
      </w:r>
      <w:r w:rsidR="00C828AE">
        <w:t>ould</w:t>
      </w:r>
      <w:r w:rsidR="00773870">
        <w:t xml:space="preserve"> be deducted from i</w:t>
      </w:r>
      <w:r w:rsidR="0017155B">
        <w:t>ndustry funding levies in</w:t>
      </w:r>
      <w:r w:rsidR="00773870">
        <w:t xml:space="preserve"> the </w:t>
      </w:r>
      <w:r w:rsidR="0017155B">
        <w:t>first</w:t>
      </w:r>
      <w:r w:rsidR="00773870">
        <w:t xml:space="preserve"> year</w:t>
      </w:r>
      <w:r w:rsidR="0017155B">
        <w:t xml:space="preserve"> of transitioning to industry funding</w:t>
      </w:r>
      <w:r w:rsidR="00773870">
        <w:t>.</w:t>
      </w:r>
    </w:p>
    <w:p w14:paraId="483D4AAB" w14:textId="7EE3A1C5" w:rsidR="00AD249F" w:rsidRDefault="00A31BDC" w:rsidP="009459F1">
      <w:r>
        <w:t>Figure 6</w:t>
      </w:r>
      <w:r w:rsidR="004751A5">
        <w:t xml:space="preserve"> below demonstrates how the FISL levies would shift to industry funding in 2017-18.</w:t>
      </w:r>
      <w:r w:rsidR="00AD249F">
        <w:t xml:space="preserve"> </w:t>
      </w:r>
    </w:p>
    <w:p w14:paraId="29DC8092" w14:textId="0D6926D6" w:rsidR="00AD249F" w:rsidRDefault="00AD249F" w:rsidP="009459F1">
      <w:r w:rsidRPr="00AD249F">
        <w:t xml:space="preserve">The diagram depicts when the various levies are to be paid, not when the costs are incurred. For example, the last quarter for the </w:t>
      </w:r>
      <w:r>
        <w:t xml:space="preserve">2017-18 </w:t>
      </w:r>
      <w:r w:rsidRPr="00AD249F">
        <w:t>market supervision levies is not shown in 2017-18 as the levy</w:t>
      </w:r>
      <w:r>
        <w:t xml:space="preserve"> will be due to be paid in the first quarter of 2018-19. </w:t>
      </w:r>
    </w:p>
    <w:p w14:paraId="6DDAD71C" w14:textId="77777777" w:rsidR="00075062" w:rsidRDefault="00075062">
      <w:pPr>
        <w:spacing w:after="200" w:line="276" w:lineRule="auto"/>
        <w:jc w:val="left"/>
        <w:rPr>
          <w:rFonts w:ascii="Century Gothic" w:hAnsi="Century Gothic"/>
          <w:b/>
          <w:color w:val="1F497D" w:themeColor="text2"/>
        </w:rPr>
      </w:pPr>
      <w:r>
        <w:br w:type="page"/>
      </w:r>
    </w:p>
    <w:p w14:paraId="468B8BE1" w14:textId="607691D7" w:rsidR="0002219D" w:rsidRDefault="00A31BDC" w:rsidP="00075062">
      <w:pPr>
        <w:pStyle w:val="FigureHeading"/>
      </w:pPr>
      <w:r>
        <w:t>Figure 6: Proposed transition arrangements with other levies</w:t>
      </w:r>
    </w:p>
    <w:p w14:paraId="569E9795" w14:textId="3FC5DA4B" w:rsidR="00A31BDC" w:rsidRDefault="00075062" w:rsidP="00C2401F">
      <w:pPr>
        <w:pStyle w:val="FigureGraphic"/>
      </w:pPr>
      <w:r w:rsidRPr="00C2401F">
        <w:drawing>
          <wp:anchor distT="0" distB="0" distL="114300" distR="114300" simplePos="0" relativeHeight="251813888" behindDoc="1" locked="0" layoutInCell="1" allowOverlap="1" wp14:anchorId="65BFF58B" wp14:editId="447710B6">
            <wp:simplePos x="0" y="0"/>
            <wp:positionH relativeFrom="margin">
              <wp:align>center</wp:align>
            </wp:positionH>
            <wp:positionV relativeFrom="paragraph">
              <wp:posOffset>85725</wp:posOffset>
            </wp:positionV>
            <wp:extent cx="5580000" cy="4059646"/>
            <wp:effectExtent l="0" t="0" r="1905" b="0"/>
            <wp:wrapTight wrapText="bothSides">
              <wp:wrapPolygon edited="0">
                <wp:start x="1475" y="0"/>
                <wp:lineTo x="0" y="1014"/>
                <wp:lineTo x="0" y="16319"/>
                <wp:lineTo x="15192" y="16420"/>
                <wp:lineTo x="3466" y="16826"/>
                <wp:lineTo x="3466" y="19563"/>
                <wp:lineTo x="3835" y="19664"/>
                <wp:lineTo x="10767" y="19664"/>
                <wp:lineTo x="2286" y="20171"/>
                <wp:lineTo x="2212" y="21083"/>
                <wp:lineTo x="2581" y="21387"/>
                <wp:lineTo x="4056" y="21489"/>
                <wp:lineTo x="7006" y="21489"/>
                <wp:lineTo x="8038" y="21387"/>
                <wp:lineTo x="7964" y="21286"/>
                <wp:lineTo x="15413" y="20779"/>
                <wp:lineTo x="15487" y="20272"/>
                <wp:lineTo x="10767" y="19664"/>
                <wp:lineTo x="14380" y="19664"/>
                <wp:lineTo x="14749" y="19563"/>
                <wp:lineTo x="14602" y="18042"/>
                <wp:lineTo x="21534" y="16725"/>
                <wp:lineTo x="21534" y="1115"/>
                <wp:lineTo x="19764" y="0"/>
                <wp:lineTo x="1475"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7">
                      <a:extLst>
                        <a:ext uri="{28A0092B-C50C-407E-A947-70E740481C1C}">
                          <a14:useLocalDpi xmlns:a14="http://schemas.microsoft.com/office/drawing/2010/main" val="0"/>
                        </a:ext>
                      </a:extLst>
                    </a:blip>
                    <a:srcRect t="1660" b="1037"/>
                    <a:stretch/>
                  </pic:blipFill>
                  <pic:spPr bwMode="auto">
                    <a:xfrm>
                      <a:off x="0" y="0"/>
                      <a:ext cx="5580000" cy="40596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7564E9" w14:textId="77777777" w:rsidR="00075062" w:rsidRPr="00075062" w:rsidRDefault="00075062" w:rsidP="00075062"/>
    <w:p w14:paraId="26349977" w14:textId="77777777" w:rsidR="00A31BDC" w:rsidRPr="00075062" w:rsidRDefault="00A31BDC" w:rsidP="00075062"/>
    <w:p w14:paraId="3BA2CBE8" w14:textId="77777777" w:rsidR="00075062" w:rsidRPr="00075062" w:rsidRDefault="00075062" w:rsidP="00075062"/>
    <w:p w14:paraId="19974642" w14:textId="77777777" w:rsidR="00075062" w:rsidRPr="00075062" w:rsidRDefault="00075062" w:rsidP="00F37DCE">
      <w:pPr>
        <w:pStyle w:val="SingleParagraph"/>
      </w:pPr>
    </w:p>
    <w:p w14:paraId="351019DE" w14:textId="77777777" w:rsidR="00773870" w:rsidRPr="00D80980" w:rsidRDefault="00773505" w:rsidP="00F37DCE">
      <w:pPr>
        <w:pStyle w:val="Heading3"/>
        <w:spacing w:before="60"/>
      </w:pPr>
      <w:r>
        <w:t>User-initiated service costs</w:t>
      </w:r>
    </w:p>
    <w:p w14:paraId="45BD1AFC" w14:textId="397B35FF" w:rsidR="00773870" w:rsidRDefault="00773870" w:rsidP="00F37DCE">
      <w:pPr>
        <w:rPr>
          <w:rFonts w:eastAsiaTheme="minorHAnsi"/>
          <w:lang w:eastAsia="en-US"/>
        </w:rPr>
      </w:pPr>
      <w:r w:rsidRPr="00B77162">
        <w:rPr>
          <w:rFonts w:eastAsiaTheme="minorHAnsi"/>
          <w:lang w:eastAsia="en-US"/>
        </w:rPr>
        <w:t>ASIC’s regulatory activities that are</w:t>
      </w:r>
      <w:r>
        <w:rPr>
          <w:rFonts w:eastAsiaTheme="minorHAnsi"/>
          <w:lang w:eastAsia="en-US"/>
        </w:rPr>
        <w:t xml:space="preserve"> user-initiated and</w:t>
      </w:r>
      <w:r w:rsidRPr="00B77162">
        <w:rPr>
          <w:rFonts w:eastAsiaTheme="minorHAnsi"/>
          <w:lang w:eastAsia="en-US"/>
        </w:rPr>
        <w:t xml:space="preserve"> transaction-based w</w:t>
      </w:r>
      <w:r w:rsidR="00C828AE">
        <w:rPr>
          <w:rFonts w:eastAsiaTheme="minorHAnsi"/>
          <w:lang w:eastAsia="en-US"/>
        </w:rPr>
        <w:t>ould</w:t>
      </w:r>
      <w:r w:rsidRPr="00B77162">
        <w:rPr>
          <w:rFonts w:eastAsiaTheme="minorHAnsi"/>
          <w:lang w:eastAsia="en-US"/>
        </w:rPr>
        <w:t xml:space="preserve"> be recovered by a fee that reflects ASIC’s average cost in providing the specific service to individual entities. </w:t>
      </w:r>
      <w:r w:rsidR="00000310">
        <w:rPr>
          <w:rFonts w:eastAsiaTheme="minorHAnsi"/>
          <w:lang w:eastAsia="en-US"/>
        </w:rPr>
        <w:t>ASIC’s regulatory</w:t>
      </w:r>
      <w:r>
        <w:rPr>
          <w:rFonts w:eastAsiaTheme="minorHAnsi"/>
          <w:lang w:eastAsia="en-US"/>
        </w:rPr>
        <w:t xml:space="preserve"> fee-for-service activities are licence and registration applications</w:t>
      </w:r>
      <w:r w:rsidR="00000310">
        <w:rPr>
          <w:rFonts w:eastAsiaTheme="minorHAnsi"/>
          <w:lang w:eastAsia="en-US"/>
        </w:rPr>
        <w:t xml:space="preserve">, cancellations, </w:t>
      </w:r>
      <w:proofErr w:type="spellStart"/>
      <w:r w:rsidR="00000310">
        <w:rPr>
          <w:rFonts w:eastAsiaTheme="minorHAnsi"/>
          <w:lang w:eastAsia="en-US"/>
        </w:rPr>
        <w:t>deregistrations</w:t>
      </w:r>
      <w:proofErr w:type="spellEnd"/>
      <w:r w:rsidR="00000310">
        <w:rPr>
          <w:rFonts w:eastAsiaTheme="minorHAnsi"/>
          <w:lang w:eastAsia="en-US"/>
        </w:rPr>
        <w:t>,</w:t>
      </w:r>
      <w:r>
        <w:rPr>
          <w:rFonts w:eastAsiaTheme="minorHAnsi"/>
          <w:lang w:eastAsia="en-US"/>
        </w:rPr>
        <w:t xml:space="preserve"> variations, document reviews and applications for relief. ASIC’s fee-for-service type activities account for approximately 1</w:t>
      </w:r>
      <w:r w:rsidR="00675FF0">
        <w:rPr>
          <w:rFonts w:eastAsiaTheme="minorHAnsi"/>
          <w:lang w:eastAsia="en-US"/>
        </w:rPr>
        <w:t>2</w:t>
      </w:r>
      <w:r w:rsidR="00C2401F">
        <w:rPr>
          <w:rFonts w:eastAsiaTheme="minorHAnsi"/>
          <w:lang w:eastAsia="en-US"/>
        </w:rPr>
        <w:t xml:space="preserve"> per cent </w:t>
      </w:r>
      <w:r w:rsidR="00675FF0">
        <w:rPr>
          <w:rFonts w:eastAsiaTheme="minorHAnsi"/>
          <w:lang w:eastAsia="en-US"/>
        </w:rPr>
        <w:t xml:space="preserve">of its total annual budget for regulatory expenditure. </w:t>
      </w:r>
    </w:p>
    <w:p w14:paraId="02C11E60" w14:textId="77777777" w:rsidR="00773870" w:rsidRPr="00FE16AB" w:rsidRDefault="00773870" w:rsidP="00F37DCE">
      <w:r>
        <w:rPr>
          <w:rFonts w:eastAsiaTheme="minorHAnsi"/>
          <w:lang w:eastAsia="en-US"/>
        </w:rPr>
        <w:t xml:space="preserve">Stakeholder feedback has </w:t>
      </w:r>
      <w:r w:rsidRPr="00FE16AB">
        <w:rPr>
          <w:rFonts w:eastAsiaTheme="minorHAnsi"/>
          <w:lang w:eastAsia="en-US"/>
        </w:rPr>
        <w:t>supported the principle that a fee should be paid for ASIC’s</w:t>
      </w:r>
      <w:r w:rsidR="00055724">
        <w:rPr>
          <w:rFonts w:eastAsiaTheme="minorHAnsi"/>
          <w:lang w:eastAsia="en-US"/>
        </w:rPr>
        <w:br/>
      </w:r>
      <w:r w:rsidRPr="00FE16AB">
        <w:rPr>
          <w:rFonts w:eastAsiaTheme="minorHAnsi"/>
          <w:lang w:eastAsia="en-US"/>
        </w:rPr>
        <w:t>demand-driven services, such as processing a licence or registration application, provided that the quantum of the fee represents the efficient allocation of effort to provide the services. Stakeholders were concerned that there was little information to support the sizing of the fees.</w:t>
      </w:r>
    </w:p>
    <w:p w14:paraId="45B700C6" w14:textId="77777777" w:rsidR="00773870" w:rsidRDefault="004751A5" w:rsidP="00F37DCE">
      <w:pPr>
        <w:rPr>
          <w:rFonts w:eastAsiaTheme="minorHAnsi"/>
          <w:lang w:eastAsia="en-US"/>
        </w:rPr>
      </w:pPr>
      <w:r>
        <w:rPr>
          <w:rFonts w:eastAsiaTheme="minorHAnsi"/>
          <w:lang w:eastAsia="en-US"/>
        </w:rPr>
        <w:t>Some stakeholders have expressed concern that t</w:t>
      </w:r>
      <w:r w:rsidR="00773870" w:rsidRPr="001E1024">
        <w:rPr>
          <w:rFonts w:eastAsiaTheme="minorHAnsi"/>
          <w:lang w:eastAsia="en-US"/>
        </w:rPr>
        <w:t xml:space="preserve">he fees </w:t>
      </w:r>
      <w:r w:rsidR="00000310">
        <w:rPr>
          <w:rFonts w:eastAsiaTheme="minorHAnsi"/>
          <w:lang w:eastAsia="en-US"/>
        </w:rPr>
        <w:t xml:space="preserve">may </w:t>
      </w:r>
      <w:r w:rsidR="00773870" w:rsidRPr="001E1024">
        <w:rPr>
          <w:rFonts w:eastAsiaTheme="minorHAnsi"/>
          <w:lang w:eastAsia="en-US"/>
        </w:rPr>
        <w:t>also raise potential barriers to innovation</w:t>
      </w:r>
      <w:r w:rsidR="00773870">
        <w:rPr>
          <w:rFonts w:eastAsiaTheme="minorHAnsi"/>
          <w:lang w:eastAsia="en-US"/>
        </w:rPr>
        <w:t xml:space="preserve">. </w:t>
      </w:r>
      <w:r w:rsidR="00773870" w:rsidRPr="001E1024">
        <w:rPr>
          <w:rFonts w:eastAsiaTheme="minorHAnsi"/>
          <w:lang w:eastAsia="en-US"/>
        </w:rPr>
        <w:t xml:space="preserve">Most significantly, the $21,000 fee for novel relief applications </w:t>
      </w:r>
      <w:r w:rsidR="00000310">
        <w:rPr>
          <w:rFonts w:eastAsiaTheme="minorHAnsi"/>
          <w:lang w:eastAsia="en-US"/>
        </w:rPr>
        <w:t>considerably</w:t>
      </w:r>
      <w:r w:rsidR="00000310" w:rsidRPr="001E1024">
        <w:rPr>
          <w:rFonts w:eastAsiaTheme="minorHAnsi"/>
          <w:lang w:eastAsia="en-US"/>
        </w:rPr>
        <w:t xml:space="preserve"> </w:t>
      </w:r>
      <w:r w:rsidR="00773870" w:rsidRPr="001E1024">
        <w:rPr>
          <w:rFonts w:eastAsiaTheme="minorHAnsi"/>
          <w:lang w:eastAsia="en-US"/>
        </w:rPr>
        <w:t>increases the costs for first movers bringing new products to market that may require ASIC regulatory relief.</w:t>
      </w:r>
    </w:p>
    <w:p w14:paraId="18A572BE" w14:textId="77777777" w:rsidR="00773870" w:rsidRDefault="00773870" w:rsidP="00F37DCE">
      <w:r>
        <w:t>To address the feedback received the</w:t>
      </w:r>
      <w:r w:rsidRPr="001E1024">
        <w:t xml:space="preserve"> implementation of </w:t>
      </w:r>
      <w:r>
        <w:t xml:space="preserve">the revised </w:t>
      </w:r>
      <w:r w:rsidRPr="001E1024">
        <w:t>fees</w:t>
      </w:r>
      <w:r w:rsidRPr="001E1024">
        <w:noBreakHyphen/>
        <w:t>for</w:t>
      </w:r>
      <w:r w:rsidRPr="001E1024">
        <w:noBreakHyphen/>
        <w:t>service</w:t>
      </w:r>
      <w:r>
        <w:t xml:space="preserve"> proposal </w:t>
      </w:r>
      <w:r w:rsidR="00C828AE">
        <w:t>would</w:t>
      </w:r>
      <w:r>
        <w:t xml:space="preserve"> be delayed</w:t>
      </w:r>
      <w:r w:rsidRPr="001E1024">
        <w:t xml:space="preserve"> </w:t>
      </w:r>
      <w:r>
        <w:t xml:space="preserve">to </w:t>
      </w:r>
      <w:r w:rsidRPr="00AB20BC">
        <w:t>allow time to refine the model by gathering further data to support the sizing of these fees, for example through time recording.</w:t>
      </w:r>
    </w:p>
    <w:p w14:paraId="1E2FA018" w14:textId="77777777" w:rsidR="009459F1" w:rsidRDefault="00773870" w:rsidP="00F37DCE">
      <w:pPr>
        <w:rPr>
          <w:rFonts w:ascii="Century Gothic" w:hAnsi="Century Gothic" w:cs="Arial"/>
          <w:b/>
          <w:bCs/>
          <w:color w:val="1F497D" w:themeColor="text2"/>
          <w:sz w:val="26"/>
          <w:szCs w:val="26"/>
        </w:rPr>
      </w:pPr>
      <w:r w:rsidRPr="001E1024">
        <w:t xml:space="preserve">The existing fees in the </w:t>
      </w:r>
      <w:r w:rsidRPr="004751A5">
        <w:rPr>
          <w:i/>
        </w:rPr>
        <w:t>Corporation (Fees) Act 2001</w:t>
      </w:r>
      <w:r w:rsidRPr="001E1024">
        <w:t xml:space="preserve"> </w:t>
      </w:r>
      <w:r>
        <w:t xml:space="preserve">and regulations </w:t>
      </w:r>
      <w:r w:rsidR="00C828AE">
        <w:t>would</w:t>
      </w:r>
      <w:r>
        <w:t xml:space="preserve"> </w:t>
      </w:r>
      <w:r w:rsidRPr="001E1024">
        <w:t>continue to apply from commencement of an industry funding model</w:t>
      </w:r>
      <w:r>
        <w:t xml:space="preserve"> in the second half of 2017</w:t>
      </w:r>
      <w:r w:rsidR="00DC4A11">
        <w:t xml:space="preserve"> </w:t>
      </w:r>
      <w:r w:rsidR="00DC4A11" w:rsidRPr="00DC4A11">
        <w:t>until the new</w:t>
      </w:r>
      <w:r w:rsidR="00055724">
        <w:br/>
      </w:r>
      <w:r w:rsidR="00DC4A11" w:rsidRPr="00DC4A11">
        <w:t>fees-for-service schedule for industry funding is introduced.</w:t>
      </w:r>
      <w:r w:rsidRPr="001E1024" w:rsidDel="007C1EF4">
        <w:t xml:space="preserve"> </w:t>
      </w:r>
      <w:r w:rsidRPr="001E1024">
        <w:t xml:space="preserve">Consultation </w:t>
      </w:r>
      <w:r>
        <w:t xml:space="preserve">on the fees-for-service activities </w:t>
      </w:r>
      <w:r w:rsidR="00C828AE">
        <w:t>would</w:t>
      </w:r>
      <w:r>
        <w:t xml:space="preserve"> commence at this time.</w:t>
      </w:r>
    </w:p>
    <w:p w14:paraId="241D6D9F" w14:textId="77777777" w:rsidR="00773870" w:rsidRDefault="00773870" w:rsidP="007564EF">
      <w:pPr>
        <w:pStyle w:val="Heading3"/>
      </w:pPr>
      <w:r>
        <w:t>Legislative framework for cost recovery levies</w:t>
      </w:r>
    </w:p>
    <w:p w14:paraId="18032962" w14:textId="0E7B9A67" w:rsidR="00773870" w:rsidRDefault="00773870" w:rsidP="009459F1">
      <w:r>
        <w:t>Legislation is required to give effect to the industry funding model. Legislation will be consulted upon in detail subsequent to this consultation. Broadly, the legislation w</w:t>
      </w:r>
      <w:r w:rsidR="00C828AE">
        <w:t>ould</w:t>
      </w:r>
      <w:r>
        <w:t xml:space="preserve"> create a framework that supports digital interactions with ASIC, and makes the calculation of sector levies, as well as ASIC’s costs in respect of each sector and sub-sector</w:t>
      </w:r>
      <w:r w:rsidR="00BB1183">
        <w:t>,</w:t>
      </w:r>
      <w:r>
        <w:t xml:space="preserve"> fully transparent.</w:t>
      </w:r>
    </w:p>
    <w:p w14:paraId="4C57460E" w14:textId="34A75FCD" w:rsidR="00773870" w:rsidRDefault="00773870" w:rsidP="009459F1">
      <w:r>
        <w:t xml:space="preserve">The cost recovery </w:t>
      </w:r>
      <w:r w:rsidR="003405BB">
        <w:t>and statutory industry levies</w:t>
      </w:r>
      <w:r>
        <w:t xml:space="preserve"> </w:t>
      </w:r>
      <w:r w:rsidR="003405BB">
        <w:t>are</w:t>
      </w:r>
      <w:r>
        <w:t xml:space="preserve"> a tax for constitutional purposes, and require the imposition of the tax to be made through a separate Act. The imposition Act </w:t>
      </w:r>
      <w:r w:rsidR="00C828AE">
        <w:t>would</w:t>
      </w:r>
      <w:r>
        <w:t xml:space="preserve"> set out which entities are liable to pay a levy, and imposes that levy on the entity.</w:t>
      </w:r>
    </w:p>
    <w:p w14:paraId="4B275C6E" w14:textId="13B4B6BC" w:rsidR="008D180F" w:rsidRDefault="008D180F" w:rsidP="009459F1">
      <w:r>
        <w:t>The levy w</w:t>
      </w:r>
      <w:r w:rsidR="00C828AE">
        <w:t>ould</w:t>
      </w:r>
      <w:r>
        <w:t xml:space="preserve"> be imposed on an ex-post basis</w:t>
      </w:r>
      <w:r w:rsidR="00C828AE">
        <w:t xml:space="preserve"> starting with ASIC’s regulatory costs for the 2017-18 financial year.</w:t>
      </w:r>
      <w:r>
        <w:t xml:space="preserve"> Where an entity was a regulated entity in the previous financial year, </w:t>
      </w:r>
      <w:r w:rsidR="001C2238">
        <w:t>it</w:t>
      </w:r>
      <w:r>
        <w:t xml:space="preserve"> w</w:t>
      </w:r>
      <w:r w:rsidR="00C828AE">
        <w:t>ould</w:t>
      </w:r>
      <w:r>
        <w:t xml:space="preserve"> be subject to pay a levy in </w:t>
      </w:r>
      <w:r w:rsidR="00675FF0">
        <w:t xml:space="preserve">the </w:t>
      </w:r>
      <w:r>
        <w:t>current financial year.</w:t>
      </w:r>
      <w:r w:rsidR="00600D58">
        <w:t xml:space="preserve"> For example, if an entity was a small proprietary company in the 2017-18 financial year, </w:t>
      </w:r>
      <w:r w:rsidR="001C2238">
        <w:t>it</w:t>
      </w:r>
      <w:r w:rsidR="00600D58">
        <w:t xml:space="preserve"> w</w:t>
      </w:r>
      <w:r w:rsidR="00C828AE">
        <w:t>ould</w:t>
      </w:r>
      <w:r w:rsidR="00600D58">
        <w:t xml:space="preserve"> be subject to pay a levy for the cost of ASIC’s activity</w:t>
      </w:r>
      <w:r w:rsidR="00773505">
        <w:t xml:space="preserve"> in the 2018-19 financial year.</w:t>
      </w:r>
    </w:p>
    <w:p w14:paraId="4011BD88" w14:textId="1DAB9C67" w:rsidR="00773870" w:rsidRPr="008373BC" w:rsidRDefault="00773870" w:rsidP="009459F1">
      <w:r>
        <w:t>The method for determining the rates of</w:t>
      </w:r>
      <w:r w:rsidR="003405BB">
        <w:t xml:space="preserve"> the levies</w:t>
      </w:r>
      <w:r>
        <w:t xml:space="preserve"> </w:t>
      </w:r>
      <w:r w:rsidR="00C828AE">
        <w:t>would</w:t>
      </w:r>
      <w:r>
        <w:t xml:space="preserve"> be set out in the regulations to the </w:t>
      </w:r>
      <w:r w:rsidR="001C2238">
        <w:t>I</w:t>
      </w:r>
      <w:r>
        <w:t xml:space="preserve">mposition Act, and </w:t>
      </w:r>
      <w:r w:rsidR="00C828AE">
        <w:t>would</w:t>
      </w:r>
      <w:r>
        <w:t xml:space="preserve"> apportion ASIC’s regulatory costs for the previous financial year </w:t>
      </w:r>
      <w:r w:rsidR="00600D58">
        <w:t xml:space="preserve">for </w:t>
      </w:r>
      <w:r>
        <w:t>a</w:t>
      </w:r>
      <w:r w:rsidR="0002219D">
        <w:br/>
      </w:r>
      <w:r>
        <w:t xml:space="preserve">sub-sector across the entities </w:t>
      </w:r>
      <w:r w:rsidR="00600D58">
        <w:t>in</w:t>
      </w:r>
      <w:r>
        <w:t xml:space="preserve"> that sub-sector. The apportionment method for each sub-sector is </w:t>
      </w:r>
      <w:r w:rsidRPr="008373BC">
        <w:t xml:space="preserve">discussed in </w:t>
      </w:r>
      <w:r w:rsidR="0073765D" w:rsidRPr="008B383F">
        <w:rPr>
          <w:b/>
        </w:rPr>
        <w:t>Schedule</w:t>
      </w:r>
      <w:r w:rsidRPr="008B383F">
        <w:rPr>
          <w:b/>
        </w:rPr>
        <w:t xml:space="preserve"> </w:t>
      </w:r>
      <w:r w:rsidR="006B3C6D" w:rsidRPr="008B383F">
        <w:rPr>
          <w:b/>
        </w:rPr>
        <w:t>3</w:t>
      </w:r>
      <w:r w:rsidRPr="008373BC">
        <w:t>.</w:t>
      </w:r>
    </w:p>
    <w:p w14:paraId="03A0CE85" w14:textId="77777777" w:rsidR="00773870" w:rsidRPr="008373BC" w:rsidRDefault="00773870" w:rsidP="009459F1">
      <w:r w:rsidRPr="008373BC">
        <w:t>After ASIC has collected all the information necessary to determine the rates of levy</w:t>
      </w:r>
      <w:r w:rsidR="001C2238" w:rsidRPr="008373BC">
        <w:t xml:space="preserve"> it</w:t>
      </w:r>
      <w:r w:rsidRPr="008373BC">
        <w:t xml:space="preserve"> </w:t>
      </w:r>
      <w:r w:rsidR="00C828AE" w:rsidRPr="008373BC">
        <w:t>would</w:t>
      </w:r>
      <w:r w:rsidRPr="008373BC">
        <w:t xml:space="preserve"> issue </w:t>
      </w:r>
      <w:r w:rsidR="0017155B" w:rsidRPr="008373BC">
        <w:t>an instrument</w:t>
      </w:r>
      <w:r w:rsidRPr="008373BC">
        <w:t xml:space="preserve"> that includes all of the information relied on to calculate the rate of levy. This </w:t>
      </w:r>
      <w:r w:rsidR="00C828AE" w:rsidRPr="008373BC">
        <w:t>would</w:t>
      </w:r>
      <w:r w:rsidRPr="008373BC">
        <w:t xml:space="preserve"> be based on information that ASIC has collected </w:t>
      </w:r>
      <w:r w:rsidR="00773505" w:rsidRPr="008373BC">
        <w:t>in the previous financial year.</w:t>
      </w:r>
    </w:p>
    <w:p w14:paraId="11E7510D" w14:textId="77777777" w:rsidR="00773870" w:rsidRPr="008373BC" w:rsidRDefault="00773870" w:rsidP="009459F1">
      <w:r w:rsidRPr="008373BC">
        <w:t xml:space="preserve">The legislative framework </w:t>
      </w:r>
      <w:r w:rsidR="00C828AE" w:rsidRPr="008373BC">
        <w:t>would</w:t>
      </w:r>
      <w:r w:rsidRPr="008373BC">
        <w:t xml:space="preserve"> recover ASIC’s regulatory co</w:t>
      </w:r>
      <w:r w:rsidR="00055724" w:rsidRPr="008373BC">
        <w:t>sts (excluding the registry and</w:t>
      </w:r>
      <w:r w:rsidR="00055724" w:rsidRPr="008373BC">
        <w:br/>
      </w:r>
      <w:r w:rsidRPr="008373BC">
        <w:t>fees-for-service) in the previous financial year, from entities that:</w:t>
      </w:r>
    </w:p>
    <w:p w14:paraId="721D0E07" w14:textId="40B667A4" w:rsidR="00773870" w:rsidRPr="008373BC" w:rsidRDefault="00773870" w:rsidP="007564EF">
      <w:pPr>
        <w:pStyle w:val="Bullet"/>
      </w:pPr>
      <w:r w:rsidRPr="008373BC">
        <w:t xml:space="preserve">met one of the statutory definitions outlined in </w:t>
      </w:r>
      <w:r w:rsidRPr="008B383F">
        <w:rPr>
          <w:b/>
        </w:rPr>
        <w:t xml:space="preserve">Schedule </w:t>
      </w:r>
      <w:r w:rsidR="006B3C6D" w:rsidRPr="008B383F">
        <w:rPr>
          <w:b/>
        </w:rPr>
        <w:t>1</w:t>
      </w:r>
      <w:r w:rsidR="0073765D" w:rsidRPr="008373BC">
        <w:t>;</w:t>
      </w:r>
    </w:p>
    <w:p w14:paraId="5FB0061F" w14:textId="77777777" w:rsidR="0073765D" w:rsidRPr="007564EF" w:rsidRDefault="0073765D" w:rsidP="007564EF">
      <w:pPr>
        <w:pStyle w:val="Bullet"/>
      </w:pPr>
      <w:r w:rsidRPr="007564EF">
        <w:t>should have been licensed or registered in the previous financial year, and were not exempted from the requirement to hold a licence or be registered.</w:t>
      </w:r>
    </w:p>
    <w:p w14:paraId="7EE7BC88" w14:textId="002F4809" w:rsidR="00773870" w:rsidRDefault="00675FF0" w:rsidP="009459F1">
      <w:r>
        <w:t>W</w:t>
      </w:r>
      <w:r w:rsidR="00773870">
        <w:t xml:space="preserve">ere ASIC </w:t>
      </w:r>
      <w:r w:rsidR="00C828AE">
        <w:t xml:space="preserve">to </w:t>
      </w:r>
      <w:r w:rsidR="00773870">
        <w:t>over or under collect its regulatory costs in a year, for example, because it discovered after the rates of levy are calculated that there were more entities in the regulated population, this w</w:t>
      </w:r>
      <w:r w:rsidR="00C828AE">
        <w:t>ould</w:t>
      </w:r>
      <w:r w:rsidR="00773870">
        <w:t xml:space="preserve"> be offset or recouped against ASIC’s regulatory costs in later financial years.</w:t>
      </w:r>
    </w:p>
    <w:p w14:paraId="1B38B57B" w14:textId="22F0951C" w:rsidR="00773870" w:rsidRDefault="00773870" w:rsidP="009459F1">
      <w:r>
        <w:t>ASIC’s power to collect levies w</w:t>
      </w:r>
      <w:r w:rsidR="00C828AE">
        <w:t>ould</w:t>
      </w:r>
      <w:r>
        <w:t xml:space="preserve"> be set out in a separate </w:t>
      </w:r>
      <w:r w:rsidR="0073765D">
        <w:t>C</w:t>
      </w:r>
      <w:r>
        <w:t xml:space="preserve">ollection Act. Levies </w:t>
      </w:r>
      <w:r w:rsidR="00C828AE">
        <w:t>would</w:t>
      </w:r>
      <w:r>
        <w:t xml:space="preserve"> be due no earlier than 30 days after ASIC has issued a notice to a </w:t>
      </w:r>
      <w:proofErr w:type="spellStart"/>
      <w:r>
        <w:t>leviable</w:t>
      </w:r>
      <w:proofErr w:type="spellEnd"/>
      <w:r>
        <w:t xml:space="preserve"> entity setting out their liability to levy. If an entity fails to pay </w:t>
      </w:r>
      <w:r w:rsidR="00675FF0">
        <w:t xml:space="preserve">the </w:t>
      </w:r>
      <w:r>
        <w:t xml:space="preserve">levy by the due date, </w:t>
      </w:r>
      <w:r w:rsidR="001C2238">
        <w:t>it</w:t>
      </w:r>
      <w:r>
        <w:t xml:space="preserve"> </w:t>
      </w:r>
      <w:r w:rsidR="00C828AE">
        <w:t>would</w:t>
      </w:r>
      <w:r>
        <w:t xml:space="preserve"> be subject to pay a late payment penalty of 20 </w:t>
      </w:r>
      <w:r w:rsidRPr="0099468D">
        <w:t>per cent per annum</w:t>
      </w:r>
      <w:r>
        <w:t xml:space="preserve"> on any amounts that remain unpaid.</w:t>
      </w:r>
      <w:r w:rsidR="00DD1183">
        <w:t xml:space="preserve"> </w:t>
      </w:r>
      <w:r w:rsidR="00DD1183" w:rsidRPr="00DD1183">
        <w:t xml:space="preserve">Similarly, there </w:t>
      </w:r>
      <w:r w:rsidR="00C828AE">
        <w:t>would</w:t>
      </w:r>
      <w:r w:rsidR="00DD1183" w:rsidRPr="00DD1183">
        <w:t xml:space="preserve"> also be penalties for non-lodgement of information.</w:t>
      </w:r>
    </w:p>
    <w:p w14:paraId="6996DDC3" w14:textId="6EE7EEFC" w:rsidR="00773870" w:rsidRDefault="00773870" w:rsidP="009459F1">
      <w:r>
        <w:t>ASIC w</w:t>
      </w:r>
      <w:r w:rsidR="00C828AE">
        <w:t>ould</w:t>
      </w:r>
      <w:r>
        <w:t xml:space="preserve"> have the power to waive any amount of levy or late payment penalty, where there are exceptional c</w:t>
      </w:r>
      <w:r w:rsidR="00773505">
        <w:t xml:space="preserve">ircumstances justifying </w:t>
      </w:r>
      <w:r w:rsidR="003405BB">
        <w:t xml:space="preserve">a </w:t>
      </w:r>
      <w:r w:rsidR="00773505">
        <w:t>waiver.</w:t>
      </w:r>
      <w:r w:rsidR="0099468D">
        <w:t xml:space="preserve"> </w:t>
      </w:r>
    </w:p>
    <w:p w14:paraId="5BC676E0" w14:textId="77777777" w:rsidR="00773870" w:rsidRDefault="00000310" w:rsidP="009459F1">
      <w:r>
        <w:t>The C</w:t>
      </w:r>
      <w:r w:rsidR="00773870">
        <w:t>ollection Act w</w:t>
      </w:r>
      <w:r w:rsidR="00C828AE">
        <w:t>ould</w:t>
      </w:r>
      <w:r w:rsidR="00773870">
        <w:t xml:space="preserve"> also set out reporting obligations on entities that they must report information that is necessary for ASIC to calculate the levy for a sector. </w:t>
      </w:r>
      <w:r w:rsidR="00773870" w:rsidRPr="00C828AE">
        <w:t>As the method for levy calculations may change</w:t>
      </w:r>
      <w:r w:rsidR="0073765D" w:rsidRPr="00C828AE">
        <w:t xml:space="preserve"> from year to year</w:t>
      </w:r>
      <w:r w:rsidR="00773870" w:rsidRPr="00C828AE">
        <w:t>, ASIC w</w:t>
      </w:r>
      <w:r w:rsidR="00C828AE" w:rsidRPr="00C828AE">
        <w:t>ould</w:t>
      </w:r>
      <w:r w:rsidR="00773870" w:rsidRPr="00C828AE">
        <w:t xml:space="preserve"> have administrative </w:t>
      </w:r>
      <w:r w:rsidR="0073765D" w:rsidRPr="00C828AE">
        <w:t>ability</w:t>
      </w:r>
      <w:r w:rsidR="00773870" w:rsidRPr="00C828AE">
        <w:t xml:space="preserve"> to specify the information that it requires to be reported, provided that it is for the purposes of the calculation of the levy.</w:t>
      </w:r>
    </w:p>
    <w:p w14:paraId="67CB64EF" w14:textId="313DF4EA" w:rsidR="00773870" w:rsidRDefault="00773870" w:rsidP="009459F1">
      <w:r>
        <w:t>Where an entity has not reported information to ASIC, or has gone more than twelve months without paying</w:t>
      </w:r>
      <w:r w:rsidR="00675FF0">
        <w:t xml:space="preserve"> the</w:t>
      </w:r>
      <w:r>
        <w:t xml:space="preserve"> levy or late payment penalty, then ASIC may take administrative actions against </w:t>
      </w:r>
      <w:r w:rsidR="001C2238">
        <w:t>it</w:t>
      </w:r>
      <w:r>
        <w:t>, such as licence suspension or deregistration</w:t>
      </w:r>
      <w:r w:rsidR="0073765D">
        <w:t>, as appropriate</w:t>
      </w:r>
      <w:r>
        <w:t>.</w:t>
      </w:r>
    </w:p>
    <w:p w14:paraId="00EC24CE" w14:textId="0F897A2E" w:rsidR="00773870" w:rsidRPr="008B1371" w:rsidRDefault="00773870" w:rsidP="009459F1">
      <w:r>
        <w:t>A</w:t>
      </w:r>
      <w:r w:rsidR="00675FF0">
        <w:t>ny</w:t>
      </w:r>
      <w:r>
        <w:t xml:space="preserve"> decision of ASIC to </w:t>
      </w:r>
      <w:r w:rsidR="00675FF0">
        <w:t xml:space="preserve">decline to </w:t>
      </w:r>
      <w:r>
        <w:t xml:space="preserve">waive either the amount of levy payable or late payment penalty </w:t>
      </w:r>
      <w:r w:rsidR="00C828AE">
        <w:t>would</w:t>
      </w:r>
      <w:r>
        <w:t xml:space="preserve"> be subject to </w:t>
      </w:r>
      <w:r w:rsidR="0073765D">
        <w:t>internal</w:t>
      </w:r>
      <w:r>
        <w:t xml:space="preserve"> review and </w:t>
      </w:r>
      <w:r w:rsidR="0073765D">
        <w:t>appeal to the</w:t>
      </w:r>
      <w:r>
        <w:t xml:space="preserve"> Administrative Appeals Tribunal.</w:t>
      </w:r>
    </w:p>
    <w:tbl>
      <w:tblPr>
        <w:tblStyle w:val="boxQuestions0"/>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F2F2F2" w:themeFill="background1" w:themeFillShade="F2"/>
        <w:tblLook w:val="04A0" w:firstRow="1" w:lastRow="0" w:firstColumn="1" w:lastColumn="0" w:noHBand="0" w:noVBand="1"/>
      </w:tblPr>
      <w:tblGrid>
        <w:gridCol w:w="9242"/>
      </w:tblGrid>
      <w:tr w:rsidR="00773870" w14:paraId="269787AB" w14:textId="77777777" w:rsidTr="009F21D6">
        <w:tc>
          <w:tcPr>
            <w:tcW w:w="9242" w:type="dxa"/>
            <w:shd w:val="clear" w:color="auto" w:fill="F2F2F2" w:themeFill="background1" w:themeFillShade="F2"/>
            <w:hideMark/>
          </w:tcPr>
          <w:p w14:paraId="7E4CAF99" w14:textId="77777777" w:rsidR="00773870" w:rsidRDefault="009F21D6" w:rsidP="009F21D6">
            <w:pPr>
              <w:pStyle w:val="BoxQuestions-Heading"/>
            </w:pPr>
            <w:r>
              <w:t>Question</w:t>
            </w:r>
          </w:p>
          <w:p w14:paraId="5EF98CB3" w14:textId="77777777" w:rsidR="00773870" w:rsidRPr="009F21D6" w:rsidRDefault="00773870" w:rsidP="00115B57">
            <w:pPr>
              <w:pStyle w:val="BoxQuestions"/>
            </w:pPr>
            <w:r w:rsidRPr="009F21D6">
              <w:t>Do you have any preliminary comments on the legislative arrangements?</w:t>
            </w:r>
          </w:p>
        </w:tc>
      </w:tr>
    </w:tbl>
    <w:p w14:paraId="12164AEE" w14:textId="77777777" w:rsidR="00773870" w:rsidRPr="00D15640" w:rsidRDefault="00773505" w:rsidP="007564EF">
      <w:pPr>
        <w:pStyle w:val="Heading3"/>
      </w:pPr>
      <w:r>
        <w:t>Timeline for implementation</w:t>
      </w:r>
    </w:p>
    <w:p w14:paraId="7C4554B0" w14:textId="7FAC69EC" w:rsidR="00773870" w:rsidRDefault="00773870" w:rsidP="009459F1">
      <w:r>
        <w:t>An outline of the key processes and indicative timing for implementing</w:t>
      </w:r>
      <w:r w:rsidR="00585D45">
        <w:t xml:space="preserve"> industry funding is set out below.</w:t>
      </w:r>
    </w:p>
    <w:tbl>
      <w:tblPr>
        <w:tblStyle w:val="tableASIC"/>
        <w:tblW w:w="924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093"/>
        <w:gridCol w:w="7156"/>
      </w:tblGrid>
      <w:tr w:rsidR="00773870" w:rsidRPr="00A93FE6" w14:paraId="61E0A353" w14:textId="77777777" w:rsidTr="004C0A8B">
        <w:trPr>
          <w:trHeight w:val="20"/>
          <w:tblHeader/>
        </w:trPr>
        <w:tc>
          <w:tcPr>
            <w:tcW w:w="2093" w:type="dxa"/>
            <w:tcBorders>
              <w:bottom w:val="single" w:sz="2" w:space="0" w:color="FFFFFF" w:themeColor="background1"/>
            </w:tcBorders>
            <w:shd w:val="clear" w:color="auto" w:fill="1F497D" w:themeFill="text2"/>
            <w:hideMark/>
          </w:tcPr>
          <w:p w14:paraId="0ACEE80A" w14:textId="77777777" w:rsidR="00773870" w:rsidRPr="00A93FE6" w:rsidRDefault="00773870" w:rsidP="0019629B">
            <w:pPr>
              <w:pStyle w:val="TableColumnHeadingLeft"/>
              <w:rPr>
                <w:rFonts w:cs="Arial"/>
                <w:sz w:val="36"/>
                <w:szCs w:val="36"/>
              </w:rPr>
            </w:pPr>
            <w:r>
              <w:t>Timing</w:t>
            </w:r>
          </w:p>
        </w:tc>
        <w:tc>
          <w:tcPr>
            <w:tcW w:w="7156" w:type="dxa"/>
            <w:tcBorders>
              <w:bottom w:val="single" w:sz="2" w:space="0" w:color="FFFFFF" w:themeColor="background1"/>
            </w:tcBorders>
            <w:shd w:val="clear" w:color="auto" w:fill="1F497D" w:themeFill="text2"/>
            <w:hideMark/>
          </w:tcPr>
          <w:p w14:paraId="3EA8841A" w14:textId="77777777" w:rsidR="00773870" w:rsidRPr="00A93FE6" w:rsidRDefault="00773870" w:rsidP="0019629B">
            <w:pPr>
              <w:pStyle w:val="TableColumnHeadingLeft"/>
              <w:rPr>
                <w:rFonts w:cs="Arial"/>
                <w:sz w:val="36"/>
                <w:szCs w:val="36"/>
              </w:rPr>
            </w:pPr>
            <w:r>
              <w:t>Process</w:t>
            </w:r>
          </w:p>
        </w:tc>
      </w:tr>
      <w:tr w:rsidR="00773870" w:rsidRPr="00055724" w14:paraId="3E4E08D7" w14:textId="77777777" w:rsidTr="004C0A8B">
        <w:trPr>
          <w:trHeight w:val="20"/>
          <w:tblHeader/>
        </w:trPr>
        <w:tc>
          <w:tcPr>
            <w:tcW w:w="2093" w:type="dxa"/>
            <w:tcBorders>
              <w:top w:val="single" w:sz="2" w:space="0" w:color="FFFFFF" w:themeColor="background1"/>
            </w:tcBorders>
            <w:shd w:val="clear" w:color="auto" w:fill="DBE5F1" w:themeFill="accent1" w:themeFillTint="33"/>
          </w:tcPr>
          <w:p w14:paraId="01E684BE" w14:textId="2523F023" w:rsidR="00773870" w:rsidRPr="00055724" w:rsidRDefault="00D36683" w:rsidP="00D36683">
            <w:pPr>
              <w:pStyle w:val="TableRowHeadingLeft"/>
            </w:pPr>
            <w:r>
              <w:t>November</w:t>
            </w:r>
            <w:r w:rsidR="00773870" w:rsidRPr="00055724">
              <w:t xml:space="preserve"> 2016</w:t>
            </w:r>
          </w:p>
        </w:tc>
        <w:tc>
          <w:tcPr>
            <w:tcW w:w="7156" w:type="dxa"/>
            <w:tcBorders>
              <w:top w:val="single" w:sz="2" w:space="0" w:color="FFFFFF" w:themeColor="background1"/>
            </w:tcBorders>
            <w:shd w:val="clear" w:color="auto" w:fill="DBE5F1" w:themeFill="accent1" w:themeFillTint="33"/>
          </w:tcPr>
          <w:p w14:paraId="037F1B7C" w14:textId="77777777" w:rsidR="00773870" w:rsidRPr="00055724" w:rsidRDefault="00773870" w:rsidP="00055724">
            <w:pPr>
              <w:pStyle w:val="TableTextLeft"/>
            </w:pPr>
            <w:r w:rsidRPr="00055724">
              <w:t>Consultation roundtables held during the consultation period</w:t>
            </w:r>
          </w:p>
        </w:tc>
      </w:tr>
      <w:tr w:rsidR="00773870" w:rsidRPr="00A93FE6" w14:paraId="6CA50550" w14:textId="77777777" w:rsidTr="0002219D">
        <w:trPr>
          <w:trHeight w:val="20"/>
          <w:tblHeader/>
        </w:trPr>
        <w:tc>
          <w:tcPr>
            <w:tcW w:w="2093" w:type="dxa"/>
            <w:hideMark/>
          </w:tcPr>
          <w:p w14:paraId="52B5F1B2" w14:textId="145A2073" w:rsidR="00773870" w:rsidRPr="00A93FE6" w:rsidRDefault="00D36683" w:rsidP="00D36683">
            <w:pPr>
              <w:pStyle w:val="TableRowHeadingLeft"/>
              <w:rPr>
                <w:rFonts w:ascii="Arial" w:hAnsi="Arial" w:cs="Arial"/>
                <w:sz w:val="36"/>
                <w:szCs w:val="36"/>
              </w:rPr>
            </w:pPr>
            <w:r>
              <w:t>First quarter of 2017</w:t>
            </w:r>
          </w:p>
        </w:tc>
        <w:tc>
          <w:tcPr>
            <w:tcW w:w="7156" w:type="dxa"/>
            <w:hideMark/>
          </w:tcPr>
          <w:p w14:paraId="29062ACF" w14:textId="77777777" w:rsidR="00773870" w:rsidRPr="00764170" w:rsidRDefault="00773870" w:rsidP="00055724">
            <w:pPr>
              <w:pStyle w:val="TableTextLeft"/>
            </w:pPr>
            <w:r w:rsidRPr="00764170">
              <w:t>Consult on legislative package, regulations and final model</w:t>
            </w:r>
          </w:p>
        </w:tc>
      </w:tr>
      <w:tr w:rsidR="0017155B" w:rsidRPr="00A93FE6" w14:paraId="6628C5C5" w14:textId="77777777" w:rsidTr="0002219D">
        <w:trPr>
          <w:trHeight w:val="303"/>
          <w:tblHeader/>
        </w:trPr>
        <w:tc>
          <w:tcPr>
            <w:tcW w:w="2093" w:type="dxa"/>
            <w:shd w:val="clear" w:color="auto" w:fill="DBE5F1" w:themeFill="accent1" w:themeFillTint="33"/>
          </w:tcPr>
          <w:p w14:paraId="11C9BE29" w14:textId="77777777" w:rsidR="0017155B" w:rsidRDefault="0017155B" w:rsidP="00055724">
            <w:pPr>
              <w:pStyle w:val="TableRowHeadingLeft"/>
            </w:pPr>
            <w:r w:rsidRPr="0003290A">
              <w:t>March</w:t>
            </w:r>
            <w:r>
              <w:t xml:space="preserve"> 2017</w:t>
            </w:r>
          </w:p>
        </w:tc>
        <w:tc>
          <w:tcPr>
            <w:tcW w:w="7156" w:type="dxa"/>
            <w:shd w:val="clear" w:color="auto" w:fill="DBE5F1" w:themeFill="accent1" w:themeFillTint="33"/>
          </w:tcPr>
          <w:p w14:paraId="0390D42F" w14:textId="77777777" w:rsidR="0017155B" w:rsidRDefault="0017155B" w:rsidP="00055724">
            <w:pPr>
              <w:pStyle w:val="TableTextLeft"/>
            </w:pPr>
            <w:r>
              <w:t xml:space="preserve">ASIC </w:t>
            </w:r>
            <w:r w:rsidRPr="0003290A">
              <w:t>consults</w:t>
            </w:r>
            <w:r>
              <w:t xml:space="preserve"> on strategic risks</w:t>
            </w:r>
          </w:p>
        </w:tc>
      </w:tr>
      <w:tr w:rsidR="0017155B" w:rsidRPr="00A93FE6" w14:paraId="30FFA913" w14:textId="77777777" w:rsidTr="0002219D">
        <w:trPr>
          <w:trHeight w:val="20"/>
          <w:tblHeader/>
        </w:trPr>
        <w:tc>
          <w:tcPr>
            <w:tcW w:w="2093" w:type="dxa"/>
          </w:tcPr>
          <w:p w14:paraId="45380755" w14:textId="77777777" w:rsidR="0017155B" w:rsidRDefault="0017155B" w:rsidP="00055724">
            <w:pPr>
              <w:pStyle w:val="TableRowHeadingLeft"/>
            </w:pPr>
            <w:r>
              <w:t>March - July 2017</w:t>
            </w:r>
          </w:p>
        </w:tc>
        <w:tc>
          <w:tcPr>
            <w:tcW w:w="7156" w:type="dxa"/>
          </w:tcPr>
          <w:p w14:paraId="117E2FE2" w14:textId="77777777" w:rsidR="0017155B" w:rsidRDefault="0017155B" w:rsidP="00055724">
            <w:pPr>
              <w:pStyle w:val="TableTextLeft"/>
            </w:pPr>
            <w:r>
              <w:t>Passage of legislation and regulations approved by Executive Council</w:t>
            </w:r>
          </w:p>
        </w:tc>
      </w:tr>
      <w:tr w:rsidR="0017155B" w:rsidRPr="00A93FE6" w14:paraId="5F9DDEA8" w14:textId="77777777" w:rsidTr="0002219D">
        <w:trPr>
          <w:trHeight w:val="20"/>
          <w:tblHeader/>
        </w:trPr>
        <w:tc>
          <w:tcPr>
            <w:tcW w:w="2093" w:type="dxa"/>
            <w:shd w:val="clear" w:color="auto" w:fill="DBE5F1" w:themeFill="accent1" w:themeFillTint="33"/>
          </w:tcPr>
          <w:p w14:paraId="5B060BAD" w14:textId="77777777" w:rsidR="0017155B" w:rsidRDefault="0017155B" w:rsidP="00055724">
            <w:pPr>
              <w:pStyle w:val="TableRowHeadingLeft"/>
            </w:pPr>
            <w:r>
              <w:t>June 2017</w:t>
            </w:r>
          </w:p>
        </w:tc>
        <w:tc>
          <w:tcPr>
            <w:tcW w:w="7156" w:type="dxa"/>
            <w:shd w:val="clear" w:color="auto" w:fill="DBE5F1" w:themeFill="accent1" w:themeFillTint="33"/>
          </w:tcPr>
          <w:p w14:paraId="11FADA85" w14:textId="77777777" w:rsidR="0017155B" w:rsidRDefault="0017155B" w:rsidP="00055724">
            <w:pPr>
              <w:pStyle w:val="TableTextLeft"/>
            </w:pPr>
            <w:r>
              <w:t xml:space="preserve">ASIC publishes </w:t>
            </w:r>
            <w:r w:rsidR="001D6577" w:rsidRPr="001D6577">
              <w:t>forecast cost data and indicative levies for 2017-18</w:t>
            </w:r>
          </w:p>
        </w:tc>
      </w:tr>
      <w:tr w:rsidR="00E72E88" w:rsidRPr="00A93FE6" w14:paraId="41897D77" w14:textId="77777777" w:rsidTr="0002219D">
        <w:trPr>
          <w:trHeight w:val="20"/>
          <w:tblHeader/>
        </w:trPr>
        <w:tc>
          <w:tcPr>
            <w:tcW w:w="2093" w:type="dxa"/>
          </w:tcPr>
          <w:p w14:paraId="585EE0EE" w14:textId="77777777" w:rsidR="00E72E88" w:rsidRDefault="00E72E88" w:rsidP="00055724">
            <w:pPr>
              <w:pStyle w:val="TableRowHeadingLeft"/>
            </w:pPr>
            <w:r>
              <w:t>August 2017</w:t>
            </w:r>
          </w:p>
        </w:tc>
        <w:tc>
          <w:tcPr>
            <w:tcW w:w="7156" w:type="dxa"/>
          </w:tcPr>
          <w:p w14:paraId="4AE8015F" w14:textId="77777777" w:rsidR="00E72E88" w:rsidRDefault="00E72E88" w:rsidP="00055724">
            <w:pPr>
              <w:pStyle w:val="TableTextLeft"/>
            </w:pPr>
            <w:r>
              <w:t xml:space="preserve">ASIC publishes </w:t>
            </w:r>
            <w:r w:rsidRPr="00D36683">
              <w:rPr>
                <w:i/>
              </w:rPr>
              <w:t>Corporate Plan for 2017-18 – 2020-21</w:t>
            </w:r>
          </w:p>
        </w:tc>
      </w:tr>
      <w:tr w:rsidR="001D6577" w:rsidRPr="00A93FE6" w14:paraId="086717BC" w14:textId="77777777" w:rsidTr="0002219D">
        <w:trPr>
          <w:trHeight w:val="20"/>
          <w:tblHeader/>
        </w:trPr>
        <w:tc>
          <w:tcPr>
            <w:tcW w:w="2093" w:type="dxa"/>
            <w:shd w:val="clear" w:color="auto" w:fill="DBE5F1" w:themeFill="accent1" w:themeFillTint="33"/>
          </w:tcPr>
          <w:p w14:paraId="529F23E8" w14:textId="77777777" w:rsidR="001D6577" w:rsidRDefault="001D6577" w:rsidP="00055724">
            <w:pPr>
              <w:pStyle w:val="TableRowHeadingLeft"/>
            </w:pPr>
            <w:r w:rsidRPr="00E72E88">
              <w:t>Sep</w:t>
            </w:r>
            <w:r>
              <w:t>-Oct</w:t>
            </w:r>
            <w:r w:rsidRPr="00E72E88">
              <w:t xml:space="preserve"> 201</w:t>
            </w:r>
            <w:r>
              <w:t>7</w:t>
            </w:r>
          </w:p>
        </w:tc>
        <w:tc>
          <w:tcPr>
            <w:tcW w:w="7156" w:type="dxa"/>
            <w:shd w:val="clear" w:color="auto" w:fill="DBE5F1" w:themeFill="accent1" w:themeFillTint="33"/>
          </w:tcPr>
          <w:p w14:paraId="3E3167C7" w14:textId="77777777" w:rsidR="001D6577" w:rsidRDefault="001D6577" w:rsidP="00055724">
            <w:pPr>
              <w:pStyle w:val="TableTextLeft"/>
            </w:pPr>
            <w:r>
              <w:t xml:space="preserve">ASIC </w:t>
            </w:r>
            <w:r w:rsidRPr="00E72E88">
              <w:t>portal open for last year’s activity</w:t>
            </w:r>
            <w:r>
              <w:t xml:space="preserve"> (data collection only)</w:t>
            </w:r>
          </w:p>
        </w:tc>
      </w:tr>
      <w:tr w:rsidR="001D6577" w:rsidRPr="00A93FE6" w14:paraId="4DABC0F6" w14:textId="77777777" w:rsidTr="0002219D">
        <w:trPr>
          <w:trHeight w:val="20"/>
          <w:tblHeader/>
        </w:trPr>
        <w:tc>
          <w:tcPr>
            <w:tcW w:w="2093" w:type="dxa"/>
          </w:tcPr>
          <w:p w14:paraId="760643FC" w14:textId="77777777" w:rsidR="001D6577" w:rsidRDefault="001D6577" w:rsidP="00055724">
            <w:pPr>
              <w:pStyle w:val="TableRowHeadingLeft"/>
            </w:pPr>
            <w:r>
              <w:t>October 2017</w:t>
            </w:r>
          </w:p>
        </w:tc>
        <w:tc>
          <w:tcPr>
            <w:tcW w:w="7156" w:type="dxa"/>
          </w:tcPr>
          <w:p w14:paraId="696B1FB1" w14:textId="77777777" w:rsidR="001D6577" w:rsidRDefault="001D6577" w:rsidP="00055724">
            <w:pPr>
              <w:pStyle w:val="TableTextLeft"/>
            </w:pPr>
            <w:r>
              <w:t xml:space="preserve">ASIC publishes Annual Report </w:t>
            </w:r>
            <w:r w:rsidRPr="001D6577">
              <w:t>and the Cost Recovery Implementation Statement – allocation of resources to address strategic risks</w:t>
            </w:r>
          </w:p>
        </w:tc>
      </w:tr>
      <w:tr w:rsidR="001D6577" w:rsidRPr="00A93FE6" w14:paraId="394C3C01" w14:textId="77777777" w:rsidTr="0002219D">
        <w:trPr>
          <w:trHeight w:val="20"/>
          <w:tblHeader/>
        </w:trPr>
        <w:tc>
          <w:tcPr>
            <w:tcW w:w="2093" w:type="dxa"/>
            <w:shd w:val="clear" w:color="auto" w:fill="DBE5F1" w:themeFill="accent1" w:themeFillTint="33"/>
          </w:tcPr>
          <w:p w14:paraId="51167A47" w14:textId="77777777" w:rsidR="001D6577" w:rsidRDefault="001D6577" w:rsidP="00055724">
            <w:pPr>
              <w:pStyle w:val="TableRowHeadingLeft"/>
            </w:pPr>
            <w:r w:rsidRPr="00E72E88">
              <w:t>Dec</w:t>
            </w:r>
            <w:r>
              <w:t>ember</w:t>
            </w:r>
            <w:r w:rsidRPr="00E72E88">
              <w:t xml:space="preserve"> </w:t>
            </w:r>
            <w:r>
              <w:t>20</w:t>
            </w:r>
            <w:r w:rsidRPr="00E72E88">
              <w:t>1</w:t>
            </w:r>
            <w:r>
              <w:t>7</w:t>
            </w:r>
          </w:p>
        </w:tc>
        <w:tc>
          <w:tcPr>
            <w:tcW w:w="7156" w:type="dxa"/>
            <w:shd w:val="clear" w:color="auto" w:fill="DBE5F1" w:themeFill="accent1" w:themeFillTint="33"/>
          </w:tcPr>
          <w:p w14:paraId="665DD89F" w14:textId="77777777" w:rsidR="001D6577" w:rsidRDefault="001D6577" w:rsidP="00055724">
            <w:pPr>
              <w:pStyle w:val="TableTextLeft"/>
            </w:pPr>
            <w:r>
              <w:t xml:space="preserve">Environmental </w:t>
            </w:r>
            <w:r w:rsidRPr="00E72E88">
              <w:t xml:space="preserve">scan </w:t>
            </w:r>
            <w:r>
              <w:t>concludes</w:t>
            </w:r>
          </w:p>
        </w:tc>
      </w:tr>
      <w:tr w:rsidR="001D6577" w:rsidRPr="00A93FE6" w14:paraId="0219F43D" w14:textId="77777777" w:rsidTr="0002219D">
        <w:trPr>
          <w:trHeight w:val="20"/>
          <w:tblHeader/>
        </w:trPr>
        <w:tc>
          <w:tcPr>
            <w:tcW w:w="2093" w:type="dxa"/>
          </w:tcPr>
          <w:p w14:paraId="3CA6CFF3" w14:textId="77777777" w:rsidR="001D6577" w:rsidRDefault="001D6577" w:rsidP="00055724">
            <w:pPr>
              <w:pStyle w:val="TableRowHeadingLeft"/>
            </w:pPr>
            <w:r w:rsidRPr="00E72E88">
              <w:t>March 2018</w:t>
            </w:r>
          </w:p>
        </w:tc>
        <w:tc>
          <w:tcPr>
            <w:tcW w:w="7156" w:type="dxa"/>
          </w:tcPr>
          <w:p w14:paraId="66847218" w14:textId="77777777" w:rsidR="001D6577" w:rsidRDefault="001D6577" w:rsidP="00055724">
            <w:pPr>
              <w:pStyle w:val="TableTextLeft"/>
            </w:pPr>
            <w:r w:rsidRPr="001D6577">
              <w:t>ASIC releases detailed levies, Activity metrics, ASIC consults on Strategic risks (annual)</w:t>
            </w:r>
          </w:p>
        </w:tc>
      </w:tr>
      <w:tr w:rsidR="001D6577" w:rsidRPr="00A93FE6" w14:paraId="250E5979" w14:textId="77777777" w:rsidTr="0002219D">
        <w:trPr>
          <w:trHeight w:val="20"/>
          <w:tblHeader/>
        </w:trPr>
        <w:tc>
          <w:tcPr>
            <w:tcW w:w="2093" w:type="dxa"/>
            <w:shd w:val="clear" w:color="auto" w:fill="DBE5F1" w:themeFill="accent1" w:themeFillTint="33"/>
          </w:tcPr>
          <w:p w14:paraId="38BB82C1" w14:textId="77777777" w:rsidR="001D6577" w:rsidRDefault="001D6577" w:rsidP="00055724">
            <w:pPr>
              <w:pStyle w:val="TableRowHeadingLeft"/>
            </w:pPr>
            <w:r w:rsidRPr="00E72E88">
              <w:t>June 2018</w:t>
            </w:r>
          </w:p>
        </w:tc>
        <w:tc>
          <w:tcPr>
            <w:tcW w:w="7156" w:type="dxa"/>
            <w:shd w:val="clear" w:color="auto" w:fill="DBE5F1" w:themeFill="accent1" w:themeFillTint="33"/>
          </w:tcPr>
          <w:p w14:paraId="0C94019B" w14:textId="77777777" w:rsidR="001D6577" w:rsidRDefault="001D6577" w:rsidP="00055724">
            <w:pPr>
              <w:pStyle w:val="TableTextLeft"/>
            </w:pPr>
            <w:r w:rsidRPr="001D6577">
              <w:t xml:space="preserve">ASIC publishes forecast cost data and </w:t>
            </w:r>
            <w:r>
              <w:t>indicative levies for 2018-19</w:t>
            </w:r>
          </w:p>
        </w:tc>
      </w:tr>
      <w:tr w:rsidR="001D6577" w:rsidRPr="00A93FE6" w14:paraId="4FFA2144" w14:textId="77777777" w:rsidTr="0002219D">
        <w:trPr>
          <w:trHeight w:val="20"/>
          <w:tblHeader/>
        </w:trPr>
        <w:tc>
          <w:tcPr>
            <w:tcW w:w="2093" w:type="dxa"/>
          </w:tcPr>
          <w:p w14:paraId="328B3958" w14:textId="77777777" w:rsidR="001D6577" w:rsidRDefault="001D6577" w:rsidP="00055724">
            <w:pPr>
              <w:pStyle w:val="TableRowHeadingLeft"/>
            </w:pPr>
            <w:r w:rsidRPr="00E72E88">
              <w:t>Sep</w:t>
            </w:r>
            <w:r w:rsidR="008959B8">
              <w:t>tember</w:t>
            </w:r>
            <w:r w:rsidRPr="00E72E88">
              <w:t xml:space="preserve"> 2018</w:t>
            </w:r>
          </w:p>
        </w:tc>
        <w:tc>
          <w:tcPr>
            <w:tcW w:w="7156" w:type="dxa"/>
          </w:tcPr>
          <w:p w14:paraId="2223BC43" w14:textId="77777777" w:rsidR="001D6577" w:rsidRDefault="001D6577" w:rsidP="00055724">
            <w:pPr>
              <w:pStyle w:val="TableTextLeft"/>
            </w:pPr>
            <w:r>
              <w:t xml:space="preserve">ASIC </w:t>
            </w:r>
            <w:r w:rsidRPr="00E72E88">
              <w:t>portal open for last year’s activity</w:t>
            </w:r>
          </w:p>
        </w:tc>
      </w:tr>
      <w:tr w:rsidR="001D6577" w:rsidRPr="00A93FE6" w14:paraId="294BC426" w14:textId="77777777" w:rsidTr="0002219D">
        <w:trPr>
          <w:trHeight w:val="20"/>
          <w:tblHeader/>
        </w:trPr>
        <w:tc>
          <w:tcPr>
            <w:tcW w:w="2093" w:type="dxa"/>
            <w:shd w:val="clear" w:color="auto" w:fill="DBE5F1" w:themeFill="accent1" w:themeFillTint="33"/>
          </w:tcPr>
          <w:p w14:paraId="49DB201E" w14:textId="77777777" w:rsidR="001D6577" w:rsidRDefault="001D6577" w:rsidP="00055724">
            <w:pPr>
              <w:pStyle w:val="TableRowHeadingLeft"/>
            </w:pPr>
            <w:r w:rsidRPr="00E72E88">
              <w:t>Oct</w:t>
            </w:r>
            <w:r>
              <w:t>ober</w:t>
            </w:r>
            <w:r w:rsidRPr="00E72E88">
              <w:t xml:space="preserve"> </w:t>
            </w:r>
            <w:r w:rsidR="0060584C">
              <w:t>20</w:t>
            </w:r>
            <w:r w:rsidRPr="00E72E88">
              <w:t>18</w:t>
            </w:r>
          </w:p>
        </w:tc>
        <w:tc>
          <w:tcPr>
            <w:tcW w:w="7156" w:type="dxa"/>
            <w:shd w:val="clear" w:color="auto" w:fill="DBE5F1" w:themeFill="accent1" w:themeFillTint="33"/>
          </w:tcPr>
          <w:p w14:paraId="766C06BF" w14:textId="77777777" w:rsidR="001D6577" w:rsidRDefault="001D6577" w:rsidP="00055724">
            <w:pPr>
              <w:pStyle w:val="TableTextLeft"/>
            </w:pPr>
            <w:r w:rsidRPr="001D6577">
              <w:t>ASIC publishes Annual Report and the Cost Recovery Implementation Statement – allocation of resources to address strategic risks</w:t>
            </w:r>
          </w:p>
        </w:tc>
      </w:tr>
      <w:tr w:rsidR="001D6577" w:rsidRPr="00A93FE6" w14:paraId="337227E4" w14:textId="77777777" w:rsidTr="0002219D">
        <w:trPr>
          <w:trHeight w:val="20"/>
          <w:tblHeader/>
        </w:trPr>
        <w:tc>
          <w:tcPr>
            <w:tcW w:w="2093" w:type="dxa"/>
          </w:tcPr>
          <w:p w14:paraId="5AB0BBE5" w14:textId="77777777" w:rsidR="001D6577" w:rsidRDefault="001D6577" w:rsidP="00055724">
            <w:pPr>
              <w:pStyle w:val="TableRowHeadingLeft"/>
            </w:pPr>
            <w:r w:rsidRPr="00E72E88">
              <w:t>Dec</w:t>
            </w:r>
            <w:r>
              <w:t>ember</w:t>
            </w:r>
            <w:r w:rsidRPr="00E72E88">
              <w:t xml:space="preserve"> </w:t>
            </w:r>
            <w:r w:rsidR="0060584C">
              <w:t>201</w:t>
            </w:r>
            <w:r w:rsidRPr="00E72E88">
              <w:t>8</w:t>
            </w:r>
          </w:p>
        </w:tc>
        <w:tc>
          <w:tcPr>
            <w:tcW w:w="7156" w:type="dxa"/>
          </w:tcPr>
          <w:p w14:paraId="49253514" w14:textId="77777777" w:rsidR="001D6577" w:rsidRDefault="001D6577" w:rsidP="00055724">
            <w:pPr>
              <w:pStyle w:val="TableTextLeft"/>
            </w:pPr>
            <w:r>
              <w:t>Environmental</w:t>
            </w:r>
            <w:r w:rsidRPr="00E72E88">
              <w:t xml:space="preserve"> scan </w:t>
            </w:r>
            <w:r>
              <w:t>concludes</w:t>
            </w:r>
          </w:p>
        </w:tc>
      </w:tr>
      <w:tr w:rsidR="001D6577" w:rsidRPr="00A93FE6" w14:paraId="22E77B70" w14:textId="77777777" w:rsidTr="0002219D">
        <w:trPr>
          <w:trHeight w:val="20"/>
          <w:tblHeader/>
        </w:trPr>
        <w:tc>
          <w:tcPr>
            <w:tcW w:w="2093" w:type="dxa"/>
            <w:shd w:val="clear" w:color="auto" w:fill="DBE5F1" w:themeFill="accent1" w:themeFillTint="33"/>
          </w:tcPr>
          <w:p w14:paraId="3D7137AF" w14:textId="77777777" w:rsidR="001D6577" w:rsidRPr="00E72E88" w:rsidRDefault="001D6577" w:rsidP="00055724">
            <w:pPr>
              <w:pStyle w:val="TableRowHeadingLeft"/>
            </w:pPr>
            <w:r w:rsidRPr="00E72E88">
              <w:t>Jan</w:t>
            </w:r>
            <w:r>
              <w:t>uary</w:t>
            </w:r>
            <w:r w:rsidRPr="00E72E88">
              <w:t xml:space="preserve"> 2019</w:t>
            </w:r>
          </w:p>
        </w:tc>
        <w:tc>
          <w:tcPr>
            <w:tcW w:w="7156" w:type="dxa"/>
            <w:shd w:val="clear" w:color="auto" w:fill="DBE5F1" w:themeFill="accent1" w:themeFillTint="33"/>
          </w:tcPr>
          <w:p w14:paraId="3B7216F5" w14:textId="77777777" w:rsidR="001D6577" w:rsidRPr="00E72E88" w:rsidRDefault="001D6577" w:rsidP="00055724">
            <w:pPr>
              <w:pStyle w:val="TableTextLeft"/>
            </w:pPr>
            <w:r w:rsidRPr="001D6577">
              <w:t xml:space="preserve">ASIC publishes a </w:t>
            </w:r>
            <w:r w:rsidR="008959B8" w:rsidRPr="001D6577">
              <w:t>Notifiable</w:t>
            </w:r>
            <w:r w:rsidRPr="001D6577">
              <w:t xml:space="preserve"> Instrument with business activity details and sends invoices</w:t>
            </w:r>
          </w:p>
        </w:tc>
      </w:tr>
      <w:tr w:rsidR="001D6577" w:rsidRPr="00A93FE6" w14:paraId="721EA14D" w14:textId="77777777" w:rsidTr="0002219D">
        <w:trPr>
          <w:trHeight w:val="20"/>
          <w:tblHeader/>
        </w:trPr>
        <w:tc>
          <w:tcPr>
            <w:tcW w:w="2093" w:type="dxa"/>
          </w:tcPr>
          <w:p w14:paraId="257747A3" w14:textId="77777777" w:rsidR="001D6577" w:rsidRDefault="001D6577" w:rsidP="00055724">
            <w:pPr>
              <w:pStyle w:val="TableRowHeadingLeft"/>
            </w:pPr>
            <w:r>
              <w:t>February 2019</w:t>
            </w:r>
          </w:p>
        </w:tc>
        <w:tc>
          <w:tcPr>
            <w:tcW w:w="7156" w:type="dxa"/>
          </w:tcPr>
          <w:p w14:paraId="6C040AC9" w14:textId="77777777" w:rsidR="001D6577" w:rsidRPr="001D6577" w:rsidRDefault="001D6577" w:rsidP="00055724">
            <w:pPr>
              <w:pStyle w:val="TableTextLeft"/>
            </w:pPr>
            <w:r>
              <w:t>Invoices due for payment</w:t>
            </w:r>
          </w:p>
        </w:tc>
      </w:tr>
    </w:tbl>
    <w:p w14:paraId="1C1EF08D" w14:textId="77777777" w:rsidR="00773870" w:rsidRPr="0002219D" w:rsidRDefault="00773870" w:rsidP="000C313C">
      <w:pPr>
        <w:spacing w:after="120"/>
      </w:pPr>
    </w:p>
    <w:tbl>
      <w:tblPr>
        <w:tblStyle w:val="boxQuestions0"/>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F2F2F2" w:themeFill="background1" w:themeFillShade="F2"/>
        <w:tblLook w:val="04A0" w:firstRow="1" w:lastRow="0" w:firstColumn="1" w:lastColumn="0" w:noHBand="0" w:noVBand="1"/>
      </w:tblPr>
      <w:tblGrid>
        <w:gridCol w:w="9242"/>
      </w:tblGrid>
      <w:tr w:rsidR="00773870" w14:paraId="30BA5423" w14:textId="77777777" w:rsidTr="009F21D6">
        <w:tc>
          <w:tcPr>
            <w:tcW w:w="9242" w:type="dxa"/>
            <w:shd w:val="clear" w:color="auto" w:fill="F2F2F2" w:themeFill="background1" w:themeFillShade="F2"/>
            <w:hideMark/>
          </w:tcPr>
          <w:p w14:paraId="69FF0226" w14:textId="77777777" w:rsidR="00773870" w:rsidRDefault="009F21D6" w:rsidP="009F21D6">
            <w:pPr>
              <w:pStyle w:val="BoxQuestions-Heading"/>
            </w:pPr>
            <w:r>
              <w:t>Question</w:t>
            </w:r>
          </w:p>
          <w:p w14:paraId="77025D18" w14:textId="77777777" w:rsidR="00773870" w:rsidRPr="009F21D6" w:rsidRDefault="00773870" w:rsidP="00115B57">
            <w:pPr>
              <w:pStyle w:val="BoxQuestions"/>
            </w:pPr>
            <w:r w:rsidRPr="009F21D6">
              <w:t>Do you have any comments on the proposed implementation timetable? Please provide details of any concerns.</w:t>
            </w:r>
          </w:p>
        </w:tc>
      </w:tr>
    </w:tbl>
    <w:p w14:paraId="37D18AD2" w14:textId="77777777" w:rsidR="000C313C" w:rsidRPr="000C313C" w:rsidRDefault="000C313C" w:rsidP="000C313C">
      <w:pPr>
        <w:spacing w:after="0" w:line="240" w:lineRule="auto"/>
        <w:rPr>
          <w:sz w:val="8"/>
        </w:rPr>
        <w:sectPr w:rsidR="000C313C" w:rsidRPr="000C313C" w:rsidSect="00732C06">
          <w:footerReference w:type="first" r:id="rId48"/>
          <w:pgSz w:w="11906" w:h="16838"/>
          <w:pgMar w:top="1440" w:right="1440" w:bottom="1440" w:left="1440" w:header="708" w:footer="708" w:gutter="0"/>
          <w:cols w:space="708"/>
          <w:titlePg/>
          <w:docGrid w:linePitch="360"/>
        </w:sectPr>
      </w:pPr>
    </w:p>
    <w:p w14:paraId="7915B8AD" w14:textId="26842D7B" w:rsidR="0045755E" w:rsidRPr="007B47B1" w:rsidRDefault="000A1E3A" w:rsidP="007564EF">
      <w:pPr>
        <w:pStyle w:val="Heading1"/>
      </w:pPr>
      <w:bookmarkStart w:id="143" w:name="_Toc466038557"/>
      <w:r w:rsidRPr="007B47B1" w:rsidDel="009B19CF">
        <w:t>Cha</w:t>
      </w:r>
      <w:r w:rsidR="00147AD1" w:rsidRPr="007B47B1" w:rsidDel="009B19CF">
        <w:t xml:space="preserve">pter </w:t>
      </w:r>
      <w:bookmarkStart w:id="144" w:name="_Toc453236826"/>
      <w:bookmarkStart w:id="145" w:name="_Toc453336873"/>
      <w:bookmarkStart w:id="146" w:name="_Toc453683989"/>
      <w:bookmarkStart w:id="147" w:name="_Toc453750629"/>
      <w:bookmarkStart w:id="148" w:name="_Toc453771915"/>
      <w:bookmarkStart w:id="149" w:name="_Toc453836161"/>
      <w:bookmarkStart w:id="150" w:name="_Toc454203064"/>
      <w:bookmarkStart w:id="151" w:name="_Toc454874917"/>
      <w:bookmarkStart w:id="152" w:name="_Toc454898036"/>
      <w:r w:rsidR="00A46EC0">
        <w:t>5</w:t>
      </w:r>
      <w:r w:rsidR="0045755E" w:rsidRPr="007B47B1">
        <w:t>:</w:t>
      </w:r>
      <w:r w:rsidR="007564EF">
        <w:tab/>
      </w:r>
      <w:r w:rsidR="0045755E" w:rsidRPr="007B47B1">
        <w:t>Regulatory impact</w:t>
      </w:r>
      <w:bookmarkEnd w:id="140"/>
      <w:bookmarkEnd w:id="144"/>
      <w:bookmarkEnd w:id="145"/>
      <w:bookmarkEnd w:id="146"/>
      <w:bookmarkEnd w:id="147"/>
      <w:bookmarkEnd w:id="148"/>
      <w:bookmarkEnd w:id="149"/>
      <w:bookmarkEnd w:id="150"/>
      <w:bookmarkEnd w:id="151"/>
      <w:bookmarkEnd w:id="152"/>
      <w:bookmarkEnd w:id="143"/>
    </w:p>
    <w:p w14:paraId="515AAD12" w14:textId="77777777" w:rsidR="00220396" w:rsidRDefault="008154D2" w:rsidP="009459F1">
      <w:r>
        <w:t>In addition to the direct financial impact of the levies this paper also seeks views on the indirect or regulatory costs of providing the information needed to calculate levies and related administrative tasks</w:t>
      </w:r>
      <w:r w:rsidR="00220396">
        <w:t>:</w:t>
      </w:r>
    </w:p>
    <w:p w14:paraId="1EAE7EDB" w14:textId="77777777" w:rsidR="00220396" w:rsidRPr="007564EF" w:rsidRDefault="00220396" w:rsidP="007564EF">
      <w:pPr>
        <w:pStyle w:val="Bullet"/>
      </w:pPr>
      <w:r w:rsidRPr="007564EF">
        <w:t>administrative costs — the costs incurred primarily to demonstrate compliance with the regulation (for example, keeping records, filling in forms, or reporting requirements)</w:t>
      </w:r>
    </w:p>
    <w:p w14:paraId="27455FF1" w14:textId="77777777" w:rsidR="00FE16AB" w:rsidRPr="007564EF" w:rsidRDefault="00220396" w:rsidP="007564EF">
      <w:pPr>
        <w:pStyle w:val="Bullet"/>
      </w:pPr>
      <w:r w:rsidRPr="007564EF">
        <w:t>substantive compliance costs — costs that directly lead to the regulated outcome (</w:t>
      </w:r>
      <w:r w:rsidR="00055724">
        <w:t xml:space="preserve">for example, </w:t>
      </w:r>
      <w:r w:rsidRPr="007564EF">
        <w:t>training, providing information to third parties, and fees for professional advice)</w:t>
      </w:r>
    </w:p>
    <w:tbl>
      <w:tblPr>
        <w:tblStyle w:val="boxQuestions0"/>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F2F2F2" w:themeFill="background1" w:themeFillShade="F2"/>
        <w:tblLook w:val="04A0" w:firstRow="1" w:lastRow="0" w:firstColumn="1" w:lastColumn="0" w:noHBand="0" w:noVBand="1"/>
      </w:tblPr>
      <w:tblGrid>
        <w:gridCol w:w="9242"/>
      </w:tblGrid>
      <w:tr w:rsidR="00220396" w14:paraId="73969D3D" w14:textId="77777777" w:rsidTr="009F21D6">
        <w:tc>
          <w:tcPr>
            <w:tcW w:w="9242" w:type="dxa"/>
            <w:shd w:val="clear" w:color="auto" w:fill="F2F2F2" w:themeFill="background1" w:themeFillShade="F2"/>
            <w:hideMark/>
          </w:tcPr>
          <w:p w14:paraId="2B7E65DC" w14:textId="77777777" w:rsidR="00220396" w:rsidRDefault="00220396" w:rsidP="006D6F65">
            <w:pPr>
              <w:pStyle w:val="BoxQuestions-Heading"/>
            </w:pPr>
            <w:r>
              <w:t>Questio</w:t>
            </w:r>
            <w:r w:rsidR="009F21D6">
              <w:t>n</w:t>
            </w:r>
          </w:p>
          <w:p w14:paraId="2B168370" w14:textId="3AC7D5E5" w:rsidR="00220396" w:rsidRPr="00190541" w:rsidRDefault="00577AC2" w:rsidP="00115B57">
            <w:pPr>
              <w:pStyle w:val="BoxQuestions"/>
            </w:pPr>
            <w:r w:rsidRPr="00190541">
              <w:t>W</w:t>
            </w:r>
            <w:r w:rsidR="00220396" w:rsidRPr="00190541">
              <w:t>hat do you estimate the regulatory cost of complying with the new requirements</w:t>
            </w:r>
            <w:r w:rsidR="00292F77" w:rsidRPr="00190541">
              <w:t xml:space="preserve"> in the model</w:t>
            </w:r>
            <w:r w:rsidR="00220396" w:rsidRPr="00190541">
              <w:t xml:space="preserve"> to be? In</w:t>
            </w:r>
            <w:r w:rsidR="0002219D">
              <w:t> </w:t>
            </w:r>
            <w:r w:rsidR="00220396" w:rsidRPr="00190541">
              <w:t>order to answer this, you may wish to consider information such as the following:</w:t>
            </w:r>
          </w:p>
          <w:p w14:paraId="19BD235A" w14:textId="77777777" w:rsidR="00220396" w:rsidRPr="00190541" w:rsidRDefault="00220396" w:rsidP="00E57739">
            <w:pPr>
              <w:pStyle w:val="BoxBullet"/>
              <w:rPr>
                <w:sz w:val="19"/>
                <w:szCs w:val="19"/>
              </w:rPr>
            </w:pPr>
            <w:r w:rsidRPr="00190541">
              <w:rPr>
                <w:sz w:val="19"/>
                <w:szCs w:val="19"/>
              </w:rPr>
              <w:t>How many hours will it take to train relevant staff about t</w:t>
            </w:r>
            <w:r w:rsidR="00773505" w:rsidRPr="00190541">
              <w:rPr>
                <w:sz w:val="19"/>
                <w:szCs w:val="19"/>
              </w:rPr>
              <w:t>he new compliance requirements?</w:t>
            </w:r>
          </w:p>
          <w:p w14:paraId="0801E800" w14:textId="77777777" w:rsidR="00220396" w:rsidRPr="00190541" w:rsidRDefault="00220396" w:rsidP="00E57739">
            <w:pPr>
              <w:pStyle w:val="BoxBullet"/>
              <w:rPr>
                <w:sz w:val="19"/>
                <w:szCs w:val="19"/>
              </w:rPr>
            </w:pPr>
            <w:r w:rsidRPr="00190541">
              <w:rPr>
                <w:sz w:val="19"/>
                <w:szCs w:val="19"/>
              </w:rPr>
              <w:t>How many hours will it take to implement / updat</w:t>
            </w:r>
            <w:r w:rsidR="00773505" w:rsidRPr="00190541">
              <w:rPr>
                <w:sz w:val="19"/>
                <w:szCs w:val="19"/>
              </w:rPr>
              <w:t>e systems to ensure compliance?</w:t>
            </w:r>
          </w:p>
          <w:p w14:paraId="4C2DF33C" w14:textId="77777777" w:rsidR="00220396" w:rsidRPr="00190541" w:rsidRDefault="00220396" w:rsidP="00E57739">
            <w:pPr>
              <w:pStyle w:val="BoxBullet"/>
              <w:rPr>
                <w:sz w:val="19"/>
                <w:szCs w:val="19"/>
              </w:rPr>
            </w:pPr>
            <w:r w:rsidRPr="00190541">
              <w:rPr>
                <w:sz w:val="19"/>
                <w:szCs w:val="19"/>
              </w:rPr>
              <w:t xml:space="preserve">Will you need to procure professional advice or services to comply with the model? What is your estimate of the </w:t>
            </w:r>
            <w:r w:rsidR="00773505" w:rsidRPr="00190541">
              <w:rPr>
                <w:sz w:val="19"/>
                <w:szCs w:val="19"/>
              </w:rPr>
              <w:t>total cost of this procurement?</w:t>
            </w:r>
          </w:p>
          <w:p w14:paraId="19D91738" w14:textId="77777777" w:rsidR="00220396" w:rsidRPr="00190541" w:rsidRDefault="00220396" w:rsidP="00E57739">
            <w:pPr>
              <w:pStyle w:val="BoxBullet"/>
              <w:rPr>
                <w:sz w:val="19"/>
                <w:szCs w:val="19"/>
              </w:rPr>
            </w:pPr>
            <w:r w:rsidRPr="00190541">
              <w:rPr>
                <w:sz w:val="19"/>
                <w:szCs w:val="19"/>
              </w:rPr>
              <w:t>How many hours will it take for relevant staff to evaluate and plan for t</w:t>
            </w:r>
            <w:r w:rsidR="00773505" w:rsidRPr="00190541">
              <w:rPr>
                <w:sz w:val="19"/>
                <w:szCs w:val="19"/>
              </w:rPr>
              <w:t>he new regulatory requirements?</w:t>
            </w:r>
          </w:p>
          <w:p w14:paraId="385C91B1" w14:textId="77777777" w:rsidR="00220396" w:rsidRPr="00190541" w:rsidRDefault="00220396" w:rsidP="00E57739">
            <w:pPr>
              <w:pStyle w:val="BoxBullet"/>
              <w:rPr>
                <w:sz w:val="19"/>
                <w:szCs w:val="19"/>
              </w:rPr>
            </w:pPr>
            <w:r w:rsidRPr="00190541">
              <w:rPr>
                <w:sz w:val="19"/>
                <w:szCs w:val="19"/>
              </w:rPr>
              <w:t>How many hours will it take for staff to assemble and report any information required?</w:t>
            </w:r>
          </w:p>
          <w:p w14:paraId="524DFEAE" w14:textId="77777777" w:rsidR="00220396" w:rsidRPr="00190541" w:rsidRDefault="00220396" w:rsidP="00E57739">
            <w:pPr>
              <w:pStyle w:val="BoxBullet"/>
              <w:rPr>
                <w:sz w:val="19"/>
                <w:szCs w:val="19"/>
              </w:rPr>
            </w:pPr>
            <w:r w:rsidRPr="00190541">
              <w:rPr>
                <w:sz w:val="19"/>
                <w:szCs w:val="19"/>
              </w:rPr>
              <w:t>What is the estimated total labour cost of these activities?</w:t>
            </w:r>
          </w:p>
          <w:p w14:paraId="153028B6" w14:textId="77777777" w:rsidR="00220396" w:rsidRPr="00E57739" w:rsidRDefault="00220396" w:rsidP="00E57739">
            <w:pPr>
              <w:pStyle w:val="BoxText"/>
            </w:pPr>
            <w:r w:rsidRPr="00190541">
              <w:rPr>
                <w:sz w:val="19"/>
                <w:szCs w:val="19"/>
              </w:rPr>
              <w:t>Please only consider the cost of additional activities, beyond compliance activities that you currently perform. Please do not include the costs of levies and fees to be paid or opportunity costs</w:t>
            </w:r>
            <w:r w:rsidR="008154D2" w:rsidRPr="00190541">
              <w:rPr>
                <w:sz w:val="19"/>
                <w:szCs w:val="19"/>
              </w:rPr>
              <w:t xml:space="preserve"> in answer to this question.</w:t>
            </w:r>
            <w:r w:rsidR="00292F77" w:rsidRPr="00190541">
              <w:rPr>
                <w:sz w:val="19"/>
                <w:szCs w:val="19"/>
              </w:rPr>
              <w:t xml:space="preserve"> We seek this feedback elsewhere.</w:t>
            </w:r>
          </w:p>
        </w:tc>
      </w:tr>
    </w:tbl>
    <w:p w14:paraId="741B262B" w14:textId="77777777" w:rsidR="007564EF" w:rsidRDefault="007564EF" w:rsidP="007564EF">
      <w:pPr>
        <w:pStyle w:val="Heading1"/>
        <w:sectPr w:rsidR="007564EF" w:rsidSect="00732C06">
          <w:pgSz w:w="11906" w:h="16838"/>
          <w:pgMar w:top="1440" w:right="1440" w:bottom="1440" w:left="1440" w:header="708" w:footer="708" w:gutter="0"/>
          <w:cols w:space="708"/>
          <w:titlePg/>
          <w:docGrid w:linePitch="360"/>
        </w:sectPr>
      </w:pPr>
    </w:p>
    <w:p w14:paraId="509426F2" w14:textId="77777777" w:rsidR="007564D1" w:rsidRDefault="007564D1" w:rsidP="007564EF">
      <w:pPr>
        <w:pStyle w:val="Heading1"/>
      </w:pPr>
      <w:bookmarkStart w:id="153" w:name="_Toc466038558"/>
      <w:r w:rsidRPr="00462B08">
        <w:t xml:space="preserve">Chapter </w:t>
      </w:r>
      <w:r w:rsidR="00A46EC0">
        <w:t>6</w:t>
      </w:r>
      <w:r w:rsidR="002D212A">
        <w:t>:</w:t>
      </w:r>
      <w:r w:rsidR="007564EF">
        <w:tab/>
      </w:r>
      <w:r w:rsidR="00773870">
        <w:t>Summary of p</w:t>
      </w:r>
      <w:r w:rsidRPr="00462B08">
        <w:t>revious consultation</w:t>
      </w:r>
      <w:bookmarkEnd w:id="153"/>
    </w:p>
    <w:p w14:paraId="5EA6FE55" w14:textId="77777777" w:rsidR="007564D1" w:rsidRDefault="007564D1" w:rsidP="009459F1">
      <w:r>
        <w:t xml:space="preserve">In August 2015, the Government released a consultation paper on a possible industry funding model for ASIC. The consultation period ran for six weeks and during that time </w:t>
      </w:r>
      <w:r w:rsidRPr="007B3765">
        <w:t>Treasury</w:t>
      </w:r>
      <w:r>
        <w:t xml:space="preserve"> and ASIC</w:t>
      </w:r>
      <w:r w:rsidRPr="007B3765">
        <w:t xml:space="preserve"> held nine</w:t>
      </w:r>
      <w:r w:rsidR="00773505">
        <w:t> </w:t>
      </w:r>
      <w:r w:rsidRPr="007B3765">
        <w:t>roundtable meetings with industry and consumer representatives</w:t>
      </w:r>
      <w:r w:rsidRPr="007B3765" w:rsidDel="007C1EF4">
        <w:t xml:space="preserve">. </w:t>
      </w:r>
      <w:r>
        <w:t>The Government</w:t>
      </w:r>
      <w:r w:rsidRPr="007B3765">
        <w:t xml:space="preserve"> received 7</w:t>
      </w:r>
      <w:r>
        <w:t>7</w:t>
      </w:r>
      <w:r w:rsidR="00331624">
        <w:t> </w:t>
      </w:r>
      <w:r>
        <w:t>submissions</w:t>
      </w:r>
      <w:r w:rsidRPr="000746AD">
        <w:t>, includ</w:t>
      </w:r>
      <w:r>
        <w:t xml:space="preserve">ing 15 confidential submissions, </w:t>
      </w:r>
      <w:r w:rsidRPr="007B3765">
        <w:t>from a range of industry and consumer groups</w:t>
      </w:r>
      <w:r w:rsidR="00331624">
        <w:t>.</w:t>
      </w:r>
    </w:p>
    <w:p w14:paraId="4777FCB6" w14:textId="77777777" w:rsidR="007564D1" w:rsidRPr="007B3765" w:rsidRDefault="007564D1" w:rsidP="009459F1">
      <w:r>
        <w:t>Submissions, together with the findings of the ASIC Capability Review Panel which reported to Government in December 2015, informed the Government’s decision to recover the costs of ASIC’s regulatory activities from industry.</w:t>
      </w:r>
    </w:p>
    <w:p w14:paraId="6126B94B" w14:textId="77777777" w:rsidR="007564D1" w:rsidRDefault="007564D1" w:rsidP="007564EF">
      <w:pPr>
        <w:pStyle w:val="Heading2"/>
      </w:pPr>
      <w:bookmarkStart w:id="154" w:name="_Toc466038559"/>
      <w:r>
        <w:t>Stakeholder feedback</w:t>
      </w:r>
      <w:bookmarkEnd w:id="154"/>
    </w:p>
    <w:p w14:paraId="259F50A8" w14:textId="30EA9AA2" w:rsidR="007564D1" w:rsidRPr="007B3765" w:rsidRDefault="007564D1" w:rsidP="009459F1">
      <w:r>
        <w:t>Most submissions</w:t>
      </w:r>
      <w:r w:rsidRPr="007B3765">
        <w:t xml:space="preserve"> expressed in</w:t>
      </w:r>
      <w:r w:rsidRPr="007B3765">
        <w:noBreakHyphen/>
        <w:t>principle support for an ASIC industr</w:t>
      </w:r>
      <w:r>
        <w:t xml:space="preserve">y funding model, provided that </w:t>
      </w:r>
      <w:r w:rsidRPr="007B3765">
        <w:t xml:space="preserve">the model </w:t>
      </w:r>
      <w:r>
        <w:t xml:space="preserve">is </w:t>
      </w:r>
      <w:r w:rsidRPr="007B3765">
        <w:t>accompanied by</w:t>
      </w:r>
      <w:r>
        <w:t xml:space="preserve"> </w:t>
      </w:r>
      <w:r w:rsidRPr="007B3765">
        <w:t xml:space="preserve">transparency </w:t>
      </w:r>
      <w:r>
        <w:t xml:space="preserve">and accountability </w:t>
      </w:r>
      <w:r w:rsidRPr="008373BC">
        <w:t xml:space="preserve">measures. </w:t>
      </w:r>
      <w:r w:rsidRPr="008373BC">
        <w:rPr>
          <w:b/>
        </w:rPr>
        <w:t xml:space="preserve">Chapter </w:t>
      </w:r>
      <w:r w:rsidR="006B3C6D" w:rsidRPr="008373BC">
        <w:rPr>
          <w:b/>
        </w:rPr>
        <w:t>3</w:t>
      </w:r>
      <w:r w:rsidRPr="008373BC">
        <w:t xml:space="preserve"> discusses the proposed ASIC transparency and accountability measures for this funding model.</w:t>
      </w:r>
      <w:r w:rsidR="005E7BCA">
        <w:t xml:space="preserve"> </w:t>
      </w:r>
    </w:p>
    <w:p w14:paraId="6BE611C6" w14:textId="77777777" w:rsidR="007564D1" w:rsidRDefault="007564D1" w:rsidP="009459F1">
      <w:r>
        <w:t>Detailed feedback and the proposed response to the feedback is provided in the table below.</w:t>
      </w:r>
    </w:p>
    <w:p w14:paraId="7444C37A" w14:textId="38541693" w:rsidR="007564D1" w:rsidRPr="006804CB" w:rsidRDefault="007564D1" w:rsidP="006804CB">
      <w:pPr>
        <w:pStyle w:val="TableMainHeading"/>
      </w:pPr>
      <w:r w:rsidRPr="006804CB">
        <w:t xml:space="preserve">Table </w:t>
      </w:r>
      <w:r w:rsidR="00A31BDC">
        <w:t>2</w:t>
      </w:r>
      <w:r w:rsidR="009459F1" w:rsidRPr="006804CB">
        <w:t>:</w:t>
      </w:r>
      <w:r w:rsidR="009459F1" w:rsidRPr="006804CB">
        <w:tab/>
      </w:r>
      <w:r w:rsidRPr="006804CB">
        <w:t>Consultation feedback</w:t>
      </w:r>
    </w:p>
    <w:tbl>
      <w:tblPr>
        <w:tblStyle w:val="tableASIC"/>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943"/>
        <w:gridCol w:w="6237"/>
      </w:tblGrid>
      <w:tr w:rsidR="007564D1" w:rsidRPr="00BA123A" w14:paraId="3B0A5E89" w14:textId="77777777" w:rsidTr="004C0A8B">
        <w:tc>
          <w:tcPr>
            <w:tcW w:w="2943" w:type="dxa"/>
            <w:tcBorders>
              <w:bottom w:val="single" w:sz="2" w:space="0" w:color="FFFFFF" w:themeColor="background1"/>
            </w:tcBorders>
            <w:shd w:val="clear" w:color="auto" w:fill="1F497D" w:themeFill="text2"/>
          </w:tcPr>
          <w:p w14:paraId="0D0C0467" w14:textId="77777777" w:rsidR="007564D1" w:rsidRPr="00BA123A" w:rsidRDefault="007564D1" w:rsidP="0019629B">
            <w:pPr>
              <w:pStyle w:val="TableColumnHeadingLeft"/>
            </w:pPr>
            <w:r w:rsidRPr="00BA123A">
              <w:t>Feedback</w:t>
            </w:r>
          </w:p>
        </w:tc>
        <w:tc>
          <w:tcPr>
            <w:tcW w:w="6237" w:type="dxa"/>
            <w:tcBorders>
              <w:bottom w:val="single" w:sz="2" w:space="0" w:color="FFFFFF" w:themeColor="background1"/>
            </w:tcBorders>
            <w:shd w:val="clear" w:color="auto" w:fill="1F497D" w:themeFill="text2"/>
          </w:tcPr>
          <w:p w14:paraId="2111983F" w14:textId="77777777" w:rsidR="007564D1" w:rsidRPr="00BA123A" w:rsidRDefault="007564D1" w:rsidP="0019629B">
            <w:pPr>
              <w:pStyle w:val="TableColumnHeadingLeft"/>
            </w:pPr>
            <w:r w:rsidRPr="00BA123A">
              <w:t>Response</w:t>
            </w:r>
          </w:p>
        </w:tc>
      </w:tr>
      <w:tr w:rsidR="007564D1" w14:paraId="648C61CE" w14:textId="77777777" w:rsidTr="004C0A8B">
        <w:tc>
          <w:tcPr>
            <w:tcW w:w="2943" w:type="dxa"/>
            <w:tcBorders>
              <w:top w:val="single" w:sz="2" w:space="0" w:color="FFFFFF" w:themeColor="background1"/>
            </w:tcBorders>
            <w:shd w:val="clear" w:color="auto" w:fill="DBE5F1" w:themeFill="accent1" w:themeFillTint="33"/>
          </w:tcPr>
          <w:p w14:paraId="17D989B6" w14:textId="77777777" w:rsidR="007564D1" w:rsidRPr="00BA123A" w:rsidRDefault="007564D1" w:rsidP="00055724">
            <w:pPr>
              <w:pStyle w:val="TableRowHeadingLeft"/>
            </w:pPr>
            <w:r>
              <w:t>Elements of the proposed model could have an adverse effect on</w:t>
            </w:r>
            <w:r w:rsidRPr="00C324E6">
              <w:t xml:space="preserve"> competition and innovation.</w:t>
            </w:r>
          </w:p>
        </w:tc>
        <w:tc>
          <w:tcPr>
            <w:tcW w:w="6237" w:type="dxa"/>
            <w:tcBorders>
              <w:top w:val="single" w:sz="2" w:space="0" w:color="FFFFFF" w:themeColor="background1"/>
            </w:tcBorders>
            <w:shd w:val="clear" w:color="auto" w:fill="DBE5F1" w:themeFill="accent1" w:themeFillTint="33"/>
          </w:tcPr>
          <w:p w14:paraId="0F84B9BA" w14:textId="77777777" w:rsidR="007564D1" w:rsidRDefault="007564D1" w:rsidP="00055724">
            <w:pPr>
              <w:pStyle w:val="TableTextLeft"/>
            </w:pPr>
            <w:r>
              <w:t>The model has been refined to:</w:t>
            </w:r>
          </w:p>
          <w:p w14:paraId="71D5C74B" w14:textId="77777777" w:rsidR="007564D1" w:rsidRPr="00201EDC" w:rsidRDefault="007564D1" w:rsidP="00115B57">
            <w:pPr>
              <w:pStyle w:val="TableTexLeft-Bullets"/>
            </w:pPr>
            <w:r w:rsidRPr="00201EDC">
              <w:rPr>
                <w:b/>
              </w:rPr>
              <w:t>incorporate lower minimum levies</w:t>
            </w:r>
            <w:r w:rsidRPr="00201EDC">
              <w:t xml:space="preserve"> in sectors, such as publicly listed companies and market participants. This </w:t>
            </w:r>
            <w:r w:rsidR="00C828AE" w:rsidRPr="00201EDC">
              <w:t>would</w:t>
            </w:r>
            <w:r w:rsidRPr="00201EDC">
              <w:t xml:space="preserve"> ensure that smaller entities are not paying high levies proportional to their activities compared to large </w:t>
            </w:r>
            <w:r w:rsidR="008B1CE9" w:rsidRPr="00201EDC">
              <w:t>entitie</w:t>
            </w:r>
            <w:r w:rsidRPr="00201EDC">
              <w:t>s. Maintaining a minimum levy recognises that there is a base cost to regulating each entity in a sector, regardless of size.</w:t>
            </w:r>
          </w:p>
          <w:p w14:paraId="314B8753" w14:textId="77777777" w:rsidR="007564D1" w:rsidRPr="00201EDC" w:rsidRDefault="007564D1" w:rsidP="00115B57">
            <w:pPr>
              <w:pStyle w:val="TableTexLeft-Bullets"/>
            </w:pPr>
            <w:r w:rsidRPr="00201EDC">
              <w:t xml:space="preserve">where possible introduce an </w:t>
            </w:r>
            <w:r w:rsidRPr="00201EDC">
              <w:rPr>
                <w:b/>
              </w:rPr>
              <w:t>activity-based metric</w:t>
            </w:r>
            <w:r w:rsidRPr="00201EDC">
              <w:t xml:space="preserve"> to distribute the costs within a sector. Each </w:t>
            </w:r>
            <w:r w:rsidR="0060584C" w:rsidRPr="00201EDC">
              <w:t>entity’s</w:t>
            </w:r>
            <w:r w:rsidRPr="00201EDC">
              <w:t xml:space="preserve"> regulatory costs to be calculated based on the </w:t>
            </w:r>
            <w:r w:rsidR="0060584C" w:rsidRPr="00201EDC">
              <w:t>entities’</w:t>
            </w:r>
            <w:r w:rsidRPr="00201EDC">
              <w:t xml:space="preserve"> level of activity compared with others in the sector. The activity measure is selected to reflect the typical cost of regulating each </w:t>
            </w:r>
            <w:r w:rsidR="00773505">
              <w:t>entity.</w:t>
            </w:r>
          </w:p>
          <w:p w14:paraId="39935764" w14:textId="77777777" w:rsidR="007564D1" w:rsidRPr="00616199" w:rsidRDefault="001C2238" w:rsidP="00115B57">
            <w:pPr>
              <w:pStyle w:val="TableTexLeft-Bullets"/>
            </w:pPr>
            <w:r w:rsidRPr="00201EDC">
              <w:t>address</w:t>
            </w:r>
            <w:r w:rsidR="007564D1" w:rsidRPr="00201EDC">
              <w:t xml:space="preserve"> a concern that the current market supervision cost recovery model does not include all who drive ASIC’s costs in this area because only market participants and market infrastructure providers are included. The proposed model assigns costs to all </w:t>
            </w:r>
            <w:r w:rsidR="008B1CE9" w:rsidRPr="00201EDC">
              <w:t>entitie</w:t>
            </w:r>
            <w:r w:rsidR="007564D1" w:rsidRPr="00201EDC">
              <w:t xml:space="preserve">s </w:t>
            </w:r>
            <w:r w:rsidRPr="00201EDC">
              <w:t>driving ASIC’s market supervision costs</w:t>
            </w:r>
            <w:r w:rsidR="007564D1" w:rsidRPr="00201EDC">
              <w:t>.</w:t>
            </w:r>
          </w:p>
        </w:tc>
      </w:tr>
      <w:tr w:rsidR="007564D1" w14:paraId="2BA9CFE0" w14:textId="77777777" w:rsidTr="00115B57">
        <w:tc>
          <w:tcPr>
            <w:tcW w:w="2943" w:type="dxa"/>
          </w:tcPr>
          <w:p w14:paraId="78910ACD" w14:textId="259B3EDF" w:rsidR="007564D1" w:rsidRPr="00BA123A" w:rsidRDefault="007564D1" w:rsidP="00BD6014">
            <w:pPr>
              <w:pStyle w:val="TableRowHeadingLeft"/>
            </w:pPr>
            <w:r>
              <w:t xml:space="preserve">The </w:t>
            </w:r>
            <w:r w:rsidR="00BD6014">
              <w:t>proposed</w:t>
            </w:r>
            <w:r w:rsidR="00BD6014" w:rsidRPr="00201EDC">
              <w:t xml:space="preserve"> </w:t>
            </w:r>
            <w:r w:rsidRPr="00201EDC">
              <w:t>tiered levy</w:t>
            </w:r>
            <w:r>
              <w:t xml:space="preserve"> approach in some sectors would result in some entities being </w:t>
            </w:r>
            <w:r w:rsidRPr="00BA123A">
              <w:t>subject to a large increase in their levy if they cross a specific threshold</w:t>
            </w:r>
            <w:r w:rsidRPr="00BA123A" w:rsidDel="007C1EF4">
              <w:t>.</w:t>
            </w:r>
          </w:p>
        </w:tc>
        <w:tc>
          <w:tcPr>
            <w:tcW w:w="6237" w:type="dxa"/>
          </w:tcPr>
          <w:p w14:paraId="6F585B0C" w14:textId="77777777" w:rsidR="007564D1" w:rsidRPr="00BA123A" w:rsidRDefault="007564D1" w:rsidP="00055724">
            <w:pPr>
              <w:pStyle w:val="TableTextLeft"/>
              <w:rPr>
                <w:color w:val="auto"/>
              </w:rPr>
            </w:pPr>
            <w:r>
              <w:t xml:space="preserve">The refined model </w:t>
            </w:r>
            <w:r w:rsidRPr="007B3765">
              <w:t>replac</w:t>
            </w:r>
            <w:r>
              <w:t>es</w:t>
            </w:r>
            <w:r w:rsidRPr="007B3765">
              <w:t xml:space="preserve"> t</w:t>
            </w:r>
            <w:r>
              <w:t xml:space="preserve">iers </w:t>
            </w:r>
            <w:r w:rsidRPr="007B3765">
              <w:t xml:space="preserve">with a </w:t>
            </w:r>
            <w:r>
              <w:t xml:space="preserve">graduated levy based on a </w:t>
            </w:r>
            <w:r w:rsidRPr="00997A32">
              <w:rPr>
                <w:color w:val="auto"/>
              </w:rPr>
              <w:t>relevant business activity metric.</w:t>
            </w:r>
          </w:p>
        </w:tc>
      </w:tr>
    </w:tbl>
    <w:p w14:paraId="2C98893C" w14:textId="77777777" w:rsidR="00201EDC" w:rsidRDefault="00201EDC">
      <w:pPr>
        <w:rPr>
          <w:b/>
          <w:bCs/>
        </w:rPr>
      </w:pPr>
      <w:r>
        <w:rPr>
          <w:b/>
          <w:bCs/>
        </w:rPr>
        <w:br w:type="page"/>
      </w:r>
    </w:p>
    <w:p w14:paraId="72D599DC" w14:textId="3700A012" w:rsidR="00201EDC" w:rsidRPr="006804CB" w:rsidRDefault="00201EDC" w:rsidP="006804CB">
      <w:pPr>
        <w:pStyle w:val="TableMainHeadingCont"/>
      </w:pPr>
      <w:r w:rsidRPr="006804CB">
        <w:t xml:space="preserve">Table </w:t>
      </w:r>
      <w:r w:rsidR="00A31BDC">
        <w:t>2</w:t>
      </w:r>
      <w:r w:rsidRPr="006804CB">
        <w:t>:</w:t>
      </w:r>
      <w:r w:rsidRPr="006804CB">
        <w:tab/>
        <w:t>Consultation feedback (continued)</w:t>
      </w:r>
    </w:p>
    <w:tbl>
      <w:tblPr>
        <w:tblStyle w:val="tableASIC"/>
        <w:tblW w:w="923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085"/>
        <w:gridCol w:w="6151"/>
      </w:tblGrid>
      <w:tr w:rsidR="00201EDC" w:rsidRPr="00BA123A" w14:paraId="3B0CEB27" w14:textId="77777777" w:rsidTr="004C0A8B">
        <w:tc>
          <w:tcPr>
            <w:tcW w:w="3085" w:type="dxa"/>
            <w:tcBorders>
              <w:bottom w:val="single" w:sz="2" w:space="0" w:color="FFFFFF" w:themeColor="background1"/>
            </w:tcBorders>
            <w:shd w:val="clear" w:color="auto" w:fill="1F497D" w:themeFill="text2"/>
          </w:tcPr>
          <w:p w14:paraId="077C8FAD" w14:textId="77777777" w:rsidR="00201EDC" w:rsidRPr="00BA123A" w:rsidRDefault="00201EDC" w:rsidP="0019629B">
            <w:pPr>
              <w:pStyle w:val="TableColumnHeadingLeft"/>
            </w:pPr>
            <w:r w:rsidRPr="00BA123A">
              <w:t>Feedback</w:t>
            </w:r>
          </w:p>
        </w:tc>
        <w:tc>
          <w:tcPr>
            <w:tcW w:w="6151" w:type="dxa"/>
            <w:tcBorders>
              <w:bottom w:val="single" w:sz="2" w:space="0" w:color="FFFFFF" w:themeColor="background1"/>
            </w:tcBorders>
            <w:shd w:val="clear" w:color="auto" w:fill="1F497D" w:themeFill="text2"/>
          </w:tcPr>
          <w:p w14:paraId="50A091F9" w14:textId="77777777" w:rsidR="00201EDC" w:rsidRPr="00BA123A" w:rsidRDefault="00201EDC" w:rsidP="0019629B">
            <w:pPr>
              <w:pStyle w:val="TableColumnHeadingLeft"/>
            </w:pPr>
            <w:r w:rsidRPr="00BA123A">
              <w:t>Response</w:t>
            </w:r>
          </w:p>
        </w:tc>
      </w:tr>
      <w:tr w:rsidR="007564D1" w:rsidRPr="00A13968" w14:paraId="7343D5D1" w14:textId="77777777" w:rsidTr="004C0A8B">
        <w:tc>
          <w:tcPr>
            <w:tcW w:w="3085" w:type="dxa"/>
            <w:tcBorders>
              <w:top w:val="single" w:sz="2" w:space="0" w:color="FFFFFF" w:themeColor="background1"/>
            </w:tcBorders>
            <w:shd w:val="clear" w:color="auto" w:fill="DBE5F1" w:themeFill="accent1" w:themeFillTint="33"/>
          </w:tcPr>
          <w:p w14:paraId="79A60E02" w14:textId="77777777" w:rsidR="007564D1" w:rsidRPr="00A13968" w:rsidRDefault="007564D1" w:rsidP="00055724">
            <w:pPr>
              <w:pStyle w:val="TableRowHeadingLeft"/>
              <w:rPr>
                <w:spacing w:val="-2"/>
              </w:rPr>
            </w:pPr>
            <w:r w:rsidRPr="00A13968">
              <w:rPr>
                <w:spacing w:val="-2"/>
              </w:rPr>
              <w:t>A preference for a risk weighted levy, with reference to the F</w:t>
            </w:r>
            <w:r w:rsidR="009563B4" w:rsidRPr="00A13968">
              <w:rPr>
                <w:spacing w:val="-2"/>
              </w:rPr>
              <w:t xml:space="preserve">inancial </w:t>
            </w:r>
            <w:r w:rsidRPr="00A13968">
              <w:rPr>
                <w:spacing w:val="-2"/>
              </w:rPr>
              <w:t>I</w:t>
            </w:r>
            <w:r w:rsidR="009563B4" w:rsidRPr="00A13968">
              <w:rPr>
                <w:spacing w:val="-2"/>
              </w:rPr>
              <w:t xml:space="preserve">nstitutions </w:t>
            </w:r>
            <w:r w:rsidR="007D00A1" w:rsidRPr="00A13968">
              <w:rPr>
                <w:spacing w:val="-2"/>
              </w:rPr>
              <w:t>Supervisory</w:t>
            </w:r>
            <w:r w:rsidR="009563B4" w:rsidRPr="00A13968">
              <w:rPr>
                <w:spacing w:val="-2"/>
              </w:rPr>
              <w:t xml:space="preserve"> </w:t>
            </w:r>
            <w:r w:rsidRPr="00A13968">
              <w:rPr>
                <w:spacing w:val="-2"/>
              </w:rPr>
              <w:t>L</w:t>
            </w:r>
            <w:r w:rsidR="009563B4" w:rsidRPr="00A13968">
              <w:rPr>
                <w:spacing w:val="-2"/>
              </w:rPr>
              <w:t>evy</w:t>
            </w:r>
            <w:r w:rsidRPr="00A13968">
              <w:rPr>
                <w:spacing w:val="-2"/>
              </w:rPr>
              <w:t xml:space="preserve"> methodology.</w:t>
            </w:r>
          </w:p>
        </w:tc>
        <w:tc>
          <w:tcPr>
            <w:tcW w:w="6151" w:type="dxa"/>
            <w:tcBorders>
              <w:top w:val="single" w:sz="2" w:space="0" w:color="FFFFFF" w:themeColor="background1"/>
            </w:tcBorders>
            <w:shd w:val="clear" w:color="auto" w:fill="DBE5F1" w:themeFill="accent1" w:themeFillTint="33"/>
          </w:tcPr>
          <w:p w14:paraId="72745092" w14:textId="17A350EB" w:rsidR="007564D1" w:rsidRPr="00A13968" w:rsidDel="00121414" w:rsidRDefault="007564D1" w:rsidP="00BD6014">
            <w:pPr>
              <w:pStyle w:val="TableTextLeft"/>
              <w:rPr>
                <w:spacing w:val="-2"/>
              </w:rPr>
            </w:pPr>
            <w:r w:rsidRPr="00A13968">
              <w:rPr>
                <w:spacing w:val="-2"/>
              </w:rPr>
              <w:t xml:space="preserve">No change to the model. Calculating more detailed risk weighted levies </w:t>
            </w:r>
            <w:r w:rsidR="00BD6014" w:rsidRPr="00A13968">
              <w:rPr>
                <w:spacing w:val="-2"/>
              </w:rPr>
              <w:t>requires</w:t>
            </w:r>
            <w:r w:rsidRPr="00A13968">
              <w:rPr>
                <w:spacing w:val="-2"/>
              </w:rPr>
              <w:t xml:space="preserve"> considerable administrative burden for industry and ASIC. It would mean forming a judgement about the risks posed by each regulated entity in a population of approximately 40,000. Given the</w:t>
            </w:r>
            <w:r w:rsidR="00D61E04" w:rsidRPr="00A13968">
              <w:rPr>
                <w:spacing w:val="-2"/>
              </w:rPr>
              <w:t xml:space="preserve"> breadth of</w:t>
            </w:r>
            <w:r w:rsidRPr="00A13968">
              <w:rPr>
                <w:spacing w:val="-2"/>
              </w:rPr>
              <w:t xml:space="preserve"> </w:t>
            </w:r>
            <w:r w:rsidR="00D61E04" w:rsidRPr="00A13968">
              <w:rPr>
                <w:spacing w:val="-2"/>
              </w:rPr>
              <w:t xml:space="preserve">ASIC’s </w:t>
            </w:r>
            <w:r w:rsidRPr="00A13968">
              <w:rPr>
                <w:spacing w:val="-2"/>
              </w:rPr>
              <w:t xml:space="preserve">regulatory activity it </w:t>
            </w:r>
            <w:r w:rsidR="00D61E04" w:rsidRPr="00A13968">
              <w:rPr>
                <w:spacing w:val="-2"/>
              </w:rPr>
              <w:t>is considered t</w:t>
            </w:r>
            <w:r w:rsidRPr="00A13968">
              <w:rPr>
                <w:spacing w:val="-2"/>
              </w:rPr>
              <w:t>hat appropriate business activity metrics are a valid approximation for the regulatory burden a</w:t>
            </w:r>
            <w:r w:rsidR="00331624" w:rsidRPr="00A13968">
              <w:rPr>
                <w:spacing w:val="-2"/>
              </w:rPr>
              <w:t>cross the regulated population.</w:t>
            </w:r>
          </w:p>
        </w:tc>
      </w:tr>
      <w:tr w:rsidR="007564D1" w:rsidRPr="00A13968" w14:paraId="1F3B055C" w14:textId="77777777" w:rsidTr="006804CB">
        <w:tc>
          <w:tcPr>
            <w:tcW w:w="3085" w:type="dxa"/>
          </w:tcPr>
          <w:p w14:paraId="0C6E989B" w14:textId="77777777" w:rsidR="007564D1" w:rsidRPr="00A13968" w:rsidRDefault="007564D1" w:rsidP="00055724">
            <w:pPr>
              <w:pStyle w:val="TableRowHeadingLeft"/>
              <w:rPr>
                <w:spacing w:val="-2"/>
              </w:rPr>
            </w:pPr>
            <w:r w:rsidRPr="00A13968">
              <w:rPr>
                <w:spacing w:val="-2"/>
              </w:rPr>
              <w:t>Mixed views on whether there should be a legislative mechanism to enable specific pass through of costs to consumers.</w:t>
            </w:r>
          </w:p>
        </w:tc>
        <w:tc>
          <w:tcPr>
            <w:tcW w:w="6151" w:type="dxa"/>
          </w:tcPr>
          <w:p w14:paraId="09E13885" w14:textId="65A39948" w:rsidR="007564D1" w:rsidRPr="00A13968" w:rsidRDefault="007564D1" w:rsidP="00055724">
            <w:pPr>
              <w:pStyle w:val="TableTextLeft"/>
              <w:rPr>
                <w:spacing w:val="-2"/>
              </w:rPr>
            </w:pPr>
            <w:r w:rsidRPr="00A13968">
              <w:rPr>
                <w:spacing w:val="-2"/>
              </w:rPr>
              <w:t xml:space="preserve">No change to the model. It would be inconsistent with the Australian Cost Recovery Guidelines for Government to </w:t>
            </w:r>
            <w:r w:rsidR="00190541" w:rsidRPr="00A13968">
              <w:rPr>
                <w:spacing w:val="-2"/>
              </w:rPr>
              <w:t>mandate legal</w:t>
            </w:r>
            <w:r w:rsidRPr="00A13968">
              <w:rPr>
                <w:spacing w:val="-2"/>
              </w:rPr>
              <w:t xml:space="preserve"> pass through </w:t>
            </w:r>
            <w:r w:rsidR="00190541" w:rsidRPr="00A13968">
              <w:rPr>
                <w:spacing w:val="-2"/>
              </w:rPr>
              <w:t xml:space="preserve">of </w:t>
            </w:r>
            <w:r w:rsidRPr="00A13968">
              <w:rPr>
                <w:spacing w:val="-2"/>
              </w:rPr>
              <w:t xml:space="preserve">the cost of ASIC’s regulation from the </w:t>
            </w:r>
            <w:r w:rsidR="008B1CE9" w:rsidRPr="00A13968">
              <w:rPr>
                <w:spacing w:val="-2"/>
              </w:rPr>
              <w:t>entitie</w:t>
            </w:r>
            <w:r w:rsidRPr="00A13968">
              <w:rPr>
                <w:spacing w:val="-2"/>
              </w:rPr>
              <w:t xml:space="preserve">s who generate the need for regulation to those </w:t>
            </w:r>
            <w:r w:rsidR="008B1CE9" w:rsidRPr="00A13968">
              <w:rPr>
                <w:spacing w:val="-2"/>
              </w:rPr>
              <w:t>entitie</w:t>
            </w:r>
            <w:r w:rsidR="00331624" w:rsidRPr="00A13968">
              <w:rPr>
                <w:spacing w:val="-2"/>
              </w:rPr>
              <w:t>s’ customers.</w:t>
            </w:r>
            <w:r w:rsidR="00190541" w:rsidRPr="00A13968">
              <w:rPr>
                <w:spacing w:val="-2"/>
              </w:rPr>
              <w:t xml:space="preserve"> However, the Government will not be restricting entities ability to pass on these costs throug</w:t>
            </w:r>
            <w:r w:rsidR="00F9694D">
              <w:rPr>
                <w:spacing w:val="-2"/>
              </w:rPr>
              <w:t>h normal commercial practices.</w:t>
            </w:r>
          </w:p>
          <w:p w14:paraId="2042015D" w14:textId="60BCFEF7" w:rsidR="007564D1" w:rsidRPr="00A13968" w:rsidRDefault="008B1CE9" w:rsidP="00055724">
            <w:pPr>
              <w:pStyle w:val="TableTextLeft"/>
              <w:rPr>
                <w:spacing w:val="-2"/>
              </w:rPr>
            </w:pPr>
            <w:r w:rsidRPr="00A13968">
              <w:rPr>
                <w:spacing w:val="-2"/>
              </w:rPr>
              <w:t>Entitie</w:t>
            </w:r>
            <w:r w:rsidR="007564D1" w:rsidRPr="00A13968">
              <w:rPr>
                <w:spacing w:val="-2"/>
              </w:rPr>
              <w:t xml:space="preserve">s will be aware of their indicative levies ahead of each year allowing them to factor this information </w:t>
            </w:r>
            <w:r w:rsidR="00331624" w:rsidRPr="00A13968">
              <w:rPr>
                <w:spacing w:val="-2"/>
              </w:rPr>
              <w:t>into their commercial decision</w:t>
            </w:r>
            <w:r w:rsidR="00BB1183" w:rsidRPr="00A13968">
              <w:rPr>
                <w:spacing w:val="-2"/>
              </w:rPr>
              <w:t>s</w:t>
            </w:r>
            <w:r w:rsidR="00331624" w:rsidRPr="00A13968">
              <w:rPr>
                <w:spacing w:val="-2"/>
              </w:rPr>
              <w:t>.</w:t>
            </w:r>
          </w:p>
        </w:tc>
      </w:tr>
      <w:tr w:rsidR="007564D1" w:rsidRPr="00A13968" w14:paraId="1133AF7E" w14:textId="77777777" w:rsidTr="006804CB">
        <w:tc>
          <w:tcPr>
            <w:tcW w:w="3085" w:type="dxa"/>
            <w:shd w:val="clear" w:color="auto" w:fill="DBE5F1" w:themeFill="accent1" w:themeFillTint="33"/>
          </w:tcPr>
          <w:p w14:paraId="36495338" w14:textId="77777777" w:rsidR="007564D1" w:rsidRPr="00A13968" w:rsidRDefault="007564D1" w:rsidP="00055724">
            <w:pPr>
              <w:pStyle w:val="TableRowHeadingLeft"/>
              <w:rPr>
                <w:spacing w:val="-2"/>
              </w:rPr>
            </w:pPr>
            <w:r w:rsidRPr="00A13968">
              <w:rPr>
                <w:spacing w:val="-2"/>
              </w:rPr>
              <w:t>No clear case in submissions to exclude some regulatory activities from the model.</w:t>
            </w:r>
          </w:p>
        </w:tc>
        <w:tc>
          <w:tcPr>
            <w:tcW w:w="6151" w:type="dxa"/>
            <w:shd w:val="clear" w:color="auto" w:fill="DBE5F1" w:themeFill="accent1" w:themeFillTint="33"/>
          </w:tcPr>
          <w:p w14:paraId="360A590C" w14:textId="77777777" w:rsidR="007564D1" w:rsidRPr="00A13968" w:rsidRDefault="007564D1" w:rsidP="00055724">
            <w:pPr>
              <w:pStyle w:val="TableTextLeft"/>
              <w:rPr>
                <w:spacing w:val="-2"/>
              </w:rPr>
            </w:pPr>
            <w:r w:rsidRPr="00A13968">
              <w:rPr>
                <w:spacing w:val="-2"/>
              </w:rPr>
              <w:t>The refined model includes the cost of all of</w:t>
            </w:r>
            <w:r w:rsidR="00D64C3F" w:rsidRPr="00A13968">
              <w:rPr>
                <w:spacing w:val="-2"/>
              </w:rPr>
              <w:t xml:space="preserve"> ASIC’s regulatory activities. </w:t>
            </w:r>
            <w:r w:rsidRPr="00A13968">
              <w:rPr>
                <w:spacing w:val="-2"/>
              </w:rPr>
              <w:t xml:space="preserve">Full cost recovery would ensure that ASIC </w:t>
            </w:r>
            <w:r w:rsidR="00C828AE" w:rsidRPr="00A13968">
              <w:rPr>
                <w:spacing w:val="-2"/>
              </w:rPr>
              <w:t>would</w:t>
            </w:r>
            <w:r w:rsidRPr="00A13968">
              <w:rPr>
                <w:spacing w:val="-2"/>
              </w:rPr>
              <w:t xml:space="preserve"> be accountable for all of its regulatory cost in each sector.</w:t>
            </w:r>
          </w:p>
          <w:p w14:paraId="4606E2B2" w14:textId="77777777" w:rsidR="007564D1" w:rsidRPr="00A13968" w:rsidRDefault="007564D1" w:rsidP="00055724">
            <w:pPr>
              <w:pStyle w:val="TableTextLeft"/>
              <w:rPr>
                <w:spacing w:val="-2"/>
              </w:rPr>
            </w:pPr>
            <w:r w:rsidRPr="00A13968">
              <w:rPr>
                <w:spacing w:val="-2"/>
              </w:rPr>
              <w:t xml:space="preserve">The industry funding model </w:t>
            </w:r>
            <w:r w:rsidR="00C828AE" w:rsidRPr="00A13968">
              <w:rPr>
                <w:spacing w:val="-2"/>
              </w:rPr>
              <w:t>would</w:t>
            </w:r>
            <w:r w:rsidRPr="00A13968">
              <w:rPr>
                <w:spacing w:val="-2"/>
              </w:rPr>
              <w:t xml:space="preserve"> not recover ASIC’s registry costs or DPP litigation costs.</w:t>
            </w:r>
          </w:p>
        </w:tc>
      </w:tr>
      <w:tr w:rsidR="007564D1" w:rsidRPr="00A13968" w14:paraId="6B85CEAC" w14:textId="77777777" w:rsidTr="006804CB">
        <w:tc>
          <w:tcPr>
            <w:tcW w:w="3085" w:type="dxa"/>
          </w:tcPr>
          <w:p w14:paraId="06E02CAC" w14:textId="77777777" w:rsidR="007564D1" w:rsidRPr="00A13968" w:rsidRDefault="007564D1" w:rsidP="00055724">
            <w:pPr>
              <w:pStyle w:val="TableRowHeadingLeft"/>
              <w:rPr>
                <w:spacing w:val="-2"/>
              </w:rPr>
            </w:pPr>
            <w:r w:rsidRPr="00A13968">
              <w:rPr>
                <w:spacing w:val="-2"/>
              </w:rPr>
              <w:t xml:space="preserve">Australian Financial Services </w:t>
            </w:r>
            <w:r w:rsidR="00DC4A11" w:rsidRPr="00A13968">
              <w:rPr>
                <w:spacing w:val="-2"/>
              </w:rPr>
              <w:t xml:space="preserve">(AFS) </w:t>
            </w:r>
            <w:r w:rsidRPr="00A13968">
              <w:rPr>
                <w:spacing w:val="-2"/>
              </w:rPr>
              <w:t>Licence levy calculations were unclear.</w:t>
            </w:r>
          </w:p>
        </w:tc>
        <w:tc>
          <w:tcPr>
            <w:tcW w:w="6151" w:type="dxa"/>
          </w:tcPr>
          <w:p w14:paraId="611E894A" w14:textId="24B61808" w:rsidR="00B12DD8" w:rsidRPr="00A13968" w:rsidRDefault="007564D1" w:rsidP="0002219D">
            <w:pPr>
              <w:pStyle w:val="TableTextLeft"/>
              <w:rPr>
                <w:spacing w:val="-2"/>
              </w:rPr>
            </w:pPr>
            <w:r w:rsidRPr="00A13968">
              <w:rPr>
                <w:spacing w:val="-2"/>
              </w:rPr>
              <w:t xml:space="preserve">The refined model simplifies the levy applied to AFSLs into a single levy rather than a three-part methodology. AFSLs </w:t>
            </w:r>
            <w:r w:rsidR="00C828AE" w:rsidRPr="00A13968">
              <w:rPr>
                <w:spacing w:val="-2"/>
              </w:rPr>
              <w:t>would</w:t>
            </w:r>
            <w:r w:rsidRPr="00A13968">
              <w:rPr>
                <w:spacing w:val="-2"/>
              </w:rPr>
              <w:t xml:space="preserve"> either pay an activity-based levy or flat levy for each AFSL authorisation they hold, </w:t>
            </w:r>
            <w:r w:rsidR="0002219D" w:rsidRPr="00A13968">
              <w:rPr>
                <w:spacing w:val="-2"/>
              </w:rPr>
              <w:t xml:space="preserve">for example, </w:t>
            </w:r>
            <w:r w:rsidR="00D61E04" w:rsidRPr="00A13968">
              <w:rPr>
                <w:spacing w:val="-2"/>
              </w:rPr>
              <w:t xml:space="preserve">personal </w:t>
            </w:r>
            <w:r w:rsidRPr="00A13968">
              <w:rPr>
                <w:spacing w:val="-2"/>
              </w:rPr>
              <w:t xml:space="preserve">financial advice providers </w:t>
            </w:r>
            <w:r w:rsidR="00D61E04" w:rsidRPr="00A13968">
              <w:rPr>
                <w:spacing w:val="-2"/>
              </w:rPr>
              <w:t xml:space="preserve">on </w:t>
            </w:r>
            <w:r w:rsidR="00190541" w:rsidRPr="00A13968">
              <w:rPr>
                <w:spacing w:val="-2"/>
              </w:rPr>
              <w:t>T</w:t>
            </w:r>
            <w:r w:rsidR="00D61E04" w:rsidRPr="00A13968">
              <w:rPr>
                <w:spacing w:val="-2"/>
              </w:rPr>
              <w:t xml:space="preserve">ier 1 products </w:t>
            </w:r>
            <w:r w:rsidRPr="00A13968">
              <w:rPr>
                <w:spacing w:val="-2"/>
              </w:rPr>
              <w:t>or retail OTC derivatives issuers.</w:t>
            </w:r>
          </w:p>
        </w:tc>
      </w:tr>
      <w:tr w:rsidR="007564D1" w:rsidRPr="00A13968" w14:paraId="2384839B" w14:textId="77777777" w:rsidTr="006804CB">
        <w:tc>
          <w:tcPr>
            <w:tcW w:w="3085" w:type="dxa"/>
            <w:shd w:val="clear" w:color="auto" w:fill="DBE5F1" w:themeFill="accent1" w:themeFillTint="33"/>
          </w:tcPr>
          <w:p w14:paraId="075680D1" w14:textId="77777777" w:rsidR="007564D1" w:rsidRPr="00A13968" w:rsidRDefault="007564D1" w:rsidP="00055724">
            <w:pPr>
              <w:pStyle w:val="TableRowHeadingLeft"/>
              <w:rPr>
                <w:spacing w:val="-2"/>
              </w:rPr>
            </w:pPr>
            <w:r w:rsidRPr="00A13968">
              <w:rPr>
                <w:spacing w:val="-2"/>
              </w:rPr>
              <w:t xml:space="preserve">Fees-for-service: </w:t>
            </w:r>
            <w:r w:rsidRPr="00A13968">
              <w:rPr>
                <w:color w:val="auto"/>
                <w:spacing w:val="-2"/>
              </w:rPr>
              <w:t xml:space="preserve">submissions supported the principle that a fee should be paid for ASIC’s demand-driven services, but </w:t>
            </w:r>
            <w:r w:rsidRPr="00A13968">
              <w:rPr>
                <w:spacing w:val="-2"/>
              </w:rPr>
              <w:t>were concerned that there was little information to support the sizing of the fees and that fees could have an adverse effect on competition and innovation</w:t>
            </w:r>
            <w:r w:rsidR="00331624" w:rsidRPr="00A13968">
              <w:rPr>
                <w:spacing w:val="-2"/>
              </w:rPr>
              <w:t>.</w:t>
            </w:r>
          </w:p>
        </w:tc>
        <w:tc>
          <w:tcPr>
            <w:tcW w:w="6151" w:type="dxa"/>
            <w:shd w:val="clear" w:color="auto" w:fill="DBE5F1" w:themeFill="accent1" w:themeFillTint="33"/>
          </w:tcPr>
          <w:p w14:paraId="1C988DCC" w14:textId="77777777" w:rsidR="007564D1" w:rsidRPr="00A13968" w:rsidRDefault="007564D1" w:rsidP="00115B57">
            <w:pPr>
              <w:pStyle w:val="TableTextLeft"/>
              <w:rPr>
                <w:spacing w:val="-2"/>
              </w:rPr>
            </w:pPr>
            <w:r w:rsidRPr="00A13968">
              <w:rPr>
                <w:spacing w:val="-2"/>
              </w:rPr>
              <w:t xml:space="preserve">The existing fee schedule </w:t>
            </w:r>
            <w:r w:rsidR="00C828AE" w:rsidRPr="00A13968">
              <w:rPr>
                <w:spacing w:val="-2"/>
              </w:rPr>
              <w:t>would</w:t>
            </w:r>
            <w:r w:rsidRPr="00A13968">
              <w:rPr>
                <w:spacing w:val="-2"/>
              </w:rPr>
              <w:t xml:space="preserve"> remain in place until additional refinement to a new fees-for-service schedule is undertaken. </w:t>
            </w:r>
            <w:r w:rsidR="009563B4" w:rsidRPr="00A13968">
              <w:rPr>
                <w:spacing w:val="-2"/>
              </w:rPr>
              <w:t xml:space="preserve">Further consultation will be undertaken by the </w:t>
            </w:r>
            <w:r w:rsidR="007D00A1" w:rsidRPr="00A13968">
              <w:rPr>
                <w:spacing w:val="-2"/>
              </w:rPr>
              <w:t>Government</w:t>
            </w:r>
            <w:r w:rsidR="009563B4" w:rsidRPr="00A13968">
              <w:rPr>
                <w:spacing w:val="-2"/>
              </w:rPr>
              <w:t xml:space="preserve"> on the</w:t>
            </w:r>
            <w:r w:rsidR="00115B57" w:rsidRPr="00A13968">
              <w:rPr>
                <w:spacing w:val="-2"/>
              </w:rPr>
              <w:br/>
            </w:r>
            <w:r w:rsidR="009563B4" w:rsidRPr="00A13968">
              <w:rPr>
                <w:spacing w:val="-2"/>
              </w:rPr>
              <w:t>fees-for-service proposal in 2017-18, with revised fees to be in place by 1</w:t>
            </w:r>
            <w:r w:rsidR="00115B57" w:rsidRPr="00A13968">
              <w:rPr>
                <w:spacing w:val="-2"/>
              </w:rPr>
              <w:t> </w:t>
            </w:r>
            <w:r w:rsidR="00331624" w:rsidRPr="00A13968">
              <w:rPr>
                <w:spacing w:val="-2"/>
              </w:rPr>
              <w:t>July</w:t>
            </w:r>
            <w:r w:rsidR="00115B57" w:rsidRPr="00A13968">
              <w:rPr>
                <w:spacing w:val="-2"/>
              </w:rPr>
              <w:t> </w:t>
            </w:r>
            <w:r w:rsidR="00331624" w:rsidRPr="00A13968">
              <w:rPr>
                <w:spacing w:val="-2"/>
              </w:rPr>
              <w:t>2018.</w:t>
            </w:r>
          </w:p>
        </w:tc>
      </w:tr>
      <w:tr w:rsidR="007564D1" w:rsidRPr="00A13968" w14:paraId="4543E21D" w14:textId="77777777" w:rsidTr="006804CB">
        <w:tc>
          <w:tcPr>
            <w:tcW w:w="3085" w:type="dxa"/>
          </w:tcPr>
          <w:p w14:paraId="2DB9A980" w14:textId="77777777" w:rsidR="007564D1" w:rsidRPr="00A13968" w:rsidRDefault="007564D1" w:rsidP="00055724">
            <w:pPr>
              <w:pStyle w:val="TableRowHeadingLeft"/>
              <w:rPr>
                <w:spacing w:val="-2"/>
              </w:rPr>
            </w:pPr>
            <w:r w:rsidRPr="00A13968">
              <w:rPr>
                <w:spacing w:val="-2"/>
              </w:rPr>
              <w:t>The Government may have little incentive to constrain increases in ASIC’s budget if industry funding is adopted.</w:t>
            </w:r>
          </w:p>
        </w:tc>
        <w:tc>
          <w:tcPr>
            <w:tcW w:w="6151" w:type="dxa"/>
          </w:tcPr>
          <w:p w14:paraId="46A86552" w14:textId="77777777" w:rsidR="007564D1" w:rsidRPr="00A13968" w:rsidRDefault="007564D1" w:rsidP="00055724">
            <w:pPr>
              <w:pStyle w:val="TableTextLeft"/>
              <w:rPr>
                <w:spacing w:val="-2"/>
              </w:rPr>
            </w:pPr>
            <w:r w:rsidRPr="00A13968">
              <w:rPr>
                <w:spacing w:val="-2"/>
              </w:rPr>
              <w:t>The Government will continue to determine ASIC’s total funding through the annual budget process and the model includes additional accountability requirements to mitigate this risk.</w:t>
            </w:r>
          </w:p>
        </w:tc>
      </w:tr>
      <w:tr w:rsidR="00055724" w:rsidRPr="00A13968" w14:paraId="1BA31538" w14:textId="77777777" w:rsidTr="006804CB">
        <w:tc>
          <w:tcPr>
            <w:tcW w:w="3085" w:type="dxa"/>
            <w:shd w:val="clear" w:color="auto" w:fill="DBE5F1" w:themeFill="accent1" w:themeFillTint="33"/>
          </w:tcPr>
          <w:p w14:paraId="58465EE1" w14:textId="77777777" w:rsidR="00055724" w:rsidRPr="00A13968" w:rsidRDefault="00055724" w:rsidP="00115B57">
            <w:pPr>
              <w:pStyle w:val="TableRowHeadingLeft"/>
              <w:rPr>
                <w:spacing w:val="-2"/>
              </w:rPr>
            </w:pPr>
            <w:r w:rsidRPr="00A13968">
              <w:rPr>
                <w:spacing w:val="-2"/>
              </w:rPr>
              <w:t>Industry funding should be supported by measures to assess the efficiency and quality of service levels, as well as relevant performance metrics for ASIC</w:t>
            </w:r>
            <w:r w:rsidRPr="00A13968" w:rsidDel="007C1EF4">
              <w:rPr>
                <w:spacing w:val="-2"/>
              </w:rPr>
              <w:t>.</w:t>
            </w:r>
          </w:p>
        </w:tc>
        <w:tc>
          <w:tcPr>
            <w:tcW w:w="6151" w:type="dxa"/>
            <w:shd w:val="clear" w:color="auto" w:fill="DBE5F1" w:themeFill="accent1" w:themeFillTint="33"/>
          </w:tcPr>
          <w:p w14:paraId="1EB2D09B" w14:textId="77777777" w:rsidR="00055724" w:rsidRPr="00A13968" w:rsidRDefault="00055724" w:rsidP="00115B57">
            <w:pPr>
              <w:pStyle w:val="TableTextLeft"/>
              <w:rPr>
                <w:spacing w:val="-2"/>
              </w:rPr>
            </w:pPr>
            <w:r w:rsidRPr="00A13968">
              <w:rPr>
                <w:spacing w:val="-2"/>
              </w:rPr>
              <w:t>The refined model has been designed to ensure that the independence of ASIC is strongly protected in applying the transparency and accountability measures.</w:t>
            </w:r>
          </w:p>
          <w:p w14:paraId="4CF98F3E" w14:textId="77777777" w:rsidR="00055724" w:rsidRPr="00A13968" w:rsidRDefault="00055724" w:rsidP="00115B57">
            <w:pPr>
              <w:pStyle w:val="TableTextLeft"/>
              <w:rPr>
                <w:spacing w:val="-2"/>
              </w:rPr>
            </w:pPr>
            <w:r w:rsidRPr="00A13968">
              <w:rPr>
                <w:spacing w:val="-2"/>
              </w:rPr>
              <w:t>ASIC would engage with stakeholders ahead of each year on how it expects to allocate resources, based on a strategic risk assessment.</w:t>
            </w:r>
          </w:p>
          <w:p w14:paraId="1CF91B90" w14:textId="5223747C" w:rsidR="00055724" w:rsidRPr="00A13968" w:rsidRDefault="00055724" w:rsidP="006B3C6D">
            <w:pPr>
              <w:pStyle w:val="TableTextLeft"/>
              <w:rPr>
                <w:spacing w:val="-2"/>
              </w:rPr>
            </w:pPr>
            <w:r w:rsidRPr="00A13968">
              <w:rPr>
                <w:spacing w:val="-2"/>
              </w:rPr>
              <w:t xml:space="preserve">At the end of each financial year, ASIC would publicly report on its performance relative to its stated objectives in its Annual Report and through the introduction of sector-level dashboard reporting. See </w:t>
            </w:r>
            <w:r w:rsidRPr="008373BC">
              <w:rPr>
                <w:b/>
                <w:spacing w:val="-2"/>
              </w:rPr>
              <w:t xml:space="preserve">Chapter </w:t>
            </w:r>
            <w:r w:rsidR="006B3C6D" w:rsidRPr="008373BC">
              <w:rPr>
                <w:b/>
                <w:spacing w:val="-2"/>
              </w:rPr>
              <w:t>3</w:t>
            </w:r>
            <w:r w:rsidRPr="008373BC">
              <w:rPr>
                <w:spacing w:val="-2"/>
              </w:rPr>
              <w:t xml:space="preserve"> for further</w:t>
            </w:r>
            <w:r w:rsidRPr="00A13968">
              <w:rPr>
                <w:spacing w:val="-2"/>
              </w:rPr>
              <w:t xml:space="preserve"> discussion on ASIC engagement and accountability.</w:t>
            </w:r>
          </w:p>
        </w:tc>
      </w:tr>
    </w:tbl>
    <w:p w14:paraId="49409319" w14:textId="62B52987" w:rsidR="004C0A8B" w:rsidRDefault="004C0A8B" w:rsidP="004C0A8B">
      <w:pPr>
        <w:spacing w:after="0" w:line="240" w:lineRule="auto"/>
        <w:rPr>
          <w:sz w:val="10"/>
        </w:rPr>
      </w:pPr>
      <w:r w:rsidRPr="004C0A8B">
        <w:rPr>
          <w:sz w:val="10"/>
        </w:rPr>
        <w:br w:type="page"/>
      </w:r>
    </w:p>
    <w:p w14:paraId="78EE22AC" w14:textId="6C401706" w:rsidR="004C0A8B" w:rsidRPr="004C0A8B" w:rsidRDefault="00A31BDC" w:rsidP="004C0A8B">
      <w:pPr>
        <w:pStyle w:val="TableMainHeadingCont"/>
      </w:pPr>
      <w:r>
        <w:t>Table 2</w:t>
      </w:r>
      <w:r w:rsidR="004C0A8B" w:rsidRPr="004C0A8B">
        <w:t>:</w:t>
      </w:r>
      <w:r w:rsidR="004C0A8B" w:rsidRPr="004C0A8B">
        <w:tab/>
        <w:t>Consultation feedback (continued)</w:t>
      </w:r>
    </w:p>
    <w:tbl>
      <w:tblPr>
        <w:tblStyle w:val="tableASIC"/>
        <w:tblW w:w="923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085"/>
        <w:gridCol w:w="6151"/>
      </w:tblGrid>
      <w:tr w:rsidR="004C0A8B" w:rsidRPr="00BA123A" w14:paraId="0BD9E4D6" w14:textId="77777777" w:rsidTr="00A617DC">
        <w:tc>
          <w:tcPr>
            <w:tcW w:w="3085" w:type="dxa"/>
            <w:tcBorders>
              <w:bottom w:val="single" w:sz="2" w:space="0" w:color="FFFFFF" w:themeColor="background1"/>
            </w:tcBorders>
            <w:shd w:val="clear" w:color="auto" w:fill="1F497D" w:themeFill="text2"/>
          </w:tcPr>
          <w:p w14:paraId="6DA8E5F7" w14:textId="77777777" w:rsidR="004C0A8B" w:rsidRPr="00BA123A" w:rsidRDefault="004C0A8B" w:rsidP="00A617DC">
            <w:pPr>
              <w:pStyle w:val="TableColumnHeadingLeft"/>
            </w:pPr>
            <w:r w:rsidRPr="00BA123A">
              <w:t>Feedback</w:t>
            </w:r>
          </w:p>
        </w:tc>
        <w:tc>
          <w:tcPr>
            <w:tcW w:w="6151" w:type="dxa"/>
            <w:tcBorders>
              <w:bottom w:val="single" w:sz="2" w:space="0" w:color="FFFFFF" w:themeColor="background1"/>
            </w:tcBorders>
            <w:shd w:val="clear" w:color="auto" w:fill="1F497D" w:themeFill="text2"/>
          </w:tcPr>
          <w:p w14:paraId="038B2367" w14:textId="77777777" w:rsidR="004C0A8B" w:rsidRPr="00BA123A" w:rsidRDefault="004C0A8B" w:rsidP="00A617DC">
            <w:pPr>
              <w:pStyle w:val="TableColumnHeadingLeft"/>
            </w:pPr>
            <w:r w:rsidRPr="00BA123A">
              <w:t>Response</w:t>
            </w:r>
          </w:p>
        </w:tc>
      </w:tr>
      <w:tr w:rsidR="00BD6014" w14:paraId="40881636" w14:textId="77777777" w:rsidTr="006804CB">
        <w:tc>
          <w:tcPr>
            <w:tcW w:w="3085" w:type="dxa"/>
            <w:shd w:val="clear" w:color="auto" w:fill="auto"/>
          </w:tcPr>
          <w:p w14:paraId="45410E88" w14:textId="5EF0718A" w:rsidR="00BD6014" w:rsidRPr="00A13968" w:rsidRDefault="00BD6014" w:rsidP="00115B57">
            <w:pPr>
              <w:pStyle w:val="TableRowHeadingLeft"/>
              <w:rPr>
                <w:spacing w:val="-2"/>
              </w:rPr>
            </w:pPr>
            <w:r w:rsidRPr="00A13968">
              <w:rPr>
                <w:spacing w:val="-2"/>
              </w:rPr>
              <w:t>Clear industry oversight arrangements should be established to monitor the governance and management of ASIC. Plus ASIC’s independence should be protected against any risk of industry capture.</w:t>
            </w:r>
          </w:p>
        </w:tc>
        <w:tc>
          <w:tcPr>
            <w:tcW w:w="6151" w:type="dxa"/>
            <w:shd w:val="clear" w:color="auto" w:fill="auto"/>
          </w:tcPr>
          <w:p w14:paraId="69A351BA" w14:textId="77777777" w:rsidR="00BD6014" w:rsidRPr="00A13968" w:rsidRDefault="00BD6014" w:rsidP="00D36683">
            <w:pPr>
              <w:pStyle w:val="TableTextLeft"/>
              <w:rPr>
                <w:spacing w:val="-2"/>
              </w:rPr>
            </w:pPr>
            <w:r w:rsidRPr="00A13968">
              <w:rPr>
                <w:spacing w:val="-2"/>
              </w:rPr>
              <w:t>ASIC’s strong statutory independence will be maintained under this model. Confidence in the regulatory framework requires that ASIC is, and is seen to be, exercising independent judgment about the application of the regulatory framework to individual circumstances. Therefore, no additional industry oversight arrangements are proposed to ensure that this independence remains.</w:t>
            </w:r>
          </w:p>
          <w:p w14:paraId="6BD75FEE" w14:textId="21E55D97" w:rsidR="00BD6014" w:rsidRPr="00A13968" w:rsidRDefault="00BD6014" w:rsidP="00115B57">
            <w:pPr>
              <w:pStyle w:val="TableTextLeft"/>
              <w:rPr>
                <w:spacing w:val="-2"/>
              </w:rPr>
            </w:pPr>
            <w:r w:rsidRPr="00A13968">
              <w:rPr>
                <w:spacing w:val="-2"/>
              </w:rPr>
              <w:t>The introduction of the model would support ASIC’s engagement with stakeholders on strategic risks and cost drivers. Through this engagement it is expected that ASIC would identify opportunities to collaborate with industry on opportunities to deliver better regulatory outcomes, including lower costs and more effective and efficient regulation.</w:t>
            </w:r>
          </w:p>
        </w:tc>
      </w:tr>
    </w:tbl>
    <w:p w14:paraId="5A71B7C5" w14:textId="3EE1A40E" w:rsidR="00201EDC" w:rsidRPr="00115B57" w:rsidRDefault="00201EDC" w:rsidP="00115B57">
      <w:pPr>
        <w:pStyle w:val="SingleParagraph"/>
        <w:spacing w:line="240" w:lineRule="auto"/>
        <w:rPr>
          <w:sz w:val="10"/>
        </w:rPr>
      </w:pPr>
    </w:p>
    <w:p w14:paraId="3E83EBEE" w14:textId="0097750E" w:rsidR="00675FF0" w:rsidRDefault="00675FF0" w:rsidP="0032613A">
      <w:pPr>
        <w:rPr>
          <w:rFonts w:asciiTheme="majorHAnsi" w:eastAsiaTheme="majorEastAsia" w:hAnsiTheme="majorHAnsi" w:cstheme="majorBidi"/>
          <w:color w:val="1F497D" w:themeColor="text2"/>
          <w:sz w:val="40"/>
          <w:szCs w:val="28"/>
        </w:rPr>
      </w:pPr>
    </w:p>
    <w:p w14:paraId="4D724C5D" w14:textId="77777777" w:rsidR="00675FF0" w:rsidRDefault="00675FF0">
      <w:pPr>
        <w:spacing w:after="200" w:line="276" w:lineRule="auto"/>
        <w:jc w:val="left"/>
        <w:rPr>
          <w:rFonts w:asciiTheme="majorHAnsi" w:eastAsiaTheme="majorEastAsia" w:hAnsiTheme="majorHAnsi" w:cstheme="majorBidi"/>
          <w:color w:val="1F497D" w:themeColor="text2"/>
          <w:sz w:val="40"/>
          <w:szCs w:val="28"/>
        </w:rPr>
      </w:pPr>
      <w:r>
        <w:rPr>
          <w:rFonts w:asciiTheme="majorHAnsi" w:eastAsiaTheme="majorEastAsia" w:hAnsiTheme="majorHAnsi" w:cstheme="majorBidi"/>
          <w:color w:val="1F497D" w:themeColor="text2"/>
          <w:sz w:val="40"/>
          <w:szCs w:val="28"/>
        </w:rPr>
        <w:br w:type="page"/>
      </w:r>
    </w:p>
    <w:p w14:paraId="5438F26E" w14:textId="77777777" w:rsidR="00675FF0" w:rsidRDefault="00675FF0" w:rsidP="00675FF0">
      <w:pPr>
        <w:pStyle w:val="Heading1"/>
        <w:tabs>
          <w:tab w:val="num" w:pos="851"/>
        </w:tabs>
        <w:spacing w:after="400" w:line="280" w:lineRule="atLeast"/>
        <w:ind w:left="851" w:hanging="851"/>
      </w:pPr>
      <w:bookmarkStart w:id="155" w:name="_Toc463544620"/>
      <w:bookmarkStart w:id="156" w:name="_Toc463595222"/>
      <w:bookmarkStart w:id="157" w:name="_Toc464140333"/>
      <w:bookmarkStart w:id="158" w:name="_Toc464162257"/>
      <w:bookmarkStart w:id="159" w:name="_Toc464224629"/>
      <w:bookmarkStart w:id="160" w:name="_Toc466038560"/>
      <w:r>
        <w:t>Schedule 1: Proposed d</w:t>
      </w:r>
      <w:r w:rsidRPr="00EA1E92">
        <w:t>efinitions for industry subsectors</w:t>
      </w:r>
      <w:bookmarkEnd w:id="155"/>
      <w:bookmarkEnd w:id="156"/>
      <w:bookmarkEnd w:id="157"/>
      <w:bookmarkEnd w:id="158"/>
      <w:bookmarkEnd w:id="159"/>
      <w:bookmarkEnd w:id="160"/>
    </w:p>
    <w:p w14:paraId="27B9395C" w14:textId="2ACDA181" w:rsidR="00675FF0" w:rsidRDefault="00675FF0" w:rsidP="00A13968">
      <w:pPr>
        <w:pStyle w:val="TableMainHeading"/>
      </w:pPr>
      <w:r>
        <w:t xml:space="preserve">Table </w:t>
      </w:r>
      <w:r w:rsidR="00A31BDC">
        <w:t>3</w:t>
      </w:r>
      <w:r>
        <w:t>:</w:t>
      </w:r>
      <w:r>
        <w:tab/>
        <w:t>Proposed industry subsector definitions</w:t>
      </w:r>
    </w:p>
    <w:tbl>
      <w:tblPr>
        <w:tblW w:w="0" w:type="auto"/>
        <w:tblLayout w:type="fixed"/>
        <w:tblLook w:val="04A0" w:firstRow="1" w:lastRow="0" w:firstColumn="1" w:lastColumn="0" w:noHBand="0" w:noVBand="1"/>
      </w:tblPr>
      <w:tblGrid>
        <w:gridCol w:w="2376"/>
        <w:gridCol w:w="6804"/>
      </w:tblGrid>
      <w:tr w:rsidR="00675FF0" w:rsidRPr="00A13968" w14:paraId="2B68AD9A" w14:textId="77777777" w:rsidTr="0040383F">
        <w:trPr>
          <w:trHeight w:val="308"/>
        </w:trPr>
        <w:tc>
          <w:tcPr>
            <w:tcW w:w="2376" w:type="dxa"/>
            <w:tcBorders>
              <w:bottom w:val="single" w:sz="2" w:space="0" w:color="FFFFFF" w:themeColor="background1"/>
              <w:right w:val="single" w:sz="2" w:space="0" w:color="FFFFFF" w:themeColor="background1"/>
            </w:tcBorders>
            <w:shd w:val="clear" w:color="auto" w:fill="1F497D" w:themeFill="text2"/>
          </w:tcPr>
          <w:p w14:paraId="07DA4F46" w14:textId="31DD7925" w:rsidR="00675FF0" w:rsidRPr="00A13968" w:rsidRDefault="00675FF0" w:rsidP="00A13968">
            <w:pPr>
              <w:pStyle w:val="TableColumnHeadingLeft"/>
            </w:pPr>
            <w:r w:rsidRPr="00A13968">
              <w:t>Industry subsector</w:t>
            </w:r>
          </w:p>
        </w:tc>
        <w:tc>
          <w:tcPr>
            <w:tcW w:w="6804" w:type="dxa"/>
            <w:tcBorders>
              <w:left w:val="single" w:sz="2" w:space="0" w:color="FFFFFF" w:themeColor="background1"/>
              <w:bottom w:val="single" w:sz="2" w:space="0" w:color="FFFFFF" w:themeColor="background1"/>
            </w:tcBorders>
            <w:shd w:val="clear" w:color="auto" w:fill="1F497D" w:themeFill="text2"/>
          </w:tcPr>
          <w:p w14:paraId="5D1FE388" w14:textId="187D4381" w:rsidR="00675FF0" w:rsidRPr="00A13968" w:rsidRDefault="00675FF0" w:rsidP="00A13968">
            <w:pPr>
              <w:pStyle w:val="TableColumnHeadingLeft"/>
            </w:pPr>
            <w:r w:rsidRPr="00A13968">
              <w:t>Proposed definitions</w:t>
            </w:r>
            <w:r w:rsidRPr="00A13968">
              <w:tab/>
            </w:r>
          </w:p>
        </w:tc>
      </w:tr>
      <w:tr w:rsidR="00675FF0" w:rsidRPr="00EA6339" w14:paraId="39945E1E" w14:textId="77777777" w:rsidTr="0040383F">
        <w:tc>
          <w:tcPr>
            <w:tcW w:w="9180" w:type="dxa"/>
            <w:gridSpan w:val="2"/>
            <w:tcBorders>
              <w:top w:val="single" w:sz="2" w:space="0" w:color="FFFFFF" w:themeColor="background1"/>
              <w:bottom w:val="single" w:sz="2" w:space="0" w:color="1F497D" w:themeColor="text2"/>
            </w:tcBorders>
            <w:shd w:val="clear" w:color="auto" w:fill="8DB3E2" w:themeFill="text2" w:themeFillTint="66"/>
          </w:tcPr>
          <w:p w14:paraId="69D8B493" w14:textId="77777777" w:rsidR="00675FF0" w:rsidRPr="00EA6339" w:rsidRDefault="00675FF0" w:rsidP="00EA6339">
            <w:pPr>
              <w:pStyle w:val="TableColumnHeadingLeft-Black"/>
            </w:pPr>
            <w:r w:rsidRPr="00EA6339">
              <w:t>Corporate</w:t>
            </w:r>
          </w:p>
        </w:tc>
      </w:tr>
      <w:tr w:rsidR="00675FF0" w:rsidRPr="00A21459" w14:paraId="0D3D0922" w14:textId="77777777" w:rsidTr="00494432">
        <w:trPr>
          <w:trHeight w:val="420"/>
        </w:trPr>
        <w:tc>
          <w:tcPr>
            <w:tcW w:w="2376" w:type="dxa"/>
            <w:tcBorders>
              <w:top w:val="single" w:sz="2" w:space="0" w:color="1F497D" w:themeColor="text2"/>
              <w:bottom w:val="single" w:sz="2" w:space="0" w:color="1F497D" w:themeColor="text2"/>
            </w:tcBorders>
            <w:shd w:val="clear" w:color="auto" w:fill="DBE5F1" w:themeFill="accent1" w:themeFillTint="33"/>
          </w:tcPr>
          <w:p w14:paraId="0BEB8243" w14:textId="77777777" w:rsidR="00675FF0" w:rsidRPr="00A21459" w:rsidRDefault="00675FF0" w:rsidP="00A13968">
            <w:pPr>
              <w:pStyle w:val="TableRowHeadingLeft"/>
            </w:pPr>
            <w:r w:rsidRPr="00A21459">
              <w:t xml:space="preserve">Public company </w:t>
            </w:r>
            <w:r w:rsidRPr="00A21459">
              <w:br/>
              <w:t>(listed, disclosing)</w:t>
            </w:r>
          </w:p>
        </w:tc>
        <w:tc>
          <w:tcPr>
            <w:tcW w:w="6804" w:type="dxa"/>
            <w:tcBorders>
              <w:top w:val="single" w:sz="2" w:space="0" w:color="1F497D" w:themeColor="text2"/>
              <w:bottom w:val="single" w:sz="2" w:space="0" w:color="1F497D" w:themeColor="text2"/>
            </w:tcBorders>
          </w:tcPr>
          <w:p w14:paraId="64F10440" w14:textId="77777777" w:rsidR="00675FF0" w:rsidRPr="00A13968" w:rsidRDefault="00675FF0" w:rsidP="00A13968">
            <w:pPr>
              <w:pStyle w:val="TableTextLeft"/>
            </w:pPr>
            <w:r w:rsidRPr="00A13968">
              <w:t xml:space="preserve">A public company as defined in section 9 of the Corporations Act, satisfying the ‘disclosing entity’ definition in section 111AC of the Corporations Act and listed as defined in section 9 of the Corporations Act. </w:t>
            </w:r>
          </w:p>
        </w:tc>
      </w:tr>
      <w:tr w:rsidR="00675FF0" w:rsidRPr="00A21459" w14:paraId="39CC3FF6"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413C5C57" w14:textId="623A2ACF" w:rsidR="00675FF0" w:rsidRPr="00A21459" w:rsidRDefault="00A13968" w:rsidP="00A13968">
            <w:pPr>
              <w:pStyle w:val="TableRowHeadingLeft"/>
            </w:pPr>
            <w:r>
              <w:t>Public company</w:t>
            </w:r>
            <w:r>
              <w:br/>
            </w:r>
            <w:r w:rsidR="00675FF0" w:rsidRPr="00A21459">
              <w:t>(unlisted, disclosing)</w:t>
            </w:r>
          </w:p>
        </w:tc>
        <w:tc>
          <w:tcPr>
            <w:tcW w:w="6804" w:type="dxa"/>
            <w:tcBorders>
              <w:top w:val="single" w:sz="2" w:space="0" w:color="1F497D" w:themeColor="text2"/>
              <w:bottom w:val="single" w:sz="2" w:space="0" w:color="1F497D" w:themeColor="text2"/>
            </w:tcBorders>
          </w:tcPr>
          <w:p w14:paraId="43AF5E95" w14:textId="77777777" w:rsidR="00675FF0" w:rsidRPr="00A13968" w:rsidRDefault="00675FF0" w:rsidP="00A13968">
            <w:pPr>
              <w:pStyle w:val="TableTextLeft"/>
            </w:pPr>
            <w:r w:rsidRPr="00A13968">
              <w:t xml:space="preserve">A public company as defined in section 9 of the Corporations Act, satisfying the ‘disclosing entity’ definition in section 111AC of the Corporations Act, which is not listed as defined in section 9 of the Corporations Act. </w:t>
            </w:r>
          </w:p>
        </w:tc>
      </w:tr>
      <w:tr w:rsidR="00675FF0" w:rsidRPr="00A21459" w14:paraId="572D04A5"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0BD821CA" w14:textId="4CA028EA" w:rsidR="00675FF0" w:rsidRPr="00A21459" w:rsidRDefault="00A13968" w:rsidP="00A13968">
            <w:pPr>
              <w:pStyle w:val="TableRowHeadingLeft"/>
            </w:pPr>
            <w:r>
              <w:t>Public company</w:t>
            </w:r>
            <w:r>
              <w:br/>
            </w:r>
            <w:r w:rsidR="00AC5221">
              <w:t>(unlisted,</w:t>
            </w:r>
            <w:r w:rsidR="00AC5221">
              <w:br/>
            </w:r>
            <w:r w:rsidR="00675FF0" w:rsidRPr="00A21459">
              <w:t>non-disclosing)</w:t>
            </w:r>
          </w:p>
        </w:tc>
        <w:tc>
          <w:tcPr>
            <w:tcW w:w="6804" w:type="dxa"/>
            <w:tcBorders>
              <w:top w:val="single" w:sz="2" w:space="0" w:color="1F497D" w:themeColor="text2"/>
              <w:bottom w:val="single" w:sz="2" w:space="0" w:color="1F497D" w:themeColor="text2"/>
            </w:tcBorders>
          </w:tcPr>
          <w:p w14:paraId="7D94F94D" w14:textId="77777777" w:rsidR="00675FF0" w:rsidRPr="00A13968" w:rsidRDefault="00675FF0" w:rsidP="00A13968">
            <w:pPr>
              <w:pStyle w:val="TableTextLeft"/>
            </w:pPr>
            <w:r w:rsidRPr="00A13968">
              <w:t>A public company as defined in section 9 of the Corporations Act, which is not a ‘disclosing entity’ as defined in section 111AC of the Corporations Act.</w:t>
            </w:r>
          </w:p>
        </w:tc>
      </w:tr>
      <w:tr w:rsidR="00675FF0" w:rsidRPr="00A21459" w14:paraId="10433E49"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5180993" w14:textId="77777777" w:rsidR="00675FF0" w:rsidRPr="00A21459" w:rsidRDefault="00675FF0" w:rsidP="00A13968">
            <w:pPr>
              <w:pStyle w:val="TableRowHeadingLeft"/>
            </w:pPr>
            <w:r w:rsidRPr="00A21459">
              <w:t>Listed foreign company</w:t>
            </w:r>
          </w:p>
        </w:tc>
        <w:tc>
          <w:tcPr>
            <w:tcW w:w="6804" w:type="dxa"/>
            <w:tcBorders>
              <w:top w:val="single" w:sz="2" w:space="0" w:color="1F497D" w:themeColor="text2"/>
              <w:bottom w:val="single" w:sz="2" w:space="0" w:color="1F497D" w:themeColor="text2"/>
            </w:tcBorders>
          </w:tcPr>
          <w:p w14:paraId="3634523A" w14:textId="2C6C9311" w:rsidR="00675FF0" w:rsidRPr="00A13968" w:rsidRDefault="00675FF0" w:rsidP="008373BC">
            <w:pPr>
              <w:pStyle w:val="TableTextLeft"/>
            </w:pPr>
            <w:r w:rsidRPr="00A13968">
              <w:t>A foreign company as defined in section 9 of the Corporations Act, satisfying the ‘disclosing entity’ definition in section 111AC and 'listed' as defined in section 9 of the Corporations Act</w:t>
            </w:r>
            <w:r w:rsidR="008373BC" w:rsidRPr="00A13968">
              <w:t>.</w:t>
            </w:r>
            <w:r w:rsidR="008373BC">
              <w:t xml:space="preserve"> `</w:t>
            </w:r>
          </w:p>
        </w:tc>
      </w:tr>
      <w:tr w:rsidR="00675FF0" w:rsidRPr="00A21459" w14:paraId="45D84EFE"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EB9275F" w14:textId="77777777" w:rsidR="00675FF0" w:rsidRPr="00A21459" w:rsidRDefault="00675FF0" w:rsidP="00A13968">
            <w:pPr>
              <w:pStyle w:val="TableRowHeadingLeft"/>
            </w:pPr>
            <w:r w:rsidRPr="00A21459">
              <w:t>Small Pty Ltd company</w:t>
            </w:r>
          </w:p>
        </w:tc>
        <w:tc>
          <w:tcPr>
            <w:tcW w:w="6804" w:type="dxa"/>
            <w:tcBorders>
              <w:top w:val="single" w:sz="2" w:space="0" w:color="1F497D" w:themeColor="text2"/>
              <w:bottom w:val="single" w:sz="2" w:space="0" w:color="1F497D" w:themeColor="text2"/>
            </w:tcBorders>
          </w:tcPr>
          <w:p w14:paraId="202851D6" w14:textId="13DDB89E" w:rsidR="00675FF0" w:rsidRPr="00A13968" w:rsidRDefault="00675FF0" w:rsidP="00AC5221">
            <w:pPr>
              <w:pStyle w:val="TableTextLeft"/>
            </w:pPr>
            <w:r w:rsidRPr="00A13968">
              <w:t>A small proprietary company as defined in section 45A(2) of the Corporations</w:t>
            </w:r>
            <w:r w:rsidR="00AC5221">
              <w:t> </w:t>
            </w:r>
            <w:r w:rsidRPr="00A13968">
              <w:t>Act.</w:t>
            </w:r>
          </w:p>
        </w:tc>
      </w:tr>
      <w:tr w:rsidR="00675FF0" w:rsidRPr="00A21459" w14:paraId="1142448F"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165B2E5B" w14:textId="77777777" w:rsidR="00675FF0" w:rsidRPr="00A21459" w:rsidRDefault="00675FF0" w:rsidP="00A13968">
            <w:pPr>
              <w:pStyle w:val="TableRowHeadingLeft"/>
            </w:pPr>
            <w:r w:rsidRPr="00A21459">
              <w:t>Large Pty Ltd company</w:t>
            </w:r>
          </w:p>
        </w:tc>
        <w:tc>
          <w:tcPr>
            <w:tcW w:w="6804" w:type="dxa"/>
            <w:tcBorders>
              <w:top w:val="single" w:sz="2" w:space="0" w:color="1F497D" w:themeColor="text2"/>
              <w:bottom w:val="single" w:sz="2" w:space="0" w:color="1F497D" w:themeColor="text2"/>
            </w:tcBorders>
          </w:tcPr>
          <w:p w14:paraId="430E28DB" w14:textId="47EEE368" w:rsidR="00675FF0" w:rsidRPr="00A13968" w:rsidRDefault="00675FF0" w:rsidP="00AC5221">
            <w:pPr>
              <w:pStyle w:val="TableTextLeft"/>
            </w:pPr>
            <w:r w:rsidRPr="00A13968">
              <w:t>A large proprietary company as defined in section 45A(3) of the Corporations</w:t>
            </w:r>
            <w:r w:rsidR="00AC5221">
              <w:t> </w:t>
            </w:r>
            <w:r w:rsidRPr="00A13968">
              <w:t>Act.</w:t>
            </w:r>
          </w:p>
        </w:tc>
      </w:tr>
      <w:tr w:rsidR="00675FF0" w:rsidRPr="00A21459" w14:paraId="7CF5AB06"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364CE41D" w14:textId="77777777" w:rsidR="00675FF0" w:rsidRPr="00A21459" w:rsidRDefault="00675FF0" w:rsidP="00A13968">
            <w:pPr>
              <w:pStyle w:val="TableRowHeadingLeft"/>
            </w:pPr>
            <w:r w:rsidRPr="00A21459">
              <w:t>Registered liquidator</w:t>
            </w:r>
          </w:p>
        </w:tc>
        <w:tc>
          <w:tcPr>
            <w:tcW w:w="6804" w:type="dxa"/>
            <w:tcBorders>
              <w:top w:val="single" w:sz="2" w:space="0" w:color="1F497D" w:themeColor="text2"/>
              <w:bottom w:val="single" w:sz="2" w:space="0" w:color="1F497D" w:themeColor="text2"/>
            </w:tcBorders>
          </w:tcPr>
          <w:p w14:paraId="3ED7EEEC" w14:textId="1990A2D9" w:rsidR="00675FF0" w:rsidRPr="00A13968" w:rsidRDefault="00675FF0" w:rsidP="00AC5221">
            <w:pPr>
              <w:pStyle w:val="TableTextLeft"/>
            </w:pPr>
            <w:r w:rsidRPr="00A13968">
              <w:t>A person registered as a liquidator as defined by section 9 of the Corporations</w:t>
            </w:r>
            <w:r w:rsidR="00AC5221">
              <w:t> </w:t>
            </w:r>
            <w:r w:rsidRPr="00A13968">
              <w:t>Act.</w:t>
            </w:r>
          </w:p>
        </w:tc>
      </w:tr>
      <w:tr w:rsidR="00675FF0" w:rsidRPr="00A21459" w14:paraId="3A9AD0A7"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7AEF678" w14:textId="77777777" w:rsidR="00675FF0" w:rsidRPr="00A21459" w:rsidRDefault="00675FF0" w:rsidP="00A13968">
            <w:pPr>
              <w:pStyle w:val="TableRowHeadingLeft"/>
            </w:pPr>
            <w:r w:rsidRPr="00A21459">
              <w:t>Audit firm</w:t>
            </w:r>
          </w:p>
        </w:tc>
        <w:tc>
          <w:tcPr>
            <w:tcW w:w="6804" w:type="dxa"/>
            <w:tcBorders>
              <w:top w:val="single" w:sz="2" w:space="0" w:color="1F497D" w:themeColor="text2"/>
              <w:bottom w:val="single" w:sz="2" w:space="0" w:color="1F497D" w:themeColor="text2"/>
            </w:tcBorders>
          </w:tcPr>
          <w:p w14:paraId="0E324C03" w14:textId="77777777" w:rsidR="00675FF0" w:rsidRPr="00A13968" w:rsidRDefault="00675FF0" w:rsidP="00A13968">
            <w:pPr>
              <w:pStyle w:val="TableTextLeft"/>
            </w:pPr>
            <w:r w:rsidRPr="00A13968">
              <w:t>A firm that consents to be appointed, or is appointed, as auditor of a company, or registered scheme as defined in section 9 of the Corporations Act or a disclosing entity as defined by section 111AC of the Corporations Act.</w:t>
            </w:r>
          </w:p>
        </w:tc>
      </w:tr>
      <w:tr w:rsidR="00675FF0" w:rsidRPr="00A21459" w14:paraId="78C2368D"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60436E08" w14:textId="77777777" w:rsidR="00675FF0" w:rsidRPr="00A21459" w:rsidRDefault="00675FF0" w:rsidP="00A13968">
            <w:pPr>
              <w:pStyle w:val="TableRowHeadingLeft"/>
            </w:pPr>
            <w:r w:rsidRPr="00A21459">
              <w:t>Authorised audit company</w:t>
            </w:r>
          </w:p>
        </w:tc>
        <w:tc>
          <w:tcPr>
            <w:tcW w:w="6804" w:type="dxa"/>
            <w:tcBorders>
              <w:top w:val="single" w:sz="2" w:space="0" w:color="1F497D" w:themeColor="text2"/>
              <w:bottom w:val="single" w:sz="2" w:space="0" w:color="1F497D" w:themeColor="text2"/>
            </w:tcBorders>
          </w:tcPr>
          <w:p w14:paraId="15E1212B" w14:textId="77777777" w:rsidR="00675FF0" w:rsidRPr="00A13968" w:rsidRDefault="00675FF0" w:rsidP="00A13968">
            <w:pPr>
              <w:pStyle w:val="TableTextLeft"/>
            </w:pPr>
            <w:r w:rsidRPr="00A13968">
              <w:t>A company that is registered with ASIC as an authorised audit company under Part 9.2A of the Corporations Act.</w:t>
            </w:r>
          </w:p>
        </w:tc>
      </w:tr>
      <w:tr w:rsidR="00675FF0" w:rsidRPr="00A21459" w14:paraId="279AD551"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4DB3A773" w14:textId="77777777" w:rsidR="00675FF0" w:rsidRPr="00A21459" w:rsidRDefault="00675FF0" w:rsidP="00A13968">
            <w:pPr>
              <w:pStyle w:val="TableRowHeadingLeft"/>
            </w:pPr>
            <w:r w:rsidRPr="00A21459">
              <w:t>Registered company auditor</w:t>
            </w:r>
          </w:p>
        </w:tc>
        <w:tc>
          <w:tcPr>
            <w:tcW w:w="6804" w:type="dxa"/>
            <w:tcBorders>
              <w:top w:val="single" w:sz="2" w:space="0" w:color="1F497D" w:themeColor="text2"/>
              <w:bottom w:val="single" w:sz="2" w:space="0" w:color="1F497D" w:themeColor="text2"/>
            </w:tcBorders>
          </w:tcPr>
          <w:p w14:paraId="002BB3BC" w14:textId="77777777" w:rsidR="00675FF0" w:rsidRPr="00A13968" w:rsidRDefault="00675FF0" w:rsidP="00A13968">
            <w:pPr>
              <w:pStyle w:val="TableTextLeft"/>
            </w:pPr>
            <w:r w:rsidRPr="00A13968">
              <w:t>A person registered with ASIC as a company auditor under Part 9.2 of the Corporations Act.</w:t>
            </w:r>
          </w:p>
        </w:tc>
      </w:tr>
      <w:tr w:rsidR="00675FF0" w:rsidRPr="00A21459" w14:paraId="78779A32" w14:textId="77777777" w:rsidTr="001D5B13">
        <w:tc>
          <w:tcPr>
            <w:tcW w:w="9180" w:type="dxa"/>
            <w:gridSpan w:val="2"/>
            <w:tcBorders>
              <w:top w:val="single" w:sz="2" w:space="0" w:color="1F497D" w:themeColor="text2"/>
              <w:bottom w:val="single" w:sz="2" w:space="0" w:color="1F497D" w:themeColor="text2"/>
            </w:tcBorders>
            <w:shd w:val="clear" w:color="auto" w:fill="8DB3E2" w:themeFill="text2" w:themeFillTint="66"/>
          </w:tcPr>
          <w:p w14:paraId="79F649BC" w14:textId="77777777" w:rsidR="00675FF0" w:rsidRPr="00A21459" w:rsidRDefault="00675FF0" w:rsidP="00EA6339">
            <w:pPr>
              <w:pStyle w:val="TableColumnHeadingLeft-Black"/>
            </w:pPr>
            <w:r w:rsidRPr="00A21459">
              <w:t>Deposit Taking and Credit</w:t>
            </w:r>
          </w:p>
        </w:tc>
      </w:tr>
      <w:tr w:rsidR="00675FF0" w:rsidRPr="00A21459" w14:paraId="7DFD23E8"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1F635565" w14:textId="77777777" w:rsidR="00675FF0" w:rsidRPr="00A21459" w:rsidRDefault="00675FF0" w:rsidP="00A13968">
            <w:pPr>
              <w:pStyle w:val="TableRowHeadingLeft"/>
            </w:pPr>
            <w:r w:rsidRPr="00A21459">
              <w:t>Credit provider</w:t>
            </w:r>
          </w:p>
        </w:tc>
        <w:tc>
          <w:tcPr>
            <w:tcW w:w="6804" w:type="dxa"/>
            <w:tcBorders>
              <w:top w:val="single" w:sz="2" w:space="0" w:color="1F497D" w:themeColor="text2"/>
              <w:bottom w:val="single" w:sz="2" w:space="0" w:color="1F497D" w:themeColor="text2"/>
            </w:tcBorders>
          </w:tcPr>
          <w:p w14:paraId="40CFC674" w14:textId="77777777" w:rsidR="00675FF0" w:rsidRPr="00A21459" w:rsidRDefault="00675FF0" w:rsidP="000706DA">
            <w:pPr>
              <w:pStyle w:val="TableTextLeft"/>
            </w:pPr>
            <w:r w:rsidRPr="00A21459">
              <w:t xml:space="preserve">A credit provider, as defined in s5 of the </w:t>
            </w:r>
            <w:r w:rsidRPr="00A21459">
              <w:rPr>
                <w:i/>
              </w:rPr>
              <w:t>National Consumer Credit Protection Act 2009</w:t>
            </w:r>
            <w:r w:rsidRPr="00A21459">
              <w:t>, who holds an Australian credit licence, authorising them to engage in credit activities as a credit provider.</w:t>
            </w:r>
          </w:p>
        </w:tc>
      </w:tr>
      <w:tr w:rsidR="00675FF0" w:rsidRPr="00A21459" w14:paraId="67A9A506"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3577E54" w14:textId="77777777" w:rsidR="00675FF0" w:rsidRPr="00A21459" w:rsidRDefault="00675FF0" w:rsidP="00A13968">
            <w:pPr>
              <w:pStyle w:val="TableRowHeadingLeft"/>
            </w:pPr>
            <w:r w:rsidRPr="00A21459">
              <w:t xml:space="preserve">Credit intermediary </w:t>
            </w:r>
          </w:p>
        </w:tc>
        <w:tc>
          <w:tcPr>
            <w:tcW w:w="6804" w:type="dxa"/>
            <w:tcBorders>
              <w:top w:val="single" w:sz="2" w:space="0" w:color="1F497D" w:themeColor="text2"/>
              <w:bottom w:val="single" w:sz="2" w:space="0" w:color="1F497D" w:themeColor="text2"/>
            </w:tcBorders>
          </w:tcPr>
          <w:p w14:paraId="7E9650E0" w14:textId="77777777" w:rsidR="00675FF0" w:rsidRPr="00A21459" w:rsidRDefault="00675FF0" w:rsidP="000706DA">
            <w:pPr>
              <w:pStyle w:val="TableTextLeft"/>
            </w:pPr>
            <w:r w:rsidRPr="00A21459">
              <w:t>A holder of an Australian credit licence authorising them to engage in credit activities other than as a credit provider.</w:t>
            </w:r>
          </w:p>
        </w:tc>
      </w:tr>
      <w:tr w:rsidR="00675FF0" w:rsidRPr="00A21459" w14:paraId="57A81816" w14:textId="77777777" w:rsidTr="00494432">
        <w:tc>
          <w:tcPr>
            <w:tcW w:w="2376" w:type="dxa"/>
            <w:tcBorders>
              <w:top w:val="single" w:sz="2" w:space="0" w:color="1F497D" w:themeColor="text2"/>
              <w:bottom w:val="single" w:sz="2" w:space="0" w:color="auto"/>
            </w:tcBorders>
            <w:shd w:val="clear" w:color="auto" w:fill="DBE5F1" w:themeFill="accent1" w:themeFillTint="33"/>
          </w:tcPr>
          <w:p w14:paraId="722CB690" w14:textId="77777777" w:rsidR="00675FF0" w:rsidRPr="00A21459" w:rsidRDefault="00675FF0" w:rsidP="00A13968">
            <w:pPr>
              <w:pStyle w:val="TableRowHeadingLeft"/>
            </w:pPr>
            <w:r w:rsidRPr="00A21459">
              <w:t>Small amount credit provider</w:t>
            </w:r>
          </w:p>
        </w:tc>
        <w:tc>
          <w:tcPr>
            <w:tcW w:w="6804" w:type="dxa"/>
            <w:tcBorders>
              <w:top w:val="single" w:sz="2" w:space="0" w:color="1F497D" w:themeColor="text2"/>
              <w:bottom w:val="single" w:sz="2" w:space="0" w:color="auto"/>
            </w:tcBorders>
          </w:tcPr>
          <w:p w14:paraId="386494EB" w14:textId="77777777" w:rsidR="00675FF0" w:rsidRPr="00A21459" w:rsidRDefault="00675FF0" w:rsidP="000706DA">
            <w:pPr>
              <w:pStyle w:val="TableTextLeft"/>
            </w:pPr>
            <w:r w:rsidRPr="00A21459">
              <w:t xml:space="preserve">A holder of an Australian credit licence that: </w:t>
            </w:r>
          </w:p>
          <w:p w14:paraId="05B1D6B6" w14:textId="77777777" w:rsidR="00675FF0" w:rsidRPr="00A21459" w:rsidRDefault="00675FF0" w:rsidP="00AC5221">
            <w:pPr>
              <w:pStyle w:val="TableTextLeft-AlphaNumbering"/>
            </w:pPr>
            <w:r w:rsidRPr="00A21459">
              <w:t>has a licence authorisation to engage in credit activities as a credit provider; and</w:t>
            </w:r>
          </w:p>
          <w:p w14:paraId="1286C7B5" w14:textId="77777777" w:rsidR="00675FF0" w:rsidRPr="00A21459" w:rsidRDefault="00675FF0" w:rsidP="00AC5221">
            <w:pPr>
              <w:pStyle w:val="TableTextLeft-AlphaNumbering"/>
            </w:pPr>
            <w:r w:rsidRPr="00A21459">
              <w:t xml:space="preserve">in the last 12 months has engaged in credit activities in relation to a small amount credit contract (as defined in section 5 of the </w:t>
            </w:r>
            <w:r w:rsidRPr="00A21459">
              <w:rPr>
                <w:i/>
              </w:rPr>
              <w:t>National Consumer Credit Protection Act 2009</w:t>
            </w:r>
            <w:r w:rsidRPr="00A21459">
              <w:t>)</w:t>
            </w:r>
          </w:p>
        </w:tc>
      </w:tr>
    </w:tbl>
    <w:p w14:paraId="46ECA571" w14:textId="77777777" w:rsidR="000706DA" w:rsidRPr="00AC5221" w:rsidRDefault="000706DA" w:rsidP="00AC5221">
      <w:pPr>
        <w:spacing w:after="0" w:line="240" w:lineRule="auto"/>
        <w:rPr>
          <w:sz w:val="6"/>
        </w:rPr>
      </w:pPr>
      <w:r w:rsidRPr="00AC5221">
        <w:rPr>
          <w:sz w:val="6"/>
        </w:rPr>
        <w:br w:type="page"/>
      </w:r>
    </w:p>
    <w:p w14:paraId="43611F0E" w14:textId="45679C4C" w:rsidR="000706DA" w:rsidRDefault="000706DA" w:rsidP="000706DA">
      <w:pPr>
        <w:pStyle w:val="TableMainHeadingCont"/>
      </w:pPr>
      <w:r>
        <w:t xml:space="preserve">Table </w:t>
      </w:r>
      <w:r w:rsidR="00A31BDC">
        <w:t>3</w:t>
      </w:r>
      <w:r>
        <w:t>:</w:t>
      </w:r>
      <w:r>
        <w:tab/>
        <w:t>Proposed industry subsector definitions (continued)</w:t>
      </w:r>
    </w:p>
    <w:tbl>
      <w:tblPr>
        <w:tblW w:w="0" w:type="auto"/>
        <w:tblLayout w:type="fixed"/>
        <w:tblLook w:val="04A0" w:firstRow="1" w:lastRow="0" w:firstColumn="1" w:lastColumn="0" w:noHBand="0" w:noVBand="1"/>
      </w:tblPr>
      <w:tblGrid>
        <w:gridCol w:w="2376"/>
        <w:gridCol w:w="6804"/>
      </w:tblGrid>
      <w:tr w:rsidR="000706DA" w:rsidRPr="00A13968" w14:paraId="391D6E5B" w14:textId="77777777" w:rsidTr="0040383F">
        <w:trPr>
          <w:trHeight w:val="308"/>
        </w:trPr>
        <w:tc>
          <w:tcPr>
            <w:tcW w:w="2376" w:type="dxa"/>
            <w:tcBorders>
              <w:bottom w:val="single" w:sz="2" w:space="0" w:color="FFFFFF" w:themeColor="background1"/>
              <w:right w:val="single" w:sz="2" w:space="0" w:color="FFFFFF" w:themeColor="background1"/>
            </w:tcBorders>
            <w:shd w:val="clear" w:color="auto" w:fill="1F497D" w:themeFill="text2"/>
          </w:tcPr>
          <w:p w14:paraId="135CA82A" w14:textId="77777777" w:rsidR="000706DA" w:rsidRPr="00A13968" w:rsidRDefault="000706DA" w:rsidP="00902D9F">
            <w:pPr>
              <w:pStyle w:val="TableColumnHeadingLeft"/>
            </w:pPr>
            <w:r w:rsidRPr="00A13968">
              <w:t>Industry subsector</w:t>
            </w:r>
          </w:p>
        </w:tc>
        <w:tc>
          <w:tcPr>
            <w:tcW w:w="6804" w:type="dxa"/>
            <w:tcBorders>
              <w:left w:val="single" w:sz="2" w:space="0" w:color="FFFFFF" w:themeColor="background1"/>
              <w:bottom w:val="single" w:sz="2" w:space="0" w:color="FFFFFF" w:themeColor="background1"/>
            </w:tcBorders>
            <w:shd w:val="clear" w:color="auto" w:fill="1F497D" w:themeFill="text2"/>
          </w:tcPr>
          <w:p w14:paraId="64AC17E4" w14:textId="77777777" w:rsidR="000706DA" w:rsidRPr="00A13968" w:rsidRDefault="000706DA" w:rsidP="00902D9F">
            <w:pPr>
              <w:pStyle w:val="TableColumnHeadingLeft"/>
            </w:pPr>
            <w:r w:rsidRPr="00A13968">
              <w:t>Proposed definitions</w:t>
            </w:r>
            <w:r w:rsidRPr="00A13968">
              <w:tab/>
            </w:r>
          </w:p>
        </w:tc>
      </w:tr>
      <w:tr w:rsidR="000706DA" w:rsidRPr="00A21459" w14:paraId="78D21AA0" w14:textId="77777777" w:rsidTr="0040383F">
        <w:tc>
          <w:tcPr>
            <w:tcW w:w="9180" w:type="dxa"/>
            <w:gridSpan w:val="2"/>
            <w:tcBorders>
              <w:top w:val="single" w:sz="2" w:space="0" w:color="FFFFFF" w:themeColor="background1"/>
              <w:bottom w:val="single" w:sz="2" w:space="0" w:color="1F497D" w:themeColor="text2"/>
            </w:tcBorders>
            <w:shd w:val="clear" w:color="auto" w:fill="8DB3E2" w:themeFill="text2" w:themeFillTint="66"/>
          </w:tcPr>
          <w:p w14:paraId="4ADC19AF" w14:textId="2F546AFB" w:rsidR="000706DA" w:rsidRPr="00A21459" w:rsidRDefault="000706DA" w:rsidP="00EA6339">
            <w:pPr>
              <w:pStyle w:val="TableColumnHeadingLeft-Black"/>
            </w:pPr>
            <w:r w:rsidRPr="00A21459">
              <w:t>Deposit Taking and Credit</w:t>
            </w:r>
            <w:r>
              <w:t xml:space="preserve"> (continued)</w:t>
            </w:r>
          </w:p>
        </w:tc>
      </w:tr>
      <w:tr w:rsidR="00675FF0" w:rsidRPr="009F72FC" w14:paraId="04433A21"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66B0D9B5" w14:textId="3BDDCC1F" w:rsidR="00675FF0" w:rsidRPr="009F72FC" w:rsidRDefault="00675FF0" w:rsidP="00A13968">
            <w:pPr>
              <w:pStyle w:val="TableRowHeadingLeft"/>
              <w:rPr>
                <w:spacing w:val="-1"/>
              </w:rPr>
            </w:pPr>
            <w:r w:rsidRPr="009F72FC">
              <w:rPr>
                <w:spacing w:val="-1"/>
              </w:rPr>
              <w:t>Deposit product provider</w:t>
            </w:r>
          </w:p>
        </w:tc>
        <w:tc>
          <w:tcPr>
            <w:tcW w:w="6804" w:type="dxa"/>
            <w:tcBorders>
              <w:top w:val="single" w:sz="2" w:space="0" w:color="1F497D" w:themeColor="text2"/>
              <w:bottom w:val="single" w:sz="2" w:space="0" w:color="1F497D" w:themeColor="text2"/>
            </w:tcBorders>
          </w:tcPr>
          <w:p w14:paraId="299CED2A" w14:textId="77777777" w:rsidR="00675FF0" w:rsidRPr="009F72FC" w:rsidRDefault="00675FF0" w:rsidP="009F72FC">
            <w:pPr>
              <w:pStyle w:val="TableTextLeft"/>
            </w:pPr>
            <w:r w:rsidRPr="009F72FC">
              <w:t>An Australian financial services licensee with a licence authorisation to deal, or arrange for a person to deal, in a financial product by issuing deposit products (including basic deposit and non-basic deposit products).</w:t>
            </w:r>
          </w:p>
        </w:tc>
      </w:tr>
      <w:tr w:rsidR="00675FF0" w:rsidRPr="009F72FC" w14:paraId="1FCF5F58"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2219BD9C" w14:textId="77777777" w:rsidR="00675FF0" w:rsidRPr="009F72FC" w:rsidRDefault="00675FF0" w:rsidP="00A13968">
            <w:pPr>
              <w:pStyle w:val="TableRowHeadingLeft"/>
              <w:rPr>
                <w:spacing w:val="-1"/>
              </w:rPr>
            </w:pPr>
            <w:r w:rsidRPr="009F72FC">
              <w:rPr>
                <w:spacing w:val="-1"/>
              </w:rPr>
              <w:t>Payment product provider</w:t>
            </w:r>
          </w:p>
        </w:tc>
        <w:tc>
          <w:tcPr>
            <w:tcW w:w="6804" w:type="dxa"/>
            <w:tcBorders>
              <w:top w:val="single" w:sz="2" w:space="0" w:color="1F497D" w:themeColor="text2"/>
              <w:bottom w:val="single" w:sz="2" w:space="0" w:color="1F497D" w:themeColor="text2"/>
            </w:tcBorders>
          </w:tcPr>
          <w:p w14:paraId="508BD74C" w14:textId="77777777" w:rsidR="00675FF0" w:rsidRPr="009F72FC" w:rsidRDefault="00675FF0" w:rsidP="009F72FC">
            <w:pPr>
              <w:pStyle w:val="TableTextLeft"/>
            </w:pPr>
            <w:r w:rsidRPr="009F72FC">
              <w:t>An Australian financial services licensee with a licence authorisation to deal, or arrange for a person to deal, in a financial product by issuing deposit and payment products limited to non-cash payment products.</w:t>
            </w:r>
          </w:p>
        </w:tc>
      </w:tr>
      <w:tr w:rsidR="00675FF0" w:rsidRPr="009F72FC" w14:paraId="6C89A093"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189798C" w14:textId="77777777" w:rsidR="00675FF0" w:rsidRPr="009F72FC" w:rsidRDefault="00675FF0" w:rsidP="00A13968">
            <w:pPr>
              <w:pStyle w:val="TableRowHeadingLeft"/>
              <w:rPr>
                <w:spacing w:val="-1"/>
              </w:rPr>
            </w:pPr>
            <w:r w:rsidRPr="009F72FC">
              <w:rPr>
                <w:spacing w:val="-1"/>
              </w:rPr>
              <w:t>Margin lender</w:t>
            </w:r>
          </w:p>
        </w:tc>
        <w:tc>
          <w:tcPr>
            <w:tcW w:w="6804" w:type="dxa"/>
            <w:tcBorders>
              <w:top w:val="single" w:sz="2" w:space="0" w:color="1F497D" w:themeColor="text2"/>
              <w:bottom w:val="single" w:sz="2" w:space="0" w:color="1F497D" w:themeColor="text2"/>
            </w:tcBorders>
          </w:tcPr>
          <w:p w14:paraId="4208F41C" w14:textId="1413BD06" w:rsidR="00675FF0" w:rsidRPr="009F72FC" w:rsidRDefault="00675FF0" w:rsidP="009F72FC">
            <w:pPr>
              <w:pStyle w:val="TableTextLeft"/>
            </w:pPr>
            <w:r w:rsidRPr="009F72FC">
              <w:t>An Australian financial services licensee with a licence authorisation to provide a margin lending facility as defined under section 761</w:t>
            </w:r>
            <w:r w:rsidR="00F9694D">
              <w:t>EA(1) of the Corporations Act.</w:t>
            </w:r>
          </w:p>
        </w:tc>
      </w:tr>
      <w:tr w:rsidR="00675FF0" w:rsidRPr="00A21459" w14:paraId="5975C0C0" w14:textId="77777777" w:rsidTr="001D5B13">
        <w:tc>
          <w:tcPr>
            <w:tcW w:w="9180" w:type="dxa"/>
            <w:gridSpan w:val="2"/>
            <w:tcBorders>
              <w:top w:val="single" w:sz="2" w:space="0" w:color="1F497D" w:themeColor="text2"/>
              <w:bottom w:val="single" w:sz="2" w:space="0" w:color="1F497D" w:themeColor="text2"/>
            </w:tcBorders>
            <w:shd w:val="clear" w:color="auto" w:fill="8DB3E2" w:themeFill="text2" w:themeFillTint="66"/>
          </w:tcPr>
          <w:p w14:paraId="76E20F66" w14:textId="77777777" w:rsidR="00675FF0" w:rsidRPr="00A21459" w:rsidRDefault="00675FF0" w:rsidP="00EA6339">
            <w:pPr>
              <w:pStyle w:val="TableColumnHeadingLeft-Black"/>
            </w:pPr>
            <w:r w:rsidRPr="00A21459">
              <w:t>Investment Management, Superannuation and Related Services</w:t>
            </w:r>
          </w:p>
        </w:tc>
      </w:tr>
      <w:tr w:rsidR="00675FF0" w:rsidRPr="009F72FC" w14:paraId="071CAEF3"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157079F7" w14:textId="77777777" w:rsidR="00675FF0" w:rsidRPr="009F72FC" w:rsidRDefault="00675FF0" w:rsidP="000706DA">
            <w:pPr>
              <w:pStyle w:val="TableRowHeadingLeft"/>
              <w:rPr>
                <w:spacing w:val="-1"/>
              </w:rPr>
            </w:pPr>
            <w:r w:rsidRPr="009F72FC">
              <w:rPr>
                <w:spacing w:val="-1"/>
              </w:rPr>
              <w:t>Superannuation trustee</w:t>
            </w:r>
          </w:p>
        </w:tc>
        <w:tc>
          <w:tcPr>
            <w:tcW w:w="6804" w:type="dxa"/>
            <w:tcBorders>
              <w:top w:val="single" w:sz="2" w:space="0" w:color="1F497D" w:themeColor="text2"/>
              <w:bottom w:val="single" w:sz="2" w:space="0" w:color="1F497D" w:themeColor="text2"/>
            </w:tcBorders>
          </w:tcPr>
          <w:p w14:paraId="1703C802" w14:textId="3BAA9C93" w:rsidR="00675FF0" w:rsidRPr="009F72FC" w:rsidRDefault="00675FF0" w:rsidP="009F72FC">
            <w:pPr>
              <w:pStyle w:val="TableTextLeft"/>
            </w:pPr>
            <w:r w:rsidRPr="009F72FC">
              <w:t xml:space="preserve">A </w:t>
            </w:r>
            <w:proofErr w:type="spellStart"/>
            <w:r w:rsidRPr="009F72FC">
              <w:t>registerable</w:t>
            </w:r>
            <w:proofErr w:type="spellEnd"/>
            <w:r w:rsidRPr="009F72FC">
              <w:t xml:space="preserve"> superannuation entity (RSE) licensee as defined by section</w:t>
            </w:r>
            <w:r w:rsidR="000706DA" w:rsidRPr="009F72FC">
              <w:t> </w:t>
            </w:r>
            <w:r w:rsidRPr="009F72FC">
              <w:t xml:space="preserve">10 of the </w:t>
            </w:r>
            <w:r w:rsidRPr="009F72FC">
              <w:rPr>
                <w:i/>
              </w:rPr>
              <w:t>Superannuation Industry (Supervision) Act 1993</w:t>
            </w:r>
            <w:r w:rsidRPr="009F72FC">
              <w:t>.</w:t>
            </w:r>
          </w:p>
        </w:tc>
      </w:tr>
      <w:tr w:rsidR="00675FF0" w:rsidRPr="009F72FC" w14:paraId="18D556F1"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27058EC" w14:textId="77777777" w:rsidR="00675FF0" w:rsidRPr="009F72FC" w:rsidRDefault="00675FF0" w:rsidP="000706DA">
            <w:pPr>
              <w:pStyle w:val="TableRowHeadingLeft"/>
              <w:rPr>
                <w:spacing w:val="-1"/>
              </w:rPr>
            </w:pPr>
            <w:r w:rsidRPr="009F72FC">
              <w:rPr>
                <w:spacing w:val="-1"/>
              </w:rPr>
              <w:t xml:space="preserve">Responsible entity </w:t>
            </w:r>
          </w:p>
        </w:tc>
        <w:tc>
          <w:tcPr>
            <w:tcW w:w="6804" w:type="dxa"/>
            <w:tcBorders>
              <w:top w:val="single" w:sz="2" w:space="0" w:color="1F497D" w:themeColor="text2"/>
              <w:bottom w:val="single" w:sz="2" w:space="0" w:color="1F497D" w:themeColor="text2"/>
            </w:tcBorders>
          </w:tcPr>
          <w:p w14:paraId="5B103BDC" w14:textId="77777777" w:rsidR="00675FF0" w:rsidRPr="009F72FC" w:rsidRDefault="00675FF0" w:rsidP="009F72FC">
            <w:pPr>
              <w:pStyle w:val="TableTextLeft"/>
            </w:pPr>
            <w:r w:rsidRPr="009F72FC">
              <w:t>A company that is an Australian financial services licensee with a licence authorisation to operate a registered scheme.</w:t>
            </w:r>
          </w:p>
        </w:tc>
      </w:tr>
      <w:tr w:rsidR="00675FF0" w:rsidRPr="009F72FC" w14:paraId="41E5936E"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4B75243B" w14:textId="77777777" w:rsidR="00675FF0" w:rsidRPr="009F72FC" w:rsidRDefault="00675FF0" w:rsidP="000706DA">
            <w:pPr>
              <w:pStyle w:val="TableRowHeadingLeft"/>
              <w:rPr>
                <w:spacing w:val="-1"/>
              </w:rPr>
            </w:pPr>
            <w:r w:rsidRPr="009F72FC">
              <w:rPr>
                <w:spacing w:val="-1"/>
              </w:rPr>
              <w:t>Wholesale trustee</w:t>
            </w:r>
          </w:p>
        </w:tc>
        <w:tc>
          <w:tcPr>
            <w:tcW w:w="6804" w:type="dxa"/>
            <w:tcBorders>
              <w:top w:val="single" w:sz="2" w:space="0" w:color="1F497D" w:themeColor="text2"/>
              <w:bottom w:val="single" w:sz="2" w:space="0" w:color="1F497D" w:themeColor="text2"/>
            </w:tcBorders>
          </w:tcPr>
          <w:p w14:paraId="67FBCC9D" w14:textId="77777777" w:rsidR="00675FF0" w:rsidRPr="009F72FC" w:rsidRDefault="00675FF0" w:rsidP="009F72FC">
            <w:pPr>
              <w:pStyle w:val="TableTextLeft"/>
            </w:pPr>
            <w:r w:rsidRPr="009F72FC">
              <w:t>An Australian financial services licensee with an authorisation to deal, or arrange for a person to deal, in a financial product by issuing interests in a managed investment scheme to wholesale clients.</w:t>
            </w:r>
          </w:p>
        </w:tc>
      </w:tr>
      <w:tr w:rsidR="00675FF0" w:rsidRPr="009F72FC" w14:paraId="3691F902"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1F55A81F" w14:textId="77777777" w:rsidR="00675FF0" w:rsidRPr="009F72FC" w:rsidRDefault="00675FF0" w:rsidP="000706DA">
            <w:pPr>
              <w:pStyle w:val="TableRowHeadingLeft"/>
              <w:rPr>
                <w:spacing w:val="-1"/>
              </w:rPr>
            </w:pPr>
            <w:r w:rsidRPr="009F72FC">
              <w:rPr>
                <w:spacing w:val="-1"/>
              </w:rPr>
              <w:t>Operator of an Investor Directed Portfolio Service</w:t>
            </w:r>
          </w:p>
        </w:tc>
        <w:tc>
          <w:tcPr>
            <w:tcW w:w="6804" w:type="dxa"/>
            <w:tcBorders>
              <w:top w:val="single" w:sz="2" w:space="0" w:color="1F497D" w:themeColor="text2"/>
              <w:bottom w:val="single" w:sz="2" w:space="0" w:color="1F497D" w:themeColor="text2"/>
            </w:tcBorders>
          </w:tcPr>
          <w:p w14:paraId="341F79D7" w14:textId="77777777" w:rsidR="00675FF0" w:rsidRPr="009F72FC" w:rsidRDefault="00675FF0" w:rsidP="009F72FC">
            <w:pPr>
              <w:pStyle w:val="TableTextLeft"/>
            </w:pPr>
            <w:r w:rsidRPr="009F72FC">
              <w:t>An Australian financial services licensee with a licence authorisation to operate an Investor Directed Portfolio Service being that has the same meaning as in ASIC Class Order [CO 13/763] as at the date of the licence.</w:t>
            </w:r>
          </w:p>
        </w:tc>
      </w:tr>
      <w:tr w:rsidR="00675FF0" w:rsidRPr="009F72FC" w14:paraId="2878289D"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190A9BA5" w14:textId="77777777" w:rsidR="00675FF0" w:rsidRPr="009F72FC" w:rsidRDefault="00675FF0" w:rsidP="000706DA">
            <w:pPr>
              <w:pStyle w:val="TableRowHeadingLeft"/>
              <w:rPr>
                <w:spacing w:val="-1"/>
              </w:rPr>
            </w:pPr>
            <w:r w:rsidRPr="009F72FC">
              <w:rPr>
                <w:spacing w:val="-1"/>
              </w:rPr>
              <w:t>Custodian</w:t>
            </w:r>
          </w:p>
        </w:tc>
        <w:tc>
          <w:tcPr>
            <w:tcW w:w="6804" w:type="dxa"/>
            <w:tcBorders>
              <w:top w:val="single" w:sz="2" w:space="0" w:color="1F497D" w:themeColor="text2"/>
              <w:bottom w:val="single" w:sz="2" w:space="0" w:color="1F497D" w:themeColor="text2"/>
            </w:tcBorders>
          </w:tcPr>
          <w:p w14:paraId="4701BB38" w14:textId="77777777" w:rsidR="00675FF0" w:rsidRPr="009F72FC" w:rsidRDefault="00675FF0" w:rsidP="009F72FC">
            <w:pPr>
              <w:pStyle w:val="TableTextLeft"/>
            </w:pPr>
            <w:r w:rsidRPr="009F72FC">
              <w:t>An Australian financial services licensee with a licence authorisation to provide a custodial [or depository] service.</w:t>
            </w:r>
          </w:p>
        </w:tc>
      </w:tr>
      <w:tr w:rsidR="00675FF0" w:rsidRPr="009F72FC" w14:paraId="2C60B927"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24BADDA3" w14:textId="77777777" w:rsidR="00675FF0" w:rsidRPr="009F72FC" w:rsidRDefault="00675FF0" w:rsidP="000706DA">
            <w:pPr>
              <w:pStyle w:val="TableRowHeadingLeft"/>
              <w:rPr>
                <w:spacing w:val="-1"/>
              </w:rPr>
            </w:pPr>
            <w:r w:rsidRPr="009F72FC">
              <w:rPr>
                <w:spacing w:val="-1"/>
              </w:rPr>
              <w:t>Approved SMSF auditor</w:t>
            </w:r>
          </w:p>
        </w:tc>
        <w:tc>
          <w:tcPr>
            <w:tcW w:w="6804" w:type="dxa"/>
            <w:tcBorders>
              <w:top w:val="single" w:sz="2" w:space="0" w:color="1F497D" w:themeColor="text2"/>
              <w:bottom w:val="single" w:sz="2" w:space="0" w:color="1F497D" w:themeColor="text2"/>
            </w:tcBorders>
          </w:tcPr>
          <w:p w14:paraId="2FD57E72" w14:textId="77777777" w:rsidR="00675FF0" w:rsidRPr="009F72FC" w:rsidRDefault="00675FF0" w:rsidP="009F72FC">
            <w:pPr>
              <w:pStyle w:val="TableTextLeft"/>
            </w:pPr>
            <w:r w:rsidRPr="009F72FC">
              <w:t>An approved SMSF auditor, as defined in section 10 of the SIS Act.</w:t>
            </w:r>
          </w:p>
        </w:tc>
      </w:tr>
      <w:tr w:rsidR="00675FF0" w:rsidRPr="009F72FC" w14:paraId="7D812EF3"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A605C38" w14:textId="1F754320" w:rsidR="00675FF0" w:rsidRPr="009F72FC" w:rsidRDefault="00675FF0" w:rsidP="000706DA">
            <w:pPr>
              <w:pStyle w:val="TableRowHeadingLeft"/>
              <w:rPr>
                <w:spacing w:val="-1"/>
              </w:rPr>
            </w:pPr>
            <w:r w:rsidRPr="009F72FC">
              <w:rPr>
                <w:spacing w:val="-1"/>
              </w:rPr>
              <w:t xml:space="preserve">Traditional trustee company service provider </w:t>
            </w:r>
          </w:p>
        </w:tc>
        <w:tc>
          <w:tcPr>
            <w:tcW w:w="6804" w:type="dxa"/>
            <w:tcBorders>
              <w:top w:val="single" w:sz="2" w:space="0" w:color="1F497D" w:themeColor="text2"/>
              <w:bottom w:val="single" w:sz="2" w:space="0" w:color="1F497D" w:themeColor="text2"/>
            </w:tcBorders>
          </w:tcPr>
          <w:p w14:paraId="5DBED869" w14:textId="03328A31" w:rsidR="00675FF0" w:rsidRPr="009F72FC" w:rsidRDefault="00675FF0" w:rsidP="009F72FC">
            <w:pPr>
              <w:pStyle w:val="TableTextLeft"/>
            </w:pPr>
            <w:r w:rsidRPr="009F72FC">
              <w:t>A trustee company that holds an Australian financial services licence covering the provision of one or more traditional trustee company services,</w:t>
            </w:r>
            <w:r w:rsidRPr="009F72FC" w:rsidDel="009640C7">
              <w:t xml:space="preserve"> </w:t>
            </w:r>
            <w:r w:rsidRPr="009F72FC">
              <w:t>as defined in section 6</w:t>
            </w:r>
            <w:r w:rsidR="00F9694D">
              <w:t>01RAC of the Corporations Act.</w:t>
            </w:r>
          </w:p>
        </w:tc>
      </w:tr>
      <w:tr w:rsidR="00675FF0" w:rsidRPr="009F72FC" w14:paraId="1E7D3ABE"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5FF31550" w14:textId="77777777" w:rsidR="00675FF0" w:rsidRPr="009F72FC" w:rsidRDefault="00675FF0" w:rsidP="000706DA">
            <w:pPr>
              <w:pStyle w:val="TableRowHeadingLeft"/>
              <w:rPr>
                <w:spacing w:val="-1"/>
              </w:rPr>
            </w:pPr>
            <w:r w:rsidRPr="009F72FC">
              <w:rPr>
                <w:spacing w:val="-1"/>
              </w:rPr>
              <w:t>Managed discretionary account</w:t>
            </w:r>
            <w:r w:rsidRPr="009F72FC" w:rsidDel="000D1E76">
              <w:rPr>
                <w:spacing w:val="-1"/>
              </w:rPr>
              <w:t xml:space="preserve"> </w:t>
            </w:r>
            <w:r w:rsidRPr="009F72FC">
              <w:rPr>
                <w:spacing w:val="-1"/>
              </w:rPr>
              <w:t>operator</w:t>
            </w:r>
          </w:p>
        </w:tc>
        <w:tc>
          <w:tcPr>
            <w:tcW w:w="6804" w:type="dxa"/>
            <w:tcBorders>
              <w:top w:val="single" w:sz="2" w:space="0" w:color="1F497D" w:themeColor="text2"/>
              <w:bottom w:val="single" w:sz="2" w:space="0" w:color="1F497D" w:themeColor="text2"/>
            </w:tcBorders>
          </w:tcPr>
          <w:p w14:paraId="0B8593A1" w14:textId="77777777" w:rsidR="00675FF0" w:rsidRPr="009F72FC" w:rsidRDefault="00675FF0" w:rsidP="009F72FC">
            <w:pPr>
              <w:pStyle w:val="TableTextLeft"/>
            </w:pPr>
            <w:r w:rsidRPr="009F72FC">
              <w:t>An Australian financial services licensee with a licence authorisation to provide a Managed Discretionary Account service under ASIC Class Order [CO 04/194] as at the date of the licence.</w:t>
            </w:r>
          </w:p>
        </w:tc>
      </w:tr>
      <w:tr w:rsidR="00675FF0" w:rsidRPr="00A21459" w14:paraId="4125F623" w14:textId="77777777" w:rsidTr="001D5B13">
        <w:tc>
          <w:tcPr>
            <w:tcW w:w="9180" w:type="dxa"/>
            <w:gridSpan w:val="2"/>
            <w:tcBorders>
              <w:top w:val="single" w:sz="2" w:space="0" w:color="1F497D" w:themeColor="text2"/>
              <w:bottom w:val="single" w:sz="2" w:space="0" w:color="1F497D" w:themeColor="text2"/>
            </w:tcBorders>
            <w:shd w:val="clear" w:color="auto" w:fill="8DB3E2" w:themeFill="text2" w:themeFillTint="66"/>
          </w:tcPr>
          <w:p w14:paraId="454347CA" w14:textId="77777777" w:rsidR="00675FF0" w:rsidRPr="00A21459" w:rsidRDefault="00675FF0" w:rsidP="00EA6339">
            <w:pPr>
              <w:pStyle w:val="TableColumnHeadingLeft-Black"/>
            </w:pPr>
            <w:r w:rsidRPr="00A21459">
              <w:t>Market Infrastructure and Intermediaries</w:t>
            </w:r>
          </w:p>
        </w:tc>
      </w:tr>
      <w:tr w:rsidR="00675FF0" w:rsidRPr="009F72FC" w14:paraId="004826F5"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686069D0" w14:textId="77777777" w:rsidR="00675FF0" w:rsidRPr="009F72FC" w:rsidRDefault="00675FF0" w:rsidP="009F72FC">
            <w:pPr>
              <w:pStyle w:val="TableRowHeadingLeft"/>
            </w:pPr>
            <w:r w:rsidRPr="009F72FC">
              <w:t>Credit rating agency</w:t>
            </w:r>
          </w:p>
        </w:tc>
        <w:tc>
          <w:tcPr>
            <w:tcW w:w="6804" w:type="dxa"/>
            <w:tcBorders>
              <w:top w:val="single" w:sz="2" w:space="0" w:color="1F497D" w:themeColor="text2"/>
              <w:bottom w:val="single" w:sz="2" w:space="0" w:color="1F497D" w:themeColor="text2"/>
            </w:tcBorders>
          </w:tcPr>
          <w:p w14:paraId="55C84D3E" w14:textId="77777777" w:rsidR="00675FF0" w:rsidRPr="009F72FC" w:rsidRDefault="00675FF0" w:rsidP="009F72FC">
            <w:pPr>
              <w:pStyle w:val="TableTextLeft"/>
            </w:pPr>
            <w:r w:rsidRPr="009F72FC">
              <w:t xml:space="preserve">An Australian financial services licensee with a condition on its licence to comply with the IOSCO </w:t>
            </w:r>
            <w:r w:rsidRPr="009F72FC">
              <w:rPr>
                <w:i/>
              </w:rPr>
              <w:t>Code of Conduct for Credit Rating Agencies</w:t>
            </w:r>
            <w:r w:rsidRPr="009F72FC">
              <w:t>.</w:t>
            </w:r>
          </w:p>
        </w:tc>
      </w:tr>
      <w:tr w:rsidR="00675FF0" w:rsidRPr="009F72FC" w14:paraId="43B56927"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6B0B39E7" w14:textId="77777777" w:rsidR="00675FF0" w:rsidRPr="009F72FC" w:rsidRDefault="00675FF0" w:rsidP="009F72FC">
            <w:pPr>
              <w:pStyle w:val="TableRowHeadingLeft"/>
            </w:pPr>
            <w:r w:rsidRPr="009F72FC">
              <w:t>Large equity market operator (domestic)</w:t>
            </w:r>
          </w:p>
        </w:tc>
        <w:tc>
          <w:tcPr>
            <w:tcW w:w="6804" w:type="dxa"/>
            <w:tcBorders>
              <w:top w:val="single" w:sz="2" w:space="0" w:color="1F497D" w:themeColor="text2"/>
              <w:bottom w:val="single" w:sz="2" w:space="0" w:color="1F497D" w:themeColor="text2"/>
            </w:tcBorders>
          </w:tcPr>
          <w:p w14:paraId="28B935E7" w14:textId="77777777" w:rsidR="00675FF0" w:rsidRPr="009F72FC" w:rsidRDefault="00675FF0" w:rsidP="009F72FC">
            <w:pPr>
              <w:pStyle w:val="TableTextLeft"/>
            </w:pPr>
            <w:r w:rsidRPr="009F72FC">
              <w:t>The operator of a licensed market as defined in section 761A of the Corporations Act on which more than 10 million transactions in Equity Market Products were executed in the previous financial year.</w:t>
            </w:r>
          </w:p>
          <w:p w14:paraId="64559EAE" w14:textId="32CDFAFD" w:rsidR="00675FF0" w:rsidRPr="009F72FC" w:rsidRDefault="00675FF0" w:rsidP="009F72FC">
            <w:pPr>
              <w:pStyle w:val="TableTextLeft"/>
            </w:pPr>
            <w:r w:rsidRPr="009F72FC">
              <w:t>Equity Market Product: has the meaning given by section 1.4.3 of the ASIC Market Integrity Rules (Competition in Exchange Markets) 2011.</w:t>
            </w:r>
          </w:p>
        </w:tc>
      </w:tr>
      <w:tr w:rsidR="00675FF0" w:rsidRPr="009F72FC" w14:paraId="1F3F852B" w14:textId="77777777" w:rsidTr="00494432">
        <w:tc>
          <w:tcPr>
            <w:tcW w:w="2376" w:type="dxa"/>
            <w:tcBorders>
              <w:top w:val="single" w:sz="2" w:space="0" w:color="1F497D" w:themeColor="text2"/>
              <w:bottom w:val="single" w:sz="2" w:space="0" w:color="auto"/>
            </w:tcBorders>
            <w:shd w:val="clear" w:color="auto" w:fill="DBE5F1" w:themeFill="accent1" w:themeFillTint="33"/>
          </w:tcPr>
          <w:p w14:paraId="218FE53F" w14:textId="77777777" w:rsidR="00675FF0" w:rsidRPr="009F72FC" w:rsidRDefault="00675FF0" w:rsidP="009F72FC">
            <w:pPr>
              <w:pStyle w:val="TableRowHeadingLeft"/>
            </w:pPr>
            <w:r w:rsidRPr="009F72FC">
              <w:t>Large futures market operator</w:t>
            </w:r>
          </w:p>
        </w:tc>
        <w:tc>
          <w:tcPr>
            <w:tcW w:w="6804" w:type="dxa"/>
            <w:tcBorders>
              <w:top w:val="single" w:sz="2" w:space="0" w:color="1F497D" w:themeColor="text2"/>
              <w:bottom w:val="single" w:sz="2" w:space="0" w:color="auto"/>
            </w:tcBorders>
          </w:tcPr>
          <w:p w14:paraId="285A60D4" w14:textId="77777777" w:rsidR="00675FF0" w:rsidRPr="009F72FC" w:rsidRDefault="00675FF0" w:rsidP="009F72FC">
            <w:pPr>
              <w:pStyle w:val="TableTextLeft"/>
            </w:pPr>
            <w:r w:rsidRPr="009F72FC">
              <w:t>The operator of a licensed market as defined in section 761A of the Corporations Act on which more than 10 million transactions in derivatives were executed in the previous financial year.</w:t>
            </w:r>
          </w:p>
          <w:p w14:paraId="2E416EAC" w14:textId="079B469A" w:rsidR="00675FF0" w:rsidRPr="009F72FC" w:rsidRDefault="00675FF0" w:rsidP="009F72FC">
            <w:pPr>
              <w:pStyle w:val="TableTextLeft"/>
            </w:pPr>
            <w:r w:rsidRPr="009F72FC">
              <w:t xml:space="preserve">Derivative: has the meaning given by section 761D of the </w:t>
            </w:r>
            <w:r w:rsidRPr="00075062">
              <w:rPr>
                <w:i/>
              </w:rPr>
              <w:t>Corporations Act 2001</w:t>
            </w:r>
            <w:r w:rsidR="009F72FC">
              <w:t>.</w:t>
            </w:r>
          </w:p>
        </w:tc>
      </w:tr>
    </w:tbl>
    <w:p w14:paraId="51221E46" w14:textId="77777777" w:rsidR="003943C6" w:rsidRPr="003943C6" w:rsidRDefault="003943C6" w:rsidP="003943C6">
      <w:pPr>
        <w:spacing w:after="0" w:line="240" w:lineRule="auto"/>
        <w:rPr>
          <w:sz w:val="2"/>
        </w:rPr>
      </w:pPr>
      <w:r w:rsidRPr="003943C6">
        <w:rPr>
          <w:sz w:val="2"/>
        </w:rPr>
        <w:br w:type="page"/>
      </w:r>
    </w:p>
    <w:p w14:paraId="0219801E" w14:textId="6D460986" w:rsidR="003943C6" w:rsidRDefault="003943C6" w:rsidP="003943C6">
      <w:pPr>
        <w:pStyle w:val="TableMainHeadingCont"/>
      </w:pPr>
      <w:r>
        <w:t xml:space="preserve">Table </w:t>
      </w:r>
      <w:r w:rsidR="00A31BDC">
        <w:t>3</w:t>
      </w:r>
      <w:r>
        <w:t>:</w:t>
      </w:r>
      <w:r>
        <w:tab/>
        <w:t>Proposed industry subsector definitions (continued)</w:t>
      </w:r>
    </w:p>
    <w:tbl>
      <w:tblPr>
        <w:tblW w:w="0" w:type="auto"/>
        <w:tblLayout w:type="fixed"/>
        <w:tblLook w:val="04A0" w:firstRow="1" w:lastRow="0" w:firstColumn="1" w:lastColumn="0" w:noHBand="0" w:noVBand="1"/>
      </w:tblPr>
      <w:tblGrid>
        <w:gridCol w:w="2376"/>
        <w:gridCol w:w="6804"/>
      </w:tblGrid>
      <w:tr w:rsidR="003943C6" w:rsidRPr="00A13968" w14:paraId="7E147A17" w14:textId="77777777" w:rsidTr="0040383F">
        <w:trPr>
          <w:trHeight w:val="308"/>
        </w:trPr>
        <w:tc>
          <w:tcPr>
            <w:tcW w:w="2376" w:type="dxa"/>
            <w:tcBorders>
              <w:bottom w:val="single" w:sz="2" w:space="0" w:color="FFFFFF" w:themeColor="background1"/>
              <w:right w:val="single" w:sz="2" w:space="0" w:color="FFFFFF" w:themeColor="background1"/>
            </w:tcBorders>
            <w:shd w:val="clear" w:color="auto" w:fill="1F497D" w:themeFill="text2"/>
          </w:tcPr>
          <w:p w14:paraId="338859B8" w14:textId="77777777" w:rsidR="003943C6" w:rsidRPr="00A13968" w:rsidRDefault="003943C6" w:rsidP="00902D9F">
            <w:pPr>
              <w:pStyle w:val="TableColumnHeadingLeft"/>
            </w:pPr>
            <w:r w:rsidRPr="00A13968">
              <w:t>Industry subsector</w:t>
            </w:r>
          </w:p>
        </w:tc>
        <w:tc>
          <w:tcPr>
            <w:tcW w:w="6804" w:type="dxa"/>
            <w:tcBorders>
              <w:left w:val="single" w:sz="2" w:space="0" w:color="FFFFFF" w:themeColor="background1"/>
              <w:bottom w:val="single" w:sz="2" w:space="0" w:color="FFFFFF" w:themeColor="background1"/>
            </w:tcBorders>
            <w:shd w:val="clear" w:color="auto" w:fill="1F497D" w:themeFill="text2"/>
          </w:tcPr>
          <w:p w14:paraId="10E6B759" w14:textId="77777777" w:rsidR="003943C6" w:rsidRPr="00A13968" w:rsidRDefault="003943C6" w:rsidP="00902D9F">
            <w:pPr>
              <w:pStyle w:val="TableColumnHeadingLeft"/>
            </w:pPr>
            <w:r w:rsidRPr="00A13968">
              <w:t>Proposed definitions</w:t>
            </w:r>
            <w:r w:rsidRPr="00A13968">
              <w:tab/>
            </w:r>
          </w:p>
        </w:tc>
      </w:tr>
      <w:tr w:rsidR="003943C6" w:rsidRPr="00A21459" w14:paraId="54BD0293" w14:textId="77777777" w:rsidTr="0040383F">
        <w:tc>
          <w:tcPr>
            <w:tcW w:w="9180" w:type="dxa"/>
            <w:gridSpan w:val="2"/>
            <w:tcBorders>
              <w:top w:val="single" w:sz="2" w:space="0" w:color="FFFFFF" w:themeColor="background1"/>
              <w:bottom w:val="single" w:sz="2" w:space="0" w:color="1F497D" w:themeColor="text2"/>
            </w:tcBorders>
            <w:shd w:val="clear" w:color="auto" w:fill="8DB3E2" w:themeFill="text2" w:themeFillTint="66"/>
          </w:tcPr>
          <w:p w14:paraId="0F69465C" w14:textId="7C085E1D" w:rsidR="003943C6" w:rsidRPr="00A21459" w:rsidRDefault="003943C6" w:rsidP="00EA6339">
            <w:pPr>
              <w:pStyle w:val="TableColumnHeadingLeft-Black"/>
            </w:pPr>
            <w:r w:rsidRPr="00A21459">
              <w:t>Market Infrastructure and Intermediaries</w:t>
            </w:r>
            <w:r>
              <w:t xml:space="preserve"> (continued)</w:t>
            </w:r>
          </w:p>
        </w:tc>
      </w:tr>
      <w:tr w:rsidR="00675FF0" w:rsidRPr="00A21459" w14:paraId="770144C9"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62E47D70" w14:textId="4BD54E1A" w:rsidR="00675FF0" w:rsidRPr="000706DA" w:rsidRDefault="00675FF0" w:rsidP="000706DA">
            <w:pPr>
              <w:pStyle w:val="TableRowHeadingLeft"/>
            </w:pPr>
            <w:r w:rsidRPr="000706DA">
              <w:t>Small equity market operator (domestic)</w:t>
            </w:r>
          </w:p>
        </w:tc>
        <w:tc>
          <w:tcPr>
            <w:tcW w:w="6804" w:type="dxa"/>
            <w:tcBorders>
              <w:top w:val="single" w:sz="2" w:space="0" w:color="1F497D" w:themeColor="text2"/>
              <w:bottom w:val="single" w:sz="2" w:space="0" w:color="1F497D" w:themeColor="text2"/>
            </w:tcBorders>
          </w:tcPr>
          <w:p w14:paraId="72AD2214" w14:textId="77777777" w:rsidR="00675FF0" w:rsidRPr="00A21459" w:rsidRDefault="00675FF0" w:rsidP="000706DA">
            <w:pPr>
              <w:pStyle w:val="TableTextLeft"/>
            </w:pPr>
            <w:r w:rsidRPr="00A21459">
              <w:t xml:space="preserve">The operator of a licensed market as defined in section 761A of the Corporations Act on which less than 10 million </w:t>
            </w:r>
            <w:r w:rsidRPr="00A21459">
              <w:rPr>
                <w:bCs/>
              </w:rPr>
              <w:t>transactions</w:t>
            </w:r>
            <w:r w:rsidRPr="00A21459">
              <w:t xml:space="preserve"> in equity market products were executed in the previous financial year.</w:t>
            </w:r>
          </w:p>
        </w:tc>
      </w:tr>
      <w:tr w:rsidR="00675FF0" w:rsidRPr="00A21459" w14:paraId="75048CBD"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06B8C60A" w14:textId="77777777" w:rsidR="00675FF0" w:rsidRPr="000706DA" w:rsidRDefault="00675FF0" w:rsidP="000706DA">
            <w:pPr>
              <w:pStyle w:val="TableRowHeadingLeft"/>
            </w:pPr>
            <w:r w:rsidRPr="000706DA">
              <w:t>Small futures market operator (domestic)</w:t>
            </w:r>
          </w:p>
        </w:tc>
        <w:tc>
          <w:tcPr>
            <w:tcW w:w="6804" w:type="dxa"/>
            <w:tcBorders>
              <w:top w:val="single" w:sz="2" w:space="0" w:color="1F497D" w:themeColor="text2"/>
              <w:bottom w:val="single" w:sz="2" w:space="0" w:color="1F497D" w:themeColor="text2"/>
            </w:tcBorders>
          </w:tcPr>
          <w:p w14:paraId="79921A36" w14:textId="77777777" w:rsidR="00675FF0" w:rsidRPr="00A21459" w:rsidRDefault="00675FF0" w:rsidP="000706DA">
            <w:pPr>
              <w:pStyle w:val="TableTextLeft"/>
            </w:pPr>
            <w:r w:rsidRPr="00A21459">
              <w:t>The operator of a licensed market on which less than 10 million transactions in derivatives were entered into in the previous financial year.</w:t>
            </w:r>
            <w:r w:rsidRPr="00A21459">
              <w:rPr>
                <w:i/>
              </w:rPr>
              <w:t xml:space="preserve"> </w:t>
            </w:r>
          </w:p>
        </w:tc>
      </w:tr>
      <w:tr w:rsidR="00675FF0" w:rsidRPr="00A21459" w14:paraId="116245FA"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4A9829EB" w14:textId="77777777" w:rsidR="00675FF0" w:rsidRPr="000706DA" w:rsidRDefault="00675FF0" w:rsidP="000706DA">
            <w:pPr>
              <w:pStyle w:val="TableRowHeadingLeft"/>
            </w:pPr>
            <w:r w:rsidRPr="000706DA">
              <w:t>Small derivatives market operator (domestic)</w:t>
            </w:r>
          </w:p>
        </w:tc>
        <w:tc>
          <w:tcPr>
            <w:tcW w:w="6804" w:type="dxa"/>
            <w:tcBorders>
              <w:top w:val="single" w:sz="2" w:space="0" w:color="1F497D" w:themeColor="text2"/>
              <w:bottom w:val="single" w:sz="2" w:space="0" w:color="1F497D" w:themeColor="text2"/>
            </w:tcBorders>
          </w:tcPr>
          <w:p w14:paraId="4A8CEE91" w14:textId="77777777" w:rsidR="00675FF0" w:rsidRPr="00A21459" w:rsidRDefault="00675FF0" w:rsidP="000706DA">
            <w:pPr>
              <w:pStyle w:val="TableTextLeft"/>
            </w:pPr>
            <w:r w:rsidRPr="00A21459">
              <w:t>The operator of a licensed market on which:</w:t>
            </w:r>
          </w:p>
          <w:p w14:paraId="1BA9147C" w14:textId="77777777" w:rsidR="00675FF0" w:rsidRPr="003943C6" w:rsidRDefault="00675FF0" w:rsidP="009F72FC">
            <w:pPr>
              <w:pStyle w:val="TableTextLeft-AlphaNumbering"/>
              <w:numPr>
                <w:ilvl w:val="0"/>
                <w:numId w:val="42"/>
              </w:numPr>
            </w:pPr>
            <w:r w:rsidRPr="003943C6">
              <w:t>less than 10 million transactions in derivatives were entered into in the previous financial year; and</w:t>
            </w:r>
          </w:p>
          <w:p w14:paraId="40838A6D" w14:textId="77777777" w:rsidR="00675FF0" w:rsidRPr="00A21459" w:rsidRDefault="00675FF0" w:rsidP="003943C6">
            <w:pPr>
              <w:pStyle w:val="TableTextLeft-AlphaNumbering"/>
            </w:pPr>
            <w:r w:rsidRPr="003943C6">
              <w:t>only professional investors trading on their own behalf or on behalf of other professional investors may trade.</w:t>
            </w:r>
            <w:r w:rsidRPr="003943C6" w:rsidDel="00DA13D6">
              <w:t xml:space="preserve"> </w:t>
            </w:r>
          </w:p>
        </w:tc>
      </w:tr>
      <w:tr w:rsidR="00675FF0" w:rsidRPr="00A21459" w14:paraId="31A4154E"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02233B26" w14:textId="21C0E94C" w:rsidR="00675FF0" w:rsidRPr="000706DA" w:rsidRDefault="00675FF0" w:rsidP="0040383F">
            <w:pPr>
              <w:pStyle w:val="TableRowHeadingLeft"/>
            </w:pPr>
            <w:r w:rsidRPr="000706DA">
              <w:t>Small equity market operator with</w:t>
            </w:r>
            <w:r w:rsidR="0040383F">
              <w:br/>
            </w:r>
            <w:r w:rsidRPr="000706DA">
              <w:t>self-listing function only (domestic)</w:t>
            </w:r>
          </w:p>
        </w:tc>
        <w:tc>
          <w:tcPr>
            <w:tcW w:w="6804" w:type="dxa"/>
            <w:tcBorders>
              <w:top w:val="single" w:sz="2" w:space="0" w:color="1F497D" w:themeColor="text2"/>
              <w:bottom w:val="single" w:sz="2" w:space="0" w:color="1F497D" w:themeColor="text2"/>
            </w:tcBorders>
          </w:tcPr>
          <w:p w14:paraId="1CA0E48B" w14:textId="77777777" w:rsidR="00675FF0" w:rsidRPr="00A21459" w:rsidRDefault="00675FF0" w:rsidP="000706DA">
            <w:pPr>
              <w:pStyle w:val="TableTextLeft"/>
              <w:rPr>
                <w:b/>
              </w:rPr>
            </w:pPr>
            <w:r w:rsidRPr="00A21459">
              <w:t>The operator of a licensed market as defined in section 761A of the Corporations Act on which:</w:t>
            </w:r>
          </w:p>
          <w:p w14:paraId="636C63C4" w14:textId="77777777" w:rsidR="00675FF0" w:rsidRPr="00A21459" w:rsidRDefault="00675FF0" w:rsidP="009F72FC">
            <w:pPr>
              <w:pStyle w:val="TableTextLeft-AlphaNumbering"/>
              <w:numPr>
                <w:ilvl w:val="0"/>
                <w:numId w:val="21"/>
              </w:numPr>
            </w:pPr>
            <w:r w:rsidRPr="00A21459">
              <w:t>less than 10 million transactions were executed in the previous financial year; and</w:t>
            </w:r>
          </w:p>
          <w:p w14:paraId="503C3AAE" w14:textId="77777777" w:rsidR="00675FF0" w:rsidRPr="00A21459" w:rsidRDefault="00675FF0" w:rsidP="003943C6">
            <w:pPr>
              <w:pStyle w:val="TableTextLeft-AlphaNumbering"/>
            </w:pPr>
            <w:r w:rsidRPr="00A21459">
              <w:rPr>
                <w:rStyle w:val="BulletChar"/>
                <w:rFonts w:asciiTheme="minorHAnsi" w:eastAsia="Calibri" w:hAnsiTheme="minorHAnsi"/>
                <w:sz w:val="22"/>
                <w:szCs w:val="22"/>
              </w:rPr>
              <w:t>only</w:t>
            </w:r>
            <w:r w:rsidRPr="00A21459">
              <w:t xml:space="preserve"> ordinary shares of the market operator may be traded.</w:t>
            </w:r>
          </w:p>
        </w:tc>
      </w:tr>
      <w:tr w:rsidR="00675FF0" w:rsidRPr="00A21459" w14:paraId="14E36B14"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ED220FB" w14:textId="77777777" w:rsidR="00675FF0" w:rsidRPr="000706DA" w:rsidRDefault="00675FF0" w:rsidP="000706DA">
            <w:pPr>
              <w:pStyle w:val="TableRowHeadingLeft"/>
            </w:pPr>
            <w:r w:rsidRPr="000706DA">
              <w:t>Foreign market operator</w:t>
            </w:r>
          </w:p>
        </w:tc>
        <w:tc>
          <w:tcPr>
            <w:tcW w:w="6804" w:type="dxa"/>
            <w:tcBorders>
              <w:top w:val="single" w:sz="2" w:space="0" w:color="1F497D" w:themeColor="text2"/>
              <w:bottom w:val="single" w:sz="2" w:space="0" w:color="1F497D" w:themeColor="text2"/>
            </w:tcBorders>
          </w:tcPr>
          <w:p w14:paraId="5E48409B" w14:textId="189CA0E6" w:rsidR="00675FF0" w:rsidRPr="00A21459" w:rsidRDefault="00675FF0" w:rsidP="003943C6">
            <w:pPr>
              <w:pStyle w:val="TableTextLeft"/>
            </w:pPr>
            <w:r w:rsidRPr="00A21459">
              <w:t>A person who holds an Australian market licence granted under subsection</w:t>
            </w:r>
            <w:r w:rsidR="003943C6">
              <w:t> </w:t>
            </w:r>
            <w:r w:rsidRPr="00A21459">
              <w:t>795B(2) of the Corporations Act.</w:t>
            </w:r>
          </w:p>
        </w:tc>
      </w:tr>
      <w:tr w:rsidR="00675FF0" w:rsidRPr="00A21459" w14:paraId="6CE56E76"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38F9FE6" w14:textId="77777777" w:rsidR="00675FF0" w:rsidRPr="000706DA" w:rsidRDefault="00675FF0" w:rsidP="000706DA">
            <w:pPr>
              <w:pStyle w:val="TableRowHeadingLeft"/>
            </w:pPr>
            <w:r w:rsidRPr="000706DA">
              <w:t>Australian derivative trade repository licensee</w:t>
            </w:r>
          </w:p>
        </w:tc>
        <w:tc>
          <w:tcPr>
            <w:tcW w:w="6804" w:type="dxa"/>
            <w:tcBorders>
              <w:top w:val="single" w:sz="2" w:space="0" w:color="1F497D" w:themeColor="text2"/>
              <w:bottom w:val="single" w:sz="2" w:space="0" w:color="1F497D" w:themeColor="text2"/>
            </w:tcBorders>
          </w:tcPr>
          <w:p w14:paraId="67F63F40" w14:textId="77777777" w:rsidR="00675FF0" w:rsidRPr="00A21459" w:rsidRDefault="00675FF0" w:rsidP="000706DA">
            <w:pPr>
              <w:pStyle w:val="TableTextLeft"/>
            </w:pPr>
            <w:r w:rsidRPr="00A21459">
              <w:t>A holder of an Australian derivative trade repository licence, as defined in section 761A of the Corporations Act.</w:t>
            </w:r>
          </w:p>
        </w:tc>
      </w:tr>
      <w:tr w:rsidR="00675FF0" w:rsidRPr="00A21459" w14:paraId="0C3D1F6D"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38CB9A81" w14:textId="77777777" w:rsidR="00675FF0" w:rsidRPr="000706DA" w:rsidRDefault="00675FF0" w:rsidP="000706DA">
            <w:pPr>
              <w:pStyle w:val="TableRowHeadingLeft"/>
            </w:pPr>
            <w:r w:rsidRPr="000706DA">
              <w:t>Exempt market</w:t>
            </w:r>
          </w:p>
        </w:tc>
        <w:tc>
          <w:tcPr>
            <w:tcW w:w="6804" w:type="dxa"/>
            <w:tcBorders>
              <w:top w:val="single" w:sz="2" w:space="0" w:color="1F497D" w:themeColor="text2"/>
              <w:bottom w:val="single" w:sz="2" w:space="0" w:color="1F497D" w:themeColor="text2"/>
            </w:tcBorders>
          </w:tcPr>
          <w:p w14:paraId="75F32771" w14:textId="1FB8FC10" w:rsidR="00675FF0" w:rsidRPr="00A21459" w:rsidRDefault="00675FF0" w:rsidP="000706DA">
            <w:pPr>
              <w:pStyle w:val="TableTextLeft"/>
            </w:pPr>
            <w:r w:rsidRPr="00A21459">
              <w:t>A facility exempted from Part 7.2 under subsection 791C(1) and from Part</w:t>
            </w:r>
            <w:r w:rsidR="000706DA">
              <w:t> </w:t>
            </w:r>
            <w:r w:rsidRPr="00A21459">
              <w:t>7.3 under subsection 820C(1) of the Corporations Act.</w:t>
            </w:r>
          </w:p>
        </w:tc>
      </w:tr>
      <w:tr w:rsidR="00675FF0" w:rsidRPr="00A21459" w14:paraId="7DC0F139"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5BF3E386" w14:textId="00C2DE42" w:rsidR="003943C6" w:rsidRDefault="00675FF0" w:rsidP="003943C6">
            <w:pPr>
              <w:pStyle w:val="TableRowHeadingLeft"/>
            </w:pPr>
            <w:r w:rsidRPr="000706DA">
              <w:t>CS facility licensee</w:t>
            </w:r>
            <w:r w:rsidR="0040383F">
              <w:t>:</w:t>
            </w:r>
          </w:p>
          <w:p w14:paraId="22A9B15E" w14:textId="77966FF3" w:rsidR="00675FF0" w:rsidRPr="000706DA" w:rsidRDefault="00675FF0" w:rsidP="003943C6">
            <w:pPr>
              <w:pStyle w:val="TableRowHeadingLeft"/>
            </w:pPr>
            <w:r w:rsidRPr="000706DA">
              <w:t>Tier 1: Systemically important, domestically connected</w:t>
            </w:r>
          </w:p>
        </w:tc>
        <w:tc>
          <w:tcPr>
            <w:tcW w:w="6804" w:type="dxa"/>
            <w:tcBorders>
              <w:top w:val="single" w:sz="2" w:space="0" w:color="1F497D" w:themeColor="text2"/>
              <w:bottom w:val="single" w:sz="2" w:space="0" w:color="1F497D" w:themeColor="text2"/>
            </w:tcBorders>
          </w:tcPr>
          <w:p w14:paraId="630624DC" w14:textId="77777777" w:rsidR="00675FF0" w:rsidRPr="00A21459" w:rsidRDefault="00675FF0" w:rsidP="000706DA">
            <w:pPr>
              <w:pStyle w:val="TableTextLeft"/>
            </w:pPr>
            <w:r w:rsidRPr="00A21459">
              <w:t>The operator of a CS facility determined to be systemically important in Australia with a strong connection to the Australian financial system (strong domestic connection).</w:t>
            </w:r>
          </w:p>
        </w:tc>
      </w:tr>
      <w:tr w:rsidR="00675FF0" w:rsidRPr="00A21459" w14:paraId="2D8B591E"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6DF307B9" w14:textId="6AFCFFF4" w:rsidR="00675FF0" w:rsidRPr="000706DA" w:rsidRDefault="00675FF0" w:rsidP="000706DA">
            <w:pPr>
              <w:pStyle w:val="TableRowHeadingLeft"/>
            </w:pPr>
            <w:r w:rsidRPr="000706DA">
              <w:t>CS facility licensee</w:t>
            </w:r>
            <w:r w:rsidR="0040383F">
              <w:t>:</w:t>
            </w:r>
          </w:p>
          <w:p w14:paraId="1F7C3354" w14:textId="77777777" w:rsidR="00675FF0" w:rsidRPr="000706DA" w:rsidRDefault="00675FF0" w:rsidP="000706DA">
            <w:pPr>
              <w:pStyle w:val="TableRowHeadingLeft"/>
            </w:pPr>
            <w:r w:rsidRPr="000706DA">
              <w:t>Tier 2: Systemically important, not domestically connected</w:t>
            </w:r>
          </w:p>
        </w:tc>
        <w:tc>
          <w:tcPr>
            <w:tcW w:w="6804" w:type="dxa"/>
            <w:tcBorders>
              <w:top w:val="single" w:sz="2" w:space="0" w:color="1F497D" w:themeColor="text2"/>
              <w:bottom w:val="single" w:sz="2" w:space="0" w:color="1F497D" w:themeColor="text2"/>
            </w:tcBorders>
          </w:tcPr>
          <w:p w14:paraId="7AC9DF60" w14:textId="2D0C689D" w:rsidR="00675FF0" w:rsidRPr="00A21459" w:rsidRDefault="00675FF0" w:rsidP="000706DA">
            <w:pPr>
              <w:pStyle w:val="TableTextLeft"/>
            </w:pPr>
            <w:r w:rsidRPr="00A21459">
              <w:t>The operator of an overseas CS facility determined to be systemically important in Australia without a strong connection to t</w:t>
            </w:r>
            <w:r w:rsidR="000706DA">
              <w:t>he Australian financial system.</w:t>
            </w:r>
          </w:p>
        </w:tc>
      </w:tr>
      <w:tr w:rsidR="00675FF0" w:rsidRPr="00A21459" w14:paraId="17032631"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55E6954F" w14:textId="6CA97BD9" w:rsidR="00675FF0" w:rsidRPr="000706DA" w:rsidRDefault="00675FF0" w:rsidP="000706DA">
            <w:pPr>
              <w:pStyle w:val="TableRowHeadingLeft"/>
            </w:pPr>
            <w:r w:rsidRPr="000706DA">
              <w:t>CS facility licensee</w:t>
            </w:r>
            <w:r w:rsidR="0040383F">
              <w:t>:</w:t>
            </w:r>
          </w:p>
          <w:p w14:paraId="09FAE77F" w14:textId="77777777" w:rsidR="00675FF0" w:rsidRPr="000706DA" w:rsidRDefault="00675FF0" w:rsidP="000706DA">
            <w:pPr>
              <w:pStyle w:val="TableRowHeadingLeft"/>
            </w:pPr>
            <w:r w:rsidRPr="000706DA">
              <w:t>Tier 3: Entry level</w:t>
            </w:r>
          </w:p>
        </w:tc>
        <w:tc>
          <w:tcPr>
            <w:tcW w:w="6804" w:type="dxa"/>
            <w:tcBorders>
              <w:top w:val="single" w:sz="2" w:space="0" w:color="1F497D" w:themeColor="text2"/>
              <w:bottom w:val="single" w:sz="2" w:space="0" w:color="1F497D" w:themeColor="text2"/>
            </w:tcBorders>
          </w:tcPr>
          <w:p w14:paraId="798FA6E9" w14:textId="0136479F" w:rsidR="00675FF0" w:rsidRPr="00A21459" w:rsidRDefault="00675FF0" w:rsidP="000706DA">
            <w:pPr>
              <w:pStyle w:val="TableTextLeft"/>
            </w:pPr>
            <w:r w:rsidRPr="00A21459">
              <w:t>The operator of an Australian CS facility that is not systemically important in Australia and is not strongly connected to th</w:t>
            </w:r>
            <w:r w:rsidR="00F9694D">
              <w:t>e Australian financial system.</w:t>
            </w:r>
          </w:p>
        </w:tc>
      </w:tr>
      <w:tr w:rsidR="00675FF0" w:rsidRPr="00A21459" w14:paraId="23038BFB"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6EDCEEB4" w14:textId="27412BB6" w:rsidR="00675FF0" w:rsidRPr="000706DA" w:rsidRDefault="00675FF0" w:rsidP="000706DA">
            <w:pPr>
              <w:pStyle w:val="TableRowHeadingLeft"/>
            </w:pPr>
            <w:r w:rsidRPr="000706DA">
              <w:t>CS facility licensee</w:t>
            </w:r>
            <w:r w:rsidR="0040383F">
              <w:t>:</w:t>
            </w:r>
          </w:p>
          <w:p w14:paraId="2CBE657B" w14:textId="77777777" w:rsidR="00675FF0" w:rsidRPr="000706DA" w:rsidRDefault="00675FF0" w:rsidP="000706DA">
            <w:pPr>
              <w:pStyle w:val="TableRowHeadingLeft"/>
            </w:pPr>
            <w:r w:rsidRPr="000706DA">
              <w:t>Tier 4: clears and settles trades in its own ordinary shares only</w:t>
            </w:r>
          </w:p>
        </w:tc>
        <w:tc>
          <w:tcPr>
            <w:tcW w:w="6804" w:type="dxa"/>
            <w:tcBorders>
              <w:top w:val="single" w:sz="2" w:space="0" w:color="1F497D" w:themeColor="text2"/>
              <w:bottom w:val="single" w:sz="2" w:space="0" w:color="1F497D" w:themeColor="text2"/>
            </w:tcBorders>
          </w:tcPr>
          <w:p w14:paraId="1F47DD5A" w14:textId="77777777" w:rsidR="00675FF0" w:rsidRPr="00A21459" w:rsidRDefault="00675FF0" w:rsidP="000706DA">
            <w:pPr>
              <w:pStyle w:val="TableTextLeft"/>
            </w:pPr>
            <w:r w:rsidRPr="00A21459">
              <w:t>The operator of an Australian CS facility for the purposes of clearing and settling facility relating to its own shares only.</w:t>
            </w:r>
            <w:r w:rsidRPr="00A21459">
              <w:rPr>
                <w:rStyle w:val="FootnoteReference"/>
                <w:rFonts w:asciiTheme="minorHAnsi" w:hAnsiTheme="minorHAnsi"/>
                <w:sz w:val="22"/>
                <w:szCs w:val="22"/>
              </w:rPr>
              <w:footnoteReference w:id="6"/>
            </w:r>
            <w:r w:rsidRPr="00A21459">
              <w:t xml:space="preserve"> </w:t>
            </w:r>
          </w:p>
        </w:tc>
      </w:tr>
      <w:tr w:rsidR="00675FF0" w:rsidRPr="00A21459" w14:paraId="66FF9C5A" w14:textId="77777777" w:rsidTr="00494432">
        <w:tc>
          <w:tcPr>
            <w:tcW w:w="2376" w:type="dxa"/>
            <w:tcBorders>
              <w:top w:val="single" w:sz="2" w:space="0" w:color="1F497D" w:themeColor="text2"/>
              <w:bottom w:val="single" w:sz="2" w:space="0" w:color="auto"/>
            </w:tcBorders>
            <w:shd w:val="clear" w:color="auto" w:fill="DBE5F1" w:themeFill="accent1" w:themeFillTint="33"/>
          </w:tcPr>
          <w:p w14:paraId="5A1DDE32" w14:textId="77777777" w:rsidR="00675FF0" w:rsidRPr="000706DA" w:rsidRDefault="00675FF0" w:rsidP="000706DA">
            <w:pPr>
              <w:pStyle w:val="TableRowHeadingLeft"/>
            </w:pPr>
            <w:r w:rsidRPr="000706DA">
              <w:t>Exempt CS facility licensee</w:t>
            </w:r>
          </w:p>
        </w:tc>
        <w:tc>
          <w:tcPr>
            <w:tcW w:w="6804" w:type="dxa"/>
            <w:tcBorders>
              <w:top w:val="single" w:sz="2" w:space="0" w:color="1F497D" w:themeColor="text2"/>
              <w:bottom w:val="single" w:sz="2" w:space="0" w:color="auto"/>
            </w:tcBorders>
          </w:tcPr>
          <w:p w14:paraId="46E1FEFA" w14:textId="77777777" w:rsidR="00675FF0" w:rsidRPr="00A21459" w:rsidRDefault="00675FF0" w:rsidP="000706DA">
            <w:pPr>
              <w:pStyle w:val="TableTextLeft"/>
            </w:pPr>
            <w:r w:rsidRPr="00A21459">
              <w:t>A facility exempted from Part 7.2 under subsection 820C(1) of the Corporations Act</w:t>
            </w:r>
          </w:p>
        </w:tc>
      </w:tr>
    </w:tbl>
    <w:p w14:paraId="44E63EF6" w14:textId="77777777" w:rsidR="003943C6" w:rsidRDefault="003943C6">
      <w:pPr>
        <w:rPr>
          <w:b/>
          <w:bCs/>
        </w:rPr>
      </w:pPr>
      <w:r>
        <w:rPr>
          <w:b/>
          <w:bCs/>
        </w:rPr>
        <w:br w:type="page"/>
      </w:r>
    </w:p>
    <w:p w14:paraId="500A3257" w14:textId="145D40D7" w:rsidR="003943C6" w:rsidRDefault="003943C6" w:rsidP="003943C6">
      <w:pPr>
        <w:pStyle w:val="TableMainHeadingCont"/>
      </w:pPr>
      <w:r>
        <w:t xml:space="preserve">Table </w:t>
      </w:r>
      <w:r w:rsidR="00A31BDC">
        <w:t>3</w:t>
      </w:r>
      <w:r>
        <w:t>:</w:t>
      </w:r>
      <w:r>
        <w:tab/>
        <w:t>Proposed industry subsector definitions (continued)</w:t>
      </w:r>
    </w:p>
    <w:tbl>
      <w:tblPr>
        <w:tblW w:w="0" w:type="auto"/>
        <w:tblLayout w:type="fixed"/>
        <w:tblLook w:val="04A0" w:firstRow="1" w:lastRow="0" w:firstColumn="1" w:lastColumn="0" w:noHBand="0" w:noVBand="1"/>
      </w:tblPr>
      <w:tblGrid>
        <w:gridCol w:w="2376"/>
        <w:gridCol w:w="6804"/>
      </w:tblGrid>
      <w:tr w:rsidR="003943C6" w:rsidRPr="00A13968" w14:paraId="08B88E00" w14:textId="77777777" w:rsidTr="0040383F">
        <w:trPr>
          <w:trHeight w:val="308"/>
        </w:trPr>
        <w:tc>
          <w:tcPr>
            <w:tcW w:w="2376" w:type="dxa"/>
            <w:tcBorders>
              <w:bottom w:val="single" w:sz="2" w:space="0" w:color="FFFFFF" w:themeColor="background1"/>
              <w:right w:val="single" w:sz="2" w:space="0" w:color="FFFFFF" w:themeColor="background1"/>
            </w:tcBorders>
            <w:shd w:val="clear" w:color="auto" w:fill="1F497D" w:themeFill="text2"/>
          </w:tcPr>
          <w:p w14:paraId="07C83C86" w14:textId="77777777" w:rsidR="003943C6" w:rsidRPr="00A13968" w:rsidRDefault="003943C6" w:rsidP="00902D9F">
            <w:pPr>
              <w:pStyle w:val="TableColumnHeadingLeft"/>
            </w:pPr>
            <w:r w:rsidRPr="00A13968">
              <w:t>Industry subsector</w:t>
            </w:r>
          </w:p>
        </w:tc>
        <w:tc>
          <w:tcPr>
            <w:tcW w:w="6804" w:type="dxa"/>
            <w:tcBorders>
              <w:left w:val="single" w:sz="2" w:space="0" w:color="FFFFFF" w:themeColor="background1"/>
              <w:bottom w:val="single" w:sz="2" w:space="0" w:color="FFFFFF" w:themeColor="background1"/>
            </w:tcBorders>
            <w:shd w:val="clear" w:color="auto" w:fill="1F497D" w:themeFill="text2"/>
          </w:tcPr>
          <w:p w14:paraId="27C697C1" w14:textId="77777777" w:rsidR="003943C6" w:rsidRPr="00A13968" w:rsidRDefault="003943C6" w:rsidP="00902D9F">
            <w:pPr>
              <w:pStyle w:val="TableColumnHeadingLeft"/>
            </w:pPr>
            <w:r w:rsidRPr="00A13968">
              <w:t>Proposed definitions</w:t>
            </w:r>
            <w:r w:rsidRPr="00A13968">
              <w:tab/>
            </w:r>
          </w:p>
        </w:tc>
      </w:tr>
      <w:tr w:rsidR="003943C6" w:rsidRPr="00A21459" w14:paraId="5C146A1D" w14:textId="77777777" w:rsidTr="0040383F">
        <w:tc>
          <w:tcPr>
            <w:tcW w:w="9180" w:type="dxa"/>
            <w:gridSpan w:val="2"/>
            <w:tcBorders>
              <w:top w:val="single" w:sz="2" w:space="0" w:color="FFFFFF" w:themeColor="background1"/>
              <w:bottom w:val="single" w:sz="2" w:space="0" w:color="1F497D" w:themeColor="text2"/>
            </w:tcBorders>
            <w:shd w:val="clear" w:color="auto" w:fill="8DB3E2" w:themeFill="text2" w:themeFillTint="66"/>
          </w:tcPr>
          <w:p w14:paraId="2B2C4309" w14:textId="77777777" w:rsidR="003943C6" w:rsidRPr="00A21459" w:rsidRDefault="003943C6" w:rsidP="00EA6339">
            <w:pPr>
              <w:pStyle w:val="TableColumnHeadingLeft-Black"/>
            </w:pPr>
            <w:r w:rsidRPr="00A21459">
              <w:t>Market Infrastructure and Intermediaries</w:t>
            </w:r>
            <w:r>
              <w:t xml:space="preserve"> (continued)</w:t>
            </w:r>
          </w:p>
        </w:tc>
      </w:tr>
      <w:tr w:rsidR="00675FF0" w:rsidRPr="00A21459" w14:paraId="1AD20464"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71E193C" w14:textId="34B2A810" w:rsidR="00675FF0" w:rsidRPr="009F72FC" w:rsidRDefault="00675FF0" w:rsidP="009F72FC">
            <w:pPr>
              <w:pStyle w:val="TableRowHeadingLeft"/>
            </w:pPr>
            <w:r w:rsidRPr="009F72FC">
              <w:t>Market participant</w:t>
            </w:r>
          </w:p>
        </w:tc>
        <w:tc>
          <w:tcPr>
            <w:tcW w:w="6804" w:type="dxa"/>
            <w:tcBorders>
              <w:top w:val="single" w:sz="2" w:space="0" w:color="1F497D" w:themeColor="text2"/>
              <w:bottom w:val="single" w:sz="2" w:space="0" w:color="1F497D" w:themeColor="text2"/>
            </w:tcBorders>
          </w:tcPr>
          <w:p w14:paraId="58BB0C41" w14:textId="77777777" w:rsidR="00675FF0" w:rsidRPr="009F72FC" w:rsidRDefault="00675FF0" w:rsidP="009F72FC">
            <w:pPr>
              <w:pStyle w:val="TableTextLeft"/>
            </w:pPr>
            <w:r w:rsidRPr="009F72FC">
              <w:t>An Australian financial services licensee who is a participant in relation to a financial market, as defined in section 761A of the Corporations Act.</w:t>
            </w:r>
            <w:r w:rsidRPr="009F72FC" w:rsidDel="00F83551">
              <w:rPr>
                <w:rStyle w:val="FootnoteReference"/>
                <w:vertAlign w:val="baseline"/>
              </w:rPr>
              <w:t xml:space="preserve"> </w:t>
            </w:r>
          </w:p>
        </w:tc>
      </w:tr>
      <w:tr w:rsidR="00675FF0" w:rsidRPr="00A21459" w14:paraId="64746AB0"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05FF1D97" w14:textId="77777777" w:rsidR="00675FF0" w:rsidRPr="009F72FC" w:rsidRDefault="00675FF0" w:rsidP="009F72FC">
            <w:pPr>
              <w:pStyle w:val="TableRowHeadingLeft"/>
            </w:pPr>
            <w:r w:rsidRPr="009F72FC">
              <w:t>Securities dealer</w:t>
            </w:r>
          </w:p>
        </w:tc>
        <w:tc>
          <w:tcPr>
            <w:tcW w:w="6804" w:type="dxa"/>
            <w:tcBorders>
              <w:top w:val="single" w:sz="2" w:space="0" w:color="1F497D" w:themeColor="text2"/>
              <w:bottom w:val="single" w:sz="2" w:space="0" w:color="1F497D" w:themeColor="text2"/>
            </w:tcBorders>
          </w:tcPr>
          <w:p w14:paraId="271ED23E" w14:textId="77777777" w:rsidR="00675FF0" w:rsidRPr="009F72FC" w:rsidRDefault="00675FF0" w:rsidP="009F72FC">
            <w:pPr>
              <w:pStyle w:val="TableTextLeft"/>
            </w:pPr>
            <w:r w:rsidRPr="009F72FC">
              <w:t>An Australian financial services licensee authorised to deal, arrange, issue and apply in securities that are in a class of products that are traded on a licensed market but is not a participant as defined in s761A of the Corporations Act.</w:t>
            </w:r>
          </w:p>
        </w:tc>
      </w:tr>
      <w:tr w:rsidR="00675FF0" w:rsidRPr="00A21459" w14:paraId="4FEFA8E5"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612DDDCB" w14:textId="77777777" w:rsidR="00675FF0" w:rsidRPr="009F72FC" w:rsidRDefault="00675FF0" w:rsidP="009F72FC">
            <w:pPr>
              <w:pStyle w:val="TableRowHeadingLeft"/>
            </w:pPr>
            <w:r w:rsidRPr="009F72FC">
              <w:t>Retail OTC derivative issuers</w:t>
            </w:r>
          </w:p>
        </w:tc>
        <w:tc>
          <w:tcPr>
            <w:tcW w:w="6804" w:type="dxa"/>
            <w:tcBorders>
              <w:top w:val="single" w:sz="2" w:space="0" w:color="1F497D" w:themeColor="text2"/>
              <w:bottom w:val="single" w:sz="2" w:space="0" w:color="1F497D" w:themeColor="text2"/>
            </w:tcBorders>
          </w:tcPr>
          <w:p w14:paraId="37A29840" w14:textId="77777777" w:rsidR="00675FF0" w:rsidRPr="00A21459" w:rsidRDefault="00675FF0" w:rsidP="009F72FC">
            <w:pPr>
              <w:pStyle w:val="TableTextLeft"/>
            </w:pPr>
            <w:r w:rsidRPr="00A21459">
              <w:t>An entity that:</w:t>
            </w:r>
          </w:p>
          <w:p w14:paraId="73B7B17A" w14:textId="77777777" w:rsidR="00675FF0" w:rsidRPr="00A21459" w:rsidRDefault="00675FF0" w:rsidP="009F72FC">
            <w:pPr>
              <w:pStyle w:val="TableTextLeft-AlphaNumbering"/>
              <w:numPr>
                <w:ilvl w:val="0"/>
                <w:numId w:val="22"/>
              </w:numPr>
            </w:pPr>
            <w:r w:rsidRPr="00A21459">
              <w:t>holds an Australian financial services licence with a licence authorisation to provide</w:t>
            </w:r>
            <w:r w:rsidRPr="00A21459" w:rsidDel="000529C7">
              <w:t xml:space="preserve"> </w:t>
            </w:r>
            <w:r w:rsidRPr="00A21459">
              <w:t>the following financial services to retail investors:</w:t>
            </w:r>
          </w:p>
          <w:p w14:paraId="69209A8A" w14:textId="77777777" w:rsidR="00675FF0" w:rsidRPr="00A21459" w:rsidRDefault="00675FF0" w:rsidP="009F72FC">
            <w:pPr>
              <w:pStyle w:val="TableTextLeft-AlphaNumbering"/>
            </w:pPr>
            <w:r w:rsidRPr="00A21459">
              <w:t>dealing in a financial product by issuing derivatives; and</w:t>
            </w:r>
          </w:p>
          <w:p w14:paraId="22D59EB0" w14:textId="77777777" w:rsidR="00675FF0" w:rsidRPr="00A21459" w:rsidRDefault="00675FF0" w:rsidP="009F72FC">
            <w:pPr>
              <w:pStyle w:val="TableTextLeft-AlphaNumbering"/>
            </w:pPr>
            <w:r w:rsidRPr="00A21459">
              <w:t>making a market for derivatives; and</w:t>
            </w:r>
          </w:p>
          <w:p w14:paraId="783597C2" w14:textId="77777777" w:rsidR="00675FF0" w:rsidRPr="00A21459" w:rsidRDefault="00675FF0" w:rsidP="009F72FC">
            <w:pPr>
              <w:pStyle w:val="TableTextLeft-AlphaNumbering"/>
            </w:pPr>
            <w:r w:rsidRPr="00A21459">
              <w:t>is not a body regulated by APRA; a market participant; or a participant in a CS facility; and</w:t>
            </w:r>
          </w:p>
          <w:p w14:paraId="3B0BD4CE" w14:textId="77777777" w:rsidR="00675FF0" w:rsidRPr="00A21459" w:rsidRDefault="00675FF0" w:rsidP="009F72FC">
            <w:pPr>
              <w:pStyle w:val="TableTextLeft-AlphaNumbering"/>
            </w:pPr>
            <w:r w:rsidRPr="00A21459">
              <w:t>promotes that they provide margin Foreign Exchange, Contract For Difference, binary options or other retail OTC derivative services.</w:t>
            </w:r>
          </w:p>
        </w:tc>
      </w:tr>
      <w:tr w:rsidR="00675FF0" w:rsidRPr="00A21459" w14:paraId="0729B6FA"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382F2CAA" w14:textId="77777777" w:rsidR="00675FF0" w:rsidRPr="009F72FC" w:rsidRDefault="00675FF0" w:rsidP="009F72FC">
            <w:pPr>
              <w:pStyle w:val="TableRowHeadingLeft"/>
            </w:pPr>
            <w:r w:rsidRPr="009F72FC">
              <w:t>Wholesale electricity dealer</w:t>
            </w:r>
          </w:p>
        </w:tc>
        <w:tc>
          <w:tcPr>
            <w:tcW w:w="6804" w:type="dxa"/>
            <w:tcBorders>
              <w:top w:val="single" w:sz="2" w:space="0" w:color="1F497D" w:themeColor="text2"/>
              <w:bottom w:val="single" w:sz="2" w:space="0" w:color="1F497D" w:themeColor="text2"/>
            </w:tcBorders>
          </w:tcPr>
          <w:p w14:paraId="04D13693" w14:textId="77777777" w:rsidR="00675FF0" w:rsidRPr="00A21459" w:rsidRDefault="00675FF0" w:rsidP="009F72FC">
            <w:pPr>
              <w:pStyle w:val="TableTextLeft"/>
            </w:pPr>
            <w:r w:rsidRPr="00A21459">
              <w:t xml:space="preserve">An entity that: </w:t>
            </w:r>
          </w:p>
          <w:p w14:paraId="69275D72" w14:textId="77777777" w:rsidR="00675FF0" w:rsidRPr="003943C6" w:rsidRDefault="00675FF0" w:rsidP="009F72FC">
            <w:pPr>
              <w:pStyle w:val="TableTextLeft-AlphaNumbering"/>
              <w:numPr>
                <w:ilvl w:val="0"/>
                <w:numId w:val="23"/>
              </w:numPr>
            </w:pPr>
            <w:r w:rsidRPr="003943C6">
              <w:t>issues derivatives; and/or</w:t>
            </w:r>
          </w:p>
          <w:p w14:paraId="2638D986" w14:textId="77777777" w:rsidR="00675FF0" w:rsidRPr="003943C6" w:rsidRDefault="00675FF0" w:rsidP="009F72FC">
            <w:pPr>
              <w:pStyle w:val="TableTextLeft-AlphaNumbering"/>
            </w:pPr>
            <w:r w:rsidRPr="003943C6">
              <w:t xml:space="preserve">makes a market for derivatives; and </w:t>
            </w:r>
          </w:p>
          <w:p w14:paraId="6DFDADDD" w14:textId="77777777" w:rsidR="00675FF0" w:rsidRPr="003943C6" w:rsidRDefault="00675FF0" w:rsidP="009F72FC">
            <w:pPr>
              <w:pStyle w:val="TableTextLeft-AlphaNumbering"/>
            </w:pPr>
            <w:r w:rsidRPr="003943C6">
              <w:t>incurs liabilities by dealing or making a market in OTC derivatives relating to the wholesale price of electricity as part of the ordinary course of their business; and</w:t>
            </w:r>
          </w:p>
          <w:p w14:paraId="3803DC5D" w14:textId="77777777" w:rsidR="00675FF0" w:rsidRPr="00A21459" w:rsidRDefault="00675FF0" w:rsidP="009F72FC">
            <w:pPr>
              <w:pStyle w:val="TableTextLeft-AlphaNumbering"/>
            </w:pPr>
            <w:r w:rsidRPr="003943C6">
              <w:t>is not a body regulated by APRA; a market participant or a participant in a CS facility.</w:t>
            </w:r>
          </w:p>
        </w:tc>
      </w:tr>
      <w:tr w:rsidR="00675FF0" w:rsidRPr="00A21459" w14:paraId="27DEE03A" w14:textId="77777777" w:rsidTr="00494432">
        <w:tc>
          <w:tcPr>
            <w:tcW w:w="2376" w:type="dxa"/>
            <w:tcBorders>
              <w:top w:val="single" w:sz="2" w:space="0" w:color="1F497D" w:themeColor="text2"/>
              <w:bottom w:val="single" w:sz="2" w:space="0" w:color="auto"/>
            </w:tcBorders>
            <w:shd w:val="clear" w:color="auto" w:fill="DBE5F1" w:themeFill="accent1" w:themeFillTint="33"/>
          </w:tcPr>
          <w:p w14:paraId="665D4A78" w14:textId="1B03594F" w:rsidR="00675FF0" w:rsidRPr="009F72FC" w:rsidRDefault="00675FF0" w:rsidP="009F72FC">
            <w:pPr>
              <w:pStyle w:val="TableRowHeadingLeft"/>
            </w:pPr>
            <w:r w:rsidRPr="009F72FC">
              <w:t>Investment bank</w:t>
            </w:r>
          </w:p>
        </w:tc>
        <w:tc>
          <w:tcPr>
            <w:tcW w:w="6804" w:type="dxa"/>
            <w:tcBorders>
              <w:top w:val="single" w:sz="2" w:space="0" w:color="1F497D" w:themeColor="text2"/>
              <w:bottom w:val="single" w:sz="2" w:space="0" w:color="auto"/>
            </w:tcBorders>
          </w:tcPr>
          <w:p w14:paraId="7E206B5F" w14:textId="77777777" w:rsidR="00675FF0" w:rsidRPr="00673E48" w:rsidRDefault="00675FF0" w:rsidP="009F72FC">
            <w:pPr>
              <w:pStyle w:val="TableTextNumbering"/>
              <w:rPr>
                <w:szCs w:val="19"/>
              </w:rPr>
            </w:pPr>
            <w:r w:rsidRPr="00673E48">
              <w:rPr>
                <w:szCs w:val="19"/>
              </w:rPr>
              <w:t>A person who:</w:t>
            </w:r>
          </w:p>
          <w:p w14:paraId="3CC41AF7" w14:textId="77777777" w:rsidR="00675FF0" w:rsidRPr="00673E48" w:rsidRDefault="00675FF0" w:rsidP="009F72FC">
            <w:pPr>
              <w:pStyle w:val="TableTextLeft-AlphaNumberingIndent"/>
            </w:pPr>
            <w:r w:rsidRPr="00673E48">
              <w:t xml:space="preserve">is an Australian financial services licensee; or </w:t>
            </w:r>
          </w:p>
          <w:p w14:paraId="4A4B4E85" w14:textId="77777777" w:rsidR="00675FF0" w:rsidRPr="00673E48" w:rsidRDefault="00675FF0" w:rsidP="009F72FC">
            <w:pPr>
              <w:pStyle w:val="TableTextLeft-AlphaNumberingIndent"/>
            </w:pPr>
            <w:r w:rsidRPr="00673E48">
              <w:t xml:space="preserve">carries on a financial services business in Australia but is exempt from s911A(1) of the Corporations Act; </w:t>
            </w:r>
          </w:p>
          <w:p w14:paraId="46102785" w14:textId="77777777" w:rsidR="00675FF0" w:rsidRPr="00673E48" w:rsidRDefault="00675FF0" w:rsidP="009F72FC">
            <w:pPr>
              <w:pStyle w:val="TableTextIndented"/>
              <w:rPr>
                <w:szCs w:val="19"/>
              </w:rPr>
            </w:pPr>
            <w:r w:rsidRPr="00673E48">
              <w:rPr>
                <w:szCs w:val="19"/>
              </w:rPr>
              <w:t>and who provides, or holds out that it will provide, the following financial services:</w:t>
            </w:r>
          </w:p>
          <w:p w14:paraId="74C90609" w14:textId="77777777" w:rsidR="00675FF0" w:rsidRPr="00673E48" w:rsidRDefault="00675FF0" w:rsidP="009F72FC">
            <w:pPr>
              <w:pStyle w:val="TableTextLeft-AlphaNumberingIndent"/>
            </w:pPr>
            <w:r w:rsidRPr="00673E48">
              <w:t>financial product advice to wholesale clients in the course of advising on any of the following:</w:t>
            </w:r>
          </w:p>
          <w:p w14:paraId="5EF9769D" w14:textId="77777777" w:rsidR="00675FF0" w:rsidRPr="00673E48" w:rsidRDefault="00675FF0" w:rsidP="009F72FC">
            <w:pPr>
              <w:pStyle w:val="TableTextLeft-Roman"/>
            </w:pPr>
            <w:r w:rsidRPr="00673E48">
              <w:t xml:space="preserve">takeover bids or merger proposals; </w:t>
            </w:r>
          </w:p>
          <w:p w14:paraId="23483BBB" w14:textId="77777777" w:rsidR="00675FF0" w:rsidRPr="00673E48" w:rsidRDefault="00675FF0" w:rsidP="009F72FC">
            <w:pPr>
              <w:pStyle w:val="TableTextLeft-Roman"/>
            </w:pPr>
            <w:r w:rsidRPr="00673E48">
              <w:t>the structure, pricing, acquisition or disposal of assets or enterprises;</w:t>
            </w:r>
          </w:p>
          <w:p w14:paraId="25282E7B" w14:textId="77777777" w:rsidR="00675FF0" w:rsidRPr="00673E48" w:rsidRDefault="00675FF0" w:rsidP="009F72FC">
            <w:pPr>
              <w:pStyle w:val="TableTextLeft-Roman"/>
            </w:pPr>
            <w:r w:rsidRPr="00673E48">
              <w:t>raising or reducing capital through the issue or acquisition of equity or debt;</w:t>
            </w:r>
          </w:p>
          <w:p w14:paraId="1843167E" w14:textId="77777777" w:rsidR="00675FF0" w:rsidRDefault="00675FF0" w:rsidP="009F72FC">
            <w:pPr>
              <w:pStyle w:val="TableTextLeft-Roman"/>
            </w:pPr>
            <w:r w:rsidRPr="00673E48">
              <w:t>managing risk through</w:t>
            </w:r>
            <w:r w:rsidR="00673E48">
              <w:t xml:space="preserve"> dealing in OTC derivatives; or</w:t>
            </w:r>
          </w:p>
          <w:p w14:paraId="4BBEA1D7" w14:textId="77777777" w:rsidR="00EA6339" w:rsidRPr="00673E48" w:rsidRDefault="00EA6339" w:rsidP="009F72FC">
            <w:pPr>
              <w:pStyle w:val="TableTextLeft-AlphaNumberingIndent"/>
            </w:pPr>
            <w:r w:rsidRPr="00673E48">
              <w:t>by doing either of the following:</w:t>
            </w:r>
          </w:p>
          <w:p w14:paraId="6B538846" w14:textId="77777777" w:rsidR="00EA6339" w:rsidRPr="00673E48" w:rsidRDefault="00EA6339" w:rsidP="009F72FC">
            <w:pPr>
              <w:pStyle w:val="TableTextLeft-Roman"/>
              <w:numPr>
                <w:ilvl w:val="0"/>
                <w:numId w:val="30"/>
              </w:numPr>
            </w:pPr>
            <w:r w:rsidRPr="00673E48">
              <w:t>dealing in a financial product by underwriting the issue, acquisition or sale of fin</w:t>
            </w:r>
            <w:r>
              <w:t>ancial products;</w:t>
            </w:r>
          </w:p>
          <w:p w14:paraId="2D0EB267" w14:textId="7E9FD718" w:rsidR="00EA6339" w:rsidRPr="00673E48" w:rsidRDefault="00EA6339" w:rsidP="009F72FC">
            <w:pPr>
              <w:pStyle w:val="TableTextLeft-Roman"/>
            </w:pPr>
            <w:r w:rsidRPr="00673E48">
              <w:t>dealing in financial products in the course of securities lending arrangements or under a securities repurchase agreement for the acquis</w:t>
            </w:r>
            <w:r>
              <w:t>ition of particular securities.</w:t>
            </w:r>
          </w:p>
        </w:tc>
      </w:tr>
    </w:tbl>
    <w:p w14:paraId="3FB46621" w14:textId="3C859104" w:rsidR="00EA6339" w:rsidRDefault="00EA6339" w:rsidP="00EA6339">
      <w:pPr>
        <w:pStyle w:val="TableMainHeadingCont"/>
      </w:pPr>
      <w:r>
        <w:t xml:space="preserve">Table </w:t>
      </w:r>
      <w:r w:rsidR="00A31BDC">
        <w:t>3</w:t>
      </w:r>
      <w:r>
        <w:t>:</w:t>
      </w:r>
      <w:r>
        <w:tab/>
        <w:t>Proposed industry subsector definitions (continued)</w:t>
      </w:r>
    </w:p>
    <w:tbl>
      <w:tblPr>
        <w:tblW w:w="0" w:type="auto"/>
        <w:tblLayout w:type="fixed"/>
        <w:tblLook w:val="04A0" w:firstRow="1" w:lastRow="0" w:firstColumn="1" w:lastColumn="0" w:noHBand="0" w:noVBand="1"/>
      </w:tblPr>
      <w:tblGrid>
        <w:gridCol w:w="2376"/>
        <w:gridCol w:w="6804"/>
      </w:tblGrid>
      <w:tr w:rsidR="00673E48" w:rsidRPr="00A13968" w14:paraId="645455AB" w14:textId="77777777" w:rsidTr="0040383F">
        <w:trPr>
          <w:trHeight w:val="308"/>
        </w:trPr>
        <w:tc>
          <w:tcPr>
            <w:tcW w:w="2376" w:type="dxa"/>
            <w:tcBorders>
              <w:bottom w:val="single" w:sz="2" w:space="0" w:color="FFFFFF" w:themeColor="background1"/>
              <w:right w:val="single" w:sz="2" w:space="0" w:color="FFFFFF" w:themeColor="background1"/>
            </w:tcBorders>
            <w:shd w:val="clear" w:color="auto" w:fill="1F497D" w:themeFill="text2"/>
          </w:tcPr>
          <w:p w14:paraId="698F3B81" w14:textId="24C9FACC" w:rsidR="00673E48" w:rsidRPr="00A13968" w:rsidRDefault="00673E48" w:rsidP="00902D9F">
            <w:pPr>
              <w:pStyle w:val="TableColumnHeadingLeft"/>
            </w:pPr>
            <w:r w:rsidRPr="00A13968">
              <w:t>Industry subsector</w:t>
            </w:r>
          </w:p>
        </w:tc>
        <w:tc>
          <w:tcPr>
            <w:tcW w:w="6804" w:type="dxa"/>
            <w:tcBorders>
              <w:left w:val="single" w:sz="2" w:space="0" w:color="FFFFFF" w:themeColor="background1"/>
              <w:bottom w:val="single" w:sz="2" w:space="0" w:color="FFFFFF" w:themeColor="background1"/>
            </w:tcBorders>
            <w:shd w:val="clear" w:color="auto" w:fill="1F497D" w:themeFill="text2"/>
          </w:tcPr>
          <w:p w14:paraId="36EAAF50" w14:textId="6ED2FC52" w:rsidR="00673E48" w:rsidRPr="00A13968" w:rsidRDefault="00EA6339" w:rsidP="00902D9F">
            <w:pPr>
              <w:pStyle w:val="TableColumnHeadingLeft"/>
            </w:pPr>
            <w:r>
              <w:t>Proposed definitions</w:t>
            </w:r>
          </w:p>
        </w:tc>
      </w:tr>
      <w:tr w:rsidR="00673E48" w:rsidRPr="00A21459" w14:paraId="26608FC5" w14:textId="77777777" w:rsidTr="0040383F">
        <w:tc>
          <w:tcPr>
            <w:tcW w:w="9180" w:type="dxa"/>
            <w:gridSpan w:val="2"/>
            <w:tcBorders>
              <w:top w:val="single" w:sz="2" w:space="0" w:color="FFFFFF" w:themeColor="background1"/>
              <w:bottom w:val="single" w:sz="2" w:space="0" w:color="1F497D" w:themeColor="text2"/>
            </w:tcBorders>
            <w:shd w:val="clear" w:color="auto" w:fill="8DB3E2" w:themeFill="text2" w:themeFillTint="66"/>
          </w:tcPr>
          <w:p w14:paraId="12677783" w14:textId="77777777" w:rsidR="00673E48" w:rsidRPr="00A21459" w:rsidRDefault="00673E48" w:rsidP="00EA6339">
            <w:pPr>
              <w:pStyle w:val="TableColumnHeadingLeft-Black"/>
            </w:pPr>
            <w:r w:rsidRPr="00A21459">
              <w:t>Market Infrastructure and Intermediaries</w:t>
            </w:r>
            <w:r>
              <w:t xml:space="preserve"> (continued)</w:t>
            </w:r>
          </w:p>
        </w:tc>
      </w:tr>
      <w:tr w:rsidR="00673E48" w:rsidRPr="00A21459" w14:paraId="43776556" w14:textId="77777777" w:rsidTr="001D5B13">
        <w:tc>
          <w:tcPr>
            <w:tcW w:w="2376" w:type="dxa"/>
            <w:tcBorders>
              <w:top w:val="single" w:sz="2" w:space="0" w:color="1F497D" w:themeColor="text2"/>
              <w:bottom w:val="single" w:sz="2" w:space="0" w:color="1F497D" w:themeColor="text2"/>
            </w:tcBorders>
            <w:shd w:val="clear" w:color="auto" w:fill="DBE5F1" w:themeFill="accent1" w:themeFillTint="33"/>
          </w:tcPr>
          <w:p w14:paraId="1DB9142E" w14:textId="72F6E802" w:rsidR="00EA6339" w:rsidRPr="000706DA" w:rsidRDefault="00EA6339" w:rsidP="00EA6339">
            <w:pPr>
              <w:pStyle w:val="TableRowHeadingLeft"/>
            </w:pPr>
            <w:r w:rsidRPr="000706DA">
              <w:t>Investment bank</w:t>
            </w:r>
            <w:r>
              <w:br/>
              <w:t>(continued)</w:t>
            </w:r>
          </w:p>
        </w:tc>
        <w:tc>
          <w:tcPr>
            <w:tcW w:w="6804" w:type="dxa"/>
            <w:tcBorders>
              <w:top w:val="single" w:sz="2" w:space="0" w:color="1F497D" w:themeColor="text2"/>
              <w:bottom w:val="single" w:sz="2" w:space="0" w:color="1F497D" w:themeColor="text2"/>
            </w:tcBorders>
          </w:tcPr>
          <w:p w14:paraId="7C569F5E" w14:textId="77777777" w:rsidR="00673E48" w:rsidRPr="00673E48" w:rsidRDefault="00673E48" w:rsidP="00673E48">
            <w:pPr>
              <w:pStyle w:val="TableTextNumbering"/>
            </w:pPr>
            <w:r w:rsidRPr="00673E48">
              <w:t>For the purposes of this definition:</w:t>
            </w:r>
          </w:p>
          <w:p w14:paraId="222CD981" w14:textId="77777777" w:rsidR="00673E48" w:rsidRPr="00673E48" w:rsidRDefault="00673E48" w:rsidP="009F72FC">
            <w:pPr>
              <w:pStyle w:val="TableTextLeft-AlphaNumberingIndent"/>
              <w:numPr>
                <w:ilvl w:val="0"/>
                <w:numId w:val="25"/>
              </w:numPr>
            </w:pPr>
            <w:r w:rsidRPr="00673E48">
              <w:rPr>
                <w:b/>
                <w:i/>
              </w:rPr>
              <w:t>OTC derivative</w:t>
            </w:r>
            <w:r w:rsidRPr="00673E48">
              <w:t xml:space="preserve"> means a derivative that is not able to be traded on a financial market.</w:t>
            </w:r>
          </w:p>
          <w:p w14:paraId="2DA0E32F" w14:textId="02B14004" w:rsidR="00673E48" w:rsidRPr="00673E48" w:rsidRDefault="00673E48" w:rsidP="00673E48">
            <w:pPr>
              <w:pStyle w:val="TableTextNumbering"/>
            </w:pPr>
            <w:r w:rsidRPr="00673E48">
              <w:t>A person who is exempt from s911A(1) of the Corporations Act because of ASIC Class Order [CO 03/824] is not an investment bank for t</w:t>
            </w:r>
            <w:r w:rsidR="00EA6339">
              <w:t>he purposes of this definition.</w:t>
            </w:r>
          </w:p>
          <w:p w14:paraId="10385A31" w14:textId="77777777" w:rsidR="00673E48" w:rsidRPr="00673E48" w:rsidRDefault="00673E48" w:rsidP="00673E48">
            <w:pPr>
              <w:pStyle w:val="TableTextNumbering"/>
            </w:pPr>
            <w:r w:rsidRPr="00673E48">
              <w:t>For the purpose of paragraph (1), a person is taken to:</w:t>
            </w:r>
          </w:p>
          <w:p w14:paraId="5CE8D4A7" w14:textId="77777777" w:rsidR="00673E48" w:rsidRPr="00673E48" w:rsidRDefault="00673E48" w:rsidP="009F72FC">
            <w:pPr>
              <w:pStyle w:val="TableTextLeft-AlphaNumberingIndent"/>
              <w:numPr>
                <w:ilvl w:val="0"/>
                <w:numId w:val="26"/>
              </w:numPr>
            </w:pPr>
            <w:r w:rsidRPr="00673E48">
              <w:t>provide a financial service that is provided by any subsidiary of the person; and</w:t>
            </w:r>
          </w:p>
          <w:p w14:paraId="6047F463" w14:textId="6B32F61D" w:rsidR="00673E48" w:rsidRPr="00673E48" w:rsidRDefault="00673E48" w:rsidP="00673E48">
            <w:pPr>
              <w:pStyle w:val="TableTextLeft-AlphaNumberingIndent"/>
            </w:pPr>
            <w:r w:rsidRPr="00673E48">
              <w:t>hold out that it provides a financial service if the person holds out that the service is provided by a subsidiary of the person.</w:t>
            </w:r>
          </w:p>
        </w:tc>
      </w:tr>
      <w:tr w:rsidR="00675FF0" w:rsidRPr="00A21459" w14:paraId="1BDA3578" w14:textId="77777777" w:rsidTr="001D5B13">
        <w:tc>
          <w:tcPr>
            <w:tcW w:w="9180" w:type="dxa"/>
            <w:gridSpan w:val="2"/>
            <w:tcBorders>
              <w:top w:val="single" w:sz="2" w:space="0" w:color="1F497D" w:themeColor="text2"/>
              <w:bottom w:val="single" w:sz="2" w:space="0" w:color="1F497D" w:themeColor="text2"/>
            </w:tcBorders>
            <w:shd w:val="clear" w:color="auto" w:fill="8DB3E2" w:themeFill="text2" w:themeFillTint="66"/>
          </w:tcPr>
          <w:p w14:paraId="2C4CDD80" w14:textId="77777777" w:rsidR="00675FF0" w:rsidRPr="00A21459" w:rsidRDefault="00675FF0" w:rsidP="00EA6339">
            <w:pPr>
              <w:pStyle w:val="TableColumnHeadingLeft-Black"/>
            </w:pPr>
            <w:r w:rsidRPr="00A21459">
              <w:t>Financial advice</w:t>
            </w:r>
          </w:p>
        </w:tc>
      </w:tr>
      <w:tr w:rsidR="00675FF0" w:rsidRPr="00A21459" w14:paraId="0247704A"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06E2C5DC" w14:textId="1E1A7417" w:rsidR="00675FF0" w:rsidRPr="00A21459" w:rsidRDefault="00675FF0" w:rsidP="007135D9">
            <w:pPr>
              <w:pStyle w:val="TableRowHeadingLeft"/>
            </w:pPr>
            <w:r w:rsidRPr="00A21459">
              <w:t>Licensees that provide personal advice on Tier</w:t>
            </w:r>
            <w:r w:rsidR="007135D9">
              <w:t> </w:t>
            </w:r>
            <w:r w:rsidRPr="00A21459">
              <w:t>1 products to retail clients</w:t>
            </w:r>
          </w:p>
        </w:tc>
        <w:tc>
          <w:tcPr>
            <w:tcW w:w="6804" w:type="dxa"/>
            <w:tcBorders>
              <w:top w:val="single" w:sz="2" w:space="0" w:color="1F497D" w:themeColor="text2"/>
              <w:bottom w:val="single" w:sz="2" w:space="0" w:color="1F497D" w:themeColor="text2"/>
            </w:tcBorders>
          </w:tcPr>
          <w:p w14:paraId="44CD3EDF" w14:textId="77777777" w:rsidR="00675FF0" w:rsidRPr="00A21459" w:rsidRDefault="00675FF0" w:rsidP="00EA6339">
            <w:pPr>
              <w:pStyle w:val="TableTextLeft"/>
            </w:pPr>
            <w:r w:rsidRPr="00A21459">
              <w:t>An Australian financial services licensee that provides financial product advice, which is personal advice:</w:t>
            </w:r>
          </w:p>
          <w:p w14:paraId="10F1C276" w14:textId="77777777" w:rsidR="00675FF0" w:rsidRPr="00A21459" w:rsidRDefault="00675FF0" w:rsidP="009F72FC">
            <w:pPr>
              <w:pStyle w:val="TableTextLeft-AlphaNumbering"/>
              <w:numPr>
                <w:ilvl w:val="0"/>
                <w:numId w:val="27"/>
              </w:numPr>
            </w:pPr>
            <w:r w:rsidRPr="00A21459">
              <w:t xml:space="preserve">on all financial products other than general insurance products, consumer credit insurance (as defined in </w:t>
            </w:r>
            <w:proofErr w:type="spellStart"/>
            <w:r w:rsidRPr="00A21459">
              <w:t>reg</w:t>
            </w:r>
            <w:proofErr w:type="spellEnd"/>
            <w:r w:rsidRPr="00A21459">
              <w:t xml:space="preserve"> 7.1.15 of the Corporations regulations), basic deposit products and non-cash payment products; and</w:t>
            </w:r>
          </w:p>
          <w:p w14:paraId="25BDED5B" w14:textId="77777777" w:rsidR="00675FF0" w:rsidRPr="00A21459" w:rsidRDefault="00675FF0" w:rsidP="00EA6339">
            <w:pPr>
              <w:pStyle w:val="TableTextLeft-AlphaNumbering"/>
            </w:pPr>
            <w:r w:rsidRPr="00A21459">
              <w:t>where the client is not a wholesale client.</w:t>
            </w:r>
          </w:p>
        </w:tc>
      </w:tr>
      <w:tr w:rsidR="00675FF0" w:rsidRPr="00A21459" w14:paraId="0E4C2FA2"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103A675A" w14:textId="0B642CA1" w:rsidR="00675FF0" w:rsidRPr="00A21459" w:rsidRDefault="00675FF0" w:rsidP="007135D9">
            <w:pPr>
              <w:pStyle w:val="TableRowHeadingLeft"/>
            </w:pPr>
            <w:r w:rsidRPr="00A21459">
              <w:t>Licensees that provide personal advice to Tier</w:t>
            </w:r>
            <w:r w:rsidR="007135D9">
              <w:t> </w:t>
            </w:r>
            <w:r w:rsidRPr="00A21459">
              <w:t>2 products only to retail clients</w:t>
            </w:r>
          </w:p>
        </w:tc>
        <w:tc>
          <w:tcPr>
            <w:tcW w:w="6804" w:type="dxa"/>
            <w:tcBorders>
              <w:top w:val="single" w:sz="2" w:space="0" w:color="1F497D" w:themeColor="text2"/>
              <w:bottom w:val="single" w:sz="2" w:space="0" w:color="1F497D" w:themeColor="text2"/>
            </w:tcBorders>
          </w:tcPr>
          <w:p w14:paraId="2B9BAA4C" w14:textId="77777777" w:rsidR="00675FF0" w:rsidRPr="00A21459" w:rsidRDefault="00675FF0" w:rsidP="00EA6339">
            <w:pPr>
              <w:pStyle w:val="TableTextLeft"/>
            </w:pPr>
            <w:r w:rsidRPr="00A21459">
              <w:t>An Australian financial services licensee that provides financial product advice, which is personal advice:</w:t>
            </w:r>
          </w:p>
          <w:p w14:paraId="0DE10290" w14:textId="77777777" w:rsidR="00675FF0" w:rsidRPr="00A21459" w:rsidRDefault="00675FF0" w:rsidP="009F72FC">
            <w:pPr>
              <w:pStyle w:val="TableTextLeft-AlphaNumbering"/>
              <w:numPr>
                <w:ilvl w:val="0"/>
                <w:numId w:val="28"/>
              </w:numPr>
            </w:pPr>
            <w:r w:rsidRPr="00A21459">
              <w:t xml:space="preserve">on general insurance products, except for personal sickness and accident (as defined in </w:t>
            </w:r>
            <w:proofErr w:type="spellStart"/>
            <w:r w:rsidRPr="00A21459">
              <w:t>reg</w:t>
            </w:r>
            <w:proofErr w:type="spellEnd"/>
            <w:r w:rsidRPr="00A21459">
              <w:t xml:space="preserve"> 7.1.14 of the Corporations Regulations), consumer credit insurance (as defined in </w:t>
            </w:r>
            <w:proofErr w:type="spellStart"/>
            <w:r w:rsidRPr="00A21459">
              <w:t>reg</w:t>
            </w:r>
            <w:proofErr w:type="spellEnd"/>
            <w:r w:rsidRPr="00A21459">
              <w:t xml:space="preserve"> 7.1.15 of the Corporations Regulations), basic deposit products, non-cash payment products; and</w:t>
            </w:r>
          </w:p>
          <w:p w14:paraId="0C2BFB16" w14:textId="77777777" w:rsidR="00675FF0" w:rsidRPr="00A21459" w:rsidRDefault="00675FF0" w:rsidP="00EA6339">
            <w:pPr>
              <w:pStyle w:val="TableTextLeft-AlphaNumbering"/>
            </w:pPr>
            <w:r w:rsidRPr="00A21459">
              <w:t>where the client is not a wholesale client.</w:t>
            </w:r>
          </w:p>
        </w:tc>
      </w:tr>
      <w:tr w:rsidR="00675FF0" w:rsidRPr="00A21459" w14:paraId="24F590ED"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1BCC1143" w14:textId="77777777" w:rsidR="00675FF0" w:rsidRPr="00A21459" w:rsidRDefault="00675FF0" w:rsidP="00A13968">
            <w:pPr>
              <w:pStyle w:val="TableRowHeadingLeft"/>
            </w:pPr>
            <w:r w:rsidRPr="00A21459">
              <w:t>Licensees that provide general advice only to retail or wholesale clients</w:t>
            </w:r>
          </w:p>
        </w:tc>
        <w:tc>
          <w:tcPr>
            <w:tcW w:w="6804" w:type="dxa"/>
            <w:tcBorders>
              <w:top w:val="single" w:sz="2" w:space="0" w:color="1F497D" w:themeColor="text2"/>
              <w:bottom w:val="single" w:sz="2" w:space="0" w:color="1F497D" w:themeColor="text2"/>
            </w:tcBorders>
          </w:tcPr>
          <w:p w14:paraId="01FEBF17" w14:textId="710DF672" w:rsidR="00675FF0" w:rsidRPr="00A21459" w:rsidRDefault="00675FF0" w:rsidP="00EA6339">
            <w:pPr>
              <w:pStyle w:val="TableTextLeft"/>
            </w:pPr>
            <w:r w:rsidRPr="00A21459">
              <w:t>An Australian financial services licensee that provides financial product advice, which is general advice.</w:t>
            </w:r>
          </w:p>
        </w:tc>
      </w:tr>
      <w:tr w:rsidR="00675FF0" w:rsidRPr="00A21459" w14:paraId="1E428FE1"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7BC59715" w14:textId="77777777" w:rsidR="00675FF0" w:rsidRPr="00A21459" w:rsidRDefault="00675FF0" w:rsidP="00A13968">
            <w:pPr>
              <w:pStyle w:val="TableRowHeadingLeft"/>
            </w:pPr>
            <w:r w:rsidRPr="00A21459">
              <w:t>Licensees that provide personal advice to wholesale clients only</w:t>
            </w:r>
          </w:p>
        </w:tc>
        <w:tc>
          <w:tcPr>
            <w:tcW w:w="6804" w:type="dxa"/>
            <w:tcBorders>
              <w:top w:val="single" w:sz="2" w:space="0" w:color="1F497D" w:themeColor="text2"/>
              <w:bottom w:val="single" w:sz="2" w:space="0" w:color="1F497D" w:themeColor="text2"/>
            </w:tcBorders>
          </w:tcPr>
          <w:p w14:paraId="0D129DF6" w14:textId="3D3D3B05" w:rsidR="00675FF0" w:rsidRPr="00A21459" w:rsidRDefault="00675FF0" w:rsidP="00EA6339">
            <w:pPr>
              <w:pStyle w:val="TableTextLeft"/>
            </w:pPr>
            <w:r w:rsidRPr="00A21459">
              <w:t>An Australian financial services licensee that provides financial product advice, which is personal advice given in circumstances where the advice is provided to a person who is a wholesale client, a professional investor or a sophisticated investor.</w:t>
            </w:r>
          </w:p>
        </w:tc>
      </w:tr>
      <w:tr w:rsidR="00EA6339" w:rsidRPr="00A21459" w14:paraId="1EC25754" w14:textId="77777777" w:rsidTr="001D5B13">
        <w:tc>
          <w:tcPr>
            <w:tcW w:w="9180" w:type="dxa"/>
            <w:gridSpan w:val="2"/>
            <w:tcBorders>
              <w:top w:val="single" w:sz="2" w:space="0" w:color="1F497D" w:themeColor="text2"/>
            </w:tcBorders>
            <w:shd w:val="clear" w:color="auto" w:fill="8DB3E2" w:themeFill="text2" w:themeFillTint="66"/>
          </w:tcPr>
          <w:p w14:paraId="337B5D98" w14:textId="77777777" w:rsidR="00EA6339" w:rsidRPr="00A21459" w:rsidRDefault="00EA6339" w:rsidP="00902D9F">
            <w:pPr>
              <w:pStyle w:val="TableColumnHeadingLeft-Black"/>
            </w:pPr>
            <w:r w:rsidRPr="00A21459">
              <w:t>Insurance</w:t>
            </w:r>
          </w:p>
        </w:tc>
      </w:tr>
      <w:tr w:rsidR="00EA6339" w:rsidRPr="00A21459" w14:paraId="38ABB334" w14:textId="77777777" w:rsidTr="001D5B13">
        <w:tc>
          <w:tcPr>
            <w:tcW w:w="2376" w:type="dxa"/>
            <w:tcBorders>
              <w:bottom w:val="single" w:sz="2" w:space="0" w:color="auto"/>
            </w:tcBorders>
            <w:shd w:val="clear" w:color="auto" w:fill="DBE5F1" w:themeFill="accent1" w:themeFillTint="33"/>
          </w:tcPr>
          <w:p w14:paraId="209CF374" w14:textId="77777777" w:rsidR="00EA6339" w:rsidRPr="00A21459" w:rsidRDefault="00EA6339" w:rsidP="00902D9F">
            <w:pPr>
              <w:pStyle w:val="TableRowHeadingLeft"/>
            </w:pPr>
            <w:r w:rsidRPr="00A21459">
              <w:t>Insurance product issuer</w:t>
            </w:r>
          </w:p>
        </w:tc>
        <w:tc>
          <w:tcPr>
            <w:tcW w:w="6804" w:type="dxa"/>
            <w:tcBorders>
              <w:bottom w:val="single" w:sz="2" w:space="0" w:color="auto"/>
            </w:tcBorders>
          </w:tcPr>
          <w:p w14:paraId="40347CFC" w14:textId="77777777" w:rsidR="00EA6339" w:rsidRPr="00A21459" w:rsidRDefault="00EA6339" w:rsidP="00902D9F">
            <w:pPr>
              <w:pStyle w:val="TableTextLeft"/>
            </w:pPr>
            <w:r w:rsidRPr="00A21459">
              <w:t>An Australian financial services licensee with a licence authorisation to deal in a financial product by issuing general and life risk insurance products (including friendly societies).</w:t>
            </w:r>
          </w:p>
        </w:tc>
      </w:tr>
    </w:tbl>
    <w:p w14:paraId="50C25453" w14:textId="77777777" w:rsidR="00EA6339" w:rsidRDefault="00EA6339">
      <w:pPr>
        <w:rPr>
          <w:b/>
        </w:rPr>
      </w:pPr>
      <w:r>
        <w:rPr>
          <w:b/>
        </w:rPr>
        <w:br w:type="page"/>
      </w:r>
    </w:p>
    <w:p w14:paraId="30797B3B" w14:textId="3B666C89" w:rsidR="00F56EA2" w:rsidRPr="00F56EA2" w:rsidRDefault="00F56EA2" w:rsidP="00F56EA2">
      <w:pPr>
        <w:pStyle w:val="TableMainHeadingCont"/>
      </w:pPr>
      <w:r>
        <w:t xml:space="preserve">Table </w:t>
      </w:r>
      <w:r w:rsidR="00A31BDC">
        <w:t>3</w:t>
      </w:r>
      <w:r>
        <w:t>:</w:t>
      </w:r>
      <w:r>
        <w:tab/>
        <w:t>Proposed industry subsector definitions (continued)</w:t>
      </w:r>
    </w:p>
    <w:tbl>
      <w:tblPr>
        <w:tblW w:w="0" w:type="auto"/>
        <w:tblLayout w:type="fixed"/>
        <w:tblLook w:val="04A0" w:firstRow="1" w:lastRow="0" w:firstColumn="1" w:lastColumn="0" w:noHBand="0" w:noVBand="1"/>
      </w:tblPr>
      <w:tblGrid>
        <w:gridCol w:w="2376"/>
        <w:gridCol w:w="6804"/>
      </w:tblGrid>
      <w:tr w:rsidR="00EA6339" w:rsidRPr="00A13968" w14:paraId="46AE01BF" w14:textId="77777777" w:rsidTr="0040383F">
        <w:trPr>
          <w:trHeight w:val="308"/>
        </w:trPr>
        <w:tc>
          <w:tcPr>
            <w:tcW w:w="2376" w:type="dxa"/>
            <w:tcBorders>
              <w:bottom w:val="single" w:sz="2" w:space="0" w:color="FFFFFF" w:themeColor="background1"/>
              <w:right w:val="single" w:sz="2" w:space="0" w:color="FFFFFF" w:themeColor="background1"/>
            </w:tcBorders>
            <w:shd w:val="clear" w:color="auto" w:fill="1F497D" w:themeFill="text2"/>
          </w:tcPr>
          <w:p w14:paraId="7964ED38" w14:textId="77777777" w:rsidR="00EA6339" w:rsidRPr="00A13968" w:rsidRDefault="00EA6339" w:rsidP="00902D9F">
            <w:pPr>
              <w:pStyle w:val="TableColumnHeadingLeft"/>
            </w:pPr>
            <w:r w:rsidRPr="00A13968">
              <w:t>Industry subsector</w:t>
            </w:r>
          </w:p>
        </w:tc>
        <w:tc>
          <w:tcPr>
            <w:tcW w:w="6804" w:type="dxa"/>
            <w:tcBorders>
              <w:left w:val="single" w:sz="2" w:space="0" w:color="FFFFFF" w:themeColor="background1"/>
              <w:bottom w:val="single" w:sz="2" w:space="0" w:color="FFFFFF" w:themeColor="background1"/>
            </w:tcBorders>
            <w:shd w:val="clear" w:color="auto" w:fill="1F497D" w:themeFill="text2"/>
          </w:tcPr>
          <w:p w14:paraId="2FED8903" w14:textId="77777777" w:rsidR="00EA6339" w:rsidRPr="00A13968" w:rsidRDefault="00EA6339" w:rsidP="00902D9F">
            <w:pPr>
              <w:pStyle w:val="TableColumnHeadingLeft"/>
            </w:pPr>
            <w:r w:rsidRPr="00A13968">
              <w:t>Proposed definitions</w:t>
            </w:r>
            <w:r w:rsidRPr="00A13968">
              <w:tab/>
            </w:r>
          </w:p>
        </w:tc>
      </w:tr>
      <w:tr w:rsidR="00675FF0" w:rsidRPr="00A21459" w14:paraId="7946CC02" w14:textId="77777777" w:rsidTr="00494432">
        <w:tc>
          <w:tcPr>
            <w:tcW w:w="9180" w:type="dxa"/>
            <w:gridSpan w:val="2"/>
            <w:tcBorders>
              <w:top w:val="single" w:sz="2" w:space="0" w:color="FFFFFF" w:themeColor="background1"/>
              <w:bottom w:val="single" w:sz="2" w:space="0" w:color="1F497D" w:themeColor="text2"/>
            </w:tcBorders>
            <w:shd w:val="clear" w:color="auto" w:fill="8DB3E2" w:themeFill="text2" w:themeFillTint="66"/>
          </w:tcPr>
          <w:p w14:paraId="7A967656" w14:textId="2E069BB2" w:rsidR="00675FF0" w:rsidRPr="00A21459" w:rsidRDefault="00675FF0" w:rsidP="00EA6339">
            <w:pPr>
              <w:pStyle w:val="TableColumnHeadingLeft-Black"/>
            </w:pPr>
            <w:r w:rsidRPr="00A21459">
              <w:t>Insurance</w:t>
            </w:r>
            <w:r w:rsidR="00EA6339">
              <w:t xml:space="preserve"> (continued)</w:t>
            </w:r>
          </w:p>
        </w:tc>
      </w:tr>
      <w:tr w:rsidR="00675FF0" w:rsidRPr="00A21459" w14:paraId="5BA6CEA3" w14:textId="77777777" w:rsidTr="00494432">
        <w:tc>
          <w:tcPr>
            <w:tcW w:w="2376" w:type="dxa"/>
            <w:tcBorders>
              <w:top w:val="single" w:sz="2" w:space="0" w:color="1F497D" w:themeColor="text2"/>
              <w:bottom w:val="single" w:sz="2" w:space="0" w:color="1F497D" w:themeColor="text2"/>
            </w:tcBorders>
            <w:shd w:val="clear" w:color="auto" w:fill="DBE5F1" w:themeFill="accent1" w:themeFillTint="33"/>
          </w:tcPr>
          <w:p w14:paraId="470A23B0" w14:textId="77777777" w:rsidR="00675FF0" w:rsidRPr="00A21459" w:rsidRDefault="00675FF0" w:rsidP="00A13968">
            <w:pPr>
              <w:pStyle w:val="TableRowHeadingLeft"/>
            </w:pPr>
            <w:r w:rsidRPr="00A21459">
              <w:t>Insurance product distributor</w:t>
            </w:r>
          </w:p>
        </w:tc>
        <w:tc>
          <w:tcPr>
            <w:tcW w:w="6804" w:type="dxa"/>
            <w:tcBorders>
              <w:top w:val="single" w:sz="2" w:space="0" w:color="1F497D" w:themeColor="text2"/>
              <w:bottom w:val="single" w:sz="2" w:space="0" w:color="1F497D" w:themeColor="text2"/>
            </w:tcBorders>
          </w:tcPr>
          <w:p w14:paraId="6B07ED8D" w14:textId="77777777" w:rsidR="00675FF0" w:rsidRPr="00A21459" w:rsidRDefault="00675FF0" w:rsidP="00EA6339">
            <w:pPr>
              <w:pStyle w:val="TableTextLeft"/>
            </w:pPr>
            <w:r w:rsidRPr="00A21459">
              <w:t>An Australian financial services licensee that has:</w:t>
            </w:r>
          </w:p>
          <w:p w14:paraId="2A313987" w14:textId="77777777" w:rsidR="00675FF0" w:rsidRPr="00A21459" w:rsidRDefault="00675FF0" w:rsidP="009F72FC">
            <w:pPr>
              <w:pStyle w:val="TableTextLeft-AlphaNumbering"/>
              <w:numPr>
                <w:ilvl w:val="0"/>
                <w:numId w:val="29"/>
              </w:numPr>
            </w:pPr>
            <w:r w:rsidRPr="00A21459">
              <w:t>a licence authorisation to deal in a financial product by arranging for another person to issue general insurance products or life risk insurance products; and</w:t>
            </w:r>
          </w:p>
          <w:p w14:paraId="3D78BAE6" w14:textId="77777777" w:rsidR="00675FF0" w:rsidRPr="00A21459" w:rsidRDefault="00675FF0" w:rsidP="00EA6339">
            <w:pPr>
              <w:pStyle w:val="TableTextLeft-AlphaNumbering"/>
            </w:pPr>
            <w:r w:rsidRPr="00A21459">
              <w:t>does not have an authorisation to deal in a financial product by issuing general and/or life risk insurance products.</w:t>
            </w:r>
          </w:p>
        </w:tc>
      </w:tr>
      <w:tr w:rsidR="00675FF0" w:rsidRPr="00A21459" w14:paraId="18C2CC69" w14:textId="77777777" w:rsidTr="00494432">
        <w:tc>
          <w:tcPr>
            <w:tcW w:w="2376" w:type="dxa"/>
            <w:tcBorders>
              <w:top w:val="single" w:sz="2" w:space="0" w:color="1F497D" w:themeColor="text2"/>
              <w:bottom w:val="single" w:sz="2" w:space="0" w:color="auto"/>
            </w:tcBorders>
            <w:shd w:val="clear" w:color="auto" w:fill="DBE5F1" w:themeFill="accent1" w:themeFillTint="33"/>
          </w:tcPr>
          <w:p w14:paraId="29522F30" w14:textId="7E82ED18" w:rsidR="00675FF0" w:rsidRPr="00A21459" w:rsidRDefault="00675FF0" w:rsidP="00A13968">
            <w:pPr>
              <w:pStyle w:val="TableRowHeadingLeft"/>
            </w:pPr>
            <w:r w:rsidRPr="00A21459">
              <w:t>Risk management produ</w:t>
            </w:r>
            <w:r w:rsidR="00EA6339">
              <w:t>ct provider</w:t>
            </w:r>
          </w:p>
        </w:tc>
        <w:tc>
          <w:tcPr>
            <w:tcW w:w="6804" w:type="dxa"/>
            <w:tcBorders>
              <w:top w:val="single" w:sz="2" w:space="0" w:color="1F497D" w:themeColor="text2"/>
              <w:bottom w:val="single" w:sz="2" w:space="0" w:color="auto"/>
            </w:tcBorders>
          </w:tcPr>
          <w:p w14:paraId="50E91476" w14:textId="77777777" w:rsidR="00675FF0" w:rsidRPr="00A21459" w:rsidRDefault="00675FF0" w:rsidP="00EA6339">
            <w:pPr>
              <w:pStyle w:val="TableTextLeft"/>
            </w:pPr>
            <w:r w:rsidRPr="00A21459">
              <w:t>A person who deals, in a product for managing financial risk that is not a specific financial product described in s764A of the Corporations Act.</w:t>
            </w:r>
          </w:p>
        </w:tc>
      </w:tr>
    </w:tbl>
    <w:p w14:paraId="42F885E2" w14:textId="77777777" w:rsidR="001C20EA" w:rsidRPr="00057148" w:rsidRDefault="001C20EA" w:rsidP="00057148">
      <w:bookmarkStart w:id="161" w:name="_Toc463544621"/>
      <w:bookmarkStart w:id="162" w:name="_Toc463595223"/>
      <w:bookmarkStart w:id="163" w:name="_Toc464140334"/>
      <w:bookmarkStart w:id="164" w:name="_Toc464162258"/>
      <w:bookmarkStart w:id="165" w:name="_Toc464224630"/>
    </w:p>
    <w:p w14:paraId="2E27B543" w14:textId="77777777" w:rsidR="00057148" w:rsidRPr="00057148" w:rsidRDefault="00057148" w:rsidP="00057148">
      <w:r w:rsidRPr="00057148">
        <w:br w:type="page"/>
      </w:r>
    </w:p>
    <w:p w14:paraId="04288DF2" w14:textId="5A634A56" w:rsidR="00675FF0" w:rsidRDefault="001C20EA" w:rsidP="00675FF0">
      <w:pPr>
        <w:pStyle w:val="Heading1"/>
        <w:tabs>
          <w:tab w:val="num" w:pos="851"/>
        </w:tabs>
        <w:spacing w:after="400" w:line="280" w:lineRule="atLeast"/>
        <w:ind w:left="851" w:hanging="851"/>
      </w:pPr>
      <w:bookmarkStart w:id="166" w:name="_Toc466038561"/>
      <w:r>
        <w:t xml:space="preserve">Schedule 2: </w:t>
      </w:r>
      <w:r w:rsidR="00675FF0">
        <w:t>Proposed d</w:t>
      </w:r>
      <w:r w:rsidR="00675FF0" w:rsidRPr="00EA1E92">
        <w:t>efinitions</w:t>
      </w:r>
      <w:r w:rsidR="00675FF0">
        <w:t xml:space="preserve"> of</w:t>
      </w:r>
      <w:r w:rsidR="00675FF0" w:rsidRPr="00EA1E92">
        <w:t xml:space="preserve"> levy metrics</w:t>
      </w:r>
      <w:bookmarkEnd w:id="161"/>
      <w:bookmarkEnd w:id="162"/>
      <w:bookmarkEnd w:id="163"/>
      <w:bookmarkEnd w:id="164"/>
      <w:bookmarkEnd w:id="165"/>
      <w:bookmarkEnd w:id="166"/>
    </w:p>
    <w:p w14:paraId="22DA406D" w14:textId="3D759681" w:rsidR="00675FF0" w:rsidRDefault="00675FF0" w:rsidP="00637622">
      <w:pPr>
        <w:pStyle w:val="TableMainHeading"/>
      </w:pPr>
      <w:r>
        <w:t xml:space="preserve">Table </w:t>
      </w:r>
      <w:r w:rsidR="00A31BDC">
        <w:t>4</w:t>
      </w:r>
      <w:r>
        <w:t>:</w:t>
      </w:r>
      <w:r>
        <w:tab/>
        <w:t>Proposed definitions of levy metrics</w:t>
      </w:r>
    </w:p>
    <w:tbl>
      <w:tblPr>
        <w:tblW w:w="0" w:type="auto"/>
        <w:tblLayout w:type="fixed"/>
        <w:tblLook w:val="04A0" w:firstRow="1" w:lastRow="0" w:firstColumn="1" w:lastColumn="0" w:noHBand="0" w:noVBand="1"/>
      </w:tblPr>
      <w:tblGrid>
        <w:gridCol w:w="2410"/>
        <w:gridCol w:w="2410"/>
        <w:gridCol w:w="4246"/>
      </w:tblGrid>
      <w:tr w:rsidR="00675FF0" w:rsidRPr="000540E1" w14:paraId="06E2154F" w14:textId="77777777" w:rsidTr="004C0A8B">
        <w:tc>
          <w:tcPr>
            <w:tcW w:w="2410" w:type="dxa"/>
            <w:tcBorders>
              <w:bottom w:val="single" w:sz="2" w:space="0" w:color="FFFFFF" w:themeColor="background1"/>
              <w:right w:val="single" w:sz="2" w:space="0" w:color="FFFFFF" w:themeColor="background1"/>
            </w:tcBorders>
            <w:shd w:val="clear" w:color="auto" w:fill="1F497D" w:themeFill="text2"/>
          </w:tcPr>
          <w:p w14:paraId="29E66253" w14:textId="77777777" w:rsidR="00675FF0" w:rsidRPr="00A21459" w:rsidRDefault="00675FF0" w:rsidP="00637622">
            <w:pPr>
              <w:pStyle w:val="TableColumnHeadingLeft"/>
            </w:pPr>
            <w:r w:rsidRPr="00A21459">
              <w:t>Industry subsector</w:t>
            </w:r>
          </w:p>
        </w:tc>
        <w:tc>
          <w:tcPr>
            <w:tcW w:w="2410" w:type="dxa"/>
            <w:tcBorders>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0656E3FF" w14:textId="77777777" w:rsidR="00675FF0" w:rsidRPr="00396046" w:rsidRDefault="00675FF0" w:rsidP="00637622">
            <w:pPr>
              <w:pStyle w:val="TableColumnHeadingLeft"/>
            </w:pPr>
            <w:r w:rsidRPr="00396046">
              <w:t>Proposed levy metric</w:t>
            </w:r>
          </w:p>
        </w:tc>
        <w:tc>
          <w:tcPr>
            <w:tcW w:w="4246" w:type="dxa"/>
            <w:tcBorders>
              <w:left w:val="single" w:sz="2" w:space="0" w:color="FFFFFF" w:themeColor="background1"/>
              <w:bottom w:val="single" w:sz="2" w:space="0" w:color="FFFFFF" w:themeColor="background1"/>
            </w:tcBorders>
            <w:shd w:val="clear" w:color="auto" w:fill="1F497D" w:themeFill="text2"/>
          </w:tcPr>
          <w:p w14:paraId="4E7558F2" w14:textId="77777777" w:rsidR="00675FF0" w:rsidRPr="00396046" w:rsidRDefault="00675FF0" w:rsidP="00637622">
            <w:pPr>
              <w:pStyle w:val="TableColumnHeadingLeft"/>
            </w:pPr>
            <w:r w:rsidRPr="00396046">
              <w:t>Proposed definition</w:t>
            </w:r>
          </w:p>
        </w:tc>
      </w:tr>
      <w:tr w:rsidR="00675FF0" w:rsidRPr="000540E1" w14:paraId="11BFA311" w14:textId="77777777" w:rsidTr="0040383F">
        <w:tc>
          <w:tcPr>
            <w:tcW w:w="9066" w:type="dxa"/>
            <w:gridSpan w:val="3"/>
            <w:tcBorders>
              <w:top w:val="single" w:sz="2" w:space="0" w:color="FFFFFF" w:themeColor="background1"/>
              <w:bottom w:val="single" w:sz="2" w:space="0" w:color="1F497D" w:themeColor="text2"/>
            </w:tcBorders>
            <w:shd w:val="clear" w:color="auto" w:fill="8DB3E2" w:themeFill="text2" w:themeFillTint="66"/>
          </w:tcPr>
          <w:p w14:paraId="2A581F90" w14:textId="77777777" w:rsidR="00675FF0" w:rsidRPr="00095F51" w:rsidRDefault="00675FF0" w:rsidP="00637622">
            <w:pPr>
              <w:pStyle w:val="TableColumnHeadingLeft-Black"/>
            </w:pPr>
            <w:r w:rsidRPr="00095F51">
              <w:t>Corporate</w:t>
            </w:r>
          </w:p>
        </w:tc>
      </w:tr>
      <w:tr w:rsidR="00675FF0" w:rsidRPr="000540E1" w14:paraId="405F570A" w14:textId="77777777" w:rsidTr="00494432">
        <w:trPr>
          <w:trHeight w:val="668"/>
        </w:trPr>
        <w:tc>
          <w:tcPr>
            <w:tcW w:w="2410" w:type="dxa"/>
            <w:tcBorders>
              <w:top w:val="single" w:sz="2" w:space="0" w:color="1F497D" w:themeColor="text2"/>
              <w:bottom w:val="single" w:sz="2" w:space="0" w:color="1F497D" w:themeColor="text2"/>
              <w:right w:val="single" w:sz="2" w:space="0" w:color="1F497D" w:themeColor="text2"/>
            </w:tcBorders>
            <w:shd w:val="clear" w:color="auto" w:fill="DBE5F1" w:themeFill="accent1" w:themeFillTint="33"/>
          </w:tcPr>
          <w:p w14:paraId="7FDF8F26" w14:textId="77777777" w:rsidR="00675FF0" w:rsidRPr="00095F51" w:rsidRDefault="00675FF0" w:rsidP="00637622">
            <w:pPr>
              <w:pStyle w:val="TableRowHeadingLeft"/>
            </w:pPr>
            <w:r w:rsidRPr="00095F51">
              <w:t xml:space="preserve">Public company </w:t>
            </w:r>
            <w:r w:rsidRPr="00095F51">
              <w:br/>
              <w:t>(listed, disclosing)</w:t>
            </w:r>
          </w:p>
        </w:tc>
        <w:tc>
          <w:tcPr>
            <w:tcW w:w="2410" w:type="dxa"/>
            <w:tcBorders>
              <w:top w:val="single" w:sz="2" w:space="0" w:color="1F497D" w:themeColor="text2"/>
              <w:left w:val="single" w:sz="2" w:space="0" w:color="1F497D" w:themeColor="text2"/>
              <w:bottom w:val="single" w:sz="2" w:space="0" w:color="1F497D" w:themeColor="text2"/>
              <w:right w:val="single" w:sz="2" w:space="0" w:color="1F497D" w:themeColor="text2"/>
            </w:tcBorders>
          </w:tcPr>
          <w:p w14:paraId="3E83AC0D" w14:textId="77777777" w:rsidR="00675FF0" w:rsidRPr="00637622" w:rsidRDefault="00675FF0" w:rsidP="00637622">
            <w:pPr>
              <w:pStyle w:val="TableTextLeft"/>
            </w:pPr>
            <w:r w:rsidRPr="00637622">
              <w:t>Market capitalisation</w:t>
            </w:r>
          </w:p>
        </w:tc>
        <w:tc>
          <w:tcPr>
            <w:tcW w:w="4246" w:type="dxa"/>
            <w:tcBorders>
              <w:top w:val="single" w:sz="2" w:space="0" w:color="1F497D" w:themeColor="text2"/>
              <w:left w:val="single" w:sz="2" w:space="0" w:color="1F497D" w:themeColor="text2"/>
              <w:bottom w:val="single" w:sz="2" w:space="0" w:color="1F497D" w:themeColor="text2"/>
            </w:tcBorders>
          </w:tcPr>
          <w:p w14:paraId="5C6C4351" w14:textId="52F554FD" w:rsidR="00675FF0" w:rsidRPr="00396046" w:rsidRDefault="00675FF0" w:rsidP="00637622">
            <w:pPr>
              <w:pStyle w:val="TableTextLeft"/>
            </w:pPr>
            <w:r w:rsidRPr="00396046">
              <w:t>The value of a company that is traded on a licensed market, calculated by multiplying the total number of shares at close of the market</w:t>
            </w:r>
            <w:r w:rsidR="00637622">
              <w:t xml:space="preserve"> by the share price at 30 June.</w:t>
            </w:r>
          </w:p>
        </w:tc>
      </w:tr>
      <w:tr w:rsidR="00675FF0" w:rsidRPr="000540E1" w14:paraId="787E937E" w14:textId="77777777" w:rsidTr="00494432">
        <w:tc>
          <w:tcPr>
            <w:tcW w:w="2410" w:type="dxa"/>
            <w:tcBorders>
              <w:top w:val="single" w:sz="2" w:space="0" w:color="1F497D" w:themeColor="text2"/>
              <w:bottom w:val="single" w:sz="2" w:space="0" w:color="1F497D" w:themeColor="text2"/>
              <w:right w:val="single" w:sz="2" w:space="0" w:color="1F497D" w:themeColor="text2"/>
            </w:tcBorders>
            <w:shd w:val="clear" w:color="auto" w:fill="DBE5F1" w:themeFill="accent1" w:themeFillTint="33"/>
          </w:tcPr>
          <w:p w14:paraId="249AE198" w14:textId="77777777" w:rsidR="00675FF0" w:rsidRPr="00095F51" w:rsidRDefault="00675FF0" w:rsidP="00637622">
            <w:pPr>
              <w:pStyle w:val="TableRowHeadingLeft"/>
            </w:pPr>
            <w:r w:rsidRPr="00095F51">
              <w:t>Authorised audit companies and audit firms that audit publicly listed entities, and registered company auditors</w:t>
            </w:r>
          </w:p>
        </w:tc>
        <w:tc>
          <w:tcPr>
            <w:tcW w:w="2410" w:type="dxa"/>
            <w:tcBorders>
              <w:top w:val="single" w:sz="2" w:space="0" w:color="1F497D" w:themeColor="text2"/>
              <w:left w:val="single" w:sz="2" w:space="0" w:color="1F497D" w:themeColor="text2"/>
              <w:bottom w:val="single" w:sz="2" w:space="0" w:color="1F497D" w:themeColor="text2"/>
              <w:right w:val="single" w:sz="2" w:space="0" w:color="1F497D" w:themeColor="text2"/>
            </w:tcBorders>
          </w:tcPr>
          <w:p w14:paraId="64CD3838" w14:textId="77777777" w:rsidR="00675FF0" w:rsidRPr="00637622" w:rsidRDefault="00675FF0" w:rsidP="00637622">
            <w:pPr>
              <w:pStyle w:val="TableTextLeft"/>
            </w:pPr>
            <w:r w:rsidRPr="00637622">
              <w:t>Audit fee revenue</w:t>
            </w:r>
          </w:p>
        </w:tc>
        <w:tc>
          <w:tcPr>
            <w:tcW w:w="4246" w:type="dxa"/>
            <w:tcBorders>
              <w:top w:val="single" w:sz="2" w:space="0" w:color="1F497D" w:themeColor="text2"/>
              <w:left w:val="single" w:sz="2" w:space="0" w:color="1F497D" w:themeColor="text2"/>
              <w:bottom w:val="single" w:sz="2" w:space="0" w:color="1F497D" w:themeColor="text2"/>
            </w:tcBorders>
          </w:tcPr>
          <w:p w14:paraId="2FF2986F" w14:textId="33E586A0" w:rsidR="00675FF0" w:rsidRPr="00396046" w:rsidRDefault="00675FF0" w:rsidP="00637622">
            <w:pPr>
              <w:pStyle w:val="TableTextLeft"/>
            </w:pPr>
            <w:r w:rsidRPr="00396046">
              <w:t xml:space="preserve">Total fees paid or payable to the appointed audit firm, authorised audit company or registered company auditor that are attributable to the audit </w:t>
            </w:r>
            <w:r w:rsidR="00637622">
              <w:t>and review of the full year and</w:t>
            </w:r>
            <w:r w:rsidR="00637622">
              <w:br/>
            </w:r>
            <w:r w:rsidRPr="00396046">
              <w:t xml:space="preserve">half-year financial reports for the financial year that ended during the relevant 12 month period of each entity with equity securities listed and any of the controlled entities of such </w:t>
            </w:r>
            <w:r w:rsidR="00F9694D">
              <w:t>an entity.</w:t>
            </w:r>
          </w:p>
          <w:p w14:paraId="08CE96DF" w14:textId="77777777" w:rsidR="00675FF0" w:rsidRPr="00396046" w:rsidRDefault="00675FF0" w:rsidP="00637622">
            <w:pPr>
              <w:pStyle w:val="TableTextLeft"/>
            </w:pPr>
            <w:r w:rsidRPr="00396046">
              <w:t>For this purpose ‘control’ has the same meaning as in accounting standards dealing with consolidated financial statements for the purposes of Chapter 2M of the Corporations Act.</w:t>
            </w:r>
          </w:p>
        </w:tc>
      </w:tr>
      <w:tr w:rsidR="00675FF0" w:rsidRPr="000540E1" w14:paraId="6FDB22CE" w14:textId="77777777" w:rsidTr="00494432">
        <w:tc>
          <w:tcPr>
            <w:tcW w:w="2410" w:type="dxa"/>
            <w:tcBorders>
              <w:top w:val="single" w:sz="2" w:space="0" w:color="1F497D" w:themeColor="text2"/>
              <w:bottom w:val="single" w:sz="2" w:space="0" w:color="1F497D" w:themeColor="text2"/>
              <w:right w:val="single" w:sz="2" w:space="0" w:color="1F497D" w:themeColor="text2"/>
            </w:tcBorders>
            <w:shd w:val="clear" w:color="auto" w:fill="DBE5F1" w:themeFill="accent1" w:themeFillTint="33"/>
          </w:tcPr>
          <w:p w14:paraId="2AED489A" w14:textId="77777777" w:rsidR="00675FF0" w:rsidRPr="00095F51" w:rsidRDefault="00675FF0" w:rsidP="00637622">
            <w:pPr>
              <w:pStyle w:val="TableRowHeadingLeft"/>
            </w:pPr>
            <w:r w:rsidRPr="00095F51">
              <w:t>Registered liquidators</w:t>
            </w:r>
          </w:p>
        </w:tc>
        <w:tc>
          <w:tcPr>
            <w:tcW w:w="2410" w:type="dxa"/>
            <w:tcBorders>
              <w:top w:val="single" w:sz="2" w:space="0" w:color="1F497D" w:themeColor="text2"/>
              <w:left w:val="single" w:sz="2" w:space="0" w:color="1F497D" w:themeColor="text2"/>
              <w:bottom w:val="single" w:sz="2" w:space="0" w:color="1F497D" w:themeColor="text2"/>
              <w:right w:val="single" w:sz="2" w:space="0" w:color="1F497D" w:themeColor="text2"/>
            </w:tcBorders>
          </w:tcPr>
          <w:p w14:paraId="6C071123" w14:textId="1A5F510C" w:rsidR="00675FF0" w:rsidRPr="00637622" w:rsidRDefault="00675FF0" w:rsidP="00637622">
            <w:pPr>
              <w:pStyle w:val="TableTextLeft"/>
            </w:pPr>
            <w:r w:rsidRPr="00637622">
              <w:t>Number of external administration appoint</w:t>
            </w:r>
            <w:r w:rsidR="00F9694D">
              <w:t>ments</w:t>
            </w:r>
            <w:r w:rsidRPr="00637622">
              <w:t xml:space="preserve"> for the registered liquidator</w:t>
            </w:r>
          </w:p>
        </w:tc>
        <w:tc>
          <w:tcPr>
            <w:tcW w:w="4246" w:type="dxa"/>
            <w:tcBorders>
              <w:top w:val="single" w:sz="2" w:space="0" w:color="1F497D" w:themeColor="text2"/>
              <w:left w:val="single" w:sz="2" w:space="0" w:color="1F497D" w:themeColor="text2"/>
              <w:bottom w:val="single" w:sz="2" w:space="0" w:color="1F497D" w:themeColor="text2"/>
            </w:tcBorders>
          </w:tcPr>
          <w:p w14:paraId="662959B5" w14:textId="77777777" w:rsidR="00675FF0" w:rsidRPr="00637622" w:rsidRDefault="00675FF0" w:rsidP="00637622">
            <w:pPr>
              <w:pStyle w:val="TableTextLeft"/>
              <w:rPr>
                <w:i/>
              </w:rPr>
            </w:pPr>
            <w:r w:rsidRPr="00637622">
              <w:rPr>
                <w:i/>
              </w:rPr>
              <w:t>Number of external administration appointments for the registered liquidator:</w:t>
            </w:r>
          </w:p>
          <w:p w14:paraId="5B636778" w14:textId="77777777" w:rsidR="00675FF0" w:rsidRPr="00396046" w:rsidRDefault="00675FF0" w:rsidP="009F72FC">
            <w:pPr>
              <w:pStyle w:val="TableTextNumbering"/>
              <w:numPr>
                <w:ilvl w:val="0"/>
                <w:numId w:val="31"/>
              </w:numPr>
            </w:pPr>
            <w:r w:rsidRPr="00396046">
              <w:t>The total number of external administration appointments accepted by the registered liquidator during the relevant financial year; adjusted so that:</w:t>
            </w:r>
          </w:p>
          <w:p w14:paraId="0F8543F5" w14:textId="77777777" w:rsidR="00675FF0" w:rsidRPr="00396046" w:rsidRDefault="00675FF0" w:rsidP="009F72FC">
            <w:pPr>
              <w:pStyle w:val="TableTextLeft-AlphaNumberingIndent"/>
              <w:numPr>
                <w:ilvl w:val="0"/>
                <w:numId w:val="32"/>
              </w:numPr>
            </w:pPr>
            <w:r w:rsidRPr="00396046">
              <w:t>where two or more registered liquidators in the firm are jointly/ jointly and severally appointed as external administrator of a company, the external administration is only counted once (refer (</w:t>
            </w:r>
            <w:r w:rsidRPr="008B383F">
              <w:rPr>
                <w:b/>
              </w:rPr>
              <w:t>2</w:t>
            </w:r>
            <w:r w:rsidRPr="00396046">
              <w:t>) below);</w:t>
            </w:r>
          </w:p>
          <w:p w14:paraId="068CCDEC" w14:textId="77777777" w:rsidR="00675FF0" w:rsidRPr="00396046" w:rsidRDefault="00675FF0" w:rsidP="00637622">
            <w:pPr>
              <w:pStyle w:val="TableTextLeft-AlphaNumberingIndent"/>
            </w:pPr>
            <w:r w:rsidRPr="00396046">
              <w:t>where an external administration appointment transitions from one type of external administration to another with no change to the registered liquidators appointed, this is counted as a single external administration appointment;</w:t>
            </w:r>
          </w:p>
          <w:p w14:paraId="052176E7" w14:textId="04938125" w:rsidR="00675FF0" w:rsidRPr="00396046" w:rsidRDefault="00675FF0" w:rsidP="00637622">
            <w:pPr>
              <w:pStyle w:val="TableTextLeft-AlphaNumberingIndent"/>
            </w:pPr>
            <w:r w:rsidRPr="00396046">
              <w:t>where the company is under two or more types of external administration, this is counted as two separate extern</w:t>
            </w:r>
            <w:r w:rsidR="00637622">
              <w:t>al administration appointments;</w:t>
            </w:r>
          </w:p>
        </w:tc>
      </w:tr>
    </w:tbl>
    <w:p w14:paraId="076CE52D" w14:textId="020ADBA7" w:rsidR="00637622" w:rsidRDefault="00637622">
      <w:r>
        <w:br w:type="page"/>
      </w:r>
    </w:p>
    <w:p w14:paraId="3C7F7DD3" w14:textId="35226511" w:rsidR="00637622" w:rsidRDefault="00637622" w:rsidP="00637622">
      <w:pPr>
        <w:pStyle w:val="TableMainHeadingCont"/>
      </w:pPr>
      <w:r>
        <w:t>Table</w:t>
      </w:r>
      <w:r w:rsidR="00F56EA2">
        <w:t xml:space="preserve"> </w:t>
      </w:r>
      <w:r w:rsidR="00A31BDC">
        <w:t>4</w:t>
      </w:r>
      <w:r>
        <w:t>:</w:t>
      </w:r>
      <w:r>
        <w:tab/>
        <w:t>Proposed definitions of levy metrics (continued)</w:t>
      </w:r>
    </w:p>
    <w:tbl>
      <w:tblPr>
        <w:tblW w:w="0" w:type="auto"/>
        <w:tblLayout w:type="fixed"/>
        <w:tblLook w:val="04A0" w:firstRow="1" w:lastRow="0" w:firstColumn="1" w:lastColumn="0" w:noHBand="0" w:noVBand="1"/>
      </w:tblPr>
      <w:tblGrid>
        <w:gridCol w:w="2410"/>
        <w:gridCol w:w="2410"/>
        <w:gridCol w:w="4246"/>
      </w:tblGrid>
      <w:tr w:rsidR="00637622" w:rsidRPr="000540E1" w14:paraId="58A3F72C" w14:textId="77777777" w:rsidTr="0040383F">
        <w:tc>
          <w:tcPr>
            <w:tcW w:w="2410" w:type="dxa"/>
            <w:tcBorders>
              <w:bottom w:val="single" w:sz="2" w:space="0" w:color="FFFFFF" w:themeColor="background1"/>
              <w:right w:val="single" w:sz="2" w:space="0" w:color="FFFFFF" w:themeColor="background1"/>
            </w:tcBorders>
            <w:shd w:val="clear" w:color="auto" w:fill="1F497D" w:themeFill="text2"/>
          </w:tcPr>
          <w:p w14:paraId="2F733E1E" w14:textId="77777777" w:rsidR="00637622" w:rsidRPr="00A21459" w:rsidRDefault="00637622" w:rsidP="00902D9F">
            <w:pPr>
              <w:pStyle w:val="TableColumnHeadingLeft"/>
            </w:pPr>
            <w:r w:rsidRPr="00A21459">
              <w:t>Industry subsector</w:t>
            </w:r>
          </w:p>
        </w:tc>
        <w:tc>
          <w:tcPr>
            <w:tcW w:w="2410" w:type="dxa"/>
            <w:tcBorders>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7322E0E8" w14:textId="77777777" w:rsidR="00637622" w:rsidRPr="00396046" w:rsidRDefault="00637622" w:rsidP="00902D9F">
            <w:pPr>
              <w:pStyle w:val="TableColumnHeadingLeft"/>
            </w:pPr>
            <w:r w:rsidRPr="00396046">
              <w:t>Proposed levy metric</w:t>
            </w:r>
          </w:p>
        </w:tc>
        <w:tc>
          <w:tcPr>
            <w:tcW w:w="4246" w:type="dxa"/>
            <w:tcBorders>
              <w:left w:val="single" w:sz="2" w:space="0" w:color="FFFFFF" w:themeColor="background1"/>
              <w:bottom w:val="single" w:sz="2" w:space="0" w:color="FFFFFF" w:themeColor="background1"/>
            </w:tcBorders>
            <w:shd w:val="clear" w:color="auto" w:fill="1F497D" w:themeFill="text2"/>
          </w:tcPr>
          <w:p w14:paraId="1C1B2696" w14:textId="77777777" w:rsidR="00637622" w:rsidRPr="00396046" w:rsidRDefault="00637622" w:rsidP="00902D9F">
            <w:pPr>
              <w:pStyle w:val="TableColumnHeadingLeft"/>
            </w:pPr>
            <w:r w:rsidRPr="00396046">
              <w:t>Proposed definition</w:t>
            </w:r>
          </w:p>
        </w:tc>
      </w:tr>
      <w:tr w:rsidR="00637622" w:rsidRPr="000540E1" w14:paraId="44090197" w14:textId="77777777" w:rsidTr="0040383F">
        <w:tc>
          <w:tcPr>
            <w:tcW w:w="9066" w:type="dxa"/>
            <w:gridSpan w:val="3"/>
            <w:tcBorders>
              <w:top w:val="single" w:sz="2" w:space="0" w:color="FFFFFF" w:themeColor="background1"/>
              <w:bottom w:val="single" w:sz="2" w:space="0" w:color="1F497D" w:themeColor="text2"/>
            </w:tcBorders>
            <w:shd w:val="clear" w:color="auto" w:fill="8DB3E2" w:themeFill="text2" w:themeFillTint="66"/>
          </w:tcPr>
          <w:p w14:paraId="254E330B" w14:textId="2A3A25BF" w:rsidR="00637622" w:rsidRPr="00095F51" w:rsidRDefault="00637622" w:rsidP="00902D9F">
            <w:pPr>
              <w:pStyle w:val="TableColumnHeadingLeft-Black"/>
            </w:pPr>
            <w:r w:rsidRPr="00095F51">
              <w:t>Corporate</w:t>
            </w:r>
            <w:r>
              <w:t xml:space="preserve"> (continued)</w:t>
            </w:r>
          </w:p>
        </w:tc>
      </w:tr>
      <w:tr w:rsidR="00637622" w:rsidRPr="000540E1" w14:paraId="2C5FC016" w14:textId="77777777" w:rsidTr="0040383F">
        <w:tc>
          <w:tcPr>
            <w:tcW w:w="2410" w:type="dxa"/>
            <w:tcBorders>
              <w:top w:val="single" w:sz="2" w:space="0" w:color="1F497D" w:themeColor="text2"/>
              <w:bottom w:val="single" w:sz="2" w:space="0" w:color="1F497D" w:themeColor="text2"/>
              <w:right w:val="single" w:sz="2" w:space="0" w:color="1F497D" w:themeColor="text2"/>
            </w:tcBorders>
            <w:shd w:val="clear" w:color="auto" w:fill="DBE5F1" w:themeFill="accent1" w:themeFillTint="33"/>
          </w:tcPr>
          <w:p w14:paraId="7491DC76" w14:textId="1FBCA9E6" w:rsidR="00637622" w:rsidRPr="00095F51" w:rsidRDefault="00637622" w:rsidP="00637622">
            <w:pPr>
              <w:pStyle w:val="TableTextLeft"/>
            </w:pPr>
            <w:r w:rsidRPr="00095F51">
              <w:rPr>
                <w:b/>
              </w:rPr>
              <w:t>Registered liquidators</w:t>
            </w:r>
            <w:r>
              <w:rPr>
                <w:b/>
              </w:rPr>
              <w:t xml:space="preserve"> (continued)</w:t>
            </w:r>
          </w:p>
        </w:tc>
        <w:tc>
          <w:tcPr>
            <w:tcW w:w="2410" w:type="dxa"/>
            <w:tcBorders>
              <w:top w:val="single" w:sz="2" w:space="0" w:color="1F497D" w:themeColor="text2"/>
              <w:left w:val="single" w:sz="2" w:space="0" w:color="1F497D" w:themeColor="text2"/>
              <w:bottom w:val="single" w:sz="2" w:space="0" w:color="1F497D" w:themeColor="text2"/>
              <w:right w:val="single" w:sz="2" w:space="0" w:color="1F497D" w:themeColor="text2"/>
            </w:tcBorders>
          </w:tcPr>
          <w:p w14:paraId="1AC387BE" w14:textId="1D9D8F99" w:rsidR="00637622" w:rsidRPr="00396046" w:rsidRDefault="00637622" w:rsidP="00637622">
            <w:pPr>
              <w:pStyle w:val="TableTextLeft"/>
              <w:rPr>
                <w:rFonts w:asciiTheme="minorHAnsi" w:hAnsiTheme="minorHAnsi"/>
                <w:sz w:val="22"/>
                <w:szCs w:val="22"/>
              </w:rPr>
            </w:pPr>
            <w:r w:rsidRPr="00637622">
              <w:t>Number of extern</w:t>
            </w:r>
            <w:r w:rsidR="00F9694D">
              <w:t xml:space="preserve">al administration appointments </w:t>
            </w:r>
            <w:r w:rsidRPr="00637622">
              <w:t>for the registered liquidator</w:t>
            </w:r>
            <w:r>
              <w:t xml:space="preserve"> (continued)</w:t>
            </w:r>
          </w:p>
        </w:tc>
        <w:tc>
          <w:tcPr>
            <w:tcW w:w="4246" w:type="dxa"/>
            <w:tcBorders>
              <w:top w:val="single" w:sz="2" w:space="0" w:color="1F497D" w:themeColor="text2"/>
              <w:left w:val="single" w:sz="2" w:space="0" w:color="1F497D" w:themeColor="text2"/>
              <w:bottom w:val="single" w:sz="2" w:space="0" w:color="1F497D" w:themeColor="text2"/>
            </w:tcBorders>
          </w:tcPr>
          <w:p w14:paraId="790856CC" w14:textId="77777777" w:rsidR="00637622" w:rsidRPr="00396046" w:rsidRDefault="00637622" w:rsidP="00637622">
            <w:pPr>
              <w:pStyle w:val="TableTextLeft-AlphaNumberingIndent"/>
            </w:pPr>
            <w:r w:rsidRPr="00396046">
              <w:t xml:space="preserve">where a registered liquidator is replaced as external administrator by a registered liquidator from another firm, this is counted as an external administration appointment by both firms; </w:t>
            </w:r>
          </w:p>
          <w:p w14:paraId="4FF6CC57" w14:textId="77777777" w:rsidR="00637622" w:rsidRPr="00396046" w:rsidRDefault="00637622" w:rsidP="00637622">
            <w:pPr>
              <w:pStyle w:val="TableTextLeft-AlphaNumberingIndent"/>
            </w:pPr>
            <w:r w:rsidRPr="00396046">
              <w:t xml:space="preserve">the appointment of a registered liquidator from another firm as a special purpose liquidator, is counted as an external administration appointment by both firms; </w:t>
            </w:r>
          </w:p>
          <w:p w14:paraId="3B9BD725" w14:textId="207C3303" w:rsidR="00637622" w:rsidRDefault="00637622" w:rsidP="009F72FC">
            <w:pPr>
              <w:pStyle w:val="TableTextLeft-AlphaNumberingIndent"/>
            </w:pPr>
            <w:r w:rsidRPr="00396046">
              <w:t>where two or more registered liquidators from different firms are appointed jointly/jointly and severally appointed as external administrator of a company, the external administration is only c</w:t>
            </w:r>
            <w:r>
              <w:t>ounted once (refer (</w:t>
            </w:r>
            <w:r w:rsidRPr="008B383F">
              <w:rPr>
                <w:b/>
              </w:rPr>
              <w:t>2</w:t>
            </w:r>
            <w:r>
              <w:t xml:space="preserve">) below). </w:t>
            </w:r>
          </w:p>
          <w:p w14:paraId="7BAD31E6" w14:textId="528B0DC3" w:rsidR="00637622" w:rsidRPr="00637622" w:rsidRDefault="00637622" w:rsidP="00637622">
            <w:pPr>
              <w:pStyle w:val="TableTextNumbering"/>
            </w:pPr>
            <w:r w:rsidRPr="00396046">
              <w:t>Where two or more registered liquidators are appointed jointly and severally as external administrators of a company, it is proposed that a "Principal Appointee" be nominated at the commencement of the external administration as the appointee responsible for providing information about the external administration to allow the industry levy to be determined.</w:t>
            </w:r>
          </w:p>
          <w:p w14:paraId="5A3B34A7" w14:textId="4FBF74DD" w:rsidR="00637622" w:rsidRPr="00637622" w:rsidRDefault="00637622" w:rsidP="00637622">
            <w:pPr>
              <w:pStyle w:val="TableTextLeft"/>
              <w:rPr>
                <w:i/>
              </w:rPr>
            </w:pPr>
            <w:r w:rsidRPr="00396046">
              <w:rPr>
                <w:b/>
                <w:i/>
              </w:rPr>
              <w:t>External administration appointment:</w:t>
            </w:r>
            <w:r w:rsidRPr="00396046">
              <w:rPr>
                <w:rFonts w:cstheme="majorBidi"/>
                <w:b/>
                <w:bCs/>
              </w:rPr>
              <w:t xml:space="preserve"> </w:t>
            </w:r>
            <w:r w:rsidRPr="00396046">
              <w:t>includes the appointment of a registered liquidator as a controller, provisional liquidator, liquidator, voluntary administrator or administrator of a deed of company arrangement.</w:t>
            </w:r>
          </w:p>
        </w:tc>
      </w:tr>
      <w:tr w:rsidR="00637622" w:rsidRPr="000540E1" w14:paraId="720FD68A" w14:textId="77777777" w:rsidTr="001D5B13">
        <w:tc>
          <w:tcPr>
            <w:tcW w:w="9066" w:type="dxa"/>
            <w:gridSpan w:val="3"/>
            <w:tcBorders>
              <w:top w:val="single" w:sz="2" w:space="0" w:color="1F497D" w:themeColor="text2"/>
              <w:bottom w:val="single" w:sz="2" w:space="0" w:color="1F497D" w:themeColor="text2"/>
            </w:tcBorders>
            <w:shd w:val="clear" w:color="auto" w:fill="8DB3E2" w:themeFill="text2" w:themeFillTint="66"/>
          </w:tcPr>
          <w:p w14:paraId="44D31D17" w14:textId="77777777" w:rsidR="00637622" w:rsidRPr="00095F51" w:rsidRDefault="00637622" w:rsidP="00637622">
            <w:pPr>
              <w:pStyle w:val="TableColumnHeadingLeft-Black"/>
            </w:pPr>
            <w:r w:rsidRPr="00095F51">
              <w:t>Deposit Taking and Credit</w:t>
            </w:r>
          </w:p>
        </w:tc>
      </w:tr>
      <w:tr w:rsidR="00637622" w:rsidRPr="000540E1" w14:paraId="47C1C09C" w14:textId="77777777" w:rsidTr="00494432">
        <w:tc>
          <w:tcPr>
            <w:tcW w:w="2410" w:type="dxa"/>
            <w:tcBorders>
              <w:top w:val="single" w:sz="2" w:space="0" w:color="1F497D" w:themeColor="text2"/>
              <w:bottom w:val="single" w:sz="2" w:space="0" w:color="auto"/>
              <w:right w:val="single" w:sz="2" w:space="0" w:color="auto"/>
            </w:tcBorders>
            <w:shd w:val="clear" w:color="auto" w:fill="DBE5F1" w:themeFill="accent1" w:themeFillTint="33"/>
          </w:tcPr>
          <w:p w14:paraId="64A66E82" w14:textId="77777777" w:rsidR="00637622" w:rsidRPr="00095F51" w:rsidRDefault="00637622" w:rsidP="00637622">
            <w:pPr>
              <w:pStyle w:val="TableRowHeadingLeft"/>
            </w:pPr>
            <w:r w:rsidRPr="00095F51">
              <w:t>Credit providers</w:t>
            </w:r>
          </w:p>
        </w:tc>
        <w:tc>
          <w:tcPr>
            <w:tcW w:w="2410" w:type="dxa"/>
            <w:tcBorders>
              <w:top w:val="single" w:sz="2" w:space="0" w:color="1F497D" w:themeColor="text2"/>
              <w:left w:val="single" w:sz="2" w:space="0" w:color="auto"/>
              <w:bottom w:val="single" w:sz="2" w:space="0" w:color="auto"/>
              <w:right w:val="single" w:sz="2" w:space="0" w:color="auto"/>
            </w:tcBorders>
          </w:tcPr>
          <w:p w14:paraId="5FEA4D29" w14:textId="77777777" w:rsidR="00637622" w:rsidRPr="00396046" w:rsidRDefault="00637622" w:rsidP="00637622">
            <w:pPr>
              <w:pStyle w:val="TableTextLeft"/>
            </w:pPr>
            <w:r w:rsidRPr="00396046">
              <w:t>Credit lent</w:t>
            </w:r>
          </w:p>
        </w:tc>
        <w:tc>
          <w:tcPr>
            <w:tcW w:w="4246" w:type="dxa"/>
            <w:tcBorders>
              <w:top w:val="single" w:sz="2" w:space="0" w:color="1F497D" w:themeColor="text2"/>
              <w:left w:val="single" w:sz="2" w:space="0" w:color="auto"/>
              <w:bottom w:val="single" w:sz="2" w:space="0" w:color="auto"/>
            </w:tcBorders>
          </w:tcPr>
          <w:p w14:paraId="04979F2A" w14:textId="2F9600BA" w:rsidR="00637622" w:rsidRPr="00396046" w:rsidRDefault="00637622" w:rsidP="00637622">
            <w:pPr>
              <w:pStyle w:val="TableTextLeft"/>
            </w:pPr>
            <w:r w:rsidRPr="00396046">
              <w:t>The total amount of credit provided under credit contracts (other than small amount credit contracts) by the credit provider.</w:t>
            </w:r>
            <w:r w:rsidRPr="00396046">
              <w:rPr>
                <w:rStyle w:val="FootnoteReference"/>
                <w:rFonts w:asciiTheme="minorHAnsi" w:hAnsiTheme="minorHAnsi"/>
                <w:sz w:val="22"/>
                <w:szCs w:val="22"/>
              </w:rPr>
              <w:footnoteReference w:id="7"/>
            </w:r>
          </w:p>
        </w:tc>
      </w:tr>
      <w:tr w:rsidR="00637622" w:rsidRPr="000540E1" w14:paraId="7C897EB8" w14:textId="77777777" w:rsidTr="00494432">
        <w:tc>
          <w:tcPr>
            <w:tcW w:w="2410" w:type="dxa"/>
            <w:tcBorders>
              <w:top w:val="single" w:sz="2" w:space="0" w:color="auto"/>
              <w:bottom w:val="single" w:sz="2" w:space="0" w:color="auto"/>
              <w:right w:val="single" w:sz="2" w:space="0" w:color="auto"/>
            </w:tcBorders>
            <w:shd w:val="clear" w:color="auto" w:fill="DBE5F1" w:themeFill="accent1" w:themeFillTint="33"/>
          </w:tcPr>
          <w:p w14:paraId="6F06FCE8" w14:textId="77777777" w:rsidR="00637622" w:rsidRPr="00095F51" w:rsidRDefault="00637622" w:rsidP="00637622">
            <w:pPr>
              <w:pStyle w:val="TableRowHeadingLeft"/>
            </w:pPr>
            <w:r w:rsidRPr="00095F51">
              <w:t>Credit intermediaries</w:t>
            </w:r>
          </w:p>
        </w:tc>
        <w:tc>
          <w:tcPr>
            <w:tcW w:w="2410" w:type="dxa"/>
            <w:tcBorders>
              <w:top w:val="single" w:sz="2" w:space="0" w:color="auto"/>
              <w:left w:val="single" w:sz="2" w:space="0" w:color="auto"/>
              <w:bottom w:val="single" w:sz="2" w:space="0" w:color="auto"/>
              <w:right w:val="single" w:sz="2" w:space="0" w:color="auto"/>
            </w:tcBorders>
          </w:tcPr>
          <w:p w14:paraId="7A21411F" w14:textId="77777777" w:rsidR="00637622" w:rsidRPr="00396046" w:rsidRDefault="00637622" w:rsidP="00637622">
            <w:pPr>
              <w:pStyle w:val="TableTextLeft"/>
            </w:pPr>
            <w:r w:rsidRPr="00396046">
              <w:t>Credit intermediated</w:t>
            </w:r>
          </w:p>
        </w:tc>
        <w:tc>
          <w:tcPr>
            <w:tcW w:w="4246" w:type="dxa"/>
            <w:tcBorders>
              <w:top w:val="single" w:sz="2" w:space="0" w:color="auto"/>
              <w:left w:val="single" w:sz="2" w:space="0" w:color="auto"/>
              <w:bottom w:val="single" w:sz="2" w:space="0" w:color="auto"/>
            </w:tcBorders>
          </w:tcPr>
          <w:p w14:paraId="68CC313A" w14:textId="77777777" w:rsidR="00637622" w:rsidRPr="00396046" w:rsidRDefault="00637622" w:rsidP="00637622">
            <w:pPr>
              <w:pStyle w:val="TableTextLeft"/>
            </w:pPr>
            <w:r w:rsidRPr="00396046">
              <w:t>The total amount of credit provided under credit contracts in relation to which the person provided a credit service.</w:t>
            </w:r>
            <w:r w:rsidRPr="00396046">
              <w:rPr>
                <w:vertAlign w:val="superscript"/>
              </w:rPr>
              <w:t>7</w:t>
            </w:r>
          </w:p>
        </w:tc>
      </w:tr>
      <w:tr w:rsidR="00637622" w:rsidRPr="000540E1" w14:paraId="41E79C0F" w14:textId="77777777" w:rsidTr="00494432">
        <w:tc>
          <w:tcPr>
            <w:tcW w:w="2410" w:type="dxa"/>
            <w:tcBorders>
              <w:top w:val="single" w:sz="2" w:space="0" w:color="auto"/>
              <w:bottom w:val="single" w:sz="2" w:space="0" w:color="auto"/>
              <w:right w:val="single" w:sz="2" w:space="0" w:color="auto"/>
            </w:tcBorders>
            <w:shd w:val="clear" w:color="auto" w:fill="DBE5F1" w:themeFill="accent1" w:themeFillTint="33"/>
          </w:tcPr>
          <w:p w14:paraId="41CF5453" w14:textId="77777777" w:rsidR="00637622" w:rsidRPr="00095F51" w:rsidRDefault="00637622" w:rsidP="00637622">
            <w:pPr>
              <w:pStyle w:val="TableRowHeadingLeft"/>
            </w:pPr>
            <w:r w:rsidRPr="00095F51">
              <w:t>Small amount credit providers</w:t>
            </w:r>
          </w:p>
        </w:tc>
        <w:tc>
          <w:tcPr>
            <w:tcW w:w="2410" w:type="dxa"/>
            <w:tcBorders>
              <w:top w:val="single" w:sz="2" w:space="0" w:color="auto"/>
              <w:left w:val="single" w:sz="2" w:space="0" w:color="auto"/>
              <w:bottom w:val="single" w:sz="2" w:space="0" w:color="auto"/>
              <w:right w:val="single" w:sz="2" w:space="0" w:color="auto"/>
            </w:tcBorders>
          </w:tcPr>
          <w:p w14:paraId="49E2DB2E" w14:textId="77777777" w:rsidR="00637622" w:rsidRPr="00396046" w:rsidRDefault="00637622" w:rsidP="00637622">
            <w:pPr>
              <w:pStyle w:val="TableTextLeft"/>
            </w:pPr>
            <w:r w:rsidRPr="00396046">
              <w:t>Credit lent</w:t>
            </w:r>
          </w:p>
        </w:tc>
        <w:tc>
          <w:tcPr>
            <w:tcW w:w="4246" w:type="dxa"/>
            <w:tcBorders>
              <w:top w:val="single" w:sz="2" w:space="0" w:color="auto"/>
              <w:left w:val="single" w:sz="2" w:space="0" w:color="auto"/>
              <w:bottom w:val="single" w:sz="2" w:space="0" w:color="auto"/>
            </w:tcBorders>
          </w:tcPr>
          <w:p w14:paraId="1EFF4430" w14:textId="77777777" w:rsidR="00637622" w:rsidRPr="00396046" w:rsidRDefault="00637622" w:rsidP="00637622">
            <w:pPr>
              <w:pStyle w:val="TableTextLeft"/>
            </w:pPr>
            <w:r w:rsidRPr="00396046">
              <w:t>The total amount of credit provided under small amount credit contracts by the credit provider.</w:t>
            </w:r>
            <w:r w:rsidRPr="00396046">
              <w:rPr>
                <w:vertAlign w:val="superscript"/>
              </w:rPr>
              <w:t>7</w:t>
            </w:r>
            <w:r w:rsidRPr="00396046" w:rsidDel="00411111">
              <w:t xml:space="preserve"> </w:t>
            </w:r>
          </w:p>
        </w:tc>
      </w:tr>
    </w:tbl>
    <w:p w14:paraId="1E6D34E7" w14:textId="4D67D4A3" w:rsidR="00637622" w:rsidRDefault="00637622">
      <w:pPr>
        <w:rPr>
          <w:b/>
          <w:bCs/>
        </w:rPr>
      </w:pPr>
      <w:r>
        <w:rPr>
          <w:b/>
          <w:bCs/>
        </w:rPr>
        <w:br w:type="page"/>
      </w:r>
    </w:p>
    <w:p w14:paraId="79B5C587" w14:textId="2FD78C13" w:rsidR="00637622" w:rsidRDefault="00637622" w:rsidP="00637622">
      <w:pPr>
        <w:pStyle w:val="TableMainHeadingCont"/>
      </w:pPr>
      <w:r>
        <w:t xml:space="preserve">Table </w:t>
      </w:r>
      <w:r w:rsidR="00A31BDC">
        <w:t>4</w:t>
      </w:r>
      <w:r>
        <w:t>:</w:t>
      </w:r>
      <w:r>
        <w:tab/>
        <w:t>Proposed definitions of levy metrics (continued)</w:t>
      </w:r>
    </w:p>
    <w:tbl>
      <w:tblPr>
        <w:tblW w:w="0" w:type="auto"/>
        <w:tblLayout w:type="fixed"/>
        <w:tblLook w:val="04A0" w:firstRow="1" w:lastRow="0" w:firstColumn="1" w:lastColumn="0" w:noHBand="0" w:noVBand="1"/>
      </w:tblPr>
      <w:tblGrid>
        <w:gridCol w:w="2410"/>
        <w:gridCol w:w="2410"/>
        <w:gridCol w:w="4246"/>
      </w:tblGrid>
      <w:tr w:rsidR="00637622" w:rsidRPr="000540E1" w14:paraId="0F318F57" w14:textId="77777777" w:rsidTr="0040383F">
        <w:tc>
          <w:tcPr>
            <w:tcW w:w="2410" w:type="dxa"/>
            <w:tcBorders>
              <w:bottom w:val="single" w:sz="2" w:space="0" w:color="FFFFFF" w:themeColor="background1"/>
              <w:right w:val="single" w:sz="2" w:space="0" w:color="FFFFFF" w:themeColor="background1"/>
            </w:tcBorders>
            <w:shd w:val="clear" w:color="auto" w:fill="1F497D" w:themeFill="text2"/>
          </w:tcPr>
          <w:p w14:paraId="39C3E91E" w14:textId="77777777" w:rsidR="00637622" w:rsidRPr="00A21459" w:rsidRDefault="00637622" w:rsidP="00902D9F">
            <w:pPr>
              <w:pStyle w:val="TableColumnHeadingLeft"/>
            </w:pPr>
            <w:r w:rsidRPr="00A21459">
              <w:t>Industry subsector</w:t>
            </w:r>
          </w:p>
        </w:tc>
        <w:tc>
          <w:tcPr>
            <w:tcW w:w="2410" w:type="dxa"/>
            <w:tcBorders>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2BD2E922" w14:textId="77777777" w:rsidR="00637622" w:rsidRPr="00396046" w:rsidRDefault="00637622" w:rsidP="00902D9F">
            <w:pPr>
              <w:pStyle w:val="TableColumnHeadingLeft"/>
            </w:pPr>
            <w:r w:rsidRPr="00396046">
              <w:t>Proposed levy metric</w:t>
            </w:r>
          </w:p>
        </w:tc>
        <w:tc>
          <w:tcPr>
            <w:tcW w:w="4246" w:type="dxa"/>
            <w:tcBorders>
              <w:left w:val="single" w:sz="2" w:space="0" w:color="FFFFFF" w:themeColor="background1"/>
              <w:bottom w:val="single" w:sz="2" w:space="0" w:color="FFFFFF" w:themeColor="background1"/>
            </w:tcBorders>
            <w:shd w:val="clear" w:color="auto" w:fill="1F497D" w:themeFill="text2"/>
          </w:tcPr>
          <w:p w14:paraId="554690E5" w14:textId="77777777" w:rsidR="00637622" w:rsidRPr="00396046" w:rsidRDefault="00637622" w:rsidP="00902D9F">
            <w:pPr>
              <w:pStyle w:val="TableColumnHeadingLeft"/>
            </w:pPr>
            <w:r w:rsidRPr="00396046">
              <w:t>Proposed definition</w:t>
            </w:r>
          </w:p>
        </w:tc>
      </w:tr>
      <w:tr w:rsidR="00637622" w:rsidRPr="000540E1" w14:paraId="7DCA9E32" w14:textId="77777777" w:rsidTr="00494432">
        <w:tc>
          <w:tcPr>
            <w:tcW w:w="9066" w:type="dxa"/>
            <w:gridSpan w:val="3"/>
            <w:tcBorders>
              <w:top w:val="single" w:sz="2" w:space="0" w:color="FFFFFF" w:themeColor="background1"/>
              <w:bottom w:val="single" w:sz="2" w:space="0" w:color="auto"/>
            </w:tcBorders>
            <w:shd w:val="clear" w:color="auto" w:fill="8DB3E2" w:themeFill="text2" w:themeFillTint="66"/>
          </w:tcPr>
          <w:p w14:paraId="0B41FE6F" w14:textId="045B7519" w:rsidR="00637622" w:rsidRPr="00095F51" w:rsidRDefault="00637622" w:rsidP="00902D9F">
            <w:pPr>
              <w:pStyle w:val="TableColumnHeadingLeft-Black"/>
            </w:pPr>
            <w:r w:rsidRPr="00095F51">
              <w:t>Deposit Taking and Credit</w:t>
            </w:r>
            <w:r>
              <w:t xml:space="preserve"> (continued)</w:t>
            </w:r>
          </w:p>
        </w:tc>
      </w:tr>
      <w:tr w:rsidR="00637622" w:rsidRPr="000540E1" w14:paraId="3594811B" w14:textId="77777777" w:rsidTr="00494432">
        <w:tc>
          <w:tcPr>
            <w:tcW w:w="2410" w:type="dxa"/>
            <w:tcBorders>
              <w:top w:val="single" w:sz="2" w:space="0" w:color="auto"/>
              <w:bottom w:val="single" w:sz="2" w:space="0" w:color="auto"/>
              <w:right w:val="single" w:sz="2" w:space="0" w:color="auto"/>
            </w:tcBorders>
            <w:shd w:val="clear" w:color="auto" w:fill="DBE5F1" w:themeFill="accent1" w:themeFillTint="33"/>
          </w:tcPr>
          <w:p w14:paraId="6D5AD53F" w14:textId="0CD6905F" w:rsidR="00637622" w:rsidRPr="00095F51" w:rsidRDefault="00637622" w:rsidP="00637622">
            <w:pPr>
              <w:pStyle w:val="TableRowHeadingLeft"/>
            </w:pPr>
            <w:r w:rsidRPr="00095F51">
              <w:t>Deposit product providers</w:t>
            </w:r>
          </w:p>
        </w:tc>
        <w:tc>
          <w:tcPr>
            <w:tcW w:w="2410" w:type="dxa"/>
            <w:tcBorders>
              <w:top w:val="single" w:sz="2" w:space="0" w:color="auto"/>
              <w:left w:val="single" w:sz="2" w:space="0" w:color="auto"/>
              <w:bottom w:val="single" w:sz="2" w:space="0" w:color="auto"/>
              <w:right w:val="single" w:sz="2" w:space="0" w:color="auto"/>
            </w:tcBorders>
          </w:tcPr>
          <w:p w14:paraId="50B3BE02" w14:textId="77777777" w:rsidR="00637622" w:rsidRPr="00396046" w:rsidRDefault="00637622" w:rsidP="00637622">
            <w:pPr>
              <w:pStyle w:val="TableTextLeft"/>
            </w:pPr>
            <w:r w:rsidRPr="00396046">
              <w:t>Deposits</w:t>
            </w:r>
          </w:p>
        </w:tc>
        <w:tc>
          <w:tcPr>
            <w:tcW w:w="4246" w:type="dxa"/>
            <w:tcBorders>
              <w:top w:val="single" w:sz="2" w:space="0" w:color="auto"/>
              <w:left w:val="single" w:sz="2" w:space="0" w:color="auto"/>
              <w:bottom w:val="single" w:sz="2" w:space="0" w:color="auto"/>
            </w:tcBorders>
          </w:tcPr>
          <w:p w14:paraId="1A8D30C4" w14:textId="77777777" w:rsidR="00637622" w:rsidRPr="00396046" w:rsidRDefault="00637622" w:rsidP="00637622">
            <w:pPr>
              <w:pStyle w:val="TableTextLeft"/>
            </w:pPr>
            <w:r w:rsidRPr="00396046">
              <w:t>Total deposits comprise transaction deposit accounts, non-transaction deposit accounts, certificates of deposit and foreign currency deposits, but exclude intra-group deposits.</w:t>
            </w:r>
            <w:r w:rsidRPr="00396046">
              <w:rPr>
                <w:rStyle w:val="FootnoteReference"/>
                <w:rFonts w:asciiTheme="minorHAnsi" w:hAnsiTheme="minorHAnsi"/>
                <w:sz w:val="22"/>
                <w:szCs w:val="22"/>
              </w:rPr>
              <w:footnoteReference w:id="8"/>
            </w:r>
          </w:p>
        </w:tc>
      </w:tr>
      <w:tr w:rsidR="00637622" w:rsidRPr="000540E1" w14:paraId="10B55602" w14:textId="77777777" w:rsidTr="00494432">
        <w:tc>
          <w:tcPr>
            <w:tcW w:w="2410" w:type="dxa"/>
            <w:tcBorders>
              <w:top w:val="single" w:sz="2" w:space="0" w:color="auto"/>
              <w:bottom w:val="single" w:sz="2" w:space="0" w:color="1F497D" w:themeColor="text2"/>
              <w:right w:val="single" w:sz="2" w:space="0" w:color="auto"/>
            </w:tcBorders>
            <w:shd w:val="clear" w:color="auto" w:fill="DBE5F1" w:themeFill="accent1" w:themeFillTint="33"/>
          </w:tcPr>
          <w:p w14:paraId="1D29C19A" w14:textId="77777777" w:rsidR="00637622" w:rsidRPr="00095F51" w:rsidRDefault="00637622" w:rsidP="00637622">
            <w:pPr>
              <w:pStyle w:val="TableRowHeadingLeft"/>
            </w:pPr>
            <w:r w:rsidRPr="00095F51">
              <w:t>Payment product providers</w:t>
            </w:r>
          </w:p>
        </w:tc>
        <w:tc>
          <w:tcPr>
            <w:tcW w:w="2410" w:type="dxa"/>
            <w:tcBorders>
              <w:top w:val="single" w:sz="2" w:space="0" w:color="auto"/>
              <w:left w:val="single" w:sz="2" w:space="0" w:color="auto"/>
              <w:bottom w:val="single" w:sz="2" w:space="0" w:color="auto"/>
              <w:right w:val="single" w:sz="2" w:space="0" w:color="auto"/>
            </w:tcBorders>
          </w:tcPr>
          <w:p w14:paraId="65F4EDC9" w14:textId="77777777" w:rsidR="00637622" w:rsidRPr="00396046" w:rsidRDefault="00637622" w:rsidP="00637622">
            <w:pPr>
              <w:pStyle w:val="TableTextLeft"/>
            </w:pPr>
            <w:r w:rsidRPr="00396046">
              <w:t>Revenue from payment product activity</w:t>
            </w:r>
          </w:p>
        </w:tc>
        <w:tc>
          <w:tcPr>
            <w:tcW w:w="4246" w:type="dxa"/>
            <w:tcBorders>
              <w:top w:val="single" w:sz="2" w:space="0" w:color="auto"/>
              <w:left w:val="single" w:sz="2" w:space="0" w:color="auto"/>
              <w:bottom w:val="single" w:sz="2" w:space="0" w:color="1F497D" w:themeColor="text2"/>
            </w:tcBorders>
          </w:tcPr>
          <w:p w14:paraId="005324BF" w14:textId="77777777" w:rsidR="00637622" w:rsidRPr="00396046" w:rsidRDefault="00637622" w:rsidP="00637622">
            <w:pPr>
              <w:pStyle w:val="TableTextLeft"/>
            </w:pPr>
            <w:r w:rsidRPr="00396046">
              <w:t>Total revenue received less expenses incurred by the licensee from non-cash payment facilities the licensee has dealt in.</w:t>
            </w:r>
          </w:p>
        </w:tc>
      </w:tr>
      <w:tr w:rsidR="00637622" w:rsidRPr="000540E1" w14:paraId="0533765E" w14:textId="77777777" w:rsidTr="001D5B13">
        <w:tc>
          <w:tcPr>
            <w:tcW w:w="9066" w:type="dxa"/>
            <w:gridSpan w:val="3"/>
            <w:tcBorders>
              <w:top w:val="single" w:sz="2" w:space="0" w:color="1F497D" w:themeColor="text2"/>
              <w:bottom w:val="single" w:sz="2" w:space="0" w:color="1F497D" w:themeColor="text2"/>
            </w:tcBorders>
            <w:shd w:val="clear" w:color="auto" w:fill="8DB3E2" w:themeFill="text2" w:themeFillTint="66"/>
          </w:tcPr>
          <w:p w14:paraId="17B13B0F" w14:textId="77777777" w:rsidR="00637622" w:rsidRPr="00095F51" w:rsidRDefault="00637622" w:rsidP="00637622">
            <w:pPr>
              <w:pStyle w:val="TableColumnHeadingLeft-Black"/>
            </w:pPr>
            <w:r w:rsidRPr="00095F51">
              <w:t>Investment Managers, Superannuation and Related Services</w:t>
            </w:r>
          </w:p>
        </w:tc>
      </w:tr>
      <w:tr w:rsidR="00637622" w:rsidRPr="000540E1" w14:paraId="47ABCA0C" w14:textId="77777777" w:rsidTr="00494432">
        <w:tc>
          <w:tcPr>
            <w:tcW w:w="2410" w:type="dxa"/>
            <w:tcBorders>
              <w:top w:val="single" w:sz="2" w:space="0" w:color="1F497D" w:themeColor="text2"/>
              <w:bottom w:val="single" w:sz="2" w:space="0" w:color="auto"/>
              <w:right w:val="single" w:sz="2" w:space="0" w:color="auto"/>
            </w:tcBorders>
            <w:shd w:val="clear" w:color="auto" w:fill="DBE5F1" w:themeFill="accent1" w:themeFillTint="33"/>
          </w:tcPr>
          <w:p w14:paraId="2250977F" w14:textId="77777777" w:rsidR="00637622" w:rsidRPr="00095F51" w:rsidRDefault="00637622" w:rsidP="00637622">
            <w:pPr>
              <w:pStyle w:val="TableRowHeadingLeft"/>
            </w:pPr>
            <w:r w:rsidRPr="00095F51">
              <w:t>Responsible entities</w:t>
            </w:r>
          </w:p>
        </w:tc>
        <w:tc>
          <w:tcPr>
            <w:tcW w:w="2410" w:type="dxa"/>
            <w:tcBorders>
              <w:left w:val="single" w:sz="2" w:space="0" w:color="auto"/>
              <w:bottom w:val="single" w:sz="2" w:space="0" w:color="auto"/>
              <w:right w:val="single" w:sz="2" w:space="0" w:color="auto"/>
            </w:tcBorders>
          </w:tcPr>
          <w:p w14:paraId="08D0BAA3" w14:textId="77777777" w:rsidR="00637622" w:rsidRPr="00396046" w:rsidRDefault="00637622" w:rsidP="00637622">
            <w:pPr>
              <w:pStyle w:val="TableTextLeft"/>
            </w:pPr>
            <w:r w:rsidRPr="00396046">
              <w:t>Funds under management</w:t>
            </w:r>
          </w:p>
        </w:tc>
        <w:tc>
          <w:tcPr>
            <w:tcW w:w="4246" w:type="dxa"/>
            <w:tcBorders>
              <w:top w:val="single" w:sz="2" w:space="0" w:color="1F497D" w:themeColor="text2"/>
              <w:left w:val="single" w:sz="2" w:space="0" w:color="auto"/>
              <w:bottom w:val="single" w:sz="2" w:space="0" w:color="auto"/>
            </w:tcBorders>
          </w:tcPr>
          <w:p w14:paraId="4A94C08D" w14:textId="77777777" w:rsidR="00637622" w:rsidRPr="00396046" w:rsidRDefault="00637622" w:rsidP="00637622">
            <w:pPr>
              <w:pStyle w:val="TableTextLeft"/>
            </w:pPr>
            <w:r w:rsidRPr="00396046">
              <w:t xml:space="preserve">The total gross assets of each registered scheme from the scheme’s financial reports lodged with ASIC under section 319 of the Corporations Act. </w:t>
            </w:r>
          </w:p>
        </w:tc>
      </w:tr>
      <w:tr w:rsidR="00637622" w:rsidRPr="000540E1" w14:paraId="5373B88F" w14:textId="77777777" w:rsidTr="00494432">
        <w:tc>
          <w:tcPr>
            <w:tcW w:w="2410" w:type="dxa"/>
            <w:tcBorders>
              <w:top w:val="single" w:sz="2" w:space="0" w:color="auto"/>
              <w:bottom w:val="single" w:sz="2" w:space="0" w:color="auto"/>
              <w:right w:val="single" w:sz="2" w:space="0" w:color="auto"/>
            </w:tcBorders>
            <w:shd w:val="clear" w:color="auto" w:fill="DBE5F1" w:themeFill="accent1" w:themeFillTint="33"/>
          </w:tcPr>
          <w:p w14:paraId="24730C9F" w14:textId="77777777" w:rsidR="00637622" w:rsidRPr="00095F51" w:rsidRDefault="00637622" w:rsidP="00637622">
            <w:pPr>
              <w:pStyle w:val="TableRowHeadingLeft"/>
            </w:pPr>
            <w:r w:rsidRPr="00095F51">
              <w:t>Superannuation trustees</w:t>
            </w:r>
          </w:p>
        </w:tc>
        <w:tc>
          <w:tcPr>
            <w:tcW w:w="2410" w:type="dxa"/>
            <w:tcBorders>
              <w:top w:val="single" w:sz="2" w:space="0" w:color="auto"/>
              <w:left w:val="single" w:sz="2" w:space="0" w:color="auto"/>
              <w:bottom w:val="single" w:sz="2" w:space="0" w:color="auto"/>
              <w:right w:val="single" w:sz="2" w:space="0" w:color="auto"/>
            </w:tcBorders>
          </w:tcPr>
          <w:p w14:paraId="6CB7F691" w14:textId="77777777" w:rsidR="00637622" w:rsidRPr="00396046" w:rsidRDefault="00637622" w:rsidP="00637622">
            <w:pPr>
              <w:pStyle w:val="TableTextLeft"/>
            </w:pPr>
            <w:r w:rsidRPr="00396046">
              <w:t>Funds under management</w:t>
            </w:r>
          </w:p>
        </w:tc>
        <w:tc>
          <w:tcPr>
            <w:tcW w:w="4246" w:type="dxa"/>
            <w:tcBorders>
              <w:top w:val="single" w:sz="2" w:space="0" w:color="auto"/>
              <w:left w:val="single" w:sz="2" w:space="0" w:color="auto"/>
              <w:bottom w:val="single" w:sz="2" w:space="0" w:color="auto"/>
            </w:tcBorders>
          </w:tcPr>
          <w:p w14:paraId="687B0B77" w14:textId="73FA51DA" w:rsidR="00637622" w:rsidRPr="00396046" w:rsidRDefault="00637622" w:rsidP="00637622">
            <w:pPr>
              <w:pStyle w:val="TableTextLeft"/>
            </w:pPr>
            <w:r w:rsidRPr="00396046">
              <w:t>The total gross assets of an RSE licensee, based on data reported to APRA, as at 30 June each financial year.</w:t>
            </w:r>
            <w:r w:rsidRPr="00396046">
              <w:rPr>
                <w:rStyle w:val="FootnoteReference"/>
                <w:rFonts w:asciiTheme="minorHAnsi" w:hAnsiTheme="minorHAnsi"/>
                <w:b/>
                <w:sz w:val="22"/>
                <w:szCs w:val="22"/>
              </w:rPr>
              <w:footnoteReference w:id="9"/>
            </w:r>
          </w:p>
        </w:tc>
      </w:tr>
      <w:tr w:rsidR="00637622" w:rsidRPr="000540E1" w14:paraId="6804710D" w14:textId="77777777" w:rsidTr="00494432">
        <w:tc>
          <w:tcPr>
            <w:tcW w:w="2410" w:type="dxa"/>
            <w:tcBorders>
              <w:top w:val="single" w:sz="2" w:space="0" w:color="auto"/>
              <w:bottom w:val="single" w:sz="2" w:space="0" w:color="auto"/>
              <w:right w:val="single" w:sz="2" w:space="0" w:color="auto"/>
            </w:tcBorders>
            <w:shd w:val="clear" w:color="auto" w:fill="DBE5F1" w:themeFill="accent1" w:themeFillTint="33"/>
          </w:tcPr>
          <w:p w14:paraId="197C281C" w14:textId="77777777" w:rsidR="00637622" w:rsidRPr="00095F51" w:rsidRDefault="00637622" w:rsidP="00637622">
            <w:pPr>
              <w:pStyle w:val="TableRowHeadingLeft"/>
            </w:pPr>
            <w:r w:rsidRPr="00095F51">
              <w:t>Operator of an Investor Directed Portfolio Service</w:t>
            </w:r>
          </w:p>
        </w:tc>
        <w:tc>
          <w:tcPr>
            <w:tcW w:w="2410" w:type="dxa"/>
            <w:tcBorders>
              <w:top w:val="single" w:sz="2" w:space="0" w:color="auto"/>
              <w:left w:val="single" w:sz="2" w:space="0" w:color="auto"/>
              <w:bottom w:val="single" w:sz="2" w:space="0" w:color="auto"/>
              <w:right w:val="single" w:sz="2" w:space="0" w:color="auto"/>
            </w:tcBorders>
          </w:tcPr>
          <w:p w14:paraId="4B1B6BB3" w14:textId="77777777" w:rsidR="00637622" w:rsidRPr="00396046" w:rsidRDefault="00637622" w:rsidP="00637622">
            <w:pPr>
              <w:pStyle w:val="TableTextLeft"/>
            </w:pPr>
            <w:r w:rsidRPr="00396046">
              <w:t>Revenue from IDPS activity</w:t>
            </w:r>
          </w:p>
        </w:tc>
        <w:tc>
          <w:tcPr>
            <w:tcW w:w="4246" w:type="dxa"/>
            <w:tcBorders>
              <w:top w:val="single" w:sz="2" w:space="0" w:color="auto"/>
              <w:left w:val="single" w:sz="2" w:space="0" w:color="auto"/>
              <w:bottom w:val="single" w:sz="2" w:space="0" w:color="auto"/>
            </w:tcBorders>
          </w:tcPr>
          <w:p w14:paraId="75FF8E56" w14:textId="77777777" w:rsidR="00637622" w:rsidRPr="00396046" w:rsidRDefault="00637622" w:rsidP="00637622">
            <w:pPr>
              <w:pStyle w:val="TableTextLeft"/>
            </w:pPr>
            <w:r w:rsidRPr="00396046">
              <w:t>Any revenue, or other amount paid or payable out of IDPS property, for the performance of the obligations imposed on the licensee as an operator of an IDPS, for the financial year ending on the relevant date even if those obligations are performed by another entity.</w:t>
            </w:r>
          </w:p>
        </w:tc>
      </w:tr>
      <w:tr w:rsidR="00637622" w:rsidRPr="000540E1" w14:paraId="0D0669A6" w14:textId="77777777" w:rsidTr="00494432">
        <w:tc>
          <w:tcPr>
            <w:tcW w:w="2410" w:type="dxa"/>
            <w:tcBorders>
              <w:top w:val="single" w:sz="2" w:space="0" w:color="auto"/>
              <w:bottom w:val="single" w:sz="2" w:space="0" w:color="1F497D" w:themeColor="text2"/>
              <w:right w:val="single" w:sz="2" w:space="0" w:color="auto"/>
            </w:tcBorders>
            <w:shd w:val="clear" w:color="auto" w:fill="DBE5F1" w:themeFill="accent1" w:themeFillTint="33"/>
          </w:tcPr>
          <w:p w14:paraId="0D71EAA6" w14:textId="77777777" w:rsidR="00637622" w:rsidRPr="00095F51" w:rsidRDefault="00637622" w:rsidP="00637622">
            <w:pPr>
              <w:pStyle w:val="TableRowHeadingLeft"/>
            </w:pPr>
            <w:r w:rsidRPr="00095F51">
              <w:t>Wholesale trustees</w:t>
            </w:r>
          </w:p>
        </w:tc>
        <w:tc>
          <w:tcPr>
            <w:tcW w:w="2410" w:type="dxa"/>
            <w:tcBorders>
              <w:top w:val="single" w:sz="2" w:space="0" w:color="auto"/>
              <w:left w:val="single" w:sz="2" w:space="0" w:color="auto"/>
              <w:bottom w:val="single" w:sz="2" w:space="0" w:color="1F497D" w:themeColor="text2"/>
              <w:right w:val="single" w:sz="2" w:space="0" w:color="auto"/>
            </w:tcBorders>
          </w:tcPr>
          <w:p w14:paraId="66439D7F" w14:textId="77777777" w:rsidR="00637622" w:rsidRPr="00396046" w:rsidRDefault="00637622" w:rsidP="00637622">
            <w:pPr>
              <w:pStyle w:val="TableTextLeft"/>
            </w:pPr>
            <w:r w:rsidRPr="00396046">
              <w:t xml:space="preserve">Gross assets </w:t>
            </w:r>
          </w:p>
        </w:tc>
        <w:tc>
          <w:tcPr>
            <w:tcW w:w="4246" w:type="dxa"/>
            <w:tcBorders>
              <w:top w:val="single" w:sz="2" w:space="0" w:color="auto"/>
              <w:left w:val="single" w:sz="2" w:space="0" w:color="auto"/>
              <w:bottom w:val="single" w:sz="2" w:space="0" w:color="1F497D" w:themeColor="text2"/>
            </w:tcBorders>
          </w:tcPr>
          <w:p w14:paraId="4AFDFE02" w14:textId="77777777" w:rsidR="00637622" w:rsidRPr="00396046" w:rsidRDefault="00637622" w:rsidP="00637622">
            <w:pPr>
              <w:pStyle w:val="TableTextLeft"/>
            </w:pPr>
            <w:r w:rsidRPr="00396046">
              <w:t>The market value as at 30 June of the gross assets in managed investment schemes managed by the wholesale trustee.</w:t>
            </w:r>
          </w:p>
        </w:tc>
      </w:tr>
      <w:tr w:rsidR="00637622" w:rsidRPr="000540E1" w14:paraId="567BB5FC" w14:textId="77777777" w:rsidTr="001D5B13">
        <w:tc>
          <w:tcPr>
            <w:tcW w:w="9066" w:type="dxa"/>
            <w:gridSpan w:val="3"/>
            <w:tcBorders>
              <w:top w:val="single" w:sz="2" w:space="0" w:color="1F497D" w:themeColor="text2"/>
              <w:bottom w:val="single" w:sz="2" w:space="0" w:color="1F497D" w:themeColor="text2"/>
            </w:tcBorders>
            <w:shd w:val="clear" w:color="auto" w:fill="8DB3E2" w:themeFill="text2" w:themeFillTint="66"/>
          </w:tcPr>
          <w:p w14:paraId="4A0FAD64" w14:textId="77777777" w:rsidR="00637622" w:rsidRPr="00095F51" w:rsidRDefault="00637622" w:rsidP="00637622">
            <w:pPr>
              <w:pStyle w:val="TableColumnHeadingLeft-Black"/>
            </w:pPr>
            <w:r w:rsidRPr="00095F51">
              <w:t>Market Infrastructure and Intermediaries</w:t>
            </w:r>
          </w:p>
        </w:tc>
      </w:tr>
      <w:tr w:rsidR="00637622" w:rsidRPr="000540E1" w14:paraId="63142D4E" w14:textId="77777777" w:rsidTr="001D5B13">
        <w:tc>
          <w:tcPr>
            <w:tcW w:w="2410" w:type="dxa"/>
            <w:tcBorders>
              <w:top w:val="single" w:sz="2" w:space="0" w:color="1F497D" w:themeColor="text2"/>
              <w:bottom w:val="single" w:sz="2" w:space="0" w:color="auto"/>
              <w:right w:val="single" w:sz="2" w:space="0" w:color="auto"/>
            </w:tcBorders>
            <w:shd w:val="clear" w:color="auto" w:fill="DBE5F1" w:themeFill="accent1" w:themeFillTint="33"/>
          </w:tcPr>
          <w:p w14:paraId="63016A86" w14:textId="77777777" w:rsidR="00637622" w:rsidRPr="00095F51" w:rsidRDefault="00637622" w:rsidP="00637622">
            <w:pPr>
              <w:pStyle w:val="TableRowHeadingLeft"/>
            </w:pPr>
            <w:r w:rsidRPr="00095F51">
              <w:t>Large equity market operators (domestic)</w:t>
            </w:r>
          </w:p>
        </w:tc>
        <w:tc>
          <w:tcPr>
            <w:tcW w:w="2410" w:type="dxa"/>
            <w:tcBorders>
              <w:top w:val="single" w:sz="2" w:space="0" w:color="1F497D" w:themeColor="text2"/>
              <w:left w:val="single" w:sz="2" w:space="0" w:color="auto"/>
              <w:bottom w:val="single" w:sz="2" w:space="0" w:color="auto"/>
              <w:right w:val="single" w:sz="2" w:space="0" w:color="auto"/>
            </w:tcBorders>
          </w:tcPr>
          <w:p w14:paraId="486078B0" w14:textId="77777777" w:rsidR="00637622" w:rsidRPr="00396046" w:rsidRDefault="00637622" w:rsidP="00637622">
            <w:pPr>
              <w:pStyle w:val="TableTextLeft"/>
            </w:pPr>
            <w:r w:rsidRPr="00396046">
              <w:t>Transactions and messages</w:t>
            </w:r>
          </w:p>
        </w:tc>
        <w:tc>
          <w:tcPr>
            <w:tcW w:w="4246" w:type="dxa"/>
            <w:tcBorders>
              <w:top w:val="single" w:sz="2" w:space="0" w:color="1F497D" w:themeColor="text2"/>
              <w:left w:val="single" w:sz="2" w:space="0" w:color="auto"/>
              <w:bottom w:val="single" w:sz="2" w:space="0" w:color="auto"/>
            </w:tcBorders>
          </w:tcPr>
          <w:p w14:paraId="3802C1E4" w14:textId="77777777" w:rsidR="00637622" w:rsidRPr="00396046" w:rsidRDefault="00637622" w:rsidP="009F72FC">
            <w:pPr>
              <w:pStyle w:val="TableTextNumbering"/>
              <w:numPr>
                <w:ilvl w:val="0"/>
                <w:numId w:val="33"/>
              </w:numPr>
            </w:pPr>
            <w:r w:rsidRPr="00396046">
              <w:t>If the function is performed in relation to the operator ASX Limited:</w:t>
            </w:r>
          </w:p>
          <w:p w14:paraId="5CD52C61" w14:textId="77777777" w:rsidR="00637622" w:rsidRPr="00396046" w:rsidRDefault="00637622" w:rsidP="00637622">
            <w:pPr>
              <w:pStyle w:val="TableTextIndented"/>
            </w:pPr>
            <w:r w:rsidRPr="00396046">
              <w:t>where:</w:t>
            </w:r>
          </w:p>
          <w:p w14:paraId="6A6C981B" w14:textId="0625068D" w:rsidR="00637622" w:rsidRPr="00396046" w:rsidRDefault="00637622" w:rsidP="009F72FC">
            <w:pPr>
              <w:pStyle w:val="TableTextLeft-AlphaNumberingIndent"/>
              <w:numPr>
                <w:ilvl w:val="0"/>
                <w:numId w:val="34"/>
              </w:numPr>
            </w:pPr>
            <w:r w:rsidRPr="00396046">
              <w:t>Transactions are the total number of transactions executed or reported under the operating rules of the financial market operated by ASX Limited during the billing period that are recognised by ASIC’s Market Surveillance System as executed transactions.</w:t>
            </w:r>
          </w:p>
        </w:tc>
      </w:tr>
    </w:tbl>
    <w:p w14:paraId="1DF0A422" w14:textId="4441EEA6" w:rsidR="00AC5221" w:rsidRDefault="00AC5221">
      <w:r>
        <w:br w:type="page"/>
      </w:r>
    </w:p>
    <w:p w14:paraId="79B23255" w14:textId="6A7A6559" w:rsidR="00AC5221" w:rsidRDefault="00AC5221" w:rsidP="00AC5221">
      <w:pPr>
        <w:pStyle w:val="TableMainHeading"/>
      </w:pPr>
      <w:r>
        <w:t xml:space="preserve">Table </w:t>
      </w:r>
      <w:r w:rsidR="00A31BDC">
        <w:t>4</w:t>
      </w:r>
      <w:r>
        <w:t>:</w:t>
      </w:r>
      <w:r>
        <w:tab/>
        <w:t>Proposed definitions of levy metrics (continued)</w:t>
      </w:r>
    </w:p>
    <w:tbl>
      <w:tblPr>
        <w:tblW w:w="0" w:type="auto"/>
        <w:tblLayout w:type="fixed"/>
        <w:tblLook w:val="04A0" w:firstRow="1" w:lastRow="0" w:firstColumn="1" w:lastColumn="0" w:noHBand="0" w:noVBand="1"/>
      </w:tblPr>
      <w:tblGrid>
        <w:gridCol w:w="2410"/>
        <w:gridCol w:w="2410"/>
        <w:gridCol w:w="4246"/>
      </w:tblGrid>
      <w:tr w:rsidR="00AC5221" w:rsidRPr="000540E1" w14:paraId="5818BFD5" w14:textId="77777777" w:rsidTr="0040383F">
        <w:tc>
          <w:tcPr>
            <w:tcW w:w="2410" w:type="dxa"/>
            <w:tcBorders>
              <w:bottom w:val="single" w:sz="2" w:space="0" w:color="FFFFFF" w:themeColor="background1"/>
              <w:right w:val="single" w:sz="2" w:space="0" w:color="FFFFFF" w:themeColor="background1"/>
            </w:tcBorders>
            <w:shd w:val="clear" w:color="auto" w:fill="1F497D" w:themeFill="text2"/>
          </w:tcPr>
          <w:p w14:paraId="00392266" w14:textId="77777777" w:rsidR="00AC5221" w:rsidRPr="00A21459" w:rsidRDefault="00AC5221" w:rsidP="00902D9F">
            <w:pPr>
              <w:pStyle w:val="TableColumnHeadingLeft"/>
            </w:pPr>
            <w:r w:rsidRPr="00A21459">
              <w:t>Industry subsector</w:t>
            </w:r>
          </w:p>
        </w:tc>
        <w:tc>
          <w:tcPr>
            <w:tcW w:w="2410" w:type="dxa"/>
            <w:tcBorders>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2AE941A1" w14:textId="77777777" w:rsidR="00AC5221" w:rsidRPr="00396046" w:rsidRDefault="00AC5221" w:rsidP="00902D9F">
            <w:pPr>
              <w:pStyle w:val="TableColumnHeadingLeft"/>
            </w:pPr>
            <w:r w:rsidRPr="00396046">
              <w:t>Proposed levy metric</w:t>
            </w:r>
          </w:p>
        </w:tc>
        <w:tc>
          <w:tcPr>
            <w:tcW w:w="4246" w:type="dxa"/>
            <w:tcBorders>
              <w:left w:val="single" w:sz="2" w:space="0" w:color="FFFFFF" w:themeColor="background1"/>
              <w:bottom w:val="single" w:sz="2" w:space="0" w:color="FFFFFF" w:themeColor="background1"/>
            </w:tcBorders>
            <w:shd w:val="clear" w:color="auto" w:fill="1F497D" w:themeFill="text2"/>
          </w:tcPr>
          <w:p w14:paraId="51878C28" w14:textId="77777777" w:rsidR="00AC5221" w:rsidRPr="00396046" w:rsidRDefault="00AC5221" w:rsidP="00902D9F">
            <w:pPr>
              <w:pStyle w:val="TableColumnHeadingLeft"/>
            </w:pPr>
            <w:r w:rsidRPr="00396046">
              <w:t>Proposed definition</w:t>
            </w:r>
          </w:p>
        </w:tc>
      </w:tr>
      <w:tr w:rsidR="00AC5221" w:rsidRPr="000540E1" w14:paraId="7350B33C" w14:textId="77777777" w:rsidTr="00494432">
        <w:tc>
          <w:tcPr>
            <w:tcW w:w="9066" w:type="dxa"/>
            <w:gridSpan w:val="3"/>
            <w:tcBorders>
              <w:top w:val="single" w:sz="2" w:space="0" w:color="FFFFFF" w:themeColor="background1"/>
              <w:bottom w:val="single" w:sz="2" w:space="0" w:color="1F497D" w:themeColor="text2"/>
            </w:tcBorders>
            <w:shd w:val="clear" w:color="auto" w:fill="8DB3E2" w:themeFill="text2" w:themeFillTint="66"/>
          </w:tcPr>
          <w:p w14:paraId="767EA36E" w14:textId="49A6BB92" w:rsidR="00AC5221" w:rsidRPr="00095F51" w:rsidRDefault="00AC5221" w:rsidP="00902D9F">
            <w:pPr>
              <w:pStyle w:val="TableColumnHeadingLeft-Black"/>
            </w:pPr>
            <w:r w:rsidRPr="00095F51">
              <w:t>Market Infrastructure and Intermediaries</w:t>
            </w:r>
            <w:r>
              <w:t xml:space="preserve"> (continued)</w:t>
            </w:r>
          </w:p>
        </w:tc>
      </w:tr>
      <w:tr w:rsidR="00637622" w:rsidRPr="000540E1" w14:paraId="726EF8EC" w14:textId="77777777" w:rsidTr="00494432">
        <w:tc>
          <w:tcPr>
            <w:tcW w:w="2410" w:type="dxa"/>
            <w:tcBorders>
              <w:top w:val="single" w:sz="2" w:space="0" w:color="1F497D" w:themeColor="text2"/>
              <w:bottom w:val="single" w:sz="2" w:space="0" w:color="auto"/>
              <w:right w:val="single" w:sz="2" w:space="0" w:color="auto"/>
            </w:tcBorders>
            <w:shd w:val="clear" w:color="auto" w:fill="DBE5F1" w:themeFill="accent1" w:themeFillTint="33"/>
          </w:tcPr>
          <w:p w14:paraId="3087E335" w14:textId="121A8F14" w:rsidR="00637622" w:rsidRDefault="00AC5221" w:rsidP="00637622">
            <w:pPr>
              <w:pStyle w:val="TableTextLeft"/>
            </w:pPr>
            <w:r w:rsidRPr="00095F51">
              <w:rPr>
                <w:b/>
              </w:rPr>
              <w:t>Large equity market operators (domestic)</w:t>
            </w:r>
            <w:r>
              <w:rPr>
                <w:b/>
              </w:rPr>
              <w:t xml:space="preserve"> (continued)</w:t>
            </w:r>
          </w:p>
        </w:tc>
        <w:tc>
          <w:tcPr>
            <w:tcW w:w="2410" w:type="dxa"/>
            <w:tcBorders>
              <w:top w:val="single" w:sz="2" w:space="0" w:color="1F497D" w:themeColor="text2"/>
              <w:left w:val="single" w:sz="2" w:space="0" w:color="auto"/>
              <w:bottom w:val="single" w:sz="2" w:space="0" w:color="auto"/>
              <w:right w:val="single" w:sz="2" w:space="0" w:color="auto"/>
            </w:tcBorders>
          </w:tcPr>
          <w:p w14:paraId="682429F7" w14:textId="345D90CB" w:rsidR="00637622" w:rsidRPr="00396046" w:rsidRDefault="00AC5221" w:rsidP="00637622">
            <w:pPr>
              <w:pStyle w:val="TableTextLeft"/>
            </w:pPr>
            <w:r w:rsidRPr="00396046">
              <w:t>Transactions and messages</w:t>
            </w:r>
            <w:r>
              <w:t xml:space="preserve"> (continued)</w:t>
            </w:r>
          </w:p>
        </w:tc>
        <w:tc>
          <w:tcPr>
            <w:tcW w:w="4246" w:type="dxa"/>
            <w:tcBorders>
              <w:top w:val="single" w:sz="2" w:space="0" w:color="1F497D" w:themeColor="text2"/>
              <w:left w:val="single" w:sz="2" w:space="0" w:color="auto"/>
              <w:bottom w:val="single" w:sz="2" w:space="0" w:color="auto"/>
            </w:tcBorders>
          </w:tcPr>
          <w:p w14:paraId="56D490D1" w14:textId="54093D04" w:rsidR="00637622" w:rsidRDefault="00AC5221" w:rsidP="00AC5221">
            <w:pPr>
              <w:pStyle w:val="TableTextLeft-AlphaNumberingIndent"/>
            </w:pPr>
            <w:r w:rsidRPr="00396046">
              <w:t>Messages are the total number of messages from the financial market operated by ASX Limited during the billing period that are recognised by ASIC’s Market Surveillance System as o</w:t>
            </w:r>
            <w:r>
              <w:t>rders or executed transactions.</w:t>
            </w:r>
          </w:p>
          <w:p w14:paraId="5E76E0E3" w14:textId="77777777" w:rsidR="00637622" w:rsidRPr="00396046" w:rsidRDefault="00637622" w:rsidP="00637622">
            <w:pPr>
              <w:pStyle w:val="TableTextNumbering"/>
            </w:pPr>
            <w:r w:rsidRPr="00396046">
              <w:t>If the function is performed in relation to the operator Chi-X Australia Pty Ltd:</w:t>
            </w:r>
          </w:p>
          <w:p w14:paraId="119E6006" w14:textId="77777777" w:rsidR="00637622" w:rsidRPr="00396046" w:rsidRDefault="00637622" w:rsidP="00637622">
            <w:pPr>
              <w:pStyle w:val="TableTextIndented"/>
            </w:pPr>
            <w:r w:rsidRPr="00396046">
              <w:t>where:</w:t>
            </w:r>
          </w:p>
          <w:p w14:paraId="03D68DD1" w14:textId="77777777" w:rsidR="00637622" w:rsidRPr="00396046" w:rsidRDefault="00637622" w:rsidP="009F72FC">
            <w:pPr>
              <w:pStyle w:val="TableTextLeft-AlphaNumberingIndent"/>
              <w:numPr>
                <w:ilvl w:val="0"/>
                <w:numId w:val="35"/>
              </w:numPr>
            </w:pPr>
            <w:r w:rsidRPr="00396046">
              <w:t>Transactions are the total number of transactions executed or reported under the operating rules of the financial market operated by Chi-X Australia Pty Ltd during the billing period that are recognised by ASIC’s Market Surveillance System as executed transactions.</w:t>
            </w:r>
          </w:p>
          <w:p w14:paraId="4E6ACE08" w14:textId="590B30EA" w:rsidR="00637622" w:rsidRPr="00396046" w:rsidRDefault="00637622" w:rsidP="00637622">
            <w:pPr>
              <w:pStyle w:val="TableTextLeft-AlphaNumberingIndent"/>
            </w:pPr>
            <w:r w:rsidRPr="00396046">
              <w:t>Messages are the total number of messages from the financial market operated by Chi-X Australia Pty Ltd during the billing period that are recognised by ASIC’s Market Surveillance System as orders or executed transactions.</w:t>
            </w:r>
          </w:p>
        </w:tc>
      </w:tr>
      <w:tr w:rsidR="00637622" w:rsidRPr="000540E1" w14:paraId="5D83B035" w14:textId="77777777" w:rsidTr="00494432">
        <w:tc>
          <w:tcPr>
            <w:tcW w:w="2410" w:type="dxa"/>
            <w:tcBorders>
              <w:top w:val="single" w:sz="2" w:space="0" w:color="auto"/>
              <w:bottom w:val="single" w:sz="2" w:space="0" w:color="auto"/>
              <w:right w:val="single" w:sz="2" w:space="0" w:color="auto"/>
            </w:tcBorders>
            <w:shd w:val="clear" w:color="auto" w:fill="DBE5F1" w:themeFill="accent1" w:themeFillTint="33"/>
          </w:tcPr>
          <w:p w14:paraId="181AFFF3" w14:textId="77777777" w:rsidR="00637622" w:rsidRPr="00095F51" w:rsidRDefault="00637622" w:rsidP="00637622">
            <w:pPr>
              <w:pStyle w:val="TableRowHeadingLeft"/>
            </w:pPr>
            <w:r w:rsidRPr="00095F51">
              <w:t>Market participants</w:t>
            </w:r>
          </w:p>
        </w:tc>
        <w:tc>
          <w:tcPr>
            <w:tcW w:w="2410" w:type="dxa"/>
            <w:tcBorders>
              <w:top w:val="single" w:sz="2" w:space="0" w:color="auto"/>
              <w:left w:val="single" w:sz="2" w:space="0" w:color="auto"/>
              <w:bottom w:val="single" w:sz="2" w:space="0" w:color="auto"/>
              <w:right w:val="single" w:sz="2" w:space="0" w:color="auto"/>
            </w:tcBorders>
          </w:tcPr>
          <w:p w14:paraId="5ED9D55B" w14:textId="77777777" w:rsidR="00637622" w:rsidRPr="00396046" w:rsidRDefault="00637622" w:rsidP="00637622">
            <w:pPr>
              <w:pStyle w:val="TableTextLeft"/>
            </w:pPr>
            <w:r w:rsidRPr="00396046">
              <w:t>Transactions and messages</w:t>
            </w:r>
          </w:p>
          <w:p w14:paraId="65DAFA38" w14:textId="77777777" w:rsidR="00637622" w:rsidRPr="00396046" w:rsidRDefault="00637622" w:rsidP="00637622">
            <w:pPr>
              <w:pStyle w:val="TableTextLeft"/>
            </w:pPr>
          </w:p>
        </w:tc>
        <w:tc>
          <w:tcPr>
            <w:tcW w:w="4246" w:type="dxa"/>
            <w:tcBorders>
              <w:top w:val="single" w:sz="2" w:space="0" w:color="auto"/>
              <w:left w:val="single" w:sz="2" w:space="0" w:color="auto"/>
              <w:bottom w:val="single" w:sz="2" w:space="0" w:color="auto"/>
            </w:tcBorders>
          </w:tcPr>
          <w:p w14:paraId="1CBE2158" w14:textId="77777777" w:rsidR="00637622" w:rsidRPr="00AC5221" w:rsidRDefault="00637622" w:rsidP="00AC5221">
            <w:pPr>
              <w:pStyle w:val="TableTextLeft"/>
            </w:pPr>
            <w:r w:rsidRPr="00AC5221">
              <w:t>Transactions are the total number of transactions executed on, or reported to, the cash equity and futures markets by a participant during the billing period that:</w:t>
            </w:r>
          </w:p>
          <w:p w14:paraId="4511EF21" w14:textId="77777777" w:rsidR="00637622" w:rsidRPr="00396046" w:rsidRDefault="00637622" w:rsidP="009F72FC">
            <w:pPr>
              <w:pStyle w:val="TableTextLeft-AlphaNumbering"/>
              <w:numPr>
                <w:ilvl w:val="0"/>
                <w:numId w:val="36"/>
              </w:numPr>
            </w:pPr>
            <w:r w:rsidRPr="00396046">
              <w:t>are reported by the operators of the cash equity markets to ASIC’s Market Surveillance System; and</w:t>
            </w:r>
          </w:p>
          <w:p w14:paraId="5C0FADBD" w14:textId="77777777" w:rsidR="00637622" w:rsidRPr="00396046" w:rsidRDefault="00637622" w:rsidP="00AC5221">
            <w:pPr>
              <w:pStyle w:val="TableTextLeft-AlphaNumbering"/>
            </w:pPr>
            <w:r w:rsidRPr="00396046">
              <w:t>are recognised by ASIC’s Market Surveillance System as executed transactions.</w:t>
            </w:r>
          </w:p>
          <w:p w14:paraId="608902F3" w14:textId="77777777" w:rsidR="00637622" w:rsidRPr="00AC5221" w:rsidRDefault="00637622" w:rsidP="00AC5221">
            <w:pPr>
              <w:pStyle w:val="TableTextLeft"/>
            </w:pPr>
            <w:r w:rsidRPr="00AC5221">
              <w:t>Messages are the total number of messages by a participant in the cash equity and futures markets during the billing period that:</w:t>
            </w:r>
          </w:p>
          <w:p w14:paraId="03431593" w14:textId="77777777" w:rsidR="00637622" w:rsidRPr="00396046" w:rsidRDefault="00637622" w:rsidP="009F72FC">
            <w:pPr>
              <w:pStyle w:val="TableTextLeft-AlphaNumbering"/>
              <w:numPr>
                <w:ilvl w:val="0"/>
                <w:numId w:val="37"/>
              </w:numPr>
            </w:pPr>
            <w:r w:rsidRPr="00396046">
              <w:t>are reported by the operators of the cash equity markets to ASIC’s Market Surveillance System; and</w:t>
            </w:r>
          </w:p>
          <w:p w14:paraId="3F9F4E17" w14:textId="77777777" w:rsidR="00637622" w:rsidRPr="00396046" w:rsidRDefault="00637622" w:rsidP="00AC5221">
            <w:pPr>
              <w:pStyle w:val="TableTextLeft-AlphaNumbering"/>
            </w:pPr>
            <w:r w:rsidRPr="00396046">
              <w:t>are recognised by ASIC’s Market Surveillance System as orders or executed transactions.</w:t>
            </w:r>
          </w:p>
        </w:tc>
      </w:tr>
    </w:tbl>
    <w:p w14:paraId="298C2A57" w14:textId="4C6A3790" w:rsidR="00AC5221" w:rsidRDefault="00AC5221">
      <w:pPr>
        <w:rPr>
          <w:b/>
          <w:bCs/>
        </w:rPr>
      </w:pPr>
      <w:r>
        <w:rPr>
          <w:b/>
          <w:bCs/>
        </w:rPr>
        <w:br w:type="page"/>
      </w:r>
    </w:p>
    <w:p w14:paraId="47D4DE8A" w14:textId="2D4C2E03" w:rsidR="00AC5221" w:rsidRDefault="00AC5221" w:rsidP="00AC5221">
      <w:pPr>
        <w:pStyle w:val="TableMainHeading"/>
      </w:pPr>
      <w:r>
        <w:t xml:space="preserve">Table </w:t>
      </w:r>
      <w:r w:rsidR="00A31BDC">
        <w:t>4</w:t>
      </w:r>
      <w:r>
        <w:t>:</w:t>
      </w:r>
      <w:r>
        <w:tab/>
        <w:t>Proposed definitions of levy metrics (continued)</w:t>
      </w:r>
    </w:p>
    <w:tbl>
      <w:tblPr>
        <w:tblW w:w="0" w:type="auto"/>
        <w:tblLayout w:type="fixed"/>
        <w:tblLook w:val="04A0" w:firstRow="1" w:lastRow="0" w:firstColumn="1" w:lastColumn="0" w:noHBand="0" w:noVBand="1"/>
      </w:tblPr>
      <w:tblGrid>
        <w:gridCol w:w="2410"/>
        <w:gridCol w:w="2410"/>
        <w:gridCol w:w="4246"/>
      </w:tblGrid>
      <w:tr w:rsidR="00AC5221" w:rsidRPr="000540E1" w14:paraId="1A582898" w14:textId="77777777" w:rsidTr="0040383F">
        <w:tc>
          <w:tcPr>
            <w:tcW w:w="2410" w:type="dxa"/>
            <w:tcBorders>
              <w:bottom w:val="single" w:sz="2" w:space="0" w:color="FFFFFF" w:themeColor="background1"/>
              <w:right w:val="single" w:sz="2" w:space="0" w:color="FFFFFF" w:themeColor="background1"/>
            </w:tcBorders>
            <w:shd w:val="clear" w:color="auto" w:fill="1F497D" w:themeFill="text2"/>
          </w:tcPr>
          <w:p w14:paraId="605CCC1A" w14:textId="77777777" w:rsidR="00AC5221" w:rsidRPr="00A21459" w:rsidRDefault="00AC5221" w:rsidP="00902D9F">
            <w:pPr>
              <w:pStyle w:val="TableColumnHeadingLeft"/>
            </w:pPr>
            <w:r w:rsidRPr="00A21459">
              <w:t>Industry subsector</w:t>
            </w:r>
          </w:p>
        </w:tc>
        <w:tc>
          <w:tcPr>
            <w:tcW w:w="2410" w:type="dxa"/>
            <w:tcBorders>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630EF0F0" w14:textId="77777777" w:rsidR="00AC5221" w:rsidRPr="00396046" w:rsidRDefault="00AC5221" w:rsidP="00902D9F">
            <w:pPr>
              <w:pStyle w:val="TableColumnHeadingLeft"/>
            </w:pPr>
            <w:r w:rsidRPr="00396046">
              <w:t>Proposed levy metric</w:t>
            </w:r>
          </w:p>
        </w:tc>
        <w:tc>
          <w:tcPr>
            <w:tcW w:w="4246" w:type="dxa"/>
            <w:tcBorders>
              <w:left w:val="single" w:sz="2" w:space="0" w:color="FFFFFF" w:themeColor="background1"/>
              <w:bottom w:val="single" w:sz="2" w:space="0" w:color="FFFFFF" w:themeColor="background1"/>
            </w:tcBorders>
            <w:shd w:val="clear" w:color="auto" w:fill="1F497D" w:themeFill="text2"/>
          </w:tcPr>
          <w:p w14:paraId="4F3E0BD1" w14:textId="77777777" w:rsidR="00AC5221" w:rsidRPr="00396046" w:rsidRDefault="00AC5221" w:rsidP="00902D9F">
            <w:pPr>
              <w:pStyle w:val="TableColumnHeadingLeft"/>
            </w:pPr>
            <w:r w:rsidRPr="00396046">
              <w:t>Proposed definition</w:t>
            </w:r>
          </w:p>
        </w:tc>
      </w:tr>
      <w:tr w:rsidR="0040383F" w:rsidRPr="000540E1" w14:paraId="4DE65AA2" w14:textId="77777777" w:rsidTr="00494432">
        <w:tc>
          <w:tcPr>
            <w:tcW w:w="9066" w:type="dxa"/>
            <w:gridSpan w:val="3"/>
            <w:tcBorders>
              <w:top w:val="single" w:sz="2" w:space="0" w:color="FFFFFF" w:themeColor="background1"/>
              <w:bottom w:val="single" w:sz="2" w:space="0" w:color="FFFFFF" w:themeColor="background1"/>
            </w:tcBorders>
            <w:shd w:val="clear" w:color="auto" w:fill="8DB3E2" w:themeFill="text2" w:themeFillTint="66"/>
          </w:tcPr>
          <w:p w14:paraId="099FAE17" w14:textId="77777777" w:rsidR="0040383F" w:rsidRPr="00095F51" w:rsidRDefault="0040383F" w:rsidP="00A617DC">
            <w:pPr>
              <w:pStyle w:val="TableColumnHeadingLeft-Black"/>
            </w:pPr>
            <w:r w:rsidRPr="00095F51">
              <w:t>Market Infrastructure and Intermediaries</w:t>
            </w:r>
            <w:r>
              <w:t xml:space="preserve"> (continued)</w:t>
            </w:r>
          </w:p>
        </w:tc>
      </w:tr>
      <w:tr w:rsidR="00637622" w:rsidRPr="000540E1" w14:paraId="183B184B" w14:textId="77777777" w:rsidTr="00494432">
        <w:tc>
          <w:tcPr>
            <w:tcW w:w="2410" w:type="dxa"/>
            <w:tcBorders>
              <w:top w:val="single" w:sz="2" w:space="0" w:color="FFFFFF" w:themeColor="background1"/>
              <w:bottom w:val="single" w:sz="2" w:space="0" w:color="auto"/>
              <w:right w:val="single" w:sz="2" w:space="0" w:color="auto"/>
            </w:tcBorders>
            <w:shd w:val="clear" w:color="auto" w:fill="DBE5F1" w:themeFill="accent1" w:themeFillTint="33"/>
          </w:tcPr>
          <w:p w14:paraId="200BC8A8" w14:textId="13F49887" w:rsidR="00637622" w:rsidRPr="00095F51" w:rsidRDefault="00637622" w:rsidP="00637622">
            <w:pPr>
              <w:pStyle w:val="TableRowHeadingLeft"/>
            </w:pPr>
            <w:r w:rsidRPr="00095F51">
              <w:t>Securities dealers</w:t>
            </w:r>
          </w:p>
        </w:tc>
        <w:tc>
          <w:tcPr>
            <w:tcW w:w="2410" w:type="dxa"/>
            <w:tcBorders>
              <w:top w:val="single" w:sz="2" w:space="0" w:color="FFFFFF" w:themeColor="background1"/>
              <w:left w:val="single" w:sz="2" w:space="0" w:color="auto"/>
              <w:bottom w:val="single" w:sz="2" w:space="0" w:color="auto"/>
              <w:right w:val="single" w:sz="2" w:space="0" w:color="auto"/>
            </w:tcBorders>
          </w:tcPr>
          <w:p w14:paraId="7F1DA1FB" w14:textId="77777777" w:rsidR="00637622" w:rsidRPr="00396046" w:rsidRDefault="00637622" w:rsidP="00637622">
            <w:pPr>
              <w:pStyle w:val="TableTextLeft"/>
            </w:pPr>
            <w:r w:rsidRPr="00396046">
              <w:t>Annual transaction turnover</w:t>
            </w:r>
          </w:p>
        </w:tc>
        <w:tc>
          <w:tcPr>
            <w:tcW w:w="4246" w:type="dxa"/>
            <w:tcBorders>
              <w:top w:val="single" w:sz="2" w:space="0" w:color="FFFFFF" w:themeColor="background1"/>
              <w:left w:val="single" w:sz="2" w:space="0" w:color="auto"/>
              <w:bottom w:val="single" w:sz="2" w:space="0" w:color="auto"/>
            </w:tcBorders>
          </w:tcPr>
          <w:p w14:paraId="2EDC08EE" w14:textId="77777777" w:rsidR="00637622" w:rsidRPr="00396046" w:rsidRDefault="00637622" w:rsidP="00637622">
            <w:pPr>
              <w:pStyle w:val="TableTextLeft"/>
            </w:pPr>
            <w:r w:rsidRPr="00396046">
              <w:t>Total value of a securities dealer’s completed transactions in securities (as measured by the buy price plus the sale price of securities) that are reported to the cash equity markets by a participant during the previous billing period that:</w:t>
            </w:r>
          </w:p>
          <w:p w14:paraId="4A4F57C5" w14:textId="77777777" w:rsidR="00637622" w:rsidRPr="00396046" w:rsidRDefault="00637622" w:rsidP="009F72FC">
            <w:pPr>
              <w:pStyle w:val="TableTextLeft-AlphaNumbering"/>
              <w:numPr>
                <w:ilvl w:val="0"/>
                <w:numId w:val="38"/>
              </w:numPr>
            </w:pPr>
            <w:r w:rsidRPr="00396046">
              <w:t>are reported by the operators of the cash equity markets to ASIC’s Market Surveillance System as executed transactions; and</w:t>
            </w:r>
          </w:p>
          <w:p w14:paraId="60E6FB14" w14:textId="77777777" w:rsidR="00637622" w:rsidRPr="00396046" w:rsidRDefault="00637622" w:rsidP="00AC5221">
            <w:pPr>
              <w:pStyle w:val="TableTextLeft-AlphaNumbering"/>
            </w:pPr>
            <w:r w:rsidRPr="00396046">
              <w:t>are recognised by ASIC’s Market Surveillance System as executed transactions.</w:t>
            </w:r>
          </w:p>
        </w:tc>
      </w:tr>
      <w:tr w:rsidR="00637622" w:rsidRPr="000540E1" w14:paraId="05E6583E" w14:textId="77777777" w:rsidTr="00494432">
        <w:tc>
          <w:tcPr>
            <w:tcW w:w="2410" w:type="dxa"/>
            <w:tcBorders>
              <w:top w:val="single" w:sz="2" w:space="0" w:color="auto"/>
              <w:bottom w:val="single" w:sz="2" w:space="0" w:color="1F497D" w:themeColor="text2"/>
              <w:right w:val="single" w:sz="2" w:space="0" w:color="auto"/>
            </w:tcBorders>
            <w:shd w:val="clear" w:color="auto" w:fill="DBE5F1" w:themeFill="accent1" w:themeFillTint="33"/>
          </w:tcPr>
          <w:p w14:paraId="2E1FA98C" w14:textId="77777777" w:rsidR="00637622" w:rsidRPr="00095F51" w:rsidRDefault="00637622" w:rsidP="00637622">
            <w:pPr>
              <w:pStyle w:val="TableRowHeadingLeft"/>
            </w:pPr>
            <w:r w:rsidRPr="00095F51">
              <w:t>Investment banks</w:t>
            </w:r>
          </w:p>
          <w:p w14:paraId="0FB83176" w14:textId="77777777" w:rsidR="00637622" w:rsidRPr="00095F51" w:rsidRDefault="00637622" w:rsidP="00637622">
            <w:pPr>
              <w:pStyle w:val="TableRowHeadingLeft"/>
            </w:pPr>
          </w:p>
        </w:tc>
        <w:tc>
          <w:tcPr>
            <w:tcW w:w="2410" w:type="dxa"/>
            <w:tcBorders>
              <w:top w:val="single" w:sz="2" w:space="0" w:color="auto"/>
              <w:left w:val="single" w:sz="2" w:space="0" w:color="auto"/>
              <w:bottom w:val="single" w:sz="2" w:space="0" w:color="1F497D" w:themeColor="text2"/>
              <w:right w:val="single" w:sz="2" w:space="0" w:color="auto"/>
            </w:tcBorders>
          </w:tcPr>
          <w:p w14:paraId="284E27ED" w14:textId="77777777" w:rsidR="00637622" w:rsidRPr="00396046" w:rsidRDefault="00637622" w:rsidP="00637622">
            <w:pPr>
              <w:pStyle w:val="TableTextLeft"/>
            </w:pPr>
            <w:r w:rsidRPr="00396046">
              <w:t>Investment banking revenue</w:t>
            </w:r>
          </w:p>
        </w:tc>
        <w:tc>
          <w:tcPr>
            <w:tcW w:w="4246" w:type="dxa"/>
            <w:tcBorders>
              <w:top w:val="single" w:sz="2" w:space="0" w:color="auto"/>
              <w:left w:val="single" w:sz="2" w:space="0" w:color="auto"/>
              <w:bottom w:val="single" w:sz="2" w:space="0" w:color="1F497D" w:themeColor="text2"/>
            </w:tcBorders>
          </w:tcPr>
          <w:p w14:paraId="595E8171" w14:textId="77777777" w:rsidR="00637622" w:rsidRPr="00AC5221" w:rsidRDefault="00637622" w:rsidP="009F72FC">
            <w:pPr>
              <w:pStyle w:val="TableTextNumbering"/>
              <w:numPr>
                <w:ilvl w:val="0"/>
                <w:numId w:val="39"/>
              </w:numPr>
            </w:pPr>
            <w:r w:rsidRPr="00AC5221">
              <w:t>Total revenue received, in Australia, from any of the financial services set out in the definition of ‘investment banks’ that an investment bank provides plus any revenue from dealing in financial products in Australia by:</w:t>
            </w:r>
          </w:p>
          <w:p w14:paraId="1998BDCB" w14:textId="77777777" w:rsidR="00637622" w:rsidRPr="00396046" w:rsidRDefault="00637622" w:rsidP="00F633CF">
            <w:pPr>
              <w:pStyle w:val="TableTextLeft-AlphaNumberingIndent"/>
              <w:numPr>
                <w:ilvl w:val="0"/>
                <w:numId w:val="43"/>
              </w:numPr>
            </w:pPr>
            <w:r w:rsidRPr="00396046">
              <w:t>arranging for a person to acquire or dispose of OTC financial products;</w:t>
            </w:r>
          </w:p>
          <w:p w14:paraId="13B5E43F" w14:textId="77777777" w:rsidR="00637622" w:rsidRPr="00396046" w:rsidRDefault="00637622" w:rsidP="00F633CF">
            <w:pPr>
              <w:pStyle w:val="TableTextLeft-AlphaNumberingIndent"/>
            </w:pPr>
            <w:r w:rsidRPr="00396046">
              <w:t>issuing or arranging for a person to issue OTC financial products;</w:t>
            </w:r>
          </w:p>
          <w:p w14:paraId="44021403" w14:textId="77777777" w:rsidR="00637622" w:rsidRPr="00396046" w:rsidRDefault="00637622" w:rsidP="00F633CF">
            <w:pPr>
              <w:pStyle w:val="TableTextLeft-AlphaNumberingIndent"/>
            </w:pPr>
            <w:r w:rsidRPr="00396046">
              <w:t>acquiring or disposing of OTC financial products with a purpose of creating liquidity for those OTC financial products for other persons.</w:t>
            </w:r>
          </w:p>
          <w:p w14:paraId="1EC689BD" w14:textId="77777777" w:rsidR="00637622" w:rsidRPr="00396046" w:rsidRDefault="00637622" w:rsidP="00AC5221">
            <w:pPr>
              <w:pStyle w:val="TableTextNumbering"/>
            </w:pPr>
            <w:r w:rsidRPr="00396046">
              <w:t>For the purposes of this definition:</w:t>
            </w:r>
          </w:p>
          <w:p w14:paraId="419ED88C" w14:textId="77777777" w:rsidR="00637622" w:rsidRPr="00396046" w:rsidRDefault="00637622" w:rsidP="00AC5221">
            <w:pPr>
              <w:pStyle w:val="TableTextIndented"/>
            </w:pPr>
            <w:r w:rsidRPr="00396046">
              <w:rPr>
                <w:b/>
                <w:i/>
              </w:rPr>
              <w:t>OTC financial product</w:t>
            </w:r>
            <w:r w:rsidRPr="00396046">
              <w:t xml:space="preserve"> means a financial product that is not able to be traded on a financial market.</w:t>
            </w:r>
          </w:p>
        </w:tc>
      </w:tr>
      <w:tr w:rsidR="00637622" w:rsidRPr="000540E1" w14:paraId="0D2F9F95" w14:textId="77777777" w:rsidTr="001D5B13">
        <w:tc>
          <w:tcPr>
            <w:tcW w:w="9066" w:type="dxa"/>
            <w:gridSpan w:val="3"/>
            <w:tcBorders>
              <w:top w:val="single" w:sz="2" w:space="0" w:color="1F497D" w:themeColor="text2"/>
              <w:bottom w:val="single" w:sz="2" w:space="0" w:color="1F497D" w:themeColor="text2"/>
            </w:tcBorders>
            <w:shd w:val="clear" w:color="auto" w:fill="8DB3E2" w:themeFill="text2" w:themeFillTint="66"/>
          </w:tcPr>
          <w:p w14:paraId="70D3ECC8" w14:textId="77777777" w:rsidR="00637622" w:rsidRPr="00095F51" w:rsidRDefault="00637622" w:rsidP="00637622">
            <w:pPr>
              <w:pStyle w:val="TableColumnHeadingLeft-Black"/>
            </w:pPr>
            <w:r w:rsidRPr="00095F51">
              <w:t>Financial advice</w:t>
            </w:r>
          </w:p>
        </w:tc>
      </w:tr>
      <w:tr w:rsidR="00637622" w:rsidRPr="000540E1" w14:paraId="00DCAE0E" w14:textId="77777777" w:rsidTr="001D5B13">
        <w:tc>
          <w:tcPr>
            <w:tcW w:w="2410" w:type="dxa"/>
            <w:tcBorders>
              <w:top w:val="single" w:sz="2" w:space="0" w:color="1F497D" w:themeColor="text2"/>
              <w:bottom w:val="single" w:sz="2" w:space="0" w:color="auto"/>
              <w:right w:val="single" w:sz="2" w:space="0" w:color="auto"/>
            </w:tcBorders>
            <w:shd w:val="clear" w:color="auto" w:fill="DBE5F1" w:themeFill="accent1" w:themeFillTint="33"/>
          </w:tcPr>
          <w:p w14:paraId="7709D265" w14:textId="77777777" w:rsidR="00637622" w:rsidRPr="00095F51" w:rsidRDefault="00637622" w:rsidP="00637622">
            <w:pPr>
              <w:pStyle w:val="TableRowHeadingLeft"/>
            </w:pPr>
            <w:r w:rsidRPr="00095F51">
              <w:t xml:space="preserve">Personal advice providers on Tier 1 products </w:t>
            </w:r>
          </w:p>
        </w:tc>
        <w:tc>
          <w:tcPr>
            <w:tcW w:w="2410" w:type="dxa"/>
            <w:tcBorders>
              <w:top w:val="single" w:sz="2" w:space="0" w:color="1F497D" w:themeColor="text2"/>
              <w:left w:val="single" w:sz="2" w:space="0" w:color="auto"/>
              <w:bottom w:val="single" w:sz="2" w:space="0" w:color="auto"/>
              <w:right w:val="single" w:sz="2" w:space="0" w:color="auto"/>
            </w:tcBorders>
          </w:tcPr>
          <w:p w14:paraId="4ED96088" w14:textId="77777777" w:rsidR="00637622" w:rsidRPr="00396046" w:rsidRDefault="00637622" w:rsidP="00637622">
            <w:pPr>
              <w:pStyle w:val="TableTextLeft"/>
            </w:pPr>
            <w:r w:rsidRPr="00396046">
              <w:t>Adviser on the Financial Advisers Register (Relevant provider)</w:t>
            </w:r>
          </w:p>
        </w:tc>
        <w:tc>
          <w:tcPr>
            <w:tcW w:w="4246" w:type="dxa"/>
            <w:tcBorders>
              <w:top w:val="single" w:sz="2" w:space="0" w:color="1F497D" w:themeColor="text2"/>
              <w:left w:val="single" w:sz="2" w:space="0" w:color="auto"/>
              <w:bottom w:val="single" w:sz="2" w:space="0" w:color="auto"/>
            </w:tcBorders>
          </w:tcPr>
          <w:p w14:paraId="04591435" w14:textId="2DAFE3B5" w:rsidR="00637622" w:rsidRPr="00AC5221" w:rsidRDefault="00637622" w:rsidP="00AC5221">
            <w:pPr>
              <w:pStyle w:val="TableTextLeft"/>
            </w:pPr>
            <w:r w:rsidRPr="00AC5221">
              <w:t>A person is a relevant provider if the person:</w:t>
            </w:r>
          </w:p>
          <w:p w14:paraId="6868DDB7" w14:textId="77777777" w:rsidR="00637622" w:rsidRPr="00396046" w:rsidRDefault="00637622" w:rsidP="009F72FC">
            <w:pPr>
              <w:pStyle w:val="TableTextLeft-AlphaNumbering"/>
              <w:numPr>
                <w:ilvl w:val="0"/>
                <w:numId w:val="40"/>
              </w:numPr>
            </w:pPr>
            <w:r w:rsidRPr="00396046">
              <w:t>is a natural person; and</w:t>
            </w:r>
          </w:p>
          <w:p w14:paraId="1A0E929E" w14:textId="77777777" w:rsidR="00637622" w:rsidRPr="00396046" w:rsidRDefault="00637622" w:rsidP="00AC5221">
            <w:pPr>
              <w:pStyle w:val="TableTextLeft-AlphaNumbering"/>
            </w:pPr>
            <w:r w:rsidRPr="00396046">
              <w:t>is:</w:t>
            </w:r>
          </w:p>
          <w:p w14:paraId="3C1B88C5" w14:textId="77777777" w:rsidR="00637622" w:rsidRPr="00AC5221" w:rsidRDefault="00637622" w:rsidP="00AC5221">
            <w:pPr>
              <w:pStyle w:val="TableTextLeft-Romannoindent"/>
            </w:pPr>
            <w:r w:rsidRPr="00AC5221">
              <w:t>a financial services licensee; or</w:t>
            </w:r>
          </w:p>
          <w:p w14:paraId="075AD173" w14:textId="77777777" w:rsidR="00637622" w:rsidRPr="00396046" w:rsidRDefault="00637622" w:rsidP="00AC5221">
            <w:pPr>
              <w:pStyle w:val="TableTextLeft-Romannoindent"/>
            </w:pPr>
            <w:r w:rsidRPr="00396046">
              <w:t>an authorised representative of a financial services licensee; or</w:t>
            </w:r>
          </w:p>
          <w:p w14:paraId="4221E120" w14:textId="77777777" w:rsidR="00637622" w:rsidRPr="00396046" w:rsidRDefault="00637622" w:rsidP="00AC5221">
            <w:pPr>
              <w:pStyle w:val="TableTextLeft-Romannoindent"/>
            </w:pPr>
            <w:r w:rsidRPr="00396046">
              <w:t>an employee or director of a financial services licensee; or</w:t>
            </w:r>
          </w:p>
          <w:p w14:paraId="28C652E1" w14:textId="77777777" w:rsidR="00637622" w:rsidRPr="00396046" w:rsidRDefault="00637622" w:rsidP="00AC5221">
            <w:pPr>
              <w:pStyle w:val="TableTextLeft-Romannoindent"/>
            </w:pPr>
            <w:r w:rsidRPr="00396046">
              <w:t>an employee or director of a related body corporate of a financial services licensee; and</w:t>
            </w:r>
          </w:p>
          <w:p w14:paraId="5B665BCD" w14:textId="77777777" w:rsidR="00637622" w:rsidRPr="00396046" w:rsidRDefault="00637622" w:rsidP="00AC5221">
            <w:pPr>
              <w:pStyle w:val="TableTextLeft-Romannoindent"/>
            </w:pPr>
            <w:r w:rsidRPr="00396046">
              <w:t>is authorised, as the licensee or on behalf of the licensee, to provide personal advice to retail clients.</w:t>
            </w:r>
          </w:p>
        </w:tc>
      </w:tr>
    </w:tbl>
    <w:p w14:paraId="140B50EE" w14:textId="1132B65C" w:rsidR="00AC5221" w:rsidRPr="00AC5221" w:rsidRDefault="00AC5221" w:rsidP="00AC5221">
      <w:pPr>
        <w:spacing w:after="0" w:line="240" w:lineRule="auto"/>
        <w:rPr>
          <w:sz w:val="6"/>
        </w:rPr>
      </w:pPr>
      <w:r w:rsidRPr="00AC5221">
        <w:rPr>
          <w:sz w:val="6"/>
        </w:rPr>
        <w:br w:type="page"/>
      </w:r>
    </w:p>
    <w:p w14:paraId="19D16595" w14:textId="08B73A46" w:rsidR="00AC5221" w:rsidRDefault="00AC5221" w:rsidP="00AC5221">
      <w:pPr>
        <w:pStyle w:val="TableMainHeading"/>
      </w:pPr>
      <w:r>
        <w:t xml:space="preserve">Table </w:t>
      </w:r>
      <w:r w:rsidR="00A31BDC">
        <w:t>4</w:t>
      </w:r>
      <w:r>
        <w:t>:</w:t>
      </w:r>
      <w:r>
        <w:tab/>
        <w:t>Proposed definitions of levy metrics (continued)</w:t>
      </w:r>
    </w:p>
    <w:tbl>
      <w:tblPr>
        <w:tblW w:w="0" w:type="auto"/>
        <w:tblLayout w:type="fixed"/>
        <w:tblLook w:val="04A0" w:firstRow="1" w:lastRow="0" w:firstColumn="1" w:lastColumn="0" w:noHBand="0" w:noVBand="1"/>
      </w:tblPr>
      <w:tblGrid>
        <w:gridCol w:w="2410"/>
        <w:gridCol w:w="2410"/>
        <w:gridCol w:w="4246"/>
      </w:tblGrid>
      <w:tr w:rsidR="00AC5221" w:rsidRPr="000540E1" w14:paraId="4B822006" w14:textId="77777777" w:rsidTr="0040383F">
        <w:tc>
          <w:tcPr>
            <w:tcW w:w="2410" w:type="dxa"/>
            <w:tcBorders>
              <w:bottom w:val="single" w:sz="2" w:space="0" w:color="FFFFFF" w:themeColor="background1"/>
              <w:right w:val="single" w:sz="2" w:space="0" w:color="FFFFFF" w:themeColor="background1"/>
            </w:tcBorders>
            <w:shd w:val="clear" w:color="auto" w:fill="1F497D" w:themeFill="text2"/>
          </w:tcPr>
          <w:p w14:paraId="60096D09" w14:textId="77777777" w:rsidR="00AC5221" w:rsidRPr="00A21459" w:rsidRDefault="00AC5221" w:rsidP="00902D9F">
            <w:pPr>
              <w:pStyle w:val="TableColumnHeadingLeft"/>
            </w:pPr>
            <w:r w:rsidRPr="00A21459">
              <w:t>Industry subsector</w:t>
            </w:r>
          </w:p>
        </w:tc>
        <w:tc>
          <w:tcPr>
            <w:tcW w:w="2410" w:type="dxa"/>
            <w:tcBorders>
              <w:left w:val="single" w:sz="2" w:space="0" w:color="FFFFFF" w:themeColor="background1"/>
              <w:bottom w:val="single" w:sz="2" w:space="0" w:color="FFFFFF" w:themeColor="background1"/>
              <w:right w:val="single" w:sz="2" w:space="0" w:color="FFFFFF" w:themeColor="background1"/>
            </w:tcBorders>
            <w:shd w:val="clear" w:color="auto" w:fill="1F497D" w:themeFill="text2"/>
          </w:tcPr>
          <w:p w14:paraId="64A8E13D" w14:textId="77777777" w:rsidR="00AC5221" w:rsidRPr="00396046" w:rsidRDefault="00AC5221" w:rsidP="00902D9F">
            <w:pPr>
              <w:pStyle w:val="TableColumnHeadingLeft"/>
            </w:pPr>
            <w:r w:rsidRPr="00396046">
              <w:t>Proposed levy metric</w:t>
            </w:r>
          </w:p>
        </w:tc>
        <w:tc>
          <w:tcPr>
            <w:tcW w:w="4246" w:type="dxa"/>
            <w:tcBorders>
              <w:left w:val="single" w:sz="2" w:space="0" w:color="FFFFFF" w:themeColor="background1"/>
              <w:bottom w:val="single" w:sz="2" w:space="0" w:color="FFFFFF" w:themeColor="background1"/>
            </w:tcBorders>
            <w:shd w:val="clear" w:color="auto" w:fill="1F497D" w:themeFill="text2"/>
          </w:tcPr>
          <w:p w14:paraId="3DD5BB60" w14:textId="77777777" w:rsidR="00AC5221" w:rsidRPr="00396046" w:rsidRDefault="00AC5221" w:rsidP="00902D9F">
            <w:pPr>
              <w:pStyle w:val="TableColumnHeadingLeft"/>
            </w:pPr>
            <w:r w:rsidRPr="00396046">
              <w:t>Proposed definition</w:t>
            </w:r>
          </w:p>
        </w:tc>
      </w:tr>
      <w:tr w:rsidR="00637622" w:rsidRPr="000540E1" w14:paraId="0B99961B" w14:textId="77777777" w:rsidTr="00494432">
        <w:tc>
          <w:tcPr>
            <w:tcW w:w="9066" w:type="dxa"/>
            <w:gridSpan w:val="3"/>
            <w:tcBorders>
              <w:top w:val="single" w:sz="2" w:space="0" w:color="FFFFFF" w:themeColor="background1"/>
              <w:bottom w:val="single" w:sz="2" w:space="0" w:color="1F497D" w:themeColor="text2"/>
            </w:tcBorders>
            <w:shd w:val="clear" w:color="auto" w:fill="8DB3E2" w:themeFill="text2" w:themeFillTint="66"/>
          </w:tcPr>
          <w:p w14:paraId="2D0DF5C0" w14:textId="2CA01326" w:rsidR="00637622" w:rsidRPr="00095F51" w:rsidRDefault="00637622" w:rsidP="00637622">
            <w:pPr>
              <w:pStyle w:val="TableColumnHeadingLeft-Black"/>
            </w:pPr>
            <w:r w:rsidRPr="00095F51">
              <w:t>Insurance</w:t>
            </w:r>
          </w:p>
        </w:tc>
      </w:tr>
      <w:tr w:rsidR="00637622" w:rsidRPr="000540E1" w14:paraId="09097A7B" w14:textId="77777777" w:rsidTr="00494432">
        <w:tc>
          <w:tcPr>
            <w:tcW w:w="2410" w:type="dxa"/>
            <w:tcBorders>
              <w:top w:val="single" w:sz="2" w:space="0" w:color="1F497D" w:themeColor="text2"/>
              <w:bottom w:val="single" w:sz="2" w:space="0" w:color="auto"/>
              <w:right w:val="single" w:sz="2" w:space="0" w:color="auto"/>
            </w:tcBorders>
            <w:shd w:val="clear" w:color="auto" w:fill="DBE5F1" w:themeFill="accent1" w:themeFillTint="33"/>
          </w:tcPr>
          <w:p w14:paraId="1E203023" w14:textId="77777777" w:rsidR="00637622" w:rsidRPr="00AC5221" w:rsidRDefault="00637622" w:rsidP="00AC5221">
            <w:pPr>
              <w:pStyle w:val="TableRowHeadingLeft"/>
            </w:pPr>
            <w:r w:rsidRPr="00AC5221">
              <w:t>General insurance product issuer</w:t>
            </w:r>
          </w:p>
        </w:tc>
        <w:tc>
          <w:tcPr>
            <w:tcW w:w="2410" w:type="dxa"/>
            <w:tcBorders>
              <w:top w:val="single" w:sz="2" w:space="0" w:color="1F497D" w:themeColor="text2"/>
              <w:left w:val="single" w:sz="2" w:space="0" w:color="auto"/>
              <w:bottom w:val="single" w:sz="2" w:space="0" w:color="auto"/>
              <w:right w:val="single" w:sz="2" w:space="0" w:color="auto"/>
            </w:tcBorders>
          </w:tcPr>
          <w:p w14:paraId="53E371E3" w14:textId="77777777" w:rsidR="00637622" w:rsidRPr="00AC5221" w:rsidRDefault="00637622" w:rsidP="00AC5221">
            <w:pPr>
              <w:pStyle w:val="TableTextLeft"/>
            </w:pPr>
            <w:r w:rsidRPr="00AC5221">
              <w:t xml:space="preserve">Net premium revenue </w:t>
            </w:r>
          </w:p>
        </w:tc>
        <w:tc>
          <w:tcPr>
            <w:tcW w:w="4246" w:type="dxa"/>
            <w:tcBorders>
              <w:top w:val="single" w:sz="2" w:space="0" w:color="1F497D" w:themeColor="text2"/>
              <w:left w:val="single" w:sz="2" w:space="0" w:color="auto"/>
              <w:bottom w:val="single" w:sz="2" w:space="0" w:color="auto"/>
            </w:tcBorders>
          </w:tcPr>
          <w:p w14:paraId="5794F861" w14:textId="77777777" w:rsidR="00637622" w:rsidRPr="00AC5221" w:rsidRDefault="00637622" w:rsidP="00AC5221">
            <w:pPr>
              <w:pStyle w:val="TableTextLeft"/>
            </w:pPr>
            <w:r w:rsidRPr="00AC5221">
              <w:t>Net premium revenue comprises of gross earned premiums less outwards reinsurance expense relating to current and prior years cover.</w:t>
            </w:r>
          </w:p>
        </w:tc>
      </w:tr>
      <w:tr w:rsidR="00637622" w:rsidRPr="000540E1" w14:paraId="69101B12" w14:textId="77777777" w:rsidTr="00494432">
        <w:tc>
          <w:tcPr>
            <w:tcW w:w="2410" w:type="dxa"/>
            <w:tcBorders>
              <w:top w:val="single" w:sz="2" w:space="0" w:color="auto"/>
              <w:bottom w:val="single" w:sz="2" w:space="0" w:color="auto"/>
              <w:right w:val="single" w:sz="2" w:space="0" w:color="auto"/>
            </w:tcBorders>
            <w:shd w:val="clear" w:color="auto" w:fill="DBE5F1" w:themeFill="accent1" w:themeFillTint="33"/>
          </w:tcPr>
          <w:p w14:paraId="4BAC80F9" w14:textId="77777777" w:rsidR="00637622" w:rsidRPr="00AC5221" w:rsidRDefault="00637622" w:rsidP="00AC5221">
            <w:pPr>
              <w:pStyle w:val="TableRowHeadingLeft"/>
            </w:pPr>
            <w:r w:rsidRPr="00AC5221">
              <w:t>Life insurance product issuer and friendly societies</w:t>
            </w:r>
          </w:p>
        </w:tc>
        <w:tc>
          <w:tcPr>
            <w:tcW w:w="2410" w:type="dxa"/>
            <w:tcBorders>
              <w:top w:val="single" w:sz="2" w:space="0" w:color="auto"/>
              <w:left w:val="single" w:sz="2" w:space="0" w:color="auto"/>
              <w:bottom w:val="single" w:sz="2" w:space="0" w:color="auto"/>
              <w:right w:val="single" w:sz="2" w:space="0" w:color="auto"/>
            </w:tcBorders>
          </w:tcPr>
          <w:p w14:paraId="33DCA474" w14:textId="77777777" w:rsidR="00637622" w:rsidRPr="00AC5221" w:rsidRDefault="00637622" w:rsidP="00AC5221">
            <w:pPr>
              <w:pStyle w:val="TableTextLeft"/>
            </w:pPr>
            <w:r w:rsidRPr="00AC5221">
              <w:t>Net policy revenue</w:t>
            </w:r>
          </w:p>
        </w:tc>
        <w:tc>
          <w:tcPr>
            <w:tcW w:w="4246" w:type="dxa"/>
            <w:tcBorders>
              <w:top w:val="single" w:sz="2" w:space="0" w:color="auto"/>
              <w:left w:val="single" w:sz="2" w:space="0" w:color="auto"/>
              <w:bottom w:val="single" w:sz="2" w:space="0" w:color="auto"/>
            </w:tcBorders>
          </w:tcPr>
          <w:p w14:paraId="329DC15F" w14:textId="77777777" w:rsidR="00637622" w:rsidRPr="00AC5221" w:rsidRDefault="00637622" w:rsidP="00AC5221">
            <w:pPr>
              <w:pStyle w:val="TableTextLeft"/>
            </w:pPr>
            <w:r w:rsidRPr="00AC5221">
              <w:t xml:space="preserve">Net policy revenue comprises policy revenue net of outward reinsurance premiums. </w:t>
            </w:r>
          </w:p>
        </w:tc>
      </w:tr>
    </w:tbl>
    <w:p w14:paraId="29EB7F45" w14:textId="77777777" w:rsidR="00675FF0" w:rsidRDefault="00675FF0" w:rsidP="00675FF0">
      <w:pPr>
        <w:pStyle w:val="sourcenotefullwidth"/>
      </w:pPr>
    </w:p>
    <w:p w14:paraId="0856AF80" w14:textId="77777777" w:rsidR="00FE16AB" w:rsidRDefault="00FE16AB" w:rsidP="0032613A">
      <w:pPr>
        <w:rPr>
          <w:rFonts w:asciiTheme="majorHAnsi" w:eastAsiaTheme="majorEastAsia" w:hAnsiTheme="majorHAnsi" w:cstheme="majorBidi"/>
          <w:color w:val="1F497D" w:themeColor="text2"/>
          <w:sz w:val="40"/>
          <w:szCs w:val="28"/>
        </w:rPr>
        <w:sectPr w:rsidR="00FE16AB" w:rsidSect="00732C06">
          <w:footerReference w:type="first" r:id="rId49"/>
          <w:pgSz w:w="11906" w:h="16838"/>
          <w:pgMar w:top="1440" w:right="1440" w:bottom="1440" w:left="1440" w:header="708" w:footer="708" w:gutter="0"/>
          <w:cols w:space="708"/>
          <w:titlePg/>
          <w:docGrid w:linePitch="360"/>
        </w:sectPr>
      </w:pPr>
    </w:p>
    <w:p w14:paraId="65FED3CA" w14:textId="39B1E651" w:rsidR="00FE16AB" w:rsidRDefault="00FE16AB" w:rsidP="007564EF">
      <w:pPr>
        <w:pStyle w:val="Heading1"/>
      </w:pPr>
      <w:bookmarkStart w:id="167" w:name="_Toc466038562"/>
      <w:r w:rsidRPr="007B47B1">
        <w:t xml:space="preserve">Schedule </w:t>
      </w:r>
      <w:r w:rsidR="001C20EA">
        <w:t>3</w:t>
      </w:r>
      <w:r w:rsidR="00CE4A65">
        <w:t>:</w:t>
      </w:r>
      <w:r w:rsidR="007564EF">
        <w:tab/>
      </w:r>
      <w:r w:rsidR="00685229">
        <w:t xml:space="preserve">Proposed </w:t>
      </w:r>
      <w:r w:rsidRPr="007B47B1">
        <w:t xml:space="preserve">Indicative levies </w:t>
      </w:r>
      <w:r w:rsidR="007A3613">
        <w:t xml:space="preserve">based on </w:t>
      </w:r>
      <w:r w:rsidRPr="007B47B1">
        <w:t>financial year 2016-17</w:t>
      </w:r>
      <w:bookmarkEnd w:id="167"/>
      <w:r w:rsidRPr="007B47B1">
        <w:t xml:space="preserve"> </w:t>
      </w:r>
    </w:p>
    <w:p w14:paraId="7C0FCD69" w14:textId="4FB74D21" w:rsidR="002E6DDE" w:rsidRPr="002E6DDE" w:rsidRDefault="007A3613" w:rsidP="009459F1">
      <w:r>
        <w:t xml:space="preserve">The below figures are </w:t>
      </w:r>
      <w:r w:rsidRPr="001C20EA">
        <w:t xml:space="preserve">reflective of the anticipated ASIC expenses for 2016-17 and should be used as a guide only for anticipated levies in the 2017-18 period. </w:t>
      </w:r>
      <w:r w:rsidR="002E6DDE" w:rsidRPr="001C20EA">
        <w:t xml:space="preserve">For detailed description please refer to </w:t>
      </w:r>
      <w:r w:rsidR="00855394" w:rsidRPr="001C20EA">
        <w:t xml:space="preserve">ASIC’s </w:t>
      </w:r>
      <w:r w:rsidR="001C20EA" w:rsidRPr="001C20EA">
        <w:t>supporting paper to the Government's Proposals Paper</w:t>
      </w:r>
    </w:p>
    <w:tbl>
      <w:tblPr>
        <w:tblStyle w:val="tableASIC"/>
        <w:tblW w:w="141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809"/>
        <w:gridCol w:w="3828"/>
        <w:gridCol w:w="1417"/>
        <w:gridCol w:w="1559"/>
        <w:gridCol w:w="5529"/>
      </w:tblGrid>
      <w:tr w:rsidR="00C618EE" w:rsidRPr="0019629B" w14:paraId="29D0C2A4" w14:textId="77777777" w:rsidTr="00776BFC">
        <w:trPr>
          <w:trHeight w:val="330"/>
        </w:trPr>
        <w:tc>
          <w:tcPr>
            <w:tcW w:w="1809" w:type="dxa"/>
            <w:shd w:val="clear" w:color="auto" w:fill="1F497D" w:themeFill="text2"/>
            <w:hideMark/>
          </w:tcPr>
          <w:p w14:paraId="05483DF8" w14:textId="77777777" w:rsidR="003A4EB8" w:rsidRPr="0019629B" w:rsidRDefault="003A4EB8" w:rsidP="0019629B">
            <w:pPr>
              <w:pStyle w:val="TableColumnHeadingLeft"/>
            </w:pPr>
            <w:r w:rsidRPr="0019629B">
              <w:t>Sector</w:t>
            </w:r>
          </w:p>
        </w:tc>
        <w:tc>
          <w:tcPr>
            <w:tcW w:w="3828" w:type="dxa"/>
            <w:shd w:val="clear" w:color="auto" w:fill="1F497D" w:themeFill="text2"/>
            <w:hideMark/>
          </w:tcPr>
          <w:p w14:paraId="3F7DFA22" w14:textId="77777777" w:rsidR="003A4EB8" w:rsidRPr="0019629B" w:rsidRDefault="003A4EB8" w:rsidP="0019629B">
            <w:pPr>
              <w:pStyle w:val="TableColumnHeadingLeft"/>
            </w:pPr>
            <w:r w:rsidRPr="0019629B">
              <w:t>Subsector</w:t>
            </w:r>
          </w:p>
        </w:tc>
        <w:tc>
          <w:tcPr>
            <w:tcW w:w="1417" w:type="dxa"/>
            <w:shd w:val="clear" w:color="auto" w:fill="1F497D" w:themeFill="text2"/>
            <w:hideMark/>
          </w:tcPr>
          <w:p w14:paraId="5EF1B62D" w14:textId="77777777" w:rsidR="003A4EB8" w:rsidRPr="0019629B" w:rsidRDefault="003A4EB8" w:rsidP="0019629B">
            <w:pPr>
              <w:pStyle w:val="TableColumnHeadingLeft"/>
            </w:pPr>
            <w:r w:rsidRPr="0019629B">
              <w:t>Levy metric</w:t>
            </w:r>
          </w:p>
        </w:tc>
        <w:tc>
          <w:tcPr>
            <w:tcW w:w="1559" w:type="dxa"/>
            <w:shd w:val="clear" w:color="auto" w:fill="1F497D" w:themeFill="text2"/>
            <w:hideMark/>
          </w:tcPr>
          <w:p w14:paraId="79E6D5A7" w14:textId="77777777" w:rsidR="003A4EB8" w:rsidRPr="0019629B" w:rsidRDefault="003A4EB8" w:rsidP="0019629B">
            <w:pPr>
              <w:pStyle w:val="TableColumnHeadingLeft"/>
            </w:pPr>
            <w:r w:rsidRPr="0019629B">
              <w:t>Anticipated ASIC expense</w:t>
            </w:r>
          </w:p>
        </w:tc>
        <w:tc>
          <w:tcPr>
            <w:tcW w:w="5529" w:type="dxa"/>
            <w:shd w:val="clear" w:color="auto" w:fill="1F497D" w:themeFill="text2"/>
          </w:tcPr>
          <w:p w14:paraId="279F6ACB" w14:textId="5AE3E4EB" w:rsidR="003A4EB8" w:rsidRPr="0019629B" w:rsidRDefault="00583E16" w:rsidP="0019629B">
            <w:pPr>
              <w:pStyle w:val="TableColumnHeadingLeft"/>
            </w:pPr>
            <w:r>
              <w:t>Proposed I</w:t>
            </w:r>
            <w:r w:rsidR="003A4EB8" w:rsidRPr="0019629B">
              <w:t>ndicative levy</w:t>
            </w:r>
          </w:p>
        </w:tc>
      </w:tr>
      <w:tr w:rsidR="001C20EA" w:rsidRPr="00FE16AB" w14:paraId="60F7BB92" w14:textId="77777777" w:rsidTr="00776BFC">
        <w:trPr>
          <w:trHeight w:val="330"/>
        </w:trPr>
        <w:tc>
          <w:tcPr>
            <w:tcW w:w="1809" w:type="dxa"/>
            <w:vMerge w:val="restart"/>
            <w:shd w:val="clear" w:color="auto" w:fill="F2F2F2" w:themeFill="background1" w:themeFillShade="F2"/>
            <w:hideMark/>
          </w:tcPr>
          <w:p w14:paraId="48C7DFB3" w14:textId="3825082B" w:rsidR="001C20EA" w:rsidRPr="00FE16AB" w:rsidRDefault="001C20EA" w:rsidP="00055724">
            <w:pPr>
              <w:pStyle w:val="TableRowHeadingLeft"/>
            </w:pPr>
            <w:r w:rsidRPr="00FE16AB">
              <w:rPr>
                <w:lang w:val="en-US"/>
              </w:rPr>
              <w:t>Corporate (including companies, their auditors and liquidators)</w:t>
            </w:r>
          </w:p>
        </w:tc>
        <w:tc>
          <w:tcPr>
            <w:tcW w:w="3828" w:type="dxa"/>
            <w:hideMark/>
          </w:tcPr>
          <w:p w14:paraId="36DDB2DD" w14:textId="77777777" w:rsidR="001C20EA" w:rsidRPr="00FE16AB" w:rsidRDefault="001C20EA" w:rsidP="00776BFC">
            <w:pPr>
              <w:pStyle w:val="TableTextLeft"/>
            </w:pPr>
            <w:r w:rsidRPr="00FE16AB">
              <w:rPr>
                <w:lang w:val="en-US"/>
              </w:rPr>
              <w:t>Public companies (listed, disclosing)</w:t>
            </w:r>
          </w:p>
        </w:tc>
        <w:tc>
          <w:tcPr>
            <w:tcW w:w="1417" w:type="dxa"/>
            <w:hideMark/>
          </w:tcPr>
          <w:p w14:paraId="7223A425" w14:textId="77777777" w:rsidR="001C20EA" w:rsidRPr="00FE16AB" w:rsidRDefault="001C20EA" w:rsidP="00776BFC">
            <w:pPr>
              <w:pStyle w:val="TableTextLeft"/>
            </w:pPr>
            <w:r w:rsidRPr="00FE16AB">
              <w:rPr>
                <w:lang w:val="en-US"/>
              </w:rPr>
              <w:t xml:space="preserve">Market </w:t>
            </w:r>
            <w:proofErr w:type="spellStart"/>
            <w:r w:rsidRPr="00FE16AB">
              <w:rPr>
                <w:lang w:val="en-US"/>
              </w:rPr>
              <w:t>capitalisation</w:t>
            </w:r>
            <w:proofErr w:type="spellEnd"/>
          </w:p>
        </w:tc>
        <w:tc>
          <w:tcPr>
            <w:tcW w:w="1559" w:type="dxa"/>
          </w:tcPr>
          <w:p w14:paraId="5C5D13CE" w14:textId="77777777" w:rsidR="001C20EA" w:rsidRPr="00FE16AB" w:rsidRDefault="001C20EA" w:rsidP="00776BFC">
            <w:pPr>
              <w:pStyle w:val="TableTextLeft"/>
            </w:pPr>
            <w:r w:rsidRPr="00BE488E">
              <w:t>$48.5 million</w:t>
            </w:r>
          </w:p>
        </w:tc>
        <w:tc>
          <w:tcPr>
            <w:tcW w:w="5529" w:type="dxa"/>
            <w:shd w:val="clear" w:color="auto" w:fill="DBE5F1" w:themeFill="accent1" w:themeFillTint="33"/>
          </w:tcPr>
          <w:p w14:paraId="79CDA31E" w14:textId="0EA06C74" w:rsidR="001C20EA" w:rsidRPr="00FE16AB" w:rsidRDefault="001C20EA" w:rsidP="001C20EA">
            <w:pPr>
              <w:pStyle w:val="TableTextLeft"/>
              <w:rPr>
                <w:lang w:val="en-US"/>
              </w:rPr>
            </w:pPr>
            <w:r>
              <w:rPr>
                <w:szCs w:val="20"/>
                <w:lang w:val="en-US"/>
              </w:rPr>
              <w:t xml:space="preserve">$4,000 minimum levy </w:t>
            </w:r>
            <w:r w:rsidR="009C5D93">
              <w:rPr>
                <w:szCs w:val="20"/>
                <w:lang w:val="en-US"/>
              </w:rPr>
              <w:t xml:space="preserve">proposed </w:t>
            </w:r>
            <w:r>
              <w:rPr>
                <w:szCs w:val="20"/>
                <w:lang w:val="en-US"/>
              </w:rPr>
              <w:t xml:space="preserve">for all public listed, disclosing entities plus $0.33 per $10,000 of market capitalization above $5 million. The </w:t>
            </w:r>
            <w:r w:rsidR="009C5D93">
              <w:rPr>
                <w:szCs w:val="20"/>
                <w:lang w:val="en-US"/>
              </w:rPr>
              <w:t xml:space="preserve">proposed </w:t>
            </w:r>
            <w:r>
              <w:rPr>
                <w:szCs w:val="20"/>
                <w:lang w:val="en-US"/>
              </w:rPr>
              <w:t>maximum levy is $662,000 for entities with a market capitalization greater than $20 billion.</w:t>
            </w:r>
          </w:p>
        </w:tc>
      </w:tr>
      <w:tr w:rsidR="001C20EA" w:rsidRPr="00FE16AB" w14:paraId="5465C790" w14:textId="77777777" w:rsidTr="00776BFC">
        <w:trPr>
          <w:trHeight w:val="330"/>
        </w:trPr>
        <w:tc>
          <w:tcPr>
            <w:tcW w:w="1809" w:type="dxa"/>
            <w:vMerge/>
            <w:shd w:val="clear" w:color="auto" w:fill="F2F2F2" w:themeFill="background1" w:themeFillShade="F2"/>
            <w:hideMark/>
          </w:tcPr>
          <w:p w14:paraId="1AE3ABAE" w14:textId="77777777" w:rsidR="001C20EA" w:rsidRPr="00FE16AB" w:rsidRDefault="001C20EA" w:rsidP="00142B3F">
            <w:pPr>
              <w:spacing w:after="0" w:line="240" w:lineRule="auto"/>
            </w:pPr>
          </w:p>
        </w:tc>
        <w:tc>
          <w:tcPr>
            <w:tcW w:w="3828" w:type="dxa"/>
            <w:hideMark/>
          </w:tcPr>
          <w:p w14:paraId="2B3DEB4F" w14:textId="4C89EFB8" w:rsidR="001C20EA" w:rsidRPr="00FE16AB" w:rsidRDefault="001C20EA" w:rsidP="00776BFC">
            <w:pPr>
              <w:pStyle w:val="TableTextLeft"/>
            </w:pPr>
            <w:r w:rsidRPr="00FE16AB">
              <w:rPr>
                <w:lang w:val="en-US"/>
              </w:rPr>
              <w:t>Public companies (non-listed disclosing)</w:t>
            </w:r>
          </w:p>
        </w:tc>
        <w:tc>
          <w:tcPr>
            <w:tcW w:w="1417" w:type="dxa"/>
            <w:hideMark/>
          </w:tcPr>
          <w:p w14:paraId="0178F8EA" w14:textId="77777777" w:rsidR="001C20EA" w:rsidRPr="00FE16AB" w:rsidRDefault="001C20EA" w:rsidP="00776BFC">
            <w:pPr>
              <w:pStyle w:val="TableTextLeft"/>
            </w:pPr>
            <w:r w:rsidRPr="00FE16AB">
              <w:rPr>
                <w:lang w:val="en-US"/>
              </w:rPr>
              <w:t>Flat levy</w:t>
            </w:r>
          </w:p>
        </w:tc>
        <w:tc>
          <w:tcPr>
            <w:tcW w:w="1559" w:type="dxa"/>
          </w:tcPr>
          <w:p w14:paraId="18F1D9DD" w14:textId="77777777" w:rsidR="001C20EA" w:rsidRPr="00FE16AB" w:rsidRDefault="001C20EA" w:rsidP="00776BFC">
            <w:pPr>
              <w:pStyle w:val="TableTextLeft"/>
            </w:pPr>
            <w:r w:rsidRPr="00BE488E">
              <w:t>$2.8 million</w:t>
            </w:r>
          </w:p>
        </w:tc>
        <w:tc>
          <w:tcPr>
            <w:tcW w:w="5529" w:type="dxa"/>
            <w:shd w:val="clear" w:color="auto" w:fill="DBE5F1" w:themeFill="accent1" w:themeFillTint="33"/>
          </w:tcPr>
          <w:p w14:paraId="113FB740" w14:textId="6254067E" w:rsidR="001C20EA" w:rsidRPr="00FE16AB" w:rsidRDefault="001C20EA" w:rsidP="00776BFC">
            <w:pPr>
              <w:pStyle w:val="TableTextLeft"/>
              <w:rPr>
                <w:lang w:val="en-US"/>
              </w:rPr>
            </w:pPr>
            <w:r>
              <w:rPr>
                <w:szCs w:val="20"/>
                <w:lang w:val="en-US"/>
              </w:rPr>
              <w:t>$3,350 annual levy</w:t>
            </w:r>
          </w:p>
        </w:tc>
      </w:tr>
      <w:tr w:rsidR="001C20EA" w:rsidRPr="00FE16AB" w14:paraId="451FB0C5" w14:textId="77777777" w:rsidTr="00776BFC">
        <w:trPr>
          <w:trHeight w:val="330"/>
        </w:trPr>
        <w:tc>
          <w:tcPr>
            <w:tcW w:w="1809" w:type="dxa"/>
            <w:vMerge/>
            <w:shd w:val="clear" w:color="auto" w:fill="F2F2F2" w:themeFill="background1" w:themeFillShade="F2"/>
            <w:hideMark/>
          </w:tcPr>
          <w:p w14:paraId="5FA5AF12" w14:textId="77777777" w:rsidR="001C20EA" w:rsidRPr="00FE16AB" w:rsidRDefault="001C20EA" w:rsidP="00142B3F">
            <w:pPr>
              <w:spacing w:after="0" w:line="240" w:lineRule="auto"/>
            </w:pPr>
          </w:p>
        </w:tc>
        <w:tc>
          <w:tcPr>
            <w:tcW w:w="3828" w:type="dxa"/>
            <w:hideMark/>
          </w:tcPr>
          <w:p w14:paraId="723A4045" w14:textId="77777777" w:rsidR="001C20EA" w:rsidRPr="00FE16AB" w:rsidRDefault="001C20EA" w:rsidP="00776BFC">
            <w:pPr>
              <w:pStyle w:val="TableTextLeft"/>
            </w:pPr>
            <w:r w:rsidRPr="00FE16AB">
              <w:rPr>
                <w:lang w:val="en-US"/>
              </w:rPr>
              <w:t>Public companies (non-disclosing)</w:t>
            </w:r>
          </w:p>
        </w:tc>
        <w:tc>
          <w:tcPr>
            <w:tcW w:w="1417" w:type="dxa"/>
            <w:hideMark/>
          </w:tcPr>
          <w:p w14:paraId="3FC08523" w14:textId="77777777" w:rsidR="001C20EA" w:rsidRPr="00FE16AB" w:rsidRDefault="001C20EA" w:rsidP="00776BFC">
            <w:pPr>
              <w:pStyle w:val="TableTextLeft"/>
            </w:pPr>
            <w:r w:rsidRPr="00FE16AB">
              <w:rPr>
                <w:lang w:val="en-US"/>
              </w:rPr>
              <w:t>Flat levy</w:t>
            </w:r>
          </w:p>
        </w:tc>
        <w:tc>
          <w:tcPr>
            <w:tcW w:w="1559" w:type="dxa"/>
          </w:tcPr>
          <w:p w14:paraId="57C0631C" w14:textId="77777777" w:rsidR="001C20EA" w:rsidRPr="00FE16AB" w:rsidRDefault="001C20EA" w:rsidP="00776BFC">
            <w:pPr>
              <w:pStyle w:val="TableTextLeft"/>
            </w:pPr>
            <w:r w:rsidRPr="00BE488E">
              <w:t>$3.1 million</w:t>
            </w:r>
          </w:p>
        </w:tc>
        <w:tc>
          <w:tcPr>
            <w:tcW w:w="5529" w:type="dxa"/>
            <w:shd w:val="clear" w:color="auto" w:fill="DBE5F1" w:themeFill="accent1" w:themeFillTint="33"/>
          </w:tcPr>
          <w:p w14:paraId="0AA70962" w14:textId="36AFD5B7" w:rsidR="001C20EA" w:rsidRPr="00FE16AB" w:rsidRDefault="001C20EA" w:rsidP="00776BFC">
            <w:pPr>
              <w:pStyle w:val="TableTextLeft"/>
              <w:rPr>
                <w:lang w:val="en-US"/>
              </w:rPr>
            </w:pPr>
            <w:r w:rsidRPr="00417994">
              <w:t>$170 annual levy</w:t>
            </w:r>
          </w:p>
        </w:tc>
      </w:tr>
      <w:tr w:rsidR="001C20EA" w:rsidRPr="00FE16AB" w14:paraId="2F921452" w14:textId="77777777" w:rsidTr="00776BFC">
        <w:trPr>
          <w:trHeight w:val="330"/>
        </w:trPr>
        <w:tc>
          <w:tcPr>
            <w:tcW w:w="1809" w:type="dxa"/>
            <w:vMerge/>
            <w:shd w:val="clear" w:color="auto" w:fill="F2F2F2" w:themeFill="background1" w:themeFillShade="F2"/>
            <w:hideMark/>
          </w:tcPr>
          <w:p w14:paraId="6BCD49EF" w14:textId="77777777" w:rsidR="001C20EA" w:rsidRPr="00FE16AB" w:rsidRDefault="001C20EA" w:rsidP="00142B3F">
            <w:pPr>
              <w:spacing w:after="0" w:line="240" w:lineRule="auto"/>
            </w:pPr>
          </w:p>
        </w:tc>
        <w:tc>
          <w:tcPr>
            <w:tcW w:w="3828" w:type="dxa"/>
            <w:hideMark/>
          </w:tcPr>
          <w:p w14:paraId="3D9A43E5" w14:textId="77777777" w:rsidR="001C20EA" w:rsidRPr="00FE16AB" w:rsidRDefault="001C20EA" w:rsidP="00776BFC">
            <w:pPr>
              <w:pStyle w:val="TableTextLeft"/>
            </w:pPr>
            <w:r w:rsidRPr="00FE16AB">
              <w:rPr>
                <w:lang w:val="en-US"/>
              </w:rPr>
              <w:t>Large proprietary companies</w:t>
            </w:r>
          </w:p>
        </w:tc>
        <w:tc>
          <w:tcPr>
            <w:tcW w:w="1417" w:type="dxa"/>
            <w:hideMark/>
          </w:tcPr>
          <w:p w14:paraId="622B7B96" w14:textId="77777777" w:rsidR="001C20EA" w:rsidRPr="00FE16AB" w:rsidRDefault="001C20EA" w:rsidP="00776BFC">
            <w:pPr>
              <w:pStyle w:val="TableTextLeft"/>
            </w:pPr>
            <w:r w:rsidRPr="00FE16AB">
              <w:rPr>
                <w:lang w:val="en-US"/>
              </w:rPr>
              <w:t>Flat levy</w:t>
            </w:r>
          </w:p>
        </w:tc>
        <w:tc>
          <w:tcPr>
            <w:tcW w:w="1559" w:type="dxa"/>
          </w:tcPr>
          <w:p w14:paraId="393109B3" w14:textId="77777777" w:rsidR="001C20EA" w:rsidRPr="00FE16AB" w:rsidRDefault="001C20EA" w:rsidP="00776BFC">
            <w:pPr>
              <w:pStyle w:val="TableTextLeft"/>
            </w:pPr>
            <w:r w:rsidRPr="00BE488E">
              <w:t>$</w:t>
            </w:r>
            <w:r>
              <w:t>3</w:t>
            </w:r>
            <w:r w:rsidRPr="00BE488E">
              <w:t xml:space="preserve"> million</w:t>
            </w:r>
          </w:p>
        </w:tc>
        <w:tc>
          <w:tcPr>
            <w:tcW w:w="5529" w:type="dxa"/>
            <w:shd w:val="clear" w:color="auto" w:fill="DBE5F1" w:themeFill="accent1" w:themeFillTint="33"/>
          </w:tcPr>
          <w:p w14:paraId="294DFA8F" w14:textId="1E4B4804" w:rsidR="001C20EA" w:rsidRPr="00FE16AB" w:rsidRDefault="001C20EA" w:rsidP="00776BFC">
            <w:pPr>
              <w:pStyle w:val="TableTextLeft"/>
              <w:rPr>
                <w:lang w:val="en-US"/>
              </w:rPr>
            </w:pPr>
            <w:r w:rsidRPr="00417994">
              <w:t>$350 annual levy</w:t>
            </w:r>
          </w:p>
        </w:tc>
      </w:tr>
      <w:tr w:rsidR="001C20EA" w:rsidRPr="00FE16AB" w14:paraId="4B12E1B2" w14:textId="77777777" w:rsidTr="00776BFC">
        <w:trPr>
          <w:trHeight w:val="330"/>
        </w:trPr>
        <w:tc>
          <w:tcPr>
            <w:tcW w:w="1809" w:type="dxa"/>
            <w:vMerge/>
            <w:shd w:val="clear" w:color="auto" w:fill="F2F2F2" w:themeFill="background1" w:themeFillShade="F2"/>
            <w:hideMark/>
          </w:tcPr>
          <w:p w14:paraId="12225580" w14:textId="77777777" w:rsidR="001C20EA" w:rsidRPr="00FE16AB" w:rsidRDefault="001C20EA" w:rsidP="00142B3F">
            <w:pPr>
              <w:spacing w:after="0" w:line="240" w:lineRule="auto"/>
            </w:pPr>
          </w:p>
        </w:tc>
        <w:tc>
          <w:tcPr>
            <w:tcW w:w="3828" w:type="dxa"/>
            <w:hideMark/>
          </w:tcPr>
          <w:p w14:paraId="4A36BC75" w14:textId="77777777" w:rsidR="001C20EA" w:rsidRPr="00FE16AB" w:rsidRDefault="001C20EA" w:rsidP="00776BFC">
            <w:pPr>
              <w:pStyle w:val="TableTextLeft"/>
            </w:pPr>
            <w:r w:rsidRPr="00FE16AB">
              <w:rPr>
                <w:lang w:val="en-US"/>
              </w:rPr>
              <w:t>Small proprietary companies</w:t>
            </w:r>
          </w:p>
        </w:tc>
        <w:tc>
          <w:tcPr>
            <w:tcW w:w="1417" w:type="dxa"/>
            <w:hideMark/>
          </w:tcPr>
          <w:p w14:paraId="30E8ADBF" w14:textId="77777777" w:rsidR="001C20EA" w:rsidRPr="00FE16AB" w:rsidRDefault="001C20EA" w:rsidP="00776BFC">
            <w:pPr>
              <w:pStyle w:val="TableTextLeft"/>
            </w:pPr>
            <w:r w:rsidRPr="00FE16AB">
              <w:rPr>
                <w:lang w:val="en-US"/>
              </w:rPr>
              <w:t>Flat levy</w:t>
            </w:r>
          </w:p>
        </w:tc>
        <w:tc>
          <w:tcPr>
            <w:tcW w:w="1559" w:type="dxa"/>
          </w:tcPr>
          <w:p w14:paraId="695E38AC" w14:textId="77777777" w:rsidR="001C20EA" w:rsidRPr="00FE16AB" w:rsidRDefault="001C20EA" w:rsidP="00776BFC">
            <w:pPr>
              <w:pStyle w:val="TableTextLeft"/>
            </w:pPr>
            <w:r w:rsidRPr="00BE488E">
              <w:t>$9.7 million</w:t>
            </w:r>
          </w:p>
        </w:tc>
        <w:tc>
          <w:tcPr>
            <w:tcW w:w="5529" w:type="dxa"/>
            <w:shd w:val="clear" w:color="auto" w:fill="DBE5F1" w:themeFill="accent1" w:themeFillTint="33"/>
          </w:tcPr>
          <w:p w14:paraId="5EB118D7" w14:textId="7F28CDC4" w:rsidR="001C20EA" w:rsidRPr="00FE16AB" w:rsidRDefault="001C20EA" w:rsidP="00776BFC">
            <w:pPr>
              <w:pStyle w:val="TableTextLeft"/>
              <w:rPr>
                <w:lang w:val="en-US"/>
              </w:rPr>
            </w:pPr>
            <w:r w:rsidRPr="00417994">
              <w:t>$5 annual levy</w:t>
            </w:r>
          </w:p>
        </w:tc>
      </w:tr>
      <w:tr w:rsidR="001C20EA" w:rsidRPr="00FE16AB" w14:paraId="702951D7" w14:textId="77777777" w:rsidTr="009C5D93">
        <w:trPr>
          <w:trHeight w:val="1752"/>
        </w:trPr>
        <w:tc>
          <w:tcPr>
            <w:tcW w:w="1809" w:type="dxa"/>
            <w:vMerge/>
            <w:shd w:val="clear" w:color="auto" w:fill="F2F2F2" w:themeFill="background1" w:themeFillShade="F2"/>
            <w:hideMark/>
          </w:tcPr>
          <w:p w14:paraId="2E695197" w14:textId="77777777" w:rsidR="001C20EA" w:rsidRPr="00FE16AB" w:rsidRDefault="001C20EA" w:rsidP="00142B3F">
            <w:pPr>
              <w:spacing w:after="0" w:line="240" w:lineRule="auto"/>
            </w:pPr>
          </w:p>
        </w:tc>
        <w:tc>
          <w:tcPr>
            <w:tcW w:w="3828" w:type="dxa"/>
            <w:hideMark/>
          </w:tcPr>
          <w:p w14:paraId="196BE539" w14:textId="77777777" w:rsidR="001C20EA" w:rsidRPr="00FE16AB" w:rsidRDefault="001C20EA" w:rsidP="00776BFC">
            <w:pPr>
              <w:pStyle w:val="TableTextLeft"/>
            </w:pPr>
            <w:r w:rsidRPr="00FE16AB">
              <w:rPr>
                <w:lang w:val="en-US"/>
              </w:rPr>
              <w:t>Registered liquidators</w:t>
            </w:r>
          </w:p>
        </w:tc>
        <w:tc>
          <w:tcPr>
            <w:tcW w:w="1417" w:type="dxa"/>
            <w:hideMark/>
          </w:tcPr>
          <w:p w14:paraId="72035A47" w14:textId="458E7C93" w:rsidR="001C20EA" w:rsidRDefault="00583E16" w:rsidP="00776BFC">
            <w:pPr>
              <w:pStyle w:val="TableTextLeft"/>
              <w:rPr>
                <w:lang w:val="en-US"/>
              </w:rPr>
            </w:pPr>
            <w:r w:rsidRPr="00583E16">
              <w:rPr>
                <w:b/>
                <w:lang w:val="en-US"/>
              </w:rPr>
              <w:t>Y1:</w:t>
            </w:r>
            <w:r>
              <w:rPr>
                <w:lang w:val="en-US"/>
              </w:rPr>
              <w:t xml:space="preserve"> </w:t>
            </w:r>
            <w:r w:rsidR="001C20EA">
              <w:rPr>
                <w:lang w:val="en-US"/>
              </w:rPr>
              <w:t>Number of appointments</w:t>
            </w:r>
          </w:p>
          <w:p w14:paraId="5B458D9A" w14:textId="7F24D4A2" w:rsidR="00583E16" w:rsidRPr="009C5D93" w:rsidRDefault="00583E16" w:rsidP="00776BFC">
            <w:pPr>
              <w:pStyle w:val="TableTextLeft"/>
              <w:rPr>
                <w:lang w:val="en-US"/>
              </w:rPr>
            </w:pPr>
            <w:r w:rsidRPr="00583E16">
              <w:rPr>
                <w:b/>
                <w:lang w:val="en-US"/>
              </w:rPr>
              <w:t xml:space="preserve">Y2: </w:t>
            </w:r>
            <w:r>
              <w:rPr>
                <w:lang w:val="en-US"/>
              </w:rPr>
              <w:t xml:space="preserve">Assets </w:t>
            </w:r>
            <w:proofErr w:type="spellStart"/>
            <w:r>
              <w:rPr>
                <w:lang w:val="en-US"/>
              </w:rPr>
              <w:t>realised</w:t>
            </w:r>
            <w:proofErr w:type="spellEnd"/>
          </w:p>
        </w:tc>
        <w:tc>
          <w:tcPr>
            <w:tcW w:w="1559" w:type="dxa"/>
          </w:tcPr>
          <w:p w14:paraId="16563B3E" w14:textId="77777777" w:rsidR="001C20EA" w:rsidRPr="00FE16AB" w:rsidRDefault="001C20EA" w:rsidP="00776BFC">
            <w:pPr>
              <w:pStyle w:val="TableTextLeft"/>
            </w:pPr>
            <w:r w:rsidRPr="00BE488E">
              <w:rPr>
                <w:lang w:val="en-US"/>
              </w:rPr>
              <w:t>$8.</w:t>
            </w:r>
            <w:r>
              <w:rPr>
                <w:lang w:val="en-US"/>
              </w:rPr>
              <w:t>5</w:t>
            </w:r>
            <w:r w:rsidRPr="00BE488E">
              <w:rPr>
                <w:lang w:val="en-US"/>
              </w:rPr>
              <w:t xml:space="preserve"> million</w:t>
            </w:r>
          </w:p>
        </w:tc>
        <w:tc>
          <w:tcPr>
            <w:tcW w:w="5529" w:type="dxa"/>
            <w:shd w:val="clear" w:color="auto" w:fill="DBE5F1" w:themeFill="accent1" w:themeFillTint="33"/>
          </w:tcPr>
          <w:p w14:paraId="66AD7132" w14:textId="5A2EAA37" w:rsidR="00583E16" w:rsidRDefault="00583E16" w:rsidP="00776BFC">
            <w:pPr>
              <w:pStyle w:val="TableTextLeft"/>
            </w:pPr>
            <w:r w:rsidRPr="00583E16">
              <w:rPr>
                <w:b/>
              </w:rPr>
              <w:t>2017-18:</w:t>
            </w:r>
            <w:r>
              <w:t xml:space="preserve"> </w:t>
            </w:r>
            <w:r w:rsidR="009C5D93">
              <w:t>A proposed f</w:t>
            </w:r>
            <w:r w:rsidR="001C20EA" w:rsidRPr="00417994">
              <w:t>ixed levy of $5,000 for all registered liquidators plus a graduated levy based on the number of appointments for the entity compared to the total number of appointments industry wide (estimated to be $</w:t>
            </w:r>
            <w:r w:rsidRPr="00417994">
              <w:t>550</w:t>
            </w:r>
            <w:r w:rsidR="00F633CF">
              <w:t> </w:t>
            </w:r>
            <w:r w:rsidRPr="00417994">
              <w:t>per</w:t>
            </w:r>
            <w:r w:rsidR="00F633CF">
              <w:t> </w:t>
            </w:r>
            <w:r w:rsidRPr="00417994">
              <w:t>appointment</w:t>
            </w:r>
            <w:r w:rsidR="001C20EA" w:rsidRPr="00417994">
              <w:t>).</w:t>
            </w:r>
          </w:p>
          <w:p w14:paraId="052B7B64" w14:textId="21324BF7" w:rsidR="001C20EA" w:rsidRPr="00FE16AB" w:rsidRDefault="00583E16" w:rsidP="00583E16">
            <w:pPr>
              <w:pStyle w:val="TableTextLeft"/>
              <w:rPr>
                <w:lang w:val="en-US"/>
              </w:rPr>
            </w:pPr>
            <w:r w:rsidRPr="00583E16">
              <w:rPr>
                <w:b/>
              </w:rPr>
              <w:t>2018-19:</w:t>
            </w:r>
            <w:r>
              <w:t xml:space="preserve"> Consideration will be given to moving to an ‘assets realised’ levy based on </w:t>
            </w:r>
            <w:r w:rsidR="007C0FB8">
              <w:t>information provided to ASIC in Annual Administration Returns lodged by registered liquidators.</w:t>
            </w:r>
          </w:p>
        </w:tc>
      </w:tr>
      <w:tr w:rsidR="001C20EA" w:rsidRPr="00FE16AB" w14:paraId="02D1F738" w14:textId="77777777" w:rsidTr="00776BFC">
        <w:trPr>
          <w:trHeight w:val="330"/>
        </w:trPr>
        <w:tc>
          <w:tcPr>
            <w:tcW w:w="1809" w:type="dxa"/>
            <w:vMerge/>
            <w:shd w:val="clear" w:color="auto" w:fill="F2F2F2" w:themeFill="background1" w:themeFillShade="F2"/>
            <w:hideMark/>
          </w:tcPr>
          <w:p w14:paraId="7C358CE1" w14:textId="77777777" w:rsidR="001C20EA" w:rsidRPr="00FE16AB" w:rsidRDefault="001C20EA" w:rsidP="00142B3F">
            <w:pPr>
              <w:spacing w:after="0" w:line="240" w:lineRule="auto"/>
            </w:pPr>
          </w:p>
        </w:tc>
        <w:tc>
          <w:tcPr>
            <w:tcW w:w="3828" w:type="dxa"/>
            <w:hideMark/>
          </w:tcPr>
          <w:p w14:paraId="2D6A839C" w14:textId="4FA91E52" w:rsidR="001C20EA" w:rsidRPr="00FE16AB" w:rsidRDefault="007C0FB8" w:rsidP="007C0FB8">
            <w:pPr>
              <w:pStyle w:val="TableTextLeft"/>
            </w:pPr>
            <w:proofErr w:type="spellStart"/>
            <w:r>
              <w:rPr>
                <w:lang w:val="en-US"/>
              </w:rPr>
              <w:t>Authorised</w:t>
            </w:r>
            <w:proofErr w:type="spellEnd"/>
            <w:r w:rsidR="001C20EA" w:rsidRPr="00FE16AB">
              <w:rPr>
                <w:lang w:val="en-US"/>
              </w:rPr>
              <w:t xml:space="preserve"> audit companies / Audit </w:t>
            </w:r>
            <w:r>
              <w:rPr>
                <w:lang w:val="en-US"/>
              </w:rPr>
              <w:t xml:space="preserve">firms that audit publicly listed entities </w:t>
            </w:r>
          </w:p>
        </w:tc>
        <w:tc>
          <w:tcPr>
            <w:tcW w:w="1417" w:type="dxa"/>
            <w:hideMark/>
          </w:tcPr>
          <w:p w14:paraId="6A47B27D" w14:textId="77777777" w:rsidR="001C20EA" w:rsidRPr="00FE16AB" w:rsidRDefault="001C20EA" w:rsidP="00776BFC">
            <w:pPr>
              <w:pStyle w:val="TableTextLeft"/>
            </w:pPr>
            <w:r w:rsidRPr="00FE16AB">
              <w:rPr>
                <w:lang w:val="en-US"/>
              </w:rPr>
              <w:t>Audit fee revenue</w:t>
            </w:r>
          </w:p>
        </w:tc>
        <w:tc>
          <w:tcPr>
            <w:tcW w:w="1559" w:type="dxa"/>
          </w:tcPr>
          <w:p w14:paraId="5B9755CD" w14:textId="77777777" w:rsidR="001C20EA" w:rsidRPr="00FE16AB" w:rsidRDefault="001C20EA" w:rsidP="00776BFC">
            <w:pPr>
              <w:pStyle w:val="TableTextLeft"/>
            </w:pPr>
            <w:r w:rsidRPr="00BE488E">
              <w:t>$4.3 million</w:t>
            </w:r>
          </w:p>
        </w:tc>
        <w:tc>
          <w:tcPr>
            <w:tcW w:w="5529" w:type="dxa"/>
            <w:shd w:val="clear" w:color="auto" w:fill="DBE5F1" w:themeFill="accent1" w:themeFillTint="33"/>
          </w:tcPr>
          <w:p w14:paraId="57C384FE" w14:textId="03C883F3" w:rsidR="001C20EA" w:rsidRPr="00FE16AB" w:rsidRDefault="001C20EA" w:rsidP="00776BFC">
            <w:pPr>
              <w:pStyle w:val="TableTextLeft"/>
              <w:rPr>
                <w:lang w:val="en-US"/>
              </w:rPr>
            </w:pPr>
            <w:r w:rsidRPr="00417994">
              <w:t>(Entity’s Audit Fee Revenue/Total Audit Fee Revenue) x ASIC’s Costs for the subsector.</w:t>
            </w:r>
          </w:p>
        </w:tc>
      </w:tr>
      <w:tr w:rsidR="001C20EA" w:rsidRPr="00FE16AB" w14:paraId="7C85EB11" w14:textId="77777777" w:rsidTr="00776BFC">
        <w:trPr>
          <w:trHeight w:val="330"/>
        </w:trPr>
        <w:tc>
          <w:tcPr>
            <w:tcW w:w="1809" w:type="dxa"/>
            <w:vMerge/>
            <w:shd w:val="clear" w:color="auto" w:fill="F2F2F2" w:themeFill="background1" w:themeFillShade="F2"/>
            <w:hideMark/>
          </w:tcPr>
          <w:p w14:paraId="4C05C4E2" w14:textId="77777777" w:rsidR="001C20EA" w:rsidRPr="00FE16AB" w:rsidRDefault="001C20EA" w:rsidP="00142B3F">
            <w:pPr>
              <w:spacing w:after="0" w:line="240" w:lineRule="auto"/>
            </w:pPr>
          </w:p>
        </w:tc>
        <w:tc>
          <w:tcPr>
            <w:tcW w:w="3828" w:type="dxa"/>
            <w:hideMark/>
          </w:tcPr>
          <w:p w14:paraId="145EEC05" w14:textId="77777777" w:rsidR="001C20EA" w:rsidRPr="00FE16AB" w:rsidRDefault="001C20EA" w:rsidP="00776BFC">
            <w:pPr>
              <w:pStyle w:val="TableTextLeft"/>
            </w:pPr>
            <w:r w:rsidRPr="00FE16AB">
              <w:rPr>
                <w:lang w:val="en-US"/>
              </w:rPr>
              <w:t>Registered company auditors</w:t>
            </w:r>
          </w:p>
        </w:tc>
        <w:tc>
          <w:tcPr>
            <w:tcW w:w="1417" w:type="dxa"/>
            <w:hideMark/>
          </w:tcPr>
          <w:p w14:paraId="18914519" w14:textId="77777777" w:rsidR="001C20EA" w:rsidRPr="00FE16AB" w:rsidRDefault="001C20EA" w:rsidP="00776BFC">
            <w:pPr>
              <w:pStyle w:val="TableTextLeft"/>
            </w:pPr>
            <w:r w:rsidRPr="00FE16AB">
              <w:rPr>
                <w:lang w:val="en-US"/>
              </w:rPr>
              <w:t>Flat levy</w:t>
            </w:r>
          </w:p>
        </w:tc>
        <w:tc>
          <w:tcPr>
            <w:tcW w:w="1559" w:type="dxa"/>
          </w:tcPr>
          <w:p w14:paraId="18149C49" w14:textId="77777777" w:rsidR="001C20EA" w:rsidRPr="00FE16AB" w:rsidRDefault="001C20EA" w:rsidP="00776BFC">
            <w:pPr>
              <w:pStyle w:val="TableTextLeft"/>
            </w:pPr>
            <w:r>
              <w:t>$0.8</w:t>
            </w:r>
            <w:r w:rsidRPr="00BE488E">
              <w:t xml:space="preserve"> million</w:t>
            </w:r>
          </w:p>
        </w:tc>
        <w:tc>
          <w:tcPr>
            <w:tcW w:w="5529" w:type="dxa"/>
            <w:shd w:val="clear" w:color="auto" w:fill="DBE5F1" w:themeFill="accent1" w:themeFillTint="33"/>
          </w:tcPr>
          <w:p w14:paraId="69BC6BF1" w14:textId="052FF962" w:rsidR="001C20EA" w:rsidRPr="00FE16AB" w:rsidRDefault="001C20EA" w:rsidP="00776BFC">
            <w:pPr>
              <w:pStyle w:val="TableTextLeft"/>
              <w:rPr>
                <w:lang w:val="en-US"/>
              </w:rPr>
            </w:pPr>
            <w:r w:rsidRPr="00417994">
              <w:t>$170 annual levy</w:t>
            </w:r>
          </w:p>
        </w:tc>
      </w:tr>
    </w:tbl>
    <w:p w14:paraId="25FBEA87" w14:textId="77777777" w:rsidR="005C48E7" w:rsidRDefault="005C48E7">
      <w:r>
        <w:rPr>
          <w:b/>
          <w:bCs/>
        </w:rPr>
        <w:br w:type="page"/>
      </w:r>
    </w:p>
    <w:tbl>
      <w:tblPr>
        <w:tblStyle w:val="tableASIC"/>
        <w:tblW w:w="141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809"/>
        <w:gridCol w:w="3828"/>
        <w:gridCol w:w="1417"/>
        <w:gridCol w:w="1559"/>
        <w:gridCol w:w="5529"/>
      </w:tblGrid>
      <w:tr w:rsidR="005C48E7" w:rsidRPr="0019629B" w14:paraId="42168E2D" w14:textId="77777777" w:rsidTr="00902D9F">
        <w:trPr>
          <w:trHeight w:val="330"/>
        </w:trPr>
        <w:tc>
          <w:tcPr>
            <w:tcW w:w="1809" w:type="dxa"/>
            <w:shd w:val="clear" w:color="auto" w:fill="1F497D" w:themeFill="text2"/>
            <w:hideMark/>
          </w:tcPr>
          <w:p w14:paraId="5B9897B3" w14:textId="77777777" w:rsidR="005C48E7" w:rsidRPr="0019629B" w:rsidRDefault="005C48E7" w:rsidP="00902D9F">
            <w:pPr>
              <w:pStyle w:val="TableColumnHeadingLeft"/>
            </w:pPr>
            <w:r w:rsidRPr="0019629B">
              <w:t>Sector</w:t>
            </w:r>
          </w:p>
        </w:tc>
        <w:tc>
          <w:tcPr>
            <w:tcW w:w="3828" w:type="dxa"/>
            <w:shd w:val="clear" w:color="auto" w:fill="1F497D" w:themeFill="text2"/>
            <w:hideMark/>
          </w:tcPr>
          <w:p w14:paraId="08009F79" w14:textId="77777777" w:rsidR="005C48E7" w:rsidRPr="0019629B" w:rsidRDefault="005C48E7" w:rsidP="00902D9F">
            <w:pPr>
              <w:pStyle w:val="TableColumnHeadingLeft"/>
            </w:pPr>
            <w:r w:rsidRPr="0019629B">
              <w:t>Subsector</w:t>
            </w:r>
          </w:p>
        </w:tc>
        <w:tc>
          <w:tcPr>
            <w:tcW w:w="1417" w:type="dxa"/>
            <w:shd w:val="clear" w:color="auto" w:fill="1F497D" w:themeFill="text2"/>
            <w:hideMark/>
          </w:tcPr>
          <w:p w14:paraId="1AF29896" w14:textId="77777777" w:rsidR="005C48E7" w:rsidRPr="0019629B" w:rsidRDefault="005C48E7" w:rsidP="00902D9F">
            <w:pPr>
              <w:pStyle w:val="TableColumnHeadingLeft"/>
            </w:pPr>
            <w:r w:rsidRPr="0019629B">
              <w:t>Levy metric</w:t>
            </w:r>
          </w:p>
        </w:tc>
        <w:tc>
          <w:tcPr>
            <w:tcW w:w="1559" w:type="dxa"/>
            <w:shd w:val="clear" w:color="auto" w:fill="1F497D" w:themeFill="text2"/>
            <w:hideMark/>
          </w:tcPr>
          <w:p w14:paraId="67D46BBC" w14:textId="77777777" w:rsidR="005C48E7" w:rsidRPr="0019629B" w:rsidRDefault="005C48E7" w:rsidP="00902D9F">
            <w:pPr>
              <w:pStyle w:val="TableColumnHeadingLeft"/>
            </w:pPr>
            <w:r w:rsidRPr="0019629B">
              <w:t>Anticipated ASIC expense</w:t>
            </w:r>
          </w:p>
        </w:tc>
        <w:tc>
          <w:tcPr>
            <w:tcW w:w="5529" w:type="dxa"/>
            <w:shd w:val="clear" w:color="auto" w:fill="1F497D" w:themeFill="text2"/>
          </w:tcPr>
          <w:p w14:paraId="5B3602CE" w14:textId="77777777" w:rsidR="005C48E7" w:rsidRPr="0019629B" w:rsidRDefault="005C48E7" w:rsidP="00902D9F">
            <w:pPr>
              <w:pStyle w:val="TableColumnHeadingLeft"/>
            </w:pPr>
            <w:r>
              <w:t>Proposed I</w:t>
            </w:r>
            <w:r w:rsidRPr="0019629B">
              <w:t>ndicative levy</w:t>
            </w:r>
          </w:p>
        </w:tc>
      </w:tr>
      <w:tr w:rsidR="005C48E7" w:rsidRPr="00FE16AB" w14:paraId="576962A4" w14:textId="77777777" w:rsidTr="00776BFC">
        <w:trPr>
          <w:trHeight w:val="330"/>
        </w:trPr>
        <w:tc>
          <w:tcPr>
            <w:tcW w:w="1809" w:type="dxa"/>
            <w:vMerge w:val="restart"/>
            <w:shd w:val="clear" w:color="auto" w:fill="F2F2F2" w:themeFill="background1" w:themeFillShade="F2"/>
          </w:tcPr>
          <w:p w14:paraId="3897E84F" w14:textId="64313A81" w:rsidR="005C48E7" w:rsidRPr="00FE16AB" w:rsidRDefault="005C48E7" w:rsidP="005C48E7">
            <w:pPr>
              <w:pStyle w:val="TableRowHeadingLeft"/>
            </w:pPr>
            <w:r>
              <w:rPr>
                <w:lang w:val="en-US"/>
              </w:rPr>
              <w:t>Deposit taking and credit</w:t>
            </w:r>
          </w:p>
        </w:tc>
        <w:tc>
          <w:tcPr>
            <w:tcW w:w="3828" w:type="dxa"/>
          </w:tcPr>
          <w:p w14:paraId="36B7DF37" w14:textId="77777777" w:rsidR="005C48E7" w:rsidRPr="00FE16AB" w:rsidRDefault="005C48E7" w:rsidP="00776BFC">
            <w:pPr>
              <w:pStyle w:val="TableTextLeft"/>
              <w:rPr>
                <w:lang w:val="en-US"/>
              </w:rPr>
            </w:pPr>
            <w:r w:rsidRPr="00FE16AB">
              <w:rPr>
                <w:lang w:val="en-US"/>
              </w:rPr>
              <w:t xml:space="preserve">Credit </w:t>
            </w:r>
            <w:r>
              <w:rPr>
                <w:lang w:val="en-US"/>
              </w:rPr>
              <w:t>p</w:t>
            </w:r>
            <w:r w:rsidRPr="00FE16AB">
              <w:rPr>
                <w:lang w:val="en-US"/>
              </w:rPr>
              <w:t>roviders</w:t>
            </w:r>
          </w:p>
        </w:tc>
        <w:tc>
          <w:tcPr>
            <w:tcW w:w="1417" w:type="dxa"/>
          </w:tcPr>
          <w:p w14:paraId="46FB0384" w14:textId="77777777" w:rsidR="005C48E7" w:rsidRPr="00FE16AB" w:rsidRDefault="005C48E7" w:rsidP="00776BFC">
            <w:pPr>
              <w:pStyle w:val="TableTextLeft"/>
              <w:rPr>
                <w:lang w:val="en-US"/>
              </w:rPr>
            </w:pPr>
            <w:r w:rsidRPr="00FE16AB">
              <w:rPr>
                <w:lang w:val="en-US"/>
              </w:rPr>
              <w:t>Credit lent</w:t>
            </w:r>
          </w:p>
        </w:tc>
        <w:tc>
          <w:tcPr>
            <w:tcW w:w="1559" w:type="dxa"/>
          </w:tcPr>
          <w:p w14:paraId="26C2C42F" w14:textId="77777777" w:rsidR="005C48E7" w:rsidRDefault="005C48E7" w:rsidP="00776BFC">
            <w:pPr>
              <w:pStyle w:val="TableTextLeft"/>
            </w:pPr>
            <w:r w:rsidRPr="00BE488E">
              <w:t>$</w:t>
            </w:r>
            <w:r>
              <w:t>9</w:t>
            </w:r>
            <w:r w:rsidRPr="00BE488E">
              <w:t>.3 million</w:t>
            </w:r>
          </w:p>
        </w:tc>
        <w:tc>
          <w:tcPr>
            <w:tcW w:w="5529" w:type="dxa"/>
            <w:shd w:val="clear" w:color="auto" w:fill="DBE5F1" w:themeFill="accent1" w:themeFillTint="33"/>
          </w:tcPr>
          <w:p w14:paraId="18ED01C3" w14:textId="2E535D35" w:rsidR="005C48E7" w:rsidRPr="00BE488E" w:rsidRDefault="005C48E7" w:rsidP="00F633CF">
            <w:pPr>
              <w:pStyle w:val="TableTextLeft"/>
              <w:rPr>
                <w:lang w:val="en-US"/>
              </w:rPr>
            </w:pPr>
            <w:r w:rsidRPr="00417994">
              <w:t xml:space="preserve">$2,000 </w:t>
            </w:r>
            <w:r>
              <w:t xml:space="preserve">proposed </w:t>
            </w:r>
            <w:r w:rsidRPr="00417994">
              <w:t>minimum levy for all credit providers plus an estimated $0.15 per $10,000 of credit provided (other than under a small amount credit contract) greater than $100</w:t>
            </w:r>
            <w:r w:rsidR="00F633CF">
              <w:t> </w:t>
            </w:r>
            <w:r w:rsidRPr="00417994">
              <w:t>million.</w:t>
            </w:r>
          </w:p>
        </w:tc>
      </w:tr>
      <w:tr w:rsidR="005C48E7" w:rsidRPr="00FE16AB" w14:paraId="648B49F7" w14:textId="77777777" w:rsidTr="00776BFC">
        <w:trPr>
          <w:trHeight w:val="330"/>
        </w:trPr>
        <w:tc>
          <w:tcPr>
            <w:tcW w:w="1809" w:type="dxa"/>
            <w:vMerge/>
            <w:shd w:val="clear" w:color="auto" w:fill="F2F2F2" w:themeFill="background1" w:themeFillShade="F2"/>
            <w:hideMark/>
          </w:tcPr>
          <w:p w14:paraId="6F05EB45" w14:textId="2DA564BA" w:rsidR="005C48E7" w:rsidRPr="00FE16AB" w:rsidRDefault="005C48E7" w:rsidP="00776BFC">
            <w:pPr>
              <w:pStyle w:val="TableRowHeadingLeft"/>
              <w:spacing w:before="100" w:after="100" w:line="240" w:lineRule="auto"/>
            </w:pPr>
          </w:p>
        </w:tc>
        <w:tc>
          <w:tcPr>
            <w:tcW w:w="3828" w:type="dxa"/>
            <w:hideMark/>
          </w:tcPr>
          <w:p w14:paraId="511FBBBD" w14:textId="77777777" w:rsidR="005C48E7" w:rsidRPr="00FE16AB" w:rsidRDefault="005C48E7" w:rsidP="00776BFC">
            <w:pPr>
              <w:pStyle w:val="TableTextLeft"/>
            </w:pPr>
            <w:r w:rsidRPr="00FE16AB">
              <w:rPr>
                <w:lang w:val="en-US"/>
              </w:rPr>
              <w:t xml:space="preserve">Credit </w:t>
            </w:r>
            <w:r>
              <w:rPr>
                <w:lang w:val="en-US"/>
              </w:rPr>
              <w:t>i</w:t>
            </w:r>
            <w:r w:rsidRPr="00FE16AB">
              <w:rPr>
                <w:lang w:val="en-US"/>
              </w:rPr>
              <w:t>ntermediaries</w:t>
            </w:r>
          </w:p>
        </w:tc>
        <w:tc>
          <w:tcPr>
            <w:tcW w:w="1417" w:type="dxa"/>
            <w:hideMark/>
          </w:tcPr>
          <w:p w14:paraId="49721D4C" w14:textId="77777777" w:rsidR="005C48E7" w:rsidRPr="00FE16AB" w:rsidRDefault="005C48E7" w:rsidP="00776BFC">
            <w:pPr>
              <w:pStyle w:val="TableTextLeft"/>
            </w:pPr>
            <w:r w:rsidRPr="00FE16AB">
              <w:rPr>
                <w:lang w:val="en-US"/>
              </w:rPr>
              <w:t>Credit brokered</w:t>
            </w:r>
          </w:p>
        </w:tc>
        <w:tc>
          <w:tcPr>
            <w:tcW w:w="1559" w:type="dxa"/>
          </w:tcPr>
          <w:p w14:paraId="39DACC12" w14:textId="77777777" w:rsidR="005C48E7" w:rsidRPr="00FE16AB" w:rsidRDefault="005C48E7" w:rsidP="00776BFC">
            <w:pPr>
              <w:pStyle w:val="TableTextLeft"/>
            </w:pPr>
            <w:r>
              <w:t>$15.8 million</w:t>
            </w:r>
          </w:p>
        </w:tc>
        <w:tc>
          <w:tcPr>
            <w:tcW w:w="5529" w:type="dxa"/>
            <w:shd w:val="clear" w:color="auto" w:fill="DBE5F1" w:themeFill="accent1" w:themeFillTint="33"/>
          </w:tcPr>
          <w:p w14:paraId="19D391C1" w14:textId="72BA26D4" w:rsidR="005C48E7" w:rsidRPr="00FE16AB" w:rsidRDefault="005C48E7" w:rsidP="00776BFC">
            <w:pPr>
              <w:pStyle w:val="TableTextLeft"/>
              <w:rPr>
                <w:lang w:val="en-US"/>
              </w:rPr>
            </w:pPr>
            <w:r w:rsidRPr="00BE488E">
              <w:t xml:space="preserve">$1,000 </w:t>
            </w:r>
            <w:r>
              <w:t xml:space="preserve">proposed </w:t>
            </w:r>
            <w:r w:rsidRPr="00BE488E">
              <w:t xml:space="preserve">minimum levy for all credit intermediaries plus </w:t>
            </w:r>
            <w:r>
              <w:t xml:space="preserve">an estimated </w:t>
            </w:r>
            <w:r w:rsidRPr="00BE488E">
              <w:t>$</w:t>
            </w:r>
            <w:r>
              <w:t>1.14 </w:t>
            </w:r>
            <w:r w:rsidRPr="00BE488E">
              <w:t>per $10,000 of credit provided greater than $100</w:t>
            </w:r>
            <w:r>
              <w:t> </w:t>
            </w:r>
            <w:r w:rsidRPr="00BE488E">
              <w:t>million</w:t>
            </w:r>
            <w:r>
              <w:t>.</w:t>
            </w:r>
          </w:p>
        </w:tc>
      </w:tr>
      <w:tr w:rsidR="005C48E7" w:rsidRPr="00FE16AB" w14:paraId="7644ED95" w14:textId="77777777" w:rsidTr="00776BFC">
        <w:trPr>
          <w:trHeight w:val="330"/>
        </w:trPr>
        <w:tc>
          <w:tcPr>
            <w:tcW w:w="1809" w:type="dxa"/>
            <w:vMerge/>
            <w:shd w:val="clear" w:color="auto" w:fill="F2F2F2" w:themeFill="background1" w:themeFillShade="F2"/>
            <w:hideMark/>
          </w:tcPr>
          <w:p w14:paraId="4EA1730E" w14:textId="77777777" w:rsidR="005C48E7" w:rsidRPr="00FE16AB" w:rsidRDefault="005C48E7" w:rsidP="002D488C">
            <w:pPr>
              <w:pStyle w:val="TableRowHeadingLeft"/>
              <w:spacing w:before="100" w:after="100" w:line="240" w:lineRule="auto"/>
            </w:pPr>
          </w:p>
        </w:tc>
        <w:tc>
          <w:tcPr>
            <w:tcW w:w="3828" w:type="dxa"/>
            <w:hideMark/>
          </w:tcPr>
          <w:p w14:paraId="22C7B043" w14:textId="77777777" w:rsidR="005C48E7" w:rsidRPr="00FE16AB" w:rsidRDefault="005C48E7" w:rsidP="00776BFC">
            <w:pPr>
              <w:pStyle w:val="TableTextLeft"/>
            </w:pPr>
            <w:r w:rsidRPr="00FE16AB">
              <w:rPr>
                <w:lang w:val="en-US"/>
              </w:rPr>
              <w:t xml:space="preserve">Small </w:t>
            </w:r>
            <w:r>
              <w:rPr>
                <w:lang w:val="en-US"/>
              </w:rPr>
              <w:t>amount credit providers</w:t>
            </w:r>
          </w:p>
        </w:tc>
        <w:tc>
          <w:tcPr>
            <w:tcW w:w="1417" w:type="dxa"/>
            <w:hideMark/>
          </w:tcPr>
          <w:p w14:paraId="61C1BB73" w14:textId="77777777" w:rsidR="005C48E7" w:rsidRPr="00FE16AB" w:rsidRDefault="005C48E7" w:rsidP="00776BFC">
            <w:pPr>
              <w:pStyle w:val="TableTextLeft"/>
            </w:pPr>
            <w:r>
              <w:rPr>
                <w:lang w:val="en-US"/>
              </w:rPr>
              <w:t>Credit lent</w:t>
            </w:r>
          </w:p>
        </w:tc>
        <w:tc>
          <w:tcPr>
            <w:tcW w:w="1559" w:type="dxa"/>
          </w:tcPr>
          <w:p w14:paraId="6041250F" w14:textId="77777777" w:rsidR="005C48E7" w:rsidRPr="00FE16AB" w:rsidRDefault="005C48E7" w:rsidP="00776BFC">
            <w:pPr>
              <w:pStyle w:val="TableTextLeft"/>
            </w:pPr>
            <w:r>
              <w:t>$2.0 million</w:t>
            </w:r>
          </w:p>
        </w:tc>
        <w:tc>
          <w:tcPr>
            <w:tcW w:w="5529" w:type="dxa"/>
            <w:shd w:val="clear" w:color="auto" w:fill="DBE5F1" w:themeFill="accent1" w:themeFillTint="33"/>
          </w:tcPr>
          <w:p w14:paraId="3E379B13" w14:textId="0B4F968E" w:rsidR="005C48E7" w:rsidRPr="00FE16AB" w:rsidRDefault="005C48E7" w:rsidP="009C5D93">
            <w:pPr>
              <w:pStyle w:val="TableTextLeft"/>
              <w:rPr>
                <w:lang w:val="en-US"/>
              </w:rPr>
            </w:pPr>
            <w:r>
              <w:t>Small amount credit providers are proposed to be liable for the $2,000 minimum levy p</w:t>
            </w:r>
            <w:r w:rsidR="00F9694D">
              <w:t>ayable by all credit providers.</w:t>
            </w:r>
            <w:r>
              <w:t xml:space="preserve"> In addition, a graduated levy is proposed to be charged based on the amount of credit provided under small amount credit contracts.</w:t>
            </w:r>
          </w:p>
        </w:tc>
      </w:tr>
      <w:tr w:rsidR="005C48E7" w:rsidRPr="00FE16AB" w14:paraId="7D56EC78" w14:textId="77777777" w:rsidTr="00776BFC">
        <w:trPr>
          <w:trHeight w:val="523"/>
        </w:trPr>
        <w:tc>
          <w:tcPr>
            <w:tcW w:w="1809" w:type="dxa"/>
            <w:vMerge/>
            <w:shd w:val="clear" w:color="auto" w:fill="F2F2F2" w:themeFill="background1" w:themeFillShade="F2"/>
            <w:hideMark/>
          </w:tcPr>
          <w:p w14:paraId="4D5B6A7C" w14:textId="77777777" w:rsidR="005C48E7" w:rsidRPr="00FE16AB" w:rsidRDefault="005C48E7" w:rsidP="002D488C">
            <w:pPr>
              <w:pStyle w:val="TableRowHeadingLeft"/>
            </w:pPr>
          </w:p>
        </w:tc>
        <w:tc>
          <w:tcPr>
            <w:tcW w:w="3828" w:type="dxa"/>
            <w:hideMark/>
          </w:tcPr>
          <w:p w14:paraId="4710EC8A" w14:textId="77777777" w:rsidR="005C48E7" w:rsidRPr="00FE16AB" w:rsidRDefault="005C48E7" w:rsidP="00776BFC">
            <w:pPr>
              <w:pStyle w:val="TableTextLeft"/>
            </w:pPr>
            <w:r w:rsidRPr="00FE16AB">
              <w:rPr>
                <w:lang w:val="en-US"/>
              </w:rPr>
              <w:t>Payment product providers</w:t>
            </w:r>
          </w:p>
        </w:tc>
        <w:tc>
          <w:tcPr>
            <w:tcW w:w="1417" w:type="dxa"/>
            <w:hideMark/>
          </w:tcPr>
          <w:p w14:paraId="6F4F4DA3" w14:textId="77777777" w:rsidR="005C48E7" w:rsidRPr="00FE16AB" w:rsidRDefault="005C48E7" w:rsidP="00776BFC">
            <w:pPr>
              <w:pStyle w:val="TableTextLeft"/>
            </w:pPr>
            <w:r w:rsidRPr="009C075D">
              <w:rPr>
                <w:b/>
                <w:lang w:val="en-US"/>
              </w:rPr>
              <w:t>Y1</w:t>
            </w:r>
            <w:r w:rsidRPr="00FE16AB">
              <w:rPr>
                <w:lang w:val="en-US"/>
              </w:rPr>
              <w:t>: Flat.</w:t>
            </w:r>
            <w:r>
              <w:rPr>
                <w:lang w:val="en-US"/>
              </w:rPr>
              <w:br/>
            </w:r>
            <w:r w:rsidRPr="009C075D">
              <w:rPr>
                <w:b/>
                <w:lang w:val="en-US"/>
              </w:rPr>
              <w:t>Y2</w:t>
            </w:r>
            <w:r w:rsidRPr="00FE16AB">
              <w:rPr>
                <w:lang w:val="en-US"/>
              </w:rPr>
              <w:t>: Revenue from payment product activity</w:t>
            </w:r>
          </w:p>
        </w:tc>
        <w:tc>
          <w:tcPr>
            <w:tcW w:w="1559" w:type="dxa"/>
          </w:tcPr>
          <w:p w14:paraId="50624872" w14:textId="77777777" w:rsidR="005C48E7" w:rsidRPr="00FE16AB" w:rsidRDefault="005C48E7" w:rsidP="00776BFC">
            <w:pPr>
              <w:pStyle w:val="TableTextLeft"/>
            </w:pPr>
            <w:r w:rsidRPr="00BE488E">
              <w:t>$2.4 million</w:t>
            </w:r>
          </w:p>
        </w:tc>
        <w:tc>
          <w:tcPr>
            <w:tcW w:w="5529" w:type="dxa"/>
            <w:shd w:val="clear" w:color="auto" w:fill="DBE5F1" w:themeFill="accent1" w:themeFillTint="33"/>
          </w:tcPr>
          <w:p w14:paraId="65821C59" w14:textId="77777777" w:rsidR="005C48E7" w:rsidRPr="00BE488E" w:rsidRDefault="005C48E7" w:rsidP="00776BFC">
            <w:pPr>
              <w:pStyle w:val="TableTextLeft"/>
              <w:rPr>
                <w:lang w:val="en-US"/>
              </w:rPr>
            </w:pPr>
            <w:r w:rsidRPr="00C618EE">
              <w:rPr>
                <w:b/>
                <w:lang w:val="en-US"/>
              </w:rPr>
              <w:t>2017-18</w:t>
            </w:r>
            <w:r w:rsidRPr="00BE488E">
              <w:rPr>
                <w:lang w:val="en-US"/>
              </w:rPr>
              <w:t xml:space="preserve">: </w:t>
            </w:r>
            <w:r>
              <w:rPr>
                <w:lang w:val="en-US"/>
              </w:rPr>
              <w:t>$9,000 flat levy.</w:t>
            </w:r>
          </w:p>
          <w:p w14:paraId="4B86617E" w14:textId="350FE7C7" w:rsidR="005C48E7" w:rsidRPr="00FE16AB" w:rsidRDefault="005C48E7" w:rsidP="00776BFC">
            <w:pPr>
              <w:pStyle w:val="TableTextLeft"/>
              <w:rPr>
                <w:lang w:val="en-US"/>
              </w:rPr>
            </w:pPr>
            <w:r w:rsidRPr="00C618EE">
              <w:rPr>
                <w:b/>
                <w:lang w:val="en-US"/>
              </w:rPr>
              <w:t>2018-19</w:t>
            </w:r>
            <w:r w:rsidRPr="00BE488E">
              <w:rPr>
                <w:lang w:val="en-US"/>
              </w:rPr>
              <w:t xml:space="preserve">: </w:t>
            </w:r>
            <w:r>
              <w:rPr>
                <w:lang w:val="en-US"/>
              </w:rPr>
              <w:t xml:space="preserve">graduated levy </w:t>
            </w:r>
            <w:r>
              <w:rPr>
                <w:szCs w:val="20"/>
                <w:lang w:val="en-US"/>
              </w:rPr>
              <w:t xml:space="preserve">based on payment product provider revenue </w:t>
            </w:r>
            <w:r>
              <w:rPr>
                <w:lang w:val="en-US"/>
              </w:rPr>
              <w:t>with a minimum levy payable by all payment product providers.</w:t>
            </w:r>
          </w:p>
        </w:tc>
      </w:tr>
      <w:tr w:rsidR="005C48E7" w:rsidRPr="00FE16AB" w14:paraId="75C0468D" w14:textId="77777777" w:rsidTr="00776BFC">
        <w:trPr>
          <w:trHeight w:val="330"/>
        </w:trPr>
        <w:tc>
          <w:tcPr>
            <w:tcW w:w="1809" w:type="dxa"/>
            <w:vMerge/>
            <w:shd w:val="clear" w:color="auto" w:fill="F2F2F2" w:themeFill="background1" w:themeFillShade="F2"/>
            <w:hideMark/>
          </w:tcPr>
          <w:p w14:paraId="0ABAC5A9" w14:textId="77777777" w:rsidR="005C48E7" w:rsidRPr="00FE16AB" w:rsidRDefault="005C48E7" w:rsidP="00142B3F">
            <w:pPr>
              <w:spacing w:after="0" w:line="240" w:lineRule="auto"/>
            </w:pPr>
          </w:p>
        </w:tc>
        <w:tc>
          <w:tcPr>
            <w:tcW w:w="3828" w:type="dxa"/>
            <w:hideMark/>
          </w:tcPr>
          <w:p w14:paraId="3A3DA6DB" w14:textId="77777777" w:rsidR="005C48E7" w:rsidRPr="00FE16AB" w:rsidRDefault="005C48E7" w:rsidP="00776BFC">
            <w:pPr>
              <w:pStyle w:val="TableTextLeft"/>
            </w:pPr>
            <w:r w:rsidRPr="00FE16AB">
              <w:rPr>
                <w:lang w:val="en-US"/>
              </w:rPr>
              <w:t>Deposit product providers</w:t>
            </w:r>
          </w:p>
        </w:tc>
        <w:tc>
          <w:tcPr>
            <w:tcW w:w="1417" w:type="dxa"/>
            <w:hideMark/>
          </w:tcPr>
          <w:p w14:paraId="6A36FDD1" w14:textId="77777777" w:rsidR="005C48E7" w:rsidRPr="00FE16AB" w:rsidRDefault="005C48E7" w:rsidP="00776BFC">
            <w:pPr>
              <w:pStyle w:val="TableTextLeft"/>
            </w:pPr>
            <w:r w:rsidRPr="00FE16AB">
              <w:rPr>
                <w:lang w:val="en-US"/>
              </w:rPr>
              <w:t>Deposit liabilities</w:t>
            </w:r>
          </w:p>
        </w:tc>
        <w:tc>
          <w:tcPr>
            <w:tcW w:w="1559" w:type="dxa"/>
          </w:tcPr>
          <w:p w14:paraId="5AB42818" w14:textId="77777777" w:rsidR="005C48E7" w:rsidRPr="00FE16AB" w:rsidRDefault="005C48E7" w:rsidP="00776BFC">
            <w:pPr>
              <w:pStyle w:val="TableTextLeft"/>
            </w:pPr>
            <w:r w:rsidRPr="00BE488E">
              <w:t>$3.1 million</w:t>
            </w:r>
          </w:p>
        </w:tc>
        <w:tc>
          <w:tcPr>
            <w:tcW w:w="5529" w:type="dxa"/>
            <w:shd w:val="clear" w:color="auto" w:fill="DBE5F1" w:themeFill="accent1" w:themeFillTint="33"/>
          </w:tcPr>
          <w:p w14:paraId="4C731382" w14:textId="390F388A" w:rsidR="005C48E7" w:rsidRPr="00FE16AB" w:rsidRDefault="005C48E7" w:rsidP="00776BFC">
            <w:pPr>
              <w:pStyle w:val="TableTextLeft"/>
              <w:rPr>
                <w:lang w:val="en-US"/>
              </w:rPr>
            </w:pPr>
            <w:r w:rsidRPr="00BE488E">
              <w:t xml:space="preserve">$2,000 </w:t>
            </w:r>
            <w:r>
              <w:t xml:space="preserve">proposed </w:t>
            </w:r>
            <w:r w:rsidRPr="00BE488E">
              <w:t>minimum levy payable by all deposit product providers plus</w:t>
            </w:r>
            <w:r>
              <w:t xml:space="preserve"> an estimated $0.02</w:t>
            </w:r>
            <w:r w:rsidRPr="00BE488E">
              <w:t xml:space="preserve"> for each $10,000 of deposit liabilities greater than $10 million</w:t>
            </w:r>
            <w:r>
              <w:t>.</w:t>
            </w:r>
          </w:p>
        </w:tc>
      </w:tr>
      <w:tr w:rsidR="005C48E7" w:rsidRPr="00FE16AB" w14:paraId="6FE11BBB" w14:textId="77777777" w:rsidTr="00776BFC">
        <w:trPr>
          <w:trHeight w:val="347"/>
        </w:trPr>
        <w:tc>
          <w:tcPr>
            <w:tcW w:w="1809" w:type="dxa"/>
            <w:vMerge/>
            <w:shd w:val="clear" w:color="auto" w:fill="F2F2F2" w:themeFill="background1" w:themeFillShade="F2"/>
            <w:hideMark/>
          </w:tcPr>
          <w:p w14:paraId="6C5F97BD" w14:textId="77777777" w:rsidR="005C48E7" w:rsidRPr="00FE16AB" w:rsidRDefault="005C48E7" w:rsidP="00142B3F">
            <w:pPr>
              <w:spacing w:after="0" w:line="240" w:lineRule="auto"/>
            </w:pPr>
          </w:p>
        </w:tc>
        <w:tc>
          <w:tcPr>
            <w:tcW w:w="3828" w:type="dxa"/>
            <w:hideMark/>
          </w:tcPr>
          <w:p w14:paraId="2A4D2BEA" w14:textId="77777777" w:rsidR="005C48E7" w:rsidRPr="00FE16AB" w:rsidRDefault="005C48E7" w:rsidP="00776BFC">
            <w:pPr>
              <w:pStyle w:val="TableTextLeft"/>
            </w:pPr>
            <w:r w:rsidRPr="00FE16AB">
              <w:rPr>
                <w:lang w:val="en-US"/>
              </w:rPr>
              <w:t>Margin lenders</w:t>
            </w:r>
          </w:p>
        </w:tc>
        <w:tc>
          <w:tcPr>
            <w:tcW w:w="1417" w:type="dxa"/>
            <w:hideMark/>
          </w:tcPr>
          <w:p w14:paraId="6D9A8C64" w14:textId="171261BF" w:rsidR="005C48E7" w:rsidRPr="00FE16AB" w:rsidRDefault="005C48E7" w:rsidP="00776BFC">
            <w:pPr>
              <w:pStyle w:val="TableTextLeft"/>
            </w:pPr>
            <w:r w:rsidRPr="00FE16AB">
              <w:rPr>
                <w:lang w:val="en-US"/>
              </w:rPr>
              <w:t>Flat</w:t>
            </w:r>
            <w:r>
              <w:rPr>
                <w:lang w:val="en-US"/>
              </w:rPr>
              <w:t xml:space="preserve"> levy</w:t>
            </w:r>
          </w:p>
        </w:tc>
        <w:tc>
          <w:tcPr>
            <w:tcW w:w="1559" w:type="dxa"/>
          </w:tcPr>
          <w:p w14:paraId="5D08D71B" w14:textId="30D88600" w:rsidR="005C48E7" w:rsidRPr="00FE16AB" w:rsidRDefault="005C48E7" w:rsidP="001C20EA">
            <w:pPr>
              <w:pStyle w:val="TableTextLeft"/>
            </w:pPr>
            <w:r w:rsidRPr="00BE488E">
              <w:t>$0.2 million</w:t>
            </w:r>
          </w:p>
        </w:tc>
        <w:tc>
          <w:tcPr>
            <w:tcW w:w="5529" w:type="dxa"/>
            <w:shd w:val="clear" w:color="auto" w:fill="DBE5F1" w:themeFill="accent1" w:themeFillTint="33"/>
          </w:tcPr>
          <w:p w14:paraId="37310D89" w14:textId="77777777" w:rsidR="005C48E7" w:rsidRPr="00FE16AB" w:rsidRDefault="005C48E7" w:rsidP="00776BFC">
            <w:pPr>
              <w:pStyle w:val="TableTextLeft"/>
              <w:rPr>
                <w:lang w:val="en-US"/>
              </w:rPr>
            </w:pPr>
            <w:r w:rsidRPr="00BE488E">
              <w:rPr>
                <w:lang w:val="en-US"/>
              </w:rPr>
              <w:t>$11,100 annual levy</w:t>
            </w:r>
          </w:p>
        </w:tc>
      </w:tr>
      <w:tr w:rsidR="005C48E7" w:rsidRPr="00FE16AB" w14:paraId="45D257A8" w14:textId="77777777" w:rsidTr="00776BFC">
        <w:trPr>
          <w:trHeight w:val="330"/>
        </w:trPr>
        <w:tc>
          <w:tcPr>
            <w:tcW w:w="1809" w:type="dxa"/>
            <w:vMerge w:val="restart"/>
            <w:shd w:val="clear" w:color="auto" w:fill="F2F2F2" w:themeFill="background1" w:themeFillShade="F2"/>
            <w:hideMark/>
          </w:tcPr>
          <w:p w14:paraId="526C338F" w14:textId="1B6714A0" w:rsidR="005C48E7" w:rsidRPr="00FE16AB" w:rsidRDefault="005C48E7" w:rsidP="005C48E7">
            <w:pPr>
              <w:pStyle w:val="TableRowHeadingLeft"/>
            </w:pPr>
            <w:r w:rsidRPr="00FE16AB">
              <w:rPr>
                <w:lang w:val="en-US"/>
              </w:rPr>
              <w:t xml:space="preserve">Investment management, superannuation and </w:t>
            </w:r>
            <w:r>
              <w:rPr>
                <w:lang w:val="en-US"/>
              </w:rPr>
              <w:t>related</w:t>
            </w:r>
            <w:r w:rsidRPr="00FE16AB">
              <w:rPr>
                <w:lang w:val="en-US"/>
              </w:rPr>
              <w:t xml:space="preserve"> services</w:t>
            </w:r>
          </w:p>
        </w:tc>
        <w:tc>
          <w:tcPr>
            <w:tcW w:w="3828" w:type="dxa"/>
            <w:hideMark/>
          </w:tcPr>
          <w:p w14:paraId="1C02D47C" w14:textId="77777777" w:rsidR="005C48E7" w:rsidRPr="00FE16AB" w:rsidRDefault="005C48E7" w:rsidP="00776BFC">
            <w:pPr>
              <w:pStyle w:val="TableTextLeft"/>
            </w:pPr>
            <w:r w:rsidRPr="00FE16AB">
              <w:rPr>
                <w:lang w:val="en-US"/>
              </w:rPr>
              <w:t xml:space="preserve">Responsible </w:t>
            </w:r>
            <w:r>
              <w:rPr>
                <w:lang w:val="en-US"/>
              </w:rPr>
              <w:t>entities</w:t>
            </w:r>
          </w:p>
        </w:tc>
        <w:tc>
          <w:tcPr>
            <w:tcW w:w="1417" w:type="dxa"/>
            <w:hideMark/>
          </w:tcPr>
          <w:p w14:paraId="339E633A" w14:textId="71317C78" w:rsidR="005C48E7" w:rsidRPr="00FE16AB" w:rsidRDefault="005C48E7" w:rsidP="00776BFC">
            <w:pPr>
              <w:pStyle w:val="TableTextLeft"/>
            </w:pPr>
            <w:r w:rsidRPr="00FE16AB">
              <w:rPr>
                <w:lang w:val="en-US"/>
              </w:rPr>
              <w:t>F</w:t>
            </w:r>
            <w:r>
              <w:rPr>
                <w:lang w:val="en-US"/>
              </w:rPr>
              <w:t xml:space="preserve">unds </w:t>
            </w:r>
            <w:r w:rsidRPr="00FE16AB">
              <w:rPr>
                <w:lang w:val="en-US"/>
              </w:rPr>
              <w:t>U</w:t>
            </w:r>
            <w:r>
              <w:rPr>
                <w:lang w:val="en-US"/>
              </w:rPr>
              <w:t xml:space="preserve">nder </w:t>
            </w:r>
            <w:r w:rsidRPr="00FE16AB">
              <w:rPr>
                <w:lang w:val="en-US"/>
              </w:rPr>
              <w:t>M</w:t>
            </w:r>
            <w:r>
              <w:rPr>
                <w:lang w:val="en-US"/>
              </w:rPr>
              <w:t xml:space="preserve">anagement </w:t>
            </w:r>
          </w:p>
        </w:tc>
        <w:tc>
          <w:tcPr>
            <w:tcW w:w="1559" w:type="dxa"/>
          </w:tcPr>
          <w:p w14:paraId="5E517B2A" w14:textId="77777777" w:rsidR="005C48E7" w:rsidRPr="00FE16AB" w:rsidRDefault="005C48E7" w:rsidP="00776BFC">
            <w:pPr>
              <w:pStyle w:val="TableTextLeft"/>
            </w:pPr>
            <w:r w:rsidRPr="00BE488E">
              <w:t>$23.5 million</w:t>
            </w:r>
          </w:p>
        </w:tc>
        <w:tc>
          <w:tcPr>
            <w:tcW w:w="5529" w:type="dxa"/>
            <w:shd w:val="clear" w:color="auto" w:fill="DBE5F1" w:themeFill="accent1" w:themeFillTint="33"/>
          </w:tcPr>
          <w:p w14:paraId="76EEE4F4" w14:textId="599784AA" w:rsidR="005C48E7" w:rsidRPr="00FE16AB" w:rsidRDefault="005C48E7" w:rsidP="00776BFC">
            <w:pPr>
              <w:pStyle w:val="TableTextLeft"/>
              <w:rPr>
                <w:lang w:val="en-US"/>
              </w:rPr>
            </w:pPr>
            <w:r w:rsidRPr="00BE488E">
              <w:rPr>
                <w:lang w:val="en-US"/>
              </w:rPr>
              <w:t xml:space="preserve">$7,000 </w:t>
            </w:r>
            <w:r>
              <w:rPr>
                <w:lang w:val="en-US"/>
              </w:rPr>
              <w:t xml:space="preserve">proposed </w:t>
            </w:r>
            <w:r w:rsidRPr="00BE488E">
              <w:rPr>
                <w:lang w:val="en-US"/>
              </w:rPr>
              <w:t xml:space="preserve">minimum levy payable by all responsible </w:t>
            </w:r>
            <w:r>
              <w:rPr>
                <w:lang w:val="en-US"/>
              </w:rPr>
              <w:t>entities</w:t>
            </w:r>
            <w:r w:rsidRPr="00BE488E">
              <w:rPr>
                <w:lang w:val="en-US"/>
              </w:rPr>
              <w:t xml:space="preserve"> plus </w:t>
            </w:r>
            <w:r>
              <w:rPr>
                <w:lang w:val="en-US"/>
              </w:rPr>
              <w:t xml:space="preserve">an estimated </w:t>
            </w:r>
            <w:r w:rsidRPr="00BE488E">
              <w:rPr>
                <w:rFonts w:cs="Arial"/>
                <w:kern w:val="24"/>
              </w:rPr>
              <w:t xml:space="preserve">$0.24 </w:t>
            </w:r>
            <w:r w:rsidRPr="00BE488E">
              <w:rPr>
                <w:kern w:val="24"/>
              </w:rPr>
              <w:t>per $10,000 of FUM greater than $10 million</w:t>
            </w:r>
            <w:r>
              <w:rPr>
                <w:lang w:val="en-US"/>
              </w:rPr>
              <w:t>.</w:t>
            </w:r>
          </w:p>
        </w:tc>
      </w:tr>
      <w:tr w:rsidR="005C48E7" w:rsidRPr="00FE16AB" w14:paraId="1DA88910" w14:textId="77777777" w:rsidTr="00776BFC">
        <w:trPr>
          <w:trHeight w:val="523"/>
        </w:trPr>
        <w:tc>
          <w:tcPr>
            <w:tcW w:w="1809" w:type="dxa"/>
            <w:vMerge/>
            <w:shd w:val="clear" w:color="auto" w:fill="F2F2F2" w:themeFill="background1" w:themeFillShade="F2"/>
            <w:hideMark/>
          </w:tcPr>
          <w:p w14:paraId="31799AFA" w14:textId="77777777" w:rsidR="005C48E7" w:rsidRPr="00FE16AB" w:rsidRDefault="005C48E7" w:rsidP="00142B3F">
            <w:pPr>
              <w:spacing w:after="0" w:line="240" w:lineRule="auto"/>
            </w:pPr>
          </w:p>
        </w:tc>
        <w:tc>
          <w:tcPr>
            <w:tcW w:w="3828" w:type="dxa"/>
            <w:hideMark/>
          </w:tcPr>
          <w:p w14:paraId="213B4595" w14:textId="77777777" w:rsidR="005C48E7" w:rsidRPr="00FE16AB" w:rsidRDefault="005C48E7" w:rsidP="00776BFC">
            <w:pPr>
              <w:pStyle w:val="TableTextLeft"/>
            </w:pPr>
            <w:r w:rsidRPr="00FE16AB">
              <w:rPr>
                <w:lang w:val="en-US"/>
              </w:rPr>
              <w:t>Superannuation trustees</w:t>
            </w:r>
          </w:p>
        </w:tc>
        <w:tc>
          <w:tcPr>
            <w:tcW w:w="1417" w:type="dxa"/>
            <w:hideMark/>
          </w:tcPr>
          <w:p w14:paraId="79E93A05" w14:textId="0D5A872B" w:rsidR="005C48E7" w:rsidRPr="00FE16AB" w:rsidRDefault="005C48E7" w:rsidP="00776BFC">
            <w:pPr>
              <w:pStyle w:val="TableTextLeft"/>
            </w:pPr>
            <w:r w:rsidRPr="00FE16AB">
              <w:rPr>
                <w:lang w:val="en-US"/>
              </w:rPr>
              <w:t>F</w:t>
            </w:r>
            <w:r>
              <w:rPr>
                <w:lang w:val="en-US"/>
              </w:rPr>
              <w:t xml:space="preserve">unds </w:t>
            </w:r>
            <w:r w:rsidRPr="00FE16AB">
              <w:rPr>
                <w:lang w:val="en-US"/>
              </w:rPr>
              <w:t>U</w:t>
            </w:r>
            <w:r>
              <w:rPr>
                <w:lang w:val="en-US"/>
              </w:rPr>
              <w:t xml:space="preserve">nder </w:t>
            </w:r>
            <w:r w:rsidRPr="00FE16AB">
              <w:rPr>
                <w:lang w:val="en-US"/>
              </w:rPr>
              <w:t>M</w:t>
            </w:r>
            <w:r>
              <w:rPr>
                <w:lang w:val="en-US"/>
              </w:rPr>
              <w:t>anagement</w:t>
            </w:r>
          </w:p>
        </w:tc>
        <w:tc>
          <w:tcPr>
            <w:tcW w:w="1559" w:type="dxa"/>
          </w:tcPr>
          <w:p w14:paraId="0363CA4E" w14:textId="77777777" w:rsidR="005C48E7" w:rsidRPr="00FE16AB" w:rsidRDefault="005C48E7" w:rsidP="00776BFC">
            <w:pPr>
              <w:pStyle w:val="TableTextLeft"/>
            </w:pPr>
            <w:r w:rsidRPr="00BE488E">
              <w:t>$8.5 million</w:t>
            </w:r>
          </w:p>
        </w:tc>
        <w:tc>
          <w:tcPr>
            <w:tcW w:w="5529" w:type="dxa"/>
            <w:shd w:val="clear" w:color="auto" w:fill="DBE5F1" w:themeFill="accent1" w:themeFillTint="33"/>
          </w:tcPr>
          <w:p w14:paraId="2654C8D0" w14:textId="594A73EC" w:rsidR="005C48E7" w:rsidRPr="00FE16AB" w:rsidRDefault="005C48E7" w:rsidP="00776BFC">
            <w:pPr>
              <w:pStyle w:val="TableTextLeft"/>
              <w:rPr>
                <w:lang w:val="en-US"/>
              </w:rPr>
            </w:pPr>
            <w:r w:rsidRPr="00BE488E">
              <w:rPr>
                <w:lang w:val="en-US"/>
              </w:rPr>
              <w:t>$18,000</w:t>
            </w:r>
            <w:r>
              <w:rPr>
                <w:lang w:val="en-US"/>
              </w:rPr>
              <w:t xml:space="preserve"> proposed</w:t>
            </w:r>
            <w:r w:rsidRPr="00BE488E">
              <w:rPr>
                <w:lang w:val="en-US"/>
              </w:rPr>
              <w:t xml:space="preserve"> minimum levy payable by all superannuation trustees plus </w:t>
            </w:r>
            <w:r w:rsidRPr="00BE488E">
              <w:rPr>
                <w:rFonts w:cs="Arial"/>
                <w:kern w:val="24"/>
              </w:rPr>
              <w:t xml:space="preserve">$0.05 </w:t>
            </w:r>
            <w:r w:rsidRPr="00BE488E">
              <w:rPr>
                <w:kern w:val="24"/>
              </w:rPr>
              <w:t>per $10,000 of FUM greater than $250 million</w:t>
            </w:r>
            <w:r>
              <w:rPr>
                <w:kern w:val="24"/>
              </w:rPr>
              <w:t>.</w:t>
            </w:r>
          </w:p>
        </w:tc>
      </w:tr>
      <w:tr w:rsidR="005C48E7" w:rsidRPr="00FE16AB" w14:paraId="1A629C65" w14:textId="77777777" w:rsidTr="00776BFC">
        <w:trPr>
          <w:trHeight w:val="330"/>
        </w:trPr>
        <w:tc>
          <w:tcPr>
            <w:tcW w:w="1809" w:type="dxa"/>
            <w:vMerge/>
            <w:shd w:val="clear" w:color="auto" w:fill="F2F2F2" w:themeFill="background1" w:themeFillShade="F2"/>
            <w:hideMark/>
          </w:tcPr>
          <w:p w14:paraId="659EF8D0" w14:textId="77777777" w:rsidR="005C48E7" w:rsidRPr="00FE16AB" w:rsidRDefault="005C48E7" w:rsidP="00142B3F">
            <w:pPr>
              <w:spacing w:after="0" w:line="240" w:lineRule="auto"/>
            </w:pPr>
          </w:p>
        </w:tc>
        <w:tc>
          <w:tcPr>
            <w:tcW w:w="3828" w:type="dxa"/>
            <w:hideMark/>
          </w:tcPr>
          <w:p w14:paraId="1EBC20C7" w14:textId="77777777" w:rsidR="005C48E7" w:rsidRPr="00FE16AB" w:rsidRDefault="005C48E7" w:rsidP="00776BFC">
            <w:pPr>
              <w:pStyle w:val="TableTextLeft"/>
            </w:pPr>
            <w:r w:rsidRPr="00FE16AB">
              <w:rPr>
                <w:lang w:val="en-US"/>
              </w:rPr>
              <w:t>SMSF auditors</w:t>
            </w:r>
          </w:p>
        </w:tc>
        <w:tc>
          <w:tcPr>
            <w:tcW w:w="1417" w:type="dxa"/>
            <w:hideMark/>
          </w:tcPr>
          <w:p w14:paraId="32422445" w14:textId="77777777" w:rsidR="005C48E7" w:rsidRPr="00FE16AB" w:rsidRDefault="005C48E7" w:rsidP="00776BFC">
            <w:pPr>
              <w:pStyle w:val="TableTextLeft"/>
            </w:pPr>
            <w:r w:rsidRPr="00FE16AB">
              <w:rPr>
                <w:lang w:val="en-US"/>
              </w:rPr>
              <w:t>Flat levy</w:t>
            </w:r>
          </w:p>
        </w:tc>
        <w:tc>
          <w:tcPr>
            <w:tcW w:w="1559" w:type="dxa"/>
          </w:tcPr>
          <w:p w14:paraId="2E764AD3" w14:textId="77777777" w:rsidR="005C48E7" w:rsidRPr="00FE16AB" w:rsidRDefault="005C48E7" w:rsidP="00776BFC">
            <w:pPr>
              <w:pStyle w:val="TableTextLeft"/>
            </w:pPr>
            <w:r w:rsidRPr="00BE488E">
              <w:t>$0.4 million</w:t>
            </w:r>
          </w:p>
        </w:tc>
        <w:tc>
          <w:tcPr>
            <w:tcW w:w="5529" w:type="dxa"/>
            <w:shd w:val="clear" w:color="auto" w:fill="DBE5F1" w:themeFill="accent1" w:themeFillTint="33"/>
          </w:tcPr>
          <w:p w14:paraId="0B215FBD" w14:textId="77777777" w:rsidR="005C48E7" w:rsidRPr="00FE16AB" w:rsidRDefault="005C48E7" w:rsidP="00776BFC">
            <w:pPr>
              <w:pStyle w:val="TableTextLeft"/>
              <w:rPr>
                <w:lang w:val="en-US"/>
              </w:rPr>
            </w:pPr>
            <w:r w:rsidRPr="00BE488E">
              <w:rPr>
                <w:lang w:val="en-US"/>
              </w:rPr>
              <w:t>$60 annual levy</w:t>
            </w:r>
          </w:p>
        </w:tc>
      </w:tr>
      <w:tr w:rsidR="005C48E7" w:rsidRPr="0019629B" w14:paraId="0A8F380D" w14:textId="77777777" w:rsidTr="00902D9F">
        <w:trPr>
          <w:trHeight w:val="330"/>
        </w:trPr>
        <w:tc>
          <w:tcPr>
            <w:tcW w:w="1809" w:type="dxa"/>
            <w:shd w:val="clear" w:color="auto" w:fill="1F497D" w:themeFill="text2"/>
            <w:hideMark/>
          </w:tcPr>
          <w:p w14:paraId="5D4BC034" w14:textId="77777777" w:rsidR="005C48E7" w:rsidRPr="0019629B" w:rsidRDefault="005C48E7" w:rsidP="00902D9F">
            <w:pPr>
              <w:pStyle w:val="TableColumnHeadingLeft"/>
            </w:pPr>
            <w:r w:rsidRPr="0019629B">
              <w:t>Sector</w:t>
            </w:r>
          </w:p>
        </w:tc>
        <w:tc>
          <w:tcPr>
            <w:tcW w:w="3828" w:type="dxa"/>
            <w:shd w:val="clear" w:color="auto" w:fill="1F497D" w:themeFill="text2"/>
            <w:hideMark/>
          </w:tcPr>
          <w:p w14:paraId="3E198327" w14:textId="77777777" w:rsidR="005C48E7" w:rsidRPr="0019629B" w:rsidRDefault="005C48E7" w:rsidP="00902D9F">
            <w:pPr>
              <w:pStyle w:val="TableColumnHeadingLeft"/>
            </w:pPr>
            <w:r w:rsidRPr="0019629B">
              <w:t>Subsector</w:t>
            </w:r>
          </w:p>
        </w:tc>
        <w:tc>
          <w:tcPr>
            <w:tcW w:w="1417" w:type="dxa"/>
            <w:shd w:val="clear" w:color="auto" w:fill="1F497D" w:themeFill="text2"/>
            <w:hideMark/>
          </w:tcPr>
          <w:p w14:paraId="73C93719" w14:textId="77777777" w:rsidR="005C48E7" w:rsidRPr="0019629B" w:rsidRDefault="005C48E7" w:rsidP="00902D9F">
            <w:pPr>
              <w:pStyle w:val="TableColumnHeadingLeft"/>
            </w:pPr>
            <w:r w:rsidRPr="0019629B">
              <w:t>Levy metric</w:t>
            </w:r>
          </w:p>
        </w:tc>
        <w:tc>
          <w:tcPr>
            <w:tcW w:w="1559" w:type="dxa"/>
            <w:shd w:val="clear" w:color="auto" w:fill="1F497D" w:themeFill="text2"/>
            <w:hideMark/>
          </w:tcPr>
          <w:p w14:paraId="0953A250" w14:textId="77777777" w:rsidR="005C48E7" w:rsidRPr="0019629B" w:rsidRDefault="005C48E7" w:rsidP="00902D9F">
            <w:pPr>
              <w:pStyle w:val="TableColumnHeadingLeft"/>
            </w:pPr>
            <w:r w:rsidRPr="0019629B">
              <w:t>Anticipated ASIC expense</w:t>
            </w:r>
          </w:p>
        </w:tc>
        <w:tc>
          <w:tcPr>
            <w:tcW w:w="5529" w:type="dxa"/>
            <w:shd w:val="clear" w:color="auto" w:fill="1F497D" w:themeFill="text2"/>
          </w:tcPr>
          <w:p w14:paraId="68867DA6" w14:textId="77777777" w:rsidR="005C48E7" w:rsidRPr="0019629B" w:rsidRDefault="005C48E7" w:rsidP="00902D9F">
            <w:pPr>
              <w:pStyle w:val="TableColumnHeadingLeft"/>
            </w:pPr>
            <w:r>
              <w:t>Proposed I</w:t>
            </w:r>
            <w:r w:rsidRPr="0019629B">
              <w:t>ndicative levy</w:t>
            </w:r>
          </w:p>
        </w:tc>
      </w:tr>
      <w:tr w:rsidR="00AF3101" w:rsidRPr="00FE16AB" w14:paraId="5BA91CDC" w14:textId="77777777" w:rsidTr="00776BFC">
        <w:trPr>
          <w:trHeight w:val="330"/>
        </w:trPr>
        <w:tc>
          <w:tcPr>
            <w:tcW w:w="1809" w:type="dxa"/>
            <w:vMerge w:val="restart"/>
            <w:shd w:val="clear" w:color="auto" w:fill="F2F2F2" w:themeFill="background1" w:themeFillShade="F2"/>
            <w:hideMark/>
          </w:tcPr>
          <w:p w14:paraId="54169426" w14:textId="470ABF5A" w:rsidR="00AF3101" w:rsidRPr="00AF3101" w:rsidRDefault="00AF3101" w:rsidP="00AF3101">
            <w:pPr>
              <w:pStyle w:val="TableRowHeadingLeft"/>
              <w:rPr>
                <w:b w:val="0"/>
              </w:rPr>
            </w:pPr>
            <w:r w:rsidRPr="00FE16AB">
              <w:rPr>
                <w:lang w:val="en-US"/>
              </w:rPr>
              <w:t xml:space="preserve">Investment management, superannuation and </w:t>
            </w:r>
            <w:r>
              <w:rPr>
                <w:lang w:val="en-US"/>
              </w:rPr>
              <w:t>related</w:t>
            </w:r>
            <w:r w:rsidRPr="00FE16AB">
              <w:rPr>
                <w:lang w:val="en-US"/>
              </w:rPr>
              <w:t xml:space="preserve"> services</w:t>
            </w:r>
            <w:r>
              <w:rPr>
                <w:lang w:val="en-US"/>
              </w:rPr>
              <w:br/>
            </w:r>
            <w:r w:rsidRPr="00AF3101">
              <w:rPr>
                <w:b w:val="0"/>
              </w:rPr>
              <w:t>(continued)</w:t>
            </w:r>
          </w:p>
        </w:tc>
        <w:tc>
          <w:tcPr>
            <w:tcW w:w="3828" w:type="dxa"/>
            <w:hideMark/>
          </w:tcPr>
          <w:p w14:paraId="013E5E42" w14:textId="77777777" w:rsidR="00AF3101" w:rsidRPr="00FE16AB" w:rsidRDefault="00AF3101" w:rsidP="00776BFC">
            <w:pPr>
              <w:pStyle w:val="TableTextLeft"/>
            </w:pPr>
            <w:r w:rsidRPr="00FE16AB">
              <w:rPr>
                <w:lang w:val="en-US"/>
              </w:rPr>
              <w:t>Wholesale Trustees</w:t>
            </w:r>
          </w:p>
        </w:tc>
        <w:tc>
          <w:tcPr>
            <w:tcW w:w="1417" w:type="dxa"/>
            <w:hideMark/>
          </w:tcPr>
          <w:p w14:paraId="50B2C565" w14:textId="49BE3B72" w:rsidR="00AF3101" w:rsidRPr="00FE16AB" w:rsidRDefault="00AF3101" w:rsidP="00776BFC">
            <w:pPr>
              <w:pStyle w:val="TableTextLeft"/>
            </w:pPr>
            <w:r w:rsidRPr="00FE16AB">
              <w:rPr>
                <w:lang w:val="en-US"/>
              </w:rPr>
              <w:t>F</w:t>
            </w:r>
            <w:r>
              <w:rPr>
                <w:lang w:val="en-US"/>
              </w:rPr>
              <w:t xml:space="preserve">unds </w:t>
            </w:r>
            <w:r w:rsidRPr="00FE16AB">
              <w:rPr>
                <w:lang w:val="en-US"/>
              </w:rPr>
              <w:t>U</w:t>
            </w:r>
            <w:r>
              <w:rPr>
                <w:lang w:val="en-US"/>
              </w:rPr>
              <w:t xml:space="preserve">nder </w:t>
            </w:r>
            <w:r w:rsidRPr="00FE16AB">
              <w:rPr>
                <w:lang w:val="en-US"/>
              </w:rPr>
              <w:t>M</w:t>
            </w:r>
            <w:r>
              <w:rPr>
                <w:lang w:val="en-US"/>
              </w:rPr>
              <w:t>anagement</w:t>
            </w:r>
          </w:p>
        </w:tc>
        <w:tc>
          <w:tcPr>
            <w:tcW w:w="1559" w:type="dxa"/>
          </w:tcPr>
          <w:p w14:paraId="754B8F1A" w14:textId="77777777" w:rsidR="00AF3101" w:rsidRPr="00FE16AB" w:rsidRDefault="00AF3101" w:rsidP="00776BFC">
            <w:pPr>
              <w:pStyle w:val="TableTextLeft"/>
            </w:pPr>
            <w:r w:rsidRPr="00BE488E">
              <w:t>$13.8 million</w:t>
            </w:r>
          </w:p>
        </w:tc>
        <w:tc>
          <w:tcPr>
            <w:tcW w:w="5529" w:type="dxa"/>
            <w:shd w:val="clear" w:color="auto" w:fill="DBE5F1" w:themeFill="accent1" w:themeFillTint="33"/>
          </w:tcPr>
          <w:p w14:paraId="6EBDD4D3" w14:textId="77777777" w:rsidR="00AF3101" w:rsidRDefault="00AF3101" w:rsidP="00776BFC">
            <w:pPr>
              <w:pStyle w:val="TableTextLeft"/>
              <w:rPr>
                <w:lang w:val="en-US"/>
              </w:rPr>
            </w:pPr>
            <w:r w:rsidRPr="00C618EE">
              <w:rPr>
                <w:b/>
                <w:lang w:val="en-US"/>
              </w:rPr>
              <w:t>2017-18</w:t>
            </w:r>
            <w:r>
              <w:rPr>
                <w:lang w:val="en-US"/>
              </w:rPr>
              <w:t>: $8,000 flat levy.</w:t>
            </w:r>
          </w:p>
          <w:p w14:paraId="039A9093" w14:textId="36518F8B" w:rsidR="00AF3101" w:rsidRPr="00FE16AB" w:rsidRDefault="00AF3101" w:rsidP="00776BFC">
            <w:pPr>
              <w:pStyle w:val="TableTextLeft"/>
              <w:rPr>
                <w:lang w:val="en-US"/>
              </w:rPr>
            </w:pPr>
            <w:r w:rsidRPr="00C618EE">
              <w:rPr>
                <w:b/>
                <w:lang w:val="en-US"/>
              </w:rPr>
              <w:t>2018-19</w:t>
            </w:r>
            <w:r>
              <w:rPr>
                <w:lang w:val="en-US"/>
              </w:rPr>
              <w:t>: graduated levy based on FUM with a minimum levy payable by all wholesale trustees.</w:t>
            </w:r>
          </w:p>
        </w:tc>
      </w:tr>
      <w:tr w:rsidR="00AF3101" w:rsidRPr="00FE16AB" w14:paraId="1EAF9FD5" w14:textId="77777777" w:rsidTr="00776BFC">
        <w:trPr>
          <w:trHeight w:val="330"/>
        </w:trPr>
        <w:tc>
          <w:tcPr>
            <w:tcW w:w="1809" w:type="dxa"/>
            <w:vMerge/>
            <w:shd w:val="clear" w:color="auto" w:fill="F2F2F2" w:themeFill="background1" w:themeFillShade="F2"/>
          </w:tcPr>
          <w:p w14:paraId="01C50C60" w14:textId="0FD27E05" w:rsidR="00AF3101" w:rsidRPr="00FE16AB" w:rsidRDefault="00AF3101" w:rsidP="00055724">
            <w:pPr>
              <w:pStyle w:val="TableRowHeadingLeft"/>
            </w:pPr>
          </w:p>
        </w:tc>
        <w:tc>
          <w:tcPr>
            <w:tcW w:w="3828" w:type="dxa"/>
          </w:tcPr>
          <w:p w14:paraId="7F787A4A" w14:textId="77777777" w:rsidR="00AF3101" w:rsidRPr="00FE16AB" w:rsidRDefault="00AF3101" w:rsidP="00776BFC">
            <w:pPr>
              <w:pStyle w:val="TableTextLeft"/>
              <w:rPr>
                <w:lang w:val="en-US"/>
              </w:rPr>
            </w:pPr>
            <w:r w:rsidRPr="00FE16AB">
              <w:rPr>
                <w:lang w:val="en-US"/>
              </w:rPr>
              <w:t xml:space="preserve">Operators of an </w:t>
            </w:r>
            <w:r>
              <w:rPr>
                <w:lang w:val="en-US"/>
              </w:rPr>
              <w:t>Investor-Directed Portfolio Service (</w:t>
            </w:r>
            <w:r w:rsidRPr="00FE16AB">
              <w:rPr>
                <w:lang w:val="en-US"/>
              </w:rPr>
              <w:t>IDPS</w:t>
            </w:r>
            <w:r>
              <w:rPr>
                <w:lang w:val="en-US"/>
              </w:rPr>
              <w:t>)</w:t>
            </w:r>
          </w:p>
        </w:tc>
        <w:tc>
          <w:tcPr>
            <w:tcW w:w="1417" w:type="dxa"/>
          </w:tcPr>
          <w:p w14:paraId="4BF86AA9" w14:textId="32F8AAC5" w:rsidR="00AF3101" w:rsidRPr="00FE16AB" w:rsidRDefault="00AF3101" w:rsidP="00776BFC">
            <w:pPr>
              <w:pStyle w:val="TableTextLeft"/>
              <w:rPr>
                <w:lang w:val="en-US"/>
              </w:rPr>
            </w:pPr>
            <w:r w:rsidRPr="009C075D">
              <w:rPr>
                <w:b/>
                <w:lang w:val="en-US"/>
              </w:rPr>
              <w:t>Y1</w:t>
            </w:r>
            <w:r>
              <w:rPr>
                <w:lang w:val="en-US"/>
              </w:rPr>
              <w:t>: Flat levy</w:t>
            </w:r>
            <w:r>
              <w:rPr>
                <w:lang w:val="en-US"/>
              </w:rPr>
              <w:br/>
            </w:r>
            <w:r w:rsidRPr="009C075D">
              <w:rPr>
                <w:b/>
                <w:lang w:val="en-US"/>
              </w:rPr>
              <w:t>Y2</w:t>
            </w:r>
            <w:r w:rsidRPr="00FE16AB">
              <w:rPr>
                <w:lang w:val="en-US"/>
              </w:rPr>
              <w:t>: Revenue from IDPS activity</w:t>
            </w:r>
          </w:p>
        </w:tc>
        <w:tc>
          <w:tcPr>
            <w:tcW w:w="1559" w:type="dxa"/>
          </w:tcPr>
          <w:p w14:paraId="1420B6E1" w14:textId="77777777" w:rsidR="00AF3101" w:rsidRPr="00BE488E" w:rsidRDefault="00AF3101" w:rsidP="00776BFC">
            <w:pPr>
              <w:pStyle w:val="TableTextLeft"/>
            </w:pPr>
            <w:r w:rsidRPr="00BE488E">
              <w:t>$1.6 million</w:t>
            </w:r>
          </w:p>
        </w:tc>
        <w:tc>
          <w:tcPr>
            <w:tcW w:w="5529" w:type="dxa"/>
            <w:shd w:val="clear" w:color="auto" w:fill="DBE5F1" w:themeFill="accent1" w:themeFillTint="33"/>
          </w:tcPr>
          <w:p w14:paraId="46149547" w14:textId="1A7E6D31" w:rsidR="00AF3101" w:rsidRPr="00C618EE" w:rsidRDefault="00AF3101" w:rsidP="00697786">
            <w:pPr>
              <w:pStyle w:val="TableTextLeft"/>
              <w:rPr>
                <w:b/>
                <w:lang w:val="en-US"/>
              </w:rPr>
            </w:pPr>
            <w:r w:rsidRPr="00C618EE">
              <w:rPr>
                <w:b/>
                <w:lang w:val="en-US"/>
              </w:rPr>
              <w:t>2017-18</w:t>
            </w:r>
            <w:r w:rsidRPr="00BE488E">
              <w:rPr>
                <w:lang w:val="en-US"/>
              </w:rPr>
              <w:t>: $47,000</w:t>
            </w:r>
            <w:r>
              <w:rPr>
                <w:lang w:val="en-US"/>
              </w:rPr>
              <w:t xml:space="preserve"> annual levy</w:t>
            </w:r>
            <w:r>
              <w:rPr>
                <w:lang w:val="en-US"/>
              </w:rPr>
              <w:br/>
            </w:r>
            <w:r w:rsidRPr="00C618EE">
              <w:rPr>
                <w:b/>
                <w:lang w:val="en-US"/>
              </w:rPr>
              <w:t>201</w:t>
            </w:r>
            <w:r w:rsidR="00697786">
              <w:rPr>
                <w:b/>
                <w:lang w:val="en-US"/>
              </w:rPr>
              <w:t>8</w:t>
            </w:r>
            <w:r w:rsidRPr="00C618EE">
              <w:rPr>
                <w:b/>
                <w:lang w:val="en-US"/>
              </w:rPr>
              <w:t>-19</w:t>
            </w:r>
            <w:r w:rsidRPr="00BE488E">
              <w:rPr>
                <w:lang w:val="en-US"/>
              </w:rPr>
              <w:t>: graduated levy</w:t>
            </w:r>
            <w:r>
              <w:rPr>
                <w:lang w:val="en-US"/>
              </w:rPr>
              <w:t xml:space="preserve"> based on revenue from IDPS activity with a proposed minimum levy payable by all operators of an IDPS</w:t>
            </w:r>
          </w:p>
        </w:tc>
      </w:tr>
      <w:tr w:rsidR="00AF3101" w:rsidRPr="00FE16AB" w14:paraId="0F53288A" w14:textId="77777777" w:rsidTr="00776BFC">
        <w:trPr>
          <w:trHeight w:val="330"/>
        </w:trPr>
        <w:tc>
          <w:tcPr>
            <w:tcW w:w="1809" w:type="dxa"/>
            <w:vMerge/>
            <w:shd w:val="clear" w:color="auto" w:fill="F2F2F2" w:themeFill="background1" w:themeFillShade="F2"/>
          </w:tcPr>
          <w:p w14:paraId="52937C74" w14:textId="04330432" w:rsidR="00AF3101" w:rsidRPr="00FE16AB" w:rsidRDefault="00AF3101" w:rsidP="00055724">
            <w:pPr>
              <w:pStyle w:val="TableRowHeadingLeft"/>
            </w:pPr>
          </w:p>
        </w:tc>
        <w:tc>
          <w:tcPr>
            <w:tcW w:w="3828" w:type="dxa"/>
          </w:tcPr>
          <w:p w14:paraId="7F1A5251" w14:textId="6C9B9CB7" w:rsidR="00AF3101" w:rsidRPr="00FE16AB" w:rsidRDefault="00AF3101" w:rsidP="007C0FB8">
            <w:pPr>
              <w:pStyle w:val="TableTextLeft"/>
              <w:rPr>
                <w:lang w:val="en-US"/>
              </w:rPr>
            </w:pPr>
            <w:r w:rsidRPr="007C0FB8">
              <w:rPr>
                <w:lang w:val="en-US"/>
              </w:rPr>
              <w:t>Traditional Trustee company service providers</w:t>
            </w:r>
          </w:p>
        </w:tc>
        <w:tc>
          <w:tcPr>
            <w:tcW w:w="1417" w:type="dxa"/>
          </w:tcPr>
          <w:p w14:paraId="2FD4E803" w14:textId="4BDF8227" w:rsidR="00AF3101" w:rsidRPr="009C075D" w:rsidRDefault="00AF3101" w:rsidP="00776BFC">
            <w:pPr>
              <w:pStyle w:val="TableTextLeft"/>
              <w:rPr>
                <w:b/>
                <w:lang w:val="en-US"/>
              </w:rPr>
            </w:pPr>
            <w:r w:rsidRPr="00FE16AB">
              <w:rPr>
                <w:lang w:val="en-US"/>
              </w:rPr>
              <w:t>Flat</w:t>
            </w:r>
            <w:r>
              <w:rPr>
                <w:lang w:val="en-US"/>
              </w:rPr>
              <w:t xml:space="preserve"> levy</w:t>
            </w:r>
          </w:p>
        </w:tc>
        <w:tc>
          <w:tcPr>
            <w:tcW w:w="1559" w:type="dxa"/>
          </w:tcPr>
          <w:p w14:paraId="15D574DD" w14:textId="77777777" w:rsidR="00AF3101" w:rsidRPr="00BE488E" w:rsidRDefault="00AF3101" w:rsidP="00776BFC">
            <w:pPr>
              <w:pStyle w:val="TableTextLeft"/>
            </w:pPr>
            <w:r w:rsidRPr="00BE488E">
              <w:t>$0.2 million</w:t>
            </w:r>
          </w:p>
        </w:tc>
        <w:tc>
          <w:tcPr>
            <w:tcW w:w="5529" w:type="dxa"/>
            <w:shd w:val="clear" w:color="auto" w:fill="DBE5F1" w:themeFill="accent1" w:themeFillTint="33"/>
          </w:tcPr>
          <w:p w14:paraId="38F0F77C" w14:textId="77777777" w:rsidR="00AF3101" w:rsidRPr="00C618EE" w:rsidRDefault="00AF3101" w:rsidP="00776BFC">
            <w:pPr>
              <w:pStyle w:val="TableTextLeft"/>
              <w:rPr>
                <w:b/>
                <w:lang w:val="en-US"/>
              </w:rPr>
            </w:pPr>
            <w:r w:rsidRPr="00BE488E">
              <w:rPr>
                <w:lang w:val="en-US"/>
              </w:rPr>
              <w:t>$20,500 annual levy</w:t>
            </w:r>
          </w:p>
        </w:tc>
      </w:tr>
      <w:tr w:rsidR="00AF3101" w:rsidRPr="00FE16AB" w14:paraId="144C4F44" w14:textId="77777777" w:rsidTr="00AF3101">
        <w:trPr>
          <w:trHeight w:val="212"/>
        </w:trPr>
        <w:tc>
          <w:tcPr>
            <w:tcW w:w="1809" w:type="dxa"/>
            <w:vMerge/>
            <w:shd w:val="clear" w:color="auto" w:fill="F2F2F2" w:themeFill="background1" w:themeFillShade="F2"/>
          </w:tcPr>
          <w:p w14:paraId="13127BD4" w14:textId="5C65F4BC" w:rsidR="00AF3101" w:rsidRPr="00FE16AB" w:rsidRDefault="00AF3101" w:rsidP="00055724">
            <w:pPr>
              <w:pStyle w:val="TableRowHeadingLeft"/>
            </w:pPr>
          </w:p>
        </w:tc>
        <w:tc>
          <w:tcPr>
            <w:tcW w:w="3828" w:type="dxa"/>
            <w:hideMark/>
          </w:tcPr>
          <w:p w14:paraId="47252FF5" w14:textId="7A01AB79" w:rsidR="00AF3101" w:rsidRPr="00FE16AB" w:rsidRDefault="00AF3101" w:rsidP="00776BFC">
            <w:pPr>
              <w:pStyle w:val="TableTextLeft"/>
              <w:spacing w:before="100" w:after="100" w:line="240" w:lineRule="auto"/>
            </w:pPr>
            <w:r w:rsidRPr="007C0FB8">
              <w:rPr>
                <w:lang w:val="en-US"/>
              </w:rPr>
              <w:t>Managed Discretionary Account (MDA) operators</w:t>
            </w:r>
          </w:p>
        </w:tc>
        <w:tc>
          <w:tcPr>
            <w:tcW w:w="1417" w:type="dxa"/>
            <w:hideMark/>
          </w:tcPr>
          <w:p w14:paraId="78ADAFD4" w14:textId="3E353564" w:rsidR="00AF3101" w:rsidRPr="00FE16AB" w:rsidRDefault="00AF3101" w:rsidP="00776BFC">
            <w:pPr>
              <w:pStyle w:val="TableTextLeft"/>
              <w:spacing w:before="100" w:after="100" w:line="240" w:lineRule="auto"/>
            </w:pPr>
            <w:r w:rsidRPr="00FE16AB">
              <w:rPr>
                <w:lang w:val="en-US"/>
              </w:rPr>
              <w:t>Flat</w:t>
            </w:r>
            <w:r>
              <w:rPr>
                <w:lang w:val="en-US"/>
              </w:rPr>
              <w:t xml:space="preserve"> levy</w:t>
            </w:r>
          </w:p>
        </w:tc>
        <w:tc>
          <w:tcPr>
            <w:tcW w:w="1559" w:type="dxa"/>
          </w:tcPr>
          <w:p w14:paraId="3A3F5273" w14:textId="77777777" w:rsidR="00AF3101" w:rsidRPr="00FE16AB" w:rsidRDefault="00AF3101" w:rsidP="00776BFC">
            <w:pPr>
              <w:pStyle w:val="TableTextLeft"/>
              <w:spacing w:before="100" w:after="100" w:line="240" w:lineRule="auto"/>
            </w:pPr>
            <w:r w:rsidRPr="00BE488E">
              <w:t>$0.2 million</w:t>
            </w:r>
          </w:p>
        </w:tc>
        <w:tc>
          <w:tcPr>
            <w:tcW w:w="5529" w:type="dxa"/>
            <w:shd w:val="clear" w:color="auto" w:fill="DBE5F1" w:themeFill="accent1" w:themeFillTint="33"/>
          </w:tcPr>
          <w:p w14:paraId="2A4AD7FA" w14:textId="77777777" w:rsidR="00AF3101" w:rsidRPr="00FE16AB" w:rsidRDefault="00AF3101" w:rsidP="00776BFC">
            <w:pPr>
              <w:pStyle w:val="TableTextLeft"/>
              <w:spacing w:before="100" w:after="100" w:line="240" w:lineRule="auto"/>
              <w:rPr>
                <w:lang w:val="en-US"/>
              </w:rPr>
            </w:pPr>
            <w:r w:rsidRPr="00BE488E">
              <w:rPr>
                <w:lang w:val="en-US"/>
              </w:rPr>
              <w:t>$3,000 annual levy</w:t>
            </w:r>
          </w:p>
        </w:tc>
      </w:tr>
      <w:tr w:rsidR="00AF3101" w:rsidRPr="00FE16AB" w14:paraId="21D76136" w14:textId="77777777" w:rsidTr="00776BFC">
        <w:trPr>
          <w:trHeight w:val="330"/>
        </w:trPr>
        <w:tc>
          <w:tcPr>
            <w:tcW w:w="1809" w:type="dxa"/>
            <w:vMerge/>
            <w:shd w:val="clear" w:color="auto" w:fill="F2F2F2" w:themeFill="background1" w:themeFillShade="F2"/>
            <w:hideMark/>
          </w:tcPr>
          <w:p w14:paraId="4E899515" w14:textId="77777777" w:rsidR="00AF3101" w:rsidRPr="00FE16AB" w:rsidRDefault="00AF3101" w:rsidP="00142B3F">
            <w:pPr>
              <w:spacing w:after="0" w:line="240" w:lineRule="auto"/>
            </w:pPr>
          </w:p>
        </w:tc>
        <w:tc>
          <w:tcPr>
            <w:tcW w:w="3828" w:type="dxa"/>
            <w:hideMark/>
          </w:tcPr>
          <w:p w14:paraId="0F291502" w14:textId="77777777" w:rsidR="00AF3101" w:rsidRPr="00FE16AB" w:rsidRDefault="00AF3101" w:rsidP="00776BFC">
            <w:pPr>
              <w:pStyle w:val="TableTextLeft"/>
            </w:pPr>
            <w:r w:rsidRPr="00FE16AB">
              <w:rPr>
                <w:lang w:val="en-US"/>
              </w:rPr>
              <w:t>Custodians</w:t>
            </w:r>
          </w:p>
        </w:tc>
        <w:tc>
          <w:tcPr>
            <w:tcW w:w="1417" w:type="dxa"/>
            <w:hideMark/>
          </w:tcPr>
          <w:p w14:paraId="3617A10E" w14:textId="46255C7E" w:rsidR="00AF3101" w:rsidRPr="00FE16AB" w:rsidRDefault="00AF3101" w:rsidP="00776BFC">
            <w:pPr>
              <w:pStyle w:val="TableTextLeft"/>
            </w:pPr>
            <w:r w:rsidRPr="00FE16AB">
              <w:rPr>
                <w:lang w:val="en-US"/>
              </w:rPr>
              <w:t>Flat</w:t>
            </w:r>
            <w:r>
              <w:rPr>
                <w:lang w:val="en-US"/>
              </w:rPr>
              <w:t xml:space="preserve"> levy</w:t>
            </w:r>
          </w:p>
        </w:tc>
        <w:tc>
          <w:tcPr>
            <w:tcW w:w="1559" w:type="dxa"/>
          </w:tcPr>
          <w:p w14:paraId="438A59D2" w14:textId="77777777" w:rsidR="00AF3101" w:rsidRPr="00FE16AB" w:rsidRDefault="00AF3101" w:rsidP="00776BFC">
            <w:pPr>
              <w:pStyle w:val="TableTextLeft"/>
            </w:pPr>
            <w:r w:rsidRPr="00BE488E">
              <w:t>$0.5 million</w:t>
            </w:r>
          </w:p>
        </w:tc>
        <w:tc>
          <w:tcPr>
            <w:tcW w:w="5529" w:type="dxa"/>
            <w:shd w:val="clear" w:color="auto" w:fill="DBE5F1" w:themeFill="accent1" w:themeFillTint="33"/>
          </w:tcPr>
          <w:p w14:paraId="2DA4AEEC" w14:textId="77777777" w:rsidR="00AF3101" w:rsidRPr="00FE16AB" w:rsidRDefault="00AF3101" w:rsidP="00776BFC">
            <w:pPr>
              <w:pStyle w:val="TableTextLeft"/>
              <w:rPr>
                <w:lang w:val="en-US"/>
              </w:rPr>
            </w:pPr>
            <w:r w:rsidRPr="00BE488E">
              <w:rPr>
                <w:lang w:val="en-US"/>
              </w:rPr>
              <w:t>$560 annual levy</w:t>
            </w:r>
          </w:p>
        </w:tc>
      </w:tr>
      <w:tr w:rsidR="00AF3101" w:rsidRPr="00FE16AB" w14:paraId="420B395C" w14:textId="77777777" w:rsidTr="00776BFC">
        <w:trPr>
          <w:trHeight w:val="330"/>
        </w:trPr>
        <w:tc>
          <w:tcPr>
            <w:tcW w:w="1809" w:type="dxa"/>
            <w:vMerge w:val="restart"/>
            <w:shd w:val="clear" w:color="auto" w:fill="F2F2F2" w:themeFill="background1" w:themeFillShade="F2"/>
            <w:hideMark/>
          </w:tcPr>
          <w:p w14:paraId="5EB92769" w14:textId="77777777" w:rsidR="00AF3101" w:rsidRPr="00FE16AB" w:rsidRDefault="00AF3101" w:rsidP="002D488C">
            <w:pPr>
              <w:pStyle w:val="TableRowHeadingLeft"/>
            </w:pPr>
            <w:r w:rsidRPr="00FE16AB">
              <w:rPr>
                <w:lang w:val="en-US"/>
              </w:rPr>
              <w:t>Market infrastructure and intermediaries</w:t>
            </w:r>
          </w:p>
        </w:tc>
        <w:tc>
          <w:tcPr>
            <w:tcW w:w="3828" w:type="dxa"/>
            <w:hideMark/>
          </w:tcPr>
          <w:p w14:paraId="0029DC56" w14:textId="77777777" w:rsidR="00AF3101" w:rsidRPr="00FE16AB" w:rsidRDefault="00AF3101" w:rsidP="00776BFC">
            <w:pPr>
              <w:pStyle w:val="TableTextLeft"/>
            </w:pPr>
            <w:r w:rsidRPr="00FE16AB">
              <w:rPr>
                <w:lang w:val="en-US"/>
              </w:rPr>
              <w:t>Market participants</w:t>
            </w:r>
          </w:p>
        </w:tc>
        <w:tc>
          <w:tcPr>
            <w:tcW w:w="1417" w:type="dxa"/>
            <w:hideMark/>
          </w:tcPr>
          <w:p w14:paraId="60F68603" w14:textId="77777777" w:rsidR="00AF3101" w:rsidRPr="00FE16AB" w:rsidRDefault="00AF3101" w:rsidP="00776BFC">
            <w:pPr>
              <w:pStyle w:val="TableTextLeft"/>
            </w:pPr>
            <w:r w:rsidRPr="00FE16AB">
              <w:rPr>
                <w:lang w:val="en-US"/>
              </w:rPr>
              <w:t>Trades and messages</w:t>
            </w:r>
          </w:p>
        </w:tc>
        <w:tc>
          <w:tcPr>
            <w:tcW w:w="1559" w:type="dxa"/>
          </w:tcPr>
          <w:p w14:paraId="6C8018D3" w14:textId="77777777" w:rsidR="00AF3101" w:rsidRPr="00FE16AB" w:rsidRDefault="00AF3101" w:rsidP="00776BFC">
            <w:pPr>
              <w:pStyle w:val="TableTextLeft"/>
            </w:pPr>
            <w:r w:rsidRPr="00BE488E">
              <w:t>$19 million</w:t>
            </w:r>
          </w:p>
        </w:tc>
        <w:tc>
          <w:tcPr>
            <w:tcW w:w="5529" w:type="dxa"/>
            <w:shd w:val="clear" w:color="auto" w:fill="DBE5F1" w:themeFill="accent1" w:themeFillTint="33"/>
          </w:tcPr>
          <w:p w14:paraId="094548EC" w14:textId="6AF4E6C1" w:rsidR="00AF3101" w:rsidRPr="00FE16AB" w:rsidRDefault="00AF3101" w:rsidP="001C20EA">
            <w:pPr>
              <w:pStyle w:val="TableTextLeft"/>
              <w:rPr>
                <w:lang w:val="en-US"/>
              </w:rPr>
            </w:pPr>
            <w:r w:rsidRPr="00BE488E">
              <w:rPr>
                <w:lang w:val="en-US"/>
              </w:rPr>
              <w:t xml:space="preserve">$9,000 </w:t>
            </w:r>
            <w:r>
              <w:rPr>
                <w:lang w:val="en-US"/>
              </w:rPr>
              <w:t xml:space="preserve">proposed </w:t>
            </w:r>
            <w:r w:rsidRPr="00BE488E">
              <w:rPr>
                <w:lang w:val="en-US"/>
              </w:rPr>
              <w:t xml:space="preserve">fixed levy payable by all market participants plus </w:t>
            </w:r>
            <w:r w:rsidRPr="00BE488E">
              <w:rPr>
                <w:kern w:val="24"/>
              </w:rPr>
              <w:t>$0.02</w:t>
            </w:r>
            <w:r>
              <w:rPr>
                <w:kern w:val="24"/>
              </w:rPr>
              <w:t> per transaction</w:t>
            </w:r>
            <w:r w:rsidRPr="00BE488E">
              <w:rPr>
                <w:kern w:val="24"/>
              </w:rPr>
              <w:t xml:space="preserve"> plus; $0.002 per message</w:t>
            </w:r>
            <w:r>
              <w:rPr>
                <w:kern w:val="24"/>
              </w:rPr>
              <w:t>.</w:t>
            </w:r>
          </w:p>
        </w:tc>
      </w:tr>
      <w:tr w:rsidR="00AF3101" w:rsidRPr="00FE16AB" w14:paraId="749EFED3" w14:textId="77777777" w:rsidTr="00776BFC">
        <w:trPr>
          <w:trHeight w:val="330"/>
        </w:trPr>
        <w:tc>
          <w:tcPr>
            <w:tcW w:w="1809" w:type="dxa"/>
            <w:vMerge/>
            <w:shd w:val="clear" w:color="auto" w:fill="F2F2F2" w:themeFill="background1" w:themeFillShade="F2"/>
            <w:hideMark/>
          </w:tcPr>
          <w:p w14:paraId="43A45E08" w14:textId="77777777" w:rsidR="00AF3101" w:rsidRPr="00FE16AB" w:rsidRDefault="00AF3101" w:rsidP="00142B3F">
            <w:pPr>
              <w:spacing w:after="0" w:line="240" w:lineRule="auto"/>
            </w:pPr>
          </w:p>
        </w:tc>
        <w:tc>
          <w:tcPr>
            <w:tcW w:w="3828" w:type="dxa"/>
            <w:hideMark/>
          </w:tcPr>
          <w:p w14:paraId="13B82A0E" w14:textId="77777777" w:rsidR="00AF3101" w:rsidRPr="00FE16AB" w:rsidRDefault="00AF3101" w:rsidP="00776BFC">
            <w:pPr>
              <w:pStyle w:val="TableTextLeft"/>
            </w:pPr>
            <w:r w:rsidRPr="00FE16AB">
              <w:rPr>
                <w:lang w:val="en-US"/>
              </w:rPr>
              <w:t>Securities dealers</w:t>
            </w:r>
          </w:p>
        </w:tc>
        <w:tc>
          <w:tcPr>
            <w:tcW w:w="1417" w:type="dxa"/>
            <w:hideMark/>
          </w:tcPr>
          <w:p w14:paraId="1B322A10" w14:textId="77777777" w:rsidR="00AF3101" w:rsidRPr="00FE16AB" w:rsidRDefault="00AF3101" w:rsidP="00776BFC">
            <w:pPr>
              <w:pStyle w:val="TableTextLeft"/>
            </w:pPr>
            <w:r>
              <w:rPr>
                <w:lang w:val="en-US"/>
              </w:rPr>
              <w:t>Trade value</w:t>
            </w:r>
          </w:p>
        </w:tc>
        <w:tc>
          <w:tcPr>
            <w:tcW w:w="1559" w:type="dxa"/>
          </w:tcPr>
          <w:p w14:paraId="6E846C85" w14:textId="77777777" w:rsidR="00AF3101" w:rsidRPr="00FE16AB" w:rsidRDefault="00AF3101" w:rsidP="00776BFC">
            <w:pPr>
              <w:pStyle w:val="TableTextLeft"/>
            </w:pPr>
            <w:r w:rsidRPr="00BE488E">
              <w:t>$2.9 million</w:t>
            </w:r>
          </w:p>
        </w:tc>
        <w:tc>
          <w:tcPr>
            <w:tcW w:w="5529" w:type="dxa"/>
            <w:shd w:val="clear" w:color="auto" w:fill="DBE5F1" w:themeFill="accent1" w:themeFillTint="33"/>
          </w:tcPr>
          <w:p w14:paraId="694419CF" w14:textId="746779C5" w:rsidR="00AF3101" w:rsidRPr="00FE16AB" w:rsidRDefault="00AF3101" w:rsidP="00776BFC">
            <w:pPr>
              <w:pStyle w:val="TableTextLeft"/>
              <w:rPr>
                <w:lang w:val="en-US"/>
              </w:rPr>
            </w:pPr>
            <w:r>
              <w:rPr>
                <w:lang w:val="en-US"/>
              </w:rPr>
              <w:t>$250 proposed fixed</w:t>
            </w:r>
            <w:r w:rsidRPr="00BE488E">
              <w:rPr>
                <w:lang w:val="en-US"/>
              </w:rPr>
              <w:t xml:space="preserve"> levy payable by all securities dealers plus </w:t>
            </w:r>
            <w:r>
              <w:rPr>
                <w:lang w:val="en-US"/>
              </w:rPr>
              <w:t xml:space="preserve">an estimated $0.34 per $10,000 of </w:t>
            </w:r>
            <w:r w:rsidRPr="00BE488E">
              <w:rPr>
                <w:kern w:val="24"/>
              </w:rPr>
              <w:t>annual trade value</w:t>
            </w:r>
            <w:r>
              <w:rPr>
                <w:kern w:val="24"/>
              </w:rPr>
              <w:t>.</w:t>
            </w:r>
          </w:p>
        </w:tc>
      </w:tr>
      <w:tr w:rsidR="00AF3101" w:rsidRPr="00FE16AB" w14:paraId="327F1377" w14:textId="77777777" w:rsidTr="00776BFC">
        <w:trPr>
          <w:trHeight w:val="330"/>
        </w:trPr>
        <w:tc>
          <w:tcPr>
            <w:tcW w:w="1809" w:type="dxa"/>
            <w:vMerge/>
            <w:shd w:val="clear" w:color="auto" w:fill="F2F2F2" w:themeFill="background1" w:themeFillShade="F2"/>
            <w:hideMark/>
          </w:tcPr>
          <w:p w14:paraId="12A2E2AF" w14:textId="77777777" w:rsidR="00AF3101" w:rsidRPr="00FE16AB" w:rsidRDefault="00AF3101" w:rsidP="00142B3F">
            <w:pPr>
              <w:spacing w:after="0" w:line="240" w:lineRule="auto"/>
            </w:pPr>
          </w:p>
        </w:tc>
        <w:tc>
          <w:tcPr>
            <w:tcW w:w="3828" w:type="dxa"/>
            <w:hideMark/>
          </w:tcPr>
          <w:p w14:paraId="0DDF1AFC" w14:textId="77777777" w:rsidR="00AF3101" w:rsidRPr="00FE16AB" w:rsidRDefault="00AF3101" w:rsidP="00776BFC">
            <w:pPr>
              <w:pStyle w:val="TableTextLeft"/>
            </w:pPr>
            <w:r w:rsidRPr="00FE16AB">
              <w:rPr>
                <w:lang w:val="en-US"/>
              </w:rPr>
              <w:t>Australian market licensees</w:t>
            </w:r>
          </w:p>
        </w:tc>
        <w:tc>
          <w:tcPr>
            <w:tcW w:w="1417" w:type="dxa"/>
            <w:hideMark/>
          </w:tcPr>
          <w:p w14:paraId="431AECFE" w14:textId="77777777" w:rsidR="00AF3101" w:rsidRPr="00FE16AB" w:rsidRDefault="00AF3101" w:rsidP="00776BFC">
            <w:pPr>
              <w:pStyle w:val="TableTextLeft"/>
            </w:pPr>
            <w:r w:rsidRPr="009C075D">
              <w:rPr>
                <w:b/>
                <w:lang w:val="en-US"/>
              </w:rPr>
              <w:t>Large AML</w:t>
            </w:r>
            <w:r w:rsidRPr="00FE16AB">
              <w:rPr>
                <w:lang w:val="en-US"/>
              </w:rPr>
              <w:t xml:space="preserve">: trades and messages; </w:t>
            </w:r>
            <w:r w:rsidRPr="009C075D">
              <w:rPr>
                <w:b/>
                <w:lang w:val="en-US"/>
              </w:rPr>
              <w:t>Other AML</w:t>
            </w:r>
            <w:r w:rsidRPr="00FE16AB">
              <w:rPr>
                <w:lang w:val="en-US"/>
              </w:rPr>
              <w:t>: flat levy</w:t>
            </w:r>
          </w:p>
        </w:tc>
        <w:tc>
          <w:tcPr>
            <w:tcW w:w="1559" w:type="dxa"/>
          </w:tcPr>
          <w:p w14:paraId="7B02B5FE" w14:textId="77777777" w:rsidR="00AF3101" w:rsidRPr="00FE16AB" w:rsidRDefault="00AF3101" w:rsidP="00776BFC">
            <w:pPr>
              <w:pStyle w:val="TableTextLeft"/>
            </w:pPr>
            <w:r w:rsidRPr="00BE488E">
              <w:t>$8.1 million</w:t>
            </w:r>
          </w:p>
        </w:tc>
        <w:tc>
          <w:tcPr>
            <w:tcW w:w="5529" w:type="dxa"/>
            <w:shd w:val="clear" w:color="auto" w:fill="DBE5F1" w:themeFill="accent1" w:themeFillTint="33"/>
          </w:tcPr>
          <w:p w14:paraId="320CDCCB" w14:textId="5AEA1A31" w:rsidR="00AF3101" w:rsidRPr="00FE16AB" w:rsidRDefault="00AF3101" w:rsidP="007C0FB8">
            <w:pPr>
              <w:pStyle w:val="TableTextLeft"/>
              <w:rPr>
                <w:lang w:val="en-US"/>
              </w:rPr>
            </w:pPr>
            <w:r w:rsidRPr="00BE488E">
              <w:rPr>
                <w:lang w:val="en-US"/>
              </w:rPr>
              <w:t xml:space="preserve">Dependent upon the category of Australian market licensee. </w:t>
            </w:r>
            <w:r>
              <w:rPr>
                <w:lang w:val="en-US"/>
              </w:rPr>
              <w:t xml:space="preserve">See </w:t>
            </w:r>
            <w:r w:rsidRPr="008B383F">
              <w:rPr>
                <w:b/>
                <w:lang w:val="en-US"/>
              </w:rPr>
              <w:t>pages 79–80</w:t>
            </w:r>
            <w:r>
              <w:rPr>
                <w:lang w:val="en-US"/>
              </w:rPr>
              <w:t xml:space="preserve"> of ASIC's </w:t>
            </w:r>
            <w:r w:rsidRPr="007C0FB8">
              <w:rPr>
                <w:lang w:val="en-US"/>
              </w:rPr>
              <w:t>Supporting attachment to the Government’s Proposals Paper.</w:t>
            </w:r>
          </w:p>
        </w:tc>
      </w:tr>
      <w:tr w:rsidR="00AF3101" w:rsidRPr="00FE16AB" w14:paraId="76E101CD" w14:textId="77777777" w:rsidTr="00776BFC">
        <w:trPr>
          <w:trHeight w:val="330"/>
        </w:trPr>
        <w:tc>
          <w:tcPr>
            <w:tcW w:w="1809" w:type="dxa"/>
            <w:vMerge/>
            <w:shd w:val="clear" w:color="auto" w:fill="F2F2F2" w:themeFill="background1" w:themeFillShade="F2"/>
            <w:hideMark/>
          </w:tcPr>
          <w:p w14:paraId="501A8D27" w14:textId="77777777" w:rsidR="00AF3101" w:rsidRPr="00FE16AB" w:rsidRDefault="00AF3101" w:rsidP="00142B3F">
            <w:pPr>
              <w:spacing w:after="0" w:line="240" w:lineRule="auto"/>
            </w:pPr>
          </w:p>
        </w:tc>
        <w:tc>
          <w:tcPr>
            <w:tcW w:w="3828" w:type="dxa"/>
            <w:hideMark/>
          </w:tcPr>
          <w:p w14:paraId="25A5F19A" w14:textId="77777777" w:rsidR="00AF3101" w:rsidRPr="00FE16AB" w:rsidRDefault="00AF3101" w:rsidP="00776BFC">
            <w:pPr>
              <w:pStyle w:val="TableTextLeft"/>
            </w:pPr>
            <w:r w:rsidRPr="00FE16AB">
              <w:rPr>
                <w:lang w:val="en-US"/>
              </w:rPr>
              <w:t>Clearing &amp; Settlement facilities</w:t>
            </w:r>
          </w:p>
        </w:tc>
        <w:tc>
          <w:tcPr>
            <w:tcW w:w="1417" w:type="dxa"/>
            <w:hideMark/>
          </w:tcPr>
          <w:p w14:paraId="6A327204" w14:textId="77777777" w:rsidR="00AF3101" w:rsidRPr="00FE16AB" w:rsidRDefault="00AF3101" w:rsidP="00776BFC">
            <w:pPr>
              <w:pStyle w:val="TableTextLeft"/>
            </w:pPr>
            <w:r>
              <w:rPr>
                <w:lang w:val="en-US"/>
              </w:rPr>
              <w:t>Levy based on systemic importance</w:t>
            </w:r>
          </w:p>
        </w:tc>
        <w:tc>
          <w:tcPr>
            <w:tcW w:w="1559" w:type="dxa"/>
          </w:tcPr>
          <w:p w14:paraId="2C4CF1D3" w14:textId="77777777" w:rsidR="00AF3101" w:rsidRPr="00FE16AB" w:rsidRDefault="00AF3101" w:rsidP="00776BFC">
            <w:pPr>
              <w:pStyle w:val="TableTextLeft"/>
            </w:pPr>
            <w:r w:rsidRPr="00BE488E">
              <w:t>$</w:t>
            </w:r>
            <w:r>
              <w:t>2.1</w:t>
            </w:r>
            <w:r w:rsidRPr="00BE488E">
              <w:t xml:space="preserve"> million</w:t>
            </w:r>
          </w:p>
        </w:tc>
        <w:tc>
          <w:tcPr>
            <w:tcW w:w="5529" w:type="dxa"/>
            <w:shd w:val="clear" w:color="auto" w:fill="DBE5F1" w:themeFill="accent1" w:themeFillTint="33"/>
          </w:tcPr>
          <w:p w14:paraId="1EE5F47C" w14:textId="61FBB41F" w:rsidR="00AF3101" w:rsidRPr="00FE16AB" w:rsidRDefault="00AF3101" w:rsidP="007C0FB8">
            <w:pPr>
              <w:pStyle w:val="TableTextLeft"/>
              <w:rPr>
                <w:lang w:val="en-US"/>
              </w:rPr>
            </w:pPr>
            <w:r w:rsidRPr="00BE488E">
              <w:rPr>
                <w:lang w:val="en-US"/>
              </w:rPr>
              <w:t>Based on systemic importance</w:t>
            </w:r>
            <w:r>
              <w:rPr>
                <w:lang w:val="en-US"/>
              </w:rPr>
              <w:t xml:space="preserve"> and domestic connection</w:t>
            </w:r>
            <w:r w:rsidRPr="00BE488E">
              <w:rPr>
                <w:lang w:val="en-US"/>
              </w:rPr>
              <w:t xml:space="preserve">. See </w:t>
            </w:r>
            <w:r w:rsidRPr="008B383F">
              <w:rPr>
                <w:b/>
                <w:lang w:val="en-US"/>
              </w:rPr>
              <w:t>page 80</w:t>
            </w:r>
            <w:r w:rsidRPr="007C0FB8">
              <w:rPr>
                <w:lang w:val="en-US"/>
              </w:rPr>
              <w:t xml:space="preserve"> of ASIC’s supporting attachment to the Government’s Proposals Paper Supporting Paper.</w:t>
            </w:r>
          </w:p>
        </w:tc>
      </w:tr>
      <w:tr w:rsidR="00AF3101" w:rsidRPr="00FE16AB" w14:paraId="3C9A2D33" w14:textId="77777777" w:rsidTr="00776BFC">
        <w:trPr>
          <w:trHeight w:val="330"/>
        </w:trPr>
        <w:tc>
          <w:tcPr>
            <w:tcW w:w="1809" w:type="dxa"/>
            <w:vMerge/>
            <w:shd w:val="clear" w:color="auto" w:fill="F2F2F2" w:themeFill="background1" w:themeFillShade="F2"/>
            <w:hideMark/>
          </w:tcPr>
          <w:p w14:paraId="310EFDA0" w14:textId="77777777" w:rsidR="00AF3101" w:rsidRPr="00FE16AB" w:rsidRDefault="00AF3101" w:rsidP="00142B3F">
            <w:pPr>
              <w:spacing w:after="0" w:line="240" w:lineRule="auto"/>
            </w:pPr>
          </w:p>
        </w:tc>
        <w:tc>
          <w:tcPr>
            <w:tcW w:w="3828" w:type="dxa"/>
            <w:hideMark/>
          </w:tcPr>
          <w:p w14:paraId="2724A909" w14:textId="77777777" w:rsidR="00AF3101" w:rsidRPr="00FE16AB" w:rsidRDefault="00AF3101" w:rsidP="00776BFC">
            <w:pPr>
              <w:pStyle w:val="TableTextLeft"/>
            </w:pPr>
            <w:r>
              <w:rPr>
                <w:lang w:val="en-US"/>
              </w:rPr>
              <w:t>Trade repositories</w:t>
            </w:r>
          </w:p>
        </w:tc>
        <w:tc>
          <w:tcPr>
            <w:tcW w:w="1417" w:type="dxa"/>
            <w:hideMark/>
          </w:tcPr>
          <w:p w14:paraId="447583CE" w14:textId="77777777" w:rsidR="00AF3101" w:rsidRPr="00FE16AB" w:rsidRDefault="00AF3101" w:rsidP="00776BFC">
            <w:pPr>
              <w:pStyle w:val="TableTextLeft"/>
            </w:pPr>
            <w:r w:rsidRPr="00FE16AB">
              <w:rPr>
                <w:lang w:val="en-US"/>
              </w:rPr>
              <w:t>Flat levy</w:t>
            </w:r>
          </w:p>
        </w:tc>
        <w:tc>
          <w:tcPr>
            <w:tcW w:w="1559" w:type="dxa"/>
          </w:tcPr>
          <w:p w14:paraId="6B4E3EE4" w14:textId="77777777" w:rsidR="00AF3101" w:rsidRPr="00FE16AB" w:rsidRDefault="00AF3101" w:rsidP="00776BFC">
            <w:pPr>
              <w:pStyle w:val="TableTextLeft"/>
            </w:pPr>
            <w:r w:rsidRPr="00BE488E">
              <w:t>$0.4 million</w:t>
            </w:r>
          </w:p>
        </w:tc>
        <w:tc>
          <w:tcPr>
            <w:tcW w:w="5529" w:type="dxa"/>
            <w:shd w:val="clear" w:color="auto" w:fill="DBE5F1" w:themeFill="accent1" w:themeFillTint="33"/>
          </w:tcPr>
          <w:p w14:paraId="33CF8E7D" w14:textId="77777777" w:rsidR="00AF3101" w:rsidRPr="00FE16AB" w:rsidRDefault="00AF3101" w:rsidP="00776BFC">
            <w:pPr>
              <w:pStyle w:val="TableTextLeft"/>
              <w:rPr>
                <w:lang w:val="en-US"/>
              </w:rPr>
            </w:pPr>
            <w:r w:rsidRPr="00BE488E">
              <w:rPr>
                <w:lang w:val="en-US"/>
              </w:rPr>
              <w:t>$140,000 annual levy</w:t>
            </w:r>
          </w:p>
        </w:tc>
      </w:tr>
    </w:tbl>
    <w:p w14:paraId="28FB6F30" w14:textId="77777777" w:rsidR="00AF3101" w:rsidRDefault="00AF3101">
      <w:r>
        <w:br w:type="page"/>
      </w:r>
    </w:p>
    <w:tbl>
      <w:tblPr>
        <w:tblStyle w:val="tableASIC"/>
        <w:tblW w:w="141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809"/>
        <w:gridCol w:w="3828"/>
        <w:gridCol w:w="1417"/>
        <w:gridCol w:w="1559"/>
        <w:gridCol w:w="5529"/>
      </w:tblGrid>
      <w:tr w:rsidR="00AF3101" w:rsidRPr="0019629B" w14:paraId="60A7AD47" w14:textId="77777777" w:rsidTr="00902D9F">
        <w:trPr>
          <w:trHeight w:val="330"/>
        </w:trPr>
        <w:tc>
          <w:tcPr>
            <w:tcW w:w="1809" w:type="dxa"/>
            <w:shd w:val="clear" w:color="auto" w:fill="1F497D" w:themeFill="text2"/>
            <w:hideMark/>
          </w:tcPr>
          <w:p w14:paraId="1241B7D7" w14:textId="77777777" w:rsidR="00AF3101" w:rsidRPr="0019629B" w:rsidRDefault="00AF3101" w:rsidP="00902D9F">
            <w:pPr>
              <w:pStyle w:val="TableColumnHeadingLeft"/>
            </w:pPr>
            <w:r w:rsidRPr="0019629B">
              <w:t>Sector</w:t>
            </w:r>
          </w:p>
        </w:tc>
        <w:tc>
          <w:tcPr>
            <w:tcW w:w="3828" w:type="dxa"/>
            <w:shd w:val="clear" w:color="auto" w:fill="1F497D" w:themeFill="text2"/>
            <w:hideMark/>
          </w:tcPr>
          <w:p w14:paraId="7E367A49" w14:textId="77777777" w:rsidR="00AF3101" w:rsidRPr="0019629B" w:rsidRDefault="00AF3101" w:rsidP="00902D9F">
            <w:pPr>
              <w:pStyle w:val="TableColumnHeadingLeft"/>
            </w:pPr>
            <w:r w:rsidRPr="0019629B">
              <w:t>Subsector</w:t>
            </w:r>
          </w:p>
        </w:tc>
        <w:tc>
          <w:tcPr>
            <w:tcW w:w="1417" w:type="dxa"/>
            <w:shd w:val="clear" w:color="auto" w:fill="1F497D" w:themeFill="text2"/>
            <w:hideMark/>
          </w:tcPr>
          <w:p w14:paraId="0AFE31CB" w14:textId="77777777" w:rsidR="00AF3101" w:rsidRPr="0019629B" w:rsidRDefault="00AF3101" w:rsidP="00902D9F">
            <w:pPr>
              <w:pStyle w:val="TableColumnHeadingLeft"/>
            </w:pPr>
            <w:r w:rsidRPr="0019629B">
              <w:t>Levy metric</w:t>
            </w:r>
          </w:p>
        </w:tc>
        <w:tc>
          <w:tcPr>
            <w:tcW w:w="1559" w:type="dxa"/>
            <w:shd w:val="clear" w:color="auto" w:fill="1F497D" w:themeFill="text2"/>
            <w:hideMark/>
          </w:tcPr>
          <w:p w14:paraId="54C8E22E" w14:textId="77777777" w:rsidR="00AF3101" w:rsidRPr="0019629B" w:rsidRDefault="00AF3101" w:rsidP="00902D9F">
            <w:pPr>
              <w:pStyle w:val="TableColumnHeadingLeft"/>
            </w:pPr>
            <w:r w:rsidRPr="0019629B">
              <w:t>Anticipated ASIC expense</w:t>
            </w:r>
          </w:p>
        </w:tc>
        <w:tc>
          <w:tcPr>
            <w:tcW w:w="5529" w:type="dxa"/>
            <w:shd w:val="clear" w:color="auto" w:fill="1F497D" w:themeFill="text2"/>
          </w:tcPr>
          <w:p w14:paraId="3999E9B6" w14:textId="77777777" w:rsidR="00AF3101" w:rsidRPr="0019629B" w:rsidRDefault="00AF3101" w:rsidP="00902D9F">
            <w:pPr>
              <w:pStyle w:val="TableColumnHeadingLeft"/>
            </w:pPr>
            <w:r>
              <w:t>Proposed I</w:t>
            </w:r>
            <w:r w:rsidRPr="0019629B">
              <w:t>ndicative levy</w:t>
            </w:r>
          </w:p>
        </w:tc>
      </w:tr>
      <w:tr w:rsidR="00AF3101" w:rsidRPr="00FE16AB" w14:paraId="228E37ED" w14:textId="77777777" w:rsidTr="00776BFC">
        <w:trPr>
          <w:trHeight w:val="330"/>
        </w:trPr>
        <w:tc>
          <w:tcPr>
            <w:tcW w:w="1809" w:type="dxa"/>
            <w:vMerge w:val="restart"/>
            <w:shd w:val="clear" w:color="auto" w:fill="F2F2F2" w:themeFill="background1" w:themeFillShade="F2"/>
            <w:hideMark/>
          </w:tcPr>
          <w:p w14:paraId="01C4C490" w14:textId="11B49B1B" w:rsidR="00AF3101" w:rsidRPr="00FE16AB" w:rsidRDefault="00AF3101" w:rsidP="00854551">
            <w:pPr>
              <w:pStyle w:val="TableRowHeadingLeft"/>
            </w:pPr>
            <w:r w:rsidRPr="00B74F39">
              <w:rPr>
                <w:lang w:val="en-US"/>
              </w:rPr>
              <w:t>Market infrastructure and intermediaries</w:t>
            </w:r>
            <w:r>
              <w:rPr>
                <w:lang w:val="en-US"/>
              </w:rPr>
              <w:t xml:space="preserve"> </w:t>
            </w:r>
            <w:r w:rsidRPr="00AF3101">
              <w:rPr>
                <w:b w:val="0"/>
                <w:lang w:val="en-US"/>
              </w:rPr>
              <w:t>(continued)</w:t>
            </w:r>
          </w:p>
        </w:tc>
        <w:tc>
          <w:tcPr>
            <w:tcW w:w="3828" w:type="dxa"/>
            <w:hideMark/>
          </w:tcPr>
          <w:p w14:paraId="74B58347" w14:textId="77777777" w:rsidR="00AF3101" w:rsidRPr="00FE16AB" w:rsidRDefault="00AF3101" w:rsidP="00776BFC">
            <w:pPr>
              <w:pStyle w:val="TableTextLeft"/>
            </w:pPr>
            <w:r w:rsidRPr="00FE16AB">
              <w:rPr>
                <w:lang w:val="en-US"/>
              </w:rPr>
              <w:t>Exempt markets</w:t>
            </w:r>
            <w:r>
              <w:rPr>
                <w:lang w:val="en-US"/>
              </w:rPr>
              <w:t xml:space="preserve"> and exempt clearing and settlement facilities</w:t>
            </w:r>
          </w:p>
        </w:tc>
        <w:tc>
          <w:tcPr>
            <w:tcW w:w="1417" w:type="dxa"/>
            <w:hideMark/>
          </w:tcPr>
          <w:p w14:paraId="727A391F" w14:textId="77777777" w:rsidR="00AF3101" w:rsidRPr="00FE16AB" w:rsidRDefault="00AF3101" w:rsidP="00776BFC">
            <w:pPr>
              <w:pStyle w:val="TableTextLeft"/>
            </w:pPr>
            <w:r w:rsidRPr="00FE16AB">
              <w:rPr>
                <w:lang w:val="en-US"/>
              </w:rPr>
              <w:t>Flat levy</w:t>
            </w:r>
          </w:p>
        </w:tc>
        <w:tc>
          <w:tcPr>
            <w:tcW w:w="1559" w:type="dxa"/>
          </w:tcPr>
          <w:p w14:paraId="55EE5478" w14:textId="38D6F407" w:rsidR="00AF3101" w:rsidRPr="00FE16AB" w:rsidRDefault="00AF3101" w:rsidP="00776BFC">
            <w:pPr>
              <w:pStyle w:val="TableTextLeft"/>
            </w:pPr>
            <w:r w:rsidRPr="00BE488E">
              <w:t>$</w:t>
            </w:r>
            <w:r>
              <w:t xml:space="preserve">1.345 </w:t>
            </w:r>
            <w:r w:rsidRPr="00BE488E">
              <w:t>million</w:t>
            </w:r>
          </w:p>
        </w:tc>
        <w:tc>
          <w:tcPr>
            <w:tcW w:w="5529" w:type="dxa"/>
            <w:shd w:val="clear" w:color="auto" w:fill="DBE5F1" w:themeFill="accent1" w:themeFillTint="33"/>
          </w:tcPr>
          <w:p w14:paraId="332B6353" w14:textId="052BD12A" w:rsidR="00AF3101" w:rsidRPr="00FE16AB" w:rsidRDefault="00AF3101" w:rsidP="00776BFC">
            <w:pPr>
              <w:pStyle w:val="TableTextLeft"/>
              <w:rPr>
                <w:lang w:val="en-US"/>
              </w:rPr>
            </w:pPr>
            <w:r w:rsidRPr="00BE488E">
              <w:rPr>
                <w:lang w:val="en-US"/>
              </w:rPr>
              <w:t>$45,000 per market</w:t>
            </w:r>
            <w:r>
              <w:rPr>
                <w:lang w:val="en-US"/>
              </w:rPr>
              <w:t>/facility</w:t>
            </w:r>
          </w:p>
        </w:tc>
      </w:tr>
      <w:tr w:rsidR="00AF3101" w:rsidRPr="00FE16AB" w14:paraId="1FACEE5D" w14:textId="77777777" w:rsidTr="00776BFC">
        <w:trPr>
          <w:trHeight w:val="330"/>
        </w:trPr>
        <w:tc>
          <w:tcPr>
            <w:tcW w:w="1809" w:type="dxa"/>
            <w:vMerge/>
            <w:shd w:val="clear" w:color="auto" w:fill="F2F2F2" w:themeFill="background1" w:themeFillShade="F2"/>
          </w:tcPr>
          <w:p w14:paraId="45045198" w14:textId="6C962443" w:rsidR="00AF3101" w:rsidRDefault="00AF3101" w:rsidP="00854551">
            <w:pPr>
              <w:pStyle w:val="TableRowHeadingLeft"/>
              <w:rPr>
                <w:lang w:val="en-US"/>
              </w:rPr>
            </w:pPr>
          </w:p>
        </w:tc>
        <w:tc>
          <w:tcPr>
            <w:tcW w:w="3828" w:type="dxa"/>
          </w:tcPr>
          <w:p w14:paraId="51BB0D88" w14:textId="77777777" w:rsidR="00AF3101" w:rsidRPr="00FE16AB" w:rsidRDefault="00AF3101" w:rsidP="00776BFC">
            <w:pPr>
              <w:pStyle w:val="TableTextLeft"/>
              <w:rPr>
                <w:lang w:val="en-US"/>
              </w:rPr>
            </w:pPr>
            <w:r w:rsidRPr="00FE16AB">
              <w:rPr>
                <w:lang w:val="en-US"/>
              </w:rPr>
              <w:t>Investment banking</w:t>
            </w:r>
          </w:p>
        </w:tc>
        <w:tc>
          <w:tcPr>
            <w:tcW w:w="1417" w:type="dxa"/>
          </w:tcPr>
          <w:p w14:paraId="10030808" w14:textId="77777777" w:rsidR="00AF3101" w:rsidRPr="00FE16AB" w:rsidRDefault="00AF3101" w:rsidP="00776BFC">
            <w:pPr>
              <w:pStyle w:val="TableTextLeft"/>
              <w:rPr>
                <w:lang w:val="en-US"/>
              </w:rPr>
            </w:pPr>
            <w:r w:rsidRPr="00FE16AB">
              <w:rPr>
                <w:lang w:val="en-US"/>
              </w:rPr>
              <w:t>Investment banking revenue</w:t>
            </w:r>
          </w:p>
        </w:tc>
        <w:tc>
          <w:tcPr>
            <w:tcW w:w="1559" w:type="dxa"/>
          </w:tcPr>
          <w:p w14:paraId="5F57C46A" w14:textId="77777777" w:rsidR="00AF3101" w:rsidRPr="00FE16AB" w:rsidRDefault="00AF3101" w:rsidP="00776BFC">
            <w:pPr>
              <w:pStyle w:val="TableTextLeft"/>
            </w:pPr>
            <w:r w:rsidRPr="00BE488E">
              <w:t>$9.7 million</w:t>
            </w:r>
          </w:p>
        </w:tc>
        <w:tc>
          <w:tcPr>
            <w:tcW w:w="5529" w:type="dxa"/>
            <w:shd w:val="clear" w:color="auto" w:fill="DBE5F1" w:themeFill="accent1" w:themeFillTint="33"/>
          </w:tcPr>
          <w:p w14:paraId="45170879" w14:textId="0DE8235E" w:rsidR="00AF3101" w:rsidRDefault="00AF3101" w:rsidP="001C20EA">
            <w:pPr>
              <w:pStyle w:val="TableTextLeft"/>
              <w:rPr>
                <w:lang w:val="en-US"/>
              </w:rPr>
            </w:pPr>
            <w:r w:rsidRPr="00BE488E">
              <w:rPr>
                <w:lang w:val="en-US"/>
              </w:rPr>
              <w:t xml:space="preserve">$1,000 </w:t>
            </w:r>
            <w:r>
              <w:rPr>
                <w:lang w:val="en-US"/>
              </w:rPr>
              <w:t xml:space="preserve">proposed </w:t>
            </w:r>
            <w:r w:rsidRPr="00BE488E">
              <w:rPr>
                <w:lang w:val="en-US"/>
              </w:rPr>
              <w:t xml:space="preserve">fixed levy payable by all investment banks plus </w:t>
            </w:r>
            <w:r>
              <w:rPr>
                <w:lang w:val="en-US"/>
              </w:rPr>
              <w:t xml:space="preserve">a graduated levy based on </w:t>
            </w:r>
            <w:r w:rsidRPr="00BE488E">
              <w:rPr>
                <w:lang w:val="en-US"/>
              </w:rPr>
              <w:t>investment banking activities above $100,00</w:t>
            </w:r>
            <w:r>
              <w:rPr>
                <w:lang w:val="en-US"/>
              </w:rPr>
              <w:t>0 relative to total investment banking industry revenue.</w:t>
            </w:r>
          </w:p>
        </w:tc>
      </w:tr>
      <w:tr w:rsidR="00AF3101" w:rsidRPr="00FE16AB" w14:paraId="7034DCF1" w14:textId="77777777" w:rsidTr="00776BFC">
        <w:trPr>
          <w:trHeight w:val="330"/>
        </w:trPr>
        <w:tc>
          <w:tcPr>
            <w:tcW w:w="1809" w:type="dxa"/>
            <w:vMerge/>
            <w:shd w:val="clear" w:color="auto" w:fill="F2F2F2" w:themeFill="background1" w:themeFillShade="F2"/>
          </w:tcPr>
          <w:p w14:paraId="4841288C" w14:textId="408A6A76" w:rsidR="00AF3101" w:rsidRDefault="00AF3101" w:rsidP="00854551">
            <w:pPr>
              <w:pStyle w:val="TableRowHeadingLeft"/>
              <w:rPr>
                <w:lang w:val="en-US"/>
              </w:rPr>
            </w:pPr>
          </w:p>
        </w:tc>
        <w:tc>
          <w:tcPr>
            <w:tcW w:w="3828" w:type="dxa"/>
          </w:tcPr>
          <w:p w14:paraId="06BD56A2" w14:textId="77777777" w:rsidR="00AF3101" w:rsidRPr="00FE16AB" w:rsidRDefault="00AF3101" w:rsidP="00776BFC">
            <w:pPr>
              <w:pStyle w:val="TableTextLeft"/>
              <w:rPr>
                <w:lang w:val="en-US"/>
              </w:rPr>
            </w:pPr>
            <w:r w:rsidRPr="00FE16AB">
              <w:rPr>
                <w:lang w:val="en-US"/>
              </w:rPr>
              <w:t>Wholesale electricity dealers</w:t>
            </w:r>
          </w:p>
        </w:tc>
        <w:tc>
          <w:tcPr>
            <w:tcW w:w="1417" w:type="dxa"/>
          </w:tcPr>
          <w:p w14:paraId="28B13B2D" w14:textId="26C5285C" w:rsidR="00AF3101" w:rsidRPr="00FE16AB" w:rsidRDefault="00AF3101" w:rsidP="00776BFC">
            <w:pPr>
              <w:pStyle w:val="TableTextLeft"/>
              <w:rPr>
                <w:lang w:val="en-US"/>
              </w:rPr>
            </w:pPr>
            <w:r w:rsidRPr="00FE16AB">
              <w:rPr>
                <w:lang w:val="en-US"/>
              </w:rPr>
              <w:t>Flat</w:t>
            </w:r>
            <w:r>
              <w:rPr>
                <w:lang w:val="en-US"/>
              </w:rPr>
              <w:t xml:space="preserve"> levy</w:t>
            </w:r>
          </w:p>
        </w:tc>
        <w:tc>
          <w:tcPr>
            <w:tcW w:w="1559" w:type="dxa"/>
          </w:tcPr>
          <w:p w14:paraId="3237FB46" w14:textId="77777777" w:rsidR="00AF3101" w:rsidRPr="00BE488E" w:rsidRDefault="00AF3101" w:rsidP="00776BFC">
            <w:pPr>
              <w:pStyle w:val="TableTextLeft"/>
            </w:pPr>
            <w:r w:rsidRPr="00BE488E">
              <w:t>$0.1 million</w:t>
            </w:r>
          </w:p>
        </w:tc>
        <w:tc>
          <w:tcPr>
            <w:tcW w:w="5529" w:type="dxa"/>
            <w:shd w:val="clear" w:color="auto" w:fill="DBE5F1" w:themeFill="accent1" w:themeFillTint="33"/>
          </w:tcPr>
          <w:p w14:paraId="28AF82AD" w14:textId="77777777" w:rsidR="00AF3101" w:rsidRPr="00BE488E" w:rsidRDefault="00AF3101" w:rsidP="00776BFC">
            <w:pPr>
              <w:pStyle w:val="TableTextLeft"/>
              <w:rPr>
                <w:lang w:val="en-US"/>
              </w:rPr>
            </w:pPr>
            <w:r w:rsidRPr="00BE488E">
              <w:rPr>
                <w:lang w:val="en-US"/>
              </w:rPr>
              <w:t>$1,600 annual levy</w:t>
            </w:r>
          </w:p>
        </w:tc>
      </w:tr>
      <w:tr w:rsidR="00AF3101" w:rsidRPr="00FE16AB" w14:paraId="7DF5E71F" w14:textId="77777777" w:rsidTr="00776BFC">
        <w:trPr>
          <w:trHeight w:val="330"/>
        </w:trPr>
        <w:tc>
          <w:tcPr>
            <w:tcW w:w="1809" w:type="dxa"/>
            <w:vMerge/>
            <w:shd w:val="clear" w:color="auto" w:fill="F2F2F2" w:themeFill="background1" w:themeFillShade="F2"/>
          </w:tcPr>
          <w:p w14:paraId="370D0F4C" w14:textId="38B8EA63" w:rsidR="00AF3101" w:rsidRDefault="00AF3101" w:rsidP="00854551">
            <w:pPr>
              <w:pStyle w:val="TableRowHeadingLeft"/>
              <w:rPr>
                <w:lang w:val="en-US"/>
              </w:rPr>
            </w:pPr>
          </w:p>
        </w:tc>
        <w:tc>
          <w:tcPr>
            <w:tcW w:w="3828" w:type="dxa"/>
          </w:tcPr>
          <w:p w14:paraId="0B10B94B" w14:textId="77777777" w:rsidR="00AF3101" w:rsidRPr="00FE16AB" w:rsidRDefault="00AF3101" w:rsidP="00776BFC">
            <w:pPr>
              <w:pStyle w:val="TableTextLeft"/>
              <w:rPr>
                <w:lang w:val="en-US"/>
              </w:rPr>
            </w:pPr>
            <w:r w:rsidRPr="00FE16AB">
              <w:rPr>
                <w:lang w:val="en-US"/>
              </w:rPr>
              <w:t>Credit rating agencies</w:t>
            </w:r>
          </w:p>
        </w:tc>
        <w:tc>
          <w:tcPr>
            <w:tcW w:w="1417" w:type="dxa"/>
          </w:tcPr>
          <w:p w14:paraId="1BA12E31" w14:textId="6D9CBDEF" w:rsidR="00AF3101" w:rsidRPr="00FE16AB" w:rsidRDefault="00AF3101" w:rsidP="00776BFC">
            <w:pPr>
              <w:pStyle w:val="TableTextLeft"/>
              <w:rPr>
                <w:lang w:val="en-US"/>
              </w:rPr>
            </w:pPr>
            <w:r w:rsidRPr="00FE16AB">
              <w:rPr>
                <w:lang w:val="en-US"/>
              </w:rPr>
              <w:t>Flat</w:t>
            </w:r>
            <w:r>
              <w:rPr>
                <w:lang w:val="en-US"/>
              </w:rPr>
              <w:t xml:space="preserve"> levy</w:t>
            </w:r>
          </w:p>
        </w:tc>
        <w:tc>
          <w:tcPr>
            <w:tcW w:w="1559" w:type="dxa"/>
          </w:tcPr>
          <w:p w14:paraId="1175CD45" w14:textId="77777777" w:rsidR="00AF3101" w:rsidRPr="00BE488E" w:rsidRDefault="00AF3101" w:rsidP="00776BFC">
            <w:pPr>
              <w:pStyle w:val="TableTextLeft"/>
            </w:pPr>
            <w:r w:rsidRPr="00BE488E">
              <w:t>$0.2 million</w:t>
            </w:r>
          </w:p>
        </w:tc>
        <w:tc>
          <w:tcPr>
            <w:tcW w:w="5529" w:type="dxa"/>
            <w:shd w:val="clear" w:color="auto" w:fill="DBE5F1" w:themeFill="accent1" w:themeFillTint="33"/>
          </w:tcPr>
          <w:p w14:paraId="6F507DC5" w14:textId="77777777" w:rsidR="00AF3101" w:rsidRPr="00BE488E" w:rsidRDefault="00AF3101" w:rsidP="00776BFC">
            <w:pPr>
              <w:pStyle w:val="TableTextLeft"/>
              <w:rPr>
                <w:lang w:val="en-US"/>
              </w:rPr>
            </w:pPr>
            <w:r w:rsidRPr="00BE488E">
              <w:rPr>
                <w:lang w:val="en-US"/>
              </w:rPr>
              <w:t>$34,000 annual levy</w:t>
            </w:r>
          </w:p>
        </w:tc>
      </w:tr>
      <w:tr w:rsidR="00AF3101" w:rsidRPr="00FE16AB" w14:paraId="141E33A6" w14:textId="77777777" w:rsidTr="00776BFC">
        <w:trPr>
          <w:trHeight w:val="496"/>
        </w:trPr>
        <w:tc>
          <w:tcPr>
            <w:tcW w:w="1809" w:type="dxa"/>
            <w:vMerge/>
            <w:shd w:val="clear" w:color="auto" w:fill="F2F2F2" w:themeFill="background1" w:themeFillShade="F2"/>
          </w:tcPr>
          <w:p w14:paraId="15CA0405" w14:textId="35403EC1" w:rsidR="00AF3101" w:rsidRDefault="00AF3101" w:rsidP="00854551">
            <w:pPr>
              <w:pStyle w:val="TableRowHeadingLeft"/>
              <w:rPr>
                <w:lang w:val="en-US"/>
              </w:rPr>
            </w:pPr>
          </w:p>
        </w:tc>
        <w:tc>
          <w:tcPr>
            <w:tcW w:w="3828" w:type="dxa"/>
          </w:tcPr>
          <w:p w14:paraId="0208FD1A" w14:textId="77777777" w:rsidR="00AF3101" w:rsidRPr="00FE16AB" w:rsidRDefault="00AF3101" w:rsidP="00776BFC">
            <w:pPr>
              <w:pStyle w:val="TableTextLeft"/>
              <w:spacing w:before="100" w:after="100" w:line="240" w:lineRule="auto"/>
              <w:rPr>
                <w:lang w:val="en-US"/>
              </w:rPr>
            </w:pPr>
            <w:r w:rsidRPr="00FE16AB">
              <w:rPr>
                <w:lang w:val="en-US"/>
              </w:rPr>
              <w:t>Retail OTC derivatives issuers</w:t>
            </w:r>
          </w:p>
        </w:tc>
        <w:tc>
          <w:tcPr>
            <w:tcW w:w="1417" w:type="dxa"/>
          </w:tcPr>
          <w:p w14:paraId="2DE27449" w14:textId="761DE7A7" w:rsidR="00AF3101" w:rsidRPr="00FE16AB" w:rsidRDefault="00AF3101" w:rsidP="007C0FB8">
            <w:pPr>
              <w:pStyle w:val="TableTextLeft"/>
              <w:spacing w:before="100" w:after="100" w:line="240" w:lineRule="auto"/>
              <w:rPr>
                <w:lang w:val="en-US"/>
              </w:rPr>
            </w:pPr>
            <w:r>
              <w:rPr>
                <w:lang w:val="en-US"/>
              </w:rPr>
              <w:t>Flat levy</w:t>
            </w:r>
            <w:r>
              <w:rPr>
                <w:lang w:val="en-US"/>
              </w:rPr>
              <w:br/>
            </w:r>
          </w:p>
        </w:tc>
        <w:tc>
          <w:tcPr>
            <w:tcW w:w="1559" w:type="dxa"/>
          </w:tcPr>
          <w:p w14:paraId="6393E3F2" w14:textId="77777777" w:rsidR="00AF3101" w:rsidRPr="00FE16AB" w:rsidRDefault="00AF3101" w:rsidP="00776BFC">
            <w:pPr>
              <w:pStyle w:val="TableTextLeft"/>
              <w:spacing w:before="100" w:after="100" w:line="240" w:lineRule="auto"/>
            </w:pPr>
            <w:r w:rsidRPr="00BE488E">
              <w:t>$4.</w:t>
            </w:r>
            <w:r>
              <w:t>0</w:t>
            </w:r>
            <w:r w:rsidRPr="00BE488E">
              <w:t xml:space="preserve"> million</w:t>
            </w:r>
          </w:p>
        </w:tc>
        <w:tc>
          <w:tcPr>
            <w:tcW w:w="5529" w:type="dxa"/>
            <w:shd w:val="clear" w:color="auto" w:fill="DBE5F1" w:themeFill="accent1" w:themeFillTint="33"/>
          </w:tcPr>
          <w:p w14:paraId="3B9C9A13" w14:textId="513042C7" w:rsidR="00AF3101" w:rsidRDefault="00AF3101" w:rsidP="00776BFC">
            <w:pPr>
              <w:pStyle w:val="TableTextLeft"/>
              <w:rPr>
                <w:lang w:val="en-US"/>
              </w:rPr>
            </w:pPr>
            <w:r w:rsidRPr="00BE488E">
              <w:rPr>
                <w:lang w:val="en-US"/>
              </w:rPr>
              <w:t>$61,400 annual levy</w:t>
            </w:r>
            <w:r>
              <w:rPr>
                <w:lang w:val="en-US"/>
              </w:rPr>
              <w:t>.</w:t>
            </w:r>
          </w:p>
          <w:p w14:paraId="01CF989B" w14:textId="501D9435" w:rsidR="00AF3101" w:rsidRDefault="00AF3101" w:rsidP="00776BFC">
            <w:pPr>
              <w:pStyle w:val="TableTextLeft"/>
              <w:spacing w:before="100" w:after="100" w:line="240" w:lineRule="auto"/>
              <w:rPr>
                <w:lang w:val="en-US"/>
              </w:rPr>
            </w:pPr>
          </w:p>
        </w:tc>
      </w:tr>
      <w:tr w:rsidR="007C0FB8" w:rsidRPr="00FE16AB" w14:paraId="53C62BBB" w14:textId="77777777" w:rsidTr="00776BFC">
        <w:trPr>
          <w:trHeight w:val="330"/>
        </w:trPr>
        <w:tc>
          <w:tcPr>
            <w:tcW w:w="1809" w:type="dxa"/>
            <w:vMerge w:val="restart"/>
            <w:shd w:val="clear" w:color="auto" w:fill="F2F2F2" w:themeFill="background1" w:themeFillShade="F2"/>
            <w:hideMark/>
          </w:tcPr>
          <w:p w14:paraId="65B029C4" w14:textId="77777777" w:rsidR="007C0FB8" w:rsidRPr="00FE16AB" w:rsidRDefault="007C0FB8" w:rsidP="00055724">
            <w:pPr>
              <w:pStyle w:val="TableRowHeadingLeft"/>
            </w:pPr>
            <w:r>
              <w:rPr>
                <w:lang w:val="en-US"/>
              </w:rPr>
              <w:t>Financial Advice</w:t>
            </w:r>
          </w:p>
        </w:tc>
        <w:tc>
          <w:tcPr>
            <w:tcW w:w="3828" w:type="dxa"/>
            <w:hideMark/>
          </w:tcPr>
          <w:p w14:paraId="323F3978" w14:textId="08BFFE05" w:rsidR="007C0FB8" w:rsidRPr="00FE16AB" w:rsidRDefault="007C0FB8" w:rsidP="00776BFC">
            <w:pPr>
              <w:pStyle w:val="TableTextLeft"/>
            </w:pPr>
            <w:r>
              <w:rPr>
                <w:lang w:val="en-US"/>
              </w:rPr>
              <w:t xml:space="preserve">Licensees that provide personal </w:t>
            </w:r>
            <w:r w:rsidRPr="00FE16AB">
              <w:rPr>
                <w:lang w:val="en-US"/>
              </w:rPr>
              <w:t>advice providers</w:t>
            </w:r>
            <w:r>
              <w:rPr>
                <w:lang w:val="en-US"/>
              </w:rPr>
              <w:t xml:space="preserve"> on Tier 1 products to retail clients</w:t>
            </w:r>
          </w:p>
        </w:tc>
        <w:tc>
          <w:tcPr>
            <w:tcW w:w="1417" w:type="dxa"/>
            <w:hideMark/>
          </w:tcPr>
          <w:p w14:paraId="3E8C6E56" w14:textId="77777777" w:rsidR="007C0FB8" w:rsidRPr="00FE16AB" w:rsidRDefault="007C0FB8" w:rsidP="00776BFC">
            <w:pPr>
              <w:pStyle w:val="TableTextLeft"/>
            </w:pPr>
            <w:r w:rsidRPr="00FE16AB">
              <w:rPr>
                <w:lang w:val="en-US"/>
              </w:rPr>
              <w:t>Financial advisers</w:t>
            </w:r>
          </w:p>
        </w:tc>
        <w:tc>
          <w:tcPr>
            <w:tcW w:w="1559" w:type="dxa"/>
          </w:tcPr>
          <w:p w14:paraId="2C71A67F" w14:textId="77777777" w:rsidR="007C0FB8" w:rsidRPr="00FE16AB" w:rsidRDefault="007C0FB8" w:rsidP="00776BFC">
            <w:pPr>
              <w:pStyle w:val="TableTextLeft"/>
            </w:pPr>
            <w:r w:rsidRPr="00BE488E">
              <w:t>$22 million</w:t>
            </w:r>
          </w:p>
        </w:tc>
        <w:tc>
          <w:tcPr>
            <w:tcW w:w="5529" w:type="dxa"/>
            <w:shd w:val="clear" w:color="auto" w:fill="DBE5F1" w:themeFill="accent1" w:themeFillTint="33"/>
          </w:tcPr>
          <w:p w14:paraId="1F0D1408" w14:textId="721F6B9B" w:rsidR="007C0FB8" w:rsidRPr="00FE16AB" w:rsidRDefault="007C0FB8" w:rsidP="00776BFC">
            <w:pPr>
              <w:pStyle w:val="TableTextLeft"/>
              <w:rPr>
                <w:lang w:val="en-US"/>
              </w:rPr>
            </w:pPr>
            <w:r>
              <w:rPr>
                <w:szCs w:val="20"/>
                <w:lang w:val="en-US"/>
              </w:rPr>
              <w:t>Estimated $960 per adviser listed on the financial advisers register (with a minimum levy of $960 payable for entities with no advisers registered on the FAR)</w:t>
            </w:r>
          </w:p>
        </w:tc>
      </w:tr>
      <w:tr w:rsidR="007C0FB8" w:rsidRPr="00FE16AB" w14:paraId="24489ECD" w14:textId="77777777" w:rsidTr="00776BFC">
        <w:trPr>
          <w:trHeight w:val="330"/>
        </w:trPr>
        <w:tc>
          <w:tcPr>
            <w:tcW w:w="1809" w:type="dxa"/>
            <w:vMerge/>
            <w:shd w:val="clear" w:color="auto" w:fill="F2F2F2" w:themeFill="background1" w:themeFillShade="F2"/>
          </w:tcPr>
          <w:p w14:paraId="748880F1" w14:textId="77777777" w:rsidR="007C0FB8" w:rsidRDefault="007C0FB8" w:rsidP="00055724">
            <w:pPr>
              <w:pStyle w:val="TableRowHeadingLeft"/>
              <w:rPr>
                <w:lang w:val="en-US"/>
              </w:rPr>
            </w:pPr>
          </w:p>
        </w:tc>
        <w:tc>
          <w:tcPr>
            <w:tcW w:w="3828" w:type="dxa"/>
          </w:tcPr>
          <w:p w14:paraId="33C79FDA" w14:textId="0F736B59" w:rsidR="007C0FB8" w:rsidRPr="00FE16AB" w:rsidRDefault="007C0FB8" w:rsidP="00776BFC">
            <w:pPr>
              <w:pStyle w:val="TableTextLeft"/>
              <w:rPr>
                <w:lang w:val="en-US"/>
              </w:rPr>
            </w:pPr>
            <w:r>
              <w:rPr>
                <w:lang w:val="en-US"/>
              </w:rPr>
              <w:t>Licensees that provider personal</w:t>
            </w:r>
            <w:r w:rsidRPr="00FE16AB">
              <w:rPr>
                <w:lang w:val="en-US"/>
              </w:rPr>
              <w:t xml:space="preserve"> advice providers</w:t>
            </w:r>
            <w:r>
              <w:rPr>
                <w:lang w:val="en-US"/>
              </w:rPr>
              <w:t xml:space="preserve"> on Tier 2 products to retail clients</w:t>
            </w:r>
          </w:p>
        </w:tc>
        <w:tc>
          <w:tcPr>
            <w:tcW w:w="1417" w:type="dxa"/>
          </w:tcPr>
          <w:p w14:paraId="0C4C433E" w14:textId="14BF0E28" w:rsidR="007C0FB8" w:rsidRPr="00FE16AB" w:rsidRDefault="007C0FB8" w:rsidP="00776BFC">
            <w:pPr>
              <w:pStyle w:val="TableTextLeft"/>
              <w:rPr>
                <w:lang w:val="en-US"/>
              </w:rPr>
            </w:pPr>
            <w:r>
              <w:rPr>
                <w:lang w:val="en-US"/>
              </w:rPr>
              <w:t>Flat</w:t>
            </w:r>
            <w:r w:rsidR="003405BB">
              <w:rPr>
                <w:lang w:val="en-US"/>
              </w:rPr>
              <w:t xml:space="preserve"> levy</w:t>
            </w:r>
          </w:p>
        </w:tc>
        <w:tc>
          <w:tcPr>
            <w:tcW w:w="1559" w:type="dxa"/>
          </w:tcPr>
          <w:p w14:paraId="64BC5B37" w14:textId="77777777" w:rsidR="007C0FB8" w:rsidRPr="00BE488E" w:rsidRDefault="007C0FB8" w:rsidP="00776BFC">
            <w:pPr>
              <w:pStyle w:val="TableTextLeft"/>
            </w:pPr>
            <w:r w:rsidRPr="00BE488E">
              <w:t>$0.</w:t>
            </w:r>
            <w:r>
              <w:t>9</w:t>
            </w:r>
            <w:r w:rsidRPr="00BE488E">
              <w:t xml:space="preserve"> million</w:t>
            </w:r>
          </w:p>
        </w:tc>
        <w:tc>
          <w:tcPr>
            <w:tcW w:w="5529" w:type="dxa"/>
            <w:shd w:val="clear" w:color="auto" w:fill="DBE5F1" w:themeFill="accent1" w:themeFillTint="33"/>
          </w:tcPr>
          <w:p w14:paraId="290447F1" w14:textId="77777777" w:rsidR="007C0FB8" w:rsidRPr="00BE488E" w:rsidRDefault="007C0FB8" w:rsidP="00776BFC">
            <w:pPr>
              <w:pStyle w:val="TableTextLeft"/>
              <w:rPr>
                <w:lang w:val="en-US"/>
              </w:rPr>
            </w:pPr>
            <w:r w:rsidRPr="00BE488E">
              <w:t>$1,500 annual levy</w:t>
            </w:r>
          </w:p>
        </w:tc>
      </w:tr>
      <w:tr w:rsidR="007C0FB8" w:rsidRPr="00FE16AB" w14:paraId="2352BAA5" w14:textId="77777777" w:rsidTr="00776BFC">
        <w:trPr>
          <w:trHeight w:val="330"/>
        </w:trPr>
        <w:tc>
          <w:tcPr>
            <w:tcW w:w="1809" w:type="dxa"/>
            <w:vMerge/>
            <w:shd w:val="clear" w:color="auto" w:fill="F2F2F2" w:themeFill="background1" w:themeFillShade="F2"/>
            <w:hideMark/>
          </w:tcPr>
          <w:p w14:paraId="1100E56F" w14:textId="77777777" w:rsidR="007C0FB8" w:rsidRPr="00FE16AB" w:rsidRDefault="007C0FB8" w:rsidP="00055724">
            <w:pPr>
              <w:pStyle w:val="TableRowHeadingLeft"/>
            </w:pPr>
          </w:p>
        </w:tc>
        <w:tc>
          <w:tcPr>
            <w:tcW w:w="3828" w:type="dxa"/>
            <w:hideMark/>
          </w:tcPr>
          <w:p w14:paraId="6A6E8752" w14:textId="00E7F898" w:rsidR="007C0FB8" w:rsidRPr="00FE16AB" w:rsidRDefault="007C0FB8" w:rsidP="00776BFC">
            <w:pPr>
              <w:pStyle w:val="TableTextLeft"/>
            </w:pPr>
            <w:r>
              <w:rPr>
                <w:lang w:val="en-US"/>
              </w:rPr>
              <w:t>Licensees that provide g</w:t>
            </w:r>
            <w:r w:rsidRPr="00FE16AB">
              <w:rPr>
                <w:lang w:val="en-US"/>
              </w:rPr>
              <w:t xml:space="preserve">eneral advice </w:t>
            </w:r>
            <w:r>
              <w:rPr>
                <w:lang w:val="en-US"/>
              </w:rPr>
              <w:t>only to retail or wholesale clients</w:t>
            </w:r>
          </w:p>
        </w:tc>
        <w:tc>
          <w:tcPr>
            <w:tcW w:w="1417" w:type="dxa"/>
            <w:hideMark/>
          </w:tcPr>
          <w:p w14:paraId="2D4A573E" w14:textId="10A581A7" w:rsidR="007C0FB8" w:rsidRPr="00FE16AB" w:rsidRDefault="007C0FB8" w:rsidP="00776BFC">
            <w:pPr>
              <w:pStyle w:val="TableTextLeft"/>
            </w:pPr>
            <w:r w:rsidRPr="00FE16AB">
              <w:rPr>
                <w:lang w:val="en-US"/>
              </w:rPr>
              <w:t>Flat</w:t>
            </w:r>
            <w:r w:rsidR="003405BB">
              <w:rPr>
                <w:lang w:val="en-US"/>
              </w:rPr>
              <w:t xml:space="preserve"> levy</w:t>
            </w:r>
          </w:p>
        </w:tc>
        <w:tc>
          <w:tcPr>
            <w:tcW w:w="1559" w:type="dxa"/>
          </w:tcPr>
          <w:p w14:paraId="1801A211" w14:textId="77777777" w:rsidR="007C0FB8" w:rsidRPr="00FE16AB" w:rsidRDefault="007C0FB8" w:rsidP="00776BFC">
            <w:pPr>
              <w:pStyle w:val="TableTextLeft"/>
            </w:pPr>
            <w:r w:rsidRPr="00BE488E">
              <w:t>$0.8 million</w:t>
            </w:r>
          </w:p>
        </w:tc>
        <w:tc>
          <w:tcPr>
            <w:tcW w:w="5529" w:type="dxa"/>
            <w:shd w:val="clear" w:color="auto" w:fill="DBE5F1" w:themeFill="accent1" w:themeFillTint="33"/>
          </w:tcPr>
          <w:p w14:paraId="11B33707" w14:textId="77777777" w:rsidR="007C0FB8" w:rsidRPr="00FE16AB" w:rsidRDefault="007C0FB8" w:rsidP="00776BFC">
            <w:pPr>
              <w:pStyle w:val="TableTextLeft"/>
              <w:rPr>
                <w:lang w:val="en-US"/>
              </w:rPr>
            </w:pPr>
            <w:r w:rsidRPr="00BE488E">
              <w:t>$</w:t>
            </w:r>
            <w:r>
              <w:t>920</w:t>
            </w:r>
            <w:r w:rsidRPr="00BE488E">
              <w:t xml:space="preserve"> annual levy</w:t>
            </w:r>
          </w:p>
        </w:tc>
      </w:tr>
      <w:tr w:rsidR="007C0FB8" w:rsidRPr="00FE16AB" w14:paraId="150C9B0A" w14:textId="77777777" w:rsidTr="00776BFC">
        <w:trPr>
          <w:trHeight w:val="330"/>
        </w:trPr>
        <w:tc>
          <w:tcPr>
            <w:tcW w:w="1809" w:type="dxa"/>
            <w:vMerge/>
            <w:shd w:val="clear" w:color="auto" w:fill="F2F2F2" w:themeFill="background1" w:themeFillShade="F2"/>
            <w:hideMark/>
          </w:tcPr>
          <w:p w14:paraId="37CF2123" w14:textId="77777777" w:rsidR="007C0FB8" w:rsidRPr="00FE16AB" w:rsidRDefault="007C0FB8" w:rsidP="00055724">
            <w:pPr>
              <w:pStyle w:val="TableRowHeadingLeft"/>
            </w:pPr>
          </w:p>
        </w:tc>
        <w:tc>
          <w:tcPr>
            <w:tcW w:w="3828" w:type="dxa"/>
            <w:hideMark/>
          </w:tcPr>
          <w:p w14:paraId="20370359" w14:textId="3C7A3BAA" w:rsidR="007C0FB8" w:rsidRPr="00FE16AB" w:rsidRDefault="007C0FB8" w:rsidP="00776BFC">
            <w:pPr>
              <w:pStyle w:val="TableTextLeft"/>
            </w:pPr>
            <w:r>
              <w:rPr>
                <w:lang w:val="en-US"/>
              </w:rPr>
              <w:t>Licensees that provide personal advice to w</w:t>
            </w:r>
            <w:r w:rsidRPr="00FE16AB">
              <w:rPr>
                <w:lang w:val="en-US"/>
              </w:rPr>
              <w:t xml:space="preserve">holesale </w:t>
            </w:r>
            <w:r>
              <w:rPr>
                <w:lang w:val="en-US"/>
              </w:rPr>
              <w:t>clients only</w:t>
            </w:r>
          </w:p>
        </w:tc>
        <w:tc>
          <w:tcPr>
            <w:tcW w:w="1417" w:type="dxa"/>
            <w:hideMark/>
          </w:tcPr>
          <w:p w14:paraId="798839AE" w14:textId="2F8C0D97" w:rsidR="007C0FB8" w:rsidRPr="00FE16AB" w:rsidRDefault="007C0FB8" w:rsidP="00776BFC">
            <w:pPr>
              <w:pStyle w:val="TableTextLeft"/>
            </w:pPr>
            <w:r w:rsidRPr="00FE16AB">
              <w:rPr>
                <w:lang w:val="en-US"/>
              </w:rPr>
              <w:t>Flat</w:t>
            </w:r>
            <w:r w:rsidR="003405BB">
              <w:rPr>
                <w:lang w:val="en-US"/>
              </w:rPr>
              <w:t xml:space="preserve"> levy</w:t>
            </w:r>
          </w:p>
        </w:tc>
        <w:tc>
          <w:tcPr>
            <w:tcW w:w="1559" w:type="dxa"/>
          </w:tcPr>
          <w:p w14:paraId="7A19CBEF" w14:textId="77777777" w:rsidR="007C0FB8" w:rsidRPr="00FE16AB" w:rsidRDefault="007C0FB8" w:rsidP="00776BFC">
            <w:pPr>
              <w:pStyle w:val="TableTextLeft"/>
            </w:pPr>
            <w:r w:rsidRPr="00BE488E">
              <w:t>$0.2 million</w:t>
            </w:r>
          </w:p>
        </w:tc>
        <w:tc>
          <w:tcPr>
            <w:tcW w:w="5529" w:type="dxa"/>
            <w:shd w:val="clear" w:color="auto" w:fill="DBE5F1" w:themeFill="accent1" w:themeFillTint="33"/>
          </w:tcPr>
          <w:p w14:paraId="4AB1761A" w14:textId="77777777" w:rsidR="007C0FB8" w:rsidRPr="00FE16AB" w:rsidRDefault="007C0FB8" w:rsidP="00776BFC">
            <w:pPr>
              <w:pStyle w:val="TableTextLeft"/>
              <w:rPr>
                <w:lang w:val="en-US"/>
              </w:rPr>
            </w:pPr>
            <w:r w:rsidRPr="00BE488E">
              <w:rPr>
                <w:lang w:val="en-US"/>
              </w:rPr>
              <w:t>$</w:t>
            </w:r>
            <w:r>
              <w:rPr>
                <w:lang w:val="en-US"/>
              </w:rPr>
              <w:t>170</w:t>
            </w:r>
            <w:r w:rsidRPr="00BE488E">
              <w:rPr>
                <w:lang w:val="en-US"/>
              </w:rPr>
              <w:t xml:space="preserve"> annual levy</w:t>
            </w:r>
          </w:p>
        </w:tc>
      </w:tr>
      <w:tr w:rsidR="00B74F39" w:rsidRPr="00FE16AB" w14:paraId="022C57B5" w14:textId="77777777" w:rsidTr="00776BFC">
        <w:trPr>
          <w:trHeight w:val="330"/>
        </w:trPr>
        <w:tc>
          <w:tcPr>
            <w:tcW w:w="1809" w:type="dxa"/>
            <w:vMerge w:val="restart"/>
            <w:shd w:val="clear" w:color="auto" w:fill="F2F2F2" w:themeFill="background1" w:themeFillShade="F2"/>
            <w:hideMark/>
          </w:tcPr>
          <w:p w14:paraId="1FA48F13" w14:textId="77777777" w:rsidR="003A4EB8" w:rsidRPr="00FE16AB" w:rsidRDefault="003A4EB8" w:rsidP="00055724">
            <w:pPr>
              <w:pStyle w:val="TableRowHeadingLeft"/>
            </w:pPr>
            <w:r w:rsidRPr="00FE16AB">
              <w:rPr>
                <w:lang w:val="en-US"/>
              </w:rPr>
              <w:t>Insurance</w:t>
            </w:r>
          </w:p>
        </w:tc>
        <w:tc>
          <w:tcPr>
            <w:tcW w:w="3828" w:type="dxa"/>
            <w:hideMark/>
          </w:tcPr>
          <w:p w14:paraId="07118779" w14:textId="77777777" w:rsidR="003A4EB8" w:rsidRPr="00FE16AB" w:rsidRDefault="003A4EB8" w:rsidP="00776BFC">
            <w:pPr>
              <w:pStyle w:val="TableTextLeft"/>
            </w:pPr>
            <w:r w:rsidRPr="00FE16AB">
              <w:rPr>
                <w:lang w:val="en-US"/>
              </w:rPr>
              <w:t>Insurers</w:t>
            </w:r>
          </w:p>
        </w:tc>
        <w:tc>
          <w:tcPr>
            <w:tcW w:w="1417" w:type="dxa"/>
            <w:hideMark/>
          </w:tcPr>
          <w:p w14:paraId="4686EFF1" w14:textId="77777777" w:rsidR="003A4EB8" w:rsidRPr="00FE16AB" w:rsidRDefault="003A4EB8" w:rsidP="00776BFC">
            <w:pPr>
              <w:pStyle w:val="TableTextLeft"/>
            </w:pPr>
            <w:r w:rsidRPr="009C075D">
              <w:rPr>
                <w:b/>
                <w:lang w:val="en-US"/>
              </w:rPr>
              <w:t>Issuer</w:t>
            </w:r>
            <w:r w:rsidRPr="00FE16AB">
              <w:rPr>
                <w:lang w:val="en-US"/>
              </w:rPr>
              <w:t xml:space="preserve">: Gross written premiums; </w:t>
            </w:r>
            <w:r w:rsidRPr="009C075D">
              <w:rPr>
                <w:b/>
                <w:lang w:val="en-US"/>
              </w:rPr>
              <w:t>Distributor</w:t>
            </w:r>
            <w:r w:rsidRPr="00FE16AB">
              <w:rPr>
                <w:lang w:val="en-US"/>
              </w:rPr>
              <w:t>: flat levy</w:t>
            </w:r>
          </w:p>
        </w:tc>
        <w:tc>
          <w:tcPr>
            <w:tcW w:w="1559" w:type="dxa"/>
          </w:tcPr>
          <w:p w14:paraId="41AFD93A" w14:textId="77777777" w:rsidR="003A4EB8" w:rsidRPr="00FE16AB" w:rsidRDefault="003A4EB8" w:rsidP="00776BFC">
            <w:pPr>
              <w:pStyle w:val="TableTextLeft"/>
            </w:pPr>
            <w:r w:rsidRPr="00BE488E">
              <w:t>$</w:t>
            </w:r>
            <w:r>
              <w:t>5.2</w:t>
            </w:r>
            <w:r w:rsidRPr="00BE488E">
              <w:t xml:space="preserve"> million</w:t>
            </w:r>
          </w:p>
        </w:tc>
        <w:tc>
          <w:tcPr>
            <w:tcW w:w="5529" w:type="dxa"/>
            <w:shd w:val="clear" w:color="auto" w:fill="DBE5F1" w:themeFill="accent1" w:themeFillTint="33"/>
          </w:tcPr>
          <w:p w14:paraId="122D5666" w14:textId="556677AD" w:rsidR="003A4EB8" w:rsidRDefault="002A6E7D" w:rsidP="00776BFC">
            <w:pPr>
              <w:pStyle w:val="TableTextLeft"/>
              <w:rPr>
                <w:lang w:val="en-US"/>
              </w:rPr>
            </w:pPr>
            <w:r w:rsidRPr="007C0FB8">
              <w:rPr>
                <w:b/>
              </w:rPr>
              <w:t>Issuer:</w:t>
            </w:r>
            <w:r>
              <w:t xml:space="preserve"> </w:t>
            </w:r>
            <w:r w:rsidR="003A4EB8" w:rsidRPr="00BE488E">
              <w:t xml:space="preserve">$20,000 </w:t>
            </w:r>
            <w:r w:rsidR="009C5D93">
              <w:t xml:space="preserve">proposed </w:t>
            </w:r>
            <w:r w:rsidR="003A4EB8" w:rsidRPr="00BE488E">
              <w:t xml:space="preserve">minimum levy payable by all insurance product providers plus </w:t>
            </w:r>
            <w:r>
              <w:t xml:space="preserve">an estimated </w:t>
            </w:r>
            <w:r w:rsidR="003A4EB8" w:rsidRPr="00BE488E">
              <w:t>$0.59 for each $10,000 of net premium revenue or net earned premium above $5 million</w:t>
            </w:r>
            <w:r w:rsidR="00C618EE">
              <w:t>.</w:t>
            </w:r>
          </w:p>
          <w:p w14:paraId="70582FBD" w14:textId="77777777" w:rsidR="003A4EB8" w:rsidRPr="00FE16AB" w:rsidRDefault="003A4EB8" w:rsidP="00776BFC">
            <w:pPr>
              <w:pStyle w:val="TableTextLeft"/>
              <w:rPr>
                <w:lang w:val="en-US"/>
              </w:rPr>
            </w:pPr>
            <w:r w:rsidRPr="009C075D">
              <w:rPr>
                <w:b/>
                <w:lang w:val="en-US"/>
              </w:rPr>
              <w:t>Distributor</w:t>
            </w:r>
            <w:r>
              <w:rPr>
                <w:lang w:val="en-US"/>
              </w:rPr>
              <w:t xml:space="preserve">: </w:t>
            </w:r>
            <w:r w:rsidRPr="00BE488E">
              <w:rPr>
                <w:lang w:val="en-US"/>
              </w:rPr>
              <w:t>$2,400 annual levy</w:t>
            </w:r>
            <w:r w:rsidR="00C618EE">
              <w:rPr>
                <w:lang w:val="en-US"/>
              </w:rPr>
              <w:t>.</w:t>
            </w:r>
          </w:p>
        </w:tc>
      </w:tr>
      <w:tr w:rsidR="00B74F39" w:rsidRPr="00FE16AB" w14:paraId="0FA38BAF" w14:textId="77777777" w:rsidTr="00776BFC">
        <w:trPr>
          <w:trHeight w:val="330"/>
        </w:trPr>
        <w:tc>
          <w:tcPr>
            <w:tcW w:w="1809" w:type="dxa"/>
            <w:vMerge/>
            <w:shd w:val="clear" w:color="auto" w:fill="F2F2F2" w:themeFill="background1" w:themeFillShade="F2"/>
            <w:hideMark/>
          </w:tcPr>
          <w:p w14:paraId="7A2D5965" w14:textId="77777777" w:rsidR="003A4EB8" w:rsidRPr="00FE16AB" w:rsidRDefault="003A4EB8" w:rsidP="00142B3F">
            <w:pPr>
              <w:spacing w:after="0" w:line="240" w:lineRule="auto"/>
            </w:pPr>
          </w:p>
        </w:tc>
        <w:tc>
          <w:tcPr>
            <w:tcW w:w="3828" w:type="dxa"/>
            <w:hideMark/>
          </w:tcPr>
          <w:p w14:paraId="38CB8310" w14:textId="77777777" w:rsidR="003A4EB8" w:rsidRPr="00FE16AB" w:rsidRDefault="003A4EB8" w:rsidP="00776BFC">
            <w:pPr>
              <w:pStyle w:val="TableTextLeft"/>
            </w:pPr>
            <w:r w:rsidRPr="00FE16AB">
              <w:rPr>
                <w:lang w:val="en-US"/>
              </w:rPr>
              <w:t>Risk management product providers</w:t>
            </w:r>
          </w:p>
        </w:tc>
        <w:tc>
          <w:tcPr>
            <w:tcW w:w="1417" w:type="dxa"/>
            <w:hideMark/>
          </w:tcPr>
          <w:p w14:paraId="726FC185" w14:textId="1AF79222" w:rsidR="003A4EB8" w:rsidRPr="00FE16AB" w:rsidRDefault="003A4EB8" w:rsidP="00776BFC">
            <w:pPr>
              <w:pStyle w:val="TableTextLeft"/>
            </w:pPr>
            <w:r w:rsidRPr="00FE16AB">
              <w:rPr>
                <w:lang w:val="en-US"/>
              </w:rPr>
              <w:t>Flat</w:t>
            </w:r>
            <w:r w:rsidR="003405BB">
              <w:rPr>
                <w:lang w:val="en-US"/>
              </w:rPr>
              <w:t xml:space="preserve"> levy</w:t>
            </w:r>
          </w:p>
        </w:tc>
        <w:tc>
          <w:tcPr>
            <w:tcW w:w="1559" w:type="dxa"/>
          </w:tcPr>
          <w:p w14:paraId="445FFACF" w14:textId="77777777" w:rsidR="003A4EB8" w:rsidRPr="00FE16AB" w:rsidRDefault="003A4EB8" w:rsidP="00776BFC">
            <w:pPr>
              <w:pStyle w:val="TableTextLeft"/>
            </w:pPr>
            <w:r w:rsidRPr="00BE488E">
              <w:t>$0.2 million</w:t>
            </w:r>
          </w:p>
        </w:tc>
        <w:tc>
          <w:tcPr>
            <w:tcW w:w="5529" w:type="dxa"/>
            <w:shd w:val="clear" w:color="auto" w:fill="DBE5F1" w:themeFill="accent1" w:themeFillTint="33"/>
          </w:tcPr>
          <w:p w14:paraId="3125BBD4" w14:textId="77777777" w:rsidR="003A4EB8" w:rsidRPr="00FE16AB" w:rsidRDefault="00C618EE" w:rsidP="00776BFC">
            <w:pPr>
              <w:pStyle w:val="TableTextLeft"/>
              <w:rPr>
                <w:lang w:val="en-US"/>
              </w:rPr>
            </w:pPr>
            <w:r>
              <w:rPr>
                <w:lang w:val="en-US"/>
              </w:rPr>
              <w:t>$4,500 annual levy</w:t>
            </w:r>
          </w:p>
        </w:tc>
      </w:tr>
    </w:tbl>
    <w:p w14:paraId="3829CD9B" w14:textId="77777777" w:rsidR="001D5B13" w:rsidRPr="001D5B13" w:rsidRDefault="001D5B13" w:rsidP="001D5B13">
      <w:pPr>
        <w:spacing w:after="0" w:line="240" w:lineRule="auto"/>
        <w:rPr>
          <w:b/>
          <w:sz w:val="4"/>
          <w:szCs w:val="4"/>
        </w:rPr>
        <w:sectPr w:rsidR="001D5B13" w:rsidRPr="001D5B13" w:rsidSect="00D15640">
          <w:headerReference w:type="even" r:id="rId50"/>
          <w:headerReference w:type="default" r:id="rId51"/>
          <w:footerReference w:type="even" r:id="rId52"/>
          <w:footerReference w:type="default" r:id="rId53"/>
          <w:headerReference w:type="first" r:id="rId54"/>
          <w:footerReference w:type="first" r:id="rId55"/>
          <w:pgSz w:w="16838" w:h="11906" w:orient="landscape"/>
          <w:pgMar w:top="1440" w:right="1440" w:bottom="1440" w:left="1440" w:header="708" w:footer="708" w:gutter="0"/>
          <w:cols w:space="708"/>
          <w:titlePg/>
          <w:docGrid w:linePitch="360"/>
        </w:sectPr>
      </w:pPr>
    </w:p>
    <w:tbl>
      <w:tblPr>
        <w:tblStyle w:val="boxQuestions0"/>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F2F2F2" w:themeFill="background1" w:themeFillShade="F2"/>
        <w:tblLook w:val="04A0" w:firstRow="1" w:lastRow="0" w:firstColumn="1" w:lastColumn="0" w:noHBand="0" w:noVBand="1"/>
      </w:tblPr>
      <w:tblGrid>
        <w:gridCol w:w="9242"/>
      </w:tblGrid>
      <w:tr w:rsidR="00292F77" w14:paraId="463A6856" w14:textId="77777777" w:rsidTr="001D5B13">
        <w:tc>
          <w:tcPr>
            <w:tcW w:w="9242" w:type="dxa"/>
            <w:shd w:val="clear" w:color="auto" w:fill="F2F2F2" w:themeFill="background1" w:themeFillShade="F2"/>
            <w:hideMark/>
          </w:tcPr>
          <w:p w14:paraId="7C649DFE" w14:textId="51E5B925" w:rsidR="00292F77" w:rsidRDefault="009F21D6" w:rsidP="009F21D6">
            <w:pPr>
              <w:pStyle w:val="BoxQuestions-Heading"/>
            </w:pPr>
            <w:r>
              <w:t>Questions</w:t>
            </w:r>
          </w:p>
          <w:p w14:paraId="3B0E02FF" w14:textId="21F48041" w:rsidR="00292F77" w:rsidRPr="001D5B13" w:rsidRDefault="00292F77" w:rsidP="001D5B13">
            <w:pPr>
              <w:pStyle w:val="BoxQuestions"/>
              <w:tabs>
                <w:tab w:val="clear" w:pos="284"/>
                <w:tab w:val="num" w:pos="426"/>
              </w:tabs>
              <w:ind w:left="426" w:hanging="426"/>
            </w:pPr>
            <w:r w:rsidRPr="001D5B13">
              <w:t xml:space="preserve">Do you agree with the proposed business activity metrics </w:t>
            </w:r>
            <w:r w:rsidR="005F282E" w:rsidRPr="001D5B13">
              <w:t xml:space="preserve">and subsector groupings </w:t>
            </w:r>
            <w:r w:rsidRPr="001D5B13">
              <w:t xml:space="preserve">for calculating levies? If not, </w:t>
            </w:r>
            <w:r w:rsidR="005F282E" w:rsidRPr="001D5B13">
              <w:t xml:space="preserve">please outline you preferred </w:t>
            </w:r>
            <w:r w:rsidR="004D3534" w:rsidRPr="001D5B13">
              <w:t xml:space="preserve">approach </w:t>
            </w:r>
            <w:r w:rsidR="005F282E" w:rsidRPr="001D5B13">
              <w:t>and reasons for this preference</w:t>
            </w:r>
            <w:r w:rsidR="00BB1183" w:rsidRPr="001D5B13">
              <w:t>.</w:t>
            </w:r>
          </w:p>
          <w:p w14:paraId="4D13D9B1" w14:textId="77777777" w:rsidR="00292F77" w:rsidRPr="001D5B13" w:rsidRDefault="0053768C" w:rsidP="001D5B13">
            <w:pPr>
              <w:pStyle w:val="BoxQuestions"/>
              <w:tabs>
                <w:tab w:val="clear" w:pos="284"/>
                <w:tab w:val="num" w:pos="426"/>
              </w:tabs>
              <w:ind w:left="426" w:hanging="426"/>
            </w:pPr>
            <w:r w:rsidRPr="001D5B13">
              <w:t xml:space="preserve">Which </w:t>
            </w:r>
            <w:r w:rsidR="005F282E" w:rsidRPr="001D5B13">
              <w:t xml:space="preserve">levy metrics </w:t>
            </w:r>
            <w:r w:rsidRPr="001D5B13">
              <w:t>are</w:t>
            </w:r>
            <w:r w:rsidR="005F282E" w:rsidRPr="001D5B13">
              <w:t xml:space="preserve"> available with</w:t>
            </w:r>
            <w:r w:rsidRPr="001D5B13">
              <w:t>in your business? And which are you currently reporting</w:t>
            </w:r>
            <w:r w:rsidR="005F282E" w:rsidRPr="001D5B13">
              <w:t>?</w:t>
            </w:r>
          </w:p>
          <w:p w14:paraId="4B632900" w14:textId="77777777" w:rsidR="002A6E7D" w:rsidRPr="002A6E7D" w:rsidRDefault="002A6E7D" w:rsidP="002A6E7D">
            <w:pPr>
              <w:pStyle w:val="BoxQuestions"/>
              <w:numPr>
                <w:ilvl w:val="0"/>
                <w:numId w:val="0"/>
              </w:numPr>
              <w:jc w:val="left"/>
              <w:rPr>
                <w:b/>
              </w:rPr>
            </w:pPr>
            <w:r w:rsidRPr="002A6E7D">
              <w:rPr>
                <w:b/>
              </w:rPr>
              <w:t>Specific sector questions:</w:t>
            </w:r>
          </w:p>
          <w:p w14:paraId="24317ACC" w14:textId="753EA2A7" w:rsidR="002A6E7D" w:rsidRPr="001D5B13" w:rsidRDefault="002A6E7D" w:rsidP="001D5B13">
            <w:pPr>
              <w:pStyle w:val="BoxQuestions"/>
              <w:tabs>
                <w:tab w:val="clear" w:pos="284"/>
                <w:tab w:val="num" w:pos="426"/>
              </w:tabs>
              <w:ind w:left="426" w:hanging="426"/>
            </w:pPr>
            <w:r w:rsidRPr="001D5B13">
              <w:t xml:space="preserve">For the public company (listed, disclosing) levy, do you agree that the levy should apply to foreign companies listed on a domestic exchange and stapled securities? Is there an alternate approach you would prefer for levying this subsector? </w:t>
            </w:r>
            <w:r w:rsidR="007C0FB8" w:rsidRPr="001D5B13">
              <w:t>If so please explain why, ensuring that any proposed alternative is consistent with the model design objectives</w:t>
            </w:r>
            <w:r w:rsidR="00BB1183" w:rsidRPr="001D5B13">
              <w:t>.</w:t>
            </w:r>
          </w:p>
          <w:p w14:paraId="2395D5DE" w14:textId="310A42AB" w:rsidR="002A6E7D" w:rsidRPr="006D6F65" w:rsidRDefault="00F70EBB" w:rsidP="001D5B13">
            <w:pPr>
              <w:pStyle w:val="BoxQuestions"/>
              <w:tabs>
                <w:tab w:val="clear" w:pos="284"/>
                <w:tab w:val="num" w:pos="426"/>
              </w:tabs>
              <w:ind w:left="426" w:hanging="426"/>
            </w:pPr>
            <w:r w:rsidRPr="001D5B13">
              <w:t>For registered liquidators, do you agree the levy should include a graduated component based on number of external administration appointments? Or do you support, once accurate data is available, that the levy be based on the assets realised throughout the period? Is there an alternate approach you would prefer for levying this subsector? If so, please explain why, ensuring that any proposed alternative is consistent with the model design objectives</w:t>
            </w:r>
            <w:r w:rsidR="00BB1183" w:rsidRPr="001D5B13">
              <w:t>.</w:t>
            </w:r>
          </w:p>
        </w:tc>
      </w:tr>
    </w:tbl>
    <w:p w14:paraId="49C1780B" w14:textId="77777777" w:rsidR="00D80980" w:rsidRPr="00C618EE" w:rsidRDefault="00D80980" w:rsidP="00C618EE">
      <w:pPr>
        <w:pStyle w:val="SingleParagraph"/>
        <w:spacing w:line="240" w:lineRule="auto"/>
        <w:rPr>
          <w:sz w:val="18"/>
        </w:rPr>
      </w:pPr>
    </w:p>
    <w:sectPr w:rsidR="00D80980" w:rsidRPr="00C618EE" w:rsidSect="001D5B13">
      <w:headerReference w:type="first" r:id="rId56"/>
      <w:footerReference w:type="first" r:id="rId5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B5E70" w14:textId="77777777" w:rsidR="00F37DCE" w:rsidRDefault="00F37DCE" w:rsidP="00F45DCF">
      <w:pPr>
        <w:spacing w:after="0" w:line="240" w:lineRule="auto"/>
      </w:pPr>
      <w:r>
        <w:separator/>
      </w:r>
    </w:p>
  </w:endnote>
  <w:endnote w:type="continuationSeparator" w:id="0">
    <w:p w14:paraId="21DAAD88" w14:textId="77777777" w:rsidR="00F37DCE" w:rsidRDefault="00F37DCE" w:rsidP="00F45DCF">
      <w:pPr>
        <w:spacing w:after="0" w:line="240" w:lineRule="auto"/>
      </w:pPr>
      <w:r>
        <w:continuationSeparator/>
      </w:r>
    </w:p>
  </w:endnote>
  <w:endnote w:type="continuationNotice" w:id="1">
    <w:p w14:paraId="7B1C8BAC" w14:textId="77777777" w:rsidR="00F37DCE" w:rsidRDefault="00F37DCE">
      <w:pPr>
        <w:spacing w:after="0" w:line="240" w:lineRule="auto"/>
      </w:pPr>
    </w:p>
    <w:p w14:paraId="11273EB9" w14:textId="77777777" w:rsidR="00F37DCE" w:rsidRDefault="00F37DCE"/>
    <w:p w14:paraId="299DEEA3" w14:textId="77777777" w:rsidR="00F37DCE" w:rsidRPr="000735FC" w:rsidRDefault="0002611D" w:rsidP="000735FC">
      <w:pPr>
        <w:pStyle w:val="SecurityClassificationHeader"/>
      </w:pPr>
      <w:fldSimple w:instr=" DOCPROPERTY WorkingDocStatus \* MERGEFORMAT ">
        <w:r w:rsidR="00F37DCE" w:rsidRPr="00336CF6">
          <w:rPr>
            <w:b w:val="0"/>
            <w:bCs/>
            <w:lang w:val="en-US"/>
          </w:rPr>
          <w:t>DRAFT WORKING DOCUMENT</w:t>
        </w:r>
      </w:fldSimple>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862FF" w14:textId="77777777" w:rsidR="00F37DCE" w:rsidRPr="005F3A50" w:rsidRDefault="00F37DCE" w:rsidP="005F3A50">
    <w:pPr>
      <w:pStyle w:val="FooterEven"/>
    </w:pPr>
    <w:r w:rsidRPr="003B25A9">
      <w:fldChar w:fldCharType="begin"/>
    </w:r>
    <w:r w:rsidRPr="003B25A9">
      <w:instrText xml:space="preserve"> PAGE  \* Arabic  \* MERGEFORMAT </w:instrText>
    </w:r>
    <w:r w:rsidRPr="003B25A9">
      <w:fldChar w:fldCharType="separate"/>
    </w:r>
    <w:r w:rsidR="00D641F2">
      <w:rPr>
        <w:noProof/>
      </w:rPr>
      <w:t>36</w:t>
    </w:r>
    <w:r w:rsidRPr="003B25A9">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2ADBB" w14:textId="77777777" w:rsidR="00F37DCE" w:rsidRPr="00DD0D3C" w:rsidRDefault="00F37DCE" w:rsidP="00DD0D3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B0917" w14:textId="77777777" w:rsidR="00F37DCE" w:rsidRPr="00DD0D3C" w:rsidRDefault="00F37DCE" w:rsidP="00DD0D3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4B69" w14:textId="2CBFFF00" w:rsidR="00F37DCE" w:rsidRPr="00DD0D3C" w:rsidRDefault="00F37DCE" w:rsidP="001D5B13">
    <w:pPr>
      <w:pStyle w:val="FooterOdd"/>
    </w:pPr>
    <w:r w:rsidRPr="003B25A9">
      <w:fldChar w:fldCharType="begin"/>
    </w:r>
    <w:r w:rsidRPr="003B25A9">
      <w:instrText xml:space="preserve"> PAGE  \* Arabic  \* MERGEFORMAT </w:instrText>
    </w:r>
    <w:r w:rsidRPr="003B25A9">
      <w:fldChar w:fldCharType="separate"/>
    </w:r>
    <w:r w:rsidR="00D641F2">
      <w:rPr>
        <w:noProof/>
      </w:rPr>
      <w:t>41</w:t>
    </w:r>
    <w:r w:rsidRPr="003B25A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7345" w14:textId="77777777" w:rsidR="00F37DCE" w:rsidRPr="003B25A9" w:rsidRDefault="00F37DCE" w:rsidP="003B25A9">
    <w:pPr>
      <w:pStyle w:val="FooterOdd"/>
    </w:pPr>
    <w:r w:rsidRPr="003B25A9">
      <w:fldChar w:fldCharType="begin"/>
    </w:r>
    <w:r w:rsidRPr="003B25A9">
      <w:instrText xml:space="preserve"> PAGE  \* Arabic  \* MERGEFORMAT </w:instrText>
    </w:r>
    <w:r w:rsidRPr="003B25A9">
      <w:fldChar w:fldCharType="separate"/>
    </w:r>
    <w:r w:rsidR="00D641F2">
      <w:rPr>
        <w:noProof/>
      </w:rPr>
      <w:t>35</w:t>
    </w:r>
    <w:r w:rsidRPr="003B25A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254CB" w14:textId="77777777" w:rsidR="00F37DCE" w:rsidRPr="009A024F" w:rsidRDefault="00F37DCE" w:rsidP="00D15640">
    <w:pPr>
      <w:pStyle w:val="FooterOdd"/>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E3CAD" w14:textId="77777777" w:rsidR="00F37DCE" w:rsidRPr="008E23C0" w:rsidRDefault="00F37DCE" w:rsidP="008E23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412D9" w14:textId="77777777" w:rsidR="00F37DCE" w:rsidRPr="008E23C0" w:rsidRDefault="00F37DCE" w:rsidP="008E23C0">
    <w:pPr>
      <w:pStyle w:val="FooterOdd"/>
    </w:pPr>
    <w:r>
      <w:fldChar w:fldCharType="begin"/>
    </w:r>
    <w:r>
      <w:instrText xml:space="preserve"> PAGE  \* roman  \* MERGEFORMAT </w:instrText>
    </w:r>
    <w:r>
      <w:fldChar w:fldCharType="separate"/>
    </w:r>
    <w:r w:rsidR="00D641F2">
      <w:rPr>
        <w:noProof/>
      </w:rPr>
      <w:t>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29E76" w14:textId="77777777" w:rsidR="00F37DCE" w:rsidRPr="008E23C0" w:rsidRDefault="00F37DCE" w:rsidP="005F3A50">
    <w:pPr>
      <w:pStyle w:val="FooterEven"/>
    </w:pPr>
    <w:r>
      <w:fldChar w:fldCharType="begin"/>
    </w:r>
    <w:r>
      <w:instrText xml:space="preserve"> PAGE  \* Arabic  \* MERGEFORMAT </w:instrText>
    </w:r>
    <w:r>
      <w:fldChar w:fldCharType="separate"/>
    </w:r>
    <w:r w:rsidR="00D641F2">
      <w:rPr>
        <w:noProof/>
      </w:rPr>
      <w:t>13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7A251" w14:textId="77777777" w:rsidR="00F37DCE" w:rsidRPr="008E23C0" w:rsidRDefault="00F37DCE" w:rsidP="005F3A50">
    <w:pPr>
      <w:pStyle w:val="FooterOdd"/>
    </w:pPr>
    <w:r>
      <w:fldChar w:fldCharType="begin"/>
    </w:r>
    <w:r>
      <w:instrText xml:space="preserve"> PAGE  \* Arabic  \* MERGEFORMAT </w:instrText>
    </w:r>
    <w:r>
      <w:fldChar w:fldCharType="separate"/>
    </w:r>
    <w:r w:rsidR="00D641F2">
      <w:rPr>
        <w:noProof/>
      </w:rPr>
      <w:t>21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148E4" w14:textId="77777777" w:rsidR="00F37DCE" w:rsidRPr="008E23C0" w:rsidRDefault="00F37DCE" w:rsidP="005F3A50">
    <w:pPr>
      <w:pStyle w:val="FooterEven"/>
    </w:pPr>
    <w:r>
      <w:fldChar w:fldCharType="begin"/>
    </w:r>
    <w:r>
      <w:instrText xml:space="preserve"> PAGE  \* Arabic  \* MERGEFORMAT </w:instrText>
    </w:r>
    <w:r>
      <w:fldChar w:fldCharType="separate"/>
    </w:r>
    <w:r w:rsidR="00D641F2">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87DCC" w14:textId="77777777" w:rsidR="00F37DCE" w:rsidRPr="00DD0D3C" w:rsidRDefault="00F37DCE" w:rsidP="00DD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F6CF2" w14:textId="77777777" w:rsidR="00F37DCE" w:rsidRDefault="00F37DCE" w:rsidP="00F45DCF">
      <w:pPr>
        <w:spacing w:after="0" w:line="240" w:lineRule="auto"/>
      </w:pPr>
      <w:r>
        <w:separator/>
      </w:r>
    </w:p>
  </w:footnote>
  <w:footnote w:type="continuationSeparator" w:id="0">
    <w:p w14:paraId="77B908A0" w14:textId="77777777" w:rsidR="00F37DCE" w:rsidRDefault="00F37DCE" w:rsidP="00F45DCF">
      <w:pPr>
        <w:spacing w:after="0" w:line="240" w:lineRule="auto"/>
      </w:pPr>
      <w:r>
        <w:continuationSeparator/>
      </w:r>
    </w:p>
  </w:footnote>
  <w:footnote w:type="continuationNotice" w:id="1">
    <w:p w14:paraId="0504E299" w14:textId="77777777" w:rsidR="00F37DCE" w:rsidRDefault="00F37DCE">
      <w:pPr>
        <w:spacing w:after="0" w:line="240" w:lineRule="auto"/>
      </w:pPr>
    </w:p>
  </w:footnote>
  <w:footnote w:id="2">
    <w:p w14:paraId="19DF7A17" w14:textId="77777777" w:rsidR="00F37DCE" w:rsidRPr="008A3190" w:rsidRDefault="00F37DCE" w:rsidP="008A3190">
      <w:pPr>
        <w:pStyle w:val="FootnoteText"/>
      </w:pPr>
      <w:r w:rsidRPr="008A3190">
        <w:rPr>
          <w:rStyle w:val="FootnoteReference"/>
          <w:vertAlign w:val="baseline"/>
        </w:rPr>
        <w:footnoteRef/>
      </w:r>
      <w:r w:rsidRPr="008A3190">
        <w:t xml:space="preserve"> </w:t>
      </w:r>
      <w:r w:rsidRPr="008A3190">
        <w:tab/>
      </w:r>
      <w:r w:rsidRPr="008A3190">
        <w:rPr>
          <w:rFonts w:eastAsiaTheme="minorHAnsi"/>
        </w:rPr>
        <w:t xml:space="preserve">The Capability Review report and both the Government’s and ASIC’s response can be access via this link </w:t>
      </w:r>
      <w:hyperlink r:id="rId1" w:history="1">
        <w:r w:rsidRPr="008A3190">
          <w:rPr>
            <w:rStyle w:val="Hyperlink"/>
            <w:rFonts w:eastAsiaTheme="minorHAnsi"/>
          </w:rPr>
          <w:t>http://www.treasury.gov.au/PublicationsAndMedia/Publications/2016/ASIC-capability-review</w:t>
        </w:r>
      </w:hyperlink>
      <w:r>
        <w:rPr>
          <w:rStyle w:val="Hyperlink"/>
          <w:rFonts w:eastAsiaTheme="minorHAnsi"/>
          <w:b w:val="0"/>
          <w:color w:val="000000"/>
        </w:rPr>
        <w:t>.</w:t>
      </w:r>
    </w:p>
  </w:footnote>
  <w:footnote w:id="3">
    <w:p w14:paraId="2D5B8219" w14:textId="77777777" w:rsidR="00F37DCE" w:rsidRPr="008A3190" w:rsidRDefault="00F37DCE" w:rsidP="008A3190">
      <w:pPr>
        <w:pStyle w:val="FootnoteText"/>
        <w:rPr>
          <w:highlight w:val="yellow"/>
        </w:rPr>
      </w:pPr>
      <w:r w:rsidRPr="008A3190">
        <w:rPr>
          <w:rStyle w:val="FootnoteReference"/>
          <w:vertAlign w:val="baseline"/>
        </w:rPr>
        <w:footnoteRef/>
      </w:r>
      <w:r w:rsidRPr="008A3190">
        <w:t xml:space="preserve"> </w:t>
      </w:r>
      <w:r w:rsidRPr="008A3190">
        <w:tab/>
      </w:r>
      <w:r w:rsidRPr="008A3190" w:rsidDel="005214A4">
        <w:t>The CRGs can be access</w:t>
      </w:r>
      <w:r w:rsidRPr="008A3190">
        <w:t>ed</w:t>
      </w:r>
      <w:r w:rsidRPr="008A3190" w:rsidDel="005214A4">
        <w:t xml:space="preserve"> via </w:t>
      </w:r>
      <w:hyperlink r:id="rId2" w:history="1">
        <w:r w:rsidRPr="008A3190" w:rsidDel="005214A4">
          <w:rPr>
            <w:rStyle w:val="Hyperlink"/>
          </w:rPr>
          <w:t>http://www.finance.gov.au/sites/default/files/australian-government-cost-recovery-guidelines.pdf</w:t>
        </w:r>
      </w:hyperlink>
      <w:r>
        <w:rPr>
          <w:rStyle w:val="Hyperlink"/>
          <w:b w:val="0"/>
          <w:color w:val="000000"/>
        </w:rPr>
        <w:t>.</w:t>
      </w:r>
    </w:p>
  </w:footnote>
  <w:footnote w:id="4">
    <w:p w14:paraId="2A9AC656" w14:textId="77777777" w:rsidR="00F37DCE" w:rsidRPr="008A3190" w:rsidRDefault="00F37DCE" w:rsidP="008A3190">
      <w:pPr>
        <w:pStyle w:val="FootnoteText"/>
      </w:pPr>
      <w:r w:rsidRPr="008A3190">
        <w:rPr>
          <w:rStyle w:val="FootnoteReference"/>
          <w:vertAlign w:val="baseline"/>
        </w:rPr>
        <w:footnoteRef/>
      </w:r>
      <w:r w:rsidRPr="008A3190">
        <w:t xml:space="preserve"> </w:t>
      </w:r>
      <w:r w:rsidRPr="008A3190">
        <w:tab/>
        <w:t>Or at the level set by the Australian Government if partial cost recovery has been agreed.</w:t>
      </w:r>
    </w:p>
  </w:footnote>
  <w:footnote w:id="5">
    <w:p w14:paraId="0EB78F23" w14:textId="77777777" w:rsidR="00F37DCE" w:rsidRPr="00F633CF" w:rsidRDefault="00F37DCE" w:rsidP="00F633CF">
      <w:pPr>
        <w:pStyle w:val="FootnoteText"/>
      </w:pPr>
      <w:r w:rsidRPr="00F633CF">
        <w:rPr>
          <w:rStyle w:val="FootnoteReference"/>
          <w:vertAlign w:val="baseline"/>
        </w:rPr>
        <w:footnoteRef/>
      </w:r>
      <w:r w:rsidRPr="00F633CF">
        <w:t xml:space="preserve"> </w:t>
      </w:r>
      <w:r w:rsidRPr="00F633CF">
        <w:tab/>
        <w:t>The schedule of portfolio charging reviews is available on the Department of Finance website (</w:t>
      </w:r>
      <w:hyperlink r:id="rId3" w:history="1">
        <w:r w:rsidRPr="00F633CF">
          <w:rPr>
            <w:rStyle w:val="Hyperlink"/>
          </w:rPr>
          <w:t>www.finance.gov.au</w:t>
        </w:r>
      </w:hyperlink>
      <w:r w:rsidRPr="00F633CF">
        <w:t xml:space="preserve">). </w:t>
      </w:r>
    </w:p>
  </w:footnote>
  <w:footnote w:id="6">
    <w:p w14:paraId="4A7E4BF6" w14:textId="4BCE4FFF" w:rsidR="00F37DCE" w:rsidRPr="00F633CF" w:rsidRDefault="00F37DCE" w:rsidP="00F633CF">
      <w:pPr>
        <w:pStyle w:val="FootnoteText"/>
      </w:pPr>
      <w:r w:rsidRPr="00F633CF">
        <w:rPr>
          <w:rStyle w:val="FootnoteReference"/>
          <w:vertAlign w:val="baseline"/>
        </w:rPr>
        <w:footnoteRef/>
      </w:r>
      <w:r w:rsidRPr="00F633CF">
        <w:t xml:space="preserve"> </w:t>
      </w:r>
      <w:r w:rsidRPr="00F633CF">
        <w:tab/>
        <w:t>That is, a Small Equity Market Operator with self-listing function only that also clears and settles only those products.</w:t>
      </w:r>
    </w:p>
  </w:footnote>
  <w:footnote w:id="7">
    <w:p w14:paraId="6A350AA9" w14:textId="44DFD515" w:rsidR="00F37DCE" w:rsidRPr="00902D9F" w:rsidRDefault="00F37DCE" w:rsidP="00902D9F">
      <w:pPr>
        <w:pStyle w:val="FootnoteText"/>
      </w:pPr>
      <w:r w:rsidRPr="00902D9F">
        <w:rPr>
          <w:rStyle w:val="FootnoteReference"/>
          <w:rFonts w:eastAsia="Batang"/>
          <w:vertAlign w:val="baseline"/>
        </w:rPr>
        <w:footnoteRef/>
      </w:r>
      <w:r w:rsidRPr="00902D9F">
        <w:rPr>
          <w:rStyle w:val="FootnoteReference"/>
          <w:rFonts w:eastAsia="Batang"/>
          <w:vertAlign w:val="baseline"/>
        </w:rPr>
        <w:t xml:space="preserve"> </w:t>
      </w:r>
      <w:r>
        <w:rPr>
          <w:rFonts w:eastAsia="Batang"/>
        </w:rPr>
        <w:tab/>
      </w:r>
      <w:r w:rsidRPr="00902D9F">
        <w:rPr>
          <w:rStyle w:val="FootnoteReference"/>
          <w:rFonts w:eastAsia="Batang"/>
          <w:vertAlign w:val="baseline"/>
        </w:rPr>
        <w:t>The phrase ‘amount of credit’ is defined in the National Credit Code.</w:t>
      </w:r>
    </w:p>
  </w:footnote>
  <w:footnote w:id="8">
    <w:p w14:paraId="0FE6DD9F" w14:textId="69720E59" w:rsidR="00F37DCE" w:rsidRPr="00902D9F" w:rsidRDefault="00F37DCE" w:rsidP="00902D9F">
      <w:pPr>
        <w:pStyle w:val="FootnoteText"/>
        <w:rPr>
          <w:rStyle w:val="FootnoteReference"/>
          <w:rFonts w:eastAsia="Batang"/>
          <w:vertAlign w:val="baseline"/>
        </w:rPr>
      </w:pPr>
      <w:r w:rsidRPr="00902D9F">
        <w:rPr>
          <w:rStyle w:val="FootnoteReference"/>
          <w:rFonts w:eastAsia="Batang"/>
          <w:vertAlign w:val="baseline"/>
        </w:rPr>
        <w:footnoteRef/>
      </w:r>
      <w:r w:rsidRPr="00902D9F">
        <w:rPr>
          <w:rStyle w:val="FootnoteReference"/>
          <w:rFonts w:eastAsia="Batang"/>
          <w:vertAlign w:val="baseline"/>
        </w:rPr>
        <w:t xml:space="preserve"> </w:t>
      </w:r>
      <w:r>
        <w:rPr>
          <w:rStyle w:val="FootnoteReference"/>
          <w:rFonts w:eastAsia="Batang"/>
          <w:vertAlign w:val="baseline"/>
        </w:rPr>
        <w:tab/>
      </w:r>
      <w:r w:rsidRPr="00902D9F">
        <w:rPr>
          <w:rStyle w:val="FootnoteReference"/>
          <w:rFonts w:eastAsia="Batang"/>
          <w:vertAlign w:val="baseline"/>
        </w:rPr>
        <w:t>Transaction deposit accounts, non-transaction deposit accounts, certificates of deposits, foreign currency deposits and intra-group depos</w:t>
      </w:r>
      <w:r>
        <w:rPr>
          <w:rStyle w:val="FootnoteReference"/>
          <w:rFonts w:eastAsia="Batang"/>
          <w:vertAlign w:val="baseline"/>
        </w:rPr>
        <w:t>its are defined in section 4 of</w:t>
      </w:r>
      <w:r w:rsidRPr="00902D9F">
        <w:rPr>
          <w:rStyle w:val="FootnoteReference"/>
          <w:rFonts w:eastAsia="Batang"/>
          <w:vertAlign w:val="baseline"/>
        </w:rPr>
        <w:t xml:space="preserve"> the Financial Sector (Collection of Data) (reporting standard) determination No. 30 of 2008 - Reporting standard ARS 320.0 Statement of Financial Position (Domestic Books).</w:t>
      </w:r>
    </w:p>
  </w:footnote>
  <w:footnote w:id="9">
    <w:p w14:paraId="26D0E9A4" w14:textId="76EEA374" w:rsidR="00F37DCE" w:rsidRPr="00902D9F" w:rsidRDefault="00F37DCE" w:rsidP="00902D9F">
      <w:pPr>
        <w:pStyle w:val="FootnoteText"/>
      </w:pPr>
      <w:r w:rsidRPr="00902D9F">
        <w:rPr>
          <w:rStyle w:val="FootnoteReference"/>
          <w:rFonts w:eastAsia="Batang"/>
          <w:vertAlign w:val="baseline"/>
        </w:rPr>
        <w:footnoteRef/>
      </w:r>
      <w:r w:rsidRPr="00902D9F">
        <w:rPr>
          <w:rStyle w:val="FootnoteReference"/>
          <w:rFonts w:eastAsia="Batang"/>
          <w:vertAlign w:val="baseline"/>
        </w:rPr>
        <w:t xml:space="preserve"> </w:t>
      </w:r>
      <w:r>
        <w:rPr>
          <w:rFonts w:eastAsia="Batang"/>
        </w:rPr>
        <w:tab/>
      </w:r>
      <w:r w:rsidRPr="00902D9F">
        <w:rPr>
          <w:rStyle w:val="FootnoteReference"/>
          <w:rFonts w:eastAsia="Batang"/>
          <w:vertAlign w:val="baseline"/>
        </w:rPr>
        <w:t>The calculation should be based on item 11 of APRA’s SRF 320.0 (or any replacement APRA item relating to total assets). Items on SRF 320.0 must be reported as at the end of the reporting period, at 30 June or with respect to transactions that occurred during the reporting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9F52E" w14:textId="77777777" w:rsidR="00F37DCE" w:rsidRPr="008E23C0" w:rsidRDefault="0002611D" w:rsidP="008E23C0">
    <w:pPr>
      <w:pStyle w:val="HeaderEven"/>
      <w:tabs>
        <w:tab w:val="left" w:pos="1134"/>
      </w:tabs>
    </w:pPr>
    <w:fldSimple w:instr=" STYLEREF  &quot;Heading 1,Heading 1 Cab&quot;  \* MERGEFORMAT ">
      <w:r w:rsidR="00D641F2">
        <w:rPr>
          <w:noProof/>
        </w:rPr>
        <w:t>Schedule 2: Proposed definitions of levy metrics</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78A2" w14:textId="77777777" w:rsidR="00F37DCE" w:rsidRPr="00DD0D3C" w:rsidRDefault="00F37DCE" w:rsidP="00DD0D3C">
    <w:pPr>
      <w:pStyle w:val="Header"/>
    </w:pPr>
    <w:r>
      <w:rPr>
        <w:noProof/>
      </w:rPr>
      <mc:AlternateContent>
        <mc:Choice Requires="wps">
          <w:drawing>
            <wp:anchor distT="0" distB="0" distL="114300" distR="114300" simplePos="0" relativeHeight="251666432" behindDoc="0" locked="0" layoutInCell="1" allowOverlap="0" wp14:anchorId="29727DDF" wp14:editId="2853ADB4">
              <wp:simplePos x="0" y="0"/>
              <wp:positionH relativeFrom="page">
                <wp:posOffset>310515</wp:posOffset>
              </wp:positionH>
              <wp:positionV relativeFrom="margin">
                <wp:posOffset>-44715</wp:posOffset>
              </wp:positionV>
              <wp:extent cx="396240" cy="5822950"/>
              <wp:effectExtent l="0" t="0" r="3810" b="6350"/>
              <wp:wrapNone/>
              <wp:docPr id="31" name="Text Box 31"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582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7689B" w14:textId="77777777" w:rsidR="00F37DCE" w:rsidRPr="001D5B13" w:rsidRDefault="00F37DCE" w:rsidP="00D25DC3">
                          <w:pPr>
                            <w:pStyle w:val="FooterOdd"/>
                          </w:pPr>
                          <w:r w:rsidRPr="001D5B13">
                            <w:rPr>
                              <w:rStyle w:val="PageNumber"/>
                              <w:rFonts w:ascii="Century Gothic" w:hAnsi="Century Gothic"/>
                              <w:noProof/>
                            </w:rPr>
                            <w:fldChar w:fldCharType="begin"/>
                          </w:r>
                          <w:r w:rsidRPr="001D5B13">
                            <w:rPr>
                              <w:rStyle w:val="PageNumber"/>
                              <w:rFonts w:ascii="Century Gothic" w:hAnsi="Century Gothic"/>
                              <w:noProof/>
                            </w:rPr>
                            <w:instrText xml:space="preserve"> PAGE </w:instrText>
                          </w:r>
                          <w:r w:rsidRPr="001D5B13">
                            <w:instrText xml:space="preserve"> \* MERGEFORMAT </w:instrText>
                          </w:r>
                          <w:r w:rsidRPr="001D5B13">
                            <w:rPr>
                              <w:rStyle w:val="PageNumber"/>
                              <w:rFonts w:ascii="Century Gothic" w:hAnsi="Century Gothic"/>
                              <w:noProof/>
                            </w:rPr>
                            <w:fldChar w:fldCharType="separate"/>
                          </w:r>
                          <w:r w:rsidR="00D641F2">
                            <w:rPr>
                              <w:rStyle w:val="PageNumber"/>
                              <w:rFonts w:ascii="Century Gothic" w:hAnsi="Century Gothic"/>
                              <w:noProof/>
                            </w:rPr>
                            <w:t>39</w:t>
                          </w:r>
                          <w:r w:rsidRPr="001D5B13">
                            <w:rPr>
                              <w:rStyle w:val="PageNumber"/>
                              <w:rFonts w:ascii="Century Gothic" w:hAnsi="Century Gothic"/>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1" type="#_x0000_t202" alt="Landscape Page Number" style="position:absolute;margin-left:24.45pt;margin-top:-3.5pt;width:31.2pt;height:45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" o:allowoverlap="f" stroked="f">
              <v:textbox style="layout-flow:vertical">
                <w:txbxContent>
                  <w:p w14:paraId="02C7689B" w14:textId="77777777" w:rsidR="00F37DCE" w:rsidRPr="001D5B13" w:rsidRDefault="00F37DCE" w:rsidP="00D25DC3">
                    <w:pPr>
                      <w:pStyle w:val="FooterOdd"/>
                    </w:pPr>
                    <w:r w:rsidRPr="001D5B13">
                      <w:rPr>
                        <w:rStyle w:val="PageNumber"/>
                        <w:rFonts w:ascii="Century Gothic" w:hAnsi="Century Gothic"/>
                        <w:noProof/>
                      </w:rPr>
                      <w:fldChar w:fldCharType="begin"/>
                    </w:r>
                    <w:r w:rsidRPr="001D5B13">
                      <w:rPr>
                        <w:rStyle w:val="PageNumber"/>
                        <w:rFonts w:ascii="Century Gothic" w:hAnsi="Century Gothic"/>
                        <w:noProof/>
                      </w:rPr>
                      <w:instrText xml:space="preserve"> PAGE </w:instrText>
                    </w:r>
                    <w:r w:rsidRPr="001D5B13">
                      <w:instrText xml:space="preserve"> \* MERGEFORMAT </w:instrText>
                    </w:r>
                    <w:r w:rsidRPr="001D5B13">
                      <w:rPr>
                        <w:rStyle w:val="PageNumber"/>
                        <w:rFonts w:ascii="Century Gothic" w:hAnsi="Century Gothic"/>
                        <w:noProof/>
                      </w:rPr>
                      <w:fldChar w:fldCharType="separate"/>
                    </w:r>
                    <w:r w:rsidR="00D641F2">
                      <w:rPr>
                        <w:rStyle w:val="PageNumber"/>
                        <w:rFonts w:ascii="Century Gothic" w:hAnsi="Century Gothic"/>
                        <w:noProof/>
                      </w:rPr>
                      <w:t>39</w:t>
                    </w:r>
                    <w:r w:rsidRPr="001D5B13">
                      <w:rPr>
                        <w:rStyle w:val="PageNumber"/>
                        <w:rFonts w:ascii="Century Gothic" w:hAnsi="Century Gothic"/>
                        <w:noProof/>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1" allowOverlap="0" wp14:anchorId="2D3B9621" wp14:editId="61FB2B41">
              <wp:simplePos x="0" y="0"/>
              <wp:positionH relativeFrom="page">
                <wp:posOffset>9939655</wp:posOffset>
              </wp:positionH>
              <wp:positionV relativeFrom="page">
                <wp:posOffset>854340</wp:posOffset>
              </wp:positionV>
              <wp:extent cx="396240" cy="5836285"/>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5836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D110C" w14:textId="77777777" w:rsidR="00F37DCE" w:rsidRPr="00DD0D3C" w:rsidRDefault="0002611D" w:rsidP="00DD0D3C">
                          <w:pPr>
                            <w:pStyle w:val="HeaderEven"/>
                            <w:jc w:val="right"/>
                          </w:pPr>
                          <w:fldSimple w:instr=" STYLEREF  &quot;Heading 1,Heading 1 Cab&quot;  \* MERGEFORMAT ">
                            <w:r w:rsidR="00D641F2">
                              <w:rPr>
                                <w:noProof/>
                              </w:rPr>
                              <w:t>Schedule 3:</w:t>
                            </w:r>
                            <w:r w:rsidR="00D641F2">
                              <w:rPr>
                                <w:noProof/>
                              </w:rPr>
                              <w:tab/>
                              <w:t>Proposed Indicative levies based on financial year 2016-17</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782.65pt;margin-top:67.25pt;width:31.2pt;height:459.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" o:allowoverlap="f" stroked="f">
              <v:textbox style="layout-flow:vertical">
                <w:txbxContent>
                  <w:p w14:paraId="4ACD110C" w14:textId="77777777" w:rsidR="00F37DCE" w:rsidRPr="00DD0D3C" w:rsidRDefault="0002611D" w:rsidP="00DD0D3C">
                    <w:pPr>
                      <w:pStyle w:val="HeaderEven"/>
                      <w:jc w:val="right"/>
                    </w:pPr>
                    <w:fldSimple w:instr=" STYLEREF  &quot;Heading 1,Heading 1 Cab&quot;  \* MERGEFORMAT ">
                      <w:r w:rsidR="00D641F2">
                        <w:rPr>
                          <w:noProof/>
                        </w:rPr>
                        <w:t>Schedule 3:</w:t>
                      </w:r>
                      <w:r w:rsidR="00D641F2">
                        <w:rPr>
                          <w:noProof/>
                        </w:rPr>
                        <w:tab/>
                        <w:t>Proposed Indicative levies based on financial year 2016-17</w:t>
                      </w:r>
                    </w:fldSimple>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5492" w14:textId="77777777" w:rsidR="00F37DCE" w:rsidRDefault="00F37DCE">
    <w:r>
      <w:rPr>
        <w:noProof/>
      </w:rPr>
      <mc:AlternateContent>
        <mc:Choice Requires="wps">
          <w:drawing>
            <wp:anchor distT="0" distB="0" distL="114300" distR="114300" simplePos="0" relativeHeight="251662336" behindDoc="0" locked="0" layoutInCell="1" allowOverlap="0" wp14:anchorId="7BB75073" wp14:editId="429644F0">
              <wp:simplePos x="0" y="0"/>
              <wp:positionH relativeFrom="page">
                <wp:posOffset>311150</wp:posOffset>
              </wp:positionH>
              <wp:positionV relativeFrom="margin">
                <wp:posOffset>-33390</wp:posOffset>
              </wp:positionV>
              <wp:extent cx="396240" cy="5809413"/>
              <wp:effectExtent l="0" t="0" r="3810" b="1270"/>
              <wp:wrapNone/>
              <wp:docPr id="29" name="Text Box 29"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5809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4D9D6" w14:textId="77777777" w:rsidR="00F37DCE" w:rsidRPr="001D5B13" w:rsidRDefault="00F37DCE" w:rsidP="005F3A50">
                          <w:pPr>
                            <w:pStyle w:val="FooterOdd"/>
                          </w:pPr>
                          <w:r w:rsidRPr="001D5B13">
                            <w:rPr>
                              <w:rStyle w:val="PageNumber"/>
                              <w:rFonts w:ascii="Century Gothic" w:hAnsi="Century Gothic"/>
                              <w:noProof/>
                            </w:rPr>
                            <w:fldChar w:fldCharType="begin"/>
                          </w:r>
                          <w:r w:rsidRPr="001D5B13">
                            <w:rPr>
                              <w:rStyle w:val="PageNumber"/>
                              <w:rFonts w:ascii="Century Gothic" w:hAnsi="Century Gothic"/>
                              <w:noProof/>
                            </w:rPr>
                            <w:instrText xml:space="preserve"> PAGE </w:instrText>
                          </w:r>
                          <w:r w:rsidRPr="001D5B13">
                            <w:instrText xml:space="preserve"> \* MERGEFORMAT </w:instrText>
                          </w:r>
                          <w:r w:rsidRPr="001D5B13">
                            <w:rPr>
                              <w:rStyle w:val="PageNumber"/>
                              <w:rFonts w:ascii="Century Gothic" w:hAnsi="Century Gothic"/>
                              <w:noProof/>
                            </w:rPr>
                            <w:fldChar w:fldCharType="separate"/>
                          </w:r>
                          <w:r w:rsidR="00D641F2">
                            <w:rPr>
                              <w:rStyle w:val="PageNumber"/>
                              <w:rFonts w:ascii="Century Gothic" w:hAnsi="Century Gothic"/>
                              <w:noProof/>
                            </w:rPr>
                            <w:t>37</w:t>
                          </w:r>
                          <w:r w:rsidRPr="001D5B13">
                            <w:rPr>
                              <w:rStyle w:val="PageNumber"/>
                              <w:rFonts w:ascii="Century Gothic" w:hAnsi="Century Gothic"/>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3" type="#_x0000_t202" alt="Landscape Page Number" style="position:absolute;left:0;text-align:left;margin-left:24.5pt;margin-top:-2.65pt;width:31.2pt;height:45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" o:allowoverlap="f" stroked="f">
              <v:textbox style="layout-flow:vertical">
                <w:txbxContent>
                  <w:p w14:paraId="6BE4D9D6" w14:textId="77777777" w:rsidR="00F37DCE" w:rsidRPr="001D5B13" w:rsidRDefault="00F37DCE" w:rsidP="005F3A50">
                    <w:pPr>
                      <w:pStyle w:val="FooterOdd"/>
                    </w:pPr>
                    <w:r w:rsidRPr="001D5B13">
                      <w:rPr>
                        <w:rStyle w:val="PageNumber"/>
                        <w:rFonts w:ascii="Century Gothic" w:hAnsi="Century Gothic"/>
                        <w:noProof/>
                      </w:rPr>
                      <w:fldChar w:fldCharType="begin"/>
                    </w:r>
                    <w:r w:rsidRPr="001D5B13">
                      <w:rPr>
                        <w:rStyle w:val="PageNumber"/>
                        <w:rFonts w:ascii="Century Gothic" w:hAnsi="Century Gothic"/>
                        <w:noProof/>
                      </w:rPr>
                      <w:instrText xml:space="preserve"> PAGE </w:instrText>
                    </w:r>
                    <w:r w:rsidRPr="001D5B13">
                      <w:instrText xml:space="preserve"> \* MERGEFORMAT </w:instrText>
                    </w:r>
                    <w:r w:rsidRPr="001D5B13">
                      <w:rPr>
                        <w:rStyle w:val="PageNumber"/>
                        <w:rFonts w:ascii="Century Gothic" w:hAnsi="Century Gothic"/>
                        <w:noProof/>
                      </w:rPr>
                      <w:fldChar w:fldCharType="separate"/>
                    </w:r>
                    <w:r w:rsidR="00D641F2">
                      <w:rPr>
                        <w:rStyle w:val="PageNumber"/>
                        <w:rFonts w:ascii="Century Gothic" w:hAnsi="Century Gothic"/>
                        <w:noProof/>
                      </w:rPr>
                      <w:t>37</w:t>
                    </w:r>
                    <w:r w:rsidRPr="001D5B13">
                      <w:rPr>
                        <w:rStyle w:val="PageNumber"/>
                        <w:rFonts w:ascii="Century Gothic" w:hAnsi="Century Gothic"/>
                        <w:noProof/>
                      </w:rPr>
                      <w:fldChar w:fldCharType="end"/>
                    </w:r>
                  </w:p>
                </w:txbxContent>
              </v:textbox>
              <w10:wrap anchorx="page" anchory="margin"/>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E3950" w14:textId="25D06518" w:rsidR="00F37DCE" w:rsidRDefault="0002611D" w:rsidP="001D5B13">
    <w:pPr>
      <w:pStyle w:val="HeaderOdd"/>
      <w:tabs>
        <w:tab w:val="left" w:pos="1134"/>
      </w:tabs>
    </w:pPr>
    <w:fldSimple w:instr=" STYLEREF  &quot;Heading 1,Heading 1 Cab&quot;  \* MERGEFORMAT ">
      <w:r w:rsidR="00D641F2">
        <w:rPr>
          <w:noProof/>
        </w:rPr>
        <w:t>Schedule 3:</w:t>
      </w:r>
      <w:r w:rsidR="00D641F2">
        <w:rPr>
          <w:noProof/>
        </w:rPr>
        <w:tab/>
        <w:t>Proposed Indicative levies based on financial year 2016-17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E6AA4" w14:textId="77777777" w:rsidR="00F37DCE" w:rsidRDefault="00F37DCE" w:rsidP="000273CA">
    <w:pPr>
      <w:pStyle w:val="HeaderOdd"/>
    </w:pPr>
    <w:r>
      <w:t>Chapter 1: Context and background information for consideration of an industry funding model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77B7C" w14:textId="77777777" w:rsidR="00F37DCE" w:rsidRDefault="00F37DCE" w:rsidP="00DE2576">
    <w:pPr>
      <w:pStyle w:val="Header"/>
      <w:jc w:val="center"/>
    </w:pPr>
    <w:r>
      <w:rPr>
        <w:noProof/>
      </w:rPr>
      <w:drawing>
        <wp:inline distT="0" distB="0" distL="0" distR="0" wp14:anchorId="7F00F4D0" wp14:editId="62BCD71B">
          <wp:extent cx="2011680" cy="10121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012190"/>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63942" w14:textId="77777777" w:rsidR="00F37DCE" w:rsidRDefault="00F37DCE" w:rsidP="00DA1C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B7E0" w14:textId="77777777" w:rsidR="00F37DCE" w:rsidRDefault="00F37DCE" w:rsidP="00DA1C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D65CA" w14:textId="77777777" w:rsidR="00F37DCE" w:rsidRDefault="00F37D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FBF4" w14:textId="77777777" w:rsidR="00F37DCE" w:rsidRDefault="00F37DC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DC6E5" w14:textId="77777777" w:rsidR="00F37DCE" w:rsidRPr="008E23C0" w:rsidRDefault="0002611D" w:rsidP="008E23C0">
    <w:pPr>
      <w:pStyle w:val="HeaderOdd"/>
      <w:tabs>
        <w:tab w:val="left" w:pos="1134"/>
      </w:tabs>
    </w:pPr>
    <w:fldSimple w:instr=" STYLEREF  &quot;Heading 1,Heading 1 Cab&quot;  \* MERGEFORMAT ">
      <w:r w:rsidR="00D641F2">
        <w:rPr>
          <w:noProof/>
        </w:rPr>
        <w:t>Schedule 2: Proposed definitions of levy metrics</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8DC2" w14:textId="77777777" w:rsidR="00F37DCE" w:rsidRPr="00DD0D3C" w:rsidRDefault="00F37DCE" w:rsidP="00DD0D3C">
    <w:pPr>
      <w:pStyle w:val="Header"/>
    </w:pPr>
    <w:r>
      <w:rPr>
        <w:noProof/>
      </w:rPr>
      <mc:AlternateContent>
        <mc:Choice Requires="wps">
          <w:drawing>
            <wp:anchor distT="0" distB="0" distL="114300" distR="114300" simplePos="0" relativeHeight="251658240" behindDoc="0" locked="0" layoutInCell="1" allowOverlap="0" wp14:anchorId="01951748" wp14:editId="4FAACAEB">
              <wp:simplePos x="0" y="0"/>
              <wp:positionH relativeFrom="page">
                <wp:posOffset>9942830</wp:posOffset>
              </wp:positionH>
              <wp:positionV relativeFrom="page">
                <wp:posOffset>870320</wp:posOffset>
              </wp:positionV>
              <wp:extent cx="396240" cy="4910455"/>
              <wp:effectExtent l="0" t="0" r="381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F4757" w14:textId="18807CDC" w:rsidR="00F37DCE" w:rsidRPr="00DD0D3C" w:rsidRDefault="0002611D" w:rsidP="00DD0D3C">
                          <w:pPr>
                            <w:pStyle w:val="HeaderEven"/>
                          </w:pPr>
                          <w:fldSimple w:instr=" STYLEREF  &quot;Heading 1,Heading 1 Cab&quot;  \* MERGEFORMAT ">
                            <w:r w:rsidR="00D641F2">
                              <w:rPr>
                                <w:noProof/>
                              </w:rPr>
                              <w:t>Schedule 3:</w:t>
                            </w:r>
                            <w:r w:rsidR="00D641F2">
                              <w:rPr>
                                <w:noProof/>
                              </w:rPr>
                              <w:tab/>
                              <w:t>Proposed Indicative levies based on financial year 2016-17</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782.9pt;margin-top:68.55pt;width:31.2pt;height:38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" o:allowoverlap="f" stroked="f">
              <v:textbox style="layout-flow:vertical">
                <w:txbxContent>
                  <w:p w14:paraId="7F4F4757" w14:textId="18807CDC" w:rsidR="00F37DCE" w:rsidRPr="00DD0D3C" w:rsidRDefault="0002611D" w:rsidP="00DD0D3C">
                    <w:pPr>
                      <w:pStyle w:val="HeaderEven"/>
                    </w:pPr>
                    <w:fldSimple w:instr=" STYLEREF  &quot;Heading 1,Heading 1 Cab&quot;  \* MERGEFORMAT ">
                      <w:r w:rsidR="00D641F2">
                        <w:rPr>
                          <w:noProof/>
                        </w:rPr>
                        <w:t>Schedule 3:</w:t>
                      </w:r>
                      <w:r w:rsidR="00D641F2">
                        <w:rPr>
                          <w:noProof/>
                        </w:rPr>
                        <w:tab/>
                        <w:t>Proposed Indicative levies based on financial year 2016-17</w:t>
                      </w:r>
                    </w:fldSimple>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0" wp14:anchorId="66378830" wp14:editId="7B70978A">
              <wp:simplePos x="0" y="0"/>
              <wp:positionH relativeFrom="page">
                <wp:posOffset>301889</wp:posOffset>
              </wp:positionH>
              <wp:positionV relativeFrom="margin">
                <wp:posOffset>-41910</wp:posOffset>
              </wp:positionV>
              <wp:extent cx="396240" cy="5847715"/>
              <wp:effectExtent l="0" t="0" r="3810" b="635"/>
              <wp:wrapNone/>
              <wp:docPr id="30" name="Text Box 30"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584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5BCD0" w14:textId="77777777" w:rsidR="00F37DCE" w:rsidRPr="001D5B13" w:rsidRDefault="00F37DCE" w:rsidP="00D25DC3">
                          <w:pPr>
                            <w:pStyle w:val="FooterEven"/>
                          </w:pPr>
                          <w:r w:rsidRPr="001D5B13">
                            <w:rPr>
                              <w:rStyle w:val="PageNumber"/>
                              <w:rFonts w:ascii="Century Gothic" w:hAnsi="Century Gothic"/>
                              <w:noProof/>
                            </w:rPr>
                            <w:fldChar w:fldCharType="begin"/>
                          </w:r>
                          <w:r w:rsidRPr="001D5B13">
                            <w:rPr>
                              <w:rStyle w:val="PageNumber"/>
                              <w:rFonts w:ascii="Century Gothic" w:hAnsi="Century Gothic"/>
                              <w:noProof/>
                            </w:rPr>
                            <w:instrText xml:space="preserve"> PAGE </w:instrText>
                          </w:r>
                          <w:r w:rsidRPr="001D5B13">
                            <w:instrText xml:space="preserve"> \* MERGEFORMAT </w:instrText>
                          </w:r>
                          <w:r w:rsidRPr="001D5B13">
                            <w:rPr>
                              <w:rStyle w:val="PageNumber"/>
                              <w:rFonts w:ascii="Century Gothic" w:hAnsi="Century Gothic"/>
                              <w:noProof/>
                            </w:rPr>
                            <w:fldChar w:fldCharType="separate"/>
                          </w:r>
                          <w:r w:rsidR="00D641F2">
                            <w:rPr>
                              <w:rStyle w:val="PageNumber"/>
                              <w:rFonts w:ascii="Century Gothic" w:hAnsi="Century Gothic"/>
                              <w:noProof/>
                            </w:rPr>
                            <w:t>40</w:t>
                          </w:r>
                          <w:r w:rsidRPr="001D5B13">
                            <w:rPr>
                              <w:rStyle w:val="PageNumber"/>
                              <w:rFonts w:ascii="Century Gothic" w:hAnsi="Century Gothic"/>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alt="Landscape Page Number" style="position:absolute;margin-left:23.75pt;margin-top:-3.3pt;width:31.2pt;height:460.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" o:allowoverlap="f" stroked="f">
              <v:textbox style="layout-flow:vertical">
                <w:txbxContent>
                  <w:p w14:paraId="4675BCD0" w14:textId="77777777" w:rsidR="00F37DCE" w:rsidRPr="001D5B13" w:rsidRDefault="00F37DCE" w:rsidP="00D25DC3">
                    <w:pPr>
                      <w:pStyle w:val="FooterEven"/>
                    </w:pPr>
                    <w:r w:rsidRPr="001D5B13">
                      <w:rPr>
                        <w:rStyle w:val="PageNumber"/>
                        <w:rFonts w:ascii="Century Gothic" w:hAnsi="Century Gothic"/>
                        <w:noProof/>
                      </w:rPr>
                      <w:fldChar w:fldCharType="begin"/>
                    </w:r>
                    <w:r w:rsidRPr="001D5B13">
                      <w:rPr>
                        <w:rStyle w:val="PageNumber"/>
                        <w:rFonts w:ascii="Century Gothic" w:hAnsi="Century Gothic"/>
                        <w:noProof/>
                      </w:rPr>
                      <w:instrText xml:space="preserve"> PAGE </w:instrText>
                    </w:r>
                    <w:r w:rsidRPr="001D5B13">
                      <w:instrText xml:space="preserve"> \* MERGEFORMAT </w:instrText>
                    </w:r>
                    <w:r w:rsidRPr="001D5B13">
                      <w:rPr>
                        <w:rStyle w:val="PageNumber"/>
                        <w:rFonts w:ascii="Century Gothic" w:hAnsi="Century Gothic"/>
                        <w:noProof/>
                      </w:rPr>
                      <w:fldChar w:fldCharType="separate"/>
                    </w:r>
                    <w:r w:rsidR="00D641F2">
                      <w:rPr>
                        <w:rStyle w:val="PageNumber"/>
                        <w:rFonts w:ascii="Century Gothic" w:hAnsi="Century Gothic"/>
                        <w:noProof/>
                      </w:rPr>
                      <w:t>40</w:t>
                    </w:r>
                    <w:r w:rsidRPr="001D5B13">
                      <w:rPr>
                        <w:rStyle w:val="PageNumber"/>
                        <w:rFonts w:ascii="Century Gothic" w:hAnsi="Century Gothic"/>
                        <w:noProof/>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4FC"/>
    <w:multiLevelType w:val="hybridMultilevel"/>
    <w:tmpl w:val="251626A6"/>
    <w:lvl w:ilvl="0" w:tplc="372E2B80">
      <w:start w:val="1"/>
      <w:numFmt w:val="lowerRoman"/>
      <w:pStyle w:val="TableTextLeft-Roman"/>
      <w:lvlText w:val="%1."/>
      <w:lvlJc w:val="left"/>
      <w:pPr>
        <w:tabs>
          <w:tab w:val="num" w:pos="1191"/>
        </w:tabs>
        <w:ind w:left="1191" w:hanging="397"/>
      </w:pPr>
      <w:rPr>
        <w:rFonts w:ascii="Helvetica" w:hAnsi="Helvetica" w:hint="default"/>
        <w:b w:val="0"/>
        <w:i w:val="0"/>
        <w:sz w:val="19"/>
        <w:szCs w:val="19"/>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
    <w:nsid w:val="0AAE772F"/>
    <w:multiLevelType w:val="hybridMultilevel"/>
    <w:tmpl w:val="0BAC45D4"/>
    <w:lvl w:ilvl="0" w:tplc="3D960A44">
      <w:start w:val="1"/>
      <w:numFmt w:val="decimal"/>
      <w:lvlText w:val="%1. "/>
      <w:lvlJc w:val="left"/>
      <w:pPr>
        <w:ind w:left="720" w:hanging="360"/>
      </w:pPr>
      <w:rPr>
        <w:rFonts w:ascii="Arial" w:hAnsi="Arial" w:cs="Symbo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2604E258">
      <w:start w:val="1"/>
      <w:numFmt w:val="decimal"/>
      <w:pStyle w:val="Heading3-Numbered"/>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175001"/>
    <w:multiLevelType w:val="multilevel"/>
    <w:tmpl w:val="66C86A5E"/>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F352A5"/>
    <w:multiLevelType w:val="hybridMultilevel"/>
    <w:tmpl w:val="764253C6"/>
    <w:lvl w:ilvl="0" w:tplc="B4CC6B4E">
      <w:start w:val="1"/>
      <w:numFmt w:val="lowerRoman"/>
      <w:pStyle w:val="TableTextLeft-Romannoindent"/>
      <w:lvlText w:val="%1."/>
      <w:lvlJc w:val="left"/>
      <w:pPr>
        <w:ind w:left="720"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4A6EB2"/>
    <w:multiLevelType w:val="multilevel"/>
    <w:tmpl w:val="ED440638"/>
    <w:lvl w:ilvl="0">
      <w:start w:val="1"/>
      <w:numFmt w:val="bullet"/>
      <w:lvlText w:val="•"/>
      <w:lvlJc w:val="left"/>
      <w:pPr>
        <w:tabs>
          <w:tab w:val="num" w:pos="397"/>
        </w:tabs>
        <w:ind w:left="397" w:hanging="397"/>
      </w:pPr>
      <w:rPr>
        <w:rFonts w:ascii="Times New Roman" w:hAnsi="Times New Roman" w:cs="Times New Roman" w:hint="default"/>
      </w:rPr>
    </w:lvl>
    <w:lvl w:ilvl="1">
      <w:start w:val="1"/>
      <w:numFmt w:val="bullet"/>
      <w:pStyle w:val="TableTextLeft-Dash"/>
      <w:lvlText w:val="-"/>
      <w:lvlJc w:val="left"/>
      <w:pPr>
        <w:tabs>
          <w:tab w:val="num" w:pos="794"/>
        </w:tabs>
        <w:ind w:left="1040" w:hanging="520"/>
      </w:pPr>
      <w:rPr>
        <w:rFonts w:ascii="Courier New" w:hAnsi="Courier New"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7">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nsid w:val="1E0C6808"/>
    <w:multiLevelType w:val="multilevel"/>
    <w:tmpl w:val="6520E1F2"/>
    <w:lvl w:ilvl="0">
      <w:start w:val="1"/>
      <w:numFmt w:val="decimal"/>
      <w:pStyle w:val="BodyText"/>
      <w:lvlText w:val="%1"/>
      <w:lvlJc w:val="left"/>
      <w:pPr>
        <w:tabs>
          <w:tab w:val="num" w:pos="1134"/>
        </w:tabs>
        <w:ind w:left="1134"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vertAlign w:val="baseline"/>
        <w:em w:val="none"/>
      </w:rPr>
    </w:lvl>
    <w:lvl w:ilvl="1">
      <w:start w:val="1"/>
      <w:numFmt w:val="lowerLetter"/>
      <w:pStyle w:val="subparaa"/>
      <w:lvlText w:val="(%2)"/>
      <w:lvlJc w:val="left"/>
      <w:pPr>
        <w:tabs>
          <w:tab w:val="num" w:pos="1702"/>
        </w:tabs>
        <w:ind w:left="1702" w:hanging="425"/>
      </w:pPr>
      <w:rPr>
        <w:rFonts w:ascii="Times New Roman" w:hAnsi="Times New Roman" w:cs="Times New Roman"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2410"/>
        </w:tabs>
        <w:ind w:left="2410" w:hanging="425"/>
      </w:pPr>
      <w:rPr>
        <w:rFonts w:hint="default"/>
        <w:sz w:val="16"/>
        <w:szCs w:val="16"/>
      </w:rPr>
    </w:lvl>
    <w:lvl w:ilvl="4">
      <w:start w:val="1"/>
      <w:numFmt w:val="upperRoman"/>
      <w:pStyle w:val="sub4paraI"/>
      <w:lvlText w:val="(%5)"/>
      <w:lvlJc w:val="left"/>
      <w:pPr>
        <w:tabs>
          <w:tab w:val="num" w:pos="2835"/>
        </w:tabs>
        <w:ind w:left="2835" w:hanging="425"/>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9">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nsid w:val="27440C8B"/>
    <w:multiLevelType w:val="multilevel"/>
    <w:tmpl w:val="945C219C"/>
    <w:lvl w:ilvl="0">
      <w:start w:val="1"/>
      <w:numFmt w:val="bullet"/>
      <w:lvlRestart w:val="0"/>
      <w:pStyle w:val="Bullet"/>
      <w:lvlText w:val="•"/>
      <w:lvlJc w:val="left"/>
      <w:pPr>
        <w:tabs>
          <w:tab w:val="num" w:pos="2410"/>
        </w:tabs>
        <w:ind w:left="2410"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12">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14">
    <w:nsid w:val="4AE862C5"/>
    <w:multiLevelType w:val="hybridMultilevel"/>
    <w:tmpl w:val="4DF29D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6">
    <w:nsid w:val="4F233AA8"/>
    <w:multiLevelType w:val="multilevel"/>
    <w:tmpl w:val="AD7A8EE6"/>
    <w:name w:val="StandardBulletedList"/>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5F96CF0"/>
    <w:multiLevelType w:val="hybridMultilevel"/>
    <w:tmpl w:val="F7503FCA"/>
    <w:lvl w:ilvl="0" w:tplc="BA0A92DA">
      <w:start w:val="1"/>
      <w:numFmt w:val="decimal"/>
      <w:pStyle w:val="TableTextNumbering"/>
      <w:lvlText w:val="%1."/>
      <w:lvlJc w:val="left"/>
      <w:pPr>
        <w:tabs>
          <w:tab w:val="num" w:pos="397"/>
        </w:tabs>
        <w:ind w:left="397" w:hanging="39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8101827"/>
    <w:multiLevelType w:val="multilevel"/>
    <w:tmpl w:val="78EED69E"/>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nsid w:val="5CD8266D"/>
    <w:multiLevelType w:val="multilevel"/>
    <w:tmpl w:val="0298DC6A"/>
    <w:lvl w:ilvl="0">
      <w:start w:val="1"/>
      <w:numFmt w:val="decimal"/>
      <w:pStyle w:val="BoxQuestions"/>
      <w:lvlText w:val="%1."/>
      <w:lvlJc w:val="left"/>
      <w:pPr>
        <w:tabs>
          <w:tab w:val="num" w:pos="284"/>
        </w:tabs>
        <w:ind w:left="284" w:hanging="284"/>
      </w:pPr>
      <w:rPr>
        <w:rFonts w:hint="default"/>
        <w:b w:val="0"/>
        <w:color w:val="auto"/>
      </w:rPr>
    </w:lvl>
    <w:lvl w:ilvl="1">
      <w:start w:val="1"/>
      <w:numFmt w:val="decimal"/>
      <w:lvlText w:val="%1.%2."/>
      <w:lvlJc w:val="left"/>
      <w:pPr>
        <w:tabs>
          <w:tab w:val="num" w:pos="1040"/>
        </w:tabs>
        <w:ind w:left="1040" w:hanging="520"/>
      </w:pPr>
      <w:rPr>
        <w:rFonts w:hint="default"/>
      </w:rPr>
    </w:lvl>
    <w:lvl w:ilvl="2">
      <w:start w:val="1"/>
      <w:numFmt w:val="decimal"/>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nsid w:val="5E3D1A65"/>
    <w:multiLevelType w:val="hybridMultilevel"/>
    <w:tmpl w:val="A3AC9B36"/>
    <w:lvl w:ilvl="0" w:tplc="1018AB84">
      <w:start w:val="1"/>
      <w:numFmt w:val="lowerLetter"/>
      <w:pStyle w:val="TableTextLeft-AlphaNumbering"/>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3681E40"/>
    <w:multiLevelType w:val="hybridMultilevel"/>
    <w:tmpl w:val="AF7A47C6"/>
    <w:lvl w:ilvl="0" w:tplc="F4A4F2E4">
      <w:start w:val="1"/>
      <w:numFmt w:val="lowerLetter"/>
      <w:pStyle w:val="TableTextLeft-AlphaNumberingIndent"/>
      <w:lvlText w:val="%1)"/>
      <w:lvlJc w:val="left"/>
      <w:pPr>
        <w:tabs>
          <w:tab w:val="num" w:pos="794"/>
        </w:tabs>
        <w:ind w:left="794" w:hanging="397"/>
      </w:pPr>
      <w:rPr>
        <w:rFonts w:ascii="Helvetica" w:hAnsi="Helvetica" w:hint="default"/>
        <w:b w:val="0"/>
        <w:i w:val="0"/>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A0C78FD"/>
    <w:multiLevelType w:val="singleLevel"/>
    <w:tmpl w:val="70144614"/>
    <w:name w:val="StandardNumberedParagraphList"/>
    <w:lvl w:ilvl="0">
      <w:start w:val="2"/>
      <w:numFmt w:val="decimal"/>
      <w:pStyle w:val="NumberedParagraph"/>
      <w:lvlText w:val="%1."/>
      <w:lvlJc w:val="left"/>
      <w:pPr>
        <w:tabs>
          <w:tab w:val="num" w:pos="567"/>
        </w:tabs>
        <w:ind w:left="0" w:firstLine="0"/>
      </w:pPr>
    </w:lvl>
  </w:abstractNum>
  <w:abstractNum w:abstractNumId="25">
    <w:nsid w:val="7EBF275E"/>
    <w:multiLevelType w:val="multilevel"/>
    <w:tmpl w:val="4A6EE8F2"/>
    <w:lvl w:ilvl="0">
      <w:start w:val="13"/>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8"/>
  </w:num>
  <w:num w:numId="2">
    <w:abstractNumId w:val="24"/>
  </w:num>
  <w:num w:numId="3">
    <w:abstractNumId w:val="21"/>
  </w:num>
  <w:num w:numId="4">
    <w:abstractNumId w:val="4"/>
  </w:num>
  <w:num w:numId="5">
    <w:abstractNumId w:val="19"/>
  </w:num>
  <w:num w:numId="6">
    <w:abstractNumId w:val="5"/>
  </w:num>
  <w:num w:numId="7">
    <w:abstractNumId w:val="10"/>
  </w:num>
  <w:num w:numId="8">
    <w:abstractNumId w:val="11"/>
  </w:num>
  <w:num w:numId="9">
    <w:abstractNumId w:val="15"/>
  </w:num>
  <w:num w:numId="10">
    <w:abstractNumId w:val="18"/>
  </w:num>
  <w:num w:numId="11">
    <w:abstractNumId w:val="6"/>
  </w:num>
  <w:num w:numId="12">
    <w:abstractNumId w:val="7"/>
  </w:num>
  <w:num w:numId="13">
    <w:abstractNumId w:val="9"/>
  </w:num>
  <w:num w:numId="14">
    <w:abstractNumId w:val="12"/>
  </w:num>
  <w:num w:numId="15">
    <w:abstractNumId w:val="25"/>
  </w:num>
  <w:num w:numId="16">
    <w:abstractNumId w:val="22"/>
  </w:num>
  <w:num w:numId="17">
    <w:abstractNumId w:val="1"/>
  </w:num>
  <w:num w:numId="18">
    <w:abstractNumId w:val="17"/>
  </w:num>
  <w:num w:numId="19">
    <w:abstractNumId w:val="0"/>
  </w:num>
  <w:num w:numId="20">
    <w:abstractNumId w:val="14"/>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3"/>
  </w:num>
  <w:num w:numId="25">
    <w:abstractNumId w:val="23"/>
    <w:lvlOverride w:ilvl="0">
      <w:startOverride w:val="1"/>
    </w:lvlOverride>
  </w:num>
  <w:num w:numId="26">
    <w:abstractNumId w:val="23"/>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0"/>
    <w:lvlOverride w:ilvl="0">
      <w:startOverride w:val="1"/>
    </w:lvlOverride>
  </w:num>
  <w:num w:numId="31">
    <w:abstractNumId w:val="17"/>
    <w:lvlOverride w:ilvl="0">
      <w:startOverride w:val="1"/>
    </w:lvlOverride>
  </w:num>
  <w:num w:numId="32">
    <w:abstractNumId w:val="23"/>
    <w:lvlOverride w:ilvl="0">
      <w:startOverride w:val="1"/>
    </w:lvlOverride>
  </w:num>
  <w:num w:numId="33">
    <w:abstractNumId w:val="17"/>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17"/>
    <w:lvlOverride w:ilvl="0">
      <w:startOverride w:val="1"/>
    </w:lvlOverride>
  </w:num>
  <w:num w:numId="40">
    <w:abstractNumId w:val="21"/>
    <w:lvlOverride w:ilvl="0">
      <w:startOverride w:val="1"/>
    </w:lvlOverride>
  </w:num>
  <w:num w:numId="41">
    <w:abstractNumId w:val="3"/>
  </w:num>
  <w:num w:numId="42">
    <w:abstractNumId w:val="21"/>
    <w:lvlOverride w:ilvl="0">
      <w:startOverride w:val="1"/>
    </w:lvlOverride>
  </w:num>
  <w:num w:numId="43">
    <w:abstractNumId w:val="23"/>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80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False"/>
    <w:docVar w:name="SecurityDLMInHeader" w:val="False"/>
  </w:docVars>
  <w:rsids>
    <w:rsidRoot w:val="00C91030"/>
    <w:rsid w:val="000002A7"/>
    <w:rsid w:val="00000310"/>
    <w:rsid w:val="00000402"/>
    <w:rsid w:val="00000E5C"/>
    <w:rsid w:val="00001C40"/>
    <w:rsid w:val="00002F1B"/>
    <w:rsid w:val="000035DC"/>
    <w:rsid w:val="00004289"/>
    <w:rsid w:val="00005269"/>
    <w:rsid w:val="000062EE"/>
    <w:rsid w:val="00006AB2"/>
    <w:rsid w:val="00006E45"/>
    <w:rsid w:val="00007123"/>
    <w:rsid w:val="00007AB0"/>
    <w:rsid w:val="00010C2A"/>
    <w:rsid w:val="00010CAC"/>
    <w:rsid w:val="000114CF"/>
    <w:rsid w:val="00011C12"/>
    <w:rsid w:val="00012530"/>
    <w:rsid w:val="00012CB8"/>
    <w:rsid w:val="00013245"/>
    <w:rsid w:val="000132E5"/>
    <w:rsid w:val="00013380"/>
    <w:rsid w:val="00013897"/>
    <w:rsid w:val="00013A20"/>
    <w:rsid w:val="00013ACC"/>
    <w:rsid w:val="000142B7"/>
    <w:rsid w:val="000142BF"/>
    <w:rsid w:val="00014B4A"/>
    <w:rsid w:val="00014CDF"/>
    <w:rsid w:val="000153C0"/>
    <w:rsid w:val="00015C13"/>
    <w:rsid w:val="000171EE"/>
    <w:rsid w:val="000175A9"/>
    <w:rsid w:val="00017619"/>
    <w:rsid w:val="00017BF7"/>
    <w:rsid w:val="00020182"/>
    <w:rsid w:val="00021576"/>
    <w:rsid w:val="00021AB8"/>
    <w:rsid w:val="00022136"/>
    <w:rsid w:val="0002218C"/>
    <w:rsid w:val="0002219D"/>
    <w:rsid w:val="00024862"/>
    <w:rsid w:val="00026093"/>
    <w:rsid w:val="0002611D"/>
    <w:rsid w:val="00026154"/>
    <w:rsid w:val="00026551"/>
    <w:rsid w:val="00026928"/>
    <w:rsid w:val="000273CA"/>
    <w:rsid w:val="00030089"/>
    <w:rsid w:val="00030336"/>
    <w:rsid w:val="00030351"/>
    <w:rsid w:val="000303C3"/>
    <w:rsid w:val="0003051C"/>
    <w:rsid w:val="00030671"/>
    <w:rsid w:val="00030821"/>
    <w:rsid w:val="00030880"/>
    <w:rsid w:val="00030CE4"/>
    <w:rsid w:val="0003259C"/>
    <w:rsid w:val="0003290A"/>
    <w:rsid w:val="0003339C"/>
    <w:rsid w:val="000337E2"/>
    <w:rsid w:val="0003507B"/>
    <w:rsid w:val="00035953"/>
    <w:rsid w:val="00035C38"/>
    <w:rsid w:val="00035FA8"/>
    <w:rsid w:val="000365DF"/>
    <w:rsid w:val="00036713"/>
    <w:rsid w:val="000373DA"/>
    <w:rsid w:val="000377A4"/>
    <w:rsid w:val="00037986"/>
    <w:rsid w:val="00037F9F"/>
    <w:rsid w:val="000405B1"/>
    <w:rsid w:val="0004097A"/>
    <w:rsid w:val="00040CCC"/>
    <w:rsid w:val="000422DC"/>
    <w:rsid w:val="00042B8A"/>
    <w:rsid w:val="00042BE9"/>
    <w:rsid w:val="00042C02"/>
    <w:rsid w:val="00042D85"/>
    <w:rsid w:val="00042FAF"/>
    <w:rsid w:val="00043924"/>
    <w:rsid w:val="00043D2C"/>
    <w:rsid w:val="00043ED7"/>
    <w:rsid w:val="00043F91"/>
    <w:rsid w:val="000443DB"/>
    <w:rsid w:val="00044563"/>
    <w:rsid w:val="00044683"/>
    <w:rsid w:val="00044A5A"/>
    <w:rsid w:val="00044D42"/>
    <w:rsid w:val="00045707"/>
    <w:rsid w:val="00045872"/>
    <w:rsid w:val="00046922"/>
    <w:rsid w:val="00046B55"/>
    <w:rsid w:val="00047F0F"/>
    <w:rsid w:val="00050435"/>
    <w:rsid w:val="000509FB"/>
    <w:rsid w:val="00050D80"/>
    <w:rsid w:val="00051626"/>
    <w:rsid w:val="00051F6D"/>
    <w:rsid w:val="00052225"/>
    <w:rsid w:val="00053781"/>
    <w:rsid w:val="00054386"/>
    <w:rsid w:val="00054548"/>
    <w:rsid w:val="00055724"/>
    <w:rsid w:val="00055DC9"/>
    <w:rsid w:val="0005700C"/>
    <w:rsid w:val="00057143"/>
    <w:rsid w:val="00057148"/>
    <w:rsid w:val="00057894"/>
    <w:rsid w:val="00057EF3"/>
    <w:rsid w:val="0006003C"/>
    <w:rsid w:val="00060AB5"/>
    <w:rsid w:val="000612DB"/>
    <w:rsid w:val="000615C5"/>
    <w:rsid w:val="000617C0"/>
    <w:rsid w:val="00062D21"/>
    <w:rsid w:val="000630AB"/>
    <w:rsid w:val="00063CF6"/>
    <w:rsid w:val="0006422E"/>
    <w:rsid w:val="00064407"/>
    <w:rsid w:val="0006480F"/>
    <w:rsid w:val="00064F87"/>
    <w:rsid w:val="00065749"/>
    <w:rsid w:val="00065799"/>
    <w:rsid w:val="0006619F"/>
    <w:rsid w:val="000664E6"/>
    <w:rsid w:val="0006685D"/>
    <w:rsid w:val="00066947"/>
    <w:rsid w:val="00066FDA"/>
    <w:rsid w:val="000677B3"/>
    <w:rsid w:val="000704EB"/>
    <w:rsid w:val="000706DA"/>
    <w:rsid w:val="00071032"/>
    <w:rsid w:val="000715DB"/>
    <w:rsid w:val="0007196F"/>
    <w:rsid w:val="00071D9F"/>
    <w:rsid w:val="000735FC"/>
    <w:rsid w:val="000739EF"/>
    <w:rsid w:val="00073C10"/>
    <w:rsid w:val="00073C17"/>
    <w:rsid w:val="000746AD"/>
    <w:rsid w:val="00074AF5"/>
    <w:rsid w:val="00074EF6"/>
    <w:rsid w:val="00075062"/>
    <w:rsid w:val="00075976"/>
    <w:rsid w:val="00075E95"/>
    <w:rsid w:val="00076081"/>
    <w:rsid w:val="0007647E"/>
    <w:rsid w:val="00076B53"/>
    <w:rsid w:val="00076E5A"/>
    <w:rsid w:val="000772A3"/>
    <w:rsid w:val="00077633"/>
    <w:rsid w:val="00077BB4"/>
    <w:rsid w:val="00077D7F"/>
    <w:rsid w:val="00077DFE"/>
    <w:rsid w:val="00080350"/>
    <w:rsid w:val="00081B20"/>
    <w:rsid w:val="0008219D"/>
    <w:rsid w:val="000822AD"/>
    <w:rsid w:val="0008351E"/>
    <w:rsid w:val="00083528"/>
    <w:rsid w:val="00083B18"/>
    <w:rsid w:val="00085086"/>
    <w:rsid w:val="00085F8C"/>
    <w:rsid w:val="000860BC"/>
    <w:rsid w:val="000877D1"/>
    <w:rsid w:val="00087B35"/>
    <w:rsid w:val="00087F14"/>
    <w:rsid w:val="000903F1"/>
    <w:rsid w:val="0009041C"/>
    <w:rsid w:val="00090CCF"/>
    <w:rsid w:val="000912C6"/>
    <w:rsid w:val="00091807"/>
    <w:rsid w:val="00091D63"/>
    <w:rsid w:val="000927B3"/>
    <w:rsid w:val="0009305C"/>
    <w:rsid w:val="00094F00"/>
    <w:rsid w:val="00094F63"/>
    <w:rsid w:val="00096CA9"/>
    <w:rsid w:val="0009713B"/>
    <w:rsid w:val="0009774B"/>
    <w:rsid w:val="00097ECD"/>
    <w:rsid w:val="000A12B7"/>
    <w:rsid w:val="000A196F"/>
    <w:rsid w:val="000A1BB8"/>
    <w:rsid w:val="000A1E3A"/>
    <w:rsid w:val="000A26A1"/>
    <w:rsid w:val="000A30AF"/>
    <w:rsid w:val="000A3319"/>
    <w:rsid w:val="000A359B"/>
    <w:rsid w:val="000A3E65"/>
    <w:rsid w:val="000A446B"/>
    <w:rsid w:val="000A478C"/>
    <w:rsid w:val="000A4FF2"/>
    <w:rsid w:val="000A522F"/>
    <w:rsid w:val="000A58D0"/>
    <w:rsid w:val="000A632A"/>
    <w:rsid w:val="000A63C8"/>
    <w:rsid w:val="000A65FC"/>
    <w:rsid w:val="000A708B"/>
    <w:rsid w:val="000A79AD"/>
    <w:rsid w:val="000A7BF9"/>
    <w:rsid w:val="000A7CB0"/>
    <w:rsid w:val="000A7E65"/>
    <w:rsid w:val="000B0C6C"/>
    <w:rsid w:val="000B0DF6"/>
    <w:rsid w:val="000B1233"/>
    <w:rsid w:val="000B1E49"/>
    <w:rsid w:val="000B2585"/>
    <w:rsid w:val="000B2DE8"/>
    <w:rsid w:val="000B3E10"/>
    <w:rsid w:val="000B48E7"/>
    <w:rsid w:val="000B5DA1"/>
    <w:rsid w:val="000B6305"/>
    <w:rsid w:val="000B63BF"/>
    <w:rsid w:val="000B64F2"/>
    <w:rsid w:val="000B6BCF"/>
    <w:rsid w:val="000B6DE7"/>
    <w:rsid w:val="000B7931"/>
    <w:rsid w:val="000C05AF"/>
    <w:rsid w:val="000C0785"/>
    <w:rsid w:val="000C11A6"/>
    <w:rsid w:val="000C1211"/>
    <w:rsid w:val="000C17B1"/>
    <w:rsid w:val="000C20FE"/>
    <w:rsid w:val="000C313C"/>
    <w:rsid w:val="000C3F92"/>
    <w:rsid w:val="000C49B5"/>
    <w:rsid w:val="000C4CD5"/>
    <w:rsid w:val="000C544A"/>
    <w:rsid w:val="000C5983"/>
    <w:rsid w:val="000C5FF6"/>
    <w:rsid w:val="000C6034"/>
    <w:rsid w:val="000C6A00"/>
    <w:rsid w:val="000C726C"/>
    <w:rsid w:val="000D07D8"/>
    <w:rsid w:val="000D0A22"/>
    <w:rsid w:val="000D1E76"/>
    <w:rsid w:val="000D2D93"/>
    <w:rsid w:val="000D34B7"/>
    <w:rsid w:val="000D4A83"/>
    <w:rsid w:val="000D56A8"/>
    <w:rsid w:val="000D5B69"/>
    <w:rsid w:val="000D6907"/>
    <w:rsid w:val="000D77E1"/>
    <w:rsid w:val="000E0930"/>
    <w:rsid w:val="000E0AAC"/>
    <w:rsid w:val="000E1BB7"/>
    <w:rsid w:val="000E3FDC"/>
    <w:rsid w:val="000E4814"/>
    <w:rsid w:val="000E4DF5"/>
    <w:rsid w:val="000E501A"/>
    <w:rsid w:val="000E57A1"/>
    <w:rsid w:val="000E5A71"/>
    <w:rsid w:val="000E64A4"/>
    <w:rsid w:val="000E68EC"/>
    <w:rsid w:val="000E6BFB"/>
    <w:rsid w:val="000E7A51"/>
    <w:rsid w:val="000E7C55"/>
    <w:rsid w:val="000E7C66"/>
    <w:rsid w:val="000F0582"/>
    <w:rsid w:val="000F08E9"/>
    <w:rsid w:val="000F0B78"/>
    <w:rsid w:val="000F0CEC"/>
    <w:rsid w:val="000F1514"/>
    <w:rsid w:val="000F156F"/>
    <w:rsid w:val="000F16BD"/>
    <w:rsid w:val="000F1A6E"/>
    <w:rsid w:val="000F201D"/>
    <w:rsid w:val="000F2080"/>
    <w:rsid w:val="000F2E04"/>
    <w:rsid w:val="000F3118"/>
    <w:rsid w:val="000F322B"/>
    <w:rsid w:val="000F4F3D"/>
    <w:rsid w:val="000F5285"/>
    <w:rsid w:val="000F57D0"/>
    <w:rsid w:val="000F5FED"/>
    <w:rsid w:val="000F7E91"/>
    <w:rsid w:val="000F7F37"/>
    <w:rsid w:val="001006EE"/>
    <w:rsid w:val="001010C7"/>
    <w:rsid w:val="00101F59"/>
    <w:rsid w:val="00102AC6"/>
    <w:rsid w:val="00102C33"/>
    <w:rsid w:val="0010393B"/>
    <w:rsid w:val="00103EA0"/>
    <w:rsid w:val="00104070"/>
    <w:rsid w:val="001042D7"/>
    <w:rsid w:val="00104521"/>
    <w:rsid w:val="00104F04"/>
    <w:rsid w:val="00105292"/>
    <w:rsid w:val="00105F0E"/>
    <w:rsid w:val="00106A85"/>
    <w:rsid w:val="00106E1A"/>
    <w:rsid w:val="00106EE3"/>
    <w:rsid w:val="00107295"/>
    <w:rsid w:val="001072CB"/>
    <w:rsid w:val="001073DF"/>
    <w:rsid w:val="00107801"/>
    <w:rsid w:val="00107AA8"/>
    <w:rsid w:val="00107C09"/>
    <w:rsid w:val="001104A8"/>
    <w:rsid w:val="00110922"/>
    <w:rsid w:val="00111CB4"/>
    <w:rsid w:val="00111CE3"/>
    <w:rsid w:val="00112B01"/>
    <w:rsid w:val="001138CC"/>
    <w:rsid w:val="00113AD5"/>
    <w:rsid w:val="00114ACE"/>
    <w:rsid w:val="00114BFF"/>
    <w:rsid w:val="00115716"/>
    <w:rsid w:val="00115B57"/>
    <w:rsid w:val="00116141"/>
    <w:rsid w:val="00116380"/>
    <w:rsid w:val="001166C8"/>
    <w:rsid w:val="001168AF"/>
    <w:rsid w:val="00117400"/>
    <w:rsid w:val="00117FD3"/>
    <w:rsid w:val="00120067"/>
    <w:rsid w:val="00120681"/>
    <w:rsid w:val="00120B83"/>
    <w:rsid w:val="00120C14"/>
    <w:rsid w:val="00120C6F"/>
    <w:rsid w:val="00121414"/>
    <w:rsid w:val="00121B36"/>
    <w:rsid w:val="00121F53"/>
    <w:rsid w:val="00122EA3"/>
    <w:rsid w:val="00122FA9"/>
    <w:rsid w:val="001237DA"/>
    <w:rsid w:val="0012394D"/>
    <w:rsid w:val="00123F27"/>
    <w:rsid w:val="00123FC2"/>
    <w:rsid w:val="00124AFD"/>
    <w:rsid w:val="00124B15"/>
    <w:rsid w:val="001254B4"/>
    <w:rsid w:val="001254F4"/>
    <w:rsid w:val="00125AEF"/>
    <w:rsid w:val="00125C9A"/>
    <w:rsid w:val="001268B7"/>
    <w:rsid w:val="0012740D"/>
    <w:rsid w:val="0012771D"/>
    <w:rsid w:val="001278B6"/>
    <w:rsid w:val="0013045E"/>
    <w:rsid w:val="00130884"/>
    <w:rsid w:val="00130914"/>
    <w:rsid w:val="00131BC2"/>
    <w:rsid w:val="001327B8"/>
    <w:rsid w:val="00133A17"/>
    <w:rsid w:val="00133CE7"/>
    <w:rsid w:val="00133F6A"/>
    <w:rsid w:val="0013454C"/>
    <w:rsid w:val="00134B67"/>
    <w:rsid w:val="00134EFE"/>
    <w:rsid w:val="001353F0"/>
    <w:rsid w:val="00135A50"/>
    <w:rsid w:val="00135D7D"/>
    <w:rsid w:val="00136C8D"/>
    <w:rsid w:val="001402AA"/>
    <w:rsid w:val="0014037E"/>
    <w:rsid w:val="00140758"/>
    <w:rsid w:val="00140AAD"/>
    <w:rsid w:val="00140CFF"/>
    <w:rsid w:val="00141CCB"/>
    <w:rsid w:val="00141D1B"/>
    <w:rsid w:val="00141E75"/>
    <w:rsid w:val="00142B3F"/>
    <w:rsid w:val="00143689"/>
    <w:rsid w:val="00143BE6"/>
    <w:rsid w:val="00143EE3"/>
    <w:rsid w:val="00145147"/>
    <w:rsid w:val="00145551"/>
    <w:rsid w:val="001455D3"/>
    <w:rsid w:val="001456B5"/>
    <w:rsid w:val="001463C1"/>
    <w:rsid w:val="00147A33"/>
    <w:rsid w:val="00147AD1"/>
    <w:rsid w:val="00147CF5"/>
    <w:rsid w:val="00147EB2"/>
    <w:rsid w:val="001503BE"/>
    <w:rsid w:val="00150798"/>
    <w:rsid w:val="001509E0"/>
    <w:rsid w:val="00150DD4"/>
    <w:rsid w:val="00150E71"/>
    <w:rsid w:val="001513DB"/>
    <w:rsid w:val="00151ADF"/>
    <w:rsid w:val="001520EF"/>
    <w:rsid w:val="001526BC"/>
    <w:rsid w:val="00153392"/>
    <w:rsid w:val="001540DE"/>
    <w:rsid w:val="00155D9D"/>
    <w:rsid w:val="001560BD"/>
    <w:rsid w:val="00156878"/>
    <w:rsid w:val="001572E1"/>
    <w:rsid w:val="00157E2E"/>
    <w:rsid w:val="00157FA7"/>
    <w:rsid w:val="001601C4"/>
    <w:rsid w:val="001604B6"/>
    <w:rsid w:val="00160828"/>
    <w:rsid w:val="001609C6"/>
    <w:rsid w:val="0016110B"/>
    <w:rsid w:val="00161C72"/>
    <w:rsid w:val="00162B4B"/>
    <w:rsid w:val="00162F2F"/>
    <w:rsid w:val="00163972"/>
    <w:rsid w:val="0016470A"/>
    <w:rsid w:val="00164B4F"/>
    <w:rsid w:val="00164D34"/>
    <w:rsid w:val="00165429"/>
    <w:rsid w:val="001658F5"/>
    <w:rsid w:val="00166B9D"/>
    <w:rsid w:val="00167FA4"/>
    <w:rsid w:val="0017024D"/>
    <w:rsid w:val="0017032A"/>
    <w:rsid w:val="00171360"/>
    <w:rsid w:val="0017155B"/>
    <w:rsid w:val="0017186C"/>
    <w:rsid w:val="00171E0C"/>
    <w:rsid w:val="0017210F"/>
    <w:rsid w:val="00172225"/>
    <w:rsid w:val="00172CC2"/>
    <w:rsid w:val="00172D61"/>
    <w:rsid w:val="001731D5"/>
    <w:rsid w:val="00173449"/>
    <w:rsid w:val="001737E5"/>
    <w:rsid w:val="00174E0D"/>
    <w:rsid w:val="00174E87"/>
    <w:rsid w:val="00175828"/>
    <w:rsid w:val="00175F02"/>
    <w:rsid w:val="00176313"/>
    <w:rsid w:val="001766A2"/>
    <w:rsid w:val="001770D8"/>
    <w:rsid w:val="00180081"/>
    <w:rsid w:val="001807CD"/>
    <w:rsid w:val="00180B93"/>
    <w:rsid w:val="001811C0"/>
    <w:rsid w:val="00182BBC"/>
    <w:rsid w:val="001833DE"/>
    <w:rsid w:val="001836D0"/>
    <w:rsid w:val="0018384D"/>
    <w:rsid w:val="00183D36"/>
    <w:rsid w:val="00184587"/>
    <w:rsid w:val="00184689"/>
    <w:rsid w:val="0018471A"/>
    <w:rsid w:val="00184785"/>
    <w:rsid w:val="00184FDC"/>
    <w:rsid w:val="001864A9"/>
    <w:rsid w:val="001865F8"/>
    <w:rsid w:val="00186CCB"/>
    <w:rsid w:val="00190541"/>
    <w:rsid w:val="001910D6"/>
    <w:rsid w:val="001918C1"/>
    <w:rsid w:val="001919B8"/>
    <w:rsid w:val="00192285"/>
    <w:rsid w:val="0019278C"/>
    <w:rsid w:val="00192D29"/>
    <w:rsid w:val="001933B6"/>
    <w:rsid w:val="00194014"/>
    <w:rsid w:val="00195C1B"/>
    <w:rsid w:val="0019629B"/>
    <w:rsid w:val="001962AD"/>
    <w:rsid w:val="00196DC6"/>
    <w:rsid w:val="00197007"/>
    <w:rsid w:val="001A01F2"/>
    <w:rsid w:val="001A0497"/>
    <w:rsid w:val="001A051B"/>
    <w:rsid w:val="001A061E"/>
    <w:rsid w:val="001A14BA"/>
    <w:rsid w:val="001A14DE"/>
    <w:rsid w:val="001A23FD"/>
    <w:rsid w:val="001A270A"/>
    <w:rsid w:val="001A2807"/>
    <w:rsid w:val="001A2DED"/>
    <w:rsid w:val="001A309A"/>
    <w:rsid w:val="001A3617"/>
    <w:rsid w:val="001A45AB"/>
    <w:rsid w:val="001A45DA"/>
    <w:rsid w:val="001A479A"/>
    <w:rsid w:val="001A4A3D"/>
    <w:rsid w:val="001A4A55"/>
    <w:rsid w:val="001A4E57"/>
    <w:rsid w:val="001A544E"/>
    <w:rsid w:val="001A61BD"/>
    <w:rsid w:val="001A74D0"/>
    <w:rsid w:val="001A7F6D"/>
    <w:rsid w:val="001B0157"/>
    <w:rsid w:val="001B0215"/>
    <w:rsid w:val="001B04A6"/>
    <w:rsid w:val="001B1D2C"/>
    <w:rsid w:val="001B2160"/>
    <w:rsid w:val="001B2692"/>
    <w:rsid w:val="001B3628"/>
    <w:rsid w:val="001B3F76"/>
    <w:rsid w:val="001B427A"/>
    <w:rsid w:val="001B4326"/>
    <w:rsid w:val="001B4462"/>
    <w:rsid w:val="001B5349"/>
    <w:rsid w:val="001B6287"/>
    <w:rsid w:val="001B68EF"/>
    <w:rsid w:val="001B7961"/>
    <w:rsid w:val="001C00BC"/>
    <w:rsid w:val="001C1124"/>
    <w:rsid w:val="001C1A7C"/>
    <w:rsid w:val="001C1EC9"/>
    <w:rsid w:val="001C1F1D"/>
    <w:rsid w:val="001C20EA"/>
    <w:rsid w:val="001C2238"/>
    <w:rsid w:val="001C229E"/>
    <w:rsid w:val="001C2AD8"/>
    <w:rsid w:val="001C38D3"/>
    <w:rsid w:val="001C3BB3"/>
    <w:rsid w:val="001C3D0C"/>
    <w:rsid w:val="001C47F6"/>
    <w:rsid w:val="001C5CE7"/>
    <w:rsid w:val="001C7066"/>
    <w:rsid w:val="001C7360"/>
    <w:rsid w:val="001C7FCD"/>
    <w:rsid w:val="001D002B"/>
    <w:rsid w:val="001D0914"/>
    <w:rsid w:val="001D0E9A"/>
    <w:rsid w:val="001D12A8"/>
    <w:rsid w:val="001D1FC2"/>
    <w:rsid w:val="001D2FED"/>
    <w:rsid w:val="001D3535"/>
    <w:rsid w:val="001D3601"/>
    <w:rsid w:val="001D43A4"/>
    <w:rsid w:val="001D43EB"/>
    <w:rsid w:val="001D48C3"/>
    <w:rsid w:val="001D4F45"/>
    <w:rsid w:val="001D531C"/>
    <w:rsid w:val="001D536C"/>
    <w:rsid w:val="001D54C8"/>
    <w:rsid w:val="001D5A03"/>
    <w:rsid w:val="001D5B13"/>
    <w:rsid w:val="001D60DC"/>
    <w:rsid w:val="001D6577"/>
    <w:rsid w:val="001D6603"/>
    <w:rsid w:val="001D6732"/>
    <w:rsid w:val="001D6F72"/>
    <w:rsid w:val="001D72B2"/>
    <w:rsid w:val="001D749D"/>
    <w:rsid w:val="001D74C1"/>
    <w:rsid w:val="001D7A82"/>
    <w:rsid w:val="001D7ADA"/>
    <w:rsid w:val="001D7C99"/>
    <w:rsid w:val="001E0C49"/>
    <w:rsid w:val="001E0DAA"/>
    <w:rsid w:val="001E1024"/>
    <w:rsid w:val="001E10B4"/>
    <w:rsid w:val="001E120A"/>
    <w:rsid w:val="001E1243"/>
    <w:rsid w:val="001E18DE"/>
    <w:rsid w:val="001E29A8"/>
    <w:rsid w:val="001E31ED"/>
    <w:rsid w:val="001E3293"/>
    <w:rsid w:val="001E4243"/>
    <w:rsid w:val="001E4375"/>
    <w:rsid w:val="001E48D7"/>
    <w:rsid w:val="001E49C7"/>
    <w:rsid w:val="001E55E3"/>
    <w:rsid w:val="001E5780"/>
    <w:rsid w:val="001E5ECE"/>
    <w:rsid w:val="001E619C"/>
    <w:rsid w:val="001E77E3"/>
    <w:rsid w:val="001E7AE5"/>
    <w:rsid w:val="001F06BB"/>
    <w:rsid w:val="001F163B"/>
    <w:rsid w:val="001F1D10"/>
    <w:rsid w:val="001F1FAD"/>
    <w:rsid w:val="001F2856"/>
    <w:rsid w:val="001F2EA4"/>
    <w:rsid w:val="001F3030"/>
    <w:rsid w:val="001F32D5"/>
    <w:rsid w:val="001F4C65"/>
    <w:rsid w:val="001F4C7E"/>
    <w:rsid w:val="001F5319"/>
    <w:rsid w:val="001F599C"/>
    <w:rsid w:val="001F5EA5"/>
    <w:rsid w:val="001F60B5"/>
    <w:rsid w:val="001F723D"/>
    <w:rsid w:val="0020003A"/>
    <w:rsid w:val="00201EDC"/>
    <w:rsid w:val="002020AE"/>
    <w:rsid w:val="00202174"/>
    <w:rsid w:val="002024F3"/>
    <w:rsid w:val="00202A5E"/>
    <w:rsid w:val="002036C0"/>
    <w:rsid w:val="002046C1"/>
    <w:rsid w:val="002053E4"/>
    <w:rsid w:val="00205B14"/>
    <w:rsid w:val="00206015"/>
    <w:rsid w:val="002061FC"/>
    <w:rsid w:val="00207612"/>
    <w:rsid w:val="00210623"/>
    <w:rsid w:val="0021088C"/>
    <w:rsid w:val="00211CF2"/>
    <w:rsid w:val="002123F6"/>
    <w:rsid w:val="0021289C"/>
    <w:rsid w:val="00212C59"/>
    <w:rsid w:val="00214103"/>
    <w:rsid w:val="002141D6"/>
    <w:rsid w:val="0021449D"/>
    <w:rsid w:val="00214531"/>
    <w:rsid w:val="0021483F"/>
    <w:rsid w:val="00214E15"/>
    <w:rsid w:val="002153F6"/>
    <w:rsid w:val="0021601B"/>
    <w:rsid w:val="002162A1"/>
    <w:rsid w:val="00216378"/>
    <w:rsid w:val="00217729"/>
    <w:rsid w:val="00220215"/>
    <w:rsid w:val="00220396"/>
    <w:rsid w:val="00220E12"/>
    <w:rsid w:val="00220EC1"/>
    <w:rsid w:val="00221111"/>
    <w:rsid w:val="002219AD"/>
    <w:rsid w:val="00222689"/>
    <w:rsid w:val="00222796"/>
    <w:rsid w:val="00222CE0"/>
    <w:rsid w:val="00223FCB"/>
    <w:rsid w:val="00225309"/>
    <w:rsid w:val="00225715"/>
    <w:rsid w:val="0022710A"/>
    <w:rsid w:val="00227C14"/>
    <w:rsid w:val="00230503"/>
    <w:rsid w:val="0023170C"/>
    <w:rsid w:val="00231C92"/>
    <w:rsid w:val="002345AC"/>
    <w:rsid w:val="0023466C"/>
    <w:rsid w:val="00234943"/>
    <w:rsid w:val="002349C9"/>
    <w:rsid w:val="00234D91"/>
    <w:rsid w:val="00234F52"/>
    <w:rsid w:val="00235183"/>
    <w:rsid w:val="00237843"/>
    <w:rsid w:val="00237E32"/>
    <w:rsid w:val="002407FF"/>
    <w:rsid w:val="00240FD7"/>
    <w:rsid w:val="00241294"/>
    <w:rsid w:val="002418FE"/>
    <w:rsid w:val="00241B80"/>
    <w:rsid w:val="0024231F"/>
    <w:rsid w:val="00242CB3"/>
    <w:rsid w:val="00243157"/>
    <w:rsid w:val="0024517E"/>
    <w:rsid w:val="0024561C"/>
    <w:rsid w:val="00245767"/>
    <w:rsid w:val="00245CDC"/>
    <w:rsid w:val="00245D3C"/>
    <w:rsid w:val="0024690D"/>
    <w:rsid w:val="00246DAE"/>
    <w:rsid w:val="00250358"/>
    <w:rsid w:val="0025052E"/>
    <w:rsid w:val="00250E90"/>
    <w:rsid w:val="002523AB"/>
    <w:rsid w:val="00252670"/>
    <w:rsid w:val="00252C0A"/>
    <w:rsid w:val="002530CE"/>
    <w:rsid w:val="002531C5"/>
    <w:rsid w:val="00253386"/>
    <w:rsid w:val="002533BC"/>
    <w:rsid w:val="00253500"/>
    <w:rsid w:val="00253AE8"/>
    <w:rsid w:val="0025486B"/>
    <w:rsid w:val="00254AB5"/>
    <w:rsid w:val="00254E70"/>
    <w:rsid w:val="00255300"/>
    <w:rsid w:val="002556C5"/>
    <w:rsid w:val="00256E8A"/>
    <w:rsid w:val="00256FEF"/>
    <w:rsid w:val="002571B8"/>
    <w:rsid w:val="00260257"/>
    <w:rsid w:val="00260DD3"/>
    <w:rsid w:val="00261322"/>
    <w:rsid w:val="00262D65"/>
    <w:rsid w:val="002630B6"/>
    <w:rsid w:val="002634F6"/>
    <w:rsid w:val="00263CF7"/>
    <w:rsid w:val="0026402E"/>
    <w:rsid w:val="00264411"/>
    <w:rsid w:val="002645CB"/>
    <w:rsid w:val="002651B0"/>
    <w:rsid w:val="002654D6"/>
    <w:rsid w:val="002658B2"/>
    <w:rsid w:val="00265CF8"/>
    <w:rsid w:val="00266829"/>
    <w:rsid w:val="002716ED"/>
    <w:rsid w:val="00271FFE"/>
    <w:rsid w:val="00272C5D"/>
    <w:rsid w:val="002733A6"/>
    <w:rsid w:val="00274204"/>
    <w:rsid w:val="00274A59"/>
    <w:rsid w:val="00274B4B"/>
    <w:rsid w:val="00274C2A"/>
    <w:rsid w:val="00274C62"/>
    <w:rsid w:val="00275800"/>
    <w:rsid w:val="00276123"/>
    <w:rsid w:val="00276ED5"/>
    <w:rsid w:val="00277C44"/>
    <w:rsid w:val="002819E2"/>
    <w:rsid w:val="00281BCE"/>
    <w:rsid w:val="00281C6D"/>
    <w:rsid w:val="00281CB8"/>
    <w:rsid w:val="00281E7D"/>
    <w:rsid w:val="002821F6"/>
    <w:rsid w:val="00282FFB"/>
    <w:rsid w:val="002834F9"/>
    <w:rsid w:val="002840D6"/>
    <w:rsid w:val="00284334"/>
    <w:rsid w:val="002849E6"/>
    <w:rsid w:val="00285C0F"/>
    <w:rsid w:val="0028622B"/>
    <w:rsid w:val="00286482"/>
    <w:rsid w:val="00286B51"/>
    <w:rsid w:val="002872A2"/>
    <w:rsid w:val="002877BD"/>
    <w:rsid w:val="00287C94"/>
    <w:rsid w:val="002904BD"/>
    <w:rsid w:val="002906AC"/>
    <w:rsid w:val="00290C1C"/>
    <w:rsid w:val="00290E73"/>
    <w:rsid w:val="002916C3"/>
    <w:rsid w:val="00292B39"/>
    <w:rsid w:val="00292B6B"/>
    <w:rsid w:val="00292F77"/>
    <w:rsid w:val="002958A3"/>
    <w:rsid w:val="00295BC6"/>
    <w:rsid w:val="00295FD0"/>
    <w:rsid w:val="00296994"/>
    <w:rsid w:val="00296DE6"/>
    <w:rsid w:val="0029778B"/>
    <w:rsid w:val="002A0009"/>
    <w:rsid w:val="002A22DB"/>
    <w:rsid w:val="002A24E1"/>
    <w:rsid w:val="002A31E3"/>
    <w:rsid w:val="002A3505"/>
    <w:rsid w:val="002A3940"/>
    <w:rsid w:val="002A3CD5"/>
    <w:rsid w:val="002A49DF"/>
    <w:rsid w:val="002A5350"/>
    <w:rsid w:val="002A5D22"/>
    <w:rsid w:val="002A6180"/>
    <w:rsid w:val="002A6C67"/>
    <w:rsid w:val="002A6E7D"/>
    <w:rsid w:val="002A7512"/>
    <w:rsid w:val="002A7E51"/>
    <w:rsid w:val="002B0CFB"/>
    <w:rsid w:val="002B2EFE"/>
    <w:rsid w:val="002B337C"/>
    <w:rsid w:val="002B44D9"/>
    <w:rsid w:val="002B4C85"/>
    <w:rsid w:val="002B513A"/>
    <w:rsid w:val="002B597B"/>
    <w:rsid w:val="002B5C5F"/>
    <w:rsid w:val="002B7856"/>
    <w:rsid w:val="002C0148"/>
    <w:rsid w:val="002C0409"/>
    <w:rsid w:val="002C084F"/>
    <w:rsid w:val="002C103E"/>
    <w:rsid w:val="002C1336"/>
    <w:rsid w:val="002C1942"/>
    <w:rsid w:val="002C2AAF"/>
    <w:rsid w:val="002C3170"/>
    <w:rsid w:val="002C34E7"/>
    <w:rsid w:val="002C3B11"/>
    <w:rsid w:val="002C4BAA"/>
    <w:rsid w:val="002C4E6B"/>
    <w:rsid w:val="002C5C3A"/>
    <w:rsid w:val="002C7343"/>
    <w:rsid w:val="002C781B"/>
    <w:rsid w:val="002C7970"/>
    <w:rsid w:val="002D06FA"/>
    <w:rsid w:val="002D10FB"/>
    <w:rsid w:val="002D1AEE"/>
    <w:rsid w:val="002D212A"/>
    <w:rsid w:val="002D2DAD"/>
    <w:rsid w:val="002D3AB6"/>
    <w:rsid w:val="002D425C"/>
    <w:rsid w:val="002D47D3"/>
    <w:rsid w:val="002D488C"/>
    <w:rsid w:val="002D4907"/>
    <w:rsid w:val="002D6300"/>
    <w:rsid w:val="002D6436"/>
    <w:rsid w:val="002D7DBE"/>
    <w:rsid w:val="002D7F3F"/>
    <w:rsid w:val="002E021B"/>
    <w:rsid w:val="002E02D6"/>
    <w:rsid w:val="002E0EDD"/>
    <w:rsid w:val="002E106F"/>
    <w:rsid w:val="002E1172"/>
    <w:rsid w:val="002E1ADC"/>
    <w:rsid w:val="002E1ECC"/>
    <w:rsid w:val="002E1FC9"/>
    <w:rsid w:val="002E2C12"/>
    <w:rsid w:val="002E2EFD"/>
    <w:rsid w:val="002E3CB2"/>
    <w:rsid w:val="002E420F"/>
    <w:rsid w:val="002E4CED"/>
    <w:rsid w:val="002E50DC"/>
    <w:rsid w:val="002E52C5"/>
    <w:rsid w:val="002E6DDE"/>
    <w:rsid w:val="002E7320"/>
    <w:rsid w:val="002E778B"/>
    <w:rsid w:val="002E7B08"/>
    <w:rsid w:val="002E7F6B"/>
    <w:rsid w:val="002F0511"/>
    <w:rsid w:val="002F0A2C"/>
    <w:rsid w:val="002F12A4"/>
    <w:rsid w:val="002F1530"/>
    <w:rsid w:val="002F1C11"/>
    <w:rsid w:val="002F2020"/>
    <w:rsid w:val="002F32AD"/>
    <w:rsid w:val="002F3424"/>
    <w:rsid w:val="002F36BC"/>
    <w:rsid w:val="002F42E6"/>
    <w:rsid w:val="002F4B8F"/>
    <w:rsid w:val="002F4EFF"/>
    <w:rsid w:val="002F5344"/>
    <w:rsid w:val="002F728A"/>
    <w:rsid w:val="002F7808"/>
    <w:rsid w:val="002F79AF"/>
    <w:rsid w:val="00300775"/>
    <w:rsid w:val="0030143E"/>
    <w:rsid w:val="003015E0"/>
    <w:rsid w:val="00302319"/>
    <w:rsid w:val="003023E7"/>
    <w:rsid w:val="00302554"/>
    <w:rsid w:val="00303A3A"/>
    <w:rsid w:val="00303E38"/>
    <w:rsid w:val="00303FFD"/>
    <w:rsid w:val="0030484C"/>
    <w:rsid w:val="00304B15"/>
    <w:rsid w:val="00305AB2"/>
    <w:rsid w:val="00305C49"/>
    <w:rsid w:val="00305F13"/>
    <w:rsid w:val="003060A5"/>
    <w:rsid w:val="003064EB"/>
    <w:rsid w:val="003066B0"/>
    <w:rsid w:val="00306BE1"/>
    <w:rsid w:val="00306CAC"/>
    <w:rsid w:val="00307776"/>
    <w:rsid w:val="00307989"/>
    <w:rsid w:val="00307E97"/>
    <w:rsid w:val="003101E0"/>
    <w:rsid w:val="003104C9"/>
    <w:rsid w:val="00310923"/>
    <w:rsid w:val="003110BA"/>
    <w:rsid w:val="003116FB"/>
    <w:rsid w:val="0031170A"/>
    <w:rsid w:val="00311BEA"/>
    <w:rsid w:val="00311CFA"/>
    <w:rsid w:val="00311EC9"/>
    <w:rsid w:val="00311F0B"/>
    <w:rsid w:val="00312637"/>
    <w:rsid w:val="00312AF4"/>
    <w:rsid w:val="00312B06"/>
    <w:rsid w:val="00312BD4"/>
    <w:rsid w:val="00312C97"/>
    <w:rsid w:val="00313295"/>
    <w:rsid w:val="003135F0"/>
    <w:rsid w:val="003137ED"/>
    <w:rsid w:val="003138AD"/>
    <w:rsid w:val="00313A52"/>
    <w:rsid w:val="00313E6D"/>
    <w:rsid w:val="003141E5"/>
    <w:rsid w:val="003142BB"/>
    <w:rsid w:val="00314330"/>
    <w:rsid w:val="00315318"/>
    <w:rsid w:val="00316D71"/>
    <w:rsid w:val="003170DF"/>
    <w:rsid w:val="00317312"/>
    <w:rsid w:val="003176A2"/>
    <w:rsid w:val="00320338"/>
    <w:rsid w:val="00320A53"/>
    <w:rsid w:val="00320FD1"/>
    <w:rsid w:val="003212C9"/>
    <w:rsid w:val="0032375A"/>
    <w:rsid w:val="00324B4D"/>
    <w:rsid w:val="0032549E"/>
    <w:rsid w:val="0032575F"/>
    <w:rsid w:val="0032613A"/>
    <w:rsid w:val="00327708"/>
    <w:rsid w:val="003307C5"/>
    <w:rsid w:val="00330A8B"/>
    <w:rsid w:val="00331624"/>
    <w:rsid w:val="00332C20"/>
    <w:rsid w:val="00332E5E"/>
    <w:rsid w:val="00333CD2"/>
    <w:rsid w:val="00334582"/>
    <w:rsid w:val="00336230"/>
    <w:rsid w:val="00336681"/>
    <w:rsid w:val="00336CF6"/>
    <w:rsid w:val="0033752F"/>
    <w:rsid w:val="003378F2"/>
    <w:rsid w:val="003405BB"/>
    <w:rsid w:val="00340919"/>
    <w:rsid w:val="003417C6"/>
    <w:rsid w:val="003417E4"/>
    <w:rsid w:val="00341D08"/>
    <w:rsid w:val="003420AE"/>
    <w:rsid w:val="00342343"/>
    <w:rsid w:val="00342D30"/>
    <w:rsid w:val="003436FB"/>
    <w:rsid w:val="0034447E"/>
    <w:rsid w:val="00344C2C"/>
    <w:rsid w:val="00345C03"/>
    <w:rsid w:val="00346F1E"/>
    <w:rsid w:val="00346FD3"/>
    <w:rsid w:val="00347540"/>
    <w:rsid w:val="003476A3"/>
    <w:rsid w:val="00347F48"/>
    <w:rsid w:val="003504D9"/>
    <w:rsid w:val="003512B0"/>
    <w:rsid w:val="003518D8"/>
    <w:rsid w:val="00351D06"/>
    <w:rsid w:val="00351F55"/>
    <w:rsid w:val="0035267F"/>
    <w:rsid w:val="00352775"/>
    <w:rsid w:val="00352895"/>
    <w:rsid w:val="0035329D"/>
    <w:rsid w:val="00353B6F"/>
    <w:rsid w:val="0035484A"/>
    <w:rsid w:val="00354A30"/>
    <w:rsid w:val="00354C3F"/>
    <w:rsid w:val="00355F6C"/>
    <w:rsid w:val="00355FB6"/>
    <w:rsid w:val="00356A72"/>
    <w:rsid w:val="00357D47"/>
    <w:rsid w:val="003604E2"/>
    <w:rsid w:val="00360540"/>
    <w:rsid w:val="0036232F"/>
    <w:rsid w:val="003623E9"/>
    <w:rsid w:val="00362585"/>
    <w:rsid w:val="003628D5"/>
    <w:rsid w:val="00363136"/>
    <w:rsid w:val="00363FA7"/>
    <w:rsid w:val="00364060"/>
    <w:rsid w:val="00364826"/>
    <w:rsid w:val="00364B7D"/>
    <w:rsid w:val="00364E86"/>
    <w:rsid w:val="003667E2"/>
    <w:rsid w:val="00366B96"/>
    <w:rsid w:val="00366EEB"/>
    <w:rsid w:val="00367D0E"/>
    <w:rsid w:val="0037124A"/>
    <w:rsid w:val="00371A04"/>
    <w:rsid w:val="00371D18"/>
    <w:rsid w:val="00372061"/>
    <w:rsid w:val="00372BC4"/>
    <w:rsid w:val="00373253"/>
    <w:rsid w:val="003738E4"/>
    <w:rsid w:val="00373A20"/>
    <w:rsid w:val="00373D18"/>
    <w:rsid w:val="003749C4"/>
    <w:rsid w:val="003754BF"/>
    <w:rsid w:val="003769AF"/>
    <w:rsid w:val="00376D6F"/>
    <w:rsid w:val="003773D0"/>
    <w:rsid w:val="003800C5"/>
    <w:rsid w:val="00380F4E"/>
    <w:rsid w:val="00381A29"/>
    <w:rsid w:val="00381DE0"/>
    <w:rsid w:val="00382508"/>
    <w:rsid w:val="0038252E"/>
    <w:rsid w:val="00383191"/>
    <w:rsid w:val="00383A95"/>
    <w:rsid w:val="00383AB5"/>
    <w:rsid w:val="003848CE"/>
    <w:rsid w:val="00385047"/>
    <w:rsid w:val="003868DE"/>
    <w:rsid w:val="00391289"/>
    <w:rsid w:val="003917C1"/>
    <w:rsid w:val="00391E30"/>
    <w:rsid w:val="0039289C"/>
    <w:rsid w:val="00392F60"/>
    <w:rsid w:val="00393454"/>
    <w:rsid w:val="00393940"/>
    <w:rsid w:val="003943C6"/>
    <w:rsid w:val="003946F1"/>
    <w:rsid w:val="0039470E"/>
    <w:rsid w:val="003947D7"/>
    <w:rsid w:val="00394D7C"/>
    <w:rsid w:val="00396800"/>
    <w:rsid w:val="00397772"/>
    <w:rsid w:val="00397A3C"/>
    <w:rsid w:val="00397AF2"/>
    <w:rsid w:val="003A05B7"/>
    <w:rsid w:val="003A1FB3"/>
    <w:rsid w:val="003A2595"/>
    <w:rsid w:val="003A2889"/>
    <w:rsid w:val="003A2DE6"/>
    <w:rsid w:val="003A3BC7"/>
    <w:rsid w:val="003A4C13"/>
    <w:rsid w:val="003A4EB8"/>
    <w:rsid w:val="003A5EC4"/>
    <w:rsid w:val="003A65E5"/>
    <w:rsid w:val="003A70A5"/>
    <w:rsid w:val="003A7B01"/>
    <w:rsid w:val="003A7BCD"/>
    <w:rsid w:val="003B05A0"/>
    <w:rsid w:val="003B07E0"/>
    <w:rsid w:val="003B0898"/>
    <w:rsid w:val="003B0BAA"/>
    <w:rsid w:val="003B1990"/>
    <w:rsid w:val="003B208C"/>
    <w:rsid w:val="003B25A9"/>
    <w:rsid w:val="003B3846"/>
    <w:rsid w:val="003B4E96"/>
    <w:rsid w:val="003B4F0A"/>
    <w:rsid w:val="003B5081"/>
    <w:rsid w:val="003B58F9"/>
    <w:rsid w:val="003B75F4"/>
    <w:rsid w:val="003B767C"/>
    <w:rsid w:val="003B7DFE"/>
    <w:rsid w:val="003C086B"/>
    <w:rsid w:val="003C127B"/>
    <w:rsid w:val="003C23D5"/>
    <w:rsid w:val="003C2A85"/>
    <w:rsid w:val="003C2D81"/>
    <w:rsid w:val="003C3AC5"/>
    <w:rsid w:val="003C4042"/>
    <w:rsid w:val="003C492F"/>
    <w:rsid w:val="003C49B6"/>
    <w:rsid w:val="003C5003"/>
    <w:rsid w:val="003C5F66"/>
    <w:rsid w:val="003C6A3C"/>
    <w:rsid w:val="003C6D92"/>
    <w:rsid w:val="003C71FA"/>
    <w:rsid w:val="003D0F31"/>
    <w:rsid w:val="003D1517"/>
    <w:rsid w:val="003D1CED"/>
    <w:rsid w:val="003D2445"/>
    <w:rsid w:val="003D3F90"/>
    <w:rsid w:val="003D4405"/>
    <w:rsid w:val="003D47D6"/>
    <w:rsid w:val="003D4FF4"/>
    <w:rsid w:val="003D50B9"/>
    <w:rsid w:val="003D63F3"/>
    <w:rsid w:val="003D6791"/>
    <w:rsid w:val="003D71C6"/>
    <w:rsid w:val="003D775E"/>
    <w:rsid w:val="003E0399"/>
    <w:rsid w:val="003E052F"/>
    <w:rsid w:val="003E05EC"/>
    <w:rsid w:val="003E12A5"/>
    <w:rsid w:val="003E1302"/>
    <w:rsid w:val="003E1C29"/>
    <w:rsid w:val="003E264F"/>
    <w:rsid w:val="003E2C66"/>
    <w:rsid w:val="003E4458"/>
    <w:rsid w:val="003E6ADD"/>
    <w:rsid w:val="003E6DF7"/>
    <w:rsid w:val="003E73B9"/>
    <w:rsid w:val="003E7BE9"/>
    <w:rsid w:val="003E7C81"/>
    <w:rsid w:val="003E7E55"/>
    <w:rsid w:val="003E7F51"/>
    <w:rsid w:val="003F02B7"/>
    <w:rsid w:val="003F09A1"/>
    <w:rsid w:val="003F1B79"/>
    <w:rsid w:val="003F2817"/>
    <w:rsid w:val="003F3155"/>
    <w:rsid w:val="003F3819"/>
    <w:rsid w:val="003F3885"/>
    <w:rsid w:val="003F3D19"/>
    <w:rsid w:val="003F4CB6"/>
    <w:rsid w:val="003F4FBE"/>
    <w:rsid w:val="003F5D42"/>
    <w:rsid w:val="003F5D5C"/>
    <w:rsid w:val="003F5DE2"/>
    <w:rsid w:val="003F6803"/>
    <w:rsid w:val="003F6EC7"/>
    <w:rsid w:val="003F7B48"/>
    <w:rsid w:val="003F7B8E"/>
    <w:rsid w:val="00400524"/>
    <w:rsid w:val="00400BA2"/>
    <w:rsid w:val="00400C68"/>
    <w:rsid w:val="00401191"/>
    <w:rsid w:val="004017DC"/>
    <w:rsid w:val="004021B7"/>
    <w:rsid w:val="004028D9"/>
    <w:rsid w:val="00402C8E"/>
    <w:rsid w:val="00402DA2"/>
    <w:rsid w:val="0040377B"/>
    <w:rsid w:val="0040383F"/>
    <w:rsid w:val="00403B80"/>
    <w:rsid w:val="004041A2"/>
    <w:rsid w:val="0040423B"/>
    <w:rsid w:val="00406339"/>
    <w:rsid w:val="004066EB"/>
    <w:rsid w:val="00407010"/>
    <w:rsid w:val="00407210"/>
    <w:rsid w:val="00410CDE"/>
    <w:rsid w:val="0041145A"/>
    <w:rsid w:val="00411826"/>
    <w:rsid w:val="00411FCC"/>
    <w:rsid w:val="0041208F"/>
    <w:rsid w:val="00412537"/>
    <w:rsid w:val="00412B8E"/>
    <w:rsid w:val="00414337"/>
    <w:rsid w:val="00415820"/>
    <w:rsid w:val="00415C0F"/>
    <w:rsid w:val="004160E7"/>
    <w:rsid w:val="0041670C"/>
    <w:rsid w:val="00416E38"/>
    <w:rsid w:val="00417192"/>
    <w:rsid w:val="0041732B"/>
    <w:rsid w:val="004174DD"/>
    <w:rsid w:val="0042165E"/>
    <w:rsid w:val="00422224"/>
    <w:rsid w:val="004224E9"/>
    <w:rsid w:val="004226CF"/>
    <w:rsid w:val="004227AE"/>
    <w:rsid w:val="004227F1"/>
    <w:rsid w:val="00422B33"/>
    <w:rsid w:val="00422CEB"/>
    <w:rsid w:val="00422DD7"/>
    <w:rsid w:val="00422F7C"/>
    <w:rsid w:val="00423A5F"/>
    <w:rsid w:val="0042617C"/>
    <w:rsid w:val="004264D2"/>
    <w:rsid w:val="00426E08"/>
    <w:rsid w:val="0042719D"/>
    <w:rsid w:val="0042731A"/>
    <w:rsid w:val="00427428"/>
    <w:rsid w:val="004276B3"/>
    <w:rsid w:val="004301C9"/>
    <w:rsid w:val="00430385"/>
    <w:rsid w:val="0043172D"/>
    <w:rsid w:val="004318AA"/>
    <w:rsid w:val="00431EDD"/>
    <w:rsid w:val="0043383A"/>
    <w:rsid w:val="004338C4"/>
    <w:rsid w:val="004339B3"/>
    <w:rsid w:val="00433DDE"/>
    <w:rsid w:val="00433FBD"/>
    <w:rsid w:val="004340E7"/>
    <w:rsid w:val="004349E5"/>
    <w:rsid w:val="004353D3"/>
    <w:rsid w:val="00435614"/>
    <w:rsid w:val="00435731"/>
    <w:rsid w:val="0043612F"/>
    <w:rsid w:val="00436EA8"/>
    <w:rsid w:val="00441240"/>
    <w:rsid w:val="004418CE"/>
    <w:rsid w:val="00441C68"/>
    <w:rsid w:val="00441F1D"/>
    <w:rsid w:val="004429A3"/>
    <w:rsid w:val="00442C33"/>
    <w:rsid w:val="00442D41"/>
    <w:rsid w:val="004431CB"/>
    <w:rsid w:val="00443B03"/>
    <w:rsid w:val="00444BB8"/>
    <w:rsid w:val="00447119"/>
    <w:rsid w:val="004476E9"/>
    <w:rsid w:val="004477BA"/>
    <w:rsid w:val="00447D93"/>
    <w:rsid w:val="004500F5"/>
    <w:rsid w:val="0045099F"/>
    <w:rsid w:val="0045114A"/>
    <w:rsid w:val="00451F37"/>
    <w:rsid w:val="00452DA9"/>
    <w:rsid w:val="00454068"/>
    <w:rsid w:val="00454DA0"/>
    <w:rsid w:val="004563EC"/>
    <w:rsid w:val="00456BDC"/>
    <w:rsid w:val="00456F44"/>
    <w:rsid w:val="00457060"/>
    <w:rsid w:val="00457254"/>
    <w:rsid w:val="0045755E"/>
    <w:rsid w:val="00457859"/>
    <w:rsid w:val="004602CD"/>
    <w:rsid w:val="00460919"/>
    <w:rsid w:val="004617C4"/>
    <w:rsid w:val="00461A70"/>
    <w:rsid w:val="00461E5F"/>
    <w:rsid w:val="004627A4"/>
    <w:rsid w:val="00462B08"/>
    <w:rsid w:val="004630D2"/>
    <w:rsid w:val="004631BA"/>
    <w:rsid w:val="004632CD"/>
    <w:rsid w:val="00463CC9"/>
    <w:rsid w:val="00463D10"/>
    <w:rsid w:val="00465695"/>
    <w:rsid w:val="00465779"/>
    <w:rsid w:val="0046625F"/>
    <w:rsid w:val="004662AA"/>
    <w:rsid w:val="004662D1"/>
    <w:rsid w:val="004664FC"/>
    <w:rsid w:val="004672F5"/>
    <w:rsid w:val="00467579"/>
    <w:rsid w:val="004677D7"/>
    <w:rsid w:val="004705C8"/>
    <w:rsid w:val="00470FA0"/>
    <w:rsid w:val="0047224D"/>
    <w:rsid w:val="0047286A"/>
    <w:rsid w:val="00472B6F"/>
    <w:rsid w:val="00472E5F"/>
    <w:rsid w:val="00473716"/>
    <w:rsid w:val="00473DAE"/>
    <w:rsid w:val="00473E62"/>
    <w:rsid w:val="00473E97"/>
    <w:rsid w:val="0047459C"/>
    <w:rsid w:val="00474AB5"/>
    <w:rsid w:val="004751A5"/>
    <w:rsid w:val="00475401"/>
    <w:rsid w:val="00475CFF"/>
    <w:rsid w:val="00476216"/>
    <w:rsid w:val="00476AA4"/>
    <w:rsid w:val="00476BF4"/>
    <w:rsid w:val="0047705A"/>
    <w:rsid w:val="004775BC"/>
    <w:rsid w:val="004776E6"/>
    <w:rsid w:val="00481574"/>
    <w:rsid w:val="00481D05"/>
    <w:rsid w:val="00481D64"/>
    <w:rsid w:val="004820E1"/>
    <w:rsid w:val="00482319"/>
    <w:rsid w:val="004823C9"/>
    <w:rsid w:val="0048295F"/>
    <w:rsid w:val="00482B26"/>
    <w:rsid w:val="0048327B"/>
    <w:rsid w:val="004843A2"/>
    <w:rsid w:val="004845AC"/>
    <w:rsid w:val="00484815"/>
    <w:rsid w:val="00484FAF"/>
    <w:rsid w:val="004856C6"/>
    <w:rsid w:val="00485BF8"/>
    <w:rsid w:val="004864D5"/>
    <w:rsid w:val="004868A2"/>
    <w:rsid w:val="00486E1A"/>
    <w:rsid w:val="00487179"/>
    <w:rsid w:val="00487CB9"/>
    <w:rsid w:val="00490497"/>
    <w:rsid w:val="00490C14"/>
    <w:rsid w:val="00491999"/>
    <w:rsid w:val="004920D9"/>
    <w:rsid w:val="00492FC0"/>
    <w:rsid w:val="0049311E"/>
    <w:rsid w:val="00493556"/>
    <w:rsid w:val="00493692"/>
    <w:rsid w:val="00494432"/>
    <w:rsid w:val="00494D87"/>
    <w:rsid w:val="004951AF"/>
    <w:rsid w:val="00495CA9"/>
    <w:rsid w:val="00496082"/>
    <w:rsid w:val="00496156"/>
    <w:rsid w:val="004963B9"/>
    <w:rsid w:val="00496D24"/>
    <w:rsid w:val="00496ED7"/>
    <w:rsid w:val="00497DE6"/>
    <w:rsid w:val="004A0509"/>
    <w:rsid w:val="004A0F7E"/>
    <w:rsid w:val="004A1502"/>
    <w:rsid w:val="004A1655"/>
    <w:rsid w:val="004A19B3"/>
    <w:rsid w:val="004A2A58"/>
    <w:rsid w:val="004A2E5C"/>
    <w:rsid w:val="004A3D95"/>
    <w:rsid w:val="004A418C"/>
    <w:rsid w:val="004A4ED8"/>
    <w:rsid w:val="004A57D9"/>
    <w:rsid w:val="004A623D"/>
    <w:rsid w:val="004A63E7"/>
    <w:rsid w:val="004A6432"/>
    <w:rsid w:val="004A67CF"/>
    <w:rsid w:val="004A69DA"/>
    <w:rsid w:val="004A6E64"/>
    <w:rsid w:val="004A7035"/>
    <w:rsid w:val="004B002D"/>
    <w:rsid w:val="004B10ED"/>
    <w:rsid w:val="004B1A16"/>
    <w:rsid w:val="004B1F4B"/>
    <w:rsid w:val="004B2A1D"/>
    <w:rsid w:val="004B3385"/>
    <w:rsid w:val="004B3460"/>
    <w:rsid w:val="004B3FF7"/>
    <w:rsid w:val="004B45C7"/>
    <w:rsid w:val="004B4CBB"/>
    <w:rsid w:val="004B4E54"/>
    <w:rsid w:val="004B5F46"/>
    <w:rsid w:val="004B6157"/>
    <w:rsid w:val="004B6483"/>
    <w:rsid w:val="004B7B8A"/>
    <w:rsid w:val="004B7F42"/>
    <w:rsid w:val="004C0A8B"/>
    <w:rsid w:val="004C1F8B"/>
    <w:rsid w:val="004C22E9"/>
    <w:rsid w:val="004C23F2"/>
    <w:rsid w:val="004C2AC6"/>
    <w:rsid w:val="004C2B8D"/>
    <w:rsid w:val="004C2DF5"/>
    <w:rsid w:val="004C3235"/>
    <w:rsid w:val="004C3A98"/>
    <w:rsid w:val="004C4139"/>
    <w:rsid w:val="004C46C1"/>
    <w:rsid w:val="004C4B71"/>
    <w:rsid w:val="004C5E3F"/>
    <w:rsid w:val="004C6860"/>
    <w:rsid w:val="004C6FE0"/>
    <w:rsid w:val="004C7348"/>
    <w:rsid w:val="004C7877"/>
    <w:rsid w:val="004D02CF"/>
    <w:rsid w:val="004D1730"/>
    <w:rsid w:val="004D17C4"/>
    <w:rsid w:val="004D1964"/>
    <w:rsid w:val="004D2269"/>
    <w:rsid w:val="004D3398"/>
    <w:rsid w:val="004D3534"/>
    <w:rsid w:val="004D36E6"/>
    <w:rsid w:val="004D3ECD"/>
    <w:rsid w:val="004D4AE9"/>
    <w:rsid w:val="004D6031"/>
    <w:rsid w:val="004D6555"/>
    <w:rsid w:val="004D6DC6"/>
    <w:rsid w:val="004D6E9B"/>
    <w:rsid w:val="004E00AA"/>
    <w:rsid w:val="004E02A8"/>
    <w:rsid w:val="004E0EF8"/>
    <w:rsid w:val="004E11D7"/>
    <w:rsid w:val="004E1D0E"/>
    <w:rsid w:val="004E1E4D"/>
    <w:rsid w:val="004E1ED0"/>
    <w:rsid w:val="004E2EA4"/>
    <w:rsid w:val="004E30B8"/>
    <w:rsid w:val="004E457E"/>
    <w:rsid w:val="004E5334"/>
    <w:rsid w:val="004E55D2"/>
    <w:rsid w:val="004E5CDC"/>
    <w:rsid w:val="004E7C63"/>
    <w:rsid w:val="004F0CCD"/>
    <w:rsid w:val="004F29A1"/>
    <w:rsid w:val="004F4859"/>
    <w:rsid w:val="004F48A6"/>
    <w:rsid w:val="004F4CBA"/>
    <w:rsid w:val="004F5556"/>
    <w:rsid w:val="004F5B3C"/>
    <w:rsid w:val="004F60C9"/>
    <w:rsid w:val="004F63FE"/>
    <w:rsid w:val="004F680E"/>
    <w:rsid w:val="004F6BCA"/>
    <w:rsid w:val="004F6EF6"/>
    <w:rsid w:val="004F7286"/>
    <w:rsid w:val="004F738B"/>
    <w:rsid w:val="0050005C"/>
    <w:rsid w:val="00500900"/>
    <w:rsid w:val="00500B26"/>
    <w:rsid w:val="00501BF2"/>
    <w:rsid w:val="00503432"/>
    <w:rsid w:val="00503C93"/>
    <w:rsid w:val="00504EA6"/>
    <w:rsid w:val="00505594"/>
    <w:rsid w:val="0050576E"/>
    <w:rsid w:val="005062E6"/>
    <w:rsid w:val="00506A88"/>
    <w:rsid w:val="00506B27"/>
    <w:rsid w:val="00507254"/>
    <w:rsid w:val="0051112D"/>
    <w:rsid w:val="00511F12"/>
    <w:rsid w:val="00512123"/>
    <w:rsid w:val="00512866"/>
    <w:rsid w:val="005128C3"/>
    <w:rsid w:val="00512A4C"/>
    <w:rsid w:val="00512C04"/>
    <w:rsid w:val="005130FF"/>
    <w:rsid w:val="00513B05"/>
    <w:rsid w:val="005146E4"/>
    <w:rsid w:val="005148D8"/>
    <w:rsid w:val="00514AF7"/>
    <w:rsid w:val="00515979"/>
    <w:rsid w:val="00516264"/>
    <w:rsid w:val="005162B5"/>
    <w:rsid w:val="00516353"/>
    <w:rsid w:val="00516813"/>
    <w:rsid w:val="00516FAD"/>
    <w:rsid w:val="005204E5"/>
    <w:rsid w:val="005209EC"/>
    <w:rsid w:val="00520DC3"/>
    <w:rsid w:val="005212BC"/>
    <w:rsid w:val="005214A4"/>
    <w:rsid w:val="005216A2"/>
    <w:rsid w:val="00522022"/>
    <w:rsid w:val="00522958"/>
    <w:rsid w:val="00522E9A"/>
    <w:rsid w:val="005230D8"/>
    <w:rsid w:val="005238B1"/>
    <w:rsid w:val="00523EC6"/>
    <w:rsid w:val="00523F17"/>
    <w:rsid w:val="0052408A"/>
    <w:rsid w:val="0052442B"/>
    <w:rsid w:val="00524821"/>
    <w:rsid w:val="005250A5"/>
    <w:rsid w:val="0052589A"/>
    <w:rsid w:val="00526136"/>
    <w:rsid w:val="00526A6C"/>
    <w:rsid w:val="005277D5"/>
    <w:rsid w:val="00527EB7"/>
    <w:rsid w:val="00530271"/>
    <w:rsid w:val="00530D1C"/>
    <w:rsid w:val="00530EDF"/>
    <w:rsid w:val="005314EF"/>
    <w:rsid w:val="00531A12"/>
    <w:rsid w:val="00531F02"/>
    <w:rsid w:val="005320FF"/>
    <w:rsid w:val="0053212E"/>
    <w:rsid w:val="00532318"/>
    <w:rsid w:val="005326C9"/>
    <w:rsid w:val="005327A4"/>
    <w:rsid w:val="00532868"/>
    <w:rsid w:val="005329E6"/>
    <w:rsid w:val="005330FA"/>
    <w:rsid w:val="005332FD"/>
    <w:rsid w:val="0053439F"/>
    <w:rsid w:val="00534A72"/>
    <w:rsid w:val="005351E3"/>
    <w:rsid w:val="00535768"/>
    <w:rsid w:val="00536911"/>
    <w:rsid w:val="0053768C"/>
    <w:rsid w:val="00537C83"/>
    <w:rsid w:val="00540141"/>
    <w:rsid w:val="00540389"/>
    <w:rsid w:val="00540666"/>
    <w:rsid w:val="00541058"/>
    <w:rsid w:val="00541871"/>
    <w:rsid w:val="005431A3"/>
    <w:rsid w:val="00543CE4"/>
    <w:rsid w:val="005443D0"/>
    <w:rsid w:val="00544A2D"/>
    <w:rsid w:val="00546893"/>
    <w:rsid w:val="0054711A"/>
    <w:rsid w:val="00550C23"/>
    <w:rsid w:val="00553729"/>
    <w:rsid w:val="005540F4"/>
    <w:rsid w:val="0055451B"/>
    <w:rsid w:val="00555771"/>
    <w:rsid w:val="00555ECE"/>
    <w:rsid w:val="00556580"/>
    <w:rsid w:val="00557193"/>
    <w:rsid w:val="00557372"/>
    <w:rsid w:val="00557F30"/>
    <w:rsid w:val="00557F4B"/>
    <w:rsid w:val="00560FE4"/>
    <w:rsid w:val="005611D3"/>
    <w:rsid w:val="005619A7"/>
    <w:rsid w:val="00561AD7"/>
    <w:rsid w:val="00561F3A"/>
    <w:rsid w:val="005628DE"/>
    <w:rsid w:val="00562E9A"/>
    <w:rsid w:val="00563B75"/>
    <w:rsid w:val="00563E83"/>
    <w:rsid w:val="0056401D"/>
    <w:rsid w:val="00564DA7"/>
    <w:rsid w:val="00564DE2"/>
    <w:rsid w:val="00565533"/>
    <w:rsid w:val="0056584A"/>
    <w:rsid w:val="00565881"/>
    <w:rsid w:val="00565A5E"/>
    <w:rsid w:val="00565CCB"/>
    <w:rsid w:val="00566A90"/>
    <w:rsid w:val="00567C14"/>
    <w:rsid w:val="00567D45"/>
    <w:rsid w:val="005700D4"/>
    <w:rsid w:val="00570888"/>
    <w:rsid w:val="00570895"/>
    <w:rsid w:val="00571551"/>
    <w:rsid w:val="0057170E"/>
    <w:rsid w:val="00571789"/>
    <w:rsid w:val="005722CE"/>
    <w:rsid w:val="0057262B"/>
    <w:rsid w:val="00572DB6"/>
    <w:rsid w:val="00573467"/>
    <w:rsid w:val="005738BC"/>
    <w:rsid w:val="005739F6"/>
    <w:rsid w:val="00573D41"/>
    <w:rsid w:val="00573FBA"/>
    <w:rsid w:val="00574402"/>
    <w:rsid w:val="00574973"/>
    <w:rsid w:val="00574B62"/>
    <w:rsid w:val="005753D7"/>
    <w:rsid w:val="005754EC"/>
    <w:rsid w:val="00575513"/>
    <w:rsid w:val="00576B73"/>
    <w:rsid w:val="00577151"/>
    <w:rsid w:val="005778B3"/>
    <w:rsid w:val="00577AC2"/>
    <w:rsid w:val="00580352"/>
    <w:rsid w:val="00581A5D"/>
    <w:rsid w:val="00583C71"/>
    <w:rsid w:val="00583E16"/>
    <w:rsid w:val="00585A0B"/>
    <w:rsid w:val="00585B09"/>
    <w:rsid w:val="00585D45"/>
    <w:rsid w:val="00586E92"/>
    <w:rsid w:val="00590CCB"/>
    <w:rsid w:val="00590DD8"/>
    <w:rsid w:val="00591935"/>
    <w:rsid w:val="00592118"/>
    <w:rsid w:val="005927BF"/>
    <w:rsid w:val="005936EF"/>
    <w:rsid w:val="005943BE"/>
    <w:rsid w:val="005947C8"/>
    <w:rsid w:val="00594CBA"/>
    <w:rsid w:val="005956BB"/>
    <w:rsid w:val="0059573F"/>
    <w:rsid w:val="00596AAB"/>
    <w:rsid w:val="0059713D"/>
    <w:rsid w:val="00597CC4"/>
    <w:rsid w:val="005A12BC"/>
    <w:rsid w:val="005A15D6"/>
    <w:rsid w:val="005A1DCB"/>
    <w:rsid w:val="005A2344"/>
    <w:rsid w:val="005A2555"/>
    <w:rsid w:val="005A2845"/>
    <w:rsid w:val="005A3445"/>
    <w:rsid w:val="005A4134"/>
    <w:rsid w:val="005A50D8"/>
    <w:rsid w:val="005A53DC"/>
    <w:rsid w:val="005A5919"/>
    <w:rsid w:val="005A59E7"/>
    <w:rsid w:val="005A66F9"/>
    <w:rsid w:val="005A68CC"/>
    <w:rsid w:val="005A6A5F"/>
    <w:rsid w:val="005A6A67"/>
    <w:rsid w:val="005A6D82"/>
    <w:rsid w:val="005A7577"/>
    <w:rsid w:val="005A7AA7"/>
    <w:rsid w:val="005B1193"/>
    <w:rsid w:val="005B2462"/>
    <w:rsid w:val="005B2593"/>
    <w:rsid w:val="005B25A3"/>
    <w:rsid w:val="005B288A"/>
    <w:rsid w:val="005B2CC4"/>
    <w:rsid w:val="005B3F88"/>
    <w:rsid w:val="005B450F"/>
    <w:rsid w:val="005B513E"/>
    <w:rsid w:val="005B55A3"/>
    <w:rsid w:val="005B5F12"/>
    <w:rsid w:val="005B6061"/>
    <w:rsid w:val="005B714C"/>
    <w:rsid w:val="005B7DE8"/>
    <w:rsid w:val="005C01EE"/>
    <w:rsid w:val="005C08E2"/>
    <w:rsid w:val="005C131D"/>
    <w:rsid w:val="005C161D"/>
    <w:rsid w:val="005C1776"/>
    <w:rsid w:val="005C2690"/>
    <w:rsid w:val="005C2A8C"/>
    <w:rsid w:val="005C371C"/>
    <w:rsid w:val="005C3ED2"/>
    <w:rsid w:val="005C4178"/>
    <w:rsid w:val="005C42DB"/>
    <w:rsid w:val="005C479B"/>
    <w:rsid w:val="005C48E7"/>
    <w:rsid w:val="005C5279"/>
    <w:rsid w:val="005C54F7"/>
    <w:rsid w:val="005C553F"/>
    <w:rsid w:val="005C5A03"/>
    <w:rsid w:val="005C5DDE"/>
    <w:rsid w:val="005C6B8F"/>
    <w:rsid w:val="005C6E6C"/>
    <w:rsid w:val="005C707E"/>
    <w:rsid w:val="005C7C2A"/>
    <w:rsid w:val="005D0A81"/>
    <w:rsid w:val="005D0D77"/>
    <w:rsid w:val="005D0FD8"/>
    <w:rsid w:val="005D11D8"/>
    <w:rsid w:val="005D1CD4"/>
    <w:rsid w:val="005D31C9"/>
    <w:rsid w:val="005D4204"/>
    <w:rsid w:val="005D44D0"/>
    <w:rsid w:val="005D4582"/>
    <w:rsid w:val="005D464A"/>
    <w:rsid w:val="005D4F51"/>
    <w:rsid w:val="005D5031"/>
    <w:rsid w:val="005D54F3"/>
    <w:rsid w:val="005D5530"/>
    <w:rsid w:val="005D5F34"/>
    <w:rsid w:val="005D6035"/>
    <w:rsid w:val="005D709B"/>
    <w:rsid w:val="005D71C2"/>
    <w:rsid w:val="005D730F"/>
    <w:rsid w:val="005D7C7A"/>
    <w:rsid w:val="005E0781"/>
    <w:rsid w:val="005E0B02"/>
    <w:rsid w:val="005E0D1E"/>
    <w:rsid w:val="005E117A"/>
    <w:rsid w:val="005E13C1"/>
    <w:rsid w:val="005E1DE1"/>
    <w:rsid w:val="005E1E8D"/>
    <w:rsid w:val="005E24B9"/>
    <w:rsid w:val="005E2697"/>
    <w:rsid w:val="005E28C6"/>
    <w:rsid w:val="005E32A1"/>
    <w:rsid w:val="005E3627"/>
    <w:rsid w:val="005E3B4E"/>
    <w:rsid w:val="005E3BB5"/>
    <w:rsid w:val="005E46B3"/>
    <w:rsid w:val="005E5307"/>
    <w:rsid w:val="005E5EFA"/>
    <w:rsid w:val="005E6806"/>
    <w:rsid w:val="005E73B9"/>
    <w:rsid w:val="005E78C6"/>
    <w:rsid w:val="005E7BCA"/>
    <w:rsid w:val="005F05E7"/>
    <w:rsid w:val="005F123A"/>
    <w:rsid w:val="005F1333"/>
    <w:rsid w:val="005F155A"/>
    <w:rsid w:val="005F1B3F"/>
    <w:rsid w:val="005F2438"/>
    <w:rsid w:val="005F282E"/>
    <w:rsid w:val="005F3A50"/>
    <w:rsid w:val="005F3C83"/>
    <w:rsid w:val="005F3D4E"/>
    <w:rsid w:val="005F3F91"/>
    <w:rsid w:val="005F46D9"/>
    <w:rsid w:val="005F60B7"/>
    <w:rsid w:val="005F7890"/>
    <w:rsid w:val="005F7D6D"/>
    <w:rsid w:val="00600B9F"/>
    <w:rsid w:val="00600D0B"/>
    <w:rsid w:val="00600D58"/>
    <w:rsid w:val="0060110F"/>
    <w:rsid w:val="0060181E"/>
    <w:rsid w:val="0060198B"/>
    <w:rsid w:val="00601DCB"/>
    <w:rsid w:val="00602211"/>
    <w:rsid w:val="006023B7"/>
    <w:rsid w:val="0060278A"/>
    <w:rsid w:val="00602C14"/>
    <w:rsid w:val="00603E87"/>
    <w:rsid w:val="00603EAF"/>
    <w:rsid w:val="006044AE"/>
    <w:rsid w:val="00604943"/>
    <w:rsid w:val="00604EB7"/>
    <w:rsid w:val="0060584C"/>
    <w:rsid w:val="00605A7B"/>
    <w:rsid w:val="006062B9"/>
    <w:rsid w:val="00606BEC"/>
    <w:rsid w:val="00606D9D"/>
    <w:rsid w:val="00607103"/>
    <w:rsid w:val="00607964"/>
    <w:rsid w:val="00610100"/>
    <w:rsid w:val="0061035B"/>
    <w:rsid w:val="006106BD"/>
    <w:rsid w:val="00610B1E"/>
    <w:rsid w:val="00610E65"/>
    <w:rsid w:val="00611326"/>
    <w:rsid w:val="0061138F"/>
    <w:rsid w:val="00611585"/>
    <w:rsid w:val="00611718"/>
    <w:rsid w:val="006121A5"/>
    <w:rsid w:val="00612C96"/>
    <w:rsid w:val="0061306B"/>
    <w:rsid w:val="006145FF"/>
    <w:rsid w:val="00614695"/>
    <w:rsid w:val="00614EE7"/>
    <w:rsid w:val="00615DC5"/>
    <w:rsid w:val="00615F9E"/>
    <w:rsid w:val="00616011"/>
    <w:rsid w:val="00616A7B"/>
    <w:rsid w:val="00616C4B"/>
    <w:rsid w:val="0061730D"/>
    <w:rsid w:val="0061760F"/>
    <w:rsid w:val="00617B70"/>
    <w:rsid w:val="006205D6"/>
    <w:rsid w:val="00620BC1"/>
    <w:rsid w:val="00621C4D"/>
    <w:rsid w:val="0062201E"/>
    <w:rsid w:val="0062255C"/>
    <w:rsid w:val="00622C45"/>
    <w:rsid w:val="00623218"/>
    <w:rsid w:val="00623401"/>
    <w:rsid w:val="00623E14"/>
    <w:rsid w:val="00623F4D"/>
    <w:rsid w:val="00623F62"/>
    <w:rsid w:val="0062497E"/>
    <w:rsid w:val="006260A9"/>
    <w:rsid w:val="00626341"/>
    <w:rsid w:val="00626A38"/>
    <w:rsid w:val="00626FB1"/>
    <w:rsid w:val="00627525"/>
    <w:rsid w:val="00627D7C"/>
    <w:rsid w:val="00627E1D"/>
    <w:rsid w:val="006301C8"/>
    <w:rsid w:val="006314BA"/>
    <w:rsid w:val="00631EA1"/>
    <w:rsid w:val="0063215E"/>
    <w:rsid w:val="00633A7D"/>
    <w:rsid w:val="00633C1F"/>
    <w:rsid w:val="00634353"/>
    <w:rsid w:val="00634B12"/>
    <w:rsid w:val="00634BB4"/>
    <w:rsid w:val="00635051"/>
    <w:rsid w:val="00635192"/>
    <w:rsid w:val="00635C1C"/>
    <w:rsid w:val="00636DCF"/>
    <w:rsid w:val="0063706A"/>
    <w:rsid w:val="006370D4"/>
    <w:rsid w:val="00637380"/>
    <w:rsid w:val="00637622"/>
    <w:rsid w:val="0063776E"/>
    <w:rsid w:val="006409F5"/>
    <w:rsid w:val="00640D54"/>
    <w:rsid w:val="006414E2"/>
    <w:rsid w:val="006418A7"/>
    <w:rsid w:val="00641BB0"/>
    <w:rsid w:val="00641FDE"/>
    <w:rsid w:val="006424C4"/>
    <w:rsid w:val="006426F7"/>
    <w:rsid w:val="00642BFE"/>
    <w:rsid w:val="00643A9D"/>
    <w:rsid w:val="006441B4"/>
    <w:rsid w:val="00645797"/>
    <w:rsid w:val="0064579C"/>
    <w:rsid w:val="0064633F"/>
    <w:rsid w:val="006469F0"/>
    <w:rsid w:val="00646E51"/>
    <w:rsid w:val="00647587"/>
    <w:rsid w:val="00647773"/>
    <w:rsid w:val="00647C72"/>
    <w:rsid w:val="006506CB"/>
    <w:rsid w:val="0065145A"/>
    <w:rsid w:val="00651EBE"/>
    <w:rsid w:val="0065275F"/>
    <w:rsid w:val="0065371A"/>
    <w:rsid w:val="00654509"/>
    <w:rsid w:val="00654CA1"/>
    <w:rsid w:val="0065539B"/>
    <w:rsid w:val="006555D3"/>
    <w:rsid w:val="006557AC"/>
    <w:rsid w:val="00656294"/>
    <w:rsid w:val="00656618"/>
    <w:rsid w:val="00657EC2"/>
    <w:rsid w:val="00660F72"/>
    <w:rsid w:val="0066188D"/>
    <w:rsid w:val="006619C1"/>
    <w:rsid w:val="00663443"/>
    <w:rsid w:val="00663934"/>
    <w:rsid w:val="00663BBB"/>
    <w:rsid w:val="00663DC2"/>
    <w:rsid w:val="006649EB"/>
    <w:rsid w:val="00666A2C"/>
    <w:rsid w:val="00667D9B"/>
    <w:rsid w:val="00670842"/>
    <w:rsid w:val="006717EB"/>
    <w:rsid w:val="00672011"/>
    <w:rsid w:val="00672462"/>
    <w:rsid w:val="00672FDD"/>
    <w:rsid w:val="006738FD"/>
    <w:rsid w:val="00673E48"/>
    <w:rsid w:val="00673FD4"/>
    <w:rsid w:val="00674B41"/>
    <w:rsid w:val="00674C58"/>
    <w:rsid w:val="0067554D"/>
    <w:rsid w:val="00675761"/>
    <w:rsid w:val="00675D6D"/>
    <w:rsid w:val="00675FF0"/>
    <w:rsid w:val="00677060"/>
    <w:rsid w:val="00677880"/>
    <w:rsid w:val="00677CD8"/>
    <w:rsid w:val="006804CB"/>
    <w:rsid w:val="00680F93"/>
    <w:rsid w:val="00681296"/>
    <w:rsid w:val="0068183B"/>
    <w:rsid w:val="00682680"/>
    <w:rsid w:val="00682DAA"/>
    <w:rsid w:val="00683C0D"/>
    <w:rsid w:val="00684A76"/>
    <w:rsid w:val="00684C45"/>
    <w:rsid w:val="00684E4D"/>
    <w:rsid w:val="00685229"/>
    <w:rsid w:val="0068524D"/>
    <w:rsid w:val="006855FD"/>
    <w:rsid w:val="00686305"/>
    <w:rsid w:val="00686C7C"/>
    <w:rsid w:val="00687DBD"/>
    <w:rsid w:val="0069046C"/>
    <w:rsid w:val="00690859"/>
    <w:rsid w:val="00690E44"/>
    <w:rsid w:val="00691651"/>
    <w:rsid w:val="006918AC"/>
    <w:rsid w:val="00692E8F"/>
    <w:rsid w:val="00692F8B"/>
    <w:rsid w:val="00693192"/>
    <w:rsid w:val="0069337E"/>
    <w:rsid w:val="006934F5"/>
    <w:rsid w:val="006952A6"/>
    <w:rsid w:val="00695627"/>
    <w:rsid w:val="00695EF9"/>
    <w:rsid w:val="0069715B"/>
    <w:rsid w:val="006972E1"/>
    <w:rsid w:val="00697786"/>
    <w:rsid w:val="006A0B33"/>
    <w:rsid w:val="006A102C"/>
    <w:rsid w:val="006A1E08"/>
    <w:rsid w:val="006A2303"/>
    <w:rsid w:val="006A2846"/>
    <w:rsid w:val="006A29AE"/>
    <w:rsid w:val="006A3875"/>
    <w:rsid w:val="006A5674"/>
    <w:rsid w:val="006A570F"/>
    <w:rsid w:val="006A61BC"/>
    <w:rsid w:val="006A71E3"/>
    <w:rsid w:val="006B0BFF"/>
    <w:rsid w:val="006B0EBB"/>
    <w:rsid w:val="006B0EFE"/>
    <w:rsid w:val="006B2109"/>
    <w:rsid w:val="006B2182"/>
    <w:rsid w:val="006B232D"/>
    <w:rsid w:val="006B241C"/>
    <w:rsid w:val="006B2A5C"/>
    <w:rsid w:val="006B3C6D"/>
    <w:rsid w:val="006B3D59"/>
    <w:rsid w:val="006B43BF"/>
    <w:rsid w:val="006B4914"/>
    <w:rsid w:val="006B4954"/>
    <w:rsid w:val="006B4BAA"/>
    <w:rsid w:val="006B4E15"/>
    <w:rsid w:val="006B4EEA"/>
    <w:rsid w:val="006B54EE"/>
    <w:rsid w:val="006B5A81"/>
    <w:rsid w:val="006B6314"/>
    <w:rsid w:val="006B6BB2"/>
    <w:rsid w:val="006C0C1D"/>
    <w:rsid w:val="006C1041"/>
    <w:rsid w:val="006C1120"/>
    <w:rsid w:val="006C1378"/>
    <w:rsid w:val="006C21AE"/>
    <w:rsid w:val="006C3404"/>
    <w:rsid w:val="006C378A"/>
    <w:rsid w:val="006C3B53"/>
    <w:rsid w:val="006C4C8F"/>
    <w:rsid w:val="006C6261"/>
    <w:rsid w:val="006C6350"/>
    <w:rsid w:val="006C6B66"/>
    <w:rsid w:val="006C6EC8"/>
    <w:rsid w:val="006C77A8"/>
    <w:rsid w:val="006C7A2A"/>
    <w:rsid w:val="006C7CF2"/>
    <w:rsid w:val="006D008B"/>
    <w:rsid w:val="006D1033"/>
    <w:rsid w:val="006D2047"/>
    <w:rsid w:val="006D37A0"/>
    <w:rsid w:val="006D386F"/>
    <w:rsid w:val="006D3DF5"/>
    <w:rsid w:val="006D4C7B"/>
    <w:rsid w:val="006D5491"/>
    <w:rsid w:val="006D58D9"/>
    <w:rsid w:val="006D5A66"/>
    <w:rsid w:val="006D5F5A"/>
    <w:rsid w:val="006D6F65"/>
    <w:rsid w:val="006D7A99"/>
    <w:rsid w:val="006E0A2D"/>
    <w:rsid w:val="006E0C8C"/>
    <w:rsid w:val="006E0F47"/>
    <w:rsid w:val="006E150D"/>
    <w:rsid w:val="006E1A1B"/>
    <w:rsid w:val="006E1D51"/>
    <w:rsid w:val="006E2E3C"/>
    <w:rsid w:val="006E35B6"/>
    <w:rsid w:val="006E36A8"/>
    <w:rsid w:val="006E489D"/>
    <w:rsid w:val="006E4EE2"/>
    <w:rsid w:val="006E5754"/>
    <w:rsid w:val="006E6F6D"/>
    <w:rsid w:val="006E70C0"/>
    <w:rsid w:val="006E7731"/>
    <w:rsid w:val="006E7C7E"/>
    <w:rsid w:val="006F049E"/>
    <w:rsid w:val="006F05C4"/>
    <w:rsid w:val="006F09E9"/>
    <w:rsid w:val="006F1077"/>
    <w:rsid w:val="006F140F"/>
    <w:rsid w:val="006F1747"/>
    <w:rsid w:val="006F23F3"/>
    <w:rsid w:val="006F25C7"/>
    <w:rsid w:val="006F2AC1"/>
    <w:rsid w:val="006F2CBF"/>
    <w:rsid w:val="006F2EF1"/>
    <w:rsid w:val="006F4118"/>
    <w:rsid w:val="006F41BE"/>
    <w:rsid w:val="006F4318"/>
    <w:rsid w:val="006F4CD0"/>
    <w:rsid w:val="006F4DBD"/>
    <w:rsid w:val="006F4F7E"/>
    <w:rsid w:val="006F52AD"/>
    <w:rsid w:val="006F5963"/>
    <w:rsid w:val="006F5B73"/>
    <w:rsid w:val="006F5DFB"/>
    <w:rsid w:val="006F6BC9"/>
    <w:rsid w:val="006F708F"/>
    <w:rsid w:val="006F70F7"/>
    <w:rsid w:val="0070083C"/>
    <w:rsid w:val="00700C73"/>
    <w:rsid w:val="00701597"/>
    <w:rsid w:val="00702341"/>
    <w:rsid w:val="00702917"/>
    <w:rsid w:val="00703479"/>
    <w:rsid w:val="00703D32"/>
    <w:rsid w:val="00705299"/>
    <w:rsid w:val="00705D76"/>
    <w:rsid w:val="0070675E"/>
    <w:rsid w:val="00706788"/>
    <w:rsid w:val="007075B0"/>
    <w:rsid w:val="00710121"/>
    <w:rsid w:val="00710362"/>
    <w:rsid w:val="007103A7"/>
    <w:rsid w:val="00710AD9"/>
    <w:rsid w:val="007111E3"/>
    <w:rsid w:val="0071198D"/>
    <w:rsid w:val="007124B2"/>
    <w:rsid w:val="007134B5"/>
    <w:rsid w:val="007135D9"/>
    <w:rsid w:val="007137B4"/>
    <w:rsid w:val="00713858"/>
    <w:rsid w:val="00714CE4"/>
    <w:rsid w:val="00714EC6"/>
    <w:rsid w:val="00715918"/>
    <w:rsid w:val="007160C4"/>
    <w:rsid w:val="00716572"/>
    <w:rsid w:val="0071681F"/>
    <w:rsid w:val="007169CF"/>
    <w:rsid w:val="0071762A"/>
    <w:rsid w:val="00717807"/>
    <w:rsid w:val="00720FEB"/>
    <w:rsid w:val="007215FE"/>
    <w:rsid w:val="0072195A"/>
    <w:rsid w:val="00721E65"/>
    <w:rsid w:val="00722210"/>
    <w:rsid w:val="00722945"/>
    <w:rsid w:val="00722C98"/>
    <w:rsid w:val="0072342C"/>
    <w:rsid w:val="007237BD"/>
    <w:rsid w:val="007242D3"/>
    <w:rsid w:val="00724EF5"/>
    <w:rsid w:val="00725037"/>
    <w:rsid w:val="00725389"/>
    <w:rsid w:val="00725843"/>
    <w:rsid w:val="00725B31"/>
    <w:rsid w:val="00727215"/>
    <w:rsid w:val="00727928"/>
    <w:rsid w:val="0073087B"/>
    <w:rsid w:val="00730A0C"/>
    <w:rsid w:val="00730FDA"/>
    <w:rsid w:val="00731B05"/>
    <w:rsid w:val="00731DFD"/>
    <w:rsid w:val="00731FBE"/>
    <w:rsid w:val="007328E1"/>
    <w:rsid w:val="00732C06"/>
    <w:rsid w:val="00733B3D"/>
    <w:rsid w:val="007368EC"/>
    <w:rsid w:val="00736D7C"/>
    <w:rsid w:val="0073765D"/>
    <w:rsid w:val="00737CF1"/>
    <w:rsid w:val="00740D60"/>
    <w:rsid w:val="007425FE"/>
    <w:rsid w:val="0074272C"/>
    <w:rsid w:val="00742D89"/>
    <w:rsid w:val="00743D6F"/>
    <w:rsid w:val="007445CC"/>
    <w:rsid w:val="00744784"/>
    <w:rsid w:val="00744CAA"/>
    <w:rsid w:val="0074541A"/>
    <w:rsid w:val="007454BA"/>
    <w:rsid w:val="007455B0"/>
    <w:rsid w:val="00746069"/>
    <w:rsid w:val="007468B1"/>
    <w:rsid w:val="00747392"/>
    <w:rsid w:val="00747574"/>
    <w:rsid w:val="007478B5"/>
    <w:rsid w:val="00750B56"/>
    <w:rsid w:val="00751AA9"/>
    <w:rsid w:val="00752722"/>
    <w:rsid w:val="0075274D"/>
    <w:rsid w:val="00753D25"/>
    <w:rsid w:val="007546D7"/>
    <w:rsid w:val="00755B02"/>
    <w:rsid w:val="007564D1"/>
    <w:rsid w:val="007564EF"/>
    <w:rsid w:val="00756ED9"/>
    <w:rsid w:val="007579C4"/>
    <w:rsid w:val="00757BCF"/>
    <w:rsid w:val="00760605"/>
    <w:rsid w:val="00760BFA"/>
    <w:rsid w:val="00760EC2"/>
    <w:rsid w:val="00760F60"/>
    <w:rsid w:val="00761245"/>
    <w:rsid w:val="00761624"/>
    <w:rsid w:val="007616E4"/>
    <w:rsid w:val="00762236"/>
    <w:rsid w:val="0076226A"/>
    <w:rsid w:val="00762398"/>
    <w:rsid w:val="00762DD2"/>
    <w:rsid w:val="00763603"/>
    <w:rsid w:val="0076364C"/>
    <w:rsid w:val="007640DA"/>
    <w:rsid w:val="00764170"/>
    <w:rsid w:val="007661F6"/>
    <w:rsid w:val="007663AE"/>
    <w:rsid w:val="0076651F"/>
    <w:rsid w:val="007666DA"/>
    <w:rsid w:val="00766BAF"/>
    <w:rsid w:val="0076718E"/>
    <w:rsid w:val="00767549"/>
    <w:rsid w:val="0076774C"/>
    <w:rsid w:val="00771CF2"/>
    <w:rsid w:val="00771E86"/>
    <w:rsid w:val="00772358"/>
    <w:rsid w:val="007726E6"/>
    <w:rsid w:val="00772F2C"/>
    <w:rsid w:val="0077348B"/>
    <w:rsid w:val="00773505"/>
    <w:rsid w:val="00773870"/>
    <w:rsid w:val="0077396B"/>
    <w:rsid w:val="0077399F"/>
    <w:rsid w:val="00774067"/>
    <w:rsid w:val="00774866"/>
    <w:rsid w:val="00775C36"/>
    <w:rsid w:val="00776733"/>
    <w:rsid w:val="00776A79"/>
    <w:rsid w:val="00776BFC"/>
    <w:rsid w:val="00776C6D"/>
    <w:rsid w:val="0077776D"/>
    <w:rsid w:val="00777DD7"/>
    <w:rsid w:val="00780C4D"/>
    <w:rsid w:val="0078140F"/>
    <w:rsid w:val="00781534"/>
    <w:rsid w:val="00782813"/>
    <w:rsid w:val="00782DA7"/>
    <w:rsid w:val="00783645"/>
    <w:rsid w:val="007836DE"/>
    <w:rsid w:val="00783717"/>
    <w:rsid w:val="00783A49"/>
    <w:rsid w:val="00784225"/>
    <w:rsid w:val="007842DA"/>
    <w:rsid w:val="00784860"/>
    <w:rsid w:val="007851DA"/>
    <w:rsid w:val="00785E93"/>
    <w:rsid w:val="00785FB8"/>
    <w:rsid w:val="00786B9C"/>
    <w:rsid w:val="00787A12"/>
    <w:rsid w:val="0079043B"/>
    <w:rsid w:val="007907F5"/>
    <w:rsid w:val="00790C07"/>
    <w:rsid w:val="00790CAF"/>
    <w:rsid w:val="007912E5"/>
    <w:rsid w:val="00791E9F"/>
    <w:rsid w:val="00792C1B"/>
    <w:rsid w:val="007939F1"/>
    <w:rsid w:val="00793A06"/>
    <w:rsid w:val="00795ECF"/>
    <w:rsid w:val="00795ED4"/>
    <w:rsid w:val="00796BCE"/>
    <w:rsid w:val="007971A0"/>
    <w:rsid w:val="00797397"/>
    <w:rsid w:val="007977A2"/>
    <w:rsid w:val="007A0773"/>
    <w:rsid w:val="007A0E75"/>
    <w:rsid w:val="007A0FE3"/>
    <w:rsid w:val="007A15B8"/>
    <w:rsid w:val="007A1794"/>
    <w:rsid w:val="007A1968"/>
    <w:rsid w:val="007A1982"/>
    <w:rsid w:val="007A1C95"/>
    <w:rsid w:val="007A2FC3"/>
    <w:rsid w:val="007A3301"/>
    <w:rsid w:val="007A3613"/>
    <w:rsid w:val="007A36B4"/>
    <w:rsid w:val="007A385A"/>
    <w:rsid w:val="007A39CC"/>
    <w:rsid w:val="007A40EB"/>
    <w:rsid w:val="007A4A69"/>
    <w:rsid w:val="007A6583"/>
    <w:rsid w:val="007A6AEB"/>
    <w:rsid w:val="007A71B9"/>
    <w:rsid w:val="007A7868"/>
    <w:rsid w:val="007A7A1E"/>
    <w:rsid w:val="007A7B26"/>
    <w:rsid w:val="007B1C88"/>
    <w:rsid w:val="007B3F38"/>
    <w:rsid w:val="007B4180"/>
    <w:rsid w:val="007B4435"/>
    <w:rsid w:val="007B47B1"/>
    <w:rsid w:val="007B5AE4"/>
    <w:rsid w:val="007B77C1"/>
    <w:rsid w:val="007B7929"/>
    <w:rsid w:val="007B7C27"/>
    <w:rsid w:val="007C0FB8"/>
    <w:rsid w:val="007C18C8"/>
    <w:rsid w:val="007C1C54"/>
    <w:rsid w:val="007C4829"/>
    <w:rsid w:val="007C5294"/>
    <w:rsid w:val="007C556D"/>
    <w:rsid w:val="007C5FA5"/>
    <w:rsid w:val="007C6295"/>
    <w:rsid w:val="007C67A5"/>
    <w:rsid w:val="007C6955"/>
    <w:rsid w:val="007C6CE8"/>
    <w:rsid w:val="007C6EF5"/>
    <w:rsid w:val="007C77B0"/>
    <w:rsid w:val="007C7CC9"/>
    <w:rsid w:val="007C7E0B"/>
    <w:rsid w:val="007D00A1"/>
    <w:rsid w:val="007D00F3"/>
    <w:rsid w:val="007D1C35"/>
    <w:rsid w:val="007D1C96"/>
    <w:rsid w:val="007D287E"/>
    <w:rsid w:val="007D2B0C"/>
    <w:rsid w:val="007D2C88"/>
    <w:rsid w:val="007D2CA4"/>
    <w:rsid w:val="007D3375"/>
    <w:rsid w:val="007D3C36"/>
    <w:rsid w:val="007D3D07"/>
    <w:rsid w:val="007D3D81"/>
    <w:rsid w:val="007D50A8"/>
    <w:rsid w:val="007D5166"/>
    <w:rsid w:val="007D58C4"/>
    <w:rsid w:val="007D5CDE"/>
    <w:rsid w:val="007D641D"/>
    <w:rsid w:val="007D71B3"/>
    <w:rsid w:val="007D7B17"/>
    <w:rsid w:val="007E09D1"/>
    <w:rsid w:val="007E25D8"/>
    <w:rsid w:val="007E3052"/>
    <w:rsid w:val="007E3DB0"/>
    <w:rsid w:val="007E4517"/>
    <w:rsid w:val="007E4B6E"/>
    <w:rsid w:val="007E4D0C"/>
    <w:rsid w:val="007E5D37"/>
    <w:rsid w:val="007E6F98"/>
    <w:rsid w:val="007E6FCD"/>
    <w:rsid w:val="007E7CDD"/>
    <w:rsid w:val="007F03E8"/>
    <w:rsid w:val="007F085E"/>
    <w:rsid w:val="007F1161"/>
    <w:rsid w:val="007F14B9"/>
    <w:rsid w:val="007F19C0"/>
    <w:rsid w:val="007F1A3B"/>
    <w:rsid w:val="007F1BC9"/>
    <w:rsid w:val="007F1C56"/>
    <w:rsid w:val="007F21F8"/>
    <w:rsid w:val="007F2285"/>
    <w:rsid w:val="007F34CC"/>
    <w:rsid w:val="007F444F"/>
    <w:rsid w:val="007F4CC0"/>
    <w:rsid w:val="007F548A"/>
    <w:rsid w:val="007F56BB"/>
    <w:rsid w:val="007F5851"/>
    <w:rsid w:val="007F6906"/>
    <w:rsid w:val="007F6D1B"/>
    <w:rsid w:val="007F7812"/>
    <w:rsid w:val="008000D3"/>
    <w:rsid w:val="008005E7"/>
    <w:rsid w:val="00801354"/>
    <w:rsid w:val="00801D91"/>
    <w:rsid w:val="0080378F"/>
    <w:rsid w:val="0080439F"/>
    <w:rsid w:val="008045EC"/>
    <w:rsid w:val="0080565E"/>
    <w:rsid w:val="008058C1"/>
    <w:rsid w:val="00806E4D"/>
    <w:rsid w:val="00806F28"/>
    <w:rsid w:val="008072A7"/>
    <w:rsid w:val="00807CE1"/>
    <w:rsid w:val="008102A5"/>
    <w:rsid w:val="008102CB"/>
    <w:rsid w:val="008105B9"/>
    <w:rsid w:val="00810801"/>
    <w:rsid w:val="00810CBE"/>
    <w:rsid w:val="00812166"/>
    <w:rsid w:val="0081261A"/>
    <w:rsid w:val="00812EA2"/>
    <w:rsid w:val="008133C0"/>
    <w:rsid w:val="00813693"/>
    <w:rsid w:val="008136F5"/>
    <w:rsid w:val="0081371C"/>
    <w:rsid w:val="00813F8A"/>
    <w:rsid w:val="00814D77"/>
    <w:rsid w:val="00815139"/>
    <w:rsid w:val="008154D2"/>
    <w:rsid w:val="008159C6"/>
    <w:rsid w:val="00815B08"/>
    <w:rsid w:val="00815BAD"/>
    <w:rsid w:val="0081637F"/>
    <w:rsid w:val="0081697D"/>
    <w:rsid w:val="00816ABB"/>
    <w:rsid w:val="00816C39"/>
    <w:rsid w:val="00817179"/>
    <w:rsid w:val="008171E6"/>
    <w:rsid w:val="00817C0A"/>
    <w:rsid w:val="0082125C"/>
    <w:rsid w:val="008216A1"/>
    <w:rsid w:val="00821AD6"/>
    <w:rsid w:val="00822FB3"/>
    <w:rsid w:val="00823296"/>
    <w:rsid w:val="00823627"/>
    <w:rsid w:val="008239C9"/>
    <w:rsid w:val="008243A9"/>
    <w:rsid w:val="00824828"/>
    <w:rsid w:val="0082484A"/>
    <w:rsid w:val="00825164"/>
    <w:rsid w:val="00825297"/>
    <w:rsid w:val="008261FB"/>
    <w:rsid w:val="00826DCF"/>
    <w:rsid w:val="00826F15"/>
    <w:rsid w:val="00827606"/>
    <w:rsid w:val="0083043A"/>
    <w:rsid w:val="00830B0A"/>
    <w:rsid w:val="00830F65"/>
    <w:rsid w:val="008311ED"/>
    <w:rsid w:val="00831348"/>
    <w:rsid w:val="008314E6"/>
    <w:rsid w:val="00831F32"/>
    <w:rsid w:val="00832D37"/>
    <w:rsid w:val="008345A4"/>
    <w:rsid w:val="00835630"/>
    <w:rsid w:val="00835A9C"/>
    <w:rsid w:val="00835AAA"/>
    <w:rsid w:val="00835DC0"/>
    <w:rsid w:val="00836598"/>
    <w:rsid w:val="008373BC"/>
    <w:rsid w:val="00837D34"/>
    <w:rsid w:val="00837EE9"/>
    <w:rsid w:val="008401ED"/>
    <w:rsid w:val="00842333"/>
    <w:rsid w:val="00842CC5"/>
    <w:rsid w:val="00842F0B"/>
    <w:rsid w:val="00842F0F"/>
    <w:rsid w:val="00842FF6"/>
    <w:rsid w:val="008435B8"/>
    <w:rsid w:val="0084413D"/>
    <w:rsid w:val="008441F5"/>
    <w:rsid w:val="00847098"/>
    <w:rsid w:val="00847833"/>
    <w:rsid w:val="00847D08"/>
    <w:rsid w:val="008502D0"/>
    <w:rsid w:val="00851045"/>
    <w:rsid w:val="008514CD"/>
    <w:rsid w:val="00851EE3"/>
    <w:rsid w:val="0085231B"/>
    <w:rsid w:val="008526EE"/>
    <w:rsid w:val="00853441"/>
    <w:rsid w:val="00853E6E"/>
    <w:rsid w:val="00854551"/>
    <w:rsid w:val="00854CEA"/>
    <w:rsid w:val="00855095"/>
    <w:rsid w:val="008550B2"/>
    <w:rsid w:val="00855138"/>
    <w:rsid w:val="00855394"/>
    <w:rsid w:val="0085631A"/>
    <w:rsid w:val="0085661D"/>
    <w:rsid w:val="00857B44"/>
    <w:rsid w:val="008605AF"/>
    <w:rsid w:val="0086114D"/>
    <w:rsid w:val="00861215"/>
    <w:rsid w:val="0086181A"/>
    <w:rsid w:val="0086280A"/>
    <w:rsid w:val="00863CA3"/>
    <w:rsid w:val="00864143"/>
    <w:rsid w:val="0086470D"/>
    <w:rsid w:val="00864B39"/>
    <w:rsid w:val="008664CC"/>
    <w:rsid w:val="00866D85"/>
    <w:rsid w:val="00867148"/>
    <w:rsid w:val="0087017E"/>
    <w:rsid w:val="008702DA"/>
    <w:rsid w:val="008709F1"/>
    <w:rsid w:val="008710EC"/>
    <w:rsid w:val="008717B2"/>
    <w:rsid w:val="00871F0E"/>
    <w:rsid w:val="0087266A"/>
    <w:rsid w:val="00872A6D"/>
    <w:rsid w:val="00874672"/>
    <w:rsid w:val="0087497C"/>
    <w:rsid w:val="00874EE2"/>
    <w:rsid w:val="008751D4"/>
    <w:rsid w:val="0087520C"/>
    <w:rsid w:val="008755D5"/>
    <w:rsid w:val="00875A15"/>
    <w:rsid w:val="00876208"/>
    <w:rsid w:val="008769A2"/>
    <w:rsid w:val="008776DB"/>
    <w:rsid w:val="008777F2"/>
    <w:rsid w:val="00877E97"/>
    <w:rsid w:val="00880041"/>
    <w:rsid w:val="008802CE"/>
    <w:rsid w:val="008806FB"/>
    <w:rsid w:val="00880A97"/>
    <w:rsid w:val="00881264"/>
    <w:rsid w:val="00881B35"/>
    <w:rsid w:val="00881C59"/>
    <w:rsid w:val="00881DFD"/>
    <w:rsid w:val="0088267B"/>
    <w:rsid w:val="008829EF"/>
    <w:rsid w:val="0088300F"/>
    <w:rsid w:val="00883394"/>
    <w:rsid w:val="008843FB"/>
    <w:rsid w:val="00884719"/>
    <w:rsid w:val="00884BBF"/>
    <w:rsid w:val="0088551D"/>
    <w:rsid w:val="0088612A"/>
    <w:rsid w:val="00886EB9"/>
    <w:rsid w:val="00886F34"/>
    <w:rsid w:val="008873F0"/>
    <w:rsid w:val="008877B9"/>
    <w:rsid w:val="00887834"/>
    <w:rsid w:val="008903F6"/>
    <w:rsid w:val="00890522"/>
    <w:rsid w:val="008907B0"/>
    <w:rsid w:val="00890C14"/>
    <w:rsid w:val="00890CB8"/>
    <w:rsid w:val="00891014"/>
    <w:rsid w:val="008911CF"/>
    <w:rsid w:val="00891262"/>
    <w:rsid w:val="008931E2"/>
    <w:rsid w:val="00893B6C"/>
    <w:rsid w:val="00894094"/>
    <w:rsid w:val="00894B6C"/>
    <w:rsid w:val="008954D8"/>
    <w:rsid w:val="008956CC"/>
    <w:rsid w:val="008959B8"/>
    <w:rsid w:val="008967FF"/>
    <w:rsid w:val="00896D11"/>
    <w:rsid w:val="00897297"/>
    <w:rsid w:val="008A0298"/>
    <w:rsid w:val="008A0D6C"/>
    <w:rsid w:val="008A0DE2"/>
    <w:rsid w:val="008A1699"/>
    <w:rsid w:val="008A2E6C"/>
    <w:rsid w:val="008A3190"/>
    <w:rsid w:val="008A3483"/>
    <w:rsid w:val="008A460B"/>
    <w:rsid w:val="008A4624"/>
    <w:rsid w:val="008A4796"/>
    <w:rsid w:val="008A482A"/>
    <w:rsid w:val="008A484C"/>
    <w:rsid w:val="008A4927"/>
    <w:rsid w:val="008A4F44"/>
    <w:rsid w:val="008A523C"/>
    <w:rsid w:val="008A5669"/>
    <w:rsid w:val="008A5C6A"/>
    <w:rsid w:val="008A5E20"/>
    <w:rsid w:val="008A6F54"/>
    <w:rsid w:val="008A73D4"/>
    <w:rsid w:val="008B06BA"/>
    <w:rsid w:val="008B0C22"/>
    <w:rsid w:val="008B1371"/>
    <w:rsid w:val="008B1881"/>
    <w:rsid w:val="008B1977"/>
    <w:rsid w:val="008B1CE9"/>
    <w:rsid w:val="008B2563"/>
    <w:rsid w:val="008B27EC"/>
    <w:rsid w:val="008B2CBC"/>
    <w:rsid w:val="008B2ED6"/>
    <w:rsid w:val="008B383F"/>
    <w:rsid w:val="008B3F09"/>
    <w:rsid w:val="008B4F87"/>
    <w:rsid w:val="008B5C23"/>
    <w:rsid w:val="008B5E28"/>
    <w:rsid w:val="008B6ED0"/>
    <w:rsid w:val="008B758E"/>
    <w:rsid w:val="008B7B28"/>
    <w:rsid w:val="008C17C4"/>
    <w:rsid w:val="008C2E1C"/>
    <w:rsid w:val="008C3033"/>
    <w:rsid w:val="008C3039"/>
    <w:rsid w:val="008C3487"/>
    <w:rsid w:val="008C39EF"/>
    <w:rsid w:val="008C3A47"/>
    <w:rsid w:val="008C3C43"/>
    <w:rsid w:val="008C4575"/>
    <w:rsid w:val="008C49F0"/>
    <w:rsid w:val="008C4ADD"/>
    <w:rsid w:val="008C4BB7"/>
    <w:rsid w:val="008C4D43"/>
    <w:rsid w:val="008C4EA9"/>
    <w:rsid w:val="008C4EB1"/>
    <w:rsid w:val="008C5DCF"/>
    <w:rsid w:val="008C6638"/>
    <w:rsid w:val="008C6DC7"/>
    <w:rsid w:val="008C7481"/>
    <w:rsid w:val="008D0143"/>
    <w:rsid w:val="008D03A3"/>
    <w:rsid w:val="008D0B36"/>
    <w:rsid w:val="008D0C04"/>
    <w:rsid w:val="008D158D"/>
    <w:rsid w:val="008D180F"/>
    <w:rsid w:val="008D244C"/>
    <w:rsid w:val="008D26A9"/>
    <w:rsid w:val="008D2C3B"/>
    <w:rsid w:val="008D39D5"/>
    <w:rsid w:val="008D438D"/>
    <w:rsid w:val="008D4C59"/>
    <w:rsid w:val="008D51E1"/>
    <w:rsid w:val="008D538C"/>
    <w:rsid w:val="008D6185"/>
    <w:rsid w:val="008D65D8"/>
    <w:rsid w:val="008D6A51"/>
    <w:rsid w:val="008D7C64"/>
    <w:rsid w:val="008E0EE4"/>
    <w:rsid w:val="008E1A82"/>
    <w:rsid w:val="008E1D6D"/>
    <w:rsid w:val="008E2139"/>
    <w:rsid w:val="008E23C0"/>
    <w:rsid w:val="008E2745"/>
    <w:rsid w:val="008E3566"/>
    <w:rsid w:val="008E3CA0"/>
    <w:rsid w:val="008E4F29"/>
    <w:rsid w:val="008E7966"/>
    <w:rsid w:val="008F03D3"/>
    <w:rsid w:val="008F0DFC"/>
    <w:rsid w:val="008F132B"/>
    <w:rsid w:val="008F1A25"/>
    <w:rsid w:val="008F1D09"/>
    <w:rsid w:val="008F1DC3"/>
    <w:rsid w:val="008F28C7"/>
    <w:rsid w:val="008F29FD"/>
    <w:rsid w:val="008F2F32"/>
    <w:rsid w:val="008F3DCC"/>
    <w:rsid w:val="008F4072"/>
    <w:rsid w:val="008F4703"/>
    <w:rsid w:val="008F4CAC"/>
    <w:rsid w:val="008F5092"/>
    <w:rsid w:val="008F5AE3"/>
    <w:rsid w:val="008F662F"/>
    <w:rsid w:val="008F66F7"/>
    <w:rsid w:val="00900777"/>
    <w:rsid w:val="0090175D"/>
    <w:rsid w:val="00901BB0"/>
    <w:rsid w:val="0090228F"/>
    <w:rsid w:val="0090233C"/>
    <w:rsid w:val="00902D9F"/>
    <w:rsid w:val="009032CD"/>
    <w:rsid w:val="00903303"/>
    <w:rsid w:val="00904AAA"/>
    <w:rsid w:val="00906B71"/>
    <w:rsid w:val="009078DE"/>
    <w:rsid w:val="00907EEA"/>
    <w:rsid w:val="00907F21"/>
    <w:rsid w:val="0091013F"/>
    <w:rsid w:val="009106D0"/>
    <w:rsid w:val="009109F5"/>
    <w:rsid w:val="00910C1F"/>
    <w:rsid w:val="009120F0"/>
    <w:rsid w:val="00912142"/>
    <w:rsid w:val="00912582"/>
    <w:rsid w:val="00912C1B"/>
    <w:rsid w:val="00915801"/>
    <w:rsid w:val="0091594D"/>
    <w:rsid w:val="00915D79"/>
    <w:rsid w:val="00916552"/>
    <w:rsid w:val="009167EE"/>
    <w:rsid w:val="0091699C"/>
    <w:rsid w:val="00917A1E"/>
    <w:rsid w:val="00917C7C"/>
    <w:rsid w:val="00917DDE"/>
    <w:rsid w:val="00921B0F"/>
    <w:rsid w:val="00922B45"/>
    <w:rsid w:val="00923F4B"/>
    <w:rsid w:val="00924864"/>
    <w:rsid w:val="00924D6B"/>
    <w:rsid w:val="009250A6"/>
    <w:rsid w:val="00925BA2"/>
    <w:rsid w:val="00925E1C"/>
    <w:rsid w:val="0092634D"/>
    <w:rsid w:val="009264E8"/>
    <w:rsid w:val="0092667A"/>
    <w:rsid w:val="009268F8"/>
    <w:rsid w:val="00926C0D"/>
    <w:rsid w:val="00926C3F"/>
    <w:rsid w:val="0092774A"/>
    <w:rsid w:val="00927875"/>
    <w:rsid w:val="00927CAC"/>
    <w:rsid w:val="009314FF"/>
    <w:rsid w:val="00931B07"/>
    <w:rsid w:val="00931B17"/>
    <w:rsid w:val="0093239C"/>
    <w:rsid w:val="00932E92"/>
    <w:rsid w:val="00933C6E"/>
    <w:rsid w:val="00934AA4"/>
    <w:rsid w:val="009359F6"/>
    <w:rsid w:val="00936078"/>
    <w:rsid w:val="009363E9"/>
    <w:rsid w:val="009372B2"/>
    <w:rsid w:val="009412F4"/>
    <w:rsid w:val="009413DD"/>
    <w:rsid w:val="00941BAE"/>
    <w:rsid w:val="00941C23"/>
    <w:rsid w:val="00941F3B"/>
    <w:rsid w:val="0094202B"/>
    <w:rsid w:val="0094255E"/>
    <w:rsid w:val="0094353C"/>
    <w:rsid w:val="00943C13"/>
    <w:rsid w:val="00944661"/>
    <w:rsid w:val="00944BE9"/>
    <w:rsid w:val="009458AA"/>
    <w:rsid w:val="00945988"/>
    <w:rsid w:val="009459F1"/>
    <w:rsid w:val="00945F43"/>
    <w:rsid w:val="0094641A"/>
    <w:rsid w:val="00946567"/>
    <w:rsid w:val="0094665E"/>
    <w:rsid w:val="00946755"/>
    <w:rsid w:val="00946931"/>
    <w:rsid w:val="00946A0E"/>
    <w:rsid w:val="00946F78"/>
    <w:rsid w:val="00947113"/>
    <w:rsid w:val="00947672"/>
    <w:rsid w:val="009502FA"/>
    <w:rsid w:val="00950C6E"/>
    <w:rsid w:val="00950E06"/>
    <w:rsid w:val="00950F90"/>
    <w:rsid w:val="00952038"/>
    <w:rsid w:val="00952BA1"/>
    <w:rsid w:val="00952C71"/>
    <w:rsid w:val="00952CE3"/>
    <w:rsid w:val="00952D07"/>
    <w:rsid w:val="009531D0"/>
    <w:rsid w:val="00954141"/>
    <w:rsid w:val="00954759"/>
    <w:rsid w:val="009555C4"/>
    <w:rsid w:val="00955D17"/>
    <w:rsid w:val="0095623A"/>
    <w:rsid w:val="009563B4"/>
    <w:rsid w:val="0095652D"/>
    <w:rsid w:val="00957150"/>
    <w:rsid w:val="00957C9F"/>
    <w:rsid w:val="00957E13"/>
    <w:rsid w:val="00957EB4"/>
    <w:rsid w:val="00957EB6"/>
    <w:rsid w:val="00961279"/>
    <w:rsid w:val="0096129C"/>
    <w:rsid w:val="0096132C"/>
    <w:rsid w:val="00961834"/>
    <w:rsid w:val="00961D9F"/>
    <w:rsid w:val="00961FBC"/>
    <w:rsid w:val="009620F1"/>
    <w:rsid w:val="009623D7"/>
    <w:rsid w:val="00962856"/>
    <w:rsid w:val="00962DE0"/>
    <w:rsid w:val="0096312C"/>
    <w:rsid w:val="00963A1A"/>
    <w:rsid w:val="00963C96"/>
    <w:rsid w:val="00963D7D"/>
    <w:rsid w:val="00963F80"/>
    <w:rsid w:val="009640C7"/>
    <w:rsid w:val="009645E1"/>
    <w:rsid w:val="0096475C"/>
    <w:rsid w:val="00964907"/>
    <w:rsid w:val="0096623C"/>
    <w:rsid w:val="009664FA"/>
    <w:rsid w:val="00967740"/>
    <w:rsid w:val="009679AD"/>
    <w:rsid w:val="00970105"/>
    <w:rsid w:val="00970F95"/>
    <w:rsid w:val="00971702"/>
    <w:rsid w:val="0097196B"/>
    <w:rsid w:val="009719D4"/>
    <w:rsid w:val="00971EBC"/>
    <w:rsid w:val="0097242A"/>
    <w:rsid w:val="009726BB"/>
    <w:rsid w:val="00972760"/>
    <w:rsid w:val="00972B61"/>
    <w:rsid w:val="00972E8A"/>
    <w:rsid w:val="00973687"/>
    <w:rsid w:val="00973B43"/>
    <w:rsid w:val="00973C5C"/>
    <w:rsid w:val="00975593"/>
    <w:rsid w:val="00975FD5"/>
    <w:rsid w:val="00976E58"/>
    <w:rsid w:val="00977BD1"/>
    <w:rsid w:val="00977E4F"/>
    <w:rsid w:val="00980389"/>
    <w:rsid w:val="0098070E"/>
    <w:rsid w:val="00980C1B"/>
    <w:rsid w:val="00982004"/>
    <w:rsid w:val="0098223C"/>
    <w:rsid w:val="0098290A"/>
    <w:rsid w:val="00982E06"/>
    <w:rsid w:val="00983541"/>
    <w:rsid w:val="00984481"/>
    <w:rsid w:val="009846BC"/>
    <w:rsid w:val="00984C94"/>
    <w:rsid w:val="00985CFE"/>
    <w:rsid w:val="00986378"/>
    <w:rsid w:val="0098681B"/>
    <w:rsid w:val="00990510"/>
    <w:rsid w:val="00990F4B"/>
    <w:rsid w:val="0099468D"/>
    <w:rsid w:val="009946E3"/>
    <w:rsid w:val="00994F85"/>
    <w:rsid w:val="009950FB"/>
    <w:rsid w:val="0099564C"/>
    <w:rsid w:val="00995FEB"/>
    <w:rsid w:val="00996514"/>
    <w:rsid w:val="00996603"/>
    <w:rsid w:val="0099753A"/>
    <w:rsid w:val="00997A32"/>
    <w:rsid w:val="00997C81"/>
    <w:rsid w:val="00997DAE"/>
    <w:rsid w:val="009A024F"/>
    <w:rsid w:val="009A14B3"/>
    <w:rsid w:val="009A15FD"/>
    <w:rsid w:val="009A18BE"/>
    <w:rsid w:val="009A1D62"/>
    <w:rsid w:val="009A32F8"/>
    <w:rsid w:val="009A3D85"/>
    <w:rsid w:val="009A48DE"/>
    <w:rsid w:val="009A57CE"/>
    <w:rsid w:val="009A5F10"/>
    <w:rsid w:val="009A7396"/>
    <w:rsid w:val="009A755E"/>
    <w:rsid w:val="009A790F"/>
    <w:rsid w:val="009A7DE9"/>
    <w:rsid w:val="009B01BB"/>
    <w:rsid w:val="009B0437"/>
    <w:rsid w:val="009B110B"/>
    <w:rsid w:val="009B16EE"/>
    <w:rsid w:val="009B19CF"/>
    <w:rsid w:val="009B1D81"/>
    <w:rsid w:val="009B3173"/>
    <w:rsid w:val="009B3330"/>
    <w:rsid w:val="009B4946"/>
    <w:rsid w:val="009B5161"/>
    <w:rsid w:val="009B5233"/>
    <w:rsid w:val="009B5C6E"/>
    <w:rsid w:val="009B5D27"/>
    <w:rsid w:val="009B6011"/>
    <w:rsid w:val="009B6031"/>
    <w:rsid w:val="009B6534"/>
    <w:rsid w:val="009B6ABF"/>
    <w:rsid w:val="009B6BAA"/>
    <w:rsid w:val="009B71E5"/>
    <w:rsid w:val="009B7C3C"/>
    <w:rsid w:val="009B7DB4"/>
    <w:rsid w:val="009C075D"/>
    <w:rsid w:val="009C08D5"/>
    <w:rsid w:val="009C0B52"/>
    <w:rsid w:val="009C0EC7"/>
    <w:rsid w:val="009C2274"/>
    <w:rsid w:val="009C2C57"/>
    <w:rsid w:val="009C2EF8"/>
    <w:rsid w:val="009C3C51"/>
    <w:rsid w:val="009C3E68"/>
    <w:rsid w:val="009C41AA"/>
    <w:rsid w:val="009C4546"/>
    <w:rsid w:val="009C50DD"/>
    <w:rsid w:val="009C57AE"/>
    <w:rsid w:val="009C5D93"/>
    <w:rsid w:val="009C6067"/>
    <w:rsid w:val="009C618B"/>
    <w:rsid w:val="009C66A6"/>
    <w:rsid w:val="009C7992"/>
    <w:rsid w:val="009D0244"/>
    <w:rsid w:val="009D0295"/>
    <w:rsid w:val="009D0991"/>
    <w:rsid w:val="009D0EE7"/>
    <w:rsid w:val="009D1580"/>
    <w:rsid w:val="009D2B99"/>
    <w:rsid w:val="009D2CF4"/>
    <w:rsid w:val="009D2F26"/>
    <w:rsid w:val="009D473D"/>
    <w:rsid w:val="009D4A31"/>
    <w:rsid w:val="009D4CC2"/>
    <w:rsid w:val="009D5056"/>
    <w:rsid w:val="009D6A5D"/>
    <w:rsid w:val="009D6CD1"/>
    <w:rsid w:val="009D7E91"/>
    <w:rsid w:val="009E0B56"/>
    <w:rsid w:val="009E0E90"/>
    <w:rsid w:val="009E1DC4"/>
    <w:rsid w:val="009E1EE8"/>
    <w:rsid w:val="009E3660"/>
    <w:rsid w:val="009E37D7"/>
    <w:rsid w:val="009E3BA0"/>
    <w:rsid w:val="009E4439"/>
    <w:rsid w:val="009E4D0E"/>
    <w:rsid w:val="009E56E6"/>
    <w:rsid w:val="009E575D"/>
    <w:rsid w:val="009E5802"/>
    <w:rsid w:val="009E658B"/>
    <w:rsid w:val="009E6BD0"/>
    <w:rsid w:val="009E6DCC"/>
    <w:rsid w:val="009E7631"/>
    <w:rsid w:val="009F09DA"/>
    <w:rsid w:val="009F1093"/>
    <w:rsid w:val="009F1A00"/>
    <w:rsid w:val="009F20D4"/>
    <w:rsid w:val="009F21D6"/>
    <w:rsid w:val="009F22F7"/>
    <w:rsid w:val="009F299A"/>
    <w:rsid w:val="009F36C9"/>
    <w:rsid w:val="009F3D20"/>
    <w:rsid w:val="009F41D6"/>
    <w:rsid w:val="009F4A40"/>
    <w:rsid w:val="009F5B39"/>
    <w:rsid w:val="009F6711"/>
    <w:rsid w:val="009F6A1D"/>
    <w:rsid w:val="009F6C57"/>
    <w:rsid w:val="009F6EAC"/>
    <w:rsid w:val="009F72FC"/>
    <w:rsid w:val="009F7351"/>
    <w:rsid w:val="009F73BE"/>
    <w:rsid w:val="009F79F1"/>
    <w:rsid w:val="009F7FF2"/>
    <w:rsid w:val="00A00ED3"/>
    <w:rsid w:val="00A01306"/>
    <w:rsid w:val="00A013BA"/>
    <w:rsid w:val="00A01435"/>
    <w:rsid w:val="00A016A2"/>
    <w:rsid w:val="00A027F0"/>
    <w:rsid w:val="00A02C14"/>
    <w:rsid w:val="00A04379"/>
    <w:rsid w:val="00A0515D"/>
    <w:rsid w:val="00A05928"/>
    <w:rsid w:val="00A0633A"/>
    <w:rsid w:val="00A064CC"/>
    <w:rsid w:val="00A06563"/>
    <w:rsid w:val="00A06772"/>
    <w:rsid w:val="00A06949"/>
    <w:rsid w:val="00A076F7"/>
    <w:rsid w:val="00A0793E"/>
    <w:rsid w:val="00A07AA6"/>
    <w:rsid w:val="00A10009"/>
    <w:rsid w:val="00A10054"/>
    <w:rsid w:val="00A104F6"/>
    <w:rsid w:val="00A10A6E"/>
    <w:rsid w:val="00A10AA7"/>
    <w:rsid w:val="00A10EAD"/>
    <w:rsid w:val="00A10F16"/>
    <w:rsid w:val="00A1107E"/>
    <w:rsid w:val="00A116C4"/>
    <w:rsid w:val="00A135BE"/>
    <w:rsid w:val="00A1372B"/>
    <w:rsid w:val="00A13777"/>
    <w:rsid w:val="00A13968"/>
    <w:rsid w:val="00A13CAF"/>
    <w:rsid w:val="00A13FFE"/>
    <w:rsid w:val="00A152B0"/>
    <w:rsid w:val="00A1792A"/>
    <w:rsid w:val="00A17BAB"/>
    <w:rsid w:val="00A17EE5"/>
    <w:rsid w:val="00A200FA"/>
    <w:rsid w:val="00A201A4"/>
    <w:rsid w:val="00A20C58"/>
    <w:rsid w:val="00A20F1C"/>
    <w:rsid w:val="00A212E4"/>
    <w:rsid w:val="00A21C59"/>
    <w:rsid w:val="00A22500"/>
    <w:rsid w:val="00A22AF6"/>
    <w:rsid w:val="00A23A4B"/>
    <w:rsid w:val="00A24EFB"/>
    <w:rsid w:val="00A252AE"/>
    <w:rsid w:val="00A25D3D"/>
    <w:rsid w:val="00A265A0"/>
    <w:rsid w:val="00A27228"/>
    <w:rsid w:val="00A27491"/>
    <w:rsid w:val="00A27ED9"/>
    <w:rsid w:val="00A30065"/>
    <w:rsid w:val="00A30A7A"/>
    <w:rsid w:val="00A312A9"/>
    <w:rsid w:val="00A31AA6"/>
    <w:rsid w:val="00A31BDC"/>
    <w:rsid w:val="00A3302A"/>
    <w:rsid w:val="00A3335B"/>
    <w:rsid w:val="00A337F9"/>
    <w:rsid w:val="00A34093"/>
    <w:rsid w:val="00A37472"/>
    <w:rsid w:val="00A3751D"/>
    <w:rsid w:val="00A37BB1"/>
    <w:rsid w:val="00A37EC3"/>
    <w:rsid w:val="00A413CF"/>
    <w:rsid w:val="00A41846"/>
    <w:rsid w:val="00A41924"/>
    <w:rsid w:val="00A41987"/>
    <w:rsid w:val="00A419FB"/>
    <w:rsid w:val="00A41B58"/>
    <w:rsid w:val="00A424EA"/>
    <w:rsid w:val="00A4250E"/>
    <w:rsid w:val="00A42CD6"/>
    <w:rsid w:val="00A42EE1"/>
    <w:rsid w:val="00A43B47"/>
    <w:rsid w:val="00A43CAC"/>
    <w:rsid w:val="00A4519A"/>
    <w:rsid w:val="00A45929"/>
    <w:rsid w:val="00A45F75"/>
    <w:rsid w:val="00A46EC0"/>
    <w:rsid w:val="00A47038"/>
    <w:rsid w:val="00A47780"/>
    <w:rsid w:val="00A47FC5"/>
    <w:rsid w:val="00A5099B"/>
    <w:rsid w:val="00A509B1"/>
    <w:rsid w:val="00A50CFC"/>
    <w:rsid w:val="00A513D4"/>
    <w:rsid w:val="00A51519"/>
    <w:rsid w:val="00A51570"/>
    <w:rsid w:val="00A51E01"/>
    <w:rsid w:val="00A51F43"/>
    <w:rsid w:val="00A52326"/>
    <w:rsid w:val="00A533A5"/>
    <w:rsid w:val="00A53833"/>
    <w:rsid w:val="00A54C2D"/>
    <w:rsid w:val="00A56839"/>
    <w:rsid w:val="00A6053C"/>
    <w:rsid w:val="00A60550"/>
    <w:rsid w:val="00A6072D"/>
    <w:rsid w:val="00A6097B"/>
    <w:rsid w:val="00A609C9"/>
    <w:rsid w:val="00A617DC"/>
    <w:rsid w:val="00A63032"/>
    <w:rsid w:val="00A6330D"/>
    <w:rsid w:val="00A6446C"/>
    <w:rsid w:val="00A65192"/>
    <w:rsid w:val="00A65285"/>
    <w:rsid w:val="00A65387"/>
    <w:rsid w:val="00A657D5"/>
    <w:rsid w:val="00A66409"/>
    <w:rsid w:val="00A66460"/>
    <w:rsid w:val="00A66A46"/>
    <w:rsid w:val="00A673AC"/>
    <w:rsid w:val="00A67E95"/>
    <w:rsid w:val="00A70679"/>
    <w:rsid w:val="00A70FCD"/>
    <w:rsid w:val="00A71431"/>
    <w:rsid w:val="00A71950"/>
    <w:rsid w:val="00A71C90"/>
    <w:rsid w:val="00A72BE3"/>
    <w:rsid w:val="00A73B5D"/>
    <w:rsid w:val="00A73C9B"/>
    <w:rsid w:val="00A75C75"/>
    <w:rsid w:val="00A75E03"/>
    <w:rsid w:val="00A76436"/>
    <w:rsid w:val="00A767C7"/>
    <w:rsid w:val="00A77B5A"/>
    <w:rsid w:val="00A80045"/>
    <w:rsid w:val="00A80161"/>
    <w:rsid w:val="00A806FA"/>
    <w:rsid w:val="00A815DD"/>
    <w:rsid w:val="00A8175A"/>
    <w:rsid w:val="00A817E2"/>
    <w:rsid w:val="00A82CA9"/>
    <w:rsid w:val="00A83471"/>
    <w:rsid w:val="00A8415C"/>
    <w:rsid w:val="00A8499D"/>
    <w:rsid w:val="00A84B06"/>
    <w:rsid w:val="00A85FB5"/>
    <w:rsid w:val="00A85FDD"/>
    <w:rsid w:val="00A860F7"/>
    <w:rsid w:val="00A86529"/>
    <w:rsid w:val="00A87813"/>
    <w:rsid w:val="00A90018"/>
    <w:rsid w:val="00A910CE"/>
    <w:rsid w:val="00A91D05"/>
    <w:rsid w:val="00A91F84"/>
    <w:rsid w:val="00A92B86"/>
    <w:rsid w:val="00A92FAE"/>
    <w:rsid w:val="00A92FC8"/>
    <w:rsid w:val="00A92FD4"/>
    <w:rsid w:val="00A93C67"/>
    <w:rsid w:val="00A93FE6"/>
    <w:rsid w:val="00A94DA9"/>
    <w:rsid w:val="00A95B2F"/>
    <w:rsid w:val="00A95C5A"/>
    <w:rsid w:val="00A95DD8"/>
    <w:rsid w:val="00A964A8"/>
    <w:rsid w:val="00A9651B"/>
    <w:rsid w:val="00A9686C"/>
    <w:rsid w:val="00A96E99"/>
    <w:rsid w:val="00AA0877"/>
    <w:rsid w:val="00AA0DF4"/>
    <w:rsid w:val="00AA0F03"/>
    <w:rsid w:val="00AA1FC8"/>
    <w:rsid w:val="00AA2477"/>
    <w:rsid w:val="00AA2775"/>
    <w:rsid w:val="00AA2B7C"/>
    <w:rsid w:val="00AA2C50"/>
    <w:rsid w:val="00AA3247"/>
    <w:rsid w:val="00AA325C"/>
    <w:rsid w:val="00AA3852"/>
    <w:rsid w:val="00AA4096"/>
    <w:rsid w:val="00AA4D43"/>
    <w:rsid w:val="00AA50E9"/>
    <w:rsid w:val="00AA581E"/>
    <w:rsid w:val="00AA6CA0"/>
    <w:rsid w:val="00AA7089"/>
    <w:rsid w:val="00AA7AE4"/>
    <w:rsid w:val="00AB0E80"/>
    <w:rsid w:val="00AB12AF"/>
    <w:rsid w:val="00AB136D"/>
    <w:rsid w:val="00AB138E"/>
    <w:rsid w:val="00AB20BC"/>
    <w:rsid w:val="00AB2723"/>
    <w:rsid w:val="00AB28EE"/>
    <w:rsid w:val="00AB2A47"/>
    <w:rsid w:val="00AB4432"/>
    <w:rsid w:val="00AB52D8"/>
    <w:rsid w:val="00AB5352"/>
    <w:rsid w:val="00AB57FE"/>
    <w:rsid w:val="00AB60FF"/>
    <w:rsid w:val="00AB62D1"/>
    <w:rsid w:val="00AB6818"/>
    <w:rsid w:val="00AB6A95"/>
    <w:rsid w:val="00AB78A0"/>
    <w:rsid w:val="00AB78B6"/>
    <w:rsid w:val="00AC09A2"/>
    <w:rsid w:val="00AC155D"/>
    <w:rsid w:val="00AC198A"/>
    <w:rsid w:val="00AC2CB1"/>
    <w:rsid w:val="00AC3060"/>
    <w:rsid w:val="00AC50D5"/>
    <w:rsid w:val="00AC5221"/>
    <w:rsid w:val="00AC73A4"/>
    <w:rsid w:val="00AC7B43"/>
    <w:rsid w:val="00AD0396"/>
    <w:rsid w:val="00AD0436"/>
    <w:rsid w:val="00AD06F7"/>
    <w:rsid w:val="00AD136F"/>
    <w:rsid w:val="00AD1FC6"/>
    <w:rsid w:val="00AD22E4"/>
    <w:rsid w:val="00AD249F"/>
    <w:rsid w:val="00AD289D"/>
    <w:rsid w:val="00AD28AA"/>
    <w:rsid w:val="00AD3273"/>
    <w:rsid w:val="00AD35D9"/>
    <w:rsid w:val="00AD362A"/>
    <w:rsid w:val="00AD3BC8"/>
    <w:rsid w:val="00AD3C48"/>
    <w:rsid w:val="00AD4011"/>
    <w:rsid w:val="00AD4432"/>
    <w:rsid w:val="00AD5A03"/>
    <w:rsid w:val="00AD5A29"/>
    <w:rsid w:val="00AD5C3F"/>
    <w:rsid w:val="00AD6D17"/>
    <w:rsid w:val="00AD6E58"/>
    <w:rsid w:val="00AD74FF"/>
    <w:rsid w:val="00AE008B"/>
    <w:rsid w:val="00AE06D2"/>
    <w:rsid w:val="00AE09C9"/>
    <w:rsid w:val="00AE24E3"/>
    <w:rsid w:val="00AE270F"/>
    <w:rsid w:val="00AE2F45"/>
    <w:rsid w:val="00AE400F"/>
    <w:rsid w:val="00AE45FC"/>
    <w:rsid w:val="00AE4B9F"/>
    <w:rsid w:val="00AE515C"/>
    <w:rsid w:val="00AE542E"/>
    <w:rsid w:val="00AE6254"/>
    <w:rsid w:val="00AE667C"/>
    <w:rsid w:val="00AE6738"/>
    <w:rsid w:val="00AE69AE"/>
    <w:rsid w:val="00AE6D0C"/>
    <w:rsid w:val="00AE7B2B"/>
    <w:rsid w:val="00AF00BA"/>
    <w:rsid w:val="00AF0147"/>
    <w:rsid w:val="00AF059C"/>
    <w:rsid w:val="00AF1407"/>
    <w:rsid w:val="00AF248E"/>
    <w:rsid w:val="00AF304E"/>
    <w:rsid w:val="00AF3101"/>
    <w:rsid w:val="00AF31CF"/>
    <w:rsid w:val="00AF333B"/>
    <w:rsid w:val="00AF3A28"/>
    <w:rsid w:val="00AF4EC4"/>
    <w:rsid w:val="00AF4F52"/>
    <w:rsid w:val="00AF5AD4"/>
    <w:rsid w:val="00AF603E"/>
    <w:rsid w:val="00AF607B"/>
    <w:rsid w:val="00B00761"/>
    <w:rsid w:val="00B010C9"/>
    <w:rsid w:val="00B012D6"/>
    <w:rsid w:val="00B015AF"/>
    <w:rsid w:val="00B0180B"/>
    <w:rsid w:val="00B01EF1"/>
    <w:rsid w:val="00B02525"/>
    <w:rsid w:val="00B026AF"/>
    <w:rsid w:val="00B028E7"/>
    <w:rsid w:val="00B035EA"/>
    <w:rsid w:val="00B0455E"/>
    <w:rsid w:val="00B05B0E"/>
    <w:rsid w:val="00B066C7"/>
    <w:rsid w:val="00B07105"/>
    <w:rsid w:val="00B075F7"/>
    <w:rsid w:val="00B07A5A"/>
    <w:rsid w:val="00B07F3F"/>
    <w:rsid w:val="00B07FD9"/>
    <w:rsid w:val="00B11235"/>
    <w:rsid w:val="00B11A64"/>
    <w:rsid w:val="00B11BE9"/>
    <w:rsid w:val="00B120FB"/>
    <w:rsid w:val="00B12DD8"/>
    <w:rsid w:val="00B14475"/>
    <w:rsid w:val="00B14B23"/>
    <w:rsid w:val="00B14C11"/>
    <w:rsid w:val="00B150B9"/>
    <w:rsid w:val="00B15C4E"/>
    <w:rsid w:val="00B166E3"/>
    <w:rsid w:val="00B16ED2"/>
    <w:rsid w:val="00B17392"/>
    <w:rsid w:val="00B174AA"/>
    <w:rsid w:val="00B2011C"/>
    <w:rsid w:val="00B2039C"/>
    <w:rsid w:val="00B203E3"/>
    <w:rsid w:val="00B209AD"/>
    <w:rsid w:val="00B21166"/>
    <w:rsid w:val="00B21690"/>
    <w:rsid w:val="00B21AC0"/>
    <w:rsid w:val="00B21BD0"/>
    <w:rsid w:val="00B22BDF"/>
    <w:rsid w:val="00B22EA7"/>
    <w:rsid w:val="00B23C60"/>
    <w:rsid w:val="00B23CD0"/>
    <w:rsid w:val="00B248DB"/>
    <w:rsid w:val="00B2587B"/>
    <w:rsid w:val="00B261FB"/>
    <w:rsid w:val="00B26A32"/>
    <w:rsid w:val="00B26A9A"/>
    <w:rsid w:val="00B26CB2"/>
    <w:rsid w:val="00B26D26"/>
    <w:rsid w:val="00B2799A"/>
    <w:rsid w:val="00B30322"/>
    <w:rsid w:val="00B30527"/>
    <w:rsid w:val="00B305BD"/>
    <w:rsid w:val="00B30F37"/>
    <w:rsid w:val="00B31265"/>
    <w:rsid w:val="00B31EA0"/>
    <w:rsid w:val="00B31F9D"/>
    <w:rsid w:val="00B3207E"/>
    <w:rsid w:val="00B321A4"/>
    <w:rsid w:val="00B33040"/>
    <w:rsid w:val="00B33B96"/>
    <w:rsid w:val="00B34366"/>
    <w:rsid w:val="00B34E08"/>
    <w:rsid w:val="00B354B2"/>
    <w:rsid w:val="00B367D4"/>
    <w:rsid w:val="00B37776"/>
    <w:rsid w:val="00B3799F"/>
    <w:rsid w:val="00B37D40"/>
    <w:rsid w:val="00B40134"/>
    <w:rsid w:val="00B40844"/>
    <w:rsid w:val="00B41224"/>
    <w:rsid w:val="00B41370"/>
    <w:rsid w:val="00B4144F"/>
    <w:rsid w:val="00B420AB"/>
    <w:rsid w:val="00B428EF"/>
    <w:rsid w:val="00B4299B"/>
    <w:rsid w:val="00B42BED"/>
    <w:rsid w:val="00B430F6"/>
    <w:rsid w:val="00B43200"/>
    <w:rsid w:val="00B43572"/>
    <w:rsid w:val="00B44D65"/>
    <w:rsid w:val="00B4540C"/>
    <w:rsid w:val="00B454DC"/>
    <w:rsid w:val="00B45698"/>
    <w:rsid w:val="00B459C6"/>
    <w:rsid w:val="00B46B79"/>
    <w:rsid w:val="00B46FB1"/>
    <w:rsid w:val="00B47188"/>
    <w:rsid w:val="00B47240"/>
    <w:rsid w:val="00B4744E"/>
    <w:rsid w:val="00B4775B"/>
    <w:rsid w:val="00B50208"/>
    <w:rsid w:val="00B505E2"/>
    <w:rsid w:val="00B50C68"/>
    <w:rsid w:val="00B514B8"/>
    <w:rsid w:val="00B51FB4"/>
    <w:rsid w:val="00B52850"/>
    <w:rsid w:val="00B52AD3"/>
    <w:rsid w:val="00B531BC"/>
    <w:rsid w:val="00B5374D"/>
    <w:rsid w:val="00B53826"/>
    <w:rsid w:val="00B54005"/>
    <w:rsid w:val="00B54296"/>
    <w:rsid w:val="00B54360"/>
    <w:rsid w:val="00B54590"/>
    <w:rsid w:val="00B5543A"/>
    <w:rsid w:val="00B55D6D"/>
    <w:rsid w:val="00B55F50"/>
    <w:rsid w:val="00B56001"/>
    <w:rsid w:val="00B5676E"/>
    <w:rsid w:val="00B56C77"/>
    <w:rsid w:val="00B571D5"/>
    <w:rsid w:val="00B57C14"/>
    <w:rsid w:val="00B62831"/>
    <w:rsid w:val="00B62972"/>
    <w:rsid w:val="00B6371E"/>
    <w:rsid w:val="00B63C72"/>
    <w:rsid w:val="00B63D5B"/>
    <w:rsid w:val="00B65414"/>
    <w:rsid w:val="00B66191"/>
    <w:rsid w:val="00B664B1"/>
    <w:rsid w:val="00B667D0"/>
    <w:rsid w:val="00B66980"/>
    <w:rsid w:val="00B676AA"/>
    <w:rsid w:val="00B67727"/>
    <w:rsid w:val="00B67B1A"/>
    <w:rsid w:val="00B70263"/>
    <w:rsid w:val="00B70291"/>
    <w:rsid w:val="00B70685"/>
    <w:rsid w:val="00B709AA"/>
    <w:rsid w:val="00B71A4A"/>
    <w:rsid w:val="00B72193"/>
    <w:rsid w:val="00B7240A"/>
    <w:rsid w:val="00B72DB8"/>
    <w:rsid w:val="00B73BA0"/>
    <w:rsid w:val="00B74482"/>
    <w:rsid w:val="00B74F39"/>
    <w:rsid w:val="00B753ED"/>
    <w:rsid w:val="00B75447"/>
    <w:rsid w:val="00B75BC2"/>
    <w:rsid w:val="00B75DFD"/>
    <w:rsid w:val="00B7697D"/>
    <w:rsid w:val="00B77162"/>
    <w:rsid w:val="00B8000A"/>
    <w:rsid w:val="00B802D8"/>
    <w:rsid w:val="00B80C96"/>
    <w:rsid w:val="00B83785"/>
    <w:rsid w:val="00B839F3"/>
    <w:rsid w:val="00B84D68"/>
    <w:rsid w:val="00B85E41"/>
    <w:rsid w:val="00B861B3"/>
    <w:rsid w:val="00B8633F"/>
    <w:rsid w:val="00B86912"/>
    <w:rsid w:val="00B8699D"/>
    <w:rsid w:val="00B87620"/>
    <w:rsid w:val="00B91208"/>
    <w:rsid w:val="00B912C7"/>
    <w:rsid w:val="00B91BD8"/>
    <w:rsid w:val="00B91CB7"/>
    <w:rsid w:val="00B92282"/>
    <w:rsid w:val="00B92A1A"/>
    <w:rsid w:val="00B92C35"/>
    <w:rsid w:val="00B9308A"/>
    <w:rsid w:val="00B93330"/>
    <w:rsid w:val="00B93588"/>
    <w:rsid w:val="00B936F1"/>
    <w:rsid w:val="00B93B56"/>
    <w:rsid w:val="00B93CA6"/>
    <w:rsid w:val="00B9460F"/>
    <w:rsid w:val="00B94638"/>
    <w:rsid w:val="00B94702"/>
    <w:rsid w:val="00B94F2B"/>
    <w:rsid w:val="00B94F48"/>
    <w:rsid w:val="00B95CC2"/>
    <w:rsid w:val="00B96236"/>
    <w:rsid w:val="00B969C7"/>
    <w:rsid w:val="00B96DF7"/>
    <w:rsid w:val="00B976F1"/>
    <w:rsid w:val="00B97F2D"/>
    <w:rsid w:val="00BA0E22"/>
    <w:rsid w:val="00BA0F3B"/>
    <w:rsid w:val="00BA123A"/>
    <w:rsid w:val="00BA1E9C"/>
    <w:rsid w:val="00BA2B97"/>
    <w:rsid w:val="00BA2F99"/>
    <w:rsid w:val="00BA323C"/>
    <w:rsid w:val="00BA47C2"/>
    <w:rsid w:val="00BA4E32"/>
    <w:rsid w:val="00BA4FE3"/>
    <w:rsid w:val="00BA6001"/>
    <w:rsid w:val="00BA6483"/>
    <w:rsid w:val="00BA6A04"/>
    <w:rsid w:val="00BA70BB"/>
    <w:rsid w:val="00BB05DA"/>
    <w:rsid w:val="00BB098C"/>
    <w:rsid w:val="00BB0BDB"/>
    <w:rsid w:val="00BB0C93"/>
    <w:rsid w:val="00BB1183"/>
    <w:rsid w:val="00BB17F5"/>
    <w:rsid w:val="00BB1800"/>
    <w:rsid w:val="00BB2246"/>
    <w:rsid w:val="00BB2628"/>
    <w:rsid w:val="00BB3ED1"/>
    <w:rsid w:val="00BB3F1F"/>
    <w:rsid w:val="00BB4341"/>
    <w:rsid w:val="00BB43C5"/>
    <w:rsid w:val="00BB4554"/>
    <w:rsid w:val="00BB4598"/>
    <w:rsid w:val="00BB51E1"/>
    <w:rsid w:val="00BB56F3"/>
    <w:rsid w:val="00BB57A9"/>
    <w:rsid w:val="00BB5BD6"/>
    <w:rsid w:val="00BB646C"/>
    <w:rsid w:val="00BB675B"/>
    <w:rsid w:val="00BB6C6E"/>
    <w:rsid w:val="00BB7FDB"/>
    <w:rsid w:val="00BC0037"/>
    <w:rsid w:val="00BC0A56"/>
    <w:rsid w:val="00BC1551"/>
    <w:rsid w:val="00BC1D97"/>
    <w:rsid w:val="00BC20BE"/>
    <w:rsid w:val="00BC291E"/>
    <w:rsid w:val="00BC2ABC"/>
    <w:rsid w:val="00BC44E5"/>
    <w:rsid w:val="00BC5463"/>
    <w:rsid w:val="00BC5803"/>
    <w:rsid w:val="00BC6630"/>
    <w:rsid w:val="00BD00DD"/>
    <w:rsid w:val="00BD0760"/>
    <w:rsid w:val="00BD097C"/>
    <w:rsid w:val="00BD0DBC"/>
    <w:rsid w:val="00BD0DF3"/>
    <w:rsid w:val="00BD11E4"/>
    <w:rsid w:val="00BD1F4B"/>
    <w:rsid w:val="00BD1FDF"/>
    <w:rsid w:val="00BD22BF"/>
    <w:rsid w:val="00BD2F06"/>
    <w:rsid w:val="00BD3DD0"/>
    <w:rsid w:val="00BD435F"/>
    <w:rsid w:val="00BD4455"/>
    <w:rsid w:val="00BD5CDB"/>
    <w:rsid w:val="00BD6014"/>
    <w:rsid w:val="00BD6280"/>
    <w:rsid w:val="00BD62E5"/>
    <w:rsid w:val="00BD631D"/>
    <w:rsid w:val="00BD644A"/>
    <w:rsid w:val="00BD666B"/>
    <w:rsid w:val="00BD693F"/>
    <w:rsid w:val="00BD7581"/>
    <w:rsid w:val="00BD7E0D"/>
    <w:rsid w:val="00BE04BC"/>
    <w:rsid w:val="00BE05ED"/>
    <w:rsid w:val="00BE06E5"/>
    <w:rsid w:val="00BE1076"/>
    <w:rsid w:val="00BE3176"/>
    <w:rsid w:val="00BE3D61"/>
    <w:rsid w:val="00BE47A7"/>
    <w:rsid w:val="00BE4D50"/>
    <w:rsid w:val="00BE5154"/>
    <w:rsid w:val="00BE66D5"/>
    <w:rsid w:val="00BE6DF1"/>
    <w:rsid w:val="00BE731E"/>
    <w:rsid w:val="00BE7D85"/>
    <w:rsid w:val="00BF067F"/>
    <w:rsid w:val="00BF08E9"/>
    <w:rsid w:val="00BF0B9F"/>
    <w:rsid w:val="00BF1821"/>
    <w:rsid w:val="00BF1B72"/>
    <w:rsid w:val="00BF2193"/>
    <w:rsid w:val="00BF2D67"/>
    <w:rsid w:val="00BF36F2"/>
    <w:rsid w:val="00BF3718"/>
    <w:rsid w:val="00BF395E"/>
    <w:rsid w:val="00BF4126"/>
    <w:rsid w:val="00BF5046"/>
    <w:rsid w:val="00BF512C"/>
    <w:rsid w:val="00BF5443"/>
    <w:rsid w:val="00BF5A0A"/>
    <w:rsid w:val="00BF5E51"/>
    <w:rsid w:val="00BF5E67"/>
    <w:rsid w:val="00BF62D9"/>
    <w:rsid w:val="00BF63E6"/>
    <w:rsid w:val="00BF67E5"/>
    <w:rsid w:val="00C00863"/>
    <w:rsid w:val="00C00EDE"/>
    <w:rsid w:val="00C012C5"/>
    <w:rsid w:val="00C01330"/>
    <w:rsid w:val="00C01619"/>
    <w:rsid w:val="00C01C44"/>
    <w:rsid w:val="00C02BAD"/>
    <w:rsid w:val="00C03A8F"/>
    <w:rsid w:val="00C0577D"/>
    <w:rsid w:val="00C059CF"/>
    <w:rsid w:val="00C065B4"/>
    <w:rsid w:val="00C06DF6"/>
    <w:rsid w:val="00C072F9"/>
    <w:rsid w:val="00C07A4A"/>
    <w:rsid w:val="00C07FD2"/>
    <w:rsid w:val="00C102A1"/>
    <w:rsid w:val="00C10653"/>
    <w:rsid w:val="00C10938"/>
    <w:rsid w:val="00C10970"/>
    <w:rsid w:val="00C10E49"/>
    <w:rsid w:val="00C10EA5"/>
    <w:rsid w:val="00C1199D"/>
    <w:rsid w:val="00C11A4B"/>
    <w:rsid w:val="00C127EF"/>
    <w:rsid w:val="00C12F59"/>
    <w:rsid w:val="00C14149"/>
    <w:rsid w:val="00C143E3"/>
    <w:rsid w:val="00C150D6"/>
    <w:rsid w:val="00C15676"/>
    <w:rsid w:val="00C15D54"/>
    <w:rsid w:val="00C16398"/>
    <w:rsid w:val="00C167E5"/>
    <w:rsid w:val="00C16CF6"/>
    <w:rsid w:val="00C16F37"/>
    <w:rsid w:val="00C174EF"/>
    <w:rsid w:val="00C17704"/>
    <w:rsid w:val="00C203D2"/>
    <w:rsid w:val="00C21845"/>
    <w:rsid w:val="00C21CF8"/>
    <w:rsid w:val="00C22726"/>
    <w:rsid w:val="00C2401F"/>
    <w:rsid w:val="00C2413C"/>
    <w:rsid w:val="00C241A2"/>
    <w:rsid w:val="00C250FD"/>
    <w:rsid w:val="00C25924"/>
    <w:rsid w:val="00C25B22"/>
    <w:rsid w:val="00C266A5"/>
    <w:rsid w:val="00C26EE8"/>
    <w:rsid w:val="00C273A0"/>
    <w:rsid w:val="00C27F2D"/>
    <w:rsid w:val="00C32278"/>
    <w:rsid w:val="00C324E6"/>
    <w:rsid w:val="00C326A6"/>
    <w:rsid w:val="00C32E58"/>
    <w:rsid w:val="00C32F43"/>
    <w:rsid w:val="00C34230"/>
    <w:rsid w:val="00C3428C"/>
    <w:rsid w:val="00C348BB"/>
    <w:rsid w:val="00C350DB"/>
    <w:rsid w:val="00C351F6"/>
    <w:rsid w:val="00C35279"/>
    <w:rsid w:val="00C35486"/>
    <w:rsid w:val="00C35BE2"/>
    <w:rsid w:val="00C35E99"/>
    <w:rsid w:val="00C370C5"/>
    <w:rsid w:val="00C37D00"/>
    <w:rsid w:val="00C37FB2"/>
    <w:rsid w:val="00C4096E"/>
    <w:rsid w:val="00C40C96"/>
    <w:rsid w:val="00C40FC1"/>
    <w:rsid w:val="00C411B9"/>
    <w:rsid w:val="00C41284"/>
    <w:rsid w:val="00C41725"/>
    <w:rsid w:val="00C418EC"/>
    <w:rsid w:val="00C41B32"/>
    <w:rsid w:val="00C43942"/>
    <w:rsid w:val="00C4422E"/>
    <w:rsid w:val="00C44689"/>
    <w:rsid w:val="00C44748"/>
    <w:rsid w:val="00C44E72"/>
    <w:rsid w:val="00C4583B"/>
    <w:rsid w:val="00C45AF0"/>
    <w:rsid w:val="00C45DA8"/>
    <w:rsid w:val="00C479DA"/>
    <w:rsid w:val="00C47A1C"/>
    <w:rsid w:val="00C47CE0"/>
    <w:rsid w:val="00C47D24"/>
    <w:rsid w:val="00C51E97"/>
    <w:rsid w:val="00C52808"/>
    <w:rsid w:val="00C52BA3"/>
    <w:rsid w:val="00C53828"/>
    <w:rsid w:val="00C53D7A"/>
    <w:rsid w:val="00C53F02"/>
    <w:rsid w:val="00C53FF5"/>
    <w:rsid w:val="00C54F85"/>
    <w:rsid w:val="00C5586F"/>
    <w:rsid w:val="00C55B9E"/>
    <w:rsid w:val="00C56653"/>
    <w:rsid w:val="00C57147"/>
    <w:rsid w:val="00C6089A"/>
    <w:rsid w:val="00C613F8"/>
    <w:rsid w:val="00C618EE"/>
    <w:rsid w:val="00C61DD2"/>
    <w:rsid w:val="00C61DF7"/>
    <w:rsid w:val="00C621EA"/>
    <w:rsid w:val="00C62318"/>
    <w:rsid w:val="00C64327"/>
    <w:rsid w:val="00C64435"/>
    <w:rsid w:val="00C649B6"/>
    <w:rsid w:val="00C64FD5"/>
    <w:rsid w:val="00C653E9"/>
    <w:rsid w:val="00C655A1"/>
    <w:rsid w:val="00C66152"/>
    <w:rsid w:val="00C66614"/>
    <w:rsid w:val="00C67548"/>
    <w:rsid w:val="00C676BE"/>
    <w:rsid w:val="00C70E10"/>
    <w:rsid w:val="00C711DE"/>
    <w:rsid w:val="00C71603"/>
    <w:rsid w:val="00C72500"/>
    <w:rsid w:val="00C728ED"/>
    <w:rsid w:val="00C72BF1"/>
    <w:rsid w:val="00C73D47"/>
    <w:rsid w:val="00C73EEA"/>
    <w:rsid w:val="00C74477"/>
    <w:rsid w:val="00C74DAA"/>
    <w:rsid w:val="00C751DA"/>
    <w:rsid w:val="00C75B77"/>
    <w:rsid w:val="00C7603A"/>
    <w:rsid w:val="00C761AF"/>
    <w:rsid w:val="00C76481"/>
    <w:rsid w:val="00C771DA"/>
    <w:rsid w:val="00C773EF"/>
    <w:rsid w:val="00C80A69"/>
    <w:rsid w:val="00C80AB7"/>
    <w:rsid w:val="00C80B83"/>
    <w:rsid w:val="00C81416"/>
    <w:rsid w:val="00C81B6B"/>
    <w:rsid w:val="00C81FAB"/>
    <w:rsid w:val="00C828AE"/>
    <w:rsid w:val="00C82F21"/>
    <w:rsid w:val="00C84787"/>
    <w:rsid w:val="00C84C0F"/>
    <w:rsid w:val="00C859F7"/>
    <w:rsid w:val="00C85FC5"/>
    <w:rsid w:val="00C86F65"/>
    <w:rsid w:val="00C87723"/>
    <w:rsid w:val="00C87C86"/>
    <w:rsid w:val="00C87F27"/>
    <w:rsid w:val="00C909B4"/>
    <w:rsid w:val="00C90A65"/>
    <w:rsid w:val="00C90A6A"/>
    <w:rsid w:val="00C90D5F"/>
    <w:rsid w:val="00C90E35"/>
    <w:rsid w:val="00C91030"/>
    <w:rsid w:val="00C91080"/>
    <w:rsid w:val="00C9129A"/>
    <w:rsid w:val="00C9192F"/>
    <w:rsid w:val="00C92301"/>
    <w:rsid w:val="00C92843"/>
    <w:rsid w:val="00C92D9C"/>
    <w:rsid w:val="00C931C3"/>
    <w:rsid w:val="00C93444"/>
    <w:rsid w:val="00C94380"/>
    <w:rsid w:val="00C949DA"/>
    <w:rsid w:val="00C95CEE"/>
    <w:rsid w:val="00C96D24"/>
    <w:rsid w:val="00C975F0"/>
    <w:rsid w:val="00C97FEA"/>
    <w:rsid w:val="00CA0BE1"/>
    <w:rsid w:val="00CA0C49"/>
    <w:rsid w:val="00CA14B4"/>
    <w:rsid w:val="00CA1DD6"/>
    <w:rsid w:val="00CA22C1"/>
    <w:rsid w:val="00CA2A11"/>
    <w:rsid w:val="00CA3201"/>
    <w:rsid w:val="00CA3947"/>
    <w:rsid w:val="00CA39B5"/>
    <w:rsid w:val="00CA4640"/>
    <w:rsid w:val="00CA63B2"/>
    <w:rsid w:val="00CA71E9"/>
    <w:rsid w:val="00CA7D27"/>
    <w:rsid w:val="00CA7D45"/>
    <w:rsid w:val="00CB0AE4"/>
    <w:rsid w:val="00CB1D45"/>
    <w:rsid w:val="00CB1F9B"/>
    <w:rsid w:val="00CB2915"/>
    <w:rsid w:val="00CB2A57"/>
    <w:rsid w:val="00CB2BC1"/>
    <w:rsid w:val="00CB2BC7"/>
    <w:rsid w:val="00CB2C6E"/>
    <w:rsid w:val="00CB3151"/>
    <w:rsid w:val="00CB3222"/>
    <w:rsid w:val="00CB4D80"/>
    <w:rsid w:val="00CB5179"/>
    <w:rsid w:val="00CB550E"/>
    <w:rsid w:val="00CB554E"/>
    <w:rsid w:val="00CB55DC"/>
    <w:rsid w:val="00CB5F3E"/>
    <w:rsid w:val="00CB6B0E"/>
    <w:rsid w:val="00CB6B1C"/>
    <w:rsid w:val="00CC0768"/>
    <w:rsid w:val="00CC0D8C"/>
    <w:rsid w:val="00CC1259"/>
    <w:rsid w:val="00CC19A1"/>
    <w:rsid w:val="00CC23BE"/>
    <w:rsid w:val="00CC281C"/>
    <w:rsid w:val="00CC29FA"/>
    <w:rsid w:val="00CC2EA3"/>
    <w:rsid w:val="00CC3AFD"/>
    <w:rsid w:val="00CC3FED"/>
    <w:rsid w:val="00CC41E3"/>
    <w:rsid w:val="00CC42EB"/>
    <w:rsid w:val="00CC4319"/>
    <w:rsid w:val="00CC49AB"/>
    <w:rsid w:val="00CC4A8F"/>
    <w:rsid w:val="00CC5301"/>
    <w:rsid w:val="00CC53B0"/>
    <w:rsid w:val="00CC567C"/>
    <w:rsid w:val="00CC61EE"/>
    <w:rsid w:val="00CC6E18"/>
    <w:rsid w:val="00CC75E9"/>
    <w:rsid w:val="00CC788C"/>
    <w:rsid w:val="00CC78A0"/>
    <w:rsid w:val="00CC791E"/>
    <w:rsid w:val="00CD055D"/>
    <w:rsid w:val="00CD0B7C"/>
    <w:rsid w:val="00CD0C02"/>
    <w:rsid w:val="00CD0D1C"/>
    <w:rsid w:val="00CD1054"/>
    <w:rsid w:val="00CD13F0"/>
    <w:rsid w:val="00CD18C4"/>
    <w:rsid w:val="00CD1FB0"/>
    <w:rsid w:val="00CD3610"/>
    <w:rsid w:val="00CD3D7D"/>
    <w:rsid w:val="00CD49D7"/>
    <w:rsid w:val="00CD4AE4"/>
    <w:rsid w:val="00CD6451"/>
    <w:rsid w:val="00CD789B"/>
    <w:rsid w:val="00CD7920"/>
    <w:rsid w:val="00CD7CEC"/>
    <w:rsid w:val="00CE0B95"/>
    <w:rsid w:val="00CE0E16"/>
    <w:rsid w:val="00CE0FBB"/>
    <w:rsid w:val="00CE1929"/>
    <w:rsid w:val="00CE1FFC"/>
    <w:rsid w:val="00CE24B7"/>
    <w:rsid w:val="00CE2D23"/>
    <w:rsid w:val="00CE3010"/>
    <w:rsid w:val="00CE34E7"/>
    <w:rsid w:val="00CE35C8"/>
    <w:rsid w:val="00CE3908"/>
    <w:rsid w:val="00CE3F8A"/>
    <w:rsid w:val="00CE49F7"/>
    <w:rsid w:val="00CE4A65"/>
    <w:rsid w:val="00CE4EE0"/>
    <w:rsid w:val="00CE51BE"/>
    <w:rsid w:val="00CE528B"/>
    <w:rsid w:val="00CE5F12"/>
    <w:rsid w:val="00CE6E95"/>
    <w:rsid w:val="00CE780B"/>
    <w:rsid w:val="00CF0233"/>
    <w:rsid w:val="00CF0895"/>
    <w:rsid w:val="00CF0CB3"/>
    <w:rsid w:val="00CF12C7"/>
    <w:rsid w:val="00CF2525"/>
    <w:rsid w:val="00CF2BC8"/>
    <w:rsid w:val="00CF2D0F"/>
    <w:rsid w:val="00CF3B29"/>
    <w:rsid w:val="00CF3CD0"/>
    <w:rsid w:val="00CF4E73"/>
    <w:rsid w:val="00CF5044"/>
    <w:rsid w:val="00CF557B"/>
    <w:rsid w:val="00CF6A31"/>
    <w:rsid w:val="00CF6B60"/>
    <w:rsid w:val="00CF6CA7"/>
    <w:rsid w:val="00CF6EE7"/>
    <w:rsid w:val="00CF70CE"/>
    <w:rsid w:val="00CF7A3C"/>
    <w:rsid w:val="00D00132"/>
    <w:rsid w:val="00D00687"/>
    <w:rsid w:val="00D00A39"/>
    <w:rsid w:val="00D00FA0"/>
    <w:rsid w:val="00D02D01"/>
    <w:rsid w:val="00D033D9"/>
    <w:rsid w:val="00D03779"/>
    <w:rsid w:val="00D04EA3"/>
    <w:rsid w:val="00D056C8"/>
    <w:rsid w:val="00D05D6F"/>
    <w:rsid w:val="00D06D6B"/>
    <w:rsid w:val="00D07391"/>
    <w:rsid w:val="00D0751E"/>
    <w:rsid w:val="00D101C6"/>
    <w:rsid w:val="00D10C23"/>
    <w:rsid w:val="00D10CAC"/>
    <w:rsid w:val="00D11244"/>
    <w:rsid w:val="00D1249A"/>
    <w:rsid w:val="00D131E3"/>
    <w:rsid w:val="00D13528"/>
    <w:rsid w:val="00D139FD"/>
    <w:rsid w:val="00D13AFA"/>
    <w:rsid w:val="00D13C1B"/>
    <w:rsid w:val="00D13E39"/>
    <w:rsid w:val="00D13F78"/>
    <w:rsid w:val="00D14603"/>
    <w:rsid w:val="00D15499"/>
    <w:rsid w:val="00D15640"/>
    <w:rsid w:val="00D15F61"/>
    <w:rsid w:val="00D160CE"/>
    <w:rsid w:val="00D16C4D"/>
    <w:rsid w:val="00D17009"/>
    <w:rsid w:val="00D17BD3"/>
    <w:rsid w:val="00D17C51"/>
    <w:rsid w:val="00D17CB5"/>
    <w:rsid w:val="00D20865"/>
    <w:rsid w:val="00D20E3D"/>
    <w:rsid w:val="00D21265"/>
    <w:rsid w:val="00D224A2"/>
    <w:rsid w:val="00D23036"/>
    <w:rsid w:val="00D239D0"/>
    <w:rsid w:val="00D248F3"/>
    <w:rsid w:val="00D249DB"/>
    <w:rsid w:val="00D251C4"/>
    <w:rsid w:val="00D25DC3"/>
    <w:rsid w:val="00D25F65"/>
    <w:rsid w:val="00D2690D"/>
    <w:rsid w:val="00D26DC6"/>
    <w:rsid w:val="00D27EC2"/>
    <w:rsid w:val="00D30566"/>
    <w:rsid w:val="00D30B07"/>
    <w:rsid w:val="00D30ECF"/>
    <w:rsid w:val="00D3133D"/>
    <w:rsid w:val="00D31345"/>
    <w:rsid w:val="00D31699"/>
    <w:rsid w:val="00D31BC0"/>
    <w:rsid w:val="00D32300"/>
    <w:rsid w:val="00D32A0E"/>
    <w:rsid w:val="00D32C22"/>
    <w:rsid w:val="00D33474"/>
    <w:rsid w:val="00D345B2"/>
    <w:rsid w:val="00D34F8C"/>
    <w:rsid w:val="00D358DA"/>
    <w:rsid w:val="00D35BA0"/>
    <w:rsid w:val="00D35CDF"/>
    <w:rsid w:val="00D36466"/>
    <w:rsid w:val="00D36507"/>
    <w:rsid w:val="00D36683"/>
    <w:rsid w:val="00D377CB"/>
    <w:rsid w:val="00D37AE2"/>
    <w:rsid w:val="00D37BC3"/>
    <w:rsid w:val="00D40BE2"/>
    <w:rsid w:val="00D41868"/>
    <w:rsid w:val="00D41B23"/>
    <w:rsid w:val="00D41D3E"/>
    <w:rsid w:val="00D42AFD"/>
    <w:rsid w:val="00D433BF"/>
    <w:rsid w:val="00D4379E"/>
    <w:rsid w:val="00D43ED2"/>
    <w:rsid w:val="00D44928"/>
    <w:rsid w:val="00D44B6C"/>
    <w:rsid w:val="00D44D48"/>
    <w:rsid w:val="00D44FE5"/>
    <w:rsid w:val="00D4521F"/>
    <w:rsid w:val="00D45D19"/>
    <w:rsid w:val="00D45DC4"/>
    <w:rsid w:val="00D4735E"/>
    <w:rsid w:val="00D47378"/>
    <w:rsid w:val="00D4783A"/>
    <w:rsid w:val="00D47F4E"/>
    <w:rsid w:val="00D50473"/>
    <w:rsid w:val="00D50C78"/>
    <w:rsid w:val="00D51343"/>
    <w:rsid w:val="00D51B1D"/>
    <w:rsid w:val="00D52377"/>
    <w:rsid w:val="00D525A9"/>
    <w:rsid w:val="00D5281A"/>
    <w:rsid w:val="00D5296E"/>
    <w:rsid w:val="00D53814"/>
    <w:rsid w:val="00D53FBC"/>
    <w:rsid w:val="00D547F9"/>
    <w:rsid w:val="00D54ADA"/>
    <w:rsid w:val="00D55971"/>
    <w:rsid w:val="00D55EE1"/>
    <w:rsid w:val="00D56226"/>
    <w:rsid w:val="00D57321"/>
    <w:rsid w:val="00D5734C"/>
    <w:rsid w:val="00D57FAE"/>
    <w:rsid w:val="00D6043B"/>
    <w:rsid w:val="00D606D3"/>
    <w:rsid w:val="00D60709"/>
    <w:rsid w:val="00D60C7C"/>
    <w:rsid w:val="00D61816"/>
    <w:rsid w:val="00D61863"/>
    <w:rsid w:val="00D61E04"/>
    <w:rsid w:val="00D62402"/>
    <w:rsid w:val="00D625C0"/>
    <w:rsid w:val="00D62728"/>
    <w:rsid w:val="00D62758"/>
    <w:rsid w:val="00D62B45"/>
    <w:rsid w:val="00D62E94"/>
    <w:rsid w:val="00D641F2"/>
    <w:rsid w:val="00D64776"/>
    <w:rsid w:val="00D64C3F"/>
    <w:rsid w:val="00D64F39"/>
    <w:rsid w:val="00D652E5"/>
    <w:rsid w:val="00D65367"/>
    <w:rsid w:val="00D65A4E"/>
    <w:rsid w:val="00D666A0"/>
    <w:rsid w:val="00D66B28"/>
    <w:rsid w:val="00D66CA4"/>
    <w:rsid w:val="00D67211"/>
    <w:rsid w:val="00D67887"/>
    <w:rsid w:val="00D704C8"/>
    <w:rsid w:val="00D70A45"/>
    <w:rsid w:val="00D70B92"/>
    <w:rsid w:val="00D71355"/>
    <w:rsid w:val="00D7173A"/>
    <w:rsid w:val="00D71EF5"/>
    <w:rsid w:val="00D726DC"/>
    <w:rsid w:val="00D72D19"/>
    <w:rsid w:val="00D7333B"/>
    <w:rsid w:val="00D73BD0"/>
    <w:rsid w:val="00D74369"/>
    <w:rsid w:val="00D746AB"/>
    <w:rsid w:val="00D74E23"/>
    <w:rsid w:val="00D7573A"/>
    <w:rsid w:val="00D75C11"/>
    <w:rsid w:val="00D75DA6"/>
    <w:rsid w:val="00D7652A"/>
    <w:rsid w:val="00D7683E"/>
    <w:rsid w:val="00D768F2"/>
    <w:rsid w:val="00D76E89"/>
    <w:rsid w:val="00D773E0"/>
    <w:rsid w:val="00D77641"/>
    <w:rsid w:val="00D80980"/>
    <w:rsid w:val="00D80D3A"/>
    <w:rsid w:val="00D81023"/>
    <w:rsid w:val="00D81111"/>
    <w:rsid w:val="00D816CE"/>
    <w:rsid w:val="00D81B13"/>
    <w:rsid w:val="00D81C7C"/>
    <w:rsid w:val="00D81D6D"/>
    <w:rsid w:val="00D82918"/>
    <w:rsid w:val="00D83277"/>
    <w:rsid w:val="00D83B59"/>
    <w:rsid w:val="00D8411F"/>
    <w:rsid w:val="00D841F0"/>
    <w:rsid w:val="00D84D29"/>
    <w:rsid w:val="00D85C5F"/>
    <w:rsid w:val="00D8628A"/>
    <w:rsid w:val="00D8632A"/>
    <w:rsid w:val="00D86430"/>
    <w:rsid w:val="00D86820"/>
    <w:rsid w:val="00D86DC3"/>
    <w:rsid w:val="00D87B90"/>
    <w:rsid w:val="00D90054"/>
    <w:rsid w:val="00D9025D"/>
    <w:rsid w:val="00D9044D"/>
    <w:rsid w:val="00D9078F"/>
    <w:rsid w:val="00D914C6"/>
    <w:rsid w:val="00D925E5"/>
    <w:rsid w:val="00D930ED"/>
    <w:rsid w:val="00D935A0"/>
    <w:rsid w:val="00D93708"/>
    <w:rsid w:val="00D93BAC"/>
    <w:rsid w:val="00D93FDF"/>
    <w:rsid w:val="00D94020"/>
    <w:rsid w:val="00D941D7"/>
    <w:rsid w:val="00D941FD"/>
    <w:rsid w:val="00D94324"/>
    <w:rsid w:val="00D9465A"/>
    <w:rsid w:val="00D9484B"/>
    <w:rsid w:val="00D94874"/>
    <w:rsid w:val="00D9492F"/>
    <w:rsid w:val="00D94BB2"/>
    <w:rsid w:val="00D94D69"/>
    <w:rsid w:val="00D9608F"/>
    <w:rsid w:val="00D968DF"/>
    <w:rsid w:val="00D96AE1"/>
    <w:rsid w:val="00D97A19"/>
    <w:rsid w:val="00DA07F1"/>
    <w:rsid w:val="00DA0900"/>
    <w:rsid w:val="00DA0A2D"/>
    <w:rsid w:val="00DA0A31"/>
    <w:rsid w:val="00DA0F2F"/>
    <w:rsid w:val="00DA13B5"/>
    <w:rsid w:val="00DA18FD"/>
    <w:rsid w:val="00DA19F4"/>
    <w:rsid w:val="00DA1CAF"/>
    <w:rsid w:val="00DA2967"/>
    <w:rsid w:val="00DA29A7"/>
    <w:rsid w:val="00DA2CAA"/>
    <w:rsid w:val="00DA3268"/>
    <w:rsid w:val="00DA348E"/>
    <w:rsid w:val="00DA49D5"/>
    <w:rsid w:val="00DA5299"/>
    <w:rsid w:val="00DA54E6"/>
    <w:rsid w:val="00DA5BC4"/>
    <w:rsid w:val="00DA5CD0"/>
    <w:rsid w:val="00DA6B75"/>
    <w:rsid w:val="00DA6DF7"/>
    <w:rsid w:val="00DA76FE"/>
    <w:rsid w:val="00DB03EB"/>
    <w:rsid w:val="00DB1521"/>
    <w:rsid w:val="00DB196F"/>
    <w:rsid w:val="00DB2CC6"/>
    <w:rsid w:val="00DB36BF"/>
    <w:rsid w:val="00DB3A44"/>
    <w:rsid w:val="00DB3E36"/>
    <w:rsid w:val="00DB44AE"/>
    <w:rsid w:val="00DB4858"/>
    <w:rsid w:val="00DB4CE6"/>
    <w:rsid w:val="00DB520C"/>
    <w:rsid w:val="00DB5D58"/>
    <w:rsid w:val="00DB5E0A"/>
    <w:rsid w:val="00DB6133"/>
    <w:rsid w:val="00DB7DE2"/>
    <w:rsid w:val="00DC061E"/>
    <w:rsid w:val="00DC312D"/>
    <w:rsid w:val="00DC347B"/>
    <w:rsid w:val="00DC3909"/>
    <w:rsid w:val="00DC3A3C"/>
    <w:rsid w:val="00DC4693"/>
    <w:rsid w:val="00DC4A11"/>
    <w:rsid w:val="00DC4FC6"/>
    <w:rsid w:val="00DC5546"/>
    <w:rsid w:val="00DC590D"/>
    <w:rsid w:val="00DC6248"/>
    <w:rsid w:val="00DC655C"/>
    <w:rsid w:val="00DC77AF"/>
    <w:rsid w:val="00DC7BED"/>
    <w:rsid w:val="00DD0AEE"/>
    <w:rsid w:val="00DD0D3C"/>
    <w:rsid w:val="00DD1183"/>
    <w:rsid w:val="00DD14DD"/>
    <w:rsid w:val="00DD227E"/>
    <w:rsid w:val="00DD2806"/>
    <w:rsid w:val="00DD4C31"/>
    <w:rsid w:val="00DD58A9"/>
    <w:rsid w:val="00DD5BE4"/>
    <w:rsid w:val="00DD7838"/>
    <w:rsid w:val="00DE15CF"/>
    <w:rsid w:val="00DE188D"/>
    <w:rsid w:val="00DE2576"/>
    <w:rsid w:val="00DE396F"/>
    <w:rsid w:val="00DE3CE8"/>
    <w:rsid w:val="00DE3D82"/>
    <w:rsid w:val="00DE42AA"/>
    <w:rsid w:val="00DE42D5"/>
    <w:rsid w:val="00DE456A"/>
    <w:rsid w:val="00DE66C8"/>
    <w:rsid w:val="00DE67BD"/>
    <w:rsid w:val="00DE6886"/>
    <w:rsid w:val="00DE6AA2"/>
    <w:rsid w:val="00DF098D"/>
    <w:rsid w:val="00DF09A7"/>
    <w:rsid w:val="00DF2B73"/>
    <w:rsid w:val="00DF2C94"/>
    <w:rsid w:val="00DF32E0"/>
    <w:rsid w:val="00DF3B86"/>
    <w:rsid w:val="00DF3C96"/>
    <w:rsid w:val="00DF4AFE"/>
    <w:rsid w:val="00DF523A"/>
    <w:rsid w:val="00DF5571"/>
    <w:rsid w:val="00DF5AEB"/>
    <w:rsid w:val="00DF628D"/>
    <w:rsid w:val="00DF63AD"/>
    <w:rsid w:val="00DF6948"/>
    <w:rsid w:val="00DF6C6D"/>
    <w:rsid w:val="00DF759C"/>
    <w:rsid w:val="00DF76F2"/>
    <w:rsid w:val="00DF7DB7"/>
    <w:rsid w:val="00E0035F"/>
    <w:rsid w:val="00E015A2"/>
    <w:rsid w:val="00E0199A"/>
    <w:rsid w:val="00E0216E"/>
    <w:rsid w:val="00E0223C"/>
    <w:rsid w:val="00E02572"/>
    <w:rsid w:val="00E02DA7"/>
    <w:rsid w:val="00E0356C"/>
    <w:rsid w:val="00E03AE2"/>
    <w:rsid w:val="00E03F2C"/>
    <w:rsid w:val="00E04039"/>
    <w:rsid w:val="00E044C8"/>
    <w:rsid w:val="00E0460D"/>
    <w:rsid w:val="00E052B0"/>
    <w:rsid w:val="00E06567"/>
    <w:rsid w:val="00E079E6"/>
    <w:rsid w:val="00E11708"/>
    <w:rsid w:val="00E1435F"/>
    <w:rsid w:val="00E153FB"/>
    <w:rsid w:val="00E15471"/>
    <w:rsid w:val="00E15F1E"/>
    <w:rsid w:val="00E16143"/>
    <w:rsid w:val="00E1702A"/>
    <w:rsid w:val="00E17724"/>
    <w:rsid w:val="00E17C16"/>
    <w:rsid w:val="00E201A5"/>
    <w:rsid w:val="00E2030C"/>
    <w:rsid w:val="00E203ED"/>
    <w:rsid w:val="00E20E20"/>
    <w:rsid w:val="00E2146F"/>
    <w:rsid w:val="00E21AB7"/>
    <w:rsid w:val="00E23636"/>
    <w:rsid w:val="00E237C4"/>
    <w:rsid w:val="00E239AE"/>
    <w:rsid w:val="00E23D46"/>
    <w:rsid w:val="00E24251"/>
    <w:rsid w:val="00E24AD0"/>
    <w:rsid w:val="00E24EF3"/>
    <w:rsid w:val="00E25137"/>
    <w:rsid w:val="00E25389"/>
    <w:rsid w:val="00E25789"/>
    <w:rsid w:val="00E25FEF"/>
    <w:rsid w:val="00E26A03"/>
    <w:rsid w:val="00E26BB1"/>
    <w:rsid w:val="00E27FC0"/>
    <w:rsid w:val="00E30487"/>
    <w:rsid w:val="00E30717"/>
    <w:rsid w:val="00E31422"/>
    <w:rsid w:val="00E3157A"/>
    <w:rsid w:val="00E31ABD"/>
    <w:rsid w:val="00E3206A"/>
    <w:rsid w:val="00E330EB"/>
    <w:rsid w:val="00E3374B"/>
    <w:rsid w:val="00E33AB6"/>
    <w:rsid w:val="00E346EE"/>
    <w:rsid w:val="00E34CFA"/>
    <w:rsid w:val="00E351E6"/>
    <w:rsid w:val="00E36031"/>
    <w:rsid w:val="00E361A0"/>
    <w:rsid w:val="00E406F1"/>
    <w:rsid w:val="00E40C53"/>
    <w:rsid w:val="00E41A2D"/>
    <w:rsid w:val="00E423B5"/>
    <w:rsid w:val="00E43357"/>
    <w:rsid w:val="00E43834"/>
    <w:rsid w:val="00E4496C"/>
    <w:rsid w:val="00E45ABC"/>
    <w:rsid w:val="00E475F6"/>
    <w:rsid w:val="00E50AE3"/>
    <w:rsid w:val="00E52402"/>
    <w:rsid w:val="00E52DC1"/>
    <w:rsid w:val="00E537EE"/>
    <w:rsid w:val="00E53E5E"/>
    <w:rsid w:val="00E53F38"/>
    <w:rsid w:val="00E550DA"/>
    <w:rsid w:val="00E5526C"/>
    <w:rsid w:val="00E55935"/>
    <w:rsid w:val="00E5595A"/>
    <w:rsid w:val="00E561B0"/>
    <w:rsid w:val="00E56EC2"/>
    <w:rsid w:val="00E57739"/>
    <w:rsid w:val="00E579C5"/>
    <w:rsid w:val="00E57A28"/>
    <w:rsid w:val="00E57CDF"/>
    <w:rsid w:val="00E57FD2"/>
    <w:rsid w:val="00E60118"/>
    <w:rsid w:val="00E607BA"/>
    <w:rsid w:val="00E60FCD"/>
    <w:rsid w:val="00E613F4"/>
    <w:rsid w:val="00E6165F"/>
    <w:rsid w:val="00E61C7E"/>
    <w:rsid w:val="00E61F99"/>
    <w:rsid w:val="00E63BEF"/>
    <w:rsid w:val="00E64518"/>
    <w:rsid w:val="00E64830"/>
    <w:rsid w:val="00E65218"/>
    <w:rsid w:val="00E65B58"/>
    <w:rsid w:val="00E66375"/>
    <w:rsid w:val="00E667B5"/>
    <w:rsid w:val="00E67250"/>
    <w:rsid w:val="00E6727C"/>
    <w:rsid w:val="00E679F7"/>
    <w:rsid w:val="00E70BB8"/>
    <w:rsid w:val="00E72199"/>
    <w:rsid w:val="00E72A69"/>
    <w:rsid w:val="00E72A91"/>
    <w:rsid w:val="00E72E88"/>
    <w:rsid w:val="00E737D6"/>
    <w:rsid w:val="00E73C39"/>
    <w:rsid w:val="00E74324"/>
    <w:rsid w:val="00E74537"/>
    <w:rsid w:val="00E74DF4"/>
    <w:rsid w:val="00E753F0"/>
    <w:rsid w:val="00E75A06"/>
    <w:rsid w:val="00E75AFB"/>
    <w:rsid w:val="00E764D8"/>
    <w:rsid w:val="00E772B5"/>
    <w:rsid w:val="00E77408"/>
    <w:rsid w:val="00E7776F"/>
    <w:rsid w:val="00E7795E"/>
    <w:rsid w:val="00E8050B"/>
    <w:rsid w:val="00E805A3"/>
    <w:rsid w:val="00E81401"/>
    <w:rsid w:val="00E81702"/>
    <w:rsid w:val="00E81E39"/>
    <w:rsid w:val="00E81FA0"/>
    <w:rsid w:val="00E8254B"/>
    <w:rsid w:val="00E826B7"/>
    <w:rsid w:val="00E835A9"/>
    <w:rsid w:val="00E837B0"/>
    <w:rsid w:val="00E8399D"/>
    <w:rsid w:val="00E84246"/>
    <w:rsid w:val="00E842B7"/>
    <w:rsid w:val="00E84680"/>
    <w:rsid w:val="00E846DC"/>
    <w:rsid w:val="00E8475D"/>
    <w:rsid w:val="00E8566E"/>
    <w:rsid w:val="00E85CC0"/>
    <w:rsid w:val="00E8617B"/>
    <w:rsid w:val="00E86745"/>
    <w:rsid w:val="00E86A62"/>
    <w:rsid w:val="00E86D51"/>
    <w:rsid w:val="00E8707B"/>
    <w:rsid w:val="00E872C4"/>
    <w:rsid w:val="00E87C81"/>
    <w:rsid w:val="00E87F35"/>
    <w:rsid w:val="00E87FEB"/>
    <w:rsid w:val="00E9028C"/>
    <w:rsid w:val="00E906F5"/>
    <w:rsid w:val="00E90947"/>
    <w:rsid w:val="00E909EB"/>
    <w:rsid w:val="00E91026"/>
    <w:rsid w:val="00E91947"/>
    <w:rsid w:val="00E919E9"/>
    <w:rsid w:val="00E91E01"/>
    <w:rsid w:val="00E936EF"/>
    <w:rsid w:val="00E950FA"/>
    <w:rsid w:val="00E952D9"/>
    <w:rsid w:val="00E95503"/>
    <w:rsid w:val="00E95C1B"/>
    <w:rsid w:val="00E9645C"/>
    <w:rsid w:val="00E96C74"/>
    <w:rsid w:val="00E96E0F"/>
    <w:rsid w:val="00E97216"/>
    <w:rsid w:val="00E97988"/>
    <w:rsid w:val="00EA082C"/>
    <w:rsid w:val="00EA0EA7"/>
    <w:rsid w:val="00EA0F87"/>
    <w:rsid w:val="00EA0FFF"/>
    <w:rsid w:val="00EA1950"/>
    <w:rsid w:val="00EA1CB3"/>
    <w:rsid w:val="00EA2A88"/>
    <w:rsid w:val="00EA2C84"/>
    <w:rsid w:val="00EA2EA7"/>
    <w:rsid w:val="00EA3B11"/>
    <w:rsid w:val="00EA3E20"/>
    <w:rsid w:val="00EA4D70"/>
    <w:rsid w:val="00EA4EE5"/>
    <w:rsid w:val="00EA4EEB"/>
    <w:rsid w:val="00EA6339"/>
    <w:rsid w:val="00EA657A"/>
    <w:rsid w:val="00EA6A86"/>
    <w:rsid w:val="00EA6B65"/>
    <w:rsid w:val="00EA707B"/>
    <w:rsid w:val="00EA70E4"/>
    <w:rsid w:val="00EA7412"/>
    <w:rsid w:val="00EA7609"/>
    <w:rsid w:val="00EA7EE1"/>
    <w:rsid w:val="00EA7F37"/>
    <w:rsid w:val="00EB0948"/>
    <w:rsid w:val="00EB0D1B"/>
    <w:rsid w:val="00EB1652"/>
    <w:rsid w:val="00EB1840"/>
    <w:rsid w:val="00EB1BDE"/>
    <w:rsid w:val="00EB2419"/>
    <w:rsid w:val="00EB3504"/>
    <w:rsid w:val="00EB35A7"/>
    <w:rsid w:val="00EB3914"/>
    <w:rsid w:val="00EB3C73"/>
    <w:rsid w:val="00EB45E4"/>
    <w:rsid w:val="00EB538C"/>
    <w:rsid w:val="00EB5948"/>
    <w:rsid w:val="00EB5B36"/>
    <w:rsid w:val="00EB61BE"/>
    <w:rsid w:val="00EB66CB"/>
    <w:rsid w:val="00EB6836"/>
    <w:rsid w:val="00EB7115"/>
    <w:rsid w:val="00EB729A"/>
    <w:rsid w:val="00EC0666"/>
    <w:rsid w:val="00EC08C1"/>
    <w:rsid w:val="00EC0A6C"/>
    <w:rsid w:val="00EC1223"/>
    <w:rsid w:val="00EC1653"/>
    <w:rsid w:val="00EC1EFB"/>
    <w:rsid w:val="00EC2F7A"/>
    <w:rsid w:val="00EC2FB8"/>
    <w:rsid w:val="00EC30EF"/>
    <w:rsid w:val="00EC3C2D"/>
    <w:rsid w:val="00EC3EC6"/>
    <w:rsid w:val="00EC4127"/>
    <w:rsid w:val="00EC4270"/>
    <w:rsid w:val="00EC458A"/>
    <w:rsid w:val="00EC473F"/>
    <w:rsid w:val="00EC4813"/>
    <w:rsid w:val="00EC4BA3"/>
    <w:rsid w:val="00EC5D70"/>
    <w:rsid w:val="00EC6165"/>
    <w:rsid w:val="00EC6260"/>
    <w:rsid w:val="00EC781F"/>
    <w:rsid w:val="00EC7884"/>
    <w:rsid w:val="00EC7ADC"/>
    <w:rsid w:val="00ED186E"/>
    <w:rsid w:val="00ED19F0"/>
    <w:rsid w:val="00ED2272"/>
    <w:rsid w:val="00ED2786"/>
    <w:rsid w:val="00ED2ECB"/>
    <w:rsid w:val="00ED3906"/>
    <w:rsid w:val="00ED3AC5"/>
    <w:rsid w:val="00ED550F"/>
    <w:rsid w:val="00ED5B25"/>
    <w:rsid w:val="00ED5CCE"/>
    <w:rsid w:val="00ED5D3E"/>
    <w:rsid w:val="00ED6E7E"/>
    <w:rsid w:val="00ED7AA9"/>
    <w:rsid w:val="00ED7C30"/>
    <w:rsid w:val="00EE02A2"/>
    <w:rsid w:val="00EE059E"/>
    <w:rsid w:val="00EE09DD"/>
    <w:rsid w:val="00EE101C"/>
    <w:rsid w:val="00EE2819"/>
    <w:rsid w:val="00EE3F63"/>
    <w:rsid w:val="00EE4591"/>
    <w:rsid w:val="00EE4CC5"/>
    <w:rsid w:val="00EE5710"/>
    <w:rsid w:val="00EE578F"/>
    <w:rsid w:val="00EE5E78"/>
    <w:rsid w:val="00EE680C"/>
    <w:rsid w:val="00EE6DBB"/>
    <w:rsid w:val="00EE7BDC"/>
    <w:rsid w:val="00EF0098"/>
    <w:rsid w:val="00EF0461"/>
    <w:rsid w:val="00EF1062"/>
    <w:rsid w:val="00EF1DB9"/>
    <w:rsid w:val="00EF1DE9"/>
    <w:rsid w:val="00EF2393"/>
    <w:rsid w:val="00EF26C4"/>
    <w:rsid w:val="00EF3769"/>
    <w:rsid w:val="00EF3F2D"/>
    <w:rsid w:val="00EF49F1"/>
    <w:rsid w:val="00EF4B16"/>
    <w:rsid w:val="00EF4E46"/>
    <w:rsid w:val="00EF5D8A"/>
    <w:rsid w:val="00EF674D"/>
    <w:rsid w:val="00EF6F3F"/>
    <w:rsid w:val="00EF6F54"/>
    <w:rsid w:val="00EF7679"/>
    <w:rsid w:val="00F00790"/>
    <w:rsid w:val="00F00ACB"/>
    <w:rsid w:val="00F0110B"/>
    <w:rsid w:val="00F012D9"/>
    <w:rsid w:val="00F014B2"/>
    <w:rsid w:val="00F019BB"/>
    <w:rsid w:val="00F02035"/>
    <w:rsid w:val="00F02290"/>
    <w:rsid w:val="00F03242"/>
    <w:rsid w:val="00F035BD"/>
    <w:rsid w:val="00F0389A"/>
    <w:rsid w:val="00F04D8D"/>
    <w:rsid w:val="00F05D2E"/>
    <w:rsid w:val="00F067C7"/>
    <w:rsid w:val="00F0684F"/>
    <w:rsid w:val="00F0741A"/>
    <w:rsid w:val="00F07554"/>
    <w:rsid w:val="00F0775F"/>
    <w:rsid w:val="00F078FD"/>
    <w:rsid w:val="00F07F42"/>
    <w:rsid w:val="00F10031"/>
    <w:rsid w:val="00F108D9"/>
    <w:rsid w:val="00F10CBB"/>
    <w:rsid w:val="00F12374"/>
    <w:rsid w:val="00F12547"/>
    <w:rsid w:val="00F13158"/>
    <w:rsid w:val="00F134CC"/>
    <w:rsid w:val="00F13D13"/>
    <w:rsid w:val="00F13D6E"/>
    <w:rsid w:val="00F13EF1"/>
    <w:rsid w:val="00F14651"/>
    <w:rsid w:val="00F14B07"/>
    <w:rsid w:val="00F14FD4"/>
    <w:rsid w:val="00F150CC"/>
    <w:rsid w:val="00F159D1"/>
    <w:rsid w:val="00F160B0"/>
    <w:rsid w:val="00F16736"/>
    <w:rsid w:val="00F16AE6"/>
    <w:rsid w:val="00F17A63"/>
    <w:rsid w:val="00F17F98"/>
    <w:rsid w:val="00F2101E"/>
    <w:rsid w:val="00F2148A"/>
    <w:rsid w:val="00F21DD0"/>
    <w:rsid w:val="00F22C47"/>
    <w:rsid w:val="00F238B3"/>
    <w:rsid w:val="00F240CE"/>
    <w:rsid w:val="00F24129"/>
    <w:rsid w:val="00F246C6"/>
    <w:rsid w:val="00F25EAD"/>
    <w:rsid w:val="00F26549"/>
    <w:rsid w:val="00F266DF"/>
    <w:rsid w:val="00F273E4"/>
    <w:rsid w:val="00F30138"/>
    <w:rsid w:val="00F31313"/>
    <w:rsid w:val="00F3150A"/>
    <w:rsid w:val="00F33F02"/>
    <w:rsid w:val="00F340F6"/>
    <w:rsid w:val="00F348F2"/>
    <w:rsid w:val="00F34C08"/>
    <w:rsid w:val="00F34EF5"/>
    <w:rsid w:val="00F3541A"/>
    <w:rsid w:val="00F35454"/>
    <w:rsid w:val="00F361B8"/>
    <w:rsid w:val="00F37DCE"/>
    <w:rsid w:val="00F406E7"/>
    <w:rsid w:val="00F407D9"/>
    <w:rsid w:val="00F40FA1"/>
    <w:rsid w:val="00F41681"/>
    <w:rsid w:val="00F428DA"/>
    <w:rsid w:val="00F431B0"/>
    <w:rsid w:val="00F4328A"/>
    <w:rsid w:val="00F432C8"/>
    <w:rsid w:val="00F4442C"/>
    <w:rsid w:val="00F446B4"/>
    <w:rsid w:val="00F4487B"/>
    <w:rsid w:val="00F4553E"/>
    <w:rsid w:val="00F45DCF"/>
    <w:rsid w:val="00F4618E"/>
    <w:rsid w:val="00F470E0"/>
    <w:rsid w:val="00F47328"/>
    <w:rsid w:val="00F47644"/>
    <w:rsid w:val="00F507E9"/>
    <w:rsid w:val="00F51165"/>
    <w:rsid w:val="00F514F0"/>
    <w:rsid w:val="00F518E4"/>
    <w:rsid w:val="00F532C9"/>
    <w:rsid w:val="00F5396D"/>
    <w:rsid w:val="00F54083"/>
    <w:rsid w:val="00F55550"/>
    <w:rsid w:val="00F5583F"/>
    <w:rsid w:val="00F56122"/>
    <w:rsid w:val="00F561A3"/>
    <w:rsid w:val="00F56944"/>
    <w:rsid w:val="00F56ADB"/>
    <w:rsid w:val="00F56BFF"/>
    <w:rsid w:val="00F56CA1"/>
    <w:rsid w:val="00F56EA2"/>
    <w:rsid w:val="00F574DC"/>
    <w:rsid w:val="00F60A15"/>
    <w:rsid w:val="00F61E90"/>
    <w:rsid w:val="00F6239F"/>
    <w:rsid w:val="00F62E14"/>
    <w:rsid w:val="00F633CF"/>
    <w:rsid w:val="00F646C3"/>
    <w:rsid w:val="00F649E6"/>
    <w:rsid w:val="00F64D82"/>
    <w:rsid w:val="00F6673B"/>
    <w:rsid w:val="00F66A24"/>
    <w:rsid w:val="00F67131"/>
    <w:rsid w:val="00F6758E"/>
    <w:rsid w:val="00F6791B"/>
    <w:rsid w:val="00F70171"/>
    <w:rsid w:val="00F70B24"/>
    <w:rsid w:val="00F70EBB"/>
    <w:rsid w:val="00F712F7"/>
    <w:rsid w:val="00F71ADA"/>
    <w:rsid w:val="00F71C39"/>
    <w:rsid w:val="00F72602"/>
    <w:rsid w:val="00F7286A"/>
    <w:rsid w:val="00F72E01"/>
    <w:rsid w:val="00F7332D"/>
    <w:rsid w:val="00F734FE"/>
    <w:rsid w:val="00F73A57"/>
    <w:rsid w:val="00F73EFD"/>
    <w:rsid w:val="00F740FA"/>
    <w:rsid w:val="00F74544"/>
    <w:rsid w:val="00F74A17"/>
    <w:rsid w:val="00F75A20"/>
    <w:rsid w:val="00F75D94"/>
    <w:rsid w:val="00F75F1B"/>
    <w:rsid w:val="00F76B1D"/>
    <w:rsid w:val="00F77E3B"/>
    <w:rsid w:val="00F800AB"/>
    <w:rsid w:val="00F8062C"/>
    <w:rsid w:val="00F80D0B"/>
    <w:rsid w:val="00F81788"/>
    <w:rsid w:val="00F822B4"/>
    <w:rsid w:val="00F825B8"/>
    <w:rsid w:val="00F82BB8"/>
    <w:rsid w:val="00F82E73"/>
    <w:rsid w:val="00F83363"/>
    <w:rsid w:val="00F83FA7"/>
    <w:rsid w:val="00F846E6"/>
    <w:rsid w:val="00F848F1"/>
    <w:rsid w:val="00F84F5D"/>
    <w:rsid w:val="00F853C9"/>
    <w:rsid w:val="00F85B4F"/>
    <w:rsid w:val="00F86991"/>
    <w:rsid w:val="00F86A10"/>
    <w:rsid w:val="00F86DFC"/>
    <w:rsid w:val="00F87101"/>
    <w:rsid w:val="00F87EA4"/>
    <w:rsid w:val="00F90B15"/>
    <w:rsid w:val="00F91C56"/>
    <w:rsid w:val="00F929C5"/>
    <w:rsid w:val="00F93CCF"/>
    <w:rsid w:val="00F94399"/>
    <w:rsid w:val="00F94F0C"/>
    <w:rsid w:val="00F955A7"/>
    <w:rsid w:val="00F96359"/>
    <w:rsid w:val="00F964D2"/>
    <w:rsid w:val="00F9694D"/>
    <w:rsid w:val="00F96D0F"/>
    <w:rsid w:val="00F97040"/>
    <w:rsid w:val="00F9707A"/>
    <w:rsid w:val="00FA0013"/>
    <w:rsid w:val="00FA0757"/>
    <w:rsid w:val="00FA0A50"/>
    <w:rsid w:val="00FA0DDF"/>
    <w:rsid w:val="00FA0F92"/>
    <w:rsid w:val="00FA11E9"/>
    <w:rsid w:val="00FA133D"/>
    <w:rsid w:val="00FA1369"/>
    <w:rsid w:val="00FA2384"/>
    <w:rsid w:val="00FA2E99"/>
    <w:rsid w:val="00FA35CD"/>
    <w:rsid w:val="00FA521E"/>
    <w:rsid w:val="00FA5327"/>
    <w:rsid w:val="00FA5B10"/>
    <w:rsid w:val="00FA6217"/>
    <w:rsid w:val="00FA6679"/>
    <w:rsid w:val="00FA684B"/>
    <w:rsid w:val="00FA6D92"/>
    <w:rsid w:val="00FA6FC0"/>
    <w:rsid w:val="00FA7380"/>
    <w:rsid w:val="00FA7C4A"/>
    <w:rsid w:val="00FA7F2F"/>
    <w:rsid w:val="00FB0952"/>
    <w:rsid w:val="00FB097F"/>
    <w:rsid w:val="00FB0991"/>
    <w:rsid w:val="00FB147E"/>
    <w:rsid w:val="00FB1B24"/>
    <w:rsid w:val="00FB1CF3"/>
    <w:rsid w:val="00FB2513"/>
    <w:rsid w:val="00FB2D03"/>
    <w:rsid w:val="00FB322C"/>
    <w:rsid w:val="00FB38FB"/>
    <w:rsid w:val="00FB3AF0"/>
    <w:rsid w:val="00FB3D9D"/>
    <w:rsid w:val="00FB4432"/>
    <w:rsid w:val="00FB4A93"/>
    <w:rsid w:val="00FB550D"/>
    <w:rsid w:val="00FB5F9B"/>
    <w:rsid w:val="00FB6873"/>
    <w:rsid w:val="00FB6943"/>
    <w:rsid w:val="00FB7031"/>
    <w:rsid w:val="00FB7D3E"/>
    <w:rsid w:val="00FC0549"/>
    <w:rsid w:val="00FC063C"/>
    <w:rsid w:val="00FC0AEC"/>
    <w:rsid w:val="00FC0E7E"/>
    <w:rsid w:val="00FC0EBF"/>
    <w:rsid w:val="00FC105D"/>
    <w:rsid w:val="00FC115B"/>
    <w:rsid w:val="00FC13AC"/>
    <w:rsid w:val="00FC1B8B"/>
    <w:rsid w:val="00FC1CCD"/>
    <w:rsid w:val="00FC23A6"/>
    <w:rsid w:val="00FC36A8"/>
    <w:rsid w:val="00FC444C"/>
    <w:rsid w:val="00FC4CC2"/>
    <w:rsid w:val="00FC4DDB"/>
    <w:rsid w:val="00FC5260"/>
    <w:rsid w:val="00FC5E6A"/>
    <w:rsid w:val="00FC62CA"/>
    <w:rsid w:val="00FC653D"/>
    <w:rsid w:val="00FC6E3B"/>
    <w:rsid w:val="00FC6E4B"/>
    <w:rsid w:val="00FC71BA"/>
    <w:rsid w:val="00FC7509"/>
    <w:rsid w:val="00FC7610"/>
    <w:rsid w:val="00FC7982"/>
    <w:rsid w:val="00FC7FB8"/>
    <w:rsid w:val="00FD1BC9"/>
    <w:rsid w:val="00FD29A4"/>
    <w:rsid w:val="00FD416C"/>
    <w:rsid w:val="00FD465D"/>
    <w:rsid w:val="00FD4B48"/>
    <w:rsid w:val="00FD4B8A"/>
    <w:rsid w:val="00FD4DBC"/>
    <w:rsid w:val="00FD4E77"/>
    <w:rsid w:val="00FD4E94"/>
    <w:rsid w:val="00FD5B06"/>
    <w:rsid w:val="00FD5D96"/>
    <w:rsid w:val="00FD689C"/>
    <w:rsid w:val="00FD6A1F"/>
    <w:rsid w:val="00FD778D"/>
    <w:rsid w:val="00FD77BF"/>
    <w:rsid w:val="00FD7FA8"/>
    <w:rsid w:val="00FE0FB2"/>
    <w:rsid w:val="00FE14C1"/>
    <w:rsid w:val="00FE16AB"/>
    <w:rsid w:val="00FE1AF6"/>
    <w:rsid w:val="00FE2150"/>
    <w:rsid w:val="00FE2266"/>
    <w:rsid w:val="00FE263B"/>
    <w:rsid w:val="00FE2803"/>
    <w:rsid w:val="00FE2FDF"/>
    <w:rsid w:val="00FE3185"/>
    <w:rsid w:val="00FE3416"/>
    <w:rsid w:val="00FE41BF"/>
    <w:rsid w:val="00FE46D7"/>
    <w:rsid w:val="00FE46D9"/>
    <w:rsid w:val="00FE4DC3"/>
    <w:rsid w:val="00FE6004"/>
    <w:rsid w:val="00FE6202"/>
    <w:rsid w:val="00FE630D"/>
    <w:rsid w:val="00FE70A5"/>
    <w:rsid w:val="00FE71EC"/>
    <w:rsid w:val="00FE7548"/>
    <w:rsid w:val="00FF0646"/>
    <w:rsid w:val="00FF185E"/>
    <w:rsid w:val="00FF1A69"/>
    <w:rsid w:val="00FF21E3"/>
    <w:rsid w:val="00FF2503"/>
    <w:rsid w:val="00FF2DB4"/>
    <w:rsid w:val="00FF2EE0"/>
    <w:rsid w:val="00FF349B"/>
    <w:rsid w:val="00FF36D4"/>
    <w:rsid w:val="00FF46DC"/>
    <w:rsid w:val="00FF490C"/>
    <w:rsid w:val="00FF4E80"/>
    <w:rsid w:val="00FF4F4F"/>
    <w:rsid w:val="00FF55C9"/>
    <w:rsid w:val="00FF5A28"/>
    <w:rsid w:val="00FF5C9C"/>
    <w:rsid w:val="00FF6060"/>
    <w:rsid w:val="00FF71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1F4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D0"/>
    <w:pPr>
      <w:spacing w:after="240" w:line="260" w:lineRule="exact"/>
      <w:jc w:val="both"/>
    </w:pPr>
    <w:rPr>
      <w:rFonts w:ascii="Calibri" w:eastAsia="Times New Roman" w:hAnsi="Calibri" w:cs="Times New Roman"/>
      <w:color w:val="000000"/>
      <w:szCs w:val="20"/>
      <w:lang w:eastAsia="en-AU"/>
    </w:rPr>
  </w:style>
  <w:style w:type="paragraph" w:styleId="Heading1">
    <w:name w:val="heading 1"/>
    <w:aliases w:val="Heading 1 Cab"/>
    <w:basedOn w:val="HeadingBase"/>
    <w:next w:val="OutlineNumbered1"/>
    <w:link w:val="Heading1Char"/>
    <w:qFormat/>
    <w:rsid w:val="007564EF"/>
    <w:pPr>
      <w:pBdr>
        <w:bottom w:val="single" w:sz="4" w:space="12" w:color="1F497D" w:themeColor="text2"/>
      </w:pBdr>
      <w:tabs>
        <w:tab w:val="left" w:pos="1985"/>
      </w:tabs>
      <w:spacing w:after="480"/>
      <w:ind w:left="1985" w:hanging="1985"/>
      <w:outlineLvl w:val="0"/>
    </w:pPr>
    <w:rPr>
      <w:rFonts w:cs="Arial"/>
      <w:b/>
      <w:bCs/>
      <w:smallCaps/>
      <w:kern w:val="32"/>
      <w:sz w:val="36"/>
      <w:szCs w:val="36"/>
    </w:rPr>
  </w:style>
  <w:style w:type="paragraph" w:styleId="Heading2">
    <w:name w:val="heading 2"/>
    <w:basedOn w:val="HeadingBase"/>
    <w:next w:val="OutlineNumbered1"/>
    <w:link w:val="Heading2Char"/>
    <w:qFormat/>
    <w:rsid w:val="003420AE"/>
    <w:pPr>
      <w:spacing w:before="300" w:after="180"/>
      <w:outlineLvl w:val="1"/>
    </w:pPr>
    <w:rPr>
      <w:rFonts w:cs="Arial"/>
      <w:b/>
      <w:bCs/>
      <w:iCs/>
      <w:smallCaps/>
      <w:sz w:val="32"/>
      <w:szCs w:val="28"/>
    </w:rPr>
  </w:style>
  <w:style w:type="paragraph" w:styleId="Heading3">
    <w:name w:val="heading 3"/>
    <w:basedOn w:val="HeadingBase"/>
    <w:next w:val="OutlineNumbered1"/>
    <w:link w:val="Heading3Char"/>
    <w:qFormat/>
    <w:rsid w:val="009459F1"/>
    <w:pPr>
      <w:spacing w:before="300" w:after="240"/>
      <w:outlineLvl w:val="2"/>
    </w:pPr>
    <w:rPr>
      <w:rFonts w:cs="Arial"/>
      <w:b/>
      <w:bCs/>
      <w:sz w:val="26"/>
      <w:szCs w:val="26"/>
    </w:rPr>
  </w:style>
  <w:style w:type="paragraph" w:styleId="Heading4">
    <w:name w:val="heading 4"/>
    <w:basedOn w:val="HeadingBase"/>
    <w:next w:val="OutlineNumbered1"/>
    <w:link w:val="Heading4Char"/>
    <w:qFormat/>
    <w:rsid w:val="006D6F65"/>
    <w:pPr>
      <w:spacing w:after="240"/>
      <w:outlineLvl w:val="3"/>
    </w:pPr>
    <w:rPr>
      <w:b/>
      <w:bCs/>
      <w:i/>
      <w:sz w:val="21"/>
      <w:szCs w:val="21"/>
    </w:rPr>
  </w:style>
  <w:style w:type="paragraph" w:styleId="Heading5">
    <w:name w:val="heading 5"/>
    <w:basedOn w:val="HeadingBase"/>
    <w:next w:val="OutlineNumbered1"/>
    <w:link w:val="Heading5Char"/>
    <w:qFormat/>
    <w:rsid w:val="003420AE"/>
    <w:pPr>
      <w:spacing w:after="120"/>
      <w:outlineLvl w:val="4"/>
    </w:pPr>
    <w:rPr>
      <w:b/>
      <w:bCs/>
      <w:iCs/>
    </w:rPr>
  </w:style>
  <w:style w:type="paragraph" w:styleId="Heading6">
    <w:name w:val="heading 6"/>
    <w:basedOn w:val="HeadingBase"/>
    <w:next w:val="OutlineNumbered1"/>
    <w:link w:val="Heading6Char"/>
    <w:qFormat/>
    <w:rsid w:val="003420AE"/>
    <w:pPr>
      <w:spacing w:after="120"/>
      <w:outlineLvl w:val="5"/>
    </w:pPr>
    <w:rPr>
      <w:bCs/>
      <w:szCs w:val="22"/>
    </w:rPr>
  </w:style>
  <w:style w:type="paragraph" w:styleId="Heading7">
    <w:name w:val="heading 7"/>
    <w:basedOn w:val="HeadingBase"/>
    <w:next w:val="Normal"/>
    <w:link w:val="Heading7Char"/>
    <w:qFormat/>
    <w:rsid w:val="003420AE"/>
    <w:pPr>
      <w:spacing w:after="120"/>
      <w:outlineLvl w:val="6"/>
    </w:pPr>
    <w:rPr>
      <w:szCs w:val="24"/>
    </w:rPr>
  </w:style>
  <w:style w:type="paragraph" w:styleId="Heading8">
    <w:name w:val="heading 8"/>
    <w:basedOn w:val="HeadingBase"/>
    <w:next w:val="Normal"/>
    <w:link w:val="Heading8Char"/>
    <w:qFormat/>
    <w:rsid w:val="003420AE"/>
    <w:pPr>
      <w:spacing w:after="120"/>
      <w:outlineLvl w:val="7"/>
    </w:pPr>
    <w:rPr>
      <w:iCs/>
      <w:szCs w:val="24"/>
    </w:rPr>
  </w:style>
  <w:style w:type="paragraph" w:styleId="Heading9">
    <w:name w:val="heading 9"/>
    <w:basedOn w:val="HeadingBase"/>
    <w:next w:val="Normal"/>
    <w:link w:val="Heading9Char"/>
    <w:qFormat/>
    <w:rsid w:val="003420AE"/>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03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4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AE"/>
    <w:rPr>
      <w:rFonts w:ascii="Tahoma" w:eastAsia="Times New Roman" w:hAnsi="Tahoma" w:cs="Tahoma"/>
      <w:color w:val="000000"/>
      <w:sz w:val="16"/>
      <w:szCs w:val="16"/>
      <w:lang w:eastAsia="en-AU"/>
    </w:rPr>
  </w:style>
  <w:style w:type="character" w:styleId="CommentReference">
    <w:name w:val="annotation reference"/>
    <w:basedOn w:val="DefaultParagraphFont"/>
    <w:uiPriority w:val="99"/>
    <w:semiHidden/>
    <w:unhideWhenUsed/>
    <w:rsid w:val="00A25D3D"/>
    <w:rPr>
      <w:sz w:val="16"/>
      <w:szCs w:val="16"/>
    </w:rPr>
  </w:style>
  <w:style w:type="paragraph" w:styleId="CommentText">
    <w:name w:val="annotation text"/>
    <w:basedOn w:val="Normal"/>
    <w:link w:val="CommentTextChar"/>
    <w:uiPriority w:val="99"/>
    <w:unhideWhenUsed/>
    <w:rsid w:val="00A25D3D"/>
    <w:pPr>
      <w:spacing w:line="240" w:lineRule="auto"/>
    </w:pPr>
    <w:rPr>
      <w:sz w:val="20"/>
    </w:rPr>
  </w:style>
  <w:style w:type="character" w:customStyle="1" w:styleId="CommentTextChar">
    <w:name w:val="Comment Text Char"/>
    <w:basedOn w:val="DefaultParagraphFont"/>
    <w:link w:val="CommentText"/>
    <w:uiPriority w:val="99"/>
    <w:rsid w:val="00A25D3D"/>
    <w:rPr>
      <w:sz w:val="20"/>
      <w:szCs w:val="20"/>
    </w:rPr>
  </w:style>
  <w:style w:type="paragraph" w:styleId="CommentSubject">
    <w:name w:val="annotation subject"/>
    <w:basedOn w:val="CommentText"/>
    <w:next w:val="CommentText"/>
    <w:link w:val="CommentSubjectChar"/>
    <w:uiPriority w:val="99"/>
    <w:semiHidden/>
    <w:unhideWhenUsed/>
    <w:rsid w:val="00A25D3D"/>
    <w:rPr>
      <w:b/>
      <w:bCs/>
    </w:rPr>
  </w:style>
  <w:style w:type="character" w:customStyle="1" w:styleId="CommentSubjectChar">
    <w:name w:val="Comment Subject Char"/>
    <w:basedOn w:val="CommentTextChar"/>
    <w:link w:val="CommentSubject"/>
    <w:uiPriority w:val="99"/>
    <w:semiHidden/>
    <w:rsid w:val="00A25D3D"/>
    <w:rPr>
      <w:b/>
      <w:bCs/>
      <w:sz w:val="20"/>
      <w:szCs w:val="20"/>
    </w:rPr>
  </w:style>
  <w:style w:type="paragraph" w:styleId="FootnoteText">
    <w:name w:val="footnote text"/>
    <w:basedOn w:val="Normal"/>
    <w:link w:val="FootnoteTextChar"/>
    <w:qFormat/>
    <w:rsid w:val="008A3190"/>
    <w:pPr>
      <w:tabs>
        <w:tab w:val="left" w:pos="284"/>
      </w:tabs>
      <w:spacing w:after="40" w:line="240" w:lineRule="auto"/>
      <w:ind w:left="284" w:hanging="284"/>
    </w:pPr>
    <w:rPr>
      <w:sz w:val="18"/>
    </w:rPr>
  </w:style>
  <w:style w:type="character" w:customStyle="1" w:styleId="FootnoteTextChar">
    <w:name w:val="Footnote Text Char"/>
    <w:basedOn w:val="DefaultParagraphFont"/>
    <w:link w:val="FootnoteText"/>
    <w:rsid w:val="008A3190"/>
    <w:rPr>
      <w:rFonts w:ascii="Calibri" w:eastAsia="Times New Roman" w:hAnsi="Calibri" w:cs="Times New Roman"/>
      <w:color w:val="000000"/>
      <w:sz w:val="18"/>
      <w:szCs w:val="20"/>
      <w:lang w:eastAsia="en-AU"/>
    </w:rPr>
  </w:style>
  <w:style w:type="character" w:styleId="FootnoteReference">
    <w:name w:val="footnote reference"/>
    <w:basedOn w:val="DefaultParagraphFont"/>
    <w:uiPriority w:val="99"/>
    <w:unhideWhenUsed/>
    <w:rsid w:val="00F45DCF"/>
    <w:rPr>
      <w:vertAlign w:val="superscript"/>
    </w:rPr>
  </w:style>
  <w:style w:type="paragraph" w:customStyle="1" w:styleId="OutlineNumbered1">
    <w:name w:val="Outline Numbered 1"/>
    <w:basedOn w:val="Normal"/>
    <w:link w:val="OutlineNumbered1Char"/>
    <w:rsid w:val="003420AE"/>
    <w:pPr>
      <w:numPr>
        <w:numId w:val="15"/>
      </w:numPr>
    </w:pPr>
  </w:style>
  <w:style w:type="character" w:customStyle="1" w:styleId="OutlineNumbered1Char">
    <w:name w:val="Outline Numbered 1 Char"/>
    <w:basedOn w:val="DefaultParagraphFont"/>
    <w:link w:val="OutlineNumbered1"/>
    <w:rsid w:val="007A7868"/>
    <w:rPr>
      <w:rFonts w:ascii="Calibri" w:eastAsia="Times New Roman" w:hAnsi="Calibri" w:cs="Times New Roman"/>
      <w:color w:val="000000"/>
      <w:szCs w:val="20"/>
      <w:lang w:eastAsia="en-AU"/>
    </w:rPr>
  </w:style>
  <w:style w:type="paragraph" w:customStyle="1" w:styleId="OutlineNumbered2">
    <w:name w:val="Outline Numbered 2"/>
    <w:basedOn w:val="Normal"/>
    <w:link w:val="OutlineNumbered2Char"/>
    <w:rsid w:val="003420AE"/>
    <w:pPr>
      <w:numPr>
        <w:ilvl w:val="1"/>
        <w:numId w:val="15"/>
      </w:numPr>
    </w:pPr>
  </w:style>
  <w:style w:type="character" w:customStyle="1" w:styleId="OutlineNumbered2Char">
    <w:name w:val="Outline Numbered 2 Char"/>
    <w:basedOn w:val="DefaultParagraphFont"/>
    <w:link w:val="OutlineNumbered2"/>
    <w:rsid w:val="00B83785"/>
    <w:rPr>
      <w:rFonts w:ascii="Calibri" w:eastAsia="Times New Roman" w:hAnsi="Calibri" w:cs="Times New Roman"/>
      <w:color w:val="000000"/>
      <w:szCs w:val="20"/>
      <w:lang w:eastAsia="en-AU"/>
    </w:rPr>
  </w:style>
  <w:style w:type="paragraph" w:customStyle="1" w:styleId="OutlineNumbered3">
    <w:name w:val="Outline Numbered 3"/>
    <w:basedOn w:val="Normal"/>
    <w:link w:val="OutlineNumbered3Char"/>
    <w:rsid w:val="003420AE"/>
    <w:pPr>
      <w:numPr>
        <w:ilvl w:val="2"/>
        <w:numId w:val="15"/>
      </w:numPr>
    </w:pPr>
  </w:style>
  <w:style w:type="character" w:customStyle="1" w:styleId="OutlineNumbered3Char">
    <w:name w:val="Outline Numbered 3 Char"/>
    <w:basedOn w:val="DefaultParagraphFont"/>
    <w:link w:val="OutlineNumbered3"/>
    <w:rsid w:val="00B83785"/>
    <w:rPr>
      <w:rFonts w:ascii="Calibri" w:eastAsia="Times New Roman" w:hAnsi="Calibri" w:cs="Times New Roman"/>
      <w:color w:val="000000"/>
      <w:szCs w:val="20"/>
      <w:lang w:eastAsia="en-AU"/>
    </w:rPr>
  </w:style>
  <w:style w:type="paragraph" w:customStyle="1" w:styleId="Bullet">
    <w:name w:val="Bullet"/>
    <w:aliases w:val="b,b1,b + line,level 1,Body,Bullet + line"/>
    <w:basedOn w:val="Normal"/>
    <w:link w:val="BulletChar"/>
    <w:qFormat/>
    <w:rsid w:val="00F21DD0"/>
    <w:pPr>
      <w:numPr>
        <w:numId w:val="7"/>
      </w:numPr>
      <w:tabs>
        <w:tab w:val="clear" w:pos="2410"/>
        <w:tab w:val="num" w:pos="425"/>
      </w:tabs>
      <w:ind w:left="425" w:hanging="425"/>
    </w:pPr>
  </w:style>
  <w:style w:type="character" w:customStyle="1" w:styleId="BulletChar">
    <w:name w:val="Bullet Char"/>
    <w:aliases w:val="b Char,b + line Char Char,b Char Char"/>
    <w:basedOn w:val="DefaultParagraphFont"/>
    <w:link w:val="Bullet"/>
    <w:rsid w:val="00F21DD0"/>
    <w:rPr>
      <w:rFonts w:ascii="Calibri" w:eastAsia="Times New Roman" w:hAnsi="Calibri" w:cs="Times New Roman"/>
      <w:color w:val="000000"/>
      <w:szCs w:val="20"/>
      <w:lang w:eastAsia="en-AU"/>
    </w:rPr>
  </w:style>
  <w:style w:type="paragraph" w:customStyle="1" w:styleId="Dash">
    <w:name w:val="Dash"/>
    <w:basedOn w:val="Normal"/>
    <w:link w:val="DashChar"/>
    <w:qFormat/>
    <w:rsid w:val="003420AE"/>
    <w:pPr>
      <w:numPr>
        <w:ilvl w:val="1"/>
        <w:numId w:val="7"/>
      </w:numPr>
    </w:pPr>
  </w:style>
  <w:style w:type="character" w:customStyle="1" w:styleId="DashChar">
    <w:name w:val="Dash Char"/>
    <w:basedOn w:val="DefaultParagraphFont"/>
    <w:link w:val="Dash"/>
    <w:rsid w:val="00E91947"/>
    <w:rPr>
      <w:rFonts w:ascii="Calibri" w:eastAsia="Times New Roman" w:hAnsi="Calibri" w:cs="Times New Roman"/>
      <w:color w:val="000000"/>
      <w:szCs w:val="20"/>
      <w:lang w:eastAsia="en-AU"/>
    </w:rPr>
  </w:style>
  <w:style w:type="paragraph" w:customStyle="1" w:styleId="DoubleDot">
    <w:name w:val="Double Dot"/>
    <w:basedOn w:val="Normal"/>
    <w:link w:val="DoubleDotChar"/>
    <w:qFormat/>
    <w:rsid w:val="003420AE"/>
    <w:pPr>
      <w:numPr>
        <w:ilvl w:val="2"/>
        <w:numId w:val="7"/>
      </w:numPr>
    </w:pPr>
  </w:style>
  <w:style w:type="character" w:customStyle="1" w:styleId="DoubleDotChar">
    <w:name w:val="Double Dot Char"/>
    <w:basedOn w:val="DefaultParagraphFont"/>
    <w:link w:val="DoubleDot"/>
    <w:rsid w:val="00E91947"/>
    <w:rPr>
      <w:rFonts w:ascii="Calibri" w:eastAsia="Times New Roman" w:hAnsi="Calibri" w:cs="Times New Roman"/>
      <w:color w:val="000000"/>
      <w:szCs w:val="20"/>
      <w:lang w:eastAsia="en-AU"/>
    </w:rPr>
  </w:style>
  <w:style w:type="character" w:styleId="Hyperlink">
    <w:name w:val="Hyperlink"/>
    <w:basedOn w:val="DefaultParagraphFont"/>
    <w:uiPriority w:val="99"/>
    <w:rsid w:val="009314FF"/>
    <w:rPr>
      <w:b/>
      <w:color w:val="1F497D" w:themeColor="text2"/>
    </w:rPr>
  </w:style>
  <w:style w:type="table" w:styleId="TableGrid">
    <w:name w:val="Table Grid"/>
    <w:basedOn w:val="TableNormal"/>
    <w:rsid w:val="003420AE"/>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table" w:styleId="LightShading">
    <w:name w:val="Light Shading"/>
    <w:basedOn w:val="TableNormal"/>
    <w:uiPriority w:val="60"/>
    <w:rsid w:val="004264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HeadingBase"/>
    <w:link w:val="HeaderChar"/>
    <w:rsid w:val="003420AE"/>
    <w:rPr>
      <w:sz w:val="18"/>
    </w:rPr>
  </w:style>
  <w:style w:type="character" w:customStyle="1" w:styleId="HeaderChar">
    <w:name w:val="Header Char"/>
    <w:basedOn w:val="DefaultParagraphFont"/>
    <w:link w:val="Header"/>
    <w:rsid w:val="000273CA"/>
    <w:rPr>
      <w:rFonts w:ascii="Century Gothic" w:eastAsia="Times New Roman" w:hAnsi="Century Gothic" w:cs="Times New Roman"/>
      <w:color w:val="1F497D" w:themeColor="text2"/>
      <w:sz w:val="18"/>
      <w:szCs w:val="20"/>
      <w:lang w:eastAsia="en-AU"/>
    </w:rPr>
  </w:style>
  <w:style w:type="paragraph" w:styleId="Footer">
    <w:name w:val="footer"/>
    <w:basedOn w:val="HeadingBase"/>
    <w:link w:val="FooterChar"/>
    <w:rsid w:val="003420AE"/>
    <w:rPr>
      <w:sz w:val="18"/>
    </w:rPr>
  </w:style>
  <w:style w:type="character" w:customStyle="1" w:styleId="FooterChar">
    <w:name w:val="Footer Char"/>
    <w:basedOn w:val="DefaultParagraphFont"/>
    <w:link w:val="Footer"/>
    <w:rsid w:val="000273CA"/>
    <w:rPr>
      <w:rFonts w:ascii="Century Gothic" w:eastAsia="Times New Roman" w:hAnsi="Century Gothic" w:cs="Times New Roman"/>
      <w:color w:val="1F497D" w:themeColor="text2"/>
      <w:sz w:val="18"/>
      <w:szCs w:val="20"/>
      <w:lang w:eastAsia="en-AU"/>
    </w:rPr>
  </w:style>
  <w:style w:type="paragraph" w:customStyle="1" w:styleId="SecurityClassificationHeader">
    <w:name w:val="Security Classification Header"/>
    <w:link w:val="SecurityClassificationHeaderChar"/>
    <w:rsid w:val="003420AE"/>
    <w:pPr>
      <w:spacing w:after="240" w:line="240" w:lineRule="auto"/>
      <w:jc w:val="center"/>
    </w:pPr>
    <w:rPr>
      <w:rFonts w:ascii="Book Antiqua" w:eastAsia="Times New Roman" w:hAnsi="Book Antiqua" w:cs="Times New Roman"/>
      <w:b/>
      <w:caps/>
      <w:color w:val="000080"/>
      <w:szCs w:val="20"/>
      <w:lang w:eastAsia="en-AU"/>
    </w:rPr>
  </w:style>
  <w:style w:type="character" w:customStyle="1" w:styleId="SecurityClassificationHeaderChar">
    <w:name w:val="Security Classification Header Char"/>
    <w:basedOn w:val="HeaderChar"/>
    <w:link w:val="SecurityClassificationHeader"/>
    <w:rsid w:val="00212C59"/>
    <w:rPr>
      <w:rFonts w:ascii="Book Antiqua" w:eastAsia="Times New Roman" w:hAnsi="Book Antiqua" w:cs="Times New Roman"/>
      <w:b/>
      <w:caps/>
      <w:color w:val="000080"/>
      <w:sz w:val="18"/>
      <w:szCs w:val="20"/>
      <w:lang w:eastAsia="en-AU"/>
    </w:rPr>
  </w:style>
  <w:style w:type="paragraph" w:customStyle="1" w:styleId="SecurityClassificationFooter">
    <w:name w:val="Security Classification Footer"/>
    <w:link w:val="SecurityClassificationFooterChar"/>
    <w:rsid w:val="003420AE"/>
    <w:pPr>
      <w:spacing w:before="240" w:after="0" w:line="240" w:lineRule="auto"/>
      <w:jc w:val="center"/>
    </w:pPr>
    <w:rPr>
      <w:rFonts w:ascii="Book Antiqua" w:eastAsia="Times New Roman" w:hAnsi="Book Antiqua" w:cs="Times New Roman"/>
      <w:b/>
      <w:caps/>
      <w:color w:val="000080"/>
      <w:szCs w:val="20"/>
      <w:lang w:eastAsia="en-AU"/>
    </w:rPr>
  </w:style>
  <w:style w:type="character" w:customStyle="1" w:styleId="SecurityClassificationFooterChar">
    <w:name w:val="Security Classification Footer Char"/>
    <w:basedOn w:val="HeaderChar"/>
    <w:link w:val="SecurityClassificationFooter"/>
    <w:rsid w:val="00212C59"/>
    <w:rPr>
      <w:rFonts w:ascii="Book Antiqua" w:eastAsia="Times New Roman" w:hAnsi="Book Antiqua" w:cs="Times New Roman"/>
      <w:b/>
      <w:caps/>
      <w:color w:val="000080"/>
      <w:sz w:val="18"/>
      <w:szCs w:val="20"/>
      <w:lang w:eastAsia="en-AU"/>
    </w:rPr>
  </w:style>
  <w:style w:type="paragraph" w:customStyle="1" w:styleId="DLMSecurityHeader">
    <w:name w:val="DLM Security Header"/>
    <w:link w:val="DLMSecurityHeaderChar"/>
    <w:rsid w:val="00212C59"/>
    <w:pPr>
      <w:spacing w:before="60" w:after="240"/>
      <w:jc w:val="center"/>
    </w:pPr>
    <w:rPr>
      <w:rFonts w:ascii="Times New Roman" w:hAnsi="Times New Roman" w:cs="Times New Roman"/>
      <w:b/>
      <w:caps/>
      <w:sz w:val="24"/>
    </w:rPr>
  </w:style>
  <w:style w:type="character" w:customStyle="1" w:styleId="DLMSecurityHeaderChar">
    <w:name w:val="DLM Security Header Char"/>
    <w:basedOn w:val="HeaderChar"/>
    <w:link w:val="DLMSecurityHeader"/>
    <w:rsid w:val="00212C59"/>
    <w:rPr>
      <w:rFonts w:ascii="Times New Roman" w:eastAsia="Times New Roman" w:hAnsi="Times New Roman" w:cs="Times New Roman"/>
      <w:b/>
      <w:caps/>
      <w:color w:val="1F497D" w:themeColor="text2"/>
      <w:sz w:val="24"/>
      <w:szCs w:val="20"/>
      <w:lang w:eastAsia="en-AU"/>
    </w:rPr>
  </w:style>
  <w:style w:type="paragraph" w:customStyle="1" w:styleId="DLMSecurityFooter">
    <w:name w:val="DLM Security Footer"/>
    <w:link w:val="DLMSecurityFooterChar"/>
    <w:rsid w:val="00212C59"/>
    <w:pPr>
      <w:spacing w:before="240" w:after="60"/>
      <w:jc w:val="center"/>
    </w:pPr>
    <w:rPr>
      <w:rFonts w:ascii="Times New Roman" w:hAnsi="Times New Roman" w:cs="Times New Roman"/>
      <w:b/>
      <w:caps/>
      <w:sz w:val="24"/>
    </w:rPr>
  </w:style>
  <w:style w:type="character" w:customStyle="1" w:styleId="DLMSecurityFooterChar">
    <w:name w:val="DLM Security Footer Char"/>
    <w:basedOn w:val="HeaderChar"/>
    <w:link w:val="DLMSecurityFooter"/>
    <w:rsid w:val="00212C59"/>
    <w:rPr>
      <w:rFonts w:ascii="Times New Roman" w:eastAsia="Times New Roman" w:hAnsi="Times New Roman" w:cs="Times New Roman"/>
      <w:b/>
      <w:caps/>
      <w:color w:val="1F497D" w:themeColor="text2"/>
      <w:sz w:val="24"/>
      <w:szCs w:val="20"/>
      <w:lang w:eastAsia="en-AU"/>
    </w:rPr>
  </w:style>
  <w:style w:type="table" w:customStyle="1" w:styleId="TableGrid1">
    <w:name w:val="Table Grid1"/>
    <w:basedOn w:val="TableNormal"/>
    <w:next w:val="TableGrid"/>
    <w:uiPriority w:val="59"/>
    <w:rsid w:val="0097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 Cab"/>
    <w:basedOn w:val="Normal"/>
    <w:link w:val="ListParagraphChar"/>
    <w:uiPriority w:val="34"/>
    <w:qFormat/>
    <w:rsid w:val="00FB2D03"/>
    <w:pPr>
      <w:ind w:left="720"/>
      <w:contextualSpacing/>
    </w:pPr>
  </w:style>
  <w:style w:type="paragraph" w:styleId="BodyText">
    <w:name w:val="Body Text"/>
    <w:basedOn w:val="Normal"/>
    <w:link w:val="BodyTextChar"/>
    <w:rsid w:val="00FB2D03"/>
    <w:pPr>
      <w:numPr>
        <w:numId w:val="1"/>
      </w:numPr>
      <w:spacing w:before="200" w:after="0" w:line="300" w:lineRule="atLeast"/>
    </w:pPr>
    <w:rPr>
      <w:rFonts w:ascii="Times New Roman" w:hAnsi="Times New Roman"/>
    </w:rPr>
  </w:style>
  <w:style w:type="character" w:customStyle="1" w:styleId="BodyTextChar">
    <w:name w:val="Body Text Char"/>
    <w:basedOn w:val="DefaultParagraphFont"/>
    <w:link w:val="BodyText"/>
    <w:rsid w:val="00FB2D03"/>
    <w:rPr>
      <w:rFonts w:ascii="Times New Roman" w:eastAsia="Times New Roman" w:hAnsi="Times New Roman" w:cs="Times New Roman"/>
      <w:color w:val="000000"/>
      <w:szCs w:val="20"/>
      <w:lang w:eastAsia="en-AU"/>
    </w:rPr>
  </w:style>
  <w:style w:type="paragraph" w:customStyle="1" w:styleId="subparaa">
    <w:name w:val="sub para (a)"/>
    <w:basedOn w:val="BodyText"/>
    <w:rsid w:val="00FB2D03"/>
    <w:pPr>
      <w:numPr>
        <w:ilvl w:val="1"/>
      </w:numPr>
      <w:spacing w:before="100"/>
    </w:pPr>
  </w:style>
  <w:style w:type="paragraph" w:customStyle="1" w:styleId="subsubparai">
    <w:name w:val="sub sub para (i)"/>
    <w:basedOn w:val="subparaa"/>
    <w:rsid w:val="00FB2D03"/>
    <w:pPr>
      <w:numPr>
        <w:ilvl w:val="2"/>
      </w:numPr>
    </w:pPr>
  </w:style>
  <w:style w:type="paragraph" w:customStyle="1" w:styleId="sub3paraA">
    <w:name w:val="sub3para (A)"/>
    <w:basedOn w:val="subsubparai"/>
    <w:qFormat/>
    <w:rsid w:val="00FB2D03"/>
    <w:pPr>
      <w:numPr>
        <w:ilvl w:val="3"/>
      </w:numPr>
    </w:pPr>
  </w:style>
  <w:style w:type="paragraph" w:customStyle="1" w:styleId="sub4paraI">
    <w:name w:val="sub4para (I)"/>
    <w:basedOn w:val="subsubparai"/>
    <w:qFormat/>
    <w:rsid w:val="00FB2D03"/>
    <w:pPr>
      <w:numPr>
        <w:ilvl w:val="4"/>
      </w:numPr>
    </w:pPr>
  </w:style>
  <w:style w:type="paragraph" w:styleId="Revision">
    <w:name w:val="Revision"/>
    <w:hidden/>
    <w:uiPriority w:val="99"/>
    <w:semiHidden/>
    <w:rsid w:val="00C761AF"/>
    <w:pPr>
      <w:spacing w:after="0" w:line="240" w:lineRule="auto"/>
    </w:pPr>
  </w:style>
  <w:style w:type="character" w:customStyle="1" w:styleId="Heading1Char">
    <w:name w:val="Heading 1 Char"/>
    <w:aliases w:val="Heading 1 Cab Char"/>
    <w:basedOn w:val="DefaultParagraphFont"/>
    <w:link w:val="Heading1"/>
    <w:rsid w:val="007564EF"/>
    <w:rPr>
      <w:rFonts w:ascii="Century Gothic" w:eastAsia="Times New Roman" w:hAnsi="Century Gothic" w:cs="Arial"/>
      <w:b/>
      <w:bCs/>
      <w:smallCaps/>
      <w:color w:val="1F497D" w:themeColor="text2"/>
      <w:kern w:val="32"/>
      <w:sz w:val="36"/>
      <w:szCs w:val="36"/>
      <w:lang w:eastAsia="en-AU"/>
    </w:rPr>
  </w:style>
  <w:style w:type="paragraph" w:styleId="TOCHeading">
    <w:name w:val="TOC Heading"/>
    <w:basedOn w:val="Heading1"/>
    <w:next w:val="Normal"/>
    <w:uiPriority w:val="39"/>
    <w:unhideWhenUsed/>
    <w:qFormat/>
    <w:rsid w:val="00C37D00"/>
    <w:pPr>
      <w:outlineLvl w:val="9"/>
    </w:pPr>
    <w:rPr>
      <w:lang w:val="en-US" w:eastAsia="ja-JP"/>
    </w:rPr>
  </w:style>
  <w:style w:type="paragraph" w:styleId="TOC1">
    <w:name w:val="toc 1"/>
    <w:basedOn w:val="HeadingBase"/>
    <w:next w:val="Normal"/>
    <w:uiPriority w:val="39"/>
    <w:rsid w:val="008A3190"/>
    <w:pPr>
      <w:tabs>
        <w:tab w:val="left" w:pos="1276"/>
        <w:tab w:val="right" w:leader="dot" w:pos="9072"/>
      </w:tabs>
      <w:spacing w:before="180" w:after="60"/>
      <w:ind w:right="379"/>
    </w:pPr>
    <w:rPr>
      <w:b/>
      <w:noProof/>
      <w:sz w:val="21"/>
      <w:szCs w:val="22"/>
    </w:rPr>
  </w:style>
  <w:style w:type="paragraph" w:styleId="Title">
    <w:name w:val="Title"/>
    <w:basedOn w:val="Normal"/>
    <w:link w:val="TitleChar"/>
    <w:uiPriority w:val="10"/>
    <w:qFormat/>
    <w:rsid w:val="00397772"/>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397772"/>
    <w:rPr>
      <w:rFonts w:ascii="Arial" w:eastAsia="Times New Roman" w:hAnsi="Arial" w:cs="Times New Roman"/>
      <w:b/>
      <w:kern w:val="28"/>
      <w:sz w:val="32"/>
    </w:rPr>
  </w:style>
  <w:style w:type="paragraph" w:customStyle="1" w:styleId="SingleParagraph">
    <w:name w:val="Single Paragraph"/>
    <w:basedOn w:val="Normal"/>
    <w:link w:val="SingleParagraphChar"/>
    <w:rsid w:val="003420AE"/>
    <w:pPr>
      <w:spacing w:after="0"/>
    </w:pPr>
  </w:style>
  <w:style w:type="paragraph" w:customStyle="1" w:styleId="Heading2NotNumbered">
    <w:name w:val="Heading 2 Not Numbered"/>
    <w:basedOn w:val="Heading2"/>
    <w:next w:val="Normal"/>
    <w:rsid w:val="003420AE"/>
  </w:style>
  <w:style w:type="character" w:customStyle="1" w:styleId="SingleParagraphChar">
    <w:name w:val="Single Paragraph Char"/>
    <w:basedOn w:val="DefaultParagraphFont"/>
    <w:link w:val="SingleParagraph"/>
    <w:locked/>
    <w:rsid w:val="003420AE"/>
    <w:rPr>
      <w:rFonts w:ascii="Book Antiqua" w:eastAsia="Times New Roman" w:hAnsi="Book Antiqua" w:cs="Times New Roman"/>
      <w:color w:val="000000"/>
      <w:szCs w:val="20"/>
      <w:lang w:eastAsia="en-AU"/>
    </w:rPr>
  </w:style>
  <w:style w:type="paragraph" w:customStyle="1" w:styleId="Heading1NotNumbered">
    <w:name w:val="Heading 1 Not Numbered"/>
    <w:basedOn w:val="Normal"/>
    <w:next w:val="Normal"/>
    <w:rsid w:val="001B68EF"/>
    <w:pPr>
      <w:keepNext/>
      <w:spacing w:after="360" w:line="240" w:lineRule="auto"/>
      <w:outlineLvl w:val="0"/>
    </w:pPr>
    <w:rPr>
      <w:rFonts w:asciiTheme="majorHAnsi" w:eastAsiaTheme="majorEastAsia" w:hAnsiTheme="majorHAnsi"/>
      <w:b/>
      <w:smallCaps/>
      <w:color w:val="1F497D" w:themeColor="text2"/>
      <w:sz w:val="40"/>
      <w:szCs w:val="36"/>
    </w:rPr>
  </w:style>
  <w:style w:type="paragraph" w:customStyle="1" w:styleId="CoverTitleSub">
    <w:name w:val="Cover Title Sub"/>
    <w:basedOn w:val="HeadingBase"/>
    <w:rsid w:val="00F21DD0"/>
    <w:pPr>
      <w:spacing w:after="240"/>
      <w:jc w:val="right"/>
    </w:pPr>
    <w:rPr>
      <w:sz w:val="36"/>
    </w:rPr>
  </w:style>
  <w:style w:type="paragraph" w:customStyle="1" w:styleId="CoverTitleMain">
    <w:name w:val="Cover Title Main"/>
    <w:basedOn w:val="HeadingBase"/>
    <w:next w:val="Normal"/>
    <w:rsid w:val="00F21DD0"/>
    <w:pPr>
      <w:pBdr>
        <w:bottom w:val="single" w:sz="8" w:space="18" w:color="1F497D" w:themeColor="text2"/>
      </w:pBdr>
      <w:spacing w:after="600"/>
      <w:jc w:val="center"/>
    </w:pPr>
    <w:rPr>
      <w:b/>
      <w:sz w:val="48"/>
    </w:rPr>
  </w:style>
  <w:style w:type="paragraph" w:styleId="NoSpacing">
    <w:name w:val="No Spacing"/>
    <w:uiPriority w:val="1"/>
    <w:qFormat/>
    <w:rsid w:val="009F73BE"/>
    <w:pPr>
      <w:spacing w:after="0" w:line="240" w:lineRule="auto"/>
    </w:pPr>
  </w:style>
  <w:style w:type="character" w:customStyle="1" w:styleId="Heading2Char">
    <w:name w:val="Heading 2 Char"/>
    <w:basedOn w:val="DefaultParagraphFont"/>
    <w:link w:val="Heading2"/>
    <w:rsid w:val="001D5A03"/>
    <w:rPr>
      <w:rFonts w:ascii="Century Gothic" w:eastAsia="Times New Roman" w:hAnsi="Century Gothic" w:cs="Arial"/>
      <w:b/>
      <w:bCs/>
      <w:iCs/>
      <w:smallCaps/>
      <w:color w:val="1F497D" w:themeColor="text2"/>
      <w:sz w:val="32"/>
      <w:szCs w:val="28"/>
      <w:lang w:eastAsia="en-AU"/>
    </w:rPr>
  </w:style>
  <w:style w:type="paragraph" w:styleId="TOC2">
    <w:name w:val="toc 2"/>
    <w:basedOn w:val="HeadingBase"/>
    <w:next w:val="Normal"/>
    <w:uiPriority w:val="39"/>
    <w:rsid w:val="008E23C0"/>
    <w:pPr>
      <w:tabs>
        <w:tab w:val="right" w:leader="dot" w:pos="9072"/>
      </w:tabs>
      <w:spacing w:before="60"/>
      <w:ind w:left="284" w:right="851"/>
    </w:pPr>
    <w:rPr>
      <w:noProof/>
      <w:sz w:val="21"/>
    </w:rPr>
  </w:style>
  <w:style w:type="character" w:customStyle="1" w:styleId="Heading3Char">
    <w:name w:val="Heading 3 Char"/>
    <w:basedOn w:val="DefaultParagraphFont"/>
    <w:link w:val="Heading3"/>
    <w:rsid w:val="009459F1"/>
    <w:rPr>
      <w:rFonts w:ascii="Century Gothic" w:eastAsia="Times New Roman" w:hAnsi="Century Gothic" w:cs="Arial"/>
      <w:b/>
      <w:bCs/>
      <w:color w:val="1F497D" w:themeColor="text2"/>
      <w:sz w:val="26"/>
      <w:szCs w:val="26"/>
      <w:lang w:eastAsia="en-AU"/>
    </w:rPr>
  </w:style>
  <w:style w:type="paragraph" w:styleId="PlainText">
    <w:name w:val="Plain Text"/>
    <w:basedOn w:val="Normal"/>
    <w:link w:val="PlainTextChar"/>
    <w:uiPriority w:val="99"/>
    <w:semiHidden/>
    <w:unhideWhenUsed/>
    <w:rsid w:val="002E1ECC"/>
    <w:pPr>
      <w:spacing w:after="0" w:line="240" w:lineRule="auto"/>
    </w:pPr>
    <w:rPr>
      <w:szCs w:val="21"/>
    </w:rPr>
  </w:style>
  <w:style w:type="character" w:customStyle="1" w:styleId="PlainTextChar">
    <w:name w:val="Plain Text Char"/>
    <w:basedOn w:val="DefaultParagraphFont"/>
    <w:link w:val="PlainText"/>
    <w:uiPriority w:val="99"/>
    <w:semiHidden/>
    <w:rsid w:val="002E1ECC"/>
    <w:rPr>
      <w:rFonts w:ascii="Calibri" w:hAnsi="Calibri"/>
      <w:szCs w:val="21"/>
    </w:rPr>
  </w:style>
  <w:style w:type="paragraph" w:styleId="TOC3">
    <w:name w:val="toc 3"/>
    <w:basedOn w:val="Normal"/>
    <w:next w:val="Normal"/>
    <w:rsid w:val="003420AE"/>
    <w:pPr>
      <w:tabs>
        <w:tab w:val="right" w:leader="dot" w:pos="9072"/>
      </w:tabs>
      <w:spacing w:before="40" w:after="0" w:line="240" w:lineRule="auto"/>
      <w:ind w:right="851"/>
    </w:pPr>
    <w:rPr>
      <w:rFonts w:ascii="Century Gothic" w:hAnsi="Century Gothic"/>
    </w:rPr>
  </w:style>
  <w:style w:type="paragraph" w:customStyle="1" w:styleId="NumberedParagraph">
    <w:name w:val="Numbered Paragraph"/>
    <w:basedOn w:val="Normal"/>
    <w:link w:val="NumberedParagraphChar"/>
    <w:rsid w:val="00A75C75"/>
    <w:pPr>
      <w:numPr>
        <w:numId w:val="2"/>
      </w:numPr>
      <w:spacing w:after="0"/>
    </w:pPr>
    <w:rPr>
      <w:b/>
    </w:rPr>
  </w:style>
  <w:style w:type="character" w:customStyle="1" w:styleId="NumberedParagraphChar">
    <w:name w:val="Numbered Paragraph Char"/>
    <w:basedOn w:val="BulletChar"/>
    <w:link w:val="NumberedParagraph"/>
    <w:rsid w:val="00A75C75"/>
    <w:rPr>
      <w:rFonts w:ascii="Calibri" w:eastAsia="Times New Roman" w:hAnsi="Calibri" w:cs="Times New Roman"/>
      <w:b/>
      <w:color w:val="000000"/>
      <w:szCs w:val="20"/>
      <w:lang w:eastAsia="en-AU"/>
    </w:rPr>
  </w:style>
  <w:style w:type="character" w:customStyle="1" w:styleId="A5">
    <w:name w:val="A5"/>
    <w:uiPriority w:val="99"/>
    <w:rsid w:val="003420AE"/>
    <w:rPr>
      <w:rFonts w:cs="Swiss 721 BT"/>
      <w:color w:val="000000"/>
      <w:sz w:val="20"/>
      <w:szCs w:val="20"/>
    </w:rPr>
  </w:style>
  <w:style w:type="paragraph" w:customStyle="1" w:styleId="FooterOdd">
    <w:name w:val="Footer Odd"/>
    <w:basedOn w:val="Footer"/>
    <w:rsid w:val="003420AE"/>
    <w:pPr>
      <w:jc w:val="right"/>
    </w:pPr>
  </w:style>
  <w:style w:type="paragraph" w:customStyle="1" w:styleId="FooterEven">
    <w:name w:val="Footer Even"/>
    <w:basedOn w:val="Footer"/>
    <w:rsid w:val="003420AE"/>
  </w:style>
  <w:style w:type="paragraph" w:customStyle="1" w:styleId="Heading1NoTOC">
    <w:name w:val="Heading 1 No TOC"/>
    <w:basedOn w:val="Heading1NotNumbered"/>
    <w:qFormat/>
    <w:rsid w:val="00E15F1E"/>
    <w:pPr>
      <w:outlineLvl w:val="9"/>
    </w:pPr>
  </w:style>
  <w:style w:type="paragraph" w:customStyle="1" w:styleId="TableMainHeading">
    <w:name w:val="Table Main Heading"/>
    <w:basedOn w:val="HeadingBase"/>
    <w:next w:val="TableGraphic"/>
    <w:rsid w:val="006804CB"/>
    <w:pPr>
      <w:tabs>
        <w:tab w:val="left" w:pos="1134"/>
      </w:tabs>
      <w:spacing w:after="20"/>
    </w:pPr>
    <w:rPr>
      <w:b/>
      <w:sz w:val="22"/>
    </w:rPr>
  </w:style>
  <w:style w:type="paragraph" w:customStyle="1" w:styleId="TableColumnHeadingLeft">
    <w:name w:val="Table Column Heading Left"/>
    <w:basedOn w:val="TableTextBase"/>
    <w:qFormat/>
    <w:rsid w:val="0019629B"/>
    <w:pPr>
      <w:spacing w:before="80" w:after="80"/>
    </w:pPr>
    <w:rPr>
      <w:rFonts w:eastAsia="Calibri"/>
      <w:b/>
      <w:color w:val="FFFFFF" w:themeColor="background1"/>
      <w:sz w:val="20"/>
      <w:lang w:val="en-US"/>
    </w:rPr>
  </w:style>
  <w:style w:type="paragraph" w:customStyle="1" w:styleId="TableTextLeft">
    <w:name w:val="Table Text Left"/>
    <w:basedOn w:val="TableTextBase"/>
    <w:qFormat/>
    <w:rsid w:val="00637622"/>
    <w:pPr>
      <w:spacing w:before="80" w:after="80" w:line="240" w:lineRule="exact"/>
    </w:pPr>
    <w:rPr>
      <w:rFonts w:ascii="Helvetica" w:eastAsia="Calibri" w:hAnsi="Helvetica"/>
      <w:sz w:val="19"/>
      <w:szCs w:val="19"/>
    </w:rPr>
  </w:style>
  <w:style w:type="paragraph" w:customStyle="1" w:styleId="TableRowHeadingLeft">
    <w:name w:val="Table Row Heading Left"/>
    <w:basedOn w:val="Bullet"/>
    <w:qFormat/>
    <w:rsid w:val="00115B57"/>
    <w:pPr>
      <w:numPr>
        <w:numId w:val="0"/>
      </w:numPr>
      <w:spacing w:before="80" w:after="80" w:line="240" w:lineRule="exact"/>
      <w:jc w:val="left"/>
    </w:pPr>
    <w:rPr>
      <w:rFonts w:ascii="Helvetica" w:eastAsia="Calibri" w:hAnsi="Helvetica"/>
      <w:b/>
      <w:bCs/>
      <w:color w:val="000000" w:themeColor="text1" w:themeShade="BF"/>
      <w:sz w:val="19"/>
      <w:szCs w:val="19"/>
    </w:rPr>
  </w:style>
  <w:style w:type="paragraph" w:customStyle="1" w:styleId="BoxQuestions">
    <w:name w:val="Box Questions"/>
    <w:qFormat/>
    <w:rsid w:val="00115B57"/>
    <w:pPr>
      <w:numPr>
        <w:numId w:val="5"/>
      </w:numPr>
      <w:spacing w:before="120" w:after="120" w:line="300" w:lineRule="auto"/>
      <w:jc w:val="both"/>
    </w:pPr>
    <w:rPr>
      <w:rFonts w:ascii="Helvetica" w:hAnsi="Helvetica"/>
      <w:sz w:val="19"/>
      <w:szCs w:val="19"/>
    </w:rPr>
  </w:style>
  <w:style w:type="paragraph" w:customStyle="1" w:styleId="BoxQuestions-Heading">
    <w:name w:val="Box Questions - Heading"/>
    <w:basedOn w:val="OutlineNumbered1"/>
    <w:qFormat/>
    <w:rsid w:val="006D6F65"/>
    <w:pPr>
      <w:numPr>
        <w:numId w:val="0"/>
      </w:numPr>
      <w:spacing w:before="120" w:after="120" w:line="240" w:lineRule="auto"/>
    </w:pPr>
    <w:rPr>
      <w:rFonts w:ascii="Helvetica" w:hAnsi="Helvetica"/>
      <w:b/>
      <w:color w:val="1F497D" w:themeColor="text2"/>
    </w:rPr>
  </w:style>
  <w:style w:type="paragraph" w:customStyle="1" w:styleId="ChartMainHeading">
    <w:name w:val="Chart Main Heading"/>
    <w:basedOn w:val="HeadingBase"/>
    <w:next w:val="ChartGraphic"/>
    <w:rsid w:val="00057148"/>
    <w:pPr>
      <w:spacing w:after="60"/>
      <w:jc w:val="center"/>
    </w:pPr>
    <w:rPr>
      <w:b/>
      <w:sz w:val="22"/>
    </w:rPr>
  </w:style>
  <w:style w:type="paragraph" w:customStyle="1" w:styleId="ChartGraphic">
    <w:name w:val="Chart Graphic"/>
    <w:basedOn w:val="HeadingBase"/>
    <w:rsid w:val="003420AE"/>
    <w:pPr>
      <w:jc w:val="center"/>
    </w:pPr>
  </w:style>
  <w:style w:type="paragraph" w:customStyle="1" w:styleId="TableMainHeadingCont">
    <w:name w:val="Table Main Heading (Cont)"/>
    <w:basedOn w:val="TableMainHeading"/>
    <w:qFormat/>
    <w:rsid w:val="006B6BB2"/>
  </w:style>
  <w:style w:type="paragraph" w:customStyle="1" w:styleId="Box-Other-Text">
    <w:name w:val="Box - Other - Text"/>
    <w:basedOn w:val="Normal"/>
    <w:qFormat/>
    <w:rsid w:val="00043D2C"/>
    <w:pPr>
      <w:spacing w:after="120" w:line="240" w:lineRule="auto"/>
    </w:pPr>
  </w:style>
  <w:style w:type="paragraph" w:customStyle="1" w:styleId="Box-Other-Heading">
    <w:name w:val="Box - Other - Heading"/>
    <w:basedOn w:val="Box-Other-Text"/>
    <w:qFormat/>
    <w:rsid w:val="00227C14"/>
    <w:pPr>
      <w:spacing w:before="120"/>
    </w:pPr>
    <w:rPr>
      <w:b/>
      <w:color w:val="1F497D" w:themeColor="text2"/>
      <w:sz w:val="24"/>
    </w:rPr>
  </w:style>
  <w:style w:type="character" w:customStyle="1" w:styleId="Heading4Char">
    <w:name w:val="Heading 4 Char"/>
    <w:basedOn w:val="DefaultParagraphFont"/>
    <w:link w:val="Heading4"/>
    <w:rsid w:val="006D6F65"/>
    <w:rPr>
      <w:rFonts w:ascii="Century Gothic" w:eastAsia="Times New Roman" w:hAnsi="Century Gothic" w:cs="Times New Roman"/>
      <w:b/>
      <w:bCs/>
      <w:i/>
      <w:color w:val="1F497D" w:themeColor="text2"/>
      <w:sz w:val="21"/>
      <w:szCs w:val="21"/>
      <w:lang w:eastAsia="en-AU"/>
    </w:rPr>
  </w:style>
  <w:style w:type="paragraph" w:customStyle="1" w:styleId="FigureGraphic">
    <w:name w:val="Figure Graphic"/>
    <w:basedOn w:val="Bullet"/>
    <w:qFormat/>
    <w:rsid w:val="009C2274"/>
    <w:pPr>
      <w:numPr>
        <w:numId w:val="0"/>
      </w:numPr>
      <w:spacing w:after="120"/>
      <w:jc w:val="center"/>
    </w:pPr>
    <w:rPr>
      <w:noProof/>
    </w:rPr>
  </w:style>
  <w:style w:type="paragraph" w:customStyle="1" w:styleId="Box-Other-Bullets">
    <w:name w:val="Box - Other - Bullets"/>
    <w:basedOn w:val="TableTexLeft-Bullets"/>
    <w:qFormat/>
    <w:rsid w:val="00C74DAA"/>
  </w:style>
  <w:style w:type="paragraph" w:customStyle="1" w:styleId="FigureHeading">
    <w:name w:val="Figure Heading"/>
    <w:basedOn w:val="ChartMainHeading"/>
    <w:qFormat/>
    <w:rsid w:val="00512123"/>
  </w:style>
  <w:style w:type="paragraph" w:customStyle="1" w:styleId="ChartorTableNote">
    <w:name w:val="Chart or Table Note"/>
    <w:next w:val="Normal"/>
    <w:rsid w:val="003420AE"/>
    <w:pPr>
      <w:spacing w:after="0" w:line="240" w:lineRule="auto"/>
      <w:jc w:val="both"/>
    </w:pPr>
    <w:rPr>
      <w:rFonts w:ascii="Arial" w:eastAsia="Times New Roman" w:hAnsi="Arial" w:cs="Times New Roman"/>
      <w:color w:val="000000"/>
      <w:sz w:val="16"/>
      <w:szCs w:val="20"/>
      <w:lang w:eastAsia="en-AU"/>
    </w:rPr>
  </w:style>
  <w:style w:type="paragraph" w:customStyle="1" w:styleId="AttachmentHeading">
    <w:name w:val="Attachment Heading"/>
    <w:basedOn w:val="Heading1"/>
    <w:qFormat/>
    <w:rsid w:val="009C2C57"/>
    <w:pPr>
      <w:tabs>
        <w:tab w:val="left" w:pos="2892"/>
      </w:tabs>
      <w:ind w:left="2892" w:hanging="2892"/>
    </w:pPr>
  </w:style>
  <w:style w:type="paragraph" w:customStyle="1" w:styleId="TableTextLeft-AlphaNumbering">
    <w:name w:val="Table Text Left - Alpha Numbering"/>
    <w:basedOn w:val="TableTextLeft"/>
    <w:qFormat/>
    <w:rsid w:val="003943C6"/>
    <w:pPr>
      <w:numPr>
        <w:numId w:val="3"/>
      </w:numPr>
    </w:pPr>
  </w:style>
  <w:style w:type="paragraph" w:customStyle="1" w:styleId="TableTextCentre">
    <w:name w:val="Table Text Centre"/>
    <w:basedOn w:val="TableTextLeft"/>
    <w:qFormat/>
    <w:rsid w:val="00F5583F"/>
    <w:pPr>
      <w:jc w:val="center"/>
    </w:pPr>
  </w:style>
  <w:style w:type="paragraph" w:customStyle="1" w:styleId="TableColumnHeadingCentred">
    <w:name w:val="Table Column Heading Centred"/>
    <w:basedOn w:val="TableTextBase"/>
    <w:rsid w:val="003420AE"/>
    <w:pPr>
      <w:jc w:val="center"/>
    </w:pPr>
    <w:rPr>
      <w:b/>
    </w:rPr>
  </w:style>
  <w:style w:type="paragraph" w:customStyle="1" w:styleId="SingleParagraphDouble">
    <w:name w:val="Single Paragraph Double"/>
    <w:basedOn w:val="SingleParagraph"/>
    <w:qFormat/>
    <w:rsid w:val="00727215"/>
    <w:rPr>
      <w:sz w:val="44"/>
      <w:szCs w:val="40"/>
    </w:rPr>
  </w:style>
  <w:style w:type="paragraph" w:customStyle="1" w:styleId="TableTexLeft-Bullets">
    <w:name w:val="Table Tex Left - Bullets"/>
    <w:basedOn w:val="Bullet"/>
    <w:qFormat/>
    <w:rsid w:val="00F633CF"/>
    <w:pPr>
      <w:tabs>
        <w:tab w:val="clear" w:pos="425"/>
        <w:tab w:val="left" w:pos="319"/>
      </w:tabs>
      <w:spacing w:before="80" w:after="80" w:line="240" w:lineRule="exact"/>
      <w:ind w:left="318" w:hanging="318"/>
      <w:jc w:val="left"/>
    </w:pPr>
    <w:rPr>
      <w:rFonts w:ascii="Helvetica" w:eastAsia="Calibri" w:hAnsi="Helvetica"/>
      <w:color w:val="000000" w:themeColor="text1" w:themeShade="BF"/>
      <w:sz w:val="19"/>
      <w:szCs w:val="19"/>
    </w:rPr>
  </w:style>
  <w:style w:type="paragraph" w:customStyle="1" w:styleId="TableColumnSubHeadingLeft">
    <w:name w:val="Table Column Sub Heading Left"/>
    <w:basedOn w:val="TableColumnHeadingLeft"/>
    <w:qFormat/>
    <w:rsid w:val="009D0244"/>
    <w:rPr>
      <w:b w:val="0"/>
      <w:sz w:val="24"/>
      <w:szCs w:val="24"/>
    </w:rPr>
  </w:style>
  <w:style w:type="paragraph" w:customStyle="1" w:styleId="TableTextLeft-Dash">
    <w:name w:val="Table Text Left - Dash"/>
    <w:basedOn w:val="Dash"/>
    <w:qFormat/>
    <w:rsid w:val="00D9608F"/>
    <w:pPr>
      <w:numPr>
        <w:numId w:val="4"/>
      </w:numPr>
      <w:spacing w:before="80" w:after="80" w:line="240" w:lineRule="auto"/>
      <w:ind w:left="794" w:hanging="397"/>
    </w:pPr>
    <w:rPr>
      <w:color w:val="000000" w:themeColor="text1" w:themeShade="BF"/>
    </w:rPr>
  </w:style>
  <w:style w:type="paragraph" w:customStyle="1" w:styleId="HeaderEven">
    <w:name w:val="Header Even"/>
    <w:basedOn w:val="Header"/>
    <w:rsid w:val="003420AE"/>
  </w:style>
  <w:style w:type="paragraph" w:customStyle="1" w:styleId="HeaderOdd">
    <w:name w:val="Header Odd"/>
    <w:basedOn w:val="Header"/>
    <w:rsid w:val="003420AE"/>
    <w:pPr>
      <w:jc w:val="right"/>
    </w:pPr>
  </w:style>
  <w:style w:type="paragraph" w:customStyle="1" w:styleId="Default">
    <w:name w:val="Default"/>
    <w:rsid w:val="00EB1840"/>
    <w:pPr>
      <w:autoSpaceDE w:val="0"/>
      <w:autoSpaceDN w:val="0"/>
      <w:adjustRightInd w:val="0"/>
      <w:spacing w:after="0" w:line="240" w:lineRule="auto"/>
    </w:pPr>
    <w:rPr>
      <w:rFonts w:ascii="Calibri" w:hAnsi="Calibri" w:cs="Calibri"/>
      <w:color w:val="000000"/>
      <w:sz w:val="24"/>
      <w:szCs w:val="24"/>
    </w:rPr>
  </w:style>
  <w:style w:type="table" w:customStyle="1" w:styleId="Style1">
    <w:name w:val="Style1"/>
    <w:basedOn w:val="TableNormal"/>
    <w:uiPriority w:val="99"/>
    <w:rsid w:val="008514CD"/>
    <w:pPr>
      <w:spacing w:after="0" w:line="240" w:lineRule="auto"/>
    </w:pPr>
    <w:tblPr>
      <w:tblBorders>
        <w:top w:val="single" w:sz="4" w:space="0" w:color="auto"/>
        <w:bottom w:val="single" w:sz="4" w:space="0" w:color="auto"/>
      </w:tblBorders>
    </w:tblPr>
    <w:tcPr>
      <w:shd w:val="clear" w:color="auto" w:fill="auto"/>
    </w:tcPr>
  </w:style>
  <w:style w:type="paragraph" w:customStyle="1" w:styleId="SinglePara">
    <w:name w:val="Single Para"/>
    <w:basedOn w:val="Normal"/>
    <w:rsid w:val="00371D18"/>
    <w:pPr>
      <w:spacing w:after="0" w:line="240" w:lineRule="auto"/>
    </w:pPr>
    <w:rPr>
      <w:rFonts w:ascii="Times New Roman" w:hAnsi="Times New Roman"/>
      <w:sz w:val="20"/>
    </w:rPr>
  </w:style>
  <w:style w:type="table" w:styleId="MediumShading1">
    <w:name w:val="Medium Shading 1"/>
    <w:basedOn w:val="TableNormal"/>
    <w:uiPriority w:val="63"/>
    <w:rsid w:val="00384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
    <w:name w:val="Medium Grid 3"/>
    <w:basedOn w:val="TableNormal"/>
    <w:uiPriority w:val="69"/>
    <w:rsid w:val="00384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CRISbody">
    <w:name w:val="CRIS body"/>
    <w:basedOn w:val="Normal"/>
    <w:qFormat/>
    <w:rsid w:val="00C54F85"/>
    <w:pPr>
      <w:widowControl w:val="0"/>
      <w:autoSpaceDE w:val="0"/>
      <w:autoSpaceDN w:val="0"/>
      <w:adjustRightInd w:val="0"/>
    </w:pPr>
    <w:rPr>
      <w:rFonts w:eastAsia="SimSun"/>
      <w:iCs/>
      <w:sz w:val="24"/>
      <w:szCs w:val="24"/>
    </w:rPr>
  </w:style>
  <w:style w:type="character" w:customStyle="1" w:styleId="plaintextparagraph2">
    <w:name w:val="plaintextparagraph2"/>
    <w:basedOn w:val="DefaultParagraphFont"/>
    <w:rsid w:val="000746AD"/>
    <w:rPr>
      <w:rFonts w:ascii="Arial" w:hAnsi="Arial" w:cs="Arial" w:hint="default"/>
      <w:b w:val="0"/>
      <w:bCs w:val="0"/>
      <w:caps w:val="0"/>
      <w:color w:val="000000"/>
      <w:sz w:val="18"/>
      <w:szCs w:val="18"/>
      <w:bdr w:val="none" w:sz="0" w:space="0" w:color="auto" w:frame="1"/>
    </w:rPr>
  </w:style>
  <w:style w:type="paragraph" w:customStyle="1" w:styleId="BodyTextCabNumbered">
    <w:name w:val="Body Text Cab Numbered"/>
    <w:basedOn w:val="BodyText"/>
    <w:link w:val="BodyTextCabNumberedChar"/>
    <w:uiPriority w:val="98"/>
    <w:rsid w:val="00E9028C"/>
    <w:pPr>
      <w:numPr>
        <w:numId w:val="0"/>
      </w:numPr>
      <w:tabs>
        <w:tab w:val="num" w:pos="142"/>
        <w:tab w:val="left" w:pos="567"/>
      </w:tabs>
      <w:spacing w:before="120" w:line="240" w:lineRule="auto"/>
      <w:ind w:left="142"/>
    </w:pPr>
    <w:rPr>
      <w:rFonts w:ascii="Arial" w:eastAsiaTheme="minorHAnsi" w:hAnsi="Arial" w:cstheme="minorBidi"/>
      <w:lang w:eastAsia="en-US"/>
    </w:rPr>
  </w:style>
  <w:style w:type="character" w:customStyle="1" w:styleId="BodyTextCabNumberedChar">
    <w:name w:val="Body Text Cab Numbered Char"/>
    <w:basedOn w:val="DefaultParagraphFont"/>
    <w:link w:val="BodyTextCabNumbered"/>
    <w:uiPriority w:val="98"/>
    <w:rsid w:val="00E9028C"/>
    <w:rPr>
      <w:rFonts w:ascii="Arial" w:hAnsi="Arial"/>
    </w:rPr>
  </w:style>
  <w:style w:type="character" w:customStyle="1" w:styleId="Heading5Char">
    <w:name w:val="Heading 5 Char"/>
    <w:basedOn w:val="DefaultParagraphFont"/>
    <w:link w:val="Heading5"/>
    <w:rsid w:val="00530271"/>
    <w:rPr>
      <w:rFonts w:ascii="Century Gothic" w:eastAsia="Times New Roman" w:hAnsi="Century Gothic" w:cs="Times New Roman"/>
      <w:b/>
      <w:bCs/>
      <w:iCs/>
      <w:color w:val="1F497D" w:themeColor="text2"/>
      <w:sz w:val="20"/>
      <w:szCs w:val="20"/>
      <w:lang w:eastAsia="en-AU"/>
    </w:rPr>
  </w:style>
  <w:style w:type="table" w:styleId="MediumList1">
    <w:name w:val="Medium List 1"/>
    <w:basedOn w:val="TableNormal"/>
    <w:uiPriority w:val="65"/>
    <w:rsid w:val="002E42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J-Table">
    <w:name w:val="J-Table"/>
    <w:basedOn w:val="Style1"/>
    <w:uiPriority w:val="99"/>
    <w:rsid w:val="005956BB"/>
    <w:tblPr/>
    <w:tcPr>
      <w:shd w:val="clear" w:color="auto" w:fill="auto"/>
    </w:tcPr>
  </w:style>
  <w:style w:type="character" w:styleId="FollowedHyperlink">
    <w:name w:val="FollowedHyperlink"/>
    <w:basedOn w:val="DefaultParagraphFont"/>
    <w:rsid w:val="003420AE"/>
    <w:rPr>
      <w:color w:val="auto"/>
      <w:u w:val="none"/>
    </w:rPr>
  </w:style>
  <w:style w:type="character" w:customStyle="1" w:styleId="ListParagraphChar">
    <w:name w:val="List Paragraph Char"/>
    <w:aliases w:val="List Bullet Cab Char"/>
    <w:basedOn w:val="DefaultParagraphFont"/>
    <w:link w:val="ListParagraph"/>
    <w:uiPriority w:val="34"/>
    <w:rsid w:val="00252C0A"/>
  </w:style>
  <w:style w:type="table" w:styleId="LightShading-Accent1">
    <w:name w:val="Light Shading Accent 1"/>
    <w:basedOn w:val="TableNormal"/>
    <w:uiPriority w:val="60"/>
    <w:rsid w:val="008A462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ABNETParagraphAtt">
    <w:name w:val="CABNET Paragraph Att"/>
    <w:basedOn w:val="Normal"/>
    <w:link w:val="CABNETParagraphAttChar"/>
    <w:qFormat/>
    <w:rsid w:val="005F2438"/>
    <w:pPr>
      <w:spacing w:before="120" w:after="120" w:line="240" w:lineRule="auto"/>
    </w:pPr>
    <w:rPr>
      <w:rFonts w:ascii="Arial" w:hAnsi="Arial"/>
      <w:szCs w:val="24"/>
    </w:rPr>
  </w:style>
  <w:style w:type="character" w:customStyle="1" w:styleId="CABNETParagraphAttChar">
    <w:name w:val="CABNET Paragraph Att Char"/>
    <w:link w:val="CABNETParagraphAtt"/>
    <w:rsid w:val="005F2438"/>
    <w:rPr>
      <w:rFonts w:ascii="Arial" w:eastAsia="Times New Roman" w:hAnsi="Arial" w:cs="Times New Roman"/>
      <w:szCs w:val="24"/>
      <w:lang w:eastAsia="en-AU"/>
    </w:rPr>
  </w:style>
  <w:style w:type="numbering" w:customStyle="1" w:styleId="Bulletlist">
    <w:name w:val="Bullet list"/>
    <w:uiPriority w:val="99"/>
    <w:rsid w:val="005F2438"/>
    <w:pPr>
      <w:numPr>
        <w:numId w:val="6"/>
      </w:numPr>
    </w:pPr>
  </w:style>
  <w:style w:type="paragraph" w:customStyle="1" w:styleId="Bullet2">
    <w:name w:val="Bullet 2"/>
    <w:basedOn w:val="Normal"/>
    <w:qFormat/>
    <w:rsid w:val="005F2438"/>
    <w:pPr>
      <w:tabs>
        <w:tab w:val="left" w:pos="284"/>
        <w:tab w:val="num" w:pos="568"/>
      </w:tabs>
      <w:spacing w:after="120" w:line="240" w:lineRule="auto"/>
      <w:ind w:left="568" w:hanging="284"/>
    </w:pPr>
    <w:rPr>
      <w:rFonts w:eastAsia="Calibri"/>
    </w:rPr>
  </w:style>
  <w:style w:type="paragraph" w:customStyle="1" w:styleId="Bullet3">
    <w:name w:val="Bullet 3"/>
    <w:basedOn w:val="Normal"/>
    <w:qFormat/>
    <w:rsid w:val="005F2438"/>
    <w:pPr>
      <w:tabs>
        <w:tab w:val="left" w:pos="284"/>
        <w:tab w:val="num" w:pos="852"/>
      </w:tabs>
      <w:spacing w:after="120" w:line="240" w:lineRule="auto"/>
      <w:ind w:left="852" w:hanging="284"/>
    </w:pPr>
    <w:rPr>
      <w:rFonts w:eastAsia="Calibri"/>
    </w:rPr>
  </w:style>
  <w:style w:type="character" w:styleId="Emphasis">
    <w:name w:val="Emphasis"/>
    <w:basedOn w:val="DefaultParagraphFont"/>
    <w:uiPriority w:val="20"/>
    <w:qFormat/>
    <w:rsid w:val="0006685D"/>
    <w:rPr>
      <w:i/>
      <w:iCs/>
    </w:rPr>
  </w:style>
  <w:style w:type="paragraph" w:styleId="Caption">
    <w:name w:val="caption"/>
    <w:basedOn w:val="Normal"/>
    <w:next w:val="Normal"/>
    <w:uiPriority w:val="35"/>
    <w:unhideWhenUsed/>
    <w:qFormat/>
    <w:rsid w:val="00B55D6D"/>
    <w:pPr>
      <w:spacing w:line="240" w:lineRule="auto"/>
    </w:pPr>
    <w:rPr>
      <w:b/>
      <w:bCs/>
      <w:color w:val="4F81BD" w:themeColor="accent1"/>
      <w:sz w:val="18"/>
      <w:szCs w:val="18"/>
    </w:rPr>
  </w:style>
  <w:style w:type="character" w:customStyle="1" w:styleId="Heading6Char">
    <w:name w:val="Heading 6 Char"/>
    <w:basedOn w:val="DefaultParagraphFont"/>
    <w:link w:val="Heading6"/>
    <w:rsid w:val="003420AE"/>
    <w:rPr>
      <w:rFonts w:ascii="Century Gothic" w:eastAsia="Times New Roman" w:hAnsi="Century Gothic" w:cs="Times New Roman"/>
      <w:bCs/>
      <w:color w:val="1F497D" w:themeColor="text2"/>
      <w:sz w:val="20"/>
      <w:lang w:eastAsia="en-AU"/>
    </w:rPr>
  </w:style>
  <w:style w:type="character" w:customStyle="1" w:styleId="Heading7Char">
    <w:name w:val="Heading 7 Char"/>
    <w:basedOn w:val="DefaultParagraphFont"/>
    <w:link w:val="Heading7"/>
    <w:rsid w:val="003420AE"/>
    <w:rPr>
      <w:rFonts w:ascii="Century Gothic" w:eastAsia="Times New Roman" w:hAnsi="Century Gothic" w:cs="Times New Roman"/>
      <w:color w:val="1F497D" w:themeColor="text2"/>
      <w:sz w:val="20"/>
      <w:szCs w:val="24"/>
      <w:lang w:eastAsia="en-AU"/>
    </w:rPr>
  </w:style>
  <w:style w:type="character" w:customStyle="1" w:styleId="Heading8Char">
    <w:name w:val="Heading 8 Char"/>
    <w:basedOn w:val="DefaultParagraphFont"/>
    <w:link w:val="Heading8"/>
    <w:rsid w:val="003420AE"/>
    <w:rPr>
      <w:rFonts w:ascii="Century Gothic" w:eastAsia="Times New Roman" w:hAnsi="Century Gothic" w:cs="Times New Roman"/>
      <w:iCs/>
      <w:color w:val="1F497D" w:themeColor="text2"/>
      <w:sz w:val="20"/>
      <w:szCs w:val="24"/>
      <w:lang w:eastAsia="en-AU"/>
    </w:rPr>
  </w:style>
  <w:style w:type="character" w:customStyle="1" w:styleId="Heading9Char">
    <w:name w:val="Heading 9 Char"/>
    <w:basedOn w:val="DefaultParagraphFont"/>
    <w:link w:val="Heading9"/>
    <w:rsid w:val="003420AE"/>
    <w:rPr>
      <w:rFonts w:ascii="Century Gothic" w:eastAsia="Times New Roman" w:hAnsi="Century Gothic" w:cs="Arial"/>
      <w:color w:val="1F497D" w:themeColor="text2"/>
      <w:sz w:val="20"/>
      <w:lang w:eastAsia="en-AU"/>
    </w:rPr>
  </w:style>
  <w:style w:type="character" w:customStyle="1" w:styleId="BoldandItalic">
    <w:name w:val="Bold and Italic"/>
    <w:basedOn w:val="DefaultParagraphFont"/>
    <w:rsid w:val="003420AE"/>
    <w:rPr>
      <w:rFonts w:ascii="Arial" w:hAnsi="Arial"/>
      <w:b/>
      <w:i/>
    </w:rPr>
  </w:style>
  <w:style w:type="character" w:styleId="PageNumber">
    <w:name w:val="page number"/>
    <w:basedOn w:val="DefaultParagraphFont"/>
    <w:rsid w:val="003420AE"/>
    <w:rPr>
      <w:rFonts w:ascii="Book Antiqua" w:hAnsi="Book Antiqua"/>
      <w:sz w:val="18"/>
    </w:rPr>
  </w:style>
  <w:style w:type="paragraph" w:customStyle="1" w:styleId="AlphaParagraph">
    <w:name w:val="Alpha Paragraph"/>
    <w:basedOn w:val="Normal"/>
    <w:rsid w:val="003420AE"/>
    <w:pPr>
      <w:numPr>
        <w:numId w:val="8"/>
      </w:numPr>
      <w:tabs>
        <w:tab w:val="clear" w:pos="567"/>
        <w:tab w:val="num" w:pos="283"/>
      </w:tabs>
      <w:ind w:left="283" w:hanging="283"/>
    </w:pPr>
  </w:style>
  <w:style w:type="paragraph" w:customStyle="1" w:styleId="HeadingBase">
    <w:name w:val="Heading Base"/>
    <w:next w:val="Normal"/>
    <w:rsid w:val="003420AE"/>
    <w:pPr>
      <w:keepNext/>
      <w:spacing w:after="0" w:line="240" w:lineRule="auto"/>
    </w:pPr>
    <w:rPr>
      <w:rFonts w:ascii="Century Gothic" w:eastAsia="Times New Roman" w:hAnsi="Century Gothic" w:cs="Times New Roman"/>
      <w:color w:val="1F497D" w:themeColor="text2"/>
      <w:sz w:val="20"/>
      <w:szCs w:val="20"/>
      <w:lang w:eastAsia="en-AU"/>
    </w:rPr>
  </w:style>
  <w:style w:type="paragraph" w:customStyle="1" w:styleId="AppendixHeading">
    <w:name w:val="Appendix Heading"/>
    <w:basedOn w:val="HeadingBase"/>
    <w:next w:val="Normal"/>
    <w:rsid w:val="003420AE"/>
    <w:pPr>
      <w:spacing w:before="720" w:after="360"/>
    </w:pPr>
    <w:rPr>
      <w:rFonts w:ascii="Arial Bold" w:hAnsi="Arial Bold"/>
      <w:b/>
      <w:smallCaps/>
      <w:sz w:val="36"/>
      <w:szCs w:val="36"/>
    </w:rPr>
  </w:style>
  <w:style w:type="character" w:customStyle="1" w:styleId="Bold">
    <w:name w:val="Bold"/>
    <w:basedOn w:val="DefaultParagraphFont"/>
    <w:rsid w:val="003420AE"/>
    <w:rPr>
      <w:b/>
    </w:rPr>
  </w:style>
  <w:style w:type="paragraph" w:customStyle="1" w:styleId="BoxHeading">
    <w:name w:val="Box Heading"/>
    <w:basedOn w:val="HeadingBase"/>
    <w:next w:val="BoxText"/>
    <w:rsid w:val="003420AE"/>
    <w:pPr>
      <w:numPr>
        <w:numId w:val="16"/>
      </w:numPr>
      <w:spacing w:before="120" w:after="120"/>
    </w:pPr>
    <w:rPr>
      <w:b/>
      <w:sz w:val="22"/>
    </w:rPr>
  </w:style>
  <w:style w:type="paragraph" w:customStyle="1" w:styleId="BoxTextBase">
    <w:name w:val="Box Text Base"/>
    <w:basedOn w:val="Normal"/>
    <w:rsid w:val="003420AE"/>
    <w:pPr>
      <w:spacing w:line="240" w:lineRule="auto"/>
    </w:pPr>
    <w:rPr>
      <w:color w:val="000080"/>
    </w:rPr>
  </w:style>
  <w:style w:type="paragraph" w:customStyle="1" w:styleId="ChartandTableFootnoteAlpha">
    <w:name w:val="Chart and Table Footnote Alpha"/>
    <w:rsid w:val="003420AE"/>
    <w:pPr>
      <w:numPr>
        <w:numId w:val="9"/>
      </w:numPr>
      <w:spacing w:after="0" w:line="240" w:lineRule="auto"/>
      <w:jc w:val="both"/>
    </w:pPr>
    <w:rPr>
      <w:rFonts w:ascii="Arial" w:eastAsia="Times New Roman" w:hAnsi="Arial" w:cs="Times New Roman"/>
      <w:color w:val="000000"/>
      <w:sz w:val="16"/>
      <w:szCs w:val="16"/>
      <w:lang w:eastAsia="en-AU"/>
    </w:rPr>
  </w:style>
  <w:style w:type="paragraph" w:customStyle="1" w:styleId="ChartSecondHeading">
    <w:name w:val="Chart Second Heading"/>
    <w:basedOn w:val="HeadingBase"/>
    <w:next w:val="ChartGraphic"/>
    <w:rsid w:val="003420AE"/>
    <w:pPr>
      <w:spacing w:after="20"/>
      <w:jc w:val="center"/>
    </w:pPr>
  </w:style>
  <w:style w:type="paragraph" w:customStyle="1" w:styleId="Classification">
    <w:name w:val="Classification"/>
    <w:basedOn w:val="HeadingBase"/>
    <w:next w:val="Footer"/>
    <w:rsid w:val="003420AE"/>
    <w:pPr>
      <w:spacing w:after="120"/>
      <w:jc w:val="center"/>
    </w:pPr>
    <w:rPr>
      <w:b/>
      <w:smallCaps/>
    </w:rPr>
  </w:style>
  <w:style w:type="paragraph" w:customStyle="1" w:styleId="ContentsHeading">
    <w:name w:val="Contents Heading"/>
    <w:basedOn w:val="HeadingBase"/>
    <w:next w:val="Normal"/>
    <w:rsid w:val="00F21DD0"/>
    <w:pPr>
      <w:pBdr>
        <w:bottom w:val="single" w:sz="4" w:space="12" w:color="1F497D" w:themeColor="text2"/>
      </w:pBdr>
      <w:spacing w:after="360"/>
      <w:jc w:val="center"/>
    </w:pPr>
    <w:rPr>
      <w:b/>
      <w:smallCaps/>
      <w:sz w:val="36"/>
      <w:szCs w:val="36"/>
    </w:rPr>
  </w:style>
  <w:style w:type="paragraph" w:customStyle="1" w:styleId="FooterCentered">
    <w:name w:val="Footer Centered"/>
    <w:basedOn w:val="Footer"/>
    <w:rsid w:val="003420AE"/>
    <w:pPr>
      <w:jc w:val="center"/>
    </w:pPr>
    <w:rPr>
      <w:rFonts w:ascii="Book Antiqua" w:hAnsi="Book Antiqua"/>
      <w:sz w:val="22"/>
    </w:rPr>
  </w:style>
  <w:style w:type="character" w:customStyle="1" w:styleId="FramedFooter">
    <w:name w:val="Framed Footer"/>
    <w:rsid w:val="003420AE"/>
    <w:rPr>
      <w:rFonts w:ascii="Arial" w:hAnsi="Arial"/>
      <w:sz w:val="18"/>
    </w:rPr>
  </w:style>
  <w:style w:type="character" w:customStyle="1" w:styleId="FramedHeader">
    <w:name w:val="Framed Header"/>
    <w:basedOn w:val="DefaultParagraphFont"/>
    <w:rsid w:val="003420AE"/>
    <w:rPr>
      <w:rFonts w:ascii="Arial" w:hAnsi="Arial"/>
      <w:dstrike w:val="0"/>
      <w:color w:val="auto"/>
      <w:sz w:val="18"/>
      <w:vertAlign w:val="baseline"/>
    </w:rPr>
  </w:style>
  <w:style w:type="paragraph" w:styleId="NormalIndent">
    <w:name w:val="Normal Indent"/>
    <w:basedOn w:val="Normal"/>
    <w:rsid w:val="0021601B"/>
    <w:pPr>
      <w:ind w:left="851"/>
    </w:pPr>
  </w:style>
  <w:style w:type="paragraph" w:customStyle="1" w:styleId="RecommendationHeading">
    <w:name w:val="Recommendation Heading"/>
    <w:basedOn w:val="HeadingBase"/>
    <w:next w:val="RecommendationText"/>
    <w:rsid w:val="003420AE"/>
    <w:pPr>
      <w:numPr>
        <w:numId w:val="13"/>
      </w:numPr>
      <w:spacing w:before="120" w:after="240"/>
    </w:pPr>
    <w:rPr>
      <w:b/>
      <w:sz w:val="22"/>
    </w:rPr>
  </w:style>
  <w:style w:type="paragraph" w:customStyle="1" w:styleId="RecommendationTextBase">
    <w:name w:val="Recommendation Text Base"/>
    <w:basedOn w:val="Normal"/>
    <w:rsid w:val="003420AE"/>
  </w:style>
  <w:style w:type="paragraph" w:customStyle="1" w:styleId="RecommendationText">
    <w:name w:val="Recommendation Text"/>
    <w:basedOn w:val="RecommendationTextBase"/>
    <w:rsid w:val="003420AE"/>
  </w:style>
  <w:style w:type="paragraph" w:customStyle="1" w:styleId="TableTextBase">
    <w:name w:val="Table Text Base"/>
    <w:rsid w:val="003420AE"/>
    <w:pPr>
      <w:spacing w:before="40" w:after="40" w:line="240" w:lineRule="auto"/>
    </w:pPr>
    <w:rPr>
      <w:rFonts w:ascii="Arial" w:eastAsia="Times New Roman" w:hAnsi="Arial" w:cs="Times New Roman"/>
      <w:color w:val="000000"/>
      <w:sz w:val="16"/>
      <w:szCs w:val="20"/>
      <w:lang w:eastAsia="en-AU"/>
    </w:rPr>
  </w:style>
  <w:style w:type="paragraph" w:customStyle="1" w:styleId="TableColumnHeadingRight">
    <w:name w:val="Table Column Heading Right"/>
    <w:basedOn w:val="TableTextBase"/>
    <w:rsid w:val="003420AE"/>
    <w:pPr>
      <w:jc w:val="right"/>
    </w:pPr>
    <w:rPr>
      <w:b/>
    </w:rPr>
  </w:style>
  <w:style w:type="paragraph" w:customStyle="1" w:styleId="TableGraphic">
    <w:name w:val="Table Graphic"/>
    <w:basedOn w:val="HeadingBase"/>
    <w:next w:val="Normal"/>
    <w:rsid w:val="003420AE"/>
  </w:style>
  <w:style w:type="paragraph" w:customStyle="1" w:styleId="TableMainHeadingContd">
    <w:name w:val="Table Main Heading Contd"/>
    <w:basedOn w:val="HeadingBase"/>
    <w:next w:val="TableGraphic"/>
    <w:rsid w:val="003420AE"/>
    <w:pPr>
      <w:spacing w:after="20"/>
    </w:pPr>
    <w:rPr>
      <w:b/>
      <w:sz w:val="22"/>
    </w:rPr>
  </w:style>
  <w:style w:type="paragraph" w:customStyle="1" w:styleId="TableSecondHeading">
    <w:name w:val="Table Second Heading"/>
    <w:basedOn w:val="HeadingBase"/>
    <w:next w:val="TableGraphic"/>
    <w:rsid w:val="003420AE"/>
    <w:pPr>
      <w:spacing w:after="20"/>
    </w:pPr>
  </w:style>
  <w:style w:type="paragraph" w:customStyle="1" w:styleId="TableTextCentered">
    <w:name w:val="Table Text Centered"/>
    <w:basedOn w:val="TableTextBase"/>
    <w:rsid w:val="003420AE"/>
    <w:pPr>
      <w:jc w:val="center"/>
    </w:pPr>
  </w:style>
  <w:style w:type="paragraph" w:customStyle="1" w:styleId="TableTextIndented">
    <w:name w:val="Table Text Indented"/>
    <w:basedOn w:val="TableTextBase"/>
    <w:rsid w:val="00673E48"/>
    <w:pPr>
      <w:spacing w:before="80" w:after="80" w:line="240" w:lineRule="exact"/>
      <w:ind w:left="397"/>
    </w:pPr>
    <w:rPr>
      <w:rFonts w:ascii="Helvetica" w:hAnsi="Helvetica"/>
      <w:sz w:val="19"/>
    </w:rPr>
  </w:style>
  <w:style w:type="paragraph" w:customStyle="1" w:styleId="TableTextRight">
    <w:name w:val="Table Text Right"/>
    <w:basedOn w:val="TableTextBase"/>
    <w:rsid w:val="003420AE"/>
    <w:pPr>
      <w:jc w:val="right"/>
    </w:pPr>
  </w:style>
  <w:style w:type="paragraph" w:styleId="TOC4">
    <w:name w:val="toc 4"/>
    <w:basedOn w:val="Normal"/>
    <w:next w:val="Normal"/>
    <w:rsid w:val="003420AE"/>
    <w:pPr>
      <w:tabs>
        <w:tab w:val="right" w:leader="dot" w:pos="9072"/>
      </w:tabs>
      <w:spacing w:after="0" w:line="240" w:lineRule="auto"/>
      <w:ind w:left="284" w:right="851"/>
    </w:pPr>
  </w:style>
  <w:style w:type="character" w:customStyle="1" w:styleId="italic">
    <w:name w:val="italic"/>
    <w:basedOn w:val="DefaultParagraphFont"/>
    <w:rsid w:val="003420AE"/>
    <w:rPr>
      <w:i/>
    </w:rPr>
  </w:style>
  <w:style w:type="paragraph" w:customStyle="1" w:styleId="OneLevelNumberedParagraph">
    <w:name w:val="One Level Numbered Paragraph"/>
    <w:basedOn w:val="Normal"/>
    <w:rsid w:val="003420AE"/>
    <w:pPr>
      <w:numPr>
        <w:numId w:val="11"/>
      </w:numPr>
    </w:pPr>
  </w:style>
  <w:style w:type="paragraph" w:customStyle="1" w:styleId="BoxText">
    <w:name w:val="Box Text"/>
    <w:basedOn w:val="BoxTextBase"/>
    <w:rsid w:val="00115B57"/>
    <w:pPr>
      <w:spacing w:before="120" w:after="120" w:line="300" w:lineRule="auto"/>
      <w:ind w:left="425"/>
    </w:pPr>
    <w:rPr>
      <w:rFonts w:ascii="Helvetica" w:hAnsi="Helvetica"/>
      <w:color w:val="auto"/>
      <w:sz w:val="20"/>
    </w:rPr>
  </w:style>
  <w:style w:type="paragraph" w:customStyle="1" w:styleId="BoxBullet">
    <w:name w:val="Box Bullet"/>
    <w:basedOn w:val="BoxTextBase"/>
    <w:rsid w:val="00E57739"/>
    <w:pPr>
      <w:numPr>
        <w:numId w:val="10"/>
      </w:numPr>
      <w:tabs>
        <w:tab w:val="clear" w:pos="283"/>
        <w:tab w:val="num" w:pos="851"/>
      </w:tabs>
      <w:spacing w:before="120" w:after="120" w:line="300" w:lineRule="auto"/>
      <w:ind w:left="851" w:hanging="425"/>
    </w:pPr>
    <w:rPr>
      <w:rFonts w:ascii="Helvetica" w:hAnsi="Helvetica"/>
      <w:color w:val="auto"/>
      <w:sz w:val="20"/>
    </w:rPr>
  </w:style>
  <w:style w:type="paragraph" w:customStyle="1" w:styleId="BoxDash">
    <w:name w:val="Box Dash"/>
    <w:basedOn w:val="BoxTextBase"/>
    <w:rsid w:val="003420AE"/>
    <w:pPr>
      <w:numPr>
        <w:ilvl w:val="1"/>
        <w:numId w:val="10"/>
      </w:numPr>
    </w:pPr>
  </w:style>
  <w:style w:type="paragraph" w:customStyle="1" w:styleId="BoxDoubleDot">
    <w:name w:val="Box Double Dot"/>
    <w:basedOn w:val="BoxTextBase"/>
    <w:rsid w:val="003420AE"/>
    <w:pPr>
      <w:numPr>
        <w:ilvl w:val="2"/>
        <w:numId w:val="10"/>
      </w:numPr>
    </w:pPr>
  </w:style>
  <w:style w:type="paragraph" w:customStyle="1" w:styleId="RecommendationBullet">
    <w:name w:val="Recommendation Bullet"/>
    <w:basedOn w:val="RecommendationTextBase"/>
    <w:rsid w:val="003420AE"/>
    <w:pPr>
      <w:numPr>
        <w:numId w:val="12"/>
      </w:numPr>
    </w:pPr>
  </w:style>
  <w:style w:type="paragraph" w:customStyle="1" w:styleId="RecommendationDash">
    <w:name w:val="Recommendation Dash"/>
    <w:basedOn w:val="RecommendationTextBase"/>
    <w:rsid w:val="003420AE"/>
    <w:pPr>
      <w:numPr>
        <w:ilvl w:val="1"/>
        <w:numId w:val="12"/>
      </w:numPr>
    </w:pPr>
  </w:style>
  <w:style w:type="paragraph" w:customStyle="1" w:styleId="RecommendationDoubleDot">
    <w:name w:val="Recommendation Double Dot"/>
    <w:basedOn w:val="RecommendationTextBase"/>
    <w:rsid w:val="003420AE"/>
    <w:pPr>
      <w:numPr>
        <w:ilvl w:val="2"/>
        <w:numId w:val="12"/>
      </w:numPr>
    </w:pPr>
  </w:style>
  <w:style w:type="paragraph" w:customStyle="1" w:styleId="Disclaimer">
    <w:name w:val="Disclaimer"/>
    <w:basedOn w:val="HeadingBase"/>
    <w:rsid w:val="003420AE"/>
    <w:pPr>
      <w:spacing w:after="240"/>
    </w:pPr>
    <w:rPr>
      <w:b/>
      <w:sz w:val="22"/>
    </w:rPr>
  </w:style>
  <w:style w:type="character" w:customStyle="1" w:styleId="EmailStyle84">
    <w:name w:val="EmailStyle84"/>
    <w:basedOn w:val="DefaultParagraphFont"/>
    <w:semiHidden/>
    <w:rsid w:val="003420AE"/>
    <w:rPr>
      <w:rFonts w:ascii="Arial" w:hAnsi="Arial" w:cs="Arial"/>
      <w:color w:val="auto"/>
      <w:sz w:val="20"/>
      <w:szCs w:val="20"/>
    </w:rPr>
  </w:style>
  <w:style w:type="character" w:customStyle="1" w:styleId="Italics">
    <w:name w:val="Italics"/>
    <w:basedOn w:val="DefaultParagraphFont"/>
    <w:rsid w:val="003420AE"/>
    <w:rPr>
      <w:i/>
    </w:rPr>
  </w:style>
  <w:style w:type="paragraph" w:customStyle="1" w:styleId="NotesHeading">
    <w:name w:val="Notes Heading"/>
    <w:basedOn w:val="ContentsHeading"/>
    <w:rsid w:val="003420AE"/>
    <w:pPr>
      <w:spacing w:before="240"/>
    </w:pPr>
  </w:style>
  <w:style w:type="paragraph" w:customStyle="1" w:styleId="BoxHeadingnonumber">
    <w:name w:val="Box Heading no number"/>
    <w:basedOn w:val="BoxHeading"/>
    <w:next w:val="BoxText"/>
    <w:qFormat/>
    <w:rsid w:val="003420AE"/>
    <w:pPr>
      <w:numPr>
        <w:numId w:val="0"/>
      </w:numPr>
    </w:pPr>
  </w:style>
  <w:style w:type="numbering" w:customStyle="1" w:styleId="Outlinenumbering">
    <w:name w:val="Outline numbering"/>
    <w:uiPriority w:val="99"/>
    <w:rsid w:val="003420AE"/>
    <w:pPr>
      <w:numPr>
        <w:numId w:val="14"/>
      </w:numPr>
    </w:pPr>
  </w:style>
  <w:style w:type="numbering" w:customStyle="1" w:styleId="Optionboxheading">
    <w:name w:val="Option box heading"/>
    <w:uiPriority w:val="99"/>
    <w:rsid w:val="003420AE"/>
    <w:pPr>
      <w:numPr>
        <w:numId w:val="16"/>
      </w:numPr>
    </w:pPr>
  </w:style>
  <w:style w:type="paragraph" w:customStyle="1" w:styleId="Heading3-Numbered">
    <w:name w:val="Heading 3 - Numbered"/>
    <w:basedOn w:val="Heading3"/>
    <w:rsid w:val="007564EF"/>
    <w:pPr>
      <w:numPr>
        <w:ilvl w:val="6"/>
        <w:numId w:val="17"/>
      </w:numPr>
      <w:tabs>
        <w:tab w:val="left" w:pos="426"/>
      </w:tabs>
      <w:ind w:left="426" w:hanging="426"/>
    </w:pPr>
  </w:style>
  <w:style w:type="paragraph" w:customStyle="1" w:styleId="Heading3-NoTOC">
    <w:name w:val="Heading 3 - No TOC"/>
    <w:basedOn w:val="Heading3"/>
    <w:rsid w:val="00F740FA"/>
    <w:pPr>
      <w:spacing w:before="240"/>
      <w:outlineLvl w:val="9"/>
    </w:pPr>
    <w:rPr>
      <w:sz w:val="30"/>
    </w:rPr>
  </w:style>
  <w:style w:type="paragraph" w:customStyle="1" w:styleId="Heading2-NoTOC">
    <w:name w:val="Heading 2 - No TOC"/>
    <w:basedOn w:val="Heading2"/>
    <w:rsid w:val="00F740FA"/>
    <w:pPr>
      <w:outlineLvl w:val="9"/>
    </w:pPr>
  </w:style>
  <w:style w:type="paragraph" w:customStyle="1" w:styleId="Normal-Hanging">
    <w:name w:val="Normal - Hanging"/>
    <w:basedOn w:val="Normal"/>
    <w:rsid w:val="0021601B"/>
    <w:pPr>
      <w:tabs>
        <w:tab w:val="left" w:pos="851"/>
      </w:tabs>
      <w:ind w:left="851" w:hanging="851"/>
    </w:pPr>
  </w:style>
  <w:style w:type="paragraph" w:customStyle="1" w:styleId="Bullet-Indent">
    <w:name w:val="Bullet - Indent"/>
    <w:basedOn w:val="Bullet"/>
    <w:rsid w:val="0021601B"/>
    <w:pPr>
      <w:tabs>
        <w:tab w:val="clear" w:pos="425"/>
        <w:tab w:val="num" w:pos="1276"/>
      </w:tabs>
      <w:ind w:left="1276"/>
    </w:pPr>
  </w:style>
  <w:style w:type="table" w:customStyle="1" w:styleId="boxQuestions0">
    <w:name w:val="boxQuestions"/>
    <w:basedOn w:val="TableNormal"/>
    <w:uiPriority w:val="99"/>
    <w:rsid w:val="006D6F65"/>
    <w:pPr>
      <w:spacing w:after="0" w:line="240" w:lineRule="auto"/>
    </w:pPr>
    <w:tblPr/>
  </w:style>
  <w:style w:type="table" w:customStyle="1" w:styleId="tableASIC">
    <w:name w:val="tableASIC"/>
    <w:basedOn w:val="TableNormal"/>
    <w:uiPriority w:val="99"/>
    <w:rsid w:val="00454068"/>
    <w:pPr>
      <w:spacing w:after="0" w:line="240" w:lineRule="auto"/>
    </w:pPr>
    <w:tblPr/>
  </w:style>
  <w:style w:type="paragraph" w:customStyle="1" w:styleId="sourcenotefullwidth">
    <w:name w:val="source note full width"/>
    <w:rsid w:val="00675FF0"/>
    <w:pPr>
      <w:spacing w:before="120" w:after="0" w:line="240" w:lineRule="auto"/>
    </w:pPr>
    <w:rPr>
      <w:rFonts w:ascii="Arial" w:eastAsia="Times New Roman" w:hAnsi="Arial" w:cs="Times New Roman"/>
      <w:sz w:val="16"/>
      <w:lang w:eastAsia="en-AU"/>
    </w:rPr>
  </w:style>
  <w:style w:type="paragraph" w:customStyle="1" w:styleId="tabletitlefullwidth">
    <w:name w:val="table title full width"/>
    <w:basedOn w:val="Normal"/>
    <w:rsid w:val="00675FF0"/>
    <w:pPr>
      <w:keepNext/>
      <w:spacing w:before="360" w:after="120" w:line="240" w:lineRule="atLeast"/>
      <w:ind w:left="992" w:hanging="992"/>
      <w:jc w:val="left"/>
    </w:pPr>
    <w:rPr>
      <w:rFonts w:ascii="Arial" w:hAnsi="Arial" w:cs="Arial"/>
      <w:b/>
      <w:color w:val="auto"/>
      <w:sz w:val="20"/>
    </w:rPr>
  </w:style>
  <w:style w:type="paragraph" w:customStyle="1" w:styleId="tbltext">
    <w:name w:val="tbl text"/>
    <w:basedOn w:val="Normal"/>
    <w:rsid w:val="00675FF0"/>
    <w:pPr>
      <w:widowControl w:val="0"/>
      <w:spacing w:before="120" w:after="0" w:line="240" w:lineRule="atLeast"/>
      <w:jc w:val="left"/>
    </w:pPr>
    <w:rPr>
      <w:rFonts w:ascii="Arial" w:hAnsi="Arial" w:cs="Arial"/>
      <w:color w:val="auto"/>
      <w:sz w:val="18"/>
      <w:szCs w:val="18"/>
    </w:rPr>
  </w:style>
  <w:style w:type="paragraph" w:customStyle="1" w:styleId="tablehead">
    <w:name w:val="table head"/>
    <w:basedOn w:val="Normal"/>
    <w:rsid w:val="00675FF0"/>
    <w:pPr>
      <w:keepNext/>
      <w:spacing w:before="120" w:after="0" w:line="240" w:lineRule="atLeast"/>
      <w:jc w:val="left"/>
    </w:pPr>
    <w:rPr>
      <w:rFonts w:ascii="Arial" w:hAnsi="Arial" w:cs="Arial"/>
      <w:b/>
      <w:color w:val="auto"/>
      <w:sz w:val="18"/>
      <w:szCs w:val="18"/>
    </w:rPr>
  </w:style>
  <w:style w:type="paragraph" w:customStyle="1" w:styleId="TableColumnHeadingLeft-Black">
    <w:name w:val="Table Column Heading Left - Black"/>
    <w:basedOn w:val="TableColumnHeadingLeft"/>
    <w:rsid w:val="009F72FC"/>
    <w:pPr>
      <w:spacing w:before="60" w:after="60"/>
    </w:pPr>
    <w:rPr>
      <w:rFonts w:ascii="Arial Bold" w:hAnsi="Arial Bold"/>
      <w:smallCaps/>
      <w:color w:val="auto"/>
    </w:rPr>
  </w:style>
  <w:style w:type="paragraph" w:customStyle="1" w:styleId="TableTextNumbering">
    <w:name w:val="Table Text Numbering"/>
    <w:basedOn w:val="tbltext"/>
    <w:rsid w:val="00AC5221"/>
    <w:pPr>
      <w:numPr>
        <w:numId w:val="18"/>
      </w:numPr>
      <w:spacing w:before="80" w:after="80" w:line="240" w:lineRule="exact"/>
    </w:pPr>
    <w:rPr>
      <w:rFonts w:ascii="Helvetica" w:hAnsi="Helvetica"/>
      <w:sz w:val="19"/>
      <w:szCs w:val="22"/>
    </w:rPr>
  </w:style>
  <w:style w:type="paragraph" w:customStyle="1" w:styleId="TableTextLeft-AlphaNumberingIndent">
    <w:name w:val="Table Text Left - Alpha Numbering (Indent)"/>
    <w:rsid w:val="00673E48"/>
    <w:pPr>
      <w:numPr>
        <w:numId w:val="24"/>
      </w:numPr>
      <w:spacing w:before="80" w:after="80" w:line="240" w:lineRule="exact"/>
    </w:pPr>
    <w:rPr>
      <w:rFonts w:ascii="Helvetica" w:eastAsia="Calibri" w:hAnsi="Helvetica" w:cs="Times New Roman"/>
      <w:color w:val="000000"/>
      <w:sz w:val="19"/>
      <w:szCs w:val="19"/>
      <w:lang w:eastAsia="en-AU"/>
    </w:rPr>
  </w:style>
  <w:style w:type="paragraph" w:customStyle="1" w:styleId="TableTextLeft-Roman">
    <w:name w:val="Table Text Left - Roman"/>
    <w:rsid w:val="00673E48"/>
    <w:pPr>
      <w:numPr>
        <w:numId w:val="19"/>
      </w:numPr>
      <w:spacing w:before="80" w:after="80" w:line="240" w:lineRule="exact"/>
    </w:pPr>
    <w:rPr>
      <w:rFonts w:ascii="Helvetica" w:eastAsia="Times New Roman" w:hAnsi="Helvetica" w:cs="Arial"/>
      <w:sz w:val="19"/>
      <w:szCs w:val="19"/>
      <w:lang w:eastAsia="en-AU"/>
    </w:rPr>
  </w:style>
  <w:style w:type="paragraph" w:customStyle="1" w:styleId="TableTextLeft-Romannoindent">
    <w:name w:val="Table Text Left - Roman (no indent)"/>
    <w:rsid w:val="00AC5221"/>
    <w:pPr>
      <w:numPr>
        <w:numId w:val="41"/>
      </w:numPr>
      <w:tabs>
        <w:tab w:val="left" w:pos="794"/>
      </w:tabs>
      <w:spacing w:before="80" w:after="80" w:line="240" w:lineRule="exact"/>
      <w:ind w:left="794" w:hanging="397"/>
    </w:pPr>
    <w:rPr>
      <w:rFonts w:ascii="Helvetica" w:eastAsiaTheme="majorEastAsia" w:hAnsi="Helvetica" w:cs="Arial"/>
      <w:sz w:val="19"/>
      <w:szCs w:val="19"/>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D0"/>
    <w:pPr>
      <w:spacing w:after="240" w:line="260" w:lineRule="exact"/>
      <w:jc w:val="both"/>
    </w:pPr>
    <w:rPr>
      <w:rFonts w:ascii="Calibri" w:eastAsia="Times New Roman" w:hAnsi="Calibri" w:cs="Times New Roman"/>
      <w:color w:val="000000"/>
      <w:szCs w:val="20"/>
      <w:lang w:eastAsia="en-AU"/>
    </w:rPr>
  </w:style>
  <w:style w:type="paragraph" w:styleId="Heading1">
    <w:name w:val="heading 1"/>
    <w:aliases w:val="Heading 1 Cab"/>
    <w:basedOn w:val="HeadingBase"/>
    <w:next w:val="OutlineNumbered1"/>
    <w:link w:val="Heading1Char"/>
    <w:qFormat/>
    <w:rsid w:val="007564EF"/>
    <w:pPr>
      <w:pBdr>
        <w:bottom w:val="single" w:sz="4" w:space="12" w:color="1F497D" w:themeColor="text2"/>
      </w:pBdr>
      <w:tabs>
        <w:tab w:val="left" w:pos="1985"/>
      </w:tabs>
      <w:spacing w:after="480"/>
      <w:ind w:left="1985" w:hanging="1985"/>
      <w:outlineLvl w:val="0"/>
    </w:pPr>
    <w:rPr>
      <w:rFonts w:cs="Arial"/>
      <w:b/>
      <w:bCs/>
      <w:smallCaps/>
      <w:kern w:val="32"/>
      <w:sz w:val="36"/>
      <w:szCs w:val="36"/>
    </w:rPr>
  </w:style>
  <w:style w:type="paragraph" w:styleId="Heading2">
    <w:name w:val="heading 2"/>
    <w:basedOn w:val="HeadingBase"/>
    <w:next w:val="OutlineNumbered1"/>
    <w:link w:val="Heading2Char"/>
    <w:qFormat/>
    <w:rsid w:val="003420AE"/>
    <w:pPr>
      <w:spacing w:before="300" w:after="180"/>
      <w:outlineLvl w:val="1"/>
    </w:pPr>
    <w:rPr>
      <w:rFonts w:cs="Arial"/>
      <w:b/>
      <w:bCs/>
      <w:iCs/>
      <w:smallCaps/>
      <w:sz w:val="32"/>
      <w:szCs w:val="28"/>
    </w:rPr>
  </w:style>
  <w:style w:type="paragraph" w:styleId="Heading3">
    <w:name w:val="heading 3"/>
    <w:basedOn w:val="HeadingBase"/>
    <w:next w:val="OutlineNumbered1"/>
    <w:link w:val="Heading3Char"/>
    <w:qFormat/>
    <w:rsid w:val="009459F1"/>
    <w:pPr>
      <w:spacing w:before="300" w:after="240"/>
      <w:outlineLvl w:val="2"/>
    </w:pPr>
    <w:rPr>
      <w:rFonts w:cs="Arial"/>
      <w:b/>
      <w:bCs/>
      <w:sz w:val="26"/>
      <w:szCs w:val="26"/>
    </w:rPr>
  </w:style>
  <w:style w:type="paragraph" w:styleId="Heading4">
    <w:name w:val="heading 4"/>
    <w:basedOn w:val="HeadingBase"/>
    <w:next w:val="OutlineNumbered1"/>
    <w:link w:val="Heading4Char"/>
    <w:qFormat/>
    <w:rsid w:val="006D6F65"/>
    <w:pPr>
      <w:spacing w:after="240"/>
      <w:outlineLvl w:val="3"/>
    </w:pPr>
    <w:rPr>
      <w:b/>
      <w:bCs/>
      <w:i/>
      <w:sz w:val="21"/>
      <w:szCs w:val="21"/>
    </w:rPr>
  </w:style>
  <w:style w:type="paragraph" w:styleId="Heading5">
    <w:name w:val="heading 5"/>
    <w:basedOn w:val="HeadingBase"/>
    <w:next w:val="OutlineNumbered1"/>
    <w:link w:val="Heading5Char"/>
    <w:qFormat/>
    <w:rsid w:val="003420AE"/>
    <w:pPr>
      <w:spacing w:after="120"/>
      <w:outlineLvl w:val="4"/>
    </w:pPr>
    <w:rPr>
      <w:b/>
      <w:bCs/>
      <w:iCs/>
    </w:rPr>
  </w:style>
  <w:style w:type="paragraph" w:styleId="Heading6">
    <w:name w:val="heading 6"/>
    <w:basedOn w:val="HeadingBase"/>
    <w:next w:val="OutlineNumbered1"/>
    <w:link w:val="Heading6Char"/>
    <w:qFormat/>
    <w:rsid w:val="003420AE"/>
    <w:pPr>
      <w:spacing w:after="120"/>
      <w:outlineLvl w:val="5"/>
    </w:pPr>
    <w:rPr>
      <w:bCs/>
      <w:szCs w:val="22"/>
    </w:rPr>
  </w:style>
  <w:style w:type="paragraph" w:styleId="Heading7">
    <w:name w:val="heading 7"/>
    <w:basedOn w:val="HeadingBase"/>
    <w:next w:val="Normal"/>
    <w:link w:val="Heading7Char"/>
    <w:qFormat/>
    <w:rsid w:val="003420AE"/>
    <w:pPr>
      <w:spacing w:after="120"/>
      <w:outlineLvl w:val="6"/>
    </w:pPr>
    <w:rPr>
      <w:szCs w:val="24"/>
    </w:rPr>
  </w:style>
  <w:style w:type="paragraph" w:styleId="Heading8">
    <w:name w:val="heading 8"/>
    <w:basedOn w:val="HeadingBase"/>
    <w:next w:val="Normal"/>
    <w:link w:val="Heading8Char"/>
    <w:qFormat/>
    <w:rsid w:val="003420AE"/>
    <w:pPr>
      <w:spacing w:after="120"/>
      <w:outlineLvl w:val="7"/>
    </w:pPr>
    <w:rPr>
      <w:iCs/>
      <w:szCs w:val="24"/>
    </w:rPr>
  </w:style>
  <w:style w:type="paragraph" w:styleId="Heading9">
    <w:name w:val="heading 9"/>
    <w:basedOn w:val="HeadingBase"/>
    <w:next w:val="Normal"/>
    <w:link w:val="Heading9Char"/>
    <w:qFormat/>
    <w:rsid w:val="003420AE"/>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103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4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AE"/>
    <w:rPr>
      <w:rFonts w:ascii="Tahoma" w:eastAsia="Times New Roman" w:hAnsi="Tahoma" w:cs="Tahoma"/>
      <w:color w:val="000000"/>
      <w:sz w:val="16"/>
      <w:szCs w:val="16"/>
      <w:lang w:eastAsia="en-AU"/>
    </w:rPr>
  </w:style>
  <w:style w:type="character" w:styleId="CommentReference">
    <w:name w:val="annotation reference"/>
    <w:basedOn w:val="DefaultParagraphFont"/>
    <w:uiPriority w:val="99"/>
    <w:semiHidden/>
    <w:unhideWhenUsed/>
    <w:rsid w:val="00A25D3D"/>
    <w:rPr>
      <w:sz w:val="16"/>
      <w:szCs w:val="16"/>
    </w:rPr>
  </w:style>
  <w:style w:type="paragraph" w:styleId="CommentText">
    <w:name w:val="annotation text"/>
    <w:basedOn w:val="Normal"/>
    <w:link w:val="CommentTextChar"/>
    <w:uiPriority w:val="99"/>
    <w:unhideWhenUsed/>
    <w:rsid w:val="00A25D3D"/>
    <w:pPr>
      <w:spacing w:line="240" w:lineRule="auto"/>
    </w:pPr>
    <w:rPr>
      <w:sz w:val="20"/>
    </w:rPr>
  </w:style>
  <w:style w:type="character" w:customStyle="1" w:styleId="CommentTextChar">
    <w:name w:val="Comment Text Char"/>
    <w:basedOn w:val="DefaultParagraphFont"/>
    <w:link w:val="CommentText"/>
    <w:uiPriority w:val="99"/>
    <w:rsid w:val="00A25D3D"/>
    <w:rPr>
      <w:sz w:val="20"/>
      <w:szCs w:val="20"/>
    </w:rPr>
  </w:style>
  <w:style w:type="paragraph" w:styleId="CommentSubject">
    <w:name w:val="annotation subject"/>
    <w:basedOn w:val="CommentText"/>
    <w:next w:val="CommentText"/>
    <w:link w:val="CommentSubjectChar"/>
    <w:uiPriority w:val="99"/>
    <w:semiHidden/>
    <w:unhideWhenUsed/>
    <w:rsid w:val="00A25D3D"/>
    <w:rPr>
      <w:b/>
      <w:bCs/>
    </w:rPr>
  </w:style>
  <w:style w:type="character" w:customStyle="1" w:styleId="CommentSubjectChar">
    <w:name w:val="Comment Subject Char"/>
    <w:basedOn w:val="CommentTextChar"/>
    <w:link w:val="CommentSubject"/>
    <w:uiPriority w:val="99"/>
    <w:semiHidden/>
    <w:rsid w:val="00A25D3D"/>
    <w:rPr>
      <w:b/>
      <w:bCs/>
      <w:sz w:val="20"/>
      <w:szCs w:val="20"/>
    </w:rPr>
  </w:style>
  <w:style w:type="paragraph" w:styleId="FootnoteText">
    <w:name w:val="footnote text"/>
    <w:basedOn w:val="Normal"/>
    <w:link w:val="FootnoteTextChar"/>
    <w:qFormat/>
    <w:rsid w:val="008A3190"/>
    <w:pPr>
      <w:tabs>
        <w:tab w:val="left" w:pos="284"/>
      </w:tabs>
      <w:spacing w:after="40" w:line="240" w:lineRule="auto"/>
      <w:ind w:left="284" w:hanging="284"/>
    </w:pPr>
    <w:rPr>
      <w:sz w:val="18"/>
    </w:rPr>
  </w:style>
  <w:style w:type="character" w:customStyle="1" w:styleId="FootnoteTextChar">
    <w:name w:val="Footnote Text Char"/>
    <w:basedOn w:val="DefaultParagraphFont"/>
    <w:link w:val="FootnoteText"/>
    <w:rsid w:val="008A3190"/>
    <w:rPr>
      <w:rFonts w:ascii="Calibri" w:eastAsia="Times New Roman" w:hAnsi="Calibri" w:cs="Times New Roman"/>
      <w:color w:val="000000"/>
      <w:sz w:val="18"/>
      <w:szCs w:val="20"/>
      <w:lang w:eastAsia="en-AU"/>
    </w:rPr>
  </w:style>
  <w:style w:type="character" w:styleId="FootnoteReference">
    <w:name w:val="footnote reference"/>
    <w:basedOn w:val="DefaultParagraphFont"/>
    <w:uiPriority w:val="99"/>
    <w:unhideWhenUsed/>
    <w:rsid w:val="00F45DCF"/>
    <w:rPr>
      <w:vertAlign w:val="superscript"/>
    </w:rPr>
  </w:style>
  <w:style w:type="paragraph" w:customStyle="1" w:styleId="OutlineNumbered1">
    <w:name w:val="Outline Numbered 1"/>
    <w:basedOn w:val="Normal"/>
    <w:link w:val="OutlineNumbered1Char"/>
    <w:rsid w:val="003420AE"/>
    <w:pPr>
      <w:numPr>
        <w:numId w:val="15"/>
      </w:numPr>
    </w:pPr>
  </w:style>
  <w:style w:type="character" w:customStyle="1" w:styleId="OutlineNumbered1Char">
    <w:name w:val="Outline Numbered 1 Char"/>
    <w:basedOn w:val="DefaultParagraphFont"/>
    <w:link w:val="OutlineNumbered1"/>
    <w:rsid w:val="007A7868"/>
    <w:rPr>
      <w:rFonts w:ascii="Calibri" w:eastAsia="Times New Roman" w:hAnsi="Calibri" w:cs="Times New Roman"/>
      <w:color w:val="000000"/>
      <w:szCs w:val="20"/>
      <w:lang w:eastAsia="en-AU"/>
    </w:rPr>
  </w:style>
  <w:style w:type="paragraph" w:customStyle="1" w:styleId="OutlineNumbered2">
    <w:name w:val="Outline Numbered 2"/>
    <w:basedOn w:val="Normal"/>
    <w:link w:val="OutlineNumbered2Char"/>
    <w:rsid w:val="003420AE"/>
    <w:pPr>
      <w:numPr>
        <w:ilvl w:val="1"/>
        <w:numId w:val="15"/>
      </w:numPr>
    </w:pPr>
  </w:style>
  <w:style w:type="character" w:customStyle="1" w:styleId="OutlineNumbered2Char">
    <w:name w:val="Outline Numbered 2 Char"/>
    <w:basedOn w:val="DefaultParagraphFont"/>
    <w:link w:val="OutlineNumbered2"/>
    <w:rsid w:val="00B83785"/>
    <w:rPr>
      <w:rFonts w:ascii="Calibri" w:eastAsia="Times New Roman" w:hAnsi="Calibri" w:cs="Times New Roman"/>
      <w:color w:val="000000"/>
      <w:szCs w:val="20"/>
      <w:lang w:eastAsia="en-AU"/>
    </w:rPr>
  </w:style>
  <w:style w:type="paragraph" w:customStyle="1" w:styleId="OutlineNumbered3">
    <w:name w:val="Outline Numbered 3"/>
    <w:basedOn w:val="Normal"/>
    <w:link w:val="OutlineNumbered3Char"/>
    <w:rsid w:val="003420AE"/>
    <w:pPr>
      <w:numPr>
        <w:ilvl w:val="2"/>
        <w:numId w:val="15"/>
      </w:numPr>
    </w:pPr>
  </w:style>
  <w:style w:type="character" w:customStyle="1" w:styleId="OutlineNumbered3Char">
    <w:name w:val="Outline Numbered 3 Char"/>
    <w:basedOn w:val="DefaultParagraphFont"/>
    <w:link w:val="OutlineNumbered3"/>
    <w:rsid w:val="00B83785"/>
    <w:rPr>
      <w:rFonts w:ascii="Calibri" w:eastAsia="Times New Roman" w:hAnsi="Calibri" w:cs="Times New Roman"/>
      <w:color w:val="000000"/>
      <w:szCs w:val="20"/>
      <w:lang w:eastAsia="en-AU"/>
    </w:rPr>
  </w:style>
  <w:style w:type="paragraph" w:customStyle="1" w:styleId="Bullet">
    <w:name w:val="Bullet"/>
    <w:aliases w:val="b,b1,b + line,level 1,Body,Bullet + line"/>
    <w:basedOn w:val="Normal"/>
    <w:link w:val="BulletChar"/>
    <w:qFormat/>
    <w:rsid w:val="00F21DD0"/>
    <w:pPr>
      <w:numPr>
        <w:numId w:val="7"/>
      </w:numPr>
      <w:tabs>
        <w:tab w:val="clear" w:pos="2410"/>
        <w:tab w:val="num" w:pos="425"/>
      </w:tabs>
      <w:ind w:left="425" w:hanging="425"/>
    </w:pPr>
  </w:style>
  <w:style w:type="character" w:customStyle="1" w:styleId="BulletChar">
    <w:name w:val="Bullet Char"/>
    <w:aliases w:val="b Char,b + line Char Char,b Char Char"/>
    <w:basedOn w:val="DefaultParagraphFont"/>
    <w:link w:val="Bullet"/>
    <w:rsid w:val="00F21DD0"/>
    <w:rPr>
      <w:rFonts w:ascii="Calibri" w:eastAsia="Times New Roman" w:hAnsi="Calibri" w:cs="Times New Roman"/>
      <w:color w:val="000000"/>
      <w:szCs w:val="20"/>
      <w:lang w:eastAsia="en-AU"/>
    </w:rPr>
  </w:style>
  <w:style w:type="paragraph" w:customStyle="1" w:styleId="Dash">
    <w:name w:val="Dash"/>
    <w:basedOn w:val="Normal"/>
    <w:link w:val="DashChar"/>
    <w:qFormat/>
    <w:rsid w:val="003420AE"/>
    <w:pPr>
      <w:numPr>
        <w:ilvl w:val="1"/>
        <w:numId w:val="7"/>
      </w:numPr>
    </w:pPr>
  </w:style>
  <w:style w:type="character" w:customStyle="1" w:styleId="DashChar">
    <w:name w:val="Dash Char"/>
    <w:basedOn w:val="DefaultParagraphFont"/>
    <w:link w:val="Dash"/>
    <w:rsid w:val="00E91947"/>
    <w:rPr>
      <w:rFonts w:ascii="Calibri" w:eastAsia="Times New Roman" w:hAnsi="Calibri" w:cs="Times New Roman"/>
      <w:color w:val="000000"/>
      <w:szCs w:val="20"/>
      <w:lang w:eastAsia="en-AU"/>
    </w:rPr>
  </w:style>
  <w:style w:type="paragraph" w:customStyle="1" w:styleId="DoubleDot">
    <w:name w:val="Double Dot"/>
    <w:basedOn w:val="Normal"/>
    <w:link w:val="DoubleDotChar"/>
    <w:qFormat/>
    <w:rsid w:val="003420AE"/>
    <w:pPr>
      <w:numPr>
        <w:ilvl w:val="2"/>
        <w:numId w:val="7"/>
      </w:numPr>
    </w:pPr>
  </w:style>
  <w:style w:type="character" w:customStyle="1" w:styleId="DoubleDotChar">
    <w:name w:val="Double Dot Char"/>
    <w:basedOn w:val="DefaultParagraphFont"/>
    <w:link w:val="DoubleDot"/>
    <w:rsid w:val="00E91947"/>
    <w:rPr>
      <w:rFonts w:ascii="Calibri" w:eastAsia="Times New Roman" w:hAnsi="Calibri" w:cs="Times New Roman"/>
      <w:color w:val="000000"/>
      <w:szCs w:val="20"/>
      <w:lang w:eastAsia="en-AU"/>
    </w:rPr>
  </w:style>
  <w:style w:type="character" w:styleId="Hyperlink">
    <w:name w:val="Hyperlink"/>
    <w:basedOn w:val="DefaultParagraphFont"/>
    <w:uiPriority w:val="99"/>
    <w:rsid w:val="009314FF"/>
    <w:rPr>
      <w:b/>
      <w:color w:val="1F497D" w:themeColor="text2"/>
    </w:rPr>
  </w:style>
  <w:style w:type="table" w:styleId="TableGrid">
    <w:name w:val="Table Grid"/>
    <w:basedOn w:val="TableNormal"/>
    <w:rsid w:val="003420AE"/>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table" w:styleId="LightShading">
    <w:name w:val="Light Shading"/>
    <w:basedOn w:val="TableNormal"/>
    <w:uiPriority w:val="60"/>
    <w:rsid w:val="004264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HeadingBase"/>
    <w:link w:val="HeaderChar"/>
    <w:rsid w:val="003420AE"/>
    <w:rPr>
      <w:sz w:val="18"/>
    </w:rPr>
  </w:style>
  <w:style w:type="character" w:customStyle="1" w:styleId="HeaderChar">
    <w:name w:val="Header Char"/>
    <w:basedOn w:val="DefaultParagraphFont"/>
    <w:link w:val="Header"/>
    <w:rsid w:val="000273CA"/>
    <w:rPr>
      <w:rFonts w:ascii="Century Gothic" w:eastAsia="Times New Roman" w:hAnsi="Century Gothic" w:cs="Times New Roman"/>
      <w:color w:val="1F497D" w:themeColor="text2"/>
      <w:sz w:val="18"/>
      <w:szCs w:val="20"/>
      <w:lang w:eastAsia="en-AU"/>
    </w:rPr>
  </w:style>
  <w:style w:type="paragraph" w:styleId="Footer">
    <w:name w:val="footer"/>
    <w:basedOn w:val="HeadingBase"/>
    <w:link w:val="FooterChar"/>
    <w:rsid w:val="003420AE"/>
    <w:rPr>
      <w:sz w:val="18"/>
    </w:rPr>
  </w:style>
  <w:style w:type="character" w:customStyle="1" w:styleId="FooterChar">
    <w:name w:val="Footer Char"/>
    <w:basedOn w:val="DefaultParagraphFont"/>
    <w:link w:val="Footer"/>
    <w:rsid w:val="000273CA"/>
    <w:rPr>
      <w:rFonts w:ascii="Century Gothic" w:eastAsia="Times New Roman" w:hAnsi="Century Gothic" w:cs="Times New Roman"/>
      <w:color w:val="1F497D" w:themeColor="text2"/>
      <w:sz w:val="18"/>
      <w:szCs w:val="20"/>
      <w:lang w:eastAsia="en-AU"/>
    </w:rPr>
  </w:style>
  <w:style w:type="paragraph" w:customStyle="1" w:styleId="SecurityClassificationHeader">
    <w:name w:val="Security Classification Header"/>
    <w:link w:val="SecurityClassificationHeaderChar"/>
    <w:rsid w:val="003420AE"/>
    <w:pPr>
      <w:spacing w:after="240" w:line="240" w:lineRule="auto"/>
      <w:jc w:val="center"/>
    </w:pPr>
    <w:rPr>
      <w:rFonts w:ascii="Book Antiqua" w:eastAsia="Times New Roman" w:hAnsi="Book Antiqua" w:cs="Times New Roman"/>
      <w:b/>
      <w:caps/>
      <w:color w:val="000080"/>
      <w:szCs w:val="20"/>
      <w:lang w:eastAsia="en-AU"/>
    </w:rPr>
  </w:style>
  <w:style w:type="character" w:customStyle="1" w:styleId="SecurityClassificationHeaderChar">
    <w:name w:val="Security Classification Header Char"/>
    <w:basedOn w:val="HeaderChar"/>
    <w:link w:val="SecurityClassificationHeader"/>
    <w:rsid w:val="00212C59"/>
    <w:rPr>
      <w:rFonts w:ascii="Book Antiqua" w:eastAsia="Times New Roman" w:hAnsi="Book Antiqua" w:cs="Times New Roman"/>
      <w:b/>
      <w:caps/>
      <w:color w:val="000080"/>
      <w:sz w:val="18"/>
      <w:szCs w:val="20"/>
      <w:lang w:eastAsia="en-AU"/>
    </w:rPr>
  </w:style>
  <w:style w:type="paragraph" w:customStyle="1" w:styleId="SecurityClassificationFooter">
    <w:name w:val="Security Classification Footer"/>
    <w:link w:val="SecurityClassificationFooterChar"/>
    <w:rsid w:val="003420AE"/>
    <w:pPr>
      <w:spacing w:before="240" w:after="0" w:line="240" w:lineRule="auto"/>
      <w:jc w:val="center"/>
    </w:pPr>
    <w:rPr>
      <w:rFonts w:ascii="Book Antiqua" w:eastAsia="Times New Roman" w:hAnsi="Book Antiqua" w:cs="Times New Roman"/>
      <w:b/>
      <w:caps/>
      <w:color w:val="000080"/>
      <w:szCs w:val="20"/>
      <w:lang w:eastAsia="en-AU"/>
    </w:rPr>
  </w:style>
  <w:style w:type="character" w:customStyle="1" w:styleId="SecurityClassificationFooterChar">
    <w:name w:val="Security Classification Footer Char"/>
    <w:basedOn w:val="HeaderChar"/>
    <w:link w:val="SecurityClassificationFooter"/>
    <w:rsid w:val="00212C59"/>
    <w:rPr>
      <w:rFonts w:ascii="Book Antiqua" w:eastAsia="Times New Roman" w:hAnsi="Book Antiqua" w:cs="Times New Roman"/>
      <w:b/>
      <w:caps/>
      <w:color w:val="000080"/>
      <w:sz w:val="18"/>
      <w:szCs w:val="20"/>
      <w:lang w:eastAsia="en-AU"/>
    </w:rPr>
  </w:style>
  <w:style w:type="paragraph" w:customStyle="1" w:styleId="DLMSecurityHeader">
    <w:name w:val="DLM Security Header"/>
    <w:link w:val="DLMSecurityHeaderChar"/>
    <w:rsid w:val="00212C59"/>
    <w:pPr>
      <w:spacing w:before="60" w:after="240"/>
      <w:jc w:val="center"/>
    </w:pPr>
    <w:rPr>
      <w:rFonts w:ascii="Times New Roman" w:hAnsi="Times New Roman" w:cs="Times New Roman"/>
      <w:b/>
      <w:caps/>
      <w:sz w:val="24"/>
    </w:rPr>
  </w:style>
  <w:style w:type="character" w:customStyle="1" w:styleId="DLMSecurityHeaderChar">
    <w:name w:val="DLM Security Header Char"/>
    <w:basedOn w:val="HeaderChar"/>
    <w:link w:val="DLMSecurityHeader"/>
    <w:rsid w:val="00212C59"/>
    <w:rPr>
      <w:rFonts w:ascii="Times New Roman" w:eastAsia="Times New Roman" w:hAnsi="Times New Roman" w:cs="Times New Roman"/>
      <w:b/>
      <w:caps/>
      <w:color w:val="1F497D" w:themeColor="text2"/>
      <w:sz w:val="24"/>
      <w:szCs w:val="20"/>
      <w:lang w:eastAsia="en-AU"/>
    </w:rPr>
  </w:style>
  <w:style w:type="paragraph" w:customStyle="1" w:styleId="DLMSecurityFooter">
    <w:name w:val="DLM Security Footer"/>
    <w:link w:val="DLMSecurityFooterChar"/>
    <w:rsid w:val="00212C59"/>
    <w:pPr>
      <w:spacing w:before="240" w:after="60"/>
      <w:jc w:val="center"/>
    </w:pPr>
    <w:rPr>
      <w:rFonts w:ascii="Times New Roman" w:hAnsi="Times New Roman" w:cs="Times New Roman"/>
      <w:b/>
      <w:caps/>
      <w:sz w:val="24"/>
    </w:rPr>
  </w:style>
  <w:style w:type="character" w:customStyle="1" w:styleId="DLMSecurityFooterChar">
    <w:name w:val="DLM Security Footer Char"/>
    <w:basedOn w:val="HeaderChar"/>
    <w:link w:val="DLMSecurityFooter"/>
    <w:rsid w:val="00212C59"/>
    <w:rPr>
      <w:rFonts w:ascii="Times New Roman" w:eastAsia="Times New Roman" w:hAnsi="Times New Roman" w:cs="Times New Roman"/>
      <w:b/>
      <w:caps/>
      <w:color w:val="1F497D" w:themeColor="text2"/>
      <w:sz w:val="24"/>
      <w:szCs w:val="20"/>
      <w:lang w:eastAsia="en-AU"/>
    </w:rPr>
  </w:style>
  <w:style w:type="table" w:customStyle="1" w:styleId="TableGrid1">
    <w:name w:val="Table Grid1"/>
    <w:basedOn w:val="TableNormal"/>
    <w:next w:val="TableGrid"/>
    <w:uiPriority w:val="59"/>
    <w:rsid w:val="0097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 Cab"/>
    <w:basedOn w:val="Normal"/>
    <w:link w:val="ListParagraphChar"/>
    <w:uiPriority w:val="34"/>
    <w:qFormat/>
    <w:rsid w:val="00FB2D03"/>
    <w:pPr>
      <w:ind w:left="720"/>
      <w:contextualSpacing/>
    </w:pPr>
  </w:style>
  <w:style w:type="paragraph" w:styleId="BodyText">
    <w:name w:val="Body Text"/>
    <w:basedOn w:val="Normal"/>
    <w:link w:val="BodyTextChar"/>
    <w:rsid w:val="00FB2D03"/>
    <w:pPr>
      <w:numPr>
        <w:numId w:val="1"/>
      </w:numPr>
      <w:spacing w:before="200" w:after="0" w:line="300" w:lineRule="atLeast"/>
    </w:pPr>
    <w:rPr>
      <w:rFonts w:ascii="Times New Roman" w:hAnsi="Times New Roman"/>
    </w:rPr>
  </w:style>
  <w:style w:type="character" w:customStyle="1" w:styleId="BodyTextChar">
    <w:name w:val="Body Text Char"/>
    <w:basedOn w:val="DefaultParagraphFont"/>
    <w:link w:val="BodyText"/>
    <w:rsid w:val="00FB2D03"/>
    <w:rPr>
      <w:rFonts w:ascii="Times New Roman" w:eastAsia="Times New Roman" w:hAnsi="Times New Roman" w:cs="Times New Roman"/>
      <w:color w:val="000000"/>
      <w:szCs w:val="20"/>
      <w:lang w:eastAsia="en-AU"/>
    </w:rPr>
  </w:style>
  <w:style w:type="paragraph" w:customStyle="1" w:styleId="subparaa">
    <w:name w:val="sub para (a)"/>
    <w:basedOn w:val="BodyText"/>
    <w:rsid w:val="00FB2D03"/>
    <w:pPr>
      <w:numPr>
        <w:ilvl w:val="1"/>
      </w:numPr>
      <w:spacing w:before="100"/>
    </w:pPr>
  </w:style>
  <w:style w:type="paragraph" w:customStyle="1" w:styleId="subsubparai">
    <w:name w:val="sub sub para (i)"/>
    <w:basedOn w:val="subparaa"/>
    <w:rsid w:val="00FB2D03"/>
    <w:pPr>
      <w:numPr>
        <w:ilvl w:val="2"/>
      </w:numPr>
    </w:pPr>
  </w:style>
  <w:style w:type="paragraph" w:customStyle="1" w:styleId="sub3paraA">
    <w:name w:val="sub3para (A)"/>
    <w:basedOn w:val="subsubparai"/>
    <w:qFormat/>
    <w:rsid w:val="00FB2D03"/>
    <w:pPr>
      <w:numPr>
        <w:ilvl w:val="3"/>
      </w:numPr>
    </w:pPr>
  </w:style>
  <w:style w:type="paragraph" w:customStyle="1" w:styleId="sub4paraI">
    <w:name w:val="sub4para (I)"/>
    <w:basedOn w:val="subsubparai"/>
    <w:qFormat/>
    <w:rsid w:val="00FB2D03"/>
    <w:pPr>
      <w:numPr>
        <w:ilvl w:val="4"/>
      </w:numPr>
    </w:pPr>
  </w:style>
  <w:style w:type="paragraph" w:styleId="Revision">
    <w:name w:val="Revision"/>
    <w:hidden/>
    <w:uiPriority w:val="99"/>
    <w:semiHidden/>
    <w:rsid w:val="00C761AF"/>
    <w:pPr>
      <w:spacing w:after="0" w:line="240" w:lineRule="auto"/>
    </w:pPr>
  </w:style>
  <w:style w:type="character" w:customStyle="1" w:styleId="Heading1Char">
    <w:name w:val="Heading 1 Char"/>
    <w:aliases w:val="Heading 1 Cab Char"/>
    <w:basedOn w:val="DefaultParagraphFont"/>
    <w:link w:val="Heading1"/>
    <w:rsid w:val="007564EF"/>
    <w:rPr>
      <w:rFonts w:ascii="Century Gothic" w:eastAsia="Times New Roman" w:hAnsi="Century Gothic" w:cs="Arial"/>
      <w:b/>
      <w:bCs/>
      <w:smallCaps/>
      <w:color w:val="1F497D" w:themeColor="text2"/>
      <w:kern w:val="32"/>
      <w:sz w:val="36"/>
      <w:szCs w:val="36"/>
      <w:lang w:eastAsia="en-AU"/>
    </w:rPr>
  </w:style>
  <w:style w:type="paragraph" w:styleId="TOCHeading">
    <w:name w:val="TOC Heading"/>
    <w:basedOn w:val="Heading1"/>
    <w:next w:val="Normal"/>
    <w:uiPriority w:val="39"/>
    <w:unhideWhenUsed/>
    <w:qFormat/>
    <w:rsid w:val="00C37D00"/>
    <w:pPr>
      <w:outlineLvl w:val="9"/>
    </w:pPr>
    <w:rPr>
      <w:lang w:val="en-US" w:eastAsia="ja-JP"/>
    </w:rPr>
  </w:style>
  <w:style w:type="paragraph" w:styleId="TOC1">
    <w:name w:val="toc 1"/>
    <w:basedOn w:val="HeadingBase"/>
    <w:next w:val="Normal"/>
    <w:uiPriority w:val="39"/>
    <w:rsid w:val="008A3190"/>
    <w:pPr>
      <w:tabs>
        <w:tab w:val="left" w:pos="1276"/>
        <w:tab w:val="right" w:leader="dot" w:pos="9072"/>
      </w:tabs>
      <w:spacing w:before="180" w:after="60"/>
      <w:ind w:right="379"/>
    </w:pPr>
    <w:rPr>
      <w:b/>
      <w:noProof/>
      <w:sz w:val="21"/>
      <w:szCs w:val="22"/>
    </w:rPr>
  </w:style>
  <w:style w:type="paragraph" w:styleId="Title">
    <w:name w:val="Title"/>
    <w:basedOn w:val="Normal"/>
    <w:link w:val="TitleChar"/>
    <w:uiPriority w:val="10"/>
    <w:qFormat/>
    <w:rsid w:val="00397772"/>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397772"/>
    <w:rPr>
      <w:rFonts w:ascii="Arial" w:eastAsia="Times New Roman" w:hAnsi="Arial" w:cs="Times New Roman"/>
      <w:b/>
      <w:kern w:val="28"/>
      <w:sz w:val="32"/>
    </w:rPr>
  </w:style>
  <w:style w:type="paragraph" w:customStyle="1" w:styleId="SingleParagraph">
    <w:name w:val="Single Paragraph"/>
    <w:basedOn w:val="Normal"/>
    <w:link w:val="SingleParagraphChar"/>
    <w:rsid w:val="003420AE"/>
    <w:pPr>
      <w:spacing w:after="0"/>
    </w:pPr>
  </w:style>
  <w:style w:type="paragraph" w:customStyle="1" w:styleId="Heading2NotNumbered">
    <w:name w:val="Heading 2 Not Numbered"/>
    <w:basedOn w:val="Heading2"/>
    <w:next w:val="Normal"/>
    <w:rsid w:val="003420AE"/>
  </w:style>
  <w:style w:type="character" w:customStyle="1" w:styleId="SingleParagraphChar">
    <w:name w:val="Single Paragraph Char"/>
    <w:basedOn w:val="DefaultParagraphFont"/>
    <w:link w:val="SingleParagraph"/>
    <w:locked/>
    <w:rsid w:val="003420AE"/>
    <w:rPr>
      <w:rFonts w:ascii="Book Antiqua" w:eastAsia="Times New Roman" w:hAnsi="Book Antiqua" w:cs="Times New Roman"/>
      <w:color w:val="000000"/>
      <w:szCs w:val="20"/>
      <w:lang w:eastAsia="en-AU"/>
    </w:rPr>
  </w:style>
  <w:style w:type="paragraph" w:customStyle="1" w:styleId="Heading1NotNumbered">
    <w:name w:val="Heading 1 Not Numbered"/>
    <w:basedOn w:val="Normal"/>
    <w:next w:val="Normal"/>
    <w:rsid w:val="001B68EF"/>
    <w:pPr>
      <w:keepNext/>
      <w:spacing w:after="360" w:line="240" w:lineRule="auto"/>
      <w:outlineLvl w:val="0"/>
    </w:pPr>
    <w:rPr>
      <w:rFonts w:asciiTheme="majorHAnsi" w:eastAsiaTheme="majorEastAsia" w:hAnsiTheme="majorHAnsi"/>
      <w:b/>
      <w:smallCaps/>
      <w:color w:val="1F497D" w:themeColor="text2"/>
      <w:sz w:val="40"/>
      <w:szCs w:val="36"/>
    </w:rPr>
  </w:style>
  <w:style w:type="paragraph" w:customStyle="1" w:styleId="CoverTitleSub">
    <w:name w:val="Cover Title Sub"/>
    <w:basedOn w:val="HeadingBase"/>
    <w:rsid w:val="00F21DD0"/>
    <w:pPr>
      <w:spacing w:after="240"/>
      <w:jc w:val="right"/>
    </w:pPr>
    <w:rPr>
      <w:sz w:val="36"/>
    </w:rPr>
  </w:style>
  <w:style w:type="paragraph" w:customStyle="1" w:styleId="CoverTitleMain">
    <w:name w:val="Cover Title Main"/>
    <w:basedOn w:val="HeadingBase"/>
    <w:next w:val="Normal"/>
    <w:rsid w:val="00F21DD0"/>
    <w:pPr>
      <w:pBdr>
        <w:bottom w:val="single" w:sz="8" w:space="18" w:color="1F497D" w:themeColor="text2"/>
      </w:pBdr>
      <w:spacing w:after="600"/>
      <w:jc w:val="center"/>
    </w:pPr>
    <w:rPr>
      <w:b/>
      <w:sz w:val="48"/>
    </w:rPr>
  </w:style>
  <w:style w:type="paragraph" w:styleId="NoSpacing">
    <w:name w:val="No Spacing"/>
    <w:uiPriority w:val="1"/>
    <w:qFormat/>
    <w:rsid w:val="009F73BE"/>
    <w:pPr>
      <w:spacing w:after="0" w:line="240" w:lineRule="auto"/>
    </w:pPr>
  </w:style>
  <w:style w:type="character" w:customStyle="1" w:styleId="Heading2Char">
    <w:name w:val="Heading 2 Char"/>
    <w:basedOn w:val="DefaultParagraphFont"/>
    <w:link w:val="Heading2"/>
    <w:rsid w:val="001D5A03"/>
    <w:rPr>
      <w:rFonts w:ascii="Century Gothic" w:eastAsia="Times New Roman" w:hAnsi="Century Gothic" w:cs="Arial"/>
      <w:b/>
      <w:bCs/>
      <w:iCs/>
      <w:smallCaps/>
      <w:color w:val="1F497D" w:themeColor="text2"/>
      <w:sz w:val="32"/>
      <w:szCs w:val="28"/>
      <w:lang w:eastAsia="en-AU"/>
    </w:rPr>
  </w:style>
  <w:style w:type="paragraph" w:styleId="TOC2">
    <w:name w:val="toc 2"/>
    <w:basedOn w:val="HeadingBase"/>
    <w:next w:val="Normal"/>
    <w:uiPriority w:val="39"/>
    <w:rsid w:val="008E23C0"/>
    <w:pPr>
      <w:tabs>
        <w:tab w:val="right" w:leader="dot" w:pos="9072"/>
      </w:tabs>
      <w:spacing w:before="60"/>
      <w:ind w:left="284" w:right="851"/>
    </w:pPr>
    <w:rPr>
      <w:noProof/>
      <w:sz w:val="21"/>
    </w:rPr>
  </w:style>
  <w:style w:type="character" w:customStyle="1" w:styleId="Heading3Char">
    <w:name w:val="Heading 3 Char"/>
    <w:basedOn w:val="DefaultParagraphFont"/>
    <w:link w:val="Heading3"/>
    <w:rsid w:val="009459F1"/>
    <w:rPr>
      <w:rFonts w:ascii="Century Gothic" w:eastAsia="Times New Roman" w:hAnsi="Century Gothic" w:cs="Arial"/>
      <w:b/>
      <w:bCs/>
      <w:color w:val="1F497D" w:themeColor="text2"/>
      <w:sz w:val="26"/>
      <w:szCs w:val="26"/>
      <w:lang w:eastAsia="en-AU"/>
    </w:rPr>
  </w:style>
  <w:style w:type="paragraph" w:styleId="PlainText">
    <w:name w:val="Plain Text"/>
    <w:basedOn w:val="Normal"/>
    <w:link w:val="PlainTextChar"/>
    <w:uiPriority w:val="99"/>
    <w:semiHidden/>
    <w:unhideWhenUsed/>
    <w:rsid w:val="002E1ECC"/>
    <w:pPr>
      <w:spacing w:after="0" w:line="240" w:lineRule="auto"/>
    </w:pPr>
    <w:rPr>
      <w:szCs w:val="21"/>
    </w:rPr>
  </w:style>
  <w:style w:type="character" w:customStyle="1" w:styleId="PlainTextChar">
    <w:name w:val="Plain Text Char"/>
    <w:basedOn w:val="DefaultParagraphFont"/>
    <w:link w:val="PlainText"/>
    <w:uiPriority w:val="99"/>
    <w:semiHidden/>
    <w:rsid w:val="002E1ECC"/>
    <w:rPr>
      <w:rFonts w:ascii="Calibri" w:hAnsi="Calibri"/>
      <w:szCs w:val="21"/>
    </w:rPr>
  </w:style>
  <w:style w:type="paragraph" w:styleId="TOC3">
    <w:name w:val="toc 3"/>
    <w:basedOn w:val="Normal"/>
    <w:next w:val="Normal"/>
    <w:rsid w:val="003420AE"/>
    <w:pPr>
      <w:tabs>
        <w:tab w:val="right" w:leader="dot" w:pos="9072"/>
      </w:tabs>
      <w:spacing w:before="40" w:after="0" w:line="240" w:lineRule="auto"/>
      <w:ind w:right="851"/>
    </w:pPr>
    <w:rPr>
      <w:rFonts w:ascii="Century Gothic" w:hAnsi="Century Gothic"/>
    </w:rPr>
  </w:style>
  <w:style w:type="paragraph" w:customStyle="1" w:styleId="NumberedParagraph">
    <w:name w:val="Numbered Paragraph"/>
    <w:basedOn w:val="Normal"/>
    <w:link w:val="NumberedParagraphChar"/>
    <w:rsid w:val="00A75C75"/>
    <w:pPr>
      <w:numPr>
        <w:numId w:val="2"/>
      </w:numPr>
      <w:spacing w:after="0"/>
    </w:pPr>
    <w:rPr>
      <w:b/>
    </w:rPr>
  </w:style>
  <w:style w:type="character" w:customStyle="1" w:styleId="NumberedParagraphChar">
    <w:name w:val="Numbered Paragraph Char"/>
    <w:basedOn w:val="BulletChar"/>
    <w:link w:val="NumberedParagraph"/>
    <w:rsid w:val="00A75C75"/>
    <w:rPr>
      <w:rFonts w:ascii="Calibri" w:eastAsia="Times New Roman" w:hAnsi="Calibri" w:cs="Times New Roman"/>
      <w:b/>
      <w:color w:val="000000"/>
      <w:szCs w:val="20"/>
      <w:lang w:eastAsia="en-AU"/>
    </w:rPr>
  </w:style>
  <w:style w:type="character" w:customStyle="1" w:styleId="A5">
    <w:name w:val="A5"/>
    <w:uiPriority w:val="99"/>
    <w:rsid w:val="003420AE"/>
    <w:rPr>
      <w:rFonts w:cs="Swiss 721 BT"/>
      <w:color w:val="000000"/>
      <w:sz w:val="20"/>
      <w:szCs w:val="20"/>
    </w:rPr>
  </w:style>
  <w:style w:type="paragraph" w:customStyle="1" w:styleId="FooterOdd">
    <w:name w:val="Footer Odd"/>
    <w:basedOn w:val="Footer"/>
    <w:rsid w:val="003420AE"/>
    <w:pPr>
      <w:jc w:val="right"/>
    </w:pPr>
  </w:style>
  <w:style w:type="paragraph" w:customStyle="1" w:styleId="FooterEven">
    <w:name w:val="Footer Even"/>
    <w:basedOn w:val="Footer"/>
    <w:rsid w:val="003420AE"/>
  </w:style>
  <w:style w:type="paragraph" w:customStyle="1" w:styleId="Heading1NoTOC">
    <w:name w:val="Heading 1 No TOC"/>
    <w:basedOn w:val="Heading1NotNumbered"/>
    <w:qFormat/>
    <w:rsid w:val="00E15F1E"/>
    <w:pPr>
      <w:outlineLvl w:val="9"/>
    </w:pPr>
  </w:style>
  <w:style w:type="paragraph" w:customStyle="1" w:styleId="TableMainHeading">
    <w:name w:val="Table Main Heading"/>
    <w:basedOn w:val="HeadingBase"/>
    <w:next w:val="TableGraphic"/>
    <w:rsid w:val="006804CB"/>
    <w:pPr>
      <w:tabs>
        <w:tab w:val="left" w:pos="1134"/>
      </w:tabs>
      <w:spacing w:after="20"/>
    </w:pPr>
    <w:rPr>
      <w:b/>
      <w:sz w:val="22"/>
    </w:rPr>
  </w:style>
  <w:style w:type="paragraph" w:customStyle="1" w:styleId="TableColumnHeadingLeft">
    <w:name w:val="Table Column Heading Left"/>
    <w:basedOn w:val="TableTextBase"/>
    <w:qFormat/>
    <w:rsid w:val="0019629B"/>
    <w:pPr>
      <w:spacing w:before="80" w:after="80"/>
    </w:pPr>
    <w:rPr>
      <w:rFonts w:eastAsia="Calibri"/>
      <w:b/>
      <w:color w:val="FFFFFF" w:themeColor="background1"/>
      <w:sz w:val="20"/>
      <w:lang w:val="en-US"/>
    </w:rPr>
  </w:style>
  <w:style w:type="paragraph" w:customStyle="1" w:styleId="TableTextLeft">
    <w:name w:val="Table Text Left"/>
    <w:basedOn w:val="TableTextBase"/>
    <w:qFormat/>
    <w:rsid w:val="00637622"/>
    <w:pPr>
      <w:spacing w:before="80" w:after="80" w:line="240" w:lineRule="exact"/>
    </w:pPr>
    <w:rPr>
      <w:rFonts w:ascii="Helvetica" w:eastAsia="Calibri" w:hAnsi="Helvetica"/>
      <w:sz w:val="19"/>
      <w:szCs w:val="19"/>
    </w:rPr>
  </w:style>
  <w:style w:type="paragraph" w:customStyle="1" w:styleId="TableRowHeadingLeft">
    <w:name w:val="Table Row Heading Left"/>
    <w:basedOn w:val="Bullet"/>
    <w:qFormat/>
    <w:rsid w:val="00115B57"/>
    <w:pPr>
      <w:numPr>
        <w:numId w:val="0"/>
      </w:numPr>
      <w:spacing w:before="80" w:after="80" w:line="240" w:lineRule="exact"/>
      <w:jc w:val="left"/>
    </w:pPr>
    <w:rPr>
      <w:rFonts w:ascii="Helvetica" w:eastAsia="Calibri" w:hAnsi="Helvetica"/>
      <w:b/>
      <w:bCs/>
      <w:color w:val="000000" w:themeColor="text1" w:themeShade="BF"/>
      <w:sz w:val="19"/>
      <w:szCs w:val="19"/>
    </w:rPr>
  </w:style>
  <w:style w:type="paragraph" w:customStyle="1" w:styleId="BoxQuestions">
    <w:name w:val="Box Questions"/>
    <w:qFormat/>
    <w:rsid w:val="00115B57"/>
    <w:pPr>
      <w:numPr>
        <w:numId w:val="5"/>
      </w:numPr>
      <w:spacing w:before="120" w:after="120" w:line="300" w:lineRule="auto"/>
      <w:jc w:val="both"/>
    </w:pPr>
    <w:rPr>
      <w:rFonts w:ascii="Helvetica" w:hAnsi="Helvetica"/>
      <w:sz w:val="19"/>
      <w:szCs w:val="19"/>
    </w:rPr>
  </w:style>
  <w:style w:type="paragraph" w:customStyle="1" w:styleId="BoxQuestions-Heading">
    <w:name w:val="Box Questions - Heading"/>
    <w:basedOn w:val="OutlineNumbered1"/>
    <w:qFormat/>
    <w:rsid w:val="006D6F65"/>
    <w:pPr>
      <w:numPr>
        <w:numId w:val="0"/>
      </w:numPr>
      <w:spacing w:before="120" w:after="120" w:line="240" w:lineRule="auto"/>
    </w:pPr>
    <w:rPr>
      <w:rFonts w:ascii="Helvetica" w:hAnsi="Helvetica"/>
      <w:b/>
      <w:color w:val="1F497D" w:themeColor="text2"/>
    </w:rPr>
  </w:style>
  <w:style w:type="paragraph" w:customStyle="1" w:styleId="ChartMainHeading">
    <w:name w:val="Chart Main Heading"/>
    <w:basedOn w:val="HeadingBase"/>
    <w:next w:val="ChartGraphic"/>
    <w:rsid w:val="00057148"/>
    <w:pPr>
      <w:spacing w:after="60"/>
      <w:jc w:val="center"/>
    </w:pPr>
    <w:rPr>
      <w:b/>
      <w:sz w:val="22"/>
    </w:rPr>
  </w:style>
  <w:style w:type="paragraph" w:customStyle="1" w:styleId="ChartGraphic">
    <w:name w:val="Chart Graphic"/>
    <w:basedOn w:val="HeadingBase"/>
    <w:rsid w:val="003420AE"/>
    <w:pPr>
      <w:jc w:val="center"/>
    </w:pPr>
  </w:style>
  <w:style w:type="paragraph" w:customStyle="1" w:styleId="TableMainHeadingCont">
    <w:name w:val="Table Main Heading (Cont)"/>
    <w:basedOn w:val="TableMainHeading"/>
    <w:qFormat/>
    <w:rsid w:val="006B6BB2"/>
  </w:style>
  <w:style w:type="paragraph" w:customStyle="1" w:styleId="Box-Other-Text">
    <w:name w:val="Box - Other - Text"/>
    <w:basedOn w:val="Normal"/>
    <w:qFormat/>
    <w:rsid w:val="00043D2C"/>
    <w:pPr>
      <w:spacing w:after="120" w:line="240" w:lineRule="auto"/>
    </w:pPr>
  </w:style>
  <w:style w:type="paragraph" w:customStyle="1" w:styleId="Box-Other-Heading">
    <w:name w:val="Box - Other - Heading"/>
    <w:basedOn w:val="Box-Other-Text"/>
    <w:qFormat/>
    <w:rsid w:val="00227C14"/>
    <w:pPr>
      <w:spacing w:before="120"/>
    </w:pPr>
    <w:rPr>
      <w:b/>
      <w:color w:val="1F497D" w:themeColor="text2"/>
      <w:sz w:val="24"/>
    </w:rPr>
  </w:style>
  <w:style w:type="character" w:customStyle="1" w:styleId="Heading4Char">
    <w:name w:val="Heading 4 Char"/>
    <w:basedOn w:val="DefaultParagraphFont"/>
    <w:link w:val="Heading4"/>
    <w:rsid w:val="006D6F65"/>
    <w:rPr>
      <w:rFonts w:ascii="Century Gothic" w:eastAsia="Times New Roman" w:hAnsi="Century Gothic" w:cs="Times New Roman"/>
      <w:b/>
      <w:bCs/>
      <w:i/>
      <w:color w:val="1F497D" w:themeColor="text2"/>
      <w:sz w:val="21"/>
      <w:szCs w:val="21"/>
      <w:lang w:eastAsia="en-AU"/>
    </w:rPr>
  </w:style>
  <w:style w:type="paragraph" w:customStyle="1" w:styleId="FigureGraphic">
    <w:name w:val="Figure Graphic"/>
    <w:basedOn w:val="Bullet"/>
    <w:qFormat/>
    <w:rsid w:val="009C2274"/>
    <w:pPr>
      <w:numPr>
        <w:numId w:val="0"/>
      </w:numPr>
      <w:spacing w:after="120"/>
      <w:jc w:val="center"/>
    </w:pPr>
    <w:rPr>
      <w:noProof/>
    </w:rPr>
  </w:style>
  <w:style w:type="paragraph" w:customStyle="1" w:styleId="Box-Other-Bullets">
    <w:name w:val="Box - Other - Bullets"/>
    <w:basedOn w:val="TableTexLeft-Bullets"/>
    <w:qFormat/>
    <w:rsid w:val="00C74DAA"/>
  </w:style>
  <w:style w:type="paragraph" w:customStyle="1" w:styleId="FigureHeading">
    <w:name w:val="Figure Heading"/>
    <w:basedOn w:val="ChartMainHeading"/>
    <w:qFormat/>
    <w:rsid w:val="00512123"/>
  </w:style>
  <w:style w:type="paragraph" w:customStyle="1" w:styleId="ChartorTableNote">
    <w:name w:val="Chart or Table Note"/>
    <w:next w:val="Normal"/>
    <w:rsid w:val="003420AE"/>
    <w:pPr>
      <w:spacing w:after="0" w:line="240" w:lineRule="auto"/>
      <w:jc w:val="both"/>
    </w:pPr>
    <w:rPr>
      <w:rFonts w:ascii="Arial" w:eastAsia="Times New Roman" w:hAnsi="Arial" w:cs="Times New Roman"/>
      <w:color w:val="000000"/>
      <w:sz w:val="16"/>
      <w:szCs w:val="20"/>
      <w:lang w:eastAsia="en-AU"/>
    </w:rPr>
  </w:style>
  <w:style w:type="paragraph" w:customStyle="1" w:styleId="AttachmentHeading">
    <w:name w:val="Attachment Heading"/>
    <w:basedOn w:val="Heading1"/>
    <w:qFormat/>
    <w:rsid w:val="009C2C57"/>
    <w:pPr>
      <w:tabs>
        <w:tab w:val="left" w:pos="2892"/>
      </w:tabs>
      <w:ind w:left="2892" w:hanging="2892"/>
    </w:pPr>
  </w:style>
  <w:style w:type="paragraph" w:customStyle="1" w:styleId="TableTextLeft-AlphaNumbering">
    <w:name w:val="Table Text Left - Alpha Numbering"/>
    <w:basedOn w:val="TableTextLeft"/>
    <w:qFormat/>
    <w:rsid w:val="003943C6"/>
    <w:pPr>
      <w:numPr>
        <w:numId w:val="3"/>
      </w:numPr>
    </w:pPr>
  </w:style>
  <w:style w:type="paragraph" w:customStyle="1" w:styleId="TableTextCentre">
    <w:name w:val="Table Text Centre"/>
    <w:basedOn w:val="TableTextLeft"/>
    <w:qFormat/>
    <w:rsid w:val="00F5583F"/>
    <w:pPr>
      <w:jc w:val="center"/>
    </w:pPr>
  </w:style>
  <w:style w:type="paragraph" w:customStyle="1" w:styleId="TableColumnHeadingCentred">
    <w:name w:val="Table Column Heading Centred"/>
    <w:basedOn w:val="TableTextBase"/>
    <w:rsid w:val="003420AE"/>
    <w:pPr>
      <w:jc w:val="center"/>
    </w:pPr>
    <w:rPr>
      <w:b/>
    </w:rPr>
  </w:style>
  <w:style w:type="paragraph" w:customStyle="1" w:styleId="SingleParagraphDouble">
    <w:name w:val="Single Paragraph Double"/>
    <w:basedOn w:val="SingleParagraph"/>
    <w:qFormat/>
    <w:rsid w:val="00727215"/>
    <w:rPr>
      <w:sz w:val="44"/>
      <w:szCs w:val="40"/>
    </w:rPr>
  </w:style>
  <w:style w:type="paragraph" w:customStyle="1" w:styleId="TableTexLeft-Bullets">
    <w:name w:val="Table Tex Left - Bullets"/>
    <w:basedOn w:val="Bullet"/>
    <w:qFormat/>
    <w:rsid w:val="00F633CF"/>
    <w:pPr>
      <w:tabs>
        <w:tab w:val="clear" w:pos="425"/>
        <w:tab w:val="left" w:pos="319"/>
      </w:tabs>
      <w:spacing w:before="80" w:after="80" w:line="240" w:lineRule="exact"/>
      <w:ind w:left="318" w:hanging="318"/>
      <w:jc w:val="left"/>
    </w:pPr>
    <w:rPr>
      <w:rFonts w:ascii="Helvetica" w:eastAsia="Calibri" w:hAnsi="Helvetica"/>
      <w:color w:val="000000" w:themeColor="text1" w:themeShade="BF"/>
      <w:sz w:val="19"/>
      <w:szCs w:val="19"/>
    </w:rPr>
  </w:style>
  <w:style w:type="paragraph" w:customStyle="1" w:styleId="TableColumnSubHeadingLeft">
    <w:name w:val="Table Column Sub Heading Left"/>
    <w:basedOn w:val="TableColumnHeadingLeft"/>
    <w:qFormat/>
    <w:rsid w:val="009D0244"/>
    <w:rPr>
      <w:b w:val="0"/>
      <w:sz w:val="24"/>
      <w:szCs w:val="24"/>
    </w:rPr>
  </w:style>
  <w:style w:type="paragraph" w:customStyle="1" w:styleId="TableTextLeft-Dash">
    <w:name w:val="Table Text Left - Dash"/>
    <w:basedOn w:val="Dash"/>
    <w:qFormat/>
    <w:rsid w:val="00D9608F"/>
    <w:pPr>
      <w:numPr>
        <w:numId w:val="4"/>
      </w:numPr>
      <w:spacing w:before="80" w:after="80" w:line="240" w:lineRule="auto"/>
      <w:ind w:left="794" w:hanging="397"/>
    </w:pPr>
    <w:rPr>
      <w:color w:val="000000" w:themeColor="text1" w:themeShade="BF"/>
    </w:rPr>
  </w:style>
  <w:style w:type="paragraph" w:customStyle="1" w:styleId="HeaderEven">
    <w:name w:val="Header Even"/>
    <w:basedOn w:val="Header"/>
    <w:rsid w:val="003420AE"/>
  </w:style>
  <w:style w:type="paragraph" w:customStyle="1" w:styleId="HeaderOdd">
    <w:name w:val="Header Odd"/>
    <w:basedOn w:val="Header"/>
    <w:rsid w:val="003420AE"/>
    <w:pPr>
      <w:jc w:val="right"/>
    </w:pPr>
  </w:style>
  <w:style w:type="paragraph" w:customStyle="1" w:styleId="Default">
    <w:name w:val="Default"/>
    <w:rsid w:val="00EB1840"/>
    <w:pPr>
      <w:autoSpaceDE w:val="0"/>
      <w:autoSpaceDN w:val="0"/>
      <w:adjustRightInd w:val="0"/>
      <w:spacing w:after="0" w:line="240" w:lineRule="auto"/>
    </w:pPr>
    <w:rPr>
      <w:rFonts w:ascii="Calibri" w:hAnsi="Calibri" w:cs="Calibri"/>
      <w:color w:val="000000"/>
      <w:sz w:val="24"/>
      <w:szCs w:val="24"/>
    </w:rPr>
  </w:style>
  <w:style w:type="table" w:customStyle="1" w:styleId="Style1">
    <w:name w:val="Style1"/>
    <w:basedOn w:val="TableNormal"/>
    <w:uiPriority w:val="99"/>
    <w:rsid w:val="008514CD"/>
    <w:pPr>
      <w:spacing w:after="0" w:line="240" w:lineRule="auto"/>
    </w:pPr>
    <w:tblPr>
      <w:tblBorders>
        <w:top w:val="single" w:sz="4" w:space="0" w:color="auto"/>
        <w:bottom w:val="single" w:sz="4" w:space="0" w:color="auto"/>
      </w:tblBorders>
    </w:tblPr>
    <w:tcPr>
      <w:shd w:val="clear" w:color="auto" w:fill="auto"/>
    </w:tcPr>
  </w:style>
  <w:style w:type="paragraph" w:customStyle="1" w:styleId="SinglePara">
    <w:name w:val="Single Para"/>
    <w:basedOn w:val="Normal"/>
    <w:rsid w:val="00371D18"/>
    <w:pPr>
      <w:spacing w:after="0" w:line="240" w:lineRule="auto"/>
    </w:pPr>
    <w:rPr>
      <w:rFonts w:ascii="Times New Roman" w:hAnsi="Times New Roman"/>
      <w:sz w:val="20"/>
    </w:rPr>
  </w:style>
  <w:style w:type="table" w:styleId="MediumShading1">
    <w:name w:val="Medium Shading 1"/>
    <w:basedOn w:val="TableNormal"/>
    <w:uiPriority w:val="63"/>
    <w:rsid w:val="00384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
    <w:name w:val="Medium Grid 3"/>
    <w:basedOn w:val="TableNormal"/>
    <w:uiPriority w:val="69"/>
    <w:rsid w:val="00384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CRISbody">
    <w:name w:val="CRIS body"/>
    <w:basedOn w:val="Normal"/>
    <w:qFormat/>
    <w:rsid w:val="00C54F85"/>
    <w:pPr>
      <w:widowControl w:val="0"/>
      <w:autoSpaceDE w:val="0"/>
      <w:autoSpaceDN w:val="0"/>
      <w:adjustRightInd w:val="0"/>
    </w:pPr>
    <w:rPr>
      <w:rFonts w:eastAsia="SimSun"/>
      <w:iCs/>
      <w:sz w:val="24"/>
      <w:szCs w:val="24"/>
    </w:rPr>
  </w:style>
  <w:style w:type="character" w:customStyle="1" w:styleId="plaintextparagraph2">
    <w:name w:val="plaintextparagraph2"/>
    <w:basedOn w:val="DefaultParagraphFont"/>
    <w:rsid w:val="000746AD"/>
    <w:rPr>
      <w:rFonts w:ascii="Arial" w:hAnsi="Arial" w:cs="Arial" w:hint="default"/>
      <w:b w:val="0"/>
      <w:bCs w:val="0"/>
      <w:caps w:val="0"/>
      <w:color w:val="000000"/>
      <w:sz w:val="18"/>
      <w:szCs w:val="18"/>
      <w:bdr w:val="none" w:sz="0" w:space="0" w:color="auto" w:frame="1"/>
    </w:rPr>
  </w:style>
  <w:style w:type="paragraph" w:customStyle="1" w:styleId="BodyTextCabNumbered">
    <w:name w:val="Body Text Cab Numbered"/>
    <w:basedOn w:val="BodyText"/>
    <w:link w:val="BodyTextCabNumberedChar"/>
    <w:uiPriority w:val="98"/>
    <w:rsid w:val="00E9028C"/>
    <w:pPr>
      <w:numPr>
        <w:numId w:val="0"/>
      </w:numPr>
      <w:tabs>
        <w:tab w:val="num" w:pos="142"/>
        <w:tab w:val="left" w:pos="567"/>
      </w:tabs>
      <w:spacing w:before="120" w:line="240" w:lineRule="auto"/>
      <w:ind w:left="142"/>
    </w:pPr>
    <w:rPr>
      <w:rFonts w:ascii="Arial" w:eastAsiaTheme="minorHAnsi" w:hAnsi="Arial" w:cstheme="minorBidi"/>
      <w:lang w:eastAsia="en-US"/>
    </w:rPr>
  </w:style>
  <w:style w:type="character" w:customStyle="1" w:styleId="BodyTextCabNumberedChar">
    <w:name w:val="Body Text Cab Numbered Char"/>
    <w:basedOn w:val="DefaultParagraphFont"/>
    <w:link w:val="BodyTextCabNumbered"/>
    <w:uiPriority w:val="98"/>
    <w:rsid w:val="00E9028C"/>
    <w:rPr>
      <w:rFonts w:ascii="Arial" w:hAnsi="Arial"/>
    </w:rPr>
  </w:style>
  <w:style w:type="character" w:customStyle="1" w:styleId="Heading5Char">
    <w:name w:val="Heading 5 Char"/>
    <w:basedOn w:val="DefaultParagraphFont"/>
    <w:link w:val="Heading5"/>
    <w:rsid w:val="00530271"/>
    <w:rPr>
      <w:rFonts w:ascii="Century Gothic" w:eastAsia="Times New Roman" w:hAnsi="Century Gothic" w:cs="Times New Roman"/>
      <w:b/>
      <w:bCs/>
      <w:iCs/>
      <w:color w:val="1F497D" w:themeColor="text2"/>
      <w:sz w:val="20"/>
      <w:szCs w:val="20"/>
      <w:lang w:eastAsia="en-AU"/>
    </w:rPr>
  </w:style>
  <w:style w:type="table" w:styleId="MediumList1">
    <w:name w:val="Medium List 1"/>
    <w:basedOn w:val="TableNormal"/>
    <w:uiPriority w:val="65"/>
    <w:rsid w:val="002E42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J-Table">
    <w:name w:val="J-Table"/>
    <w:basedOn w:val="Style1"/>
    <w:uiPriority w:val="99"/>
    <w:rsid w:val="005956BB"/>
    <w:tblPr/>
    <w:tcPr>
      <w:shd w:val="clear" w:color="auto" w:fill="auto"/>
    </w:tcPr>
  </w:style>
  <w:style w:type="character" w:styleId="FollowedHyperlink">
    <w:name w:val="FollowedHyperlink"/>
    <w:basedOn w:val="DefaultParagraphFont"/>
    <w:rsid w:val="003420AE"/>
    <w:rPr>
      <w:color w:val="auto"/>
      <w:u w:val="none"/>
    </w:rPr>
  </w:style>
  <w:style w:type="character" w:customStyle="1" w:styleId="ListParagraphChar">
    <w:name w:val="List Paragraph Char"/>
    <w:aliases w:val="List Bullet Cab Char"/>
    <w:basedOn w:val="DefaultParagraphFont"/>
    <w:link w:val="ListParagraph"/>
    <w:uiPriority w:val="34"/>
    <w:rsid w:val="00252C0A"/>
  </w:style>
  <w:style w:type="table" w:styleId="LightShading-Accent1">
    <w:name w:val="Light Shading Accent 1"/>
    <w:basedOn w:val="TableNormal"/>
    <w:uiPriority w:val="60"/>
    <w:rsid w:val="008A462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ABNETParagraphAtt">
    <w:name w:val="CABNET Paragraph Att"/>
    <w:basedOn w:val="Normal"/>
    <w:link w:val="CABNETParagraphAttChar"/>
    <w:qFormat/>
    <w:rsid w:val="005F2438"/>
    <w:pPr>
      <w:spacing w:before="120" w:after="120" w:line="240" w:lineRule="auto"/>
    </w:pPr>
    <w:rPr>
      <w:rFonts w:ascii="Arial" w:hAnsi="Arial"/>
      <w:szCs w:val="24"/>
    </w:rPr>
  </w:style>
  <w:style w:type="character" w:customStyle="1" w:styleId="CABNETParagraphAttChar">
    <w:name w:val="CABNET Paragraph Att Char"/>
    <w:link w:val="CABNETParagraphAtt"/>
    <w:rsid w:val="005F2438"/>
    <w:rPr>
      <w:rFonts w:ascii="Arial" w:eastAsia="Times New Roman" w:hAnsi="Arial" w:cs="Times New Roman"/>
      <w:szCs w:val="24"/>
      <w:lang w:eastAsia="en-AU"/>
    </w:rPr>
  </w:style>
  <w:style w:type="numbering" w:customStyle="1" w:styleId="Bulletlist">
    <w:name w:val="Bullet list"/>
    <w:uiPriority w:val="99"/>
    <w:rsid w:val="005F2438"/>
    <w:pPr>
      <w:numPr>
        <w:numId w:val="6"/>
      </w:numPr>
    </w:pPr>
  </w:style>
  <w:style w:type="paragraph" w:customStyle="1" w:styleId="Bullet2">
    <w:name w:val="Bullet 2"/>
    <w:basedOn w:val="Normal"/>
    <w:qFormat/>
    <w:rsid w:val="005F2438"/>
    <w:pPr>
      <w:tabs>
        <w:tab w:val="left" w:pos="284"/>
        <w:tab w:val="num" w:pos="568"/>
      </w:tabs>
      <w:spacing w:after="120" w:line="240" w:lineRule="auto"/>
      <w:ind w:left="568" w:hanging="284"/>
    </w:pPr>
    <w:rPr>
      <w:rFonts w:eastAsia="Calibri"/>
    </w:rPr>
  </w:style>
  <w:style w:type="paragraph" w:customStyle="1" w:styleId="Bullet3">
    <w:name w:val="Bullet 3"/>
    <w:basedOn w:val="Normal"/>
    <w:qFormat/>
    <w:rsid w:val="005F2438"/>
    <w:pPr>
      <w:tabs>
        <w:tab w:val="left" w:pos="284"/>
        <w:tab w:val="num" w:pos="852"/>
      </w:tabs>
      <w:spacing w:after="120" w:line="240" w:lineRule="auto"/>
      <w:ind w:left="852" w:hanging="284"/>
    </w:pPr>
    <w:rPr>
      <w:rFonts w:eastAsia="Calibri"/>
    </w:rPr>
  </w:style>
  <w:style w:type="character" w:styleId="Emphasis">
    <w:name w:val="Emphasis"/>
    <w:basedOn w:val="DefaultParagraphFont"/>
    <w:uiPriority w:val="20"/>
    <w:qFormat/>
    <w:rsid w:val="0006685D"/>
    <w:rPr>
      <w:i/>
      <w:iCs/>
    </w:rPr>
  </w:style>
  <w:style w:type="paragraph" w:styleId="Caption">
    <w:name w:val="caption"/>
    <w:basedOn w:val="Normal"/>
    <w:next w:val="Normal"/>
    <w:uiPriority w:val="35"/>
    <w:unhideWhenUsed/>
    <w:qFormat/>
    <w:rsid w:val="00B55D6D"/>
    <w:pPr>
      <w:spacing w:line="240" w:lineRule="auto"/>
    </w:pPr>
    <w:rPr>
      <w:b/>
      <w:bCs/>
      <w:color w:val="4F81BD" w:themeColor="accent1"/>
      <w:sz w:val="18"/>
      <w:szCs w:val="18"/>
    </w:rPr>
  </w:style>
  <w:style w:type="character" w:customStyle="1" w:styleId="Heading6Char">
    <w:name w:val="Heading 6 Char"/>
    <w:basedOn w:val="DefaultParagraphFont"/>
    <w:link w:val="Heading6"/>
    <w:rsid w:val="003420AE"/>
    <w:rPr>
      <w:rFonts w:ascii="Century Gothic" w:eastAsia="Times New Roman" w:hAnsi="Century Gothic" w:cs="Times New Roman"/>
      <w:bCs/>
      <w:color w:val="1F497D" w:themeColor="text2"/>
      <w:sz w:val="20"/>
      <w:lang w:eastAsia="en-AU"/>
    </w:rPr>
  </w:style>
  <w:style w:type="character" w:customStyle="1" w:styleId="Heading7Char">
    <w:name w:val="Heading 7 Char"/>
    <w:basedOn w:val="DefaultParagraphFont"/>
    <w:link w:val="Heading7"/>
    <w:rsid w:val="003420AE"/>
    <w:rPr>
      <w:rFonts w:ascii="Century Gothic" w:eastAsia="Times New Roman" w:hAnsi="Century Gothic" w:cs="Times New Roman"/>
      <w:color w:val="1F497D" w:themeColor="text2"/>
      <w:sz w:val="20"/>
      <w:szCs w:val="24"/>
      <w:lang w:eastAsia="en-AU"/>
    </w:rPr>
  </w:style>
  <w:style w:type="character" w:customStyle="1" w:styleId="Heading8Char">
    <w:name w:val="Heading 8 Char"/>
    <w:basedOn w:val="DefaultParagraphFont"/>
    <w:link w:val="Heading8"/>
    <w:rsid w:val="003420AE"/>
    <w:rPr>
      <w:rFonts w:ascii="Century Gothic" w:eastAsia="Times New Roman" w:hAnsi="Century Gothic" w:cs="Times New Roman"/>
      <w:iCs/>
      <w:color w:val="1F497D" w:themeColor="text2"/>
      <w:sz w:val="20"/>
      <w:szCs w:val="24"/>
      <w:lang w:eastAsia="en-AU"/>
    </w:rPr>
  </w:style>
  <w:style w:type="character" w:customStyle="1" w:styleId="Heading9Char">
    <w:name w:val="Heading 9 Char"/>
    <w:basedOn w:val="DefaultParagraphFont"/>
    <w:link w:val="Heading9"/>
    <w:rsid w:val="003420AE"/>
    <w:rPr>
      <w:rFonts w:ascii="Century Gothic" w:eastAsia="Times New Roman" w:hAnsi="Century Gothic" w:cs="Arial"/>
      <w:color w:val="1F497D" w:themeColor="text2"/>
      <w:sz w:val="20"/>
      <w:lang w:eastAsia="en-AU"/>
    </w:rPr>
  </w:style>
  <w:style w:type="character" w:customStyle="1" w:styleId="BoldandItalic">
    <w:name w:val="Bold and Italic"/>
    <w:basedOn w:val="DefaultParagraphFont"/>
    <w:rsid w:val="003420AE"/>
    <w:rPr>
      <w:rFonts w:ascii="Arial" w:hAnsi="Arial"/>
      <w:b/>
      <w:i/>
    </w:rPr>
  </w:style>
  <w:style w:type="character" w:styleId="PageNumber">
    <w:name w:val="page number"/>
    <w:basedOn w:val="DefaultParagraphFont"/>
    <w:rsid w:val="003420AE"/>
    <w:rPr>
      <w:rFonts w:ascii="Book Antiqua" w:hAnsi="Book Antiqua"/>
      <w:sz w:val="18"/>
    </w:rPr>
  </w:style>
  <w:style w:type="paragraph" w:customStyle="1" w:styleId="AlphaParagraph">
    <w:name w:val="Alpha Paragraph"/>
    <w:basedOn w:val="Normal"/>
    <w:rsid w:val="003420AE"/>
    <w:pPr>
      <w:numPr>
        <w:numId w:val="8"/>
      </w:numPr>
      <w:tabs>
        <w:tab w:val="clear" w:pos="567"/>
        <w:tab w:val="num" w:pos="283"/>
      </w:tabs>
      <w:ind w:left="283" w:hanging="283"/>
    </w:pPr>
  </w:style>
  <w:style w:type="paragraph" w:customStyle="1" w:styleId="HeadingBase">
    <w:name w:val="Heading Base"/>
    <w:next w:val="Normal"/>
    <w:rsid w:val="003420AE"/>
    <w:pPr>
      <w:keepNext/>
      <w:spacing w:after="0" w:line="240" w:lineRule="auto"/>
    </w:pPr>
    <w:rPr>
      <w:rFonts w:ascii="Century Gothic" w:eastAsia="Times New Roman" w:hAnsi="Century Gothic" w:cs="Times New Roman"/>
      <w:color w:val="1F497D" w:themeColor="text2"/>
      <w:sz w:val="20"/>
      <w:szCs w:val="20"/>
      <w:lang w:eastAsia="en-AU"/>
    </w:rPr>
  </w:style>
  <w:style w:type="paragraph" w:customStyle="1" w:styleId="AppendixHeading">
    <w:name w:val="Appendix Heading"/>
    <w:basedOn w:val="HeadingBase"/>
    <w:next w:val="Normal"/>
    <w:rsid w:val="003420AE"/>
    <w:pPr>
      <w:spacing w:before="720" w:after="360"/>
    </w:pPr>
    <w:rPr>
      <w:rFonts w:ascii="Arial Bold" w:hAnsi="Arial Bold"/>
      <w:b/>
      <w:smallCaps/>
      <w:sz w:val="36"/>
      <w:szCs w:val="36"/>
    </w:rPr>
  </w:style>
  <w:style w:type="character" w:customStyle="1" w:styleId="Bold">
    <w:name w:val="Bold"/>
    <w:basedOn w:val="DefaultParagraphFont"/>
    <w:rsid w:val="003420AE"/>
    <w:rPr>
      <w:b/>
    </w:rPr>
  </w:style>
  <w:style w:type="paragraph" w:customStyle="1" w:styleId="BoxHeading">
    <w:name w:val="Box Heading"/>
    <w:basedOn w:val="HeadingBase"/>
    <w:next w:val="BoxText"/>
    <w:rsid w:val="003420AE"/>
    <w:pPr>
      <w:numPr>
        <w:numId w:val="16"/>
      </w:numPr>
      <w:spacing w:before="120" w:after="120"/>
    </w:pPr>
    <w:rPr>
      <w:b/>
      <w:sz w:val="22"/>
    </w:rPr>
  </w:style>
  <w:style w:type="paragraph" w:customStyle="1" w:styleId="BoxTextBase">
    <w:name w:val="Box Text Base"/>
    <w:basedOn w:val="Normal"/>
    <w:rsid w:val="003420AE"/>
    <w:pPr>
      <w:spacing w:line="240" w:lineRule="auto"/>
    </w:pPr>
    <w:rPr>
      <w:color w:val="000080"/>
    </w:rPr>
  </w:style>
  <w:style w:type="paragraph" w:customStyle="1" w:styleId="ChartandTableFootnoteAlpha">
    <w:name w:val="Chart and Table Footnote Alpha"/>
    <w:rsid w:val="003420AE"/>
    <w:pPr>
      <w:numPr>
        <w:numId w:val="9"/>
      </w:numPr>
      <w:spacing w:after="0" w:line="240" w:lineRule="auto"/>
      <w:jc w:val="both"/>
    </w:pPr>
    <w:rPr>
      <w:rFonts w:ascii="Arial" w:eastAsia="Times New Roman" w:hAnsi="Arial" w:cs="Times New Roman"/>
      <w:color w:val="000000"/>
      <w:sz w:val="16"/>
      <w:szCs w:val="16"/>
      <w:lang w:eastAsia="en-AU"/>
    </w:rPr>
  </w:style>
  <w:style w:type="paragraph" w:customStyle="1" w:styleId="ChartSecondHeading">
    <w:name w:val="Chart Second Heading"/>
    <w:basedOn w:val="HeadingBase"/>
    <w:next w:val="ChartGraphic"/>
    <w:rsid w:val="003420AE"/>
    <w:pPr>
      <w:spacing w:after="20"/>
      <w:jc w:val="center"/>
    </w:pPr>
  </w:style>
  <w:style w:type="paragraph" w:customStyle="1" w:styleId="Classification">
    <w:name w:val="Classification"/>
    <w:basedOn w:val="HeadingBase"/>
    <w:next w:val="Footer"/>
    <w:rsid w:val="003420AE"/>
    <w:pPr>
      <w:spacing w:after="120"/>
      <w:jc w:val="center"/>
    </w:pPr>
    <w:rPr>
      <w:b/>
      <w:smallCaps/>
    </w:rPr>
  </w:style>
  <w:style w:type="paragraph" w:customStyle="1" w:styleId="ContentsHeading">
    <w:name w:val="Contents Heading"/>
    <w:basedOn w:val="HeadingBase"/>
    <w:next w:val="Normal"/>
    <w:rsid w:val="00F21DD0"/>
    <w:pPr>
      <w:pBdr>
        <w:bottom w:val="single" w:sz="4" w:space="12" w:color="1F497D" w:themeColor="text2"/>
      </w:pBdr>
      <w:spacing w:after="360"/>
      <w:jc w:val="center"/>
    </w:pPr>
    <w:rPr>
      <w:b/>
      <w:smallCaps/>
      <w:sz w:val="36"/>
      <w:szCs w:val="36"/>
    </w:rPr>
  </w:style>
  <w:style w:type="paragraph" w:customStyle="1" w:styleId="FooterCentered">
    <w:name w:val="Footer Centered"/>
    <w:basedOn w:val="Footer"/>
    <w:rsid w:val="003420AE"/>
    <w:pPr>
      <w:jc w:val="center"/>
    </w:pPr>
    <w:rPr>
      <w:rFonts w:ascii="Book Antiqua" w:hAnsi="Book Antiqua"/>
      <w:sz w:val="22"/>
    </w:rPr>
  </w:style>
  <w:style w:type="character" w:customStyle="1" w:styleId="FramedFooter">
    <w:name w:val="Framed Footer"/>
    <w:rsid w:val="003420AE"/>
    <w:rPr>
      <w:rFonts w:ascii="Arial" w:hAnsi="Arial"/>
      <w:sz w:val="18"/>
    </w:rPr>
  </w:style>
  <w:style w:type="character" w:customStyle="1" w:styleId="FramedHeader">
    <w:name w:val="Framed Header"/>
    <w:basedOn w:val="DefaultParagraphFont"/>
    <w:rsid w:val="003420AE"/>
    <w:rPr>
      <w:rFonts w:ascii="Arial" w:hAnsi="Arial"/>
      <w:dstrike w:val="0"/>
      <w:color w:val="auto"/>
      <w:sz w:val="18"/>
      <w:vertAlign w:val="baseline"/>
    </w:rPr>
  </w:style>
  <w:style w:type="paragraph" w:styleId="NormalIndent">
    <w:name w:val="Normal Indent"/>
    <w:basedOn w:val="Normal"/>
    <w:rsid w:val="0021601B"/>
    <w:pPr>
      <w:ind w:left="851"/>
    </w:pPr>
  </w:style>
  <w:style w:type="paragraph" w:customStyle="1" w:styleId="RecommendationHeading">
    <w:name w:val="Recommendation Heading"/>
    <w:basedOn w:val="HeadingBase"/>
    <w:next w:val="RecommendationText"/>
    <w:rsid w:val="003420AE"/>
    <w:pPr>
      <w:numPr>
        <w:numId w:val="13"/>
      </w:numPr>
      <w:spacing w:before="120" w:after="240"/>
    </w:pPr>
    <w:rPr>
      <w:b/>
      <w:sz w:val="22"/>
    </w:rPr>
  </w:style>
  <w:style w:type="paragraph" w:customStyle="1" w:styleId="RecommendationTextBase">
    <w:name w:val="Recommendation Text Base"/>
    <w:basedOn w:val="Normal"/>
    <w:rsid w:val="003420AE"/>
  </w:style>
  <w:style w:type="paragraph" w:customStyle="1" w:styleId="RecommendationText">
    <w:name w:val="Recommendation Text"/>
    <w:basedOn w:val="RecommendationTextBase"/>
    <w:rsid w:val="003420AE"/>
  </w:style>
  <w:style w:type="paragraph" w:customStyle="1" w:styleId="TableTextBase">
    <w:name w:val="Table Text Base"/>
    <w:rsid w:val="003420AE"/>
    <w:pPr>
      <w:spacing w:before="40" w:after="40" w:line="240" w:lineRule="auto"/>
    </w:pPr>
    <w:rPr>
      <w:rFonts w:ascii="Arial" w:eastAsia="Times New Roman" w:hAnsi="Arial" w:cs="Times New Roman"/>
      <w:color w:val="000000"/>
      <w:sz w:val="16"/>
      <w:szCs w:val="20"/>
      <w:lang w:eastAsia="en-AU"/>
    </w:rPr>
  </w:style>
  <w:style w:type="paragraph" w:customStyle="1" w:styleId="TableColumnHeadingRight">
    <w:name w:val="Table Column Heading Right"/>
    <w:basedOn w:val="TableTextBase"/>
    <w:rsid w:val="003420AE"/>
    <w:pPr>
      <w:jc w:val="right"/>
    </w:pPr>
    <w:rPr>
      <w:b/>
    </w:rPr>
  </w:style>
  <w:style w:type="paragraph" w:customStyle="1" w:styleId="TableGraphic">
    <w:name w:val="Table Graphic"/>
    <w:basedOn w:val="HeadingBase"/>
    <w:next w:val="Normal"/>
    <w:rsid w:val="003420AE"/>
  </w:style>
  <w:style w:type="paragraph" w:customStyle="1" w:styleId="TableMainHeadingContd">
    <w:name w:val="Table Main Heading Contd"/>
    <w:basedOn w:val="HeadingBase"/>
    <w:next w:val="TableGraphic"/>
    <w:rsid w:val="003420AE"/>
    <w:pPr>
      <w:spacing w:after="20"/>
    </w:pPr>
    <w:rPr>
      <w:b/>
      <w:sz w:val="22"/>
    </w:rPr>
  </w:style>
  <w:style w:type="paragraph" w:customStyle="1" w:styleId="TableSecondHeading">
    <w:name w:val="Table Second Heading"/>
    <w:basedOn w:val="HeadingBase"/>
    <w:next w:val="TableGraphic"/>
    <w:rsid w:val="003420AE"/>
    <w:pPr>
      <w:spacing w:after="20"/>
    </w:pPr>
  </w:style>
  <w:style w:type="paragraph" w:customStyle="1" w:styleId="TableTextCentered">
    <w:name w:val="Table Text Centered"/>
    <w:basedOn w:val="TableTextBase"/>
    <w:rsid w:val="003420AE"/>
    <w:pPr>
      <w:jc w:val="center"/>
    </w:pPr>
  </w:style>
  <w:style w:type="paragraph" w:customStyle="1" w:styleId="TableTextIndented">
    <w:name w:val="Table Text Indented"/>
    <w:basedOn w:val="TableTextBase"/>
    <w:rsid w:val="00673E48"/>
    <w:pPr>
      <w:spacing w:before="80" w:after="80" w:line="240" w:lineRule="exact"/>
      <w:ind w:left="397"/>
    </w:pPr>
    <w:rPr>
      <w:rFonts w:ascii="Helvetica" w:hAnsi="Helvetica"/>
      <w:sz w:val="19"/>
    </w:rPr>
  </w:style>
  <w:style w:type="paragraph" w:customStyle="1" w:styleId="TableTextRight">
    <w:name w:val="Table Text Right"/>
    <w:basedOn w:val="TableTextBase"/>
    <w:rsid w:val="003420AE"/>
    <w:pPr>
      <w:jc w:val="right"/>
    </w:pPr>
  </w:style>
  <w:style w:type="paragraph" w:styleId="TOC4">
    <w:name w:val="toc 4"/>
    <w:basedOn w:val="Normal"/>
    <w:next w:val="Normal"/>
    <w:rsid w:val="003420AE"/>
    <w:pPr>
      <w:tabs>
        <w:tab w:val="right" w:leader="dot" w:pos="9072"/>
      </w:tabs>
      <w:spacing w:after="0" w:line="240" w:lineRule="auto"/>
      <w:ind w:left="284" w:right="851"/>
    </w:pPr>
  </w:style>
  <w:style w:type="character" w:customStyle="1" w:styleId="italic">
    <w:name w:val="italic"/>
    <w:basedOn w:val="DefaultParagraphFont"/>
    <w:rsid w:val="003420AE"/>
    <w:rPr>
      <w:i/>
    </w:rPr>
  </w:style>
  <w:style w:type="paragraph" w:customStyle="1" w:styleId="OneLevelNumberedParagraph">
    <w:name w:val="One Level Numbered Paragraph"/>
    <w:basedOn w:val="Normal"/>
    <w:rsid w:val="003420AE"/>
    <w:pPr>
      <w:numPr>
        <w:numId w:val="11"/>
      </w:numPr>
    </w:pPr>
  </w:style>
  <w:style w:type="paragraph" w:customStyle="1" w:styleId="BoxText">
    <w:name w:val="Box Text"/>
    <w:basedOn w:val="BoxTextBase"/>
    <w:rsid w:val="00115B57"/>
    <w:pPr>
      <w:spacing w:before="120" w:after="120" w:line="300" w:lineRule="auto"/>
      <w:ind w:left="425"/>
    </w:pPr>
    <w:rPr>
      <w:rFonts w:ascii="Helvetica" w:hAnsi="Helvetica"/>
      <w:color w:val="auto"/>
      <w:sz w:val="20"/>
    </w:rPr>
  </w:style>
  <w:style w:type="paragraph" w:customStyle="1" w:styleId="BoxBullet">
    <w:name w:val="Box Bullet"/>
    <w:basedOn w:val="BoxTextBase"/>
    <w:rsid w:val="00E57739"/>
    <w:pPr>
      <w:numPr>
        <w:numId w:val="10"/>
      </w:numPr>
      <w:tabs>
        <w:tab w:val="clear" w:pos="283"/>
        <w:tab w:val="num" w:pos="851"/>
      </w:tabs>
      <w:spacing w:before="120" w:after="120" w:line="300" w:lineRule="auto"/>
      <w:ind w:left="851" w:hanging="425"/>
    </w:pPr>
    <w:rPr>
      <w:rFonts w:ascii="Helvetica" w:hAnsi="Helvetica"/>
      <w:color w:val="auto"/>
      <w:sz w:val="20"/>
    </w:rPr>
  </w:style>
  <w:style w:type="paragraph" w:customStyle="1" w:styleId="BoxDash">
    <w:name w:val="Box Dash"/>
    <w:basedOn w:val="BoxTextBase"/>
    <w:rsid w:val="003420AE"/>
    <w:pPr>
      <w:numPr>
        <w:ilvl w:val="1"/>
        <w:numId w:val="10"/>
      </w:numPr>
    </w:pPr>
  </w:style>
  <w:style w:type="paragraph" w:customStyle="1" w:styleId="BoxDoubleDot">
    <w:name w:val="Box Double Dot"/>
    <w:basedOn w:val="BoxTextBase"/>
    <w:rsid w:val="003420AE"/>
    <w:pPr>
      <w:numPr>
        <w:ilvl w:val="2"/>
        <w:numId w:val="10"/>
      </w:numPr>
    </w:pPr>
  </w:style>
  <w:style w:type="paragraph" w:customStyle="1" w:styleId="RecommendationBullet">
    <w:name w:val="Recommendation Bullet"/>
    <w:basedOn w:val="RecommendationTextBase"/>
    <w:rsid w:val="003420AE"/>
    <w:pPr>
      <w:numPr>
        <w:numId w:val="12"/>
      </w:numPr>
    </w:pPr>
  </w:style>
  <w:style w:type="paragraph" w:customStyle="1" w:styleId="RecommendationDash">
    <w:name w:val="Recommendation Dash"/>
    <w:basedOn w:val="RecommendationTextBase"/>
    <w:rsid w:val="003420AE"/>
    <w:pPr>
      <w:numPr>
        <w:ilvl w:val="1"/>
        <w:numId w:val="12"/>
      </w:numPr>
    </w:pPr>
  </w:style>
  <w:style w:type="paragraph" w:customStyle="1" w:styleId="RecommendationDoubleDot">
    <w:name w:val="Recommendation Double Dot"/>
    <w:basedOn w:val="RecommendationTextBase"/>
    <w:rsid w:val="003420AE"/>
    <w:pPr>
      <w:numPr>
        <w:ilvl w:val="2"/>
        <w:numId w:val="12"/>
      </w:numPr>
    </w:pPr>
  </w:style>
  <w:style w:type="paragraph" w:customStyle="1" w:styleId="Disclaimer">
    <w:name w:val="Disclaimer"/>
    <w:basedOn w:val="HeadingBase"/>
    <w:rsid w:val="003420AE"/>
    <w:pPr>
      <w:spacing w:after="240"/>
    </w:pPr>
    <w:rPr>
      <w:b/>
      <w:sz w:val="22"/>
    </w:rPr>
  </w:style>
  <w:style w:type="character" w:customStyle="1" w:styleId="EmailStyle84">
    <w:name w:val="EmailStyle84"/>
    <w:basedOn w:val="DefaultParagraphFont"/>
    <w:semiHidden/>
    <w:rsid w:val="003420AE"/>
    <w:rPr>
      <w:rFonts w:ascii="Arial" w:hAnsi="Arial" w:cs="Arial"/>
      <w:color w:val="auto"/>
      <w:sz w:val="20"/>
      <w:szCs w:val="20"/>
    </w:rPr>
  </w:style>
  <w:style w:type="character" w:customStyle="1" w:styleId="Italics">
    <w:name w:val="Italics"/>
    <w:basedOn w:val="DefaultParagraphFont"/>
    <w:rsid w:val="003420AE"/>
    <w:rPr>
      <w:i/>
    </w:rPr>
  </w:style>
  <w:style w:type="paragraph" w:customStyle="1" w:styleId="NotesHeading">
    <w:name w:val="Notes Heading"/>
    <w:basedOn w:val="ContentsHeading"/>
    <w:rsid w:val="003420AE"/>
    <w:pPr>
      <w:spacing w:before="240"/>
    </w:pPr>
  </w:style>
  <w:style w:type="paragraph" w:customStyle="1" w:styleId="BoxHeadingnonumber">
    <w:name w:val="Box Heading no number"/>
    <w:basedOn w:val="BoxHeading"/>
    <w:next w:val="BoxText"/>
    <w:qFormat/>
    <w:rsid w:val="003420AE"/>
    <w:pPr>
      <w:numPr>
        <w:numId w:val="0"/>
      </w:numPr>
    </w:pPr>
  </w:style>
  <w:style w:type="numbering" w:customStyle="1" w:styleId="Outlinenumbering">
    <w:name w:val="Outline numbering"/>
    <w:uiPriority w:val="99"/>
    <w:rsid w:val="003420AE"/>
    <w:pPr>
      <w:numPr>
        <w:numId w:val="14"/>
      </w:numPr>
    </w:pPr>
  </w:style>
  <w:style w:type="numbering" w:customStyle="1" w:styleId="Optionboxheading">
    <w:name w:val="Option box heading"/>
    <w:uiPriority w:val="99"/>
    <w:rsid w:val="003420AE"/>
    <w:pPr>
      <w:numPr>
        <w:numId w:val="16"/>
      </w:numPr>
    </w:pPr>
  </w:style>
  <w:style w:type="paragraph" w:customStyle="1" w:styleId="Heading3-Numbered">
    <w:name w:val="Heading 3 - Numbered"/>
    <w:basedOn w:val="Heading3"/>
    <w:rsid w:val="007564EF"/>
    <w:pPr>
      <w:numPr>
        <w:ilvl w:val="6"/>
        <w:numId w:val="17"/>
      </w:numPr>
      <w:tabs>
        <w:tab w:val="left" w:pos="426"/>
      </w:tabs>
      <w:ind w:left="426" w:hanging="426"/>
    </w:pPr>
  </w:style>
  <w:style w:type="paragraph" w:customStyle="1" w:styleId="Heading3-NoTOC">
    <w:name w:val="Heading 3 - No TOC"/>
    <w:basedOn w:val="Heading3"/>
    <w:rsid w:val="00F740FA"/>
    <w:pPr>
      <w:spacing w:before="240"/>
      <w:outlineLvl w:val="9"/>
    </w:pPr>
    <w:rPr>
      <w:sz w:val="30"/>
    </w:rPr>
  </w:style>
  <w:style w:type="paragraph" w:customStyle="1" w:styleId="Heading2-NoTOC">
    <w:name w:val="Heading 2 - No TOC"/>
    <w:basedOn w:val="Heading2"/>
    <w:rsid w:val="00F740FA"/>
    <w:pPr>
      <w:outlineLvl w:val="9"/>
    </w:pPr>
  </w:style>
  <w:style w:type="paragraph" w:customStyle="1" w:styleId="Normal-Hanging">
    <w:name w:val="Normal - Hanging"/>
    <w:basedOn w:val="Normal"/>
    <w:rsid w:val="0021601B"/>
    <w:pPr>
      <w:tabs>
        <w:tab w:val="left" w:pos="851"/>
      </w:tabs>
      <w:ind w:left="851" w:hanging="851"/>
    </w:pPr>
  </w:style>
  <w:style w:type="paragraph" w:customStyle="1" w:styleId="Bullet-Indent">
    <w:name w:val="Bullet - Indent"/>
    <w:basedOn w:val="Bullet"/>
    <w:rsid w:val="0021601B"/>
    <w:pPr>
      <w:tabs>
        <w:tab w:val="clear" w:pos="425"/>
        <w:tab w:val="num" w:pos="1276"/>
      </w:tabs>
      <w:ind w:left="1276"/>
    </w:pPr>
  </w:style>
  <w:style w:type="table" w:customStyle="1" w:styleId="boxQuestions0">
    <w:name w:val="boxQuestions"/>
    <w:basedOn w:val="TableNormal"/>
    <w:uiPriority w:val="99"/>
    <w:rsid w:val="006D6F65"/>
    <w:pPr>
      <w:spacing w:after="0" w:line="240" w:lineRule="auto"/>
    </w:pPr>
    <w:tblPr/>
  </w:style>
  <w:style w:type="table" w:customStyle="1" w:styleId="tableASIC">
    <w:name w:val="tableASIC"/>
    <w:basedOn w:val="TableNormal"/>
    <w:uiPriority w:val="99"/>
    <w:rsid w:val="00454068"/>
    <w:pPr>
      <w:spacing w:after="0" w:line="240" w:lineRule="auto"/>
    </w:pPr>
    <w:tblPr/>
  </w:style>
  <w:style w:type="paragraph" w:customStyle="1" w:styleId="sourcenotefullwidth">
    <w:name w:val="source note full width"/>
    <w:rsid w:val="00675FF0"/>
    <w:pPr>
      <w:spacing w:before="120" w:after="0" w:line="240" w:lineRule="auto"/>
    </w:pPr>
    <w:rPr>
      <w:rFonts w:ascii="Arial" w:eastAsia="Times New Roman" w:hAnsi="Arial" w:cs="Times New Roman"/>
      <w:sz w:val="16"/>
      <w:lang w:eastAsia="en-AU"/>
    </w:rPr>
  </w:style>
  <w:style w:type="paragraph" w:customStyle="1" w:styleId="tabletitlefullwidth">
    <w:name w:val="table title full width"/>
    <w:basedOn w:val="Normal"/>
    <w:rsid w:val="00675FF0"/>
    <w:pPr>
      <w:keepNext/>
      <w:spacing w:before="360" w:after="120" w:line="240" w:lineRule="atLeast"/>
      <w:ind w:left="992" w:hanging="992"/>
      <w:jc w:val="left"/>
    </w:pPr>
    <w:rPr>
      <w:rFonts w:ascii="Arial" w:hAnsi="Arial" w:cs="Arial"/>
      <w:b/>
      <w:color w:val="auto"/>
      <w:sz w:val="20"/>
    </w:rPr>
  </w:style>
  <w:style w:type="paragraph" w:customStyle="1" w:styleId="tbltext">
    <w:name w:val="tbl text"/>
    <w:basedOn w:val="Normal"/>
    <w:rsid w:val="00675FF0"/>
    <w:pPr>
      <w:widowControl w:val="0"/>
      <w:spacing w:before="120" w:after="0" w:line="240" w:lineRule="atLeast"/>
      <w:jc w:val="left"/>
    </w:pPr>
    <w:rPr>
      <w:rFonts w:ascii="Arial" w:hAnsi="Arial" w:cs="Arial"/>
      <w:color w:val="auto"/>
      <w:sz w:val="18"/>
      <w:szCs w:val="18"/>
    </w:rPr>
  </w:style>
  <w:style w:type="paragraph" w:customStyle="1" w:styleId="tablehead">
    <w:name w:val="table head"/>
    <w:basedOn w:val="Normal"/>
    <w:rsid w:val="00675FF0"/>
    <w:pPr>
      <w:keepNext/>
      <w:spacing w:before="120" w:after="0" w:line="240" w:lineRule="atLeast"/>
      <w:jc w:val="left"/>
    </w:pPr>
    <w:rPr>
      <w:rFonts w:ascii="Arial" w:hAnsi="Arial" w:cs="Arial"/>
      <w:b/>
      <w:color w:val="auto"/>
      <w:sz w:val="18"/>
      <w:szCs w:val="18"/>
    </w:rPr>
  </w:style>
  <w:style w:type="paragraph" w:customStyle="1" w:styleId="TableColumnHeadingLeft-Black">
    <w:name w:val="Table Column Heading Left - Black"/>
    <w:basedOn w:val="TableColumnHeadingLeft"/>
    <w:rsid w:val="009F72FC"/>
    <w:pPr>
      <w:spacing w:before="60" w:after="60"/>
    </w:pPr>
    <w:rPr>
      <w:rFonts w:ascii="Arial Bold" w:hAnsi="Arial Bold"/>
      <w:smallCaps/>
      <w:color w:val="auto"/>
    </w:rPr>
  </w:style>
  <w:style w:type="paragraph" w:customStyle="1" w:styleId="TableTextNumbering">
    <w:name w:val="Table Text Numbering"/>
    <w:basedOn w:val="tbltext"/>
    <w:rsid w:val="00AC5221"/>
    <w:pPr>
      <w:numPr>
        <w:numId w:val="18"/>
      </w:numPr>
      <w:spacing w:before="80" w:after="80" w:line="240" w:lineRule="exact"/>
    </w:pPr>
    <w:rPr>
      <w:rFonts w:ascii="Helvetica" w:hAnsi="Helvetica"/>
      <w:sz w:val="19"/>
      <w:szCs w:val="22"/>
    </w:rPr>
  </w:style>
  <w:style w:type="paragraph" w:customStyle="1" w:styleId="TableTextLeft-AlphaNumberingIndent">
    <w:name w:val="Table Text Left - Alpha Numbering (Indent)"/>
    <w:rsid w:val="00673E48"/>
    <w:pPr>
      <w:numPr>
        <w:numId w:val="24"/>
      </w:numPr>
      <w:spacing w:before="80" w:after="80" w:line="240" w:lineRule="exact"/>
    </w:pPr>
    <w:rPr>
      <w:rFonts w:ascii="Helvetica" w:eastAsia="Calibri" w:hAnsi="Helvetica" w:cs="Times New Roman"/>
      <w:color w:val="000000"/>
      <w:sz w:val="19"/>
      <w:szCs w:val="19"/>
      <w:lang w:eastAsia="en-AU"/>
    </w:rPr>
  </w:style>
  <w:style w:type="paragraph" w:customStyle="1" w:styleId="TableTextLeft-Roman">
    <w:name w:val="Table Text Left - Roman"/>
    <w:rsid w:val="00673E48"/>
    <w:pPr>
      <w:numPr>
        <w:numId w:val="19"/>
      </w:numPr>
      <w:spacing w:before="80" w:after="80" w:line="240" w:lineRule="exact"/>
    </w:pPr>
    <w:rPr>
      <w:rFonts w:ascii="Helvetica" w:eastAsia="Times New Roman" w:hAnsi="Helvetica" w:cs="Arial"/>
      <w:sz w:val="19"/>
      <w:szCs w:val="19"/>
      <w:lang w:eastAsia="en-AU"/>
    </w:rPr>
  </w:style>
  <w:style w:type="paragraph" w:customStyle="1" w:styleId="TableTextLeft-Romannoindent">
    <w:name w:val="Table Text Left - Roman (no indent)"/>
    <w:rsid w:val="00AC5221"/>
    <w:pPr>
      <w:numPr>
        <w:numId w:val="41"/>
      </w:numPr>
      <w:tabs>
        <w:tab w:val="left" w:pos="794"/>
      </w:tabs>
      <w:spacing w:before="80" w:after="80" w:line="240" w:lineRule="exact"/>
      <w:ind w:left="794" w:hanging="397"/>
    </w:pPr>
    <w:rPr>
      <w:rFonts w:ascii="Helvetica" w:eastAsiaTheme="majorEastAsia" w:hAnsi="Helvetica" w:cs="Arial"/>
      <w:sz w:val="19"/>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643">
      <w:bodyDiv w:val="1"/>
      <w:marLeft w:val="0"/>
      <w:marRight w:val="0"/>
      <w:marTop w:val="0"/>
      <w:marBottom w:val="0"/>
      <w:divBdr>
        <w:top w:val="none" w:sz="0" w:space="0" w:color="auto"/>
        <w:left w:val="none" w:sz="0" w:space="0" w:color="auto"/>
        <w:bottom w:val="none" w:sz="0" w:space="0" w:color="auto"/>
        <w:right w:val="none" w:sz="0" w:space="0" w:color="auto"/>
      </w:divBdr>
    </w:div>
    <w:div w:id="14237883">
      <w:bodyDiv w:val="1"/>
      <w:marLeft w:val="0"/>
      <w:marRight w:val="0"/>
      <w:marTop w:val="0"/>
      <w:marBottom w:val="0"/>
      <w:divBdr>
        <w:top w:val="none" w:sz="0" w:space="0" w:color="auto"/>
        <w:left w:val="none" w:sz="0" w:space="0" w:color="auto"/>
        <w:bottom w:val="none" w:sz="0" w:space="0" w:color="auto"/>
        <w:right w:val="none" w:sz="0" w:space="0" w:color="auto"/>
      </w:divBdr>
    </w:div>
    <w:div w:id="16349565">
      <w:bodyDiv w:val="1"/>
      <w:marLeft w:val="0"/>
      <w:marRight w:val="0"/>
      <w:marTop w:val="0"/>
      <w:marBottom w:val="0"/>
      <w:divBdr>
        <w:top w:val="none" w:sz="0" w:space="0" w:color="auto"/>
        <w:left w:val="none" w:sz="0" w:space="0" w:color="auto"/>
        <w:bottom w:val="none" w:sz="0" w:space="0" w:color="auto"/>
        <w:right w:val="none" w:sz="0" w:space="0" w:color="auto"/>
      </w:divBdr>
      <w:divsChild>
        <w:div w:id="1782139202">
          <w:marLeft w:val="547"/>
          <w:marRight w:val="0"/>
          <w:marTop w:val="0"/>
          <w:marBottom w:val="0"/>
          <w:divBdr>
            <w:top w:val="none" w:sz="0" w:space="0" w:color="auto"/>
            <w:left w:val="none" w:sz="0" w:space="0" w:color="auto"/>
            <w:bottom w:val="none" w:sz="0" w:space="0" w:color="auto"/>
            <w:right w:val="none" w:sz="0" w:space="0" w:color="auto"/>
          </w:divBdr>
        </w:div>
      </w:divsChild>
    </w:div>
    <w:div w:id="66419048">
      <w:bodyDiv w:val="1"/>
      <w:marLeft w:val="0"/>
      <w:marRight w:val="0"/>
      <w:marTop w:val="0"/>
      <w:marBottom w:val="0"/>
      <w:divBdr>
        <w:top w:val="none" w:sz="0" w:space="0" w:color="auto"/>
        <w:left w:val="none" w:sz="0" w:space="0" w:color="auto"/>
        <w:bottom w:val="none" w:sz="0" w:space="0" w:color="auto"/>
        <w:right w:val="none" w:sz="0" w:space="0" w:color="auto"/>
      </w:divBdr>
    </w:div>
    <w:div w:id="95911861">
      <w:bodyDiv w:val="1"/>
      <w:marLeft w:val="0"/>
      <w:marRight w:val="0"/>
      <w:marTop w:val="0"/>
      <w:marBottom w:val="0"/>
      <w:divBdr>
        <w:top w:val="none" w:sz="0" w:space="0" w:color="auto"/>
        <w:left w:val="none" w:sz="0" w:space="0" w:color="auto"/>
        <w:bottom w:val="none" w:sz="0" w:space="0" w:color="auto"/>
        <w:right w:val="none" w:sz="0" w:space="0" w:color="auto"/>
      </w:divBdr>
    </w:div>
    <w:div w:id="103161312">
      <w:bodyDiv w:val="1"/>
      <w:marLeft w:val="0"/>
      <w:marRight w:val="0"/>
      <w:marTop w:val="0"/>
      <w:marBottom w:val="0"/>
      <w:divBdr>
        <w:top w:val="none" w:sz="0" w:space="0" w:color="auto"/>
        <w:left w:val="none" w:sz="0" w:space="0" w:color="auto"/>
        <w:bottom w:val="none" w:sz="0" w:space="0" w:color="auto"/>
        <w:right w:val="none" w:sz="0" w:space="0" w:color="auto"/>
      </w:divBdr>
    </w:div>
    <w:div w:id="159004054">
      <w:bodyDiv w:val="1"/>
      <w:marLeft w:val="0"/>
      <w:marRight w:val="0"/>
      <w:marTop w:val="0"/>
      <w:marBottom w:val="0"/>
      <w:divBdr>
        <w:top w:val="none" w:sz="0" w:space="0" w:color="auto"/>
        <w:left w:val="none" w:sz="0" w:space="0" w:color="auto"/>
        <w:bottom w:val="none" w:sz="0" w:space="0" w:color="auto"/>
        <w:right w:val="none" w:sz="0" w:space="0" w:color="auto"/>
      </w:divBdr>
    </w:div>
    <w:div w:id="171378791">
      <w:bodyDiv w:val="1"/>
      <w:marLeft w:val="0"/>
      <w:marRight w:val="0"/>
      <w:marTop w:val="0"/>
      <w:marBottom w:val="0"/>
      <w:divBdr>
        <w:top w:val="none" w:sz="0" w:space="0" w:color="auto"/>
        <w:left w:val="none" w:sz="0" w:space="0" w:color="auto"/>
        <w:bottom w:val="none" w:sz="0" w:space="0" w:color="auto"/>
        <w:right w:val="none" w:sz="0" w:space="0" w:color="auto"/>
      </w:divBdr>
    </w:div>
    <w:div w:id="235284377">
      <w:bodyDiv w:val="1"/>
      <w:marLeft w:val="0"/>
      <w:marRight w:val="0"/>
      <w:marTop w:val="0"/>
      <w:marBottom w:val="0"/>
      <w:divBdr>
        <w:top w:val="none" w:sz="0" w:space="0" w:color="auto"/>
        <w:left w:val="none" w:sz="0" w:space="0" w:color="auto"/>
        <w:bottom w:val="none" w:sz="0" w:space="0" w:color="auto"/>
        <w:right w:val="none" w:sz="0" w:space="0" w:color="auto"/>
      </w:divBdr>
    </w:div>
    <w:div w:id="245191773">
      <w:bodyDiv w:val="1"/>
      <w:marLeft w:val="0"/>
      <w:marRight w:val="0"/>
      <w:marTop w:val="0"/>
      <w:marBottom w:val="0"/>
      <w:divBdr>
        <w:top w:val="none" w:sz="0" w:space="0" w:color="auto"/>
        <w:left w:val="none" w:sz="0" w:space="0" w:color="auto"/>
        <w:bottom w:val="none" w:sz="0" w:space="0" w:color="auto"/>
        <w:right w:val="none" w:sz="0" w:space="0" w:color="auto"/>
      </w:divBdr>
    </w:div>
    <w:div w:id="253519943">
      <w:bodyDiv w:val="1"/>
      <w:marLeft w:val="0"/>
      <w:marRight w:val="0"/>
      <w:marTop w:val="0"/>
      <w:marBottom w:val="0"/>
      <w:divBdr>
        <w:top w:val="none" w:sz="0" w:space="0" w:color="auto"/>
        <w:left w:val="none" w:sz="0" w:space="0" w:color="auto"/>
        <w:bottom w:val="none" w:sz="0" w:space="0" w:color="auto"/>
        <w:right w:val="none" w:sz="0" w:space="0" w:color="auto"/>
      </w:divBdr>
    </w:div>
    <w:div w:id="289243022">
      <w:bodyDiv w:val="1"/>
      <w:marLeft w:val="0"/>
      <w:marRight w:val="0"/>
      <w:marTop w:val="0"/>
      <w:marBottom w:val="0"/>
      <w:divBdr>
        <w:top w:val="none" w:sz="0" w:space="0" w:color="auto"/>
        <w:left w:val="none" w:sz="0" w:space="0" w:color="auto"/>
        <w:bottom w:val="none" w:sz="0" w:space="0" w:color="auto"/>
        <w:right w:val="none" w:sz="0" w:space="0" w:color="auto"/>
      </w:divBdr>
    </w:div>
    <w:div w:id="290019463">
      <w:bodyDiv w:val="1"/>
      <w:marLeft w:val="0"/>
      <w:marRight w:val="0"/>
      <w:marTop w:val="0"/>
      <w:marBottom w:val="0"/>
      <w:divBdr>
        <w:top w:val="none" w:sz="0" w:space="0" w:color="auto"/>
        <w:left w:val="none" w:sz="0" w:space="0" w:color="auto"/>
        <w:bottom w:val="none" w:sz="0" w:space="0" w:color="auto"/>
        <w:right w:val="none" w:sz="0" w:space="0" w:color="auto"/>
      </w:divBdr>
    </w:div>
    <w:div w:id="304895892">
      <w:bodyDiv w:val="1"/>
      <w:marLeft w:val="0"/>
      <w:marRight w:val="0"/>
      <w:marTop w:val="0"/>
      <w:marBottom w:val="0"/>
      <w:divBdr>
        <w:top w:val="none" w:sz="0" w:space="0" w:color="auto"/>
        <w:left w:val="none" w:sz="0" w:space="0" w:color="auto"/>
        <w:bottom w:val="none" w:sz="0" w:space="0" w:color="auto"/>
        <w:right w:val="none" w:sz="0" w:space="0" w:color="auto"/>
      </w:divBdr>
    </w:div>
    <w:div w:id="322708806">
      <w:bodyDiv w:val="1"/>
      <w:marLeft w:val="0"/>
      <w:marRight w:val="0"/>
      <w:marTop w:val="0"/>
      <w:marBottom w:val="0"/>
      <w:divBdr>
        <w:top w:val="none" w:sz="0" w:space="0" w:color="auto"/>
        <w:left w:val="none" w:sz="0" w:space="0" w:color="auto"/>
        <w:bottom w:val="none" w:sz="0" w:space="0" w:color="auto"/>
        <w:right w:val="none" w:sz="0" w:space="0" w:color="auto"/>
      </w:divBdr>
    </w:div>
    <w:div w:id="336462860">
      <w:bodyDiv w:val="1"/>
      <w:marLeft w:val="0"/>
      <w:marRight w:val="0"/>
      <w:marTop w:val="0"/>
      <w:marBottom w:val="0"/>
      <w:divBdr>
        <w:top w:val="none" w:sz="0" w:space="0" w:color="auto"/>
        <w:left w:val="none" w:sz="0" w:space="0" w:color="auto"/>
        <w:bottom w:val="none" w:sz="0" w:space="0" w:color="auto"/>
        <w:right w:val="none" w:sz="0" w:space="0" w:color="auto"/>
      </w:divBdr>
      <w:divsChild>
        <w:div w:id="912662627">
          <w:marLeft w:val="0"/>
          <w:marRight w:val="0"/>
          <w:marTop w:val="0"/>
          <w:marBottom w:val="0"/>
          <w:divBdr>
            <w:top w:val="single" w:sz="48" w:space="23" w:color="004A7F"/>
            <w:left w:val="none" w:sz="0" w:space="0" w:color="auto"/>
            <w:bottom w:val="single" w:sz="48" w:space="0" w:color="004A7F"/>
            <w:right w:val="none" w:sz="0" w:space="0" w:color="auto"/>
          </w:divBdr>
          <w:divsChild>
            <w:div w:id="61411347">
              <w:marLeft w:val="-225"/>
              <w:marRight w:val="-225"/>
              <w:marTop w:val="0"/>
              <w:marBottom w:val="0"/>
              <w:divBdr>
                <w:top w:val="none" w:sz="0" w:space="0" w:color="auto"/>
                <w:left w:val="none" w:sz="0" w:space="0" w:color="auto"/>
                <w:bottom w:val="none" w:sz="0" w:space="0" w:color="auto"/>
                <w:right w:val="none" w:sz="0" w:space="0" w:color="auto"/>
              </w:divBdr>
              <w:divsChild>
                <w:div w:id="53093348">
                  <w:marLeft w:val="0"/>
                  <w:marRight w:val="0"/>
                  <w:marTop w:val="0"/>
                  <w:marBottom w:val="0"/>
                  <w:divBdr>
                    <w:top w:val="none" w:sz="0" w:space="0" w:color="auto"/>
                    <w:left w:val="none" w:sz="0" w:space="0" w:color="auto"/>
                    <w:bottom w:val="none" w:sz="0" w:space="0" w:color="auto"/>
                    <w:right w:val="none" w:sz="0" w:space="0" w:color="auto"/>
                  </w:divBdr>
                  <w:divsChild>
                    <w:div w:id="13795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04689">
      <w:bodyDiv w:val="1"/>
      <w:marLeft w:val="0"/>
      <w:marRight w:val="0"/>
      <w:marTop w:val="0"/>
      <w:marBottom w:val="0"/>
      <w:divBdr>
        <w:top w:val="none" w:sz="0" w:space="0" w:color="auto"/>
        <w:left w:val="none" w:sz="0" w:space="0" w:color="auto"/>
        <w:bottom w:val="none" w:sz="0" w:space="0" w:color="auto"/>
        <w:right w:val="none" w:sz="0" w:space="0" w:color="auto"/>
      </w:divBdr>
    </w:div>
    <w:div w:id="372536635">
      <w:bodyDiv w:val="1"/>
      <w:marLeft w:val="0"/>
      <w:marRight w:val="0"/>
      <w:marTop w:val="0"/>
      <w:marBottom w:val="0"/>
      <w:divBdr>
        <w:top w:val="none" w:sz="0" w:space="0" w:color="auto"/>
        <w:left w:val="none" w:sz="0" w:space="0" w:color="auto"/>
        <w:bottom w:val="none" w:sz="0" w:space="0" w:color="auto"/>
        <w:right w:val="none" w:sz="0" w:space="0" w:color="auto"/>
      </w:divBdr>
    </w:div>
    <w:div w:id="373120241">
      <w:bodyDiv w:val="1"/>
      <w:marLeft w:val="0"/>
      <w:marRight w:val="0"/>
      <w:marTop w:val="0"/>
      <w:marBottom w:val="0"/>
      <w:divBdr>
        <w:top w:val="none" w:sz="0" w:space="0" w:color="auto"/>
        <w:left w:val="none" w:sz="0" w:space="0" w:color="auto"/>
        <w:bottom w:val="none" w:sz="0" w:space="0" w:color="auto"/>
        <w:right w:val="none" w:sz="0" w:space="0" w:color="auto"/>
      </w:divBdr>
    </w:div>
    <w:div w:id="405490972">
      <w:bodyDiv w:val="1"/>
      <w:marLeft w:val="0"/>
      <w:marRight w:val="0"/>
      <w:marTop w:val="0"/>
      <w:marBottom w:val="0"/>
      <w:divBdr>
        <w:top w:val="none" w:sz="0" w:space="0" w:color="auto"/>
        <w:left w:val="none" w:sz="0" w:space="0" w:color="auto"/>
        <w:bottom w:val="none" w:sz="0" w:space="0" w:color="auto"/>
        <w:right w:val="none" w:sz="0" w:space="0" w:color="auto"/>
      </w:divBdr>
      <w:divsChild>
        <w:div w:id="377554476">
          <w:marLeft w:val="547"/>
          <w:marRight w:val="0"/>
          <w:marTop w:val="0"/>
          <w:marBottom w:val="0"/>
          <w:divBdr>
            <w:top w:val="none" w:sz="0" w:space="0" w:color="auto"/>
            <w:left w:val="none" w:sz="0" w:space="0" w:color="auto"/>
            <w:bottom w:val="none" w:sz="0" w:space="0" w:color="auto"/>
            <w:right w:val="none" w:sz="0" w:space="0" w:color="auto"/>
          </w:divBdr>
        </w:div>
        <w:div w:id="1090541378">
          <w:marLeft w:val="547"/>
          <w:marRight w:val="0"/>
          <w:marTop w:val="0"/>
          <w:marBottom w:val="0"/>
          <w:divBdr>
            <w:top w:val="none" w:sz="0" w:space="0" w:color="auto"/>
            <w:left w:val="none" w:sz="0" w:space="0" w:color="auto"/>
            <w:bottom w:val="none" w:sz="0" w:space="0" w:color="auto"/>
            <w:right w:val="none" w:sz="0" w:space="0" w:color="auto"/>
          </w:divBdr>
        </w:div>
      </w:divsChild>
    </w:div>
    <w:div w:id="417797357">
      <w:bodyDiv w:val="1"/>
      <w:marLeft w:val="0"/>
      <w:marRight w:val="0"/>
      <w:marTop w:val="0"/>
      <w:marBottom w:val="0"/>
      <w:divBdr>
        <w:top w:val="none" w:sz="0" w:space="0" w:color="auto"/>
        <w:left w:val="none" w:sz="0" w:space="0" w:color="auto"/>
        <w:bottom w:val="none" w:sz="0" w:space="0" w:color="auto"/>
        <w:right w:val="none" w:sz="0" w:space="0" w:color="auto"/>
      </w:divBdr>
      <w:divsChild>
        <w:div w:id="1509638990">
          <w:marLeft w:val="0"/>
          <w:marRight w:val="0"/>
          <w:marTop w:val="0"/>
          <w:marBottom w:val="0"/>
          <w:divBdr>
            <w:top w:val="none" w:sz="0" w:space="0" w:color="auto"/>
            <w:left w:val="none" w:sz="0" w:space="0" w:color="auto"/>
            <w:bottom w:val="none" w:sz="0" w:space="0" w:color="auto"/>
            <w:right w:val="none" w:sz="0" w:space="0" w:color="auto"/>
          </w:divBdr>
          <w:divsChild>
            <w:div w:id="1183133621">
              <w:marLeft w:val="0"/>
              <w:marRight w:val="0"/>
              <w:marTop w:val="0"/>
              <w:marBottom w:val="0"/>
              <w:divBdr>
                <w:top w:val="none" w:sz="0" w:space="0" w:color="auto"/>
                <w:left w:val="none" w:sz="0" w:space="0" w:color="auto"/>
                <w:bottom w:val="none" w:sz="0" w:space="0" w:color="auto"/>
                <w:right w:val="none" w:sz="0" w:space="0" w:color="auto"/>
              </w:divBdr>
              <w:divsChild>
                <w:div w:id="1825466087">
                  <w:marLeft w:val="0"/>
                  <w:marRight w:val="0"/>
                  <w:marTop w:val="0"/>
                  <w:marBottom w:val="0"/>
                  <w:divBdr>
                    <w:top w:val="none" w:sz="0" w:space="0" w:color="auto"/>
                    <w:left w:val="none" w:sz="0" w:space="0" w:color="auto"/>
                    <w:bottom w:val="none" w:sz="0" w:space="0" w:color="auto"/>
                    <w:right w:val="none" w:sz="0" w:space="0" w:color="auto"/>
                  </w:divBdr>
                  <w:divsChild>
                    <w:div w:id="793863505">
                      <w:marLeft w:val="0"/>
                      <w:marRight w:val="0"/>
                      <w:marTop w:val="0"/>
                      <w:marBottom w:val="0"/>
                      <w:divBdr>
                        <w:top w:val="none" w:sz="0" w:space="0" w:color="auto"/>
                        <w:left w:val="none" w:sz="0" w:space="0" w:color="auto"/>
                        <w:bottom w:val="none" w:sz="0" w:space="0" w:color="auto"/>
                        <w:right w:val="none" w:sz="0" w:space="0" w:color="auto"/>
                      </w:divBdr>
                      <w:divsChild>
                        <w:div w:id="1459180681">
                          <w:marLeft w:val="0"/>
                          <w:marRight w:val="0"/>
                          <w:marTop w:val="0"/>
                          <w:marBottom w:val="0"/>
                          <w:divBdr>
                            <w:top w:val="none" w:sz="0" w:space="0" w:color="auto"/>
                            <w:left w:val="none" w:sz="0" w:space="0" w:color="auto"/>
                            <w:bottom w:val="none" w:sz="0" w:space="0" w:color="auto"/>
                            <w:right w:val="none" w:sz="0" w:space="0" w:color="auto"/>
                          </w:divBdr>
                          <w:divsChild>
                            <w:div w:id="1770738783">
                              <w:marLeft w:val="0"/>
                              <w:marRight w:val="0"/>
                              <w:marTop w:val="0"/>
                              <w:marBottom w:val="0"/>
                              <w:divBdr>
                                <w:top w:val="none" w:sz="0" w:space="0" w:color="auto"/>
                                <w:left w:val="none" w:sz="0" w:space="0" w:color="auto"/>
                                <w:bottom w:val="none" w:sz="0" w:space="0" w:color="auto"/>
                                <w:right w:val="none" w:sz="0" w:space="0" w:color="auto"/>
                              </w:divBdr>
                              <w:divsChild>
                                <w:div w:id="484442628">
                                  <w:marLeft w:val="0"/>
                                  <w:marRight w:val="0"/>
                                  <w:marTop w:val="0"/>
                                  <w:marBottom w:val="0"/>
                                  <w:divBdr>
                                    <w:top w:val="none" w:sz="0" w:space="0" w:color="auto"/>
                                    <w:left w:val="none" w:sz="0" w:space="0" w:color="auto"/>
                                    <w:bottom w:val="none" w:sz="0" w:space="0" w:color="auto"/>
                                    <w:right w:val="none" w:sz="0" w:space="0" w:color="auto"/>
                                  </w:divBdr>
                                  <w:divsChild>
                                    <w:div w:id="1312635895">
                                      <w:marLeft w:val="0"/>
                                      <w:marRight w:val="0"/>
                                      <w:marTop w:val="0"/>
                                      <w:marBottom w:val="0"/>
                                      <w:divBdr>
                                        <w:top w:val="none" w:sz="0" w:space="0" w:color="auto"/>
                                        <w:left w:val="none" w:sz="0" w:space="0" w:color="auto"/>
                                        <w:bottom w:val="none" w:sz="0" w:space="0" w:color="auto"/>
                                        <w:right w:val="none" w:sz="0" w:space="0" w:color="auto"/>
                                      </w:divBdr>
                                      <w:divsChild>
                                        <w:div w:id="910778026">
                                          <w:marLeft w:val="0"/>
                                          <w:marRight w:val="0"/>
                                          <w:marTop w:val="0"/>
                                          <w:marBottom w:val="0"/>
                                          <w:divBdr>
                                            <w:top w:val="none" w:sz="0" w:space="0" w:color="auto"/>
                                            <w:left w:val="none" w:sz="0" w:space="0" w:color="auto"/>
                                            <w:bottom w:val="none" w:sz="0" w:space="0" w:color="auto"/>
                                            <w:right w:val="none" w:sz="0" w:space="0" w:color="auto"/>
                                          </w:divBdr>
                                          <w:divsChild>
                                            <w:div w:id="288824220">
                                              <w:marLeft w:val="0"/>
                                              <w:marRight w:val="0"/>
                                              <w:marTop w:val="0"/>
                                              <w:marBottom w:val="0"/>
                                              <w:divBdr>
                                                <w:top w:val="none" w:sz="0" w:space="0" w:color="auto"/>
                                                <w:left w:val="none" w:sz="0" w:space="0" w:color="auto"/>
                                                <w:bottom w:val="none" w:sz="0" w:space="0" w:color="auto"/>
                                                <w:right w:val="none" w:sz="0" w:space="0" w:color="auto"/>
                                              </w:divBdr>
                                              <w:divsChild>
                                                <w:div w:id="1098133614">
                                                  <w:marLeft w:val="0"/>
                                                  <w:marRight w:val="0"/>
                                                  <w:marTop w:val="0"/>
                                                  <w:marBottom w:val="0"/>
                                                  <w:divBdr>
                                                    <w:top w:val="none" w:sz="0" w:space="0" w:color="auto"/>
                                                    <w:left w:val="none" w:sz="0" w:space="0" w:color="auto"/>
                                                    <w:bottom w:val="none" w:sz="0" w:space="0" w:color="auto"/>
                                                    <w:right w:val="none" w:sz="0" w:space="0" w:color="auto"/>
                                                  </w:divBdr>
                                                  <w:divsChild>
                                                    <w:div w:id="456686252">
                                                      <w:marLeft w:val="0"/>
                                                      <w:marRight w:val="0"/>
                                                      <w:marTop w:val="0"/>
                                                      <w:marBottom w:val="0"/>
                                                      <w:divBdr>
                                                        <w:top w:val="none" w:sz="0" w:space="0" w:color="auto"/>
                                                        <w:left w:val="none" w:sz="0" w:space="0" w:color="auto"/>
                                                        <w:bottom w:val="none" w:sz="0" w:space="0" w:color="auto"/>
                                                        <w:right w:val="none" w:sz="0" w:space="0" w:color="auto"/>
                                                      </w:divBdr>
                                                      <w:divsChild>
                                                        <w:div w:id="9840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213850">
      <w:bodyDiv w:val="1"/>
      <w:marLeft w:val="0"/>
      <w:marRight w:val="0"/>
      <w:marTop w:val="0"/>
      <w:marBottom w:val="0"/>
      <w:divBdr>
        <w:top w:val="none" w:sz="0" w:space="0" w:color="auto"/>
        <w:left w:val="none" w:sz="0" w:space="0" w:color="auto"/>
        <w:bottom w:val="none" w:sz="0" w:space="0" w:color="auto"/>
        <w:right w:val="none" w:sz="0" w:space="0" w:color="auto"/>
      </w:divBdr>
    </w:div>
    <w:div w:id="444816381">
      <w:bodyDiv w:val="1"/>
      <w:marLeft w:val="0"/>
      <w:marRight w:val="0"/>
      <w:marTop w:val="0"/>
      <w:marBottom w:val="0"/>
      <w:divBdr>
        <w:top w:val="none" w:sz="0" w:space="0" w:color="auto"/>
        <w:left w:val="none" w:sz="0" w:space="0" w:color="auto"/>
        <w:bottom w:val="none" w:sz="0" w:space="0" w:color="auto"/>
        <w:right w:val="none" w:sz="0" w:space="0" w:color="auto"/>
      </w:divBdr>
    </w:div>
    <w:div w:id="461995874">
      <w:bodyDiv w:val="1"/>
      <w:marLeft w:val="0"/>
      <w:marRight w:val="0"/>
      <w:marTop w:val="0"/>
      <w:marBottom w:val="0"/>
      <w:divBdr>
        <w:top w:val="none" w:sz="0" w:space="0" w:color="auto"/>
        <w:left w:val="none" w:sz="0" w:space="0" w:color="auto"/>
        <w:bottom w:val="none" w:sz="0" w:space="0" w:color="auto"/>
        <w:right w:val="none" w:sz="0" w:space="0" w:color="auto"/>
      </w:divBdr>
    </w:div>
    <w:div w:id="481000434">
      <w:bodyDiv w:val="1"/>
      <w:marLeft w:val="0"/>
      <w:marRight w:val="0"/>
      <w:marTop w:val="0"/>
      <w:marBottom w:val="0"/>
      <w:divBdr>
        <w:top w:val="none" w:sz="0" w:space="0" w:color="auto"/>
        <w:left w:val="none" w:sz="0" w:space="0" w:color="auto"/>
        <w:bottom w:val="none" w:sz="0" w:space="0" w:color="auto"/>
        <w:right w:val="none" w:sz="0" w:space="0" w:color="auto"/>
      </w:divBdr>
    </w:div>
    <w:div w:id="489324528">
      <w:bodyDiv w:val="1"/>
      <w:marLeft w:val="0"/>
      <w:marRight w:val="0"/>
      <w:marTop w:val="0"/>
      <w:marBottom w:val="0"/>
      <w:divBdr>
        <w:top w:val="none" w:sz="0" w:space="0" w:color="auto"/>
        <w:left w:val="none" w:sz="0" w:space="0" w:color="auto"/>
        <w:bottom w:val="none" w:sz="0" w:space="0" w:color="auto"/>
        <w:right w:val="none" w:sz="0" w:space="0" w:color="auto"/>
      </w:divBdr>
    </w:div>
    <w:div w:id="496653285">
      <w:bodyDiv w:val="1"/>
      <w:marLeft w:val="0"/>
      <w:marRight w:val="0"/>
      <w:marTop w:val="0"/>
      <w:marBottom w:val="0"/>
      <w:divBdr>
        <w:top w:val="none" w:sz="0" w:space="0" w:color="auto"/>
        <w:left w:val="none" w:sz="0" w:space="0" w:color="auto"/>
        <w:bottom w:val="none" w:sz="0" w:space="0" w:color="auto"/>
        <w:right w:val="none" w:sz="0" w:space="0" w:color="auto"/>
      </w:divBdr>
    </w:div>
    <w:div w:id="513999963">
      <w:bodyDiv w:val="1"/>
      <w:marLeft w:val="0"/>
      <w:marRight w:val="0"/>
      <w:marTop w:val="0"/>
      <w:marBottom w:val="0"/>
      <w:divBdr>
        <w:top w:val="none" w:sz="0" w:space="0" w:color="auto"/>
        <w:left w:val="none" w:sz="0" w:space="0" w:color="auto"/>
        <w:bottom w:val="none" w:sz="0" w:space="0" w:color="auto"/>
        <w:right w:val="none" w:sz="0" w:space="0" w:color="auto"/>
      </w:divBdr>
    </w:div>
    <w:div w:id="529686871">
      <w:bodyDiv w:val="1"/>
      <w:marLeft w:val="0"/>
      <w:marRight w:val="0"/>
      <w:marTop w:val="0"/>
      <w:marBottom w:val="0"/>
      <w:divBdr>
        <w:top w:val="none" w:sz="0" w:space="0" w:color="auto"/>
        <w:left w:val="none" w:sz="0" w:space="0" w:color="auto"/>
        <w:bottom w:val="none" w:sz="0" w:space="0" w:color="auto"/>
        <w:right w:val="none" w:sz="0" w:space="0" w:color="auto"/>
      </w:divBdr>
    </w:div>
    <w:div w:id="551427512">
      <w:bodyDiv w:val="1"/>
      <w:marLeft w:val="0"/>
      <w:marRight w:val="0"/>
      <w:marTop w:val="0"/>
      <w:marBottom w:val="0"/>
      <w:divBdr>
        <w:top w:val="none" w:sz="0" w:space="0" w:color="auto"/>
        <w:left w:val="none" w:sz="0" w:space="0" w:color="auto"/>
        <w:bottom w:val="none" w:sz="0" w:space="0" w:color="auto"/>
        <w:right w:val="none" w:sz="0" w:space="0" w:color="auto"/>
      </w:divBdr>
    </w:div>
    <w:div w:id="586040621">
      <w:bodyDiv w:val="1"/>
      <w:marLeft w:val="0"/>
      <w:marRight w:val="0"/>
      <w:marTop w:val="0"/>
      <w:marBottom w:val="0"/>
      <w:divBdr>
        <w:top w:val="none" w:sz="0" w:space="0" w:color="auto"/>
        <w:left w:val="none" w:sz="0" w:space="0" w:color="auto"/>
        <w:bottom w:val="none" w:sz="0" w:space="0" w:color="auto"/>
        <w:right w:val="none" w:sz="0" w:space="0" w:color="auto"/>
      </w:divBdr>
    </w:div>
    <w:div w:id="589432075">
      <w:bodyDiv w:val="1"/>
      <w:marLeft w:val="0"/>
      <w:marRight w:val="0"/>
      <w:marTop w:val="0"/>
      <w:marBottom w:val="0"/>
      <w:divBdr>
        <w:top w:val="none" w:sz="0" w:space="0" w:color="auto"/>
        <w:left w:val="none" w:sz="0" w:space="0" w:color="auto"/>
        <w:bottom w:val="none" w:sz="0" w:space="0" w:color="auto"/>
        <w:right w:val="none" w:sz="0" w:space="0" w:color="auto"/>
      </w:divBdr>
    </w:div>
    <w:div w:id="604728975">
      <w:bodyDiv w:val="1"/>
      <w:marLeft w:val="0"/>
      <w:marRight w:val="0"/>
      <w:marTop w:val="0"/>
      <w:marBottom w:val="0"/>
      <w:divBdr>
        <w:top w:val="none" w:sz="0" w:space="0" w:color="auto"/>
        <w:left w:val="none" w:sz="0" w:space="0" w:color="auto"/>
        <w:bottom w:val="none" w:sz="0" w:space="0" w:color="auto"/>
        <w:right w:val="none" w:sz="0" w:space="0" w:color="auto"/>
      </w:divBdr>
    </w:div>
    <w:div w:id="605387604">
      <w:bodyDiv w:val="1"/>
      <w:marLeft w:val="0"/>
      <w:marRight w:val="0"/>
      <w:marTop w:val="0"/>
      <w:marBottom w:val="0"/>
      <w:divBdr>
        <w:top w:val="none" w:sz="0" w:space="0" w:color="auto"/>
        <w:left w:val="none" w:sz="0" w:space="0" w:color="auto"/>
        <w:bottom w:val="none" w:sz="0" w:space="0" w:color="auto"/>
        <w:right w:val="none" w:sz="0" w:space="0" w:color="auto"/>
      </w:divBdr>
    </w:div>
    <w:div w:id="658657751">
      <w:bodyDiv w:val="1"/>
      <w:marLeft w:val="0"/>
      <w:marRight w:val="0"/>
      <w:marTop w:val="0"/>
      <w:marBottom w:val="0"/>
      <w:divBdr>
        <w:top w:val="none" w:sz="0" w:space="0" w:color="auto"/>
        <w:left w:val="none" w:sz="0" w:space="0" w:color="auto"/>
        <w:bottom w:val="none" w:sz="0" w:space="0" w:color="auto"/>
        <w:right w:val="none" w:sz="0" w:space="0" w:color="auto"/>
      </w:divBdr>
    </w:div>
    <w:div w:id="671102550">
      <w:bodyDiv w:val="1"/>
      <w:marLeft w:val="0"/>
      <w:marRight w:val="0"/>
      <w:marTop w:val="0"/>
      <w:marBottom w:val="0"/>
      <w:divBdr>
        <w:top w:val="none" w:sz="0" w:space="0" w:color="auto"/>
        <w:left w:val="none" w:sz="0" w:space="0" w:color="auto"/>
        <w:bottom w:val="none" w:sz="0" w:space="0" w:color="auto"/>
        <w:right w:val="none" w:sz="0" w:space="0" w:color="auto"/>
      </w:divBdr>
    </w:div>
    <w:div w:id="677999090">
      <w:bodyDiv w:val="1"/>
      <w:marLeft w:val="0"/>
      <w:marRight w:val="0"/>
      <w:marTop w:val="0"/>
      <w:marBottom w:val="0"/>
      <w:divBdr>
        <w:top w:val="none" w:sz="0" w:space="0" w:color="auto"/>
        <w:left w:val="none" w:sz="0" w:space="0" w:color="auto"/>
        <w:bottom w:val="none" w:sz="0" w:space="0" w:color="auto"/>
        <w:right w:val="none" w:sz="0" w:space="0" w:color="auto"/>
      </w:divBdr>
    </w:div>
    <w:div w:id="691802093">
      <w:bodyDiv w:val="1"/>
      <w:marLeft w:val="0"/>
      <w:marRight w:val="0"/>
      <w:marTop w:val="0"/>
      <w:marBottom w:val="0"/>
      <w:divBdr>
        <w:top w:val="none" w:sz="0" w:space="0" w:color="auto"/>
        <w:left w:val="none" w:sz="0" w:space="0" w:color="auto"/>
        <w:bottom w:val="none" w:sz="0" w:space="0" w:color="auto"/>
        <w:right w:val="none" w:sz="0" w:space="0" w:color="auto"/>
      </w:divBdr>
    </w:div>
    <w:div w:id="695276865">
      <w:bodyDiv w:val="1"/>
      <w:marLeft w:val="0"/>
      <w:marRight w:val="0"/>
      <w:marTop w:val="0"/>
      <w:marBottom w:val="0"/>
      <w:divBdr>
        <w:top w:val="none" w:sz="0" w:space="0" w:color="auto"/>
        <w:left w:val="none" w:sz="0" w:space="0" w:color="auto"/>
        <w:bottom w:val="none" w:sz="0" w:space="0" w:color="auto"/>
        <w:right w:val="none" w:sz="0" w:space="0" w:color="auto"/>
      </w:divBdr>
      <w:divsChild>
        <w:div w:id="1428117571">
          <w:marLeft w:val="0"/>
          <w:marRight w:val="0"/>
          <w:marTop w:val="0"/>
          <w:marBottom w:val="0"/>
          <w:divBdr>
            <w:top w:val="none" w:sz="0" w:space="0" w:color="auto"/>
            <w:left w:val="none" w:sz="0" w:space="0" w:color="auto"/>
            <w:bottom w:val="none" w:sz="0" w:space="0" w:color="auto"/>
            <w:right w:val="none" w:sz="0" w:space="0" w:color="auto"/>
          </w:divBdr>
          <w:divsChild>
            <w:div w:id="201066048">
              <w:marLeft w:val="0"/>
              <w:marRight w:val="0"/>
              <w:marTop w:val="0"/>
              <w:marBottom w:val="0"/>
              <w:divBdr>
                <w:top w:val="none" w:sz="0" w:space="0" w:color="auto"/>
                <w:left w:val="none" w:sz="0" w:space="0" w:color="auto"/>
                <w:bottom w:val="none" w:sz="0" w:space="0" w:color="auto"/>
                <w:right w:val="none" w:sz="0" w:space="0" w:color="auto"/>
              </w:divBdr>
              <w:divsChild>
                <w:div w:id="1105342691">
                  <w:marLeft w:val="0"/>
                  <w:marRight w:val="0"/>
                  <w:marTop w:val="0"/>
                  <w:marBottom w:val="0"/>
                  <w:divBdr>
                    <w:top w:val="none" w:sz="0" w:space="0" w:color="auto"/>
                    <w:left w:val="none" w:sz="0" w:space="0" w:color="auto"/>
                    <w:bottom w:val="none" w:sz="0" w:space="0" w:color="auto"/>
                    <w:right w:val="none" w:sz="0" w:space="0" w:color="auto"/>
                  </w:divBdr>
                  <w:divsChild>
                    <w:div w:id="1782873712">
                      <w:marLeft w:val="0"/>
                      <w:marRight w:val="0"/>
                      <w:marTop w:val="0"/>
                      <w:marBottom w:val="0"/>
                      <w:divBdr>
                        <w:top w:val="none" w:sz="0" w:space="0" w:color="auto"/>
                        <w:left w:val="none" w:sz="0" w:space="0" w:color="auto"/>
                        <w:bottom w:val="none" w:sz="0" w:space="0" w:color="auto"/>
                        <w:right w:val="none" w:sz="0" w:space="0" w:color="auto"/>
                      </w:divBdr>
                      <w:divsChild>
                        <w:div w:id="964504128">
                          <w:marLeft w:val="0"/>
                          <w:marRight w:val="0"/>
                          <w:marTop w:val="0"/>
                          <w:marBottom w:val="0"/>
                          <w:divBdr>
                            <w:top w:val="none" w:sz="0" w:space="0" w:color="auto"/>
                            <w:left w:val="none" w:sz="0" w:space="0" w:color="auto"/>
                            <w:bottom w:val="none" w:sz="0" w:space="0" w:color="auto"/>
                            <w:right w:val="none" w:sz="0" w:space="0" w:color="auto"/>
                          </w:divBdr>
                          <w:divsChild>
                            <w:div w:id="1272280817">
                              <w:marLeft w:val="0"/>
                              <w:marRight w:val="0"/>
                              <w:marTop w:val="0"/>
                              <w:marBottom w:val="0"/>
                              <w:divBdr>
                                <w:top w:val="none" w:sz="0" w:space="0" w:color="auto"/>
                                <w:left w:val="none" w:sz="0" w:space="0" w:color="auto"/>
                                <w:bottom w:val="none" w:sz="0" w:space="0" w:color="auto"/>
                                <w:right w:val="none" w:sz="0" w:space="0" w:color="auto"/>
                              </w:divBdr>
                              <w:divsChild>
                                <w:div w:id="1583493856">
                                  <w:marLeft w:val="0"/>
                                  <w:marRight w:val="0"/>
                                  <w:marTop w:val="0"/>
                                  <w:marBottom w:val="0"/>
                                  <w:divBdr>
                                    <w:top w:val="none" w:sz="0" w:space="0" w:color="auto"/>
                                    <w:left w:val="none" w:sz="0" w:space="0" w:color="auto"/>
                                    <w:bottom w:val="none" w:sz="0" w:space="0" w:color="auto"/>
                                    <w:right w:val="none" w:sz="0" w:space="0" w:color="auto"/>
                                  </w:divBdr>
                                  <w:divsChild>
                                    <w:div w:id="1384061956">
                                      <w:marLeft w:val="0"/>
                                      <w:marRight w:val="0"/>
                                      <w:marTop w:val="0"/>
                                      <w:marBottom w:val="0"/>
                                      <w:divBdr>
                                        <w:top w:val="none" w:sz="0" w:space="0" w:color="auto"/>
                                        <w:left w:val="none" w:sz="0" w:space="0" w:color="auto"/>
                                        <w:bottom w:val="none" w:sz="0" w:space="0" w:color="auto"/>
                                        <w:right w:val="none" w:sz="0" w:space="0" w:color="auto"/>
                                      </w:divBdr>
                                      <w:divsChild>
                                        <w:div w:id="1420634377">
                                          <w:marLeft w:val="0"/>
                                          <w:marRight w:val="0"/>
                                          <w:marTop w:val="0"/>
                                          <w:marBottom w:val="0"/>
                                          <w:divBdr>
                                            <w:top w:val="none" w:sz="0" w:space="0" w:color="auto"/>
                                            <w:left w:val="none" w:sz="0" w:space="0" w:color="auto"/>
                                            <w:bottom w:val="none" w:sz="0" w:space="0" w:color="auto"/>
                                            <w:right w:val="none" w:sz="0" w:space="0" w:color="auto"/>
                                          </w:divBdr>
                                          <w:divsChild>
                                            <w:div w:id="1347827388">
                                              <w:marLeft w:val="0"/>
                                              <w:marRight w:val="0"/>
                                              <w:marTop w:val="0"/>
                                              <w:marBottom w:val="0"/>
                                              <w:divBdr>
                                                <w:top w:val="none" w:sz="0" w:space="0" w:color="auto"/>
                                                <w:left w:val="none" w:sz="0" w:space="0" w:color="auto"/>
                                                <w:bottom w:val="none" w:sz="0" w:space="0" w:color="auto"/>
                                                <w:right w:val="none" w:sz="0" w:space="0" w:color="auto"/>
                                              </w:divBdr>
                                              <w:divsChild>
                                                <w:div w:id="17122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771177">
      <w:bodyDiv w:val="1"/>
      <w:marLeft w:val="0"/>
      <w:marRight w:val="0"/>
      <w:marTop w:val="0"/>
      <w:marBottom w:val="0"/>
      <w:divBdr>
        <w:top w:val="none" w:sz="0" w:space="0" w:color="auto"/>
        <w:left w:val="none" w:sz="0" w:space="0" w:color="auto"/>
        <w:bottom w:val="none" w:sz="0" w:space="0" w:color="auto"/>
        <w:right w:val="none" w:sz="0" w:space="0" w:color="auto"/>
      </w:divBdr>
    </w:div>
    <w:div w:id="738091875">
      <w:bodyDiv w:val="1"/>
      <w:marLeft w:val="0"/>
      <w:marRight w:val="0"/>
      <w:marTop w:val="0"/>
      <w:marBottom w:val="0"/>
      <w:divBdr>
        <w:top w:val="none" w:sz="0" w:space="0" w:color="auto"/>
        <w:left w:val="none" w:sz="0" w:space="0" w:color="auto"/>
        <w:bottom w:val="none" w:sz="0" w:space="0" w:color="auto"/>
        <w:right w:val="none" w:sz="0" w:space="0" w:color="auto"/>
      </w:divBdr>
    </w:div>
    <w:div w:id="772937363">
      <w:bodyDiv w:val="1"/>
      <w:marLeft w:val="0"/>
      <w:marRight w:val="0"/>
      <w:marTop w:val="0"/>
      <w:marBottom w:val="0"/>
      <w:divBdr>
        <w:top w:val="none" w:sz="0" w:space="0" w:color="auto"/>
        <w:left w:val="none" w:sz="0" w:space="0" w:color="auto"/>
        <w:bottom w:val="none" w:sz="0" w:space="0" w:color="auto"/>
        <w:right w:val="none" w:sz="0" w:space="0" w:color="auto"/>
      </w:divBdr>
      <w:divsChild>
        <w:div w:id="1581022008">
          <w:marLeft w:val="0"/>
          <w:marRight w:val="0"/>
          <w:marTop w:val="0"/>
          <w:marBottom w:val="0"/>
          <w:divBdr>
            <w:top w:val="none" w:sz="0" w:space="0" w:color="auto"/>
            <w:left w:val="none" w:sz="0" w:space="0" w:color="auto"/>
            <w:bottom w:val="none" w:sz="0" w:space="0" w:color="auto"/>
            <w:right w:val="none" w:sz="0" w:space="0" w:color="auto"/>
          </w:divBdr>
          <w:divsChild>
            <w:div w:id="1744179751">
              <w:marLeft w:val="0"/>
              <w:marRight w:val="0"/>
              <w:marTop w:val="0"/>
              <w:marBottom w:val="0"/>
              <w:divBdr>
                <w:top w:val="none" w:sz="0" w:space="0" w:color="auto"/>
                <w:left w:val="none" w:sz="0" w:space="0" w:color="auto"/>
                <w:bottom w:val="none" w:sz="0" w:space="0" w:color="auto"/>
                <w:right w:val="none" w:sz="0" w:space="0" w:color="auto"/>
              </w:divBdr>
              <w:divsChild>
                <w:div w:id="1593124035">
                  <w:marLeft w:val="0"/>
                  <w:marRight w:val="0"/>
                  <w:marTop w:val="100"/>
                  <w:marBottom w:val="100"/>
                  <w:divBdr>
                    <w:top w:val="none" w:sz="0" w:space="0" w:color="auto"/>
                    <w:left w:val="none" w:sz="0" w:space="0" w:color="auto"/>
                    <w:bottom w:val="none" w:sz="0" w:space="0" w:color="auto"/>
                    <w:right w:val="none" w:sz="0" w:space="0" w:color="auto"/>
                  </w:divBdr>
                  <w:divsChild>
                    <w:div w:id="431123039">
                      <w:marLeft w:val="1"/>
                      <w:marRight w:val="1"/>
                      <w:marTop w:val="0"/>
                      <w:marBottom w:val="0"/>
                      <w:divBdr>
                        <w:top w:val="none" w:sz="0" w:space="0" w:color="auto"/>
                        <w:left w:val="none" w:sz="0" w:space="0" w:color="auto"/>
                        <w:bottom w:val="none" w:sz="0" w:space="0" w:color="auto"/>
                        <w:right w:val="none" w:sz="0" w:space="0" w:color="auto"/>
                      </w:divBdr>
                      <w:divsChild>
                        <w:div w:id="1607033079">
                          <w:marLeft w:val="-1"/>
                          <w:marRight w:val="-1"/>
                          <w:marTop w:val="0"/>
                          <w:marBottom w:val="0"/>
                          <w:divBdr>
                            <w:top w:val="none" w:sz="0" w:space="0" w:color="auto"/>
                            <w:left w:val="none" w:sz="0" w:space="0" w:color="auto"/>
                            <w:bottom w:val="none" w:sz="0" w:space="0" w:color="auto"/>
                            <w:right w:val="none" w:sz="0" w:space="0" w:color="auto"/>
                          </w:divBdr>
                          <w:divsChild>
                            <w:div w:id="18178436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1894">
      <w:bodyDiv w:val="1"/>
      <w:marLeft w:val="0"/>
      <w:marRight w:val="0"/>
      <w:marTop w:val="0"/>
      <w:marBottom w:val="0"/>
      <w:divBdr>
        <w:top w:val="none" w:sz="0" w:space="0" w:color="auto"/>
        <w:left w:val="none" w:sz="0" w:space="0" w:color="auto"/>
        <w:bottom w:val="none" w:sz="0" w:space="0" w:color="auto"/>
        <w:right w:val="none" w:sz="0" w:space="0" w:color="auto"/>
      </w:divBdr>
      <w:divsChild>
        <w:div w:id="818230350">
          <w:marLeft w:val="0"/>
          <w:marRight w:val="0"/>
          <w:marTop w:val="0"/>
          <w:marBottom w:val="0"/>
          <w:divBdr>
            <w:top w:val="none" w:sz="0" w:space="0" w:color="auto"/>
            <w:left w:val="none" w:sz="0" w:space="0" w:color="auto"/>
            <w:bottom w:val="none" w:sz="0" w:space="0" w:color="auto"/>
            <w:right w:val="none" w:sz="0" w:space="0" w:color="auto"/>
          </w:divBdr>
          <w:divsChild>
            <w:div w:id="389304353">
              <w:marLeft w:val="0"/>
              <w:marRight w:val="0"/>
              <w:marTop w:val="0"/>
              <w:marBottom w:val="0"/>
              <w:divBdr>
                <w:top w:val="none" w:sz="0" w:space="0" w:color="auto"/>
                <w:left w:val="none" w:sz="0" w:space="0" w:color="auto"/>
                <w:bottom w:val="none" w:sz="0" w:space="0" w:color="auto"/>
                <w:right w:val="none" w:sz="0" w:space="0" w:color="auto"/>
              </w:divBdr>
              <w:divsChild>
                <w:div w:id="887496640">
                  <w:marLeft w:val="0"/>
                  <w:marRight w:val="0"/>
                  <w:marTop w:val="0"/>
                  <w:marBottom w:val="0"/>
                  <w:divBdr>
                    <w:top w:val="none" w:sz="0" w:space="0" w:color="auto"/>
                    <w:left w:val="none" w:sz="0" w:space="0" w:color="auto"/>
                    <w:bottom w:val="none" w:sz="0" w:space="0" w:color="auto"/>
                    <w:right w:val="none" w:sz="0" w:space="0" w:color="auto"/>
                  </w:divBdr>
                  <w:divsChild>
                    <w:div w:id="1202208166">
                      <w:marLeft w:val="0"/>
                      <w:marRight w:val="0"/>
                      <w:marTop w:val="0"/>
                      <w:marBottom w:val="0"/>
                      <w:divBdr>
                        <w:top w:val="none" w:sz="0" w:space="0" w:color="auto"/>
                        <w:left w:val="none" w:sz="0" w:space="0" w:color="auto"/>
                        <w:bottom w:val="none" w:sz="0" w:space="0" w:color="auto"/>
                        <w:right w:val="none" w:sz="0" w:space="0" w:color="auto"/>
                      </w:divBdr>
                      <w:divsChild>
                        <w:div w:id="1728140219">
                          <w:marLeft w:val="0"/>
                          <w:marRight w:val="0"/>
                          <w:marTop w:val="0"/>
                          <w:marBottom w:val="0"/>
                          <w:divBdr>
                            <w:top w:val="none" w:sz="0" w:space="0" w:color="auto"/>
                            <w:left w:val="none" w:sz="0" w:space="0" w:color="auto"/>
                            <w:bottom w:val="none" w:sz="0" w:space="0" w:color="auto"/>
                            <w:right w:val="none" w:sz="0" w:space="0" w:color="auto"/>
                          </w:divBdr>
                          <w:divsChild>
                            <w:div w:id="951864398">
                              <w:marLeft w:val="0"/>
                              <w:marRight w:val="0"/>
                              <w:marTop w:val="0"/>
                              <w:marBottom w:val="0"/>
                              <w:divBdr>
                                <w:top w:val="none" w:sz="0" w:space="0" w:color="auto"/>
                                <w:left w:val="none" w:sz="0" w:space="0" w:color="auto"/>
                                <w:bottom w:val="none" w:sz="0" w:space="0" w:color="auto"/>
                                <w:right w:val="none" w:sz="0" w:space="0" w:color="auto"/>
                              </w:divBdr>
                              <w:divsChild>
                                <w:div w:id="1709261883">
                                  <w:marLeft w:val="0"/>
                                  <w:marRight w:val="0"/>
                                  <w:marTop w:val="0"/>
                                  <w:marBottom w:val="0"/>
                                  <w:divBdr>
                                    <w:top w:val="none" w:sz="0" w:space="0" w:color="auto"/>
                                    <w:left w:val="none" w:sz="0" w:space="0" w:color="auto"/>
                                    <w:bottom w:val="none" w:sz="0" w:space="0" w:color="auto"/>
                                    <w:right w:val="none" w:sz="0" w:space="0" w:color="auto"/>
                                  </w:divBdr>
                                  <w:divsChild>
                                    <w:div w:id="1567033130">
                                      <w:marLeft w:val="0"/>
                                      <w:marRight w:val="0"/>
                                      <w:marTop w:val="0"/>
                                      <w:marBottom w:val="0"/>
                                      <w:divBdr>
                                        <w:top w:val="none" w:sz="0" w:space="0" w:color="auto"/>
                                        <w:left w:val="none" w:sz="0" w:space="0" w:color="auto"/>
                                        <w:bottom w:val="none" w:sz="0" w:space="0" w:color="auto"/>
                                        <w:right w:val="none" w:sz="0" w:space="0" w:color="auto"/>
                                      </w:divBdr>
                                      <w:divsChild>
                                        <w:div w:id="1027219304">
                                          <w:marLeft w:val="0"/>
                                          <w:marRight w:val="0"/>
                                          <w:marTop w:val="0"/>
                                          <w:marBottom w:val="0"/>
                                          <w:divBdr>
                                            <w:top w:val="none" w:sz="0" w:space="0" w:color="auto"/>
                                            <w:left w:val="none" w:sz="0" w:space="0" w:color="auto"/>
                                            <w:bottom w:val="none" w:sz="0" w:space="0" w:color="auto"/>
                                            <w:right w:val="none" w:sz="0" w:space="0" w:color="auto"/>
                                          </w:divBdr>
                                          <w:divsChild>
                                            <w:div w:id="760876491">
                                              <w:marLeft w:val="0"/>
                                              <w:marRight w:val="0"/>
                                              <w:marTop w:val="0"/>
                                              <w:marBottom w:val="0"/>
                                              <w:divBdr>
                                                <w:top w:val="none" w:sz="0" w:space="0" w:color="auto"/>
                                                <w:left w:val="none" w:sz="0" w:space="0" w:color="auto"/>
                                                <w:bottom w:val="none" w:sz="0" w:space="0" w:color="auto"/>
                                                <w:right w:val="none" w:sz="0" w:space="0" w:color="auto"/>
                                              </w:divBdr>
                                              <w:divsChild>
                                                <w:div w:id="1226913183">
                                                  <w:marLeft w:val="0"/>
                                                  <w:marRight w:val="0"/>
                                                  <w:marTop w:val="0"/>
                                                  <w:marBottom w:val="0"/>
                                                  <w:divBdr>
                                                    <w:top w:val="none" w:sz="0" w:space="0" w:color="auto"/>
                                                    <w:left w:val="none" w:sz="0" w:space="0" w:color="auto"/>
                                                    <w:bottom w:val="none" w:sz="0" w:space="0" w:color="auto"/>
                                                    <w:right w:val="none" w:sz="0" w:space="0" w:color="auto"/>
                                                  </w:divBdr>
                                                  <w:divsChild>
                                                    <w:div w:id="230821961">
                                                      <w:marLeft w:val="0"/>
                                                      <w:marRight w:val="0"/>
                                                      <w:marTop w:val="0"/>
                                                      <w:marBottom w:val="0"/>
                                                      <w:divBdr>
                                                        <w:top w:val="none" w:sz="0" w:space="0" w:color="auto"/>
                                                        <w:left w:val="none" w:sz="0" w:space="0" w:color="auto"/>
                                                        <w:bottom w:val="none" w:sz="0" w:space="0" w:color="auto"/>
                                                        <w:right w:val="none" w:sz="0" w:space="0" w:color="auto"/>
                                                      </w:divBdr>
                                                      <w:divsChild>
                                                        <w:div w:id="19047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337183">
      <w:bodyDiv w:val="1"/>
      <w:marLeft w:val="0"/>
      <w:marRight w:val="0"/>
      <w:marTop w:val="0"/>
      <w:marBottom w:val="0"/>
      <w:divBdr>
        <w:top w:val="none" w:sz="0" w:space="0" w:color="auto"/>
        <w:left w:val="none" w:sz="0" w:space="0" w:color="auto"/>
        <w:bottom w:val="none" w:sz="0" w:space="0" w:color="auto"/>
        <w:right w:val="none" w:sz="0" w:space="0" w:color="auto"/>
      </w:divBdr>
    </w:div>
    <w:div w:id="895241768">
      <w:bodyDiv w:val="1"/>
      <w:marLeft w:val="0"/>
      <w:marRight w:val="0"/>
      <w:marTop w:val="0"/>
      <w:marBottom w:val="0"/>
      <w:divBdr>
        <w:top w:val="none" w:sz="0" w:space="0" w:color="auto"/>
        <w:left w:val="none" w:sz="0" w:space="0" w:color="auto"/>
        <w:bottom w:val="none" w:sz="0" w:space="0" w:color="auto"/>
        <w:right w:val="none" w:sz="0" w:space="0" w:color="auto"/>
      </w:divBdr>
    </w:div>
    <w:div w:id="918709148">
      <w:bodyDiv w:val="1"/>
      <w:marLeft w:val="0"/>
      <w:marRight w:val="0"/>
      <w:marTop w:val="0"/>
      <w:marBottom w:val="0"/>
      <w:divBdr>
        <w:top w:val="none" w:sz="0" w:space="0" w:color="auto"/>
        <w:left w:val="none" w:sz="0" w:space="0" w:color="auto"/>
        <w:bottom w:val="none" w:sz="0" w:space="0" w:color="auto"/>
        <w:right w:val="none" w:sz="0" w:space="0" w:color="auto"/>
      </w:divBdr>
    </w:div>
    <w:div w:id="945581170">
      <w:bodyDiv w:val="1"/>
      <w:marLeft w:val="0"/>
      <w:marRight w:val="0"/>
      <w:marTop w:val="0"/>
      <w:marBottom w:val="0"/>
      <w:divBdr>
        <w:top w:val="none" w:sz="0" w:space="0" w:color="auto"/>
        <w:left w:val="none" w:sz="0" w:space="0" w:color="auto"/>
        <w:bottom w:val="none" w:sz="0" w:space="0" w:color="auto"/>
        <w:right w:val="none" w:sz="0" w:space="0" w:color="auto"/>
      </w:divBdr>
      <w:divsChild>
        <w:div w:id="2048871681">
          <w:marLeft w:val="0"/>
          <w:marRight w:val="0"/>
          <w:marTop w:val="0"/>
          <w:marBottom w:val="0"/>
          <w:divBdr>
            <w:top w:val="none" w:sz="0" w:space="0" w:color="auto"/>
            <w:left w:val="none" w:sz="0" w:space="0" w:color="auto"/>
            <w:bottom w:val="none" w:sz="0" w:space="0" w:color="auto"/>
            <w:right w:val="none" w:sz="0" w:space="0" w:color="auto"/>
          </w:divBdr>
          <w:divsChild>
            <w:div w:id="1274554230">
              <w:marLeft w:val="0"/>
              <w:marRight w:val="0"/>
              <w:marTop w:val="0"/>
              <w:marBottom w:val="0"/>
              <w:divBdr>
                <w:top w:val="none" w:sz="0" w:space="0" w:color="auto"/>
                <w:left w:val="none" w:sz="0" w:space="0" w:color="auto"/>
                <w:bottom w:val="none" w:sz="0" w:space="0" w:color="auto"/>
                <w:right w:val="none" w:sz="0" w:space="0" w:color="auto"/>
              </w:divBdr>
              <w:divsChild>
                <w:div w:id="1736657377">
                  <w:marLeft w:val="0"/>
                  <w:marRight w:val="0"/>
                  <w:marTop w:val="0"/>
                  <w:marBottom w:val="0"/>
                  <w:divBdr>
                    <w:top w:val="none" w:sz="0" w:space="0" w:color="auto"/>
                    <w:left w:val="none" w:sz="0" w:space="0" w:color="auto"/>
                    <w:bottom w:val="none" w:sz="0" w:space="0" w:color="auto"/>
                    <w:right w:val="none" w:sz="0" w:space="0" w:color="auto"/>
                  </w:divBdr>
                  <w:divsChild>
                    <w:div w:id="576985943">
                      <w:marLeft w:val="0"/>
                      <w:marRight w:val="0"/>
                      <w:marTop w:val="0"/>
                      <w:marBottom w:val="0"/>
                      <w:divBdr>
                        <w:top w:val="none" w:sz="0" w:space="0" w:color="auto"/>
                        <w:left w:val="none" w:sz="0" w:space="0" w:color="auto"/>
                        <w:bottom w:val="none" w:sz="0" w:space="0" w:color="auto"/>
                        <w:right w:val="none" w:sz="0" w:space="0" w:color="auto"/>
                      </w:divBdr>
                      <w:divsChild>
                        <w:div w:id="1163856317">
                          <w:marLeft w:val="0"/>
                          <w:marRight w:val="0"/>
                          <w:marTop w:val="0"/>
                          <w:marBottom w:val="0"/>
                          <w:divBdr>
                            <w:top w:val="none" w:sz="0" w:space="0" w:color="auto"/>
                            <w:left w:val="none" w:sz="0" w:space="0" w:color="auto"/>
                            <w:bottom w:val="none" w:sz="0" w:space="0" w:color="auto"/>
                            <w:right w:val="none" w:sz="0" w:space="0" w:color="auto"/>
                          </w:divBdr>
                          <w:divsChild>
                            <w:div w:id="636567832">
                              <w:marLeft w:val="0"/>
                              <w:marRight w:val="0"/>
                              <w:marTop w:val="0"/>
                              <w:marBottom w:val="0"/>
                              <w:divBdr>
                                <w:top w:val="none" w:sz="0" w:space="0" w:color="auto"/>
                                <w:left w:val="none" w:sz="0" w:space="0" w:color="auto"/>
                                <w:bottom w:val="none" w:sz="0" w:space="0" w:color="auto"/>
                                <w:right w:val="none" w:sz="0" w:space="0" w:color="auto"/>
                              </w:divBdr>
                              <w:divsChild>
                                <w:div w:id="1595478799">
                                  <w:marLeft w:val="0"/>
                                  <w:marRight w:val="0"/>
                                  <w:marTop w:val="0"/>
                                  <w:marBottom w:val="0"/>
                                  <w:divBdr>
                                    <w:top w:val="none" w:sz="0" w:space="0" w:color="auto"/>
                                    <w:left w:val="none" w:sz="0" w:space="0" w:color="auto"/>
                                    <w:bottom w:val="none" w:sz="0" w:space="0" w:color="auto"/>
                                    <w:right w:val="none" w:sz="0" w:space="0" w:color="auto"/>
                                  </w:divBdr>
                                  <w:divsChild>
                                    <w:div w:id="538199274">
                                      <w:marLeft w:val="0"/>
                                      <w:marRight w:val="0"/>
                                      <w:marTop w:val="0"/>
                                      <w:marBottom w:val="0"/>
                                      <w:divBdr>
                                        <w:top w:val="none" w:sz="0" w:space="0" w:color="auto"/>
                                        <w:left w:val="none" w:sz="0" w:space="0" w:color="auto"/>
                                        <w:bottom w:val="none" w:sz="0" w:space="0" w:color="auto"/>
                                        <w:right w:val="none" w:sz="0" w:space="0" w:color="auto"/>
                                      </w:divBdr>
                                      <w:divsChild>
                                        <w:div w:id="1011028320">
                                          <w:marLeft w:val="0"/>
                                          <w:marRight w:val="0"/>
                                          <w:marTop w:val="0"/>
                                          <w:marBottom w:val="0"/>
                                          <w:divBdr>
                                            <w:top w:val="none" w:sz="0" w:space="0" w:color="auto"/>
                                            <w:left w:val="none" w:sz="0" w:space="0" w:color="auto"/>
                                            <w:bottom w:val="none" w:sz="0" w:space="0" w:color="auto"/>
                                            <w:right w:val="none" w:sz="0" w:space="0" w:color="auto"/>
                                          </w:divBdr>
                                          <w:divsChild>
                                            <w:div w:id="1867206960">
                                              <w:marLeft w:val="0"/>
                                              <w:marRight w:val="0"/>
                                              <w:marTop w:val="0"/>
                                              <w:marBottom w:val="0"/>
                                              <w:divBdr>
                                                <w:top w:val="none" w:sz="0" w:space="0" w:color="auto"/>
                                                <w:left w:val="none" w:sz="0" w:space="0" w:color="auto"/>
                                                <w:bottom w:val="none" w:sz="0" w:space="0" w:color="auto"/>
                                                <w:right w:val="none" w:sz="0" w:space="0" w:color="auto"/>
                                              </w:divBdr>
                                              <w:divsChild>
                                                <w:div w:id="1841001793">
                                                  <w:marLeft w:val="0"/>
                                                  <w:marRight w:val="0"/>
                                                  <w:marTop w:val="0"/>
                                                  <w:marBottom w:val="0"/>
                                                  <w:divBdr>
                                                    <w:top w:val="none" w:sz="0" w:space="0" w:color="auto"/>
                                                    <w:left w:val="none" w:sz="0" w:space="0" w:color="auto"/>
                                                    <w:bottom w:val="none" w:sz="0" w:space="0" w:color="auto"/>
                                                    <w:right w:val="none" w:sz="0" w:space="0" w:color="auto"/>
                                                  </w:divBdr>
                                                  <w:divsChild>
                                                    <w:div w:id="593366627">
                                                      <w:marLeft w:val="0"/>
                                                      <w:marRight w:val="0"/>
                                                      <w:marTop w:val="0"/>
                                                      <w:marBottom w:val="0"/>
                                                      <w:divBdr>
                                                        <w:top w:val="none" w:sz="0" w:space="0" w:color="auto"/>
                                                        <w:left w:val="none" w:sz="0" w:space="0" w:color="auto"/>
                                                        <w:bottom w:val="none" w:sz="0" w:space="0" w:color="auto"/>
                                                        <w:right w:val="none" w:sz="0" w:space="0" w:color="auto"/>
                                                      </w:divBdr>
                                                      <w:divsChild>
                                                        <w:div w:id="14084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04221">
      <w:bodyDiv w:val="1"/>
      <w:marLeft w:val="0"/>
      <w:marRight w:val="0"/>
      <w:marTop w:val="0"/>
      <w:marBottom w:val="0"/>
      <w:divBdr>
        <w:top w:val="none" w:sz="0" w:space="0" w:color="auto"/>
        <w:left w:val="none" w:sz="0" w:space="0" w:color="auto"/>
        <w:bottom w:val="none" w:sz="0" w:space="0" w:color="auto"/>
        <w:right w:val="none" w:sz="0" w:space="0" w:color="auto"/>
      </w:divBdr>
    </w:div>
    <w:div w:id="963736800">
      <w:bodyDiv w:val="1"/>
      <w:marLeft w:val="0"/>
      <w:marRight w:val="0"/>
      <w:marTop w:val="0"/>
      <w:marBottom w:val="0"/>
      <w:divBdr>
        <w:top w:val="none" w:sz="0" w:space="0" w:color="auto"/>
        <w:left w:val="none" w:sz="0" w:space="0" w:color="auto"/>
        <w:bottom w:val="none" w:sz="0" w:space="0" w:color="auto"/>
        <w:right w:val="none" w:sz="0" w:space="0" w:color="auto"/>
      </w:divBdr>
    </w:div>
    <w:div w:id="990521550">
      <w:bodyDiv w:val="1"/>
      <w:marLeft w:val="0"/>
      <w:marRight w:val="0"/>
      <w:marTop w:val="0"/>
      <w:marBottom w:val="0"/>
      <w:divBdr>
        <w:top w:val="none" w:sz="0" w:space="0" w:color="auto"/>
        <w:left w:val="none" w:sz="0" w:space="0" w:color="auto"/>
        <w:bottom w:val="none" w:sz="0" w:space="0" w:color="auto"/>
        <w:right w:val="none" w:sz="0" w:space="0" w:color="auto"/>
      </w:divBdr>
    </w:div>
    <w:div w:id="1020551419">
      <w:bodyDiv w:val="1"/>
      <w:marLeft w:val="0"/>
      <w:marRight w:val="0"/>
      <w:marTop w:val="0"/>
      <w:marBottom w:val="0"/>
      <w:divBdr>
        <w:top w:val="none" w:sz="0" w:space="0" w:color="auto"/>
        <w:left w:val="none" w:sz="0" w:space="0" w:color="auto"/>
        <w:bottom w:val="none" w:sz="0" w:space="0" w:color="auto"/>
        <w:right w:val="none" w:sz="0" w:space="0" w:color="auto"/>
      </w:divBdr>
    </w:div>
    <w:div w:id="1038509904">
      <w:bodyDiv w:val="1"/>
      <w:marLeft w:val="0"/>
      <w:marRight w:val="0"/>
      <w:marTop w:val="0"/>
      <w:marBottom w:val="0"/>
      <w:divBdr>
        <w:top w:val="none" w:sz="0" w:space="0" w:color="auto"/>
        <w:left w:val="none" w:sz="0" w:space="0" w:color="auto"/>
        <w:bottom w:val="none" w:sz="0" w:space="0" w:color="auto"/>
        <w:right w:val="none" w:sz="0" w:space="0" w:color="auto"/>
      </w:divBdr>
      <w:divsChild>
        <w:div w:id="1756196867">
          <w:marLeft w:val="547"/>
          <w:marRight w:val="0"/>
          <w:marTop w:val="0"/>
          <w:marBottom w:val="200"/>
          <w:divBdr>
            <w:top w:val="none" w:sz="0" w:space="0" w:color="auto"/>
            <w:left w:val="none" w:sz="0" w:space="0" w:color="auto"/>
            <w:bottom w:val="none" w:sz="0" w:space="0" w:color="auto"/>
            <w:right w:val="none" w:sz="0" w:space="0" w:color="auto"/>
          </w:divBdr>
        </w:div>
        <w:div w:id="489520532">
          <w:marLeft w:val="547"/>
          <w:marRight w:val="0"/>
          <w:marTop w:val="0"/>
          <w:marBottom w:val="200"/>
          <w:divBdr>
            <w:top w:val="none" w:sz="0" w:space="0" w:color="auto"/>
            <w:left w:val="none" w:sz="0" w:space="0" w:color="auto"/>
            <w:bottom w:val="none" w:sz="0" w:space="0" w:color="auto"/>
            <w:right w:val="none" w:sz="0" w:space="0" w:color="auto"/>
          </w:divBdr>
        </w:div>
        <w:div w:id="58946337">
          <w:marLeft w:val="547"/>
          <w:marRight w:val="0"/>
          <w:marTop w:val="0"/>
          <w:marBottom w:val="200"/>
          <w:divBdr>
            <w:top w:val="none" w:sz="0" w:space="0" w:color="auto"/>
            <w:left w:val="none" w:sz="0" w:space="0" w:color="auto"/>
            <w:bottom w:val="none" w:sz="0" w:space="0" w:color="auto"/>
            <w:right w:val="none" w:sz="0" w:space="0" w:color="auto"/>
          </w:divBdr>
        </w:div>
      </w:divsChild>
    </w:div>
    <w:div w:id="1044253918">
      <w:bodyDiv w:val="1"/>
      <w:marLeft w:val="0"/>
      <w:marRight w:val="0"/>
      <w:marTop w:val="0"/>
      <w:marBottom w:val="0"/>
      <w:divBdr>
        <w:top w:val="none" w:sz="0" w:space="0" w:color="auto"/>
        <w:left w:val="none" w:sz="0" w:space="0" w:color="auto"/>
        <w:bottom w:val="none" w:sz="0" w:space="0" w:color="auto"/>
        <w:right w:val="none" w:sz="0" w:space="0" w:color="auto"/>
      </w:divBdr>
    </w:div>
    <w:div w:id="1050569972">
      <w:bodyDiv w:val="1"/>
      <w:marLeft w:val="0"/>
      <w:marRight w:val="0"/>
      <w:marTop w:val="0"/>
      <w:marBottom w:val="0"/>
      <w:divBdr>
        <w:top w:val="none" w:sz="0" w:space="0" w:color="auto"/>
        <w:left w:val="none" w:sz="0" w:space="0" w:color="auto"/>
        <w:bottom w:val="none" w:sz="0" w:space="0" w:color="auto"/>
        <w:right w:val="none" w:sz="0" w:space="0" w:color="auto"/>
      </w:divBdr>
    </w:div>
    <w:div w:id="1053697267">
      <w:bodyDiv w:val="1"/>
      <w:marLeft w:val="0"/>
      <w:marRight w:val="0"/>
      <w:marTop w:val="0"/>
      <w:marBottom w:val="0"/>
      <w:divBdr>
        <w:top w:val="none" w:sz="0" w:space="0" w:color="auto"/>
        <w:left w:val="none" w:sz="0" w:space="0" w:color="auto"/>
        <w:bottom w:val="none" w:sz="0" w:space="0" w:color="auto"/>
        <w:right w:val="none" w:sz="0" w:space="0" w:color="auto"/>
      </w:divBdr>
    </w:div>
    <w:div w:id="1091004550">
      <w:bodyDiv w:val="1"/>
      <w:marLeft w:val="0"/>
      <w:marRight w:val="0"/>
      <w:marTop w:val="0"/>
      <w:marBottom w:val="0"/>
      <w:divBdr>
        <w:top w:val="none" w:sz="0" w:space="0" w:color="auto"/>
        <w:left w:val="none" w:sz="0" w:space="0" w:color="auto"/>
        <w:bottom w:val="none" w:sz="0" w:space="0" w:color="auto"/>
        <w:right w:val="none" w:sz="0" w:space="0" w:color="auto"/>
      </w:divBdr>
    </w:div>
    <w:div w:id="1091782092">
      <w:bodyDiv w:val="1"/>
      <w:marLeft w:val="0"/>
      <w:marRight w:val="0"/>
      <w:marTop w:val="0"/>
      <w:marBottom w:val="0"/>
      <w:divBdr>
        <w:top w:val="none" w:sz="0" w:space="0" w:color="auto"/>
        <w:left w:val="none" w:sz="0" w:space="0" w:color="auto"/>
        <w:bottom w:val="none" w:sz="0" w:space="0" w:color="auto"/>
        <w:right w:val="none" w:sz="0" w:space="0" w:color="auto"/>
      </w:divBdr>
    </w:div>
    <w:div w:id="1118258953">
      <w:bodyDiv w:val="1"/>
      <w:marLeft w:val="0"/>
      <w:marRight w:val="0"/>
      <w:marTop w:val="0"/>
      <w:marBottom w:val="0"/>
      <w:divBdr>
        <w:top w:val="none" w:sz="0" w:space="0" w:color="auto"/>
        <w:left w:val="none" w:sz="0" w:space="0" w:color="auto"/>
        <w:bottom w:val="none" w:sz="0" w:space="0" w:color="auto"/>
        <w:right w:val="none" w:sz="0" w:space="0" w:color="auto"/>
      </w:divBdr>
    </w:div>
    <w:div w:id="1118911780">
      <w:bodyDiv w:val="1"/>
      <w:marLeft w:val="0"/>
      <w:marRight w:val="0"/>
      <w:marTop w:val="0"/>
      <w:marBottom w:val="0"/>
      <w:divBdr>
        <w:top w:val="none" w:sz="0" w:space="0" w:color="auto"/>
        <w:left w:val="none" w:sz="0" w:space="0" w:color="auto"/>
        <w:bottom w:val="none" w:sz="0" w:space="0" w:color="auto"/>
        <w:right w:val="none" w:sz="0" w:space="0" w:color="auto"/>
      </w:divBdr>
      <w:divsChild>
        <w:div w:id="886723004">
          <w:marLeft w:val="0"/>
          <w:marRight w:val="0"/>
          <w:marTop w:val="0"/>
          <w:marBottom w:val="0"/>
          <w:divBdr>
            <w:top w:val="single" w:sz="48" w:space="23" w:color="004A7F"/>
            <w:left w:val="none" w:sz="0" w:space="0" w:color="auto"/>
            <w:bottom w:val="single" w:sz="48" w:space="0" w:color="004A7F"/>
            <w:right w:val="none" w:sz="0" w:space="0" w:color="auto"/>
          </w:divBdr>
          <w:divsChild>
            <w:div w:id="1618758673">
              <w:marLeft w:val="-225"/>
              <w:marRight w:val="-225"/>
              <w:marTop w:val="0"/>
              <w:marBottom w:val="0"/>
              <w:divBdr>
                <w:top w:val="none" w:sz="0" w:space="0" w:color="auto"/>
                <w:left w:val="none" w:sz="0" w:space="0" w:color="auto"/>
                <w:bottom w:val="none" w:sz="0" w:space="0" w:color="auto"/>
                <w:right w:val="none" w:sz="0" w:space="0" w:color="auto"/>
              </w:divBdr>
              <w:divsChild>
                <w:div w:id="669793053">
                  <w:marLeft w:val="0"/>
                  <w:marRight w:val="0"/>
                  <w:marTop w:val="0"/>
                  <w:marBottom w:val="0"/>
                  <w:divBdr>
                    <w:top w:val="none" w:sz="0" w:space="0" w:color="auto"/>
                    <w:left w:val="none" w:sz="0" w:space="0" w:color="auto"/>
                    <w:bottom w:val="none" w:sz="0" w:space="0" w:color="auto"/>
                    <w:right w:val="none" w:sz="0" w:space="0" w:color="auto"/>
                  </w:divBdr>
                  <w:divsChild>
                    <w:div w:id="439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61552">
      <w:bodyDiv w:val="1"/>
      <w:marLeft w:val="0"/>
      <w:marRight w:val="0"/>
      <w:marTop w:val="0"/>
      <w:marBottom w:val="0"/>
      <w:divBdr>
        <w:top w:val="none" w:sz="0" w:space="0" w:color="auto"/>
        <w:left w:val="none" w:sz="0" w:space="0" w:color="auto"/>
        <w:bottom w:val="none" w:sz="0" w:space="0" w:color="auto"/>
        <w:right w:val="none" w:sz="0" w:space="0" w:color="auto"/>
      </w:divBdr>
    </w:div>
    <w:div w:id="1147891414">
      <w:bodyDiv w:val="1"/>
      <w:marLeft w:val="0"/>
      <w:marRight w:val="0"/>
      <w:marTop w:val="0"/>
      <w:marBottom w:val="0"/>
      <w:divBdr>
        <w:top w:val="none" w:sz="0" w:space="0" w:color="auto"/>
        <w:left w:val="none" w:sz="0" w:space="0" w:color="auto"/>
        <w:bottom w:val="none" w:sz="0" w:space="0" w:color="auto"/>
        <w:right w:val="none" w:sz="0" w:space="0" w:color="auto"/>
      </w:divBdr>
    </w:div>
    <w:div w:id="1193416628">
      <w:bodyDiv w:val="1"/>
      <w:marLeft w:val="0"/>
      <w:marRight w:val="0"/>
      <w:marTop w:val="0"/>
      <w:marBottom w:val="0"/>
      <w:divBdr>
        <w:top w:val="none" w:sz="0" w:space="0" w:color="auto"/>
        <w:left w:val="none" w:sz="0" w:space="0" w:color="auto"/>
        <w:bottom w:val="none" w:sz="0" w:space="0" w:color="auto"/>
        <w:right w:val="none" w:sz="0" w:space="0" w:color="auto"/>
      </w:divBdr>
    </w:div>
    <w:div w:id="1213998615">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19365654">
      <w:bodyDiv w:val="1"/>
      <w:marLeft w:val="0"/>
      <w:marRight w:val="0"/>
      <w:marTop w:val="0"/>
      <w:marBottom w:val="0"/>
      <w:divBdr>
        <w:top w:val="none" w:sz="0" w:space="0" w:color="auto"/>
        <w:left w:val="none" w:sz="0" w:space="0" w:color="auto"/>
        <w:bottom w:val="none" w:sz="0" w:space="0" w:color="auto"/>
        <w:right w:val="none" w:sz="0" w:space="0" w:color="auto"/>
      </w:divBdr>
    </w:div>
    <w:div w:id="1232736529">
      <w:bodyDiv w:val="1"/>
      <w:marLeft w:val="0"/>
      <w:marRight w:val="0"/>
      <w:marTop w:val="0"/>
      <w:marBottom w:val="0"/>
      <w:divBdr>
        <w:top w:val="none" w:sz="0" w:space="0" w:color="auto"/>
        <w:left w:val="none" w:sz="0" w:space="0" w:color="auto"/>
        <w:bottom w:val="none" w:sz="0" w:space="0" w:color="auto"/>
        <w:right w:val="none" w:sz="0" w:space="0" w:color="auto"/>
      </w:divBdr>
    </w:div>
    <w:div w:id="1241211438">
      <w:bodyDiv w:val="1"/>
      <w:marLeft w:val="0"/>
      <w:marRight w:val="0"/>
      <w:marTop w:val="0"/>
      <w:marBottom w:val="0"/>
      <w:divBdr>
        <w:top w:val="none" w:sz="0" w:space="0" w:color="auto"/>
        <w:left w:val="none" w:sz="0" w:space="0" w:color="auto"/>
        <w:bottom w:val="none" w:sz="0" w:space="0" w:color="auto"/>
        <w:right w:val="none" w:sz="0" w:space="0" w:color="auto"/>
      </w:divBdr>
    </w:div>
    <w:div w:id="1244144147">
      <w:bodyDiv w:val="1"/>
      <w:marLeft w:val="0"/>
      <w:marRight w:val="0"/>
      <w:marTop w:val="0"/>
      <w:marBottom w:val="0"/>
      <w:divBdr>
        <w:top w:val="none" w:sz="0" w:space="0" w:color="auto"/>
        <w:left w:val="none" w:sz="0" w:space="0" w:color="auto"/>
        <w:bottom w:val="none" w:sz="0" w:space="0" w:color="auto"/>
        <w:right w:val="none" w:sz="0" w:space="0" w:color="auto"/>
      </w:divBdr>
    </w:div>
    <w:div w:id="1264219899">
      <w:bodyDiv w:val="1"/>
      <w:marLeft w:val="0"/>
      <w:marRight w:val="0"/>
      <w:marTop w:val="0"/>
      <w:marBottom w:val="0"/>
      <w:divBdr>
        <w:top w:val="none" w:sz="0" w:space="0" w:color="auto"/>
        <w:left w:val="none" w:sz="0" w:space="0" w:color="auto"/>
        <w:bottom w:val="none" w:sz="0" w:space="0" w:color="auto"/>
        <w:right w:val="none" w:sz="0" w:space="0" w:color="auto"/>
      </w:divBdr>
    </w:div>
    <w:div w:id="1270090434">
      <w:bodyDiv w:val="1"/>
      <w:marLeft w:val="0"/>
      <w:marRight w:val="0"/>
      <w:marTop w:val="0"/>
      <w:marBottom w:val="0"/>
      <w:divBdr>
        <w:top w:val="none" w:sz="0" w:space="0" w:color="auto"/>
        <w:left w:val="none" w:sz="0" w:space="0" w:color="auto"/>
        <w:bottom w:val="none" w:sz="0" w:space="0" w:color="auto"/>
        <w:right w:val="none" w:sz="0" w:space="0" w:color="auto"/>
      </w:divBdr>
    </w:div>
    <w:div w:id="1273703991">
      <w:bodyDiv w:val="1"/>
      <w:marLeft w:val="0"/>
      <w:marRight w:val="0"/>
      <w:marTop w:val="0"/>
      <w:marBottom w:val="0"/>
      <w:divBdr>
        <w:top w:val="none" w:sz="0" w:space="0" w:color="auto"/>
        <w:left w:val="none" w:sz="0" w:space="0" w:color="auto"/>
        <w:bottom w:val="none" w:sz="0" w:space="0" w:color="auto"/>
        <w:right w:val="none" w:sz="0" w:space="0" w:color="auto"/>
      </w:divBdr>
    </w:div>
    <w:div w:id="1276668733">
      <w:bodyDiv w:val="1"/>
      <w:marLeft w:val="0"/>
      <w:marRight w:val="0"/>
      <w:marTop w:val="0"/>
      <w:marBottom w:val="0"/>
      <w:divBdr>
        <w:top w:val="none" w:sz="0" w:space="0" w:color="auto"/>
        <w:left w:val="none" w:sz="0" w:space="0" w:color="auto"/>
        <w:bottom w:val="none" w:sz="0" w:space="0" w:color="auto"/>
        <w:right w:val="none" w:sz="0" w:space="0" w:color="auto"/>
      </w:divBdr>
    </w:div>
    <w:div w:id="1289118891">
      <w:bodyDiv w:val="1"/>
      <w:marLeft w:val="0"/>
      <w:marRight w:val="0"/>
      <w:marTop w:val="0"/>
      <w:marBottom w:val="0"/>
      <w:divBdr>
        <w:top w:val="none" w:sz="0" w:space="0" w:color="auto"/>
        <w:left w:val="none" w:sz="0" w:space="0" w:color="auto"/>
        <w:bottom w:val="none" w:sz="0" w:space="0" w:color="auto"/>
        <w:right w:val="none" w:sz="0" w:space="0" w:color="auto"/>
      </w:divBdr>
    </w:div>
    <w:div w:id="1291278601">
      <w:bodyDiv w:val="1"/>
      <w:marLeft w:val="0"/>
      <w:marRight w:val="0"/>
      <w:marTop w:val="0"/>
      <w:marBottom w:val="0"/>
      <w:divBdr>
        <w:top w:val="none" w:sz="0" w:space="0" w:color="auto"/>
        <w:left w:val="none" w:sz="0" w:space="0" w:color="auto"/>
        <w:bottom w:val="none" w:sz="0" w:space="0" w:color="auto"/>
        <w:right w:val="none" w:sz="0" w:space="0" w:color="auto"/>
      </w:divBdr>
    </w:div>
    <w:div w:id="1300257417">
      <w:bodyDiv w:val="1"/>
      <w:marLeft w:val="0"/>
      <w:marRight w:val="0"/>
      <w:marTop w:val="0"/>
      <w:marBottom w:val="0"/>
      <w:divBdr>
        <w:top w:val="none" w:sz="0" w:space="0" w:color="auto"/>
        <w:left w:val="none" w:sz="0" w:space="0" w:color="auto"/>
        <w:bottom w:val="none" w:sz="0" w:space="0" w:color="auto"/>
        <w:right w:val="none" w:sz="0" w:space="0" w:color="auto"/>
      </w:divBdr>
    </w:div>
    <w:div w:id="1304895876">
      <w:bodyDiv w:val="1"/>
      <w:marLeft w:val="0"/>
      <w:marRight w:val="0"/>
      <w:marTop w:val="0"/>
      <w:marBottom w:val="0"/>
      <w:divBdr>
        <w:top w:val="none" w:sz="0" w:space="0" w:color="auto"/>
        <w:left w:val="none" w:sz="0" w:space="0" w:color="auto"/>
        <w:bottom w:val="none" w:sz="0" w:space="0" w:color="auto"/>
        <w:right w:val="none" w:sz="0" w:space="0" w:color="auto"/>
      </w:divBdr>
    </w:div>
    <w:div w:id="1321542891">
      <w:bodyDiv w:val="1"/>
      <w:marLeft w:val="0"/>
      <w:marRight w:val="0"/>
      <w:marTop w:val="0"/>
      <w:marBottom w:val="0"/>
      <w:divBdr>
        <w:top w:val="none" w:sz="0" w:space="0" w:color="auto"/>
        <w:left w:val="none" w:sz="0" w:space="0" w:color="auto"/>
        <w:bottom w:val="none" w:sz="0" w:space="0" w:color="auto"/>
        <w:right w:val="none" w:sz="0" w:space="0" w:color="auto"/>
      </w:divBdr>
    </w:div>
    <w:div w:id="1333531012">
      <w:bodyDiv w:val="1"/>
      <w:marLeft w:val="0"/>
      <w:marRight w:val="0"/>
      <w:marTop w:val="0"/>
      <w:marBottom w:val="0"/>
      <w:divBdr>
        <w:top w:val="none" w:sz="0" w:space="0" w:color="auto"/>
        <w:left w:val="none" w:sz="0" w:space="0" w:color="auto"/>
        <w:bottom w:val="none" w:sz="0" w:space="0" w:color="auto"/>
        <w:right w:val="none" w:sz="0" w:space="0" w:color="auto"/>
      </w:divBdr>
    </w:div>
    <w:div w:id="1353608719">
      <w:bodyDiv w:val="1"/>
      <w:marLeft w:val="0"/>
      <w:marRight w:val="0"/>
      <w:marTop w:val="0"/>
      <w:marBottom w:val="0"/>
      <w:divBdr>
        <w:top w:val="none" w:sz="0" w:space="0" w:color="auto"/>
        <w:left w:val="none" w:sz="0" w:space="0" w:color="auto"/>
        <w:bottom w:val="none" w:sz="0" w:space="0" w:color="auto"/>
        <w:right w:val="none" w:sz="0" w:space="0" w:color="auto"/>
      </w:divBdr>
    </w:div>
    <w:div w:id="1372026994">
      <w:bodyDiv w:val="1"/>
      <w:marLeft w:val="0"/>
      <w:marRight w:val="0"/>
      <w:marTop w:val="0"/>
      <w:marBottom w:val="0"/>
      <w:divBdr>
        <w:top w:val="none" w:sz="0" w:space="0" w:color="auto"/>
        <w:left w:val="none" w:sz="0" w:space="0" w:color="auto"/>
        <w:bottom w:val="none" w:sz="0" w:space="0" w:color="auto"/>
        <w:right w:val="none" w:sz="0" w:space="0" w:color="auto"/>
      </w:divBdr>
      <w:divsChild>
        <w:div w:id="944001162">
          <w:marLeft w:val="0"/>
          <w:marRight w:val="0"/>
          <w:marTop w:val="0"/>
          <w:marBottom w:val="0"/>
          <w:divBdr>
            <w:top w:val="none" w:sz="0" w:space="0" w:color="auto"/>
            <w:left w:val="none" w:sz="0" w:space="0" w:color="auto"/>
            <w:bottom w:val="none" w:sz="0" w:space="0" w:color="auto"/>
            <w:right w:val="none" w:sz="0" w:space="0" w:color="auto"/>
          </w:divBdr>
          <w:divsChild>
            <w:div w:id="2057509344">
              <w:marLeft w:val="0"/>
              <w:marRight w:val="0"/>
              <w:marTop w:val="0"/>
              <w:marBottom w:val="0"/>
              <w:divBdr>
                <w:top w:val="none" w:sz="0" w:space="0" w:color="auto"/>
                <w:left w:val="none" w:sz="0" w:space="0" w:color="auto"/>
                <w:bottom w:val="none" w:sz="0" w:space="0" w:color="auto"/>
                <w:right w:val="none" w:sz="0" w:space="0" w:color="auto"/>
              </w:divBdr>
              <w:divsChild>
                <w:div w:id="1071198471">
                  <w:marLeft w:val="0"/>
                  <w:marRight w:val="0"/>
                  <w:marTop w:val="100"/>
                  <w:marBottom w:val="100"/>
                  <w:divBdr>
                    <w:top w:val="none" w:sz="0" w:space="0" w:color="auto"/>
                    <w:left w:val="none" w:sz="0" w:space="0" w:color="auto"/>
                    <w:bottom w:val="none" w:sz="0" w:space="0" w:color="auto"/>
                    <w:right w:val="none" w:sz="0" w:space="0" w:color="auto"/>
                  </w:divBdr>
                  <w:divsChild>
                    <w:div w:id="1732339441">
                      <w:marLeft w:val="1"/>
                      <w:marRight w:val="1"/>
                      <w:marTop w:val="0"/>
                      <w:marBottom w:val="0"/>
                      <w:divBdr>
                        <w:top w:val="none" w:sz="0" w:space="0" w:color="auto"/>
                        <w:left w:val="none" w:sz="0" w:space="0" w:color="auto"/>
                        <w:bottom w:val="none" w:sz="0" w:space="0" w:color="auto"/>
                        <w:right w:val="none" w:sz="0" w:space="0" w:color="auto"/>
                      </w:divBdr>
                      <w:divsChild>
                        <w:div w:id="337149847">
                          <w:marLeft w:val="-1"/>
                          <w:marRight w:val="-1"/>
                          <w:marTop w:val="0"/>
                          <w:marBottom w:val="0"/>
                          <w:divBdr>
                            <w:top w:val="none" w:sz="0" w:space="0" w:color="auto"/>
                            <w:left w:val="none" w:sz="0" w:space="0" w:color="auto"/>
                            <w:bottom w:val="none" w:sz="0" w:space="0" w:color="auto"/>
                            <w:right w:val="none" w:sz="0" w:space="0" w:color="auto"/>
                          </w:divBdr>
                          <w:divsChild>
                            <w:div w:id="15881472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979824">
      <w:bodyDiv w:val="1"/>
      <w:marLeft w:val="0"/>
      <w:marRight w:val="0"/>
      <w:marTop w:val="0"/>
      <w:marBottom w:val="0"/>
      <w:divBdr>
        <w:top w:val="none" w:sz="0" w:space="0" w:color="auto"/>
        <w:left w:val="none" w:sz="0" w:space="0" w:color="auto"/>
        <w:bottom w:val="none" w:sz="0" w:space="0" w:color="auto"/>
        <w:right w:val="none" w:sz="0" w:space="0" w:color="auto"/>
      </w:divBdr>
    </w:div>
    <w:div w:id="1409962860">
      <w:bodyDiv w:val="1"/>
      <w:marLeft w:val="0"/>
      <w:marRight w:val="0"/>
      <w:marTop w:val="0"/>
      <w:marBottom w:val="0"/>
      <w:divBdr>
        <w:top w:val="none" w:sz="0" w:space="0" w:color="auto"/>
        <w:left w:val="none" w:sz="0" w:space="0" w:color="auto"/>
        <w:bottom w:val="none" w:sz="0" w:space="0" w:color="auto"/>
        <w:right w:val="none" w:sz="0" w:space="0" w:color="auto"/>
      </w:divBdr>
      <w:divsChild>
        <w:div w:id="587344396">
          <w:marLeft w:val="547"/>
          <w:marRight w:val="0"/>
          <w:marTop w:val="77"/>
          <w:marBottom w:val="0"/>
          <w:divBdr>
            <w:top w:val="none" w:sz="0" w:space="0" w:color="auto"/>
            <w:left w:val="none" w:sz="0" w:space="0" w:color="auto"/>
            <w:bottom w:val="none" w:sz="0" w:space="0" w:color="auto"/>
            <w:right w:val="none" w:sz="0" w:space="0" w:color="auto"/>
          </w:divBdr>
        </w:div>
        <w:div w:id="6444891">
          <w:marLeft w:val="1166"/>
          <w:marRight w:val="0"/>
          <w:marTop w:val="77"/>
          <w:marBottom w:val="0"/>
          <w:divBdr>
            <w:top w:val="none" w:sz="0" w:space="0" w:color="auto"/>
            <w:left w:val="none" w:sz="0" w:space="0" w:color="auto"/>
            <w:bottom w:val="none" w:sz="0" w:space="0" w:color="auto"/>
            <w:right w:val="none" w:sz="0" w:space="0" w:color="auto"/>
          </w:divBdr>
        </w:div>
        <w:div w:id="267855729">
          <w:marLeft w:val="1166"/>
          <w:marRight w:val="0"/>
          <w:marTop w:val="77"/>
          <w:marBottom w:val="0"/>
          <w:divBdr>
            <w:top w:val="none" w:sz="0" w:space="0" w:color="auto"/>
            <w:left w:val="none" w:sz="0" w:space="0" w:color="auto"/>
            <w:bottom w:val="none" w:sz="0" w:space="0" w:color="auto"/>
            <w:right w:val="none" w:sz="0" w:space="0" w:color="auto"/>
          </w:divBdr>
        </w:div>
        <w:div w:id="933437521">
          <w:marLeft w:val="1166"/>
          <w:marRight w:val="0"/>
          <w:marTop w:val="77"/>
          <w:marBottom w:val="0"/>
          <w:divBdr>
            <w:top w:val="none" w:sz="0" w:space="0" w:color="auto"/>
            <w:left w:val="none" w:sz="0" w:space="0" w:color="auto"/>
            <w:bottom w:val="none" w:sz="0" w:space="0" w:color="auto"/>
            <w:right w:val="none" w:sz="0" w:space="0" w:color="auto"/>
          </w:divBdr>
        </w:div>
        <w:div w:id="1742211194">
          <w:marLeft w:val="1166"/>
          <w:marRight w:val="0"/>
          <w:marTop w:val="77"/>
          <w:marBottom w:val="0"/>
          <w:divBdr>
            <w:top w:val="none" w:sz="0" w:space="0" w:color="auto"/>
            <w:left w:val="none" w:sz="0" w:space="0" w:color="auto"/>
            <w:bottom w:val="none" w:sz="0" w:space="0" w:color="auto"/>
            <w:right w:val="none" w:sz="0" w:space="0" w:color="auto"/>
          </w:divBdr>
        </w:div>
        <w:div w:id="67653950">
          <w:marLeft w:val="547"/>
          <w:marRight w:val="0"/>
          <w:marTop w:val="77"/>
          <w:marBottom w:val="0"/>
          <w:divBdr>
            <w:top w:val="none" w:sz="0" w:space="0" w:color="auto"/>
            <w:left w:val="none" w:sz="0" w:space="0" w:color="auto"/>
            <w:bottom w:val="none" w:sz="0" w:space="0" w:color="auto"/>
            <w:right w:val="none" w:sz="0" w:space="0" w:color="auto"/>
          </w:divBdr>
        </w:div>
        <w:div w:id="1532111466">
          <w:marLeft w:val="1166"/>
          <w:marRight w:val="0"/>
          <w:marTop w:val="77"/>
          <w:marBottom w:val="0"/>
          <w:divBdr>
            <w:top w:val="none" w:sz="0" w:space="0" w:color="auto"/>
            <w:left w:val="none" w:sz="0" w:space="0" w:color="auto"/>
            <w:bottom w:val="none" w:sz="0" w:space="0" w:color="auto"/>
            <w:right w:val="none" w:sz="0" w:space="0" w:color="auto"/>
          </w:divBdr>
        </w:div>
        <w:div w:id="880822129">
          <w:marLeft w:val="1166"/>
          <w:marRight w:val="0"/>
          <w:marTop w:val="77"/>
          <w:marBottom w:val="0"/>
          <w:divBdr>
            <w:top w:val="none" w:sz="0" w:space="0" w:color="auto"/>
            <w:left w:val="none" w:sz="0" w:space="0" w:color="auto"/>
            <w:bottom w:val="none" w:sz="0" w:space="0" w:color="auto"/>
            <w:right w:val="none" w:sz="0" w:space="0" w:color="auto"/>
          </w:divBdr>
        </w:div>
        <w:div w:id="1389643698">
          <w:marLeft w:val="1166"/>
          <w:marRight w:val="0"/>
          <w:marTop w:val="77"/>
          <w:marBottom w:val="0"/>
          <w:divBdr>
            <w:top w:val="none" w:sz="0" w:space="0" w:color="auto"/>
            <w:left w:val="none" w:sz="0" w:space="0" w:color="auto"/>
            <w:bottom w:val="none" w:sz="0" w:space="0" w:color="auto"/>
            <w:right w:val="none" w:sz="0" w:space="0" w:color="auto"/>
          </w:divBdr>
        </w:div>
        <w:div w:id="1082607030">
          <w:marLeft w:val="547"/>
          <w:marRight w:val="0"/>
          <w:marTop w:val="77"/>
          <w:marBottom w:val="0"/>
          <w:divBdr>
            <w:top w:val="none" w:sz="0" w:space="0" w:color="auto"/>
            <w:left w:val="none" w:sz="0" w:space="0" w:color="auto"/>
            <w:bottom w:val="none" w:sz="0" w:space="0" w:color="auto"/>
            <w:right w:val="none" w:sz="0" w:space="0" w:color="auto"/>
          </w:divBdr>
        </w:div>
        <w:div w:id="204489889">
          <w:marLeft w:val="547"/>
          <w:marRight w:val="0"/>
          <w:marTop w:val="77"/>
          <w:marBottom w:val="0"/>
          <w:divBdr>
            <w:top w:val="none" w:sz="0" w:space="0" w:color="auto"/>
            <w:left w:val="none" w:sz="0" w:space="0" w:color="auto"/>
            <w:bottom w:val="none" w:sz="0" w:space="0" w:color="auto"/>
            <w:right w:val="none" w:sz="0" w:space="0" w:color="auto"/>
          </w:divBdr>
        </w:div>
        <w:div w:id="1188983304">
          <w:marLeft w:val="1166"/>
          <w:marRight w:val="0"/>
          <w:marTop w:val="77"/>
          <w:marBottom w:val="0"/>
          <w:divBdr>
            <w:top w:val="none" w:sz="0" w:space="0" w:color="auto"/>
            <w:left w:val="none" w:sz="0" w:space="0" w:color="auto"/>
            <w:bottom w:val="none" w:sz="0" w:space="0" w:color="auto"/>
            <w:right w:val="none" w:sz="0" w:space="0" w:color="auto"/>
          </w:divBdr>
        </w:div>
        <w:div w:id="1046181043">
          <w:marLeft w:val="1166"/>
          <w:marRight w:val="0"/>
          <w:marTop w:val="77"/>
          <w:marBottom w:val="0"/>
          <w:divBdr>
            <w:top w:val="none" w:sz="0" w:space="0" w:color="auto"/>
            <w:left w:val="none" w:sz="0" w:space="0" w:color="auto"/>
            <w:bottom w:val="none" w:sz="0" w:space="0" w:color="auto"/>
            <w:right w:val="none" w:sz="0" w:space="0" w:color="auto"/>
          </w:divBdr>
        </w:div>
        <w:div w:id="120652298">
          <w:marLeft w:val="1166"/>
          <w:marRight w:val="0"/>
          <w:marTop w:val="77"/>
          <w:marBottom w:val="0"/>
          <w:divBdr>
            <w:top w:val="none" w:sz="0" w:space="0" w:color="auto"/>
            <w:left w:val="none" w:sz="0" w:space="0" w:color="auto"/>
            <w:bottom w:val="none" w:sz="0" w:space="0" w:color="auto"/>
            <w:right w:val="none" w:sz="0" w:space="0" w:color="auto"/>
          </w:divBdr>
        </w:div>
      </w:divsChild>
    </w:div>
    <w:div w:id="1475903315">
      <w:bodyDiv w:val="1"/>
      <w:marLeft w:val="0"/>
      <w:marRight w:val="0"/>
      <w:marTop w:val="0"/>
      <w:marBottom w:val="0"/>
      <w:divBdr>
        <w:top w:val="none" w:sz="0" w:space="0" w:color="auto"/>
        <w:left w:val="none" w:sz="0" w:space="0" w:color="auto"/>
        <w:bottom w:val="none" w:sz="0" w:space="0" w:color="auto"/>
        <w:right w:val="none" w:sz="0" w:space="0" w:color="auto"/>
      </w:divBdr>
    </w:div>
    <w:div w:id="1487621794">
      <w:bodyDiv w:val="1"/>
      <w:marLeft w:val="0"/>
      <w:marRight w:val="0"/>
      <w:marTop w:val="0"/>
      <w:marBottom w:val="0"/>
      <w:divBdr>
        <w:top w:val="none" w:sz="0" w:space="0" w:color="auto"/>
        <w:left w:val="none" w:sz="0" w:space="0" w:color="auto"/>
        <w:bottom w:val="none" w:sz="0" w:space="0" w:color="auto"/>
        <w:right w:val="none" w:sz="0" w:space="0" w:color="auto"/>
      </w:divBdr>
    </w:div>
    <w:div w:id="1516535482">
      <w:bodyDiv w:val="1"/>
      <w:marLeft w:val="0"/>
      <w:marRight w:val="0"/>
      <w:marTop w:val="0"/>
      <w:marBottom w:val="0"/>
      <w:divBdr>
        <w:top w:val="none" w:sz="0" w:space="0" w:color="auto"/>
        <w:left w:val="none" w:sz="0" w:space="0" w:color="auto"/>
        <w:bottom w:val="none" w:sz="0" w:space="0" w:color="auto"/>
        <w:right w:val="none" w:sz="0" w:space="0" w:color="auto"/>
      </w:divBdr>
    </w:div>
    <w:div w:id="1539976937">
      <w:bodyDiv w:val="1"/>
      <w:marLeft w:val="0"/>
      <w:marRight w:val="0"/>
      <w:marTop w:val="0"/>
      <w:marBottom w:val="0"/>
      <w:divBdr>
        <w:top w:val="none" w:sz="0" w:space="0" w:color="auto"/>
        <w:left w:val="none" w:sz="0" w:space="0" w:color="auto"/>
        <w:bottom w:val="none" w:sz="0" w:space="0" w:color="auto"/>
        <w:right w:val="none" w:sz="0" w:space="0" w:color="auto"/>
      </w:divBdr>
    </w:div>
    <w:div w:id="1545025916">
      <w:bodyDiv w:val="1"/>
      <w:marLeft w:val="0"/>
      <w:marRight w:val="0"/>
      <w:marTop w:val="0"/>
      <w:marBottom w:val="0"/>
      <w:divBdr>
        <w:top w:val="none" w:sz="0" w:space="0" w:color="auto"/>
        <w:left w:val="none" w:sz="0" w:space="0" w:color="auto"/>
        <w:bottom w:val="none" w:sz="0" w:space="0" w:color="auto"/>
        <w:right w:val="none" w:sz="0" w:space="0" w:color="auto"/>
      </w:divBdr>
    </w:div>
    <w:div w:id="1568951945">
      <w:bodyDiv w:val="1"/>
      <w:marLeft w:val="0"/>
      <w:marRight w:val="0"/>
      <w:marTop w:val="0"/>
      <w:marBottom w:val="0"/>
      <w:divBdr>
        <w:top w:val="none" w:sz="0" w:space="0" w:color="auto"/>
        <w:left w:val="none" w:sz="0" w:space="0" w:color="auto"/>
        <w:bottom w:val="none" w:sz="0" w:space="0" w:color="auto"/>
        <w:right w:val="none" w:sz="0" w:space="0" w:color="auto"/>
      </w:divBdr>
    </w:div>
    <w:div w:id="1608388903">
      <w:bodyDiv w:val="1"/>
      <w:marLeft w:val="0"/>
      <w:marRight w:val="0"/>
      <w:marTop w:val="0"/>
      <w:marBottom w:val="0"/>
      <w:divBdr>
        <w:top w:val="none" w:sz="0" w:space="0" w:color="auto"/>
        <w:left w:val="none" w:sz="0" w:space="0" w:color="auto"/>
        <w:bottom w:val="none" w:sz="0" w:space="0" w:color="auto"/>
        <w:right w:val="none" w:sz="0" w:space="0" w:color="auto"/>
      </w:divBdr>
    </w:div>
    <w:div w:id="1620181648">
      <w:bodyDiv w:val="1"/>
      <w:marLeft w:val="0"/>
      <w:marRight w:val="0"/>
      <w:marTop w:val="0"/>
      <w:marBottom w:val="0"/>
      <w:divBdr>
        <w:top w:val="none" w:sz="0" w:space="0" w:color="auto"/>
        <w:left w:val="none" w:sz="0" w:space="0" w:color="auto"/>
        <w:bottom w:val="none" w:sz="0" w:space="0" w:color="auto"/>
        <w:right w:val="none" w:sz="0" w:space="0" w:color="auto"/>
      </w:divBdr>
    </w:div>
    <w:div w:id="1626738962">
      <w:bodyDiv w:val="1"/>
      <w:marLeft w:val="0"/>
      <w:marRight w:val="0"/>
      <w:marTop w:val="0"/>
      <w:marBottom w:val="0"/>
      <w:divBdr>
        <w:top w:val="none" w:sz="0" w:space="0" w:color="auto"/>
        <w:left w:val="none" w:sz="0" w:space="0" w:color="auto"/>
        <w:bottom w:val="none" w:sz="0" w:space="0" w:color="auto"/>
        <w:right w:val="none" w:sz="0" w:space="0" w:color="auto"/>
      </w:divBdr>
    </w:div>
    <w:div w:id="1647927110">
      <w:bodyDiv w:val="1"/>
      <w:marLeft w:val="0"/>
      <w:marRight w:val="0"/>
      <w:marTop w:val="0"/>
      <w:marBottom w:val="0"/>
      <w:divBdr>
        <w:top w:val="none" w:sz="0" w:space="0" w:color="auto"/>
        <w:left w:val="none" w:sz="0" w:space="0" w:color="auto"/>
        <w:bottom w:val="none" w:sz="0" w:space="0" w:color="auto"/>
        <w:right w:val="none" w:sz="0" w:space="0" w:color="auto"/>
      </w:divBdr>
    </w:div>
    <w:div w:id="1651709113">
      <w:bodyDiv w:val="1"/>
      <w:marLeft w:val="0"/>
      <w:marRight w:val="0"/>
      <w:marTop w:val="0"/>
      <w:marBottom w:val="0"/>
      <w:divBdr>
        <w:top w:val="none" w:sz="0" w:space="0" w:color="auto"/>
        <w:left w:val="none" w:sz="0" w:space="0" w:color="auto"/>
        <w:bottom w:val="none" w:sz="0" w:space="0" w:color="auto"/>
        <w:right w:val="none" w:sz="0" w:space="0" w:color="auto"/>
      </w:divBdr>
    </w:div>
    <w:div w:id="1665429348">
      <w:bodyDiv w:val="1"/>
      <w:marLeft w:val="0"/>
      <w:marRight w:val="0"/>
      <w:marTop w:val="0"/>
      <w:marBottom w:val="0"/>
      <w:divBdr>
        <w:top w:val="none" w:sz="0" w:space="0" w:color="auto"/>
        <w:left w:val="none" w:sz="0" w:space="0" w:color="auto"/>
        <w:bottom w:val="none" w:sz="0" w:space="0" w:color="auto"/>
        <w:right w:val="none" w:sz="0" w:space="0" w:color="auto"/>
      </w:divBdr>
    </w:div>
    <w:div w:id="1707028317">
      <w:bodyDiv w:val="1"/>
      <w:marLeft w:val="0"/>
      <w:marRight w:val="0"/>
      <w:marTop w:val="0"/>
      <w:marBottom w:val="0"/>
      <w:divBdr>
        <w:top w:val="none" w:sz="0" w:space="0" w:color="auto"/>
        <w:left w:val="none" w:sz="0" w:space="0" w:color="auto"/>
        <w:bottom w:val="none" w:sz="0" w:space="0" w:color="auto"/>
        <w:right w:val="none" w:sz="0" w:space="0" w:color="auto"/>
      </w:divBdr>
    </w:div>
    <w:div w:id="1723671421">
      <w:bodyDiv w:val="1"/>
      <w:marLeft w:val="0"/>
      <w:marRight w:val="0"/>
      <w:marTop w:val="0"/>
      <w:marBottom w:val="0"/>
      <w:divBdr>
        <w:top w:val="none" w:sz="0" w:space="0" w:color="auto"/>
        <w:left w:val="none" w:sz="0" w:space="0" w:color="auto"/>
        <w:bottom w:val="none" w:sz="0" w:space="0" w:color="auto"/>
        <w:right w:val="none" w:sz="0" w:space="0" w:color="auto"/>
      </w:divBdr>
    </w:div>
    <w:div w:id="1728256951">
      <w:bodyDiv w:val="1"/>
      <w:marLeft w:val="0"/>
      <w:marRight w:val="0"/>
      <w:marTop w:val="0"/>
      <w:marBottom w:val="0"/>
      <w:divBdr>
        <w:top w:val="none" w:sz="0" w:space="0" w:color="auto"/>
        <w:left w:val="none" w:sz="0" w:space="0" w:color="auto"/>
        <w:bottom w:val="none" w:sz="0" w:space="0" w:color="auto"/>
        <w:right w:val="none" w:sz="0" w:space="0" w:color="auto"/>
      </w:divBdr>
    </w:div>
    <w:div w:id="1728457474">
      <w:bodyDiv w:val="1"/>
      <w:marLeft w:val="0"/>
      <w:marRight w:val="0"/>
      <w:marTop w:val="0"/>
      <w:marBottom w:val="0"/>
      <w:divBdr>
        <w:top w:val="none" w:sz="0" w:space="0" w:color="auto"/>
        <w:left w:val="none" w:sz="0" w:space="0" w:color="auto"/>
        <w:bottom w:val="none" w:sz="0" w:space="0" w:color="auto"/>
        <w:right w:val="none" w:sz="0" w:space="0" w:color="auto"/>
      </w:divBdr>
    </w:div>
    <w:div w:id="1764378142">
      <w:bodyDiv w:val="1"/>
      <w:marLeft w:val="0"/>
      <w:marRight w:val="0"/>
      <w:marTop w:val="0"/>
      <w:marBottom w:val="0"/>
      <w:divBdr>
        <w:top w:val="none" w:sz="0" w:space="0" w:color="auto"/>
        <w:left w:val="none" w:sz="0" w:space="0" w:color="auto"/>
        <w:bottom w:val="none" w:sz="0" w:space="0" w:color="auto"/>
        <w:right w:val="none" w:sz="0" w:space="0" w:color="auto"/>
      </w:divBdr>
    </w:div>
    <w:div w:id="1775709942">
      <w:bodyDiv w:val="1"/>
      <w:marLeft w:val="0"/>
      <w:marRight w:val="0"/>
      <w:marTop w:val="0"/>
      <w:marBottom w:val="0"/>
      <w:divBdr>
        <w:top w:val="none" w:sz="0" w:space="0" w:color="auto"/>
        <w:left w:val="none" w:sz="0" w:space="0" w:color="auto"/>
        <w:bottom w:val="none" w:sz="0" w:space="0" w:color="auto"/>
        <w:right w:val="none" w:sz="0" w:space="0" w:color="auto"/>
      </w:divBdr>
    </w:div>
    <w:div w:id="1793281986">
      <w:bodyDiv w:val="1"/>
      <w:marLeft w:val="0"/>
      <w:marRight w:val="0"/>
      <w:marTop w:val="0"/>
      <w:marBottom w:val="0"/>
      <w:divBdr>
        <w:top w:val="none" w:sz="0" w:space="0" w:color="auto"/>
        <w:left w:val="none" w:sz="0" w:space="0" w:color="auto"/>
        <w:bottom w:val="none" w:sz="0" w:space="0" w:color="auto"/>
        <w:right w:val="none" w:sz="0" w:space="0" w:color="auto"/>
      </w:divBdr>
    </w:div>
    <w:div w:id="1795757828">
      <w:bodyDiv w:val="1"/>
      <w:marLeft w:val="0"/>
      <w:marRight w:val="0"/>
      <w:marTop w:val="0"/>
      <w:marBottom w:val="0"/>
      <w:divBdr>
        <w:top w:val="none" w:sz="0" w:space="0" w:color="auto"/>
        <w:left w:val="none" w:sz="0" w:space="0" w:color="auto"/>
        <w:bottom w:val="none" w:sz="0" w:space="0" w:color="auto"/>
        <w:right w:val="none" w:sz="0" w:space="0" w:color="auto"/>
      </w:divBdr>
    </w:div>
    <w:div w:id="1808468604">
      <w:bodyDiv w:val="1"/>
      <w:marLeft w:val="0"/>
      <w:marRight w:val="0"/>
      <w:marTop w:val="0"/>
      <w:marBottom w:val="0"/>
      <w:divBdr>
        <w:top w:val="none" w:sz="0" w:space="0" w:color="auto"/>
        <w:left w:val="none" w:sz="0" w:space="0" w:color="auto"/>
        <w:bottom w:val="none" w:sz="0" w:space="0" w:color="auto"/>
        <w:right w:val="none" w:sz="0" w:space="0" w:color="auto"/>
      </w:divBdr>
    </w:div>
    <w:div w:id="1827816504">
      <w:bodyDiv w:val="1"/>
      <w:marLeft w:val="0"/>
      <w:marRight w:val="0"/>
      <w:marTop w:val="0"/>
      <w:marBottom w:val="0"/>
      <w:divBdr>
        <w:top w:val="none" w:sz="0" w:space="0" w:color="auto"/>
        <w:left w:val="none" w:sz="0" w:space="0" w:color="auto"/>
        <w:bottom w:val="none" w:sz="0" w:space="0" w:color="auto"/>
        <w:right w:val="none" w:sz="0" w:space="0" w:color="auto"/>
      </w:divBdr>
    </w:div>
    <w:div w:id="1853257234">
      <w:bodyDiv w:val="1"/>
      <w:marLeft w:val="0"/>
      <w:marRight w:val="0"/>
      <w:marTop w:val="0"/>
      <w:marBottom w:val="0"/>
      <w:divBdr>
        <w:top w:val="none" w:sz="0" w:space="0" w:color="auto"/>
        <w:left w:val="none" w:sz="0" w:space="0" w:color="auto"/>
        <w:bottom w:val="none" w:sz="0" w:space="0" w:color="auto"/>
        <w:right w:val="none" w:sz="0" w:space="0" w:color="auto"/>
      </w:divBdr>
    </w:div>
    <w:div w:id="1885945502">
      <w:bodyDiv w:val="1"/>
      <w:marLeft w:val="0"/>
      <w:marRight w:val="0"/>
      <w:marTop w:val="0"/>
      <w:marBottom w:val="0"/>
      <w:divBdr>
        <w:top w:val="none" w:sz="0" w:space="0" w:color="auto"/>
        <w:left w:val="none" w:sz="0" w:space="0" w:color="auto"/>
        <w:bottom w:val="none" w:sz="0" w:space="0" w:color="auto"/>
        <w:right w:val="none" w:sz="0" w:space="0" w:color="auto"/>
      </w:divBdr>
    </w:div>
    <w:div w:id="1887375573">
      <w:bodyDiv w:val="1"/>
      <w:marLeft w:val="0"/>
      <w:marRight w:val="0"/>
      <w:marTop w:val="0"/>
      <w:marBottom w:val="0"/>
      <w:divBdr>
        <w:top w:val="none" w:sz="0" w:space="0" w:color="auto"/>
        <w:left w:val="none" w:sz="0" w:space="0" w:color="auto"/>
        <w:bottom w:val="none" w:sz="0" w:space="0" w:color="auto"/>
        <w:right w:val="none" w:sz="0" w:space="0" w:color="auto"/>
      </w:divBdr>
    </w:div>
    <w:div w:id="1924603696">
      <w:bodyDiv w:val="1"/>
      <w:marLeft w:val="0"/>
      <w:marRight w:val="0"/>
      <w:marTop w:val="0"/>
      <w:marBottom w:val="0"/>
      <w:divBdr>
        <w:top w:val="none" w:sz="0" w:space="0" w:color="auto"/>
        <w:left w:val="none" w:sz="0" w:space="0" w:color="auto"/>
        <w:bottom w:val="none" w:sz="0" w:space="0" w:color="auto"/>
        <w:right w:val="none" w:sz="0" w:space="0" w:color="auto"/>
      </w:divBdr>
    </w:div>
    <w:div w:id="1949965256">
      <w:bodyDiv w:val="1"/>
      <w:marLeft w:val="0"/>
      <w:marRight w:val="0"/>
      <w:marTop w:val="0"/>
      <w:marBottom w:val="0"/>
      <w:divBdr>
        <w:top w:val="none" w:sz="0" w:space="0" w:color="auto"/>
        <w:left w:val="none" w:sz="0" w:space="0" w:color="auto"/>
        <w:bottom w:val="none" w:sz="0" w:space="0" w:color="auto"/>
        <w:right w:val="none" w:sz="0" w:space="0" w:color="auto"/>
      </w:divBdr>
    </w:div>
    <w:div w:id="1960062179">
      <w:bodyDiv w:val="1"/>
      <w:marLeft w:val="0"/>
      <w:marRight w:val="0"/>
      <w:marTop w:val="0"/>
      <w:marBottom w:val="0"/>
      <w:divBdr>
        <w:top w:val="none" w:sz="0" w:space="0" w:color="auto"/>
        <w:left w:val="none" w:sz="0" w:space="0" w:color="auto"/>
        <w:bottom w:val="none" w:sz="0" w:space="0" w:color="auto"/>
        <w:right w:val="none" w:sz="0" w:space="0" w:color="auto"/>
      </w:divBdr>
    </w:div>
    <w:div w:id="1963684736">
      <w:bodyDiv w:val="1"/>
      <w:marLeft w:val="0"/>
      <w:marRight w:val="0"/>
      <w:marTop w:val="0"/>
      <w:marBottom w:val="0"/>
      <w:divBdr>
        <w:top w:val="none" w:sz="0" w:space="0" w:color="auto"/>
        <w:left w:val="none" w:sz="0" w:space="0" w:color="auto"/>
        <w:bottom w:val="none" w:sz="0" w:space="0" w:color="auto"/>
        <w:right w:val="none" w:sz="0" w:space="0" w:color="auto"/>
      </w:divBdr>
    </w:div>
    <w:div w:id="1966110498">
      <w:bodyDiv w:val="1"/>
      <w:marLeft w:val="0"/>
      <w:marRight w:val="0"/>
      <w:marTop w:val="0"/>
      <w:marBottom w:val="0"/>
      <w:divBdr>
        <w:top w:val="none" w:sz="0" w:space="0" w:color="auto"/>
        <w:left w:val="none" w:sz="0" w:space="0" w:color="auto"/>
        <w:bottom w:val="none" w:sz="0" w:space="0" w:color="auto"/>
        <w:right w:val="none" w:sz="0" w:space="0" w:color="auto"/>
      </w:divBdr>
    </w:div>
    <w:div w:id="1992561783">
      <w:bodyDiv w:val="1"/>
      <w:marLeft w:val="0"/>
      <w:marRight w:val="0"/>
      <w:marTop w:val="0"/>
      <w:marBottom w:val="0"/>
      <w:divBdr>
        <w:top w:val="none" w:sz="0" w:space="0" w:color="auto"/>
        <w:left w:val="none" w:sz="0" w:space="0" w:color="auto"/>
        <w:bottom w:val="none" w:sz="0" w:space="0" w:color="auto"/>
        <w:right w:val="none" w:sz="0" w:space="0" w:color="auto"/>
      </w:divBdr>
      <w:divsChild>
        <w:div w:id="1065372934">
          <w:marLeft w:val="0"/>
          <w:marRight w:val="0"/>
          <w:marTop w:val="0"/>
          <w:marBottom w:val="0"/>
          <w:divBdr>
            <w:top w:val="none" w:sz="0" w:space="0" w:color="auto"/>
            <w:left w:val="none" w:sz="0" w:space="0" w:color="auto"/>
            <w:bottom w:val="none" w:sz="0" w:space="0" w:color="auto"/>
            <w:right w:val="none" w:sz="0" w:space="0" w:color="auto"/>
          </w:divBdr>
          <w:divsChild>
            <w:div w:id="233860909">
              <w:marLeft w:val="0"/>
              <w:marRight w:val="0"/>
              <w:marTop w:val="0"/>
              <w:marBottom w:val="0"/>
              <w:divBdr>
                <w:top w:val="none" w:sz="0" w:space="0" w:color="auto"/>
                <w:left w:val="none" w:sz="0" w:space="0" w:color="auto"/>
                <w:bottom w:val="none" w:sz="0" w:space="0" w:color="auto"/>
                <w:right w:val="none" w:sz="0" w:space="0" w:color="auto"/>
              </w:divBdr>
              <w:divsChild>
                <w:div w:id="74985038">
                  <w:marLeft w:val="0"/>
                  <w:marRight w:val="0"/>
                  <w:marTop w:val="0"/>
                  <w:marBottom w:val="0"/>
                  <w:divBdr>
                    <w:top w:val="none" w:sz="0" w:space="0" w:color="auto"/>
                    <w:left w:val="none" w:sz="0" w:space="0" w:color="auto"/>
                    <w:bottom w:val="none" w:sz="0" w:space="0" w:color="auto"/>
                    <w:right w:val="none" w:sz="0" w:space="0" w:color="auto"/>
                  </w:divBdr>
                  <w:divsChild>
                    <w:div w:id="445782682">
                      <w:marLeft w:val="0"/>
                      <w:marRight w:val="0"/>
                      <w:marTop w:val="0"/>
                      <w:marBottom w:val="0"/>
                      <w:divBdr>
                        <w:top w:val="none" w:sz="0" w:space="0" w:color="auto"/>
                        <w:left w:val="none" w:sz="0" w:space="0" w:color="auto"/>
                        <w:bottom w:val="none" w:sz="0" w:space="0" w:color="auto"/>
                        <w:right w:val="none" w:sz="0" w:space="0" w:color="auto"/>
                      </w:divBdr>
                      <w:divsChild>
                        <w:div w:id="210118866">
                          <w:marLeft w:val="0"/>
                          <w:marRight w:val="0"/>
                          <w:marTop w:val="0"/>
                          <w:marBottom w:val="0"/>
                          <w:divBdr>
                            <w:top w:val="single" w:sz="6" w:space="0" w:color="828282"/>
                            <w:left w:val="single" w:sz="6" w:space="0" w:color="828282"/>
                            <w:bottom w:val="single" w:sz="6" w:space="0" w:color="828282"/>
                            <w:right w:val="single" w:sz="6" w:space="0" w:color="828282"/>
                          </w:divBdr>
                          <w:divsChild>
                            <w:div w:id="2045671449">
                              <w:marLeft w:val="0"/>
                              <w:marRight w:val="0"/>
                              <w:marTop w:val="0"/>
                              <w:marBottom w:val="0"/>
                              <w:divBdr>
                                <w:top w:val="none" w:sz="0" w:space="0" w:color="auto"/>
                                <w:left w:val="none" w:sz="0" w:space="0" w:color="auto"/>
                                <w:bottom w:val="none" w:sz="0" w:space="0" w:color="auto"/>
                                <w:right w:val="none" w:sz="0" w:space="0" w:color="auto"/>
                              </w:divBdr>
                              <w:divsChild>
                                <w:div w:id="450514873">
                                  <w:marLeft w:val="0"/>
                                  <w:marRight w:val="0"/>
                                  <w:marTop w:val="0"/>
                                  <w:marBottom w:val="0"/>
                                  <w:divBdr>
                                    <w:top w:val="none" w:sz="0" w:space="0" w:color="auto"/>
                                    <w:left w:val="none" w:sz="0" w:space="0" w:color="auto"/>
                                    <w:bottom w:val="none" w:sz="0" w:space="0" w:color="auto"/>
                                    <w:right w:val="none" w:sz="0" w:space="0" w:color="auto"/>
                                  </w:divBdr>
                                  <w:divsChild>
                                    <w:div w:id="419065340">
                                      <w:marLeft w:val="0"/>
                                      <w:marRight w:val="0"/>
                                      <w:marTop w:val="0"/>
                                      <w:marBottom w:val="0"/>
                                      <w:divBdr>
                                        <w:top w:val="none" w:sz="0" w:space="0" w:color="auto"/>
                                        <w:left w:val="none" w:sz="0" w:space="0" w:color="auto"/>
                                        <w:bottom w:val="none" w:sz="0" w:space="0" w:color="auto"/>
                                        <w:right w:val="none" w:sz="0" w:space="0" w:color="auto"/>
                                      </w:divBdr>
                                      <w:divsChild>
                                        <w:div w:id="1372733145">
                                          <w:marLeft w:val="0"/>
                                          <w:marRight w:val="0"/>
                                          <w:marTop w:val="0"/>
                                          <w:marBottom w:val="0"/>
                                          <w:divBdr>
                                            <w:top w:val="none" w:sz="0" w:space="0" w:color="auto"/>
                                            <w:left w:val="none" w:sz="0" w:space="0" w:color="auto"/>
                                            <w:bottom w:val="none" w:sz="0" w:space="0" w:color="auto"/>
                                            <w:right w:val="none" w:sz="0" w:space="0" w:color="auto"/>
                                          </w:divBdr>
                                          <w:divsChild>
                                            <w:div w:id="189681328">
                                              <w:marLeft w:val="0"/>
                                              <w:marRight w:val="0"/>
                                              <w:marTop w:val="0"/>
                                              <w:marBottom w:val="0"/>
                                              <w:divBdr>
                                                <w:top w:val="none" w:sz="0" w:space="0" w:color="auto"/>
                                                <w:left w:val="none" w:sz="0" w:space="0" w:color="auto"/>
                                                <w:bottom w:val="none" w:sz="0" w:space="0" w:color="auto"/>
                                                <w:right w:val="none" w:sz="0" w:space="0" w:color="auto"/>
                                              </w:divBdr>
                                              <w:divsChild>
                                                <w:div w:id="20257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334138">
      <w:bodyDiv w:val="1"/>
      <w:marLeft w:val="0"/>
      <w:marRight w:val="0"/>
      <w:marTop w:val="0"/>
      <w:marBottom w:val="0"/>
      <w:divBdr>
        <w:top w:val="none" w:sz="0" w:space="0" w:color="auto"/>
        <w:left w:val="none" w:sz="0" w:space="0" w:color="auto"/>
        <w:bottom w:val="none" w:sz="0" w:space="0" w:color="auto"/>
        <w:right w:val="none" w:sz="0" w:space="0" w:color="auto"/>
      </w:divBdr>
    </w:div>
    <w:div w:id="2022121763">
      <w:bodyDiv w:val="1"/>
      <w:marLeft w:val="0"/>
      <w:marRight w:val="0"/>
      <w:marTop w:val="0"/>
      <w:marBottom w:val="0"/>
      <w:divBdr>
        <w:top w:val="none" w:sz="0" w:space="0" w:color="auto"/>
        <w:left w:val="none" w:sz="0" w:space="0" w:color="auto"/>
        <w:bottom w:val="none" w:sz="0" w:space="0" w:color="auto"/>
        <w:right w:val="none" w:sz="0" w:space="0" w:color="auto"/>
      </w:divBdr>
    </w:div>
    <w:div w:id="2029023645">
      <w:bodyDiv w:val="1"/>
      <w:marLeft w:val="0"/>
      <w:marRight w:val="0"/>
      <w:marTop w:val="0"/>
      <w:marBottom w:val="0"/>
      <w:divBdr>
        <w:top w:val="none" w:sz="0" w:space="0" w:color="auto"/>
        <w:left w:val="none" w:sz="0" w:space="0" w:color="auto"/>
        <w:bottom w:val="none" w:sz="0" w:space="0" w:color="auto"/>
        <w:right w:val="none" w:sz="0" w:space="0" w:color="auto"/>
      </w:divBdr>
    </w:div>
    <w:div w:id="2031711671">
      <w:bodyDiv w:val="1"/>
      <w:marLeft w:val="0"/>
      <w:marRight w:val="0"/>
      <w:marTop w:val="0"/>
      <w:marBottom w:val="0"/>
      <w:divBdr>
        <w:top w:val="none" w:sz="0" w:space="0" w:color="auto"/>
        <w:left w:val="none" w:sz="0" w:space="0" w:color="auto"/>
        <w:bottom w:val="none" w:sz="0" w:space="0" w:color="auto"/>
        <w:right w:val="none" w:sz="0" w:space="0" w:color="auto"/>
      </w:divBdr>
    </w:div>
    <w:div w:id="2060787324">
      <w:bodyDiv w:val="1"/>
      <w:marLeft w:val="0"/>
      <w:marRight w:val="0"/>
      <w:marTop w:val="0"/>
      <w:marBottom w:val="0"/>
      <w:divBdr>
        <w:top w:val="none" w:sz="0" w:space="0" w:color="auto"/>
        <w:left w:val="none" w:sz="0" w:space="0" w:color="auto"/>
        <w:bottom w:val="none" w:sz="0" w:space="0" w:color="auto"/>
        <w:right w:val="none" w:sz="0" w:space="0" w:color="auto"/>
      </w:divBdr>
    </w:div>
    <w:div w:id="2077513406">
      <w:bodyDiv w:val="1"/>
      <w:marLeft w:val="0"/>
      <w:marRight w:val="0"/>
      <w:marTop w:val="0"/>
      <w:marBottom w:val="0"/>
      <w:divBdr>
        <w:top w:val="none" w:sz="0" w:space="0" w:color="auto"/>
        <w:left w:val="none" w:sz="0" w:space="0" w:color="auto"/>
        <w:bottom w:val="none" w:sz="0" w:space="0" w:color="auto"/>
        <w:right w:val="none" w:sz="0" w:space="0" w:color="auto"/>
      </w:divBdr>
    </w:div>
    <w:div w:id="2085175401">
      <w:bodyDiv w:val="1"/>
      <w:marLeft w:val="0"/>
      <w:marRight w:val="0"/>
      <w:marTop w:val="0"/>
      <w:marBottom w:val="0"/>
      <w:divBdr>
        <w:top w:val="none" w:sz="0" w:space="0" w:color="auto"/>
        <w:left w:val="none" w:sz="0" w:space="0" w:color="auto"/>
        <w:bottom w:val="none" w:sz="0" w:space="0" w:color="auto"/>
        <w:right w:val="none" w:sz="0" w:space="0" w:color="auto"/>
      </w:divBdr>
    </w:div>
    <w:div w:id="2090079778">
      <w:bodyDiv w:val="1"/>
      <w:marLeft w:val="0"/>
      <w:marRight w:val="0"/>
      <w:marTop w:val="0"/>
      <w:marBottom w:val="0"/>
      <w:divBdr>
        <w:top w:val="none" w:sz="0" w:space="0" w:color="auto"/>
        <w:left w:val="none" w:sz="0" w:space="0" w:color="auto"/>
        <w:bottom w:val="none" w:sz="0" w:space="0" w:color="auto"/>
        <w:right w:val="none" w:sz="0" w:space="0" w:color="auto"/>
      </w:divBdr>
      <w:divsChild>
        <w:div w:id="1939219331">
          <w:marLeft w:val="0"/>
          <w:marRight w:val="0"/>
          <w:marTop w:val="0"/>
          <w:marBottom w:val="0"/>
          <w:divBdr>
            <w:top w:val="none" w:sz="0" w:space="0" w:color="auto"/>
            <w:left w:val="none" w:sz="0" w:space="0" w:color="auto"/>
            <w:bottom w:val="none" w:sz="0" w:space="0" w:color="auto"/>
            <w:right w:val="none" w:sz="0" w:space="0" w:color="auto"/>
          </w:divBdr>
          <w:divsChild>
            <w:div w:id="2081361837">
              <w:marLeft w:val="0"/>
              <w:marRight w:val="0"/>
              <w:marTop w:val="0"/>
              <w:marBottom w:val="0"/>
              <w:divBdr>
                <w:top w:val="none" w:sz="0" w:space="0" w:color="auto"/>
                <w:left w:val="none" w:sz="0" w:space="0" w:color="auto"/>
                <w:bottom w:val="none" w:sz="0" w:space="0" w:color="auto"/>
                <w:right w:val="none" w:sz="0" w:space="0" w:color="auto"/>
              </w:divBdr>
              <w:divsChild>
                <w:div w:id="308435991">
                  <w:marLeft w:val="4050"/>
                  <w:marRight w:val="0"/>
                  <w:marTop w:val="0"/>
                  <w:marBottom w:val="0"/>
                  <w:divBdr>
                    <w:top w:val="none" w:sz="0" w:space="0" w:color="auto"/>
                    <w:left w:val="none" w:sz="0" w:space="0" w:color="auto"/>
                    <w:bottom w:val="none" w:sz="0" w:space="0" w:color="auto"/>
                    <w:right w:val="none" w:sz="0" w:space="0" w:color="auto"/>
                  </w:divBdr>
                  <w:divsChild>
                    <w:div w:id="14069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061">
      <w:bodyDiv w:val="1"/>
      <w:marLeft w:val="0"/>
      <w:marRight w:val="0"/>
      <w:marTop w:val="0"/>
      <w:marBottom w:val="0"/>
      <w:divBdr>
        <w:top w:val="none" w:sz="0" w:space="0" w:color="auto"/>
        <w:left w:val="none" w:sz="0" w:space="0" w:color="auto"/>
        <w:bottom w:val="none" w:sz="0" w:space="0" w:color="auto"/>
        <w:right w:val="none" w:sz="0" w:space="0" w:color="auto"/>
      </w:divBdr>
    </w:div>
    <w:div w:id="2109034804">
      <w:bodyDiv w:val="1"/>
      <w:marLeft w:val="0"/>
      <w:marRight w:val="0"/>
      <w:marTop w:val="0"/>
      <w:marBottom w:val="0"/>
      <w:divBdr>
        <w:top w:val="none" w:sz="0" w:space="0" w:color="auto"/>
        <w:left w:val="none" w:sz="0" w:space="0" w:color="auto"/>
        <w:bottom w:val="none" w:sz="0" w:space="0" w:color="auto"/>
        <w:right w:val="none" w:sz="0" w:space="0" w:color="auto"/>
      </w:divBdr>
      <w:divsChild>
        <w:div w:id="464465760">
          <w:marLeft w:val="547"/>
          <w:marRight w:val="0"/>
          <w:marTop w:val="0"/>
          <w:marBottom w:val="0"/>
          <w:divBdr>
            <w:top w:val="none" w:sz="0" w:space="0" w:color="auto"/>
            <w:left w:val="none" w:sz="0" w:space="0" w:color="auto"/>
            <w:bottom w:val="none" w:sz="0" w:space="0" w:color="auto"/>
            <w:right w:val="none" w:sz="0" w:space="0" w:color="auto"/>
          </w:divBdr>
        </w:div>
      </w:divsChild>
    </w:div>
    <w:div w:id="2127262894">
      <w:bodyDiv w:val="1"/>
      <w:marLeft w:val="0"/>
      <w:marRight w:val="0"/>
      <w:marTop w:val="0"/>
      <w:marBottom w:val="0"/>
      <w:divBdr>
        <w:top w:val="none" w:sz="0" w:space="0" w:color="auto"/>
        <w:left w:val="none" w:sz="0" w:space="0" w:color="auto"/>
        <w:bottom w:val="none" w:sz="0" w:space="0" w:color="auto"/>
        <w:right w:val="none" w:sz="0" w:space="0" w:color="auto"/>
      </w:divBdr>
    </w:div>
    <w:div w:id="2129734378">
      <w:bodyDiv w:val="1"/>
      <w:marLeft w:val="0"/>
      <w:marRight w:val="0"/>
      <w:marTop w:val="0"/>
      <w:marBottom w:val="0"/>
      <w:divBdr>
        <w:top w:val="none" w:sz="0" w:space="0" w:color="auto"/>
        <w:left w:val="none" w:sz="0" w:space="0" w:color="auto"/>
        <w:bottom w:val="none" w:sz="0" w:space="0" w:color="auto"/>
        <w:right w:val="none" w:sz="0" w:space="0" w:color="auto"/>
      </w:divBdr>
    </w:div>
    <w:div w:id="21315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image" Target="media/image6.png"/><Relationship Id="rId21" Type="http://schemas.openxmlformats.org/officeDocument/2006/relationships/hyperlink" Target="http://creativecommons.org/licenses/by/3.0/au/deed.en" TargetMode="External"/><Relationship Id="rId34" Type="http://schemas.openxmlformats.org/officeDocument/2006/relationships/header" Target="header7.xml"/><Relationship Id="rId42" Type="http://schemas.openxmlformats.org/officeDocument/2006/relationships/diagramLayout" Target="diagrams/layout1.xml"/><Relationship Id="rId47" Type="http://schemas.openxmlformats.org/officeDocument/2006/relationships/image" Target="media/image9.png"/><Relationship Id="rId50" Type="http://schemas.openxmlformats.org/officeDocument/2006/relationships/header" Target="header9.xml"/><Relationship Id="rId55"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itsanhonour.gov.au" TargetMode="External"/><Relationship Id="rId33" Type="http://schemas.openxmlformats.org/officeDocument/2006/relationships/image" Target="media/image3.jpeg"/><Relationship Id="rId38" Type="http://schemas.openxmlformats.org/officeDocument/2006/relationships/image" Target="media/image5.png"/><Relationship Id="rId46" Type="http://schemas.openxmlformats.org/officeDocument/2006/relationships/image" Target="media/image8.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edialiaison@treasury.gov.au" TargetMode="External"/><Relationship Id="rId29" Type="http://schemas.openxmlformats.org/officeDocument/2006/relationships/hyperlink" Target="mailto:asicfunding@treasury.gov.au" TargetMode="External"/><Relationship Id="rId41" Type="http://schemas.openxmlformats.org/officeDocument/2006/relationships/diagramData" Target="diagrams/data1.xm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creativecommons.org/licenses/by/3.0/au/legalcode" TargetMode="External"/><Relationship Id="rId32" Type="http://schemas.openxmlformats.org/officeDocument/2006/relationships/header" Target="header6.xml"/><Relationship Id="rId37" Type="http://schemas.openxmlformats.org/officeDocument/2006/relationships/image" Target="media/image4.png"/><Relationship Id="rId40" Type="http://schemas.openxmlformats.org/officeDocument/2006/relationships/image" Target="media/image7.png"/><Relationship Id="rId45" Type="http://schemas.microsoft.com/office/2007/relationships/diagramDrawing" Target="diagrams/drawing1.xml"/><Relationship Id="rId53" Type="http://schemas.openxmlformats.org/officeDocument/2006/relationships/footer" Target="footer10.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3.0/au/deed.en" TargetMode="External"/><Relationship Id="rId28" Type="http://schemas.openxmlformats.org/officeDocument/2006/relationships/hyperlink" Target="mailto:asicfunding@treasury.gov.au" TargetMode="External"/><Relationship Id="rId36" Type="http://schemas.openxmlformats.org/officeDocument/2006/relationships/header" Target="header8.xml"/><Relationship Id="rId49" Type="http://schemas.openxmlformats.org/officeDocument/2006/relationships/footer" Target="footer8.xml"/><Relationship Id="rId57" Type="http://schemas.openxmlformats.org/officeDocument/2006/relationships/footer" Target="footer1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5.xml"/><Relationship Id="rId44" Type="http://schemas.openxmlformats.org/officeDocument/2006/relationships/diagramColors" Target="diagrams/colors1.xml"/><Relationship Id="rId52" Type="http://schemas.openxmlformats.org/officeDocument/2006/relationships/footer" Target="footer9.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diagramQuickStyle" Target="diagrams/quickStyle1.xml"/><Relationship Id="rId48" Type="http://schemas.openxmlformats.org/officeDocument/2006/relationships/footer" Target="footer7.xml"/><Relationship Id="rId56" Type="http://schemas.openxmlformats.org/officeDocument/2006/relationships/header" Target="header12.xml"/><Relationship Id="rId8" Type="http://schemas.openxmlformats.org/officeDocument/2006/relationships/styles" Target="styles.xml"/><Relationship Id="rId51" Type="http://schemas.openxmlformats.org/officeDocument/2006/relationships/header" Target="header10.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finance.gov.au" TargetMode="External"/><Relationship Id="rId2" Type="http://schemas.openxmlformats.org/officeDocument/2006/relationships/hyperlink" Target="http://www.finance.gov.au/sites/default/files/australian-government-cost-recovery-guidelines.pdf" TargetMode="External"/><Relationship Id="rId1" Type="http://schemas.openxmlformats.org/officeDocument/2006/relationships/hyperlink" Target="http://www.treasury.gov.au/PublicationsAndMedia/Publications/2016/ASIC-capability-revie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796226-7732-47B1-9ED7-A29EA1E64C9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F3179915-B315-4852-B964-E025F37FF686}">
      <dgm:prSet phldrT="[Text]" custT="1"/>
      <dgm:spPr/>
      <dgm:t>
        <a:bodyPr/>
        <a:lstStyle/>
        <a:p>
          <a:r>
            <a:rPr lang="en-US" sz="1000" b="1">
              <a:solidFill>
                <a:schemeClr val="bg1"/>
              </a:solidFill>
            </a:rPr>
            <a:t>January</a:t>
          </a:r>
        </a:p>
        <a:p>
          <a:r>
            <a:rPr lang="en-US" sz="900"/>
            <a:t>ASIC issues invoices for previous financial year</a:t>
          </a:r>
        </a:p>
        <a:p>
          <a:r>
            <a:rPr lang="en-US" sz="900"/>
            <a:t>ASIC publishes activity results for sub-sectors for the previous financial year</a:t>
          </a:r>
        </a:p>
      </dgm:t>
    </dgm:pt>
    <dgm:pt modelId="{AE5B4AEF-02F2-41C7-9ACF-D7BAD2D93FB7}" type="parTrans" cxnId="{6AA62898-B265-4A22-9D4F-6C7DF7190F5B}">
      <dgm:prSet/>
      <dgm:spPr/>
      <dgm:t>
        <a:bodyPr/>
        <a:lstStyle/>
        <a:p>
          <a:endParaRPr lang="en-US"/>
        </a:p>
      </dgm:t>
    </dgm:pt>
    <dgm:pt modelId="{0F6FC812-00F3-4565-86DD-4638ED474BF1}" type="sibTrans" cxnId="{6AA62898-B265-4A22-9D4F-6C7DF7190F5B}">
      <dgm:prSet/>
      <dgm:spPr>
        <a:solidFill>
          <a:schemeClr val="accent2">
            <a:lumMod val="40000"/>
            <a:lumOff val="60000"/>
          </a:schemeClr>
        </a:solidFill>
      </dgm:spPr>
      <dgm:t>
        <a:bodyPr/>
        <a:lstStyle/>
        <a:p>
          <a:endParaRPr lang="en-US"/>
        </a:p>
      </dgm:t>
    </dgm:pt>
    <dgm:pt modelId="{266D8C64-C38D-46CC-A8D0-B38D711C627B}">
      <dgm:prSet phldrT="[Text]" custT="1"/>
      <dgm:spPr/>
      <dgm:t>
        <a:bodyPr/>
        <a:lstStyle/>
        <a:p>
          <a:r>
            <a:rPr lang="en-US" sz="1000" b="1">
              <a:solidFill>
                <a:schemeClr val="bg1"/>
              </a:solidFill>
            </a:rPr>
            <a:t>March</a:t>
          </a:r>
        </a:p>
        <a:p>
          <a:r>
            <a:rPr lang="en-US" sz="900"/>
            <a:t>ASIC consults on the strategic risks of each sector and sub-sector for the coming financial year</a:t>
          </a:r>
        </a:p>
      </dgm:t>
    </dgm:pt>
    <dgm:pt modelId="{28417671-B717-48B0-A7D1-A4A661AC8B89}" type="parTrans" cxnId="{24286432-1796-498B-842B-3ABE2DC055E9}">
      <dgm:prSet/>
      <dgm:spPr/>
      <dgm:t>
        <a:bodyPr/>
        <a:lstStyle/>
        <a:p>
          <a:endParaRPr lang="en-US"/>
        </a:p>
      </dgm:t>
    </dgm:pt>
    <dgm:pt modelId="{4178D4B9-78C6-40DF-9C8E-867FBEC40773}" type="sibTrans" cxnId="{24286432-1796-498B-842B-3ABE2DC055E9}">
      <dgm:prSet/>
      <dgm:spPr/>
      <dgm:t>
        <a:bodyPr/>
        <a:lstStyle/>
        <a:p>
          <a:endParaRPr lang="en-US"/>
        </a:p>
      </dgm:t>
    </dgm:pt>
    <dgm:pt modelId="{2ADB2AA5-2574-42E3-A861-64EE2F5841D1}">
      <dgm:prSet phldrT="[Text]" custT="1"/>
      <dgm:spPr/>
      <dgm:t>
        <a:bodyPr/>
        <a:lstStyle/>
        <a:p>
          <a:r>
            <a:rPr lang="en-US" sz="1000" b="1">
              <a:solidFill>
                <a:schemeClr val="bg1"/>
              </a:solidFill>
            </a:rPr>
            <a:t>June</a:t>
          </a:r>
        </a:p>
        <a:p>
          <a:r>
            <a:rPr lang="en-US" sz="900"/>
            <a:t>ASIC publishes forecast cost data and indicative levies for the coming year</a:t>
          </a:r>
        </a:p>
        <a:p>
          <a:r>
            <a:rPr lang="en-US" sz="900"/>
            <a:t>Where the Budget Process changes ASIC policy, the CRIS consultation process will commence in June</a:t>
          </a:r>
        </a:p>
      </dgm:t>
    </dgm:pt>
    <dgm:pt modelId="{D8E4039F-AE3A-4644-AA89-D9C83A21B671}" type="parTrans" cxnId="{F1FDC6D2-6A73-4AD4-A2BE-BB0BE654A1DB}">
      <dgm:prSet/>
      <dgm:spPr/>
      <dgm:t>
        <a:bodyPr/>
        <a:lstStyle/>
        <a:p>
          <a:endParaRPr lang="en-US"/>
        </a:p>
      </dgm:t>
    </dgm:pt>
    <dgm:pt modelId="{0EF97432-E880-4DC4-8CA1-7CDD27C2593B}" type="sibTrans" cxnId="{F1FDC6D2-6A73-4AD4-A2BE-BB0BE654A1DB}">
      <dgm:prSet/>
      <dgm:spPr/>
      <dgm:t>
        <a:bodyPr/>
        <a:lstStyle/>
        <a:p>
          <a:endParaRPr lang="en-US"/>
        </a:p>
      </dgm:t>
    </dgm:pt>
    <dgm:pt modelId="{AED33D76-127E-460C-BC05-F04A0F6D9295}">
      <dgm:prSet phldrT="[Text]" custT="1"/>
      <dgm:spPr/>
      <dgm:t>
        <a:bodyPr/>
        <a:lstStyle/>
        <a:p>
          <a:r>
            <a:rPr lang="en-US" sz="1000" b="1">
              <a:solidFill>
                <a:schemeClr val="bg1"/>
              </a:solidFill>
            </a:rPr>
            <a:t>August</a:t>
          </a:r>
        </a:p>
        <a:p>
          <a:r>
            <a:rPr lang="en-US" sz="900"/>
            <a:t>ASIC publishes Corporate Plan which sets out how ASIC will address strategic risks and long term challenges over the coming 4 years</a:t>
          </a:r>
        </a:p>
      </dgm:t>
    </dgm:pt>
    <dgm:pt modelId="{18D9B5A8-FA88-486E-ACB9-10C58E55CF8E}" type="parTrans" cxnId="{0B3A46AA-8867-4345-8BDA-CB76BCA84DCE}">
      <dgm:prSet/>
      <dgm:spPr/>
      <dgm:t>
        <a:bodyPr/>
        <a:lstStyle/>
        <a:p>
          <a:endParaRPr lang="en-US"/>
        </a:p>
      </dgm:t>
    </dgm:pt>
    <dgm:pt modelId="{D7AB0A5E-9DC1-4CA1-AD89-13DC0E789547}" type="sibTrans" cxnId="{0B3A46AA-8867-4345-8BDA-CB76BCA84DCE}">
      <dgm:prSet/>
      <dgm:spPr/>
      <dgm:t>
        <a:bodyPr/>
        <a:lstStyle/>
        <a:p>
          <a:endParaRPr lang="en-US"/>
        </a:p>
      </dgm:t>
    </dgm:pt>
    <dgm:pt modelId="{A8891BE6-CF7C-42A7-B025-0D4CDF982004}">
      <dgm:prSet phldrT="[Text]" custT="1"/>
      <dgm:spPr/>
      <dgm:t>
        <a:bodyPr/>
        <a:lstStyle/>
        <a:p>
          <a:r>
            <a:rPr lang="en-US" sz="1000" b="1">
              <a:solidFill>
                <a:schemeClr val="bg1"/>
              </a:solidFill>
            </a:rPr>
            <a:t>July to October</a:t>
          </a:r>
        </a:p>
        <a:p>
          <a:r>
            <a:rPr lang="en-US" sz="900"/>
            <a:t>Businesses report activity of the previous financial year for their sectors</a:t>
          </a:r>
        </a:p>
      </dgm:t>
    </dgm:pt>
    <dgm:pt modelId="{B4A11A57-1499-4255-B3A4-AC2F8CC78EF9}" type="parTrans" cxnId="{618D52B9-DB96-4757-8DC8-197031326086}">
      <dgm:prSet/>
      <dgm:spPr/>
      <dgm:t>
        <a:bodyPr/>
        <a:lstStyle/>
        <a:p>
          <a:endParaRPr lang="en-US"/>
        </a:p>
      </dgm:t>
    </dgm:pt>
    <dgm:pt modelId="{8CE79CD9-A650-4EB7-B1A3-259E1F888354}" type="sibTrans" cxnId="{618D52B9-DB96-4757-8DC8-197031326086}">
      <dgm:prSet/>
      <dgm:spPr/>
      <dgm:t>
        <a:bodyPr/>
        <a:lstStyle/>
        <a:p>
          <a:endParaRPr lang="en-US"/>
        </a:p>
      </dgm:t>
    </dgm:pt>
    <dgm:pt modelId="{5FFE149F-25FD-4F38-BB10-A75B2C8CD4D0}">
      <dgm:prSet phldrT="[Text]" custT="1"/>
      <dgm:spPr/>
      <dgm:t>
        <a:bodyPr/>
        <a:lstStyle/>
        <a:p>
          <a:r>
            <a:rPr lang="en-US" sz="1000" b="1">
              <a:solidFill>
                <a:schemeClr val="bg1"/>
              </a:solidFill>
            </a:rPr>
            <a:t>October - December</a:t>
          </a:r>
        </a:p>
        <a:p>
          <a:r>
            <a:rPr lang="en-US" sz="900"/>
            <a:t>ASIC undertakes an environmental scan to identify new and emerging strategic risks for next year consultation</a:t>
          </a:r>
        </a:p>
      </dgm:t>
    </dgm:pt>
    <dgm:pt modelId="{35381169-7F55-460E-9FB3-5716FBB58053}" type="parTrans" cxnId="{C972313A-34C1-4E01-9B83-0C348D65B557}">
      <dgm:prSet/>
      <dgm:spPr/>
      <dgm:t>
        <a:bodyPr/>
        <a:lstStyle/>
        <a:p>
          <a:endParaRPr lang="en-US"/>
        </a:p>
      </dgm:t>
    </dgm:pt>
    <dgm:pt modelId="{82F6BF91-9DE8-4022-AFDE-33502C883019}" type="sibTrans" cxnId="{C972313A-34C1-4E01-9B83-0C348D65B557}">
      <dgm:prSet/>
      <dgm:spPr/>
      <dgm:t>
        <a:bodyPr/>
        <a:lstStyle/>
        <a:p>
          <a:endParaRPr lang="en-US"/>
        </a:p>
      </dgm:t>
    </dgm:pt>
    <dgm:pt modelId="{E55FD2DC-68A0-49F1-A583-0B8C870230E9}">
      <dgm:prSet phldrT="[Text]" custT="1"/>
      <dgm:spPr/>
      <dgm:t>
        <a:bodyPr/>
        <a:lstStyle/>
        <a:p>
          <a:pPr algn="ctr">
            <a:spcAft>
              <a:spcPct val="35000"/>
            </a:spcAft>
          </a:pPr>
          <a:r>
            <a:rPr lang="en-US" sz="1000" b="1">
              <a:solidFill>
                <a:schemeClr val="bg1"/>
              </a:solidFill>
            </a:rPr>
            <a:t>October</a:t>
          </a:r>
        </a:p>
        <a:p>
          <a:pPr algn="ctr">
            <a:spcAft>
              <a:spcPts val="0"/>
            </a:spcAft>
          </a:pPr>
          <a:r>
            <a:rPr lang="en-US" sz="900"/>
            <a:t>ASIC Annual Report released and CRIS updated</a:t>
          </a:r>
        </a:p>
        <a:p>
          <a:pPr algn="ctr">
            <a:spcAft>
              <a:spcPts val="0"/>
            </a:spcAft>
          </a:pPr>
          <a:endParaRPr lang="en-US" sz="1000" b="0">
            <a:solidFill>
              <a:schemeClr val="tx1"/>
            </a:solidFill>
          </a:endParaRPr>
        </a:p>
        <a:p>
          <a:pPr algn="ctr">
            <a:spcAft>
              <a:spcPts val="0"/>
            </a:spcAft>
          </a:pPr>
          <a:r>
            <a:rPr lang="en-US" sz="900"/>
            <a:t>i/   Estimates for current year, incl indicative levies</a:t>
          </a:r>
        </a:p>
        <a:p>
          <a:pPr algn="l">
            <a:spcAft>
              <a:spcPct val="35000"/>
            </a:spcAft>
          </a:pPr>
          <a:r>
            <a:rPr lang="en-US" sz="900"/>
            <a:t>ii/  Forecast for future years</a:t>
          </a:r>
          <a:br>
            <a:rPr lang="en-US" sz="900"/>
          </a:br>
          <a:r>
            <a:rPr lang="en-US" sz="900"/>
            <a:t>iii/ Actuals for previous year</a:t>
          </a:r>
        </a:p>
      </dgm:t>
    </dgm:pt>
    <dgm:pt modelId="{F2FA1FE1-392A-43BE-AEB4-8ACB617ACE3D}" type="parTrans" cxnId="{1C36C317-7CBA-481E-93F9-AD1CD3BC6B8F}">
      <dgm:prSet/>
      <dgm:spPr/>
      <dgm:t>
        <a:bodyPr/>
        <a:lstStyle/>
        <a:p>
          <a:endParaRPr lang="en-US"/>
        </a:p>
      </dgm:t>
    </dgm:pt>
    <dgm:pt modelId="{1AF80278-DB7D-4EB7-BF26-9F641D012EDF}" type="sibTrans" cxnId="{1C36C317-7CBA-481E-93F9-AD1CD3BC6B8F}">
      <dgm:prSet/>
      <dgm:spPr/>
      <dgm:t>
        <a:bodyPr/>
        <a:lstStyle/>
        <a:p>
          <a:endParaRPr lang="en-US"/>
        </a:p>
      </dgm:t>
    </dgm:pt>
    <dgm:pt modelId="{E0BC3E1D-B3A0-4A60-AF6A-7AA97FBD8AB6}" type="pres">
      <dgm:prSet presAssocID="{AB796226-7732-47B1-9ED7-A29EA1E64C9D}" presName="Name0" presStyleCnt="0">
        <dgm:presLayoutVars>
          <dgm:dir/>
          <dgm:resizeHandles val="exact"/>
        </dgm:presLayoutVars>
      </dgm:prSet>
      <dgm:spPr/>
      <dgm:t>
        <a:bodyPr/>
        <a:lstStyle/>
        <a:p>
          <a:endParaRPr lang="en-US"/>
        </a:p>
      </dgm:t>
    </dgm:pt>
    <dgm:pt modelId="{F276141D-7125-4849-AFB5-430426064A0B}" type="pres">
      <dgm:prSet presAssocID="{AB796226-7732-47B1-9ED7-A29EA1E64C9D}" presName="cycle" presStyleCnt="0"/>
      <dgm:spPr/>
    </dgm:pt>
    <dgm:pt modelId="{74327991-27B5-4055-8C10-AC4407999176}" type="pres">
      <dgm:prSet presAssocID="{F3179915-B315-4852-B964-E025F37FF686}" presName="nodeFirstNode" presStyleLbl="node1" presStyleIdx="0" presStyleCnt="7" custScaleY="151766">
        <dgm:presLayoutVars>
          <dgm:bulletEnabled val="1"/>
        </dgm:presLayoutVars>
      </dgm:prSet>
      <dgm:spPr/>
      <dgm:t>
        <a:bodyPr/>
        <a:lstStyle/>
        <a:p>
          <a:endParaRPr lang="en-US"/>
        </a:p>
      </dgm:t>
    </dgm:pt>
    <dgm:pt modelId="{8F7C7360-BE83-4D23-8FDC-7AE08D5A8352}" type="pres">
      <dgm:prSet presAssocID="{0F6FC812-00F3-4565-86DD-4638ED474BF1}" presName="sibTransFirstNode" presStyleLbl="bgShp" presStyleIdx="0" presStyleCnt="1"/>
      <dgm:spPr/>
      <dgm:t>
        <a:bodyPr/>
        <a:lstStyle/>
        <a:p>
          <a:endParaRPr lang="en-US"/>
        </a:p>
      </dgm:t>
    </dgm:pt>
    <dgm:pt modelId="{F27139F9-406B-4141-AFE8-9928F6E8E1F6}" type="pres">
      <dgm:prSet presAssocID="{266D8C64-C38D-46CC-A8D0-B38D711C627B}" presName="nodeFollowingNodes" presStyleLbl="node1" presStyleIdx="1" presStyleCnt="7" custScaleX="100177" custScaleY="156373">
        <dgm:presLayoutVars>
          <dgm:bulletEnabled val="1"/>
        </dgm:presLayoutVars>
      </dgm:prSet>
      <dgm:spPr/>
      <dgm:t>
        <a:bodyPr/>
        <a:lstStyle/>
        <a:p>
          <a:endParaRPr lang="en-US"/>
        </a:p>
      </dgm:t>
    </dgm:pt>
    <dgm:pt modelId="{CC5B9628-1D9F-44D5-ABE3-9645C6E11ED6}" type="pres">
      <dgm:prSet presAssocID="{2ADB2AA5-2574-42E3-A861-64EE2F5841D1}" presName="nodeFollowingNodes" presStyleLbl="node1" presStyleIdx="2" presStyleCnt="7" custScaleX="111070" custScaleY="189745" custRadScaleRad="87171" custRadScaleInc="2897">
        <dgm:presLayoutVars>
          <dgm:bulletEnabled val="1"/>
        </dgm:presLayoutVars>
      </dgm:prSet>
      <dgm:spPr/>
      <dgm:t>
        <a:bodyPr/>
        <a:lstStyle/>
        <a:p>
          <a:endParaRPr lang="en-US"/>
        </a:p>
      </dgm:t>
    </dgm:pt>
    <dgm:pt modelId="{17886274-AEBC-4EB9-BE24-57F72C841F3B}" type="pres">
      <dgm:prSet presAssocID="{AED33D76-127E-460C-BC05-F04A0F6D9295}" presName="nodeFollowingNodes" presStyleLbl="node1" presStyleIdx="3" presStyleCnt="7" custScaleY="136275">
        <dgm:presLayoutVars>
          <dgm:bulletEnabled val="1"/>
        </dgm:presLayoutVars>
      </dgm:prSet>
      <dgm:spPr/>
      <dgm:t>
        <a:bodyPr/>
        <a:lstStyle/>
        <a:p>
          <a:endParaRPr lang="en-US"/>
        </a:p>
      </dgm:t>
    </dgm:pt>
    <dgm:pt modelId="{E2DC5371-5954-4A87-97C8-AE688BFFF797}" type="pres">
      <dgm:prSet presAssocID="{A8891BE6-CF7C-42A7-B025-0D4CDF982004}" presName="nodeFollowingNodes" presStyleLbl="node1" presStyleIdx="4" presStyleCnt="7" custScaleY="138824">
        <dgm:presLayoutVars>
          <dgm:bulletEnabled val="1"/>
        </dgm:presLayoutVars>
      </dgm:prSet>
      <dgm:spPr/>
      <dgm:t>
        <a:bodyPr/>
        <a:lstStyle/>
        <a:p>
          <a:endParaRPr lang="en-US"/>
        </a:p>
      </dgm:t>
    </dgm:pt>
    <dgm:pt modelId="{7CA77F2A-C19B-4ABE-9E2F-990DEAA468CC}" type="pres">
      <dgm:prSet presAssocID="{E55FD2DC-68A0-49F1-A583-0B8C870230E9}" presName="nodeFollowingNodes" presStyleLbl="node1" presStyleIdx="5" presStyleCnt="7" custScaleX="111070" custScaleY="189745" custRadScaleRad="88070" custRadScaleInc="-2569">
        <dgm:presLayoutVars>
          <dgm:bulletEnabled val="1"/>
        </dgm:presLayoutVars>
      </dgm:prSet>
      <dgm:spPr/>
      <dgm:t>
        <a:bodyPr/>
        <a:lstStyle/>
        <a:p>
          <a:endParaRPr lang="en-US"/>
        </a:p>
      </dgm:t>
    </dgm:pt>
    <dgm:pt modelId="{657B94D4-5E23-46B0-8E83-5EEFCCC21568}" type="pres">
      <dgm:prSet presAssocID="{5FFE149F-25FD-4F38-BB10-A75B2C8CD4D0}" presName="nodeFollowingNodes" presStyleLbl="node1" presStyleIdx="6" presStyleCnt="7" custScaleX="100177" custScaleY="156373">
        <dgm:presLayoutVars>
          <dgm:bulletEnabled val="1"/>
        </dgm:presLayoutVars>
      </dgm:prSet>
      <dgm:spPr/>
      <dgm:t>
        <a:bodyPr/>
        <a:lstStyle/>
        <a:p>
          <a:endParaRPr lang="en-US"/>
        </a:p>
      </dgm:t>
    </dgm:pt>
  </dgm:ptLst>
  <dgm:cxnLst>
    <dgm:cxn modelId="{7385D4FD-9D1A-48E6-9566-42C4676BB21D}" type="presOf" srcId="{E55FD2DC-68A0-49F1-A583-0B8C870230E9}" destId="{7CA77F2A-C19B-4ABE-9E2F-990DEAA468CC}" srcOrd="0" destOrd="0" presId="urn:microsoft.com/office/officeart/2005/8/layout/cycle3"/>
    <dgm:cxn modelId="{0B3A46AA-8867-4345-8BDA-CB76BCA84DCE}" srcId="{AB796226-7732-47B1-9ED7-A29EA1E64C9D}" destId="{AED33D76-127E-460C-BC05-F04A0F6D9295}" srcOrd="3" destOrd="0" parTransId="{18D9B5A8-FA88-486E-ACB9-10C58E55CF8E}" sibTransId="{D7AB0A5E-9DC1-4CA1-AD89-13DC0E789547}"/>
    <dgm:cxn modelId="{E2F77B52-B8A2-4C8F-8B0B-AC89937D4F78}" type="presOf" srcId="{AB796226-7732-47B1-9ED7-A29EA1E64C9D}" destId="{E0BC3E1D-B3A0-4A60-AF6A-7AA97FBD8AB6}" srcOrd="0" destOrd="0" presId="urn:microsoft.com/office/officeart/2005/8/layout/cycle3"/>
    <dgm:cxn modelId="{1C36C317-7CBA-481E-93F9-AD1CD3BC6B8F}" srcId="{AB796226-7732-47B1-9ED7-A29EA1E64C9D}" destId="{E55FD2DC-68A0-49F1-A583-0B8C870230E9}" srcOrd="5" destOrd="0" parTransId="{F2FA1FE1-392A-43BE-AEB4-8ACB617ACE3D}" sibTransId="{1AF80278-DB7D-4EB7-BF26-9F641D012EDF}"/>
    <dgm:cxn modelId="{4BD8B2BE-71AE-4AE0-849C-EAEBCC176599}" type="presOf" srcId="{2ADB2AA5-2574-42E3-A861-64EE2F5841D1}" destId="{CC5B9628-1D9F-44D5-ABE3-9645C6E11ED6}" srcOrd="0" destOrd="0" presId="urn:microsoft.com/office/officeart/2005/8/layout/cycle3"/>
    <dgm:cxn modelId="{C972313A-34C1-4E01-9B83-0C348D65B557}" srcId="{AB796226-7732-47B1-9ED7-A29EA1E64C9D}" destId="{5FFE149F-25FD-4F38-BB10-A75B2C8CD4D0}" srcOrd="6" destOrd="0" parTransId="{35381169-7F55-460E-9FB3-5716FBB58053}" sibTransId="{82F6BF91-9DE8-4022-AFDE-33502C883019}"/>
    <dgm:cxn modelId="{F1FDC6D2-6A73-4AD4-A2BE-BB0BE654A1DB}" srcId="{AB796226-7732-47B1-9ED7-A29EA1E64C9D}" destId="{2ADB2AA5-2574-42E3-A861-64EE2F5841D1}" srcOrd="2" destOrd="0" parTransId="{D8E4039F-AE3A-4644-AA89-D9C83A21B671}" sibTransId="{0EF97432-E880-4DC4-8CA1-7CDD27C2593B}"/>
    <dgm:cxn modelId="{0FD50D54-607C-4BC6-832F-9B382A71A98E}" type="presOf" srcId="{F3179915-B315-4852-B964-E025F37FF686}" destId="{74327991-27B5-4055-8C10-AC4407999176}" srcOrd="0" destOrd="0" presId="urn:microsoft.com/office/officeart/2005/8/layout/cycle3"/>
    <dgm:cxn modelId="{6AA62898-B265-4A22-9D4F-6C7DF7190F5B}" srcId="{AB796226-7732-47B1-9ED7-A29EA1E64C9D}" destId="{F3179915-B315-4852-B964-E025F37FF686}" srcOrd="0" destOrd="0" parTransId="{AE5B4AEF-02F2-41C7-9ACF-D7BAD2D93FB7}" sibTransId="{0F6FC812-00F3-4565-86DD-4638ED474BF1}"/>
    <dgm:cxn modelId="{2C473EAB-B907-452E-B1A1-E3AEA756CA1A}" type="presOf" srcId="{266D8C64-C38D-46CC-A8D0-B38D711C627B}" destId="{F27139F9-406B-4141-AFE8-9928F6E8E1F6}" srcOrd="0" destOrd="0" presId="urn:microsoft.com/office/officeart/2005/8/layout/cycle3"/>
    <dgm:cxn modelId="{24286432-1796-498B-842B-3ABE2DC055E9}" srcId="{AB796226-7732-47B1-9ED7-A29EA1E64C9D}" destId="{266D8C64-C38D-46CC-A8D0-B38D711C627B}" srcOrd="1" destOrd="0" parTransId="{28417671-B717-48B0-A7D1-A4A661AC8B89}" sibTransId="{4178D4B9-78C6-40DF-9C8E-867FBEC40773}"/>
    <dgm:cxn modelId="{618D52B9-DB96-4757-8DC8-197031326086}" srcId="{AB796226-7732-47B1-9ED7-A29EA1E64C9D}" destId="{A8891BE6-CF7C-42A7-B025-0D4CDF982004}" srcOrd="4" destOrd="0" parTransId="{B4A11A57-1499-4255-B3A4-AC2F8CC78EF9}" sibTransId="{8CE79CD9-A650-4EB7-B1A3-259E1F888354}"/>
    <dgm:cxn modelId="{B6F8DAF1-8EB1-4FD5-AEFD-9BAA453FFA34}" type="presOf" srcId="{0F6FC812-00F3-4565-86DD-4638ED474BF1}" destId="{8F7C7360-BE83-4D23-8FDC-7AE08D5A8352}" srcOrd="0" destOrd="0" presId="urn:microsoft.com/office/officeart/2005/8/layout/cycle3"/>
    <dgm:cxn modelId="{033CB3B0-E0A9-46DA-B792-57977F538286}" type="presOf" srcId="{AED33D76-127E-460C-BC05-F04A0F6D9295}" destId="{17886274-AEBC-4EB9-BE24-57F72C841F3B}" srcOrd="0" destOrd="0" presId="urn:microsoft.com/office/officeart/2005/8/layout/cycle3"/>
    <dgm:cxn modelId="{533CC92B-0174-415C-AF27-F6298DC95F45}" type="presOf" srcId="{A8891BE6-CF7C-42A7-B025-0D4CDF982004}" destId="{E2DC5371-5954-4A87-97C8-AE688BFFF797}" srcOrd="0" destOrd="0" presId="urn:microsoft.com/office/officeart/2005/8/layout/cycle3"/>
    <dgm:cxn modelId="{57248F93-9760-453F-81CD-7134B3E13BAE}" type="presOf" srcId="{5FFE149F-25FD-4F38-BB10-A75B2C8CD4D0}" destId="{657B94D4-5E23-46B0-8E83-5EEFCCC21568}" srcOrd="0" destOrd="0" presId="urn:microsoft.com/office/officeart/2005/8/layout/cycle3"/>
    <dgm:cxn modelId="{06B6AC86-FE51-4A80-8F34-C3E8CD363D1A}" type="presParOf" srcId="{E0BC3E1D-B3A0-4A60-AF6A-7AA97FBD8AB6}" destId="{F276141D-7125-4849-AFB5-430426064A0B}" srcOrd="0" destOrd="0" presId="urn:microsoft.com/office/officeart/2005/8/layout/cycle3"/>
    <dgm:cxn modelId="{E84072C9-D605-4D9E-9A72-51A7FE73164B}" type="presParOf" srcId="{F276141D-7125-4849-AFB5-430426064A0B}" destId="{74327991-27B5-4055-8C10-AC4407999176}" srcOrd="0" destOrd="0" presId="urn:microsoft.com/office/officeart/2005/8/layout/cycle3"/>
    <dgm:cxn modelId="{7F8BB878-3496-4FD3-B4B7-93814506ECDC}" type="presParOf" srcId="{F276141D-7125-4849-AFB5-430426064A0B}" destId="{8F7C7360-BE83-4D23-8FDC-7AE08D5A8352}" srcOrd="1" destOrd="0" presId="urn:microsoft.com/office/officeart/2005/8/layout/cycle3"/>
    <dgm:cxn modelId="{542787EA-6BE9-4C21-8162-1C009CC6B837}" type="presParOf" srcId="{F276141D-7125-4849-AFB5-430426064A0B}" destId="{F27139F9-406B-4141-AFE8-9928F6E8E1F6}" srcOrd="2" destOrd="0" presId="urn:microsoft.com/office/officeart/2005/8/layout/cycle3"/>
    <dgm:cxn modelId="{EAAA4DE2-9C7D-44E0-8C31-0FC25CC444BA}" type="presParOf" srcId="{F276141D-7125-4849-AFB5-430426064A0B}" destId="{CC5B9628-1D9F-44D5-ABE3-9645C6E11ED6}" srcOrd="3" destOrd="0" presId="urn:microsoft.com/office/officeart/2005/8/layout/cycle3"/>
    <dgm:cxn modelId="{D865864A-11CB-4BC8-81D4-150BDD39F57C}" type="presParOf" srcId="{F276141D-7125-4849-AFB5-430426064A0B}" destId="{17886274-AEBC-4EB9-BE24-57F72C841F3B}" srcOrd="4" destOrd="0" presId="urn:microsoft.com/office/officeart/2005/8/layout/cycle3"/>
    <dgm:cxn modelId="{D97465D8-0239-4EAE-89E6-F1EB06DEE421}" type="presParOf" srcId="{F276141D-7125-4849-AFB5-430426064A0B}" destId="{E2DC5371-5954-4A87-97C8-AE688BFFF797}" srcOrd="5" destOrd="0" presId="urn:microsoft.com/office/officeart/2005/8/layout/cycle3"/>
    <dgm:cxn modelId="{B2FDD7DA-FF3E-4893-A44F-2157E6061991}" type="presParOf" srcId="{F276141D-7125-4849-AFB5-430426064A0B}" destId="{7CA77F2A-C19B-4ABE-9E2F-990DEAA468CC}" srcOrd="6" destOrd="0" presId="urn:microsoft.com/office/officeart/2005/8/layout/cycle3"/>
    <dgm:cxn modelId="{2E83F5C9-3A4D-4D41-BD94-512094AF536C}" type="presParOf" srcId="{F276141D-7125-4849-AFB5-430426064A0B}" destId="{657B94D4-5E23-46B0-8E83-5EEFCCC21568}" srcOrd="7" destOrd="0" presId="urn:microsoft.com/office/officeart/2005/8/layout/cycle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7C7360-BE83-4D23-8FDC-7AE08D5A8352}">
      <dsp:nvSpPr>
        <dsp:cNvPr id="0" name=""/>
        <dsp:cNvSpPr/>
      </dsp:nvSpPr>
      <dsp:spPr>
        <a:xfrm>
          <a:off x="352037" y="46007"/>
          <a:ext cx="5068075" cy="5068075"/>
        </a:xfrm>
        <a:prstGeom prst="circularArrow">
          <a:avLst>
            <a:gd name="adj1" fmla="val 5544"/>
            <a:gd name="adj2" fmla="val 330680"/>
            <a:gd name="adj3" fmla="val 14535461"/>
            <a:gd name="adj4" fmla="val 16938982"/>
            <a:gd name="adj5" fmla="val 5757"/>
          </a:avLst>
        </a:prstGeom>
        <a:solidFill>
          <a:schemeClr val="accent2">
            <a:lumMod val="40000"/>
            <a:lumOff val="60000"/>
          </a:schemeClr>
        </a:solidFill>
        <a:ln>
          <a:noFill/>
        </a:ln>
        <a:effectLst/>
      </dsp:spPr>
      <dsp:style>
        <a:lnRef idx="0">
          <a:scrgbClr r="0" g="0" b="0"/>
        </a:lnRef>
        <a:fillRef idx="1">
          <a:scrgbClr r="0" g="0" b="0"/>
        </a:fillRef>
        <a:effectRef idx="0">
          <a:scrgbClr r="0" g="0" b="0"/>
        </a:effectRef>
        <a:fontRef idx="minor"/>
      </dsp:style>
    </dsp:sp>
    <dsp:sp modelId="{74327991-27B5-4055-8C10-AC4407999176}">
      <dsp:nvSpPr>
        <dsp:cNvPr id="0" name=""/>
        <dsp:cNvSpPr/>
      </dsp:nvSpPr>
      <dsp:spPr>
        <a:xfrm>
          <a:off x="2108187" y="-119015"/>
          <a:ext cx="1555774" cy="118056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rPr>
            <a:t>January</a:t>
          </a:r>
        </a:p>
        <a:p>
          <a:pPr lvl="0" algn="ctr" defTabSz="444500">
            <a:lnSpc>
              <a:spcPct val="90000"/>
            </a:lnSpc>
            <a:spcBef>
              <a:spcPct val="0"/>
            </a:spcBef>
            <a:spcAft>
              <a:spcPct val="35000"/>
            </a:spcAft>
          </a:pPr>
          <a:r>
            <a:rPr lang="en-US" sz="900" kern="1200"/>
            <a:t>ASIC issues invoices for previous financial year</a:t>
          </a:r>
        </a:p>
        <a:p>
          <a:pPr lvl="0" algn="ctr" defTabSz="444500">
            <a:lnSpc>
              <a:spcPct val="90000"/>
            </a:lnSpc>
            <a:spcBef>
              <a:spcPct val="0"/>
            </a:spcBef>
            <a:spcAft>
              <a:spcPct val="35000"/>
            </a:spcAft>
          </a:pPr>
          <a:r>
            <a:rPr lang="en-US" sz="900" kern="1200"/>
            <a:t>ASIC publishes activity results for sub-sectors for the previous financial year</a:t>
          </a:r>
        </a:p>
      </dsp:txBody>
      <dsp:txXfrm>
        <a:off x="2165818" y="-61384"/>
        <a:ext cx="1440512" cy="1065306"/>
      </dsp:txXfrm>
    </dsp:sp>
    <dsp:sp modelId="{F27139F9-406B-4141-AFE8-9928F6E8E1F6}">
      <dsp:nvSpPr>
        <dsp:cNvPr id="0" name=""/>
        <dsp:cNvSpPr/>
      </dsp:nvSpPr>
      <dsp:spPr>
        <a:xfrm>
          <a:off x="3796525" y="676789"/>
          <a:ext cx="1558528" cy="12164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rPr>
            <a:t>March</a:t>
          </a:r>
        </a:p>
        <a:p>
          <a:pPr lvl="0" algn="ctr" defTabSz="444500">
            <a:lnSpc>
              <a:spcPct val="90000"/>
            </a:lnSpc>
            <a:spcBef>
              <a:spcPct val="0"/>
            </a:spcBef>
            <a:spcAft>
              <a:spcPct val="35000"/>
            </a:spcAft>
          </a:pPr>
          <a:r>
            <a:rPr lang="en-US" sz="900" kern="1200"/>
            <a:t>ASIC consults on the strategic risks of each sector and sub-sector for the coming financial year</a:t>
          </a:r>
        </a:p>
      </dsp:txBody>
      <dsp:txXfrm>
        <a:off x="3855905" y="736169"/>
        <a:ext cx="1439768" cy="1097645"/>
      </dsp:txXfrm>
    </dsp:sp>
    <dsp:sp modelId="{CC5B9628-1D9F-44D5-ABE3-9645C6E11ED6}">
      <dsp:nvSpPr>
        <dsp:cNvPr id="0" name=""/>
        <dsp:cNvSpPr/>
      </dsp:nvSpPr>
      <dsp:spPr>
        <a:xfrm>
          <a:off x="3848789" y="2355394"/>
          <a:ext cx="1727999" cy="147600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rPr>
            <a:t>June</a:t>
          </a:r>
        </a:p>
        <a:p>
          <a:pPr lvl="0" algn="ctr" defTabSz="444500">
            <a:lnSpc>
              <a:spcPct val="90000"/>
            </a:lnSpc>
            <a:spcBef>
              <a:spcPct val="0"/>
            </a:spcBef>
            <a:spcAft>
              <a:spcPct val="35000"/>
            </a:spcAft>
          </a:pPr>
          <a:r>
            <a:rPr lang="en-US" sz="900" kern="1200"/>
            <a:t>ASIC publishes forecast cost data and indicative levies for the coming year</a:t>
          </a:r>
        </a:p>
        <a:p>
          <a:pPr lvl="0" algn="ctr" defTabSz="444500">
            <a:lnSpc>
              <a:spcPct val="90000"/>
            </a:lnSpc>
            <a:spcBef>
              <a:spcPct val="0"/>
            </a:spcBef>
            <a:spcAft>
              <a:spcPct val="35000"/>
            </a:spcAft>
          </a:pPr>
          <a:r>
            <a:rPr lang="en-US" sz="900" kern="1200"/>
            <a:t>Where the Budget Process changes ASIC policy, the CRIS consultation process will commence in June</a:t>
          </a:r>
        </a:p>
      </dsp:txBody>
      <dsp:txXfrm>
        <a:off x="3920841" y="2427446"/>
        <a:ext cx="1583895" cy="1331898"/>
      </dsp:txXfrm>
    </dsp:sp>
    <dsp:sp modelId="{17886274-AEBC-4EB9-BE24-57F72C841F3B}">
      <dsp:nvSpPr>
        <dsp:cNvPr id="0" name=""/>
        <dsp:cNvSpPr/>
      </dsp:nvSpPr>
      <dsp:spPr>
        <a:xfrm>
          <a:off x="3045908" y="4049659"/>
          <a:ext cx="1555774" cy="10600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rPr>
            <a:t>August</a:t>
          </a:r>
        </a:p>
        <a:p>
          <a:pPr lvl="0" algn="ctr" defTabSz="444500">
            <a:lnSpc>
              <a:spcPct val="90000"/>
            </a:lnSpc>
            <a:spcBef>
              <a:spcPct val="0"/>
            </a:spcBef>
            <a:spcAft>
              <a:spcPct val="35000"/>
            </a:spcAft>
          </a:pPr>
          <a:r>
            <a:rPr lang="en-US" sz="900" kern="1200"/>
            <a:t>ASIC publishes Corporate Plan which sets out how ASIC will address strategic risks and long term challenges over the coming 4 years</a:t>
          </a:r>
        </a:p>
      </dsp:txBody>
      <dsp:txXfrm>
        <a:off x="3097656" y="4101407"/>
        <a:ext cx="1452278" cy="956570"/>
      </dsp:txXfrm>
    </dsp:sp>
    <dsp:sp modelId="{E2DC5371-5954-4A87-97C8-AE688BFFF797}">
      <dsp:nvSpPr>
        <dsp:cNvPr id="0" name=""/>
        <dsp:cNvSpPr/>
      </dsp:nvSpPr>
      <dsp:spPr>
        <a:xfrm>
          <a:off x="1170466" y="4039745"/>
          <a:ext cx="1555774" cy="10798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rPr>
            <a:t>July to October</a:t>
          </a:r>
        </a:p>
        <a:p>
          <a:pPr lvl="0" algn="ctr" defTabSz="444500">
            <a:lnSpc>
              <a:spcPct val="90000"/>
            </a:lnSpc>
            <a:spcBef>
              <a:spcPct val="0"/>
            </a:spcBef>
            <a:spcAft>
              <a:spcPct val="35000"/>
            </a:spcAft>
          </a:pPr>
          <a:r>
            <a:rPr lang="en-US" sz="900" kern="1200"/>
            <a:t>Businesses report activity of the previous financial year for their sectors</a:t>
          </a:r>
        </a:p>
      </dsp:txBody>
      <dsp:txXfrm>
        <a:off x="1223182" y="4092461"/>
        <a:ext cx="1450342" cy="974462"/>
      </dsp:txXfrm>
    </dsp:sp>
    <dsp:sp modelId="{7CA77F2A-C19B-4ABE-9E2F-990DEAA468CC}">
      <dsp:nvSpPr>
        <dsp:cNvPr id="0" name=""/>
        <dsp:cNvSpPr/>
      </dsp:nvSpPr>
      <dsp:spPr>
        <a:xfrm>
          <a:off x="175328" y="2355391"/>
          <a:ext cx="1727999" cy="147600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rPr>
            <a:t>October</a:t>
          </a:r>
        </a:p>
        <a:p>
          <a:pPr lvl="0" algn="ctr" defTabSz="444500">
            <a:lnSpc>
              <a:spcPct val="90000"/>
            </a:lnSpc>
            <a:spcBef>
              <a:spcPct val="0"/>
            </a:spcBef>
            <a:spcAft>
              <a:spcPts val="0"/>
            </a:spcAft>
          </a:pPr>
          <a:r>
            <a:rPr lang="en-US" sz="900" kern="1200"/>
            <a:t>ASIC Annual Report released and CRIS updated</a:t>
          </a:r>
        </a:p>
        <a:p>
          <a:pPr lvl="0" algn="ctr" defTabSz="444500">
            <a:lnSpc>
              <a:spcPct val="90000"/>
            </a:lnSpc>
            <a:spcBef>
              <a:spcPct val="0"/>
            </a:spcBef>
            <a:spcAft>
              <a:spcPts val="0"/>
            </a:spcAft>
          </a:pPr>
          <a:endParaRPr lang="en-US" sz="1000" b="0" kern="1200">
            <a:solidFill>
              <a:schemeClr val="tx1"/>
            </a:solidFill>
          </a:endParaRPr>
        </a:p>
        <a:p>
          <a:pPr lvl="0" algn="ctr" defTabSz="444500">
            <a:lnSpc>
              <a:spcPct val="90000"/>
            </a:lnSpc>
            <a:spcBef>
              <a:spcPct val="0"/>
            </a:spcBef>
            <a:spcAft>
              <a:spcPts val="0"/>
            </a:spcAft>
          </a:pPr>
          <a:r>
            <a:rPr lang="en-US" sz="900" kern="1200"/>
            <a:t>i/   Estimates for current year, incl indicative levies</a:t>
          </a:r>
        </a:p>
        <a:p>
          <a:pPr lvl="0" algn="l" defTabSz="444500">
            <a:lnSpc>
              <a:spcPct val="90000"/>
            </a:lnSpc>
            <a:spcBef>
              <a:spcPct val="0"/>
            </a:spcBef>
            <a:spcAft>
              <a:spcPct val="35000"/>
            </a:spcAft>
          </a:pPr>
          <a:r>
            <a:rPr lang="en-US" sz="900" kern="1200"/>
            <a:t>ii/  Forecast for future years</a:t>
          </a:r>
          <a:br>
            <a:rPr lang="en-US" sz="900" kern="1200"/>
          </a:br>
          <a:r>
            <a:rPr lang="en-US" sz="900" kern="1200"/>
            <a:t>iii/ Actuals for previous year</a:t>
          </a:r>
        </a:p>
      </dsp:txBody>
      <dsp:txXfrm>
        <a:off x="247380" y="2427443"/>
        <a:ext cx="1583895" cy="1331898"/>
      </dsp:txXfrm>
    </dsp:sp>
    <dsp:sp modelId="{657B94D4-5E23-46B0-8E83-5EEFCCC21568}">
      <dsp:nvSpPr>
        <dsp:cNvPr id="0" name=""/>
        <dsp:cNvSpPr/>
      </dsp:nvSpPr>
      <dsp:spPr>
        <a:xfrm>
          <a:off x="417096" y="676789"/>
          <a:ext cx="1558528" cy="12164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bg1"/>
              </a:solidFill>
            </a:rPr>
            <a:t>October - December</a:t>
          </a:r>
        </a:p>
        <a:p>
          <a:pPr lvl="0" algn="ctr" defTabSz="444500">
            <a:lnSpc>
              <a:spcPct val="90000"/>
            </a:lnSpc>
            <a:spcBef>
              <a:spcPct val="0"/>
            </a:spcBef>
            <a:spcAft>
              <a:spcPct val="35000"/>
            </a:spcAft>
          </a:pPr>
          <a:r>
            <a:rPr lang="en-US" sz="900" kern="1200"/>
            <a:t>ASIC undertakes an environmental scan to identify new and emerging strategic risks for next year consultation</a:t>
          </a:r>
        </a:p>
      </dsp:txBody>
      <dsp:txXfrm>
        <a:off x="476476" y="736169"/>
        <a:ext cx="1439768" cy="109764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b0a2de537b3dbe9ea5fe84278f4e82c0">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c575848c8c27eb9a2886b094c90bf53a"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2016CSSG-1223-2142</_dlc_DocId>
    <TaxCatchAll xmlns="eb47d8b7-fefc-4923-b53c-9685ba6b7210">
      <Value>75</Value>
    </TaxCatchAll>
    <_dlc_DocIdUrl xmlns="eb47d8b7-fefc-4923-b53c-9685ba6b7210">
      <Url>http://tweb/sites/cssg/ped/pu/pt/_layouts/15/DocIdRedir.aspx?ID=2016CSSG-1223-2142</Url>
      <Description>2016CSSG-1223-2142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821D-B96D-4FFB-BEFC-3DE9E6573928}">
  <ds:schemaRefs>
    <ds:schemaRef ds:uri="http://schemas.microsoft.com/sharepoint/events"/>
  </ds:schemaRefs>
</ds:datastoreItem>
</file>

<file path=customXml/itemProps2.xml><?xml version="1.0" encoding="utf-8"?>
<ds:datastoreItem xmlns:ds="http://schemas.openxmlformats.org/officeDocument/2006/customXml" ds:itemID="{B960F1F1-858F-4B86-8EF1-A0EC1EB7500A}">
  <ds:schemaRefs>
    <ds:schemaRef ds:uri="http://schemas.microsoft.com/sharepoint/v3/contenttype/forms"/>
  </ds:schemaRefs>
</ds:datastoreItem>
</file>

<file path=customXml/itemProps3.xml><?xml version="1.0" encoding="utf-8"?>
<ds:datastoreItem xmlns:ds="http://schemas.openxmlformats.org/officeDocument/2006/customXml" ds:itemID="{739DAD9B-26C0-4652-9F40-2DD1341CF588}">
  <ds:schemaRefs>
    <ds:schemaRef ds:uri="office.server.policy"/>
  </ds:schemaRefs>
</ds:datastoreItem>
</file>

<file path=customXml/itemProps4.xml><?xml version="1.0" encoding="utf-8"?>
<ds:datastoreItem xmlns:ds="http://schemas.openxmlformats.org/officeDocument/2006/customXml" ds:itemID="{B4585940-B602-4696-9A96-BBF3588CD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467B89-A49B-4AED-89F4-D3E888484B16}">
  <ds:schemaRefs>
    <ds:schemaRef ds:uri="eb47d8b7-fefc-4923-b53c-9685ba6b7210"/>
    <ds:schemaRef ds:uri="http://purl.org/dc/elements/1.1/"/>
    <ds:schemaRef ds:uri="http://www.w3.org/XML/1998/namespace"/>
    <ds:schemaRef ds:uri="http://schemas.microsoft.com/office/2006/documentManagement/types"/>
    <ds:schemaRef ds:uri="http://purl.org/dc/terms/"/>
    <ds:schemaRef ds:uri="http://schemas.microsoft.com/sharepoint/v4"/>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6.xml><?xml version="1.0" encoding="utf-8"?>
<ds:datastoreItem xmlns:ds="http://schemas.openxmlformats.org/officeDocument/2006/customXml" ds:itemID="{59ACAA9A-4DF0-4CA5-A8A8-C2959D5F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0</TotalTime>
  <Pages>47</Pages>
  <Words>13191</Words>
  <Characters>75189</Characters>
  <Application>Microsoft Office Word</Application>
  <DocSecurity>0</DocSecurity>
  <Lines>1978</Lines>
  <Paragraphs>1052</Paragraphs>
  <ScaleCrop>false</ScaleCrop>
  <HeadingPairs>
    <vt:vector size="2" baseType="variant">
      <vt:variant>
        <vt:lpstr>Title</vt:lpstr>
      </vt:variant>
      <vt:variant>
        <vt:i4>1</vt:i4>
      </vt:variant>
    </vt:vector>
  </HeadingPairs>
  <TitlesOfParts>
    <vt:vector size="1" baseType="lpstr">
      <vt:lpstr>Proposed Industry Funding Model for the Australian Securities and Investments Commission - Proposals Paper</vt:lpstr>
    </vt:vector>
  </TitlesOfParts>
  <LinksUpToDate>false</LinksUpToDate>
  <CharactersWithSpaces>87328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Industry Funding Model for the Australian Securities and Investments Commission - Proposals Paper</dc:title>
  <dc:creator/>
  <cp:lastModifiedBy/>
  <cp:revision>1</cp:revision>
  <dcterms:created xsi:type="dcterms:W3CDTF">2016-11-03T23:17:00Z</dcterms:created>
  <dcterms:modified xsi:type="dcterms:W3CDTF">2016-11-04T06:26:00Z</dcterms:modified>
</cp:coreProperties>
</file>