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FC2B" w14:textId="77777777" w:rsidR="0080591D" w:rsidRDefault="0080591D" w:rsidP="00CB5C63">
      <w:bookmarkStart w:id="0" w:name="_GoBack"/>
      <w:bookmarkEnd w:id="0"/>
      <w:r>
        <w:rPr>
          <w:noProof/>
        </w:rPr>
        <w:drawing>
          <wp:inline distT="0" distB="0" distL="0" distR="0" wp14:anchorId="7670A367" wp14:editId="5A399636">
            <wp:extent cx="5778310" cy="813141"/>
            <wp:effectExtent l="0" t="0" r="0" b="0"/>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4A75E70B" w14:textId="77777777" w:rsidR="0080591D" w:rsidRDefault="0080591D" w:rsidP="00CB5C63"/>
    <w:p w14:paraId="282D80B7" w14:textId="77777777" w:rsidR="0080591D" w:rsidRDefault="0080591D" w:rsidP="00CB5C63"/>
    <w:p w14:paraId="74AFBFA6" w14:textId="77777777" w:rsidR="0080591D" w:rsidRDefault="0080591D" w:rsidP="00CB5C63"/>
    <w:p w14:paraId="155834F9" w14:textId="77777777" w:rsidR="0080591D" w:rsidRDefault="0080591D" w:rsidP="00C5354C">
      <w:pPr>
        <w:pStyle w:val="Bodytextplain"/>
      </w:pPr>
    </w:p>
    <w:bookmarkStart w:id="1" w:name="_Ref152644852"/>
    <w:bookmarkEnd w:id="1"/>
    <w:p w14:paraId="189D2907" w14:textId="13B8A7FB" w:rsidR="0080591D" w:rsidRDefault="0080591D" w:rsidP="00CB5C63">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sidR="00A00671">
        <w:rPr>
          <w:rFonts w:ascii="Arial" w:hAnsi="Arial"/>
          <w:b/>
          <w:sz w:val="48"/>
        </w:rPr>
        <w:t>Proposed Industry Funding Model for ASIC: Supporting attachment to the Government's Proposals Paper</w:t>
      </w:r>
      <w:r>
        <w:fldChar w:fldCharType="end"/>
      </w:r>
    </w:p>
    <w:p w14:paraId="603BBFB1" w14:textId="77777777" w:rsidR="0080591D" w:rsidRDefault="0080591D" w:rsidP="00C5354C">
      <w:pPr>
        <w:pStyle w:val="Bodytextplain"/>
      </w:pPr>
    </w:p>
    <w:p w14:paraId="4C3A3B71" w14:textId="384D0903" w:rsidR="0080591D" w:rsidRPr="00BE7110" w:rsidRDefault="00BE7110" w:rsidP="00C5354C">
      <w:pPr>
        <w:pStyle w:val="Bodytextplain"/>
        <w:rPr>
          <w:rFonts w:ascii="Arial" w:hAnsi="Arial" w:cs="Arial"/>
        </w:rPr>
      </w:pPr>
      <w:r w:rsidRPr="00BE7110">
        <w:rPr>
          <w:rFonts w:ascii="Arial" w:hAnsi="Arial" w:cs="Arial"/>
        </w:rPr>
        <w:t>November 2016</w:t>
      </w:r>
    </w:p>
    <w:p w14:paraId="7F240FDF" w14:textId="77777777" w:rsidR="0080591D" w:rsidRDefault="0080591D" w:rsidP="00C5354C">
      <w:pPr>
        <w:pStyle w:val="Bodytextplain"/>
      </w:pPr>
    </w:p>
    <w:p w14:paraId="2581E4F6" w14:textId="77777777" w:rsidR="0080591D" w:rsidRDefault="0080591D" w:rsidP="00C5354C">
      <w:pPr>
        <w:pStyle w:val="Bodytextplain"/>
      </w:pPr>
    </w:p>
    <w:p w14:paraId="03396A18" w14:textId="77777777" w:rsidR="0080591D" w:rsidRDefault="0080591D" w:rsidP="00C5354C">
      <w:pPr>
        <w:pStyle w:val="Bodytextplain"/>
      </w:pPr>
    </w:p>
    <w:p w14:paraId="4CA7BB16" w14:textId="77777777" w:rsidR="0080591D" w:rsidRDefault="0080591D" w:rsidP="00C5354C">
      <w:pPr>
        <w:pStyle w:val="Bodytextplain"/>
      </w:pPr>
    </w:p>
    <w:p w14:paraId="59C126D1" w14:textId="77777777" w:rsidR="0080591D" w:rsidRDefault="0080591D">
      <w:pPr>
        <w:pStyle w:val="Frontheading"/>
        <w:sectPr w:rsidR="0080591D" w:rsidSect="00CB5C63">
          <w:headerReference w:type="even" r:id="rId15"/>
          <w:headerReference w:type="default" r:id="rId16"/>
          <w:footerReference w:type="even" r:id="rId17"/>
          <w:footerReference w:type="default" r:id="rId18"/>
          <w:pgSz w:w="11906" w:h="16838" w:code="9"/>
          <w:pgMar w:top="1644" w:right="1418" w:bottom="1418" w:left="1418" w:header="567" w:footer="567" w:gutter="0"/>
          <w:cols w:space="720"/>
          <w:titlePg/>
        </w:sectPr>
      </w:pP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804"/>
      </w:tblGrid>
      <w:tr w:rsidR="0080591D" w14:paraId="742FE72A" w14:textId="77777777">
        <w:trPr>
          <w:cantSplit/>
          <w:tblHeader/>
        </w:trPr>
        <w:tc>
          <w:tcPr>
            <w:tcW w:w="6804" w:type="dxa"/>
            <w:tcBorders>
              <w:top w:val="single" w:sz="4" w:space="0" w:color="117DC7"/>
              <w:left w:val="single" w:sz="4" w:space="0" w:color="117DC7"/>
              <w:bottom w:val="single" w:sz="4" w:space="0" w:color="117DC7"/>
              <w:right w:val="single" w:sz="4" w:space="0" w:color="117DC7"/>
            </w:tcBorders>
            <w:shd w:val="clear" w:color="auto" w:fill="117DC7"/>
          </w:tcPr>
          <w:p w14:paraId="61FAF904" w14:textId="77777777" w:rsidR="0080591D" w:rsidRDefault="0080591D">
            <w:pPr>
              <w:pStyle w:val="tablehead"/>
              <w:rPr>
                <w:color w:val="FFFFFF"/>
                <w:sz w:val="20"/>
                <w:szCs w:val="20"/>
              </w:rPr>
            </w:pPr>
            <w:r>
              <w:rPr>
                <w:color w:val="FFFFFF"/>
                <w:sz w:val="20"/>
                <w:szCs w:val="20"/>
              </w:rPr>
              <w:lastRenderedPageBreak/>
              <w:t>About ASIC regulatory documents</w:t>
            </w:r>
          </w:p>
        </w:tc>
      </w:tr>
      <w:tr w:rsidR="0080591D" w14:paraId="1EBB1E3B" w14:textId="77777777">
        <w:trPr>
          <w:cantSplit/>
        </w:trPr>
        <w:tc>
          <w:tcPr>
            <w:tcW w:w="6804" w:type="dxa"/>
            <w:tcBorders>
              <w:top w:val="single" w:sz="4" w:space="0" w:color="117DC7"/>
              <w:left w:val="single" w:sz="4" w:space="0" w:color="117DC7"/>
              <w:bottom w:val="single" w:sz="4" w:space="0" w:color="117DC7"/>
              <w:right w:val="single" w:sz="4" w:space="0" w:color="117DC7"/>
            </w:tcBorders>
          </w:tcPr>
          <w:p w14:paraId="6CC438DB" w14:textId="77777777" w:rsidR="0080591D" w:rsidRDefault="0080591D" w:rsidP="00C5354C">
            <w:pPr>
              <w:pStyle w:val="boxtext"/>
            </w:pPr>
            <w:r>
              <w:t>In administering legislation ASIC issues the following types of regulatory documents.</w:t>
            </w:r>
          </w:p>
          <w:p w14:paraId="3EC61A7A" w14:textId="77777777" w:rsidR="0080591D" w:rsidRDefault="0080591D" w:rsidP="00C5354C">
            <w:pPr>
              <w:pStyle w:val="boxtext"/>
            </w:pPr>
            <w:r>
              <w:rPr>
                <w:b/>
              </w:rPr>
              <w:t>Consultation papers</w:t>
            </w:r>
            <w:r>
              <w:t>: seek feedback from stakeholders on matters ASIC is considering, such as proposed relief or proposed regulatory guidance.</w:t>
            </w:r>
          </w:p>
          <w:p w14:paraId="50F289F8" w14:textId="77777777" w:rsidR="0080591D" w:rsidRDefault="0080591D" w:rsidP="00C5354C">
            <w:pPr>
              <w:pStyle w:val="boxtext"/>
            </w:pPr>
            <w:bookmarkStart w:id="2" w:name="RegGuide"/>
            <w:bookmarkEnd w:id="2"/>
            <w:r>
              <w:rPr>
                <w:b/>
              </w:rPr>
              <w:t>Regulatory guides</w:t>
            </w:r>
            <w:r>
              <w:t>: give guidance to regulated entities by:</w:t>
            </w:r>
          </w:p>
          <w:p w14:paraId="03A3CC29" w14:textId="77777777" w:rsidR="0080591D" w:rsidRDefault="0080591D" w:rsidP="00C5354C">
            <w:pPr>
              <w:pStyle w:val="boxbullet"/>
            </w:pPr>
            <w:r>
              <w:t>explaining when and how ASIC will exercise specific powers under legislation (primarily the Corporations Act)</w:t>
            </w:r>
          </w:p>
          <w:p w14:paraId="3DDBE4EF" w14:textId="77777777" w:rsidR="0080591D" w:rsidRDefault="0080591D" w:rsidP="00C5354C">
            <w:pPr>
              <w:pStyle w:val="boxbullet"/>
            </w:pPr>
            <w:r>
              <w:t>explaining how ASIC interprets the law</w:t>
            </w:r>
          </w:p>
          <w:p w14:paraId="37EA8CD3" w14:textId="61539147" w:rsidR="0080591D" w:rsidRDefault="0080591D" w:rsidP="00C5354C">
            <w:pPr>
              <w:pStyle w:val="boxbullet"/>
            </w:pPr>
            <w:r>
              <w:t>describing the principles underlying ASIC’s approach</w:t>
            </w:r>
          </w:p>
          <w:p w14:paraId="3C2958FD" w14:textId="7E090B92" w:rsidR="0080591D" w:rsidRDefault="0080591D" w:rsidP="00C5354C">
            <w:pPr>
              <w:pStyle w:val="boxbullet"/>
            </w:pPr>
            <w:r>
              <w:t>giving practical guidance (</w:t>
            </w:r>
            <w:r w:rsidR="00A366D4">
              <w:t xml:space="preserve">for example, </w:t>
            </w:r>
            <w:r>
              <w:t>describing the steps of a process such as applying for a licence or giving practical examples of how regulated entities may decide to meet their obligations).</w:t>
            </w:r>
          </w:p>
          <w:p w14:paraId="1947AFB0" w14:textId="77777777" w:rsidR="0080591D" w:rsidRDefault="0080591D" w:rsidP="00C5354C">
            <w:pPr>
              <w:pStyle w:val="boxtext"/>
            </w:pPr>
            <w:r>
              <w:rPr>
                <w:b/>
              </w:rPr>
              <w:t>Information</w:t>
            </w:r>
            <w:r>
              <w:t xml:space="preserve"> </w:t>
            </w:r>
            <w:r>
              <w:rPr>
                <w:b/>
              </w:rPr>
              <w:t>sheets</w:t>
            </w:r>
            <w:r>
              <w:t>: provide concise guidance on a specific process or compliance issue or an overview of detailed guidance.</w:t>
            </w:r>
          </w:p>
          <w:p w14:paraId="6E2BBB3E" w14:textId="77777777" w:rsidR="0080591D" w:rsidRDefault="0080591D" w:rsidP="00C5354C">
            <w:pPr>
              <w:pStyle w:val="boxtext"/>
            </w:pPr>
            <w:r>
              <w:rPr>
                <w:b/>
              </w:rPr>
              <w:t>Reports</w:t>
            </w:r>
            <w:r>
              <w:t>: describe ASIC compliance or relief activity or the results of a research project.</w:t>
            </w:r>
          </w:p>
        </w:tc>
      </w:tr>
    </w:tbl>
    <w:p w14:paraId="0B8375B5" w14:textId="77777777" w:rsidR="0080591D" w:rsidRDefault="0080591D">
      <w:pPr>
        <w:pStyle w:val="Frontheading"/>
      </w:pPr>
      <w:r>
        <w:t xml:space="preserve">Disclaimer </w:t>
      </w:r>
    </w:p>
    <w:p w14:paraId="4D47640A" w14:textId="77777777" w:rsidR="0080591D" w:rsidRPr="00343CA9" w:rsidRDefault="0080591D" w:rsidP="00C5354C">
      <w:pPr>
        <w:pStyle w:val="Fronttext"/>
        <w:rPr>
          <w:lang w:val="en-US"/>
        </w:rPr>
      </w:pPr>
      <w:r w:rsidRPr="00343CA9">
        <w:rPr>
          <w:lang w:val="en-US"/>
        </w:rPr>
        <w:t xml:space="preserve">This </w:t>
      </w:r>
      <w:r>
        <w:rPr>
          <w:lang w:val="en-US"/>
        </w:rPr>
        <w:t>report</w:t>
      </w:r>
      <w:r w:rsidRPr="00343CA9">
        <w:rPr>
          <w:lang w:val="en-US"/>
        </w:rPr>
        <w:t xml:space="preserve"> does not constitute legal advice. We encourage you to seek your own professional advice to find out how the Corporations Act and other applicable laws apply to you, as it is your responsibility to determine your obligations.</w:t>
      </w:r>
    </w:p>
    <w:p w14:paraId="46D5B1D1" w14:textId="777C63F9" w:rsidR="0080591D" w:rsidRDefault="0080591D" w:rsidP="00C5354C">
      <w:pPr>
        <w:pStyle w:val="Fronttext"/>
        <w:rPr>
          <w:lang w:val="en-US"/>
        </w:rPr>
      </w:pPr>
      <w:r w:rsidRPr="00343CA9">
        <w:rPr>
          <w:lang w:val="en-US"/>
        </w:rPr>
        <w:t xml:space="preserve">Examples in this </w:t>
      </w:r>
      <w:r>
        <w:rPr>
          <w:lang w:val="en-US"/>
        </w:rPr>
        <w:t>report</w:t>
      </w:r>
      <w:r w:rsidRPr="00343CA9">
        <w:rPr>
          <w:lang w:val="en-US"/>
        </w:rPr>
        <w:t xml:space="preserve"> are purely for illustration; they are not exhaustive and are not intended to impose or imply particular rules or requirements.</w:t>
      </w:r>
      <w:r w:rsidR="001C612A">
        <w:rPr>
          <w:lang w:val="en-US"/>
        </w:rPr>
        <w:t xml:space="preserve"> Actual levies will vary with changes in the underlying estimates.</w:t>
      </w:r>
    </w:p>
    <w:p w14:paraId="0F138522" w14:textId="77777777" w:rsidR="0080591D" w:rsidRDefault="0080591D" w:rsidP="00C5354C">
      <w:pPr>
        <w:pStyle w:val="Fronttext"/>
        <w:rPr>
          <w:lang w:val="en-US"/>
        </w:rPr>
      </w:pPr>
    </w:p>
    <w:p w14:paraId="0256648B" w14:textId="77777777" w:rsidR="00B04105" w:rsidRDefault="00B04105" w:rsidP="00C5354C">
      <w:pPr>
        <w:pStyle w:val="Bodytextplain"/>
        <w:ind w:left="0"/>
        <w:sectPr w:rsidR="00B04105" w:rsidSect="00CB5C63">
          <w:headerReference w:type="even" r:id="rId19"/>
          <w:headerReference w:type="default" r:id="rId20"/>
          <w:footerReference w:type="even" r:id="rId21"/>
          <w:footerReference w:type="default" r:id="rId22"/>
          <w:headerReference w:type="first" r:id="rId23"/>
          <w:pgSz w:w="11906" w:h="16838" w:code="9"/>
          <w:pgMar w:top="1644" w:right="1418" w:bottom="1418" w:left="1418" w:header="567" w:footer="567" w:gutter="0"/>
          <w:cols w:space="720"/>
        </w:sectPr>
      </w:pPr>
    </w:p>
    <w:p w14:paraId="7AE71388" w14:textId="77777777" w:rsidR="0080591D" w:rsidRDefault="0080591D" w:rsidP="00B56267">
      <w:pPr>
        <w:pStyle w:val="Heading6-NoTOC"/>
      </w:pPr>
      <w:bookmarkStart w:id="3" w:name="_Toc463544580"/>
      <w:bookmarkStart w:id="4" w:name="_Toc463595182"/>
      <w:bookmarkStart w:id="5" w:name="_Ref464061377"/>
      <w:bookmarkStart w:id="6" w:name="_Toc464140292"/>
      <w:r w:rsidRPr="00C04DEE">
        <w:lastRenderedPageBreak/>
        <w:t>Contents</w:t>
      </w:r>
      <w:bookmarkEnd w:id="3"/>
      <w:bookmarkEnd w:id="4"/>
      <w:bookmarkEnd w:id="5"/>
      <w:bookmarkEnd w:id="6"/>
    </w:p>
    <w:p w14:paraId="468320E7" w14:textId="77777777" w:rsidR="00AC6652" w:rsidRDefault="0080591D">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466020946" w:history="1">
        <w:r w:rsidR="00AC6652" w:rsidRPr="00256699">
          <w:rPr>
            <w:rStyle w:val="Hyperlink"/>
          </w:rPr>
          <w:t>A</w:t>
        </w:r>
        <w:r w:rsidR="00AC6652">
          <w:rPr>
            <w:rFonts w:asciiTheme="minorHAnsi" w:eastAsiaTheme="minorEastAsia" w:hAnsiTheme="minorHAnsi" w:cstheme="minorBidi"/>
            <w:b w:val="0"/>
            <w:sz w:val="22"/>
            <w:szCs w:val="22"/>
          </w:rPr>
          <w:tab/>
        </w:r>
        <w:r w:rsidR="00AC6652" w:rsidRPr="00256699">
          <w:rPr>
            <w:rStyle w:val="Hyperlink"/>
          </w:rPr>
          <w:t>Introduction</w:t>
        </w:r>
        <w:r w:rsidR="00AC6652">
          <w:rPr>
            <w:webHidden/>
          </w:rPr>
          <w:tab/>
        </w:r>
        <w:r w:rsidR="00AC6652">
          <w:rPr>
            <w:webHidden/>
          </w:rPr>
          <w:fldChar w:fldCharType="begin"/>
        </w:r>
        <w:r w:rsidR="00AC6652">
          <w:rPr>
            <w:webHidden/>
          </w:rPr>
          <w:instrText xml:space="preserve"> PAGEREF _Toc466020946 \h </w:instrText>
        </w:r>
        <w:r w:rsidR="00AC6652">
          <w:rPr>
            <w:webHidden/>
          </w:rPr>
        </w:r>
        <w:r w:rsidR="00AC6652">
          <w:rPr>
            <w:webHidden/>
          </w:rPr>
          <w:fldChar w:fldCharType="separate"/>
        </w:r>
        <w:r w:rsidR="00AC6652">
          <w:rPr>
            <w:webHidden/>
          </w:rPr>
          <w:t>4</w:t>
        </w:r>
        <w:r w:rsidR="00AC6652">
          <w:rPr>
            <w:webHidden/>
          </w:rPr>
          <w:fldChar w:fldCharType="end"/>
        </w:r>
      </w:hyperlink>
    </w:p>
    <w:p w14:paraId="2F92095F" w14:textId="77777777" w:rsidR="00AC6652" w:rsidRDefault="003D3E81">
      <w:pPr>
        <w:pStyle w:val="TOC2"/>
        <w:rPr>
          <w:rFonts w:asciiTheme="minorHAnsi" w:eastAsiaTheme="minorEastAsia" w:hAnsiTheme="minorHAnsi" w:cstheme="minorBidi"/>
          <w:sz w:val="22"/>
          <w:szCs w:val="22"/>
        </w:rPr>
      </w:pPr>
      <w:hyperlink w:anchor="_Toc466020947" w:history="1">
        <w:r w:rsidR="00AC6652" w:rsidRPr="00256699">
          <w:rPr>
            <w:rStyle w:val="Hyperlink"/>
          </w:rPr>
          <w:t>About ASIC</w:t>
        </w:r>
        <w:r w:rsidR="00AC6652">
          <w:rPr>
            <w:webHidden/>
          </w:rPr>
          <w:tab/>
        </w:r>
        <w:r w:rsidR="00AC6652">
          <w:rPr>
            <w:webHidden/>
          </w:rPr>
          <w:fldChar w:fldCharType="begin"/>
        </w:r>
        <w:r w:rsidR="00AC6652">
          <w:rPr>
            <w:webHidden/>
          </w:rPr>
          <w:instrText xml:space="preserve"> PAGEREF _Toc466020947 \h </w:instrText>
        </w:r>
        <w:r w:rsidR="00AC6652">
          <w:rPr>
            <w:webHidden/>
          </w:rPr>
        </w:r>
        <w:r w:rsidR="00AC6652">
          <w:rPr>
            <w:webHidden/>
          </w:rPr>
          <w:fldChar w:fldCharType="separate"/>
        </w:r>
        <w:r w:rsidR="00AC6652">
          <w:rPr>
            <w:webHidden/>
          </w:rPr>
          <w:t>4</w:t>
        </w:r>
        <w:r w:rsidR="00AC6652">
          <w:rPr>
            <w:webHidden/>
          </w:rPr>
          <w:fldChar w:fldCharType="end"/>
        </w:r>
      </w:hyperlink>
    </w:p>
    <w:p w14:paraId="107E57FB" w14:textId="77777777" w:rsidR="00AC6652" w:rsidRDefault="003D3E81">
      <w:pPr>
        <w:pStyle w:val="TOC2"/>
        <w:rPr>
          <w:rFonts w:asciiTheme="minorHAnsi" w:eastAsiaTheme="minorEastAsia" w:hAnsiTheme="minorHAnsi" w:cstheme="minorBidi"/>
          <w:sz w:val="22"/>
          <w:szCs w:val="22"/>
        </w:rPr>
      </w:pPr>
      <w:hyperlink w:anchor="_Toc466020948" w:history="1">
        <w:r w:rsidR="00AC6652" w:rsidRPr="00256699">
          <w:rPr>
            <w:rStyle w:val="Hyperlink"/>
          </w:rPr>
          <w:t>ASIC’s long–term challenges and strategic risks</w:t>
        </w:r>
        <w:r w:rsidR="00AC6652">
          <w:rPr>
            <w:webHidden/>
          </w:rPr>
          <w:tab/>
        </w:r>
        <w:r w:rsidR="00AC6652">
          <w:rPr>
            <w:webHidden/>
          </w:rPr>
          <w:fldChar w:fldCharType="begin"/>
        </w:r>
        <w:r w:rsidR="00AC6652">
          <w:rPr>
            <w:webHidden/>
          </w:rPr>
          <w:instrText xml:space="preserve"> PAGEREF _Toc466020948 \h </w:instrText>
        </w:r>
        <w:r w:rsidR="00AC6652">
          <w:rPr>
            <w:webHidden/>
          </w:rPr>
        </w:r>
        <w:r w:rsidR="00AC6652">
          <w:rPr>
            <w:webHidden/>
          </w:rPr>
          <w:fldChar w:fldCharType="separate"/>
        </w:r>
        <w:r w:rsidR="00AC6652">
          <w:rPr>
            <w:webHidden/>
          </w:rPr>
          <w:t>4</w:t>
        </w:r>
        <w:r w:rsidR="00AC6652">
          <w:rPr>
            <w:webHidden/>
          </w:rPr>
          <w:fldChar w:fldCharType="end"/>
        </w:r>
      </w:hyperlink>
    </w:p>
    <w:p w14:paraId="5A020330" w14:textId="77777777" w:rsidR="00AC6652" w:rsidRDefault="003D3E81">
      <w:pPr>
        <w:pStyle w:val="TOC2"/>
        <w:rPr>
          <w:rFonts w:asciiTheme="minorHAnsi" w:eastAsiaTheme="minorEastAsia" w:hAnsiTheme="minorHAnsi" w:cstheme="minorBidi"/>
          <w:sz w:val="22"/>
          <w:szCs w:val="22"/>
        </w:rPr>
      </w:pPr>
      <w:hyperlink w:anchor="_Toc466020949" w:history="1">
        <w:r w:rsidR="00AC6652" w:rsidRPr="00256699">
          <w:rPr>
            <w:rStyle w:val="Hyperlink"/>
          </w:rPr>
          <w:t>ASIC’s approach to strategic planning</w:t>
        </w:r>
        <w:r w:rsidR="00AC6652">
          <w:rPr>
            <w:webHidden/>
          </w:rPr>
          <w:tab/>
        </w:r>
        <w:r w:rsidR="00AC6652">
          <w:rPr>
            <w:webHidden/>
          </w:rPr>
          <w:fldChar w:fldCharType="begin"/>
        </w:r>
        <w:r w:rsidR="00AC6652">
          <w:rPr>
            <w:webHidden/>
          </w:rPr>
          <w:instrText xml:space="preserve"> PAGEREF _Toc466020949 \h </w:instrText>
        </w:r>
        <w:r w:rsidR="00AC6652">
          <w:rPr>
            <w:webHidden/>
          </w:rPr>
        </w:r>
        <w:r w:rsidR="00AC6652">
          <w:rPr>
            <w:webHidden/>
          </w:rPr>
          <w:fldChar w:fldCharType="separate"/>
        </w:r>
        <w:r w:rsidR="00AC6652">
          <w:rPr>
            <w:webHidden/>
          </w:rPr>
          <w:t>5</w:t>
        </w:r>
        <w:r w:rsidR="00AC6652">
          <w:rPr>
            <w:webHidden/>
          </w:rPr>
          <w:fldChar w:fldCharType="end"/>
        </w:r>
      </w:hyperlink>
    </w:p>
    <w:p w14:paraId="1A411B76" w14:textId="77777777" w:rsidR="00AC6652" w:rsidRDefault="003D3E81">
      <w:pPr>
        <w:pStyle w:val="TOC1"/>
        <w:rPr>
          <w:rFonts w:asciiTheme="minorHAnsi" w:eastAsiaTheme="minorEastAsia" w:hAnsiTheme="minorHAnsi" w:cstheme="minorBidi"/>
          <w:b w:val="0"/>
          <w:sz w:val="22"/>
          <w:szCs w:val="22"/>
        </w:rPr>
      </w:pPr>
      <w:hyperlink w:anchor="_Toc466020950" w:history="1">
        <w:r w:rsidR="00AC6652" w:rsidRPr="00256699">
          <w:rPr>
            <w:rStyle w:val="Hyperlink"/>
          </w:rPr>
          <w:t>B</w:t>
        </w:r>
        <w:r w:rsidR="00AC6652">
          <w:rPr>
            <w:rFonts w:asciiTheme="minorHAnsi" w:eastAsiaTheme="minorEastAsia" w:hAnsiTheme="minorHAnsi" w:cstheme="minorBidi"/>
            <w:b w:val="0"/>
            <w:sz w:val="22"/>
            <w:szCs w:val="22"/>
          </w:rPr>
          <w:tab/>
        </w:r>
        <w:r w:rsidR="00AC6652" w:rsidRPr="00256699">
          <w:rPr>
            <w:rStyle w:val="Hyperlink"/>
          </w:rPr>
          <w:t>ASIC’s costs to be recovered and levy methodology</w:t>
        </w:r>
        <w:r w:rsidR="00AC6652">
          <w:rPr>
            <w:webHidden/>
          </w:rPr>
          <w:tab/>
        </w:r>
        <w:r w:rsidR="00AC6652">
          <w:rPr>
            <w:webHidden/>
          </w:rPr>
          <w:fldChar w:fldCharType="begin"/>
        </w:r>
        <w:r w:rsidR="00AC6652">
          <w:rPr>
            <w:webHidden/>
          </w:rPr>
          <w:instrText xml:space="preserve"> PAGEREF _Toc466020950 \h </w:instrText>
        </w:r>
        <w:r w:rsidR="00AC6652">
          <w:rPr>
            <w:webHidden/>
          </w:rPr>
        </w:r>
        <w:r w:rsidR="00AC6652">
          <w:rPr>
            <w:webHidden/>
          </w:rPr>
          <w:fldChar w:fldCharType="separate"/>
        </w:r>
        <w:r w:rsidR="00AC6652">
          <w:rPr>
            <w:webHidden/>
          </w:rPr>
          <w:t>11</w:t>
        </w:r>
        <w:r w:rsidR="00AC6652">
          <w:rPr>
            <w:webHidden/>
          </w:rPr>
          <w:fldChar w:fldCharType="end"/>
        </w:r>
      </w:hyperlink>
    </w:p>
    <w:p w14:paraId="4EC73B3C" w14:textId="77777777" w:rsidR="00AC6652" w:rsidRDefault="003D3E81">
      <w:pPr>
        <w:pStyle w:val="TOC2"/>
        <w:rPr>
          <w:rFonts w:asciiTheme="minorHAnsi" w:eastAsiaTheme="minorEastAsia" w:hAnsiTheme="minorHAnsi" w:cstheme="minorBidi"/>
          <w:sz w:val="22"/>
          <w:szCs w:val="22"/>
        </w:rPr>
      </w:pPr>
      <w:hyperlink w:anchor="_Toc466020951" w:history="1">
        <w:r w:rsidR="00AC6652" w:rsidRPr="00256699">
          <w:rPr>
            <w:rStyle w:val="Hyperlink"/>
          </w:rPr>
          <w:t>Costs to be recovered</w:t>
        </w:r>
        <w:r w:rsidR="00AC6652">
          <w:rPr>
            <w:webHidden/>
          </w:rPr>
          <w:tab/>
        </w:r>
        <w:r w:rsidR="00AC6652">
          <w:rPr>
            <w:webHidden/>
          </w:rPr>
          <w:fldChar w:fldCharType="begin"/>
        </w:r>
        <w:r w:rsidR="00AC6652">
          <w:rPr>
            <w:webHidden/>
          </w:rPr>
          <w:instrText xml:space="preserve"> PAGEREF _Toc466020951 \h </w:instrText>
        </w:r>
        <w:r w:rsidR="00AC6652">
          <w:rPr>
            <w:webHidden/>
          </w:rPr>
        </w:r>
        <w:r w:rsidR="00AC6652">
          <w:rPr>
            <w:webHidden/>
          </w:rPr>
          <w:fldChar w:fldCharType="separate"/>
        </w:r>
        <w:r w:rsidR="00AC6652">
          <w:rPr>
            <w:webHidden/>
          </w:rPr>
          <w:t>11</w:t>
        </w:r>
        <w:r w:rsidR="00AC6652">
          <w:rPr>
            <w:webHidden/>
          </w:rPr>
          <w:fldChar w:fldCharType="end"/>
        </w:r>
      </w:hyperlink>
    </w:p>
    <w:p w14:paraId="4C383D92" w14:textId="77777777" w:rsidR="00AC6652" w:rsidRDefault="003D3E81">
      <w:pPr>
        <w:pStyle w:val="TOC2"/>
        <w:rPr>
          <w:rFonts w:asciiTheme="minorHAnsi" w:eastAsiaTheme="minorEastAsia" w:hAnsiTheme="minorHAnsi" w:cstheme="minorBidi"/>
          <w:sz w:val="22"/>
          <w:szCs w:val="22"/>
        </w:rPr>
      </w:pPr>
      <w:hyperlink w:anchor="_Toc466020952" w:history="1">
        <w:r w:rsidR="00AC6652" w:rsidRPr="00256699">
          <w:rPr>
            <w:rStyle w:val="Hyperlink"/>
          </w:rPr>
          <w:t>How ASIC’s costs will be recovered</w:t>
        </w:r>
        <w:r w:rsidR="00AC6652">
          <w:rPr>
            <w:webHidden/>
          </w:rPr>
          <w:tab/>
        </w:r>
        <w:r w:rsidR="00AC6652">
          <w:rPr>
            <w:webHidden/>
          </w:rPr>
          <w:fldChar w:fldCharType="begin"/>
        </w:r>
        <w:r w:rsidR="00AC6652">
          <w:rPr>
            <w:webHidden/>
          </w:rPr>
          <w:instrText xml:space="preserve"> PAGEREF _Toc466020952 \h </w:instrText>
        </w:r>
        <w:r w:rsidR="00AC6652">
          <w:rPr>
            <w:webHidden/>
          </w:rPr>
        </w:r>
        <w:r w:rsidR="00AC6652">
          <w:rPr>
            <w:webHidden/>
          </w:rPr>
          <w:fldChar w:fldCharType="separate"/>
        </w:r>
        <w:r w:rsidR="00AC6652">
          <w:rPr>
            <w:webHidden/>
          </w:rPr>
          <w:t>12</w:t>
        </w:r>
        <w:r w:rsidR="00AC6652">
          <w:rPr>
            <w:webHidden/>
          </w:rPr>
          <w:fldChar w:fldCharType="end"/>
        </w:r>
      </w:hyperlink>
    </w:p>
    <w:p w14:paraId="249EDC8A" w14:textId="77777777" w:rsidR="00AC6652" w:rsidRDefault="003D3E81">
      <w:pPr>
        <w:pStyle w:val="TOC1"/>
        <w:rPr>
          <w:rFonts w:asciiTheme="minorHAnsi" w:eastAsiaTheme="minorEastAsia" w:hAnsiTheme="minorHAnsi" w:cstheme="minorBidi"/>
          <w:b w:val="0"/>
          <w:sz w:val="22"/>
          <w:szCs w:val="22"/>
        </w:rPr>
      </w:pPr>
      <w:hyperlink w:anchor="_Toc466020953" w:history="1">
        <w:r w:rsidR="00AC6652" w:rsidRPr="00256699">
          <w:rPr>
            <w:rStyle w:val="Hyperlink"/>
          </w:rPr>
          <w:t>C</w:t>
        </w:r>
        <w:r w:rsidR="00AC6652">
          <w:rPr>
            <w:rFonts w:asciiTheme="minorHAnsi" w:eastAsiaTheme="minorEastAsia" w:hAnsiTheme="minorHAnsi" w:cstheme="minorBidi"/>
            <w:b w:val="0"/>
            <w:sz w:val="22"/>
            <w:szCs w:val="22"/>
          </w:rPr>
          <w:tab/>
        </w:r>
        <w:r w:rsidR="00AC6652" w:rsidRPr="00256699">
          <w:rPr>
            <w:rStyle w:val="Hyperlink"/>
          </w:rPr>
          <w:t>Corporate</w:t>
        </w:r>
        <w:r w:rsidR="00AC6652">
          <w:rPr>
            <w:webHidden/>
          </w:rPr>
          <w:tab/>
        </w:r>
        <w:r w:rsidR="00AC6652">
          <w:rPr>
            <w:webHidden/>
          </w:rPr>
          <w:fldChar w:fldCharType="begin"/>
        </w:r>
        <w:r w:rsidR="00AC6652">
          <w:rPr>
            <w:webHidden/>
          </w:rPr>
          <w:instrText xml:space="preserve"> PAGEREF _Toc466020953 \h </w:instrText>
        </w:r>
        <w:r w:rsidR="00AC6652">
          <w:rPr>
            <w:webHidden/>
          </w:rPr>
        </w:r>
        <w:r w:rsidR="00AC6652">
          <w:rPr>
            <w:webHidden/>
          </w:rPr>
          <w:fldChar w:fldCharType="separate"/>
        </w:r>
        <w:r w:rsidR="00AC6652">
          <w:rPr>
            <w:webHidden/>
          </w:rPr>
          <w:t>17</w:t>
        </w:r>
        <w:r w:rsidR="00AC6652">
          <w:rPr>
            <w:webHidden/>
          </w:rPr>
          <w:fldChar w:fldCharType="end"/>
        </w:r>
      </w:hyperlink>
    </w:p>
    <w:p w14:paraId="7D7F4D15" w14:textId="77777777" w:rsidR="00AC6652" w:rsidRDefault="003D3E81">
      <w:pPr>
        <w:pStyle w:val="TOC2"/>
        <w:rPr>
          <w:rFonts w:asciiTheme="minorHAnsi" w:eastAsiaTheme="minorEastAsia" w:hAnsiTheme="minorHAnsi" w:cstheme="minorBidi"/>
          <w:sz w:val="22"/>
          <w:szCs w:val="22"/>
        </w:rPr>
      </w:pPr>
      <w:hyperlink w:anchor="_Toc466020954" w:history="1">
        <w:r w:rsidR="00AC6652" w:rsidRPr="00256699">
          <w:rPr>
            <w:rStyle w:val="Hyperlink"/>
          </w:rPr>
          <w:t>Description of ASIC’s regulatory activities</w:t>
        </w:r>
        <w:r w:rsidR="00AC6652">
          <w:rPr>
            <w:webHidden/>
          </w:rPr>
          <w:tab/>
        </w:r>
        <w:r w:rsidR="00AC6652">
          <w:rPr>
            <w:webHidden/>
          </w:rPr>
          <w:fldChar w:fldCharType="begin"/>
        </w:r>
        <w:r w:rsidR="00AC6652">
          <w:rPr>
            <w:webHidden/>
          </w:rPr>
          <w:instrText xml:space="preserve"> PAGEREF _Toc466020954 \h </w:instrText>
        </w:r>
        <w:r w:rsidR="00AC6652">
          <w:rPr>
            <w:webHidden/>
          </w:rPr>
        </w:r>
        <w:r w:rsidR="00AC6652">
          <w:rPr>
            <w:webHidden/>
          </w:rPr>
          <w:fldChar w:fldCharType="separate"/>
        </w:r>
        <w:r w:rsidR="00AC6652">
          <w:rPr>
            <w:webHidden/>
          </w:rPr>
          <w:t>17</w:t>
        </w:r>
        <w:r w:rsidR="00AC6652">
          <w:rPr>
            <w:webHidden/>
          </w:rPr>
          <w:fldChar w:fldCharType="end"/>
        </w:r>
      </w:hyperlink>
    </w:p>
    <w:p w14:paraId="17BD0C40" w14:textId="77777777" w:rsidR="00AC6652" w:rsidRDefault="003D3E81">
      <w:pPr>
        <w:pStyle w:val="TOC2"/>
        <w:rPr>
          <w:rFonts w:asciiTheme="minorHAnsi" w:eastAsiaTheme="minorEastAsia" w:hAnsiTheme="minorHAnsi" w:cstheme="minorBidi"/>
          <w:sz w:val="22"/>
          <w:szCs w:val="22"/>
        </w:rPr>
      </w:pPr>
      <w:hyperlink w:anchor="_Toc466020955" w:history="1">
        <w:r w:rsidR="00AC6652" w:rsidRPr="00256699">
          <w:rPr>
            <w:rStyle w:val="Hyperlink"/>
          </w:rPr>
          <w:t>Corporations</w:t>
        </w:r>
        <w:r w:rsidR="00AC6652">
          <w:rPr>
            <w:webHidden/>
          </w:rPr>
          <w:tab/>
        </w:r>
        <w:r w:rsidR="00AC6652">
          <w:rPr>
            <w:webHidden/>
          </w:rPr>
          <w:fldChar w:fldCharType="begin"/>
        </w:r>
        <w:r w:rsidR="00AC6652">
          <w:rPr>
            <w:webHidden/>
          </w:rPr>
          <w:instrText xml:space="preserve"> PAGEREF _Toc466020955 \h </w:instrText>
        </w:r>
        <w:r w:rsidR="00AC6652">
          <w:rPr>
            <w:webHidden/>
          </w:rPr>
        </w:r>
        <w:r w:rsidR="00AC6652">
          <w:rPr>
            <w:webHidden/>
          </w:rPr>
          <w:fldChar w:fldCharType="separate"/>
        </w:r>
        <w:r w:rsidR="00AC6652">
          <w:rPr>
            <w:webHidden/>
          </w:rPr>
          <w:t>18</w:t>
        </w:r>
        <w:r w:rsidR="00AC6652">
          <w:rPr>
            <w:webHidden/>
          </w:rPr>
          <w:fldChar w:fldCharType="end"/>
        </w:r>
      </w:hyperlink>
    </w:p>
    <w:p w14:paraId="4A8BC333" w14:textId="77777777" w:rsidR="00AC6652" w:rsidRDefault="003D3E81">
      <w:pPr>
        <w:pStyle w:val="TOC2"/>
        <w:rPr>
          <w:rFonts w:asciiTheme="minorHAnsi" w:eastAsiaTheme="minorEastAsia" w:hAnsiTheme="minorHAnsi" w:cstheme="minorBidi"/>
          <w:sz w:val="22"/>
          <w:szCs w:val="22"/>
        </w:rPr>
      </w:pPr>
      <w:hyperlink w:anchor="_Toc466020956" w:history="1">
        <w:r w:rsidR="00AC6652" w:rsidRPr="00256699">
          <w:rPr>
            <w:rStyle w:val="Hyperlink"/>
          </w:rPr>
          <w:t>Company auditors</w:t>
        </w:r>
        <w:r w:rsidR="00AC6652">
          <w:rPr>
            <w:webHidden/>
          </w:rPr>
          <w:tab/>
        </w:r>
        <w:r w:rsidR="00AC6652">
          <w:rPr>
            <w:webHidden/>
          </w:rPr>
          <w:fldChar w:fldCharType="begin"/>
        </w:r>
        <w:r w:rsidR="00AC6652">
          <w:rPr>
            <w:webHidden/>
          </w:rPr>
          <w:instrText xml:space="preserve"> PAGEREF _Toc466020956 \h </w:instrText>
        </w:r>
        <w:r w:rsidR="00AC6652">
          <w:rPr>
            <w:webHidden/>
          </w:rPr>
        </w:r>
        <w:r w:rsidR="00AC6652">
          <w:rPr>
            <w:webHidden/>
          </w:rPr>
          <w:fldChar w:fldCharType="separate"/>
        </w:r>
        <w:r w:rsidR="00AC6652">
          <w:rPr>
            <w:webHidden/>
          </w:rPr>
          <w:t>19</w:t>
        </w:r>
        <w:r w:rsidR="00AC6652">
          <w:rPr>
            <w:webHidden/>
          </w:rPr>
          <w:fldChar w:fldCharType="end"/>
        </w:r>
      </w:hyperlink>
    </w:p>
    <w:p w14:paraId="6ECC4E19" w14:textId="77777777" w:rsidR="00AC6652" w:rsidRDefault="003D3E81">
      <w:pPr>
        <w:pStyle w:val="TOC2"/>
        <w:rPr>
          <w:rFonts w:asciiTheme="minorHAnsi" w:eastAsiaTheme="minorEastAsia" w:hAnsiTheme="minorHAnsi" w:cstheme="minorBidi"/>
          <w:sz w:val="22"/>
          <w:szCs w:val="22"/>
        </w:rPr>
      </w:pPr>
      <w:hyperlink w:anchor="_Toc466020957" w:history="1">
        <w:r w:rsidR="00AC6652" w:rsidRPr="00256699">
          <w:rPr>
            <w:rStyle w:val="Hyperlink"/>
          </w:rPr>
          <w:t>Registered liquidators</w:t>
        </w:r>
        <w:r w:rsidR="00AC6652">
          <w:rPr>
            <w:webHidden/>
          </w:rPr>
          <w:tab/>
        </w:r>
        <w:r w:rsidR="00AC6652">
          <w:rPr>
            <w:webHidden/>
          </w:rPr>
          <w:fldChar w:fldCharType="begin"/>
        </w:r>
        <w:r w:rsidR="00AC6652">
          <w:rPr>
            <w:webHidden/>
          </w:rPr>
          <w:instrText xml:space="preserve"> PAGEREF _Toc466020957 \h </w:instrText>
        </w:r>
        <w:r w:rsidR="00AC6652">
          <w:rPr>
            <w:webHidden/>
          </w:rPr>
        </w:r>
        <w:r w:rsidR="00AC6652">
          <w:rPr>
            <w:webHidden/>
          </w:rPr>
          <w:fldChar w:fldCharType="separate"/>
        </w:r>
        <w:r w:rsidR="00AC6652">
          <w:rPr>
            <w:webHidden/>
          </w:rPr>
          <w:t>20</w:t>
        </w:r>
        <w:r w:rsidR="00AC6652">
          <w:rPr>
            <w:webHidden/>
          </w:rPr>
          <w:fldChar w:fldCharType="end"/>
        </w:r>
      </w:hyperlink>
    </w:p>
    <w:p w14:paraId="2EDCF55E" w14:textId="77777777" w:rsidR="00AC6652" w:rsidRDefault="003D3E81">
      <w:pPr>
        <w:pStyle w:val="TOC2"/>
        <w:rPr>
          <w:rFonts w:asciiTheme="minorHAnsi" w:eastAsiaTheme="minorEastAsia" w:hAnsiTheme="minorHAnsi" w:cstheme="minorBidi"/>
          <w:sz w:val="22"/>
          <w:szCs w:val="22"/>
        </w:rPr>
      </w:pPr>
      <w:hyperlink w:anchor="_Toc466020958"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_Toc466020958 \h </w:instrText>
        </w:r>
        <w:r w:rsidR="00AC6652">
          <w:rPr>
            <w:webHidden/>
          </w:rPr>
        </w:r>
        <w:r w:rsidR="00AC6652">
          <w:rPr>
            <w:webHidden/>
          </w:rPr>
          <w:fldChar w:fldCharType="separate"/>
        </w:r>
        <w:r w:rsidR="00AC6652">
          <w:rPr>
            <w:webHidden/>
          </w:rPr>
          <w:t>21</w:t>
        </w:r>
        <w:r w:rsidR="00AC6652">
          <w:rPr>
            <w:webHidden/>
          </w:rPr>
          <w:fldChar w:fldCharType="end"/>
        </w:r>
      </w:hyperlink>
    </w:p>
    <w:p w14:paraId="6DBDDA5B" w14:textId="77777777" w:rsidR="00AC6652" w:rsidRDefault="003D3E81">
      <w:pPr>
        <w:pStyle w:val="TOC2"/>
        <w:rPr>
          <w:rFonts w:asciiTheme="minorHAnsi" w:eastAsiaTheme="minorEastAsia" w:hAnsiTheme="minorHAnsi" w:cstheme="minorBidi"/>
          <w:sz w:val="22"/>
          <w:szCs w:val="22"/>
        </w:rPr>
      </w:pPr>
      <w:hyperlink w:anchor="_Toc466020959"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_Toc466020959 \h </w:instrText>
        </w:r>
        <w:r w:rsidR="00AC6652">
          <w:rPr>
            <w:webHidden/>
          </w:rPr>
        </w:r>
        <w:r w:rsidR="00AC6652">
          <w:rPr>
            <w:webHidden/>
          </w:rPr>
          <w:fldChar w:fldCharType="separate"/>
        </w:r>
        <w:r w:rsidR="00AC6652">
          <w:rPr>
            <w:webHidden/>
          </w:rPr>
          <w:t>27</w:t>
        </w:r>
        <w:r w:rsidR="00AC6652">
          <w:rPr>
            <w:webHidden/>
          </w:rPr>
          <w:fldChar w:fldCharType="end"/>
        </w:r>
      </w:hyperlink>
    </w:p>
    <w:p w14:paraId="276ED2A4" w14:textId="77777777" w:rsidR="00AC6652" w:rsidRDefault="003D3E81">
      <w:pPr>
        <w:pStyle w:val="TOC1"/>
        <w:rPr>
          <w:rFonts w:asciiTheme="minorHAnsi" w:eastAsiaTheme="minorEastAsia" w:hAnsiTheme="minorHAnsi" w:cstheme="minorBidi"/>
          <w:b w:val="0"/>
          <w:sz w:val="22"/>
          <w:szCs w:val="22"/>
        </w:rPr>
      </w:pPr>
      <w:hyperlink w:anchor="_Toc466020960" w:history="1">
        <w:r w:rsidR="00AC6652" w:rsidRPr="00256699">
          <w:rPr>
            <w:rStyle w:val="Hyperlink"/>
          </w:rPr>
          <w:t>D</w:t>
        </w:r>
        <w:r w:rsidR="00AC6652">
          <w:rPr>
            <w:rFonts w:asciiTheme="minorHAnsi" w:eastAsiaTheme="minorEastAsia" w:hAnsiTheme="minorHAnsi" w:cstheme="minorBidi"/>
            <w:b w:val="0"/>
            <w:sz w:val="22"/>
            <w:szCs w:val="22"/>
          </w:rPr>
          <w:tab/>
        </w:r>
        <w:r w:rsidR="00AC6652" w:rsidRPr="00256699">
          <w:rPr>
            <w:rStyle w:val="Hyperlink"/>
          </w:rPr>
          <w:t>Deposit taking and credit</w:t>
        </w:r>
        <w:r w:rsidR="00AC6652">
          <w:rPr>
            <w:webHidden/>
          </w:rPr>
          <w:tab/>
        </w:r>
        <w:r w:rsidR="00AC6652">
          <w:rPr>
            <w:webHidden/>
          </w:rPr>
          <w:fldChar w:fldCharType="begin"/>
        </w:r>
        <w:r w:rsidR="00AC6652">
          <w:rPr>
            <w:webHidden/>
          </w:rPr>
          <w:instrText xml:space="preserve"> PAGEREF _Toc466020960 \h </w:instrText>
        </w:r>
        <w:r w:rsidR="00AC6652">
          <w:rPr>
            <w:webHidden/>
          </w:rPr>
        </w:r>
        <w:r w:rsidR="00AC6652">
          <w:rPr>
            <w:webHidden/>
          </w:rPr>
          <w:fldChar w:fldCharType="separate"/>
        </w:r>
        <w:r w:rsidR="00AC6652">
          <w:rPr>
            <w:webHidden/>
          </w:rPr>
          <w:t>30</w:t>
        </w:r>
        <w:r w:rsidR="00AC6652">
          <w:rPr>
            <w:webHidden/>
          </w:rPr>
          <w:fldChar w:fldCharType="end"/>
        </w:r>
      </w:hyperlink>
    </w:p>
    <w:p w14:paraId="6193A189" w14:textId="77777777" w:rsidR="00AC6652" w:rsidRDefault="003D3E81">
      <w:pPr>
        <w:pStyle w:val="TOC2"/>
        <w:rPr>
          <w:rFonts w:asciiTheme="minorHAnsi" w:eastAsiaTheme="minorEastAsia" w:hAnsiTheme="minorHAnsi" w:cstheme="minorBidi"/>
          <w:sz w:val="22"/>
          <w:szCs w:val="22"/>
        </w:rPr>
      </w:pPr>
      <w:hyperlink w:anchor="_Toc466020961" w:history="1">
        <w:r w:rsidR="00AC6652" w:rsidRPr="00256699">
          <w:rPr>
            <w:rStyle w:val="Hyperlink"/>
          </w:rPr>
          <w:t>Description of ASIC’s regulatory activities</w:t>
        </w:r>
        <w:r w:rsidR="00AC6652">
          <w:rPr>
            <w:webHidden/>
          </w:rPr>
          <w:tab/>
        </w:r>
        <w:r w:rsidR="00AC6652">
          <w:rPr>
            <w:webHidden/>
          </w:rPr>
          <w:fldChar w:fldCharType="begin"/>
        </w:r>
        <w:r w:rsidR="00AC6652">
          <w:rPr>
            <w:webHidden/>
          </w:rPr>
          <w:instrText xml:space="preserve"> PAGEREF _Toc466020961 \h </w:instrText>
        </w:r>
        <w:r w:rsidR="00AC6652">
          <w:rPr>
            <w:webHidden/>
          </w:rPr>
        </w:r>
        <w:r w:rsidR="00AC6652">
          <w:rPr>
            <w:webHidden/>
          </w:rPr>
          <w:fldChar w:fldCharType="separate"/>
        </w:r>
        <w:r w:rsidR="00AC6652">
          <w:rPr>
            <w:webHidden/>
          </w:rPr>
          <w:t>30</w:t>
        </w:r>
        <w:r w:rsidR="00AC6652">
          <w:rPr>
            <w:webHidden/>
          </w:rPr>
          <w:fldChar w:fldCharType="end"/>
        </w:r>
      </w:hyperlink>
    </w:p>
    <w:p w14:paraId="77A8FB4E" w14:textId="77777777" w:rsidR="00AC6652" w:rsidRDefault="003D3E81">
      <w:pPr>
        <w:pStyle w:val="TOC2"/>
        <w:rPr>
          <w:rFonts w:asciiTheme="minorHAnsi" w:eastAsiaTheme="minorEastAsia" w:hAnsiTheme="minorHAnsi" w:cstheme="minorBidi"/>
          <w:sz w:val="22"/>
          <w:szCs w:val="22"/>
        </w:rPr>
      </w:pPr>
      <w:hyperlink w:anchor="_Toc466020962" w:history="1">
        <w:r w:rsidR="00AC6652" w:rsidRPr="00256699">
          <w:rPr>
            <w:rStyle w:val="Hyperlink"/>
          </w:rPr>
          <w:t>Credit licensees</w:t>
        </w:r>
        <w:r w:rsidR="00AC6652">
          <w:rPr>
            <w:webHidden/>
          </w:rPr>
          <w:tab/>
        </w:r>
        <w:r w:rsidR="00AC6652">
          <w:rPr>
            <w:webHidden/>
          </w:rPr>
          <w:fldChar w:fldCharType="begin"/>
        </w:r>
        <w:r w:rsidR="00AC6652">
          <w:rPr>
            <w:webHidden/>
          </w:rPr>
          <w:instrText xml:space="preserve"> PAGEREF _Toc466020962 \h </w:instrText>
        </w:r>
        <w:r w:rsidR="00AC6652">
          <w:rPr>
            <w:webHidden/>
          </w:rPr>
        </w:r>
        <w:r w:rsidR="00AC6652">
          <w:rPr>
            <w:webHidden/>
          </w:rPr>
          <w:fldChar w:fldCharType="separate"/>
        </w:r>
        <w:r w:rsidR="00AC6652">
          <w:rPr>
            <w:webHidden/>
          </w:rPr>
          <w:t>31</w:t>
        </w:r>
        <w:r w:rsidR="00AC6652">
          <w:rPr>
            <w:webHidden/>
          </w:rPr>
          <w:fldChar w:fldCharType="end"/>
        </w:r>
      </w:hyperlink>
    </w:p>
    <w:p w14:paraId="28BDC6D0" w14:textId="77777777" w:rsidR="00AC6652" w:rsidRDefault="003D3E81">
      <w:pPr>
        <w:pStyle w:val="TOC2"/>
        <w:rPr>
          <w:rFonts w:asciiTheme="minorHAnsi" w:eastAsiaTheme="minorEastAsia" w:hAnsiTheme="minorHAnsi" w:cstheme="minorBidi"/>
          <w:sz w:val="22"/>
          <w:szCs w:val="22"/>
        </w:rPr>
      </w:pPr>
      <w:hyperlink w:anchor="_Toc466020963"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_Toc466020963 \h </w:instrText>
        </w:r>
        <w:r w:rsidR="00AC6652">
          <w:rPr>
            <w:webHidden/>
          </w:rPr>
        </w:r>
        <w:r w:rsidR="00AC6652">
          <w:rPr>
            <w:webHidden/>
          </w:rPr>
          <w:fldChar w:fldCharType="separate"/>
        </w:r>
        <w:r w:rsidR="00AC6652">
          <w:rPr>
            <w:webHidden/>
          </w:rPr>
          <w:t>33</w:t>
        </w:r>
        <w:r w:rsidR="00AC6652">
          <w:rPr>
            <w:webHidden/>
          </w:rPr>
          <w:fldChar w:fldCharType="end"/>
        </w:r>
      </w:hyperlink>
    </w:p>
    <w:p w14:paraId="1380ED8F" w14:textId="77777777" w:rsidR="00AC6652" w:rsidRDefault="003D3E81">
      <w:pPr>
        <w:pStyle w:val="TOC2"/>
        <w:rPr>
          <w:rFonts w:asciiTheme="minorHAnsi" w:eastAsiaTheme="minorEastAsia" w:hAnsiTheme="minorHAnsi" w:cstheme="minorBidi"/>
          <w:sz w:val="22"/>
          <w:szCs w:val="22"/>
        </w:rPr>
      </w:pPr>
      <w:hyperlink w:anchor="_Toc466020964"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_Toc466020964 \h </w:instrText>
        </w:r>
        <w:r w:rsidR="00AC6652">
          <w:rPr>
            <w:webHidden/>
          </w:rPr>
        </w:r>
        <w:r w:rsidR="00AC6652">
          <w:rPr>
            <w:webHidden/>
          </w:rPr>
          <w:fldChar w:fldCharType="separate"/>
        </w:r>
        <w:r w:rsidR="00AC6652">
          <w:rPr>
            <w:webHidden/>
          </w:rPr>
          <w:t>37</w:t>
        </w:r>
        <w:r w:rsidR="00AC6652">
          <w:rPr>
            <w:webHidden/>
          </w:rPr>
          <w:fldChar w:fldCharType="end"/>
        </w:r>
      </w:hyperlink>
    </w:p>
    <w:p w14:paraId="5426522D" w14:textId="77777777" w:rsidR="00AC6652" w:rsidRDefault="003D3E81">
      <w:pPr>
        <w:pStyle w:val="TOC1"/>
        <w:rPr>
          <w:rFonts w:asciiTheme="minorHAnsi" w:eastAsiaTheme="minorEastAsia" w:hAnsiTheme="minorHAnsi" w:cstheme="minorBidi"/>
          <w:b w:val="0"/>
          <w:sz w:val="22"/>
          <w:szCs w:val="22"/>
        </w:rPr>
      </w:pPr>
      <w:hyperlink w:anchor="_Toc466020965" w:history="1">
        <w:r w:rsidR="00AC6652" w:rsidRPr="00256699">
          <w:rPr>
            <w:rStyle w:val="Hyperlink"/>
          </w:rPr>
          <w:t>E</w:t>
        </w:r>
        <w:r w:rsidR="00AC6652">
          <w:rPr>
            <w:rFonts w:asciiTheme="minorHAnsi" w:eastAsiaTheme="minorEastAsia" w:hAnsiTheme="minorHAnsi" w:cstheme="minorBidi"/>
            <w:b w:val="0"/>
            <w:sz w:val="22"/>
            <w:szCs w:val="22"/>
          </w:rPr>
          <w:tab/>
        </w:r>
        <w:r w:rsidR="00AC6652" w:rsidRPr="00256699">
          <w:rPr>
            <w:rStyle w:val="Hyperlink"/>
          </w:rPr>
          <w:t>Investment management, superannuation and related services</w:t>
        </w:r>
        <w:r w:rsidR="00AC6652">
          <w:rPr>
            <w:webHidden/>
          </w:rPr>
          <w:tab/>
        </w:r>
        <w:r w:rsidR="00AC6652">
          <w:rPr>
            <w:webHidden/>
          </w:rPr>
          <w:fldChar w:fldCharType="begin"/>
        </w:r>
        <w:r w:rsidR="00AC6652">
          <w:rPr>
            <w:webHidden/>
          </w:rPr>
          <w:instrText xml:space="preserve"> PAGEREF _Toc466020965 \h </w:instrText>
        </w:r>
        <w:r w:rsidR="00AC6652">
          <w:rPr>
            <w:webHidden/>
          </w:rPr>
        </w:r>
        <w:r w:rsidR="00AC6652">
          <w:rPr>
            <w:webHidden/>
          </w:rPr>
          <w:fldChar w:fldCharType="separate"/>
        </w:r>
        <w:r w:rsidR="00AC6652">
          <w:rPr>
            <w:webHidden/>
          </w:rPr>
          <w:t>39</w:t>
        </w:r>
        <w:r w:rsidR="00AC6652">
          <w:rPr>
            <w:webHidden/>
          </w:rPr>
          <w:fldChar w:fldCharType="end"/>
        </w:r>
      </w:hyperlink>
    </w:p>
    <w:p w14:paraId="5D2B7046" w14:textId="77777777" w:rsidR="00AC6652" w:rsidRDefault="003D3E81">
      <w:pPr>
        <w:pStyle w:val="TOC2"/>
        <w:rPr>
          <w:rFonts w:asciiTheme="minorHAnsi" w:eastAsiaTheme="minorEastAsia" w:hAnsiTheme="minorHAnsi" w:cstheme="minorBidi"/>
          <w:sz w:val="22"/>
          <w:szCs w:val="22"/>
        </w:rPr>
      </w:pPr>
      <w:hyperlink w:anchor="_Toc466020966" w:history="1">
        <w:r w:rsidR="00AC6652" w:rsidRPr="00256699">
          <w:rPr>
            <w:rStyle w:val="Hyperlink"/>
          </w:rPr>
          <w:t>Description of ASIC regulatory activities</w:t>
        </w:r>
        <w:r w:rsidR="00AC6652">
          <w:rPr>
            <w:webHidden/>
          </w:rPr>
          <w:tab/>
        </w:r>
        <w:r w:rsidR="00AC6652">
          <w:rPr>
            <w:webHidden/>
          </w:rPr>
          <w:fldChar w:fldCharType="begin"/>
        </w:r>
        <w:r w:rsidR="00AC6652">
          <w:rPr>
            <w:webHidden/>
          </w:rPr>
          <w:instrText xml:space="preserve"> PAGEREF _Toc466020966 \h </w:instrText>
        </w:r>
        <w:r w:rsidR="00AC6652">
          <w:rPr>
            <w:webHidden/>
          </w:rPr>
        </w:r>
        <w:r w:rsidR="00AC6652">
          <w:rPr>
            <w:webHidden/>
          </w:rPr>
          <w:fldChar w:fldCharType="separate"/>
        </w:r>
        <w:r w:rsidR="00AC6652">
          <w:rPr>
            <w:webHidden/>
          </w:rPr>
          <w:t>39</w:t>
        </w:r>
        <w:r w:rsidR="00AC6652">
          <w:rPr>
            <w:webHidden/>
          </w:rPr>
          <w:fldChar w:fldCharType="end"/>
        </w:r>
      </w:hyperlink>
    </w:p>
    <w:p w14:paraId="667F04CB" w14:textId="77777777" w:rsidR="00AC6652" w:rsidRDefault="003D3E81">
      <w:pPr>
        <w:pStyle w:val="TOC2"/>
        <w:rPr>
          <w:rFonts w:asciiTheme="minorHAnsi" w:eastAsiaTheme="minorEastAsia" w:hAnsiTheme="minorHAnsi" w:cstheme="minorBidi"/>
          <w:sz w:val="22"/>
          <w:szCs w:val="22"/>
        </w:rPr>
      </w:pPr>
      <w:hyperlink w:anchor="_Toc466020967"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_Toc466020967 \h </w:instrText>
        </w:r>
        <w:r w:rsidR="00AC6652">
          <w:rPr>
            <w:webHidden/>
          </w:rPr>
        </w:r>
        <w:r w:rsidR="00AC6652">
          <w:rPr>
            <w:webHidden/>
          </w:rPr>
          <w:fldChar w:fldCharType="separate"/>
        </w:r>
        <w:r w:rsidR="00AC6652">
          <w:rPr>
            <w:webHidden/>
          </w:rPr>
          <w:t>43</w:t>
        </w:r>
        <w:r w:rsidR="00AC6652">
          <w:rPr>
            <w:webHidden/>
          </w:rPr>
          <w:fldChar w:fldCharType="end"/>
        </w:r>
      </w:hyperlink>
    </w:p>
    <w:p w14:paraId="31E7D802" w14:textId="77777777" w:rsidR="00AC6652" w:rsidRDefault="003D3E81">
      <w:pPr>
        <w:pStyle w:val="TOC2"/>
        <w:rPr>
          <w:rFonts w:asciiTheme="minorHAnsi" w:eastAsiaTheme="minorEastAsia" w:hAnsiTheme="minorHAnsi" w:cstheme="minorBidi"/>
          <w:sz w:val="22"/>
          <w:szCs w:val="22"/>
        </w:rPr>
      </w:pPr>
      <w:hyperlink w:anchor="_Toc466020968"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_Toc466020968 \h </w:instrText>
        </w:r>
        <w:r w:rsidR="00AC6652">
          <w:rPr>
            <w:webHidden/>
          </w:rPr>
        </w:r>
        <w:r w:rsidR="00AC6652">
          <w:rPr>
            <w:webHidden/>
          </w:rPr>
          <w:fldChar w:fldCharType="separate"/>
        </w:r>
        <w:r w:rsidR="00AC6652">
          <w:rPr>
            <w:webHidden/>
          </w:rPr>
          <w:t>46</w:t>
        </w:r>
        <w:r w:rsidR="00AC6652">
          <w:rPr>
            <w:webHidden/>
          </w:rPr>
          <w:fldChar w:fldCharType="end"/>
        </w:r>
      </w:hyperlink>
    </w:p>
    <w:p w14:paraId="26568CA9" w14:textId="77777777" w:rsidR="00AC6652" w:rsidRDefault="003D3E81">
      <w:pPr>
        <w:pStyle w:val="TOC1"/>
        <w:rPr>
          <w:rFonts w:asciiTheme="minorHAnsi" w:eastAsiaTheme="minorEastAsia" w:hAnsiTheme="minorHAnsi" w:cstheme="minorBidi"/>
          <w:b w:val="0"/>
          <w:sz w:val="22"/>
          <w:szCs w:val="22"/>
        </w:rPr>
      </w:pPr>
      <w:hyperlink w:anchor="_Toc466020969" w:history="1">
        <w:r w:rsidR="00AC6652" w:rsidRPr="00256699">
          <w:rPr>
            <w:rStyle w:val="Hyperlink"/>
          </w:rPr>
          <w:t>F</w:t>
        </w:r>
        <w:r w:rsidR="00AC6652">
          <w:rPr>
            <w:rFonts w:asciiTheme="minorHAnsi" w:eastAsiaTheme="minorEastAsia" w:hAnsiTheme="minorHAnsi" w:cstheme="minorBidi"/>
            <w:b w:val="0"/>
            <w:sz w:val="22"/>
            <w:szCs w:val="22"/>
          </w:rPr>
          <w:tab/>
        </w:r>
        <w:r w:rsidR="00AC6652" w:rsidRPr="00256699">
          <w:rPr>
            <w:rStyle w:val="Hyperlink"/>
          </w:rPr>
          <w:t>Market infrastructure and intermediaries</w:t>
        </w:r>
        <w:r w:rsidR="00AC6652">
          <w:rPr>
            <w:webHidden/>
          </w:rPr>
          <w:tab/>
        </w:r>
        <w:r w:rsidR="00AC6652">
          <w:rPr>
            <w:webHidden/>
          </w:rPr>
          <w:fldChar w:fldCharType="begin"/>
        </w:r>
        <w:r w:rsidR="00AC6652">
          <w:rPr>
            <w:webHidden/>
          </w:rPr>
          <w:instrText xml:space="preserve"> PAGEREF _Toc466020969 \h </w:instrText>
        </w:r>
        <w:r w:rsidR="00AC6652">
          <w:rPr>
            <w:webHidden/>
          </w:rPr>
        </w:r>
        <w:r w:rsidR="00AC6652">
          <w:rPr>
            <w:webHidden/>
          </w:rPr>
          <w:fldChar w:fldCharType="separate"/>
        </w:r>
        <w:r w:rsidR="00AC6652">
          <w:rPr>
            <w:webHidden/>
          </w:rPr>
          <w:t>47</w:t>
        </w:r>
        <w:r w:rsidR="00AC6652">
          <w:rPr>
            <w:webHidden/>
          </w:rPr>
          <w:fldChar w:fldCharType="end"/>
        </w:r>
      </w:hyperlink>
    </w:p>
    <w:p w14:paraId="615EF141" w14:textId="77777777" w:rsidR="00AC6652" w:rsidRDefault="003D3E81">
      <w:pPr>
        <w:pStyle w:val="TOC2"/>
        <w:rPr>
          <w:rFonts w:asciiTheme="minorHAnsi" w:eastAsiaTheme="minorEastAsia" w:hAnsiTheme="minorHAnsi" w:cstheme="minorBidi"/>
          <w:sz w:val="22"/>
          <w:szCs w:val="22"/>
        </w:rPr>
      </w:pPr>
      <w:hyperlink w:anchor="_Toc466020970" w:history="1">
        <w:r w:rsidR="00AC6652" w:rsidRPr="00256699">
          <w:rPr>
            <w:rStyle w:val="Hyperlink"/>
          </w:rPr>
          <w:t>Description of ASIC’s regulatory activities</w:t>
        </w:r>
        <w:r w:rsidR="00AC6652">
          <w:rPr>
            <w:webHidden/>
          </w:rPr>
          <w:tab/>
        </w:r>
        <w:r w:rsidR="00AC6652">
          <w:rPr>
            <w:webHidden/>
          </w:rPr>
          <w:fldChar w:fldCharType="begin"/>
        </w:r>
        <w:r w:rsidR="00AC6652">
          <w:rPr>
            <w:webHidden/>
          </w:rPr>
          <w:instrText xml:space="preserve"> PAGEREF _Toc466020970 \h </w:instrText>
        </w:r>
        <w:r w:rsidR="00AC6652">
          <w:rPr>
            <w:webHidden/>
          </w:rPr>
        </w:r>
        <w:r w:rsidR="00AC6652">
          <w:rPr>
            <w:webHidden/>
          </w:rPr>
          <w:fldChar w:fldCharType="separate"/>
        </w:r>
        <w:r w:rsidR="00AC6652">
          <w:rPr>
            <w:webHidden/>
          </w:rPr>
          <w:t>47</w:t>
        </w:r>
        <w:r w:rsidR="00AC6652">
          <w:rPr>
            <w:webHidden/>
          </w:rPr>
          <w:fldChar w:fldCharType="end"/>
        </w:r>
      </w:hyperlink>
    </w:p>
    <w:p w14:paraId="125A3DDB" w14:textId="77777777" w:rsidR="00AC6652" w:rsidRDefault="003D3E81">
      <w:pPr>
        <w:pStyle w:val="TOC2"/>
        <w:rPr>
          <w:rFonts w:asciiTheme="minorHAnsi" w:eastAsiaTheme="minorEastAsia" w:hAnsiTheme="minorHAnsi" w:cstheme="minorBidi"/>
          <w:sz w:val="22"/>
          <w:szCs w:val="22"/>
        </w:rPr>
      </w:pPr>
      <w:hyperlink w:anchor="_Toc466020971"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_Toc466020971 \h </w:instrText>
        </w:r>
        <w:r w:rsidR="00AC6652">
          <w:rPr>
            <w:webHidden/>
          </w:rPr>
        </w:r>
        <w:r w:rsidR="00AC6652">
          <w:rPr>
            <w:webHidden/>
          </w:rPr>
          <w:fldChar w:fldCharType="separate"/>
        </w:r>
        <w:r w:rsidR="00AC6652">
          <w:rPr>
            <w:webHidden/>
          </w:rPr>
          <w:t>52</w:t>
        </w:r>
        <w:r w:rsidR="00AC6652">
          <w:rPr>
            <w:webHidden/>
          </w:rPr>
          <w:fldChar w:fldCharType="end"/>
        </w:r>
      </w:hyperlink>
    </w:p>
    <w:p w14:paraId="2B03BBF9" w14:textId="77777777" w:rsidR="00AC6652" w:rsidRDefault="003D3E81">
      <w:pPr>
        <w:pStyle w:val="TOC2"/>
        <w:rPr>
          <w:rFonts w:asciiTheme="minorHAnsi" w:eastAsiaTheme="minorEastAsia" w:hAnsiTheme="minorHAnsi" w:cstheme="minorBidi"/>
          <w:sz w:val="22"/>
          <w:szCs w:val="22"/>
        </w:rPr>
      </w:pPr>
      <w:hyperlink w:anchor="_Toc466020972" w:history="1">
        <w:r w:rsidR="00AC6652" w:rsidRPr="00256699">
          <w:rPr>
            <w:rStyle w:val="Hyperlink"/>
          </w:rPr>
          <w:t>Australian Market Regulatory Feed (AMRF)</w:t>
        </w:r>
        <w:r w:rsidR="00AC6652">
          <w:rPr>
            <w:webHidden/>
          </w:rPr>
          <w:tab/>
        </w:r>
        <w:r w:rsidR="00AC6652">
          <w:rPr>
            <w:webHidden/>
          </w:rPr>
          <w:fldChar w:fldCharType="begin"/>
        </w:r>
        <w:r w:rsidR="00AC6652">
          <w:rPr>
            <w:webHidden/>
          </w:rPr>
          <w:instrText xml:space="preserve"> PAGEREF _Toc466020972 \h </w:instrText>
        </w:r>
        <w:r w:rsidR="00AC6652">
          <w:rPr>
            <w:webHidden/>
          </w:rPr>
        </w:r>
        <w:r w:rsidR="00AC6652">
          <w:rPr>
            <w:webHidden/>
          </w:rPr>
          <w:fldChar w:fldCharType="separate"/>
        </w:r>
        <w:r w:rsidR="00AC6652">
          <w:rPr>
            <w:webHidden/>
          </w:rPr>
          <w:t>59</w:t>
        </w:r>
        <w:r w:rsidR="00AC6652">
          <w:rPr>
            <w:webHidden/>
          </w:rPr>
          <w:fldChar w:fldCharType="end"/>
        </w:r>
      </w:hyperlink>
    </w:p>
    <w:p w14:paraId="494F08E3" w14:textId="77777777" w:rsidR="00AC6652" w:rsidRDefault="003D3E81">
      <w:pPr>
        <w:pStyle w:val="TOC2"/>
        <w:rPr>
          <w:rFonts w:asciiTheme="minorHAnsi" w:eastAsiaTheme="minorEastAsia" w:hAnsiTheme="minorHAnsi" w:cstheme="minorBidi"/>
          <w:sz w:val="22"/>
          <w:szCs w:val="22"/>
        </w:rPr>
      </w:pPr>
      <w:hyperlink w:anchor="_Toc466020973" w:history="1">
        <w:r w:rsidR="00AC6652" w:rsidRPr="00256699">
          <w:rPr>
            <w:rStyle w:val="Hyperlink"/>
          </w:rPr>
          <w:t>Interaction with Markets Supervision Cost Recovery</w:t>
        </w:r>
        <w:r w:rsidR="00AC6652">
          <w:rPr>
            <w:webHidden/>
          </w:rPr>
          <w:tab/>
        </w:r>
        <w:r w:rsidR="00AC6652">
          <w:rPr>
            <w:webHidden/>
          </w:rPr>
          <w:fldChar w:fldCharType="begin"/>
        </w:r>
        <w:r w:rsidR="00AC6652">
          <w:rPr>
            <w:webHidden/>
          </w:rPr>
          <w:instrText xml:space="preserve"> PAGEREF _Toc466020973 \h </w:instrText>
        </w:r>
        <w:r w:rsidR="00AC6652">
          <w:rPr>
            <w:webHidden/>
          </w:rPr>
        </w:r>
        <w:r w:rsidR="00AC6652">
          <w:rPr>
            <w:webHidden/>
          </w:rPr>
          <w:fldChar w:fldCharType="separate"/>
        </w:r>
        <w:r w:rsidR="00AC6652">
          <w:rPr>
            <w:webHidden/>
          </w:rPr>
          <w:t>60</w:t>
        </w:r>
        <w:r w:rsidR="00AC6652">
          <w:rPr>
            <w:webHidden/>
          </w:rPr>
          <w:fldChar w:fldCharType="end"/>
        </w:r>
      </w:hyperlink>
    </w:p>
    <w:p w14:paraId="7814C69A" w14:textId="77777777" w:rsidR="00AC6652" w:rsidRDefault="003D3E81">
      <w:pPr>
        <w:pStyle w:val="TOC2"/>
        <w:rPr>
          <w:rFonts w:asciiTheme="minorHAnsi" w:eastAsiaTheme="minorEastAsia" w:hAnsiTheme="minorHAnsi" w:cstheme="minorBidi"/>
          <w:sz w:val="22"/>
          <w:szCs w:val="22"/>
        </w:rPr>
      </w:pPr>
      <w:hyperlink w:anchor="_Toc466020974" w:history="1">
        <w:r w:rsidR="00AC6652" w:rsidRPr="00256699">
          <w:rPr>
            <w:rStyle w:val="Hyperlink"/>
          </w:rPr>
          <w:t>Market Entity Compliance System (MECS) costs</w:t>
        </w:r>
        <w:r w:rsidR="00AC6652">
          <w:rPr>
            <w:webHidden/>
          </w:rPr>
          <w:tab/>
        </w:r>
        <w:r w:rsidR="00AC6652">
          <w:rPr>
            <w:webHidden/>
          </w:rPr>
          <w:fldChar w:fldCharType="begin"/>
        </w:r>
        <w:r w:rsidR="00AC6652">
          <w:rPr>
            <w:webHidden/>
          </w:rPr>
          <w:instrText xml:space="preserve"> PAGEREF _Toc466020974 \h </w:instrText>
        </w:r>
        <w:r w:rsidR="00AC6652">
          <w:rPr>
            <w:webHidden/>
          </w:rPr>
        </w:r>
        <w:r w:rsidR="00AC6652">
          <w:rPr>
            <w:webHidden/>
          </w:rPr>
          <w:fldChar w:fldCharType="separate"/>
        </w:r>
        <w:r w:rsidR="00AC6652">
          <w:rPr>
            <w:webHidden/>
          </w:rPr>
          <w:t>61</w:t>
        </w:r>
        <w:r w:rsidR="00AC6652">
          <w:rPr>
            <w:webHidden/>
          </w:rPr>
          <w:fldChar w:fldCharType="end"/>
        </w:r>
      </w:hyperlink>
    </w:p>
    <w:p w14:paraId="5013EF7D" w14:textId="77777777" w:rsidR="00AC6652" w:rsidRDefault="003D3E81">
      <w:pPr>
        <w:pStyle w:val="TOC2"/>
        <w:rPr>
          <w:rFonts w:asciiTheme="minorHAnsi" w:eastAsiaTheme="minorEastAsia" w:hAnsiTheme="minorHAnsi" w:cstheme="minorBidi"/>
          <w:sz w:val="22"/>
          <w:szCs w:val="22"/>
        </w:rPr>
      </w:pPr>
      <w:hyperlink w:anchor="_Toc466020975"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_Toc466020975 \h </w:instrText>
        </w:r>
        <w:r w:rsidR="00AC6652">
          <w:rPr>
            <w:webHidden/>
          </w:rPr>
        </w:r>
        <w:r w:rsidR="00AC6652">
          <w:rPr>
            <w:webHidden/>
          </w:rPr>
          <w:fldChar w:fldCharType="separate"/>
        </w:r>
        <w:r w:rsidR="00AC6652">
          <w:rPr>
            <w:webHidden/>
          </w:rPr>
          <w:t>61</w:t>
        </w:r>
        <w:r w:rsidR="00AC6652">
          <w:rPr>
            <w:webHidden/>
          </w:rPr>
          <w:fldChar w:fldCharType="end"/>
        </w:r>
      </w:hyperlink>
    </w:p>
    <w:p w14:paraId="27D77DAE" w14:textId="77777777" w:rsidR="00AC6652" w:rsidRDefault="003D3E81">
      <w:pPr>
        <w:pStyle w:val="TOC1"/>
        <w:rPr>
          <w:rFonts w:asciiTheme="minorHAnsi" w:eastAsiaTheme="minorEastAsia" w:hAnsiTheme="minorHAnsi" w:cstheme="minorBidi"/>
          <w:b w:val="0"/>
          <w:sz w:val="22"/>
          <w:szCs w:val="22"/>
        </w:rPr>
      </w:pPr>
      <w:hyperlink w:anchor="_Toc466020976" w:history="1">
        <w:r w:rsidR="00AC6652" w:rsidRPr="00256699">
          <w:rPr>
            <w:rStyle w:val="Hyperlink"/>
          </w:rPr>
          <w:t>G</w:t>
        </w:r>
        <w:r w:rsidR="00AC6652">
          <w:rPr>
            <w:rFonts w:asciiTheme="minorHAnsi" w:eastAsiaTheme="minorEastAsia" w:hAnsiTheme="minorHAnsi" w:cstheme="minorBidi"/>
            <w:b w:val="0"/>
            <w:sz w:val="22"/>
            <w:szCs w:val="22"/>
          </w:rPr>
          <w:tab/>
        </w:r>
        <w:r w:rsidR="00AC6652" w:rsidRPr="00256699">
          <w:rPr>
            <w:rStyle w:val="Hyperlink"/>
          </w:rPr>
          <w:t>Financial advice</w:t>
        </w:r>
        <w:r w:rsidR="00AC6652">
          <w:rPr>
            <w:webHidden/>
          </w:rPr>
          <w:tab/>
        </w:r>
        <w:r w:rsidR="00AC6652">
          <w:rPr>
            <w:webHidden/>
          </w:rPr>
          <w:fldChar w:fldCharType="begin"/>
        </w:r>
        <w:r w:rsidR="00AC6652">
          <w:rPr>
            <w:webHidden/>
          </w:rPr>
          <w:instrText xml:space="preserve"> PAGEREF _Toc466020976 \h </w:instrText>
        </w:r>
        <w:r w:rsidR="00AC6652">
          <w:rPr>
            <w:webHidden/>
          </w:rPr>
        </w:r>
        <w:r w:rsidR="00AC6652">
          <w:rPr>
            <w:webHidden/>
          </w:rPr>
          <w:fldChar w:fldCharType="separate"/>
        </w:r>
        <w:r w:rsidR="00AC6652">
          <w:rPr>
            <w:webHidden/>
          </w:rPr>
          <w:t>63</w:t>
        </w:r>
        <w:r w:rsidR="00AC6652">
          <w:rPr>
            <w:webHidden/>
          </w:rPr>
          <w:fldChar w:fldCharType="end"/>
        </w:r>
      </w:hyperlink>
    </w:p>
    <w:p w14:paraId="10FD4BF0" w14:textId="77777777" w:rsidR="00AC6652" w:rsidRDefault="003D3E81">
      <w:pPr>
        <w:pStyle w:val="TOC2"/>
        <w:rPr>
          <w:rFonts w:asciiTheme="minorHAnsi" w:eastAsiaTheme="minorEastAsia" w:hAnsiTheme="minorHAnsi" w:cstheme="minorBidi"/>
          <w:sz w:val="22"/>
          <w:szCs w:val="22"/>
        </w:rPr>
      </w:pPr>
      <w:hyperlink w:anchor="_Toc466020977" w:history="1">
        <w:r w:rsidR="00AC6652" w:rsidRPr="00256699">
          <w:rPr>
            <w:rStyle w:val="Hyperlink"/>
          </w:rPr>
          <w:t>Description of ASIC’s regulatory activities</w:t>
        </w:r>
        <w:r w:rsidR="00AC6652">
          <w:rPr>
            <w:webHidden/>
          </w:rPr>
          <w:tab/>
        </w:r>
        <w:r w:rsidR="00AC6652">
          <w:rPr>
            <w:webHidden/>
          </w:rPr>
          <w:fldChar w:fldCharType="begin"/>
        </w:r>
        <w:r w:rsidR="00AC6652">
          <w:rPr>
            <w:webHidden/>
          </w:rPr>
          <w:instrText xml:space="preserve"> PAGEREF _Toc466020977 \h </w:instrText>
        </w:r>
        <w:r w:rsidR="00AC6652">
          <w:rPr>
            <w:webHidden/>
          </w:rPr>
        </w:r>
        <w:r w:rsidR="00AC6652">
          <w:rPr>
            <w:webHidden/>
          </w:rPr>
          <w:fldChar w:fldCharType="separate"/>
        </w:r>
        <w:r w:rsidR="00AC6652">
          <w:rPr>
            <w:webHidden/>
          </w:rPr>
          <w:t>63</w:t>
        </w:r>
        <w:r w:rsidR="00AC6652">
          <w:rPr>
            <w:webHidden/>
          </w:rPr>
          <w:fldChar w:fldCharType="end"/>
        </w:r>
      </w:hyperlink>
    </w:p>
    <w:p w14:paraId="6056F3DA" w14:textId="77777777" w:rsidR="00AC6652" w:rsidRDefault="003D3E81">
      <w:pPr>
        <w:pStyle w:val="TOC2"/>
        <w:rPr>
          <w:rFonts w:asciiTheme="minorHAnsi" w:eastAsiaTheme="minorEastAsia" w:hAnsiTheme="minorHAnsi" w:cstheme="minorBidi"/>
          <w:sz w:val="22"/>
          <w:szCs w:val="22"/>
        </w:rPr>
      </w:pPr>
      <w:hyperlink w:anchor="_Toc466020978"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_Toc466020978 \h </w:instrText>
        </w:r>
        <w:r w:rsidR="00AC6652">
          <w:rPr>
            <w:webHidden/>
          </w:rPr>
        </w:r>
        <w:r w:rsidR="00AC6652">
          <w:rPr>
            <w:webHidden/>
          </w:rPr>
          <w:fldChar w:fldCharType="separate"/>
        </w:r>
        <w:r w:rsidR="00AC6652">
          <w:rPr>
            <w:webHidden/>
          </w:rPr>
          <w:t>65</w:t>
        </w:r>
        <w:r w:rsidR="00AC6652">
          <w:rPr>
            <w:webHidden/>
          </w:rPr>
          <w:fldChar w:fldCharType="end"/>
        </w:r>
      </w:hyperlink>
    </w:p>
    <w:p w14:paraId="02D5DED8" w14:textId="77777777" w:rsidR="00AC6652" w:rsidRDefault="003D3E81">
      <w:pPr>
        <w:pStyle w:val="TOC2"/>
        <w:rPr>
          <w:rFonts w:asciiTheme="minorHAnsi" w:eastAsiaTheme="minorEastAsia" w:hAnsiTheme="minorHAnsi" w:cstheme="minorBidi"/>
          <w:sz w:val="22"/>
          <w:szCs w:val="22"/>
        </w:rPr>
      </w:pPr>
      <w:hyperlink w:anchor="_Toc466020979"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_Toc466020979 \h </w:instrText>
        </w:r>
        <w:r w:rsidR="00AC6652">
          <w:rPr>
            <w:webHidden/>
          </w:rPr>
        </w:r>
        <w:r w:rsidR="00AC6652">
          <w:rPr>
            <w:webHidden/>
          </w:rPr>
          <w:fldChar w:fldCharType="separate"/>
        </w:r>
        <w:r w:rsidR="00AC6652">
          <w:rPr>
            <w:webHidden/>
          </w:rPr>
          <w:t>67</w:t>
        </w:r>
        <w:r w:rsidR="00AC6652">
          <w:rPr>
            <w:webHidden/>
          </w:rPr>
          <w:fldChar w:fldCharType="end"/>
        </w:r>
      </w:hyperlink>
    </w:p>
    <w:p w14:paraId="61D2C67B" w14:textId="77777777" w:rsidR="00AC6652" w:rsidRDefault="003D3E81">
      <w:pPr>
        <w:pStyle w:val="TOC1"/>
        <w:rPr>
          <w:rFonts w:asciiTheme="minorHAnsi" w:eastAsiaTheme="minorEastAsia" w:hAnsiTheme="minorHAnsi" w:cstheme="minorBidi"/>
          <w:b w:val="0"/>
          <w:sz w:val="22"/>
          <w:szCs w:val="22"/>
        </w:rPr>
      </w:pPr>
      <w:hyperlink w:anchor="_Toc466020980" w:history="1">
        <w:r w:rsidR="00AC6652" w:rsidRPr="00256699">
          <w:rPr>
            <w:rStyle w:val="Hyperlink"/>
          </w:rPr>
          <w:t>H</w:t>
        </w:r>
        <w:r w:rsidR="00AC6652">
          <w:rPr>
            <w:rFonts w:asciiTheme="minorHAnsi" w:eastAsiaTheme="minorEastAsia" w:hAnsiTheme="minorHAnsi" w:cstheme="minorBidi"/>
            <w:b w:val="0"/>
            <w:sz w:val="22"/>
            <w:szCs w:val="22"/>
          </w:rPr>
          <w:tab/>
        </w:r>
        <w:r w:rsidR="00AC6652" w:rsidRPr="00256699">
          <w:rPr>
            <w:rStyle w:val="Hyperlink"/>
          </w:rPr>
          <w:t>Insurance</w:t>
        </w:r>
        <w:r w:rsidR="00AC6652">
          <w:rPr>
            <w:webHidden/>
          </w:rPr>
          <w:tab/>
        </w:r>
        <w:r w:rsidR="00AC6652">
          <w:rPr>
            <w:webHidden/>
          </w:rPr>
          <w:fldChar w:fldCharType="begin"/>
        </w:r>
        <w:r w:rsidR="00AC6652">
          <w:rPr>
            <w:webHidden/>
          </w:rPr>
          <w:instrText xml:space="preserve"> PAGEREF _Toc466020980 \h </w:instrText>
        </w:r>
        <w:r w:rsidR="00AC6652">
          <w:rPr>
            <w:webHidden/>
          </w:rPr>
        </w:r>
        <w:r w:rsidR="00AC6652">
          <w:rPr>
            <w:webHidden/>
          </w:rPr>
          <w:fldChar w:fldCharType="separate"/>
        </w:r>
        <w:r w:rsidR="00AC6652">
          <w:rPr>
            <w:webHidden/>
          </w:rPr>
          <w:t>68</w:t>
        </w:r>
        <w:r w:rsidR="00AC6652">
          <w:rPr>
            <w:webHidden/>
          </w:rPr>
          <w:fldChar w:fldCharType="end"/>
        </w:r>
      </w:hyperlink>
    </w:p>
    <w:p w14:paraId="6E15377F" w14:textId="77777777" w:rsidR="00AC6652" w:rsidRDefault="003D3E81">
      <w:pPr>
        <w:pStyle w:val="TOC2"/>
        <w:rPr>
          <w:rFonts w:asciiTheme="minorHAnsi" w:eastAsiaTheme="minorEastAsia" w:hAnsiTheme="minorHAnsi" w:cstheme="minorBidi"/>
          <w:sz w:val="22"/>
          <w:szCs w:val="22"/>
        </w:rPr>
      </w:pPr>
      <w:hyperlink w:anchor="_Toc466020981" w:history="1">
        <w:r w:rsidR="00AC6652" w:rsidRPr="00256699">
          <w:rPr>
            <w:rStyle w:val="Hyperlink"/>
          </w:rPr>
          <w:t>Description of ASIC’s regulatory activities</w:t>
        </w:r>
        <w:r w:rsidR="00AC6652">
          <w:rPr>
            <w:webHidden/>
          </w:rPr>
          <w:tab/>
        </w:r>
        <w:r w:rsidR="00AC6652">
          <w:rPr>
            <w:webHidden/>
          </w:rPr>
          <w:fldChar w:fldCharType="begin"/>
        </w:r>
        <w:r w:rsidR="00AC6652">
          <w:rPr>
            <w:webHidden/>
          </w:rPr>
          <w:instrText xml:space="preserve"> PAGEREF _Toc466020981 \h </w:instrText>
        </w:r>
        <w:r w:rsidR="00AC6652">
          <w:rPr>
            <w:webHidden/>
          </w:rPr>
        </w:r>
        <w:r w:rsidR="00AC6652">
          <w:rPr>
            <w:webHidden/>
          </w:rPr>
          <w:fldChar w:fldCharType="separate"/>
        </w:r>
        <w:r w:rsidR="00AC6652">
          <w:rPr>
            <w:webHidden/>
          </w:rPr>
          <w:t>68</w:t>
        </w:r>
        <w:r w:rsidR="00AC6652">
          <w:rPr>
            <w:webHidden/>
          </w:rPr>
          <w:fldChar w:fldCharType="end"/>
        </w:r>
      </w:hyperlink>
    </w:p>
    <w:p w14:paraId="3EFEF9AC" w14:textId="77777777" w:rsidR="00AC6652" w:rsidRDefault="003D3E81">
      <w:pPr>
        <w:pStyle w:val="TOC2"/>
        <w:rPr>
          <w:rFonts w:asciiTheme="minorHAnsi" w:eastAsiaTheme="minorEastAsia" w:hAnsiTheme="minorHAnsi" w:cstheme="minorBidi"/>
          <w:sz w:val="22"/>
          <w:szCs w:val="22"/>
        </w:rPr>
      </w:pPr>
      <w:hyperlink w:anchor="_Toc466020982" w:history="1">
        <w:r w:rsidR="00AC6652" w:rsidRPr="00256699">
          <w:rPr>
            <w:rStyle w:val="Hyperlink"/>
          </w:rPr>
          <w:t>Proposed levy methodologies</w:t>
        </w:r>
        <w:r w:rsidR="00AC6652">
          <w:rPr>
            <w:webHidden/>
          </w:rPr>
          <w:tab/>
        </w:r>
        <w:r w:rsidR="00AC6652">
          <w:rPr>
            <w:webHidden/>
          </w:rPr>
          <w:fldChar w:fldCharType="begin"/>
        </w:r>
        <w:r w:rsidR="00AC6652">
          <w:rPr>
            <w:webHidden/>
          </w:rPr>
          <w:instrText xml:space="preserve"> PAGEREF _Toc466020982 \h </w:instrText>
        </w:r>
        <w:r w:rsidR="00AC6652">
          <w:rPr>
            <w:webHidden/>
          </w:rPr>
        </w:r>
        <w:r w:rsidR="00AC6652">
          <w:rPr>
            <w:webHidden/>
          </w:rPr>
          <w:fldChar w:fldCharType="separate"/>
        </w:r>
        <w:r w:rsidR="00AC6652">
          <w:rPr>
            <w:webHidden/>
          </w:rPr>
          <w:t>69</w:t>
        </w:r>
        <w:r w:rsidR="00AC6652">
          <w:rPr>
            <w:webHidden/>
          </w:rPr>
          <w:fldChar w:fldCharType="end"/>
        </w:r>
      </w:hyperlink>
    </w:p>
    <w:p w14:paraId="56BD22F6" w14:textId="77777777" w:rsidR="00AC6652" w:rsidRDefault="003D3E81">
      <w:pPr>
        <w:pStyle w:val="TOC2"/>
        <w:rPr>
          <w:rFonts w:asciiTheme="minorHAnsi" w:eastAsiaTheme="minorEastAsia" w:hAnsiTheme="minorHAnsi" w:cstheme="minorBidi"/>
          <w:sz w:val="22"/>
          <w:szCs w:val="22"/>
        </w:rPr>
      </w:pPr>
      <w:hyperlink w:anchor="_Toc466020983" w:history="1">
        <w:r w:rsidR="00AC6652" w:rsidRPr="00256699">
          <w:rPr>
            <w:rStyle w:val="Hyperlink"/>
          </w:rPr>
          <w:t>Examples of proposed levies</w:t>
        </w:r>
        <w:r w:rsidR="00AC6652">
          <w:rPr>
            <w:webHidden/>
          </w:rPr>
          <w:tab/>
        </w:r>
        <w:r w:rsidR="00AC6652">
          <w:rPr>
            <w:webHidden/>
          </w:rPr>
          <w:fldChar w:fldCharType="begin"/>
        </w:r>
        <w:r w:rsidR="00AC6652">
          <w:rPr>
            <w:webHidden/>
          </w:rPr>
          <w:instrText xml:space="preserve"> PAGEREF _Toc466020983 \h </w:instrText>
        </w:r>
        <w:r w:rsidR="00AC6652">
          <w:rPr>
            <w:webHidden/>
          </w:rPr>
        </w:r>
        <w:r w:rsidR="00AC6652">
          <w:rPr>
            <w:webHidden/>
          </w:rPr>
          <w:fldChar w:fldCharType="separate"/>
        </w:r>
        <w:r w:rsidR="00AC6652">
          <w:rPr>
            <w:webHidden/>
          </w:rPr>
          <w:t>71</w:t>
        </w:r>
        <w:r w:rsidR="00AC6652">
          <w:rPr>
            <w:webHidden/>
          </w:rPr>
          <w:fldChar w:fldCharType="end"/>
        </w:r>
      </w:hyperlink>
    </w:p>
    <w:p w14:paraId="30F30B4A" w14:textId="77777777" w:rsidR="00AC6652" w:rsidRDefault="003D3E81">
      <w:pPr>
        <w:pStyle w:val="TOC1"/>
        <w:rPr>
          <w:rFonts w:asciiTheme="minorHAnsi" w:eastAsiaTheme="minorEastAsia" w:hAnsiTheme="minorHAnsi" w:cstheme="minorBidi"/>
          <w:b w:val="0"/>
          <w:sz w:val="22"/>
          <w:szCs w:val="22"/>
        </w:rPr>
      </w:pPr>
      <w:hyperlink w:anchor="_Toc466020984" w:history="1">
        <w:r w:rsidR="00AC6652" w:rsidRPr="00256699">
          <w:rPr>
            <w:rStyle w:val="Hyperlink"/>
          </w:rPr>
          <w:t>I</w:t>
        </w:r>
        <w:r w:rsidR="00AC6652">
          <w:rPr>
            <w:rFonts w:asciiTheme="minorHAnsi" w:eastAsiaTheme="minorEastAsia" w:hAnsiTheme="minorHAnsi" w:cstheme="minorBidi"/>
            <w:b w:val="0"/>
            <w:sz w:val="22"/>
            <w:szCs w:val="22"/>
          </w:rPr>
          <w:tab/>
        </w:r>
        <w:r w:rsidR="00AC6652" w:rsidRPr="00256699">
          <w:rPr>
            <w:rStyle w:val="Hyperlink"/>
          </w:rPr>
          <w:t>Appendix 1: Industry funding model summary table</w:t>
        </w:r>
        <w:r w:rsidR="00AC6652">
          <w:rPr>
            <w:webHidden/>
          </w:rPr>
          <w:tab/>
        </w:r>
        <w:r w:rsidR="00AC6652">
          <w:rPr>
            <w:webHidden/>
          </w:rPr>
          <w:fldChar w:fldCharType="begin"/>
        </w:r>
        <w:r w:rsidR="00AC6652">
          <w:rPr>
            <w:webHidden/>
          </w:rPr>
          <w:instrText xml:space="preserve"> PAGEREF _Toc466020984 \h </w:instrText>
        </w:r>
        <w:r w:rsidR="00AC6652">
          <w:rPr>
            <w:webHidden/>
          </w:rPr>
        </w:r>
        <w:r w:rsidR="00AC6652">
          <w:rPr>
            <w:webHidden/>
          </w:rPr>
          <w:fldChar w:fldCharType="separate"/>
        </w:r>
        <w:r w:rsidR="00AC6652">
          <w:rPr>
            <w:webHidden/>
          </w:rPr>
          <w:t>72</w:t>
        </w:r>
        <w:r w:rsidR="00AC6652">
          <w:rPr>
            <w:webHidden/>
          </w:rPr>
          <w:fldChar w:fldCharType="end"/>
        </w:r>
      </w:hyperlink>
    </w:p>
    <w:p w14:paraId="7704DA24" w14:textId="77777777" w:rsidR="00AC6652" w:rsidRDefault="003D3E81">
      <w:pPr>
        <w:pStyle w:val="TOC1"/>
        <w:rPr>
          <w:rFonts w:asciiTheme="minorHAnsi" w:eastAsiaTheme="minorEastAsia" w:hAnsiTheme="minorHAnsi" w:cstheme="minorBidi"/>
          <w:b w:val="0"/>
          <w:sz w:val="22"/>
          <w:szCs w:val="22"/>
        </w:rPr>
      </w:pPr>
      <w:hyperlink w:anchor="_Toc466020985" w:history="1">
        <w:r w:rsidR="00AC6652" w:rsidRPr="00256699">
          <w:rPr>
            <w:rStyle w:val="Hyperlink"/>
          </w:rPr>
          <w:t>J</w:t>
        </w:r>
        <w:r w:rsidR="00AC6652">
          <w:rPr>
            <w:rFonts w:asciiTheme="minorHAnsi" w:eastAsiaTheme="minorEastAsia" w:hAnsiTheme="minorHAnsi" w:cstheme="minorBidi"/>
            <w:b w:val="0"/>
            <w:sz w:val="22"/>
            <w:szCs w:val="22"/>
          </w:rPr>
          <w:tab/>
        </w:r>
        <w:r w:rsidR="00AC6652" w:rsidRPr="00256699">
          <w:rPr>
            <w:rStyle w:val="Hyperlink"/>
          </w:rPr>
          <w:t>Appendix 2: Forms that are proposed to have fees removed</w:t>
        </w:r>
        <w:r w:rsidR="00AC6652">
          <w:rPr>
            <w:webHidden/>
          </w:rPr>
          <w:tab/>
        </w:r>
        <w:r w:rsidR="00AC6652">
          <w:rPr>
            <w:webHidden/>
          </w:rPr>
          <w:fldChar w:fldCharType="begin"/>
        </w:r>
        <w:r w:rsidR="00AC6652">
          <w:rPr>
            <w:webHidden/>
          </w:rPr>
          <w:instrText xml:space="preserve"> PAGEREF _Toc466020985 \h </w:instrText>
        </w:r>
        <w:r w:rsidR="00AC6652">
          <w:rPr>
            <w:webHidden/>
          </w:rPr>
        </w:r>
        <w:r w:rsidR="00AC6652">
          <w:rPr>
            <w:webHidden/>
          </w:rPr>
          <w:fldChar w:fldCharType="separate"/>
        </w:r>
        <w:r w:rsidR="00AC6652">
          <w:rPr>
            <w:webHidden/>
          </w:rPr>
          <w:t>83</w:t>
        </w:r>
        <w:r w:rsidR="00AC6652">
          <w:rPr>
            <w:webHidden/>
          </w:rPr>
          <w:fldChar w:fldCharType="end"/>
        </w:r>
      </w:hyperlink>
    </w:p>
    <w:p w14:paraId="1A98CDAC" w14:textId="77777777" w:rsidR="0080591D" w:rsidRDefault="0080591D" w:rsidP="00C5354C">
      <w:pPr>
        <w:pStyle w:val="Bodytextplain"/>
      </w:pPr>
      <w:r>
        <w:rPr>
          <w:noProof/>
        </w:rPr>
        <w:fldChar w:fldCharType="end"/>
      </w:r>
    </w:p>
    <w:p w14:paraId="7316EFA9" w14:textId="77777777" w:rsidR="0080591D" w:rsidRDefault="0080591D">
      <w:pPr>
        <w:pStyle w:val="Heading1"/>
      </w:pPr>
      <w:bookmarkStart w:id="7" w:name="_Toc463544581"/>
      <w:bookmarkStart w:id="8" w:name="_Toc463595183"/>
      <w:bookmarkStart w:id="9" w:name="_Toc464140293"/>
      <w:bookmarkStart w:id="10" w:name="_Toc466020946"/>
      <w:r>
        <w:t>Introduction</w:t>
      </w:r>
      <w:bookmarkEnd w:id="7"/>
      <w:bookmarkEnd w:id="8"/>
      <w:bookmarkEnd w:id="9"/>
      <w:bookmarkEnd w:id="10"/>
      <w:r>
        <w:t xml:space="preserve"> </w:t>
      </w:r>
    </w:p>
    <w:p w14:paraId="28B59B7A" w14:textId="77777777" w:rsidR="0080591D" w:rsidRDefault="0080591D">
      <w:pPr>
        <w:pStyle w:val="Heading2"/>
      </w:pPr>
      <w:bookmarkStart w:id="11" w:name="_Toc463544582"/>
      <w:bookmarkStart w:id="12" w:name="_Toc463595184"/>
      <w:bookmarkStart w:id="13" w:name="_Toc464140294"/>
      <w:bookmarkStart w:id="14" w:name="_Toc466020947"/>
      <w:r>
        <w:t>About ASIC</w:t>
      </w:r>
      <w:bookmarkEnd w:id="11"/>
      <w:bookmarkEnd w:id="12"/>
      <w:bookmarkEnd w:id="13"/>
      <w:bookmarkEnd w:id="14"/>
    </w:p>
    <w:p w14:paraId="5A1A4D0B" w14:textId="24C224CB" w:rsidR="0080591D" w:rsidRPr="00887447" w:rsidRDefault="0080591D" w:rsidP="00C5354C">
      <w:pPr>
        <w:pStyle w:val="BodyText"/>
      </w:pPr>
      <w:r w:rsidRPr="00887447">
        <w:t>ASIC is Australia’s integrated corporate, markets, financial services and consumer credit regulator.</w:t>
      </w:r>
    </w:p>
    <w:p w14:paraId="3E0A81E7" w14:textId="71F38E7B" w:rsidR="0080591D" w:rsidRPr="00887447" w:rsidRDefault="0080591D" w:rsidP="00C5354C">
      <w:pPr>
        <w:pStyle w:val="BodyText"/>
      </w:pPr>
      <w:r w:rsidRPr="00887447">
        <w:t>ASIC</w:t>
      </w:r>
      <w:r w:rsidR="0003187F">
        <w:t>’</w:t>
      </w:r>
      <w:r w:rsidRPr="00887447">
        <w:t>s vision is to allow markets to fund the economy and</w:t>
      </w:r>
      <w:r>
        <w:t>,</w:t>
      </w:r>
      <w:r w:rsidRPr="00887447">
        <w:t xml:space="preserve"> in turn, economic growth</w:t>
      </w:r>
      <w:r>
        <w:t>. I</w:t>
      </w:r>
      <w:r w:rsidRPr="00887447">
        <w:t>n doing so</w:t>
      </w:r>
      <w:r>
        <w:t xml:space="preserve">, ASIC </w:t>
      </w:r>
      <w:r w:rsidRPr="00887447">
        <w:t>contribut</w:t>
      </w:r>
      <w:r>
        <w:t>es</w:t>
      </w:r>
      <w:r w:rsidRPr="00887447">
        <w:t xml:space="preserve"> to the financial wellbeing of all Australians. ASIC does this by:</w:t>
      </w:r>
    </w:p>
    <w:p w14:paraId="34264BC4" w14:textId="77777777" w:rsidR="0080591D" w:rsidRPr="00887447" w:rsidRDefault="0080591D" w:rsidP="000B5B80">
      <w:pPr>
        <w:pStyle w:val="subparaa"/>
        <w:ind w:left="1559"/>
      </w:pPr>
      <w:r w:rsidRPr="00887447">
        <w:t xml:space="preserve">promoting investor </w:t>
      </w:r>
      <w:r>
        <w:t>and consumer</w:t>
      </w:r>
      <w:r w:rsidRPr="00887447">
        <w:t xml:space="preserve"> trust and confidence </w:t>
      </w:r>
    </w:p>
    <w:p w14:paraId="3C3577AB" w14:textId="77777777" w:rsidR="0080591D" w:rsidRPr="00DF3067" w:rsidRDefault="0080591D" w:rsidP="000B5B80">
      <w:pPr>
        <w:pStyle w:val="subparaa"/>
        <w:ind w:left="1559"/>
      </w:pPr>
      <w:r w:rsidRPr="00DF3067">
        <w:t>ensuring fair and efficient markets</w:t>
      </w:r>
    </w:p>
    <w:p w14:paraId="6A3CB050" w14:textId="77777777" w:rsidR="0080591D" w:rsidRPr="00887447" w:rsidRDefault="0080591D" w:rsidP="000B5B80">
      <w:pPr>
        <w:pStyle w:val="subparaa"/>
        <w:ind w:left="1559"/>
      </w:pPr>
      <w:r w:rsidRPr="00887447">
        <w:t>providing efficient registration</w:t>
      </w:r>
      <w:r>
        <w:t xml:space="preserve"> services</w:t>
      </w:r>
      <w:r w:rsidRPr="00887447">
        <w:t>.</w:t>
      </w:r>
    </w:p>
    <w:p w14:paraId="2D949ACD" w14:textId="148A2183" w:rsidR="0080591D" w:rsidRDefault="0080591D">
      <w:pPr>
        <w:pStyle w:val="Heading2"/>
      </w:pPr>
      <w:bookmarkStart w:id="15" w:name="_Toc463544583"/>
      <w:bookmarkStart w:id="16" w:name="_Toc463595185"/>
      <w:bookmarkStart w:id="17" w:name="_Toc464140295"/>
      <w:bookmarkStart w:id="18" w:name="_Toc466020948"/>
      <w:bookmarkStart w:id="19" w:name="_Ref150921882"/>
      <w:r>
        <w:t>ASIC’s long–term challenges and strategic risks</w:t>
      </w:r>
      <w:bookmarkEnd w:id="15"/>
      <w:bookmarkEnd w:id="16"/>
      <w:bookmarkEnd w:id="17"/>
      <w:bookmarkEnd w:id="18"/>
    </w:p>
    <w:p w14:paraId="390387D6" w14:textId="7D203DA1" w:rsidR="0080591D" w:rsidRDefault="0080591D" w:rsidP="00C5354C">
      <w:pPr>
        <w:pStyle w:val="BodyText"/>
      </w:pPr>
      <w:bookmarkStart w:id="20" w:name="_ASICRef774"/>
      <w:bookmarkEnd w:id="19"/>
      <w:r w:rsidRPr="00887447">
        <w:t xml:space="preserve">The long-term challenges </w:t>
      </w:r>
      <w:r>
        <w:t xml:space="preserve">to ASIC’s vision </w:t>
      </w:r>
      <w:r w:rsidRPr="00887447">
        <w:t xml:space="preserve">shape </w:t>
      </w:r>
      <w:r>
        <w:t>its risk</w:t>
      </w:r>
      <w:r w:rsidRPr="00D91028">
        <w:t xml:space="preserve"> </w:t>
      </w:r>
      <w:r w:rsidRPr="00887447">
        <w:t>outlook and strategy</w:t>
      </w:r>
      <w:r>
        <w:t xml:space="preserve">. </w:t>
      </w:r>
      <w:bookmarkEnd w:id="20"/>
    </w:p>
    <w:p w14:paraId="577EDCA8" w14:textId="77777777" w:rsidR="0080591D" w:rsidRPr="00887447" w:rsidRDefault="0080591D" w:rsidP="00C5354C">
      <w:pPr>
        <w:pStyle w:val="BodyText"/>
      </w:pPr>
      <w:r>
        <w:t>Over the</w:t>
      </w:r>
      <w:r w:rsidRPr="00887447">
        <w:t xml:space="preserve"> next four years</w:t>
      </w:r>
      <w:r>
        <w:t>, ASIC anticipates the following key challenges</w:t>
      </w:r>
      <w:r w:rsidRPr="00887447">
        <w:t>:</w:t>
      </w:r>
    </w:p>
    <w:p w14:paraId="38E3F08C" w14:textId="77777777" w:rsidR="0080591D" w:rsidRPr="00887447" w:rsidRDefault="0080591D" w:rsidP="000B5B80">
      <w:pPr>
        <w:pStyle w:val="subparaa"/>
        <w:ind w:left="1559"/>
      </w:pPr>
      <w:r>
        <w:t>aligning conduct in a</w:t>
      </w:r>
      <w:r w:rsidRPr="00887447">
        <w:t xml:space="preserve"> market-based system with investor and consumer </w:t>
      </w:r>
      <w:r>
        <w:t>trust and confidence</w:t>
      </w:r>
      <w:r w:rsidRPr="00D91028">
        <w:t xml:space="preserve"> </w:t>
      </w:r>
    </w:p>
    <w:p w14:paraId="1B900AB2" w14:textId="05DFDDF4" w:rsidR="0080591D" w:rsidRDefault="0080591D" w:rsidP="000B5B80">
      <w:pPr>
        <w:pStyle w:val="subparaa"/>
        <w:ind w:left="1559"/>
      </w:pPr>
      <w:r w:rsidRPr="00812E0C">
        <w:t>digital disruption and cyber resilience in Australia’s financial services and markets</w:t>
      </w:r>
    </w:p>
    <w:p w14:paraId="7FF70E59" w14:textId="77777777" w:rsidR="0080591D" w:rsidRPr="00887447" w:rsidRDefault="0080591D" w:rsidP="000B5B80">
      <w:pPr>
        <w:pStyle w:val="subparaa"/>
        <w:ind w:left="1559"/>
      </w:pPr>
      <w:r w:rsidRPr="00887447">
        <w:t>structural change in the Australian financial system through market-based financing</w:t>
      </w:r>
      <w:r>
        <w:t>,</w:t>
      </w:r>
      <w:r w:rsidRPr="00887447">
        <w:t xml:space="preserve"> which is led by the growth in superannuation</w:t>
      </w:r>
    </w:p>
    <w:p w14:paraId="43EE7BAC" w14:textId="77777777" w:rsidR="0080591D" w:rsidRPr="00887447" w:rsidRDefault="0080591D" w:rsidP="000B5B80">
      <w:pPr>
        <w:pStyle w:val="subparaa"/>
        <w:ind w:left="1559"/>
      </w:pPr>
      <w:r w:rsidRPr="00D63D9B">
        <w:t>complexity in financial markets and products driven by innovation</w:t>
      </w:r>
    </w:p>
    <w:p w14:paraId="2F0B3B65" w14:textId="77777777" w:rsidR="0080591D" w:rsidRPr="0080591D" w:rsidRDefault="0080591D" w:rsidP="000B5B80">
      <w:pPr>
        <w:pStyle w:val="subparaa"/>
        <w:ind w:left="1559"/>
      </w:pPr>
      <w:r w:rsidRPr="00887447">
        <w:t xml:space="preserve">globalisation </w:t>
      </w:r>
      <w:r>
        <w:t>of financial</w:t>
      </w:r>
      <w:r w:rsidRPr="00887447">
        <w:t xml:space="preserve"> markets, products and </w:t>
      </w:r>
      <w:r>
        <w:t>services</w:t>
      </w:r>
      <w:r w:rsidRPr="00887447">
        <w:t>.</w:t>
      </w:r>
    </w:p>
    <w:p w14:paraId="5CF25739" w14:textId="4023CC99" w:rsidR="0080591D" w:rsidRDefault="0080591D" w:rsidP="00C5354C">
      <w:pPr>
        <w:pStyle w:val="BodyText"/>
      </w:pPr>
      <w:r>
        <w:t>ASIC has identified the key risks flowing from these challenges that it believes will be of particular concern in 2016</w:t>
      </w:r>
      <w:r w:rsidR="00D11144">
        <w:t>–</w:t>
      </w:r>
      <w:r>
        <w:t>17 and that warrant ASIC’s attention now.</w:t>
      </w:r>
    </w:p>
    <w:p w14:paraId="58091520" w14:textId="77777777" w:rsidR="0080591D" w:rsidRPr="00887447" w:rsidRDefault="0080591D" w:rsidP="00C5354C">
      <w:pPr>
        <w:pStyle w:val="BodyText"/>
      </w:pPr>
      <w:r>
        <w:t>These key risks relate to</w:t>
      </w:r>
      <w:r w:rsidRPr="00887447">
        <w:t xml:space="preserve">: </w:t>
      </w:r>
    </w:p>
    <w:p w14:paraId="6F7C4A48" w14:textId="77777777" w:rsidR="0080591D" w:rsidRPr="00887447" w:rsidRDefault="0080591D" w:rsidP="000B5B80">
      <w:pPr>
        <w:pStyle w:val="subparaa"/>
        <w:ind w:left="1559"/>
      </w:pPr>
      <w:r w:rsidRPr="00887447">
        <w:t xml:space="preserve">gatekeeper culture and conduct </w:t>
      </w:r>
      <w:r>
        <w:t xml:space="preserve">in </w:t>
      </w:r>
      <w:r w:rsidRPr="00887447">
        <w:t>financial services and credit</w:t>
      </w:r>
      <w:r>
        <w:t xml:space="preserve"> resulting in poor outcomes for investors and consumers</w:t>
      </w:r>
    </w:p>
    <w:p w14:paraId="0E3AAE4F" w14:textId="77777777" w:rsidR="0080591D" w:rsidRDefault="0080591D" w:rsidP="000B5B80">
      <w:pPr>
        <w:pStyle w:val="subparaa"/>
        <w:ind w:left="1559"/>
      </w:pPr>
      <w:r>
        <w:t>gatekeeper culture and conduct in markets undermining good governance practices and risk management systems</w:t>
      </w:r>
    </w:p>
    <w:p w14:paraId="7C3DD3CE" w14:textId="77777777" w:rsidR="0080591D" w:rsidRPr="00D63D9B" w:rsidRDefault="0080591D" w:rsidP="000B5B80">
      <w:pPr>
        <w:pStyle w:val="subparaa"/>
        <w:ind w:left="1559"/>
      </w:pPr>
      <w:r w:rsidRPr="00D63D9B">
        <w:t>misalignment of retail product design and distribution with consumer understanding</w:t>
      </w:r>
    </w:p>
    <w:p w14:paraId="6AF36E22" w14:textId="77777777" w:rsidR="0080591D" w:rsidRPr="00887447" w:rsidRDefault="0080591D" w:rsidP="000B5B80">
      <w:pPr>
        <w:pStyle w:val="subparaa"/>
        <w:ind w:left="1559"/>
      </w:pPr>
      <w:r w:rsidRPr="00887447">
        <w:t>digital disruption</w:t>
      </w:r>
    </w:p>
    <w:p w14:paraId="17D50890" w14:textId="77777777" w:rsidR="0080591D" w:rsidRPr="00D63D9B" w:rsidRDefault="0080591D" w:rsidP="000B5B80">
      <w:pPr>
        <w:pStyle w:val="subparaa"/>
        <w:ind w:left="1559"/>
      </w:pPr>
      <w:r w:rsidRPr="00812E0C">
        <w:t>cyber threats</w:t>
      </w:r>
    </w:p>
    <w:p w14:paraId="62B639AD" w14:textId="77777777" w:rsidR="0080591D" w:rsidRPr="00887447" w:rsidRDefault="0080591D" w:rsidP="000B5B80">
      <w:pPr>
        <w:pStyle w:val="subparaa"/>
        <w:ind w:left="1559"/>
      </w:pPr>
      <w:r w:rsidRPr="00887447">
        <w:t>cross-border businesses, services and transactions.</w:t>
      </w:r>
    </w:p>
    <w:p w14:paraId="03CF98FD" w14:textId="4E0A65D5" w:rsidR="0080591D" w:rsidRPr="00887447" w:rsidRDefault="0080591D" w:rsidP="00C5354C">
      <w:pPr>
        <w:pStyle w:val="BodyText"/>
      </w:pPr>
      <w:r w:rsidRPr="00887447">
        <w:t xml:space="preserve">The </w:t>
      </w:r>
      <w:r w:rsidRPr="008E5AA9">
        <w:rPr>
          <w:i/>
        </w:rPr>
        <w:t>ASIC Corporate Plan</w:t>
      </w:r>
      <w:r w:rsidRPr="00887447">
        <w:t xml:space="preserve"> </w:t>
      </w:r>
      <w:r>
        <w:rPr>
          <w:i/>
        </w:rPr>
        <w:t>2016</w:t>
      </w:r>
      <w:r w:rsidR="00D11144">
        <w:rPr>
          <w:i/>
        </w:rPr>
        <w:t>–</w:t>
      </w:r>
      <w:r>
        <w:rPr>
          <w:i/>
        </w:rPr>
        <w:t>17 to 2019</w:t>
      </w:r>
      <w:r w:rsidR="00D11144">
        <w:rPr>
          <w:i/>
        </w:rPr>
        <w:t>–</w:t>
      </w:r>
      <w:r>
        <w:rPr>
          <w:i/>
        </w:rPr>
        <w:t xml:space="preserve">20 </w:t>
      </w:r>
      <w:r>
        <w:t>(Corporate Plan)</w:t>
      </w:r>
      <w:r w:rsidRPr="001F3D52">
        <w:t xml:space="preserve"> </w:t>
      </w:r>
      <w:r w:rsidRPr="008E5AA9">
        <w:t>was published on 31</w:t>
      </w:r>
      <w:r w:rsidR="00D11144">
        <w:t> </w:t>
      </w:r>
      <w:r w:rsidRPr="008E5AA9">
        <w:t>August 2016</w:t>
      </w:r>
      <w:r>
        <w:t>.</w:t>
      </w:r>
      <w:r w:rsidRPr="00887447">
        <w:t xml:space="preserve"> </w:t>
      </w:r>
      <w:r>
        <w:t>The Corporate Plan explains how ASIC will achieve its vision and</w:t>
      </w:r>
      <w:r w:rsidRPr="00887447">
        <w:t xml:space="preserve"> </w:t>
      </w:r>
      <w:r w:rsidRPr="00DF3067">
        <w:t xml:space="preserve">how </w:t>
      </w:r>
      <w:r w:rsidRPr="00887447">
        <w:t xml:space="preserve">ASIC will </w:t>
      </w:r>
      <w:r>
        <w:t>use its resources and powers to respond to the anticipated risks in 2016–17</w:t>
      </w:r>
      <w:r w:rsidR="00A366D4">
        <w:t>.</w:t>
      </w:r>
    </w:p>
    <w:p w14:paraId="4E2CCE0B" w14:textId="68E76498" w:rsidR="0080591D" w:rsidRDefault="0080591D">
      <w:pPr>
        <w:pStyle w:val="Heading2"/>
      </w:pPr>
      <w:bookmarkStart w:id="21" w:name="_Toc463544584"/>
      <w:bookmarkStart w:id="22" w:name="_Toc463595186"/>
      <w:bookmarkStart w:id="23" w:name="_Toc464140296"/>
      <w:bookmarkStart w:id="24" w:name="_Toc466020949"/>
      <w:r>
        <w:t>ASIC’s approach to strategic planning</w:t>
      </w:r>
      <w:bookmarkEnd w:id="21"/>
      <w:bookmarkEnd w:id="22"/>
      <w:bookmarkEnd w:id="23"/>
      <w:bookmarkEnd w:id="24"/>
    </w:p>
    <w:p w14:paraId="27E95550" w14:textId="12FFE8BD" w:rsidR="0080591D" w:rsidRPr="00887447" w:rsidRDefault="0080591D" w:rsidP="0080591D">
      <w:pPr>
        <w:pStyle w:val="Heading3"/>
        <w:rPr>
          <w:i/>
        </w:rPr>
      </w:pPr>
      <w:r w:rsidRPr="00887447">
        <w:t>ASIC’s strategic risk identification process</w:t>
      </w:r>
    </w:p>
    <w:p w14:paraId="3D7AA552" w14:textId="0498FDC8" w:rsidR="0080591D" w:rsidRPr="00887447" w:rsidRDefault="0080591D" w:rsidP="00C5354C">
      <w:pPr>
        <w:pStyle w:val="BodyText"/>
      </w:pPr>
      <w:r w:rsidRPr="00887447">
        <w:t xml:space="preserve">ASIC’s assessment of the risks that each regulated sector presents is central to the regulatory activities that ASIC plans to undertake in the forthcoming year. </w:t>
      </w:r>
    </w:p>
    <w:p w14:paraId="25250AAA" w14:textId="227D79F4" w:rsidR="0080591D" w:rsidRPr="00887447" w:rsidRDefault="0080591D" w:rsidP="00C5354C">
      <w:pPr>
        <w:pStyle w:val="BodyText"/>
      </w:pPr>
      <w:r w:rsidRPr="00887447" w:rsidDel="0067756E">
        <w:t xml:space="preserve">ASIC’s </w:t>
      </w:r>
      <w:r w:rsidRPr="00887447">
        <w:t xml:space="preserve">strategic risks are externally-focused risks that can cause harm to investors, consumers, and the markets and sectors that ASIC regulates. They pose a threat to trust and confidence in the financial system, or markets being fair and efficient. </w:t>
      </w:r>
    </w:p>
    <w:p w14:paraId="1916E75D" w14:textId="2B140138" w:rsidR="0080591D" w:rsidRPr="00887447" w:rsidRDefault="0080591D" w:rsidP="00C5354C">
      <w:pPr>
        <w:pStyle w:val="BodyText"/>
      </w:pPr>
      <w:r w:rsidRPr="00887447">
        <w:t>ASIC adopts a ‘top down’ and ‘bottom up’ approach to identify and prioritise strategic risks for each financial year. The bottom-up process involves:</w:t>
      </w:r>
    </w:p>
    <w:p w14:paraId="1EB698D4" w14:textId="77777777" w:rsidR="0080591D" w:rsidRPr="00887447" w:rsidRDefault="0080591D" w:rsidP="000B5B80">
      <w:pPr>
        <w:pStyle w:val="subparaa"/>
        <w:ind w:left="1559"/>
      </w:pPr>
      <w:r w:rsidRPr="00887447">
        <w:t>Individual teams across ASIC identifying the greatest risks to consumers and their regulated populations</w:t>
      </w:r>
    </w:p>
    <w:p w14:paraId="5E11BFC6" w14:textId="6D940136" w:rsidR="0080591D" w:rsidRDefault="0080591D" w:rsidP="000B5B80">
      <w:pPr>
        <w:pStyle w:val="subparaa"/>
        <w:ind w:left="1559"/>
      </w:pPr>
      <w:r w:rsidRPr="00887447">
        <w:t xml:space="preserve">Senior </w:t>
      </w:r>
      <w:r>
        <w:t>executives</w:t>
      </w:r>
      <w:r w:rsidRPr="00887447">
        <w:t xml:space="preserve"> in ASIC completing a qualitative risk assessment</w:t>
      </w:r>
      <w:r>
        <w:t xml:space="preserve"> including a survey</w:t>
      </w:r>
      <w:r w:rsidRPr="00887447">
        <w:t xml:space="preserve">. To support this assessment, ASIC’s senior </w:t>
      </w:r>
      <w:r>
        <w:t>executives</w:t>
      </w:r>
      <w:r w:rsidRPr="00887447">
        <w:t xml:space="preserve"> take account of an environmental scan which outlines underlying risk factors and broader developments in the environment such as economic and market trends and demographic shifts</w:t>
      </w:r>
    </w:p>
    <w:p w14:paraId="69F70910" w14:textId="733ECF92" w:rsidR="0080591D" w:rsidRDefault="000035A2" w:rsidP="000B5B80">
      <w:pPr>
        <w:pStyle w:val="subparaa"/>
        <w:ind w:left="1559"/>
      </w:pPr>
      <w:r>
        <w:t>ASIC developing some</w:t>
      </w:r>
      <w:r w:rsidR="0080591D">
        <w:t xml:space="preserve"> ‘common language’ to describe its regulatory activities. The common language is a key and ongoing foundation-building exercise for the implementation of ASIC’s integrated platform, and may continue to evolve over the next three years</w:t>
      </w:r>
      <w:r w:rsidR="00D11144">
        <w:t xml:space="preserve"> (see </w:t>
      </w:r>
      <w:r w:rsidR="00D11144" w:rsidRPr="00F40539">
        <w:t xml:space="preserve">additional information on ASIC’s regulatory transformation project in </w:t>
      </w:r>
      <w:r w:rsidR="00D11144" w:rsidRPr="00F40539">
        <w:rPr>
          <w:b/>
        </w:rPr>
        <w:t xml:space="preserve">paragraph </w:t>
      </w:r>
      <w:r w:rsidR="00D11144" w:rsidRPr="00F40539">
        <w:rPr>
          <w:b/>
        </w:rPr>
        <w:fldChar w:fldCharType="begin"/>
      </w:r>
      <w:r w:rsidR="00D11144" w:rsidRPr="00F40539">
        <w:rPr>
          <w:b/>
        </w:rPr>
        <w:instrText xml:space="preserve"> REF _ASICRef705 \w \h </w:instrText>
      </w:r>
      <w:r w:rsidR="00A75F21" w:rsidRPr="00F40539">
        <w:rPr>
          <w:b/>
        </w:rPr>
        <w:instrText xml:space="preserve"> \* MERGEFORMAT </w:instrText>
      </w:r>
      <w:r w:rsidR="00D11144" w:rsidRPr="00F40539">
        <w:rPr>
          <w:b/>
        </w:rPr>
      </w:r>
      <w:r w:rsidR="00D11144" w:rsidRPr="00F40539">
        <w:rPr>
          <w:b/>
        </w:rPr>
        <w:fldChar w:fldCharType="separate"/>
      </w:r>
      <w:r w:rsidR="00A37D1A" w:rsidRPr="00F40539">
        <w:rPr>
          <w:b/>
        </w:rPr>
        <w:t>17</w:t>
      </w:r>
      <w:r w:rsidR="00D11144" w:rsidRPr="00F40539">
        <w:rPr>
          <w:b/>
        </w:rPr>
        <w:fldChar w:fldCharType="end"/>
      </w:r>
      <w:r w:rsidR="00D11144">
        <w:t>).</w:t>
      </w:r>
      <w:r w:rsidR="0080591D">
        <w:t xml:space="preserve"> The common language is being operationalised in ASIC’s workflow and data repositories to better facilitate strategic risk identification. </w:t>
      </w:r>
    </w:p>
    <w:p w14:paraId="45238780" w14:textId="40EF9091" w:rsidR="0080591D" w:rsidRPr="00B25C47" w:rsidRDefault="0080591D" w:rsidP="00B25C47">
      <w:pPr>
        <w:pStyle w:val="BodyText"/>
        <w:rPr>
          <w:rFonts w:eastAsiaTheme="majorEastAsia"/>
        </w:rPr>
      </w:pPr>
      <w:r w:rsidRPr="00B25C47">
        <w:t xml:space="preserve">This </w:t>
      </w:r>
      <w:r w:rsidR="0003187F" w:rsidRPr="00B25C47">
        <w:t>‘</w:t>
      </w:r>
      <w:r w:rsidRPr="00B25C47">
        <w:t>bottom-up</w:t>
      </w:r>
      <w:r w:rsidR="0003187F" w:rsidRPr="00B25C47">
        <w:t>’</w:t>
      </w:r>
      <w:r w:rsidRPr="00B25C47">
        <w:t xml:space="preserve"> approach complements a ‘top-down’ assessment from Commission and internal risk committees on what the priority strategic risks are</w:t>
      </w:r>
      <w:r w:rsidR="00D11144" w:rsidRPr="00B25C47">
        <w:t xml:space="preserve"> </w:t>
      </w:r>
      <w:r w:rsidRPr="00B25C47">
        <w:t>—</w:t>
      </w:r>
      <w:r w:rsidR="00A366D4" w:rsidRPr="00B25C47">
        <w:t xml:space="preserve"> that is, </w:t>
      </w:r>
      <w:r w:rsidRPr="00B25C47">
        <w:t>those that pose the greatest threat to investors, consumers and the markets ASIC regulates. ASIC has begun a program of consultation with its external advisory panels on key strategic risks. From 2017 onwards, ASIC will consult on strategic risks across its stakeholders more broadly in order to better understand their v</w:t>
      </w:r>
      <w:r w:rsidR="005B65A8">
        <w:t xml:space="preserve">arying needs and expectations. </w:t>
      </w:r>
      <w:r w:rsidRPr="00B25C47">
        <w:t>This is consistent with ASIC</w:t>
      </w:r>
      <w:r w:rsidR="0003187F" w:rsidRPr="00B25C47">
        <w:t>’</w:t>
      </w:r>
      <w:r w:rsidRPr="00B25C47">
        <w:t>s response to the ASIC Capability Review.</w:t>
      </w:r>
      <w:r w:rsidRPr="00B25C47">
        <w:rPr>
          <w:rStyle w:val="FootnoteReference"/>
        </w:rPr>
        <w:footnoteReference w:id="2"/>
      </w:r>
    </w:p>
    <w:p w14:paraId="7F12076C" w14:textId="658F3DA4" w:rsidR="0080591D" w:rsidRPr="00887447" w:rsidRDefault="0080591D" w:rsidP="0080591D">
      <w:pPr>
        <w:pStyle w:val="Heading3"/>
        <w:rPr>
          <w:i/>
        </w:rPr>
      </w:pPr>
      <w:r w:rsidRPr="00887447">
        <w:t>ASIC’s strategic resource prioritisation</w:t>
      </w:r>
    </w:p>
    <w:p w14:paraId="71B3B6D6" w14:textId="2C0710B5" w:rsidR="0080591D" w:rsidRPr="00887447" w:rsidRDefault="0080591D" w:rsidP="00C5354C">
      <w:pPr>
        <w:pStyle w:val="BodyText"/>
      </w:pPr>
      <w:r w:rsidRPr="00887447">
        <w:t>Based on the risks identified through ASIC</w:t>
      </w:r>
      <w:r w:rsidR="00364A89">
        <w:t>’s</w:t>
      </w:r>
      <w:r w:rsidRPr="00887447">
        <w:t xml:space="preserve"> strategic risk identification process (including the environmental scan), ASIC prioritises its regulatory effort to </w:t>
      </w:r>
      <w:r>
        <w:t xml:space="preserve">support </w:t>
      </w:r>
      <w:r w:rsidR="00364A89">
        <w:t xml:space="preserve">its </w:t>
      </w:r>
      <w:r>
        <w:t>vision and</w:t>
      </w:r>
      <w:r w:rsidRPr="00887447">
        <w:t xml:space="preserve"> address </w:t>
      </w:r>
      <w:r>
        <w:t>the key</w:t>
      </w:r>
      <w:r w:rsidRPr="00887447">
        <w:t xml:space="preserve"> risks. </w:t>
      </w:r>
    </w:p>
    <w:p w14:paraId="167A32A5" w14:textId="03631396" w:rsidR="0080591D" w:rsidRDefault="0080591D" w:rsidP="00C5354C">
      <w:pPr>
        <w:pStyle w:val="BodyText"/>
      </w:pPr>
      <w:r w:rsidRPr="00887447">
        <w:t>ASIC’s assessment of the likelihood and potential impact of its strategic risks is used to determine and prioritise the key regulatory responses in ASIC’s business plans and how it allocates effort across the different regulatory tools</w:t>
      </w:r>
      <w:r>
        <w:t xml:space="preserve"> based on ASIC’s ‘detect, understand and respond</w:t>
      </w:r>
      <w:r w:rsidRPr="00931465">
        <w:t>’</w:t>
      </w:r>
      <w:r>
        <w:t xml:space="preserve"> approach</w:t>
      </w:r>
      <w:r w:rsidRPr="00887447">
        <w:t>.</w:t>
      </w:r>
    </w:p>
    <w:p w14:paraId="68F5A401" w14:textId="13E7102C" w:rsidR="0080591D" w:rsidRPr="00931465" w:rsidRDefault="0080591D" w:rsidP="00C5354C">
      <w:pPr>
        <w:pStyle w:val="BodyText"/>
      </w:pPr>
      <w:bookmarkStart w:id="25" w:name="_ASICRef14"/>
      <w:r w:rsidRPr="00931465">
        <w:t xml:space="preserve">As part of the ‘detect, understand and respond’ approach, ASIC will: </w:t>
      </w:r>
      <w:bookmarkEnd w:id="25"/>
    </w:p>
    <w:p w14:paraId="32A19FD1" w14:textId="77777777" w:rsidR="0080591D" w:rsidRPr="00931465" w:rsidRDefault="0080591D" w:rsidP="000B5B80">
      <w:pPr>
        <w:pStyle w:val="subparaa"/>
        <w:ind w:left="1559"/>
      </w:pPr>
      <w:r w:rsidRPr="00931465">
        <w:t xml:space="preserve">detect wrongdoing through surveillance, breach reports, and reports from the public and whistleblowers </w:t>
      </w:r>
    </w:p>
    <w:p w14:paraId="7D7CEC83" w14:textId="746A5BF4" w:rsidR="0080591D" w:rsidRPr="00931465" w:rsidRDefault="0080591D" w:rsidP="000B5B80">
      <w:pPr>
        <w:pStyle w:val="subparaa"/>
        <w:ind w:left="1559"/>
      </w:pPr>
      <w:r w:rsidRPr="00931465">
        <w:t xml:space="preserve">understand </w:t>
      </w:r>
      <w:r>
        <w:t>ASIC’s</w:t>
      </w:r>
      <w:r w:rsidRPr="00931465">
        <w:t xml:space="preserve"> environment by continually scanning it to identify issues and manage risks </w:t>
      </w:r>
    </w:p>
    <w:p w14:paraId="3C8A6AC1" w14:textId="31B9C759" w:rsidR="0080591D" w:rsidRDefault="0080591D" w:rsidP="000B5B80">
      <w:pPr>
        <w:pStyle w:val="subparaa"/>
        <w:ind w:left="1559"/>
      </w:pPr>
      <w:r w:rsidRPr="00931465">
        <w:t xml:space="preserve">respond to wrongdoing or the risk of wrongdoing using a number of </w:t>
      </w:r>
      <w:r>
        <w:t xml:space="preserve">ASIC’s regulatory </w:t>
      </w:r>
      <w:r w:rsidRPr="00931465">
        <w:t xml:space="preserve">tools </w:t>
      </w:r>
      <w:r>
        <w:t xml:space="preserve">(see </w:t>
      </w:r>
      <w:r w:rsidR="00364A89" w:rsidRPr="00F40539">
        <w:rPr>
          <w:b/>
        </w:rPr>
        <w:fldChar w:fldCharType="begin"/>
      </w:r>
      <w:r w:rsidR="00364A89" w:rsidRPr="00F40539">
        <w:rPr>
          <w:b/>
        </w:rPr>
        <w:instrText xml:space="preserve"> REF _Ref463597108 \h </w:instrText>
      </w:r>
      <w:r w:rsidR="00A75F21" w:rsidRPr="00F40539">
        <w:rPr>
          <w:b/>
        </w:rPr>
        <w:instrText xml:space="preserve"> \* MERGEFORMAT </w:instrText>
      </w:r>
      <w:r w:rsidR="00364A89" w:rsidRPr="00F40539">
        <w:rPr>
          <w:b/>
        </w:rPr>
      </w:r>
      <w:r w:rsidR="00364A89" w:rsidRPr="00F40539">
        <w:rPr>
          <w:b/>
        </w:rPr>
        <w:fldChar w:fldCharType="separate"/>
      </w:r>
      <w:r w:rsidR="00A37D1A" w:rsidRPr="00F40539">
        <w:rPr>
          <w:b/>
        </w:rPr>
        <w:t>Table 1</w:t>
      </w:r>
      <w:r w:rsidR="00364A89" w:rsidRPr="00F40539">
        <w:rPr>
          <w:b/>
        </w:rPr>
        <w:fldChar w:fldCharType="end"/>
      </w:r>
      <w:r>
        <w:t xml:space="preserve"> below)</w:t>
      </w:r>
      <w:r w:rsidRPr="00931465">
        <w:t>.</w:t>
      </w:r>
    </w:p>
    <w:p w14:paraId="252E500C" w14:textId="20555C1F" w:rsidR="003417C5" w:rsidRDefault="003417C5" w:rsidP="00CB5C63">
      <w:pPr>
        <w:pStyle w:val="figuretitlefullwidth"/>
      </w:pPr>
      <w:r>
        <w:t xml:space="preserve">Figure </w:t>
      </w:r>
      <w:r w:rsidR="003D3E81">
        <w:fldChar w:fldCharType="begin"/>
      </w:r>
      <w:r w:rsidR="003D3E81">
        <w:instrText xml:space="preserve"> SEQ Figure \* ARABIC </w:instrText>
      </w:r>
      <w:r w:rsidR="003D3E81">
        <w:fldChar w:fldCharType="separate"/>
      </w:r>
      <w:r w:rsidR="00A37D1A">
        <w:rPr>
          <w:noProof/>
        </w:rPr>
        <w:t>1</w:t>
      </w:r>
      <w:r w:rsidR="003D3E81">
        <w:rPr>
          <w:noProof/>
        </w:rPr>
        <w:fldChar w:fldCharType="end"/>
      </w:r>
      <w:r>
        <w:t>:</w:t>
      </w:r>
      <w:r>
        <w:tab/>
        <w:t>ASIC’s strategic planning process</w:t>
      </w:r>
    </w:p>
    <w:p w14:paraId="0ED09449" w14:textId="77777777" w:rsidR="00BE1313" w:rsidRDefault="003417C5" w:rsidP="00BE1313">
      <w:pPr>
        <w:pStyle w:val="sourcenotefullwidth"/>
      </w:pPr>
      <w:r w:rsidRPr="00931465">
        <w:rPr>
          <w:b/>
          <w:noProof/>
        </w:rPr>
        <w:drawing>
          <wp:inline distT="0" distB="0" distL="0" distR="0" wp14:anchorId="6E446FC1" wp14:editId="204A3AE5">
            <wp:extent cx="5724000" cy="1194414"/>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3225" t="28071" r="5460" b="10411"/>
                    <a:stretch/>
                  </pic:blipFill>
                  <pic:spPr bwMode="auto">
                    <a:xfrm>
                      <a:off x="0" y="0"/>
                      <a:ext cx="5724000" cy="1194414"/>
                    </a:xfrm>
                    <a:prstGeom prst="rect">
                      <a:avLst/>
                    </a:prstGeom>
                    <a:ln>
                      <a:noFill/>
                    </a:ln>
                    <a:extLst>
                      <a:ext uri="{53640926-AAD7-44D8-BBD7-CCE9431645EC}">
                        <a14:shadowObscured xmlns:a14="http://schemas.microsoft.com/office/drawing/2010/main"/>
                      </a:ext>
                    </a:extLst>
                  </pic:spPr>
                </pic:pic>
              </a:graphicData>
            </a:graphic>
          </wp:inline>
        </w:drawing>
      </w:r>
      <w:bookmarkStart w:id="26" w:name="_Toc462677658"/>
      <w:bookmarkStart w:id="27" w:name="_Toc462697110"/>
      <w:bookmarkStart w:id="28" w:name="_Toc462698921"/>
      <w:bookmarkStart w:id="29" w:name="_Toc462700157"/>
      <w:bookmarkStart w:id="30" w:name="_Toc462700838"/>
    </w:p>
    <w:p w14:paraId="008D6D1B" w14:textId="77777777" w:rsidR="00BE1313" w:rsidRDefault="00BE1313" w:rsidP="00BE1313">
      <w:pPr>
        <w:pStyle w:val="sourcenotefullwidth"/>
      </w:pPr>
    </w:p>
    <w:p w14:paraId="2B0ADBA5" w14:textId="125FD6D7" w:rsidR="00FA1756" w:rsidRPr="00BE1313" w:rsidRDefault="00FA1756" w:rsidP="00BE1313">
      <w:pPr>
        <w:pStyle w:val="sourcenotefullwidth"/>
        <w:rPr>
          <w:lang w:val="en-ZW"/>
        </w:rPr>
      </w:pPr>
      <w:r w:rsidRPr="00BE1313">
        <w:rPr>
          <w:rFonts w:cs="Arial"/>
          <w:b/>
          <w:sz w:val="28"/>
          <w:szCs w:val="28"/>
        </w:rPr>
        <w:t>ASIC</w:t>
      </w:r>
      <w:r w:rsidR="0003187F">
        <w:rPr>
          <w:rFonts w:cs="Arial"/>
          <w:b/>
          <w:sz w:val="28"/>
          <w:szCs w:val="28"/>
        </w:rPr>
        <w:t>’</w:t>
      </w:r>
      <w:r w:rsidRPr="00BE1313">
        <w:rPr>
          <w:rFonts w:cs="Arial"/>
          <w:b/>
          <w:sz w:val="28"/>
          <w:szCs w:val="28"/>
        </w:rPr>
        <w:t>s regulatory activities and sub-activities</w:t>
      </w:r>
      <w:bookmarkEnd w:id="26"/>
      <w:bookmarkEnd w:id="27"/>
      <w:bookmarkEnd w:id="28"/>
      <w:bookmarkEnd w:id="29"/>
      <w:bookmarkEnd w:id="30"/>
    </w:p>
    <w:p w14:paraId="5A991957" w14:textId="199430D4" w:rsidR="0080591D" w:rsidRDefault="00FA1756" w:rsidP="00C5354C">
      <w:pPr>
        <w:pStyle w:val="BodyText"/>
      </w:pPr>
      <w:r w:rsidRPr="008E2393">
        <w:t>ASIC undertakes a range of regulatory activities to sa</w:t>
      </w:r>
      <w:r w:rsidR="005B65A8">
        <w:t xml:space="preserve">tisfy its statutory functions. </w:t>
      </w:r>
      <w:r w:rsidRPr="008E2393">
        <w:t xml:space="preserve">These activities can be broadly categorised as being: </w:t>
      </w:r>
      <w:r>
        <w:t xml:space="preserve">stakeholder engagement, education, guidance, </w:t>
      </w:r>
      <w:r w:rsidRPr="008E2393">
        <w:t xml:space="preserve">surveillance, enforcement, </w:t>
      </w:r>
      <w:r>
        <w:t>and</w:t>
      </w:r>
      <w:r w:rsidRPr="008E2393">
        <w:t xml:space="preserve"> policy advice: see </w:t>
      </w:r>
      <w:r w:rsidR="00364A89" w:rsidRPr="00F40539">
        <w:rPr>
          <w:b/>
        </w:rPr>
        <w:fldChar w:fldCharType="begin"/>
      </w:r>
      <w:r w:rsidR="00364A89" w:rsidRPr="00F40539">
        <w:rPr>
          <w:b/>
        </w:rPr>
        <w:instrText xml:space="preserve"> REF _Ref463597108 \h </w:instrText>
      </w:r>
      <w:r w:rsidR="00F40539" w:rsidRPr="00F40539">
        <w:rPr>
          <w:b/>
        </w:rPr>
        <w:instrText xml:space="preserve"> \* MERGEFORMAT </w:instrText>
      </w:r>
      <w:r w:rsidR="00364A89" w:rsidRPr="00F40539">
        <w:rPr>
          <w:b/>
        </w:rPr>
      </w:r>
      <w:r w:rsidR="00364A89" w:rsidRPr="00F40539">
        <w:rPr>
          <w:b/>
        </w:rPr>
        <w:fldChar w:fldCharType="separate"/>
      </w:r>
      <w:r w:rsidR="00A37D1A" w:rsidRPr="00F40539">
        <w:rPr>
          <w:b/>
        </w:rPr>
        <w:t xml:space="preserve">Table </w:t>
      </w:r>
      <w:r w:rsidR="00A37D1A" w:rsidRPr="00F40539">
        <w:rPr>
          <w:b/>
          <w:noProof/>
        </w:rPr>
        <w:t>1</w:t>
      </w:r>
      <w:r w:rsidR="00364A89" w:rsidRPr="00F40539">
        <w:rPr>
          <w:b/>
        </w:rPr>
        <w:fldChar w:fldCharType="end"/>
      </w:r>
      <w:r w:rsidR="005B65A8">
        <w:t>.</w:t>
      </w:r>
    </w:p>
    <w:p w14:paraId="3E6DF4A0" w14:textId="7E87DFCE" w:rsidR="00B3181F" w:rsidRDefault="00B3181F" w:rsidP="00CB5C63">
      <w:pPr>
        <w:pStyle w:val="tabletitlefullwidth"/>
      </w:pPr>
      <w:bookmarkStart w:id="31" w:name="_Ref463597108"/>
      <w:r>
        <w:t xml:space="preserve">Table </w:t>
      </w:r>
      <w:r w:rsidR="003D3E81">
        <w:fldChar w:fldCharType="begin"/>
      </w:r>
      <w:r w:rsidR="003D3E81">
        <w:instrText xml:space="preserve"> SEQ Table \* ARABIC </w:instrText>
      </w:r>
      <w:r w:rsidR="003D3E81">
        <w:fldChar w:fldCharType="separate"/>
      </w:r>
      <w:r w:rsidR="00A37D1A">
        <w:rPr>
          <w:noProof/>
        </w:rPr>
        <w:t>1</w:t>
      </w:r>
      <w:r w:rsidR="003D3E81">
        <w:rPr>
          <w:noProof/>
        </w:rPr>
        <w:fldChar w:fldCharType="end"/>
      </w:r>
      <w:bookmarkEnd w:id="31"/>
      <w:r>
        <w:t>:</w:t>
      </w:r>
      <w:r>
        <w:tab/>
      </w:r>
      <w:r w:rsidR="00FA1756" w:rsidRPr="008E2393">
        <w:t>ASIC’s regulatory activities and sub-activities subject to cost recovery</w:t>
      </w:r>
    </w:p>
    <w:tbl>
      <w:tblPr>
        <w:tblW w:w="9128"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31"/>
        <w:gridCol w:w="3742"/>
        <w:gridCol w:w="3855"/>
      </w:tblGrid>
      <w:tr w:rsidR="00B3181F" w:rsidRPr="000540E1" w14:paraId="7C4719F2" w14:textId="77777777" w:rsidTr="00BF6103">
        <w:trPr>
          <w:cantSplit/>
          <w:tblHeader/>
        </w:trPr>
        <w:tc>
          <w:tcPr>
            <w:tcW w:w="1531" w:type="dxa"/>
            <w:shd w:val="clear" w:color="auto" w:fill="C2E3FA"/>
          </w:tcPr>
          <w:p w14:paraId="1B4E65AF" w14:textId="77777777" w:rsidR="00B3181F" w:rsidRPr="000540E1" w:rsidRDefault="00B3181F" w:rsidP="00CB5C63">
            <w:pPr>
              <w:pStyle w:val="tablehead"/>
            </w:pPr>
            <w:r>
              <w:t>Activity</w:t>
            </w:r>
          </w:p>
        </w:tc>
        <w:tc>
          <w:tcPr>
            <w:tcW w:w="3742" w:type="dxa"/>
            <w:shd w:val="clear" w:color="auto" w:fill="C2E3FA"/>
          </w:tcPr>
          <w:p w14:paraId="299FAFF6" w14:textId="77777777" w:rsidR="00B3181F" w:rsidRPr="000540E1" w:rsidRDefault="00B3181F" w:rsidP="00CB5C63">
            <w:pPr>
              <w:pStyle w:val="tablehead"/>
            </w:pPr>
            <w:r>
              <w:t>Activity Description</w:t>
            </w:r>
          </w:p>
        </w:tc>
        <w:tc>
          <w:tcPr>
            <w:tcW w:w="3855" w:type="dxa"/>
            <w:shd w:val="clear" w:color="auto" w:fill="C2E3FA"/>
          </w:tcPr>
          <w:p w14:paraId="6E2E2B7C" w14:textId="77777777" w:rsidR="00B3181F" w:rsidRPr="000540E1" w:rsidRDefault="00B3181F" w:rsidP="00CB5C63">
            <w:pPr>
              <w:pStyle w:val="tablehead"/>
            </w:pPr>
            <w:r>
              <w:t>Sub-activity Overview</w:t>
            </w:r>
          </w:p>
        </w:tc>
      </w:tr>
      <w:tr w:rsidR="00B3181F" w:rsidRPr="000540E1" w14:paraId="2C2A9DFF" w14:textId="77777777" w:rsidTr="00BF6103">
        <w:trPr>
          <w:cantSplit/>
        </w:trPr>
        <w:tc>
          <w:tcPr>
            <w:tcW w:w="1531" w:type="dxa"/>
          </w:tcPr>
          <w:p w14:paraId="4EBB5A51" w14:textId="77777777" w:rsidR="00B3181F" w:rsidRPr="004E7AA7" w:rsidRDefault="00B3181F" w:rsidP="00C5354C">
            <w:pPr>
              <w:pStyle w:val="tbltext"/>
              <w:rPr>
                <w:b/>
              </w:rPr>
            </w:pPr>
            <w:r w:rsidRPr="004E7AA7">
              <w:rPr>
                <w:b/>
              </w:rPr>
              <w:t>Stakeholder engagement</w:t>
            </w:r>
          </w:p>
        </w:tc>
        <w:tc>
          <w:tcPr>
            <w:tcW w:w="3742" w:type="dxa"/>
          </w:tcPr>
          <w:p w14:paraId="0484A394" w14:textId="0597ABAD" w:rsidR="00B3181F" w:rsidRPr="000540E1" w:rsidRDefault="00B3181F" w:rsidP="00C5354C">
            <w:pPr>
              <w:pStyle w:val="tbltext"/>
            </w:pPr>
            <w:r w:rsidRPr="008E2393">
              <w:t xml:space="preserve">ASIC engages with, and manages the relationships of external stakeholders through liaison meetings, presentations and other interactions. The purpose of </w:t>
            </w:r>
            <w:r>
              <w:t xml:space="preserve">ASIC’s </w:t>
            </w:r>
            <w:r w:rsidRPr="008E2393">
              <w:t>engagement activity is to set and maintain regulatory standards, to better inform stakeholder practices, to identify issues in the market, to address stakeholder enquiries, and to ensure that ASIC’s messages are communicated to industry.</w:t>
            </w:r>
          </w:p>
        </w:tc>
        <w:tc>
          <w:tcPr>
            <w:tcW w:w="3855" w:type="dxa"/>
          </w:tcPr>
          <w:p w14:paraId="6F84298C" w14:textId="7A91D4FE" w:rsidR="00FA1756" w:rsidRPr="008E2393" w:rsidRDefault="00FA1756" w:rsidP="00C5354C">
            <w:pPr>
              <w:pStyle w:val="tbltext"/>
            </w:pPr>
            <w:r w:rsidRPr="008E2393">
              <w:t>ASIC’s sub-activities include:</w:t>
            </w:r>
          </w:p>
          <w:p w14:paraId="3C3AD652" w14:textId="77777777" w:rsidR="00FA1756" w:rsidRPr="008E2393" w:rsidRDefault="00FA1756" w:rsidP="00FA1756">
            <w:pPr>
              <w:pStyle w:val="tablebullet"/>
            </w:pPr>
            <w:r w:rsidRPr="008E2393">
              <w:t>Attending industry liaison meetings and presentations</w:t>
            </w:r>
          </w:p>
          <w:p w14:paraId="383CE85F" w14:textId="77777777" w:rsidR="00FA1756" w:rsidRPr="008E2393" w:rsidRDefault="00FA1756" w:rsidP="00FA1756">
            <w:pPr>
              <w:pStyle w:val="tablebullet"/>
            </w:pPr>
            <w:r w:rsidRPr="008E2393">
              <w:t>Responding to requests for advice in matters where stakeholders have regulatory doubt</w:t>
            </w:r>
          </w:p>
          <w:p w14:paraId="13AB6386" w14:textId="77777777" w:rsidR="00FA1756" w:rsidRDefault="00FA1756" w:rsidP="00FA1756">
            <w:pPr>
              <w:pStyle w:val="tablebullet"/>
            </w:pPr>
            <w:r>
              <w:t>Consulting</w:t>
            </w:r>
            <w:r w:rsidRPr="008E2393">
              <w:t xml:space="preserve"> with industry to better understand market issues</w:t>
            </w:r>
          </w:p>
          <w:p w14:paraId="3115CB72" w14:textId="77777777" w:rsidR="00B3181F" w:rsidRPr="000540E1" w:rsidRDefault="00FA1756" w:rsidP="00FA1756">
            <w:pPr>
              <w:pStyle w:val="tablebullet"/>
            </w:pPr>
            <w:r w:rsidRPr="008E2393">
              <w:t>Responding to stakeholder enquiries and requests for information</w:t>
            </w:r>
          </w:p>
        </w:tc>
      </w:tr>
      <w:tr w:rsidR="00B3181F" w:rsidRPr="000540E1" w14:paraId="04C3692E" w14:textId="77777777" w:rsidTr="00BF6103">
        <w:trPr>
          <w:cantSplit/>
        </w:trPr>
        <w:tc>
          <w:tcPr>
            <w:tcW w:w="1531" w:type="dxa"/>
          </w:tcPr>
          <w:p w14:paraId="79FC0158" w14:textId="77777777" w:rsidR="00B3181F" w:rsidRPr="004E7AA7" w:rsidRDefault="00B3181F" w:rsidP="00C5354C">
            <w:pPr>
              <w:pStyle w:val="tbltext"/>
              <w:rPr>
                <w:b/>
              </w:rPr>
            </w:pPr>
            <w:r w:rsidRPr="004E7AA7">
              <w:rPr>
                <w:b/>
              </w:rPr>
              <w:t>Education</w:t>
            </w:r>
          </w:p>
        </w:tc>
        <w:tc>
          <w:tcPr>
            <w:tcW w:w="3742" w:type="dxa"/>
          </w:tcPr>
          <w:p w14:paraId="53CC98A2" w14:textId="4D638148" w:rsidR="00B3181F" w:rsidRPr="00B3181F" w:rsidRDefault="00B3181F" w:rsidP="00C5354C">
            <w:pPr>
              <w:pStyle w:val="tbltext"/>
            </w:pPr>
            <w:r w:rsidRPr="008E2393">
              <w:t>ASIC undertakes a ra</w:t>
            </w:r>
            <w:r w:rsidR="00714D0C">
              <w:t xml:space="preserve">nge of educational activities. </w:t>
            </w:r>
            <w:r w:rsidRPr="008E2393">
              <w:t>This includes developing tools and resources for its regulated population and consumers, and its contributions to industry publications.</w:t>
            </w:r>
          </w:p>
        </w:tc>
        <w:tc>
          <w:tcPr>
            <w:tcW w:w="3855" w:type="dxa"/>
          </w:tcPr>
          <w:p w14:paraId="6B086EDE" w14:textId="20775BDE" w:rsidR="00FA1756" w:rsidRPr="008E2393" w:rsidRDefault="00FA1756" w:rsidP="00C5354C">
            <w:pPr>
              <w:pStyle w:val="tbltext"/>
            </w:pPr>
            <w:r w:rsidRPr="008E2393">
              <w:t>ASIC’s sub-activities include:</w:t>
            </w:r>
          </w:p>
          <w:p w14:paraId="3D9229B1" w14:textId="7080B367" w:rsidR="00FA1756" w:rsidRPr="008E2393" w:rsidRDefault="00FA1756" w:rsidP="00FA1756">
            <w:pPr>
              <w:pStyle w:val="tablebullet"/>
            </w:pPr>
            <w:r w:rsidRPr="008E2393">
              <w:t>Developing tools and resources (</w:t>
            </w:r>
            <w:r w:rsidR="00A366D4">
              <w:t>for</w:t>
            </w:r>
            <w:r w:rsidR="00B25C47">
              <w:t> </w:t>
            </w:r>
            <w:r w:rsidR="00A366D4">
              <w:t xml:space="preserve">example, </w:t>
            </w:r>
            <w:r w:rsidRPr="008E2393">
              <w:t>online calculators) for consumers</w:t>
            </w:r>
          </w:p>
          <w:p w14:paraId="2B564C7C" w14:textId="68C352BF" w:rsidR="00FA1756" w:rsidRPr="008E2393" w:rsidRDefault="00FA1756" w:rsidP="00FA1756">
            <w:pPr>
              <w:pStyle w:val="tablebullet"/>
            </w:pPr>
            <w:r w:rsidRPr="008E2393">
              <w:t>Contributing to industry publications and material on ASIC’s MoneySmart</w:t>
            </w:r>
            <w:r w:rsidR="009A1AF7">
              <w:t xml:space="preserve"> website</w:t>
            </w:r>
          </w:p>
          <w:p w14:paraId="28C0FB14" w14:textId="6D69C788" w:rsidR="00FA1756" w:rsidRDefault="00FA1756" w:rsidP="00FA1756">
            <w:pPr>
              <w:pStyle w:val="tablebullet"/>
            </w:pPr>
            <w:r w:rsidRPr="008E2393">
              <w:t>Facilit</w:t>
            </w:r>
            <w:r w:rsidR="00714D0C">
              <w:t>ating the teaching and learning</w:t>
            </w:r>
            <w:r w:rsidRPr="008E2393">
              <w:t xml:space="preserve"> of financial literacy in schools, further education and workplaces</w:t>
            </w:r>
          </w:p>
          <w:p w14:paraId="0E6CF36E" w14:textId="77777777" w:rsidR="00B3181F" w:rsidRPr="000540E1" w:rsidRDefault="00FA1756" w:rsidP="00FA1756">
            <w:pPr>
              <w:pStyle w:val="tablebullet"/>
            </w:pPr>
            <w:r>
              <w:t>Giving speeches and presentations to industry and consumers</w:t>
            </w:r>
          </w:p>
        </w:tc>
      </w:tr>
      <w:tr w:rsidR="00B3181F" w:rsidRPr="000540E1" w14:paraId="51AEE534" w14:textId="77777777" w:rsidTr="00BF6103">
        <w:trPr>
          <w:cantSplit/>
        </w:trPr>
        <w:tc>
          <w:tcPr>
            <w:tcW w:w="1531" w:type="dxa"/>
          </w:tcPr>
          <w:p w14:paraId="57A6AF40" w14:textId="0341BCDE" w:rsidR="00B3181F" w:rsidRPr="004E7AA7" w:rsidRDefault="004E7AA7" w:rsidP="00C5354C">
            <w:pPr>
              <w:pStyle w:val="tbltext"/>
              <w:rPr>
                <w:b/>
              </w:rPr>
            </w:pPr>
            <w:r w:rsidRPr="004E7AA7">
              <w:rPr>
                <w:b/>
              </w:rPr>
              <w:t>Guidance</w:t>
            </w:r>
          </w:p>
        </w:tc>
        <w:tc>
          <w:tcPr>
            <w:tcW w:w="3742" w:type="dxa"/>
          </w:tcPr>
          <w:p w14:paraId="309E042A" w14:textId="77777777" w:rsidR="00B3181F" w:rsidRPr="008E2393" w:rsidRDefault="00B3181F" w:rsidP="00C5354C">
            <w:pPr>
              <w:pStyle w:val="tbltext"/>
            </w:pPr>
            <w:r w:rsidRPr="008E2393">
              <w:t>ASIC provides guidance to industry about how ASIC will administer the law. For example, regulatory guides, consultation papers, information sheets and ASIC legislative instruments (class orders).</w:t>
            </w:r>
          </w:p>
        </w:tc>
        <w:tc>
          <w:tcPr>
            <w:tcW w:w="3855" w:type="dxa"/>
          </w:tcPr>
          <w:p w14:paraId="391297E6" w14:textId="7CDF228F" w:rsidR="00FA1756" w:rsidRPr="008E2393" w:rsidRDefault="00FA1756" w:rsidP="00C5354C">
            <w:pPr>
              <w:pStyle w:val="tbltext"/>
            </w:pPr>
            <w:r w:rsidRPr="008E2393">
              <w:t>ASIC’s sub-activities include:</w:t>
            </w:r>
          </w:p>
          <w:p w14:paraId="195A27D3" w14:textId="77777777" w:rsidR="00FA1756" w:rsidRPr="008E2393" w:rsidRDefault="00FA1756" w:rsidP="00FA1756">
            <w:pPr>
              <w:pStyle w:val="tablebullet"/>
            </w:pPr>
            <w:r w:rsidRPr="008E2393">
              <w:t xml:space="preserve">Developing and consulting on regulatory proposals </w:t>
            </w:r>
          </w:p>
          <w:p w14:paraId="32B69841" w14:textId="37A7782D" w:rsidR="00FA1756" w:rsidRDefault="00FA1756" w:rsidP="00FA1756">
            <w:pPr>
              <w:pStyle w:val="tablebullet"/>
            </w:pPr>
            <w:r w:rsidRPr="008E2393">
              <w:t xml:space="preserve">Providing guidance for regulatory topics </w:t>
            </w:r>
            <w:r>
              <w:t>aimed at</w:t>
            </w:r>
            <w:r w:rsidRPr="008E2393">
              <w:t xml:space="preserve"> enhanc</w:t>
            </w:r>
            <w:r>
              <w:t>ing</w:t>
            </w:r>
            <w:r w:rsidRPr="008E2393">
              <w:t xml:space="preserve"> industry’s understanding of their legal obligations and how </w:t>
            </w:r>
            <w:r>
              <w:t>ASIC</w:t>
            </w:r>
            <w:r w:rsidRPr="008E2393">
              <w:t xml:space="preserve"> administer</w:t>
            </w:r>
            <w:r>
              <w:t>s</w:t>
            </w:r>
            <w:r w:rsidRPr="008E2393">
              <w:t xml:space="preserve"> the law </w:t>
            </w:r>
          </w:p>
          <w:p w14:paraId="21FBBDD9" w14:textId="77777777" w:rsidR="00B3181F" w:rsidRPr="000540E1" w:rsidRDefault="00FA1756" w:rsidP="00FA1756">
            <w:pPr>
              <w:pStyle w:val="tablebullet"/>
            </w:pPr>
            <w:r>
              <w:t>Drafting, consulting and i</w:t>
            </w:r>
            <w:r w:rsidRPr="008E2393">
              <w:t>ssuing ASIC legislative instruments</w:t>
            </w:r>
          </w:p>
        </w:tc>
      </w:tr>
      <w:tr w:rsidR="00B3181F" w:rsidRPr="000540E1" w14:paraId="4E543850" w14:textId="77777777" w:rsidTr="00BF6103">
        <w:trPr>
          <w:cantSplit/>
        </w:trPr>
        <w:tc>
          <w:tcPr>
            <w:tcW w:w="1531" w:type="dxa"/>
          </w:tcPr>
          <w:p w14:paraId="3D9BDEA6" w14:textId="7DF133CE" w:rsidR="00B3181F" w:rsidRPr="004E7AA7" w:rsidRDefault="004E7AA7" w:rsidP="00C5354C">
            <w:pPr>
              <w:pStyle w:val="tbltext"/>
              <w:rPr>
                <w:b/>
              </w:rPr>
            </w:pPr>
            <w:r w:rsidRPr="004E7AA7">
              <w:rPr>
                <w:b/>
              </w:rPr>
              <w:t>Surveillance</w:t>
            </w:r>
          </w:p>
        </w:tc>
        <w:tc>
          <w:tcPr>
            <w:tcW w:w="3742" w:type="dxa"/>
          </w:tcPr>
          <w:p w14:paraId="1FB94938" w14:textId="77777777" w:rsidR="00B3181F" w:rsidRPr="008E2393" w:rsidRDefault="00B3181F" w:rsidP="00C5354C">
            <w:pPr>
              <w:pStyle w:val="tbltext"/>
            </w:pPr>
            <w:r w:rsidRPr="008E2393">
              <w:t>ASIC conducts surveillances by gathering and analysing information on a specific entity or range of entities, a transaction, a specific product or issue of concern in the market to test compliance with the laws ASIC administers and promote consumer and investor outcomes.</w:t>
            </w:r>
          </w:p>
        </w:tc>
        <w:tc>
          <w:tcPr>
            <w:tcW w:w="3855" w:type="dxa"/>
          </w:tcPr>
          <w:p w14:paraId="223AA4B0" w14:textId="394A426D" w:rsidR="00FA1756" w:rsidRPr="008E2393" w:rsidRDefault="00FA1756" w:rsidP="00C5354C">
            <w:pPr>
              <w:pStyle w:val="tbltext"/>
            </w:pPr>
            <w:r w:rsidRPr="008E2393">
              <w:t>ASIC’s sub-activities include:</w:t>
            </w:r>
          </w:p>
          <w:p w14:paraId="3ECCC862" w14:textId="77777777" w:rsidR="00FA1756" w:rsidRPr="00C5354C" w:rsidRDefault="00FA1756" w:rsidP="00C5354C">
            <w:pPr>
              <w:pStyle w:val="tbltext"/>
              <w:rPr>
                <w:b/>
              </w:rPr>
            </w:pPr>
            <w:r w:rsidRPr="00C5354C">
              <w:rPr>
                <w:b/>
              </w:rPr>
              <w:t>Initial Regulatory Assessment</w:t>
            </w:r>
          </w:p>
          <w:p w14:paraId="51302647" w14:textId="77777777" w:rsidR="00FA1756" w:rsidRPr="008E2393" w:rsidRDefault="00FA1756" w:rsidP="00FA1756">
            <w:pPr>
              <w:pStyle w:val="tablebullet"/>
              <w:rPr>
                <w:u w:val="single"/>
              </w:rPr>
            </w:pPr>
            <w:r w:rsidRPr="008E2393">
              <w:t>Accepting reports of breach or misconduct</w:t>
            </w:r>
          </w:p>
          <w:p w14:paraId="3F3940FE" w14:textId="77777777" w:rsidR="00FA1756" w:rsidRPr="008E2393" w:rsidRDefault="00FA1756" w:rsidP="00FA1756">
            <w:pPr>
              <w:pStyle w:val="tablebullet"/>
              <w:rPr>
                <w:u w:val="single"/>
              </w:rPr>
            </w:pPr>
            <w:r w:rsidRPr="008E2393">
              <w:t>Undertaking initial inquiries and preliminary analysis</w:t>
            </w:r>
          </w:p>
          <w:p w14:paraId="127F29E4" w14:textId="77777777" w:rsidR="00FA1756" w:rsidRPr="008E2393" w:rsidRDefault="00FA1756" w:rsidP="00FA1756">
            <w:pPr>
              <w:pStyle w:val="tablebullet"/>
              <w:rPr>
                <w:u w:val="single"/>
              </w:rPr>
            </w:pPr>
            <w:r w:rsidRPr="008E2393">
              <w:t>Assessing nature and gravity of suspected breach or misconduct</w:t>
            </w:r>
          </w:p>
          <w:p w14:paraId="3376CC99" w14:textId="567A16B2" w:rsidR="00FA1756" w:rsidRPr="008E2393" w:rsidRDefault="00FA1756" w:rsidP="00FA1756">
            <w:pPr>
              <w:pStyle w:val="tablebullet"/>
              <w:rPr>
                <w:u w:val="single"/>
              </w:rPr>
            </w:pPr>
            <w:r w:rsidRPr="008E2393">
              <w:t>Undertaking initial testing of ASIC’s jurisdiction</w:t>
            </w:r>
          </w:p>
          <w:p w14:paraId="6F93C8F8" w14:textId="77777777" w:rsidR="00FA1756" w:rsidRPr="008E2393" w:rsidRDefault="00FA1756" w:rsidP="00FA1756">
            <w:pPr>
              <w:pStyle w:val="tablebullet"/>
              <w:rPr>
                <w:u w:val="single"/>
              </w:rPr>
            </w:pPr>
            <w:r w:rsidRPr="008E2393">
              <w:t>Deciding whether further action is required and, if so, prepare handover of referral materials</w:t>
            </w:r>
          </w:p>
          <w:p w14:paraId="1391C590" w14:textId="77777777" w:rsidR="00FA1756" w:rsidRPr="00C5354C" w:rsidRDefault="00FA1756" w:rsidP="00C5354C">
            <w:pPr>
              <w:pStyle w:val="tbltext"/>
              <w:rPr>
                <w:b/>
              </w:rPr>
            </w:pPr>
            <w:r w:rsidRPr="00C5354C">
              <w:rPr>
                <w:b/>
              </w:rPr>
              <w:t>Profiling</w:t>
            </w:r>
          </w:p>
          <w:p w14:paraId="5A54D557" w14:textId="77777777" w:rsidR="00FA1756" w:rsidRPr="008E2393" w:rsidRDefault="00FA1756" w:rsidP="00FA1756">
            <w:pPr>
              <w:pStyle w:val="tablebullet"/>
            </w:pPr>
            <w:r w:rsidRPr="008E2393">
              <w:t>Identifying risks for detailed enquiry for the purpose of singular or thematic surveillances</w:t>
            </w:r>
          </w:p>
          <w:p w14:paraId="03895502" w14:textId="77777777" w:rsidR="00FA1756" w:rsidRDefault="00FA1756" w:rsidP="00FA1756">
            <w:pPr>
              <w:pStyle w:val="tablebullet"/>
            </w:pPr>
            <w:r w:rsidRPr="008E2393">
              <w:t>Undertaking stakeholder interviews and collecting documentary information</w:t>
            </w:r>
          </w:p>
          <w:p w14:paraId="468EDE81" w14:textId="48302F94" w:rsidR="00FA1756" w:rsidRPr="008E2393" w:rsidRDefault="00FA1756" w:rsidP="00FA1756">
            <w:pPr>
              <w:pStyle w:val="tablebullet"/>
            </w:pPr>
            <w:r>
              <w:t>Using compulsory information gathering powers (</w:t>
            </w:r>
            <w:r w:rsidR="00A366D4">
              <w:t xml:space="preserve">for example, </w:t>
            </w:r>
            <w:r>
              <w:t>section 912C in the Corporations Act)</w:t>
            </w:r>
          </w:p>
          <w:p w14:paraId="71FADE37" w14:textId="77777777" w:rsidR="00FA1756" w:rsidRPr="008E2393" w:rsidRDefault="00FA1756" w:rsidP="00FA1756">
            <w:pPr>
              <w:pStyle w:val="tablebullet"/>
            </w:pPr>
            <w:r w:rsidRPr="008E2393">
              <w:t>Analysing and assessing information</w:t>
            </w:r>
          </w:p>
          <w:p w14:paraId="402BDEA3" w14:textId="77777777" w:rsidR="00FA1756" w:rsidRPr="008E2393" w:rsidRDefault="00FA1756" w:rsidP="00FA1756">
            <w:pPr>
              <w:pStyle w:val="tablebullet"/>
            </w:pPr>
            <w:r w:rsidRPr="008E2393">
              <w:t>Developing and publishing surveillance reports</w:t>
            </w:r>
          </w:p>
          <w:p w14:paraId="6E08FA63" w14:textId="77777777" w:rsidR="00FA1756" w:rsidRPr="008E2393" w:rsidRDefault="00FA1756" w:rsidP="00FA1756">
            <w:pPr>
              <w:pStyle w:val="tablebullet"/>
            </w:pPr>
            <w:r w:rsidRPr="008E2393">
              <w:t>Gathering and analysing information and initial evidence which may lead to an investigation and/or litigation</w:t>
            </w:r>
          </w:p>
          <w:p w14:paraId="697AACBC" w14:textId="77777777" w:rsidR="00FA1756" w:rsidRPr="00C5354C" w:rsidRDefault="00FA1756" w:rsidP="00C5354C">
            <w:pPr>
              <w:pStyle w:val="tbltext"/>
              <w:rPr>
                <w:b/>
              </w:rPr>
            </w:pPr>
            <w:r w:rsidRPr="00C5354C">
              <w:rPr>
                <w:b/>
              </w:rPr>
              <w:t>Regulatory Surveillance and Monitoring</w:t>
            </w:r>
          </w:p>
          <w:p w14:paraId="2241A368" w14:textId="77777777" w:rsidR="00FA1756" w:rsidRPr="008E2393" w:rsidRDefault="00FA1756" w:rsidP="00FA1756">
            <w:pPr>
              <w:pStyle w:val="tablebullet"/>
            </w:pPr>
            <w:r w:rsidRPr="008E2393">
              <w:t>Accepting referrals for suspected, alleged or admitted breaches and misconduct</w:t>
            </w:r>
          </w:p>
          <w:p w14:paraId="4B2690F7" w14:textId="77777777" w:rsidR="00FA1756" w:rsidRDefault="00FA1756" w:rsidP="00FA1756">
            <w:pPr>
              <w:pStyle w:val="tablebullet"/>
            </w:pPr>
            <w:r w:rsidRPr="008E2393">
              <w:t>Gathering and analysing information and initial evidence which may lead to an investigation and/or litigation</w:t>
            </w:r>
          </w:p>
          <w:p w14:paraId="219438D0" w14:textId="23418136" w:rsidR="00B3181F" w:rsidRPr="000540E1" w:rsidRDefault="00FA1756" w:rsidP="00A366D4">
            <w:pPr>
              <w:pStyle w:val="tablebullet"/>
            </w:pPr>
            <w:r>
              <w:t>Using compulsory information gathering powers (</w:t>
            </w:r>
            <w:r w:rsidR="00A366D4">
              <w:t xml:space="preserve">for example, </w:t>
            </w:r>
            <w:r>
              <w:t>section 912C in the Corporations Act)</w:t>
            </w:r>
          </w:p>
        </w:tc>
      </w:tr>
      <w:tr w:rsidR="00B3181F" w:rsidRPr="000540E1" w14:paraId="41DE41DC" w14:textId="77777777" w:rsidTr="00BF6103">
        <w:trPr>
          <w:cantSplit/>
        </w:trPr>
        <w:tc>
          <w:tcPr>
            <w:tcW w:w="1531" w:type="dxa"/>
          </w:tcPr>
          <w:p w14:paraId="10012A1C" w14:textId="267CC1AB" w:rsidR="00B3181F" w:rsidRPr="004E7AA7" w:rsidRDefault="004E7AA7" w:rsidP="00C5354C">
            <w:pPr>
              <w:pStyle w:val="tbltext"/>
              <w:rPr>
                <w:b/>
              </w:rPr>
            </w:pPr>
            <w:r w:rsidRPr="004E7AA7">
              <w:rPr>
                <w:b/>
              </w:rPr>
              <w:t>Enforcement</w:t>
            </w:r>
          </w:p>
        </w:tc>
        <w:tc>
          <w:tcPr>
            <w:tcW w:w="3742" w:type="dxa"/>
          </w:tcPr>
          <w:p w14:paraId="17B92DDF" w14:textId="5FDCD9DF" w:rsidR="00B3181F" w:rsidRPr="008E2393" w:rsidRDefault="00B3181F" w:rsidP="00A366D4">
            <w:pPr>
              <w:pStyle w:val="tbltext"/>
            </w:pPr>
            <w:r w:rsidRPr="008E2393">
              <w:t>An activity is classified as enforcement when ASIC believes there has bee</w:t>
            </w:r>
            <w:r w:rsidR="00714D0C">
              <w:t xml:space="preserve">n a breach of the law. </w:t>
            </w:r>
            <w:r w:rsidRPr="008E2393">
              <w:t>These investigations may lead to enforcement action such as criminal action, civil action and administrative action (</w:t>
            </w:r>
            <w:r w:rsidR="00A366D4">
              <w:t xml:space="preserve">for example, </w:t>
            </w:r>
            <w:r w:rsidRPr="008E2393">
              <w:t>banning or disqualifying persons from the financial services industry).</w:t>
            </w:r>
          </w:p>
        </w:tc>
        <w:tc>
          <w:tcPr>
            <w:tcW w:w="3855" w:type="dxa"/>
          </w:tcPr>
          <w:p w14:paraId="3621723E" w14:textId="4748683E" w:rsidR="00FA1756" w:rsidRPr="008E2393" w:rsidRDefault="00FA1756" w:rsidP="00C5354C">
            <w:pPr>
              <w:pStyle w:val="tbltext"/>
            </w:pPr>
            <w:r w:rsidRPr="008E2393">
              <w:t xml:space="preserve">ASIC’s sub-activities include: </w:t>
            </w:r>
          </w:p>
          <w:p w14:paraId="3C289123" w14:textId="77777777" w:rsidR="00FA1756" w:rsidRPr="00C5354C" w:rsidRDefault="00FA1756" w:rsidP="00C5354C">
            <w:pPr>
              <w:pStyle w:val="tbltext"/>
              <w:rPr>
                <w:b/>
              </w:rPr>
            </w:pPr>
            <w:r w:rsidRPr="00C5354C">
              <w:rPr>
                <w:b/>
              </w:rPr>
              <w:t>Investigation</w:t>
            </w:r>
          </w:p>
          <w:p w14:paraId="7B54B2AB" w14:textId="77777777" w:rsidR="00FA1756" w:rsidRPr="008E2393" w:rsidRDefault="00FA1756" w:rsidP="00FA1756">
            <w:pPr>
              <w:pStyle w:val="tablebullet"/>
            </w:pPr>
            <w:r w:rsidRPr="008E2393">
              <w:t>Accepting referrals of alleged or admitted breaches and misconduct</w:t>
            </w:r>
          </w:p>
          <w:p w14:paraId="7B574AD8" w14:textId="77777777" w:rsidR="00FA1756" w:rsidRPr="008E2393" w:rsidRDefault="00FA1756" w:rsidP="00FA1756">
            <w:pPr>
              <w:pStyle w:val="tablebullet"/>
            </w:pPr>
            <w:r w:rsidRPr="008E2393">
              <w:t>Assessing preliminary and detailed case theories</w:t>
            </w:r>
          </w:p>
          <w:p w14:paraId="5EDF42EB" w14:textId="0FAB6B9A" w:rsidR="00FA1756" w:rsidRPr="008E2393" w:rsidRDefault="00FA1756" w:rsidP="00FA1756">
            <w:pPr>
              <w:pStyle w:val="tablebullet"/>
            </w:pPr>
            <w:r w:rsidRPr="008E2393">
              <w:t>Using formal investigatory powers (</w:t>
            </w:r>
            <w:r w:rsidR="00A366D4">
              <w:t>for</w:t>
            </w:r>
            <w:r w:rsidR="00B25C47">
              <w:t> </w:t>
            </w:r>
            <w:r w:rsidR="00A366D4">
              <w:t xml:space="preserve">example, </w:t>
            </w:r>
            <w:r w:rsidRPr="008E2393">
              <w:t>issuing notices requiring a person to assist ASIC with an investigation or appear before ASIC for examination)</w:t>
            </w:r>
          </w:p>
          <w:p w14:paraId="3617145A" w14:textId="77777777" w:rsidR="00FA1756" w:rsidRPr="008E2393" w:rsidRDefault="00FA1756" w:rsidP="00FA1756">
            <w:pPr>
              <w:pStyle w:val="tablebullet"/>
            </w:pPr>
            <w:r w:rsidRPr="008E2393">
              <w:t xml:space="preserve">Obtaining information and seizing property </w:t>
            </w:r>
          </w:p>
          <w:p w14:paraId="2E749883" w14:textId="77777777" w:rsidR="00FA1756" w:rsidRPr="008E2393" w:rsidRDefault="00FA1756" w:rsidP="00FA1756">
            <w:pPr>
              <w:pStyle w:val="tablebullet"/>
            </w:pPr>
            <w:r w:rsidRPr="008E2393">
              <w:t>Collaborating and exchanging information with other regulatory partners</w:t>
            </w:r>
          </w:p>
          <w:p w14:paraId="4A0BAEEF" w14:textId="77777777" w:rsidR="00FA1756" w:rsidRPr="008E2393" w:rsidRDefault="00FA1756" w:rsidP="00FA1756">
            <w:pPr>
              <w:pStyle w:val="tablebullet"/>
            </w:pPr>
            <w:r w:rsidRPr="008E2393">
              <w:t>Converting information to admissible evidence</w:t>
            </w:r>
          </w:p>
          <w:p w14:paraId="3D42DC65" w14:textId="77777777" w:rsidR="00FA1756" w:rsidRPr="00C5354C" w:rsidRDefault="00FA1756" w:rsidP="00C5354C">
            <w:pPr>
              <w:pStyle w:val="tbltext"/>
              <w:rPr>
                <w:b/>
              </w:rPr>
            </w:pPr>
            <w:r w:rsidRPr="00C5354C">
              <w:rPr>
                <w:b/>
              </w:rPr>
              <w:t>Administrative Decision Making</w:t>
            </w:r>
          </w:p>
          <w:p w14:paraId="490DD2CD" w14:textId="79F10FBC" w:rsidR="00FA1756" w:rsidRPr="00021FDC" w:rsidRDefault="00FA1756" w:rsidP="00FA1756">
            <w:pPr>
              <w:pStyle w:val="tablebullet"/>
            </w:pPr>
            <w:r w:rsidRPr="008E2393">
              <w:t>Preparing brief</w:t>
            </w:r>
            <w:r>
              <w:t>s</w:t>
            </w:r>
            <w:r w:rsidRPr="008E2393">
              <w:t xml:space="preserve"> for ASIC Hearing Delegates for administrative actions (</w:t>
            </w:r>
            <w:r w:rsidR="00A366D4">
              <w:t>for</w:t>
            </w:r>
            <w:r w:rsidR="00B25C47">
              <w:t> </w:t>
            </w:r>
            <w:r w:rsidR="00A366D4">
              <w:t xml:space="preserve">example, </w:t>
            </w:r>
            <w:r w:rsidRPr="008E2393">
              <w:t>banning decisions)</w:t>
            </w:r>
          </w:p>
          <w:p w14:paraId="325CE095" w14:textId="77777777" w:rsidR="00FA1756" w:rsidRPr="00C5354C" w:rsidRDefault="00FA1756" w:rsidP="00C5354C">
            <w:pPr>
              <w:pStyle w:val="tbltext"/>
              <w:rPr>
                <w:b/>
              </w:rPr>
            </w:pPr>
            <w:r w:rsidRPr="00C5354C">
              <w:rPr>
                <w:b/>
              </w:rPr>
              <w:t>Litigation</w:t>
            </w:r>
          </w:p>
          <w:p w14:paraId="3020935D" w14:textId="77777777" w:rsidR="00FA1756" w:rsidRPr="008E2393" w:rsidRDefault="00FA1756" w:rsidP="00FA1756">
            <w:pPr>
              <w:pStyle w:val="tablebullet"/>
            </w:pPr>
            <w:r w:rsidRPr="008E2393">
              <w:t>Considering evidence and relevant legal authorities</w:t>
            </w:r>
          </w:p>
          <w:p w14:paraId="6CC22B74" w14:textId="77777777" w:rsidR="00FA1756" w:rsidRPr="008E2393" w:rsidRDefault="00FA1756" w:rsidP="00FA1756">
            <w:pPr>
              <w:pStyle w:val="tablebullet"/>
            </w:pPr>
            <w:r w:rsidRPr="008E2393">
              <w:t>Developing/obtaining/assessing legal expert opinion</w:t>
            </w:r>
          </w:p>
          <w:p w14:paraId="7009E4B8" w14:textId="77777777" w:rsidR="00FA1756" w:rsidRPr="008E2393" w:rsidRDefault="00FA1756" w:rsidP="00FA1756">
            <w:pPr>
              <w:pStyle w:val="tablebullet"/>
            </w:pPr>
            <w:r w:rsidRPr="008E2393">
              <w:t>Deciding the merit of the case and determining legal remedies to be sought</w:t>
            </w:r>
          </w:p>
          <w:p w14:paraId="4698501E" w14:textId="77777777" w:rsidR="00FA1756" w:rsidRPr="008E2393" w:rsidRDefault="00FA1756" w:rsidP="00FA1756">
            <w:pPr>
              <w:pStyle w:val="tablebullet"/>
            </w:pPr>
            <w:r w:rsidRPr="008E2393">
              <w:t>Preparing brief</w:t>
            </w:r>
            <w:r>
              <w:t>s</w:t>
            </w:r>
            <w:r w:rsidRPr="008E2393">
              <w:t xml:space="preserve"> for </w:t>
            </w:r>
            <w:r>
              <w:t xml:space="preserve">the </w:t>
            </w:r>
            <w:r w:rsidRPr="008E2393">
              <w:t>C</w:t>
            </w:r>
            <w:r>
              <w:t xml:space="preserve">ommonwealth </w:t>
            </w:r>
            <w:r w:rsidRPr="008E2393">
              <w:t>DPP and supporting ongoing case development (for criminal matters)</w:t>
            </w:r>
          </w:p>
          <w:p w14:paraId="5C4670AE" w14:textId="77777777" w:rsidR="00FA1756" w:rsidRPr="008E2393" w:rsidRDefault="00FA1756" w:rsidP="00FA1756">
            <w:pPr>
              <w:pStyle w:val="tablebullet"/>
            </w:pPr>
            <w:r w:rsidRPr="008E2393">
              <w:t>Drafting/settling pleadings (for civil matters)</w:t>
            </w:r>
          </w:p>
          <w:p w14:paraId="155D9EA0" w14:textId="77777777" w:rsidR="00FA1756" w:rsidRPr="008E2393" w:rsidRDefault="00FA1756" w:rsidP="00FA1756">
            <w:pPr>
              <w:pStyle w:val="tablebullet"/>
            </w:pPr>
            <w:r w:rsidRPr="008E2393">
              <w:t xml:space="preserve">Attending in court </w:t>
            </w:r>
          </w:p>
          <w:p w14:paraId="439B2AAE" w14:textId="77777777" w:rsidR="00FA1756" w:rsidRPr="00C5354C" w:rsidRDefault="00FA1756" w:rsidP="00C5354C">
            <w:pPr>
              <w:pStyle w:val="tbltext"/>
              <w:rPr>
                <w:b/>
              </w:rPr>
            </w:pPr>
            <w:r w:rsidRPr="00C5354C">
              <w:rPr>
                <w:b/>
              </w:rPr>
              <w:t>Appeals</w:t>
            </w:r>
          </w:p>
          <w:p w14:paraId="32C124C9" w14:textId="77777777" w:rsidR="00FA1756" w:rsidRPr="008E2393" w:rsidRDefault="00FA1756" w:rsidP="00FA1756">
            <w:pPr>
              <w:pStyle w:val="tablebullet"/>
            </w:pPr>
            <w:r w:rsidRPr="008E2393">
              <w:t>Drafting or receiving an appeal notice</w:t>
            </w:r>
          </w:p>
          <w:p w14:paraId="36AD091D" w14:textId="77777777" w:rsidR="00FA1756" w:rsidRPr="008E2393" w:rsidRDefault="00FA1756" w:rsidP="00FA1756">
            <w:pPr>
              <w:pStyle w:val="tablebullet"/>
            </w:pPr>
            <w:r w:rsidRPr="008E2393">
              <w:t>Considering evidence and legal authorities</w:t>
            </w:r>
          </w:p>
          <w:p w14:paraId="27436C10" w14:textId="77777777" w:rsidR="00FA1756" w:rsidRPr="008E2393" w:rsidRDefault="00FA1756" w:rsidP="00FA1756">
            <w:pPr>
              <w:pStyle w:val="tablebullet"/>
            </w:pPr>
            <w:r w:rsidRPr="008E2393">
              <w:t>Developing/obtaining/assessing legal expert opinion</w:t>
            </w:r>
          </w:p>
          <w:p w14:paraId="60956313" w14:textId="77777777" w:rsidR="00FA1756" w:rsidRPr="008E2393" w:rsidRDefault="00FA1756" w:rsidP="00FA1756">
            <w:pPr>
              <w:pStyle w:val="tablebullet"/>
            </w:pPr>
            <w:r w:rsidRPr="008E2393">
              <w:t>Preparing Appeal brief</w:t>
            </w:r>
            <w:r>
              <w:t>s</w:t>
            </w:r>
            <w:r w:rsidRPr="008E2393">
              <w:t xml:space="preserve"> and supervising process service</w:t>
            </w:r>
          </w:p>
          <w:p w14:paraId="5E06B1C2" w14:textId="77777777" w:rsidR="00B3181F" w:rsidRPr="000540E1" w:rsidRDefault="00FA1756" w:rsidP="00FA1756">
            <w:pPr>
              <w:pStyle w:val="tablebullet"/>
            </w:pPr>
            <w:r w:rsidRPr="008E2393">
              <w:t>Attending in court</w:t>
            </w:r>
          </w:p>
        </w:tc>
      </w:tr>
      <w:tr w:rsidR="00FA1756" w:rsidRPr="000540E1" w14:paraId="70B07D51" w14:textId="77777777" w:rsidTr="00BF6103">
        <w:trPr>
          <w:cantSplit/>
        </w:trPr>
        <w:tc>
          <w:tcPr>
            <w:tcW w:w="1531" w:type="dxa"/>
          </w:tcPr>
          <w:p w14:paraId="06915B5C" w14:textId="1C2B8EC6" w:rsidR="00FA1756" w:rsidRPr="004E7AA7" w:rsidRDefault="004E7AA7" w:rsidP="00C5354C">
            <w:pPr>
              <w:pStyle w:val="tbltext"/>
              <w:rPr>
                <w:b/>
              </w:rPr>
            </w:pPr>
            <w:r w:rsidRPr="004E7AA7">
              <w:rPr>
                <w:b/>
              </w:rPr>
              <w:t>Policy advice</w:t>
            </w:r>
          </w:p>
        </w:tc>
        <w:tc>
          <w:tcPr>
            <w:tcW w:w="3742" w:type="dxa"/>
          </w:tcPr>
          <w:p w14:paraId="116A8203" w14:textId="39C7F063" w:rsidR="00FA1756" w:rsidRPr="008E2393" w:rsidRDefault="004E7AA7" w:rsidP="00C5354C">
            <w:pPr>
              <w:pStyle w:val="tbltext"/>
            </w:pPr>
            <w:r w:rsidRPr="008E2393">
              <w:t>ASIC provides advice to Government on the operational implications of Government policy initiatives and legislative change</w:t>
            </w:r>
            <w:r>
              <w:t>, identifying opportunities and risks to inform preferred position and influence law reform matters</w:t>
            </w:r>
          </w:p>
        </w:tc>
        <w:tc>
          <w:tcPr>
            <w:tcW w:w="3855" w:type="dxa"/>
          </w:tcPr>
          <w:p w14:paraId="3E0A594C" w14:textId="424764A0" w:rsidR="00FA1756" w:rsidRPr="008E2393" w:rsidRDefault="00FA1756" w:rsidP="00C5354C">
            <w:pPr>
              <w:pStyle w:val="tbltext"/>
            </w:pPr>
            <w:r w:rsidRPr="008E2393">
              <w:t>ASIC’s sub-activities include:</w:t>
            </w:r>
          </w:p>
          <w:p w14:paraId="2E1098E5" w14:textId="77777777" w:rsidR="00FA1756" w:rsidRDefault="00FA1756" w:rsidP="00FA1756">
            <w:pPr>
              <w:pStyle w:val="tablebullet"/>
            </w:pPr>
            <w:r>
              <w:t>Researching innovation, competition and emerging harms, coupled with identifying and analysing potential policy responses</w:t>
            </w:r>
          </w:p>
          <w:p w14:paraId="4DC64C54" w14:textId="77777777" w:rsidR="00FA1756" w:rsidRDefault="00FA1756" w:rsidP="00FA1756">
            <w:pPr>
              <w:pStyle w:val="tablebullet"/>
            </w:pPr>
            <w:r w:rsidRPr="008E2393">
              <w:t>Providing proposals for and assisting on the development of law reform</w:t>
            </w:r>
          </w:p>
          <w:p w14:paraId="4B6B02C3" w14:textId="77777777" w:rsidR="00FA1756" w:rsidRDefault="00FA1756" w:rsidP="00FA1756">
            <w:pPr>
              <w:pStyle w:val="tablebullet"/>
            </w:pPr>
            <w:r>
              <w:t>Identifying and planning impacts on external stakeholders and internal capabilities</w:t>
            </w:r>
          </w:p>
          <w:p w14:paraId="6355E148" w14:textId="77777777" w:rsidR="00FA1756" w:rsidRPr="008E2393" w:rsidRDefault="00FA1756" w:rsidP="00FA1756">
            <w:pPr>
              <w:pStyle w:val="tablebullet"/>
            </w:pPr>
            <w:r w:rsidRPr="008E2393">
              <w:t>Providing submissions to parliamentary and government inquiries on law reform issues</w:t>
            </w:r>
          </w:p>
        </w:tc>
      </w:tr>
    </w:tbl>
    <w:p w14:paraId="3DC4776D" w14:textId="77777777" w:rsidR="00B3181F" w:rsidRDefault="00B3181F" w:rsidP="00C5354C">
      <w:pPr>
        <w:pStyle w:val="sourcenotefullwidth"/>
        <w:sectPr w:rsidR="00B3181F" w:rsidSect="00CB5C63">
          <w:pgSz w:w="11906" w:h="16838" w:code="9"/>
          <w:pgMar w:top="1644" w:right="1418" w:bottom="1418" w:left="1418" w:header="567" w:footer="567" w:gutter="0"/>
          <w:cols w:space="720"/>
        </w:sectPr>
      </w:pPr>
    </w:p>
    <w:p w14:paraId="352652C3" w14:textId="4BDCA859" w:rsidR="0080591D" w:rsidRDefault="003417C5">
      <w:pPr>
        <w:pStyle w:val="Heading1"/>
      </w:pPr>
      <w:bookmarkStart w:id="32" w:name="_Toc463544585"/>
      <w:bookmarkStart w:id="33" w:name="_Toc463595187"/>
      <w:bookmarkStart w:id="34" w:name="_Toc464140297"/>
      <w:bookmarkStart w:id="35" w:name="_Toc466020950"/>
      <w:r>
        <w:t>ASIC’s costs to be recovered and levy methodology</w:t>
      </w:r>
      <w:bookmarkEnd w:id="32"/>
      <w:bookmarkEnd w:id="33"/>
      <w:bookmarkEnd w:id="34"/>
      <w:bookmarkEnd w:id="35"/>
    </w:p>
    <w:p w14:paraId="31A13C60" w14:textId="77777777" w:rsidR="003417C5" w:rsidRPr="003417C5" w:rsidRDefault="003417C5" w:rsidP="003417C5">
      <w:pPr>
        <w:pStyle w:val="Heading2"/>
      </w:pPr>
      <w:bookmarkStart w:id="36" w:name="_Toc463544586"/>
      <w:bookmarkStart w:id="37" w:name="_Toc463595188"/>
      <w:bookmarkStart w:id="38" w:name="_Toc464140298"/>
      <w:bookmarkStart w:id="39" w:name="_Toc466020951"/>
      <w:r>
        <w:t>Costs to be recovered</w:t>
      </w:r>
      <w:bookmarkEnd w:id="36"/>
      <w:bookmarkEnd w:id="37"/>
      <w:bookmarkEnd w:id="38"/>
      <w:bookmarkEnd w:id="39"/>
    </w:p>
    <w:p w14:paraId="119604E5" w14:textId="160D3CF4" w:rsidR="003417C5" w:rsidRPr="00866C4C" w:rsidRDefault="003417C5" w:rsidP="00C5354C">
      <w:pPr>
        <w:pStyle w:val="BodyText"/>
      </w:pPr>
      <w:r w:rsidRPr="00866C4C">
        <w:t xml:space="preserve">ASIC undertakes a range of regulatory activities to satisfy its statutory functions. These activities can be broadly categorised as: stakeholder engagement, education, guidance, surveillance, enforcement, and policy advice (see </w:t>
      </w:r>
      <w:r w:rsidRPr="009A1AF7">
        <w:t>Table 1</w:t>
      </w:r>
      <w:r w:rsidRPr="00866C4C">
        <w:t>)</w:t>
      </w:r>
      <w:r>
        <w:t>.</w:t>
      </w:r>
      <w:r w:rsidRPr="00866C4C">
        <w:t xml:space="preserve"> The industry funding model will recover the actual cost</w:t>
      </w:r>
      <w:r w:rsidR="00364A89">
        <w:t>s</w:t>
      </w:r>
      <w:r w:rsidRPr="00866C4C">
        <w:t xml:space="preserve"> ASIC expended during the financial year to undertake these regulatory activities. </w:t>
      </w:r>
    </w:p>
    <w:p w14:paraId="04926723" w14:textId="1233A069" w:rsidR="003417C5" w:rsidRPr="00F8113B" w:rsidRDefault="003417C5" w:rsidP="00C5354C">
      <w:pPr>
        <w:pStyle w:val="BodyText"/>
      </w:pPr>
      <w:bookmarkStart w:id="40" w:name="_ASICRef705"/>
      <w:r w:rsidRPr="00F8113B">
        <w:t xml:space="preserve">ASIC tracks </w:t>
      </w:r>
      <w:r>
        <w:t xml:space="preserve">its </w:t>
      </w:r>
      <w:r w:rsidRPr="00F8113B">
        <w:t>regulatory effort for each subsector at the activity level. In 2016</w:t>
      </w:r>
      <w:r>
        <w:t>–</w:t>
      </w:r>
      <w:r w:rsidRPr="00F8113B">
        <w:t>17</w:t>
      </w:r>
      <w:r>
        <w:t>,</w:t>
      </w:r>
      <w:r w:rsidRPr="00F8113B">
        <w:t xml:space="preserve"> ASIC commenced a regulatory transformation project that will deliver an integrated data platform which over the next</w:t>
      </w:r>
      <w:r>
        <w:t xml:space="preserve"> three</w:t>
      </w:r>
      <w:r w:rsidRPr="00F8113B">
        <w:t xml:space="preserve"> years will progressively include standardised workflows and busines</w:t>
      </w:r>
      <w:r w:rsidR="00714D0C">
        <w:t xml:space="preserve">s processes across ASIC teams. </w:t>
      </w:r>
      <w:r w:rsidRPr="00F8113B">
        <w:t xml:space="preserve">As part of this project, ASIC will progressively refine the activity level information </w:t>
      </w:r>
      <w:r>
        <w:t>it</w:t>
      </w:r>
      <w:r w:rsidRPr="00F8113B">
        <w:t xml:space="preserve"> collect</w:t>
      </w:r>
      <w:r>
        <w:t>s</w:t>
      </w:r>
      <w:r w:rsidRPr="00F8113B">
        <w:t xml:space="preserve"> and </w:t>
      </w:r>
      <w:r>
        <w:t>its</w:t>
      </w:r>
      <w:r w:rsidRPr="00F8113B">
        <w:t xml:space="preserve"> management information systems to provide more meaningful data to track ASIC</w:t>
      </w:r>
      <w:r w:rsidR="0003187F">
        <w:t>’</w:t>
      </w:r>
      <w:r w:rsidRPr="00F8113B">
        <w:t xml:space="preserve">s efficiency and effectiveness and for improved resource allocation. </w:t>
      </w:r>
      <w:r>
        <w:t>These improvements to ASIC</w:t>
      </w:r>
      <w:r w:rsidR="0003187F">
        <w:t>’</w:t>
      </w:r>
      <w:r>
        <w:t>s activity-level information will be reflected in updates to the Cost Recovery Implementation Statement (CRIS).</w:t>
      </w:r>
      <w:bookmarkEnd w:id="40"/>
    </w:p>
    <w:p w14:paraId="7F8B64D4" w14:textId="3E1DF479" w:rsidR="003417C5" w:rsidRPr="008E2393" w:rsidRDefault="003417C5" w:rsidP="00C5354C">
      <w:pPr>
        <w:pStyle w:val="BodyText"/>
      </w:pPr>
      <w:r w:rsidRPr="008E2393">
        <w:t>The model outlined in this paper allows for the recovery of costs associated with ASIC</w:t>
      </w:r>
      <w:r w:rsidR="0003187F">
        <w:t>’</w:t>
      </w:r>
      <w:r w:rsidRPr="008E2393">
        <w:t xml:space="preserve">s regulatory activities </w:t>
      </w:r>
      <w:r w:rsidRPr="009A1AF7">
        <w:t xml:space="preserve">outlined in </w:t>
      </w:r>
      <w:r w:rsidR="00364A89" w:rsidRPr="009A1AF7">
        <w:fldChar w:fldCharType="begin"/>
      </w:r>
      <w:r w:rsidR="00364A89" w:rsidRPr="009A1AF7">
        <w:instrText xml:space="preserve"> REF _Ref463597108 \h </w:instrText>
      </w:r>
      <w:r w:rsidR="00BF6103" w:rsidRPr="009A1AF7">
        <w:instrText xml:space="preserve"> \* MERGEFORMAT </w:instrText>
      </w:r>
      <w:r w:rsidR="00364A89" w:rsidRPr="009A1AF7">
        <w:fldChar w:fldCharType="separate"/>
      </w:r>
      <w:r w:rsidR="00A37D1A" w:rsidRPr="009A1AF7">
        <w:t xml:space="preserve">Table </w:t>
      </w:r>
      <w:r w:rsidR="00A37D1A" w:rsidRPr="009A1AF7">
        <w:rPr>
          <w:noProof/>
        </w:rPr>
        <w:t>1</w:t>
      </w:r>
      <w:r w:rsidR="00364A89" w:rsidRPr="009A1AF7">
        <w:fldChar w:fldCharType="end"/>
      </w:r>
      <w:r w:rsidRPr="008E2393">
        <w:t xml:space="preserve"> above.</w:t>
      </w:r>
    </w:p>
    <w:p w14:paraId="55DDADB4" w14:textId="345DAF61" w:rsidR="009A1AF7" w:rsidRDefault="00CB5C63" w:rsidP="009A1AF7">
      <w:pPr>
        <w:pStyle w:val="BodyText"/>
      </w:pPr>
      <w:bookmarkStart w:id="41" w:name="_Ref464157890"/>
      <w:r w:rsidRPr="003A2B1E">
        <w:t>The costs in this paper reflect ASIC</w:t>
      </w:r>
      <w:r w:rsidR="0003187F">
        <w:t>’</w:t>
      </w:r>
      <w:r w:rsidRPr="003A2B1E">
        <w:t xml:space="preserve">s </w:t>
      </w:r>
      <w:r w:rsidR="00491E5C">
        <w:t xml:space="preserve">forecast for its </w:t>
      </w:r>
      <w:r w:rsidRPr="003A2B1E">
        <w:t xml:space="preserve">2016–17 regulatory </w:t>
      </w:r>
      <w:r w:rsidR="00491E5C">
        <w:t>costs</w:t>
      </w:r>
      <w:r w:rsidR="00491E5C" w:rsidRPr="003A2B1E">
        <w:t xml:space="preserve"> </w:t>
      </w:r>
      <w:r w:rsidRPr="003A2B1E">
        <w:t xml:space="preserve">for operating expenditure (excluding depreciation and fee-for-service activities) plus an allowance for capital expenditure. </w:t>
      </w:r>
      <w:r w:rsidR="00491E5C">
        <w:t>These costs are a guide only for the anticipated levies</w:t>
      </w:r>
      <w:r w:rsidR="009A1AF7" w:rsidRPr="009A1AF7">
        <w:t xml:space="preserve"> </w:t>
      </w:r>
      <w:r w:rsidR="009A1AF7">
        <w:t>to be charged for 2017-18. Levies will include a cost recovery levy component, for a</w:t>
      </w:r>
      <w:r w:rsidR="009A1AF7" w:rsidRPr="00F2783C">
        <w:t>ctivities that are consistent with the Government’s Charging Framework</w:t>
      </w:r>
      <w:r w:rsidR="009A1AF7">
        <w:t xml:space="preserve">, and a </w:t>
      </w:r>
      <w:r w:rsidR="009A1AF7" w:rsidRPr="00F2783C">
        <w:t>statutory industry levy</w:t>
      </w:r>
      <w:r w:rsidR="009A1AF7">
        <w:t xml:space="preserve"> component for other activities</w:t>
      </w:r>
      <w:r w:rsidR="009A1AF7" w:rsidRPr="00F2783C">
        <w:t xml:space="preserve">. </w:t>
      </w:r>
      <w:r w:rsidR="009A1AF7">
        <w:t xml:space="preserve">Please refer to the Government’s proposal paper for further information on the proposed levy types and ex-post model. </w:t>
      </w:r>
    </w:p>
    <w:p w14:paraId="4561277D" w14:textId="52B0B27D" w:rsidR="00CB5C63" w:rsidRPr="00776978" w:rsidRDefault="00CB5C63" w:rsidP="00C5354C">
      <w:pPr>
        <w:pStyle w:val="BodyText"/>
      </w:pPr>
      <w:r w:rsidRPr="00A34722">
        <w:t>Measures approved in the 2016–17 Budget that provide ASIC additiona</w:t>
      </w:r>
      <w:r w:rsidRPr="000035A2">
        <w:t>l funding in 2016–17 are not included as this funding is not available to ASIC until the passage of the 2016–17 Appropriation Bills through Parliament.</w:t>
      </w:r>
      <w:bookmarkEnd w:id="41"/>
    </w:p>
    <w:p w14:paraId="3B34CFFC" w14:textId="7D875C93" w:rsidR="00CB5C63" w:rsidRPr="003A2B1E" w:rsidRDefault="00CB5C63" w:rsidP="00C5354C">
      <w:pPr>
        <w:pStyle w:val="BodyText"/>
      </w:pPr>
      <w:r w:rsidRPr="003A2B1E">
        <w:t>ASIC has attributed costs to each subsector based on the amount of effort ASIC spends regulating that subsector. ASIC prioritises its regulatory effort to support ASIC’s vision and address the key risks (</w:t>
      </w:r>
      <w:r w:rsidR="00364A89">
        <w:t xml:space="preserve">see </w:t>
      </w:r>
      <w:r w:rsidR="00364A89" w:rsidRPr="009A1AF7">
        <w:t xml:space="preserve">paragraphs </w:t>
      </w:r>
      <w:r w:rsidR="00364A89" w:rsidRPr="009A1AF7">
        <w:fldChar w:fldCharType="begin"/>
      </w:r>
      <w:r w:rsidR="00364A89" w:rsidRPr="009A1AF7">
        <w:instrText xml:space="preserve"> REF _ASICRef774 \w \h </w:instrText>
      </w:r>
      <w:r w:rsidR="00B25C47" w:rsidRPr="009A1AF7">
        <w:instrText xml:space="preserve"> \* MERGEFORMAT </w:instrText>
      </w:r>
      <w:r w:rsidR="00364A89" w:rsidRPr="009A1AF7">
        <w:fldChar w:fldCharType="separate"/>
      </w:r>
      <w:r w:rsidR="00A37D1A" w:rsidRPr="009A1AF7">
        <w:t>3</w:t>
      </w:r>
      <w:r w:rsidR="00364A89" w:rsidRPr="009A1AF7">
        <w:fldChar w:fldCharType="end"/>
      </w:r>
      <w:r w:rsidR="00364A89" w:rsidRPr="009A1AF7">
        <w:t>–</w:t>
      </w:r>
      <w:r w:rsidR="00364A89" w:rsidRPr="009A1AF7">
        <w:fldChar w:fldCharType="begin"/>
      </w:r>
      <w:r w:rsidR="00364A89" w:rsidRPr="009A1AF7">
        <w:instrText xml:space="preserve"> REF _ASICRef14 \w \h </w:instrText>
      </w:r>
      <w:r w:rsidR="00B25C47" w:rsidRPr="009A1AF7">
        <w:instrText xml:space="preserve"> \* MERGEFORMAT </w:instrText>
      </w:r>
      <w:r w:rsidR="00364A89" w:rsidRPr="009A1AF7">
        <w:fldChar w:fldCharType="separate"/>
      </w:r>
      <w:r w:rsidR="00A37D1A" w:rsidRPr="009A1AF7">
        <w:t>14</w:t>
      </w:r>
      <w:r w:rsidR="00364A89" w:rsidRPr="009A1AF7">
        <w:fldChar w:fldCharType="end"/>
      </w:r>
      <w:r w:rsidRPr="003A2B1E">
        <w:t xml:space="preserve">). </w:t>
      </w:r>
    </w:p>
    <w:p w14:paraId="741BCDC3" w14:textId="0926F509" w:rsidR="00CB5C63" w:rsidRPr="003A2B1E" w:rsidRDefault="00CB5C63" w:rsidP="00C5354C">
      <w:pPr>
        <w:pStyle w:val="BodyText"/>
      </w:pPr>
      <w:r w:rsidRPr="003A2B1E">
        <w:t>ASIC</w:t>
      </w:r>
      <w:r w:rsidR="0003187F">
        <w:t>’</w:t>
      </w:r>
      <w:r w:rsidRPr="003A2B1E">
        <w:t>s operating costs include direct, indirect, IT and property expenses.</w:t>
      </w:r>
    </w:p>
    <w:p w14:paraId="69B19C29" w14:textId="77777777" w:rsidR="00CB5C63" w:rsidRPr="003A2B1E" w:rsidRDefault="00CB5C63" w:rsidP="000B5B80">
      <w:pPr>
        <w:pStyle w:val="subparaa"/>
        <w:ind w:left="1559"/>
      </w:pPr>
      <w:r w:rsidRPr="003A2B1E">
        <w:t xml:space="preserve">direct expenses are those that can be easily traced to a cost object with a high degree of accuracy </w:t>
      </w:r>
    </w:p>
    <w:p w14:paraId="5DC0C781" w14:textId="77777777" w:rsidR="00CB5C63" w:rsidRPr="003A2B1E" w:rsidRDefault="00CB5C63" w:rsidP="000B5B80">
      <w:pPr>
        <w:pStyle w:val="subparaa"/>
        <w:ind w:left="1559"/>
      </w:pPr>
      <w:r w:rsidRPr="003A2B1E">
        <w:t>indirect expenses are those that cannot be linked to a cost object or for which the costs of tracking this outweigh the benefits</w:t>
      </w:r>
    </w:p>
    <w:p w14:paraId="47B28E4F" w14:textId="77777777" w:rsidR="00CB5C63" w:rsidRPr="003A2B1E" w:rsidRDefault="00CB5C63" w:rsidP="000B5B80">
      <w:pPr>
        <w:pStyle w:val="subparaa"/>
        <w:ind w:left="1559"/>
      </w:pPr>
      <w:r w:rsidRPr="003A2B1E">
        <w:t>property and other indirect expenses such as governance, leadership and compliance costs are attributed to subsectors based on the FTE resources attributed to those subsectors.</w:t>
      </w:r>
    </w:p>
    <w:p w14:paraId="280A3C80" w14:textId="54910363" w:rsidR="00CB5C63" w:rsidRPr="003A2B1E" w:rsidRDefault="00CB5C63" w:rsidP="000B5B80">
      <w:pPr>
        <w:pStyle w:val="subparaa"/>
        <w:ind w:left="1559"/>
      </w:pPr>
      <w:r w:rsidRPr="003A2B1E">
        <w:t>IT costs are attributed to sectors based on ASIC’s regulatory</w:t>
      </w:r>
      <w:r w:rsidR="00714D0C">
        <w:t xml:space="preserve"> effort within each subsector. </w:t>
      </w:r>
      <w:r w:rsidRPr="003A2B1E">
        <w:t>The cost drivers used to allocate IT costs are based on the users of the underlying systems supported by IT.</w:t>
      </w:r>
    </w:p>
    <w:p w14:paraId="2BBFBF23" w14:textId="2E04E26F" w:rsidR="00CB5C63" w:rsidRPr="003A2B1E" w:rsidRDefault="00CB5C63" w:rsidP="00C5354C">
      <w:pPr>
        <w:pStyle w:val="BodyText"/>
      </w:pPr>
      <w:r w:rsidRPr="003A2B1E">
        <w:t>The allowance for capital expenditure has been calculated based on ASIC</w:t>
      </w:r>
      <w:r w:rsidR="0003187F">
        <w:t>’</w:t>
      </w:r>
      <w:r w:rsidRPr="003A2B1E">
        <w:t xml:space="preserve">s average regulatory budget for business-as-usual asset additions over the forward estimates. </w:t>
      </w:r>
    </w:p>
    <w:p w14:paraId="761463E0" w14:textId="43EE384D" w:rsidR="00CB5C63" w:rsidRPr="003A2B1E" w:rsidRDefault="009A1AF7" w:rsidP="009A1AF7">
      <w:pPr>
        <w:pStyle w:val="BodyText"/>
      </w:pPr>
      <w:r w:rsidRPr="003A2B1E">
        <w:t>The levies charged in January 201</w:t>
      </w:r>
      <w:r>
        <w:t>9</w:t>
      </w:r>
      <w:r w:rsidRPr="003A2B1E">
        <w:t xml:space="preserve"> will be based on ASIC</w:t>
      </w:r>
      <w:r>
        <w:t>’</w:t>
      </w:r>
      <w:r w:rsidRPr="003A2B1E">
        <w:t>s actual operating expenditure regulating each subsector in 201</w:t>
      </w:r>
      <w:r>
        <w:t>7</w:t>
      </w:r>
      <w:r w:rsidRPr="003A2B1E">
        <w:t>–1</w:t>
      </w:r>
      <w:r>
        <w:t>8</w:t>
      </w:r>
      <w:r w:rsidRPr="003A2B1E">
        <w:t xml:space="preserve">. This ensures that each industry group is only charged for the actual costs of regulating that group. </w:t>
      </w:r>
      <w:r>
        <w:t xml:space="preserve">The costs in this paper reflect ASIC's expected operating expenditure for each subsector in 2016–17 as outlined in paragraph </w:t>
      </w:r>
      <w:r>
        <w:fldChar w:fldCharType="begin"/>
      </w:r>
      <w:r>
        <w:instrText xml:space="preserve"> REF _Ref464157890 \r \h </w:instrText>
      </w:r>
      <w:r>
        <w:fldChar w:fldCharType="separate"/>
      </w:r>
      <w:r>
        <w:t>19</w:t>
      </w:r>
      <w:r>
        <w:fldChar w:fldCharType="end"/>
      </w:r>
      <w:r>
        <w:t>. The 2016–17 costs are a guide only for the anticipated levies to be charged for</w:t>
      </w:r>
      <w:r w:rsidR="00714D0C">
        <w:br/>
      </w:r>
      <w:r>
        <w:t>2017-18.</w:t>
      </w:r>
    </w:p>
    <w:p w14:paraId="07487121" w14:textId="4F817A07" w:rsidR="00CB5C63" w:rsidRPr="003A2B1E" w:rsidRDefault="00CB5C63" w:rsidP="00C5354C">
      <w:pPr>
        <w:pStyle w:val="BodyText"/>
      </w:pPr>
      <w:r w:rsidRPr="003A2B1E">
        <w:t>ASIC</w:t>
      </w:r>
      <w:r w:rsidR="00364A89">
        <w:t>’s</w:t>
      </w:r>
      <w:r w:rsidRPr="003A2B1E">
        <w:t xml:space="preserve"> Financial Management Information System (FMIS) time records for regulatory activities will be used to verify ASIC’s actual expenditure for regulating each subsector. Capital is applied to subsectors in the same proportion as ASIC</w:t>
      </w:r>
      <w:r w:rsidR="0003187F">
        <w:t>’</w:t>
      </w:r>
      <w:r w:rsidRPr="003A2B1E">
        <w:t>s actual operating expenditure. The expenditure for each subsector and the outcomes achieved will be detailed through the sector-level dashboard reports published in October each year.</w:t>
      </w:r>
    </w:p>
    <w:p w14:paraId="59B3DB7B" w14:textId="7D300365" w:rsidR="007E60A1" w:rsidRPr="00021FDC" w:rsidRDefault="007E60A1" w:rsidP="000B5B80">
      <w:pPr>
        <w:pStyle w:val="Heading3"/>
      </w:pPr>
      <w:r>
        <w:t>Existing ASIC fees to be removed</w:t>
      </w:r>
    </w:p>
    <w:p w14:paraId="05A128F9" w14:textId="426F1417" w:rsidR="007E60A1" w:rsidRPr="008E2393" w:rsidRDefault="007E60A1">
      <w:pPr>
        <w:pStyle w:val="BodyText"/>
      </w:pPr>
      <w:r w:rsidRPr="00F450D8">
        <w:t xml:space="preserve">ASIC has determined that there are approximately 40 ASIC forms for which lodgement fees are used to support work across an industry, rather than activities undertaken for an individual entity. For example, the lodgement of annual compliance certificates for Australian </w:t>
      </w:r>
      <w:r>
        <w:t>c</w:t>
      </w:r>
      <w:r w:rsidRPr="00F450D8">
        <w:t xml:space="preserve">redit </w:t>
      </w:r>
      <w:r>
        <w:t>l</w:t>
      </w:r>
      <w:r w:rsidRPr="00F450D8">
        <w:t xml:space="preserve">icensees. In these cases, fees will be abolished and these activities funded by ongoing annual levies. </w:t>
      </w:r>
      <w:r>
        <w:t xml:space="preserve">Appendix </w:t>
      </w:r>
      <w:r w:rsidR="00206F90">
        <w:t xml:space="preserve">2 </w:t>
      </w:r>
      <w:r w:rsidRPr="00F450D8">
        <w:t>contains a list of fees proposed to be subsumed into annual levies.</w:t>
      </w:r>
      <w:r>
        <w:t xml:space="preserve"> This is consistent with the proposal in the Government’s August 2015 consultation paper. </w:t>
      </w:r>
    </w:p>
    <w:p w14:paraId="7F1E569B" w14:textId="5B097690" w:rsidR="00CB5C63" w:rsidRPr="00021FDC" w:rsidRDefault="00CB5C63" w:rsidP="003A2B1E">
      <w:pPr>
        <w:pStyle w:val="Heading2"/>
      </w:pPr>
      <w:bookmarkStart w:id="42" w:name="_Toc462677665"/>
      <w:bookmarkStart w:id="43" w:name="_Toc462697117"/>
      <w:bookmarkStart w:id="44" w:name="_Toc462698928"/>
      <w:bookmarkStart w:id="45" w:name="_Toc462700164"/>
      <w:bookmarkStart w:id="46" w:name="_Toc462700845"/>
      <w:bookmarkStart w:id="47" w:name="_Toc463544587"/>
      <w:bookmarkStart w:id="48" w:name="_Toc463595189"/>
      <w:bookmarkStart w:id="49" w:name="_Toc464140299"/>
      <w:bookmarkStart w:id="50" w:name="_Toc466020952"/>
      <w:r w:rsidRPr="00021FDC">
        <w:t>How ASIC</w:t>
      </w:r>
      <w:r w:rsidR="0003187F">
        <w:t>’</w:t>
      </w:r>
      <w:r w:rsidRPr="00021FDC">
        <w:t>s costs will be recovered</w:t>
      </w:r>
      <w:bookmarkEnd w:id="42"/>
      <w:bookmarkEnd w:id="43"/>
      <w:bookmarkEnd w:id="44"/>
      <w:bookmarkEnd w:id="45"/>
      <w:bookmarkEnd w:id="46"/>
      <w:bookmarkEnd w:id="47"/>
      <w:bookmarkEnd w:id="48"/>
      <w:bookmarkEnd w:id="49"/>
      <w:bookmarkEnd w:id="50"/>
    </w:p>
    <w:p w14:paraId="381235DF" w14:textId="38E741D1" w:rsidR="00CB5C63" w:rsidRPr="00021FDC" w:rsidRDefault="00CB5C63" w:rsidP="003A2B1E">
      <w:pPr>
        <w:pStyle w:val="Heading3"/>
      </w:pPr>
      <w:r w:rsidRPr="00A648ED">
        <w:t>Graduated levies</w:t>
      </w:r>
    </w:p>
    <w:p w14:paraId="6CF625C6" w14:textId="03E3F13B" w:rsidR="00D556E7" w:rsidRDefault="00CB5C63" w:rsidP="007C3F29">
      <w:pPr>
        <w:pStyle w:val="BodyText"/>
      </w:pPr>
      <w:r w:rsidRPr="00EB2F93">
        <w:t xml:space="preserve">The metric </w:t>
      </w:r>
      <w:r w:rsidR="00DA12BE">
        <w:t xml:space="preserve">proposed </w:t>
      </w:r>
      <w:r w:rsidRPr="00ED0AA0">
        <w:t>for each subsector is a readily available metric of business activity that most closely aligns to the expected level of regulatory oversight, including the level of anticipated consumer or investor exposure. The quantum of the graduated component of the levy is driven by ASIC</w:t>
      </w:r>
      <w:r w:rsidR="0003187F">
        <w:t>’</w:t>
      </w:r>
      <w:r w:rsidRPr="00ED0AA0">
        <w:t>s enforcement and surveillance activities for each subsector. The cost to undertake these regulatory activities varies significantly depending on the conduct and behaviour of industry participants which influences ASIC</w:t>
      </w:r>
      <w:r w:rsidR="0003187F">
        <w:t>’</w:t>
      </w:r>
      <w:r w:rsidRPr="00ED0AA0">
        <w:t xml:space="preserve">s resulting risk assessment of the subsector </w:t>
      </w:r>
      <w:r w:rsidR="009A1AF7">
        <w:t xml:space="preserve">and in turn </w:t>
      </w:r>
      <w:r w:rsidRPr="00ED0AA0">
        <w:t>the level of regulatory oversight required by ASIC.</w:t>
      </w:r>
      <w:bookmarkStart w:id="51" w:name="_Ref463599459"/>
      <w:r w:rsidR="00D556E7">
        <w:br w:type="page"/>
      </w:r>
    </w:p>
    <w:p w14:paraId="263CD637" w14:textId="59EFD3A3" w:rsidR="004C3374" w:rsidRPr="00FE734B" w:rsidRDefault="00E11121" w:rsidP="00E11121">
      <w:pPr>
        <w:pStyle w:val="figuretitlefullwidth"/>
        <w:spacing w:after="300"/>
      </w:pPr>
      <w:r>
        <w:rPr>
          <w:noProof/>
        </w:rPr>
        <mc:AlternateContent>
          <mc:Choice Requires="wpg">
            <w:drawing>
              <wp:anchor distT="0" distB="0" distL="114300" distR="114300" simplePos="0" relativeHeight="251660331" behindDoc="0" locked="0" layoutInCell="1" allowOverlap="1" wp14:anchorId="6096F026" wp14:editId="5253F71B">
                <wp:simplePos x="0" y="0"/>
                <wp:positionH relativeFrom="column">
                  <wp:posOffset>-29210</wp:posOffset>
                </wp:positionH>
                <wp:positionV relativeFrom="paragraph">
                  <wp:posOffset>226241</wp:posOffset>
                </wp:positionV>
                <wp:extent cx="5832000" cy="4101737"/>
                <wp:effectExtent l="19050" t="0" r="16510" b="13335"/>
                <wp:wrapNone/>
                <wp:docPr id="5" name="Group 5"/>
                <wp:cNvGraphicFramePr/>
                <a:graphic xmlns:a="http://schemas.openxmlformats.org/drawingml/2006/main">
                  <a:graphicData uri="http://schemas.microsoft.com/office/word/2010/wordprocessingGroup">
                    <wpg:wgp>
                      <wpg:cNvGrpSpPr/>
                      <wpg:grpSpPr>
                        <a:xfrm>
                          <a:off x="0" y="0"/>
                          <a:ext cx="5832000" cy="4101737"/>
                          <a:chOff x="0" y="0"/>
                          <a:chExt cx="5832000" cy="4101737"/>
                        </a:xfrm>
                      </wpg:grpSpPr>
                      <wps:wsp>
                        <wps:cNvPr id="30" name="Equal 30"/>
                        <wps:cNvSpPr/>
                        <wps:spPr>
                          <a:xfrm>
                            <a:off x="757646" y="2194560"/>
                            <a:ext cx="287655" cy="28765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079863" y="1602377"/>
                            <a:ext cx="575945" cy="147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2F0814" w14:textId="77777777" w:rsidR="00BE7110" w:rsidRPr="00F6036D" w:rsidRDefault="00BE7110" w:rsidP="004C3374">
                              <w:pPr>
                                <w:jc w:val="center"/>
                                <w:rPr>
                                  <w:rFonts w:ascii="Calibri Light" w:hAnsi="Calibri Light"/>
                                  <w:sz w:val="18"/>
                                  <w:szCs w:val="18"/>
                                </w:rPr>
                              </w:pPr>
                              <w:r w:rsidRPr="00F6036D">
                                <w:rPr>
                                  <w:rFonts w:ascii="Calibri Light" w:hAnsi="Calibri Light"/>
                                  <w:color w:val="000000" w:themeColor="text1"/>
                                  <w:sz w:val="18"/>
                                  <w:szCs w:val="18"/>
                                </w:rPr>
                                <w:t xml:space="preserve">Actual cost of each subsector to be recovered </w:t>
                              </w:r>
                              <w:r w:rsidRPr="00F6036D">
                                <w:rPr>
                                  <w:rFonts w:ascii="Calibri Light" w:hAnsi="Calibri Light"/>
                                  <w:b/>
                                  <w:color w:val="000000" w:themeColor="text1"/>
                                  <w:sz w:val="18"/>
                                  <w:szCs w:val="18"/>
                                </w:rPr>
                                <w:t>post fact</w:t>
                              </w:r>
                              <w:r w:rsidRPr="00F6036D">
                                <w:rPr>
                                  <w:rFonts w:ascii="Calibri Light" w:hAnsi="Calibri Light"/>
                                  <w:color w:val="000000" w:themeColor="text1"/>
                                  <w:sz w:val="18"/>
                                  <w:szCs w:val="18"/>
                                </w:rPr>
                                <w:t xml:space="preserve"> via minimum levy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3" name="Straight Connector 23"/>
                        <wps:cNvCnPr/>
                        <wps:spPr>
                          <a:xfrm>
                            <a:off x="0" y="531223"/>
                            <a:ext cx="5832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34834" y="8708"/>
                            <a:ext cx="1799590" cy="4464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C38E195" w14:textId="7383B63B" w:rsidR="00BE7110" w:rsidRPr="00C11EB5" w:rsidRDefault="00BE7110" w:rsidP="004C3374">
                              <w:pPr>
                                <w:jc w:val="center"/>
                                <w:rPr>
                                  <w:rFonts w:ascii="Calibri Light" w:hAnsi="Calibri Light"/>
                                  <w:b/>
                                </w:rPr>
                              </w:pPr>
                              <w:r w:rsidRPr="00C11EB5">
                                <w:rPr>
                                  <w:rFonts w:ascii="Calibri Light" w:hAnsi="Calibri Light"/>
                                  <w:b/>
                                </w:rPr>
                                <w:t>Effort attribution*</w:t>
                              </w:r>
                              <w:r w:rsidRPr="00C11EB5">
                                <w:rPr>
                                  <w:rFonts w:ascii="Calibri Light" w:hAnsi="Calibri Light"/>
                                  <w:b/>
                                </w:rPr>
                                <w:br/>
                                <w:t>(subsector level)</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20" name="Text Box 20"/>
                        <wps:cNvSpPr txBox="1"/>
                        <wps:spPr>
                          <a:xfrm>
                            <a:off x="2002972" y="0"/>
                            <a:ext cx="1799590" cy="4464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568BAA" w14:textId="697B8352" w:rsidR="00BE7110" w:rsidRPr="00C11EB5" w:rsidRDefault="00BE7110" w:rsidP="004C3374">
                              <w:pPr>
                                <w:jc w:val="center"/>
                                <w:rPr>
                                  <w:rFonts w:ascii="Calibri Light" w:hAnsi="Calibri Light"/>
                                  <w:b/>
                                </w:rPr>
                              </w:pPr>
                              <w:r w:rsidRPr="00C11EB5">
                                <w:rPr>
                                  <w:rFonts w:ascii="Calibri Light" w:hAnsi="Calibri Light"/>
                                  <w:b/>
                                </w:rPr>
                                <w:t>Minimum levy</w:t>
                              </w:r>
                              <w:r w:rsidRPr="00C11EB5">
                                <w:rPr>
                                  <w:rFonts w:ascii="Calibri Light" w:hAnsi="Calibri Light"/>
                                  <w:b/>
                                </w:rPr>
                                <w:br/>
                                <w:t>calculation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3971109" y="8708"/>
                            <a:ext cx="1799590" cy="4464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1D2664" w14:textId="72B2A466" w:rsidR="00BE7110" w:rsidRPr="00C11EB5" w:rsidRDefault="00BE7110" w:rsidP="004C3374">
                              <w:pPr>
                                <w:jc w:val="center"/>
                                <w:rPr>
                                  <w:rFonts w:ascii="Calibri Light" w:hAnsi="Calibri Light"/>
                                  <w:b/>
                                </w:rPr>
                              </w:pPr>
                              <w:r w:rsidRPr="00C11EB5">
                                <w:rPr>
                                  <w:rFonts w:ascii="Calibri Light" w:hAnsi="Calibri Light"/>
                                  <w:b/>
                                </w:rPr>
                                <w:t>Graduated levy</w:t>
                              </w:r>
                              <w:r w:rsidRPr="00C11EB5">
                                <w:rPr>
                                  <w:rFonts w:ascii="Calibri Light" w:hAnsi="Calibri Light"/>
                                  <w:b/>
                                </w:rPr>
                                <w:br/>
                                <w:t>calculation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Connector 50"/>
                        <wps:cNvCnPr/>
                        <wps:spPr>
                          <a:xfrm>
                            <a:off x="1924594" y="531223"/>
                            <a:ext cx="0" cy="3276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Right Arrow 8"/>
                        <wps:cNvSpPr/>
                        <wps:spPr>
                          <a:xfrm>
                            <a:off x="1733006" y="2211977"/>
                            <a:ext cx="251460" cy="251460"/>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a:off x="3892732" y="531223"/>
                            <a:ext cx="0" cy="3276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Rectangle 52"/>
                        <wps:cNvSpPr/>
                        <wps:spPr>
                          <a:xfrm>
                            <a:off x="4093029" y="609600"/>
                            <a:ext cx="575945" cy="162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2EF64" w14:textId="4E6C785B"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Total actual cost for sub</w:t>
                              </w:r>
                              <w:r>
                                <w:rPr>
                                  <w:rFonts w:ascii="Calibri Light" w:hAnsi="Calibri Light"/>
                                  <w:color w:val="000000" w:themeColor="text1"/>
                                  <w:sz w:val="18"/>
                                  <w:szCs w:val="18"/>
                                </w:rPr>
                                <w:t>-</w:t>
                              </w:r>
                              <w:r w:rsidRPr="00F6036D">
                                <w:rPr>
                                  <w:rFonts w:ascii="Calibri Light" w:hAnsi="Calibri Light"/>
                                  <w:color w:val="000000" w:themeColor="text1"/>
                                  <w:sz w:val="18"/>
                                  <w:szCs w:val="18"/>
                                </w:rPr>
                                <w:t>sector** less amount recovered via minimum levy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 name="Equal 1"/>
                        <wps:cNvSpPr/>
                        <wps:spPr>
                          <a:xfrm>
                            <a:off x="4772297" y="2194560"/>
                            <a:ext cx="287655" cy="28765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5155474" y="1524000"/>
                            <a:ext cx="575945" cy="16198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818DF1" w14:textId="77777777"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Levy rate per amount of reported metric for a subsector above minimum threshold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7" name="Rectangle 57"/>
                        <wps:cNvSpPr/>
                        <wps:spPr>
                          <a:xfrm>
                            <a:off x="4101737" y="2473234"/>
                            <a:ext cx="576000" cy="1224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55C393" w14:textId="7026FED0"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Total reported metric for a sub-sector*** above minimum threshold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1" name="Plus 61"/>
                        <wps:cNvSpPr/>
                        <wps:spPr>
                          <a:xfrm>
                            <a:off x="3744686" y="2194560"/>
                            <a:ext cx="287655" cy="28765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3" name="Diagram 33"/>
                        <wpg:cNvFrPr/>
                        <wpg:xfrm>
                          <a:off x="17417" y="592183"/>
                          <a:ext cx="722812" cy="3509554"/>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s:wsp>
                        <wps:cNvPr id="28" name="Straight Connector 28"/>
                        <wps:cNvCnPr/>
                        <wps:spPr>
                          <a:xfrm flipV="1">
                            <a:off x="1994263" y="2290354"/>
                            <a:ext cx="72000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2063932" y="600891"/>
                            <a:ext cx="576000" cy="162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69622" w14:textId="77777777" w:rsidR="00BE7110" w:rsidRPr="00F6036D" w:rsidRDefault="00BE7110" w:rsidP="004C3374">
                              <w:pPr>
                                <w:jc w:val="center"/>
                                <w:rPr>
                                  <w:rFonts w:ascii="Calibri Light" w:hAnsi="Calibri Light"/>
                                  <w:sz w:val="18"/>
                                  <w:szCs w:val="18"/>
                                </w:rPr>
                              </w:pPr>
                              <w:r w:rsidRPr="00F6036D">
                                <w:rPr>
                                  <w:rFonts w:ascii="Calibri Light" w:hAnsi="Calibri Light"/>
                                  <w:color w:val="000000" w:themeColor="text1"/>
                                  <w:sz w:val="18"/>
                                  <w:szCs w:val="18"/>
                                </w:rPr>
                                <w:t>Total actual subsector costs of activities that are common for regulating each entity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 name="Rectangle 31"/>
                        <wps:cNvSpPr/>
                        <wps:spPr>
                          <a:xfrm>
                            <a:off x="2063932" y="2473234"/>
                            <a:ext cx="576000" cy="684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A8924" w14:textId="170716FA" w:rsidR="00BE7110" w:rsidRPr="00F6036D" w:rsidRDefault="00BE7110" w:rsidP="00F6036D">
                              <w:pPr>
                                <w:spacing w:after="0"/>
                                <w:jc w:val="center"/>
                                <w:rPr>
                                  <w:rFonts w:ascii="Calibri Light" w:hAnsi="Calibri Light"/>
                                  <w:sz w:val="18"/>
                                  <w:szCs w:val="18"/>
                                </w:rPr>
                              </w:pPr>
                              <w:r w:rsidRPr="00F6036D">
                                <w:rPr>
                                  <w:rFonts w:ascii="Calibri Light" w:hAnsi="Calibri Light"/>
                                  <w:color w:val="000000" w:themeColor="text1"/>
                                  <w:sz w:val="18"/>
                                  <w:szCs w:val="18"/>
                                </w:rPr>
                                <w:t>Number</w:t>
                              </w:r>
                              <w:r w:rsidRPr="00F6036D">
                                <w:rPr>
                                  <w:rFonts w:ascii="Calibri Light" w:hAnsi="Calibri Light"/>
                                  <w:color w:val="000000" w:themeColor="text1"/>
                                  <w:sz w:val="18"/>
                                  <w:szCs w:val="18"/>
                                </w:rPr>
                                <w:br/>
                                <w:t>of entities in subsector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2" name="Equal 32"/>
                        <wps:cNvSpPr/>
                        <wps:spPr>
                          <a:xfrm>
                            <a:off x="2734492" y="2194560"/>
                            <a:ext cx="287655" cy="28765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117669" y="1942011"/>
                            <a:ext cx="575945" cy="7918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C0E68" w14:textId="77777777"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Minimum levy for each entity in subsector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Straight Connector 2"/>
                        <wps:cNvCnPr/>
                        <wps:spPr>
                          <a:xfrm flipV="1">
                            <a:off x="4032069" y="2290354"/>
                            <a:ext cx="719455" cy="1079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6" style="position:absolute;left:0;text-align:left;margin-left:-2.3pt;margin-top:17.8pt;width:459.2pt;height:322.95pt;z-index:251660331" coordsize="58320,4101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">
                <v:shape id="Equal 30" o:spid="_x0000_s1027" style="position:absolute;left:7576;top:21945;width:2877;height:2877;visibility:visible;mso-wrap-style:square;v-text-anchor:middle" coordsize="287655,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BTcIA&#10;AADbAAAADwAAAGRycy9kb3ducmV2LnhtbERPz2vCMBS+D/Y/hDfwMjTVwRidqQyH1YOXdSJ4ezSv&#10;TVnzUpJo63+/HAY7fny/15vJ9uJGPnSOFSwXGQji2umOWwWn7938DUSIyBp7x6TgTgE2xePDGnPt&#10;Rv6iWxVbkUI45KjAxDjkUobakMWwcANx4hrnLcYEfSu1xzGF216usuxVWuw4NRgcaGuo/qmuVkF2&#10;qCs+by+XvXk+Hs+f17KpfKnU7Gn6eAcRaYr/4j/3QSt4SevT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UFNwgAAANsAAAAPAAAAAAAAAAAAAAAAAJgCAABkcnMvZG93&#10;bnJldi54bWxQSwUGAAAAAAQABAD1AAAAhwMAAAAA&#10;" path="m38129,59257r211397,l249526,126913r-211397,l38129,59257xm38129,160742r211397,l249526,228398r-211397,l38129,160742xe" fillcolor="#4f81bd [3204]" strokecolor="#243f60 [1604]" strokeweight="2pt">
                  <v:path arrowok="t" o:connecttype="custom" o:connectlocs="38129,59257;249526,59257;249526,126913;38129,126913;38129,59257;38129,160742;249526,160742;249526,228398;38129,228398;38129,160742" o:connectangles="0,0,0,0,0,0,0,0,0,0"/>
                </v:shape>
                <v:rect id="Rectangle 35" o:spid="_x0000_s1028" style="position:absolute;left:10798;top:16023;width:5760;height:147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OTsMA&#10;AADbAAAADwAAAGRycy9kb3ducmV2LnhtbESP0WrCQBRE3wv9h+UWfCm6qVKV6CpSEEREMO0HXLPX&#10;bNLs3ZDdmvj3riD0cZiZM8xy3dtaXKn1pWMFH6MEBHHudMmFgp/v7XAOwgdkjbVjUnAjD+vV68sS&#10;U+06PtE1C4WIEPYpKjAhNKmUPjdk0Y9cQxy9i2sthijbQuoWuwi3tRwnyVRaLDkuGGzoy1D+m/1Z&#10;BXufbMiddxXvfWdm20N1O75XSg3e+s0CRKA+/Ief7Z1WMPmE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xOTsMAAADbAAAADwAAAAAAAAAAAAAAAACYAgAAZHJzL2Rv&#10;d25yZXYueG1sUEsFBgAAAAAEAAQA9QAAAIgDAAAAAA==&#10;" fillcolor="white [3212]" strokecolor="#243f60 [1604]" strokeweight="2pt">
                  <v:textbox inset="1mm,1mm,1mm,1mm">
                    <w:txbxContent>
                      <w:p w14:paraId="562F0814" w14:textId="77777777" w:rsidR="00BE7110" w:rsidRPr="00F6036D" w:rsidRDefault="00BE7110" w:rsidP="004C3374">
                        <w:pPr>
                          <w:jc w:val="center"/>
                          <w:rPr>
                            <w:rFonts w:ascii="Calibri Light" w:hAnsi="Calibri Light"/>
                            <w:sz w:val="18"/>
                            <w:szCs w:val="18"/>
                          </w:rPr>
                        </w:pPr>
                        <w:r w:rsidRPr="00F6036D">
                          <w:rPr>
                            <w:rFonts w:ascii="Calibri Light" w:hAnsi="Calibri Light"/>
                            <w:color w:val="000000" w:themeColor="text1"/>
                            <w:sz w:val="18"/>
                            <w:szCs w:val="18"/>
                          </w:rPr>
                          <w:t xml:space="preserve">Actual cost of each subsector to be recovered </w:t>
                        </w:r>
                        <w:r w:rsidRPr="00F6036D">
                          <w:rPr>
                            <w:rFonts w:ascii="Calibri Light" w:hAnsi="Calibri Light"/>
                            <w:b/>
                            <w:color w:val="000000" w:themeColor="text1"/>
                            <w:sz w:val="18"/>
                            <w:szCs w:val="18"/>
                          </w:rPr>
                          <w:t>post fact</w:t>
                        </w:r>
                        <w:r w:rsidRPr="00F6036D">
                          <w:rPr>
                            <w:rFonts w:ascii="Calibri Light" w:hAnsi="Calibri Light"/>
                            <w:color w:val="000000" w:themeColor="text1"/>
                            <w:sz w:val="18"/>
                            <w:szCs w:val="18"/>
                          </w:rPr>
                          <w:t xml:space="preserve"> via minimum levy</w:t>
                        </w:r>
                      </w:p>
                    </w:txbxContent>
                  </v:textbox>
                </v:rect>
                <v:line id="Straight Connector 23" o:spid="_x0000_s1029" style="position:absolute;visibility:visible;mso-wrap-style:square" from="0,5312" to="58320,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shapetype id="_x0000_t202" coordsize="21600,21600" o:spt="202" path="m,l,21600r21600,l21600,xe">
                  <v:stroke joinstyle="miter"/>
                  <v:path gradientshapeok="t" o:connecttype="rect"/>
                </v:shapetype>
                <v:shape id="Text Box 22" o:spid="_x0000_s1030" type="#_x0000_t202" style="position:absolute;left:348;top:87;width:17996;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hPMQA&#10;AADbAAAADwAAAGRycy9kb3ducmV2LnhtbESPQWvCQBSE74X+h+UJvenGVKxEV6lCQLypbcHbM/ua&#10;LM2+Ddk1if++WxB6HGbmG2a1GWwtOmq9caxgOklAEBdOGy4VfJzz8QKED8gaa8ek4E4eNuvnpxVm&#10;2vV8pO4UShEh7DNUUIXQZFL6oiKLfuIa4uh9u9ZiiLItpW6xj3BbyzRJ5tKi4bhQYUO7ioqf080q&#10;mN1323xouoO5HPFzNv/i61vyqtTLaHhfggg0hP/wo73XCtI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2YTzEAAAA2wAAAA8AAAAAAAAAAAAAAAAAmAIAAGRycy9k&#10;b3ducmV2LnhtbFBLBQYAAAAABAAEAPUAAACJAwAAAAA=&#10;" fillcolor="white [3201]" strokecolor="#4f81bd [3204]" strokeweight="2pt">
                  <v:textbox inset="1mm,,1mm">
                    <w:txbxContent>
                      <w:p w14:paraId="5C38E195" w14:textId="7383B63B" w:rsidR="00BE7110" w:rsidRPr="00C11EB5" w:rsidRDefault="00BE7110" w:rsidP="004C3374">
                        <w:pPr>
                          <w:jc w:val="center"/>
                          <w:rPr>
                            <w:rFonts w:ascii="Calibri Light" w:hAnsi="Calibri Light"/>
                            <w:b/>
                          </w:rPr>
                        </w:pPr>
                        <w:r w:rsidRPr="00C11EB5">
                          <w:rPr>
                            <w:rFonts w:ascii="Calibri Light" w:hAnsi="Calibri Light"/>
                            <w:b/>
                          </w:rPr>
                          <w:t>Effort attribution*</w:t>
                        </w:r>
                        <w:r w:rsidRPr="00C11EB5">
                          <w:rPr>
                            <w:rFonts w:ascii="Calibri Light" w:hAnsi="Calibri Light"/>
                            <w:b/>
                          </w:rPr>
                          <w:br/>
                          <w:t>(subsector level)</w:t>
                        </w:r>
                      </w:p>
                    </w:txbxContent>
                  </v:textbox>
                </v:shape>
                <v:shape id="Text Box 20" o:spid="_x0000_s1031" type="#_x0000_t202" style="position:absolute;left:20029;width:17996;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Dx70A&#10;AADbAAAADwAAAGRycy9kb3ducmV2LnhtbERPvQrCMBDeBd8hnOCmqQ4q1ShFLIqb1cXtaM622FxK&#10;E7X69GYQHD++/9WmM7V4Uusqywom4wgEcW51xYWCyzkdLUA4j6yxtkwK3uRgs+73Vhhr++ITPTNf&#10;iBDCLkYFpfdNLKXLSzLoxrYhDtzNtgZ9gG0hdYuvEG5qOY2imTRYcWgosaFtSfk9exgFyS5b+H16&#10;/DRpcp7vP+59tZOtUsNBlyxBeOr8X/xzH7SCa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aNDx70AAADbAAAADwAAAAAAAAAAAAAAAACYAgAAZHJzL2Rvd25yZXYu&#10;eG1sUEsFBgAAAAAEAAQA9QAAAIIDAAAAAA==&#10;" fillcolor="white [3201]" strokecolor="#4f81bd [3204]" strokeweight="2pt">
                  <v:textbox>
                    <w:txbxContent>
                      <w:p w14:paraId="5D568BAA" w14:textId="697B8352" w:rsidR="00BE7110" w:rsidRPr="00C11EB5" w:rsidRDefault="00BE7110" w:rsidP="004C3374">
                        <w:pPr>
                          <w:jc w:val="center"/>
                          <w:rPr>
                            <w:rFonts w:ascii="Calibri Light" w:hAnsi="Calibri Light"/>
                            <w:b/>
                          </w:rPr>
                        </w:pPr>
                        <w:r w:rsidRPr="00C11EB5">
                          <w:rPr>
                            <w:rFonts w:ascii="Calibri Light" w:hAnsi="Calibri Light"/>
                            <w:b/>
                          </w:rPr>
                          <w:t>Minimum levy</w:t>
                        </w:r>
                        <w:r w:rsidRPr="00C11EB5">
                          <w:rPr>
                            <w:rFonts w:ascii="Calibri Light" w:hAnsi="Calibri Light"/>
                            <w:b/>
                          </w:rPr>
                          <w:br/>
                          <w:t>calculation</w:t>
                        </w:r>
                      </w:p>
                    </w:txbxContent>
                  </v:textbox>
                </v:shape>
                <v:shape id="Text Box 47" o:spid="_x0000_s1032" type="#_x0000_t202" style="position:absolute;left:39711;top:87;width:17995;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exMMA&#10;AADbAAAADwAAAGRycy9kb3ducmV2LnhtbESPQWvCQBSE7wX/w/IK3pqNRWyIWaUERU+CtvT8uvtM&#10;gtm3IbuN8d+7gtDjMDPfMMV6tK0YqPeNYwWzJAVBrJ1puFLw/bV9y0D4gGywdUwKbuRhvZq8FJgb&#10;d+UjDadQiQhhn6OCOoQul9Lrmiz6xHXE0Tu73mKIsq+k6fEa4baV72m6kBYbjgs1dlTWpC+nP6ug&#10;TMutH3az38XNNZefbMOHTu+Umr6On0sQgcbwH36290bB/AM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exMMAAADbAAAADwAAAAAAAAAAAAAAAACYAgAAZHJzL2Rv&#10;d25yZXYueG1sUEsFBgAAAAAEAAQA9QAAAIgDAAAAAA==&#10;" fillcolor="white [3201]" strokecolor="#4f81bd [3204]" strokeweight="2pt">
                  <v:textbox>
                    <w:txbxContent>
                      <w:p w14:paraId="341D2664" w14:textId="72B2A466" w:rsidR="00BE7110" w:rsidRPr="00C11EB5" w:rsidRDefault="00BE7110" w:rsidP="004C3374">
                        <w:pPr>
                          <w:jc w:val="center"/>
                          <w:rPr>
                            <w:rFonts w:ascii="Calibri Light" w:hAnsi="Calibri Light"/>
                            <w:b/>
                          </w:rPr>
                        </w:pPr>
                        <w:r w:rsidRPr="00C11EB5">
                          <w:rPr>
                            <w:rFonts w:ascii="Calibri Light" w:hAnsi="Calibri Light"/>
                            <w:b/>
                          </w:rPr>
                          <w:t>Graduated levy</w:t>
                        </w:r>
                        <w:r w:rsidRPr="00C11EB5">
                          <w:rPr>
                            <w:rFonts w:ascii="Calibri Light" w:hAnsi="Calibri Light"/>
                            <w:b/>
                          </w:rPr>
                          <w:br/>
                          <w:t>calculation</w:t>
                        </w:r>
                      </w:p>
                    </w:txbxContent>
                  </v:textbox>
                </v:shape>
                <v:line id="Straight Connector 50" o:spid="_x0000_s1033" style="position:absolute;visibility:visible;mso-wrap-style:square" from="19245,5312" to="19245,3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4" type="#_x0000_t13" style="position:absolute;left:17330;top:22119;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kQcMA&#10;AADaAAAADwAAAGRycy9kb3ducmV2LnhtbERPTWvCQBC9C/6HZYReSt20UinRVVpBEKVqtaDHITsm&#10;sdnZmF1j9Ne7h4LHx/sejhtTiJoql1tW8NqNQBAnVuecKvjdTl8+QDiPrLGwTAqu5GA8areGGGt7&#10;4R+qNz4VIYRdjAoy78tYSpdkZNB1bUkcuIOtDPoAq1TqCi8h3BTyLYr60mDOoSHDkiYZJX+bs1FQ&#10;7+x2eTo9r76OveXifX7b77/XM6WeOs3nAISnxj/E/+6ZVhC2hivhBsjR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kQcMAAADaAAAADwAAAAAAAAAAAAAAAACYAgAAZHJzL2Rv&#10;d25yZXYueG1sUEsFBgAAAAAEAAQA9QAAAIgDAAAAAA==&#10;" adj="10800" fillcolor="white [3201]" strokecolor="#4f81bd [3204]" strokeweight="2pt"/>
                <v:line id="Straight Connector 51" o:spid="_x0000_s1035" style="position:absolute;visibility:visible;mso-wrap-style:square" from="38927,5312" to="38927,3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rect id="Rectangle 52" o:spid="_x0000_s1036" style="position:absolute;left:40930;top:6096;width:5759;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zmsIA&#10;AADbAAAADwAAAGRycy9kb3ducmV2LnhtbESP0YrCMBRE34X9h3CFfRFNFVaXahRZEEQWQd0PuDbX&#10;prW5KU209e83guDjMDNnmMWqs5W4U+MLxwrGowQEceZ0wbmCv9Nm+A3CB2SNlWNS8CAPq+VHb4Gp&#10;di0f6H4MuYgQ9ikqMCHUqZQ+M2TRj1xNHL2LayyGKJtc6gbbCLeVnCTJVFosOC4YrOnHUHY93qyC&#10;nU/W5M7bkne+NbPNb/nYD0qlPvvdeg4iUBfe4Vd7qxV8TeD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jOawgAAANsAAAAPAAAAAAAAAAAAAAAAAJgCAABkcnMvZG93&#10;bnJldi54bWxQSwUGAAAAAAQABAD1AAAAhwMAAAAA&#10;" fillcolor="white [3212]" strokecolor="#243f60 [1604]" strokeweight="2pt">
                  <v:textbox inset="1mm,1mm,1mm,1mm">
                    <w:txbxContent>
                      <w:p w14:paraId="0D32EF64" w14:textId="4E6C785B"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Total actual cost for sub</w:t>
                        </w:r>
                        <w:r>
                          <w:rPr>
                            <w:rFonts w:ascii="Calibri Light" w:hAnsi="Calibri Light"/>
                            <w:color w:val="000000" w:themeColor="text1"/>
                            <w:sz w:val="18"/>
                            <w:szCs w:val="18"/>
                          </w:rPr>
                          <w:t>-</w:t>
                        </w:r>
                        <w:r w:rsidRPr="00F6036D">
                          <w:rPr>
                            <w:rFonts w:ascii="Calibri Light" w:hAnsi="Calibri Light"/>
                            <w:color w:val="000000" w:themeColor="text1"/>
                            <w:sz w:val="18"/>
                            <w:szCs w:val="18"/>
                          </w:rPr>
                          <w:t>sector** less amount recovered via minimum levy</w:t>
                        </w:r>
                      </w:p>
                    </w:txbxContent>
                  </v:textbox>
                </v:rect>
                <v:shape id="Equal 1" o:spid="_x0000_s1037" style="position:absolute;left:47722;top:21945;width:2877;height:2877;visibility:visible;mso-wrap-style:square;v-text-anchor:middle" coordsize="287655,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LMAA&#10;AADaAAAADwAAAGRycy9kb3ducmV2LnhtbERPTYvCMBC9L/gfwgheFk3XwyLVKKKsevCyVQRvQzM2&#10;xWZSkqj132+EBU/D433ObNHZRtzJh9qxgq9RBoK4dLrmSsHx8DOcgAgRWWPjmBQ8KcBi3vuYYa7d&#10;g3/pXsRKpBAOOSowMba5lKE0ZDGMXEucuIvzFmOCvpLa4yOF20aOs+xbWqw5NRhsaWWovBY3qyDb&#10;lQWfVufz1nzu96f1bXMp/EapQb9bTkFE6uJb/O/e6TQfXq+8rp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z/LMAAAADaAAAADwAAAAAAAAAAAAAAAACYAgAAZHJzL2Rvd25y&#10;ZXYueG1sUEsFBgAAAAAEAAQA9QAAAIUDAAAAAA==&#10;" path="m38129,59257r211397,l249526,126913r-211397,l38129,59257xm38129,160742r211397,l249526,228398r-211397,l38129,160742xe" fillcolor="#4f81bd [3204]" strokecolor="#243f60 [1604]" strokeweight="2pt">
                  <v:path arrowok="t" o:connecttype="custom" o:connectlocs="38129,59257;249526,59257;249526,126913;38129,126913;38129,59257;38129,160742;249526,160742;249526,228398;38129,228398;38129,160742" o:connectangles="0,0,0,0,0,0,0,0,0,0"/>
                </v:shape>
                <v:rect id="Rectangle 55" o:spid="_x0000_s1038" style="position:absolute;left:51554;top:15240;width:5760;height:1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r7sQA&#10;AADbAAAADwAAAGRycy9kb3ducmV2LnhtbESP3WrCQBSE7wu+w3IEb4puKqSV1FVEECSUQq0PcMye&#10;ZhOzZ0N2m5+37xYKvRxm5htmux9tI3rqfOVYwdMqAUFcOF1xqeD6eVpuQPiArLFxTAom8rDfzR62&#10;mGk38Af1l1CKCGGfoQITQptJ6QtDFv3KtcTR+3KdxRBlV0rd4RDhtpHrJHmWFiuOCwZbOhoq7pdv&#10;qyD3yYHc7Vxz7gfzcnqrp/fHWqnFfDy8ggg0hv/wX/usFaQ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q+7EAAAA2wAAAA8AAAAAAAAAAAAAAAAAmAIAAGRycy9k&#10;b3ducmV2LnhtbFBLBQYAAAAABAAEAPUAAACJAwAAAAA=&#10;" fillcolor="white [3212]" strokecolor="#243f60 [1604]" strokeweight="2pt">
                  <v:textbox inset="1mm,1mm,1mm,1mm">
                    <w:txbxContent>
                      <w:p w14:paraId="05818DF1" w14:textId="77777777"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Levy rate per amount of reported metric for a subsector above minimum threshold</w:t>
                        </w:r>
                      </w:p>
                    </w:txbxContent>
                  </v:textbox>
                </v:rect>
                <v:rect id="Rectangle 57" o:spid="_x0000_s1039" style="position:absolute;left:41017;top:24732;width:576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2QAsQA&#10;AADbAAAADwAAAGRycy9kb3ducmV2LnhtbESP0WrCQBRE3wv+w3IFX0rdWLCW6CpBCASRQm0/4Jq9&#10;zSbN3g3ZbRL/3i0U+jjMzBlmd5hsKwbqfe1YwWqZgCAuna65UvD5kT+9gvABWWPrmBTcyMNhP3vY&#10;YardyO80XEIlIoR9igpMCF0qpS8NWfRL1xFH78v1FkOUfSV1j2OE21Y+J8mLtFhzXDDY0dFQ+X35&#10;sQpOPsnIXYuGT340m/zc3N4eG6UW8ynbggg0hf/wX7vQCtYb+P0Sf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9kALEAAAA2wAAAA8AAAAAAAAAAAAAAAAAmAIAAGRycy9k&#10;b3ducmV2LnhtbFBLBQYAAAAABAAEAPUAAACJAwAAAAA=&#10;" fillcolor="white [3212]" strokecolor="#243f60 [1604]" strokeweight="2pt">
                  <v:textbox inset="1mm,1mm,1mm,1mm">
                    <w:txbxContent>
                      <w:p w14:paraId="6555C393" w14:textId="7026FED0"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Total reported metric for a sub-sector*** above minimum threshold</w:t>
                        </w:r>
                      </w:p>
                    </w:txbxContent>
                  </v:textbox>
                </v:rect>
                <v:shape id="Plus 61" o:spid="_x0000_s1040" style="position:absolute;left:37446;top:21945;width:2877;height:2877;visibility:visible;mso-wrap-style:square;v-text-anchor:middle" coordsize="287655,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nAcQA&#10;AADbAAAADwAAAGRycy9kb3ducmV2LnhtbESPQWvCQBSE70L/w/IKXkQ3erASXUWEoCA9mLSen9nX&#10;JDX7NmQ3Gv99Vyh4HGa+GWa16U0tbtS6yrKC6SQCQZxbXXGh4CtLxgsQziNrrC2Tggc52KzfBiuM&#10;tb3ziW6pL0QoYRejgtL7JpbS5SUZdBPbEAfvx7YGfZBtIXWL91BuajmLork0WHFYKLGhXUn5Ne2M&#10;gnn2uzju0sR9Rpcs6T723feZRkoN3/vtEoSn3r/C//RBB24Kz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pwHEAAAA2wAAAA8AAAAAAAAAAAAAAAAAmAIAAGRycy9k&#10;b3ducmV2LnhtbFBLBQYAAAAABAAEAPUAAACJAwAAAAA=&#10;" path="m38129,109999r71870,l109999,38129r67657,l177656,109999r71870,l249526,177656r-71870,l177656,249526r-67657,l109999,177656r-71870,l38129,109999xe" fillcolor="#4f81bd [3204]" strokecolor="#243f60 [1604]" strokeweight="2pt">
                  <v:path arrowok="t" o:connecttype="custom" o:connectlocs="38129,109999;109999,109999;109999,38129;177656,38129;177656,109999;249526,109999;249526,177656;177656,177656;177656,249526;109999,249526;109999,177656;38129,177656;38129,109999"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3" o:spid="_x0000_s1041" type="#_x0000_t75" style="position:absolute;left:60;top:5791;width:7499;height:353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">
                  <v:imagedata r:id="rId30" o:title=""/>
                  <o:lock v:ext="edit" aspectratio="f"/>
                </v:shape>
                <v:line id="Straight Connector 28" o:spid="_x0000_s1042" style="position:absolute;flip:y;visibility:visible;mso-wrap-style:square" from="19942,22903" to="27142,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JRcMAAADbAAAADwAAAGRycy9kb3ducmV2LnhtbERPTWvCQBC9C/6HZQRvdaMWLdFNEEEa&#10;LKi1PXgcsmMSzM6m2a1J++u7h4LHx/tep72pxZ1aV1lWMJ1EIIhzqysuFHx+7J5eQDiPrLG2TAp+&#10;yEGaDAdrjLXt+J3uZ1+IEMIuRgWl900spctLMugmtiEO3NW2Bn2AbSF1i10IN7WcRdFCGqw4NJTY&#10;0Lak/Hb+NgqyjPf7X94dL9PT16ufV2+H526p1HjUb1YgPPX+If53Z1rBLIwN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CUXDAAAA2wAAAA8AAAAAAAAAAAAA&#10;AAAAoQIAAGRycy9kb3ducmV2LnhtbFBLBQYAAAAABAAEAPkAAACRAwAAAAA=&#10;" strokecolor="#4579b8 [3044]"/>
                <v:rect id="Rectangle 29" o:spid="_x0000_s1043" style="position:absolute;left:20639;top:6008;width:576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SlsIA&#10;AADbAAAADwAAAGRycy9kb3ducmV2LnhtbESP0YrCMBRE34X9h3CFfRFN9WF1q1FkQRBZBHU/4Npc&#10;m9bmpjTR1r/fCIKPw8ycYRarzlbiTo0vHCsYjxIQxJnTBecK/k6b4QyED8gaK8ek4EEeVsuP3gJT&#10;7Vo+0P0YchEh7FNUYEKoUyl9ZsiiH7maOHoX11gMUTa51A22EW4rOUmSL2mx4LhgsKYfQ9n1eLMK&#10;dj5ZkztvS9751kw3v+VjPyiV+ux36zmIQF14h1/trVYw+Y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NKWwgAAANsAAAAPAAAAAAAAAAAAAAAAAJgCAABkcnMvZG93&#10;bnJldi54bWxQSwUGAAAAAAQABAD1AAAAhwMAAAAA&#10;" fillcolor="white [3212]" strokecolor="#243f60 [1604]" strokeweight="2pt">
                  <v:textbox inset="1mm,1mm,1mm,1mm">
                    <w:txbxContent>
                      <w:p w14:paraId="76169622" w14:textId="77777777" w:rsidR="00BE7110" w:rsidRPr="00F6036D" w:rsidRDefault="00BE7110" w:rsidP="004C3374">
                        <w:pPr>
                          <w:jc w:val="center"/>
                          <w:rPr>
                            <w:rFonts w:ascii="Calibri Light" w:hAnsi="Calibri Light"/>
                            <w:sz w:val="18"/>
                            <w:szCs w:val="18"/>
                          </w:rPr>
                        </w:pPr>
                        <w:r w:rsidRPr="00F6036D">
                          <w:rPr>
                            <w:rFonts w:ascii="Calibri Light" w:hAnsi="Calibri Light"/>
                            <w:color w:val="000000" w:themeColor="text1"/>
                            <w:sz w:val="18"/>
                            <w:szCs w:val="18"/>
                          </w:rPr>
                          <w:t>Total actual subsector costs of activities that are common for regulating each entity</w:t>
                        </w:r>
                      </w:p>
                    </w:txbxContent>
                  </v:textbox>
                </v:rect>
                <v:rect id="Rectangle 31" o:spid="_x0000_s1044" style="position:absolute;left:20639;top:24732;width:576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ITcQA&#10;AADbAAAADwAAAGRycy9kb3ducmV2LnhtbESP3WrCQBSE7wu+w3IK3hTdWKGV1FVEEEKQQq0PcMye&#10;ZpNmz4bsNj9v7xYKvRxm5htmux9tI3rqfOVYwWqZgCAunK64VHD9PC02IHxA1tg4JgUTedjvZg9b&#10;TLUb+IP6SyhFhLBPUYEJoU2l9IUhi37pWuLofbnOYoiyK6XucIhw28jnJHmRFiuOCwZbOhoqvi8/&#10;VkHukwO5W1Zz7gfzejrX0/tTrdT8cTy8gQg0hv/wXzvTCtYr+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HSE3EAAAA2wAAAA8AAAAAAAAAAAAAAAAAmAIAAGRycy9k&#10;b3ducmV2LnhtbFBLBQYAAAAABAAEAPUAAACJAwAAAAA=&#10;" fillcolor="white [3212]" strokecolor="#243f60 [1604]" strokeweight="2pt">
                  <v:textbox inset="1mm,1mm,1mm,1mm">
                    <w:txbxContent>
                      <w:p w14:paraId="5B8A8924" w14:textId="170716FA" w:rsidR="00BE7110" w:rsidRPr="00F6036D" w:rsidRDefault="00BE7110" w:rsidP="00F6036D">
                        <w:pPr>
                          <w:spacing w:after="0"/>
                          <w:jc w:val="center"/>
                          <w:rPr>
                            <w:rFonts w:ascii="Calibri Light" w:hAnsi="Calibri Light"/>
                            <w:sz w:val="18"/>
                            <w:szCs w:val="18"/>
                          </w:rPr>
                        </w:pPr>
                        <w:r w:rsidRPr="00F6036D">
                          <w:rPr>
                            <w:rFonts w:ascii="Calibri Light" w:hAnsi="Calibri Light"/>
                            <w:color w:val="000000" w:themeColor="text1"/>
                            <w:sz w:val="18"/>
                            <w:szCs w:val="18"/>
                          </w:rPr>
                          <w:t>Number</w:t>
                        </w:r>
                        <w:r w:rsidRPr="00F6036D">
                          <w:rPr>
                            <w:rFonts w:ascii="Calibri Light" w:hAnsi="Calibri Light"/>
                            <w:color w:val="000000" w:themeColor="text1"/>
                            <w:sz w:val="18"/>
                            <w:szCs w:val="18"/>
                          </w:rPr>
                          <w:br/>
                          <w:t>of entities in subsector</w:t>
                        </w:r>
                      </w:p>
                    </w:txbxContent>
                  </v:textbox>
                </v:rect>
                <v:shape id="Equal 32" o:spid="_x0000_s1045" style="position:absolute;left:27344;top:21945;width:2877;height:2877;visibility:visible;mso-wrap-style:square;v-text-anchor:middle" coordsize="287655,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d6ocQA&#10;AADbAAAADwAAAGRycy9kb3ducmV2LnhtbESPT2sCMRTE7wW/Q3iCl6JZLZSyGkUU/xy8dCuCt8fm&#10;uVncvCxJ1PXbm0Khx2FmfsPMFp1txJ18qB0rGI8yEMSl0zVXCo4/m+EXiBCRNTaOScGTAizmvbcZ&#10;5to9+JvuRaxEgnDIUYGJsc2lDKUhi2HkWuLkXZy3GJP0ldQeHwluGznJsk9psea0YLCllaHyWtys&#10;gmxfFnxanc878344nNa37aXwW6UG/W45BRGpi//hv/ZeK/iYwO+X9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eqHEAAAA2wAAAA8AAAAAAAAAAAAAAAAAmAIAAGRycy9k&#10;b3ducmV2LnhtbFBLBQYAAAAABAAEAPUAAACJAwAAAAA=&#10;" path="m38129,59257r211397,l249526,126913r-211397,l38129,59257xm38129,160742r211397,l249526,228398r-211397,l38129,160742xe" fillcolor="#4f81bd [3204]" strokecolor="#243f60 [1604]" strokeweight="2pt">
                  <v:path arrowok="t" o:connecttype="custom" o:connectlocs="38129,59257;249526,59257;249526,126913;38129,126913;38129,59257;38129,160742;249526,160742;249526,228398;38129,228398;38129,160742" o:connectangles="0,0,0,0,0,0,0,0,0,0"/>
                </v:shape>
                <v:rect id="Rectangle 34" o:spid="_x0000_s1046" style="position:absolute;left:31176;top:19420;width:5760;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r1cMA&#10;AADbAAAADwAAAGRycy9kb3ducmV2LnhtbESP0WrCQBRE3wv9h+UWfCm6qRaV6CpSEEREMO0HXLPX&#10;bNLs3ZDdmvj3riD0cZiZM8xy3dtaXKn1pWMFH6MEBHHudMmFgp/v7XAOwgdkjbVjUnAjD+vV68sS&#10;U+06PtE1C4WIEPYpKjAhNKmUPjdk0Y9cQxy9i2sthijbQuoWuwi3tRwnyVRaLDkuGGzoy1D+m/1Z&#10;BXufbMiddxXvfWdm20N1O75XSg3e+s0CRKA+/Ief7Z1WMPmE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Dr1cMAAADbAAAADwAAAAAAAAAAAAAAAACYAgAAZHJzL2Rv&#10;d25yZXYueG1sUEsFBgAAAAAEAAQA9QAAAIgDAAAAAA==&#10;" fillcolor="white [3212]" strokecolor="#243f60 [1604]" strokeweight="2pt">
                  <v:textbox inset="1mm,1mm,1mm,1mm">
                    <w:txbxContent>
                      <w:p w14:paraId="6CBC0E68" w14:textId="77777777" w:rsidR="00BE7110" w:rsidRPr="00F6036D" w:rsidRDefault="00BE7110" w:rsidP="00F6036D">
                        <w:pPr>
                          <w:spacing w:after="0"/>
                          <w:jc w:val="center"/>
                          <w:rPr>
                            <w:rFonts w:ascii="Calibri Light" w:hAnsi="Calibri Light"/>
                            <w:color w:val="000000" w:themeColor="text1"/>
                            <w:sz w:val="18"/>
                            <w:szCs w:val="18"/>
                          </w:rPr>
                        </w:pPr>
                        <w:r w:rsidRPr="00F6036D">
                          <w:rPr>
                            <w:rFonts w:ascii="Calibri Light" w:hAnsi="Calibri Light"/>
                            <w:color w:val="000000" w:themeColor="text1"/>
                            <w:sz w:val="18"/>
                            <w:szCs w:val="18"/>
                          </w:rPr>
                          <w:t>Minimum levy for each entity in subsector</w:t>
                        </w:r>
                      </w:p>
                    </w:txbxContent>
                  </v:textbox>
                </v:rect>
                <v:line id="Straight Connector 2" o:spid="_x0000_s1047" style="position:absolute;flip:y;visibility:visible;mso-wrap-style:square" from="40320,22903" to="47515,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QX8QAAADaAAAADwAAAGRycy9kb3ducmV2LnhtbESPT2vCQBTE74LfYXlCb3WjlirRVUQQ&#10;g0Jb/xw8PrLPJJh9G7Nbk/rpu4WCx2FmfsPMFq0pxZ1qV1hWMOhHIIhTqwvOFJyO69cJCOeRNZaW&#10;ScEPOVjMu50Zxto2vKf7wWciQNjFqCD3voqldGlOBl3fVsTBu9jaoA+yzqSusQlwU8phFL1LgwWH&#10;hRwrWuWUXg/fRkGS8Hb74PXnefB12/hRsft4a8ZKvfTa5RSEp9Y/w//tRCsYwt+Vc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BfxAAAANoAAAAPAAAAAAAAAAAA&#10;AAAAAKECAABkcnMvZG93bnJldi54bWxQSwUGAAAAAAQABAD5AAAAkgMAAAAA&#10;" strokecolor="#4579b8 [3044]"/>
              </v:group>
            </w:pict>
          </mc:Fallback>
        </mc:AlternateContent>
      </w:r>
      <w:r w:rsidR="003A2B1E" w:rsidRPr="004C3374">
        <w:t xml:space="preserve">Figure </w:t>
      </w:r>
      <w:r w:rsidR="003A2B1E" w:rsidRPr="004C3374">
        <w:fldChar w:fldCharType="begin"/>
      </w:r>
      <w:r w:rsidR="003A2B1E" w:rsidRPr="001149DE">
        <w:instrText xml:space="preserve"> SEQ Figure \* ARABIC </w:instrText>
      </w:r>
      <w:r w:rsidR="003A2B1E" w:rsidRPr="004C3374">
        <w:fldChar w:fldCharType="separate"/>
      </w:r>
      <w:r w:rsidR="00A37D1A">
        <w:rPr>
          <w:noProof/>
        </w:rPr>
        <w:t>2</w:t>
      </w:r>
      <w:r w:rsidR="003A2B1E" w:rsidRPr="004C3374">
        <w:rPr>
          <w:noProof/>
        </w:rPr>
        <w:fldChar w:fldCharType="end"/>
      </w:r>
      <w:bookmarkEnd w:id="51"/>
      <w:r w:rsidR="003A2B1E" w:rsidRPr="004C3374">
        <w:t>:</w:t>
      </w:r>
      <w:r w:rsidR="003A2B1E" w:rsidRPr="004C3374">
        <w:tab/>
        <w:t>Graduated levy calculation</w:t>
      </w:r>
    </w:p>
    <w:p w14:paraId="06F2C078" w14:textId="77777777" w:rsidR="004C3374" w:rsidRPr="0056123A" w:rsidRDefault="004C3374" w:rsidP="004C3374">
      <w:pPr>
        <w:pStyle w:val="CommentText"/>
        <w:spacing w:after="0"/>
        <w:rPr>
          <w:b/>
          <w:sz w:val="22"/>
          <w:szCs w:val="22"/>
          <w:u w:val="single"/>
        </w:rPr>
      </w:pPr>
    </w:p>
    <w:p w14:paraId="29CE6FD2" w14:textId="4D4C998E" w:rsidR="004C3374" w:rsidRDefault="004C3374" w:rsidP="004C3374">
      <w:pPr>
        <w:pStyle w:val="Bullet"/>
        <w:numPr>
          <w:ilvl w:val="0"/>
          <w:numId w:val="0"/>
        </w:numPr>
      </w:pPr>
    </w:p>
    <w:p w14:paraId="6FA495EA" w14:textId="1E82C028" w:rsidR="004C3374" w:rsidRDefault="004C3374" w:rsidP="004C3374">
      <w:pPr>
        <w:pStyle w:val="Bullet"/>
        <w:numPr>
          <w:ilvl w:val="0"/>
          <w:numId w:val="0"/>
        </w:numPr>
      </w:pPr>
    </w:p>
    <w:p w14:paraId="18182EEB" w14:textId="04395238" w:rsidR="004C3374" w:rsidRDefault="004C3374" w:rsidP="004C3374">
      <w:pPr>
        <w:pStyle w:val="Bullet"/>
        <w:numPr>
          <w:ilvl w:val="0"/>
          <w:numId w:val="0"/>
        </w:numPr>
      </w:pPr>
    </w:p>
    <w:p w14:paraId="72CC990D" w14:textId="60E212A9" w:rsidR="004C3374" w:rsidRDefault="004C3374" w:rsidP="004C3374">
      <w:pPr>
        <w:pStyle w:val="Bullet"/>
        <w:numPr>
          <w:ilvl w:val="0"/>
          <w:numId w:val="0"/>
        </w:numPr>
      </w:pPr>
    </w:p>
    <w:p w14:paraId="2E1883F5" w14:textId="49FB899C" w:rsidR="004C3374" w:rsidRDefault="004C3374" w:rsidP="004C3374">
      <w:pPr>
        <w:pStyle w:val="Bullet"/>
        <w:numPr>
          <w:ilvl w:val="0"/>
          <w:numId w:val="0"/>
        </w:numPr>
      </w:pPr>
    </w:p>
    <w:p w14:paraId="7D8B079F" w14:textId="3EE247B0" w:rsidR="004C3374" w:rsidRDefault="004C3374" w:rsidP="004C3374">
      <w:pPr>
        <w:pStyle w:val="Bullet"/>
        <w:numPr>
          <w:ilvl w:val="0"/>
          <w:numId w:val="0"/>
        </w:numPr>
      </w:pPr>
    </w:p>
    <w:p w14:paraId="59B052C0" w14:textId="1769CA1D" w:rsidR="004C3374" w:rsidRDefault="004C3374" w:rsidP="004C3374">
      <w:pPr>
        <w:pStyle w:val="CommentText"/>
        <w:rPr>
          <w:sz w:val="22"/>
          <w:szCs w:val="22"/>
        </w:rPr>
      </w:pPr>
    </w:p>
    <w:p w14:paraId="5C63707B" w14:textId="0ADA1DA1" w:rsidR="004C3374" w:rsidRDefault="004C3374" w:rsidP="004C3374">
      <w:pPr>
        <w:pStyle w:val="CommentText"/>
        <w:rPr>
          <w:sz w:val="22"/>
          <w:szCs w:val="22"/>
        </w:rPr>
      </w:pPr>
    </w:p>
    <w:p w14:paraId="165D3E6A" w14:textId="6B62344E" w:rsidR="00CB5C63" w:rsidRDefault="00CB5C63" w:rsidP="00CB5C63"/>
    <w:p w14:paraId="62B8E4B0" w14:textId="77777777" w:rsidR="004C3374" w:rsidRDefault="004C3374" w:rsidP="00CB5C63"/>
    <w:p w14:paraId="445252E8" w14:textId="77777777" w:rsidR="004C3374" w:rsidRDefault="004C3374" w:rsidP="00CB5C63"/>
    <w:p w14:paraId="0CCF6DB1" w14:textId="77777777" w:rsidR="00FE734B" w:rsidRDefault="00FE734B" w:rsidP="003A2B1E">
      <w:pPr>
        <w:pStyle w:val="sourcenotefullwidth"/>
        <w:rPr>
          <w:sz w:val="20"/>
          <w:szCs w:val="20"/>
        </w:rPr>
      </w:pPr>
    </w:p>
    <w:p w14:paraId="7F4741DE" w14:textId="77777777" w:rsidR="00E11121" w:rsidRDefault="00E11121" w:rsidP="003A2B1E">
      <w:pPr>
        <w:pStyle w:val="sourcenotefullwidth"/>
        <w:rPr>
          <w:sz w:val="20"/>
          <w:szCs w:val="20"/>
        </w:rPr>
      </w:pPr>
    </w:p>
    <w:p w14:paraId="12303011" w14:textId="488E6572" w:rsidR="00CB5C63" w:rsidRDefault="00CB5C63" w:rsidP="003A2B1E">
      <w:pPr>
        <w:pStyle w:val="sourcenotefullwidth"/>
        <w:rPr>
          <w:sz w:val="20"/>
          <w:szCs w:val="20"/>
        </w:rPr>
      </w:pPr>
      <w:r w:rsidRPr="00EA173B">
        <w:rPr>
          <w:sz w:val="20"/>
          <w:szCs w:val="20"/>
        </w:rPr>
        <w:t>*</w:t>
      </w:r>
      <w:r w:rsidRPr="00EA173B" w:rsidDel="00221210">
        <w:rPr>
          <w:sz w:val="20"/>
          <w:szCs w:val="20"/>
        </w:rPr>
        <w:t xml:space="preserve"> </w:t>
      </w:r>
      <w:r>
        <w:t>Costs are attributed to subs</w:t>
      </w:r>
      <w:r w:rsidR="004C3374">
        <w:t xml:space="preserve">ectors based on the effort which </w:t>
      </w:r>
      <w:r>
        <w:t>results from the outcome of ASIC</w:t>
      </w:r>
      <w:r w:rsidR="0003187F">
        <w:t>’</w:t>
      </w:r>
      <w:r>
        <w:t xml:space="preserve">s strategic resource prioritisation process. Capital costs </w:t>
      </w:r>
      <w:r w:rsidDel="00221210">
        <w:t>are</w:t>
      </w:r>
      <w:r w:rsidDel="00315F4F">
        <w:t xml:space="preserve"> attributed to subsector</w:t>
      </w:r>
      <w:r w:rsidDel="00221210">
        <w:t>s</w:t>
      </w:r>
      <w:r w:rsidDel="00315F4F">
        <w:t xml:space="preserve"> </w:t>
      </w:r>
      <w:r>
        <w:t>in</w:t>
      </w:r>
      <w:r w:rsidDel="00315F4F">
        <w:t xml:space="preserve"> the </w:t>
      </w:r>
      <w:r>
        <w:t>same proportion as</w:t>
      </w:r>
      <w:r w:rsidDel="00315F4F">
        <w:t xml:space="preserve"> ASIC</w:t>
      </w:r>
      <w:r w:rsidR="0003187F">
        <w:t>’</w:t>
      </w:r>
      <w:r w:rsidDel="00315F4F">
        <w:t xml:space="preserve">s </w:t>
      </w:r>
      <w:r>
        <w:t>operating costs</w:t>
      </w:r>
      <w:r w:rsidRPr="00EA173B">
        <w:rPr>
          <w:sz w:val="20"/>
          <w:szCs w:val="20"/>
        </w:rPr>
        <w:t>.</w:t>
      </w:r>
      <w:r>
        <w:rPr>
          <w:sz w:val="20"/>
          <w:szCs w:val="20"/>
        </w:rPr>
        <w:t xml:space="preserve"> </w:t>
      </w:r>
    </w:p>
    <w:p w14:paraId="5DB0C18F" w14:textId="4725D7A4" w:rsidR="00CB5C63" w:rsidRPr="002B1451" w:rsidRDefault="00CB5C63" w:rsidP="003A2B1E">
      <w:pPr>
        <w:pStyle w:val="sourcenotefullwidth"/>
        <w:rPr>
          <w:szCs w:val="16"/>
        </w:rPr>
      </w:pPr>
      <w:r>
        <w:rPr>
          <w:sz w:val="20"/>
          <w:szCs w:val="20"/>
        </w:rPr>
        <w:t>*</w:t>
      </w:r>
      <w:r>
        <w:rPr>
          <w:sz w:val="20"/>
        </w:rPr>
        <w:t>*</w:t>
      </w:r>
      <w:r>
        <w:rPr>
          <w:sz w:val="20"/>
          <w:szCs w:val="20"/>
        </w:rPr>
        <w:t xml:space="preserve"> </w:t>
      </w:r>
      <w:r w:rsidRPr="002B1451">
        <w:rPr>
          <w:szCs w:val="16"/>
        </w:rPr>
        <w:t>The actual costs recovered from each subsector are determined by adding together the cost to undertake ASIC</w:t>
      </w:r>
      <w:r w:rsidR="0003187F">
        <w:rPr>
          <w:szCs w:val="16"/>
        </w:rPr>
        <w:t>’</w:t>
      </w:r>
      <w:r w:rsidRPr="002B1451">
        <w:rPr>
          <w:szCs w:val="16"/>
        </w:rPr>
        <w:t xml:space="preserve">s regulatory activities of stakeholder engagement, </w:t>
      </w:r>
      <w:r>
        <w:rPr>
          <w:szCs w:val="16"/>
        </w:rPr>
        <w:t xml:space="preserve">education, </w:t>
      </w:r>
      <w:r w:rsidRPr="002B1451">
        <w:rPr>
          <w:szCs w:val="16"/>
        </w:rPr>
        <w:t>guidance,</w:t>
      </w:r>
      <w:r>
        <w:rPr>
          <w:szCs w:val="16"/>
        </w:rPr>
        <w:t xml:space="preserve"> surveillance, enforcement and</w:t>
      </w:r>
      <w:r w:rsidRPr="002B1451">
        <w:rPr>
          <w:szCs w:val="16"/>
        </w:rPr>
        <w:t xml:space="preserve"> policy advice (these include an allowance for indirect, property and IT costs</w:t>
      </w:r>
      <w:r w:rsidRPr="002B1451" w:rsidDel="00221210">
        <w:rPr>
          <w:szCs w:val="16"/>
        </w:rPr>
        <w:t>)</w:t>
      </w:r>
      <w:r w:rsidRPr="002B1451">
        <w:rPr>
          <w:szCs w:val="16"/>
        </w:rPr>
        <w:t>, and an allocation for ASIC</w:t>
      </w:r>
      <w:r w:rsidR="0003187F">
        <w:rPr>
          <w:szCs w:val="16"/>
        </w:rPr>
        <w:t>’</w:t>
      </w:r>
      <w:r w:rsidRPr="002B1451">
        <w:rPr>
          <w:szCs w:val="16"/>
        </w:rPr>
        <w:t>s capital allowance.</w:t>
      </w:r>
    </w:p>
    <w:p w14:paraId="60FE6C6E" w14:textId="44E47F05" w:rsidR="00CB5C63" w:rsidRPr="002B1451" w:rsidRDefault="00CB5C63" w:rsidP="003A2B1E">
      <w:pPr>
        <w:pStyle w:val="sourcenotefullwidth"/>
        <w:rPr>
          <w:szCs w:val="16"/>
        </w:rPr>
      </w:pPr>
      <w:r>
        <w:rPr>
          <w:sz w:val="20"/>
          <w:szCs w:val="20"/>
        </w:rPr>
        <w:t>***</w:t>
      </w:r>
      <w:r w:rsidRPr="002B1451">
        <w:rPr>
          <w:szCs w:val="16"/>
        </w:rPr>
        <w:t xml:space="preserve"> Examples of the total reported metric for a subsector</w:t>
      </w:r>
      <w:r w:rsidR="000676D6">
        <w:rPr>
          <w:szCs w:val="16"/>
        </w:rPr>
        <w:t>,</w:t>
      </w:r>
      <w:r w:rsidRPr="002B1451">
        <w:rPr>
          <w:szCs w:val="16"/>
        </w:rPr>
        <w:t xml:space="preserve"> </w:t>
      </w:r>
      <w:r w:rsidR="00545755">
        <w:rPr>
          <w:szCs w:val="16"/>
        </w:rPr>
        <w:t xml:space="preserve">such as </w:t>
      </w:r>
      <w:r w:rsidRPr="002B1451">
        <w:rPr>
          <w:szCs w:val="16"/>
        </w:rPr>
        <w:t>the total amount of funds under management reported by all responsible entities, or the total amount of credit provided by all credit providers.</w:t>
      </w:r>
    </w:p>
    <w:p w14:paraId="1B929DDE" w14:textId="77777777" w:rsidR="00CB5C63" w:rsidRPr="00E11121" w:rsidRDefault="00CB5C63" w:rsidP="00E11121">
      <w:pPr>
        <w:pStyle w:val="Bullet"/>
        <w:numPr>
          <w:ilvl w:val="0"/>
          <w:numId w:val="0"/>
        </w:numPr>
        <w:spacing w:after="0" w:line="240" w:lineRule="auto"/>
        <w:rPr>
          <w:sz w:val="10"/>
          <w:szCs w:val="20"/>
        </w:rPr>
      </w:pPr>
    </w:p>
    <w:p w14:paraId="62BF0252" w14:textId="1032BFB1" w:rsidR="00CB5C63" w:rsidRPr="001A2BA7" w:rsidRDefault="00CB5C63" w:rsidP="00C5354C">
      <w:pPr>
        <w:pStyle w:val="BodyText"/>
      </w:pPr>
      <w:r>
        <w:t xml:space="preserve">ASIC </w:t>
      </w:r>
      <w:r w:rsidR="00DA12BE">
        <w:t>is proposing</w:t>
      </w:r>
      <w:r>
        <w:t xml:space="preserve"> that for</w:t>
      </w:r>
      <w:r w:rsidRPr="00E31353">
        <w:t xml:space="preserve"> a small number of subsectors including companies (</w:t>
      </w:r>
      <w:r w:rsidR="00DA12BE">
        <w:t xml:space="preserve">publicly </w:t>
      </w:r>
      <w:r w:rsidRPr="00E31353">
        <w:t xml:space="preserve">listed, disclosing), deposit product providers and responsible entities the minimum levy </w:t>
      </w:r>
      <w:r w:rsidR="00DA12BE">
        <w:t>be</w:t>
      </w:r>
      <w:r w:rsidRPr="00E31353">
        <w:t xml:space="preserve"> lowered compared to the figure derived with </w:t>
      </w:r>
      <w:r>
        <w:t>this methodology</w:t>
      </w:r>
      <w:r w:rsidRPr="00E31353">
        <w:t>. This was due to</w:t>
      </w:r>
      <w:r>
        <w:t xml:space="preserve"> stakeholder feedback from the Government’s </w:t>
      </w:r>
      <w:r w:rsidR="00545755">
        <w:t xml:space="preserve">August 2015 </w:t>
      </w:r>
      <w:r w:rsidRPr="00E31353">
        <w:t xml:space="preserve">consultation paper </w:t>
      </w:r>
      <w:r>
        <w:t>when considering the impact of the levies</w:t>
      </w:r>
      <w:r w:rsidR="00714D0C">
        <w:t xml:space="preserve"> on competition and innovation.</w:t>
      </w:r>
      <w:r>
        <w:t xml:space="preserve"> In particular, there were concerns </w:t>
      </w:r>
      <w:r w:rsidRPr="00E31353">
        <w:t>the minimum levy would have a disproportional</w:t>
      </w:r>
      <w:r>
        <w:t>l</w:t>
      </w:r>
      <w:r w:rsidRPr="00E31353">
        <w:t xml:space="preserve">y larger impact on small players relative to large players </w:t>
      </w:r>
      <w:r>
        <w:t xml:space="preserve">in these subsectors </w:t>
      </w:r>
      <w:r w:rsidRPr="00E31353">
        <w:t>and could negatively impact competi</w:t>
      </w:r>
      <w:r>
        <w:t>tion through creating a barrier</w:t>
      </w:r>
      <w:r w:rsidRPr="00E31353">
        <w:t xml:space="preserve"> to entry.</w:t>
      </w:r>
      <w:r>
        <w:t xml:space="preserve"> For the superannuation trustee and registered liquidator subsectors, the minimum levy now accounts for a base level of surveillance for all entities. </w:t>
      </w:r>
    </w:p>
    <w:p w14:paraId="54C8F83A" w14:textId="6A666936" w:rsidR="00CB5C63" w:rsidRDefault="00CB5C63" w:rsidP="00C5354C">
      <w:pPr>
        <w:pStyle w:val="BodyText"/>
        <w:rPr>
          <w:b/>
          <w:i/>
        </w:rPr>
      </w:pPr>
      <w:r>
        <w:t>For the public</w:t>
      </w:r>
      <w:r w:rsidR="00545755">
        <w:t>ly</w:t>
      </w:r>
      <w:r>
        <w:t xml:space="preserve"> listed, disclosing companies subsector</w:t>
      </w:r>
      <w:r w:rsidR="00545755">
        <w:t>,</w:t>
      </w:r>
      <w:r>
        <w:t xml:space="preserve"> a maximum levy </w:t>
      </w:r>
      <w:r w:rsidR="00DA12BE">
        <w:t>is proposed</w:t>
      </w:r>
      <w:r>
        <w:t>. This maximum levy recognises ASIC</w:t>
      </w:r>
      <w:r w:rsidR="0003187F">
        <w:t>’</w:t>
      </w:r>
      <w:r>
        <w:t xml:space="preserve">s regulatory costs in this subsector for a single entity do not generally </w:t>
      </w:r>
      <w:r w:rsidRPr="008E2393">
        <w:t>rise above</w:t>
      </w:r>
      <w:r>
        <w:t xml:space="preserve"> an upper threshold due to economies of scale in regulation. For entities with a market capitalisation above $20 billion, a maximum levy of </w:t>
      </w:r>
      <w:r w:rsidR="00C82D2D">
        <w:t>$662,000</w:t>
      </w:r>
      <w:r>
        <w:t xml:space="preserve"> </w:t>
      </w:r>
      <w:r w:rsidR="00DA12BE">
        <w:t xml:space="preserve">is proposed </w:t>
      </w:r>
      <w:r w:rsidR="00545755">
        <w:t>(see</w:t>
      </w:r>
      <w:r w:rsidR="003775F5">
        <w:t xml:space="preserve"> </w:t>
      </w:r>
      <w:r w:rsidR="009A1AF7" w:rsidRPr="009A1AF7">
        <w:t>paragraphs 59-63</w:t>
      </w:r>
      <w:r w:rsidR="00545755" w:rsidRPr="009A1AF7">
        <w:t>)</w:t>
      </w:r>
      <w:r w:rsidRPr="009A1AF7">
        <w:t>.</w:t>
      </w:r>
      <w:r>
        <w:t xml:space="preserve"> </w:t>
      </w:r>
    </w:p>
    <w:p w14:paraId="3CE7AD40" w14:textId="77777777" w:rsidR="00CB5C63" w:rsidRPr="00AC007D" w:rsidRDefault="00CB5C63" w:rsidP="00545755">
      <w:pPr>
        <w:pStyle w:val="Heading3"/>
      </w:pPr>
      <w:r w:rsidRPr="00AC007D">
        <w:t>Levy thresholds</w:t>
      </w:r>
    </w:p>
    <w:p w14:paraId="1EEE4479" w14:textId="720C35DA" w:rsidR="00CB5C63" w:rsidRDefault="00CB5C63" w:rsidP="00C5354C">
      <w:pPr>
        <w:pStyle w:val="BodyText"/>
      </w:pPr>
      <w:r>
        <w:t xml:space="preserve">The minimum (and maximum for listed, public disclosing companies) levy thresholds are important components for the graduated levy calculation. The </w:t>
      </w:r>
      <w:r w:rsidR="00DA12BE">
        <w:t xml:space="preserve">proposed </w:t>
      </w:r>
      <w:r>
        <w:t>thresholds have been set based on an assessment of where staff effort was allocated over the previous financial year and taking into consideration feedback from industry. These thresholds will be reviewed during the three year model review process and may be adjusted based on ASIC</w:t>
      </w:r>
      <w:r w:rsidR="0003187F">
        <w:t>’</w:t>
      </w:r>
      <w:r>
        <w:t xml:space="preserve">s time recording data or other relevant information. </w:t>
      </w:r>
    </w:p>
    <w:p w14:paraId="35C58FBA" w14:textId="7DFFCA54" w:rsidR="00CD124C" w:rsidRDefault="00CB5C63" w:rsidP="00C5354C">
      <w:pPr>
        <w:pStyle w:val="BodyText"/>
      </w:pPr>
      <w:r>
        <w:t>ASIC undertakes surveillance on all regulated subsectors, with the overall level of surveillance on a subsector varying from year to year based on ASIC</w:t>
      </w:r>
      <w:r w:rsidR="0003187F">
        <w:t>’</w:t>
      </w:r>
      <w:r>
        <w:t>s strategic planning process. Therefore, surveillance is generally recovered through the g</w:t>
      </w:r>
      <w:r w:rsidR="00714D0C">
        <w:t>raduated component of the levy.</w:t>
      </w:r>
      <w:r>
        <w:t xml:space="preserve"> Enforcement costs are also recovered by the graduated levy and these are determined by the number of matters ASIC pursues in respect of each subsector. </w:t>
      </w:r>
    </w:p>
    <w:p w14:paraId="7727AE21" w14:textId="77777777" w:rsidR="00CD124C" w:rsidRDefault="00CD124C" w:rsidP="00C5354C">
      <w:pPr>
        <w:pStyle w:val="KPhead"/>
        <w:ind w:right="1557"/>
      </w:pPr>
      <w:r>
        <w:t>Graduated levy forecast example – Credit providers</w:t>
      </w:r>
    </w:p>
    <w:p w14:paraId="485026D7" w14:textId="72BF4B02" w:rsidR="00C5354C" w:rsidRDefault="00C5354C" w:rsidP="00C5354C">
      <w:pPr>
        <w:pStyle w:val="KPtext"/>
      </w:pPr>
      <w:r>
        <w:t>ASIC</w:t>
      </w:r>
      <w:r w:rsidR="0003187F">
        <w:t>’</w:t>
      </w:r>
      <w:r>
        <w:t>s forecast effort to regulate the credit provider subsector in 2016</w:t>
      </w:r>
      <w:r w:rsidR="00D11144">
        <w:t>–</w:t>
      </w:r>
      <w:r>
        <w:t xml:space="preserve">17 is </w:t>
      </w:r>
      <w:r w:rsidR="00714D0C">
        <w:t>expected to cost $9.3 million.</w:t>
      </w:r>
    </w:p>
    <w:p w14:paraId="45EEF3E0" w14:textId="56C47751" w:rsidR="00C5354C" w:rsidRDefault="00C5354C" w:rsidP="00C5354C">
      <w:pPr>
        <w:pStyle w:val="KPtext"/>
      </w:pPr>
      <w:r>
        <w:t>The minimum levy for the credit provider subsector is calculated by adding together the subsector costs for the regulatory activities of stakeholder engagement ($0.34 million), guidance ($0.23 million), policy advice ($0.34</w:t>
      </w:r>
      <w:r w:rsidR="001059F5">
        <w:t> </w:t>
      </w:r>
      <w:r>
        <w:t>million), education ($1.04 million) and ASIC</w:t>
      </w:r>
      <w:r w:rsidR="0003187F">
        <w:t>’</w:t>
      </w:r>
      <w:r>
        <w:t>s capital allowance for the subsector ($0.6 million). This gives a total of $2.55 million. This $2.55</w:t>
      </w:r>
      <w:r w:rsidR="001059F5">
        <w:t> </w:t>
      </w:r>
      <w:r>
        <w:t xml:space="preserve">million is divided by the number of credit providers (1,271 credit </w:t>
      </w:r>
      <w:r w:rsidRPr="00D1349F">
        <w:t>prov</w:t>
      </w:r>
      <w:r w:rsidRPr="00281E69">
        <w:t xml:space="preserve">iders) to give the minimum levy of $2,000. </w:t>
      </w:r>
    </w:p>
    <w:p w14:paraId="7B0EB62F" w14:textId="4A22490C" w:rsidR="00C5354C" w:rsidRDefault="00C5354C" w:rsidP="00C5354C">
      <w:pPr>
        <w:pStyle w:val="KPtext"/>
      </w:pPr>
      <w:r w:rsidRPr="00EB5882">
        <w:t>The graduated levy</w:t>
      </w:r>
      <w:r>
        <w:t xml:space="preserve"> for credit providers</w:t>
      </w:r>
      <w:r w:rsidRPr="00EB5882">
        <w:t xml:space="preserve"> of $0.15 per $10,000</w:t>
      </w:r>
      <w:r w:rsidRPr="00D1349F">
        <w:t xml:space="preserve"> of credit</w:t>
      </w:r>
      <w:r>
        <w:t xml:space="preserve"> provided greater than $100 million. The graduated levy is calculated by taking the forecast costs of regulating the credit provider subsector of $9.3</w:t>
      </w:r>
      <w:r w:rsidR="001059F5">
        <w:t> </w:t>
      </w:r>
      <w:r>
        <w:t>million and subtracting the amount recovered through the minimum levy of $2.55 million. The remaining $6.75 million is recovered based on the total amount of industry credit provided above the minimum levy threshold of $100 million. Total credit provided above the minimum threshold in 2014</w:t>
      </w:r>
      <w:r w:rsidR="00D11144">
        <w:t>–</w:t>
      </w:r>
      <w:r>
        <w:t>15 was $445 billion. This results in an indicative graduated levy rate of $0.15 per $10,000 of credit provided above $100 million.</w:t>
      </w:r>
    </w:p>
    <w:p w14:paraId="2C8E0157" w14:textId="77777777" w:rsidR="00CB5C63" w:rsidRPr="00EA1E92" w:rsidRDefault="00CB5C63" w:rsidP="00CB5C63"/>
    <w:p w14:paraId="5ED6295D" w14:textId="77777777" w:rsidR="00CB5C63" w:rsidRPr="00D01198" w:rsidRDefault="00CB5C63" w:rsidP="000B5B80">
      <w:pPr>
        <w:pStyle w:val="Heading3"/>
      </w:pPr>
      <w:r w:rsidRPr="00D01198">
        <w:t>Flat levies</w:t>
      </w:r>
    </w:p>
    <w:p w14:paraId="58FDCEEB" w14:textId="2F6BA9B6" w:rsidR="00CB5C63" w:rsidRDefault="00CB5C63" w:rsidP="00C5354C">
      <w:pPr>
        <w:pStyle w:val="BodyText"/>
      </w:pPr>
      <w:r>
        <w:t>A flat levy applies in a number of subsectors. A flat levy shares the total cost (</w:t>
      </w:r>
      <w:r w:rsidR="00A366D4">
        <w:t xml:space="preserve">that is, </w:t>
      </w:r>
      <w:r>
        <w:t xml:space="preserve">direct, indirect and an allowance for capital) of regulating a subsector equally among the entities operating in that subsector (refer to </w:t>
      </w:r>
      <w:r w:rsidR="001059F5">
        <w:fldChar w:fldCharType="begin"/>
      </w:r>
      <w:r w:rsidR="001059F5">
        <w:instrText xml:space="preserve"> REF _Ref463600829 \h </w:instrText>
      </w:r>
      <w:r w:rsidR="001059F5">
        <w:fldChar w:fldCharType="separate"/>
      </w:r>
      <w:r w:rsidR="00A37D1A" w:rsidRPr="004C3374">
        <w:t xml:space="preserve">Figure </w:t>
      </w:r>
      <w:r w:rsidR="00A37D1A">
        <w:rPr>
          <w:noProof/>
        </w:rPr>
        <w:t>3</w:t>
      </w:r>
      <w:r w:rsidR="001059F5">
        <w:fldChar w:fldCharType="end"/>
      </w:r>
      <w:r>
        <w:t xml:space="preserve">). </w:t>
      </w:r>
    </w:p>
    <w:p w14:paraId="1BF7EA0F" w14:textId="77777777" w:rsidR="00CB5C63" w:rsidRPr="00927F8E" w:rsidRDefault="00CB5C63" w:rsidP="00C5354C">
      <w:pPr>
        <w:pStyle w:val="BodyText"/>
        <w:rPr>
          <w:rFonts w:eastAsia="Batang"/>
        </w:rPr>
      </w:pPr>
      <w:r w:rsidRPr="00927F8E">
        <w:rPr>
          <w:rFonts w:eastAsia="Batang"/>
        </w:rPr>
        <w:t>Flat levies are used where:</w:t>
      </w:r>
    </w:p>
    <w:p w14:paraId="10DB0F61" w14:textId="77777777" w:rsidR="00CB5C63" w:rsidRDefault="00CB5C63" w:rsidP="000B5B80">
      <w:pPr>
        <w:pStyle w:val="subparaa"/>
        <w:ind w:left="1559"/>
      </w:pPr>
      <w:r>
        <w:t>the level of some or all of the regulatory effort is similar for most entities in a subsector, or</w:t>
      </w:r>
    </w:p>
    <w:p w14:paraId="3EE9AC1E" w14:textId="779FA258" w:rsidR="00CB5C63" w:rsidRDefault="00CB5C63" w:rsidP="000B5B80">
      <w:pPr>
        <w:pStyle w:val="subparaa"/>
        <w:ind w:left="1559"/>
      </w:pPr>
      <w:r>
        <w:t>the increased compliance costs of imposing new reporting obligations outweighs the benefit of a more complex and accurate graduated levy.</w:t>
      </w:r>
    </w:p>
    <w:p w14:paraId="41D1A3A5" w14:textId="3684C53C" w:rsidR="0037695E" w:rsidRPr="009A1AF7" w:rsidRDefault="00CB5C63" w:rsidP="00776978">
      <w:pPr>
        <w:pStyle w:val="BodyText"/>
        <w:rPr>
          <w:rFonts w:eastAsia="Batang"/>
        </w:rPr>
      </w:pPr>
      <w:r w:rsidRPr="0037695E">
        <w:rPr>
          <w:rFonts w:eastAsia="Batang"/>
        </w:rPr>
        <w:t>A flat levy minimises the reporting burden for industry and provides greater certainty for firms. The total costs to be recovered under these proposed</w:t>
      </w:r>
      <w:r w:rsidR="00CD124C" w:rsidRPr="0037695E">
        <w:rPr>
          <w:rFonts w:eastAsia="Batang"/>
        </w:rPr>
        <w:t xml:space="preserve"> cost recovery arrangements are set o</w:t>
      </w:r>
      <w:r w:rsidR="00CD124C" w:rsidRPr="009A1AF7">
        <w:rPr>
          <w:rFonts w:eastAsia="Batang"/>
        </w:rPr>
        <w:t>ut in</w:t>
      </w:r>
      <w:r w:rsidR="0037695E" w:rsidRPr="009A1AF7">
        <w:rPr>
          <w:rFonts w:eastAsia="Batang"/>
        </w:rPr>
        <w:fldChar w:fldCharType="begin"/>
      </w:r>
      <w:r w:rsidR="0037695E" w:rsidRPr="009A1AF7">
        <w:rPr>
          <w:rFonts w:eastAsia="Batang"/>
        </w:rPr>
        <w:instrText xml:space="preserve"> REF _Ref463600839 \h  \* MERGEFORMAT </w:instrText>
      </w:r>
      <w:r w:rsidR="0037695E" w:rsidRPr="009A1AF7">
        <w:rPr>
          <w:rFonts w:eastAsia="Batang"/>
        </w:rPr>
      </w:r>
      <w:r w:rsidR="0037695E" w:rsidRPr="009A1AF7">
        <w:rPr>
          <w:rFonts w:eastAsia="Batang"/>
        </w:rPr>
        <w:fldChar w:fldCharType="separate"/>
      </w:r>
      <w:r w:rsidR="0037695E" w:rsidRPr="009A1AF7">
        <w:rPr>
          <w:rFonts w:eastAsia="Batang"/>
        </w:rPr>
        <w:t xml:space="preserve"> </w:t>
      </w:r>
      <w:r w:rsidR="0037695E" w:rsidRPr="009A1AF7">
        <w:rPr>
          <w:noProof/>
        </w:rPr>
        <w:t>Table</w:t>
      </w:r>
      <w:r w:rsidR="0037695E" w:rsidRPr="009A1AF7">
        <w:t xml:space="preserve"> </w:t>
      </w:r>
      <w:r w:rsidR="0037695E" w:rsidRPr="009A1AF7">
        <w:rPr>
          <w:noProof/>
        </w:rPr>
        <w:t>2.</w:t>
      </w:r>
    </w:p>
    <w:p w14:paraId="1C77E83C" w14:textId="6319E337" w:rsidR="004C3374" w:rsidRPr="009A1AF7" w:rsidRDefault="0037695E" w:rsidP="009A1AF7">
      <w:pPr>
        <w:pStyle w:val="BodyText"/>
        <w:numPr>
          <w:ilvl w:val="0"/>
          <w:numId w:val="0"/>
        </w:numPr>
        <w:rPr>
          <w:rFonts w:ascii="Arial" w:hAnsi="Arial" w:cs="Arial"/>
          <w:b/>
          <w:sz w:val="20"/>
        </w:rPr>
      </w:pPr>
      <w:r w:rsidRPr="009A1AF7">
        <w:rPr>
          <w:rFonts w:eastAsia="Batang"/>
        </w:rPr>
        <w:fldChar w:fldCharType="end"/>
      </w:r>
      <w:bookmarkStart w:id="52" w:name="_Ref463600829"/>
      <w:r w:rsidR="003A2B1E" w:rsidRPr="009A1AF7">
        <w:rPr>
          <w:rFonts w:ascii="Arial" w:hAnsi="Arial" w:cs="Arial"/>
          <w:b/>
          <w:sz w:val="20"/>
        </w:rPr>
        <w:t xml:space="preserve">Figure </w:t>
      </w:r>
      <w:r w:rsidR="003A2B1E" w:rsidRPr="009A1AF7">
        <w:rPr>
          <w:rFonts w:ascii="Arial" w:hAnsi="Arial" w:cs="Arial"/>
          <w:b/>
          <w:sz w:val="20"/>
        </w:rPr>
        <w:fldChar w:fldCharType="begin"/>
      </w:r>
      <w:r w:rsidR="003A2B1E" w:rsidRPr="009A1AF7">
        <w:rPr>
          <w:rFonts w:ascii="Arial" w:hAnsi="Arial" w:cs="Arial"/>
          <w:b/>
          <w:sz w:val="20"/>
        </w:rPr>
        <w:instrText xml:space="preserve"> SEQ Figure \* ARABIC </w:instrText>
      </w:r>
      <w:r w:rsidR="003A2B1E" w:rsidRPr="009A1AF7">
        <w:rPr>
          <w:rFonts w:ascii="Arial" w:hAnsi="Arial" w:cs="Arial"/>
          <w:b/>
          <w:sz w:val="20"/>
        </w:rPr>
        <w:fldChar w:fldCharType="separate"/>
      </w:r>
      <w:r w:rsidR="00A37D1A" w:rsidRPr="009A1AF7">
        <w:rPr>
          <w:rFonts w:ascii="Arial" w:hAnsi="Arial" w:cs="Arial"/>
          <w:b/>
          <w:sz w:val="20"/>
        </w:rPr>
        <w:t>3</w:t>
      </w:r>
      <w:r w:rsidR="003A2B1E" w:rsidRPr="009A1AF7">
        <w:rPr>
          <w:rFonts w:ascii="Arial" w:hAnsi="Arial" w:cs="Arial"/>
          <w:b/>
          <w:sz w:val="20"/>
        </w:rPr>
        <w:fldChar w:fldCharType="end"/>
      </w:r>
      <w:bookmarkEnd w:id="52"/>
      <w:r w:rsidR="003A2B1E" w:rsidRPr="009A1AF7">
        <w:rPr>
          <w:rFonts w:ascii="Arial" w:hAnsi="Arial" w:cs="Arial"/>
          <w:b/>
          <w:sz w:val="20"/>
        </w:rPr>
        <w:t>:</w:t>
      </w:r>
      <w:r w:rsidR="003A2B1E" w:rsidRPr="009A1AF7">
        <w:rPr>
          <w:rFonts w:ascii="Arial" w:hAnsi="Arial" w:cs="Arial"/>
          <w:b/>
          <w:sz w:val="20"/>
        </w:rPr>
        <w:tab/>
        <w:t>Flat levy calculation</w:t>
      </w:r>
    </w:p>
    <w:p w14:paraId="6CCA1383" w14:textId="4BCEB668" w:rsidR="004C3374" w:rsidRDefault="005E2294" w:rsidP="004C3374">
      <w:pPr>
        <w:pStyle w:val="Bullet"/>
        <w:numPr>
          <w:ilvl w:val="0"/>
          <w:numId w:val="0"/>
        </w:numPr>
        <w:spacing w:after="0"/>
      </w:pPr>
      <w:r>
        <w:rPr>
          <w:noProof/>
          <w:lang w:eastAsia="en-AU"/>
        </w:rPr>
        <mc:AlternateContent>
          <mc:Choice Requires="wps">
            <w:drawing>
              <wp:anchor distT="0" distB="0" distL="114300" distR="114300" simplePos="0" relativeHeight="251658269" behindDoc="0" locked="0" layoutInCell="1" allowOverlap="1" wp14:anchorId="7A549E06" wp14:editId="7ABA1E9C">
                <wp:simplePos x="0" y="0"/>
                <wp:positionH relativeFrom="column">
                  <wp:posOffset>2699385</wp:posOffset>
                </wp:positionH>
                <wp:positionV relativeFrom="paragraph">
                  <wp:posOffset>110490</wp:posOffset>
                </wp:positionV>
                <wp:extent cx="3006000" cy="273050"/>
                <wp:effectExtent l="0" t="0" r="23495" b="12700"/>
                <wp:wrapNone/>
                <wp:docPr id="53" name="Text Box 53"/>
                <wp:cNvGraphicFramePr/>
                <a:graphic xmlns:a="http://schemas.openxmlformats.org/drawingml/2006/main">
                  <a:graphicData uri="http://schemas.microsoft.com/office/word/2010/wordprocessingShape">
                    <wps:wsp>
                      <wps:cNvSpPr txBox="1"/>
                      <wps:spPr>
                        <a:xfrm>
                          <a:off x="0" y="0"/>
                          <a:ext cx="3006000" cy="273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11B46E4" w14:textId="77777777" w:rsidR="00BE7110" w:rsidRPr="005E2294" w:rsidRDefault="00BE7110" w:rsidP="004C3374">
                            <w:pPr>
                              <w:jc w:val="center"/>
                              <w:rPr>
                                <w:rFonts w:ascii="Calibri Light" w:hAnsi="Calibri Light"/>
                                <w:b/>
                              </w:rPr>
                            </w:pPr>
                            <w:r w:rsidRPr="005E2294">
                              <w:rPr>
                                <w:rFonts w:ascii="Calibri Light" w:hAnsi="Calibri Light"/>
                                <w:b/>
                              </w:rPr>
                              <w:t>Flat levy calculation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8" type="#_x0000_t202" style="position:absolute;margin-left:212.55pt;margin-top:8.7pt;width:236.7pt;height:2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" fillcolor="white [3201]" strokecolor="#4f81bd [3204]" strokeweight="2pt">
                <v:textbox>
                  <w:txbxContent>
                    <w:p w14:paraId="511B46E4" w14:textId="77777777" w:rsidR="00BE7110" w:rsidRPr="005E2294" w:rsidRDefault="00BE7110" w:rsidP="004C3374">
                      <w:pPr>
                        <w:jc w:val="center"/>
                        <w:rPr>
                          <w:rFonts w:ascii="Calibri Light" w:hAnsi="Calibri Light"/>
                          <w:b/>
                        </w:rPr>
                      </w:pPr>
                      <w:r w:rsidRPr="005E2294">
                        <w:rPr>
                          <w:rFonts w:ascii="Calibri Light" w:hAnsi="Calibri Light"/>
                          <w:b/>
                        </w:rPr>
                        <w:t>Flat levy calculation</w:t>
                      </w:r>
                    </w:p>
                  </w:txbxContent>
                </v:textbox>
              </v:shape>
            </w:pict>
          </mc:Fallback>
        </mc:AlternateContent>
      </w:r>
      <w:r>
        <w:rPr>
          <w:noProof/>
          <w:lang w:eastAsia="en-AU"/>
        </w:rPr>
        <mc:AlternateContent>
          <mc:Choice Requires="wps">
            <w:drawing>
              <wp:anchor distT="0" distB="0" distL="114300" distR="114300" simplePos="0" relativeHeight="251848704" behindDoc="0" locked="0" layoutInCell="1" allowOverlap="1" wp14:anchorId="66DAD7EA" wp14:editId="54389B1B">
                <wp:simplePos x="0" y="0"/>
                <wp:positionH relativeFrom="column">
                  <wp:posOffset>47481</wp:posOffset>
                </wp:positionH>
                <wp:positionV relativeFrom="paragraph">
                  <wp:posOffset>111029</wp:posOffset>
                </wp:positionV>
                <wp:extent cx="2484679" cy="273050"/>
                <wp:effectExtent l="0" t="0" r="11430" b="12700"/>
                <wp:wrapNone/>
                <wp:docPr id="58" name="Text Box 58"/>
                <wp:cNvGraphicFramePr/>
                <a:graphic xmlns:a="http://schemas.openxmlformats.org/drawingml/2006/main">
                  <a:graphicData uri="http://schemas.microsoft.com/office/word/2010/wordprocessingShape">
                    <wps:wsp>
                      <wps:cNvSpPr txBox="1"/>
                      <wps:spPr>
                        <a:xfrm>
                          <a:off x="0" y="0"/>
                          <a:ext cx="2484679" cy="273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E7B7CB6" w14:textId="77777777" w:rsidR="00BE7110" w:rsidRPr="005E2294" w:rsidRDefault="00BE7110" w:rsidP="004C3374">
                            <w:pPr>
                              <w:jc w:val="center"/>
                              <w:rPr>
                                <w:rFonts w:ascii="Calibri Light" w:hAnsi="Calibri Light"/>
                                <w:b/>
                              </w:rPr>
                            </w:pPr>
                            <w:r w:rsidRPr="005E2294">
                              <w:rPr>
                                <w:rFonts w:ascii="Calibri Light" w:hAnsi="Calibri Light"/>
                                <w:b/>
                              </w:rPr>
                              <w:t>Effort attribution (subsector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9" type="#_x0000_t202" style="position:absolute;margin-left:3.75pt;margin-top:8.75pt;width:195.65pt;height: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" fillcolor="white [3201]" strokecolor="#4f81bd [3204]" strokeweight="2pt">
                <v:textbox>
                  <w:txbxContent>
                    <w:p w14:paraId="1E7B7CB6" w14:textId="77777777" w:rsidR="00BE7110" w:rsidRPr="005E2294" w:rsidRDefault="00BE7110" w:rsidP="004C3374">
                      <w:pPr>
                        <w:jc w:val="center"/>
                        <w:rPr>
                          <w:rFonts w:ascii="Calibri Light" w:hAnsi="Calibri Light"/>
                          <w:b/>
                        </w:rPr>
                      </w:pPr>
                      <w:r w:rsidRPr="005E2294">
                        <w:rPr>
                          <w:rFonts w:ascii="Calibri Light" w:hAnsi="Calibri Light"/>
                          <w:b/>
                        </w:rPr>
                        <w:t>Effort attribution (subsector level)</w:t>
                      </w:r>
                    </w:p>
                  </w:txbxContent>
                </v:textbox>
              </v:shape>
            </w:pict>
          </mc:Fallback>
        </mc:AlternateContent>
      </w:r>
    </w:p>
    <w:p w14:paraId="1F5B73AA" w14:textId="256798A9" w:rsidR="004C3374" w:rsidRDefault="005E2294" w:rsidP="004C3374">
      <w:pPr>
        <w:pStyle w:val="Bullet"/>
        <w:numPr>
          <w:ilvl w:val="0"/>
          <w:numId w:val="0"/>
        </w:numPr>
      </w:pPr>
      <w:r>
        <w:rPr>
          <w:noProof/>
          <w:lang w:eastAsia="en-AU"/>
        </w:rPr>
        <mc:AlternateContent>
          <mc:Choice Requires="wpg">
            <w:drawing>
              <wp:anchor distT="0" distB="0" distL="114300" distR="114300" simplePos="0" relativeHeight="251658283" behindDoc="0" locked="0" layoutInCell="1" allowOverlap="1" wp14:anchorId="1258568D" wp14:editId="600683F6">
                <wp:simplePos x="0" y="0"/>
                <wp:positionH relativeFrom="column">
                  <wp:posOffset>-10093</wp:posOffset>
                </wp:positionH>
                <wp:positionV relativeFrom="paragraph">
                  <wp:posOffset>303898</wp:posOffset>
                </wp:positionV>
                <wp:extent cx="5795645" cy="4724021"/>
                <wp:effectExtent l="19050" t="0" r="14605" b="19685"/>
                <wp:wrapNone/>
                <wp:docPr id="10" name="Group 10"/>
                <wp:cNvGraphicFramePr/>
                <a:graphic xmlns:a="http://schemas.openxmlformats.org/drawingml/2006/main">
                  <a:graphicData uri="http://schemas.microsoft.com/office/word/2010/wordprocessingGroup">
                    <wpg:wgp>
                      <wpg:cNvGrpSpPr/>
                      <wpg:grpSpPr>
                        <a:xfrm>
                          <a:off x="0" y="0"/>
                          <a:ext cx="5795645" cy="4724021"/>
                          <a:chOff x="0" y="0"/>
                          <a:chExt cx="5795645" cy="4724021"/>
                        </a:xfrm>
                      </wpg:grpSpPr>
                      <wps:wsp>
                        <wps:cNvPr id="41" name="Equal 41"/>
                        <wps:cNvSpPr/>
                        <wps:spPr>
                          <a:xfrm>
                            <a:off x="834189" y="2181726"/>
                            <a:ext cx="431800" cy="4318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387642" y="2149642"/>
                            <a:ext cx="863600" cy="503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F0C1E"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Total actual cost of subsector activities</w:t>
                              </w:r>
                            </w:p>
                            <w:p w14:paraId="59508BBF" w14:textId="77777777" w:rsidR="00BE7110" w:rsidRPr="006870FD" w:rsidRDefault="00BE7110" w:rsidP="004C3374">
                              <w:pPr>
                                <w:jc w:val="center"/>
                                <w:rPr>
                                  <w:rFonts w:ascii="Calibri Light" w:hAnsi="Calibri Light"/>
                                  <w:color w:val="000000" w:themeColor="text1"/>
                                  <w:sz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6" name="Straight Connector 36"/>
                        <wps:cNvCnPr/>
                        <wps:spPr>
                          <a:xfrm>
                            <a:off x="0" y="0"/>
                            <a:ext cx="5795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630905" y="8021"/>
                            <a:ext cx="0" cy="4716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Right Arrow 40"/>
                        <wps:cNvSpPr/>
                        <wps:spPr>
                          <a:xfrm>
                            <a:off x="2406316" y="2181726"/>
                            <a:ext cx="575945" cy="431800"/>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flipV="1">
                            <a:off x="3064042" y="2342147"/>
                            <a:ext cx="104394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Rectangle 37"/>
                        <wps:cNvSpPr/>
                        <wps:spPr>
                          <a:xfrm>
                            <a:off x="3160295" y="1748589"/>
                            <a:ext cx="863600" cy="503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C0A78"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Total actual cost of subsector activities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Rectangle 44"/>
                        <wps:cNvSpPr/>
                        <wps:spPr>
                          <a:xfrm>
                            <a:off x="3152274" y="2598821"/>
                            <a:ext cx="863600" cy="503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0E0112"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Number of entities in subsector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 name="Equal 42"/>
                        <wps:cNvSpPr/>
                        <wps:spPr>
                          <a:xfrm>
                            <a:off x="4243137" y="2181726"/>
                            <a:ext cx="431800" cy="4318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868779" y="2141621"/>
                            <a:ext cx="863600" cy="503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A417D"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Flat levy for each entity in subsector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aphicFrame>
                        <wpg:cNvPr id="45" name="Diagram 45"/>
                        <wpg:cNvFrPr/>
                        <wpg:xfrm>
                          <a:off x="8021" y="120315"/>
                          <a:ext cx="770021" cy="4580021"/>
                        </wpg:xfrm>
                        <a:graphic>
                          <a:graphicData uri="http://schemas.openxmlformats.org/drawingml/2006/diagram">
                            <dgm:relIds xmlns:dgm="http://schemas.openxmlformats.org/drawingml/2006/diagram" xmlns:r="http://schemas.openxmlformats.org/officeDocument/2006/relationships" r:dm="rId31" r:lo="rId32" r:qs="rId33" r:cs="rId34"/>
                          </a:graphicData>
                        </a:graphic>
                      </wpg:graphicFrame>
                    </wpg:wgp>
                  </a:graphicData>
                </a:graphic>
              </wp:anchor>
            </w:drawing>
          </mc:Choice>
          <mc:Fallback>
            <w:pict>
              <v:group id="Group 10" o:spid="_x0000_s1050" style="position:absolute;margin-left:-.8pt;margin-top:23.95pt;width:456.35pt;height:371.95pt;z-index:251658283" coordsize="57956,4724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">
                <v:shape id="Equal 41" o:spid="_x0000_s1051" style="position:absolute;left:8341;top:21817;width:4318;height:4318;visibility:visible;mso-wrap-style:square;v-text-anchor:middle" coordsize="43180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w4cMA&#10;AADbAAAADwAAAGRycy9kb3ducmV2LnhtbESP0WrCQBRE34X+w3ILvkjdqEVKdJXSKuhjTT7gmr0m&#10;odm76e7WRL/eFQQfh5k5wyzXvWnEmZyvLSuYjBMQxIXVNZcK8mz79gHCB2SNjWVScCEP69XLYImp&#10;th3/0PkQShEh7FNUUIXQplL6oiKDfmxb4uidrDMYonSl1A67CDeNnCbJXBqsOS5U2NJXRcXv4d8o&#10;MKNuk+X2+Ld3fJ2d2l226fS3UsPX/nMBIlAfnuFHe6cVvE/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w4cMAAADbAAAADwAAAAAAAAAAAAAAAACYAgAAZHJzL2Rv&#10;d25yZXYueG1sUEsFBgAAAAAEAAQA9QAAAIgDAAAAAA==&#10;" path="m57235,88951r317330,l374565,190510r-317330,l57235,88951xm57235,241290r317330,l374565,342849r-317330,l57235,241290xe" fillcolor="#4f81bd [3204]" strokecolor="#243f60 [1604]" strokeweight="2pt">
                  <v:path arrowok="t" o:connecttype="custom" o:connectlocs="57235,88951;374565,88951;374565,190510;57235,190510;57235,88951;57235,241290;374565,241290;374565,342849;57235,342849;57235,241290" o:connectangles="0,0,0,0,0,0,0,0,0,0"/>
                </v:shape>
                <v:rect id="Rectangle 39" o:spid="_x0000_s1052" style="position:absolute;left:13876;top:21496;width:8636;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ES8MA&#10;AADbAAAADwAAAGRycy9kb3ducmV2LnhtbESP0WrCQBRE3wv9h+UWfCm6qULV6CpSEEREMO0HXLPX&#10;bNLs3ZDdmvj3riD0cZiZM8xy3dtaXKn1pWMFH6MEBHHudMmFgp/v7XAGwgdkjbVjUnAjD+vV68sS&#10;U+06PtE1C4WIEPYpKjAhNKmUPjdk0Y9cQxy9i2sthijbQuoWuwi3tRwnyae0WHJcMNjQl6H8N/uz&#10;CvY+2ZA77yre+85Mt4fqdnyvlBq89ZsFiEB9+A8/2zutYDKH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ES8MAAADbAAAADwAAAAAAAAAAAAAAAACYAgAAZHJzL2Rv&#10;d25yZXYueG1sUEsFBgAAAAAEAAQA9QAAAIgDAAAAAA==&#10;" fillcolor="white [3212]" strokecolor="#243f60 [1604]" strokeweight="2pt">
                  <v:textbox inset="1mm,1mm,1mm,1mm">
                    <w:txbxContent>
                      <w:p w14:paraId="210F0C1E"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Total actual cost of subsector activities</w:t>
                        </w:r>
                      </w:p>
                      <w:p w14:paraId="59508BBF" w14:textId="77777777" w:rsidR="00BE7110" w:rsidRPr="006870FD" w:rsidRDefault="00BE7110" w:rsidP="004C3374">
                        <w:pPr>
                          <w:jc w:val="center"/>
                          <w:rPr>
                            <w:rFonts w:ascii="Calibri Light" w:hAnsi="Calibri Light"/>
                            <w:color w:val="000000" w:themeColor="text1"/>
                            <w:sz w:val="16"/>
                          </w:rPr>
                        </w:pPr>
                      </w:p>
                    </w:txbxContent>
                  </v:textbox>
                </v:rect>
                <v:line id="Straight Connector 36" o:spid="_x0000_s1053" style="position:absolute;visibility:visible;mso-wrap-style:square" from="0,0" to="57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Straight Connector 59" o:spid="_x0000_s1054" style="position:absolute;visibility:visible;mso-wrap-style:square" from="26309,80" to="26309,4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txcQAAADbAAAADwAAAGRycy9kb3ducmV2LnhtbESPUWsCMRCE34X+h7AF3zSnouhpFCkU&#10;xPaltj9gvax3h5fNNdnq6a9vCgUfh5n5hlltOteoC4VYezYwGmagiAtvay4NfH2+DuagoiBbbDyT&#10;gRtF2KyfeivMrb/yB10OUqoE4ZijgUqkzbWORUUO49C3xMk7+eBQkgyltgGvCe4aPc6ymXZYc1qo&#10;sKWXiorz4ccZ+H5738XbsRnLbHrfn8N2vpBJNKb/3G2XoIQ6eYT/2ztrYLqAvy/p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O3FxAAAANsAAAAPAAAAAAAAAAAA&#10;AAAAAKECAABkcnMvZG93bnJldi54bWxQSwUGAAAAAAQABAD5AAAAkgMAAAAA&#10;" strokecolor="#4579b8 [3044]"/>
                <v:shape id="Right Arrow 40" o:spid="_x0000_s1055" type="#_x0000_t13" style="position:absolute;left:24063;top:21817;width:5759;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bd8EA&#10;AADbAAAADwAAAGRycy9kb3ducmV2LnhtbERPTYvCMBC9C/sfwix401RRWapRFkX04EVddq9jM02L&#10;zaTbxFr/vTkIHh/ve7HqbCVaanzpWMFomIAgzpwu2Sj4OW8HXyB8QNZYOSYFD/KwWn70Fphqd+cj&#10;tadgRAxhn6KCIoQ6ldJnBVn0Q1cTRy53jcUQYWOkbvAew20lx0kykxZLjg0F1rQuKLueblbB9fd/&#10;OtuuN4e/w3G03+jS5LuLUar/2X3PQQTqwlv8cu+1gk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am3fBAAAA2wAAAA8AAAAAAAAAAAAAAAAAmAIAAGRycy9kb3du&#10;cmV2LnhtbFBLBQYAAAAABAAEAPUAAACGAwAAAAA=&#10;" adj="13503" fillcolor="white [3201]" strokecolor="#4f81bd [3204]" strokeweight="2pt"/>
                <v:line id="Straight Connector 43" o:spid="_x0000_s1056" style="position:absolute;flip:y;visibility:visible;mso-wrap-style:square" from="30640,23421" to="41079,2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rect id="Rectangle 37" o:spid="_x0000_s1057" style="position:absolute;left:31602;top:17485;width:8636;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1osQA&#10;AADbAAAADwAAAGRycy9kb3ducmV2LnhtbESP0WrCQBRE3wv+w3IFX0rdWKGW6CpBCASRQm0/4Jq9&#10;zSbN3g3ZbRL/3i0U+jjMzBlmd5hsKwbqfe1YwWqZgCAuna65UvD5kT+9gvABWWPrmBTcyMNhP3vY&#10;YardyO80XEIlIoR9igpMCF0qpS8NWfRL1xFH78v1FkOUfSV1j2OE21Y+J8mLtFhzXDDY0dFQ+X35&#10;sQpOPsnIXYuGT340m/zc3N4eG6UW8ynbggg0hf/wX7vQCtYb+P0Sf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daLEAAAA2wAAAA8AAAAAAAAAAAAAAAAAmAIAAGRycy9k&#10;b3ducmV2LnhtbFBLBQYAAAAABAAEAPUAAACJAwAAAAA=&#10;" fillcolor="white [3212]" strokecolor="#243f60 [1604]" strokeweight="2pt">
                  <v:textbox inset="1mm,1mm,1mm,1mm">
                    <w:txbxContent>
                      <w:p w14:paraId="026C0A78"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Total actual cost of subsector activities</w:t>
                        </w:r>
                      </w:p>
                    </w:txbxContent>
                  </v:textbox>
                </v:rect>
                <v:rect id="Rectangle 44" o:spid="_x0000_s1058" style="position:absolute;left:31522;top:25988;width:8636;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YqMQA&#10;AADbAAAADwAAAGRycy9kb3ducmV2LnhtbESP3WrCQBSE7wu+w3IEb4puKqGV1FVEECSUQq0PcMye&#10;ZhOzZ0N2m5+37xYKvRxm5htmux9tI3rqfOVYwdMqAUFcOF1xqeD6eVpuQPiArLFxTAom8rDfzR62&#10;mGk38Af1l1CKCGGfoQITQptJ6QtDFv3KtcTR+3KdxRBlV0rd4RDhtpHrJHmWFiuOCwZbOhoq7pdv&#10;qyD3yYHc7Vxz7gfzcnqrp/fHWqnFfDy8ggg0hv/wX/usFaQ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mKjEAAAA2wAAAA8AAAAAAAAAAAAAAAAAmAIAAGRycy9k&#10;b3ducmV2LnhtbFBLBQYAAAAABAAEAPUAAACJAwAAAAA=&#10;" fillcolor="white [3212]" strokecolor="#243f60 [1604]" strokeweight="2pt">
                  <v:textbox inset="1mm,1mm,1mm,1mm">
                    <w:txbxContent>
                      <w:p w14:paraId="020E0112"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Number of entities in subsector</w:t>
                        </w:r>
                      </w:p>
                    </w:txbxContent>
                  </v:textbox>
                </v:rect>
                <v:shape id="Equal 42" o:spid="_x0000_s1059" style="position:absolute;left:42431;top:21817;width:4318;height:4318;visibility:visible;mso-wrap-style:square;v-text-anchor:middle" coordsize="43180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ulsMA&#10;AADbAAAADwAAAGRycy9kb3ducmV2LnhtbESP0WrCQBRE3wX/YbkFX6Ru1CIluopUBftYkw+4Zq9J&#10;aPZuurua6Nd3CwUfh5k5w6w2vWnEjZyvLSuYThIQxIXVNZcK8uzw+g7CB2SNjWVScCcPm/VwsMJU&#10;246/6HYKpYgQ9ikqqEJoUyl9UZFBP7EtcfQu1hkMUbpSaoddhJtGzpJkIQ3WHBcqbOmjouL7dDUK&#10;zLjbZ7k9/3w6fswv7THbd3qn1Oil3y5BBOrDM/zfPmoFbz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ulsMAAADbAAAADwAAAAAAAAAAAAAAAACYAgAAZHJzL2Rv&#10;d25yZXYueG1sUEsFBgAAAAAEAAQA9QAAAIgDAAAAAA==&#10;" path="m57235,88951r317330,l374565,190510r-317330,l57235,88951xm57235,241290r317330,l374565,342849r-317330,l57235,241290xe" fillcolor="#4f81bd [3204]" strokecolor="#243f60 [1604]" strokeweight="2pt">
                  <v:path arrowok="t" o:connecttype="custom" o:connectlocs="57235,88951;374565,88951;374565,190510;57235,190510;57235,88951;57235,241290;374565,241290;374565,342849;57235,342849;57235,241290" o:connectangles="0,0,0,0,0,0,0,0,0,0"/>
                </v:shape>
                <v:rect id="Rectangle 38" o:spid="_x0000_s1060" style="position:absolute;left:48687;top:21416;width:8636;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3h0MEA&#10;AADbAAAADwAAAGRycy9kb3ducmV2LnhtbERP3WrCMBS+H/gO4Qy8GZrOwRzVKEUoSBmD1T3AsTk2&#10;7ZqT0mS2ffvlYrDLj+9/f5xsJ+40+Maxgud1AoK4crrhWsHXJV+9gfABWWPnmBTM5OF4WDzsMdVu&#10;5E+6l6EWMYR9igpMCH0qpa8MWfRr1xNH7uYGiyHCoZZ6wDGG205ukuRVWmw4Nhjs6WSo+i5/rILC&#10;Jxm567nlwo9mm7+388dTq9Tyccp2IAJN4V/85z5rBS9xbPwSf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94dDBAAAA2wAAAA8AAAAAAAAAAAAAAAAAmAIAAGRycy9kb3du&#10;cmV2LnhtbFBLBQYAAAAABAAEAPUAAACGAwAAAAA=&#10;" fillcolor="white [3212]" strokecolor="#243f60 [1604]" strokeweight="2pt">
                  <v:textbox inset="1mm,1mm,1mm,1mm">
                    <w:txbxContent>
                      <w:p w14:paraId="05DA417D" w14:textId="77777777" w:rsidR="00BE7110" w:rsidRPr="006870FD" w:rsidRDefault="00BE7110" w:rsidP="004C3374">
                        <w:pPr>
                          <w:jc w:val="center"/>
                          <w:rPr>
                            <w:rFonts w:ascii="Calibri Light" w:hAnsi="Calibri Light"/>
                            <w:color w:val="000000" w:themeColor="text1"/>
                            <w:sz w:val="18"/>
                          </w:rPr>
                        </w:pPr>
                        <w:r w:rsidRPr="006870FD">
                          <w:rPr>
                            <w:rFonts w:ascii="Calibri Light" w:hAnsi="Calibri Light"/>
                            <w:color w:val="000000" w:themeColor="text1"/>
                            <w:sz w:val="18"/>
                          </w:rPr>
                          <w:t>Flat levy for each entity in subsector</w:t>
                        </w:r>
                      </w:p>
                    </w:txbxContent>
                  </v:textbox>
                </v:rect>
                <v:shape id="Diagram 45" o:spid="_x0000_s1061" type="#_x0000_t75" style="position:absolute;left:-60;top:1097;width:7984;height:460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">
                  <v:imagedata r:id="rId36" o:title=""/>
                  <o:lock v:ext="edit" aspectratio="f"/>
                </v:shape>
              </v:group>
            </w:pict>
          </mc:Fallback>
        </mc:AlternateContent>
      </w:r>
    </w:p>
    <w:p w14:paraId="127109F7" w14:textId="59F7359E" w:rsidR="004C3374" w:rsidRDefault="004C3374" w:rsidP="004C3374">
      <w:pPr>
        <w:pStyle w:val="Bullet"/>
        <w:numPr>
          <w:ilvl w:val="0"/>
          <w:numId w:val="0"/>
        </w:numPr>
      </w:pPr>
    </w:p>
    <w:p w14:paraId="15980DF8" w14:textId="1B0622A3" w:rsidR="004C3374" w:rsidRDefault="004C3374" w:rsidP="004C3374">
      <w:pPr>
        <w:pStyle w:val="Bullet"/>
        <w:numPr>
          <w:ilvl w:val="0"/>
          <w:numId w:val="0"/>
        </w:numPr>
      </w:pPr>
    </w:p>
    <w:p w14:paraId="055C9048" w14:textId="329A285B" w:rsidR="004C3374" w:rsidRDefault="004C3374" w:rsidP="004C3374">
      <w:pPr>
        <w:pStyle w:val="Bullet"/>
        <w:numPr>
          <w:ilvl w:val="0"/>
          <w:numId w:val="0"/>
        </w:numPr>
      </w:pPr>
    </w:p>
    <w:p w14:paraId="4B17BB93" w14:textId="4EFA11F8" w:rsidR="004C3374" w:rsidRDefault="004C3374" w:rsidP="004C3374">
      <w:pPr>
        <w:pStyle w:val="Bullet"/>
        <w:numPr>
          <w:ilvl w:val="0"/>
          <w:numId w:val="0"/>
        </w:numPr>
      </w:pPr>
    </w:p>
    <w:p w14:paraId="6883D0B0" w14:textId="107643FE" w:rsidR="004C3374" w:rsidRDefault="004C3374" w:rsidP="004C3374">
      <w:pPr>
        <w:pStyle w:val="Bullet"/>
        <w:numPr>
          <w:ilvl w:val="0"/>
          <w:numId w:val="0"/>
        </w:numPr>
      </w:pPr>
    </w:p>
    <w:p w14:paraId="23E9EB6C" w14:textId="510D4C51" w:rsidR="004C3374" w:rsidRDefault="004C3374" w:rsidP="004C3374">
      <w:pPr>
        <w:pStyle w:val="Bullet"/>
        <w:numPr>
          <w:ilvl w:val="0"/>
          <w:numId w:val="0"/>
        </w:numPr>
      </w:pPr>
    </w:p>
    <w:p w14:paraId="5FF94EE5" w14:textId="593BFA7F" w:rsidR="004C3374" w:rsidRDefault="004C3374" w:rsidP="004C3374">
      <w:pPr>
        <w:pStyle w:val="Bullet"/>
        <w:numPr>
          <w:ilvl w:val="0"/>
          <w:numId w:val="0"/>
        </w:numPr>
      </w:pPr>
    </w:p>
    <w:p w14:paraId="3F15130C" w14:textId="3ED68112" w:rsidR="004C3374" w:rsidRDefault="004C3374" w:rsidP="004C3374">
      <w:pPr>
        <w:pStyle w:val="Bullet"/>
        <w:numPr>
          <w:ilvl w:val="0"/>
          <w:numId w:val="0"/>
        </w:numPr>
        <w:rPr>
          <w:u w:val="single"/>
        </w:rPr>
      </w:pPr>
    </w:p>
    <w:p w14:paraId="67874E92" w14:textId="3EB15389" w:rsidR="004C3374" w:rsidRDefault="004C3374" w:rsidP="004C3374">
      <w:pPr>
        <w:pStyle w:val="figuretext"/>
      </w:pPr>
    </w:p>
    <w:p w14:paraId="3477F6DE" w14:textId="77777777" w:rsidR="004C3374" w:rsidRDefault="004C3374" w:rsidP="004C3374">
      <w:pPr>
        <w:pStyle w:val="figuretext"/>
      </w:pPr>
    </w:p>
    <w:p w14:paraId="2BF9B129" w14:textId="77777777" w:rsidR="004C3374" w:rsidRDefault="004C3374" w:rsidP="004C3374">
      <w:pPr>
        <w:pStyle w:val="figuretext"/>
      </w:pPr>
    </w:p>
    <w:p w14:paraId="6320796A" w14:textId="77777777" w:rsidR="004C3374" w:rsidRDefault="004C3374" w:rsidP="004C3374">
      <w:pPr>
        <w:pStyle w:val="figuretext"/>
      </w:pPr>
    </w:p>
    <w:p w14:paraId="255DB77E" w14:textId="77777777" w:rsidR="004C3374" w:rsidRDefault="004C3374" w:rsidP="004C3374">
      <w:pPr>
        <w:pStyle w:val="figuretext"/>
      </w:pPr>
    </w:p>
    <w:p w14:paraId="17843590" w14:textId="4289571F" w:rsidR="00A22088" w:rsidRDefault="00A22088" w:rsidP="004C3374">
      <w:pPr>
        <w:pStyle w:val="figuretext"/>
      </w:pPr>
    </w:p>
    <w:p w14:paraId="7E2A9454" w14:textId="77777777" w:rsidR="00A22088" w:rsidRDefault="00A22088" w:rsidP="004C3374">
      <w:pPr>
        <w:pStyle w:val="figuretext"/>
      </w:pPr>
    </w:p>
    <w:p w14:paraId="6E1B5568" w14:textId="77777777" w:rsidR="00A22088" w:rsidRDefault="00A22088" w:rsidP="004C3374">
      <w:pPr>
        <w:pStyle w:val="figuretext"/>
      </w:pPr>
    </w:p>
    <w:p w14:paraId="0367BFC8" w14:textId="77777777" w:rsidR="00A22088" w:rsidRDefault="00A22088" w:rsidP="004C3374">
      <w:pPr>
        <w:pStyle w:val="figuretext"/>
      </w:pPr>
    </w:p>
    <w:p w14:paraId="334272E3" w14:textId="77777777" w:rsidR="00A22088" w:rsidRDefault="00A22088" w:rsidP="004C3374">
      <w:pPr>
        <w:pStyle w:val="figuretext"/>
      </w:pPr>
    </w:p>
    <w:p w14:paraId="59990925" w14:textId="77777777" w:rsidR="00A22088" w:rsidRDefault="00A22088" w:rsidP="004C3374">
      <w:pPr>
        <w:pStyle w:val="figuretext"/>
      </w:pPr>
    </w:p>
    <w:p w14:paraId="6FE5FF47" w14:textId="77777777" w:rsidR="005E2294" w:rsidRDefault="005E2294" w:rsidP="004C3374">
      <w:pPr>
        <w:pStyle w:val="figuretext"/>
      </w:pPr>
    </w:p>
    <w:p w14:paraId="11AF83B8" w14:textId="77777777" w:rsidR="005E2294" w:rsidRDefault="005E2294" w:rsidP="004C3374">
      <w:pPr>
        <w:pStyle w:val="figuretext"/>
      </w:pPr>
    </w:p>
    <w:p w14:paraId="124E9A81" w14:textId="77777777" w:rsidR="005E2294" w:rsidRDefault="005E2294" w:rsidP="004C3374">
      <w:pPr>
        <w:pStyle w:val="figuretext"/>
      </w:pPr>
    </w:p>
    <w:p w14:paraId="5CC4E86B" w14:textId="77777777" w:rsidR="003A2B1E" w:rsidRDefault="003A2B1E" w:rsidP="00CD124C">
      <w:pPr>
        <w:pStyle w:val="KPhead"/>
        <w:ind w:right="1273"/>
      </w:pPr>
      <w:r>
        <w:t>Flat levy forecast example – large proprietary companies</w:t>
      </w:r>
    </w:p>
    <w:p w14:paraId="09154996" w14:textId="5ED97B03" w:rsidR="00CB5C63" w:rsidRPr="00C5354C" w:rsidRDefault="00CD124C" w:rsidP="00C5354C">
      <w:pPr>
        <w:pStyle w:val="KPtext"/>
      </w:pPr>
      <w:r>
        <w:t>In 2016–17 ASIC</w:t>
      </w:r>
      <w:r w:rsidR="0003187F">
        <w:t>’</w:t>
      </w:r>
      <w:r>
        <w:t>s forecast effort to regulate the large proprietary companies subsector is expected to cost $3 million. ASIC regulates approximately 9,000 large proprietary companies. The flat levy per</w:t>
      </w:r>
      <w:r w:rsidR="00F40539">
        <w:t> </w:t>
      </w:r>
      <w:r>
        <w:t xml:space="preserve">company is estimated to be $350 ($3 million / 9,000). Due to the large number of entities in this sector and the relatively small amount to be collected a flat levy </w:t>
      </w:r>
      <w:r w:rsidR="00DA12BE">
        <w:t xml:space="preserve">is proposed </w:t>
      </w:r>
      <w:r>
        <w:t>for this subsector. A flat levy minimises the reporting burden for large proprietary companies and ensures that the levy is simple and efficient to calculate for each entity.</w:t>
      </w:r>
    </w:p>
    <w:p w14:paraId="10B4A483" w14:textId="707E3CDB" w:rsidR="00C5354C" w:rsidRDefault="00C5354C" w:rsidP="00BE1313">
      <w:pPr>
        <w:pStyle w:val="tabletitleindented"/>
        <w:ind w:left="3117"/>
      </w:pPr>
      <w:bookmarkStart w:id="53" w:name="_Ref463600839"/>
      <w:r>
        <w:t xml:space="preserve">Table </w:t>
      </w:r>
      <w:r w:rsidR="003D3E81">
        <w:fldChar w:fldCharType="begin"/>
      </w:r>
      <w:r w:rsidR="003D3E81">
        <w:instrText xml:space="preserve"> SEQ Table \* ARABIC </w:instrText>
      </w:r>
      <w:r w:rsidR="003D3E81">
        <w:fldChar w:fldCharType="separate"/>
      </w:r>
      <w:r w:rsidR="00A37D1A">
        <w:rPr>
          <w:noProof/>
        </w:rPr>
        <w:t>2</w:t>
      </w:r>
      <w:r w:rsidR="003D3E81">
        <w:rPr>
          <w:noProof/>
        </w:rPr>
        <w:fldChar w:fldCharType="end"/>
      </w:r>
      <w:bookmarkEnd w:id="53"/>
      <w:r>
        <w:t>:</w:t>
      </w:r>
      <w:r>
        <w:tab/>
        <w:t>Total ASIC costs to be recovered through ASIC industry levies</w:t>
      </w:r>
    </w:p>
    <w:tbl>
      <w:tblPr>
        <w:tblW w:w="0" w:type="auto"/>
        <w:tblInd w:w="2235"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543"/>
        <w:gridCol w:w="426"/>
        <w:gridCol w:w="2976"/>
      </w:tblGrid>
      <w:tr w:rsidR="00C5354C" w:rsidRPr="000540E1" w14:paraId="7B66034F" w14:textId="77777777" w:rsidTr="005E2294">
        <w:trPr>
          <w:cantSplit/>
          <w:tblHeader/>
        </w:trPr>
        <w:tc>
          <w:tcPr>
            <w:tcW w:w="3543" w:type="dxa"/>
            <w:shd w:val="clear" w:color="auto" w:fill="C2E3FA"/>
          </w:tcPr>
          <w:p w14:paraId="7D17DEB9" w14:textId="04BD1D5A" w:rsidR="00C5354C" w:rsidRPr="000540E1" w:rsidRDefault="00A64016" w:rsidP="007C3F29">
            <w:pPr>
              <w:pStyle w:val="tablehead"/>
            </w:pPr>
            <w:r>
              <w:t>Levy type</w:t>
            </w:r>
          </w:p>
        </w:tc>
        <w:tc>
          <w:tcPr>
            <w:tcW w:w="3402" w:type="dxa"/>
            <w:gridSpan w:val="2"/>
            <w:shd w:val="clear" w:color="auto" w:fill="C2E3FA"/>
          </w:tcPr>
          <w:p w14:paraId="17C854B3" w14:textId="77777777" w:rsidR="00C5354C" w:rsidRPr="000540E1" w:rsidRDefault="00C5354C" w:rsidP="007C3F29">
            <w:pPr>
              <w:pStyle w:val="tablehead"/>
              <w:jc w:val="right"/>
            </w:pPr>
            <w:r>
              <w:t>$m</w:t>
            </w:r>
          </w:p>
        </w:tc>
      </w:tr>
      <w:tr w:rsidR="00C5354C" w:rsidRPr="000540E1" w14:paraId="6F1524A7" w14:textId="77777777" w:rsidTr="005E2294">
        <w:trPr>
          <w:cantSplit/>
        </w:trPr>
        <w:tc>
          <w:tcPr>
            <w:tcW w:w="3969" w:type="dxa"/>
            <w:gridSpan w:val="2"/>
          </w:tcPr>
          <w:p w14:paraId="1399D4F4" w14:textId="77777777" w:rsidR="00C5354C" w:rsidRPr="000540E1" w:rsidRDefault="00C5354C" w:rsidP="007C3F29">
            <w:pPr>
              <w:pStyle w:val="tbltext"/>
            </w:pPr>
            <w:r>
              <w:t>Graduated levies</w:t>
            </w:r>
          </w:p>
        </w:tc>
        <w:tc>
          <w:tcPr>
            <w:tcW w:w="2976" w:type="dxa"/>
          </w:tcPr>
          <w:p w14:paraId="0F8B53A9" w14:textId="77777777" w:rsidR="00C5354C" w:rsidRPr="000540E1" w:rsidRDefault="00C5354C" w:rsidP="007C3F29">
            <w:pPr>
              <w:pStyle w:val="tbltext"/>
              <w:jc w:val="right"/>
            </w:pPr>
            <w:r>
              <w:t>$191.8m</w:t>
            </w:r>
          </w:p>
        </w:tc>
      </w:tr>
      <w:tr w:rsidR="00C5354C" w:rsidRPr="000540E1" w14:paraId="3A92AFE3" w14:textId="77777777" w:rsidTr="005E2294">
        <w:trPr>
          <w:cantSplit/>
        </w:trPr>
        <w:tc>
          <w:tcPr>
            <w:tcW w:w="3543" w:type="dxa"/>
          </w:tcPr>
          <w:p w14:paraId="192C0598" w14:textId="77777777" w:rsidR="00C5354C" w:rsidRPr="000540E1" w:rsidRDefault="00C5354C" w:rsidP="007C3F29">
            <w:pPr>
              <w:pStyle w:val="tbltext"/>
            </w:pPr>
            <w:r>
              <w:t>Flat levies</w:t>
            </w:r>
          </w:p>
        </w:tc>
        <w:tc>
          <w:tcPr>
            <w:tcW w:w="3402" w:type="dxa"/>
            <w:gridSpan w:val="2"/>
          </w:tcPr>
          <w:p w14:paraId="48DF537D" w14:textId="77777777" w:rsidR="00C5354C" w:rsidRPr="000540E1" w:rsidRDefault="00C5354C" w:rsidP="007C3F29">
            <w:pPr>
              <w:pStyle w:val="tbltext"/>
              <w:jc w:val="right"/>
            </w:pPr>
            <w:r>
              <w:t>$26.1m</w:t>
            </w:r>
          </w:p>
        </w:tc>
      </w:tr>
      <w:tr w:rsidR="00C5354C" w:rsidRPr="000540E1" w14:paraId="26AD3765" w14:textId="77777777" w:rsidTr="005E2294">
        <w:trPr>
          <w:cantSplit/>
        </w:trPr>
        <w:tc>
          <w:tcPr>
            <w:tcW w:w="3543" w:type="dxa"/>
          </w:tcPr>
          <w:p w14:paraId="28726A43" w14:textId="77777777" w:rsidR="00C5354C" w:rsidRPr="000540E1" w:rsidRDefault="00C5354C" w:rsidP="007C3F29">
            <w:pPr>
              <w:pStyle w:val="tbltext"/>
            </w:pPr>
            <w:r>
              <w:t>Flat levy in year 1 and graduated levy from year 2</w:t>
            </w:r>
          </w:p>
        </w:tc>
        <w:tc>
          <w:tcPr>
            <w:tcW w:w="3402" w:type="dxa"/>
            <w:gridSpan w:val="2"/>
          </w:tcPr>
          <w:p w14:paraId="48635B2A" w14:textId="5460C95B" w:rsidR="00C5354C" w:rsidRPr="000540E1" w:rsidRDefault="00C5354C" w:rsidP="007C3F29">
            <w:pPr>
              <w:pStyle w:val="tbltext"/>
              <w:jc w:val="right"/>
            </w:pPr>
            <w:r>
              <w:t>$21.9m</w:t>
            </w:r>
          </w:p>
        </w:tc>
      </w:tr>
      <w:tr w:rsidR="00C5354C" w:rsidRPr="00C5354C" w14:paraId="15FB9103" w14:textId="77777777" w:rsidTr="005E2294">
        <w:trPr>
          <w:cantSplit/>
        </w:trPr>
        <w:tc>
          <w:tcPr>
            <w:tcW w:w="3543" w:type="dxa"/>
          </w:tcPr>
          <w:p w14:paraId="5E32EF10" w14:textId="77777777" w:rsidR="00C5354C" w:rsidRPr="00C5354C" w:rsidRDefault="00C5354C" w:rsidP="007C3F29">
            <w:pPr>
              <w:pStyle w:val="tbltext"/>
              <w:rPr>
                <w:b/>
              </w:rPr>
            </w:pPr>
            <w:r w:rsidRPr="00C5354C">
              <w:rPr>
                <w:b/>
              </w:rPr>
              <w:t>Total</w:t>
            </w:r>
          </w:p>
        </w:tc>
        <w:tc>
          <w:tcPr>
            <w:tcW w:w="3402" w:type="dxa"/>
            <w:gridSpan w:val="2"/>
          </w:tcPr>
          <w:p w14:paraId="630A1CB1" w14:textId="77777777" w:rsidR="00C5354C" w:rsidRPr="00C5354C" w:rsidRDefault="00C5354C" w:rsidP="007C3F29">
            <w:pPr>
              <w:pStyle w:val="tbltext"/>
              <w:jc w:val="right"/>
              <w:rPr>
                <w:b/>
              </w:rPr>
            </w:pPr>
            <w:r w:rsidRPr="00C5354C">
              <w:rPr>
                <w:b/>
              </w:rPr>
              <w:t>$239.8m</w:t>
            </w:r>
          </w:p>
        </w:tc>
      </w:tr>
    </w:tbl>
    <w:p w14:paraId="519F757B" w14:textId="1AEBE5A9" w:rsidR="00CB5C63" w:rsidRDefault="00CB5C63" w:rsidP="000B5B80">
      <w:pPr>
        <w:pStyle w:val="Heading3"/>
        <w:tabs>
          <w:tab w:val="left" w:pos="6700"/>
        </w:tabs>
      </w:pPr>
      <w:r>
        <w:t>Key assumptions</w:t>
      </w:r>
      <w:r w:rsidR="003E22A8">
        <w:tab/>
      </w:r>
    </w:p>
    <w:p w14:paraId="7B1498A6" w14:textId="77777777" w:rsidR="009A1AF7" w:rsidRDefault="009A1AF7" w:rsidP="009A1AF7">
      <w:pPr>
        <w:pStyle w:val="BodyText"/>
      </w:pPr>
      <w:bookmarkStart w:id="54" w:name="_Toc463544588"/>
      <w:bookmarkStart w:id="55" w:name="_Toc463595190"/>
      <w:bookmarkStart w:id="56" w:name="_Ref463599577"/>
      <w:bookmarkStart w:id="57" w:name="_Toc464140301"/>
      <w:r>
        <w:t xml:space="preserve">The figures quoted in this paper are estimates based on ASIC’s expected regulatory activity in each subsector in 2016–17, the estimated number of industry participants and where applicable, the estimated total business activity undertaken by industry participants. See </w:t>
      </w:r>
      <w:r w:rsidRPr="009A1AF7">
        <w:rPr>
          <w:b/>
        </w:rPr>
        <w:t>Appendix 1</w:t>
      </w:r>
      <w:r>
        <w:t xml:space="preserve"> for detailed information regarding how the indicative levies have been estimated based on ASIC’s 2016–17 forecast costs.</w:t>
      </w:r>
    </w:p>
    <w:p w14:paraId="603117C2" w14:textId="77777777" w:rsidR="009A1AF7" w:rsidRDefault="009A1AF7" w:rsidP="009A1AF7">
      <w:pPr>
        <w:pStyle w:val="BodyText"/>
      </w:pPr>
      <w:r>
        <w:t>The actual levies charged in 2017–18 may vary with changes in the underlying estimates.</w:t>
      </w:r>
    </w:p>
    <w:p w14:paraId="7239C1E0" w14:textId="66D7C4EA" w:rsidR="0080591D" w:rsidRDefault="007C3F29">
      <w:pPr>
        <w:pStyle w:val="Heading1"/>
      </w:pPr>
      <w:bookmarkStart w:id="58" w:name="_Toc466020953"/>
      <w:r>
        <w:t>Corporate</w:t>
      </w:r>
      <w:bookmarkEnd w:id="54"/>
      <w:bookmarkEnd w:id="55"/>
      <w:bookmarkEnd w:id="56"/>
      <w:bookmarkEnd w:id="57"/>
      <w:bookmarkEnd w:id="58"/>
    </w:p>
    <w:p w14:paraId="7EAA21EA" w14:textId="12BFCF4B" w:rsidR="007C3F29" w:rsidRPr="008E2393" w:rsidRDefault="007C3F29" w:rsidP="007C3F29">
      <w:pPr>
        <w:pStyle w:val="Heading2"/>
      </w:pPr>
      <w:bookmarkStart w:id="59" w:name="_Toc463544589"/>
      <w:bookmarkStart w:id="60" w:name="_Toc463595191"/>
      <w:bookmarkStart w:id="61" w:name="_Toc464140302"/>
      <w:bookmarkStart w:id="62" w:name="_Toc466020954"/>
      <w:r w:rsidRPr="008E2393">
        <w:t>Description of ASIC’s regulatory activities</w:t>
      </w:r>
      <w:bookmarkEnd w:id="59"/>
      <w:bookmarkEnd w:id="60"/>
      <w:bookmarkEnd w:id="61"/>
      <w:bookmarkEnd w:id="62"/>
    </w:p>
    <w:p w14:paraId="5FE41733" w14:textId="2419DB9E" w:rsidR="007C3F29" w:rsidRPr="008E2393" w:rsidRDefault="007C3F29" w:rsidP="007C3F29">
      <w:pPr>
        <w:pStyle w:val="BodyText"/>
      </w:pPr>
      <w:r w:rsidRPr="008E2393">
        <w:t>The corporate sector consists of companies and those who provide professional services to companies</w:t>
      </w:r>
      <w:r>
        <w:t xml:space="preserve"> —</w:t>
      </w:r>
      <w:r w:rsidRPr="008E2393">
        <w:t xml:space="preserve"> that is</w:t>
      </w:r>
      <w:r>
        <w:t>,</w:t>
      </w:r>
      <w:r w:rsidRPr="008E2393">
        <w:t xml:space="preserve"> company auditors and registered liquidators</w:t>
      </w:r>
      <w:r w:rsidR="00F425AE">
        <w:t xml:space="preserve"> (see </w:t>
      </w:r>
      <w:r w:rsidR="00F425AE" w:rsidRPr="00B25C47">
        <w:rPr>
          <w:b/>
        </w:rPr>
        <w:fldChar w:fldCharType="begin"/>
      </w:r>
      <w:r w:rsidR="00F425AE" w:rsidRPr="00B25C47">
        <w:rPr>
          <w:b/>
        </w:rPr>
        <w:instrText xml:space="preserve"> REF _Ref463604608 \h </w:instrText>
      </w:r>
      <w:r w:rsidR="00B25C47">
        <w:rPr>
          <w:b/>
        </w:rPr>
        <w:instrText xml:space="preserve"> \* MERGEFORMAT </w:instrText>
      </w:r>
      <w:r w:rsidR="00F425AE" w:rsidRPr="00B25C47">
        <w:rPr>
          <w:b/>
        </w:rPr>
      </w:r>
      <w:r w:rsidR="00F425AE" w:rsidRPr="00B25C47">
        <w:rPr>
          <w:b/>
        </w:rPr>
        <w:fldChar w:fldCharType="separate"/>
      </w:r>
      <w:r w:rsidR="00A37D1A" w:rsidRPr="00B25C47">
        <w:rPr>
          <w:b/>
        </w:rPr>
        <w:t xml:space="preserve">Table </w:t>
      </w:r>
      <w:r w:rsidR="00A37D1A" w:rsidRPr="00B25C47">
        <w:rPr>
          <w:b/>
          <w:noProof/>
        </w:rPr>
        <w:t>3</w:t>
      </w:r>
      <w:r w:rsidR="00F425AE" w:rsidRPr="00B25C47">
        <w:rPr>
          <w:b/>
        </w:rPr>
        <w:fldChar w:fldCharType="end"/>
      </w:r>
      <w:r w:rsidR="00F425AE">
        <w:t>)</w:t>
      </w:r>
      <w:r w:rsidRPr="008E2393">
        <w:t>.</w:t>
      </w:r>
    </w:p>
    <w:p w14:paraId="4C5AEFD8" w14:textId="35FD5408" w:rsidR="007C3F29" w:rsidRDefault="007C3F29" w:rsidP="007C3F29">
      <w:pPr>
        <w:pStyle w:val="BodyText"/>
      </w:pPr>
      <w:r w:rsidRPr="003B5688">
        <w:t>In 2016</w:t>
      </w:r>
      <w:r>
        <w:t>–</w:t>
      </w:r>
      <w:r w:rsidRPr="003B5688">
        <w:t xml:space="preserve">17, </w:t>
      </w:r>
      <w:r>
        <w:t>ASIC</w:t>
      </w:r>
      <w:r w:rsidR="0003187F">
        <w:t>’</w:t>
      </w:r>
      <w:r>
        <w:t>s forecast effort to regulate the corporate sector is expected to cost</w:t>
      </w:r>
      <w:r w:rsidRPr="003B5688">
        <w:t xml:space="preserve"> $80.7 million</w:t>
      </w:r>
      <w:r w:rsidR="00F425AE">
        <w:t xml:space="preserve"> (see </w:t>
      </w:r>
      <w:r w:rsidR="00F425AE" w:rsidRPr="00B25C47">
        <w:rPr>
          <w:b/>
        </w:rPr>
        <w:fldChar w:fldCharType="begin"/>
      </w:r>
      <w:r w:rsidR="00F425AE" w:rsidRPr="00B25C47">
        <w:rPr>
          <w:b/>
        </w:rPr>
        <w:instrText xml:space="preserve"> REF _Ref463604593 \h </w:instrText>
      </w:r>
      <w:r w:rsidR="00B25C47">
        <w:rPr>
          <w:b/>
        </w:rPr>
        <w:instrText xml:space="preserve"> \* MERGEFORMAT </w:instrText>
      </w:r>
      <w:r w:rsidR="00F425AE" w:rsidRPr="00B25C47">
        <w:rPr>
          <w:b/>
        </w:rPr>
      </w:r>
      <w:r w:rsidR="00F425AE" w:rsidRPr="00B25C47">
        <w:rPr>
          <w:b/>
        </w:rPr>
        <w:fldChar w:fldCharType="separate"/>
      </w:r>
      <w:r w:rsidR="00A37D1A" w:rsidRPr="00B25C47">
        <w:rPr>
          <w:b/>
        </w:rPr>
        <w:t xml:space="preserve">Figure </w:t>
      </w:r>
      <w:r w:rsidR="00A37D1A" w:rsidRPr="00B25C47">
        <w:rPr>
          <w:b/>
          <w:noProof/>
        </w:rPr>
        <w:t>4</w:t>
      </w:r>
      <w:r w:rsidR="00F425AE" w:rsidRPr="00B25C47">
        <w:rPr>
          <w:b/>
        </w:rPr>
        <w:fldChar w:fldCharType="end"/>
      </w:r>
      <w:r w:rsidR="00F425AE">
        <w:t>)</w:t>
      </w:r>
      <w:r>
        <w:t>. This is 34% of ASIC</w:t>
      </w:r>
      <w:r w:rsidR="0003187F">
        <w:t>’</w:t>
      </w:r>
      <w:r>
        <w:t xml:space="preserve">s budget for regulatory activities and </w:t>
      </w:r>
      <w:r w:rsidR="009D2BB5">
        <w:t xml:space="preserve">is proposed to </w:t>
      </w:r>
      <w:r>
        <w:t xml:space="preserve">be recovered </w:t>
      </w:r>
      <w:r w:rsidRPr="003B5688">
        <w:t>through levies on the corporate sector.</w:t>
      </w:r>
      <w:r w:rsidRPr="008E2393">
        <w:t xml:space="preserve"> </w:t>
      </w:r>
    </w:p>
    <w:p w14:paraId="57B01605" w14:textId="2C62E34D" w:rsidR="007C3F29" w:rsidRPr="000035A2" w:rsidRDefault="009A1AF7" w:rsidP="009A1AF7">
      <w:pPr>
        <w:pStyle w:val="BodyText"/>
      </w:pPr>
      <w:r w:rsidRPr="009A1AF7">
        <w:t xml:space="preserve">ASIC will issue invoices to recover its </w:t>
      </w:r>
      <w:r w:rsidR="00714D0C">
        <w:t xml:space="preserve">2017–18 costs in January 2019. </w:t>
      </w:r>
      <w:r w:rsidRPr="009A1AF7">
        <w:t>Based on forecast 2016–17 costs, levies on the corporate sector would comprise $</w:t>
      </w:r>
      <w:r w:rsidR="007C3F29" w:rsidRPr="000035A2">
        <w:t xml:space="preserve">67.1 million (83%) </w:t>
      </w:r>
      <w:r w:rsidR="009D2BB5" w:rsidRPr="000035A2">
        <w:t>is proposed to</w:t>
      </w:r>
      <w:r w:rsidR="007C3F29" w:rsidRPr="000035A2">
        <w:t xml:space="preserve"> be cost recovered from companies, $8.5 million (11%) from registered liquidators and $5.1 million (6%) from auditors (see</w:t>
      </w:r>
      <w:r w:rsidR="00F425AE" w:rsidRPr="000035A2">
        <w:t xml:space="preserve"> </w:t>
      </w:r>
      <w:r w:rsidR="00F425AE" w:rsidRPr="00B25C47">
        <w:rPr>
          <w:b/>
        </w:rPr>
        <w:fldChar w:fldCharType="begin"/>
      </w:r>
      <w:r w:rsidR="00F425AE" w:rsidRPr="00B25C47">
        <w:rPr>
          <w:b/>
        </w:rPr>
        <w:instrText xml:space="preserve"> REF _Ref463604571 \h </w:instrText>
      </w:r>
      <w:r w:rsidR="000035A2" w:rsidRPr="00B25C47">
        <w:rPr>
          <w:b/>
        </w:rPr>
        <w:instrText xml:space="preserve"> \* MERGEFORMAT </w:instrText>
      </w:r>
      <w:r w:rsidR="00F425AE" w:rsidRPr="00B25C47">
        <w:rPr>
          <w:b/>
        </w:rPr>
      </w:r>
      <w:r w:rsidR="00F425AE" w:rsidRPr="00B25C47">
        <w:rPr>
          <w:b/>
        </w:rPr>
        <w:fldChar w:fldCharType="separate"/>
      </w:r>
      <w:r w:rsidR="00A37D1A" w:rsidRPr="00B25C47">
        <w:rPr>
          <w:b/>
        </w:rPr>
        <w:t>Figure 5</w:t>
      </w:r>
      <w:r w:rsidR="00F425AE" w:rsidRPr="00B25C47">
        <w:rPr>
          <w:b/>
        </w:rPr>
        <w:fldChar w:fldCharType="end"/>
      </w:r>
      <w:r w:rsidR="007C3F29" w:rsidRPr="000035A2">
        <w:t>).</w:t>
      </w:r>
    </w:p>
    <w:p w14:paraId="6A77B318" w14:textId="02AB7F6C" w:rsidR="007C3F29" w:rsidRDefault="007C3F29" w:rsidP="007C3F29">
      <w:pPr>
        <w:pStyle w:val="figuretitlefullwidth"/>
      </w:pPr>
      <w:bookmarkStart w:id="63" w:name="_Ref463604593"/>
      <w:r w:rsidRPr="001149DE">
        <w:t xml:space="preserve">Figure </w:t>
      </w:r>
      <w:r w:rsidR="003D3E81">
        <w:fldChar w:fldCharType="begin"/>
      </w:r>
      <w:r w:rsidR="003D3E81">
        <w:instrText xml:space="preserve"> SEQ Figure \* ARABIC </w:instrText>
      </w:r>
      <w:r w:rsidR="003D3E81">
        <w:fldChar w:fldCharType="separate"/>
      </w:r>
      <w:r w:rsidR="00A37D1A">
        <w:rPr>
          <w:noProof/>
        </w:rPr>
        <w:t>4</w:t>
      </w:r>
      <w:r w:rsidR="003D3E81">
        <w:rPr>
          <w:noProof/>
        </w:rPr>
        <w:fldChar w:fldCharType="end"/>
      </w:r>
      <w:bookmarkEnd w:id="63"/>
      <w:r w:rsidRPr="001149DE">
        <w:t>:</w:t>
      </w:r>
      <w:r w:rsidRPr="001149DE">
        <w:tab/>
        <w:t>Costs to regulate the corporate sector</w:t>
      </w:r>
    </w:p>
    <w:p w14:paraId="0F5F29FF" w14:textId="054F885C" w:rsidR="007C3F29" w:rsidRPr="007C3F29" w:rsidRDefault="001149DE" w:rsidP="007C3F29">
      <w:pPr>
        <w:pStyle w:val="figuretext"/>
      </w:pPr>
      <w:r w:rsidRPr="001149DE">
        <w:rPr>
          <w:noProof/>
        </w:rPr>
        <w:drawing>
          <wp:inline distT="0" distB="0" distL="0" distR="0" wp14:anchorId="7DB6CF9D" wp14:editId="16627DC7">
            <wp:extent cx="5715160" cy="229035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642" r="-1" b="11064"/>
                    <a:stretch/>
                  </pic:blipFill>
                  <pic:spPr bwMode="auto">
                    <a:xfrm>
                      <a:off x="0" y="0"/>
                      <a:ext cx="5724000" cy="2293897"/>
                    </a:xfrm>
                    <a:prstGeom prst="rect">
                      <a:avLst/>
                    </a:prstGeom>
                    <a:noFill/>
                    <a:ln>
                      <a:noFill/>
                    </a:ln>
                    <a:extLst>
                      <a:ext uri="{53640926-AAD7-44D8-BBD7-CCE9431645EC}">
                        <a14:shadowObscured xmlns:a14="http://schemas.microsoft.com/office/drawing/2010/main"/>
                      </a:ext>
                    </a:extLst>
                  </pic:spPr>
                </pic:pic>
              </a:graphicData>
            </a:graphic>
          </wp:inline>
        </w:drawing>
      </w:r>
    </w:p>
    <w:p w14:paraId="76C693EA" w14:textId="6534FBB1" w:rsidR="007C3F29" w:rsidRDefault="007C3F29" w:rsidP="007C3F29">
      <w:pPr>
        <w:pStyle w:val="tabletitlefullwidth"/>
      </w:pPr>
      <w:bookmarkStart w:id="64" w:name="_Ref463604608"/>
      <w:r>
        <w:t xml:space="preserve">Table </w:t>
      </w:r>
      <w:r w:rsidR="003D3E81">
        <w:fldChar w:fldCharType="begin"/>
      </w:r>
      <w:r w:rsidR="003D3E81">
        <w:instrText xml:space="preserve"> SEQ Table \* ARABIC </w:instrText>
      </w:r>
      <w:r w:rsidR="003D3E81">
        <w:fldChar w:fldCharType="separate"/>
      </w:r>
      <w:r w:rsidR="00A37D1A">
        <w:rPr>
          <w:noProof/>
        </w:rPr>
        <w:t>3</w:t>
      </w:r>
      <w:r w:rsidR="003D3E81">
        <w:rPr>
          <w:noProof/>
        </w:rPr>
        <w:fldChar w:fldCharType="end"/>
      </w:r>
      <w:bookmarkEnd w:id="64"/>
      <w:r w:rsidR="00242E2C">
        <w:t>:</w:t>
      </w:r>
      <w:r w:rsidR="005A2A35">
        <w:tab/>
      </w:r>
      <w:r>
        <w:t>Subsectors in the corporate sector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946"/>
        <w:gridCol w:w="2126"/>
      </w:tblGrid>
      <w:tr w:rsidR="007C3F29" w:rsidRPr="000540E1" w14:paraId="090EDA1A" w14:textId="77777777" w:rsidTr="00B76366">
        <w:trPr>
          <w:cantSplit/>
          <w:tblHeader/>
        </w:trPr>
        <w:tc>
          <w:tcPr>
            <w:tcW w:w="6946" w:type="dxa"/>
            <w:shd w:val="clear" w:color="auto" w:fill="C2E3FA"/>
          </w:tcPr>
          <w:p w14:paraId="3B2570CB" w14:textId="15E45D4E" w:rsidR="007C3F29" w:rsidRPr="000540E1" w:rsidRDefault="007C3F29" w:rsidP="007C3F29">
            <w:pPr>
              <w:pStyle w:val="tablehead"/>
            </w:pPr>
            <w:r>
              <w:t>Subsectors</w:t>
            </w:r>
          </w:p>
        </w:tc>
        <w:tc>
          <w:tcPr>
            <w:tcW w:w="2126" w:type="dxa"/>
            <w:shd w:val="clear" w:color="auto" w:fill="C2E3FA"/>
          </w:tcPr>
          <w:p w14:paraId="2664EE18" w14:textId="466C7868" w:rsidR="007C3F29" w:rsidRPr="000540E1" w:rsidRDefault="007C3F29" w:rsidP="007C3F29">
            <w:pPr>
              <w:pStyle w:val="tablehead"/>
            </w:pPr>
            <w:r>
              <w:t>Number of entities</w:t>
            </w:r>
          </w:p>
        </w:tc>
      </w:tr>
      <w:tr w:rsidR="007C3F29" w:rsidRPr="000540E1" w14:paraId="0E7C0743" w14:textId="77777777" w:rsidTr="00B76366">
        <w:trPr>
          <w:cantSplit/>
        </w:trPr>
        <w:tc>
          <w:tcPr>
            <w:tcW w:w="6946" w:type="dxa"/>
            <w:vAlign w:val="center"/>
          </w:tcPr>
          <w:p w14:paraId="19D1C095" w14:textId="5154DE70" w:rsidR="007C3F29" w:rsidRPr="000540E1" w:rsidRDefault="007C3F29" w:rsidP="007C3F29">
            <w:pPr>
              <w:pStyle w:val="tbltext"/>
            </w:pPr>
            <w:r w:rsidRPr="008E2393">
              <w:t>Public (listed, disclosing) companies</w:t>
            </w:r>
          </w:p>
        </w:tc>
        <w:tc>
          <w:tcPr>
            <w:tcW w:w="2126" w:type="dxa"/>
            <w:vAlign w:val="center"/>
          </w:tcPr>
          <w:p w14:paraId="1ED5E341" w14:textId="03535BB9" w:rsidR="007C3F29" w:rsidRPr="000540E1" w:rsidRDefault="00602E9F" w:rsidP="001149DE">
            <w:pPr>
              <w:pStyle w:val="tbltext"/>
            </w:pPr>
            <w:r>
              <w:t>2,000</w:t>
            </w:r>
          </w:p>
        </w:tc>
      </w:tr>
      <w:tr w:rsidR="007C3F29" w:rsidRPr="000540E1" w14:paraId="26E21067" w14:textId="77777777" w:rsidTr="00B76366">
        <w:trPr>
          <w:cantSplit/>
        </w:trPr>
        <w:tc>
          <w:tcPr>
            <w:tcW w:w="6946" w:type="dxa"/>
            <w:vAlign w:val="center"/>
          </w:tcPr>
          <w:p w14:paraId="472F563A" w14:textId="3FE63EA3" w:rsidR="007C3F29" w:rsidRPr="000540E1" w:rsidRDefault="007C3F29" w:rsidP="007C3F29">
            <w:pPr>
              <w:pStyle w:val="tbltext"/>
            </w:pPr>
            <w:r w:rsidRPr="008E2393">
              <w:t>Public (unlisted, disclosing) companies</w:t>
            </w:r>
          </w:p>
        </w:tc>
        <w:tc>
          <w:tcPr>
            <w:tcW w:w="2126" w:type="dxa"/>
            <w:vAlign w:val="center"/>
          </w:tcPr>
          <w:p w14:paraId="7E0BD472" w14:textId="2FF275FD" w:rsidR="007C3F29" w:rsidRPr="000540E1" w:rsidRDefault="00A62185" w:rsidP="001149DE">
            <w:pPr>
              <w:pStyle w:val="tbltext"/>
            </w:pPr>
            <w:r>
              <w:t>838</w:t>
            </w:r>
          </w:p>
        </w:tc>
      </w:tr>
      <w:tr w:rsidR="007C3F29" w:rsidRPr="000540E1" w14:paraId="2C2AA2BF" w14:textId="77777777" w:rsidTr="00B76366">
        <w:trPr>
          <w:cantSplit/>
        </w:trPr>
        <w:tc>
          <w:tcPr>
            <w:tcW w:w="6946" w:type="dxa"/>
            <w:vAlign w:val="center"/>
          </w:tcPr>
          <w:p w14:paraId="499C03FA" w14:textId="7EFDC5C8" w:rsidR="007C3F29" w:rsidRPr="000540E1" w:rsidRDefault="007C3F29" w:rsidP="007C3F29">
            <w:pPr>
              <w:pStyle w:val="tbltext"/>
            </w:pPr>
            <w:r w:rsidRPr="008E2393">
              <w:t>Public (unlisted, non-disclosing) companies</w:t>
            </w:r>
          </w:p>
        </w:tc>
        <w:tc>
          <w:tcPr>
            <w:tcW w:w="2126" w:type="dxa"/>
            <w:vAlign w:val="center"/>
          </w:tcPr>
          <w:p w14:paraId="01516F62" w14:textId="69B187CF" w:rsidR="007C3F29" w:rsidRPr="000540E1" w:rsidRDefault="007C3F29" w:rsidP="001149DE">
            <w:pPr>
              <w:pStyle w:val="tbltext"/>
            </w:pPr>
            <w:r w:rsidRPr="008E2393">
              <w:t>19,000</w:t>
            </w:r>
          </w:p>
        </w:tc>
      </w:tr>
      <w:tr w:rsidR="007C3F29" w:rsidRPr="000540E1" w14:paraId="52FA093E" w14:textId="77777777" w:rsidTr="00B76366">
        <w:trPr>
          <w:cantSplit/>
        </w:trPr>
        <w:tc>
          <w:tcPr>
            <w:tcW w:w="6946" w:type="dxa"/>
            <w:vAlign w:val="center"/>
          </w:tcPr>
          <w:p w14:paraId="03F7A914" w14:textId="5D4176FF" w:rsidR="007C3F29" w:rsidRPr="008E2393" w:rsidRDefault="007C3F29" w:rsidP="007C3F29">
            <w:pPr>
              <w:pStyle w:val="tbltext"/>
            </w:pPr>
            <w:r w:rsidRPr="008E2393">
              <w:t xml:space="preserve">Large </w:t>
            </w:r>
            <w:r>
              <w:t>proprietary</w:t>
            </w:r>
            <w:r w:rsidRPr="008E2393">
              <w:t xml:space="preserve"> companies</w:t>
            </w:r>
          </w:p>
        </w:tc>
        <w:tc>
          <w:tcPr>
            <w:tcW w:w="2126" w:type="dxa"/>
            <w:vAlign w:val="center"/>
          </w:tcPr>
          <w:p w14:paraId="4F1E283A" w14:textId="5AB41040" w:rsidR="007C3F29" w:rsidRPr="000540E1" w:rsidRDefault="007C3F29" w:rsidP="001149DE">
            <w:pPr>
              <w:pStyle w:val="tbltext"/>
            </w:pPr>
            <w:r w:rsidRPr="008E2393">
              <w:t>9,000</w:t>
            </w:r>
          </w:p>
        </w:tc>
      </w:tr>
      <w:tr w:rsidR="007C3F29" w:rsidRPr="000540E1" w14:paraId="6F345D12" w14:textId="77777777" w:rsidTr="00B76366">
        <w:trPr>
          <w:cantSplit/>
        </w:trPr>
        <w:tc>
          <w:tcPr>
            <w:tcW w:w="6946" w:type="dxa"/>
            <w:vAlign w:val="center"/>
          </w:tcPr>
          <w:p w14:paraId="4EACF752" w14:textId="46E37E70" w:rsidR="007C3F29" w:rsidRPr="008E2393" w:rsidRDefault="007C3F29" w:rsidP="007B54F6">
            <w:pPr>
              <w:pStyle w:val="tbltext"/>
            </w:pPr>
            <w:r w:rsidRPr="008E2393">
              <w:t xml:space="preserve">Small </w:t>
            </w:r>
            <w:r>
              <w:t>proprietary</w:t>
            </w:r>
            <w:r w:rsidRPr="008E2393">
              <w:t xml:space="preserve"> companies</w:t>
            </w:r>
          </w:p>
        </w:tc>
        <w:tc>
          <w:tcPr>
            <w:tcW w:w="2126" w:type="dxa"/>
            <w:vAlign w:val="center"/>
          </w:tcPr>
          <w:p w14:paraId="5C98DBC8" w14:textId="48E05159" w:rsidR="007C3F29" w:rsidRPr="000540E1" w:rsidRDefault="007C3F29" w:rsidP="007B54F6">
            <w:pPr>
              <w:pStyle w:val="tbltext"/>
            </w:pPr>
            <w:r w:rsidRPr="008E2393">
              <w:t>2.1 million</w:t>
            </w:r>
          </w:p>
        </w:tc>
      </w:tr>
      <w:tr w:rsidR="007C3F29" w:rsidRPr="000540E1" w14:paraId="1AFE2BC7" w14:textId="77777777" w:rsidTr="00B76366">
        <w:trPr>
          <w:cantSplit/>
        </w:trPr>
        <w:tc>
          <w:tcPr>
            <w:tcW w:w="6946" w:type="dxa"/>
            <w:vAlign w:val="center"/>
          </w:tcPr>
          <w:p w14:paraId="3BE6C780" w14:textId="23E23029" w:rsidR="007C3F29" w:rsidRPr="008E2393" w:rsidRDefault="007C3F29" w:rsidP="007B54F6">
            <w:pPr>
              <w:pStyle w:val="tbltext"/>
            </w:pPr>
            <w:r w:rsidRPr="008E2393">
              <w:t>Registered liquidators</w:t>
            </w:r>
          </w:p>
        </w:tc>
        <w:tc>
          <w:tcPr>
            <w:tcW w:w="2126" w:type="dxa"/>
            <w:vAlign w:val="center"/>
          </w:tcPr>
          <w:p w14:paraId="1F806061" w14:textId="609DA4F6" w:rsidR="007C3F29" w:rsidRPr="000540E1" w:rsidRDefault="007C3F29" w:rsidP="007B54F6">
            <w:pPr>
              <w:pStyle w:val="tbltext"/>
            </w:pPr>
            <w:r w:rsidRPr="008E2393">
              <w:t>710</w:t>
            </w:r>
          </w:p>
        </w:tc>
      </w:tr>
      <w:tr w:rsidR="007C3F29" w:rsidRPr="000540E1" w14:paraId="2856652A" w14:textId="77777777" w:rsidTr="00B76366">
        <w:trPr>
          <w:cantSplit/>
        </w:trPr>
        <w:tc>
          <w:tcPr>
            <w:tcW w:w="6946" w:type="dxa"/>
            <w:vAlign w:val="center"/>
          </w:tcPr>
          <w:p w14:paraId="36007A45" w14:textId="1573C6F7" w:rsidR="007C3F29" w:rsidRPr="008E2393" w:rsidRDefault="007C3F29" w:rsidP="007B54F6">
            <w:pPr>
              <w:pStyle w:val="tbltext"/>
            </w:pPr>
            <w:r w:rsidRPr="008E2393">
              <w:t xml:space="preserve">Authorised audit companies and audit firms that audit publicly listed entities </w:t>
            </w:r>
          </w:p>
        </w:tc>
        <w:tc>
          <w:tcPr>
            <w:tcW w:w="2126" w:type="dxa"/>
            <w:vAlign w:val="center"/>
          </w:tcPr>
          <w:p w14:paraId="4B5F769E" w14:textId="1ACE6535" w:rsidR="007C3F29" w:rsidRPr="000540E1" w:rsidRDefault="007C3F29" w:rsidP="007B54F6">
            <w:pPr>
              <w:pStyle w:val="tbltext"/>
            </w:pPr>
            <w:r w:rsidRPr="008E2393">
              <w:t>125</w:t>
            </w:r>
          </w:p>
        </w:tc>
      </w:tr>
      <w:tr w:rsidR="007C3F29" w:rsidRPr="000540E1" w14:paraId="0820BB0D" w14:textId="77777777" w:rsidTr="00B76366">
        <w:trPr>
          <w:cantSplit/>
          <w:trHeight w:val="58"/>
        </w:trPr>
        <w:tc>
          <w:tcPr>
            <w:tcW w:w="6946" w:type="dxa"/>
            <w:vAlign w:val="center"/>
          </w:tcPr>
          <w:p w14:paraId="4917A921" w14:textId="6AB4A17C" w:rsidR="007C3F29" w:rsidRPr="008E2393" w:rsidRDefault="007C3F29" w:rsidP="007B54F6">
            <w:pPr>
              <w:pStyle w:val="tbltext"/>
            </w:pPr>
            <w:r w:rsidRPr="00DC683E">
              <w:t>Registered company auditors</w:t>
            </w:r>
          </w:p>
        </w:tc>
        <w:tc>
          <w:tcPr>
            <w:tcW w:w="2126" w:type="dxa"/>
            <w:vAlign w:val="center"/>
          </w:tcPr>
          <w:p w14:paraId="2BC03793" w14:textId="7B0D750C" w:rsidR="007C3F29" w:rsidRPr="000540E1" w:rsidRDefault="007C3F29" w:rsidP="007B54F6">
            <w:pPr>
              <w:pStyle w:val="tbltext"/>
            </w:pPr>
            <w:r w:rsidRPr="00DC683E">
              <w:t>4,700</w:t>
            </w:r>
          </w:p>
        </w:tc>
      </w:tr>
    </w:tbl>
    <w:p w14:paraId="22AC7A39" w14:textId="77777777" w:rsidR="0031567F" w:rsidRDefault="0031567F" w:rsidP="0031567F">
      <w:pPr>
        <w:pStyle w:val="SingleParagraph"/>
      </w:pPr>
      <w:bookmarkStart w:id="65" w:name="_Ref463604571"/>
    </w:p>
    <w:p w14:paraId="43B78C23" w14:textId="10CFFC06" w:rsidR="00A64016" w:rsidRDefault="00A64016" w:rsidP="00A64016">
      <w:pPr>
        <w:pStyle w:val="figuretitlefullwidth"/>
      </w:pPr>
      <w:r>
        <w:t xml:space="preserve">Figure </w:t>
      </w:r>
      <w:r w:rsidR="003D3E81">
        <w:fldChar w:fldCharType="begin"/>
      </w:r>
      <w:r w:rsidR="003D3E81">
        <w:instrText xml:space="preserve"> SEQ Figure \* ARABIC </w:instrText>
      </w:r>
      <w:r w:rsidR="003D3E81">
        <w:fldChar w:fldCharType="separate"/>
      </w:r>
      <w:r w:rsidR="00A37D1A">
        <w:rPr>
          <w:noProof/>
        </w:rPr>
        <w:t>5</w:t>
      </w:r>
      <w:r w:rsidR="003D3E81">
        <w:rPr>
          <w:noProof/>
        </w:rPr>
        <w:fldChar w:fldCharType="end"/>
      </w:r>
      <w:bookmarkEnd w:id="65"/>
      <w:r>
        <w:t>:</w:t>
      </w:r>
      <w:r>
        <w:tab/>
        <w:t>Regulatory costs for th</w:t>
      </w:r>
      <w:r w:rsidRPr="00B9767A">
        <w:t>e corporate sector in 2016–17</w:t>
      </w:r>
    </w:p>
    <w:p w14:paraId="2CBE21E7" w14:textId="50A8F8F3" w:rsidR="00A64016" w:rsidRPr="00A64016" w:rsidRDefault="00A64016" w:rsidP="009A1AF7">
      <w:pPr>
        <w:pStyle w:val="figuretext"/>
        <w:jc w:val="center"/>
      </w:pPr>
      <w:r>
        <w:rPr>
          <w:noProof/>
        </w:rPr>
        <w:drawing>
          <wp:inline distT="0" distB="0" distL="0" distR="0" wp14:anchorId="7D635A64" wp14:editId="7E7D2975">
            <wp:extent cx="4320000" cy="1633538"/>
            <wp:effectExtent l="0" t="0" r="4445" b="5080"/>
            <wp:docPr id="188" name="Chart 1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1A8FE4" w14:textId="77777777" w:rsidR="007C3F29" w:rsidRPr="008E2393" w:rsidRDefault="007C3F29" w:rsidP="007C3F29">
      <w:pPr>
        <w:pStyle w:val="Heading2"/>
      </w:pPr>
      <w:bookmarkStart w:id="66" w:name="_Toc463544590"/>
      <w:bookmarkStart w:id="67" w:name="_Toc463595192"/>
      <w:bookmarkStart w:id="68" w:name="_Toc464140303"/>
      <w:bookmarkStart w:id="69" w:name="_Toc466020955"/>
      <w:r w:rsidRPr="008E2393">
        <w:t>Corporations</w:t>
      </w:r>
      <w:bookmarkEnd w:id="66"/>
      <w:bookmarkEnd w:id="67"/>
      <w:bookmarkEnd w:id="68"/>
      <w:bookmarkEnd w:id="69"/>
    </w:p>
    <w:p w14:paraId="5C0F21C7" w14:textId="0D12C675" w:rsidR="007C3F29" w:rsidRPr="008E2393" w:rsidRDefault="007C3F29" w:rsidP="007C3F29">
      <w:pPr>
        <w:pStyle w:val="BodyText"/>
      </w:pPr>
      <w:r w:rsidRPr="008E2393">
        <w:t>ASIC regulates conduct and disclosure by corporations in Australia with a particular focus on corporate governance and corporate transactions (such as</w:t>
      </w:r>
      <w:r w:rsidR="00F425AE">
        <w:t>,</w:t>
      </w:r>
      <w:r w:rsidRPr="008E2393">
        <w:t xml:space="preserve"> fundraising, takeovers and schemes of arrangement) and on financial reporting. </w:t>
      </w:r>
    </w:p>
    <w:p w14:paraId="4B8FA430" w14:textId="0CA85FD9" w:rsidR="007C3F29" w:rsidRDefault="007C3F29" w:rsidP="007C3F29">
      <w:pPr>
        <w:pStyle w:val="BodyText"/>
      </w:pPr>
      <w:r w:rsidRPr="008E2393">
        <w:t xml:space="preserve">ASIC promotes confidence in Australia’s capital markets by taking enforcement action against directors who have breached their duties. </w:t>
      </w:r>
    </w:p>
    <w:p w14:paraId="609A978F" w14:textId="2197D1D2" w:rsidR="007C3F29" w:rsidRPr="008E2393" w:rsidRDefault="007C3F29" w:rsidP="007C3F29">
      <w:pPr>
        <w:pStyle w:val="BodyText"/>
      </w:pPr>
      <w:r>
        <w:t>ASIC</w:t>
      </w:r>
      <w:r w:rsidRPr="008E2393">
        <w:t xml:space="preserve"> may take administrative action to disqualify directors, civil penalty action for declarations that constitute breaches of Corporations legislation and seek civil penalties against directors</w:t>
      </w:r>
      <w:r w:rsidR="00714D0C">
        <w:t xml:space="preserve"> and officers of corporations. </w:t>
      </w:r>
      <w:r w:rsidRPr="008E2393">
        <w:t>In very serious cases</w:t>
      </w:r>
      <w:r>
        <w:t>,</w:t>
      </w:r>
      <w:r w:rsidRPr="008E2393">
        <w:t xml:space="preserve"> </w:t>
      </w:r>
      <w:r>
        <w:t>ASIC</w:t>
      </w:r>
      <w:r w:rsidRPr="008E2393">
        <w:t xml:space="preserve"> will prepare briefs of evidence to the Commonwealth Director of Public Prosecutions (CDPP) for criminal charges. </w:t>
      </w:r>
      <w:r>
        <w:t>ASIC</w:t>
      </w:r>
      <w:r w:rsidRPr="008E2393">
        <w:t xml:space="preserve"> also investigate</w:t>
      </w:r>
      <w:r>
        <w:t>s</w:t>
      </w:r>
      <w:r w:rsidRPr="008E2393">
        <w:t>, and if appropriate, take</w:t>
      </w:r>
      <w:r>
        <w:t>s</w:t>
      </w:r>
      <w:r w:rsidRPr="008E2393">
        <w:t xml:space="preserve"> civil penalty action in relation to breaches of directors</w:t>
      </w:r>
      <w:r>
        <w:t>’</w:t>
      </w:r>
      <w:r w:rsidRPr="008E2393">
        <w:t xml:space="preserve"> obligations resulting in foreign bribery and corruption.</w:t>
      </w:r>
    </w:p>
    <w:p w14:paraId="25B525CA" w14:textId="6A74BB31" w:rsidR="007C3F29" w:rsidRDefault="007C3F29" w:rsidP="007C3F29">
      <w:pPr>
        <w:pStyle w:val="BodyText"/>
      </w:pPr>
      <w:r w:rsidRPr="008E2393">
        <w:t>In 2016</w:t>
      </w:r>
      <w:r>
        <w:t>–</w:t>
      </w:r>
      <w:r w:rsidRPr="008E2393">
        <w:t xml:space="preserve">17, ASIC will continue </w:t>
      </w:r>
      <w:r>
        <w:t xml:space="preserve">its </w:t>
      </w:r>
      <w:r w:rsidRPr="008E2393">
        <w:t xml:space="preserve">focus on reviewing fundraising and control transactions to ensure investors receive accurate, complete and timely information </w:t>
      </w:r>
      <w:r w:rsidR="002D0AB8">
        <w:t xml:space="preserve">so that new investors and existing shareholders can make informed decisions. ASIC will also </w:t>
      </w:r>
      <w:r w:rsidRPr="008E2393">
        <w:t>make interventions as necessary (</w:t>
      </w:r>
      <w:r w:rsidR="00A366D4">
        <w:t xml:space="preserve">for example, </w:t>
      </w:r>
      <w:r w:rsidR="002D0AB8">
        <w:t>by</w:t>
      </w:r>
      <w:r w:rsidRPr="008E2393">
        <w:t xml:space="preserve"> requiring changes to disclosure or a restructure of control transactions). </w:t>
      </w:r>
    </w:p>
    <w:p w14:paraId="31776BE2" w14:textId="01AEE9B5" w:rsidR="007C3F29" w:rsidRPr="008E2393" w:rsidRDefault="007C3F29" w:rsidP="007C3F29">
      <w:pPr>
        <w:pStyle w:val="BodyText"/>
      </w:pPr>
      <w:r>
        <w:t>ASIC</w:t>
      </w:r>
      <w:r w:rsidRPr="008E2393">
        <w:t xml:space="preserve"> will</w:t>
      </w:r>
      <w:r w:rsidR="002D0AB8">
        <w:t xml:space="preserve"> also</w:t>
      </w:r>
      <w:r w:rsidRPr="008E2393">
        <w:t>:</w:t>
      </w:r>
    </w:p>
    <w:p w14:paraId="4D728B1A" w14:textId="6BE9F0C4" w:rsidR="007C3F29" w:rsidRPr="008E2393" w:rsidRDefault="007C3F29" w:rsidP="000B5B80">
      <w:pPr>
        <w:pStyle w:val="subparaa"/>
        <w:ind w:left="1559"/>
      </w:pPr>
      <w:r w:rsidRPr="008E2393">
        <w:t xml:space="preserve">undertake targeted surveillances on </w:t>
      </w:r>
      <w:r w:rsidR="00F011A9">
        <w:t xml:space="preserve">(i) </w:t>
      </w:r>
      <w:r w:rsidRPr="008E2393">
        <w:t xml:space="preserve">the promotion of </w:t>
      </w:r>
      <w:r w:rsidR="002D0AB8">
        <w:t xml:space="preserve">initial public </w:t>
      </w:r>
      <w:r w:rsidRPr="008E2393">
        <w:t>offer</w:t>
      </w:r>
      <w:r w:rsidR="002D0AB8">
        <w:t>ing</w:t>
      </w:r>
      <w:r w:rsidRPr="008E2393">
        <w:t>s by brokers, issuers and advisers, including via social media</w:t>
      </w:r>
      <w:r w:rsidR="00F011A9">
        <w:t xml:space="preserve">, and (ii) </w:t>
      </w:r>
      <w:r w:rsidRPr="008E2393">
        <w:t>practices relating to forward looking statements by mining and resource companies</w:t>
      </w:r>
    </w:p>
    <w:p w14:paraId="3E4F41A8" w14:textId="77777777" w:rsidR="007C3F29" w:rsidRPr="008E2393" w:rsidRDefault="007C3F29" w:rsidP="000B5B80">
      <w:pPr>
        <w:pStyle w:val="subparaa"/>
        <w:ind w:left="1559"/>
      </w:pPr>
      <w:r w:rsidRPr="008E2393">
        <w:t>continue to actively participate in proceedings before the Takeovers Panel</w:t>
      </w:r>
    </w:p>
    <w:p w14:paraId="591904F9" w14:textId="08C68A17" w:rsidR="002D0AB8" w:rsidRDefault="002D0AB8" w:rsidP="000B5B80">
      <w:pPr>
        <w:pStyle w:val="subparaa"/>
        <w:ind w:left="1559"/>
      </w:pPr>
      <w:r>
        <w:t xml:space="preserve">promote better </w:t>
      </w:r>
      <w:r w:rsidR="007C3F29" w:rsidRPr="008E2393">
        <w:t>corporate governance practices, and the behaviour of companies and their officers</w:t>
      </w:r>
    </w:p>
    <w:p w14:paraId="2402E588" w14:textId="563C2D17" w:rsidR="00BF6103" w:rsidRPr="009A1AF7" w:rsidRDefault="002D0AB8" w:rsidP="009A1AF7">
      <w:pPr>
        <w:pStyle w:val="subparaa"/>
        <w:ind w:left="1559"/>
        <w:rPr>
          <w:color w:val="000000"/>
        </w:rPr>
      </w:pPr>
      <w:r>
        <w:t xml:space="preserve">publish a report on the risks arising from the growth in market issuers with substantial assets or operations in emerging economies. </w:t>
      </w:r>
    </w:p>
    <w:p w14:paraId="2A8D2B63" w14:textId="0A777652" w:rsidR="002D0AB8" w:rsidRPr="008E2393" w:rsidRDefault="007C3F29" w:rsidP="002D0AB8">
      <w:pPr>
        <w:pStyle w:val="BodyText"/>
      </w:pPr>
      <w:r w:rsidRPr="008E2393">
        <w:rPr>
          <w:color w:val="000000"/>
        </w:rPr>
        <w:t>ASIC will have a continuing focus on healthy capital markets. This work</w:t>
      </w:r>
      <w:r w:rsidRPr="008E2393" w:rsidDel="006D0216">
        <w:rPr>
          <w:color w:val="000000"/>
        </w:rPr>
        <w:t xml:space="preserve"> </w:t>
      </w:r>
      <w:r w:rsidRPr="008E2393">
        <w:t xml:space="preserve">will include examining retail and institutional investor decision-making in fundraising (utilising behavioural economics insights) and examining the causes of corporate failure. </w:t>
      </w:r>
      <w:r>
        <w:t xml:space="preserve">ASIC </w:t>
      </w:r>
      <w:r w:rsidRPr="008E2393">
        <w:t xml:space="preserve">will incorporate the findings from </w:t>
      </w:r>
      <w:r>
        <w:t>ASIC’s</w:t>
      </w:r>
      <w:r w:rsidRPr="008E2393">
        <w:t xml:space="preserve"> various surveillances as part of this work. </w:t>
      </w:r>
    </w:p>
    <w:p w14:paraId="58C73990" w14:textId="49BA64B4" w:rsidR="007C3F29" w:rsidRDefault="007C3F29" w:rsidP="002D0AB8">
      <w:pPr>
        <w:pStyle w:val="BodyText"/>
      </w:pPr>
      <w:r w:rsidRPr="008E2393">
        <w:t xml:space="preserve">ASIC will continue to focus on improving the quality of financial reporting. </w:t>
      </w:r>
      <w:r>
        <w:t>ASIC</w:t>
      </w:r>
      <w:r w:rsidR="0003187F">
        <w:t>’</w:t>
      </w:r>
      <w:r>
        <w:t>s</w:t>
      </w:r>
      <w:r w:rsidRPr="008E2393">
        <w:t xml:space="preserve"> activities will include proactive and reactive surveillances of financial reports of listed and other public entities.</w:t>
      </w:r>
      <w:r w:rsidR="002D0AB8">
        <w:t xml:space="preserve"> </w:t>
      </w:r>
      <w:r w:rsidRPr="008E2393">
        <w:t>ASIC will also encourage entities to work towards addressing the complexity and accessibility of financial reporting information</w:t>
      </w:r>
      <w:r w:rsidR="00F425AE">
        <w:t>,</w:t>
      </w:r>
      <w:r w:rsidRPr="008E2393">
        <w:t xml:space="preserve"> </w:t>
      </w:r>
      <w:r>
        <w:t xml:space="preserve">including </w:t>
      </w:r>
      <w:r w:rsidRPr="008E2393">
        <w:t>by</w:t>
      </w:r>
      <w:r>
        <w:t xml:space="preserve"> promoting the use of digital financial reporting. </w:t>
      </w:r>
    </w:p>
    <w:p w14:paraId="404373BB" w14:textId="2C786BA3" w:rsidR="002D0AB8" w:rsidRPr="008E2393" w:rsidRDefault="002D0AB8" w:rsidP="002D0AB8">
      <w:pPr>
        <w:pStyle w:val="BodyText"/>
      </w:pPr>
      <w:r>
        <w:t xml:space="preserve">In 2016–17, ASIC will also contribute to reforms </w:t>
      </w:r>
      <w:r w:rsidR="007739FE">
        <w:t>on crowd-sourced</w:t>
      </w:r>
      <w:r w:rsidR="00F011A9">
        <w:t xml:space="preserve"> funding, the Government’s innovation agenda (directors’ duties</w:t>
      </w:r>
      <w:r w:rsidR="00351338">
        <w:t xml:space="preserve"> and insolvency</w:t>
      </w:r>
      <w:r w:rsidR="00F011A9">
        <w:t>) and employee incentive schemes.</w:t>
      </w:r>
    </w:p>
    <w:p w14:paraId="6DF8227A" w14:textId="77777777" w:rsidR="007C3F29" w:rsidRPr="008E2393" w:rsidRDefault="007C3F29" w:rsidP="007C3F29">
      <w:pPr>
        <w:pStyle w:val="Heading2"/>
      </w:pPr>
      <w:bookmarkStart w:id="70" w:name="_Toc463544591"/>
      <w:bookmarkStart w:id="71" w:name="_Toc463595193"/>
      <w:bookmarkStart w:id="72" w:name="_Toc464140304"/>
      <w:bookmarkStart w:id="73" w:name="_Toc466020956"/>
      <w:r w:rsidRPr="008E2393">
        <w:t>Company auditors</w:t>
      </w:r>
      <w:bookmarkEnd w:id="70"/>
      <w:bookmarkEnd w:id="71"/>
      <w:bookmarkEnd w:id="72"/>
      <w:bookmarkEnd w:id="73"/>
    </w:p>
    <w:p w14:paraId="7C3B388D" w14:textId="5317566F" w:rsidR="007C3F29" w:rsidRPr="008E2393" w:rsidRDefault="007C3F29" w:rsidP="007C3F29">
      <w:pPr>
        <w:pStyle w:val="BodyText"/>
      </w:pPr>
      <w:r w:rsidRPr="008E2393">
        <w:t xml:space="preserve">The regulation of auditors supports the operation of Australia’s financial markets by ensuring that data provided to the market by companies is credible and independently verifiable. This is reflected in ASIC’s ongoing focus on improving audit quality and the consistency of audit execution. </w:t>
      </w:r>
    </w:p>
    <w:p w14:paraId="110C8A1C" w14:textId="285E01E0" w:rsidR="007C3F29" w:rsidRDefault="007C3F29" w:rsidP="00F011A9">
      <w:pPr>
        <w:pStyle w:val="BodyText"/>
      </w:pPr>
      <w:r w:rsidRPr="00452353">
        <w:t xml:space="preserve">ASIC also undertakes risk-based reviews of auditors and takes action when the law is breached. </w:t>
      </w:r>
      <w:r w:rsidRPr="008E2393">
        <w:t xml:space="preserve">Where breaches of accounting and audit standards and Corporations legislation are identified </w:t>
      </w:r>
      <w:r>
        <w:t>ASIC will</w:t>
      </w:r>
      <w:r w:rsidRPr="008E2393">
        <w:t xml:space="preserve"> investigate and, if appropriate, take action to suspend or cancel the </w:t>
      </w:r>
      <w:r w:rsidRPr="008E2393" w:rsidDel="00010875">
        <w:t xml:space="preserve">registration </w:t>
      </w:r>
      <w:r w:rsidRPr="008E2393">
        <w:t xml:space="preserve">of the auditor or suspend them from </w:t>
      </w:r>
      <w:r w:rsidR="00F425AE" w:rsidRPr="008E2393">
        <w:t>practi</w:t>
      </w:r>
      <w:r w:rsidR="00F425AE">
        <w:t>s</w:t>
      </w:r>
      <w:r w:rsidR="00F425AE" w:rsidRPr="008E2393">
        <w:t>ing</w:t>
      </w:r>
      <w:r w:rsidRPr="008E2393">
        <w:t xml:space="preserve">. </w:t>
      </w:r>
    </w:p>
    <w:p w14:paraId="291B1A28" w14:textId="77777777" w:rsidR="007C3F29" w:rsidRPr="008E2393" w:rsidRDefault="007C3F29" w:rsidP="007C3F29">
      <w:pPr>
        <w:pStyle w:val="BodyText"/>
      </w:pPr>
      <w:r w:rsidRPr="008E2393">
        <w:t xml:space="preserve">Auditors who fail in their obligations to </w:t>
      </w:r>
      <w:r>
        <w:t xml:space="preserve">give qualified opinions on deficient financial reports and </w:t>
      </w:r>
      <w:r w:rsidRPr="008E2393">
        <w:t xml:space="preserve">notify ASIC of improper accounts or practices and who otherwise fail to conduct audits in accordance with appropriate standards may be the subject of administrative action through the Company Auditors and Liquidators </w:t>
      </w:r>
      <w:r>
        <w:t xml:space="preserve">Disciplinary </w:t>
      </w:r>
      <w:r w:rsidRPr="008E2393">
        <w:t>Board</w:t>
      </w:r>
      <w:r>
        <w:t xml:space="preserve"> (CALDB)</w:t>
      </w:r>
      <w:r w:rsidRPr="008E2393">
        <w:t xml:space="preserve">. </w:t>
      </w:r>
    </w:p>
    <w:p w14:paraId="697D4734" w14:textId="77EBE7C9" w:rsidR="007C3F29" w:rsidRPr="0003187F" w:rsidRDefault="007C3F29" w:rsidP="007C3F29">
      <w:pPr>
        <w:pStyle w:val="BodyText"/>
      </w:pPr>
      <w:r w:rsidRPr="008E2393">
        <w:t>In 2016</w:t>
      </w:r>
      <w:r>
        <w:t>–</w:t>
      </w:r>
      <w:r w:rsidRPr="008E2393" w:rsidDel="00010875">
        <w:t xml:space="preserve">17, </w:t>
      </w:r>
      <w:r w:rsidRPr="008E2393">
        <w:t>ASIC will continue to foc</w:t>
      </w:r>
      <w:r w:rsidR="00714D0C">
        <w:t xml:space="preserve">us on improving audit quality. </w:t>
      </w:r>
      <w:r>
        <w:t>ASIC</w:t>
      </w:r>
      <w:r w:rsidR="0003187F">
        <w:t>’</w:t>
      </w:r>
      <w:r>
        <w:t xml:space="preserve">s </w:t>
      </w:r>
      <w:r w:rsidRPr="008E2393">
        <w:t>activities will include:</w:t>
      </w:r>
    </w:p>
    <w:p w14:paraId="062173EE" w14:textId="77777777" w:rsidR="007C3F29" w:rsidRPr="008E2393" w:rsidRDefault="007C3F29" w:rsidP="005E2294">
      <w:pPr>
        <w:pStyle w:val="subparaa"/>
        <w:tabs>
          <w:tab w:val="clear" w:pos="2693"/>
          <w:tab w:val="num" w:pos="1560"/>
        </w:tabs>
        <w:ind w:left="1559"/>
      </w:pPr>
      <w:r w:rsidRPr="008E2393">
        <w:t xml:space="preserve">proactive and reactive surveillances of audit quality </w:t>
      </w:r>
    </w:p>
    <w:p w14:paraId="4C69235D" w14:textId="77777777" w:rsidR="007C3F29" w:rsidRPr="008E2393" w:rsidRDefault="007C3F29" w:rsidP="005E2294">
      <w:pPr>
        <w:pStyle w:val="subparaa"/>
        <w:tabs>
          <w:tab w:val="clear" w:pos="2693"/>
          <w:tab w:val="num" w:pos="1560"/>
        </w:tabs>
        <w:ind w:left="1559"/>
      </w:pPr>
      <w:r w:rsidRPr="008E2393">
        <w:t>monitoring the quality review programmes of the largest four audit firms</w:t>
      </w:r>
    </w:p>
    <w:p w14:paraId="787E7F92" w14:textId="77777777" w:rsidR="007C3F29" w:rsidRPr="008E2393" w:rsidRDefault="007C3F29" w:rsidP="005E2294">
      <w:pPr>
        <w:pStyle w:val="subparaa"/>
        <w:tabs>
          <w:tab w:val="clear" w:pos="2693"/>
          <w:tab w:val="num" w:pos="1560"/>
        </w:tabs>
        <w:ind w:left="1559"/>
      </w:pPr>
      <w:r w:rsidRPr="008E2393">
        <w:t xml:space="preserve">working domestically and with other regulators internationally to improve audit quality through discussions with auditors about root causes of audit issues and auditor action plans, education and guidance, and </w:t>
      </w:r>
      <w:r>
        <w:t>promoting improvements in</w:t>
      </w:r>
      <w:r w:rsidRPr="008E2393">
        <w:t xml:space="preserve"> auditing standards</w:t>
      </w:r>
    </w:p>
    <w:p w14:paraId="27F10D9C" w14:textId="77777777" w:rsidR="007C3F29" w:rsidRPr="005E2294" w:rsidRDefault="007C3F29" w:rsidP="005E2294">
      <w:pPr>
        <w:pStyle w:val="subparaa"/>
        <w:tabs>
          <w:tab w:val="clear" w:pos="2693"/>
          <w:tab w:val="num" w:pos="1560"/>
        </w:tabs>
        <w:ind w:left="1559"/>
      </w:pPr>
      <w:r w:rsidRPr="005E2294">
        <w:t xml:space="preserve">liaising with other stakeholders such as standard setters, accounting bodies, audit committee chairs and </w:t>
      </w:r>
      <w:r w:rsidRPr="005E2294" w:rsidDel="00010875">
        <w:t>academics</w:t>
      </w:r>
    </w:p>
    <w:p w14:paraId="376850B1" w14:textId="0DE57962" w:rsidR="00F011A9" w:rsidRPr="005E2294" w:rsidRDefault="007C3F29" w:rsidP="005E2294">
      <w:pPr>
        <w:pStyle w:val="subparaa"/>
        <w:tabs>
          <w:tab w:val="clear" w:pos="2693"/>
          <w:tab w:val="num" w:pos="1560"/>
        </w:tabs>
        <w:ind w:left="1559"/>
      </w:pPr>
      <w:r w:rsidRPr="005E2294">
        <w:t>taking appropriate enforcement action.</w:t>
      </w:r>
    </w:p>
    <w:p w14:paraId="5AD65BE3" w14:textId="77777777" w:rsidR="007C3F29" w:rsidRPr="008E2393" w:rsidRDefault="007C3F29" w:rsidP="007C3F29">
      <w:pPr>
        <w:pStyle w:val="Heading2"/>
      </w:pPr>
      <w:bookmarkStart w:id="74" w:name="_Toc463544592"/>
      <w:bookmarkStart w:id="75" w:name="_Toc463595194"/>
      <w:bookmarkStart w:id="76" w:name="_Toc464140305"/>
      <w:bookmarkStart w:id="77" w:name="_Toc466020957"/>
      <w:r w:rsidRPr="008E2393">
        <w:t>Registered liquidators</w:t>
      </w:r>
      <w:bookmarkEnd w:id="74"/>
      <w:bookmarkEnd w:id="75"/>
      <w:bookmarkEnd w:id="76"/>
      <w:bookmarkEnd w:id="77"/>
    </w:p>
    <w:p w14:paraId="6C8FEA28" w14:textId="4BBED716" w:rsidR="007C3F29" w:rsidRPr="008E2393" w:rsidRDefault="007C3F29" w:rsidP="007C3F29">
      <w:pPr>
        <w:pStyle w:val="BodyText"/>
      </w:pPr>
      <w:r w:rsidRPr="008E2393">
        <w:t>Registered liquidators are gatekeepers in the financial system.</w:t>
      </w:r>
      <w:r w:rsidRPr="008E2393" w:rsidDel="00AF76D9">
        <w:t xml:space="preserve"> </w:t>
      </w:r>
      <w:r w:rsidRPr="008E2393">
        <w:t xml:space="preserve">Regulation works to ensure that liquidators fulfil their role as a fiduciary </w:t>
      </w:r>
      <w:r w:rsidRPr="008E2393" w:rsidDel="00010875">
        <w:t>diligently,</w:t>
      </w:r>
      <w:r w:rsidRPr="008E2393">
        <w:t xml:space="preserve"> </w:t>
      </w:r>
      <w:r>
        <w:t>independently</w:t>
      </w:r>
      <w:r w:rsidRPr="008E2393">
        <w:t xml:space="preserve"> and with the creditors</w:t>
      </w:r>
      <w:r w:rsidR="0003187F">
        <w:t>’</w:t>
      </w:r>
      <w:r w:rsidRPr="008E2393">
        <w:t xml:space="preserve"> interests central to their actions. Consequently, ASIC focuses on independence</w:t>
      </w:r>
      <w:r>
        <w:t>,</w:t>
      </w:r>
      <w:r w:rsidRPr="008E2393">
        <w:t xml:space="preserve"> competence, and ensuring that liquidators do not improperly gain from their appointments. </w:t>
      </w:r>
    </w:p>
    <w:p w14:paraId="6816E070" w14:textId="77777777" w:rsidR="007C3F29" w:rsidRDefault="007C3F29" w:rsidP="007C3F29">
      <w:pPr>
        <w:pStyle w:val="BodyText"/>
      </w:pPr>
      <w:r>
        <w:t>To achieve this, ASIC will:</w:t>
      </w:r>
    </w:p>
    <w:p w14:paraId="50AD15B5" w14:textId="3AF19F4A" w:rsidR="007C3F29" w:rsidRDefault="007C3F29" w:rsidP="005E2294">
      <w:pPr>
        <w:pStyle w:val="subparaa"/>
        <w:tabs>
          <w:tab w:val="clear" w:pos="2693"/>
          <w:tab w:val="num" w:pos="1560"/>
        </w:tabs>
        <w:ind w:left="1559"/>
      </w:pPr>
      <w:r w:rsidRPr="008E2393">
        <w:t>undertak</w:t>
      </w:r>
      <w:r>
        <w:t>e</w:t>
      </w:r>
      <w:r w:rsidRPr="008E2393" w:rsidDel="00156176">
        <w:t xml:space="preserve"> </w:t>
      </w:r>
      <w:r w:rsidRPr="008E2393">
        <w:t>proactive risk-based and reactive surveillances and, where</w:t>
      </w:r>
      <w:r>
        <w:t xml:space="preserve"> they identify</w:t>
      </w:r>
      <w:r w:rsidRPr="00452353">
        <w:t xml:space="preserve"> </w:t>
      </w:r>
      <w:r w:rsidRPr="008E2393">
        <w:t xml:space="preserve">breaches of </w:t>
      </w:r>
      <w:r>
        <w:t>Corporations legislation and/or</w:t>
      </w:r>
      <w:r w:rsidRPr="008E2393">
        <w:t xml:space="preserve"> professional standards</w:t>
      </w:r>
      <w:r>
        <w:t>, take</w:t>
      </w:r>
      <w:r w:rsidRPr="008E2393">
        <w:t xml:space="preserve"> appropriate action which may result in suspension or cancellation of their registration as liquidators. Administrative action is available in the</w:t>
      </w:r>
      <w:r>
        <w:t xml:space="preserve"> CALDB</w:t>
      </w:r>
      <w:r w:rsidRPr="008E2393">
        <w:t xml:space="preserve">, or in a superior court. The </w:t>
      </w:r>
      <w:r w:rsidR="00F425AE">
        <w:t>c</w:t>
      </w:r>
      <w:r w:rsidRPr="008E2393">
        <w:t xml:space="preserve">ourts may make orders for compensation to companies or </w:t>
      </w:r>
      <w:r w:rsidRPr="008E2393" w:rsidDel="00010875">
        <w:t>creditors</w:t>
      </w:r>
      <w:r w:rsidRPr="008E2393">
        <w:t xml:space="preserve">. In </w:t>
      </w:r>
      <w:r>
        <w:t xml:space="preserve">the more egregious </w:t>
      </w:r>
      <w:r w:rsidRPr="008E2393">
        <w:t>cases</w:t>
      </w:r>
      <w:r>
        <w:t>,</w:t>
      </w:r>
      <w:r w:rsidRPr="008E2393">
        <w:t xml:space="preserve"> </w:t>
      </w:r>
      <w:r>
        <w:t>criminal</w:t>
      </w:r>
      <w:r w:rsidRPr="008E2393">
        <w:t xml:space="preserve"> conduct will be the subject of a brief to the CDPP</w:t>
      </w:r>
    </w:p>
    <w:p w14:paraId="1B26A59C" w14:textId="77777777" w:rsidR="007C3F29" w:rsidRDefault="007C3F29" w:rsidP="005E2294">
      <w:pPr>
        <w:pStyle w:val="subparaa"/>
        <w:tabs>
          <w:tab w:val="clear" w:pos="2693"/>
          <w:tab w:val="num" w:pos="1560"/>
        </w:tabs>
        <w:ind w:left="1559"/>
      </w:pPr>
      <w:r>
        <w:t>undertake project-based work aimed at improving an aspect of registered liquidator conduct</w:t>
      </w:r>
    </w:p>
    <w:p w14:paraId="34AC17E1" w14:textId="1BD22049" w:rsidR="007C3F29" w:rsidRDefault="007C3F29" w:rsidP="005E2294">
      <w:pPr>
        <w:pStyle w:val="subparaa"/>
        <w:tabs>
          <w:tab w:val="clear" w:pos="2693"/>
          <w:tab w:val="num" w:pos="1560"/>
        </w:tabs>
        <w:ind w:left="1559"/>
      </w:pPr>
      <w:r>
        <w:t>educate and guide registered liquidators on ASIC’s expectations concerning specific issues and behaviours</w:t>
      </w:r>
    </w:p>
    <w:p w14:paraId="491CF425" w14:textId="4B960894" w:rsidR="007C3F29" w:rsidRPr="008E2393" w:rsidRDefault="007C3F29" w:rsidP="005E2294">
      <w:pPr>
        <w:pStyle w:val="subparaa"/>
        <w:tabs>
          <w:tab w:val="clear" w:pos="2693"/>
          <w:tab w:val="num" w:pos="1560"/>
        </w:tabs>
        <w:ind w:left="1559"/>
      </w:pPr>
      <w:r>
        <w:t>liaise with stakeholders including other go</w:t>
      </w:r>
      <w:r w:rsidR="00714D0C">
        <w:t>vernment agencies and industry.</w:t>
      </w:r>
    </w:p>
    <w:p w14:paraId="76CF0E5F" w14:textId="434DE7BF" w:rsidR="007C3F29" w:rsidRPr="008E2393" w:rsidRDefault="007C3F29" w:rsidP="007C3F29">
      <w:pPr>
        <w:pStyle w:val="BodyText"/>
      </w:pPr>
      <w:r w:rsidRPr="008E2393">
        <w:t>In 2016</w:t>
      </w:r>
      <w:r>
        <w:t>–</w:t>
      </w:r>
      <w:r w:rsidRPr="008E2393">
        <w:t xml:space="preserve">17, ASIC will continue </w:t>
      </w:r>
      <w:r>
        <w:t>directing its</w:t>
      </w:r>
      <w:r w:rsidRPr="008E2393">
        <w:t xml:space="preserve"> surveillance activities towards higher risk practitioners and will continue </w:t>
      </w:r>
      <w:r>
        <w:t>its</w:t>
      </w:r>
      <w:r w:rsidRPr="008E2393">
        <w:t xml:space="preserve"> focus on the areas of independence,</w:t>
      </w:r>
      <w:r w:rsidR="00714D0C">
        <w:t xml:space="preserve"> competence and improper gain.</w:t>
      </w:r>
    </w:p>
    <w:p w14:paraId="0067580A" w14:textId="77777777" w:rsidR="007C3F29" w:rsidRPr="008E2393" w:rsidRDefault="007C3F29" w:rsidP="007C3F29">
      <w:pPr>
        <w:pStyle w:val="BodyText"/>
      </w:pPr>
      <w:r w:rsidRPr="008E2393">
        <w:t xml:space="preserve">ASIC will continue </w:t>
      </w:r>
      <w:r>
        <w:t xml:space="preserve">with </w:t>
      </w:r>
      <w:r w:rsidRPr="008E2393">
        <w:t>reactive surveillances to respond to reports of misconduct</w:t>
      </w:r>
      <w:r>
        <w:t xml:space="preserve"> about registered liquidators</w:t>
      </w:r>
      <w:r w:rsidRPr="008E2393">
        <w:t>;</w:t>
      </w:r>
      <w:r w:rsidRPr="008E2393" w:rsidDel="00AF76D9">
        <w:t xml:space="preserve"> </w:t>
      </w:r>
      <w:r w:rsidRPr="008E2393">
        <w:t>focusing on independence and the adequacy of disclosure in declarations of relevant relationships, remuneration disclosure and disrupting the activ</w:t>
      </w:r>
      <w:r>
        <w:t>ities</w:t>
      </w:r>
      <w:r w:rsidRPr="008E2393">
        <w:t xml:space="preserve"> of professional facilitators (including pre-insolvency advisers).</w:t>
      </w:r>
    </w:p>
    <w:p w14:paraId="17A91EF9" w14:textId="77777777" w:rsidR="007C3F29" w:rsidRPr="008E2393" w:rsidRDefault="007C3F29" w:rsidP="007C3F29">
      <w:pPr>
        <w:pStyle w:val="BodyText"/>
      </w:pPr>
      <w:r w:rsidRPr="008E2393">
        <w:t>In 2016</w:t>
      </w:r>
      <w:r>
        <w:t>–</w:t>
      </w:r>
      <w:r w:rsidRPr="008E2393">
        <w:t>17, ASIC will</w:t>
      </w:r>
      <w:r>
        <w:t xml:space="preserve"> also</w:t>
      </w:r>
      <w:r w:rsidRPr="008E2393">
        <w:t xml:space="preserve">: </w:t>
      </w:r>
    </w:p>
    <w:p w14:paraId="4E15F7CC" w14:textId="77777777" w:rsidR="007C3F29" w:rsidRPr="008E2393" w:rsidRDefault="007C3F29" w:rsidP="005E2294">
      <w:pPr>
        <w:pStyle w:val="subparaa"/>
        <w:tabs>
          <w:tab w:val="clear" w:pos="2693"/>
          <w:tab w:val="num" w:pos="1560"/>
        </w:tabs>
        <w:ind w:left="1559"/>
      </w:pPr>
      <w:r w:rsidRPr="008E2393">
        <w:t>continue current risk-based projects focused on the independence and remuneration of registered liquidators</w:t>
      </w:r>
    </w:p>
    <w:p w14:paraId="3BD01DF0" w14:textId="0B46A7AB" w:rsidR="007C3F29" w:rsidRPr="008E2393" w:rsidRDefault="007C3F29" w:rsidP="005E2294">
      <w:pPr>
        <w:pStyle w:val="subparaa"/>
        <w:tabs>
          <w:tab w:val="clear" w:pos="2693"/>
          <w:tab w:val="num" w:pos="1560"/>
        </w:tabs>
        <w:ind w:left="1559"/>
      </w:pPr>
      <w:r w:rsidRPr="008E2393">
        <w:t xml:space="preserve">continue </w:t>
      </w:r>
      <w:r>
        <w:t xml:space="preserve">its </w:t>
      </w:r>
      <w:r w:rsidRPr="008E2393">
        <w:t>project assessing registered liquidator compliance with lodging certain documents with ASIC and publishing various notices on the Published Notices Website</w:t>
      </w:r>
      <w:r>
        <w:t xml:space="preserve"> (and</w:t>
      </w:r>
      <w:r w:rsidRPr="008E2393">
        <w:t xml:space="preserve"> address</w:t>
      </w:r>
      <w:r>
        <w:t>ing</w:t>
      </w:r>
      <w:r w:rsidRPr="008E2393">
        <w:t xml:space="preserve"> any systemic non-compliance identified</w:t>
      </w:r>
      <w:r>
        <w:t>)</w:t>
      </w:r>
      <w:r w:rsidR="00714D0C">
        <w:t>.</w:t>
      </w:r>
    </w:p>
    <w:p w14:paraId="67610D30" w14:textId="32520657" w:rsidR="00BE1313" w:rsidRDefault="00F65426" w:rsidP="00BE1313">
      <w:pPr>
        <w:pStyle w:val="Heading2"/>
      </w:pPr>
      <w:bookmarkStart w:id="78" w:name="_Toc463544593"/>
      <w:bookmarkStart w:id="79" w:name="_Toc463595195"/>
      <w:bookmarkStart w:id="80" w:name="_Toc464140306"/>
      <w:bookmarkStart w:id="81" w:name="_Toc466020958"/>
      <w:r>
        <w:t>Proposed l</w:t>
      </w:r>
      <w:r w:rsidR="007C3F29" w:rsidRPr="008E2393">
        <w:t>evy methodologies</w:t>
      </w:r>
      <w:bookmarkEnd w:id="78"/>
      <w:bookmarkEnd w:id="79"/>
      <w:bookmarkEnd w:id="80"/>
      <w:bookmarkEnd w:id="81"/>
      <w:r w:rsidR="007C3F29" w:rsidRPr="008E2393">
        <w:t xml:space="preserve"> </w:t>
      </w:r>
    </w:p>
    <w:p w14:paraId="7ABF0347" w14:textId="1143EB05" w:rsidR="007C3F29" w:rsidRPr="00D319B2" w:rsidRDefault="007C3F29" w:rsidP="00BE1313">
      <w:pPr>
        <w:pStyle w:val="Heading3"/>
      </w:pPr>
      <w:r w:rsidRPr="00D319B2">
        <w:t>Companies</w:t>
      </w:r>
    </w:p>
    <w:p w14:paraId="0CEDC471" w14:textId="5278F290" w:rsidR="007C3F29" w:rsidRDefault="007C3F29" w:rsidP="007C3F29">
      <w:pPr>
        <w:pStyle w:val="BodyText"/>
      </w:pPr>
      <w:r w:rsidRPr="008E2393">
        <w:t xml:space="preserve">A company’s obligations under the Corporations Act, the activities that ASIC carries out and the intensity of the regulation required, will differ for each type of company. </w:t>
      </w:r>
    </w:p>
    <w:p w14:paraId="1895CA17" w14:textId="2B802DBD" w:rsidR="007C3F29" w:rsidRPr="008E2393" w:rsidRDefault="007C3F29" w:rsidP="007C3F29">
      <w:pPr>
        <w:pStyle w:val="BodyText"/>
      </w:pPr>
      <w:r w:rsidRPr="008E2393">
        <w:t xml:space="preserve">The level of supervision depends on the scale of potential harm to investors or consumers and the impact on the integrity and reputation of Australian financial markets. For example, ASIC dedicates a significantly large amount of </w:t>
      </w:r>
      <w:r>
        <w:t xml:space="preserve">regulatory effort to </w:t>
      </w:r>
      <w:r w:rsidRPr="008E2393">
        <w:t xml:space="preserve">publicly listed, disclosing entities </w:t>
      </w:r>
      <w:r>
        <w:t xml:space="preserve">compared with </w:t>
      </w:r>
      <w:r w:rsidRPr="008E2393">
        <w:t xml:space="preserve">small proprietary companies, as publicly listed, disclosing entities have the potential to cause greater harm to investors and the reputation of Australia’s financial markets. </w:t>
      </w:r>
    </w:p>
    <w:p w14:paraId="4576A02F" w14:textId="777A7D8D" w:rsidR="007C3F29" w:rsidRPr="008E2393" w:rsidRDefault="007C3F29" w:rsidP="00BE1313">
      <w:pPr>
        <w:pStyle w:val="Heading4"/>
      </w:pPr>
      <w:r w:rsidRPr="008E2393">
        <w:t>Public</w:t>
      </w:r>
      <w:r w:rsidR="00F425AE">
        <w:t>ly</w:t>
      </w:r>
      <w:r w:rsidRPr="008E2393">
        <w:t xml:space="preserve"> listed, disclosing companies</w:t>
      </w:r>
    </w:p>
    <w:p w14:paraId="72EBFE04" w14:textId="5D9AAF62" w:rsidR="007C3F29" w:rsidRPr="008E2393" w:rsidRDefault="000676D6" w:rsidP="007C3F29">
      <w:pPr>
        <w:pStyle w:val="BodyText"/>
      </w:pPr>
      <w:bookmarkStart w:id="82" w:name="_ASICRef760"/>
      <w:bookmarkStart w:id="83" w:name="_ASICRef814"/>
      <w:r>
        <w:t xml:space="preserve">ASIC proposes that the </w:t>
      </w:r>
      <w:r w:rsidR="007C3F29" w:rsidRPr="008E2393">
        <w:t>levy payable by public</w:t>
      </w:r>
      <w:r w:rsidR="00F425AE">
        <w:t>ly</w:t>
      </w:r>
      <w:r w:rsidR="007C3F29" w:rsidRPr="008E2393">
        <w:t xml:space="preserve"> listed, disclosing companies will be based on their market capitalisation as at 30</w:t>
      </w:r>
      <w:r w:rsidR="007C3F29">
        <w:t xml:space="preserve"> </w:t>
      </w:r>
      <w:r w:rsidR="007C3F29" w:rsidRPr="008E2393">
        <w:t xml:space="preserve">June </w:t>
      </w:r>
      <w:r w:rsidR="007C3F29">
        <w:t xml:space="preserve">of the </w:t>
      </w:r>
      <w:r w:rsidR="007C3F29" w:rsidRPr="008E2393">
        <w:t xml:space="preserve">financial year. </w:t>
      </w:r>
      <w:r w:rsidR="00D71A56">
        <w:t xml:space="preserve">The proposed levy will apply to all companies (and stapled </w:t>
      </w:r>
      <w:r w:rsidR="00572A96">
        <w:t>entities</w:t>
      </w:r>
      <w:r w:rsidR="00D71A56">
        <w:t xml:space="preserve">) listed on domestic exchanges, including foreign </w:t>
      </w:r>
      <w:r w:rsidR="008A6690">
        <w:t>companies</w:t>
      </w:r>
      <w:r w:rsidR="00D71A56">
        <w:t xml:space="preserve">. </w:t>
      </w:r>
      <w:r w:rsidR="007C3F29" w:rsidRPr="008E2393">
        <w:t xml:space="preserve">Market capitalisation will only include market capitalisation of listed </w:t>
      </w:r>
      <w:r w:rsidR="007C3F29">
        <w:t>companies</w:t>
      </w:r>
      <w:r w:rsidR="007C3F29" w:rsidRPr="008E2393">
        <w:t xml:space="preserve"> </w:t>
      </w:r>
      <w:r w:rsidR="00572A96">
        <w:t xml:space="preserve">(and stapled entities) </w:t>
      </w:r>
      <w:r w:rsidR="007C3F29" w:rsidRPr="008E2393">
        <w:t>on domestic exchanges.</w:t>
      </w:r>
      <w:r w:rsidR="006B0C84">
        <w:t xml:space="preserve"> </w:t>
      </w:r>
      <w:r w:rsidR="008A6690">
        <w:t xml:space="preserve">In future, </w:t>
      </w:r>
      <w:r w:rsidR="006E7642">
        <w:t xml:space="preserve">ASIC may also consider whether to introduce </w:t>
      </w:r>
      <w:r w:rsidR="00573DA9" w:rsidRPr="00B25C34">
        <w:t xml:space="preserve">a </w:t>
      </w:r>
      <w:r w:rsidR="00573DA9">
        <w:t xml:space="preserve">separate </w:t>
      </w:r>
      <w:r w:rsidR="00573DA9" w:rsidRPr="00B25C34">
        <w:t>levy for</w:t>
      </w:r>
      <w:r w:rsidR="00573DA9">
        <w:t xml:space="preserve"> </w:t>
      </w:r>
      <w:r w:rsidR="006E7642">
        <w:t>stapled securities and foreign exempt listings</w:t>
      </w:r>
      <w:r w:rsidR="00573DA9" w:rsidRPr="00B25C34">
        <w:t>.</w:t>
      </w:r>
      <w:r w:rsidR="00573DA9">
        <w:t xml:space="preserve"> </w:t>
      </w:r>
      <w:bookmarkEnd w:id="82"/>
      <w:bookmarkEnd w:id="83"/>
    </w:p>
    <w:p w14:paraId="627CE293" w14:textId="3CA89FC6" w:rsidR="007C3F29" w:rsidRPr="008E2393" w:rsidRDefault="007C3F29" w:rsidP="007C3F29">
      <w:pPr>
        <w:pStyle w:val="BodyText"/>
      </w:pPr>
      <w:r w:rsidRPr="008E2393">
        <w:t xml:space="preserve">Market capitalisation has been </w:t>
      </w:r>
      <w:r w:rsidR="000676D6">
        <w:t>proposed</w:t>
      </w:r>
      <w:r w:rsidR="000676D6" w:rsidRPr="008E2393">
        <w:t xml:space="preserve"> </w:t>
      </w:r>
      <w:r w:rsidRPr="008E2393">
        <w:t>as a proxy for ASIC’s supervisory intensity because the intensity of ASIC’s regulation varies depending on the scale of the company’s operation. Larger entities generally pose a higher risk to the Australian economy as the number of investors and the entity</w:t>
      </w:r>
      <w:r w:rsidR="0003187F">
        <w:t>’</w:t>
      </w:r>
      <w:r w:rsidRPr="008E2393">
        <w:t xml:space="preserve">s significance to the market </w:t>
      </w:r>
      <w:r>
        <w:t>are</w:t>
      </w:r>
      <w:r w:rsidRPr="008E2393">
        <w:t xml:space="preserve"> large. However, as ASIC’s costs to regulate publicly listed, disclosing companies do not fall below (due to fixed costs) or rise above (due to economies of scale) certain thresholds, their levies </w:t>
      </w:r>
      <w:r w:rsidR="009D2BB5">
        <w:t xml:space="preserve">are proposed to </w:t>
      </w:r>
      <w:r w:rsidRPr="008E2393">
        <w:t xml:space="preserve">be subject to a minimum and maximum. </w:t>
      </w:r>
    </w:p>
    <w:p w14:paraId="6C0D1CA8" w14:textId="08C657DF" w:rsidR="007C3F29" w:rsidRDefault="000676D6" w:rsidP="007C3F29">
      <w:pPr>
        <w:pStyle w:val="BodyText"/>
      </w:pPr>
      <w:r>
        <w:t>It is proposed that a</w:t>
      </w:r>
      <w:r w:rsidR="007C3F29" w:rsidRPr="008E2393">
        <w:t xml:space="preserve"> minimum levy of $4,000 will be charged for listed </w:t>
      </w:r>
      <w:r w:rsidR="00F425AE">
        <w:t>companies</w:t>
      </w:r>
      <w:r w:rsidR="007C3F29" w:rsidRPr="008E2393">
        <w:t xml:space="preserve"> with a market capitalisation of less than $5 million. The levy payable by publicly listed disclosing companies </w:t>
      </w:r>
      <w:r w:rsidR="009D2BB5">
        <w:t>is proposed to t</w:t>
      </w:r>
      <w:r w:rsidR="007C3F29" w:rsidRPr="008E2393">
        <w:t>hen increase by $0.</w:t>
      </w:r>
      <w:r w:rsidR="003C7A94">
        <w:t>3</w:t>
      </w:r>
      <w:r w:rsidR="00852530">
        <w:t>3</w:t>
      </w:r>
      <w:r w:rsidR="003C7A94" w:rsidRPr="008E2393">
        <w:t xml:space="preserve"> </w:t>
      </w:r>
      <w:r w:rsidR="007C3F29" w:rsidRPr="008E2393">
        <w:t xml:space="preserve">for each $10,000 of market capitalisation until the maximum levy of </w:t>
      </w:r>
      <w:r w:rsidR="00C82D2D">
        <w:t>$662,000</w:t>
      </w:r>
      <w:r w:rsidR="007C3F29" w:rsidRPr="008E2393">
        <w:t xml:space="preserve"> is reached. Listed </w:t>
      </w:r>
      <w:r w:rsidR="00F425AE">
        <w:t>companies</w:t>
      </w:r>
      <w:r w:rsidR="007C3F29" w:rsidRPr="008E2393">
        <w:t xml:space="preserve"> with a market capitalisation of $20 billion or more</w:t>
      </w:r>
      <w:r w:rsidR="009D2BB5">
        <w:t xml:space="preserve"> are proposed to</w:t>
      </w:r>
      <w:r w:rsidR="007C3F29" w:rsidRPr="008E2393">
        <w:t xml:space="preserve"> pay the maximum levy. </w:t>
      </w:r>
    </w:p>
    <w:p w14:paraId="25B4978C" w14:textId="3C25B451" w:rsidR="007C3F29" w:rsidRDefault="007C3F29" w:rsidP="007C3F29">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4</w:t>
      </w:r>
      <w:r w:rsidR="003D3E81">
        <w:rPr>
          <w:noProof/>
        </w:rPr>
        <w:fldChar w:fldCharType="end"/>
      </w:r>
      <w:r>
        <w:t>:</w:t>
      </w:r>
      <w:r>
        <w:tab/>
      </w:r>
      <w:r w:rsidR="00C822E2">
        <w:t>Proposed levy arrangements – Public</w:t>
      </w:r>
      <w:r w:rsidR="00F425AE">
        <w:t>ly</w:t>
      </w:r>
      <w:r w:rsidR="00C822E2">
        <w:t xml:space="preserve"> listed, disclosing companies</w:t>
      </w:r>
    </w:p>
    <w:tbl>
      <w:tblPr>
        <w:tblW w:w="909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18"/>
        <w:gridCol w:w="1361"/>
        <w:gridCol w:w="1655"/>
        <w:gridCol w:w="1928"/>
        <w:gridCol w:w="1531"/>
        <w:gridCol w:w="1104"/>
      </w:tblGrid>
      <w:tr w:rsidR="00C822E2" w:rsidRPr="000540E1" w14:paraId="63DFF88D" w14:textId="18C0AF0F" w:rsidTr="00BF6103">
        <w:trPr>
          <w:cantSplit/>
          <w:trHeight w:val="861"/>
          <w:tblHeader/>
        </w:trPr>
        <w:tc>
          <w:tcPr>
            <w:tcW w:w="1518" w:type="dxa"/>
            <w:shd w:val="clear" w:color="auto" w:fill="C2E3FA"/>
          </w:tcPr>
          <w:p w14:paraId="1C269301" w14:textId="07EA83FA" w:rsidR="00C822E2" w:rsidRPr="000540E1" w:rsidRDefault="00C822E2" w:rsidP="007C3F29">
            <w:pPr>
              <w:pStyle w:val="tablehead"/>
            </w:pPr>
            <w:r>
              <w:t>Subsector</w:t>
            </w:r>
          </w:p>
        </w:tc>
        <w:tc>
          <w:tcPr>
            <w:tcW w:w="1361" w:type="dxa"/>
            <w:shd w:val="clear" w:color="auto" w:fill="C2E3FA"/>
          </w:tcPr>
          <w:p w14:paraId="0EE2493C" w14:textId="344876CE" w:rsidR="00C822E2" w:rsidRPr="000540E1" w:rsidRDefault="00C822E2" w:rsidP="007C3F29">
            <w:pPr>
              <w:pStyle w:val="tablehead"/>
            </w:pPr>
            <w:r>
              <w:t>Number of entities</w:t>
            </w:r>
          </w:p>
        </w:tc>
        <w:tc>
          <w:tcPr>
            <w:tcW w:w="1655" w:type="dxa"/>
            <w:shd w:val="clear" w:color="auto" w:fill="C2E3FA"/>
          </w:tcPr>
          <w:p w14:paraId="1A203B4C" w14:textId="6A5E7CC4" w:rsidR="00C822E2" w:rsidRPr="000540E1" w:rsidRDefault="000676D6" w:rsidP="007C3F29">
            <w:pPr>
              <w:pStyle w:val="tablehead"/>
            </w:pPr>
            <w:r>
              <w:t>Proposed m</w:t>
            </w:r>
            <w:r w:rsidR="00C822E2">
              <w:t>inimum levy</w:t>
            </w:r>
          </w:p>
        </w:tc>
        <w:tc>
          <w:tcPr>
            <w:tcW w:w="1928" w:type="dxa"/>
            <w:shd w:val="clear" w:color="auto" w:fill="C2E3FA"/>
          </w:tcPr>
          <w:p w14:paraId="618F846F" w14:textId="45E548DD" w:rsidR="00C822E2" w:rsidRPr="000540E1" w:rsidRDefault="000676D6" w:rsidP="000676D6">
            <w:pPr>
              <w:pStyle w:val="tablehead"/>
            </w:pPr>
            <w:r>
              <w:t>Proposed v</w:t>
            </w:r>
            <w:r w:rsidR="00C822E2">
              <w:t>ariable levy</w:t>
            </w:r>
          </w:p>
        </w:tc>
        <w:tc>
          <w:tcPr>
            <w:tcW w:w="1531" w:type="dxa"/>
            <w:shd w:val="clear" w:color="auto" w:fill="C2E3FA"/>
          </w:tcPr>
          <w:p w14:paraId="59D88E82" w14:textId="08292213" w:rsidR="00C822E2" w:rsidRPr="000540E1" w:rsidRDefault="000676D6" w:rsidP="007C3F29">
            <w:pPr>
              <w:pStyle w:val="tablehead"/>
            </w:pPr>
            <w:r>
              <w:t>Proposed m</w:t>
            </w:r>
            <w:r w:rsidR="00C822E2">
              <w:t>aximum levy</w:t>
            </w:r>
          </w:p>
        </w:tc>
        <w:tc>
          <w:tcPr>
            <w:tcW w:w="1104" w:type="dxa"/>
            <w:shd w:val="clear" w:color="auto" w:fill="C2E3FA"/>
          </w:tcPr>
          <w:p w14:paraId="33089DAE" w14:textId="2FB278F0" w:rsidR="00C822E2" w:rsidRPr="000540E1" w:rsidRDefault="00C822E2" w:rsidP="007C3F29">
            <w:pPr>
              <w:pStyle w:val="tablehead"/>
            </w:pPr>
            <w:r>
              <w:t>Amount to be recovered</w:t>
            </w:r>
          </w:p>
        </w:tc>
      </w:tr>
      <w:tr w:rsidR="00C822E2" w:rsidRPr="000540E1" w14:paraId="121AE8B6" w14:textId="6C95DDC5" w:rsidTr="0031567F">
        <w:trPr>
          <w:cantSplit/>
          <w:trHeight w:val="964"/>
        </w:trPr>
        <w:tc>
          <w:tcPr>
            <w:tcW w:w="1518" w:type="dxa"/>
          </w:tcPr>
          <w:p w14:paraId="224F2592" w14:textId="5469D7F4" w:rsidR="00C822E2" w:rsidRPr="000540E1" w:rsidRDefault="00C822E2" w:rsidP="0031567F">
            <w:pPr>
              <w:pStyle w:val="tbltext"/>
            </w:pPr>
            <w:r w:rsidRPr="008E2393">
              <w:t>Public</w:t>
            </w:r>
            <w:r w:rsidR="00F425AE">
              <w:t>ly</w:t>
            </w:r>
            <w:r w:rsidRPr="008E2393">
              <w:t xml:space="preserve"> listed, disclosing companies</w:t>
            </w:r>
          </w:p>
        </w:tc>
        <w:tc>
          <w:tcPr>
            <w:tcW w:w="1361" w:type="dxa"/>
          </w:tcPr>
          <w:p w14:paraId="51611E8A" w14:textId="2D0CF9F0" w:rsidR="00C822E2" w:rsidRPr="000540E1" w:rsidRDefault="00602E9F" w:rsidP="0031567F">
            <w:pPr>
              <w:pStyle w:val="tbltext"/>
            </w:pPr>
            <w:r>
              <w:t>2,000</w:t>
            </w:r>
          </w:p>
        </w:tc>
        <w:tc>
          <w:tcPr>
            <w:tcW w:w="1655" w:type="dxa"/>
          </w:tcPr>
          <w:p w14:paraId="15DD7F6F" w14:textId="06091B0D" w:rsidR="00C822E2" w:rsidRPr="000540E1" w:rsidRDefault="00C822E2" w:rsidP="0031567F">
            <w:pPr>
              <w:pStyle w:val="tbltext"/>
            </w:pPr>
            <w:r w:rsidRPr="008E2393">
              <w:t>$4,000 for market capitalisation less than $5 million</w:t>
            </w:r>
          </w:p>
        </w:tc>
        <w:tc>
          <w:tcPr>
            <w:tcW w:w="1928" w:type="dxa"/>
          </w:tcPr>
          <w:p w14:paraId="6D6E7CFE" w14:textId="584401EF" w:rsidR="00C822E2" w:rsidRPr="000540E1" w:rsidRDefault="00C822E2" w:rsidP="0031567F">
            <w:pPr>
              <w:pStyle w:val="tbltext"/>
            </w:pPr>
            <w:r>
              <w:t xml:space="preserve">$4,000 plus </w:t>
            </w:r>
            <w:r w:rsidRPr="008E2393">
              <w:t>$0.</w:t>
            </w:r>
            <w:r w:rsidR="00852530">
              <w:t>33</w:t>
            </w:r>
            <w:r w:rsidR="00F40539">
              <w:t> </w:t>
            </w:r>
            <w:r w:rsidRPr="008E2393">
              <w:t>per $10,000 of market capitalisation above $5 million</w:t>
            </w:r>
          </w:p>
        </w:tc>
        <w:tc>
          <w:tcPr>
            <w:tcW w:w="1531" w:type="dxa"/>
          </w:tcPr>
          <w:p w14:paraId="42BE1AE7" w14:textId="7264B79D" w:rsidR="00C822E2" w:rsidRPr="000540E1" w:rsidRDefault="00C822E2" w:rsidP="0031567F">
            <w:pPr>
              <w:pStyle w:val="tbltext"/>
            </w:pPr>
            <w:r w:rsidRPr="008E2393">
              <w:t>$</w:t>
            </w:r>
            <w:r w:rsidR="00852530">
              <w:t>662</w:t>
            </w:r>
            <w:r w:rsidRPr="008E2393">
              <w:t>,000 for market capitalisation greater than $20</w:t>
            </w:r>
            <w:r w:rsidR="00F40539">
              <w:t> </w:t>
            </w:r>
            <w:r w:rsidRPr="008E2393">
              <w:t>billion</w:t>
            </w:r>
          </w:p>
        </w:tc>
        <w:tc>
          <w:tcPr>
            <w:tcW w:w="1104" w:type="dxa"/>
          </w:tcPr>
          <w:p w14:paraId="4C69CC4C" w14:textId="145E6C4D" w:rsidR="00C822E2" w:rsidRPr="000540E1" w:rsidRDefault="00C822E2" w:rsidP="0031567F">
            <w:pPr>
              <w:pStyle w:val="tbltext"/>
            </w:pPr>
            <w:r>
              <w:t>$48.5m</w:t>
            </w:r>
          </w:p>
        </w:tc>
      </w:tr>
    </w:tbl>
    <w:p w14:paraId="2374EEC5" w14:textId="77777777" w:rsidR="00BF6103" w:rsidRDefault="00BF6103" w:rsidP="00BE1313">
      <w:pPr>
        <w:pStyle w:val="figuretitlefullwidth"/>
      </w:pPr>
    </w:p>
    <w:p w14:paraId="6272295A" w14:textId="57F8B124" w:rsidR="00C822E2" w:rsidRDefault="00C822E2" w:rsidP="00BE1313">
      <w:pPr>
        <w:pStyle w:val="figuretitlefullwidth"/>
      </w:pPr>
      <w:r>
        <w:t xml:space="preserve">Figure </w:t>
      </w:r>
      <w:r w:rsidR="003D3E81">
        <w:fldChar w:fldCharType="begin"/>
      </w:r>
      <w:r w:rsidR="003D3E81">
        <w:instrText xml:space="preserve"> SEQ Figure \* ARABIC </w:instrText>
      </w:r>
      <w:r w:rsidR="003D3E81">
        <w:fldChar w:fldCharType="separate"/>
      </w:r>
      <w:r w:rsidR="00A37D1A">
        <w:rPr>
          <w:noProof/>
        </w:rPr>
        <w:t>6</w:t>
      </w:r>
      <w:r w:rsidR="003D3E81">
        <w:rPr>
          <w:noProof/>
        </w:rPr>
        <w:fldChar w:fldCharType="end"/>
      </w:r>
      <w:r>
        <w:t>:</w:t>
      </w:r>
      <w:r>
        <w:tab/>
      </w:r>
      <w:r w:rsidRPr="008E2393">
        <w:t>Levy arrangements for publicly listed, disclosing companies</w:t>
      </w:r>
    </w:p>
    <w:p w14:paraId="535230E8" w14:textId="55EB061B" w:rsidR="007839C8" w:rsidRDefault="00B41F3B" w:rsidP="000B5B80">
      <w:pPr>
        <w:pStyle w:val="figuretext"/>
      </w:pPr>
      <w:r>
        <w:rPr>
          <w:rFonts w:ascii="Calibri" w:hAnsi="Calibri" w:cs="Calibri"/>
          <w:noProof/>
          <w:color w:val="000000"/>
        </w:rPr>
        <mc:AlternateContent>
          <mc:Choice Requires="wpg">
            <w:drawing>
              <wp:anchor distT="0" distB="0" distL="114300" distR="114300" simplePos="0" relativeHeight="251878400" behindDoc="0" locked="0" layoutInCell="1" allowOverlap="1" wp14:anchorId="0EABA94B" wp14:editId="62A8BF01">
                <wp:simplePos x="0" y="0"/>
                <wp:positionH relativeFrom="column">
                  <wp:posOffset>-22901</wp:posOffset>
                </wp:positionH>
                <wp:positionV relativeFrom="paragraph">
                  <wp:posOffset>64442</wp:posOffset>
                </wp:positionV>
                <wp:extent cx="5698585" cy="3434080"/>
                <wp:effectExtent l="0" t="0" r="16510" b="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98585" cy="3434080"/>
                          <a:chOff x="-23580" y="0"/>
                          <a:chExt cx="6073925" cy="3662768"/>
                        </a:xfrm>
                      </wpg:grpSpPr>
                      <wps:wsp>
                        <wps:cNvPr id="158" name="Straight Connector 9"/>
                        <wps:cNvCnPr/>
                        <wps:spPr>
                          <a:xfrm flipH="1" flipV="1">
                            <a:off x="2005781" y="3019973"/>
                            <a:ext cx="4230" cy="28448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wps:wsp>
                        <wps:cNvPr id="159" name="Straight Connector 9"/>
                        <wps:cNvCnPr/>
                        <wps:spPr>
                          <a:xfrm>
                            <a:off x="926236" y="2824316"/>
                            <a:ext cx="306969" cy="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wps:wsp>
                        <wps:cNvPr id="150" name="Straight Connector 150"/>
                        <wps:cNvCnPr/>
                        <wps:spPr>
                          <a:xfrm>
                            <a:off x="973394" y="0"/>
                            <a:ext cx="0" cy="32379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flipH="1">
                            <a:off x="973394" y="3229897"/>
                            <a:ext cx="470432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Parallelogram 6"/>
                        <wps:cNvSpPr/>
                        <wps:spPr>
                          <a:xfrm rot="19440336">
                            <a:off x="1526459" y="1541207"/>
                            <a:ext cx="4159250" cy="317500"/>
                          </a:xfrm>
                          <a:prstGeom prst="parallelogram">
                            <a:avLst>
                              <a:gd name="adj" fmla="val 7029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F314BF" w14:textId="49D0F56F" w:rsidR="00BE7110" w:rsidRPr="000935C6" w:rsidRDefault="00BE7110" w:rsidP="000935C6">
                              <w:pPr>
                                <w:pStyle w:val="NormalWeb"/>
                                <w:spacing w:before="0" w:beforeAutospacing="0" w:after="0" w:afterAutospacing="0"/>
                                <w:jc w:val="center"/>
                                <w:rPr>
                                  <w:rFonts w:ascii="Calibri Light" w:hAnsi="Calibri Light"/>
                                  <w:sz w:val="18"/>
                                  <w:szCs w:val="18"/>
                                </w:rPr>
                              </w:pPr>
                              <w:r w:rsidRPr="000935C6">
                                <w:rPr>
                                  <w:rFonts w:ascii="Calibri Light" w:hAnsi="Calibri Light" w:cstheme="minorBidi"/>
                                  <w:color w:val="000000" w:themeColor="text1"/>
                                  <w:sz w:val="18"/>
                                  <w:szCs w:val="18"/>
                                </w:rPr>
                                <w:t>Variable levy of $0.33 for each $10,000 of market capitalisation million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57" name="Rectangle 8"/>
                        <wps:cNvSpPr/>
                        <wps:spPr>
                          <a:xfrm>
                            <a:off x="1167550" y="2648316"/>
                            <a:ext cx="844165" cy="403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0EE5D" w14:textId="02A96840" w:rsidR="00BE7110" w:rsidRPr="00B41F3B" w:rsidRDefault="00BE7110" w:rsidP="007839C8">
                              <w:pPr>
                                <w:pStyle w:val="NormalWeb"/>
                                <w:spacing w:before="0" w:beforeAutospacing="0" w:after="0" w:afterAutospacing="0"/>
                                <w:jc w:val="center"/>
                                <w:rPr>
                                  <w:rFonts w:ascii="Calibri Light" w:hAnsi="Calibri Light"/>
                                  <w:sz w:val="18"/>
                                  <w:szCs w:val="18"/>
                                </w:rPr>
                              </w:pPr>
                              <w:r w:rsidRPr="00B41F3B">
                                <w:rPr>
                                  <w:rFonts w:ascii="Calibri Light" w:hAnsi="Calibri Light" w:cstheme="minorBidi"/>
                                  <w:color w:val="FFFFFF" w:themeColor="light1"/>
                                  <w:sz w:val="18"/>
                                  <w:szCs w:val="18"/>
                                </w:rPr>
                                <w:t>Minimum</w:t>
                              </w:r>
                              <w:r>
                                <w:rPr>
                                  <w:rFonts w:ascii="Calibri Light" w:hAnsi="Calibri Light" w:cstheme="minorBidi"/>
                                  <w:color w:val="FFFFFF" w:themeColor="light1"/>
                                  <w:sz w:val="18"/>
                                  <w:szCs w:val="18"/>
                                </w:rPr>
                                <w:br/>
                              </w:r>
                              <w:r w:rsidRPr="00B41F3B">
                                <w:rPr>
                                  <w:rFonts w:ascii="Calibri Light" w:hAnsi="Calibri Light" w:cstheme="minorBidi"/>
                                  <w:color w:val="FFFFFF" w:themeColor="light1"/>
                                  <w:sz w:val="18"/>
                                  <w:szCs w:val="18"/>
                                </w:rPr>
                                <w:t>Levy</w:t>
                              </w:r>
                            </w:p>
                          </w:txbxContent>
                        </wps:txbx>
                        <wps:bodyPr rot="0" spcFirstLastPara="0" vertOverflow="clip" horzOverflow="clip" vert="horz" wrap="square" lIns="36000" tIns="36000" rIns="36000" bIns="36000" numCol="1" spcCol="0" rtlCol="0" fromWordArt="0" anchor="ctr" anchorCtr="0" forceAA="0" compatLnSpc="1">
                          <a:prstTxWarp prst="textNoShape">
                            <a:avLst/>
                          </a:prstTxWarp>
                          <a:noAutofit/>
                        </wps:bodyPr>
                      </wps:wsp>
                      <wps:wsp>
                        <wps:cNvPr id="128" name="Straight Connector 9"/>
                        <wps:cNvCnPr/>
                        <wps:spPr>
                          <a:xfrm>
                            <a:off x="926236" y="567813"/>
                            <a:ext cx="4297570" cy="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wps:wsp>
                        <wps:cNvPr id="151" name="Text Box 151"/>
                        <wps:cNvSpPr txBox="1"/>
                        <wps:spPr>
                          <a:xfrm>
                            <a:off x="-23579" y="376084"/>
                            <a:ext cx="972000"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8EF23" w14:textId="4B4256CB" w:rsidR="00BE7110" w:rsidRPr="00B41F3B" w:rsidRDefault="00BE7110" w:rsidP="005E2294">
                              <w:pPr>
                                <w:jc w:val="right"/>
                                <w:rPr>
                                  <w:rFonts w:ascii="Calibri Light" w:hAnsi="Calibri Light"/>
                                  <w:sz w:val="18"/>
                                  <w:szCs w:val="18"/>
                                </w:rPr>
                              </w:pPr>
                              <w:r w:rsidRPr="00B41F3B">
                                <w:rPr>
                                  <w:rFonts w:ascii="Calibri Light" w:hAnsi="Calibri Light"/>
                                  <w:sz w:val="18"/>
                                  <w:szCs w:val="18"/>
                                </w:rPr>
                                <w:t>Maximum levy $662,000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23580" y="2639962"/>
                            <a:ext cx="972000"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6E123" w14:textId="77777777" w:rsidR="00BE7110" w:rsidRPr="00B41F3B" w:rsidRDefault="00BE7110" w:rsidP="005E2294">
                              <w:pPr>
                                <w:jc w:val="right"/>
                                <w:rPr>
                                  <w:rFonts w:ascii="Calibri Light" w:hAnsi="Calibri Light"/>
                                  <w:sz w:val="18"/>
                                  <w:szCs w:val="18"/>
                                </w:rPr>
                              </w:pPr>
                              <w:r w:rsidRPr="00B41F3B">
                                <w:rPr>
                                  <w:rFonts w:ascii="Calibri Light" w:hAnsi="Calibri Light"/>
                                  <w:sz w:val="18"/>
                                  <w:szCs w:val="18"/>
                                </w:rPr>
                                <w:t>Minimum levy $4,000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401491" y="3266768"/>
                            <a:ext cx="1227877"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DA8FB" w14:textId="201D29A2" w:rsidR="00BE7110" w:rsidRPr="00B41F3B" w:rsidRDefault="00BE7110" w:rsidP="007839C8">
                              <w:pPr>
                                <w:jc w:val="center"/>
                                <w:rPr>
                                  <w:rFonts w:ascii="Calibri Light" w:hAnsi="Calibri Light"/>
                                  <w:sz w:val="18"/>
                                  <w:szCs w:val="18"/>
                                </w:rPr>
                              </w:pPr>
                              <w:r w:rsidRPr="00B41F3B">
                                <w:rPr>
                                  <w:rFonts w:ascii="Calibri Light" w:hAnsi="Calibri Light"/>
                                  <w:sz w:val="18"/>
                                  <w:szCs w:val="18"/>
                                </w:rPr>
                                <w:t>Minimum levy threshold $5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Straight Connector 9"/>
                        <wps:cNvCnPr/>
                        <wps:spPr>
                          <a:xfrm flipV="1">
                            <a:off x="5198807" y="722671"/>
                            <a:ext cx="0" cy="2579298"/>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wps:wsp>
                        <wps:cNvPr id="129" name="Text Box 129"/>
                        <wps:cNvSpPr txBox="1"/>
                        <wps:spPr>
                          <a:xfrm>
                            <a:off x="4587719" y="3266768"/>
                            <a:ext cx="1227877"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22A08" w14:textId="77777777" w:rsidR="00BE7110" w:rsidRPr="00B41F3B" w:rsidRDefault="00BE7110" w:rsidP="007839C8">
                              <w:pPr>
                                <w:jc w:val="center"/>
                                <w:rPr>
                                  <w:rFonts w:ascii="Calibri Light" w:hAnsi="Calibri Light"/>
                                  <w:sz w:val="18"/>
                                  <w:szCs w:val="18"/>
                                </w:rPr>
                              </w:pPr>
                              <w:r w:rsidRPr="00B41F3B">
                                <w:rPr>
                                  <w:rFonts w:ascii="Calibri Light" w:hAnsi="Calibri Light"/>
                                  <w:sz w:val="18"/>
                                  <w:szCs w:val="18"/>
                                </w:rPr>
                                <w:t>Maximum levy threshold $20 billion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Rectangle 7"/>
                        <wps:cNvSpPr/>
                        <wps:spPr>
                          <a:xfrm>
                            <a:off x="5206180" y="346587"/>
                            <a:ext cx="844165" cy="403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FC2DE" w14:textId="003C4FF1" w:rsidR="00BE7110" w:rsidRPr="00B41F3B" w:rsidRDefault="00BE7110" w:rsidP="007839C8">
                              <w:pPr>
                                <w:pStyle w:val="NormalWeb"/>
                                <w:spacing w:before="0" w:beforeAutospacing="0" w:after="0" w:afterAutospacing="0"/>
                                <w:jc w:val="center"/>
                                <w:rPr>
                                  <w:rFonts w:ascii="Calibri Light" w:hAnsi="Calibri Light"/>
                                  <w:sz w:val="18"/>
                                  <w:szCs w:val="18"/>
                                </w:rPr>
                              </w:pPr>
                              <w:r w:rsidRPr="00B41F3B">
                                <w:rPr>
                                  <w:rFonts w:ascii="Calibri Light" w:hAnsi="Calibri Light" w:cstheme="minorBidi"/>
                                  <w:color w:val="FFFFFF" w:themeColor="light1"/>
                                  <w:sz w:val="18"/>
                                  <w:szCs w:val="18"/>
                                </w:rPr>
                                <w:t>Maximum</w:t>
                              </w:r>
                              <w:r>
                                <w:rPr>
                                  <w:rFonts w:ascii="Calibri Light" w:hAnsi="Calibri Light" w:cstheme="minorBidi"/>
                                  <w:color w:val="FFFFFF" w:themeColor="light1"/>
                                  <w:sz w:val="18"/>
                                  <w:szCs w:val="18"/>
                                </w:rPr>
                                <w:br/>
                              </w:r>
                              <w:r w:rsidRPr="00B41F3B">
                                <w:rPr>
                                  <w:rFonts w:ascii="Calibri Light" w:hAnsi="Calibri Light" w:cstheme="minorBidi"/>
                                  <w:color w:val="FFFFFF" w:themeColor="light1"/>
                                  <w:sz w:val="18"/>
                                  <w:szCs w:val="18"/>
                                </w:rPr>
                                <w:t>Levy</w:t>
                              </w:r>
                            </w:p>
                          </w:txbxContent>
                        </wps:txbx>
                        <wps:bodyPr rot="0" spcFirstLastPara="0" vertOverflow="clip" horzOverflow="clip"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62" style="position:absolute;margin-left:-1.8pt;margin-top:5.05pt;width:448.7pt;height:270.4pt;z-index:251878400;mso-width-relative:margin;mso-height-relative:margin" coordorigin="-235" coordsize="60739,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">
                <o:lock v:ext="edit" aspectratio="t"/>
                <v:line id="Straight Connector 9" o:spid="_x0000_s1063" style="position:absolute;flip:x y;visibility:visible;mso-wrap-style:square" from="20057,30199" to="20100,3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wVMMAAADcAAAADwAAAGRycy9kb3ducmV2LnhtbESPQWvCQBCF7wX/wzJCb3VjiyKpq6hQ&#10;6bXaYnsbsmMSmp0N2dGk/75zELzN8N68981yPYTGXKlLdWQH00kGhriIvubSwefx7WkBJgmyxyYy&#10;OfijBOvV6GGJuY89f9D1IKXREE45OqhE2tzaVFQUME1iS6zaOXYBRdeutL7DXsNDY5+zbG4D1qwN&#10;Fba0q6j4PVyCg9OukK+XrcRp+G72s5/M1j2dnXscD5tXMEKD3M2363ev+DOl1Wd0Arv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t8FTDAAAA3AAAAA8AAAAAAAAAAAAA&#10;AAAAoQIAAGRycy9kb3ducmV2LnhtbFBLBQYAAAAABAAEAPkAAACRAwAAAAA=&#10;" strokecolor="black [3200]" strokeweight="1.5pt">
                  <v:stroke dashstyle="dash"/>
                  <v:shadow on="t" color="black" opacity="24903f" origin=",.5" offset="0,.55556mm"/>
                </v:line>
                <v:line id="Straight Connector 9" o:spid="_x0000_s1064" style="position:absolute;visibility:visible;mso-wrap-style:square" from="9262,28243" to="12332,2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8EAAADcAAAADwAAAGRycy9kb3ducmV2LnhtbERPS0sDMRC+C/6HMII3m63QYtemRSoW&#10;j/YB4m3YTHdXN5M1mXbjv28KBW/z8T1nvkyuUycKsfVsYDwqQBFX3rZcG9jv3h6eQEVBtth5JgN/&#10;FGG5uL2ZY2n9wBs6baVWOYRjiQYakb7UOlYNOYwj3xNn7uCDQ8kw1NoGHHK46/RjUUy1w5ZzQ4M9&#10;rRqqfrZHZ+DwylKtN+EzOflKv9/jgVfrD2Pu79LLMyihJP/iq/vd5vmTGVyeyRfoxR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ED4zwQAAANwAAAAPAAAAAAAAAAAAAAAA&#10;AKECAABkcnMvZG93bnJldi54bWxQSwUGAAAAAAQABAD5AAAAjwMAAAAA&#10;" strokecolor="black [3200]" strokeweight="1.5pt">
                  <v:stroke dashstyle="dash"/>
                  <v:shadow on="t" color="black" opacity="24903f" origin=",.5" offset="0,.55556mm"/>
                </v:line>
                <v:line id="Straight Connector 150" o:spid="_x0000_s1065" style="position:absolute;visibility:visible;mso-wrap-style:square" from="9733,0" to="9733,3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Db8UAAADcAAAADwAAAGRycy9kb3ducmV2LnhtbESPQU8CQQyF7yb8h0lJvMmsGAisDISY&#10;mBD1IvAD6k7d3bDTWWcqLP56ezDx1ua9vvd1tRlCZ86UchvZwf2kAENcRd9y7eB4eL5bgMmC7LGL&#10;TA6ulGGzHt2ssPTxwu903kttNIRziQ4akb60NlcNBcyT2BOr9hlTQNE11dYnvGh46Oy0KOY2YMva&#10;0GBPTw1Vp/13cPD1+rbL149uKvPZz8spbRdLecjO3Y6H7SMYoUH+zX/XO6/4M8XX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WDb8UAAADcAAAADwAAAAAAAAAA&#10;AAAAAAChAgAAZHJzL2Rvd25yZXYueG1sUEsFBgAAAAAEAAQA+QAAAJMDAAAAAA==&#10;" strokecolor="#4579b8 [3044]"/>
                <v:line id="Straight Connector 132" o:spid="_x0000_s1066" style="position:absolute;flip:x;visibility:visible;mso-wrap-style:square" from="9733,32298" to="56777,3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VF8QAAADcAAAADwAAAGRycy9kb3ducmV2LnhtbERPS2vCQBC+F/oflin0Vjc+qCXNRkQQ&#10;g0K16qHHITsmwexszG5N9Nd3C4Xe5uN7TjLrTS2u1LrKsoLhIAJBnFtdcaHgeFi+vIFwHlljbZkU&#10;3MjBLH18SDDWtuNPuu59IUIIuxgVlN43sZQuL8mgG9iGOHAn2xr0AbaF1C12IdzUchRFr9JgxaGh&#10;xIYWJeXn/bdRkGW8Xt95uf0a7i4rP642H5NuqtTzUz9/B+Gp9//iP3emw/zxCH6fCRfI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1UXxAAAANwAAAAPAAAAAAAAAAAA&#10;AAAAAKECAABkcnMvZG93bnJldi54bWxQSwUGAAAAAAQABAD5AAAAkgMAAAAA&#10;" strokecolor="#4579b8 [304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67" type="#_x0000_t7" style="position:absolute;left:15264;top:15412;width:41593;height:3175;rotation:-2358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EacMA&#10;AADcAAAADwAAAGRycy9kb3ducmV2LnhtbERP204CMRB9N+EfmjHhTbpCULNQCNeg8Qn0AybbYbuw&#10;nS5tgYWvtyYmvs3Juc542tpaXMiHyrGC514GgrhwuuJSwffX+ukNRIjIGmvHpOBGAaaTzsMYc+2u&#10;vKXLLpYihXDIUYGJscmlDIUhi6HnGuLE7Z23GBP0pdQerync1rKfZS/SYsWpwWBDC0PFcXe2Cg5m&#10;vg17//F5uq/0fSYPm+XraaBU97GdjUBEauO/+M/9rtP84RB+n0kXy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EacMAAADcAAAADwAAAAAAAAAAAAAAAACYAgAAZHJzL2Rv&#10;d25yZXYueG1sUEsFBgAAAAAEAAQA9QAAAIgDAAAAAA==&#10;" adj="1159" fillcolor="white [3212]" strokecolor="#243f60 [1604]" strokeweight="2pt">
                  <v:textbox>
                    <w:txbxContent>
                      <w:p w14:paraId="51F314BF" w14:textId="49D0F56F" w:rsidR="00BE7110" w:rsidRPr="000935C6" w:rsidRDefault="00BE7110" w:rsidP="000935C6">
                        <w:pPr>
                          <w:pStyle w:val="NormalWeb"/>
                          <w:spacing w:before="0" w:beforeAutospacing="0" w:after="0" w:afterAutospacing="0"/>
                          <w:jc w:val="center"/>
                          <w:rPr>
                            <w:rFonts w:ascii="Calibri Light" w:hAnsi="Calibri Light"/>
                            <w:sz w:val="18"/>
                            <w:szCs w:val="18"/>
                          </w:rPr>
                        </w:pPr>
                        <w:r w:rsidRPr="000935C6">
                          <w:rPr>
                            <w:rFonts w:ascii="Calibri Light" w:hAnsi="Calibri Light" w:cstheme="minorBidi"/>
                            <w:color w:val="000000" w:themeColor="text1"/>
                            <w:sz w:val="18"/>
                            <w:szCs w:val="18"/>
                          </w:rPr>
                          <w:t>Variable levy of $0.33 for each $10,000 of market capitalisation million</w:t>
                        </w:r>
                      </w:p>
                    </w:txbxContent>
                  </v:textbox>
                </v:shape>
                <v:rect id="Rectangle 8" o:spid="_x0000_s1068" style="position:absolute;left:11675;top:26483;width:8442;height:4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atsMA&#10;AADcAAAADwAAAGRycy9kb3ducmV2LnhtbERPS2sCMRC+F/wPYQQvpWYVbO3WKD4Q7EXwcehxmoyb&#10;xc1k2URd/70RCr3Nx/ecyax1lbhSE0rPCgb9DASx9qbkQsHxsH4bgwgR2WDlmRTcKcBs2nmZYG78&#10;jXd03cdCpBAOOSqwMda5lEFbchj6viZO3Mk3DmOCTSFNg7cU7io5zLJ36bDk1GCxpqUlfd5fnIIf&#10;y58Vj7+3v6vFQZ/mx/bV6p1SvW47/wIRqY3/4j/3xqT5ow94Pp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SatsMAAADcAAAADwAAAAAAAAAAAAAAAACYAgAAZHJzL2Rv&#10;d25yZXYueG1sUEsFBgAAAAAEAAQA9QAAAIgDAAAAAA==&#10;" fillcolor="#4f81bd [3204]" strokecolor="#243f60 [1604]" strokeweight="2pt">
                  <v:textbox inset="1mm,1mm,1mm,1mm">
                    <w:txbxContent>
                      <w:p w14:paraId="2A70EE5D" w14:textId="02A96840" w:rsidR="00BE7110" w:rsidRPr="00B41F3B" w:rsidRDefault="00BE7110" w:rsidP="007839C8">
                        <w:pPr>
                          <w:pStyle w:val="NormalWeb"/>
                          <w:spacing w:before="0" w:beforeAutospacing="0" w:after="0" w:afterAutospacing="0"/>
                          <w:jc w:val="center"/>
                          <w:rPr>
                            <w:rFonts w:ascii="Calibri Light" w:hAnsi="Calibri Light"/>
                            <w:sz w:val="18"/>
                            <w:szCs w:val="18"/>
                          </w:rPr>
                        </w:pPr>
                        <w:r w:rsidRPr="00B41F3B">
                          <w:rPr>
                            <w:rFonts w:ascii="Calibri Light" w:hAnsi="Calibri Light" w:cstheme="minorBidi"/>
                            <w:color w:val="FFFFFF" w:themeColor="light1"/>
                            <w:sz w:val="18"/>
                            <w:szCs w:val="18"/>
                          </w:rPr>
                          <w:t>Minimum</w:t>
                        </w:r>
                        <w:r>
                          <w:rPr>
                            <w:rFonts w:ascii="Calibri Light" w:hAnsi="Calibri Light" w:cstheme="minorBidi"/>
                            <w:color w:val="FFFFFF" w:themeColor="light1"/>
                            <w:sz w:val="18"/>
                            <w:szCs w:val="18"/>
                          </w:rPr>
                          <w:br/>
                        </w:r>
                        <w:r w:rsidRPr="00B41F3B">
                          <w:rPr>
                            <w:rFonts w:ascii="Calibri Light" w:hAnsi="Calibri Light" w:cstheme="minorBidi"/>
                            <w:color w:val="FFFFFF" w:themeColor="light1"/>
                            <w:sz w:val="18"/>
                            <w:szCs w:val="18"/>
                          </w:rPr>
                          <w:t>Levy</w:t>
                        </w:r>
                      </w:p>
                    </w:txbxContent>
                  </v:textbox>
                </v:rect>
                <v:line id="Straight Connector 9" o:spid="_x0000_s1069" style="position:absolute;visibility:visible;mso-wrap-style:square" from="9262,5678" to="52238,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ro1cMAAADcAAAADwAAAGRycy9kb3ducmV2LnhtbESPQU/DMAyF70j8h8hI3Fi6HRAqyyY0&#10;xMSRDaSJm9V4bbfGKYlZw7/HByRutt7ze5+X6xIGc6GU+8gO5rMKDHETfc+tg4/3l7sHMFmQPQ6R&#10;ycEPZVivrq+WWPs48Y4ue2mNhnCu0UEnMtbW5qajgHkWR2LVjjEFFF1Ta33CScPDYBdVdW8D9qwN&#10;HY606ag577+Dg+MzS7PdpUMJ8lm+TvOJN9s3525vytMjGKEi/+a/61ev+Aul1Wd0Arv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a6NXDAAAA3AAAAA8AAAAAAAAAAAAA&#10;AAAAoQIAAGRycy9kb3ducmV2LnhtbFBLBQYAAAAABAAEAPkAAACRAwAAAAA=&#10;" strokecolor="black [3200]" strokeweight="1.5pt">
                  <v:stroke dashstyle="dash"/>
                  <v:shadow on="t" color="black" opacity="24903f" origin=",.5" offset="0,.55556mm"/>
                </v:line>
                <v:shape id="Text Box 151" o:spid="_x0000_s1070" type="#_x0000_t202" style="position:absolute;left:-235;top:3760;width:9719;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4438EF23" w14:textId="4B4256CB" w:rsidR="00BE7110" w:rsidRPr="00B41F3B" w:rsidRDefault="00BE7110" w:rsidP="005E2294">
                        <w:pPr>
                          <w:jc w:val="right"/>
                          <w:rPr>
                            <w:rFonts w:ascii="Calibri Light" w:hAnsi="Calibri Light"/>
                            <w:sz w:val="18"/>
                            <w:szCs w:val="18"/>
                          </w:rPr>
                        </w:pPr>
                        <w:r w:rsidRPr="00B41F3B">
                          <w:rPr>
                            <w:rFonts w:ascii="Calibri Light" w:hAnsi="Calibri Light"/>
                            <w:sz w:val="18"/>
                            <w:szCs w:val="18"/>
                          </w:rPr>
                          <w:t>Maximum levy $662,000</w:t>
                        </w:r>
                      </w:p>
                    </w:txbxContent>
                  </v:textbox>
                </v:shape>
                <v:shape id="Text Box 156" o:spid="_x0000_s1071" type="#_x0000_t202" style="position:absolute;left:-235;top:26399;width:9719;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14:paraId="5BA6E123" w14:textId="77777777" w:rsidR="00BE7110" w:rsidRPr="00B41F3B" w:rsidRDefault="00BE7110" w:rsidP="005E2294">
                        <w:pPr>
                          <w:jc w:val="right"/>
                          <w:rPr>
                            <w:rFonts w:ascii="Calibri Light" w:hAnsi="Calibri Light"/>
                            <w:sz w:val="18"/>
                            <w:szCs w:val="18"/>
                          </w:rPr>
                        </w:pPr>
                        <w:r w:rsidRPr="00B41F3B">
                          <w:rPr>
                            <w:rFonts w:ascii="Calibri Light" w:hAnsi="Calibri Light"/>
                            <w:sz w:val="18"/>
                            <w:szCs w:val="18"/>
                          </w:rPr>
                          <w:t>Minimum levy $4,000</w:t>
                        </w:r>
                      </w:p>
                    </w:txbxContent>
                  </v:textbox>
                </v:shape>
                <v:shape id="Text Box 131" o:spid="_x0000_s1072" type="#_x0000_t202" style="position:absolute;left:14014;top:32667;width:12279;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14:paraId="516DA8FB" w14:textId="201D29A2" w:rsidR="00BE7110" w:rsidRPr="00B41F3B" w:rsidRDefault="00BE7110" w:rsidP="007839C8">
                        <w:pPr>
                          <w:jc w:val="center"/>
                          <w:rPr>
                            <w:rFonts w:ascii="Calibri Light" w:hAnsi="Calibri Light"/>
                            <w:sz w:val="18"/>
                            <w:szCs w:val="18"/>
                          </w:rPr>
                        </w:pPr>
                        <w:r w:rsidRPr="00B41F3B">
                          <w:rPr>
                            <w:rFonts w:ascii="Calibri Light" w:hAnsi="Calibri Light"/>
                            <w:sz w:val="18"/>
                            <w:szCs w:val="18"/>
                          </w:rPr>
                          <w:t>Minimum levy threshold $5 million</w:t>
                        </w:r>
                      </w:p>
                    </w:txbxContent>
                  </v:textbox>
                </v:shape>
                <v:line id="Straight Connector 9" o:spid="_x0000_s1073" style="position:absolute;flip:y;visibility:visible;mso-wrap-style:square" from="51988,7226" to="51988,3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990cQAAADcAAAADwAAAGRycy9kb3ducmV2LnhtbERPTWvCQBC9C/6HZYReRDe2NNjoKiII&#10;UhAxWnqdZsckmJ0N2Y2m/fVdQfA2j/c582VnKnGlxpWWFUzGEQjizOqScwWn42Y0BeE8ssbKMin4&#10;JQfLRb83x0TbGx/omvpchBB2CSoovK8TKV1WkEE3tjVx4M62MegDbHKpG7yFcFPJ1yiKpcGSQ0OB&#10;Na0Lyi5paxTsLunfZtWV+++v7eHzJ86G+4+4Vepl0K1mIDx1/il+uLc6zH9/g/sz4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33RxAAAANwAAAAPAAAAAAAAAAAA&#10;AAAAAKECAABkcnMvZG93bnJldi54bWxQSwUGAAAAAAQABAD5AAAAkgMAAAAA&#10;" strokecolor="black [3200]" strokeweight="1.5pt">
                  <v:stroke dashstyle="dash"/>
                  <v:shadow on="t" color="black" opacity="24903f" origin=",.5" offset="0,.55556mm"/>
                </v:line>
                <v:shape id="Text Box 129" o:spid="_x0000_s1074" type="#_x0000_t202" style="position:absolute;left:45877;top:32667;width:12278;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14:paraId="2CF22A08" w14:textId="77777777" w:rsidR="00BE7110" w:rsidRPr="00B41F3B" w:rsidRDefault="00BE7110" w:rsidP="007839C8">
                        <w:pPr>
                          <w:jc w:val="center"/>
                          <w:rPr>
                            <w:rFonts w:ascii="Calibri Light" w:hAnsi="Calibri Light"/>
                            <w:sz w:val="18"/>
                            <w:szCs w:val="18"/>
                          </w:rPr>
                        </w:pPr>
                        <w:r w:rsidRPr="00B41F3B">
                          <w:rPr>
                            <w:rFonts w:ascii="Calibri Light" w:hAnsi="Calibri Light"/>
                            <w:sz w:val="18"/>
                            <w:szCs w:val="18"/>
                          </w:rPr>
                          <w:t>Maximum levy threshold $20 billion</w:t>
                        </w:r>
                      </w:p>
                    </w:txbxContent>
                  </v:textbox>
                </v:shape>
                <v:rect id="Rectangle 7" o:spid="_x0000_s1075" style="position:absolute;left:52061;top:3465;width:844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5LsIA&#10;AADcAAAADwAAAGRycy9kb3ducmV2LnhtbERPS2sCMRC+C/0PYQpepGYrKNutUawi2Ivg49DjNBk3&#10;SzeTZRN1/feNIHibj+8503nnanGhNlSeFbwPMxDE2puKSwXHw/otBxEissHaMym4UYD57KU3xcL4&#10;K+/oso+lSCEcClRgY2wKKYO25DAMfUOcuJNvHcYE21KaFq8p3NVylGUT6bDi1GCxoaUl/bc/OwU/&#10;lj9qzr+3v6uvgz4tjt3A6p1S/ddu8QkiUhef4od7Y9L88Qjuz6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zkuwgAAANwAAAAPAAAAAAAAAAAAAAAAAJgCAABkcnMvZG93&#10;bnJldi54bWxQSwUGAAAAAAQABAD1AAAAhwMAAAAA&#10;" fillcolor="#4f81bd [3204]" strokecolor="#243f60 [1604]" strokeweight="2pt">
                  <v:textbox inset="1mm,1mm,1mm,1mm">
                    <w:txbxContent>
                      <w:p w14:paraId="097FC2DE" w14:textId="003C4FF1" w:rsidR="00BE7110" w:rsidRPr="00B41F3B" w:rsidRDefault="00BE7110" w:rsidP="007839C8">
                        <w:pPr>
                          <w:pStyle w:val="NormalWeb"/>
                          <w:spacing w:before="0" w:beforeAutospacing="0" w:after="0" w:afterAutospacing="0"/>
                          <w:jc w:val="center"/>
                          <w:rPr>
                            <w:rFonts w:ascii="Calibri Light" w:hAnsi="Calibri Light"/>
                            <w:sz w:val="18"/>
                            <w:szCs w:val="18"/>
                          </w:rPr>
                        </w:pPr>
                        <w:r w:rsidRPr="00B41F3B">
                          <w:rPr>
                            <w:rFonts w:ascii="Calibri Light" w:hAnsi="Calibri Light" w:cstheme="minorBidi"/>
                            <w:color w:val="FFFFFF" w:themeColor="light1"/>
                            <w:sz w:val="18"/>
                            <w:szCs w:val="18"/>
                          </w:rPr>
                          <w:t>Maximum</w:t>
                        </w:r>
                        <w:r>
                          <w:rPr>
                            <w:rFonts w:ascii="Calibri Light" w:hAnsi="Calibri Light" w:cstheme="minorBidi"/>
                            <w:color w:val="FFFFFF" w:themeColor="light1"/>
                            <w:sz w:val="18"/>
                            <w:szCs w:val="18"/>
                          </w:rPr>
                          <w:br/>
                        </w:r>
                        <w:r w:rsidRPr="00B41F3B">
                          <w:rPr>
                            <w:rFonts w:ascii="Calibri Light" w:hAnsi="Calibri Light" w:cstheme="minorBidi"/>
                            <w:color w:val="FFFFFF" w:themeColor="light1"/>
                            <w:sz w:val="18"/>
                            <w:szCs w:val="18"/>
                          </w:rPr>
                          <w:t>Levy</w:t>
                        </w:r>
                      </w:p>
                    </w:txbxContent>
                  </v:textbox>
                </v:rect>
              </v:group>
            </w:pict>
          </mc:Fallback>
        </mc:AlternateContent>
      </w:r>
    </w:p>
    <w:p w14:paraId="352566C0" w14:textId="44E31009" w:rsidR="007839C8" w:rsidRPr="008E2393" w:rsidRDefault="007839C8" w:rsidP="007839C8">
      <w:pPr>
        <w:rPr>
          <w:rFonts w:ascii="Calibri" w:hAnsi="Calibri" w:cs="Calibri"/>
          <w:color w:val="000000"/>
        </w:rPr>
      </w:pPr>
    </w:p>
    <w:p w14:paraId="76E3A8A4" w14:textId="51E657FB" w:rsidR="007839C8" w:rsidRPr="008E2393" w:rsidRDefault="007839C8" w:rsidP="007839C8">
      <w:pPr>
        <w:rPr>
          <w:rFonts w:ascii="Calibri" w:hAnsi="Calibri" w:cs="Calibri"/>
          <w:color w:val="000000"/>
        </w:rPr>
      </w:pPr>
    </w:p>
    <w:p w14:paraId="16C99411" w14:textId="216EE89B" w:rsidR="007839C8" w:rsidRPr="008E2393" w:rsidRDefault="007839C8" w:rsidP="007839C8">
      <w:pPr>
        <w:rPr>
          <w:rFonts w:ascii="Calibri" w:hAnsi="Calibri" w:cs="Calibri"/>
          <w:color w:val="000000"/>
        </w:rPr>
      </w:pPr>
    </w:p>
    <w:p w14:paraId="4E4206A6" w14:textId="77777777" w:rsidR="007839C8" w:rsidRPr="008E2393" w:rsidRDefault="007839C8" w:rsidP="007839C8">
      <w:pPr>
        <w:rPr>
          <w:rFonts w:ascii="Calibri" w:hAnsi="Calibri" w:cs="Calibri"/>
          <w:color w:val="000000"/>
        </w:rPr>
      </w:pPr>
    </w:p>
    <w:p w14:paraId="5605EA2A" w14:textId="154AB162" w:rsidR="007839C8" w:rsidRPr="008E2393" w:rsidRDefault="007839C8" w:rsidP="007839C8">
      <w:pPr>
        <w:rPr>
          <w:rFonts w:ascii="Calibri" w:hAnsi="Calibri" w:cs="Calibri"/>
          <w:color w:val="000000"/>
        </w:rPr>
      </w:pPr>
    </w:p>
    <w:p w14:paraId="3BF5419F" w14:textId="77777777" w:rsidR="007839C8" w:rsidRPr="008E2393" w:rsidRDefault="007839C8" w:rsidP="007839C8"/>
    <w:p w14:paraId="4AE34DF9" w14:textId="77777777" w:rsidR="007839C8" w:rsidRPr="008E2393" w:rsidRDefault="007839C8" w:rsidP="007839C8"/>
    <w:p w14:paraId="0D3321CD" w14:textId="77777777" w:rsidR="007839C8" w:rsidRPr="008E2393" w:rsidRDefault="007839C8" w:rsidP="007839C8"/>
    <w:p w14:paraId="7DA46EDD" w14:textId="17820419" w:rsidR="007839C8" w:rsidRPr="008E2393" w:rsidRDefault="007839C8" w:rsidP="007839C8"/>
    <w:p w14:paraId="283E19BC" w14:textId="3AE09DCF" w:rsidR="007839C8" w:rsidRPr="008E2393" w:rsidRDefault="007839C8" w:rsidP="007839C8"/>
    <w:p w14:paraId="716E081A" w14:textId="094B4686" w:rsidR="007839C8" w:rsidRPr="008E2393" w:rsidRDefault="007839C8" w:rsidP="007839C8"/>
    <w:p w14:paraId="32623988" w14:textId="1D0E1AEC" w:rsidR="007C3F29" w:rsidRPr="008E2393" w:rsidRDefault="000676D6" w:rsidP="00C822E2">
      <w:pPr>
        <w:pStyle w:val="BodyText"/>
      </w:pPr>
      <w:r>
        <w:t xml:space="preserve">It is proposed that the </w:t>
      </w:r>
      <w:r w:rsidR="007C3F29" w:rsidRPr="008E2393">
        <w:t xml:space="preserve">minimum levy </w:t>
      </w:r>
      <w:r>
        <w:t xml:space="preserve">be </w:t>
      </w:r>
      <w:r w:rsidR="007C3F29" w:rsidRPr="008E2393">
        <w:t xml:space="preserve">lowered by 33%, from $6,000 to $4,000, relative to the August 2015 consultation paper, as submissions raised concerns that the minimum levy would be overly burdensome for small listed entities or act as a disincentive for companies to list. </w:t>
      </w:r>
    </w:p>
    <w:p w14:paraId="7D45E3BB" w14:textId="77A515AC" w:rsidR="007C3F29" w:rsidRPr="008E2393" w:rsidRDefault="007C3F29" w:rsidP="00C822E2">
      <w:pPr>
        <w:pStyle w:val="BodyText"/>
      </w:pPr>
      <w:bookmarkStart w:id="84" w:name="_ASICRef709"/>
      <w:r w:rsidRPr="008E2393">
        <w:t xml:space="preserve">The </w:t>
      </w:r>
      <w:r w:rsidR="00450619">
        <w:t xml:space="preserve">proposed </w:t>
      </w:r>
      <w:r w:rsidRPr="008E2393">
        <w:t>maximum levy</w:t>
      </w:r>
      <w:r w:rsidR="000676D6">
        <w:t xml:space="preserve"> </w:t>
      </w:r>
      <w:r w:rsidR="00450619">
        <w:t xml:space="preserve">has </w:t>
      </w:r>
      <w:r w:rsidR="000676D6">
        <w:t>increased</w:t>
      </w:r>
      <w:r w:rsidRPr="008E2393">
        <w:t xml:space="preserve"> from $320,000 to </w:t>
      </w:r>
      <w:r w:rsidR="00C82D2D">
        <w:t>$662,000</w:t>
      </w:r>
      <w:r w:rsidR="00714D0C">
        <w:t xml:space="preserve">. </w:t>
      </w:r>
      <w:r w:rsidR="009A1AF7">
        <w:t>The increase is</w:t>
      </w:r>
      <w:r w:rsidR="00450619">
        <w:t xml:space="preserve"> primarily due to the estimated costs to be funded from th</w:t>
      </w:r>
      <w:r w:rsidR="00714D0C">
        <w:t xml:space="preserve">e Enforcement Special Account. </w:t>
      </w:r>
      <w:r w:rsidRPr="008E2393">
        <w:t xml:space="preserve">The maximum levy </w:t>
      </w:r>
      <w:r w:rsidR="009D2BB5">
        <w:t>is proposed to</w:t>
      </w:r>
      <w:r w:rsidR="009D2BB5" w:rsidRPr="008E2393">
        <w:t xml:space="preserve"> </w:t>
      </w:r>
      <w:r w:rsidRPr="008E2393">
        <w:t>apply for companies with market capitalisation greater than $20</w:t>
      </w:r>
      <w:r w:rsidR="000676D6">
        <w:t> </w:t>
      </w:r>
      <w:r w:rsidRPr="008E2393">
        <w:t>billion which is 33% higher than the maximum threshold of $15 billion in the August</w:t>
      </w:r>
      <w:r w:rsidR="00F425AE">
        <w:t xml:space="preserve"> 2015</w:t>
      </w:r>
      <w:r w:rsidRPr="008E2393">
        <w:t xml:space="preserve"> consultation paper. The maximum levy is expected to apply to a small number of companies whose size of operation and number of investors mean they are systemically important to Australian financial markets and the Australian economy and require a significantly higher level of regulatory oversight.</w:t>
      </w:r>
      <w:bookmarkEnd w:id="84"/>
    </w:p>
    <w:p w14:paraId="7D3E6827" w14:textId="77777777" w:rsidR="007C3F29" w:rsidRPr="008E2393" w:rsidRDefault="007C3F29" w:rsidP="00C822E2">
      <w:pPr>
        <w:pStyle w:val="Heading4"/>
      </w:pPr>
      <w:r w:rsidRPr="008E2393">
        <w:t xml:space="preserve">Proposed levy arrangements – other company </w:t>
      </w:r>
      <w:r>
        <w:t>sub</w:t>
      </w:r>
      <w:r w:rsidRPr="008E2393">
        <w:t>sectors</w:t>
      </w:r>
    </w:p>
    <w:p w14:paraId="5E2E9DAC" w14:textId="77777777" w:rsidR="007C3F29" w:rsidRPr="008E2393" w:rsidRDefault="007C3F29" w:rsidP="00C822E2">
      <w:pPr>
        <w:pStyle w:val="BodyText"/>
      </w:pPr>
      <w:r w:rsidRPr="008E2393">
        <w:t>Flat annual levies are proposed for public companies (</w:t>
      </w:r>
      <w:r>
        <w:t>un</w:t>
      </w:r>
      <w:r w:rsidRPr="008E2393">
        <w:t>listed, disclosing), public companies (</w:t>
      </w:r>
      <w:r>
        <w:t xml:space="preserve">unlisted </w:t>
      </w:r>
      <w:r w:rsidRPr="008E2393">
        <w:t>non-disclosing) and small and large proprietary companies. The level of ASIC supervision is generally similar for entities in each of these subsectors. This flat levy approach is consistent with the August 2015 consultation paper proposal.</w:t>
      </w:r>
      <w:r>
        <w:t xml:space="preserve"> </w:t>
      </w:r>
    </w:p>
    <w:p w14:paraId="3D63B2EA" w14:textId="77777777" w:rsidR="007C3F29" w:rsidRDefault="007C3F29" w:rsidP="00C822E2">
      <w:pPr>
        <w:pStyle w:val="BodyText"/>
      </w:pPr>
      <w:r w:rsidRPr="008E2393">
        <w:t>Submissions did not raise concerns regarding the flat levies for entities in the corporate sector.</w:t>
      </w:r>
    </w:p>
    <w:p w14:paraId="4CD8DAFE" w14:textId="05ACEE91" w:rsidR="00C822E2" w:rsidRDefault="00C822E2" w:rsidP="00BE1313">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5</w:t>
      </w:r>
      <w:r w:rsidR="003D3E81">
        <w:rPr>
          <w:noProof/>
        </w:rPr>
        <w:fldChar w:fldCharType="end"/>
      </w:r>
      <w:r>
        <w:t>:</w:t>
      </w:r>
      <w:r>
        <w:tab/>
      </w:r>
      <w:r w:rsidRPr="008E2393">
        <w:t xml:space="preserve">Proposed flat levy arrangements – </w:t>
      </w:r>
      <w:r>
        <w:t>other c</w:t>
      </w:r>
      <w:r w:rsidRPr="008E2393">
        <w:t>ompan</w:t>
      </w:r>
      <w:r>
        <w:t>y subsectors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78"/>
        <w:gridCol w:w="1871"/>
        <w:gridCol w:w="2154"/>
        <w:gridCol w:w="2324"/>
      </w:tblGrid>
      <w:tr w:rsidR="00C822E2" w:rsidRPr="000540E1" w14:paraId="276BA950" w14:textId="77777777" w:rsidTr="0005755C">
        <w:trPr>
          <w:cantSplit/>
          <w:tblHeader/>
        </w:trPr>
        <w:tc>
          <w:tcPr>
            <w:tcW w:w="2778" w:type="dxa"/>
            <w:shd w:val="clear" w:color="auto" w:fill="C2E3FA"/>
          </w:tcPr>
          <w:p w14:paraId="36562F98" w14:textId="263B8BA6" w:rsidR="00C822E2" w:rsidRPr="000540E1" w:rsidRDefault="00C822E2" w:rsidP="00BE1313">
            <w:pPr>
              <w:pStyle w:val="tablehead"/>
            </w:pPr>
            <w:r>
              <w:t>Subsector</w:t>
            </w:r>
          </w:p>
        </w:tc>
        <w:tc>
          <w:tcPr>
            <w:tcW w:w="1871" w:type="dxa"/>
            <w:shd w:val="clear" w:color="auto" w:fill="C2E3FA"/>
          </w:tcPr>
          <w:p w14:paraId="236CB496" w14:textId="37BFA5E6" w:rsidR="00C822E2" w:rsidRPr="000540E1" w:rsidRDefault="00C822E2" w:rsidP="00BE1313">
            <w:pPr>
              <w:pStyle w:val="tablehead"/>
            </w:pPr>
            <w:r>
              <w:t>Number of entities</w:t>
            </w:r>
          </w:p>
        </w:tc>
        <w:tc>
          <w:tcPr>
            <w:tcW w:w="2154" w:type="dxa"/>
            <w:shd w:val="clear" w:color="auto" w:fill="C2E3FA"/>
          </w:tcPr>
          <w:p w14:paraId="1C589438" w14:textId="77D0F8FE" w:rsidR="00C822E2" w:rsidRPr="000540E1" w:rsidRDefault="000676D6" w:rsidP="000676D6">
            <w:pPr>
              <w:pStyle w:val="tablehead"/>
            </w:pPr>
            <w:r>
              <w:t>Proposed a</w:t>
            </w:r>
            <w:r w:rsidR="00C822E2">
              <w:t>nnual levy</w:t>
            </w:r>
            <w:r w:rsidR="0010215F">
              <w:t>*</w:t>
            </w:r>
          </w:p>
        </w:tc>
        <w:tc>
          <w:tcPr>
            <w:tcW w:w="2324" w:type="dxa"/>
            <w:shd w:val="clear" w:color="auto" w:fill="C2E3FA"/>
          </w:tcPr>
          <w:p w14:paraId="0D3AE4E4" w14:textId="544A78F8" w:rsidR="00C822E2" w:rsidRPr="000540E1" w:rsidRDefault="00C822E2" w:rsidP="00BE1313">
            <w:pPr>
              <w:pStyle w:val="tablehead"/>
            </w:pPr>
            <w:r>
              <w:t>Amount to be recovered</w:t>
            </w:r>
          </w:p>
        </w:tc>
      </w:tr>
      <w:tr w:rsidR="00C822E2" w:rsidRPr="000540E1" w14:paraId="0215F272" w14:textId="77777777" w:rsidTr="0005755C">
        <w:trPr>
          <w:cantSplit/>
        </w:trPr>
        <w:tc>
          <w:tcPr>
            <w:tcW w:w="2778" w:type="dxa"/>
            <w:vAlign w:val="center"/>
          </w:tcPr>
          <w:p w14:paraId="684B3B86" w14:textId="07272793" w:rsidR="00C822E2" w:rsidRPr="000540E1" w:rsidRDefault="00C822E2" w:rsidP="007B54F6">
            <w:pPr>
              <w:pStyle w:val="tbltext"/>
            </w:pPr>
            <w:r w:rsidRPr="008E2393">
              <w:t xml:space="preserve">Public (unlisted, disclosing) </w:t>
            </w:r>
            <w:r w:rsidR="009A1AF7">
              <w:t>companies</w:t>
            </w:r>
          </w:p>
        </w:tc>
        <w:tc>
          <w:tcPr>
            <w:tcW w:w="1871" w:type="dxa"/>
            <w:vAlign w:val="center"/>
          </w:tcPr>
          <w:p w14:paraId="29377F3D" w14:textId="26ED185E" w:rsidR="00C822E2" w:rsidRPr="000540E1" w:rsidRDefault="00A62185" w:rsidP="007B54F6">
            <w:pPr>
              <w:pStyle w:val="tbltext"/>
            </w:pPr>
            <w:r>
              <w:t>838</w:t>
            </w:r>
          </w:p>
        </w:tc>
        <w:tc>
          <w:tcPr>
            <w:tcW w:w="2154" w:type="dxa"/>
            <w:vAlign w:val="center"/>
          </w:tcPr>
          <w:p w14:paraId="51190ECA" w14:textId="2FE4FA64" w:rsidR="00C822E2" w:rsidRPr="000540E1" w:rsidRDefault="00C822E2" w:rsidP="007B54F6">
            <w:pPr>
              <w:pStyle w:val="tbltext"/>
            </w:pPr>
            <w:r w:rsidRPr="008E2393">
              <w:t>$</w:t>
            </w:r>
            <w:r w:rsidR="002A0713">
              <w:t>3,350</w:t>
            </w:r>
          </w:p>
        </w:tc>
        <w:tc>
          <w:tcPr>
            <w:tcW w:w="2324" w:type="dxa"/>
            <w:vAlign w:val="center"/>
          </w:tcPr>
          <w:p w14:paraId="49594E19" w14:textId="1450C784" w:rsidR="00C822E2" w:rsidRPr="000540E1" w:rsidRDefault="00C822E2" w:rsidP="007B54F6">
            <w:pPr>
              <w:pStyle w:val="tbltext"/>
            </w:pPr>
            <w:r>
              <w:t>$2.8m</w:t>
            </w:r>
          </w:p>
        </w:tc>
      </w:tr>
      <w:tr w:rsidR="00C822E2" w:rsidRPr="000540E1" w14:paraId="40BEBA87" w14:textId="77777777" w:rsidTr="0005755C">
        <w:trPr>
          <w:cantSplit/>
        </w:trPr>
        <w:tc>
          <w:tcPr>
            <w:tcW w:w="2778" w:type="dxa"/>
            <w:vAlign w:val="center"/>
          </w:tcPr>
          <w:p w14:paraId="1F02BF55" w14:textId="356AED60" w:rsidR="00C822E2" w:rsidRPr="000540E1" w:rsidRDefault="00C822E2" w:rsidP="007B54F6">
            <w:pPr>
              <w:pStyle w:val="tbltext"/>
            </w:pPr>
            <w:r w:rsidRPr="008E2393">
              <w:t xml:space="preserve">Public (unlisted, non-disclosing) </w:t>
            </w:r>
            <w:r w:rsidR="009A1AF7">
              <w:t>companies</w:t>
            </w:r>
          </w:p>
        </w:tc>
        <w:tc>
          <w:tcPr>
            <w:tcW w:w="1871" w:type="dxa"/>
            <w:vAlign w:val="center"/>
          </w:tcPr>
          <w:p w14:paraId="4772D109" w14:textId="1D311421" w:rsidR="00C822E2" w:rsidRPr="000540E1" w:rsidRDefault="00C822E2" w:rsidP="007B54F6">
            <w:pPr>
              <w:pStyle w:val="tbltext"/>
            </w:pPr>
            <w:r w:rsidRPr="008E2393">
              <w:t>19,000</w:t>
            </w:r>
          </w:p>
        </w:tc>
        <w:tc>
          <w:tcPr>
            <w:tcW w:w="2154" w:type="dxa"/>
            <w:vAlign w:val="center"/>
          </w:tcPr>
          <w:p w14:paraId="1ACA16BF" w14:textId="340BDF0F" w:rsidR="00C822E2" w:rsidRPr="000540E1" w:rsidRDefault="00C822E2" w:rsidP="007B54F6">
            <w:pPr>
              <w:pStyle w:val="tbltext"/>
            </w:pPr>
            <w:r w:rsidRPr="008E2393">
              <w:t>$1</w:t>
            </w:r>
            <w:r>
              <w:t>7</w:t>
            </w:r>
            <w:r w:rsidRPr="008E2393">
              <w:t>0</w:t>
            </w:r>
          </w:p>
        </w:tc>
        <w:tc>
          <w:tcPr>
            <w:tcW w:w="2324" w:type="dxa"/>
            <w:vAlign w:val="center"/>
          </w:tcPr>
          <w:p w14:paraId="55D75402" w14:textId="7A02D7F5" w:rsidR="00C822E2" w:rsidRPr="000540E1" w:rsidRDefault="00C822E2" w:rsidP="007B54F6">
            <w:pPr>
              <w:pStyle w:val="tbltext"/>
            </w:pPr>
            <w:r>
              <w:t>$3.1m</w:t>
            </w:r>
          </w:p>
        </w:tc>
      </w:tr>
      <w:tr w:rsidR="00C822E2" w:rsidRPr="000540E1" w14:paraId="4FC60450" w14:textId="77777777" w:rsidTr="0005755C">
        <w:trPr>
          <w:cantSplit/>
        </w:trPr>
        <w:tc>
          <w:tcPr>
            <w:tcW w:w="2778" w:type="dxa"/>
            <w:vAlign w:val="center"/>
          </w:tcPr>
          <w:p w14:paraId="700692CC" w14:textId="62214EBE" w:rsidR="00C822E2" w:rsidRPr="000540E1" w:rsidRDefault="00C822E2" w:rsidP="007B54F6">
            <w:pPr>
              <w:pStyle w:val="tbltext"/>
            </w:pPr>
            <w:r w:rsidRPr="008E2393">
              <w:t xml:space="preserve">Large Pty Ltd </w:t>
            </w:r>
            <w:r w:rsidR="009A1AF7">
              <w:t>companies</w:t>
            </w:r>
          </w:p>
        </w:tc>
        <w:tc>
          <w:tcPr>
            <w:tcW w:w="1871" w:type="dxa"/>
            <w:vAlign w:val="center"/>
          </w:tcPr>
          <w:p w14:paraId="473AA06F" w14:textId="7EDDE74A" w:rsidR="00C822E2" w:rsidRPr="000540E1" w:rsidRDefault="00C822E2" w:rsidP="007B54F6">
            <w:pPr>
              <w:pStyle w:val="tbltext"/>
            </w:pPr>
            <w:r w:rsidRPr="008E2393">
              <w:t>9,000</w:t>
            </w:r>
          </w:p>
        </w:tc>
        <w:tc>
          <w:tcPr>
            <w:tcW w:w="2154" w:type="dxa"/>
            <w:vAlign w:val="center"/>
          </w:tcPr>
          <w:p w14:paraId="2F29939F" w14:textId="46790F40" w:rsidR="00C822E2" w:rsidRPr="000540E1" w:rsidRDefault="00C822E2" w:rsidP="007B54F6">
            <w:pPr>
              <w:pStyle w:val="tbltext"/>
            </w:pPr>
            <w:r w:rsidRPr="008E2393">
              <w:t>$350</w:t>
            </w:r>
          </w:p>
        </w:tc>
        <w:tc>
          <w:tcPr>
            <w:tcW w:w="2324" w:type="dxa"/>
            <w:vAlign w:val="center"/>
          </w:tcPr>
          <w:p w14:paraId="691117AC" w14:textId="5A23DD5F" w:rsidR="00C822E2" w:rsidRPr="000540E1" w:rsidRDefault="00C822E2" w:rsidP="007B54F6">
            <w:pPr>
              <w:pStyle w:val="tbltext"/>
            </w:pPr>
            <w:r>
              <w:t>$3.0m</w:t>
            </w:r>
          </w:p>
        </w:tc>
      </w:tr>
      <w:tr w:rsidR="00C822E2" w:rsidRPr="000540E1" w14:paraId="2B609DAC" w14:textId="77777777" w:rsidTr="0005755C">
        <w:trPr>
          <w:cantSplit/>
        </w:trPr>
        <w:tc>
          <w:tcPr>
            <w:tcW w:w="2778" w:type="dxa"/>
            <w:vAlign w:val="center"/>
          </w:tcPr>
          <w:p w14:paraId="5749FDE1" w14:textId="753D7CB9" w:rsidR="00C822E2" w:rsidRPr="008E2393" w:rsidRDefault="00C822E2" w:rsidP="007B54F6">
            <w:pPr>
              <w:pStyle w:val="tbltext"/>
            </w:pPr>
            <w:r w:rsidRPr="008E2393">
              <w:t>Small Pty Ltd</w:t>
            </w:r>
            <w:r>
              <w:rPr>
                <w:rStyle w:val="FootnoteReference"/>
                <w:rFonts w:hAnsi="Calibri"/>
                <w:color w:val="000000" w:themeColor="text1"/>
                <w:kern w:val="24"/>
                <w:sz w:val="20"/>
              </w:rPr>
              <w:footnoteReference w:id="3"/>
            </w:r>
            <w:r w:rsidR="009A1AF7">
              <w:t xml:space="preserve"> companies</w:t>
            </w:r>
          </w:p>
        </w:tc>
        <w:tc>
          <w:tcPr>
            <w:tcW w:w="1871" w:type="dxa"/>
            <w:vAlign w:val="center"/>
          </w:tcPr>
          <w:p w14:paraId="4C9D7F72" w14:textId="21FEEFA8" w:rsidR="00C822E2" w:rsidRPr="000540E1" w:rsidRDefault="00C822E2" w:rsidP="007B54F6">
            <w:pPr>
              <w:pStyle w:val="tbltext"/>
            </w:pPr>
            <w:r w:rsidRPr="008E2393">
              <w:t>2,100,000</w:t>
            </w:r>
          </w:p>
        </w:tc>
        <w:tc>
          <w:tcPr>
            <w:tcW w:w="2154" w:type="dxa"/>
            <w:vAlign w:val="center"/>
          </w:tcPr>
          <w:p w14:paraId="512F2908" w14:textId="2D4AEB0F" w:rsidR="00C822E2" w:rsidRPr="000540E1" w:rsidRDefault="00C822E2" w:rsidP="007B54F6">
            <w:pPr>
              <w:pStyle w:val="tbltext"/>
            </w:pPr>
            <w:r w:rsidRPr="008E2393">
              <w:t>$5</w:t>
            </w:r>
          </w:p>
        </w:tc>
        <w:tc>
          <w:tcPr>
            <w:tcW w:w="2324" w:type="dxa"/>
            <w:vAlign w:val="center"/>
          </w:tcPr>
          <w:p w14:paraId="1945F1F9" w14:textId="2CF059A8" w:rsidR="00C822E2" w:rsidRPr="000540E1" w:rsidRDefault="00C822E2" w:rsidP="007B54F6">
            <w:pPr>
              <w:pStyle w:val="tbltext"/>
            </w:pPr>
            <w:r>
              <w:t>$9.7m</w:t>
            </w:r>
          </w:p>
        </w:tc>
      </w:tr>
    </w:tbl>
    <w:p w14:paraId="7AA0614D" w14:textId="6FF080D6" w:rsidR="00C822E2" w:rsidRDefault="00C822E2" w:rsidP="00BE1313">
      <w:pPr>
        <w:pStyle w:val="sourcenotefullwidth"/>
      </w:pPr>
      <w:r w:rsidRPr="006D7C55">
        <w:t>* Annual levy amounts have been rounded.</w:t>
      </w:r>
    </w:p>
    <w:p w14:paraId="412856FB" w14:textId="77777777" w:rsidR="007C3F29" w:rsidRPr="008E2393" w:rsidRDefault="007C3F29" w:rsidP="00C822E2">
      <w:pPr>
        <w:pStyle w:val="Heading3"/>
      </w:pPr>
      <w:bookmarkStart w:id="85" w:name="_Toc462677675"/>
      <w:bookmarkStart w:id="86" w:name="_Toc462697125"/>
      <w:bookmarkStart w:id="87" w:name="_Toc462698936"/>
      <w:bookmarkStart w:id="88" w:name="_Toc462700172"/>
      <w:bookmarkStart w:id="89" w:name="_Toc462700853"/>
      <w:r w:rsidRPr="008E2393">
        <w:t>Company auditors</w:t>
      </w:r>
      <w:bookmarkEnd w:id="85"/>
      <w:bookmarkEnd w:id="86"/>
      <w:bookmarkEnd w:id="87"/>
      <w:bookmarkEnd w:id="88"/>
      <w:bookmarkEnd w:id="89"/>
    </w:p>
    <w:p w14:paraId="439DB27A" w14:textId="77777777" w:rsidR="007C3F29" w:rsidRPr="008E2393" w:rsidRDefault="007C3F29" w:rsidP="00C822E2">
      <w:pPr>
        <w:pStyle w:val="Heading4"/>
        <w:rPr>
          <w:rFonts w:eastAsiaTheme="majorEastAsia"/>
        </w:rPr>
      </w:pPr>
      <w:r w:rsidRPr="008E2393">
        <w:rPr>
          <w:rFonts w:eastAsiaTheme="majorEastAsia"/>
        </w:rPr>
        <w:t>Authorised audit companies and audit firms that audit publicly listed entities</w:t>
      </w:r>
    </w:p>
    <w:p w14:paraId="13D4BD40" w14:textId="7E669009" w:rsidR="007C3F29" w:rsidRPr="008E2393" w:rsidRDefault="007C3F29" w:rsidP="00C822E2">
      <w:pPr>
        <w:pStyle w:val="BodyText"/>
      </w:pPr>
      <w:r w:rsidRPr="008E2393">
        <w:t xml:space="preserve">For </w:t>
      </w:r>
      <w:r w:rsidRPr="008E2393">
        <w:rPr>
          <w:rFonts w:eastAsiaTheme="minorHAnsi"/>
        </w:rPr>
        <w:t>authorised audit companies and audit firms that audit publicly listed entities</w:t>
      </w:r>
      <w:r w:rsidRPr="008E2393">
        <w:t>, ASIC’s regulatory effort is related to the value of work undertaken. This is because entities that are making substantial fee revenue are either auditing more complex companies, a larger number of companies, or a combination of the two</w:t>
      </w:r>
      <w:r w:rsidR="00F425AE">
        <w:t>,</w:t>
      </w:r>
      <w:r w:rsidRPr="008E2393">
        <w:t xml:space="preserve"> and poor audit practices within these firms present a larger risk to the broader operation of Australia’s financial markets.</w:t>
      </w:r>
    </w:p>
    <w:p w14:paraId="636D0C4D" w14:textId="791A24D7" w:rsidR="007C3F29" w:rsidRDefault="007C3F29" w:rsidP="00C822E2">
      <w:pPr>
        <w:pStyle w:val="BodyText"/>
      </w:pPr>
      <w:r w:rsidRPr="008E2393">
        <w:t xml:space="preserve">The </w:t>
      </w:r>
      <w:r w:rsidR="000676D6">
        <w:t xml:space="preserve">proposed </w:t>
      </w:r>
      <w:r w:rsidRPr="008E2393">
        <w:t>levy will be based on the</w:t>
      </w:r>
      <w:r w:rsidR="00F425AE">
        <w:t xml:space="preserve"> firm’s</w:t>
      </w:r>
      <w:r w:rsidRPr="008E2393">
        <w:t xml:space="preserve"> audit fee revenue for that firm </w:t>
      </w:r>
      <w:r>
        <w:t xml:space="preserve">from audits of publicly listed entities and their controlled entities </w:t>
      </w:r>
      <w:r w:rsidRPr="008E2393">
        <w:t xml:space="preserve">relative to the total value of audit fee revenue of the subsector. </w:t>
      </w:r>
    </w:p>
    <w:p w14:paraId="1DFD5BFE" w14:textId="5648E50D" w:rsidR="00C822E2" w:rsidRDefault="00C822E2" w:rsidP="00BE1313">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6</w:t>
      </w:r>
      <w:r w:rsidR="003D3E81">
        <w:rPr>
          <w:noProof/>
        </w:rPr>
        <w:fldChar w:fldCharType="end"/>
      </w:r>
      <w:r>
        <w:t>:</w:t>
      </w:r>
      <w:r>
        <w:tab/>
      </w:r>
      <w:r w:rsidR="0054727A">
        <w:t xml:space="preserve">Proposed levy arrangements – Authorised audit companies and audit firms </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94"/>
        <w:gridCol w:w="1984"/>
        <w:gridCol w:w="2948"/>
        <w:gridCol w:w="1644"/>
      </w:tblGrid>
      <w:tr w:rsidR="00C822E2" w:rsidRPr="000540E1" w14:paraId="38FC9FB8" w14:textId="77777777" w:rsidTr="0005755C">
        <w:trPr>
          <w:cantSplit/>
          <w:tblHeader/>
        </w:trPr>
        <w:tc>
          <w:tcPr>
            <w:tcW w:w="2494" w:type="dxa"/>
            <w:shd w:val="clear" w:color="auto" w:fill="C2E3FA"/>
          </w:tcPr>
          <w:p w14:paraId="7C9CB53C" w14:textId="77777777" w:rsidR="00C822E2" w:rsidRPr="000540E1" w:rsidRDefault="00C822E2" w:rsidP="007B54F6">
            <w:pPr>
              <w:pStyle w:val="tablehead"/>
            </w:pPr>
            <w:r>
              <w:t>Subsector</w:t>
            </w:r>
          </w:p>
        </w:tc>
        <w:tc>
          <w:tcPr>
            <w:tcW w:w="1984" w:type="dxa"/>
            <w:shd w:val="clear" w:color="auto" w:fill="C2E3FA"/>
          </w:tcPr>
          <w:p w14:paraId="22E1CA8A" w14:textId="77777777" w:rsidR="00C822E2" w:rsidRPr="000540E1" w:rsidRDefault="00C822E2" w:rsidP="007B54F6">
            <w:pPr>
              <w:pStyle w:val="tablehead"/>
            </w:pPr>
            <w:r>
              <w:t>Number of entities</w:t>
            </w:r>
          </w:p>
        </w:tc>
        <w:tc>
          <w:tcPr>
            <w:tcW w:w="2948" w:type="dxa"/>
            <w:shd w:val="clear" w:color="auto" w:fill="C2E3FA"/>
          </w:tcPr>
          <w:p w14:paraId="4B23E0D5" w14:textId="7B043B25" w:rsidR="00C822E2" w:rsidRPr="000540E1" w:rsidRDefault="000676D6" w:rsidP="007B54F6">
            <w:pPr>
              <w:pStyle w:val="tablehead"/>
            </w:pPr>
            <w:r>
              <w:t>Proposed l</w:t>
            </w:r>
            <w:r w:rsidR="00C822E2">
              <w:t>evy methodology</w:t>
            </w:r>
          </w:p>
        </w:tc>
        <w:tc>
          <w:tcPr>
            <w:tcW w:w="1644" w:type="dxa"/>
            <w:shd w:val="clear" w:color="auto" w:fill="C2E3FA"/>
          </w:tcPr>
          <w:p w14:paraId="3A7516E8" w14:textId="77777777" w:rsidR="00C822E2" w:rsidRPr="000540E1" w:rsidRDefault="00C822E2" w:rsidP="007B54F6">
            <w:pPr>
              <w:pStyle w:val="tablehead"/>
            </w:pPr>
            <w:r>
              <w:t>Amount to be recovered</w:t>
            </w:r>
          </w:p>
        </w:tc>
      </w:tr>
      <w:tr w:rsidR="00C822E2" w:rsidRPr="000540E1" w14:paraId="18A08110" w14:textId="77777777" w:rsidTr="0005755C">
        <w:trPr>
          <w:cantSplit/>
        </w:trPr>
        <w:tc>
          <w:tcPr>
            <w:tcW w:w="2494" w:type="dxa"/>
          </w:tcPr>
          <w:p w14:paraId="46F28A3E" w14:textId="75F7ED15" w:rsidR="00C822E2" w:rsidRPr="0010215F" w:rsidRDefault="0010215F" w:rsidP="007B54F6">
            <w:pPr>
              <w:pStyle w:val="tbltext"/>
            </w:pPr>
            <w:r w:rsidRPr="0010215F">
              <w:t>Authorised audit companies and audit firms that audit publicly listed entities</w:t>
            </w:r>
          </w:p>
        </w:tc>
        <w:tc>
          <w:tcPr>
            <w:tcW w:w="1984" w:type="dxa"/>
          </w:tcPr>
          <w:p w14:paraId="61AE4576" w14:textId="78002150" w:rsidR="00C822E2" w:rsidRPr="0010215F" w:rsidRDefault="0010215F" w:rsidP="007B54F6">
            <w:pPr>
              <w:pStyle w:val="tbltext"/>
            </w:pPr>
            <w:r w:rsidRPr="0010215F">
              <w:rPr>
                <w:szCs w:val="20"/>
              </w:rPr>
              <w:t>125</w:t>
            </w:r>
          </w:p>
        </w:tc>
        <w:tc>
          <w:tcPr>
            <w:tcW w:w="2948" w:type="dxa"/>
          </w:tcPr>
          <w:p w14:paraId="75ABB102" w14:textId="193A2CC6" w:rsidR="00C822E2" w:rsidRPr="007B54F6" w:rsidRDefault="0010215F" w:rsidP="009A1AF7">
            <w:pPr>
              <w:pStyle w:val="tbltext"/>
              <w:rPr>
                <w:szCs w:val="20"/>
              </w:rPr>
            </w:pPr>
            <w:r w:rsidRPr="0010215F">
              <w:rPr>
                <w:szCs w:val="20"/>
              </w:rPr>
              <w:t>(Entity’s Audit Fee Rev</w:t>
            </w:r>
            <w:r w:rsidR="007B54F6">
              <w:rPr>
                <w:szCs w:val="20"/>
              </w:rPr>
              <w:t xml:space="preserve">enue/Total Audit Fee Revenue) x </w:t>
            </w:r>
            <w:r w:rsidRPr="0010215F">
              <w:t>ASIC’s Costs</w:t>
            </w:r>
            <w:r w:rsidR="009A1AF7">
              <w:t xml:space="preserve"> for the subsector</w:t>
            </w:r>
          </w:p>
        </w:tc>
        <w:tc>
          <w:tcPr>
            <w:tcW w:w="1644" w:type="dxa"/>
          </w:tcPr>
          <w:p w14:paraId="56B27E34" w14:textId="4C359FE7" w:rsidR="00C822E2" w:rsidRPr="0010215F" w:rsidRDefault="0010215F" w:rsidP="007B54F6">
            <w:pPr>
              <w:pStyle w:val="tbltext"/>
            </w:pPr>
            <w:r w:rsidRPr="0010215F">
              <w:rPr>
                <w:szCs w:val="20"/>
              </w:rPr>
              <w:t>$4.3m</w:t>
            </w:r>
          </w:p>
        </w:tc>
      </w:tr>
    </w:tbl>
    <w:p w14:paraId="40442F71" w14:textId="77777777" w:rsidR="0010215F" w:rsidRDefault="0010215F" w:rsidP="007C3F29"/>
    <w:p w14:paraId="20E035C8" w14:textId="77777777" w:rsidR="007C3F29" w:rsidRPr="008E2393" w:rsidRDefault="007C3F29" w:rsidP="0010215F">
      <w:pPr>
        <w:pStyle w:val="BodyText"/>
      </w:pPr>
      <w:r w:rsidRPr="001F3D52">
        <w:t xml:space="preserve">Submissions raised the concern that some accounting firms may not have systems in place to capture audit fee revenue and it will take time to modify systems to generate this information. The proposed implementation of industry funding </w:t>
      </w:r>
      <w:r>
        <w:t>from 2017–2018 onwards</w:t>
      </w:r>
      <w:r w:rsidRPr="001F3D52">
        <w:t xml:space="preserve"> should provide firms sufficient time to address this concern.</w:t>
      </w:r>
    </w:p>
    <w:p w14:paraId="547C033C" w14:textId="77777777" w:rsidR="007C3F29" w:rsidRPr="008E2393" w:rsidRDefault="007C3F29" w:rsidP="007C3F29">
      <w:pPr>
        <w:pStyle w:val="Heading4"/>
      </w:pPr>
      <w:r w:rsidRPr="008E2393">
        <w:t>Registered company auditors</w:t>
      </w:r>
    </w:p>
    <w:p w14:paraId="3494FCE0" w14:textId="6C5E01FC" w:rsidR="007C3F29" w:rsidRPr="008E2393" w:rsidRDefault="000676D6" w:rsidP="0010215F">
      <w:pPr>
        <w:pStyle w:val="BodyText"/>
      </w:pPr>
      <w:r>
        <w:t>ASIC proposes that r</w:t>
      </w:r>
      <w:r w:rsidR="007C3F29" w:rsidRPr="008E2393">
        <w:t xml:space="preserve">egistered company auditors will be charged a flat levy. </w:t>
      </w:r>
    </w:p>
    <w:p w14:paraId="52B5DC50" w14:textId="4516C02A" w:rsidR="007C3F29" w:rsidRPr="008E2393" w:rsidRDefault="007C3F29" w:rsidP="0010215F">
      <w:pPr>
        <w:pStyle w:val="BodyText"/>
      </w:pPr>
      <w:r w:rsidRPr="008E2393">
        <w:t xml:space="preserve">The proposed flat </w:t>
      </w:r>
      <w:r>
        <w:t>levy</w:t>
      </w:r>
      <w:r w:rsidRPr="008E2393">
        <w:t xml:space="preserve"> recognises that ASIC also undertakes proactive and reactive surveillances of audits of unlisted entities, such as registered schemes, AFS licensees, unlisted non-bank lenders, unlisted public companies an</w:t>
      </w:r>
      <w:r w:rsidR="00714D0C">
        <w:t xml:space="preserve">d large proprietary companies. </w:t>
      </w:r>
      <w:r w:rsidRPr="008E2393">
        <w:t xml:space="preserve">These activities may result in referrals of individual registered company auditors to the </w:t>
      </w:r>
      <w:r>
        <w:t>CALDB</w:t>
      </w:r>
      <w:r w:rsidRPr="008E2393">
        <w:t xml:space="preserve">, enforceable </w:t>
      </w:r>
      <w:r w:rsidRPr="008E2393" w:rsidDel="00010875">
        <w:t xml:space="preserve">undertakings </w:t>
      </w:r>
      <w:r w:rsidRPr="008E2393">
        <w:t>or other actions.</w:t>
      </w:r>
    </w:p>
    <w:p w14:paraId="25D1D915" w14:textId="032E5E89" w:rsidR="007C3F29" w:rsidRDefault="007C3F29" w:rsidP="0010215F">
      <w:pPr>
        <w:pStyle w:val="BodyText"/>
      </w:pPr>
      <w:r w:rsidRPr="008E2393">
        <w:t xml:space="preserve">A flat levy is proposed as a </w:t>
      </w:r>
      <w:r>
        <w:t>small</w:t>
      </w:r>
      <w:r w:rsidRPr="008E2393">
        <w:t xml:space="preserve"> amount of ASIC’s re</w:t>
      </w:r>
      <w:r>
        <w:t>gulatory effort is</w:t>
      </w:r>
      <w:r w:rsidRPr="008E2393">
        <w:t xml:space="preserve"> </w:t>
      </w:r>
      <w:r>
        <w:t xml:space="preserve">expended on </w:t>
      </w:r>
      <w:r w:rsidRPr="008E2393">
        <w:t>registered company auditors</w:t>
      </w:r>
      <w:r w:rsidR="00F425AE">
        <w:t>. In addition</w:t>
      </w:r>
      <w:r w:rsidR="007839C8">
        <w:t xml:space="preserve">, </w:t>
      </w:r>
      <w:r w:rsidRPr="008E2393">
        <w:t>the total amount to be recovered is small relative to the number of registered company auditors from</w:t>
      </w:r>
      <w:r w:rsidR="00F425AE">
        <w:t xml:space="preserve"> which the costs will be recovered</w:t>
      </w:r>
      <w:r w:rsidRPr="008E2393">
        <w:t xml:space="preserve">. A graduated levy would impose additional administrative costs and complexity in the model to recover a relatively small amount of ASIC’s </w:t>
      </w:r>
      <w:r>
        <w:t>regulatory costs</w:t>
      </w:r>
      <w:r w:rsidRPr="008E2393">
        <w:t xml:space="preserve">. </w:t>
      </w:r>
    </w:p>
    <w:p w14:paraId="7E81C34E" w14:textId="77777777" w:rsidR="007C3F29" w:rsidRDefault="007C3F29" w:rsidP="0010215F">
      <w:pPr>
        <w:pStyle w:val="BodyText"/>
      </w:pPr>
      <w:r w:rsidRPr="008E2393">
        <w:t>Th</w:t>
      </w:r>
      <w:r>
        <w:t xml:space="preserve">e </w:t>
      </w:r>
      <w:r w:rsidRPr="008E2393">
        <w:t xml:space="preserve">flat levy approach is consistent with the proposal in the August 2015 </w:t>
      </w:r>
      <w:r>
        <w:t>c</w:t>
      </w:r>
      <w:r w:rsidRPr="008E2393">
        <w:t>onsultation paper.</w:t>
      </w:r>
      <w:r>
        <w:t xml:space="preserve"> </w:t>
      </w:r>
      <w:r w:rsidRPr="008E2393">
        <w:t>Submissions did not raise concerns regarding the flat levy for registered company auditors.</w:t>
      </w:r>
    </w:p>
    <w:p w14:paraId="763DC05A" w14:textId="4587FC4A" w:rsidR="0010215F" w:rsidRDefault="0010215F" w:rsidP="00BE1313">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7</w:t>
      </w:r>
      <w:r w:rsidR="003D3E81">
        <w:rPr>
          <w:noProof/>
        </w:rPr>
        <w:fldChar w:fldCharType="end"/>
      </w:r>
      <w:r>
        <w:t>:</w:t>
      </w:r>
      <w:r>
        <w:tab/>
      </w:r>
      <w:r w:rsidRPr="008E2393">
        <w:t>Proposed levy arrangements – Registered company auditors</w:t>
      </w:r>
    </w:p>
    <w:tbl>
      <w:tblPr>
        <w:tblW w:w="9128"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65"/>
        <w:gridCol w:w="1928"/>
        <w:gridCol w:w="2211"/>
        <w:gridCol w:w="2324"/>
      </w:tblGrid>
      <w:tr w:rsidR="0010215F" w:rsidRPr="000540E1" w14:paraId="2C41B459" w14:textId="77777777" w:rsidTr="0005755C">
        <w:trPr>
          <w:cantSplit/>
          <w:tblHeader/>
        </w:trPr>
        <w:tc>
          <w:tcPr>
            <w:tcW w:w="2665" w:type="dxa"/>
            <w:shd w:val="clear" w:color="auto" w:fill="C2E3FA"/>
          </w:tcPr>
          <w:p w14:paraId="30A03D1E" w14:textId="77777777" w:rsidR="0010215F" w:rsidRPr="000540E1" w:rsidRDefault="0010215F" w:rsidP="00BE1313">
            <w:pPr>
              <w:pStyle w:val="tablehead"/>
            </w:pPr>
            <w:r>
              <w:t>Subsector</w:t>
            </w:r>
          </w:p>
        </w:tc>
        <w:tc>
          <w:tcPr>
            <w:tcW w:w="1928" w:type="dxa"/>
            <w:shd w:val="clear" w:color="auto" w:fill="C2E3FA"/>
          </w:tcPr>
          <w:p w14:paraId="0E5572FB" w14:textId="77777777" w:rsidR="0010215F" w:rsidRPr="000540E1" w:rsidRDefault="0010215F" w:rsidP="00BE1313">
            <w:pPr>
              <w:pStyle w:val="tablehead"/>
            </w:pPr>
            <w:r>
              <w:t>Number of entities</w:t>
            </w:r>
          </w:p>
        </w:tc>
        <w:tc>
          <w:tcPr>
            <w:tcW w:w="2211" w:type="dxa"/>
            <w:shd w:val="clear" w:color="auto" w:fill="C2E3FA"/>
          </w:tcPr>
          <w:p w14:paraId="7F28BACE" w14:textId="24ED5A0E" w:rsidR="0010215F" w:rsidRPr="000540E1" w:rsidRDefault="00676D6D" w:rsidP="00BE1313">
            <w:pPr>
              <w:pStyle w:val="tablehead"/>
            </w:pPr>
            <w:r>
              <w:t>Proposed a</w:t>
            </w:r>
            <w:r w:rsidR="0010215F">
              <w:t>nnual levy*</w:t>
            </w:r>
          </w:p>
        </w:tc>
        <w:tc>
          <w:tcPr>
            <w:tcW w:w="2324" w:type="dxa"/>
            <w:shd w:val="clear" w:color="auto" w:fill="C2E3FA"/>
          </w:tcPr>
          <w:p w14:paraId="589376CE" w14:textId="77777777" w:rsidR="0010215F" w:rsidRPr="000540E1" w:rsidRDefault="0010215F" w:rsidP="00BE1313">
            <w:pPr>
              <w:pStyle w:val="tablehead"/>
            </w:pPr>
            <w:r>
              <w:t>Amount to be recovered</w:t>
            </w:r>
          </w:p>
        </w:tc>
      </w:tr>
      <w:tr w:rsidR="0010215F" w:rsidRPr="000540E1" w14:paraId="41548E17" w14:textId="77777777" w:rsidTr="0005755C">
        <w:trPr>
          <w:cantSplit/>
        </w:trPr>
        <w:tc>
          <w:tcPr>
            <w:tcW w:w="2665" w:type="dxa"/>
            <w:vAlign w:val="center"/>
          </w:tcPr>
          <w:p w14:paraId="1A92BEEE" w14:textId="07ECD058" w:rsidR="0010215F" w:rsidRPr="000540E1" w:rsidRDefault="0010215F" w:rsidP="007B54F6">
            <w:pPr>
              <w:pStyle w:val="tbltext"/>
            </w:pPr>
            <w:r w:rsidRPr="008E2393">
              <w:t xml:space="preserve">Registered company auditors </w:t>
            </w:r>
          </w:p>
        </w:tc>
        <w:tc>
          <w:tcPr>
            <w:tcW w:w="1928" w:type="dxa"/>
            <w:vAlign w:val="center"/>
          </w:tcPr>
          <w:p w14:paraId="0AB36969" w14:textId="23016AE8" w:rsidR="0010215F" w:rsidRPr="000540E1" w:rsidRDefault="0010215F" w:rsidP="007B54F6">
            <w:pPr>
              <w:pStyle w:val="tbltext"/>
            </w:pPr>
            <w:r w:rsidRPr="008E2393">
              <w:t>4,700</w:t>
            </w:r>
          </w:p>
        </w:tc>
        <w:tc>
          <w:tcPr>
            <w:tcW w:w="2211" w:type="dxa"/>
            <w:vAlign w:val="center"/>
          </w:tcPr>
          <w:p w14:paraId="1FDF966C" w14:textId="086F0856" w:rsidR="0010215F" w:rsidRPr="000540E1" w:rsidRDefault="0010215F" w:rsidP="007B54F6">
            <w:pPr>
              <w:pStyle w:val="tbltext"/>
            </w:pPr>
            <w:r w:rsidRPr="008E2393">
              <w:t>$170</w:t>
            </w:r>
          </w:p>
        </w:tc>
        <w:tc>
          <w:tcPr>
            <w:tcW w:w="2324" w:type="dxa"/>
            <w:vAlign w:val="center"/>
          </w:tcPr>
          <w:p w14:paraId="5F9A6654" w14:textId="269F6FFF" w:rsidR="0010215F" w:rsidRPr="000540E1" w:rsidRDefault="0010215F" w:rsidP="007B54F6">
            <w:pPr>
              <w:pStyle w:val="tbltext"/>
            </w:pPr>
            <w:r>
              <w:t>$0.8 million</w:t>
            </w:r>
          </w:p>
        </w:tc>
      </w:tr>
    </w:tbl>
    <w:p w14:paraId="532E8EE1" w14:textId="5E257427" w:rsidR="007C3F29" w:rsidRPr="0022218B" w:rsidRDefault="0010215F" w:rsidP="0010215F">
      <w:pPr>
        <w:pStyle w:val="sourcenotefullwidth"/>
      </w:pPr>
      <w:r w:rsidRPr="006D7C55">
        <w:rPr>
          <w:sz w:val="18"/>
        </w:rPr>
        <w:t>*</w:t>
      </w:r>
      <w:r w:rsidRPr="006D7C55">
        <w:t xml:space="preserve"> Annual levy amount has been rounded.</w:t>
      </w:r>
    </w:p>
    <w:p w14:paraId="1D153FB6" w14:textId="77777777" w:rsidR="007C3F29" w:rsidRDefault="007C3F29" w:rsidP="00BE1313">
      <w:pPr>
        <w:pStyle w:val="Heading3"/>
      </w:pPr>
      <w:bookmarkStart w:id="90" w:name="_Toc462677677"/>
      <w:bookmarkStart w:id="91" w:name="_Toc462697126"/>
      <w:bookmarkStart w:id="92" w:name="_Toc462698937"/>
      <w:bookmarkStart w:id="93" w:name="_Toc462700173"/>
      <w:bookmarkStart w:id="94" w:name="_Toc462700854"/>
      <w:r w:rsidRPr="008E2393">
        <w:t>Registered liquidators</w:t>
      </w:r>
      <w:bookmarkEnd w:id="90"/>
      <w:bookmarkEnd w:id="91"/>
      <w:bookmarkEnd w:id="92"/>
      <w:bookmarkEnd w:id="93"/>
      <w:bookmarkEnd w:id="94"/>
    </w:p>
    <w:p w14:paraId="5339E1B0" w14:textId="40A48BFA" w:rsidR="007C3F29" w:rsidRDefault="00676D6D" w:rsidP="0010215F">
      <w:pPr>
        <w:pStyle w:val="BodyText"/>
      </w:pPr>
      <w:r>
        <w:t>ASIC proposes that r</w:t>
      </w:r>
      <w:r w:rsidR="007C3F29">
        <w:t>egistered liquidators will pay a fixed levy per registere</w:t>
      </w:r>
      <w:r w:rsidR="007C3F29" w:rsidRPr="00797452">
        <w:t xml:space="preserve">d liquidator plus a </w:t>
      </w:r>
      <w:r w:rsidR="007C3F29" w:rsidRPr="001170A2">
        <w:t>graduated levy</w:t>
      </w:r>
      <w:r w:rsidR="007C3F29" w:rsidRPr="00797452">
        <w:t xml:space="preserve"> based on the number of external administration appointments accepted during the financial year.</w:t>
      </w:r>
      <w:r w:rsidR="007C3F29">
        <w:t xml:space="preserve"> </w:t>
      </w:r>
    </w:p>
    <w:p w14:paraId="5A1C78D9" w14:textId="14C64EBF" w:rsidR="0010215F" w:rsidRDefault="007C3F29" w:rsidP="00BE1313">
      <w:pPr>
        <w:pStyle w:val="BodyText"/>
      </w:pPr>
      <w:r>
        <w:t>Of the levy options set out in the August 2015 consultation paper, this approach is based on a readily available, easily understood metric that most accurately reflects ASIC</w:t>
      </w:r>
      <w:r w:rsidR="0003187F">
        <w:t>’</w:t>
      </w:r>
      <w:r>
        <w:t>s regulatory effort s</w:t>
      </w:r>
      <w:r w:rsidR="00714D0C">
        <w:t>pent on registered liquidators.</w:t>
      </w:r>
      <w:r>
        <w:t xml:space="preserve"> In addition, this approach will provide greater certainty for registered liquidators who wish to better estimate th</w:t>
      </w:r>
      <w:r w:rsidR="00BE1313">
        <w:t>e levy they will pay each year.</w:t>
      </w:r>
    </w:p>
    <w:p w14:paraId="1625B751" w14:textId="0CE67130" w:rsidR="00A64016" w:rsidRDefault="00A64016" w:rsidP="00A64016">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8</w:t>
      </w:r>
      <w:r w:rsidR="003D3E81">
        <w:rPr>
          <w:noProof/>
        </w:rPr>
        <w:fldChar w:fldCharType="end"/>
      </w:r>
      <w:r>
        <w:t>:</w:t>
      </w:r>
      <w:r>
        <w:tab/>
      </w:r>
      <w:r w:rsidRPr="00BE1313">
        <w:t>Proposed levy arrangements – Registered liquidators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11"/>
        <w:gridCol w:w="1984"/>
        <w:gridCol w:w="3231"/>
        <w:gridCol w:w="1644"/>
      </w:tblGrid>
      <w:tr w:rsidR="0005755C" w:rsidRPr="000540E1" w14:paraId="1D5B39B6" w14:textId="77777777" w:rsidTr="0005755C">
        <w:trPr>
          <w:cantSplit/>
          <w:tblHeader/>
        </w:trPr>
        <w:tc>
          <w:tcPr>
            <w:tcW w:w="2211" w:type="dxa"/>
            <w:shd w:val="clear" w:color="auto" w:fill="C2E3FA"/>
          </w:tcPr>
          <w:p w14:paraId="3FF65161" w14:textId="2009F2AE" w:rsidR="00A64016" w:rsidRPr="000540E1" w:rsidRDefault="00A64016" w:rsidP="00A64016">
            <w:pPr>
              <w:pStyle w:val="tablehead"/>
            </w:pPr>
            <w:r>
              <w:t>Subsector</w:t>
            </w:r>
          </w:p>
        </w:tc>
        <w:tc>
          <w:tcPr>
            <w:tcW w:w="1984" w:type="dxa"/>
            <w:shd w:val="clear" w:color="auto" w:fill="C2E3FA"/>
          </w:tcPr>
          <w:p w14:paraId="679CBD7E" w14:textId="4808B6E0" w:rsidR="00A64016" w:rsidRPr="000540E1" w:rsidRDefault="00A64016" w:rsidP="00A64016">
            <w:pPr>
              <w:pStyle w:val="tablehead"/>
            </w:pPr>
            <w:r>
              <w:t>Number of entities</w:t>
            </w:r>
          </w:p>
        </w:tc>
        <w:tc>
          <w:tcPr>
            <w:tcW w:w="3231" w:type="dxa"/>
            <w:shd w:val="clear" w:color="auto" w:fill="C2E3FA"/>
          </w:tcPr>
          <w:p w14:paraId="031E8104" w14:textId="648ABEA9" w:rsidR="00A64016" w:rsidRPr="000540E1" w:rsidRDefault="00676D6D" w:rsidP="00A64016">
            <w:pPr>
              <w:pStyle w:val="tablehead"/>
            </w:pPr>
            <w:r>
              <w:t>Proposed a</w:t>
            </w:r>
            <w:r w:rsidR="00A64016">
              <w:t>nnual levy*</w:t>
            </w:r>
          </w:p>
        </w:tc>
        <w:tc>
          <w:tcPr>
            <w:tcW w:w="1644" w:type="dxa"/>
            <w:shd w:val="clear" w:color="auto" w:fill="C2E3FA"/>
          </w:tcPr>
          <w:p w14:paraId="44481BB1" w14:textId="1E8B792E" w:rsidR="00A64016" w:rsidRPr="000540E1" w:rsidRDefault="00A64016" w:rsidP="00A64016">
            <w:pPr>
              <w:pStyle w:val="tablehead"/>
            </w:pPr>
            <w:r>
              <w:t>Amount to be recovered</w:t>
            </w:r>
          </w:p>
        </w:tc>
      </w:tr>
      <w:tr w:rsidR="0005755C" w:rsidRPr="000540E1" w14:paraId="0312296D" w14:textId="77777777" w:rsidTr="0005755C">
        <w:trPr>
          <w:cantSplit/>
        </w:trPr>
        <w:tc>
          <w:tcPr>
            <w:tcW w:w="2211" w:type="dxa"/>
            <w:vAlign w:val="center"/>
          </w:tcPr>
          <w:p w14:paraId="4FC1AE84" w14:textId="6E8F956B" w:rsidR="00A64016" w:rsidRPr="000540E1" w:rsidRDefault="00A64016" w:rsidP="00A64016">
            <w:pPr>
              <w:pStyle w:val="tbltext"/>
            </w:pPr>
            <w:r w:rsidRPr="008E2393">
              <w:t>Registered liquidators</w:t>
            </w:r>
          </w:p>
        </w:tc>
        <w:tc>
          <w:tcPr>
            <w:tcW w:w="1984" w:type="dxa"/>
            <w:vAlign w:val="center"/>
          </w:tcPr>
          <w:p w14:paraId="5450EF05" w14:textId="1564279B" w:rsidR="00A64016" w:rsidRPr="000540E1" w:rsidRDefault="00A64016" w:rsidP="00FC1A91">
            <w:pPr>
              <w:pStyle w:val="tbltext"/>
            </w:pPr>
            <w:r>
              <w:t>710</w:t>
            </w:r>
          </w:p>
        </w:tc>
        <w:tc>
          <w:tcPr>
            <w:tcW w:w="3231" w:type="dxa"/>
            <w:vAlign w:val="center"/>
          </w:tcPr>
          <w:p w14:paraId="3FEE7054" w14:textId="3E5010D8" w:rsidR="00A64016" w:rsidRPr="000540E1" w:rsidRDefault="00A64016" w:rsidP="00FC1A91">
            <w:pPr>
              <w:pStyle w:val="tbltext"/>
            </w:pPr>
            <w:r w:rsidRPr="00A648ED">
              <w:t xml:space="preserve">Fixed levy of $5,000 </w:t>
            </w:r>
            <w:r>
              <w:t>payable by all registered liquidators</w:t>
            </w:r>
            <w:r w:rsidRPr="00A648ED">
              <w:t xml:space="preserve"> plus a levy of $550</w:t>
            </w:r>
            <w:r>
              <w:t>*</w:t>
            </w:r>
            <w:r w:rsidRPr="00A648ED">
              <w:t xml:space="preserve"> per </w:t>
            </w:r>
            <w:r w:rsidRPr="0029445C">
              <w:t>appointment of the registered liquidator</w:t>
            </w:r>
          </w:p>
        </w:tc>
        <w:tc>
          <w:tcPr>
            <w:tcW w:w="1644" w:type="dxa"/>
            <w:vAlign w:val="center"/>
          </w:tcPr>
          <w:p w14:paraId="3958145E" w14:textId="20A2F667" w:rsidR="00A64016" w:rsidRPr="000540E1" w:rsidRDefault="00A64016" w:rsidP="00FC1A91">
            <w:pPr>
              <w:pStyle w:val="tbltext"/>
            </w:pPr>
            <w:r>
              <w:t>$8.5 million</w:t>
            </w:r>
          </w:p>
        </w:tc>
      </w:tr>
    </w:tbl>
    <w:p w14:paraId="5345A8D0" w14:textId="4CD9FDDB" w:rsidR="00A64016" w:rsidRDefault="00A64016" w:rsidP="001149DE">
      <w:pPr>
        <w:pStyle w:val="tblnote"/>
        <w:ind w:left="0"/>
      </w:pPr>
      <w:r>
        <w:t>* Based on total appointment</w:t>
      </w:r>
      <w:r w:rsidR="006F2C40">
        <w:t>s</w:t>
      </w:r>
      <w:r>
        <w:t xml:space="preserve"> during the financial year of 9,000.</w:t>
      </w:r>
    </w:p>
    <w:p w14:paraId="739F1149" w14:textId="16679C1D" w:rsidR="007C3F29" w:rsidRDefault="007C3F29" w:rsidP="0010215F">
      <w:pPr>
        <w:pStyle w:val="BodyText"/>
      </w:pPr>
      <w:r w:rsidRPr="008E2393">
        <w:t>The August 2015 consultation paper set</w:t>
      </w:r>
      <w:r w:rsidR="00F425AE">
        <w:t>s</w:t>
      </w:r>
      <w:r w:rsidRPr="008E2393">
        <w:t xml:space="preserve"> out three possible options for a levy to recover ASIC’s costs of regulating registered liquidators. </w:t>
      </w:r>
    </w:p>
    <w:p w14:paraId="38672537" w14:textId="77777777" w:rsidR="007C3F29" w:rsidRPr="008E2393" w:rsidRDefault="007C3F29" w:rsidP="0010215F">
      <w:pPr>
        <w:pStyle w:val="BodyText"/>
      </w:pPr>
      <w:r w:rsidRPr="008E2393">
        <w:t>The three options were: a flat levy, a levy based on assets realised during insolvency or a levy based on the number of administration appointments (new and ongoing) undertaken each year.</w:t>
      </w:r>
    </w:p>
    <w:p w14:paraId="680B8705" w14:textId="66ABC795" w:rsidR="007C3F29" w:rsidRDefault="007C3F29" w:rsidP="0010215F">
      <w:pPr>
        <w:pStyle w:val="BodyText"/>
      </w:pPr>
      <w:r w:rsidRPr="008E2393">
        <w:t xml:space="preserve">Submissions </w:t>
      </w:r>
      <w:r>
        <w:t xml:space="preserve">generally </w:t>
      </w:r>
      <w:r w:rsidRPr="008E2393">
        <w:t>preferred the ‘assets realised’ option</w:t>
      </w:r>
      <w:r>
        <w:t xml:space="preserve"> as this</w:t>
      </w:r>
      <w:r w:rsidRPr="008E2393">
        <w:t xml:space="preserve"> option ha</w:t>
      </w:r>
      <w:r>
        <w:t>d</w:t>
      </w:r>
      <w:r w:rsidRPr="008E2393">
        <w:t xml:space="preserve"> the </w:t>
      </w:r>
      <w:r>
        <w:t xml:space="preserve">perceived </w:t>
      </w:r>
      <w:r w:rsidRPr="008E2393">
        <w:t>benefit of harmonisation of bankruptcy and corporate insolvency laws</w:t>
      </w:r>
      <w:r>
        <w:t>, but noted this methodology may increase the reporting burden on industry and be open to avoidance</w:t>
      </w:r>
      <w:r w:rsidRPr="008E2393">
        <w:t xml:space="preserve">. </w:t>
      </w:r>
      <w:r>
        <w:t xml:space="preserve">Further, information about assets realised on a financial year basis is not readily available at present. Therefore, it is difficult to reliably estimate the amount of the levy. </w:t>
      </w:r>
    </w:p>
    <w:p w14:paraId="1FB6027A" w14:textId="4C341D23" w:rsidR="002D1ABB" w:rsidRPr="00D35BF3" w:rsidRDefault="007C3F29" w:rsidP="00D35BF3">
      <w:pPr>
        <w:pStyle w:val="BodyText"/>
      </w:pPr>
      <w:r>
        <w:t xml:space="preserve">ASIC acknowledges the </w:t>
      </w:r>
      <w:r w:rsidR="0003187F">
        <w:t>‘</w:t>
      </w:r>
      <w:r>
        <w:t>assets realised</w:t>
      </w:r>
      <w:r w:rsidR="0003187F">
        <w:t>’</w:t>
      </w:r>
      <w:r>
        <w:t xml:space="preserve"> option is worthy of further consideration, and proposes to collect relevant information from registered liquidators to assist Government consideration on whether to implement this option at a later date. </w:t>
      </w:r>
    </w:p>
    <w:p w14:paraId="62FA1661" w14:textId="064E94BC" w:rsidR="007C3F29" w:rsidRDefault="007C3F29" w:rsidP="0010215F">
      <w:pPr>
        <w:pStyle w:val="BodyText"/>
      </w:pPr>
      <w:r>
        <w:t>ASIC</w:t>
      </w:r>
      <w:r w:rsidR="0003187F">
        <w:t>’</w:t>
      </w:r>
      <w:r>
        <w:t xml:space="preserve">s current view is that a levy incorporating an element based on the number of external administration appointments accepted during the year is more appropriate because it is objective, simple and best reflects regulatory effort for the </w:t>
      </w:r>
      <w:r w:rsidR="00D35BF3">
        <w:t>sub</w:t>
      </w:r>
      <w:r>
        <w:t>sector. Also, a levy based on assets realised during insolvency may lead to the following unintended consequences:</w:t>
      </w:r>
    </w:p>
    <w:p w14:paraId="2F3972D6" w14:textId="0639CEF8" w:rsidR="007C3F29" w:rsidRDefault="007C3F29" w:rsidP="000B5B80">
      <w:pPr>
        <w:pStyle w:val="subparaa"/>
        <w:ind w:left="1559"/>
      </w:pPr>
      <w:r w:rsidRPr="00A648ED">
        <w:t xml:space="preserve">uncertainty </w:t>
      </w:r>
      <w:r>
        <w:t xml:space="preserve">for registered liquidators arising from the need for them to </w:t>
      </w:r>
      <w:r w:rsidRPr="00A648ED">
        <w:t>estimat</w:t>
      </w:r>
      <w:r>
        <w:t>e</w:t>
      </w:r>
      <w:r w:rsidRPr="00A648ED">
        <w:t xml:space="preserve"> gross realisations</w:t>
      </w:r>
      <w:r>
        <w:t xml:space="preserve"> (and, hence, their anticipated levy) in advance of a levy calculated at the end of a year (based on actual asset realisations)</w:t>
      </w:r>
    </w:p>
    <w:p w14:paraId="49F74F49" w14:textId="05C84AE6" w:rsidR="007C3F29" w:rsidRPr="00A648ED" w:rsidRDefault="007C3F29" w:rsidP="000B5B80">
      <w:pPr>
        <w:pStyle w:val="subparaa"/>
        <w:ind w:left="1559"/>
      </w:pPr>
      <w:r>
        <w:t>providing a financial incen</w:t>
      </w:r>
      <w:r w:rsidR="00714D0C">
        <w:t xml:space="preserve">tive to reduce assets realised </w:t>
      </w:r>
      <w:r>
        <w:t>through formal administrations</w:t>
      </w:r>
    </w:p>
    <w:p w14:paraId="2FA991AA" w14:textId="77777777" w:rsidR="007C3F29" w:rsidRDefault="007C3F29" w:rsidP="000B5B80">
      <w:pPr>
        <w:pStyle w:val="subparaa"/>
        <w:ind w:left="1559"/>
      </w:pPr>
      <w:r>
        <w:t>p</w:t>
      </w:r>
      <w:r w:rsidRPr="00A648ED">
        <w:t xml:space="preserve">romoting illegal activity </w:t>
      </w:r>
      <w:r>
        <w:t>through advisers and registered liquidators</w:t>
      </w:r>
      <w:r w:rsidRPr="00A648ED">
        <w:t xml:space="preserve"> ensuring that directors r</w:t>
      </w:r>
      <w:r>
        <w:t>ealise company assets outside of a formal administration; thereby avoiding the levy</w:t>
      </w:r>
    </w:p>
    <w:p w14:paraId="73A2FE7A" w14:textId="2AD9EEDA" w:rsidR="007C3F29" w:rsidRDefault="007C3F29" w:rsidP="000B5B80">
      <w:pPr>
        <w:pStyle w:val="subparaa"/>
        <w:ind w:left="1559"/>
        <w:rPr>
          <w:rFonts w:ascii="Helv" w:hAnsi="Helv"/>
          <w:color w:val="000000"/>
          <w:sz w:val="20"/>
        </w:rPr>
      </w:pPr>
      <w:r>
        <w:t>additional regulatory costs for the subsector because of the need to supervise the matters set out above.</w:t>
      </w:r>
    </w:p>
    <w:p w14:paraId="4F097559" w14:textId="77777777" w:rsidR="007C3F29" w:rsidRPr="008E2393" w:rsidRDefault="007C3F29" w:rsidP="0010215F">
      <w:pPr>
        <w:pStyle w:val="BodyText"/>
      </w:pPr>
      <w:r>
        <w:t>Some s</w:t>
      </w:r>
      <w:r w:rsidRPr="008E2393">
        <w:t>ubmissions regarded the flat levy option</w:t>
      </w:r>
      <w:r w:rsidRPr="008E2393" w:rsidDel="00993C9C">
        <w:t xml:space="preserve"> </w:t>
      </w:r>
      <w:r w:rsidRPr="008E2393">
        <w:t>as anti-competitive</w:t>
      </w:r>
      <w:r>
        <w:t>;</w:t>
      </w:r>
      <w:r w:rsidRPr="008E2393">
        <w:t xml:space="preserve"> pushing up barriers to entry and disproportionately impact</w:t>
      </w:r>
      <w:r>
        <w:t>ing</w:t>
      </w:r>
      <w:r w:rsidRPr="008E2393">
        <w:t xml:space="preserve"> small operators. Submissions</w:t>
      </w:r>
      <w:r>
        <w:t xml:space="preserve"> suggested that</w:t>
      </w:r>
      <w:r w:rsidRPr="008E2393">
        <w:t xml:space="preserve"> the</w:t>
      </w:r>
      <w:r>
        <w:t xml:space="preserve"> </w:t>
      </w:r>
      <w:r w:rsidRPr="008E2393">
        <w:t>quantum of the flat levy would mean some small liquidators pay</w:t>
      </w:r>
      <w:r>
        <w:t>ing</w:t>
      </w:r>
      <w:r w:rsidRPr="008E2393">
        <w:t xml:space="preserve"> a </w:t>
      </w:r>
      <w:r>
        <w:t>levy</w:t>
      </w:r>
      <w:r w:rsidRPr="008E2393">
        <w:t xml:space="preserve"> significantly higher than their cost of regulation which could result in a material number of registered liquidators leaving the industry. </w:t>
      </w:r>
    </w:p>
    <w:p w14:paraId="38E7A7E1" w14:textId="72C5C09B" w:rsidR="007C3F29" w:rsidRDefault="007C3F29" w:rsidP="0010215F">
      <w:pPr>
        <w:pStyle w:val="BodyText"/>
      </w:pPr>
      <w:r>
        <w:t>Some s</w:t>
      </w:r>
      <w:r w:rsidRPr="008E2393">
        <w:t xml:space="preserve">ubmissions </w:t>
      </w:r>
      <w:r>
        <w:t>expressed concerns about a</w:t>
      </w:r>
      <w:r w:rsidRPr="008E2393">
        <w:t xml:space="preserve"> model based on the number </w:t>
      </w:r>
      <w:r>
        <w:t xml:space="preserve">of </w:t>
      </w:r>
      <w:r w:rsidRPr="008E2393">
        <w:t xml:space="preserve">external administration appointments </w:t>
      </w:r>
      <w:r>
        <w:t>noting</w:t>
      </w:r>
      <w:r w:rsidRPr="008E2393">
        <w:t xml:space="preserve"> </w:t>
      </w:r>
      <w:r>
        <w:t xml:space="preserve">there is little </w:t>
      </w:r>
      <w:r w:rsidRPr="008E2393">
        <w:t>correlation</w:t>
      </w:r>
      <w:r>
        <w:t xml:space="preserve"> </w:t>
      </w:r>
      <w:r w:rsidRPr="008E2393">
        <w:t xml:space="preserve">between </w:t>
      </w:r>
      <w:r>
        <w:t>regulatory</w:t>
      </w:r>
      <w:r w:rsidRPr="008E2393">
        <w:t xml:space="preserve"> risk</w:t>
      </w:r>
      <w:r>
        <w:t xml:space="preserve">, ASIC </w:t>
      </w:r>
      <w:r w:rsidRPr="008E2393">
        <w:t>oversight</w:t>
      </w:r>
      <w:r>
        <w:t xml:space="preserve"> and the number of appointments</w:t>
      </w:r>
      <w:r w:rsidRPr="008E2393">
        <w:t xml:space="preserve">. </w:t>
      </w:r>
      <w:r>
        <w:t>T</w:t>
      </w:r>
      <w:r w:rsidRPr="008E2393">
        <w:t xml:space="preserve">he consultation feedback </w:t>
      </w:r>
      <w:r>
        <w:t xml:space="preserve">also </w:t>
      </w:r>
      <w:r w:rsidRPr="008E2393">
        <w:t xml:space="preserve">suggested </w:t>
      </w:r>
      <w:r>
        <w:t>this</w:t>
      </w:r>
      <w:r w:rsidRPr="008E2393">
        <w:t xml:space="preserve"> </w:t>
      </w:r>
      <w:r>
        <w:t xml:space="preserve">approach could </w:t>
      </w:r>
      <w:r w:rsidRPr="008E2393">
        <w:t>negatively affect high-volume, lower margin market segments which service small to medium enterprises.</w:t>
      </w:r>
      <w:r>
        <w:t xml:space="preserve"> However, as stated above, ASIC considers that a levy methodology </w:t>
      </w:r>
      <w:r w:rsidR="00676D6D">
        <w:t xml:space="preserve">which proposes </w:t>
      </w:r>
      <w:r>
        <w:t>a fixed</w:t>
      </w:r>
      <w:r w:rsidR="007839C8">
        <w:t xml:space="preserve"> component</w:t>
      </w:r>
      <w:r>
        <w:t xml:space="preserve"> and</w:t>
      </w:r>
      <w:r w:rsidR="007839C8">
        <w:t xml:space="preserve"> a</w:t>
      </w:r>
      <w:r>
        <w:t xml:space="preserve"> </w:t>
      </w:r>
      <w:r w:rsidR="00676D6D">
        <w:t>graduated</w:t>
      </w:r>
      <w:r>
        <w:t xml:space="preserve"> </w:t>
      </w:r>
      <w:r w:rsidR="00676D6D">
        <w:t xml:space="preserve">component </w:t>
      </w:r>
      <w:r>
        <w:t>based on the number of external administration appointments optimises the model design principles outlined by Treasury by using an objective, simple and proportional metric that is readily available.</w:t>
      </w:r>
      <w:r w:rsidDel="00B5367E">
        <w:t xml:space="preserve"> </w:t>
      </w:r>
    </w:p>
    <w:p w14:paraId="6B068015" w14:textId="632FAD5E" w:rsidR="00BE1313" w:rsidRDefault="00BE1313" w:rsidP="005D46E5">
      <w:pPr>
        <w:pStyle w:val="Heading2"/>
      </w:pPr>
      <w:bookmarkStart w:id="95" w:name="_Toc463544594"/>
      <w:bookmarkStart w:id="96" w:name="_Toc463595196"/>
      <w:bookmarkStart w:id="97" w:name="_Toc464140307"/>
      <w:bookmarkStart w:id="98" w:name="_Toc466020959"/>
      <w:r>
        <w:t>Example</w:t>
      </w:r>
      <w:r w:rsidR="00676D6D">
        <w:t>s of proposed</w:t>
      </w:r>
      <w:r>
        <w:t xml:space="preserve"> levies</w:t>
      </w:r>
      <w:bookmarkEnd w:id="95"/>
      <w:bookmarkEnd w:id="96"/>
      <w:bookmarkEnd w:id="97"/>
      <w:bookmarkEnd w:id="98"/>
    </w:p>
    <w:p w14:paraId="62268067" w14:textId="487FFC39" w:rsidR="00BE1313" w:rsidRDefault="00BE1313" w:rsidP="00BE1313">
      <w:pPr>
        <w:pStyle w:val="KPhead"/>
        <w:ind w:left="0"/>
      </w:pPr>
      <w:r>
        <w:t>Example 1</w:t>
      </w:r>
    </w:p>
    <w:p w14:paraId="35C2F94B" w14:textId="591371EA" w:rsidR="006B1992" w:rsidRDefault="006B1992" w:rsidP="006B1992">
      <w:pPr>
        <w:pStyle w:val="KPtext"/>
        <w:ind w:left="0"/>
      </w:pPr>
      <w:r>
        <w:t>Company A is a publicly listed, disclosing company with a market capitalisation as at 30 June of $8.75</w:t>
      </w:r>
      <w:r w:rsidR="00F425AE">
        <w:t> </w:t>
      </w:r>
      <w:r>
        <w:t>billion.</w:t>
      </w:r>
    </w:p>
    <w:p w14:paraId="56239C11" w14:textId="428F62FB" w:rsidR="00BE1313" w:rsidRDefault="00BE1313" w:rsidP="00BE1313">
      <w:pPr>
        <w:pStyle w:val="KPtext"/>
        <w:ind w:left="0"/>
      </w:pPr>
      <w:r>
        <w:t>Company A</w:t>
      </w:r>
      <w:r w:rsidR="0003187F">
        <w:t>’</w:t>
      </w:r>
      <w:r>
        <w:t>s indicative annual levy is:</w:t>
      </w:r>
    </w:p>
    <w:p w14:paraId="4E884278" w14:textId="408C1A07" w:rsidR="006B1992" w:rsidRDefault="006B1992" w:rsidP="00A24E2C">
      <w:pPr>
        <w:pStyle w:val="KPtext"/>
        <w:tabs>
          <w:tab w:val="right" w:pos="8931"/>
        </w:tabs>
        <w:ind w:left="0" w:firstLine="360"/>
      </w:pPr>
      <w:r>
        <w:t>The minimum levy for public companies (listed, disclosing)</w:t>
      </w:r>
      <w:r w:rsidR="00F66DDE">
        <w:tab/>
      </w:r>
      <w:r>
        <w:t>$4,000</w:t>
      </w:r>
    </w:p>
    <w:p w14:paraId="7E2B9551" w14:textId="74F2F619" w:rsidR="006B1992" w:rsidRDefault="006B1992" w:rsidP="00A24E2C">
      <w:pPr>
        <w:pStyle w:val="KPtext"/>
        <w:tabs>
          <w:tab w:val="right" w:pos="8931"/>
        </w:tabs>
        <w:ind w:left="0" w:firstLine="360"/>
      </w:pPr>
      <w:r>
        <w:t>A graduated levy of $0.</w:t>
      </w:r>
      <w:r w:rsidR="007F275E">
        <w:t xml:space="preserve">33 </w:t>
      </w:r>
      <w:r>
        <w:t>per $10,000 of market capitalisation above $5 million</w:t>
      </w:r>
      <w:r>
        <w:tab/>
        <w:t>$</w:t>
      </w:r>
      <w:r w:rsidR="00F03952">
        <w:t>288,585</w:t>
      </w:r>
      <w:r w:rsidR="00A24E2C">
        <w:br/>
      </w:r>
      <w:r w:rsidR="00F66DDE">
        <w:tab/>
      </w:r>
      <w:r>
        <w:t>($0.</w:t>
      </w:r>
      <w:r w:rsidR="007F275E">
        <w:t xml:space="preserve">33 </w:t>
      </w:r>
      <w:r>
        <w:t>x $8.745 billion / $10,000)</w:t>
      </w:r>
    </w:p>
    <w:p w14:paraId="4520C341" w14:textId="64979714" w:rsidR="00BE1313" w:rsidRPr="00105A6A" w:rsidRDefault="006B1992" w:rsidP="00A24E2C">
      <w:pPr>
        <w:pStyle w:val="KPtext"/>
        <w:tabs>
          <w:tab w:val="right" w:pos="8931"/>
        </w:tabs>
        <w:ind w:left="0"/>
        <w:rPr>
          <w:b/>
        </w:rPr>
      </w:pPr>
      <w:r w:rsidRPr="006B1992">
        <w:rPr>
          <w:b/>
        </w:rPr>
        <w:t>Total indicative levy for company A:</w:t>
      </w:r>
      <w:r w:rsidR="00F66DDE">
        <w:rPr>
          <w:b/>
        </w:rPr>
        <w:tab/>
      </w:r>
      <w:r w:rsidR="00A64016">
        <w:rPr>
          <w:b/>
        </w:rPr>
        <w:t xml:space="preserve"> </w:t>
      </w:r>
      <w:r w:rsidRPr="006B1992">
        <w:rPr>
          <w:b/>
        </w:rPr>
        <w:t>$</w:t>
      </w:r>
      <w:r w:rsidR="00F03952" w:rsidRPr="006B1992">
        <w:rPr>
          <w:b/>
        </w:rPr>
        <w:t>2</w:t>
      </w:r>
      <w:r w:rsidR="00F03952">
        <w:rPr>
          <w:b/>
        </w:rPr>
        <w:t>92</w:t>
      </w:r>
      <w:r w:rsidRPr="006B1992">
        <w:rPr>
          <w:b/>
        </w:rPr>
        <w:t>,</w:t>
      </w:r>
      <w:r w:rsidR="00F03952">
        <w:rPr>
          <w:b/>
        </w:rPr>
        <w:t>58</w:t>
      </w:r>
      <w:r w:rsidR="00F03952" w:rsidRPr="006B1992">
        <w:rPr>
          <w:b/>
        </w:rPr>
        <w:t>5</w:t>
      </w:r>
    </w:p>
    <w:p w14:paraId="5B42B96B" w14:textId="5E9AED1E" w:rsidR="00105A6A" w:rsidRDefault="00105A6A" w:rsidP="00105A6A">
      <w:pPr>
        <w:pStyle w:val="KPhead"/>
        <w:ind w:left="0"/>
      </w:pPr>
      <w:r>
        <w:t>Example 2</w:t>
      </w:r>
    </w:p>
    <w:p w14:paraId="19AB18F8" w14:textId="5A18CF81" w:rsidR="00105A6A" w:rsidRPr="00170523" w:rsidRDefault="00105A6A" w:rsidP="00105A6A">
      <w:pPr>
        <w:pStyle w:val="KPtext"/>
        <w:ind w:left="0"/>
      </w:pPr>
      <w:r w:rsidRPr="00170523">
        <w:t>Company B is a large proprietary company, registered as an authorised audit company. Their audit fee revenue from auditing listed entities was equal to $8 million in 2016</w:t>
      </w:r>
      <w:r w:rsidR="00D11144">
        <w:t>–</w:t>
      </w:r>
      <w:r w:rsidR="00A24E2C">
        <w:t>17.</w:t>
      </w:r>
    </w:p>
    <w:p w14:paraId="53E9AA66" w14:textId="1B42D466" w:rsidR="00105A6A" w:rsidRDefault="00105A6A" w:rsidP="00105A6A">
      <w:pPr>
        <w:pStyle w:val="KPtext"/>
        <w:ind w:left="0"/>
      </w:pPr>
      <w:r w:rsidRPr="00170523">
        <w:t xml:space="preserve">The </w:t>
      </w:r>
      <w:r>
        <w:t>total audit fee revenue for the sector was</w:t>
      </w:r>
      <w:r w:rsidRPr="00170523">
        <w:t xml:space="preserve"> $150 million </w:t>
      </w:r>
      <w:r>
        <w:t xml:space="preserve">in </w:t>
      </w:r>
      <w:r w:rsidR="00714D0C">
        <w:t xml:space="preserve">2016-17. </w:t>
      </w:r>
      <w:r w:rsidRPr="00452353">
        <w:t>ASIC’s costs to regulate authorised audit companies and audit firms that</w:t>
      </w:r>
      <w:r>
        <w:t xml:space="preserve"> audit listed entities was </w:t>
      </w:r>
      <w:r w:rsidRPr="00452353">
        <w:t>$</w:t>
      </w:r>
      <w:r>
        <w:t>4</w:t>
      </w:r>
      <w:r w:rsidRPr="00452353">
        <w:t>.</w:t>
      </w:r>
      <w:r>
        <w:t>3</w:t>
      </w:r>
      <w:r w:rsidRPr="00452353">
        <w:t xml:space="preserve"> million. </w:t>
      </w:r>
    </w:p>
    <w:p w14:paraId="2345781D" w14:textId="2FF2E45E" w:rsidR="00105A6A" w:rsidRPr="00170523" w:rsidRDefault="00105A6A" w:rsidP="00105A6A">
      <w:pPr>
        <w:pStyle w:val="KPtext"/>
        <w:ind w:left="0"/>
      </w:pPr>
      <w:r w:rsidRPr="00170523">
        <w:t xml:space="preserve">Company B’s </w:t>
      </w:r>
      <w:r>
        <w:t xml:space="preserve">indicative </w:t>
      </w:r>
      <w:r w:rsidRPr="00170523">
        <w:t xml:space="preserve">annual levy </w:t>
      </w:r>
      <w:r>
        <w:t>is</w:t>
      </w:r>
      <w:r w:rsidRPr="00170523">
        <w:t xml:space="preserve">: </w:t>
      </w:r>
    </w:p>
    <w:p w14:paraId="4E9E5F3A" w14:textId="33394F60" w:rsidR="00105A6A" w:rsidRDefault="00105A6A" w:rsidP="00A24E2C">
      <w:pPr>
        <w:pStyle w:val="KPtext"/>
        <w:tabs>
          <w:tab w:val="right" w:pos="8931"/>
        </w:tabs>
        <w:ind w:left="0" w:firstLine="425"/>
      </w:pPr>
      <w:r w:rsidRPr="00170523">
        <w:t xml:space="preserve">The levy </w:t>
      </w:r>
      <w:r w:rsidR="00F66DDE">
        <w:t>for large proprietary companies</w:t>
      </w:r>
      <w:r>
        <w:tab/>
      </w:r>
      <w:r w:rsidRPr="00170523">
        <w:t>$350</w:t>
      </w:r>
    </w:p>
    <w:p w14:paraId="2CAF95D5" w14:textId="3E67D3C2" w:rsidR="00105A6A" w:rsidRPr="00170523" w:rsidRDefault="00105A6A" w:rsidP="00A24E2C">
      <w:pPr>
        <w:pStyle w:val="KPtext"/>
        <w:tabs>
          <w:tab w:val="right" w:pos="8931"/>
        </w:tabs>
        <w:ind w:left="0" w:firstLine="425"/>
      </w:pPr>
      <w:r w:rsidRPr="00170523">
        <w:t xml:space="preserve">A </w:t>
      </w:r>
      <w:r>
        <w:t xml:space="preserve">graduated </w:t>
      </w:r>
      <w:r w:rsidRPr="00170523">
        <w:t>levy for bein</w:t>
      </w:r>
      <w:r>
        <w:t>g an authorised audit company</w:t>
      </w:r>
      <w:r w:rsidR="00F66DDE">
        <w:t xml:space="preserve"> based on audit fee revenue</w:t>
      </w:r>
      <w:r w:rsidRPr="00170523">
        <w:tab/>
        <w:t>$2</w:t>
      </w:r>
      <w:r>
        <w:t>29</w:t>
      </w:r>
      <w:r w:rsidRPr="00170523">
        <w:t>,</w:t>
      </w:r>
      <w:r>
        <w:t>333</w:t>
      </w:r>
      <w:r w:rsidR="00A24E2C">
        <w:br/>
      </w:r>
      <w:r>
        <w:tab/>
        <w:t>($8 million/$150 million</w:t>
      </w:r>
      <w:r w:rsidRPr="00170523">
        <w:t xml:space="preserve"> x $</w:t>
      </w:r>
      <w:r>
        <w:t>4</w:t>
      </w:r>
      <w:r w:rsidRPr="00170523">
        <w:t>.</w:t>
      </w:r>
      <w:r>
        <w:t>3</w:t>
      </w:r>
      <w:r w:rsidRPr="00170523">
        <w:t xml:space="preserve">million) </w:t>
      </w:r>
    </w:p>
    <w:p w14:paraId="139C4D67" w14:textId="0AC40367" w:rsidR="00F66DDE" w:rsidRPr="00F66DDE" w:rsidRDefault="00105A6A" w:rsidP="00A24E2C">
      <w:pPr>
        <w:pStyle w:val="KPtext"/>
        <w:tabs>
          <w:tab w:val="right" w:pos="8931"/>
        </w:tabs>
        <w:ind w:left="0"/>
        <w:rPr>
          <w:b/>
        </w:rPr>
      </w:pPr>
      <w:r w:rsidRPr="00105A6A">
        <w:rPr>
          <w:b/>
        </w:rPr>
        <w:t>Total indicative levy for Company B:</w:t>
      </w:r>
      <w:r w:rsidRPr="00105A6A">
        <w:rPr>
          <w:b/>
        </w:rPr>
        <w:tab/>
        <w:t>$229,683</w:t>
      </w:r>
    </w:p>
    <w:p w14:paraId="0C971600" w14:textId="18C5D5AB" w:rsidR="00F66DDE" w:rsidRDefault="00F66DDE" w:rsidP="00F66DDE">
      <w:pPr>
        <w:pStyle w:val="KPhead"/>
        <w:ind w:left="0"/>
      </w:pPr>
      <w:r>
        <w:t>Example 3</w:t>
      </w:r>
    </w:p>
    <w:p w14:paraId="2B0F5144" w14:textId="15B89D1E" w:rsidR="00F66DDE" w:rsidRPr="00F66DDE" w:rsidRDefault="00F66DDE" w:rsidP="00F66DDE">
      <w:pPr>
        <w:pStyle w:val="KPtext"/>
        <w:ind w:left="0"/>
      </w:pPr>
      <w:r w:rsidRPr="00F66DDE">
        <w:t>Registered Liquidator A operates as a sole trader and accepted 10 external administration appointments during the financial year.</w:t>
      </w:r>
    </w:p>
    <w:p w14:paraId="6A79A50C" w14:textId="77777777" w:rsidR="00F66DDE" w:rsidRPr="003D3A8B" w:rsidRDefault="00F66DDE" w:rsidP="00F66DDE">
      <w:pPr>
        <w:pStyle w:val="KPtext"/>
        <w:ind w:left="0"/>
      </w:pPr>
      <w:r w:rsidRPr="00F66DDE">
        <w:t>The indicative annual levy for Registered Liquidator A would be:</w:t>
      </w:r>
      <w:r w:rsidRPr="003D3A8B">
        <w:t xml:space="preserve"> </w:t>
      </w:r>
    </w:p>
    <w:p w14:paraId="57BD9F4A" w14:textId="2F8EA5F1" w:rsidR="00F66DDE" w:rsidRPr="00F63B9C" w:rsidRDefault="00F66DDE" w:rsidP="00A24E2C">
      <w:pPr>
        <w:pStyle w:val="KPtext"/>
        <w:tabs>
          <w:tab w:val="right" w:pos="8931"/>
        </w:tabs>
        <w:ind w:left="0" w:firstLine="425"/>
      </w:pPr>
      <w:r w:rsidRPr="00F66DDE">
        <w:t>The minimum levy for registered liquidators</w:t>
      </w:r>
      <w:r>
        <w:tab/>
        <w:t>$5,000</w:t>
      </w:r>
    </w:p>
    <w:p w14:paraId="0612971D" w14:textId="74F3B3EF" w:rsidR="00F66DDE" w:rsidRPr="0082455C" w:rsidRDefault="00F66DDE" w:rsidP="00A24E2C">
      <w:pPr>
        <w:pStyle w:val="KPtext"/>
        <w:tabs>
          <w:tab w:val="right" w:pos="8931"/>
        </w:tabs>
        <w:ind w:left="0" w:firstLine="425"/>
      </w:pPr>
      <w:r w:rsidRPr="00F66DDE">
        <w:t xml:space="preserve">An indicative levy of $550 per </w:t>
      </w:r>
      <w:r w:rsidR="0003187F">
        <w:t>‘</w:t>
      </w:r>
      <w:r w:rsidRPr="00F66DDE">
        <w:t>principal</w:t>
      </w:r>
      <w:r w:rsidR="0003187F">
        <w:t>’</w:t>
      </w:r>
      <w:r w:rsidRPr="00F66DDE">
        <w:t xml:space="preserve"> appointment during the financial year</w:t>
      </w:r>
      <w:r w:rsidRPr="00F66DDE">
        <w:tab/>
        <w:t>$5,500</w:t>
      </w:r>
      <w:r w:rsidR="00A24E2C">
        <w:br/>
      </w:r>
      <w:r>
        <w:tab/>
      </w:r>
      <w:r w:rsidRPr="00F66DDE">
        <w:t>($550 x 10 appointments in total)</w:t>
      </w:r>
    </w:p>
    <w:p w14:paraId="3215B834" w14:textId="1B2273EE" w:rsidR="0038015E" w:rsidRPr="00F66DDE" w:rsidRDefault="00F66DDE" w:rsidP="00A24E2C">
      <w:pPr>
        <w:pStyle w:val="KPtext"/>
        <w:tabs>
          <w:tab w:val="right" w:pos="8931"/>
        </w:tabs>
        <w:ind w:left="0"/>
        <w:rPr>
          <w:b/>
        </w:rPr>
      </w:pPr>
      <w:r w:rsidRPr="00F66DDE">
        <w:rPr>
          <w:b/>
        </w:rPr>
        <w:t>Total indicative levy for Registered Liquidator A:</w:t>
      </w:r>
      <w:r w:rsidRPr="00F66DDE">
        <w:rPr>
          <w:b/>
        </w:rPr>
        <w:tab/>
        <w:t>$10,500</w:t>
      </w:r>
    </w:p>
    <w:p w14:paraId="2F230047" w14:textId="77777777" w:rsidR="002D1ABB" w:rsidRPr="002D1ABB" w:rsidRDefault="002D1ABB" w:rsidP="002D1ABB">
      <w:r w:rsidRPr="002D1ABB">
        <w:br w:type="page"/>
      </w:r>
    </w:p>
    <w:p w14:paraId="203894FC" w14:textId="51E73D2E" w:rsidR="0038015E" w:rsidRDefault="0038015E" w:rsidP="0038015E">
      <w:pPr>
        <w:pStyle w:val="KPhead"/>
        <w:ind w:left="0"/>
      </w:pPr>
      <w:r>
        <w:t>Example 4</w:t>
      </w:r>
    </w:p>
    <w:p w14:paraId="6AA5FEF7" w14:textId="306B4D7C" w:rsidR="0038015E" w:rsidRPr="0038015E" w:rsidRDefault="0038015E" w:rsidP="0038015E">
      <w:pPr>
        <w:pStyle w:val="KPtext"/>
        <w:ind w:left="0"/>
      </w:pPr>
      <w:r>
        <w:t xml:space="preserve">Registered Liquidator B is a partner in a medium-sized practice. </w:t>
      </w:r>
      <w:r w:rsidRPr="0038015E">
        <w:t xml:space="preserve">Registered Liquidator B accepts all appointments jointly and severally with another registered liquidator in the </w:t>
      </w:r>
      <w:r w:rsidR="00D35BF3">
        <w:t>f</w:t>
      </w:r>
      <w:r w:rsidRPr="0038015E">
        <w:t xml:space="preserve">irm. </w:t>
      </w:r>
    </w:p>
    <w:p w14:paraId="7D33316E" w14:textId="4968C3F8" w:rsidR="0038015E" w:rsidRPr="0038015E" w:rsidRDefault="0038015E" w:rsidP="0038015E">
      <w:pPr>
        <w:pStyle w:val="KPtext"/>
        <w:ind w:left="0"/>
      </w:pPr>
      <w:r w:rsidRPr="0038015E">
        <w:t xml:space="preserve">Registered Liquidator B </w:t>
      </w:r>
      <w:r>
        <w:t>h</w:t>
      </w:r>
      <w:r w:rsidRPr="0038015E">
        <w:t xml:space="preserve">as been the principal appointee in five court winding up appointments; </w:t>
      </w:r>
      <w:r w:rsidRPr="0038015E">
        <w:br/>
        <w:t>45 creditors voluntary winding up appointments and 14 voluntary administration appointments during the financial year (10 of which resulted in creditors accepting a deed of company arrangement and, for the balance, creditors resolved that the company be wound up and Registered Liquidator B and their co-appointee</w:t>
      </w:r>
      <w:r w:rsidR="00714D0C">
        <w:t xml:space="preserve"> be appointed as liquidators).</w:t>
      </w:r>
    </w:p>
    <w:p w14:paraId="2FFC31C9" w14:textId="77777777" w:rsidR="0038015E" w:rsidRPr="00170523" w:rsidRDefault="0038015E" w:rsidP="0038015E">
      <w:pPr>
        <w:pStyle w:val="KPtext"/>
        <w:ind w:left="0"/>
      </w:pPr>
      <w:r w:rsidRPr="0038015E">
        <w:t>The indicative annual levy for Registered Liquidator B would be:</w:t>
      </w:r>
      <w:r w:rsidRPr="00170523">
        <w:t xml:space="preserve"> </w:t>
      </w:r>
    </w:p>
    <w:p w14:paraId="790ECA5A" w14:textId="69C3BB45" w:rsidR="0038015E" w:rsidRPr="00F63B9C" w:rsidRDefault="0038015E" w:rsidP="0033052A">
      <w:pPr>
        <w:pStyle w:val="KPtext"/>
        <w:tabs>
          <w:tab w:val="right" w:pos="8931"/>
        </w:tabs>
        <w:ind w:left="0" w:firstLine="425"/>
      </w:pPr>
      <w:r w:rsidRPr="0038015E">
        <w:t>The minimum levy for registered liquidators</w:t>
      </w:r>
      <w:r>
        <w:tab/>
        <w:t>$5,000</w:t>
      </w:r>
    </w:p>
    <w:p w14:paraId="0E26240D" w14:textId="54A0C61D" w:rsidR="0038015E" w:rsidRPr="0082455C" w:rsidRDefault="0038015E" w:rsidP="00A24E2C">
      <w:pPr>
        <w:pStyle w:val="KPtext"/>
        <w:tabs>
          <w:tab w:val="right" w:pos="8931"/>
        </w:tabs>
        <w:ind w:left="0" w:firstLine="425"/>
      </w:pPr>
      <w:r w:rsidRPr="0038015E">
        <w:t xml:space="preserve">An indicative levy of $550 per </w:t>
      </w:r>
      <w:r w:rsidR="0003187F">
        <w:t>‘</w:t>
      </w:r>
      <w:r w:rsidRPr="0038015E">
        <w:t>principal</w:t>
      </w:r>
      <w:r w:rsidR="0003187F">
        <w:t>’</w:t>
      </w:r>
      <w:r w:rsidRPr="0038015E">
        <w:t xml:space="preserve"> appointment in the financial year</w:t>
      </w:r>
      <w:r>
        <w:tab/>
      </w:r>
      <w:r w:rsidRPr="0038015E">
        <w:t>$35,200</w:t>
      </w:r>
      <w:r w:rsidR="00A24E2C">
        <w:br/>
      </w:r>
      <w:r>
        <w:tab/>
      </w:r>
      <w:r w:rsidRPr="0038015E">
        <w:t>($550 x 64 appointments in total)</w:t>
      </w:r>
    </w:p>
    <w:p w14:paraId="6841C510" w14:textId="6D6BD344" w:rsidR="0038015E" w:rsidRPr="0038015E" w:rsidRDefault="0038015E" w:rsidP="0033052A">
      <w:pPr>
        <w:pStyle w:val="KPtext"/>
        <w:tabs>
          <w:tab w:val="right" w:pos="8931"/>
        </w:tabs>
        <w:ind w:left="0"/>
      </w:pPr>
      <w:r w:rsidRPr="0038015E">
        <w:rPr>
          <w:b/>
        </w:rPr>
        <w:t>Total indicative levy for Registered Liquidator B:</w:t>
      </w:r>
      <w:r w:rsidRPr="0038015E">
        <w:rPr>
          <w:b/>
        </w:rPr>
        <w:tab/>
        <w:t>$40,200</w:t>
      </w:r>
    </w:p>
    <w:p w14:paraId="35B83A20" w14:textId="6999810F" w:rsidR="0038015E" w:rsidRDefault="0038015E" w:rsidP="00002A0C">
      <w:pPr>
        <w:pStyle w:val="KPtext"/>
        <w:ind w:left="0"/>
      </w:pPr>
      <w:r w:rsidRPr="0038015E">
        <w:rPr>
          <w:b/>
        </w:rPr>
        <w:t>Note</w:t>
      </w:r>
      <w:r w:rsidRPr="0038015E">
        <w:t xml:space="preserve">:  </w:t>
      </w:r>
      <w:r w:rsidR="00676D6D">
        <w:t xml:space="preserve">It is proposed that a </w:t>
      </w:r>
      <w:r w:rsidRPr="0038015E">
        <w:t>levy would not apply to Registered Liquidator B</w:t>
      </w:r>
      <w:r w:rsidR="0003187F">
        <w:t>’</w:t>
      </w:r>
      <w:r w:rsidRPr="0038015E">
        <w:t>s co-appointee for these external administrations or the external administration appointments that follow on from the voluntary administration appointments.</w:t>
      </w:r>
    </w:p>
    <w:p w14:paraId="4E396090" w14:textId="4AFD4700" w:rsidR="0038015E" w:rsidRDefault="0038015E" w:rsidP="0033052A">
      <w:pPr>
        <w:pStyle w:val="BodyText"/>
        <w:numPr>
          <w:ilvl w:val="0"/>
          <w:numId w:val="0"/>
        </w:numPr>
        <w:spacing w:before="0" w:line="240" w:lineRule="auto"/>
      </w:pPr>
    </w:p>
    <w:p w14:paraId="1685B545" w14:textId="0017B1E4" w:rsidR="00002A0C" w:rsidRDefault="00002A0C" w:rsidP="0033052A">
      <w:pPr>
        <w:pStyle w:val="KPhead"/>
        <w:keepNext w:val="0"/>
        <w:spacing w:before="360"/>
        <w:ind w:left="0"/>
      </w:pPr>
      <w:r>
        <w:t>Example 5</w:t>
      </w:r>
      <w:r w:rsidR="0044090E">
        <w:t>*</w:t>
      </w:r>
    </w:p>
    <w:p w14:paraId="79F92BA1" w14:textId="7FCA759B" w:rsidR="00002A0C" w:rsidRDefault="00002A0C" w:rsidP="0033052A">
      <w:pPr>
        <w:pStyle w:val="KPtext"/>
        <w:keepNext w:val="0"/>
        <w:ind w:left="0"/>
      </w:pPr>
      <w:r>
        <w:t>Company C is a publicly listed</w:t>
      </w:r>
      <w:r w:rsidR="00F425AE">
        <w:t>, disclosing</w:t>
      </w:r>
      <w:r>
        <w:t xml:space="preserve"> company with a market capitalisation of $5 billion. Company C also:</w:t>
      </w:r>
    </w:p>
    <w:p w14:paraId="307A86C2" w14:textId="6DBACEEF" w:rsidR="00F6340B" w:rsidRDefault="00002A0C" w:rsidP="0033052A">
      <w:pPr>
        <w:pStyle w:val="KPtext"/>
        <w:keepNext w:val="0"/>
        <w:numPr>
          <w:ilvl w:val="0"/>
          <w:numId w:val="19"/>
        </w:numPr>
      </w:pPr>
      <w:r>
        <w:t xml:space="preserve">holds an AFS </w:t>
      </w:r>
      <w:r w:rsidR="00F425AE">
        <w:t>l</w:t>
      </w:r>
      <w:r>
        <w:t>icence and is authorised as a deposit product provider with total deposits of $40</w:t>
      </w:r>
      <w:r w:rsidR="00F425AE">
        <w:t> </w:t>
      </w:r>
      <w:r>
        <w:t>billion, a personal financial advice provider on tier 1 products with 100 advisers listed on the F</w:t>
      </w:r>
      <w:r w:rsidR="00F425AE">
        <w:t xml:space="preserve">inancial </w:t>
      </w:r>
      <w:r>
        <w:t>A</w:t>
      </w:r>
      <w:r w:rsidR="00F425AE">
        <w:t xml:space="preserve">dvisers </w:t>
      </w:r>
      <w:r>
        <w:t>R</w:t>
      </w:r>
      <w:r w:rsidR="00F425AE">
        <w:t>egister</w:t>
      </w:r>
      <w:r>
        <w:t xml:space="preserve">, a responsible entity with </w:t>
      </w:r>
      <w:r w:rsidR="00F425AE">
        <w:t>funds under management</w:t>
      </w:r>
      <w:r>
        <w:t xml:space="preserve"> of $2 billion, a securities dealer with no annual turnover for the financial year, a margin lender, a wholesale trustee, an insurance product distributor, a custodian and a payment product provider</w:t>
      </w:r>
    </w:p>
    <w:p w14:paraId="4C469EEF" w14:textId="77777777" w:rsidR="00F6340B" w:rsidRDefault="00002A0C" w:rsidP="0033052A">
      <w:pPr>
        <w:pStyle w:val="KPtext"/>
        <w:keepNext w:val="0"/>
        <w:numPr>
          <w:ilvl w:val="0"/>
          <w:numId w:val="19"/>
        </w:numPr>
      </w:pPr>
      <w:r>
        <w:t>holds a credit licence and provided credit of $8.7 billion and intermediated credit of $2 billion during the previous financial year</w:t>
      </w:r>
      <w:r w:rsidDel="00C357AA">
        <w:t>.</w:t>
      </w:r>
      <w:r>
        <w:t xml:space="preserve"> No credit was provided under small amount credit contracts</w:t>
      </w:r>
    </w:p>
    <w:p w14:paraId="764014B7" w14:textId="4C4C1635" w:rsidR="00002A0C" w:rsidRDefault="00002A0C" w:rsidP="0033052A">
      <w:pPr>
        <w:pStyle w:val="KPtext"/>
        <w:keepNext w:val="0"/>
        <w:numPr>
          <w:ilvl w:val="0"/>
          <w:numId w:val="19"/>
        </w:numPr>
      </w:pPr>
      <w:r>
        <w:t>controls five large proprietary companies, 25 small proprietary companies, three public (unlisted, disclosing) companies and three public (unlisted, non-disclosing) companies</w:t>
      </w:r>
    </w:p>
    <w:p w14:paraId="1367B8EE" w14:textId="6CF070BE" w:rsidR="00002A0C" w:rsidRDefault="00002A0C" w:rsidP="0033052A">
      <w:pPr>
        <w:pStyle w:val="KPtext"/>
        <w:keepNext w:val="0"/>
        <w:ind w:left="0"/>
      </w:pPr>
      <w:r>
        <w:t>Company C</w:t>
      </w:r>
      <w:r w:rsidR="0003187F">
        <w:t>’</w:t>
      </w:r>
      <w:r>
        <w:t>s indicative annual levy is:</w:t>
      </w:r>
    </w:p>
    <w:p w14:paraId="0D2E2D19" w14:textId="5DAEAC49" w:rsidR="00002A0C" w:rsidRDefault="00002A0C" w:rsidP="00A24E2C">
      <w:pPr>
        <w:pStyle w:val="KPtext"/>
        <w:keepNext w:val="0"/>
        <w:tabs>
          <w:tab w:val="right" w:pos="8931"/>
        </w:tabs>
        <w:ind w:left="0" w:firstLine="425"/>
      </w:pPr>
      <w:r>
        <w:t>The minimum levy for public companies (listed, disclosing)</w:t>
      </w:r>
      <w:r>
        <w:tab/>
        <w:t>$4,000</w:t>
      </w:r>
    </w:p>
    <w:p w14:paraId="668A4736" w14:textId="2D749560" w:rsidR="00002A0C" w:rsidRDefault="00002A0C" w:rsidP="00A24E2C">
      <w:pPr>
        <w:pStyle w:val="KPtext"/>
        <w:keepNext w:val="0"/>
        <w:tabs>
          <w:tab w:val="right" w:pos="8931"/>
        </w:tabs>
        <w:ind w:left="0" w:firstLine="425"/>
      </w:pPr>
      <w:r>
        <w:t>A graduated levy of $0.3</w:t>
      </w:r>
      <w:r w:rsidR="007F2B27">
        <w:t>3</w:t>
      </w:r>
      <w:r>
        <w:t xml:space="preserve"> per $10,000 of market capitalisation above $5 millio</w:t>
      </w:r>
      <w:r w:rsidR="00D26F16">
        <w:t>n</w:t>
      </w:r>
      <w:r w:rsidR="004C4E7A">
        <w:tab/>
      </w:r>
      <w:r w:rsidR="00F03952">
        <w:t>164</w:t>
      </w:r>
      <w:r>
        <w:t>,</w:t>
      </w:r>
      <w:r w:rsidR="00F03952">
        <w:t>835</w:t>
      </w:r>
      <w:r w:rsidR="00A24E2C">
        <w:br/>
      </w:r>
      <w:r w:rsidR="00A24E2C">
        <w:tab/>
      </w:r>
      <w:r>
        <w:t>($0.3</w:t>
      </w:r>
      <w:r w:rsidR="007F2B27">
        <w:t>3</w:t>
      </w:r>
      <w:r>
        <w:t xml:space="preserve"> x $4.995billion / $10,000)</w:t>
      </w:r>
    </w:p>
    <w:p w14:paraId="229EA219" w14:textId="4620B222" w:rsidR="00002A0C" w:rsidRDefault="00002A0C" w:rsidP="00A24E2C">
      <w:pPr>
        <w:pStyle w:val="KPtext"/>
        <w:keepNext w:val="0"/>
        <w:tabs>
          <w:tab w:val="right" w:pos="8931"/>
        </w:tabs>
        <w:ind w:left="0" w:firstLine="425"/>
      </w:pPr>
      <w:r w:rsidRPr="00B56C88">
        <w:t>The minimum levy for be</w:t>
      </w:r>
      <w:r w:rsidR="00F6340B">
        <w:t>ing a deposit product provider</w:t>
      </w:r>
      <w:r w:rsidR="00F6340B">
        <w:tab/>
      </w:r>
      <w:r>
        <w:t>$2,000</w:t>
      </w:r>
    </w:p>
    <w:p w14:paraId="0B48BA76" w14:textId="3E94F7C2" w:rsidR="00002A0C" w:rsidRDefault="00002A0C" w:rsidP="00A24E2C">
      <w:pPr>
        <w:pStyle w:val="KPtext"/>
        <w:keepNext w:val="0"/>
        <w:tabs>
          <w:tab w:val="right" w:pos="8931"/>
        </w:tabs>
        <w:ind w:left="0" w:firstLine="425"/>
      </w:pPr>
      <w:r>
        <w:t>A graduated levy of $0.0</w:t>
      </w:r>
      <w:r w:rsidR="000F7517">
        <w:t>2</w:t>
      </w:r>
      <w:r>
        <w:t xml:space="preserve"> per $10,000 of t</w:t>
      </w:r>
      <w:r w:rsidR="00F6340B">
        <w:t>otal deposits above $10 million</w:t>
      </w:r>
      <w:r w:rsidR="00F6340B">
        <w:tab/>
      </w:r>
      <w:r>
        <w:t>$</w:t>
      </w:r>
      <w:r w:rsidR="00750213">
        <w:t>79,980</w:t>
      </w:r>
      <w:r w:rsidR="00A24E2C">
        <w:br/>
      </w:r>
      <w:r w:rsidR="00A24E2C">
        <w:tab/>
      </w:r>
      <w:r>
        <w:t>($0.</w:t>
      </w:r>
      <w:r w:rsidR="00750213">
        <w:t xml:space="preserve">02 </w:t>
      </w:r>
      <w:r>
        <w:t>x $39.9</w:t>
      </w:r>
      <w:r w:rsidR="000F7517">
        <w:t>9</w:t>
      </w:r>
      <w:r>
        <w:t xml:space="preserve"> billion / $10,000)</w:t>
      </w:r>
    </w:p>
    <w:p w14:paraId="0025F52C" w14:textId="4B8E0919" w:rsidR="00002A0C" w:rsidRDefault="00002A0C" w:rsidP="00D26F16">
      <w:pPr>
        <w:pStyle w:val="KPtext"/>
        <w:keepNext w:val="0"/>
        <w:tabs>
          <w:tab w:val="left" w:pos="567"/>
          <w:tab w:val="right" w:pos="8931"/>
        </w:tabs>
        <w:ind w:left="0" w:firstLine="425"/>
      </w:pPr>
      <w:r>
        <w:t>A levy of $960 per financial advice provider registered on the financial advisers</w:t>
      </w:r>
      <w:r w:rsidR="00D26F16">
        <w:br/>
      </w:r>
      <w:r w:rsidR="00D26F16">
        <w:tab/>
      </w:r>
      <w:r w:rsidR="00D35BF3">
        <w:t>register</w:t>
      </w:r>
      <w:r w:rsidR="00B24475">
        <w:tab/>
      </w:r>
      <w:r>
        <w:t>$96,000</w:t>
      </w:r>
      <w:r w:rsidR="00A24E2C">
        <w:br/>
      </w:r>
      <w:r w:rsidR="00A24E2C">
        <w:tab/>
      </w:r>
      <w:r w:rsidR="00D26F16">
        <w:tab/>
      </w:r>
      <w:r>
        <w:t>(100 x $960)</w:t>
      </w:r>
    </w:p>
    <w:p w14:paraId="4B3B4438" w14:textId="0B637841" w:rsidR="00002A0C" w:rsidRDefault="00002A0C" w:rsidP="0033052A">
      <w:pPr>
        <w:pStyle w:val="KPtext"/>
        <w:keepNext w:val="0"/>
        <w:tabs>
          <w:tab w:val="decimal" w:pos="8931"/>
        </w:tabs>
        <w:ind w:left="0" w:firstLine="425"/>
      </w:pPr>
      <w:r>
        <w:t>The minimum levy</w:t>
      </w:r>
      <w:r w:rsidR="00F6340B">
        <w:t xml:space="preserve"> for being a responsible entity</w:t>
      </w:r>
      <w:r w:rsidR="00F6340B">
        <w:tab/>
      </w:r>
      <w:r>
        <w:t>$7,000</w:t>
      </w:r>
    </w:p>
    <w:p w14:paraId="269F41F0" w14:textId="79C12F83" w:rsidR="00002A0C" w:rsidRDefault="00002A0C" w:rsidP="00A24E2C">
      <w:pPr>
        <w:pStyle w:val="KPtext"/>
        <w:keepNext w:val="0"/>
        <w:tabs>
          <w:tab w:val="right" w:pos="8931"/>
        </w:tabs>
        <w:ind w:left="0" w:firstLine="425"/>
      </w:pPr>
      <w:r>
        <w:t>A graduated levy of $0.24 per $</w:t>
      </w:r>
      <w:r w:rsidR="00F6340B">
        <w:t>10,000 of FUM over $10 million</w:t>
      </w:r>
      <w:r>
        <w:tab/>
        <w:t>$47,760</w:t>
      </w:r>
      <w:r w:rsidR="00A24E2C">
        <w:br/>
      </w:r>
      <w:r w:rsidR="00A24E2C">
        <w:tab/>
      </w:r>
      <w:r>
        <w:t>($0.24 x $1.99 billion / $10,000)</w:t>
      </w:r>
    </w:p>
    <w:p w14:paraId="46B15AC5" w14:textId="754FFEA2" w:rsidR="00002A0C" w:rsidRDefault="00002A0C" w:rsidP="00A24E2C">
      <w:pPr>
        <w:pStyle w:val="KPtext"/>
        <w:keepNext w:val="0"/>
        <w:tabs>
          <w:tab w:val="right" w:pos="8931"/>
        </w:tabs>
        <w:ind w:left="0" w:firstLine="425"/>
      </w:pPr>
      <w:r w:rsidRPr="00B56C88">
        <w:t>The fixed levy for being a securities dealer</w:t>
      </w:r>
      <w:r>
        <w:tab/>
        <w:t>$250</w:t>
      </w:r>
    </w:p>
    <w:p w14:paraId="1CF41574" w14:textId="3EAEC8EB" w:rsidR="00002A0C" w:rsidRDefault="00002A0C" w:rsidP="00A24E2C">
      <w:pPr>
        <w:pStyle w:val="KPtext"/>
        <w:keepNext w:val="0"/>
        <w:tabs>
          <w:tab w:val="right" w:pos="8931"/>
        </w:tabs>
        <w:ind w:left="0" w:firstLine="425"/>
      </w:pPr>
      <w:r>
        <w:t>A graduated levy of $0.34 per $10,000 of annual turnover (no annual turnover)</w:t>
      </w:r>
      <w:r>
        <w:tab/>
        <w:t>$0</w:t>
      </w:r>
    </w:p>
    <w:p w14:paraId="5AE7CD78" w14:textId="562DA5E6" w:rsidR="00002A0C" w:rsidRPr="00237500" w:rsidRDefault="00002A0C" w:rsidP="00A24E2C">
      <w:pPr>
        <w:pStyle w:val="KPtext"/>
        <w:keepNext w:val="0"/>
        <w:tabs>
          <w:tab w:val="right" w:pos="8931"/>
        </w:tabs>
        <w:ind w:left="0" w:firstLine="425"/>
      </w:pPr>
      <w:r>
        <w:t>A levy for being a margin lender</w:t>
      </w:r>
      <w:r w:rsidR="00B24475">
        <w:tab/>
      </w:r>
      <w:r>
        <w:t>$11,100</w:t>
      </w:r>
    </w:p>
    <w:p w14:paraId="09C255A1" w14:textId="516A9890" w:rsidR="00002A0C" w:rsidRPr="00B56C88" w:rsidRDefault="00002A0C" w:rsidP="00A24E2C">
      <w:pPr>
        <w:pStyle w:val="KPtext"/>
        <w:keepNext w:val="0"/>
        <w:tabs>
          <w:tab w:val="right" w:pos="8931"/>
        </w:tabs>
        <w:ind w:left="0" w:firstLine="425"/>
      </w:pPr>
      <w:r w:rsidRPr="00B56C88">
        <w:t>A levy for being a wholesale trustee</w:t>
      </w:r>
      <w:r>
        <w:tab/>
        <w:t>$8,000</w:t>
      </w:r>
    </w:p>
    <w:p w14:paraId="7F5BBD94" w14:textId="43AA9AF7" w:rsidR="00002A0C" w:rsidRDefault="00002A0C" w:rsidP="00A24E2C">
      <w:pPr>
        <w:pStyle w:val="KPtext"/>
        <w:keepNext w:val="0"/>
        <w:tabs>
          <w:tab w:val="right" w:pos="8931"/>
        </w:tabs>
        <w:ind w:left="0" w:firstLine="425"/>
      </w:pPr>
      <w:r>
        <w:t>A levy for being an insurance product distributor</w:t>
      </w:r>
      <w:r>
        <w:tab/>
        <w:t>$2,400</w:t>
      </w:r>
    </w:p>
    <w:p w14:paraId="7D84CA87" w14:textId="5E37872A" w:rsidR="00002A0C" w:rsidRDefault="00002A0C" w:rsidP="00A24E2C">
      <w:pPr>
        <w:pStyle w:val="KPtext"/>
        <w:keepNext w:val="0"/>
        <w:tabs>
          <w:tab w:val="right" w:pos="8931"/>
        </w:tabs>
        <w:ind w:left="0" w:firstLine="425"/>
      </w:pPr>
      <w:r>
        <w:t>A levy for being a payment product provider</w:t>
      </w:r>
      <w:r>
        <w:tab/>
        <w:t>$9,000</w:t>
      </w:r>
    </w:p>
    <w:p w14:paraId="6A5A8F4E" w14:textId="7AAC8053" w:rsidR="00002A0C" w:rsidRDefault="00002A0C" w:rsidP="00A24E2C">
      <w:pPr>
        <w:pStyle w:val="KPtext"/>
        <w:keepNext w:val="0"/>
        <w:tabs>
          <w:tab w:val="right" w:pos="8931"/>
        </w:tabs>
        <w:ind w:left="0" w:firstLine="425"/>
      </w:pPr>
      <w:r>
        <w:t>A levy for being a custodian</w:t>
      </w:r>
      <w:r>
        <w:tab/>
        <w:t>$560</w:t>
      </w:r>
    </w:p>
    <w:p w14:paraId="2F38A3B0" w14:textId="525EB683" w:rsidR="00002A0C" w:rsidRDefault="00002A0C" w:rsidP="00A24E2C">
      <w:pPr>
        <w:pStyle w:val="KPtext"/>
        <w:keepNext w:val="0"/>
        <w:tabs>
          <w:tab w:val="right" w:pos="8931"/>
        </w:tabs>
        <w:ind w:left="0" w:firstLine="425"/>
      </w:pPr>
      <w:r>
        <w:t>The minimum levy for credit provider:</w:t>
      </w:r>
      <w:r>
        <w:tab/>
        <w:t>$2,000</w:t>
      </w:r>
    </w:p>
    <w:p w14:paraId="4C8CAA02" w14:textId="1C6643A0" w:rsidR="00002A0C" w:rsidRDefault="00002A0C" w:rsidP="00A24E2C">
      <w:pPr>
        <w:pStyle w:val="KPtext"/>
        <w:keepNext w:val="0"/>
        <w:tabs>
          <w:tab w:val="right" w:pos="8931"/>
        </w:tabs>
        <w:ind w:left="0" w:firstLine="425"/>
      </w:pPr>
      <w:r>
        <w:t>A graduated levy of $0.15 per $10,000 of credit provided above $1</w:t>
      </w:r>
      <w:r w:rsidR="00F6340B">
        <w:t>00 million</w:t>
      </w:r>
      <w:r>
        <w:tab/>
        <w:t>$129,000</w:t>
      </w:r>
      <w:r w:rsidR="00A24E2C">
        <w:br/>
      </w:r>
      <w:r w:rsidR="00A24E2C">
        <w:tab/>
      </w:r>
      <w:r w:rsidR="00F6340B">
        <w:t>($0.15</w:t>
      </w:r>
      <w:r>
        <w:t xml:space="preserve"> x $ 8.6 billion / $10,000)</w:t>
      </w:r>
    </w:p>
    <w:p w14:paraId="4B62DDB3" w14:textId="6B9A48BA" w:rsidR="00002A0C" w:rsidRDefault="00002A0C" w:rsidP="00A24E2C">
      <w:pPr>
        <w:pStyle w:val="KPtext"/>
        <w:keepNext w:val="0"/>
        <w:tabs>
          <w:tab w:val="right" w:pos="8931"/>
        </w:tabs>
        <w:ind w:left="0" w:firstLine="425"/>
      </w:pPr>
      <w:r w:rsidRPr="00237500">
        <w:t>The minimum levy for a credit intermediary:</w:t>
      </w:r>
      <w:r>
        <w:tab/>
        <w:t>$1,000</w:t>
      </w:r>
    </w:p>
    <w:p w14:paraId="6F7D3993" w14:textId="6502454B" w:rsidR="00002A0C" w:rsidRDefault="00002A0C" w:rsidP="00A24E2C">
      <w:pPr>
        <w:pStyle w:val="KPtext"/>
        <w:keepNext w:val="0"/>
        <w:tabs>
          <w:tab w:val="left" w:pos="567"/>
          <w:tab w:val="right" w:pos="8931"/>
        </w:tabs>
        <w:ind w:left="0" w:firstLine="425"/>
      </w:pPr>
      <w:r>
        <w:t>A graduated levy of $1.14 per $10,000 of credit intermed</w:t>
      </w:r>
      <w:r w:rsidR="00F6340B">
        <w:t>iated greater than</w:t>
      </w:r>
      <w:r w:rsidR="00A24E2C">
        <w:br/>
      </w:r>
      <w:r w:rsidR="00A24E2C">
        <w:tab/>
      </w:r>
      <w:r w:rsidR="00F6340B">
        <w:t>$100 million</w:t>
      </w:r>
      <w:r w:rsidR="007278C7">
        <w:tab/>
      </w:r>
      <w:r>
        <w:t>$216,600</w:t>
      </w:r>
      <w:r w:rsidR="00A24E2C">
        <w:br/>
      </w:r>
      <w:r w:rsidR="00A24E2C">
        <w:tab/>
      </w:r>
      <w:r w:rsidR="00A24E2C">
        <w:tab/>
      </w:r>
      <w:r>
        <w:t>($1.14 x $ 1.9 billion / $10,000)</w:t>
      </w:r>
    </w:p>
    <w:p w14:paraId="3216A108" w14:textId="0C4743F8" w:rsidR="00002A0C" w:rsidRDefault="00002A0C" w:rsidP="00A24E2C">
      <w:pPr>
        <w:pStyle w:val="KPtext"/>
        <w:keepNext w:val="0"/>
        <w:tabs>
          <w:tab w:val="right" w:pos="8931"/>
        </w:tabs>
        <w:ind w:left="0" w:firstLine="425"/>
      </w:pPr>
      <w:r>
        <w:t>The levy for large proprietary companies of $350 per company</w:t>
      </w:r>
      <w:r>
        <w:tab/>
        <w:t>$1,750</w:t>
      </w:r>
    </w:p>
    <w:p w14:paraId="292C87A6" w14:textId="392861BC" w:rsidR="00002A0C" w:rsidRDefault="00002A0C" w:rsidP="00A24E2C">
      <w:pPr>
        <w:pStyle w:val="KPtext"/>
        <w:keepNext w:val="0"/>
        <w:tabs>
          <w:tab w:val="right" w:pos="8931"/>
        </w:tabs>
        <w:ind w:left="0" w:firstLine="425"/>
      </w:pPr>
      <w:r>
        <w:t>The levy for small proprietary companies of $5 per company</w:t>
      </w:r>
      <w:r>
        <w:tab/>
        <w:t>$125</w:t>
      </w:r>
    </w:p>
    <w:p w14:paraId="2C5CB9AE" w14:textId="66323098" w:rsidR="00002A0C" w:rsidRDefault="00002A0C" w:rsidP="00A24E2C">
      <w:pPr>
        <w:pStyle w:val="KPtext"/>
        <w:keepNext w:val="0"/>
        <w:tabs>
          <w:tab w:val="right" w:pos="8931"/>
        </w:tabs>
        <w:ind w:left="0" w:firstLine="425"/>
      </w:pPr>
      <w:r>
        <w:t>The levy for public (unlisted, disclosing) companies of $</w:t>
      </w:r>
      <w:r w:rsidR="00256526">
        <w:t xml:space="preserve">3,350 </w:t>
      </w:r>
      <w:r>
        <w:t>per company</w:t>
      </w:r>
      <w:r>
        <w:tab/>
        <w:t>$</w:t>
      </w:r>
      <w:r w:rsidR="00256526">
        <w:t>10,050</w:t>
      </w:r>
    </w:p>
    <w:p w14:paraId="7C4C21E6" w14:textId="4325BB3C" w:rsidR="00002A0C" w:rsidRDefault="00002A0C" w:rsidP="00A24E2C">
      <w:pPr>
        <w:pStyle w:val="KPtext"/>
        <w:keepNext w:val="0"/>
        <w:tabs>
          <w:tab w:val="right" w:pos="8931"/>
        </w:tabs>
        <w:ind w:left="0" w:firstLine="425"/>
      </w:pPr>
      <w:r>
        <w:t>The levy of public (unlisted, non-disclosing) companies of $170 per company</w:t>
      </w:r>
      <w:r>
        <w:tab/>
        <w:t>$510</w:t>
      </w:r>
    </w:p>
    <w:p w14:paraId="0FBD5EA8" w14:textId="2E7F2A03" w:rsidR="00002A0C" w:rsidRPr="00F6340B" w:rsidRDefault="00002A0C" w:rsidP="00A24E2C">
      <w:pPr>
        <w:pStyle w:val="KPtext"/>
        <w:keepNext w:val="0"/>
        <w:tabs>
          <w:tab w:val="right" w:pos="8931"/>
        </w:tabs>
        <w:ind w:left="0"/>
        <w:rPr>
          <w:b/>
        </w:rPr>
      </w:pPr>
      <w:r w:rsidRPr="00F6340B">
        <w:rPr>
          <w:b/>
        </w:rPr>
        <w:t>Total indicative levy for Company C:</w:t>
      </w:r>
      <w:r w:rsidR="00226A47">
        <w:rPr>
          <w:b/>
        </w:rPr>
        <w:tab/>
      </w:r>
      <w:r w:rsidRPr="00F6340B">
        <w:rPr>
          <w:b/>
        </w:rPr>
        <w:t>$</w:t>
      </w:r>
      <w:r w:rsidR="007863C6">
        <w:rPr>
          <w:b/>
        </w:rPr>
        <w:t>793,920</w:t>
      </w:r>
    </w:p>
    <w:p w14:paraId="3FD78B06" w14:textId="11FFAC55" w:rsidR="00002A0C" w:rsidRPr="000B5B80" w:rsidRDefault="0044090E" w:rsidP="0033052A">
      <w:pPr>
        <w:pStyle w:val="BodyText"/>
        <w:numPr>
          <w:ilvl w:val="0"/>
          <w:numId w:val="0"/>
        </w:numPr>
        <w:rPr>
          <w:rFonts w:ascii="Arial" w:hAnsi="Arial" w:cs="Arial"/>
          <w:sz w:val="20"/>
          <w:szCs w:val="20"/>
        </w:rPr>
      </w:pPr>
      <w:r w:rsidRPr="000B5B80">
        <w:rPr>
          <w:rFonts w:ascii="Arial" w:hAnsi="Arial" w:cs="Arial"/>
          <w:sz w:val="20"/>
          <w:szCs w:val="20"/>
        </w:rPr>
        <w:t>* Example is for the consolidated group (not individual entities).</w:t>
      </w:r>
    </w:p>
    <w:p w14:paraId="48D93BE5" w14:textId="29DCF154" w:rsidR="007C3F29" w:rsidRPr="003826DC" w:rsidRDefault="007C3F29" w:rsidP="007C3F29">
      <w:pPr>
        <w:pStyle w:val="Heading1"/>
      </w:pPr>
      <w:bookmarkStart w:id="99" w:name="_Toc452626327"/>
      <w:bookmarkStart w:id="100" w:name="_Toc453236832"/>
      <w:bookmarkStart w:id="101" w:name="_Toc453683995"/>
      <w:bookmarkStart w:id="102" w:name="_Toc453750636"/>
      <w:bookmarkStart w:id="103" w:name="_Toc453771921"/>
      <w:bookmarkStart w:id="104" w:name="_Toc453836167"/>
      <w:bookmarkStart w:id="105" w:name="_Toc453844421"/>
      <w:bookmarkStart w:id="106" w:name="_Toc462677684"/>
      <w:bookmarkStart w:id="107" w:name="_Toc462697128"/>
      <w:bookmarkStart w:id="108" w:name="_Toc462698939"/>
      <w:bookmarkStart w:id="109" w:name="_Toc462700175"/>
      <w:bookmarkStart w:id="110" w:name="_Toc462700856"/>
      <w:bookmarkStart w:id="111" w:name="_Toc463544595"/>
      <w:bookmarkStart w:id="112" w:name="_Toc463595197"/>
      <w:bookmarkStart w:id="113" w:name="_Toc464140308"/>
      <w:bookmarkStart w:id="114" w:name="_Toc466020960"/>
      <w:bookmarkEnd w:id="99"/>
      <w:bookmarkEnd w:id="100"/>
      <w:bookmarkEnd w:id="101"/>
      <w:bookmarkEnd w:id="102"/>
      <w:bookmarkEnd w:id="103"/>
      <w:bookmarkEnd w:id="104"/>
      <w:bookmarkEnd w:id="105"/>
      <w:r w:rsidRPr="008E2393">
        <w:t xml:space="preserve">Deposit </w:t>
      </w:r>
      <w:r>
        <w:t>t</w:t>
      </w:r>
      <w:r w:rsidRPr="008E2393">
        <w:t xml:space="preserve">aking and </w:t>
      </w:r>
      <w:r>
        <w:t>c</w:t>
      </w:r>
      <w:r w:rsidRPr="008E2393">
        <w:t>redit</w:t>
      </w:r>
      <w:bookmarkEnd w:id="106"/>
      <w:bookmarkEnd w:id="107"/>
      <w:bookmarkEnd w:id="108"/>
      <w:bookmarkEnd w:id="109"/>
      <w:bookmarkEnd w:id="110"/>
      <w:bookmarkEnd w:id="111"/>
      <w:bookmarkEnd w:id="112"/>
      <w:bookmarkEnd w:id="113"/>
      <w:bookmarkEnd w:id="114"/>
    </w:p>
    <w:p w14:paraId="50DB8CB2" w14:textId="3A164487" w:rsidR="007C3F29" w:rsidRPr="008E2393" w:rsidRDefault="007C3F29" w:rsidP="00242E2C">
      <w:pPr>
        <w:pStyle w:val="Heading2"/>
      </w:pPr>
      <w:bookmarkStart w:id="115" w:name="_Toc462677685"/>
      <w:bookmarkStart w:id="116" w:name="_Toc462697129"/>
      <w:bookmarkStart w:id="117" w:name="_Toc462698940"/>
      <w:bookmarkStart w:id="118" w:name="_Toc462700176"/>
      <w:bookmarkStart w:id="119" w:name="_Toc462700857"/>
      <w:bookmarkStart w:id="120" w:name="_Toc463544596"/>
      <w:bookmarkStart w:id="121" w:name="_Toc463595198"/>
      <w:bookmarkStart w:id="122" w:name="_Toc464140309"/>
      <w:bookmarkStart w:id="123" w:name="_Toc466020961"/>
      <w:r w:rsidRPr="008E2393">
        <w:t>Description of ASIC’s regulatory activities</w:t>
      </w:r>
      <w:bookmarkEnd w:id="115"/>
      <w:bookmarkEnd w:id="116"/>
      <w:bookmarkEnd w:id="117"/>
      <w:bookmarkEnd w:id="118"/>
      <w:bookmarkEnd w:id="119"/>
      <w:bookmarkEnd w:id="120"/>
      <w:bookmarkEnd w:id="121"/>
      <w:bookmarkEnd w:id="122"/>
      <w:bookmarkEnd w:id="123"/>
    </w:p>
    <w:p w14:paraId="11B1649B" w14:textId="16CA1412" w:rsidR="007C3F29" w:rsidRPr="008E2393" w:rsidRDefault="007C3F29" w:rsidP="00242E2C">
      <w:pPr>
        <w:pStyle w:val="BodyText"/>
      </w:pPr>
      <w:r w:rsidRPr="008E2393">
        <w:t>The deposit taking and credit sector consists of credit licensees including credit provid</w:t>
      </w:r>
      <w:r w:rsidR="00D35BF3">
        <w:t>ers and</w:t>
      </w:r>
      <w:r w:rsidRPr="008E2393">
        <w:t xml:space="preserve"> credit intermediaries and AFS licensees including deposit product providers, payment product providers and margin lenders</w:t>
      </w:r>
      <w:r w:rsidR="00F425AE">
        <w:t xml:space="preserve"> (see </w:t>
      </w:r>
      <w:r w:rsidR="00F425AE" w:rsidRPr="00B25C47">
        <w:rPr>
          <w:b/>
        </w:rPr>
        <w:fldChar w:fldCharType="begin"/>
      </w:r>
      <w:r w:rsidR="00F425AE" w:rsidRPr="00B25C47">
        <w:rPr>
          <w:b/>
        </w:rPr>
        <w:instrText xml:space="preserve"> REF _Ref463604989 \h </w:instrText>
      </w:r>
      <w:r w:rsidR="00B25C47">
        <w:rPr>
          <w:b/>
        </w:rPr>
        <w:instrText xml:space="preserve"> \* MERGEFORMAT </w:instrText>
      </w:r>
      <w:r w:rsidR="00F425AE" w:rsidRPr="00B25C47">
        <w:rPr>
          <w:b/>
        </w:rPr>
      </w:r>
      <w:r w:rsidR="00F425AE" w:rsidRPr="00B25C47">
        <w:rPr>
          <w:b/>
        </w:rPr>
        <w:fldChar w:fldCharType="separate"/>
      </w:r>
      <w:r w:rsidR="00A37D1A" w:rsidRPr="00B25C47">
        <w:rPr>
          <w:b/>
        </w:rPr>
        <w:t xml:space="preserve">Table </w:t>
      </w:r>
      <w:r w:rsidR="00A37D1A" w:rsidRPr="00B25C47">
        <w:rPr>
          <w:b/>
          <w:noProof/>
        </w:rPr>
        <w:t>9</w:t>
      </w:r>
      <w:r w:rsidR="00F425AE" w:rsidRPr="00B25C47">
        <w:rPr>
          <w:b/>
        </w:rPr>
        <w:fldChar w:fldCharType="end"/>
      </w:r>
      <w:r w:rsidR="00F425AE">
        <w:t>)</w:t>
      </w:r>
      <w:r w:rsidRPr="008E2393">
        <w:t>.</w:t>
      </w:r>
    </w:p>
    <w:p w14:paraId="5D6D3CEA" w14:textId="5F87256D" w:rsidR="007C3F29" w:rsidRPr="008E2393" w:rsidRDefault="007C3F29" w:rsidP="00242E2C">
      <w:pPr>
        <w:pStyle w:val="BodyText"/>
      </w:pPr>
      <w:r w:rsidRPr="008E2393">
        <w:t>In 2016</w:t>
      </w:r>
      <w:r w:rsidR="00D11144">
        <w:t>–</w:t>
      </w:r>
      <w:r w:rsidRPr="008E2393">
        <w:t xml:space="preserve">17, </w:t>
      </w:r>
      <w:r>
        <w:t>ASIC</w:t>
      </w:r>
      <w:r w:rsidR="0003187F">
        <w:t>’</w:t>
      </w:r>
      <w:r>
        <w:t xml:space="preserve">s forecast effort to regulate the deposit taking and credit sector is expected to cost </w:t>
      </w:r>
      <w:r w:rsidRPr="008E2393">
        <w:t>$33.0 million</w:t>
      </w:r>
      <w:r w:rsidR="00F425AE">
        <w:t xml:space="preserve"> (see </w:t>
      </w:r>
      <w:r w:rsidR="00F425AE" w:rsidRPr="00B25C47">
        <w:rPr>
          <w:b/>
        </w:rPr>
        <w:fldChar w:fldCharType="begin"/>
      </w:r>
      <w:r w:rsidR="00F425AE" w:rsidRPr="00B25C47">
        <w:rPr>
          <w:b/>
        </w:rPr>
        <w:instrText xml:space="preserve"> REF _Ref463605017 \h </w:instrText>
      </w:r>
      <w:r w:rsidR="00B25C47">
        <w:rPr>
          <w:b/>
        </w:rPr>
        <w:instrText xml:space="preserve"> \* MERGEFORMAT </w:instrText>
      </w:r>
      <w:r w:rsidR="00F425AE" w:rsidRPr="00B25C47">
        <w:rPr>
          <w:b/>
        </w:rPr>
      </w:r>
      <w:r w:rsidR="00F425AE" w:rsidRPr="00B25C47">
        <w:rPr>
          <w:b/>
        </w:rPr>
        <w:fldChar w:fldCharType="separate"/>
      </w:r>
      <w:r w:rsidR="00A37D1A" w:rsidRPr="00B25C47">
        <w:rPr>
          <w:b/>
        </w:rPr>
        <w:t xml:space="preserve">Figure </w:t>
      </w:r>
      <w:r w:rsidR="00A37D1A" w:rsidRPr="00B25C47">
        <w:rPr>
          <w:b/>
          <w:noProof/>
        </w:rPr>
        <w:t>7</w:t>
      </w:r>
      <w:r w:rsidR="00F425AE" w:rsidRPr="00B25C47">
        <w:rPr>
          <w:b/>
        </w:rPr>
        <w:fldChar w:fldCharType="end"/>
      </w:r>
      <w:r w:rsidR="00F425AE">
        <w:t>)</w:t>
      </w:r>
      <w:r w:rsidRPr="008E2393">
        <w:t xml:space="preserve">. </w:t>
      </w:r>
      <w:r>
        <w:t>This is 14% of ASIC</w:t>
      </w:r>
      <w:r w:rsidR="0003187F">
        <w:t>’</w:t>
      </w:r>
      <w:r>
        <w:t xml:space="preserve">s budget for regulatory activities and </w:t>
      </w:r>
      <w:r w:rsidR="009D2BB5">
        <w:t xml:space="preserve">is proposed to </w:t>
      </w:r>
      <w:r>
        <w:t xml:space="preserve">be recovered </w:t>
      </w:r>
      <w:r w:rsidRPr="003B5688">
        <w:t xml:space="preserve">through levies on the </w:t>
      </w:r>
      <w:r>
        <w:t>deposit taking and credit</w:t>
      </w:r>
      <w:r w:rsidRPr="003B5688">
        <w:t xml:space="preserve"> sector.</w:t>
      </w:r>
    </w:p>
    <w:p w14:paraId="42C6B619" w14:textId="643BEF82" w:rsidR="007C3F29" w:rsidRPr="009528A9" w:rsidRDefault="00D35BF3" w:rsidP="00D35BF3">
      <w:pPr>
        <w:pStyle w:val="BodyText"/>
      </w:pPr>
      <w:r w:rsidRPr="00D35BF3">
        <w:t>ASIC will issue invoices to recover its</w:t>
      </w:r>
      <w:r w:rsidR="00714D0C">
        <w:t xml:space="preserve"> 2017–18 costs in January 2019.</w:t>
      </w:r>
      <w:r w:rsidRPr="00D35BF3">
        <w:t xml:space="preserve"> Based on forecast 2016–17 costs, levies on the deposit taking and credit sector would comprise $15.8</w:t>
      </w:r>
      <w:r w:rsidR="0031567F">
        <w:t> </w:t>
      </w:r>
      <w:r w:rsidRPr="00D35BF3">
        <w:t xml:space="preserve">million (48%) </w:t>
      </w:r>
      <w:r w:rsidR="007C3F29" w:rsidRPr="009528A9">
        <w:t>from credit intermediaries, $9.3</w:t>
      </w:r>
      <w:r w:rsidR="00A24E2C">
        <w:t> </w:t>
      </w:r>
      <w:r w:rsidR="007C3F29" w:rsidRPr="009528A9">
        <w:t xml:space="preserve">million (28%) from credit providers, $3.1 million (9%) from deposit product providers, $2.4 million (8%) from payment product providers, $2.0 million (6%) from small amount credit providers and $0.2 million (1%) from margin lenders (see </w:t>
      </w:r>
      <w:r w:rsidR="00F425AE" w:rsidRPr="00B25C47">
        <w:rPr>
          <w:b/>
        </w:rPr>
        <w:fldChar w:fldCharType="begin"/>
      </w:r>
      <w:r w:rsidR="00F425AE" w:rsidRPr="00B25C47">
        <w:rPr>
          <w:b/>
        </w:rPr>
        <w:instrText xml:space="preserve"> REF _Ref463605027 \h </w:instrText>
      </w:r>
      <w:r w:rsidR="00B25C47">
        <w:rPr>
          <w:b/>
        </w:rPr>
        <w:instrText xml:space="preserve"> \* MERGEFORMAT </w:instrText>
      </w:r>
      <w:r w:rsidR="00F425AE" w:rsidRPr="00B25C47">
        <w:rPr>
          <w:b/>
        </w:rPr>
      </w:r>
      <w:r w:rsidR="00F425AE" w:rsidRPr="00B25C47">
        <w:rPr>
          <w:b/>
        </w:rPr>
        <w:fldChar w:fldCharType="separate"/>
      </w:r>
      <w:r w:rsidR="00A37D1A" w:rsidRPr="00B25C47">
        <w:rPr>
          <w:b/>
        </w:rPr>
        <w:t xml:space="preserve">Figure </w:t>
      </w:r>
      <w:r w:rsidR="00A37D1A" w:rsidRPr="00B25C47">
        <w:rPr>
          <w:b/>
          <w:noProof/>
        </w:rPr>
        <w:t>8</w:t>
      </w:r>
      <w:r w:rsidR="00F425AE" w:rsidRPr="00B25C47">
        <w:rPr>
          <w:b/>
        </w:rPr>
        <w:fldChar w:fldCharType="end"/>
      </w:r>
      <w:r w:rsidR="007C3F29" w:rsidRPr="00B25C47">
        <w:rPr>
          <w:b/>
        </w:rPr>
        <w:t xml:space="preserve"> </w:t>
      </w:r>
      <w:r w:rsidR="007C3F29" w:rsidRPr="009528A9">
        <w:t>below).</w:t>
      </w:r>
    </w:p>
    <w:p w14:paraId="69174A09" w14:textId="77777777" w:rsidR="008D5FA4" w:rsidRDefault="00242E2C" w:rsidP="008D5FA4">
      <w:pPr>
        <w:pStyle w:val="figuretitlefullwidth"/>
      </w:pPr>
      <w:bookmarkStart w:id="124" w:name="_Ref463605017"/>
      <w:r>
        <w:t xml:space="preserve">Figure </w:t>
      </w:r>
      <w:r w:rsidR="003D3E81">
        <w:fldChar w:fldCharType="begin"/>
      </w:r>
      <w:r w:rsidR="003D3E81">
        <w:instrText xml:space="preserve"> SEQ Figure \* ARABIC </w:instrText>
      </w:r>
      <w:r w:rsidR="003D3E81">
        <w:fldChar w:fldCharType="separate"/>
      </w:r>
      <w:r w:rsidR="00A37D1A">
        <w:rPr>
          <w:noProof/>
        </w:rPr>
        <w:t>7</w:t>
      </w:r>
      <w:r w:rsidR="003D3E81">
        <w:rPr>
          <w:noProof/>
        </w:rPr>
        <w:fldChar w:fldCharType="end"/>
      </w:r>
      <w:bookmarkEnd w:id="124"/>
      <w:r>
        <w:rPr>
          <w:noProof/>
        </w:rPr>
        <w:t>:</w:t>
      </w:r>
      <w:r>
        <w:rPr>
          <w:noProof/>
        </w:rPr>
        <w:tab/>
        <w:t xml:space="preserve"> </w:t>
      </w:r>
      <w:r w:rsidR="007C3F29" w:rsidRPr="00242E2C">
        <w:t>Costs to regulate the deposit taking and</w:t>
      </w:r>
      <w:r w:rsidR="00A31BC3">
        <w:t xml:space="preserve"> credit sector</w:t>
      </w:r>
    </w:p>
    <w:p w14:paraId="34B347D5" w14:textId="0157AD93" w:rsidR="001149DE" w:rsidRPr="001149DE" w:rsidRDefault="001149DE" w:rsidP="001149DE">
      <w:pPr>
        <w:pStyle w:val="figuretext"/>
      </w:pPr>
      <w:r w:rsidRPr="001149DE">
        <w:rPr>
          <w:noProof/>
        </w:rPr>
        <w:drawing>
          <wp:inline distT="0" distB="0" distL="0" distR="0" wp14:anchorId="55844382" wp14:editId="53799AE3">
            <wp:extent cx="5791200" cy="2253916"/>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902" b="10486"/>
                    <a:stretch/>
                  </pic:blipFill>
                  <pic:spPr bwMode="auto">
                    <a:xfrm>
                      <a:off x="0" y="0"/>
                      <a:ext cx="5800440" cy="2257512"/>
                    </a:xfrm>
                    <a:prstGeom prst="rect">
                      <a:avLst/>
                    </a:prstGeom>
                    <a:noFill/>
                    <a:ln>
                      <a:noFill/>
                    </a:ln>
                    <a:extLst>
                      <a:ext uri="{53640926-AAD7-44D8-BBD7-CCE9431645EC}">
                        <a14:shadowObscured xmlns:a14="http://schemas.microsoft.com/office/drawing/2010/main"/>
                      </a:ext>
                    </a:extLst>
                  </pic:spPr>
                </pic:pic>
              </a:graphicData>
            </a:graphic>
          </wp:inline>
        </w:drawing>
      </w:r>
    </w:p>
    <w:p w14:paraId="7B37E9DA" w14:textId="77777777" w:rsidR="0033052A" w:rsidRPr="0033052A" w:rsidRDefault="0033052A" w:rsidP="0033052A">
      <w:bookmarkStart w:id="125" w:name="_Ref463604989"/>
    </w:p>
    <w:p w14:paraId="0CFCED0C" w14:textId="31D85272" w:rsidR="00FC1A91" w:rsidRDefault="00FC1A91"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9</w:t>
      </w:r>
      <w:r w:rsidR="003D3E81">
        <w:rPr>
          <w:noProof/>
        </w:rPr>
        <w:fldChar w:fldCharType="end"/>
      </w:r>
      <w:bookmarkEnd w:id="125"/>
      <w:r>
        <w:t>:</w:t>
      </w:r>
      <w:r>
        <w:tab/>
        <w:t>Subsectors in the deposit taking and credit sector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180"/>
        <w:gridCol w:w="2948"/>
      </w:tblGrid>
      <w:tr w:rsidR="0005755C" w:rsidRPr="000540E1" w14:paraId="2A05F029" w14:textId="77777777" w:rsidTr="0005755C">
        <w:trPr>
          <w:cantSplit/>
          <w:tblHeader/>
        </w:trPr>
        <w:tc>
          <w:tcPr>
            <w:tcW w:w="6180" w:type="dxa"/>
            <w:shd w:val="clear" w:color="auto" w:fill="C2E3FA"/>
          </w:tcPr>
          <w:p w14:paraId="5E1E911E" w14:textId="7FEA3CB1" w:rsidR="00FC1A91" w:rsidRPr="000540E1" w:rsidRDefault="00FC1A91" w:rsidP="002D57C4">
            <w:pPr>
              <w:pStyle w:val="tablehead"/>
            </w:pPr>
            <w:r>
              <w:t>Subsectors</w:t>
            </w:r>
          </w:p>
        </w:tc>
        <w:tc>
          <w:tcPr>
            <w:tcW w:w="2948" w:type="dxa"/>
            <w:shd w:val="clear" w:color="auto" w:fill="C2E3FA"/>
          </w:tcPr>
          <w:p w14:paraId="55B208BC" w14:textId="78483DC9" w:rsidR="00FC1A91" w:rsidRPr="000540E1" w:rsidRDefault="00FC1A91" w:rsidP="002D57C4">
            <w:pPr>
              <w:pStyle w:val="tablehead"/>
            </w:pPr>
            <w:r>
              <w:t>Number of entities</w:t>
            </w:r>
          </w:p>
        </w:tc>
      </w:tr>
      <w:tr w:rsidR="0005755C" w:rsidRPr="000540E1" w14:paraId="0E3BAFC3" w14:textId="77777777" w:rsidTr="0005755C">
        <w:trPr>
          <w:cantSplit/>
        </w:trPr>
        <w:tc>
          <w:tcPr>
            <w:tcW w:w="6180" w:type="dxa"/>
            <w:vAlign w:val="center"/>
          </w:tcPr>
          <w:p w14:paraId="40DB22E5" w14:textId="1596247E" w:rsidR="00FC1A91" w:rsidRPr="000540E1" w:rsidRDefault="00FC1A91" w:rsidP="00FC1A91">
            <w:pPr>
              <w:pStyle w:val="tbltext"/>
            </w:pPr>
            <w:r w:rsidRPr="005A2A35">
              <w:t>Credit providers (including small amount credit providers)</w:t>
            </w:r>
          </w:p>
        </w:tc>
        <w:tc>
          <w:tcPr>
            <w:tcW w:w="2948" w:type="dxa"/>
            <w:vAlign w:val="center"/>
          </w:tcPr>
          <w:p w14:paraId="31D68867" w14:textId="3BB9FD4B" w:rsidR="00FC1A91" w:rsidRPr="000540E1" w:rsidRDefault="00FC1A91" w:rsidP="00FC1A91">
            <w:pPr>
              <w:pStyle w:val="tbltext"/>
            </w:pPr>
            <w:r w:rsidRPr="005A2A35">
              <w:t>Up to 1,271</w:t>
            </w:r>
          </w:p>
        </w:tc>
      </w:tr>
      <w:tr w:rsidR="0005755C" w:rsidRPr="000540E1" w14:paraId="2F42FDD6" w14:textId="77777777" w:rsidTr="0005755C">
        <w:trPr>
          <w:cantSplit/>
        </w:trPr>
        <w:tc>
          <w:tcPr>
            <w:tcW w:w="6180" w:type="dxa"/>
            <w:vAlign w:val="center"/>
          </w:tcPr>
          <w:p w14:paraId="22D2853D" w14:textId="3C02BA2F" w:rsidR="00FC1A91" w:rsidRPr="000540E1" w:rsidRDefault="00FC1A91" w:rsidP="00FC1A91">
            <w:pPr>
              <w:pStyle w:val="tbltext"/>
            </w:pPr>
            <w:r w:rsidRPr="005A2A35">
              <w:t>Credit intermediaries</w:t>
            </w:r>
          </w:p>
        </w:tc>
        <w:tc>
          <w:tcPr>
            <w:tcW w:w="2948" w:type="dxa"/>
            <w:vAlign w:val="center"/>
          </w:tcPr>
          <w:p w14:paraId="014E2DE3" w14:textId="6936E928" w:rsidR="00FC1A91" w:rsidRPr="000540E1" w:rsidRDefault="00FC1A91" w:rsidP="00FC1A91">
            <w:pPr>
              <w:pStyle w:val="tbltext"/>
            </w:pPr>
            <w:r w:rsidRPr="005A2A35">
              <w:t>5,100</w:t>
            </w:r>
          </w:p>
        </w:tc>
      </w:tr>
      <w:tr w:rsidR="0005755C" w:rsidRPr="000540E1" w14:paraId="231130CA" w14:textId="77777777" w:rsidTr="0005755C">
        <w:trPr>
          <w:cantSplit/>
        </w:trPr>
        <w:tc>
          <w:tcPr>
            <w:tcW w:w="6180" w:type="dxa"/>
            <w:vAlign w:val="center"/>
          </w:tcPr>
          <w:p w14:paraId="3810C034" w14:textId="4FAD70B2" w:rsidR="00FC1A91" w:rsidRPr="000540E1" w:rsidRDefault="00FC1A91" w:rsidP="00FC1A91">
            <w:pPr>
              <w:pStyle w:val="tbltext"/>
            </w:pPr>
            <w:r w:rsidRPr="005A2A35">
              <w:t>Small amount credit providers</w:t>
            </w:r>
          </w:p>
        </w:tc>
        <w:tc>
          <w:tcPr>
            <w:tcW w:w="2948" w:type="dxa"/>
            <w:vAlign w:val="center"/>
          </w:tcPr>
          <w:p w14:paraId="75AA587A" w14:textId="7A9B853C" w:rsidR="00FC1A91" w:rsidRPr="000540E1" w:rsidRDefault="00FC1A91" w:rsidP="00FC1A91">
            <w:pPr>
              <w:pStyle w:val="tbltext"/>
            </w:pPr>
            <w:r w:rsidRPr="005A2A35">
              <w:t>Estimated to be 332</w:t>
            </w:r>
          </w:p>
        </w:tc>
      </w:tr>
      <w:tr w:rsidR="0005755C" w:rsidRPr="000540E1" w14:paraId="482E1246" w14:textId="77777777" w:rsidTr="0005755C">
        <w:trPr>
          <w:cantSplit/>
        </w:trPr>
        <w:tc>
          <w:tcPr>
            <w:tcW w:w="6180" w:type="dxa"/>
            <w:vAlign w:val="center"/>
          </w:tcPr>
          <w:p w14:paraId="52975D57" w14:textId="2A7FE22B" w:rsidR="00FC1A91" w:rsidRPr="005A2A35" w:rsidRDefault="00FC1A91" w:rsidP="00FC1A91">
            <w:pPr>
              <w:pStyle w:val="tbltext"/>
            </w:pPr>
            <w:r w:rsidRPr="005A2A35">
              <w:t>Deposit product providers</w:t>
            </w:r>
          </w:p>
        </w:tc>
        <w:tc>
          <w:tcPr>
            <w:tcW w:w="2948" w:type="dxa"/>
            <w:vAlign w:val="center"/>
          </w:tcPr>
          <w:p w14:paraId="13E4B630" w14:textId="119D9C6B" w:rsidR="00FC1A91" w:rsidRPr="000540E1" w:rsidRDefault="0056603E" w:rsidP="00FC1A91">
            <w:pPr>
              <w:pStyle w:val="tbltext"/>
            </w:pPr>
            <w:r>
              <w:t>258</w:t>
            </w:r>
          </w:p>
        </w:tc>
      </w:tr>
      <w:tr w:rsidR="0005755C" w:rsidRPr="000540E1" w14:paraId="25DF50C3" w14:textId="77777777" w:rsidTr="0005755C">
        <w:trPr>
          <w:cantSplit/>
        </w:trPr>
        <w:tc>
          <w:tcPr>
            <w:tcW w:w="6180" w:type="dxa"/>
            <w:vAlign w:val="center"/>
          </w:tcPr>
          <w:p w14:paraId="221D4C62" w14:textId="032A19D7" w:rsidR="00FC1A91" w:rsidRPr="005A2A35" w:rsidRDefault="00FC1A91" w:rsidP="00FC1A91">
            <w:pPr>
              <w:pStyle w:val="tbltext"/>
            </w:pPr>
            <w:r w:rsidRPr="005A2A35">
              <w:t>Payment product providers</w:t>
            </w:r>
          </w:p>
        </w:tc>
        <w:tc>
          <w:tcPr>
            <w:tcW w:w="2948" w:type="dxa"/>
            <w:vAlign w:val="center"/>
          </w:tcPr>
          <w:p w14:paraId="59081375" w14:textId="053B8E10" w:rsidR="00FC1A91" w:rsidRPr="000540E1" w:rsidRDefault="00FC1A91" w:rsidP="00FC1A91">
            <w:pPr>
              <w:pStyle w:val="tbltext"/>
            </w:pPr>
            <w:r w:rsidRPr="005A2A35">
              <w:t>266</w:t>
            </w:r>
          </w:p>
        </w:tc>
      </w:tr>
      <w:tr w:rsidR="0005755C" w:rsidRPr="000540E1" w14:paraId="53CB40C2" w14:textId="77777777" w:rsidTr="0005755C">
        <w:trPr>
          <w:cantSplit/>
        </w:trPr>
        <w:tc>
          <w:tcPr>
            <w:tcW w:w="6180" w:type="dxa"/>
            <w:vAlign w:val="center"/>
          </w:tcPr>
          <w:p w14:paraId="0954F813" w14:textId="37802520" w:rsidR="00FC1A91" w:rsidRPr="005A2A35" w:rsidRDefault="00FC1A91" w:rsidP="00FC1A91">
            <w:pPr>
              <w:pStyle w:val="tbltext"/>
            </w:pPr>
            <w:r w:rsidRPr="005A2A35">
              <w:t>Margin lenders</w:t>
            </w:r>
          </w:p>
        </w:tc>
        <w:tc>
          <w:tcPr>
            <w:tcW w:w="2948" w:type="dxa"/>
            <w:vAlign w:val="center"/>
          </w:tcPr>
          <w:p w14:paraId="1BBD9A0A" w14:textId="58C5AB9E" w:rsidR="00FC1A91" w:rsidRPr="000540E1" w:rsidRDefault="00FC1A91" w:rsidP="00FC1A91">
            <w:pPr>
              <w:pStyle w:val="tbltext"/>
            </w:pPr>
            <w:r w:rsidRPr="005A2A35">
              <w:t>22</w:t>
            </w:r>
          </w:p>
        </w:tc>
      </w:tr>
    </w:tbl>
    <w:p w14:paraId="0593ED98" w14:textId="77777777" w:rsidR="009528A9" w:rsidRDefault="009528A9">
      <w:pPr>
        <w:spacing w:after="0"/>
        <w:rPr>
          <w:rFonts w:ascii="Arial" w:hAnsi="Arial" w:cs="Arial"/>
          <w:b/>
          <w:sz w:val="20"/>
        </w:rPr>
      </w:pPr>
    </w:p>
    <w:p w14:paraId="0FB34BAA" w14:textId="69BB8405" w:rsidR="005D46E5" w:rsidRDefault="005D46E5" w:rsidP="005D46E5">
      <w:pPr>
        <w:pStyle w:val="figuretitlefullwidth"/>
      </w:pPr>
      <w:bookmarkStart w:id="126" w:name="_Ref463605027"/>
      <w:r>
        <w:t xml:space="preserve">Figure </w:t>
      </w:r>
      <w:r w:rsidR="003D3E81">
        <w:fldChar w:fldCharType="begin"/>
      </w:r>
      <w:r w:rsidR="003D3E81">
        <w:instrText xml:space="preserve"> SEQ Figure \* ARABIC </w:instrText>
      </w:r>
      <w:r w:rsidR="003D3E81">
        <w:fldChar w:fldCharType="separate"/>
      </w:r>
      <w:r w:rsidR="00A37D1A">
        <w:rPr>
          <w:noProof/>
        </w:rPr>
        <w:t>8</w:t>
      </w:r>
      <w:r w:rsidR="003D3E81">
        <w:rPr>
          <w:noProof/>
        </w:rPr>
        <w:fldChar w:fldCharType="end"/>
      </w:r>
      <w:bookmarkEnd w:id="126"/>
      <w:r>
        <w:t>:</w:t>
      </w:r>
      <w:r>
        <w:tab/>
        <w:t>Regulatory costs for the deposit taking and credit sec</w:t>
      </w:r>
      <w:r w:rsidRPr="005D46E5">
        <w:t>tor in 2016–17</w:t>
      </w:r>
    </w:p>
    <w:p w14:paraId="6C6A7872" w14:textId="428F3C82" w:rsidR="005D46E5" w:rsidRDefault="00F42A02" w:rsidP="005D46E5">
      <w:pPr>
        <w:pStyle w:val="figuretext"/>
        <w:rPr>
          <w:lang w:val="en-ZW"/>
        </w:rPr>
      </w:pPr>
      <w:r>
        <w:rPr>
          <w:noProof/>
        </w:rPr>
        <w:drawing>
          <wp:inline distT="0" distB="0" distL="0" distR="0" wp14:anchorId="5AEDCCD7" wp14:editId="4FD76EB1">
            <wp:extent cx="5759116" cy="2414337"/>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AC61BF7" w14:textId="77777777" w:rsidR="007C3F29" w:rsidRPr="008E2393" w:rsidRDefault="007C3F29" w:rsidP="009528A9">
      <w:pPr>
        <w:pStyle w:val="Heading2"/>
      </w:pPr>
      <w:bookmarkStart w:id="127" w:name="_Toc462697130"/>
      <w:bookmarkStart w:id="128" w:name="_Toc462698941"/>
      <w:bookmarkStart w:id="129" w:name="_Toc462700177"/>
      <w:bookmarkStart w:id="130" w:name="_Toc462700858"/>
      <w:bookmarkStart w:id="131" w:name="_Toc463544597"/>
      <w:bookmarkStart w:id="132" w:name="_Toc463595199"/>
      <w:bookmarkStart w:id="133" w:name="_Toc464140310"/>
      <w:bookmarkStart w:id="134" w:name="_Toc466020962"/>
      <w:r w:rsidRPr="008E2393">
        <w:t>Credit licensees</w:t>
      </w:r>
      <w:bookmarkEnd w:id="127"/>
      <w:bookmarkEnd w:id="128"/>
      <w:bookmarkEnd w:id="129"/>
      <w:bookmarkEnd w:id="130"/>
      <w:bookmarkEnd w:id="131"/>
      <w:bookmarkEnd w:id="132"/>
      <w:bookmarkEnd w:id="133"/>
      <w:bookmarkEnd w:id="134"/>
    </w:p>
    <w:p w14:paraId="0D2B8EFA" w14:textId="77777777" w:rsidR="007C3F29" w:rsidRPr="008E2393" w:rsidRDefault="007C3F29" w:rsidP="009528A9">
      <w:pPr>
        <w:pStyle w:val="BodyText"/>
      </w:pPr>
      <w:r w:rsidRPr="008E2393">
        <w:t xml:space="preserve">There are around 5,800 credit licensees with an authorisation to provide credit and/or other credit activities. They include credit providers such as authorised deposit-taking institutions (banks, credit unions and building societies) and credit intermediaries such as mortgage and finance brokers. </w:t>
      </w:r>
    </w:p>
    <w:p w14:paraId="5B18C1CB" w14:textId="2F062482" w:rsidR="007C3F29" w:rsidRDefault="007C3F29" w:rsidP="009528A9">
      <w:pPr>
        <w:pStyle w:val="BodyText"/>
      </w:pPr>
      <w:r w:rsidRPr="008E2393">
        <w:t>ASIC administers Australia</w:t>
      </w:r>
      <w:r w:rsidR="0003187F">
        <w:t>’</w:t>
      </w:r>
      <w:r w:rsidRPr="008E2393">
        <w:t xml:space="preserve">s consumer credit laws to ensure that the credit industry operates efficiently, honestly and fairly. ASIC’s regulatory work includes monitoring of credit licensees’ compliance with the </w:t>
      </w:r>
      <w:r w:rsidRPr="000B5B80">
        <w:rPr>
          <w:i/>
        </w:rPr>
        <w:t xml:space="preserve">National Consumer Credit Protection Act 2009 </w:t>
      </w:r>
      <w:r w:rsidRPr="008E2393">
        <w:t xml:space="preserve">(National Credit Act), and enforcement. ASIC also engages with stakeholders to ensure risks are identified and addressed and provides guidance to credit licensees </w:t>
      </w:r>
      <w:r>
        <w:t xml:space="preserve">about </w:t>
      </w:r>
      <w:r w:rsidRPr="008E2393">
        <w:t xml:space="preserve">their legal obligations. </w:t>
      </w:r>
    </w:p>
    <w:p w14:paraId="5FCF72B1" w14:textId="77777777" w:rsidR="007C3F29" w:rsidRPr="008E2393" w:rsidRDefault="007C3F29" w:rsidP="009528A9">
      <w:pPr>
        <w:pStyle w:val="BodyText"/>
      </w:pPr>
      <w:r w:rsidRPr="008E2393">
        <w:t xml:space="preserve">Recent areas of focus </w:t>
      </w:r>
      <w:r>
        <w:t xml:space="preserve">for ASIC </w:t>
      </w:r>
      <w:r w:rsidRPr="008E2393">
        <w:t>have included reviewing compliance with the responsible lending laws, addressing misleading advertising and taking action in response to the sale of inappropriate products.</w:t>
      </w:r>
    </w:p>
    <w:p w14:paraId="4B182E78" w14:textId="77777777" w:rsidR="00A24E2C" w:rsidRDefault="00A24E2C">
      <w:pPr>
        <w:spacing w:after="0"/>
        <w:rPr>
          <w:szCs w:val="22"/>
        </w:rPr>
      </w:pPr>
      <w:r>
        <w:br w:type="page"/>
      </w:r>
    </w:p>
    <w:p w14:paraId="346FEA5C" w14:textId="2BBE22BF" w:rsidR="007C3F29" w:rsidRPr="008E2393" w:rsidRDefault="007C3F29" w:rsidP="009528A9">
      <w:pPr>
        <w:pStyle w:val="BodyText"/>
      </w:pPr>
      <w:r w:rsidRPr="008E2393">
        <w:t>In 2016</w:t>
      </w:r>
      <w:r>
        <w:t>–</w:t>
      </w:r>
      <w:r w:rsidRPr="008E2393">
        <w:t>17, ASIC will continue work on responsible lending practic</w:t>
      </w:r>
      <w:r w:rsidR="00714D0C">
        <w:t xml:space="preserve">es within the credit industry. </w:t>
      </w:r>
      <w:r>
        <w:t>ASIC</w:t>
      </w:r>
      <w:r w:rsidR="0003187F">
        <w:t>’</w:t>
      </w:r>
      <w:r>
        <w:t xml:space="preserve">s </w:t>
      </w:r>
      <w:r w:rsidRPr="008E2393">
        <w:t>focus will be on the risk of loan payment stress resulting from inappropriate lending and/or changing economic conditions with particular attention paid to non-lender gatekeepers (such as finance brokers) and credit other than home loans (</w:t>
      </w:r>
      <w:r>
        <w:t>such as,</w:t>
      </w:r>
      <w:r w:rsidR="00714D0C">
        <w:t xml:space="preserve"> credit cards).</w:t>
      </w:r>
    </w:p>
    <w:p w14:paraId="447EA124" w14:textId="515C77CF" w:rsidR="007C3F29" w:rsidRPr="008E2393" w:rsidRDefault="007C3F29" w:rsidP="009528A9">
      <w:pPr>
        <w:pStyle w:val="BodyText"/>
      </w:pPr>
      <w:r>
        <w:t>ASIC</w:t>
      </w:r>
      <w:r w:rsidRPr="008E2393">
        <w:t xml:space="preserve"> will also conduct follow-up work with lenders in relation to interest only loans to ensure ASIC’s concerns about responsible lending practices in that market (specifically relating to requirements and objectives) have been addressed.</w:t>
      </w:r>
    </w:p>
    <w:p w14:paraId="48F8B420" w14:textId="28218C4F" w:rsidR="007C3F29" w:rsidRDefault="007C3F29" w:rsidP="009528A9">
      <w:pPr>
        <w:pStyle w:val="BodyText"/>
      </w:pPr>
      <w:r w:rsidRPr="008E2393">
        <w:t xml:space="preserve">ASIC will </w:t>
      </w:r>
      <w:r w:rsidR="007739FE">
        <w:t xml:space="preserve">also </w:t>
      </w:r>
      <w:r w:rsidRPr="008E2393">
        <w:t xml:space="preserve">commence several reviews into specific market practices, including loan fraud across the Australian credit market, credit card marketing practices and issuer obligations and the responsible lending compliance arrangements for large finance brokers with a focus on interest only loans. </w:t>
      </w:r>
    </w:p>
    <w:p w14:paraId="46E3B19C" w14:textId="0B445405" w:rsidR="007739FE" w:rsidRPr="008E2393" w:rsidRDefault="007739FE" w:rsidP="007739FE">
      <w:pPr>
        <w:pStyle w:val="BodyText"/>
      </w:pPr>
      <w:r>
        <w:t xml:space="preserve">In 2016–17, ASIC will also contribute to key reforms, including crowd-sourced funding and the Financial System Inquiry recommendations around product and distribution obligations. </w:t>
      </w:r>
    </w:p>
    <w:p w14:paraId="0823057F" w14:textId="77777777" w:rsidR="007C3F29" w:rsidRPr="008E2393" w:rsidRDefault="007C3F29" w:rsidP="009528A9">
      <w:pPr>
        <w:pStyle w:val="Heading3"/>
      </w:pPr>
      <w:bookmarkStart w:id="135" w:name="_Toc462697131"/>
      <w:bookmarkStart w:id="136" w:name="_Toc462698942"/>
      <w:bookmarkStart w:id="137" w:name="_Toc462700178"/>
      <w:bookmarkStart w:id="138" w:name="_Toc462700859"/>
      <w:r w:rsidRPr="008E2393">
        <w:t xml:space="preserve">Small amount </w:t>
      </w:r>
      <w:r>
        <w:t xml:space="preserve">credit </w:t>
      </w:r>
      <w:r w:rsidRPr="008E2393">
        <w:t>providers</w:t>
      </w:r>
      <w:bookmarkEnd w:id="135"/>
      <w:bookmarkEnd w:id="136"/>
      <w:bookmarkEnd w:id="137"/>
      <w:bookmarkEnd w:id="138"/>
    </w:p>
    <w:p w14:paraId="429692C2" w14:textId="77777777" w:rsidR="007C3F29" w:rsidRPr="008E2393" w:rsidRDefault="007C3F29" w:rsidP="009528A9">
      <w:pPr>
        <w:pStyle w:val="BodyText"/>
      </w:pPr>
      <w:r w:rsidRPr="008E2393">
        <w:t xml:space="preserve">The small amount lending industry has been a strong area of focus for ASIC since </w:t>
      </w:r>
      <w:r>
        <w:t>it</w:t>
      </w:r>
      <w:r w:rsidRPr="008E2393">
        <w:t xml:space="preserve"> obtained responsibility for consumer credit in 2010. </w:t>
      </w:r>
      <w:r>
        <w:t>ASIC</w:t>
      </w:r>
      <w:r w:rsidRPr="008E2393">
        <w:t xml:space="preserve"> ha</w:t>
      </w:r>
      <w:r>
        <w:t>s</w:t>
      </w:r>
      <w:r w:rsidRPr="008E2393">
        <w:t xml:space="preserve"> focused on these products because they have particular risks for financially vulnerable consumers (who are often targeted by marketing for these loans).</w:t>
      </w:r>
    </w:p>
    <w:p w14:paraId="2588EA1B" w14:textId="77777777" w:rsidR="007C3F29" w:rsidRPr="008E2393" w:rsidRDefault="007C3F29" w:rsidP="009528A9">
      <w:pPr>
        <w:pStyle w:val="BodyText"/>
      </w:pPr>
      <w:r w:rsidRPr="008E2393">
        <w:t xml:space="preserve">In this area, </w:t>
      </w:r>
      <w:r>
        <w:t>ASIC has focused</w:t>
      </w:r>
      <w:r w:rsidRPr="008E2393">
        <w:t xml:space="preserve"> on compliance with responsible lending</w:t>
      </w:r>
      <w:r>
        <w:t xml:space="preserve"> practices</w:t>
      </w:r>
      <w:r w:rsidRPr="008E2393">
        <w:t xml:space="preserve">, addressing attempts to avoid the laws, as well as misleading advertising. Over the past five years, </w:t>
      </w:r>
      <w:r>
        <w:t>ASIC</w:t>
      </w:r>
      <w:r w:rsidRPr="008E2393">
        <w:t xml:space="preserve"> ha</w:t>
      </w:r>
      <w:r>
        <w:t xml:space="preserve">s </w:t>
      </w:r>
      <w:r w:rsidRPr="008E2393">
        <w:t>conducted two industry reviews and undertaken enforcement action that has resulted in approximately $3.</w:t>
      </w:r>
      <w:r>
        <w:t>4</w:t>
      </w:r>
      <w:r w:rsidRPr="008E2393">
        <w:t xml:space="preserve"> million in refunds to more than 1</w:t>
      </w:r>
      <w:r>
        <w:t>8</w:t>
      </w:r>
      <w:r w:rsidRPr="008E2393">
        <w:t xml:space="preserve">,000 consumers who were overcharged when taking out a payday loan. </w:t>
      </w:r>
      <w:r>
        <w:t>ASIC</w:t>
      </w:r>
      <w:r w:rsidRPr="008E2393">
        <w:t xml:space="preserve"> ha</w:t>
      </w:r>
      <w:r>
        <w:t>s</w:t>
      </w:r>
      <w:r w:rsidRPr="008E2393">
        <w:t xml:space="preserve"> also provided input to the independent review of the small amount credit laws.</w:t>
      </w:r>
    </w:p>
    <w:p w14:paraId="1089C82E" w14:textId="77777777" w:rsidR="007C3F29" w:rsidRPr="008E2393" w:rsidRDefault="007C3F29" w:rsidP="009528A9">
      <w:pPr>
        <w:pStyle w:val="BodyText"/>
      </w:pPr>
      <w:r w:rsidRPr="008E2393">
        <w:t>In 2016</w:t>
      </w:r>
      <w:r>
        <w:t>–</w:t>
      </w:r>
      <w:r w:rsidRPr="008E2393">
        <w:t xml:space="preserve">17, </w:t>
      </w:r>
      <w:r>
        <w:t>ASIC</w:t>
      </w:r>
      <w:r w:rsidRPr="008E2393">
        <w:t xml:space="preserve"> will continue work on improving responsible lending practices for payday loans</w:t>
      </w:r>
      <w:r>
        <w:t xml:space="preserve"> and </w:t>
      </w:r>
      <w:r w:rsidRPr="008E2393">
        <w:t xml:space="preserve">will be assisting the Government with implementation of the recommendations </w:t>
      </w:r>
      <w:r>
        <w:t xml:space="preserve">from the review of </w:t>
      </w:r>
      <w:r w:rsidRPr="008E2393">
        <w:t>the small amount credit laws.</w:t>
      </w:r>
    </w:p>
    <w:p w14:paraId="10D1534C" w14:textId="77777777" w:rsidR="007C3F29" w:rsidRPr="008E2393" w:rsidRDefault="007C3F29" w:rsidP="009528A9">
      <w:pPr>
        <w:pStyle w:val="Heading3"/>
      </w:pPr>
      <w:bookmarkStart w:id="139" w:name="_Toc462697132"/>
      <w:bookmarkStart w:id="140" w:name="_Toc462698943"/>
      <w:bookmarkStart w:id="141" w:name="_Toc462700179"/>
      <w:bookmarkStart w:id="142" w:name="_Toc462700860"/>
      <w:r w:rsidRPr="008E2393">
        <w:t>Remaining sectors</w:t>
      </w:r>
      <w:bookmarkEnd w:id="139"/>
      <w:bookmarkEnd w:id="140"/>
      <w:bookmarkEnd w:id="141"/>
      <w:bookmarkEnd w:id="142"/>
    </w:p>
    <w:p w14:paraId="49754222" w14:textId="2A243806" w:rsidR="007C3F29" w:rsidRDefault="007C3F29" w:rsidP="009528A9">
      <w:pPr>
        <w:pStyle w:val="BodyText"/>
      </w:pPr>
      <w:r w:rsidRPr="008E2393">
        <w:t xml:space="preserve">There are around </w:t>
      </w:r>
      <w:r w:rsidR="00D35BF3">
        <w:t>550</w:t>
      </w:r>
      <w:r w:rsidRPr="008E2393">
        <w:t xml:space="preserve"> AFS licensees authorised to operate as deposit product providers, payment product providers and/or margin lenders. </w:t>
      </w:r>
    </w:p>
    <w:p w14:paraId="3276DCAE" w14:textId="1BE8E783" w:rsidR="007C3F29" w:rsidRPr="008E2393" w:rsidRDefault="007C3F29" w:rsidP="009528A9">
      <w:pPr>
        <w:pStyle w:val="BodyText"/>
      </w:pPr>
      <w:r w:rsidRPr="008E2393">
        <w:t>ASIC monitors these AFS licensees’ compliance with their obligations under the Corporations Act through proactive and reactive surveillances and takes disciplinary action where</w:t>
      </w:r>
      <w:r w:rsidR="00714D0C">
        <w:t xml:space="preserve"> there are breaches of the law.</w:t>
      </w:r>
      <w:r w:rsidRPr="008E2393">
        <w:t xml:space="preserve"> ASIC also provides guidance to industry in response to regulatory reforms, as well as market innovations and structural changes. </w:t>
      </w:r>
    </w:p>
    <w:p w14:paraId="0339172B" w14:textId="77777777" w:rsidR="00A24E2C" w:rsidRDefault="00A24E2C">
      <w:pPr>
        <w:spacing w:after="0"/>
        <w:rPr>
          <w:szCs w:val="22"/>
        </w:rPr>
      </w:pPr>
      <w:r>
        <w:br w:type="page"/>
      </w:r>
    </w:p>
    <w:p w14:paraId="14FCE03F" w14:textId="7169CF0D" w:rsidR="007C3F29" w:rsidRPr="008E2393" w:rsidRDefault="007C3F29" w:rsidP="009528A9">
      <w:pPr>
        <w:pStyle w:val="BodyText"/>
      </w:pPr>
      <w:r w:rsidRPr="008E2393">
        <w:t>In 2016</w:t>
      </w:r>
      <w:r w:rsidR="00D11144">
        <w:t>–</w:t>
      </w:r>
      <w:r w:rsidRPr="008E2393">
        <w:t xml:space="preserve">17, ASIC will: </w:t>
      </w:r>
    </w:p>
    <w:p w14:paraId="44338CFB" w14:textId="77777777" w:rsidR="007C3F29" w:rsidRPr="008E2393" w:rsidRDefault="007C3F29" w:rsidP="000B5B80">
      <w:pPr>
        <w:pStyle w:val="subparaa"/>
        <w:ind w:left="1559"/>
      </w:pPr>
      <w:r w:rsidRPr="008E2393">
        <w:t xml:space="preserve">continue </w:t>
      </w:r>
      <w:r>
        <w:t xml:space="preserve">its </w:t>
      </w:r>
      <w:r w:rsidRPr="008E2393">
        <w:t>focus on the mis-selling of financial products and also expand this work to include inappropriate outcomes from products</w:t>
      </w:r>
    </w:p>
    <w:p w14:paraId="08B44697" w14:textId="77777777" w:rsidR="007C3F29" w:rsidRDefault="007C3F29" w:rsidP="000B5B80">
      <w:pPr>
        <w:pStyle w:val="subparaa"/>
        <w:ind w:left="1559"/>
      </w:pPr>
      <w:r w:rsidRPr="008E2393">
        <w:t>continue to monitor how industry is utilising emerging technologies (to facilitate the delivery of appropriate products with minimal regulatory burden and reduced risk of consumer detriment)</w:t>
      </w:r>
    </w:p>
    <w:p w14:paraId="13C2BBE1" w14:textId="70DC2EA4" w:rsidR="00351338" w:rsidRPr="008E2393" w:rsidRDefault="00351338" w:rsidP="000B5B80">
      <w:pPr>
        <w:pStyle w:val="subparaa"/>
        <w:ind w:left="1559"/>
      </w:pPr>
      <w:r>
        <w:t>continue to monitor emerging promotional methods, delivery channels and business models (</w:t>
      </w:r>
      <w:r w:rsidR="00A366D4">
        <w:t xml:space="preserve">for example, </w:t>
      </w:r>
      <w:r>
        <w:t>the use of Facebook and Twitter for advertising, group buying sites, comparison websites and peer-to-peer business models)</w:t>
      </w:r>
    </w:p>
    <w:p w14:paraId="4BC80459" w14:textId="77777777" w:rsidR="009528A9" w:rsidRDefault="007C3F29" w:rsidP="000B5B80">
      <w:pPr>
        <w:pStyle w:val="subparaa"/>
        <w:ind w:left="1559"/>
      </w:pPr>
      <w:r w:rsidRPr="008E2393">
        <w:t>support Government initiatives in payments regulation, including the proposal to mandate the ePayments Code.</w:t>
      </w:r>
      <w:bookmarkStart w:id="143" w:name="_Toc462677686"/>
      <w:bookmarkStart w:id="144" w:name="_Toc462697133"/>
      <w:bookmarkStart w:id="145" w:name="_Toc462698944"/>
      <w:bookmarkStart w:id="146" w:name="_Toc462700180"/>
      <w:bookmarkStart w:id="147" w:name="_Toc462700861"/>
    </w:p>
    <w:p w14:paraId="1E5CDD29" w14:textId="7CF3D5B8" w:rsidR="00F82975" w:rsidRDefault="00F82975" w:rsidP="000B5B80">
      <w:pPr>
        <w:pStyle w:val="BodyText"/>
      </w:pPr>
      <w:r>
        <w:t xml:space="preserve">In 2016–17 ASIC will also contribute to key reforms around non-cash payment facilities, including the mandating of the ePayments Code, as part of the Government’s response to the Financial System Inquiry recommendations. </w:t>
      </w:r>
    </w:p>
    <w:p w14:paraId="5A8680BC" w14:textId="66866AD1" w:rsidR="007C3F29" w:rsidRPr="008E2393" w:rsidRDefault="00F65426" w:rsidP="009528A9">
      <w:pPr>
        <w:pStyle w:val="Heading2"/>
      </w:pPr>
      <w:bookmarkStart w:id="148" w:name="_Toc463544598"/>
      <w:bookmarkStart w:id="149" w:name="_Toc463595200"/>
      <w:bookmarkStart w:id="150" w:name="_Toc464140311"/>
      <w:bookmarkStart w:id="151" w:name="_Toc466020963"/>
      <w:r>
        <w:t>Proposed l</w:t>
      </w:r>
      <w:r w:rsidR="007C3F29" w:rsidRPr="008E2393">
        <w:t>evy methodologies</w:t>
      </w:r>
      <w:bookmarkEnd w:id="143"/>
      <w:bookmarkEnd w:id="144"/>
      <w:bookmarkEnd w:id="145"/>
      <w:bookmarkEnd w:id="146"/>
      <w:bookmarkEnd w:id="147"/>
      <w:bookmarkEnd w:id="148"/>
      <w:bookmarkEnd w:id="149"/>
      <w:bookmarkEnd w:id="150"/>
      <w:bookmarkEnd w:id="151"/>
      <w:r w:rsidR="007C3F29" w:rsidRPr="008E2393">
        <w:t xml:space="preserve"> </w:t>
      </w:r>
    </w:p>
    <w:p w14:paraId="536CB8D2" w14:textId="546F076E" w:rsidR="009528A9" w:rsidRPr="009528A9" w:rsidRDefault="007C3F29" w:rsidP="009528A9">
      <w:pPr>
        <w:pStyle w:val="Heading3"/>
      </w:pPr>
      <w:bookmarkStart w:id="152" w:name="_Toc462677687"/>
      <w:bookmarkStart w:id="153" w:name="_Toc462697134"/>
      <w:bookmarkStart w:id="154" w:name="_Toc462698945"/>
      <w:bookmarkStart w:id="155" w:name="_Toc462700181"/>
      <w:bookmarkStart w:id="156" w:name="_Toc462700862"/>
      <w:r w:rsidRPr="008E2393">
        <w:t>Credit licensees</w:t>
      </w:r>
      <w:bookmarkEnd w:id="152"/>
      <w:bookmarkEnd w:id="153"/>
      <w:bookmarkEnd w:id="154"/>
      <w:bookmarkEnd w:id="155"/>
      <w:bookmarkEnd w:id="156"/>
    </w:p>
    <w:p w14:paraId="7067D957" w14:textId="7820B2FF" w:rsidR="007C3F29" w:rsidRDefault="007C3F29" w:rsidP="009528A9">
      <w:pPr>
        <w:pStyle w:val="BodyText"/>
      </w:pPr>
      <w:r w:rsidRPr="008E2393">
        <w:t>The intensity of ASIC’s regulation depends on the services offered by a credit licensee (</w:t>
      </w:r>
      <w:r w:rsidR="00A366D4">
        <w:t xml:space="preserve">that is, </w:t>
      </w:r>
      <w:r w:rsidRPr="008E2393">
        <w:t xml:space="preserve">credit provision or intermediary services), as well as the scale of the licensee’s operation. For example, large credit businesses with significant customer bases present a more widespread risk to consumer wellbeing and the market than smaller institutions and therefore require more regulatory attention. </w:t>
      </w:r>
    </w:p>
    <w:p w14:paraId="5B09D72A" w14:textId="6204936A" w:rsidR="007C3F29" w:rsidRPr="008E2393" w:rsidRDefault="007C3F29" w:rsidP="009528A9">
      <w:pPr>
        <w:pStyle w:val="BodyText"/>
      </w:pPr>
      <w:r w:rsidRPr="008E2393">
        <w:t>To recover ASIC’s costs to regulate credit licensees a graduated approach with minimum levies is proposed. Three</w:t>
      </w:r>
      <w:r w:rsidR="00714D0C">
        <w:t xml:space="preserve"> distinct levies are proposed:</w:t>
      </w:r>
    </w:p>
    <w:p w14:paraId="23904A24" w14:textId="157C87AE" w:rsidR="007C3F29" w:rsidRPr="008E2393" w:rsidRDefault="007C3F29" w:rsidP="000B5B80">
      <w:pPr>
        <w:pStyle w:val="subparaa"/>
        <w:ind w:left="1559"/>
      </w:pPr>
      <w:r w:rsidRPr="008E2393">
        <w:t xml:space="preserve">for credit providers </w:t>
      </w:r>
      <w:r w:rsidR="00D35BF3">
        <w:t xml:space="preserve">who provide loans that are not </w:t>
      </w:r>
      <w:r w:rsidRPr="008E2393">
        <w:t>small amount loans, a graduated levy based on the amount of credit provided under those loans</w:t>
      </w:r>
    </w:p>
    <w:p w14:paraId="7178FF6C" w14:textId="2C93637F" w:rsidR="007C3F29" w:rsidRPr="008E2393" w:rsidRDefault="007C3F29" w:rsidP="000B5B80">
      <w:pPr>
        <w:pStyle w:val="subparaa"/>
        <w:ind w:left="1559"/>
      </w:pPr>
      <w:r w:rsidRPr="008E2393">
        <w:t xml:space="preserve">for credit providers </w:t>
      </w:r>
      <w:r w:rsidR="00D35BF3">
        <w:t xml:space="preserve">who provide loans </w:t>
      </w:r>
      <w:r w:rsidRPr="008E2393">
        <w:t>under small amount credit contracts (as</w:t>
      </w:r>
      <w:r w:rsidR="0031567F">
        <w:t> </w:t>
      </w:r>
      <w:r w:rsidRPr="008E2393">
        <w:t xml:space="preserve">defined in the National Credit Act), a graduated levy based on the amount of credit provided under </w:t>
      </w:r>
      <w:r w:rsidR="00D35BF3">
        <w:t>small amount credit contracts</w:t>
      </w:r>
    </w:p>
    <w:p w14:paraId="49EBC2DA" w14:textId="77777777" w:rsidR="007C3F29" w:rsidRPr="008E2393" w:rsidRDefault="007C3F29" w:rsidP="000B5B80">
      <w:pPr>
        <w:pStyle w:val="subparaa"/>
        <w:ind w:left="1559"/>
      </w:pPr>
      <w:r w:rsidRPr="008E2393">
        <w:t>for credit intermediaries, a graduated levy based on the amount of credit intermediated.</w:t>
      </w:r>
    </w:p>
    <w:p w14:paraId="1BB2BE86" w14:textId="2D5F28B8" w:rsidR="007B54F6" w:rsidRPr="008E2393" w:rsidRDefault="007C3F29" w:rsidP="007B54F6">
      <w:pPr>
        <w:pStyle w:val="BodyText"/>
      </w:pPr>
      <w:r w:rsidRPr="008E2393">
        <w:t>The credit licensee levies are cumulative</w:t>
      </w:r>
      <w:r w:rsidR="00F425AE">
        <w:t xml:space="preserve"> — </w:t>
      </w:r>
      <w:r w:rsidRPr="008E2393">
        <w:t>for instance, if a credit licensee holds authorisations as a credit provider and a credit intermediary and provides both small amount and regular loans</w:t>
      </w:r>
      <w:r w:rsidR="00F65426">
        <w:t xml:space="preserve"> it is proposed that</w:t>
      </w:r>
      <w:r w:rsidRPr="008E2393">
        <w:t xml:space="preserve"> they would be required to pay all three</w:t>
      </w:r>
      <w:r w:rsidR="0031567F">
        <w:t> </w:t>
      </w:r>
      <w:r w:rsidRPr="008E2393">
        <w:t xml:space="preserve">levies. Each levy would be calculated separately and would only relate to the licensee’s involvement in that activity or </w:t>
      </w:r>
      <w:r>
        <w:t>subsector</w:t>
      </w:r>
      <w:r w:rsidRPr="008E2393">
        <w:t>.</w:t>
      </w:r>
      <w:r>
        <w:t xml:space="preserve"> However, if a credit provider provides both credit (other than under small amount contract credit contracts) and credit under small amount credit contracts, they will only pay one minimum levy of $2,000. </w:t>
      </w:r>
    </w:p>
    <w:p w14:paraId="09BD489F" w14:textId="52DFA89E" w:rsidR="00FC1A91" w:rsidRDefault="00FC1A91"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10</w:t>
      </w:r>
      <w:r w:rsidR="003D3E81">
        <w:rPr>
          <w:noProof/>
        </w:rPr>
        <w:fldChar w:fldCharType="end"/>
      </w:r>
      <w:r>
        <w:t>:</w:t>
      </w:r>
      <w:r>
        <w:tab/>
      </w:r>
      <w:r w:rsidRPr="008E2393">
        <w:t>Proposed levy arrangements – Credit licensees</w:t>
      </w:r>
    </w:p>
    <w:tbl>
      <w:tblPr>
        <w:tblW w:w="9128"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644"/>
        <w:gridCol w:w="1644"/>
        <w:gridCol w:w="1928"/>
        <w:gridCol w:w="2438"/>
        <w:gridCol w:w="1474"/>
      </w:tblGrid>
      <w:tr w:rsidR="00FC1A91" w:rsidRPr="000540E1" w14:paraId="2F3E31F2" w14:textId="77777777" w:rsidTr="0005755C">
        <w:trPr>
          <w:cantSplit/>
          <w:tblHeader/>
        </w:trPr>
        <w:tc>
          <w:tcPr>
            <w:tcW w:w="1644" w:type="dxa"/>
            <w:shd w:val="clear" w:color="auto" w:fill="C2E3FA"/>
          </w:tcPr>
          <w:p w14:paraId="3D97B635" w14:textId="7097026A" w:rsidR="00FC1A91" w:rsidRPr="000540E1" w:rsidRDefault="00FC1A91" w:rsidP="002D57C4">
            <w:pPr>
              <w:pStyle w:val="tablehead"/>
            </w:pPr>
            <w:r>
              <w:t>Subsector</w:t>
            </w:r>
          </w:p>
        </w:tc>
        <w:tc>
          <w:tcPr>
            <w:tcW w:w="1644" w:type="dxa"/>
            <w:shd w:val="clear" w:color="auto" w:fill="C2E3FA"/>
          </w:tcPr>
          <w:p w14:paraId="0035DCCF" w14:textId="1BE42A68" w:rsidR="00FC1A91" w:rsidRPr="000540E1" w:rsidRDefault="00FC1A91" w:rsidP="002D57C4">
            <w:pPr>
              <w:pStyle w:val="tablehead"/>
            </w:pPr>
            <w:r>
              <w:t>Number of entities</w:t>
            </w:r>
          </w:p>
        </w:tc>
        <w:tc>
          <w:tcPr>
            <w:tcW w:w="1928" w:type="dxa"/>
            <w:shd w:val="clear" w:color="auto" w:fill="C2E3FA"/>
          </w:tcPr>
          <w:p w14:paraId="2D64A49A" w14:textId="5EE0D625" w:rsidR="00FC1A91" w:rsidRPr="000540E1" w:rsidRDefault="00F65426" w:rsidP="002D57C4">
            <w:pPr>
              <w:pStyle w:val="tablehead"/>
            </w:pPr>
            <w:r>
              <w:t>Proposed m</w:t>
            </w:r>
            <w:r w:rsidR="00FC1A91">
              <w:t>inimum levy</w:t>
            </w:r>
          </w:p>
        </w:tc>
        <w:tc>
          <w:tcPr>
            <w:tcW w:w="2438" w:type="dxa"/>
            <w:shd w:val="clear" w:color="auto" w:fill="C2E3FA"/>
          </w:tcPr>
          <w:p w14:paraId="090B72A7" w14:textId="72842407" w:rsidR="00FC1A91" w:rsidRPr="000540E1" w:rsidRDefault="00F65426" w:rsidP="002D57C4">
            <w:pPr>
              <w:pStyle w:val="tablehead"/>
            </w:pPr>
            <w:r>
              <w:t xml:space="preserve">Proposed variable </w:t>
            </w:r>
            <w:r w:rsidR="00FC1A91">
              <w:t>levy</w:t>
            </w:r>
          </w:p>
        </w:tc>
        <w:tc>
          <w:tcPr>
            <w:tcW w:w="1474" w:type="dxa"/>
            <w:shd w:val="clear" w:color="auto" w:fill="C2E3FA"/>
          </w:tcPr>
          <w:p w14:paraId="173A3634" w14:textId="4C28EA63" w:rsidR="00FC1A91" w:rsidRPr="000540E1" w:rsidRDefault="00FC1A91" w:rsidP="002D57C4">
            <w:pPr>
              <w:pStyle w:val="tablehead"/>
            </w:pPr>
            <w:r>
              <w:t>Amount to be recovered</w:t>
            </w:r>
          </w:p>
        </w:tc>
      </w:tr>
      <w:tr w:rsidR="00FC1A91" w:rsidRPr="000540E1" w14:paraId="422DA203" w14:textId="77777777" w:rsidTr="0005755C">
        <w:trPr>
          <w:cantSplit/>
        </w:trPr>
        <w:tc>
          <w:tcPr>
            <w:tcW w:w="1644" w:type="dxa"/>
            <w:vAlign w:val="center"/>
          </w:tcPr>
          <w:p w14:paraId="000EEE94" w14:textId="472F5DB9" w:rsidR="00FC1A91" w:rsidRPr="000540E1" w:rsidRDefault="00FC1A91" w:rsidP="00FC1A91">
            <w:pPr>
              <w:pStyle w:val="tbltext"/>
            </w:pPr>
            <w:r w:rsidRPr="00532559">
              <w:t>Credit providers</w:t>
            </w:r>
          </w:p>
        </w:tc>
        <w:tc>
          <w:tcPr>
            <w:tcW w:w="1644" w:type="dxa"/>
            <w:vAlign w:val="center"/>
          </w:tcPr>
          <w:p w14:paraId="57E35930" w14:textId="7F2B6BDA" w:rsidR="00FC1A91" w:rsidRPr="000540E1" w:rsidRDefault="00FC1A91" w:rsidP="00FC1A91">
            <w:pPr>
              <w:pStyle w:val="tbltext"/>
            </w:pPr>
            <w:r w:rsidRPr="008E2393">
              <w:t>Up to 1,271</w:t>
            </w:r>
            <w:r>
              <w:t xml:space="preserve"> (including small amount credit providers)</w:t>
            </w:r>
          </w:p>
        </w:tc>
        <w:tc>
          <w:tcPr>
            <w:tcW w:w="1928" w:type="dxa"/>
            <w:vAlign w:val="center"/>
          </w:tcPr>
          <w:p w14:paraId="47E173D6" w14:textId="3FD58EBE" w:rsidR="00FC1A91" w:rsidRPr="000540E1" w:rsidRDefault="00FC1A91" w:rsidP="00FC1A91">
            <w:pPr>
              <w:pStyle w:val="tbltext"/>
            </w:pPr>
            <w:r w:rsidRPr="008E2393">
              <w:t>$2,000 for credit provided (other than under a small amount credit contract) less than $100 million</w:t>
            </w:r>
          </w:p>
        </w:tc>
        <w:tc>
          <w:tcPr>
            <w:tcW w:w="2438" w:type="dxa"/>
            <w:vAlign w:val="center"/>
          </w:tcPr>
          <w:p w14:paraId="2F25A159" w14:textId="4064E765" w:rsidR="00FC1A91" w:rsidRPr="000540E1" w:rsidRDefault="00FC1A91" w:rsidP="00BF6103">
            <w:pPr>
              <w:pStyle w:val="tbltext"/>
            </w:pPr>
            <w:r w:rsidRPr="008E2393">
              <w:t xml:space="preserve">$2,000 plus </w:t>
            </w:r>
            <w:r>
              <w:t>$0.15</w:t>
            </w:r>
            <w:r w:rsidRPr="008E2393">
              <w:t>*</w:t>
            </w:r>
            <w:r w:rsidR="00BF6103">
              <w:t> </w:t>
            </w:r>
            <w:r w:rsidRPr="008E2393">
              <w:t>per $10,000 of credit provided (other than under a</w:t>
            </w:r>
            <w:r w:rsidR="00714D0C">
              <w:t xml:space="preserve"> small amount credit contract) </w:t>
            </w:r>
            <w:r w:rsidRPr="008E2393">
              <w:t>greater than $100 million</w:t>
            </w:r>
          </w:p>
        </w:tc>
        <w:tc>
          <w:tcPr>
            <w:tcW w:w="1474" w:type="dxa"/>
            <w:vAlign w:val="center"/>
          </w:tcPr>
          <w:p w14:paraId="51ABAD8C" w14:textId="57BC627D" w:rsidR="00FC1A91" w:rsidRPr="000540E1" w:rsidRDefault="00FC1A91" w:rsidP="00C565D7">
            <w:pPr>
              <w:pStyle w:val="tbltext"/>
            </w:pPr>
            <w:r>
              <w:rPr>
                <w:szCs w:val="20"/>
              </w:rPr>
              <w:t>$9.3 million</w:t>
            </w:r>
          </w:p>
        </w:tc>
      </w:tr>
      <w:tr w:rsidR="00FC1A91" w:rsidRPr="000540E1" w14:paraId="2410A6D6" w14:textId="77777777" w:rsidTr="0005755C">
        <w:trPr>
          <w:cantSplit/>
        </w:trPr>
        <w:tc>
          <w:tcPr>
            <w:tcW w:w="1644" w:type="dxa"/>
            <w:vAlign w:val="center"/>
          </w:tcPr>
          <w:p w14:paraId="6BAD11DF" w14:textId="711B353E" w:rsidR="00FC1A91" w:rsidRPr="000540E1" w:rsidRDefault="00FC1A91" w:rsidP="00FC1A91">
            <w:pPr>
              <w:pStyle w:val="tbltext"/>
            </w:pPr>
            <w:r w:rsidRPr="00532559">
              <w:t xml:space="preserve">Small amount credit providers </w:t>
            </w:r>
          </w:p>
        </w:tc>
        <w:tc>
          <w:tcPr>
            <w:tcW w:w="1644" w:type="dxa"/>
            <w:vAlign w:val="center"/>
          </w:tcPr>
          <w:p w14:paraId="69938E79" w14:textId="3BD67194" w:rsidR="00FC1A91" w:rsidRPr="000540E1" w:rsidRDefault="00FC1A91" w:rsidP="00FC1A91">
            <w:pPr>
              <w:pStyle w:val="tbltext"/>
            </w:pPr>
            <w:r w:rsidRPr="008E2393">
              <w:t>Estimated to be 332</w:t>
            </w:r>
          </w:p>
        </w:tc>
        <w:tc>
          <w:tcPr>
            <w:tcW w:w="1928" w:type="dxa"/>
            <w:vAlign w:val="center"/>
          </w:tcPr>
          <w:p w14:paraId="5CCD988A" w14:textId="2CCFFD61" w:rsidR="00FC1A91" w:rsidRPr="000540E1" w:rsidRDefault="00FC1A91" w:rsidP="00FC1A91">
            <w:pPr>
              <w:pStyle w:val="tbltext"/>
            </w:pPr>
            <w:r>
              <w:t>$2,000 minimum levy for being a credit provider</w:t>
            </w:r>
          </w:p>
        </w:tc>
        <w:tc>
          <w:tcPr>
            <w:tcW w:w="2438" w:type="dxa"/>
            <w:vAlign w:val="center"/>
          </w:tcPr>
          <w:p w14:paraId="5661C524" w14:textId="3A75A8BD" w:rsidR="00FC1A91" w:rsidRPr="000540E1" w:rsidRDefault="00D35BF3" w:rsidP="00D35BF3">
            <w:pPr>
              <w:pStyle w:val="tbltext"/>
            </w:pPr>
            <w:r>
              <w:t>$2,000 plus a g</w:t>
            </w:r>
            <w:r w:rsidR="00FC1A91" w:rsidRPr="008E2393">
              <w:t>radu</w:t>
            </w:r>
            <w:r w:rsidR="00FC1A91">
              <w:t xml:space="preserve">ated </w:t>
            </w:r>
            <w:r>
              <w:t xml:space="preserve">levy </w:t>
            </w:r>
            <w:r w:rsidR="00FC1A91">
              <w:t>based on the amount of credit provided (under small amount credit contracts) by the entity compared to the total amount of credit provided (under small amount credit contracts) by the industry.</w:t>
            </w:r>
            <w:r w:rsidR="00FC1A91" w:rsidRPr="008E2393">
              <w:t>*</w:t>
            </w:r>
          </w:p>
        </w:tc>
        <w:tc>
          <w:tcPr>
            <w:tcW w:w="1474" w:type="dxa"/>
            <w:vAlign w:val="center"/>
          </w:tcPr>
          <w:p w14:paraId="7FD4DC34" w14:textId="01CBEF79" w:rsidR="00FC1A91" w:rsidRPr="000540E1" w:rsidRDefault="00FC1A91" w:rsidP="00C565D7">
            <w:pPr>
              <w:pStyle w:val="tbltext"/>
            </w:pPr>
            <w:r>
              <w:t>$2 million</w:t>
            </w:r>
          </w:p>
        </w:tc>
      </w:tr>
      <w:tr w:rsidR="00FC1A91" w:rsidRPr="000540E1" w14:paraId="31198813" w14:textId="77777777" w:rsidTr="0005755C">
        <w:trPr>
          <w:cantSplit/>
        </w:trPr>
        <w:tc>
          <w:tcPr>
            <w:tcW w:w="1644" w:type="dxa"/>
            <w:vAlign w:val="center"/>
          </w:tcPr>
          <w:p w14:paraId="2DDD2175" w14:textId="07AE9BC6" w:rsidR="00FC1A91" w:rsidRPr="000540E1" w:rsidRDefault="00FC1A91" w:rsidP="00FC1A91">
            <w:pPr>
              <w:pStyle w:val="tbltext"/>
            </w:pPr>
            <w:r w:rsidRPr="008E2393">
              <w:t>Credit intermediaries</w:t>
            </w:r>
          </w:p>
        </w:tc>
        <w:tc>
          <w:tcPr>
            <w:tcW w:w="1644" w:type="dxa"/>
            <w:vAlign w:val="center"/>
          </w:tcPr>
          <w:p w14:paraId="17594472" w14:textId="509AB1DB" w:rsidR="00FC1A91" w:rsidRPr="000540E1" w:rsidRDefault="00FC1A91" w:rsidP="00FC1A91">
            <w:pPr>
              <w:pStyle w:val="tbltext"/>
            </w:pPr>
            <w:r w:rsidRPr="008E2393">
              <w:t>5,100</w:t>
            </w:r>
          </w:p>
        </w:tc>
        <w:tc>
          <w:tcPr>
            <w:tcW w:w="1928" w:type="dxa"/>
            <w:vAlign w:val="center"/>
          </w:tcPr>
          <w:p w14:paraId="56A39311" w14:textId="59A5EE7F" w:rsidR="00FC1A91" w:rsidRPr="000540E1" w:rsidRDefault="00FC1A91" w:rsidP="00FC1A91">
            <w:pPr>
              <w:pStyle w:val="tbltext"/>
            </w:pPr>
            <w:r w:rsidRPr="008E2393">
              <w:t>$1,000 for credit intermediated less than $100 million</w:t>
            </w:r>
          </w:p>
        </w:tc>
        <w:tc>
          <w:tcPr>
            <w:tcW w:w="2438" w:type="dxa"/>
            <w:vAlign w:val="center"/>
          </w:tcPr>
          <w:p w14:paraId="5C4DE238" w14:textId="505E1055" w:rsidR="00FC1A91" w:rsidRPr="000540E1" w:rsidRDefault="00FC1A91" w:rsidP="00BF6103">
            <w:pPr>
              <w:pStyle w:val="tbltext"/>
            </w:pPr>
            <w:r w:rsidRPr="008E2393">
              <w:t>$1,000 plus $</w:t>
            </w:r>
            <w:r>
              <w:t>1.14</w:t>
            </w:r>
            <w:r w:rsidR="00BF6103">
              <w:t> </w:t>
            </w:r>
            <w:r w:rsidRPr="008E2393">
              <w:t xml:space="preserve">per $10,000 of credit </w:t>
            </w:r>
            <w:r>
              <w:t xml:space="preserve">intermediated </w:t>
            </w:r>
            <w:r w:rsidRPr="008E2393">
              <w:t>greater than $100</w:t>
            </w:r>
            <w:r w:rsidR="00BF6103">
              <w:t> </w:t>
            </w:r>
            <w:r w:rsidRPr="008E2393">
              <w:t>million</w:t>
            </w:r>
          </w:p>
        </w:tc>
        <w:tc>
          <w:tcPr>
            <w:tcW w:w="1474" w:type="dxa"/>
            <w:vAlign w:val="center"/>
          </w:tcPr>
          <w:p w14:paraId="32EC5F87" w14:textId="29896835" w:rsidR="00FC1A91" w:rsidRPr="000540E1" w:rsidRDefault="00FC1A91" w:rsidP="00C565D7">
            <w:pPr>
              <w:pStyle w:val="tbltext"/>
            </w:pPr>
            <w:r>
              <w:t>$15.8 million</w:t>
            </w:r>
          </w:p>
        </w:tc>
      </w:tr>
    </w:tbl>
    <w:p w14:paraId="2B4EC80F" w14:textId="77777777" w:rsidR="007B54F6" w:rsidRPr="00452353" w:rsidRDefault="007B54F6" w:rsidP="001149DE">
      <w:pPr>
        <w:pStyle w:val="tblnote"/>
        <w:ind w:left="0"/>
      </w:pPr>
      <w:r w:rsidRPr="00452353">
        <w:t>*Estimated based on the total credit provided data. Under this proposal, credit providers would be required to report to ASIC credit written under small amount credit contracts and credit written under other contracts.</w:t>
      </w:r>
    </w:p>
    <w:p w14:paraId="1DF44B4E" w14:textId="3101679D" w:rsidR="007C3F29" w:rsidRPr="008E2393" w:rsidRDefault="007B54F6" w:rsidP="007B54F6">
      <w:pPr>
        <w:pStyle w:val="BodyText"/>
      </w:pPr>
      <w:r>
        <w:t>T</w:t>
      </w:r>
      <w:r w:rsidR="007C3F29" w:rsidRPr="008E2393">
        <w:t xml:space="preserve">he August 2015 consultation paper proposed two options to recover costs from credit licensees: </w:t>
      </w:r>
    </w:p>
    <w:p w14:paraId="3FF9BD1D" w14:textId="77777777" w:rsidR="007C3F29" w:rsidRPr="008E2393" w:rsidRDefault="007C3F29" w:rsidP="000B5B80">
      <w:pPr>
        <w:pStyle w:val="subparaa"/>
        <w:ind w:left="1559"/>
      </w:pPr>
      <w:r w:rsidRPr="008E2393">
        <w:t xml:space="preserve">A tiered approach where credit licensees are categorised as credit providers or credit intermediaries, then have a three tiered levy based on the range of the volume of credit reported in the licensees annual compliance certificate. </w:t>
      </w:r>
    </w:p>
    <w:p w14:paraId="6AD8C9D7" w14:textId="77777777" w:rsidR="007C3F29" w:rsidRPr="008E2393" w:rsidRDefault="007C3F29" w:rsidP="000B5B80">
      <w:pPr>
        <w:pStyle w:val="subparaa"/>
        <w:ind w:left="1559"/>
      </w:pPr>
      <w:r w:rsidRPr="008E2393">
        <w:t xml:space="preserve">A graduated approach where credit licensees are categorised as credit providers or credit intermediaries, then have a graduated levy based on the volume of credit provided or intermediated with a minimum and maximum levy. </w:t>
      </w:r>
    </w:p>
    <w:p w14:paraId="19C421D0" w14:textId="22D7B255" w:rsidR="007C3F29" w:rsidRPr="008E2393" w:rsidRDefault="007C3F29" w:rsidP="007B54F6">
      <w:pPr>
        <w:pStyle w:val="BodyText"/>
      </w:pPr>
      <w:r w:rsidRPr="008E2393">
        <w:t xml:space="preserve">Submissions opposed the three tier approach as it would lead to large increases in annual levies when entities move between tiers, which could distort decisions in the market. Some submissions also regarded the tiers as not reflecting ASIC’s level of regulatory oversight. </w:t>
      </w:r>
    </w:p>
    <w:p w14:paraId="1451E0D6" w14:textId="23F04D62" w:rsidR="007C3F29" w:rsidRDefault="007C3F29" w:rsidP="007B54F6">
      <w:pPr>
        <w:pStyle w:val="BodyText"/>
      </w:pPr>
      <w:r w:rsidRPr="008E2393">
        <w:t xml:space="preserve">Submissions supported a graduated approach with a lower minimum threshold and no maximum levy. Submissions regarded this as the most equitable and fair approach that would provide a levy that more closely reflects ASIC’s supervisory intensity. </w:t>
      </w:r>
    </w:p>
    <w:p w14:paraId="5A762919" w14:textId="77777777" w:rsidR="0031567F" w:rsidRDefault="0031567F">
      <w:pPr>
        <w:spacing w:after="0"/>
        <w:rPr>
          <w:szCs w:val="22"/>
        </w:rPr>
      </w:pPr>
      <w:r>
        <w:br w:type="page"/>
      </w:r>
    </w:p>
    <w:p w14:paraId="242B3508" w14:textId="2D5CC173" w:rsidR="007C3F29" w:rsidRPr="008E2393" w:rsidRDefault="007C3F29" w:rsidP="007B54F6">
      <w:pPr>
        <w:pStyle w:val="BodyText"/>
      </w:pPr>
      <w:r w:rsidRPr="008E2393">
        <w:t>A number of submissions regarded a maximum levy as inappropriate as it would impose a higher cost on smaller players relative to large entities who have significant market share. However, submissions acknowledged that a graduated approach would involve a higher administrative burden for data reporting and that there may be issues with the quality of data reported.</w:t>
      </w:r>
    </w:p>
    <w:p w14:paraId="289E2BBB" w14:textId="77777777" w:rsidR="007C3F29" w:rsidRDefault="007C3F29" w:rsidP="007B54F6">
      <w:pPr>
        <w:pStyle w:val="BodyText"/>
      </w:pPr>
      <w:r w:rsidRPr="008E2393">
        <w:t xml:space="preserve">Submissions noted that a separate </w:t>
      </w:r>
      <w:r>
        <w:t>subsector</w:t>
      </w:r>
      <w:r w:rsidRPr="008E2393">
        <w:t xml:space="preserve"> </w:t>
      </w:r>
      <w:r>
        <w:t xml:space="preserve">should be created for small amount credit providers </w:t>
      </w:r>
      <w:r w:rsidRPr="008E2393">
        <w:t xml:space="preserve">and </w:t>
      </w:r>
      <w:r>
        <w:t xml:space="preserve">a </w:t>
      </w:r>
      <w:r w:rsidRPr="008E2393">
        <w:t>levy should be charged for small amount credit providers</w:t>
      </w:r>
      <w:r>
        <w:t xml:space="preserve"> as they </w:t>
      </w:r>
      <w:r w:rsidRPr="008E2393">
        <w:t xml:space="preserve">have required significant regulatory effort from ASIC. </w:t>
      </w:r>
    </w:p>
    <w:p w14:paraId="570064C5" w14:textId="52671189" w:rsidR="007C3F29" w:rsidRPr="008E2393" w:rsidRDefault="00F65426" w:rsidP="007B54F6">
      <w:pPr>
        <w:pStyle w:val="BodyText"/>
      </w:pPr>
      <w:r>
        <w:t>It is proposed that a</w:t>
      </w:r>
      <w:r w:rsidR="007C3F29" w:rsidRPr="008E2393">
        <w:t xml:space="preserve"> new reporting obligation will be introduced for credit providers to advise ASIC </w:t>
      </w:r>
      <w:r w:rsidR="007C3F29">
        <w:t xml:space="preserve">of </w:t>
      </w:r>
      <w:r w:rsidR="007C3F29" w:rsidRPr="008E2393">
        <w:t xml:space="preserve">the amount of credit provided under small amount credit </w:t>
      </w:r>
      <w:r w:rsidR="007C3F29">
        <w:t xml:space="preserve">contracts </w:t>
      </w:r>
      <w:r w:rsidR="007C3F29" w:rsidRPr="008E2393">
        <w:t>and credit provided under other contracts.</w:t>
      </w:r>
    </w:p>
    <w:p w14:paraId="4526D07A" w14:textId="77777777" w:rsidR="007C3F29" w:rsidRPr="008E2393" w:rsidRDefault="007C3F29" w:rsidP="007C3F29">
      <w:pPr>
        <w:pStyle w:val="Heading3"/>
      </w:pPr>
      <w:bookmarkStart w:id="157" w:name="_Toc462697135"/>
      <w:bookmarkStart w:id="158" w:name="_Toc462698946"/>
      <w:bookmarkStart w:id="159" w:name="_Toc462700182"/>
      <w:bookmarkStart w:id="160" w:name="_Toc462700863"/>
      <w:r w:rsidRPr="008E2393">
        <w:t>Deposit product providers</w:t>
      </w:r>
      <w:bookmarkEnd w:id="157"/>
      <w:bookmarkEnd w:id="158"/>
      <w:bookmarkEnd w:id="159"/>
      <w:bookmarkEnd w:id="160"/>
    </w:p>
    <w:p w14:paraId="7D18BC45" w14:textId="088BBA08" w:rsidR="007C3F29" w:rsidRPr="008E2393" w:rsidRDefault="007C3F29" w:rsidP="007B54F6">
      <w:pPr>
        <w:pStyle w:val="BodyText"/>
      </w:pPr>
      <w:r w:rsidRPr="008E2393">
        <w:t xml:space="preserve">To recover ASIC’s costs to regulate deposit product providers a graduated levy based on total deposits of the entity is proposed. A minimum levy is proposed for all deposit product providers reflecting ASIC’s </w:t>
      </w:r>
      <w:r>
        <w:t>regula</w:t>
      </w:r>
      <w:r w:rsidR="00714D0C">
        <w:t>tory effort for this subsector.</w:t>
      </w:r>
    </w:p>
    <w:p w14:paraId="1F117685" w14:textId="23825F95" w:rsidR="007B54F6" w:rsidRPr="007B54F6" w:rsidRDefault="007C3F29" w:rsidP="007B54F6">
      <w:pPr>
        <w:pStyle w:val="BodyText"/>
        <w:rPr>
          <w:rFonts w:ascii="Calibri" w:hAnsi="Calibri" w:cs="Calibri"/>
          <w:color w:val="000000"/>
        </w:rPr>
      </w:pPr>
      <w:r w:rsidRPr="008E2393">
        <w:t>The intensity of ASIC’s supervision for deposit product providers is affected by the scale of the entity</w:t>
      </w:r>
      <w:r w:rsidR="0003187F">
        <w:t>’</w:t>
      </w:r>
      <w:r w:rsidRPr="008E2393">
        <w:t>s operations. Total deposits provide a measure of the entity</w:t>
      </w:r>
      <w:r w:rsidR="0003187F">
        <w:t>’</w:t>
      </w:r>
      <w:r w:rsidRPr="008E2393">
        <w:t xml:space="preserve">s scale, customer base and significance </w:t>
      </w:r>
      <w:r w:rsidRPr="000B5B80">
        <w:t>to the market.</w:t>
      </w:r>
    </w:p>
    <w:p w14:paraId="2B8F1031" w14:textId="6954A0FE" w:rsidR="00FC1A91" w:rsidRDefault="00FC1A91"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11</w:t>
      </w:r>
      <w:r w:rsidR="003D3E81">
        <w:rPr>
          <w:noProof/>
        </w:rPr>
        <w:fldChar w:fldCharType="end"/>
      </w:r>
      <w:r>
        <w:t>:</w:t>
      </w:r>
      <w:r>
        <w:tab/>
      </w:r>
      <w:r w:rsidRPr="008E2393">
        <w:t>Proposed levy arrangements – Deposit product providers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644"/>
        <w:gridCol w:w="1247"/>
        <w:gridCol w:w="2154"/>
        <w:gridCol w:w="2608"/>
        <w:gridCol w:w="1474"/>
      </w:tblGrid>
      <w:tr w:rsidR="0005755C" w:rsidRPr="000540E1" w14:paraId="26B4DC0F" w14:textId="77777777" w:rsidTr="0005755C">
        <w:trPr>
          <w:cantSplit/>
          <w:tblHeader/>
        </w:trPr>
        <w:tc>
          <w:tcPr>
            <w:tcW w:w="1644" w:type="dxa"/>
            <w:shd w:val="clear" w:color="auto" w:fill="C2E3FA"/>
            <w:vAlign w:val="center"/>
          </w:tcPr>
          <w:p w14:paraId="2A6CEBD6" w14:textId="1297E2D6" w:rsidR="00FC1A91" w:rsidRPr="00FC1A91" w:rsidRDefault="00FC1A91" w:rsidP="001149DE">
            <w:pPr>
              <w:pStyle w:val="tbltext"/>
            </w:pPr>
            <w:r w:rsidRPr="00FC1A91">
              <w:rPr>
                <w:b/>
              </w:rPr>
              <w:t>Subsector</w:t>
            </w:r>
          </w:p>
        </w:tc>
        <w:tc>
          <w:tcPr>
            <w:tcW w:w="1247" w:type="dxa"/>
            <w:shd w:val="clear" w:color="auto" w:fill="C2E3FA"/>
            <w:vAlign w:val="center"/>
          </w:tcPr>
          <w:p w14:paraId="2FA047E3" w14:textId="77893D56" w:rsidR="00FC1A91" w:rsidRPr="00FC1A91" w:rsidRDefault="00FC1A91" w:rsidP="001149DE">
            <w:pPr>
              <w:pStyle w:val="tbltext"/>
            </w:pPr>
            <w:r w:rsidRPr="00FC1A91">
              <w:rPr>
                <w:b/>
              </w:rPr>
              <w:t>Number of entities</w:t>
            </w:r>
          </w:p>
        </w:tc>
        <w:tc>
          <w:tcPr>
            <w:tcW w:w="2154" w:type="dxa"/>
            <w:shd w:val="clear" w:color="auto" w:fill="C2E3FA"/>
            <w:vAlign w:val="center"/>
          </w:tcPr>
          <w:p w14:paraId="32F28C75" w14:textId="57188B50" w:rsidR="00FC1A91" w:rsidRPr="00FC1A91" w:rsidRDefault="00F65426" w:rsidP="001149DE">
            <w:pPr>
              <w:pStyle w:val="tbltext"/>
            </w:pPr>
            <w:r>
              <w:rPr>
                <w:b/>
              </w:rPr>
              <w:t>Proposed m</w:t>
            </w:r>
            <w:r w:rsidR="00FC1A91" w:rsidRPr="00FC1A91">
              <w:rPr>
                <w:b/>
              </w:rPr>
              <w:t>inimum levy</w:t>
            </w:r>
          </w:p>
        </w:tc>
        <w:tc>
          <w:tcPr>
            <w:tcW w:w="2608" w:type="dxa"/>
            <w:shd w:val="clear" w:color="auto" w:fill="C2E3FA"/>
            <w:vAlign w:val="center"/>
          </w:tcPr>
          <w:p w14:paraId="1E0338CD" w14:textId="63A54E08" w:rsidR="00FC1A91" w:rsidRPr="00FC1A91" w:rsidRDefault="00F65426" w:rsidP="001149DE">
            <w:pPr>
              <w:pStyle w:val="tbltext"/>
            </w:pPr>
            <w:r>
              <w:rPr>
                <w:b/>
              </w:rPr>
              <w:t>Proposed v</w:t>
            </w:r>
            <w:r w:rsidR="00FC1A91" w:rsidRPr="00FC1A91">
              <w:rPr>
                <w:b/>
              </w:rPr>
              <w:t>ariable levy</w:t>
            </w:r>
          </w:p>
        </w:tc>
        <w:tc>
          <w:tcPr>
            <w:tcW w:w="1474" w:type="dxa"/>
            <w:shd w:val="clear" w:color="auto" w:fill="C2E3FA"/>
            <w:vAlign w:val="center"/>
          </w:tcPr>
          <w:p w14:paraId="7CA6D135" w14:textId="50E55894" w:rsidR="00FC1A91" w:rsidRPr="00FC1A91" w:rsidRDefault="00FC1A91" w:rsidP="001149DE">
            <w:pPr>
              <w:pStyle w:val="tbltext"/>
            </w:pPr>
            <w:r w:rsidRPr="00FC1A91">
              <w:rPr>
                <w:b/>
              </w:rPr>
              <w:t>Amount to be recovered</w:t>
            </w:r>
          </w:p>
        </w:tc>
      </w:tr>
      <w:tr w:rsidR="0005755C" w:rsidRPr="000540E1" w14:paraId="1CD30FA3" w14:textId="77777777" w:rsidTr="0005755C">
        <w:trPr>
          <w:cantSplit/>
        </w:trPr>
        <w:tc>
          <w:tcPr>
            <w:tcW w:w="1644" w:type="dxa"/>
            <w:vAlign w:val="center"/>
          </w:tcPr>
          <w:p w14:paraId="036B0465" w14:textId="78D2D380" w:rsidR="00FC1A91" w:rsidRPr="000540E1" w:rsidRDefault="00FC1A91" w:rsidP="00FC1A91">
            <w:pPr>
              <w:pStyle w:val="tbltext"/>
            </w:pPr>
            <w:r w:rsidRPr="008E2393">
              <w:t>Deposit product providers</w:t>
            </w:r>
          </w:p>
        </w:tc>
        <w:tc>
          <w:tcPr>
            <w:tcW w:w="1247" w:type="dxa"/>
            <w:vAlign w:val="center"/>
          </w:tcPr>
          <w:p w14:paraId="3B943B1B" w14:textId="57AF7E2B" w:rsidR="00FC1A91" w:rsidRPr="000540E1" w:rsidRDefault="001428CB" w:rsidP="00FC1A91">
            <w:pPr>
              <w:pStyle w:val="tbltext"/>
            </w:pPr>
            <w:r>
              <w:t>258</w:t>
            </w:r>
          </w:p>
        </w:tc>
        <w:tc>
          <w:tcPr>
            <w:tcW w:w="2154" w:type="dxa"/>
            <w:vAlign w:val="center"/>
          </w:tcPr>
          <w:p w14:paraId="40AC5F4A" w14:textId="2D2EE9D0" w:rsidR="00FC1A91" w:rsidRPr="000540E1" w:rsidRDefault="00FC1A91" w:rsidP="00FC1A91">
            <w:pPr>
              <w:pStyle w:val="tbltext"/>
            </w:pPr>
            <w:r w:rsidRPr="008E2393">
              <w:t>$2,000 for total deposits less than $10 million</w:t>
            </w:r>
          </w:p>
        </w:tc>
        <w:tc>
          <w:tcPr>
            <w:tcW w:w="2608" w:type="dxa"/>
            <w:vAlign w:val="center"/>
          </w:tcPr>
          <w:p w14:paraId="2FD0639D" w14:textId="0986D7AF" w:rsidR="00FC1A91" w:rsidRPr="000540E1" w:rsidRDefault="00FC1A91" w:rsidP="00BF6103">
            <w:pPr>
              <w:pStyle w:val="tbltext"/>
            </w:pPr>
            <w:r w:rsidRPr="008E2393">
              <w:t>$2,000 plus $0.</w:t>
            </w:r>
            <w:r w:rsidR="001428CB" w:rsidRPr="008E2393">
              <w:t>0</w:t>
            </w:r>
            <w:r w:rsidR="001428CB">
              <w:t>2</w:t>
            </w:r>
            <w:r w:rsidR="00BF6103">
              <w:t> </w:t>
            </w:r>
            <w:r w:rsidRPr="008E2393">
              <w:t>for each $10,000 of deposit liabilities greater than $10</w:t>
            </w:r>
            <w:r w:rsidR="00BF6103">
              <w:t> </w:t>
            </w:r>
            <w:r w:rsidRPr="008E2393">
              <w:t>million</w:t>
            </w:r>
          </w:p>
        </w:tc>
        <w:tc>
          <w:tcPr>
            <w:tcW w:w="1474" w:type="dxa"/>
            <w:vAlign w:val="center"/>
          </w:tcPr>
          <w:p w14:paraId="688A4DAF" w14:textId="714E15A7" w:rsidR="00FC1A91" w:rsidRPr="000540E1" w:rsidRDefault="00FC1A91" w:rsidP="00FC1A91">
            <w:pPr>
              <w:pStyle w:val="tbltext"/>
            </w:pPr>
            <w:r>
              <w:t>$3.1 million</w:t>
            </w:r>
          </w:p>
        </w:tc>
      </w:tr>
    </w:tbl>
    <w:p w14:paraId="32A6F2B0" w14:textId="77777777" w:rsidR="00FC1A91" w:rsidRDefault="00FC1A91" w:rsidP="0033052A">
      <w:pPr>
        <w:pStyle w:val="SingleParagraph"/>
      </w:pPr>
    </w:p>
    <w:p w14:paraId="33E3C5D6" w14:textId="77777777" w:rsidR="007C3F29" w:rsidRPr="008E2393" w:rsidRDefault="007C3F29" w:rsidP="007B54F6">
      <w:pPr>
        <w:pStyle w:val="BodyText"/>
      </w:pPr>
      <w:r w:rsidRPr="008E2393">
        <w:t xml:space="preserve">The August 2015 consultation paper sought feedback on two options to recover costs from deposit product providers — a three tiered levy approach or a graduated levy approach with a minimum and maximum levy. </w:t>
      </w:r>
    </w:p>
    <w:p w14:paraId="44296C52" w14:textId="2CA38B44" w:rsidR="007C3F29" w:rsidRPr="008E2393" w:rsidRDefault="007C3F29" w:rsidP="007B54F6">
      <w:pPr>
        <w:pStyle w:val="BodyText"/>
      </w:pPr>
      <w:r w:rsidRPr="008E2393">
        <w:t xml:space="preserve">Submissions opposed the tiered levy approach </w:t>
      </w:r>
      <w:r>
        <w:t xml:space="preserve">for </w:t>
      </w:r>
      <w:r w:rsidRPr="008E2393">
        <w:t>deposit product providers as it would not equitably distribute ASIC’s costs and smaller deposit product providers would pay a significantly higher levy per dollar of deposits relative to the levy of large deposit product providers. Stakeholders also considered the maximum levy should be removed given the systemically important nature of larger deposit institutions.</w:t>
      </w:r>
    </w:p>
    <w:p w14:paraId="042D6DDE" w14:textId="77777777" w:rsidR="007C3F29" w:rsidRPr="008E2393" w:rsidRDefault="007C3F29" w:rsidP="007B54F6">
      <w:pPr>
        <w:pStyle w:val="Heading3"/>
      </w:pPr>
      <w:bookmarkStart w:id="161" w:name="_Toc462697136"/>
      <w:bookmarkStart w:id="162" w:name="_Toc462698947"/>
      <w:bookmarkStart w:id="163" w:name="_Toc462700183"/>
      <w:bookmarkStart w:id="164" w:name="_Toc462700864"/>
      <w:r w:rsidRPr="008E2393">
        <w:t>Payment product providers</w:t>
      </w:r>
      <w:bookmarkEnd w:id="161"/>
      <w:bookmarkEnd w:id="162"/>
      <w:bookmarkEnd w:id="163"/>
      <w:bookmarkEnd w:id="164"/>
    </w:p>
    <w:p w14:paraId="5DDC9C96" w14:textId="6092C5AF" w:rsidR="007C3F29" w:rsidRDefault="007C3F29" w:rsidP="007B54F6">
      <w:pPr>
        <w:pStyle w:val="BodyText"/>
      </w:pPr>
      <w:r w:rsidRPr="008E2393">
        <w:t>For payment product providers</w:t>
      </w:r>
      <w:r w:rsidR="00984FBC">
        <w:t>,</w:t>
      </w:r>
      <w:r w:rsidRPr="008E2393">
        <w:t xml:space="preserve"> a flat levy </w:t>
      </w:r>
      <w:r w:rsidR="00F65426">
        <w:t>is proposed</w:t>
      </w:r>
      <w:r w:rsidRPr="008E2393">
        <w:t xml:space="preserve"> in 2017</w:t>
      </w:r>
      <w:r>
        <w:t>–</w:t>
      </w:r>
      <w:r w:rsidRPr="008E2393">
        <w:t>18. In 2018</w:t>
      </w:r>
      <w:r>
        <w:t>–</w:t>
      </w:r>
      <w:r w:rsidRPr="008E2393">
        <w:t xml:space="preserve">19, </w:t>
      </w:r>
      <w:r w:rsidR="00F65426">
        <w:t xml:space="preserve">ASIC proposes that </w:t>
      </w:r>
      <w:r w:rsidRPr="008E2393">
        <w:t>this will move to a graduated levy based on revenue from payment product provide</w:t>
      </w:r>
      <w:r>
        <w:t>r</w:t>
      </w:r>
      <w:r w:rsidRPr="008E2393">
        <w:t xml:space="preserve"> activity with a minimum levy for all payment product providers. </w:t>
      </w:r>
    </w:p>
    <w:p w14:paraId="7B40CCEC" w14:textId="738591DC" w:rsidR="007B54F6" w:rsidRPr="008E2393" w:rsidRDefault="00F65426" w:rsidP="005D46E5">
      <w:pPr>
        <w:pStyle w:val="BodyText"/>
      </w:pPr>
      <w:r>
        <w:t xml:space="preserve">If a </w:t>
      </w:r>
      <w:r w:rsidR="007C3F29" w:rsidRPr="008E2393">
        <w:t>graduated levy</w:t>
      </w:r>
      <w:r>
        <w:t xml:space="preserve"> is </w:t>
      </w:r>
      <w:r w:rsidR="007C3F29" w:rsidRPr="008E2393">
        <w:t>impose</w:t>
      </w:r>
      <w:r>
        <w:t>d in 2018–19, this would introduce</w:t>
      </w:r>
      <w:r w:rsidR="007C3F29" w:rsidRPr="008E2393">
        <w:t xml:space="preserve"> a new reporting requirement on payment product providers to report their revenue from payment product </w:t>
      </w:r>
      <w:r w:rsidR="007C3F29">
        <w:t>provider</w:t>
      </w:r>
      <w:r w:rsidR="007C3F29" w:rsidRPr="008E2393">
        <w:t xml:space="preserve"> activity to ASIC.</w:t>
      </w:r>
    </w:p>
    <w:p w14:paraId="166AB7A0" w14:textId="6EB12A2E" w:rsidR="00FC1A91" w:rsidRDefault="00FC1A91"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12</w:t>
      </w:r>
      <w:r w:rsidR="003D3E81">
        <w:rPr>
          <w:noProof/>
        </w:rPr>
        <w:fldChar w:fldCharType="end"/>
      </w:r>
      <w:r>
        <w:t>:</w:t>
      </w:r>
      <w:r>
        <w:tab/>
      </w:r>
      <w:r w:rsidRPr="008E2393">
        <w:t xml:space="preserve">Proposed levy arrangements – </w:t>
      </w:r>
      <w:r>
        <w:t>Payment product providers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87"/>
        <w:gridCol w:w="2438"/>
        <w:gridCol w:w="1247"/>
        <w:gridCol w:w="2324"/>
        <w:gridCol w:w="1474"/>
      </w:tblGrid>
      <w:tr w:rsidR="00554D1A" w:rsidRPr="000540E1" w14:paraId="18265D97" w14:textId="77777777" w:rsidTr="00554D1A">
        <w:trPr>
          <w:cantSplit/>
          <w:tblHeader/>
        </w:trPr>
        <w:tc>
          <w:tcPr>
            <w:tcW w:w="1587" w:type="dxa"/>
            <w:shd w:val="clear" w:color="auto" w:fill="C2E3FA"/>
            <w:vAlign w:val="center"/>
          </w:tcPr>
          <w:p w14:paraId="17132D66" w14:textId="61696C5D" w:rsidR="00FC1A91" w:rsidRPr="00FC1A91" w:rsidRDefault="00FC1A91" w:rsidP="001149DE">
            <w:pPr>
              <w:pStyle w:val="tbltext"/>
            </w:pPr>
            <w:r w:rsidRPr="00FC1A91">
              <w:rPr>
                <w:b/>
              </w:rPr>
              <w:t>Financial Year</w:t>
            </w:r>
          </w:p>
        </w:tc>
        <w:tc>
          <w:tcPr>
            <w:tcW w:w="2438" w:type="dxa"/>
            <w:shd w:val="clear" w:color="auto" w:fill="C2E3FA"/>
            <w:vAlign w:val="center"/>
          </w:tcPr>
          <w:p w14:paraId="55C16557" w14:textId="523D5C8A" w:rsidR="00FC1A91" w:rsidRPr="00FC1A91" w:rsidRDefault="00FC1A91" w:rsidP="001149DE">
            <w:pPr>
              <w:pStyle w:val="tbltext"/>
            </w:pPr>
            <w:r w:rsidRPr="00FC1A91">
              <w:rPr>
                <w:b/>
              </w:rPr>
              <w:t>Subsector</w:t>
            </w:r>
          </w:p>
        </w:tc>
        <w:tc>
          <w:tcPr>
            <w:tcW w:w="1247" w:type="dxa"/>
            <w:shd w:val="clear" w:color="auto" w:fill="C2E3FA"/>
            <w:vAlign w:val="center"/>
          </w:tcPr>
          <w:p w14:paraId="775998CA" w14:textId="7235F821" w:rsidR="00FC1A91" w:rsidRPr="00FC1A91" w:rsidRDefault="00FC1A91" w:rsidP="001149DE">
            <w:pPr>
              <w:pStyle w:val="tbltext"/>
            </w:pPr>
            <w:r w:rsidRPr="00FC1A91">
              <w:rPr>
                <w:b/>
              </w:rPr>
              <w:t>Number of entities</w:t>
            </w:r>
          </w:p>
        </w:tc>
        <w:tc>
          <w:tcPr>
            <w:tcW w:w="2324" w:type="dxa"/>
            <w:shd w:val="clear" w:color="auto" w:fill="C2E3FA"/>
            <w:vAlign w:val="center"/>
          </w:tcPr>
          <w:p w14:paraId="43476396" w14:textId="6639A02D" w:rsidR="00FC1A91" w:rsidRPr="00FC1A91" w:rsidRDefault="00F65426" w:rsidP="001149DE">
            <w:pPr>
              <w:pStyle w:val="tbltext"/>
            </w:pPr>
            <w:r>
              <w:rPr>
                <w:b/>
              </w:rPr>
              <w:t>Proposed a</w:t>
            </w:r>
            <w:r w:rsidR="00FC1A91" w:rsidRPr="00FC1A91">
              <w:rPr>
                <w:b/>
              </w:rPr>
              <w:t>nnual levy</w:t>
            </w:r>
          </w:p>
        </w:tc>
        <w:tc>
          <w:tcPr>
            <w:tcW w:w="1474" w:type="dxa"/>
            <w:shd w:val="clear" w:color="auto" w:fill="C2E3FA"/>
            <w:vAlign w:val="center"/>
          </w:tcPr>
          <w:p w14:paraId="24C4420B" w14:textId="0E2DC745" w:rsidR="00FC1A91" w:rsidRPr="00FC1A91" w:rsidRDefault="00FC1A91" w:rsidP="001149DE">
            <w:pPr>
              <w:pStyle w:val="tbltext"/>
            </w:pPr>
            <w:r w:rsidRPr="00FC1A91">
              <w:rPr>
                <w:b/>
              </w:rPr>
              <w:t>Amount to be recovered</w:t>
            </w:r>
          </w:p>
        </w:tc>
      </w:tr>
      <w:tr w:rsidR="00554D1A" w:rsidRPr="000540E1" w14:paraId="5D31D3EA" w14:textId="77777777" w:rsidTr="00554D1A">
        <w:trPr>
          <w:cantSplit/>
        </w:trPr>
        <w:tc>
          <w:tcPr>
            <w:tcW w:w="1587" w:type="dxa"/>
            <w:vAlign w:val="center"/>
          </w:tcPr>
          <w:p w14:paraId="12E1292C" w14:textId="39332927" w:rsidR="00FC1A91" w:rsidRPr="000540E1" w:rsidRDefault="00FC1A91" w:rsidP="00FC1A91">
            <w:pPr>
              <w:pStyle w:val="tbltext"/>
            </w:pPr>
            <w:r w:rsidRPr="008E2393">
              <w:t>2017</w:t>
            </w:r>
            <w:r w:rsidR="00D11144">
              <w:t>–</w:t>
            </w:r>
            <w:r w:rsidRPr="008E2393">
              <w:t>18</w:t>
            </w:r>
          </w:p>
        </w:tc>
        <w:tc>
          <w:tcPr>
            <w:tcW w:w="2438" w:type="dxa"/>
            <w:vAlign w:val="center"/>
          </w:tcPr>
          <w:p w14:paraId="62F5431E" w14:textId="547A1BD0" w:rsidR="00FC1A91" w:rsidRPr="000540E1" w:rsidRDefault="00FC1A91" w:rsidP="00FC1A91">
            <w:pPr>
              <w:pStyle w:val="tbltext"/>
            </w:pPr>
            <w:r w:rsidRPr="008E2393">
              <w:t>Payment product providers</w:t>
            </w:r>
          </w:p>
        </w:tc>
        <w:tc>
          <w:tcPr>
            <w:tcW w:w="1247" w:type="dxa"/>
            <w:vAlign w:val="center"/>
          </w:tcPr>
          <w:p w14:paraId="761CB055" w14:textId="6B89E987" w:rsidR="00FC1A91" w:rsidRPr="000540E1" w:rsidRDefault="00FC1A91" w:rsidP="00FC1A91">
            <w:pPr>
              <w:pStyle w:val="tbltext"/>
            </w:pPr>
            <w:r>
              <w:t>266</w:t>
            </w:r>
          </w:p>
        </w:tc>
        <w:tc>
          <w:tcPr>
            <w:tcW w:w="2324" w:type="dxa"/>
            <w:vAlign w:val="center"/>
          </w:tcPr>
          <w:p w14:paraId="45A5B64C" w14:textId="24D0E09F" w:rsidR="00FC1A91" w:rsidRPr="000540E1" w:rsidRDefault="00FC1A91" w:rsidP="00C565D7">
            <w:pPr>
              <w:pStyle w:val="tbltext"/>
            </w:pPr>
            <w:r w:rsidRPr="008E2393">
              <w:t>$9,000 flat levy</w:t>
            </w:r>
            <w:r>
              <w:t>*</w:t>
            </w:r>
          </w:p>
        </w:tc>
        <w:tc>
          <w:tcPr>
            <w:tcW w:w="1474" w:type="dxa"/>
            <w:vAlign w:val="center"/>
          </w:tcPr>
          <w:p w14:paraId="014F6066" w14:textId="7C4601E9" w:rsidR="00FC1A91" w:rsidRPr="000540E1" w:rsidRDefault="00FC1A91" w:rsidP="00C565D7">
            <w:pPr>
              <w:pStyle w:val="tbltext"/>
            </w:pPr>
            <w:r>
              <w:t>$2.4 million</w:t>
            </w:r>
          </w:p>
        </w:tc>
      </w:tr>
      <w:tr w:rsidR="00554D1A" w:rsidRPr="000540E1" w14:paraId="67567738" w14:textId="77777777" w:rsidTr="00554D1A">
        <w:trPr>
          <w:cantSplit/>
        </w:trPr>
        <w:tc>
          <w:tcPr>
            <w:tcW w:w="1587" w:type="dxa"/>
            <w:vAlign w:val="center"/>
          </w:tcPr>
          <w:p w14:paraId="5B9B8DF3" w14:textId="7C945AD1" w:rsidR="00FC1A91" w:rsidRPr="000540E1" w:rsidRDefault="00FC1A91" w:rsidP="00FC1A91">
            <w:pPr>
              <w:pStyle w:val="tbltext"/>
            </w:pPr>
            <w:r w:rsidRPr="008E2393">
              <w:t>2018</w:t>
            </w:r>
            <w:r w:rsidR="00D11144">
              <w:t>–</w:t>
            </w:r>
            <w:r w:rsidRPr="008E2393">
              <w:t>19</w:t>
            </w:r>
          </w:p>
        </w:tc>
        <w:tc>
          <w:tcPr>
            <w:tcW w:w="2438" w:type="dxa"/>
            <w:vAlign w:val="center"/>
          </w:tcPr>
          <w:p w14:paraId="79A195B1" w14:textId="15DD65D9" w:rsidR="00FC1A91" w:rsidRPr="000540E1" w:rsidRDefault="00FC1A91" w:rsidP="00FC1A91">
            <w:pPr>
              <w:pStyle w:val="tbltext"/>
            </w:pPr>
            <w:r w:rsidRPr="008E2393">
              <w:t>Payment product providers</w:t>
            </w:r>
          </w:p>
        </w:tc>
        <w:tc>
          <w:tcPr>
            <w:tcW w:w="1247" w:type="dxa"/>
            <w:vAlign w:val="center"/>
          </w:tcPr>
          <w:p w14:paraId="46F88F27" w14:textId="6998EFF9" w:rsidR="00FC1A91" w:rsidRPr="000540E1" w:rsidRDefault="00FC1A91" w:rsidP="00FC1A91">
            <w:pPr>
              <w:pStyle w:val="tbltext"/>
            </w:pPr>
            <w:r>
              <w:t>N/A</w:t>
            </w:r>
          </w:p>
        </w:tc>
        <w:tc>
          <w:tcPr>
            <w:tcW w:w="2324" w:type="dxa"/>
            <w:vAlign w:val="center"/>
          </w:tcPr>
          <w:p w14:paraId="48989B91" w14:textId="2B3B21DD" w:rsidR="00FC1A91" w:rsidRPr="000540E1" w:rsidRDefault="00FC1A91" w:rsidP="00C565D7">
            <w:pPr>
              <w:pStyle w:val="tbltext"/>
            </w:pPr>
            <w:r w:rsidRPr="008E2393">
              <w:t>Graduated based on revenue from payment product provider activity with a minimum levy</w:t>
            </w:r>
          </w:p>
        </w:tc>
        <w:tc>
          <w:tcPr>
            <w:tcW w:w="1474" w:type="dxa"/>
            <w:vAlign w:val="center"/>
          </w:tcPr>
          <w:p w14:paraId="2194DFB2" w14:textId="168EDF2C" w:rsidR="00FC1A91" w:rsidRPr="000540E1" w:rsidRDefault="00FC1A91" w:rsidP="00C565D7">
            <w:pPr>
              <w:pStyle w:val="tbltext"/>
            </w:pPr>
            <w:r>
              <w:t>N/A</w:t>
            </w:r>
          </w:p>
        </w:tc>
      </w:tr>
    </w:tbl>
    <w:p w14:paraId="6DA84A1E" w14:textId="3C996500" w:rsidR="00FC1A91" w:rsidRDefault="00FC1A91" w:rsidP="002D57C4">
      <w:pPr>
        <w:pStyle w:val="sourcenotefullwidth"/>
      </w:pPr>
      <w:r>
        <w:t>* Annual levy amount has been rounded.</w:t>
      </w:r>
    </w:p>
    <w:p w14:paraId="0DEC4115" w14:textId="0C4831BD" w:rsidR="007C3F29" w:rsidRPr="008E2393" w:rsidRDefault="007C3F29" w:rsidP="00892FFC">
      <w:pPr>
        <w:pStyle w:val="BodyText"/>
      </w:pPr>
      <w:r w:rsidRPr="009746F6">
        <w:t>Submissions showed</w:t>
      </w:r>
      <w:r w:rsidRPr="008E2393">
        <w:t xml:space="preserve"> an interest from stakeholders to have a graduated model apply more broadly in the model. This would ensure levies for entities are closely aligned to the level of supervision, however would increase complexity and the reporting burden in the model. </w:t>
      </w:r>
      <w:r w:rsidR="00F65426">
        <w:t xml:space="preserve">If </w:t>
      </w:r>
      <w:r w:rsidRPr="008E2393">
        <w:t xml:space="preserve">a graduated levy </w:t>
      </w:r>
      <w:r w:rsidR="00F65426">
        <w:t xml:space="preserve">is imposed </w:t>
      </w:r>
      <w:r w:rsidRPr="008E2393">
        <w:t>in 2018</w:t>
      </w:r>
      <w:r>
        <w:t>–</w:t>
      </w:r>
      <w:r w:rsidRPr="008E2393">
        <w:t>19</w:t>
      </w:r>
      <w:r w:rsidR="00F65426">
        <w:t>,</w:t>
      </w:r>
      <w:r w:rsidRPr="008E2393">
        <w:t xml:space="preserve"> </w:t>
      </w:r>
      <w:r w:rsidR="00F65426">
        <w:t xml:space="preserve">this </w:t>
      </w:r>
      <w:r w:rsidRPr="008E2393">
        <w:t>will give payment product providers an additional year to prepare their systems for collection of information required under the proposed model.</w:t>
      </w:r>
    </w:p>
    <w:p w14:paraId="3B89779B" w14:textId="77777777" w:rsidR="007C3F29" w:rsidRPr="008E2393" w:rsidRDefault="007C3F29" w:rsidP="00892FFC">
      <w:pPr>
        <w:pStyle w:val="Heading3"/>
      </w:pPr>
      <w:bookmarkStart w:id="165" w:name="_Toc462677689"/>
      <w:bookmarkStart w:id="166" w:name="_Toc462697137"/>
      <w:bookmarkStart w:id="167" w:name="_Toc462698948"/>
      <w:bookmarkStart w:id="168" w:name="_Toc462700184"/>
      <w:bookmarkStart w:id="169" w:name="_Toc462700865"/>
      <w:r w:rsidRPr="008E2393">
        <w:t>Margin lenders</w:t>
      </w:r>
      <w:bookmarkEnd w:id="165"/>
      <w:bookmarkEnd w:id="166"/>
      <w:bookmarkEnd w:id="167"/>
      <w:bookmarkEnd w:id="168"/>
      <w:bookmarkEnd w:id="169"/>
      <w:r w:rsidRPr="008E2393">
        <w:t xml:space="preserve"> </w:t>
      </w:r>
    </w:p>
    <w:p w14:paraId="23BE38E5" w14:textId="77777777" w:rsidR="007C3F29" w:rsidRPr="008E2393" w:rsidRDefault="007C3F29" w:rsidP="00892FFC">
      <w:pPr>
        <w:pStyle w:val="BodyText"/>
      </w:pPr>
      <w:r w:rsidRPr="008E2393">
        <w:t xml:space="preserve">A flat annual levy is proposed for the margin lender subsector. This is consistent with the approach proposed in the August 2015 consultation paper. </w:t>
      </w:r>
    </w:p>
    <w:p w14:paraId="53997CE3" w14:textId="77777777" w:rsidR="007C3F29" w:rsidRPr="008E2393" w:rsidRDefault="007C3F29" w:rsidP="00892FFC">
      <w:pPr>
        <w:pStyle w:val="BodyText"/>
      </w:pPr>
      <w:r w:rsidRPr="008E2393">
        <w:t>Submissions did not raise concerns regarding this levy.</w:t>
      </w:r>
    </w:p>
    <w:p w14:paraId="790C2064" w14:textId="1DAC14DC" w:rsidR="00FC1A91" w:rsidRDefault="00FC1A91"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13</w:t>
      </w:r>
      <w:r w:rsidR="003D3E81">
        <w:rPr>
          <w:noProof/>
        </w:rPr>
        <w:fldChar w:fldCharType="end"/>
      </w:r>
      <w:r>
        <w:t>:</w:t>
      </w:r>
      <w:r>
        <w:tab/>
      </w:r>
      <w:r w:rsidRPr="008E2393">
        <w:t>Proposed flat levy arrangements — Margin lenders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984"/>
        <w:gridCol w:w="2268"/>
        <w:gridCol w:w="2324"/>
        <w:gridCol w:w="2494"/>
      </w:tblGrid>
      <w:tr w:rsidR="00FC1A91" w:rsidRPr="000540E1" w14:paraId="08827AAF" w14:textId="77777777" w:rsidTr="00554D1A">
        <w:trPr>
          <w:cantSplit/>
          <w:tblHeader/>
        </w:trPr>
        <w:tc>
          <w:tcPr>
            <w:tcW w:w="1984" w:type="dxa"/>
            <w:shd w:val="clear" w:color="auto" w:fill="C2E3FA"/>
          </w:tcPr>
          <w:p w14:paraId="61439017" w14:textId="73ED4AB5" w:rsidR="00FC1A91" w:rsidRPr="000540E1" w:rsidRDefault="00C565D7" w:rsidP="002D57C4">
            <w:pPr>
              <w:pStyle w:val="tablehead"/>
            </w:pPr>
            <w:r>
              <w:t>Subsector</w:t>
            </w:r>
          </w:p>
        </w:tc>
        <w:tc>
          <w:tcPr>
            <w:tcW w:w="2268" w:type="dxa"/>
            <w:shd w:val="clear" w:color="auto" w:fill="C2E3FA"/>
          </w:tcPr>
          <w:p w14:paraId="77FBB49E" w14:textId="22128CBE" w:rsidR="00FC1A91" w:rsidRPr="000540E1" w:rsidRDefault="00C565D7" w:rsidP="002D57C4">
            <w:pPr>
              <w:pStyle w:val="tablehead"/>
            </w:pPr>
            <w:r>
              <w:t>Number of entities</w:t>
            </w:r>
          </w:p>
        </w:tc>
        <w:tc>
          <w:tcPr>
            <w:tcW w:w="2324" w:type="dxa"/>
            <w:shd w:val="clear" w:color="auto" w:fill="C2E3FA"/>
          </w:tcPr>
          <w:p w14:paraId="0E4D11AE" w14:textId="48A8C7AC" w:rsidR="00FC1A91" w:rsidRPr="000540E1" w:rsidRDefault="00F65426" w:rsidP="002D57C4">
            <w:pPr>
              <w:pStyle w:val="tablehead"/>
            </w:pPr>
            <w:r>
              <w:t>Proposed a</w:t>
            </w:r>
            <w:r w:rsidR="00C565D7">
              <w:t>nnual levy</w:t>
            </w:r>
          </w:p>
        </w:tc>
        <w:tc>
          <w:tcPr>
            <w:tcW w:w="2494" w:type="dxa"/>
            <w:shd w:val="clear" w:color="auto" w:fill="C2E3FA"/>
          </w:tcPr>
          <w:p w14:paraId="3DABF27D" w14:textId="4A5FB586" w:rsidR="00FC1A91" w:rsidRPr="000540E1" w:rsidRDefault="00C565D7" w:rsidP="002D57C4">
            <w:pPr>
              <w:pStyle w:val="tablehead"/>
            </w:pPr>
            <w:r>
              <w:t>Amount to be recovered</w:t>
            </w:r>
          </w:p>
        </w:tc>
      </w:tr>
      <w:tr w:rsidR="00C565D7" w:rsidRPr="000540E1" w14:paraId="10C0D1F7" w14:textId="77777777" w:rsidTr="00554D1A">
        <w:trPr>
          <w:cantSplit/>
        </w:trPr>
        <w:tc>
          <w:tcPr>
            <w:tcW w:w="1984" w:type="dxa"/>
            <w:vAlign w:val="center"/>
          </w:tcPr>
          <w:p w14:paraId="10A933D0" w14:textId="54687946" w:rsidR="00C565D7" w:rsidRPr="000540E1" w:rsidRDefault="00C565D7" w:rsidP="00C565D7">
            <w:pPr>
              <w:pStyle w:val="tbltext"/>
            </w:pPr>
            <w:r w:rsidRPr="008E2393">
              <w:t>Margin lenders</w:t>
            </w:r>
          </w:p>
        </w:tc>
        <w:tc>
          <w:tcPr>
            <w:tcW w:w="2268" w:type="dxa"/>
            <w:vAlign w:val="center"/>
          </w:tcPr>
          <w:p w14:paraId="46357ACB" w14:textId="47014AFF" w:rsidR="00C565D7" w:rsidRPr="000540E1" w:rsidRDefault="00C565D7" w:rsidP="00C565D7">
            <w:pPr>
              <w:pStyle w:val="tbltext"/>
            </w:pPr>
            <w:r>
              <w:t>22</w:t>
            </w:r>
          </w:p>
        </w:tc>
        <w:tc>
          <w:tcPr>
            <w:tcW w:w="2324" w:type="dxa"/>
            <w:vAlign w:val="center"/>
          </w:tcPr>
          <w:p w14:paraId="0CB49B7C" w14:textId="17A6E6F1" w:rsidR="00C565D7" w:rsidRPr="000540E1" w:rsidRDefault="00C565D7" w:rsidP="00C565D7">
            <w:pPr>
              <w:pStyle w:val="tbltext"/>
            </w:pPr>
            <w:r w:rsidRPr="008E2393">
              <w:t>$11,100</w:t>
            </w:r>
            <w:r>
              <w:t>*</w:t>
            </w:r>
          </w:p>
        </w:tc>
        <w:tc>
          <w:tcPr>
            <w:tcW w:w="2494" w:type="dxa"/>
            <w:vAlign w:val="center"/>
          </w:tcPr>
          <w:p w14:paraId="07BDA071" w14:textId="78F657E8" w:rsidR="00C565D7" w:rsidRPr="000540E1" w:rsidRDefault="00C565D7" w:rsidP="00C565D7">
            <w:pPr>
              <w:pStyle w:val="tbltext"/>
            </w:pPr>
            <w:r>
              <w:t>$0.2 million</w:t>
            </w:r>
          </w:p>
        </w:tc>
      </w:tr>
    </w:tbl>
    <w:p w14:paraId="71AA7603" w14:textId="7BFE9DA1" w:rsidR="00FC1A91" w:rsidRDefault="00C565D7" w:rsidP="001149DE">
      <w:pPr>
        <w:pStyle w:val="sourcenotefullwidth"/>
      </w:pPr>
      <w:r>
        <w:t>* Annual levy amount has been rounded.</w:t>
      </w:r>
      <w:r w:rsidR="00FC1A91">
        <w:t xml:space="preserve"> </w:t>
      </w:r>
    </w:p>
    <w:p w14:paraId="44F468D0" w14:textId="77777777" w:rsidR="0031567F" w:rsidRPr="0031567F" w:rsidRDefault="0031567F" w:rsidP="0031567F">
      <w:bookmarkStart w:id="170" w:name="_Toc462677691"/>
      <w:r w:rsidRPr="0031567F">
        <w:br w:type="page"/>
      </w:r>
    </w:p>
    <w:p w14:paraId="2B9BD4B0" w14:textId="02139980" w:rsidR="00892FFC" w:rsidRDefault="007C3F29" w:rsidP="00892FFC">
      <w:pPr>
        <w:pStyle w:val="BodyText"/>
      </w:pPr>
      <w:r w:rsidRPr="00892FFC">
        <w:t xml:space="preserve">The </w:t>
      </w:r>
      <w:r w:rsidR="00F65426">
        <w:t xml:space="preserve">proposed </w:t>
      </w:r>
      <w:r w:rsidRPr="00892FFC">
        <w:t xml:space="preserve">levy for this subsector has increased by around 63% from the levy proposed in the August 2015 consultation paper. This is because </w:t>
      </w:r>
      <w:r w:rsidR="00F65426">
        <w:t xml:space="preserve">ASIC proposes to remove </w:t>
      </w:r>
      <w:r w:rsidRPr="00892FFC">
        <w:t>the base levy and levy per authorisation of $250 for AFS licensees</w:t>
      </w:r>
      <w:r w:rsidR="00D35BF3">
        <w:t xml:space="preserve">. ASIC proposes to </w:t>
      </w:r>
      <w:r w:rsidR="002D0DA3">
        <w:t xml:space="preserve">incorporate these costs into all the levies for </w:t>
      </w:r>
      <w:r w:rsidR="002D0DA3" w:rsidRPr="00892FFC">
        <w:t>AFS</w:t>
      </w:r>
      <w:r w:rsidRPr="00892FFC">
        <w:t xml:space="preserve"> licensees. Submissions strongly opposed the base levy and levy per authorisation. For further information on stakeholder feedback see </w:t>
      </w:r>
      <w:r w:rsidRPr="00B25C47">
        <w:t>Chapter 6</w:t>
      </w:r>
      <w:r w:rsidRPr="00892FFC">
        <w:t xml:space="preserve"> of the Government’s Proposals Paper.</w:t>
      </w:r>
      <w:bookmarkStart w:id="171" w:name="_Toc462697138"/>
      <w:bookmarkStart w:id="172" w:name="_Toc462698949"/>
      <w:bookmarkStart w:id="173" w:name="_Toc462700185"/>
      <w:bookmarkStart w:id="174" w:name="_Toc462700866"/>
      <w:bookmarkStart w:id="175" w:name="_Toc462677692"/>
      <w:bookmarkEnd w:id="170"/>
    </w:p>
    <w:p w14:paraId="6D08FBE0" w14:textId="3C6123B9" w:rsidR="00892FFC" w:rsidRDefault="007C3F29" w:rsidP="0095224B">
      <w:pPr>
        <w:pStyle w:val="Heading2"/>
      </w:pPr>
      <w:bookmarkStart w:id="176" w:name="_Toc463544599"/>
      <w:bookmarkStart w:id="177" w:name="_Toc463595201"/>
      <w:bookmarkStart w:id="178" w:name="_Toc464140312"/>
      <w:bookmarkStart w:id="179" w:name="_Toc466020964"/>
      <w:r>
        <w:t>Example</w:t>
      </w:r>
      <w:r w:rsidR="00F65426">
        <w:t>s</w:t>
      </w:r>
      <w:bookmarkEnd w:id="171"/>
      <w:bookmarkEnd w:id="172"/>
      <w:bookmarkEnd w:id="173"/>
      <w:bookmarkEnd w:id="174"/>
      <w:bookmarkEnd w:id="176"/>
      <w:bookmarkEnd w:id="177"/>
      <w:r w:rsidR="00F65426">
        <w:t xml:space="preserve"> of proposed levies</w:t>
      </w:r>
      <w:bookmarkEnd w:id="178"/>
      <w:bookmarkEnd w:id="179"/>
    </w:p>
    <w:p w14:paraId="65F2CAE4" w14:textId="3D43C59F" w:rsidR="00892FFC" w:rsidRDefault="00892FFC" w:rsidP="0031567F">
      <w:pPr>
        <w:pStyle w:val="KPhead"/>
        <w:spacing w:before="480"/>
        <w:ind w:left="0"/>
      </w:pPr>
      <w:r>
        <w:t>Example 6</w:t>
      </w:r>
    </w:p>
    <w:p w14:paraId="53B8022E" w14:textId="0C412C5C" w:rsidR="00892FFC" w:rsidRDefault="00892FFC" w:rsidP="00892FFC">
      <w:pPr>
        <w:pStyle w:val="KPtext"/>
        <w:ind w:left="0"/>
      </w:pPr>
      <w:r>
        <w:t>Company D is a large proprietary company that holds an Australian credit licence and provided $400 million of credit in 2016</w:t>
      </w:r>
      <w:r w:rsidR="00D11144">
        <w:t>–</w:t>
      </w:r>
      <w:r>
        <w:t>17. No credit was provided under small amount credit contracts.</w:t>
      </w:r>
    </w:p>
    <w:p w14:paraId="5538813E" w14:textId="6D089789" w:rsidR="00892FFC" w:rsidRDefault="00892FFC" w:rsidP="00892FFC">
      <w:pPr>
        <w:pStyle w:val="KPtext"/>
        <w:ind w:left="0"/>
      </w:pPr>
      <w:r>
        <w:t xml:space="preserve">Company D’s indicative annual levy is: </w:t>
      </w:r>
    </w:p>
    <w:p w14:paraId="73C2FBE4" w14:textId="28B29955" w:rsidR="00892FFC" w:rsidRDefault="00892FFC" w:rsidP="00A24E2C">
      <w:pPr>
        <w:pStyle w:val="KPtext"/>
        <w:tabs>
          <w:tab w:val="right" w:pos="8931"/>
        </w:tabs>
        <w:ind w:left="0" w:firstLine="425"/>
      </w:pPr>
      <w:r>
        <w:t>The levy for large proprietary limited companies</w:t>
      </w:r>
      <w:r>
        <w:tab/>
        <w:t>$350</w:t>
      </w:r>
    </w:p>
    <w:p w14:paraId="1A4647E7" w14:textId="48F6FF7C" w:rsidR="00892FFC" w:rsidRDefault="00892FFC" w:rsidP="00A24E2C">
      <w:pPr>
        <w:pStyle w:val="KPtext"/>
        <w:tabs>
          <w:tab w:val="right" w:pos="8931"/>
        </w:tabs>
        <w:ind w:left="0" w:firstLine="425"/>
      </w:pPr>
      <w:r>
        <w:t>The minimum levy for a credit provider</w:t>
      </w:r>
      <w:r>
        <w:tab/>
        <w:t>$2,000</w:t>
      </w:r>
    </w:p>
    <w:p w14:paraId="1B1866ED" w14:textId="2285FC95" w:rsidR="0095224B" w:rsidRDefault="00892FFC" w:rsidP="00A24E2C">
      <w:pPr>
        <w:pStyle w:val="KPtext"/>
        <w:tabs>
          <w:tab w:val="right" w:pos="8931"/>
        </w:tabs>
        <w:ind w:left="0" w:firstLine="425"/>
      </w:pPr>
      <w:r>
        <w:t>A graduated levy of $0.15 per $10,000 of credit provided greater than $100 million</w:t>
      </w:r>
      <w:r>
        <w:tab/>
        <w:t>$4,500</w:t>
      </w:r>
      <w:r w:rsidR="00A24E2C">
        <w:br/>
      </w:r>
      <w:r>
        <w:t xml:space="preserve"> </w:t>
      </w:r>
      <w:r>
        <w:tab/>
        <w:t>($0.15 x $300 million / $10,000)</w:t>
      </w:r>
    </w:p>
    <w:p w14:paraId="5E192285" w14:textId="2137E6F3" w:rsidR="00892FFC" w:rsidRDefault="00892FFC" w:rsidP="00A24E2C">
      <w:pPr>
        <w:pStyle w:val="KPtext"/>
        <w:tabs>
          <w:tab w:val="right" w:pos="8931"/>
        </w:tabs>
        <w:ind w:left="0"/>
      </w:pPr>
      <w:r w:rsidRPr="00447F8E">
        <w:rPr>
          <w:b/>
        </w:rPr>
        <w:t xml:space="preserve">Total </w:t>
      </w:r>
      <w:r>
        <w:rPr>
          <w:b/>
        </w:rPr>
        <w:t xml:space="preserve">indicative </w:t>
      </w:r>
      <w:r w:rsidRPr="00447F8E">
        <w:rPr>
          <w:b/>
        </w:rPr>
        <w:t>levy</w:t>
      </w:r>
      <w:r>
        <w:rPr>
          <w:b/>
        </w:rPr>
        <w:t xml:space="preserve"> for </w:t>
      </w:r>
      <w:r w:rsidRPr="00447F8E">
        <w:rPr>
          <w:b/>
        </w:rPr>
        <w:t xml:space="preserve">Company </w:t>
      </w:r>
      <w:r>
        <w:rPr>
          <w:b/>
        </w:rPr>
        <w:t>D</w:t>
      </w:r>
      <w:r w:rsidRPr="00447F8E">
        <w:rPr>
          <w:b/>
        </w:rPr>
        <w:t>:</w:t>
      </w:r>
      <w:r>
        <w:t xml:space="preserve"> </w:t>
      </w:r>
      <w:r>
        <w:tab/>
      </w:r>
      <w:r w:rsidRPr="008D68F3">
        <w:rPr>
          <w:b/>
        </w:rPr>
        <w:t>$6,850</w:t>
      </w:r>
    </w:p>
    <w:p w14:paraId="1AADE392" w14:textId="019FEFAC" w:rsidR="0095224B" w:rsidRDefault="0095224B" w:rsidP="0095224B">
      <w:pPr>
        <w:pStyle w:val="KPhead"/>
        <w:ind w:left="0"/>
      </w:pPr>
      <w:r>
        <w:t>Example 7</w:t>
      </w:r>
    </w:p>
    <w:p w14:paraId="43A8E2BA" w14:textId="6FA23281" w:rsidR="0095224B" w:rsidRDefault="0095224B" w:rsidP="0095224B">
      <w:pPr>
        <w:pStyle w:val="KPtext"/>
        <w:ind w:left="0"/>
      </w:pPr>
      <w:r>
        <w:t>Company F is a publicly listed</w:t>
      </w:r>
      <w:r w:rsidR="00984FBC">
        <w:t>,</w:t>
      </w:r>
      <w:r>
        <w:t xml:space="preserve"> disclosing company with a market capitalisation of $20 billion. It holds an Australian credit licence and provided credit of $2 billion in 2016</w:t>
      </w:r>
      <w:r w:rsidR="00D11144">
        <w:t>–</w:t>
      </w:r>
      <w:r>
        <w:t>17. It also played a credit intermediary role and intermediated $700 million of credit in that year. No credit was provided under small amount loan contracts.</w:t>
      </w:r>
    </w:p>
    <w:p w14:paraId="410EE4B8" w14:textId="08179082" w:rsidR="0095224B" w:rsidRDefault="0095224B" w:rsidP="0095224B">
      <w:pPr>
        <w:pStyle w:val="KPtext"/>
        <w:ind w:left="0"/>
      </w:pPr>
      <w:r>
        <w:t>Company F</w:t>
      </w:r>
      <w:r w:rsidR="0003187F">
        <w:t>’</w:t>
      </w:r>
      <w:r>
        <w:t>s indicative annual levy will be equal to:</w:t>
      </w:r>
    </w:p>
    <w:p w14:paraId="736936F0" w14:textId="75A43F07" w:rsidR="0095224B" w:rsidRDefault="0095224B" w:rsidP="00A24E2C">
      <w:pPr>
        <w:pStyle w:val="KPtext"/>
        <w:tabs>
          <w:tab w:val="right" w:pos="8931"/>
        </w:tabs>
        <w:ind w:left="0" w:firstLine="425"/>
      </w:pPr>
      <w:r>
        <w:t>The maximum levy for public companies (listed, disclosing)</w:t>
      </w:r>
      <w:r>
        <w:tab/>
      </w:r>
      <w:r w:rsidR="00310C2D">
        <w:t xml:space="preserve"> </w:t>
      </w:r>
      <w:r w:rsidR="00C82D2D">
        <w:t>$662,000</w:t>
      </w:r>
    </w:p>
    <w:p w14:paraId="266D9C0F" w14:textId="1F8B8ECF" w:rsidR="0095224B" w:rsidRDefault="0095224B" w:rsidP="00A24E2C">
      <w:pPr>
        <w:pStyle w:val="KPtext"/>
        <w:tabs>
          <w:tab w:val="right" w:pos="8931"/>
        </w:tabs>
        <w:ind w:left="0" w:firstLine="425"/>
      </w:pPr>
      <w:r>
        <w:t>The minimum levy for a credit provider</w:t>
      </w:r>
      <w:r>
        <w:tab/>
        <w:t>$2,000</w:t>
      </w:r>
    </w:p>
    <w:p w14:paraId="29407CA9" w14:textId="3B20B968" w:rsidR="0095224B" w:rsidRDefault="0095224B" w:rsidP="00A24E2C">
      <w:pPr>
        <w:pStyle w:val="KPtext"/>
        <w:tabs>
          <w:tab w:val="right" w:pos="8931"/>
        </w:tabs>
        <w:ind w:left="0" w:firstLine="425"/>
      </w:pPr>
      <w:r>
        <w:t>A graduated levy of $0.15 per $10,000 of credit provided greater than $100 million</w:t>
      </w:r>
      <w:r w:rsidR="00310C2D">
        <w:tab/>
      </w:r>
      <w:r>
        <w:t>$28,500</w:t>
      </w:r>
      <w:r w:rsidR="00A24E2C">
        <w:br/>
      </w:r>
      <w:r>
        <w:tab/>
        <w:t>($0.15 x $1.9 billion / $10,000)</w:t>
      </w:r>
    </w:p>
    <w:p w14:paraId="29FB289A" w14:textId="0C259712" w:rsidR="0095224B" w:rsidRDefault="0095224B" w:rsidP="00A24E2C">
      <w:pPr>
        <w:pStyle w:val="KPtext"/>
        <w:tabs>
          <w:tab w:val="right" w:pos="8931"/>
        </w:tabs>
        <w:ind w:left="0" w:firstLine="425"/>
      </w:pPr>
      <w:r>
        <w:t>The minimum levy for a credit intermediary</w:t>
      </w:r>
      <w:r w:rsidR="00310C2D">
        <w:tab/>
      </w:r>
      <w:r>
        <w:t>$1,000</w:t>
      </w:r>
    </w:p>
    <w:p w14:paraId="0409F543" w14:textId="7F18C661" w:rsidR="0095224B" w:rsidRDefault="0095224B" w:rsidP="00A24E2C">
      <w:pPr>
        <w:pStyle w:val="KPtext"/>
        <w:tabs>
          <w:tab w:val="left" w:pos="567"/>
          <w:tab w:val="right" w:pos="8931"/>
        </w:tabs>
        <w:ind w:left="0" w:firstLine="425"/>
      </w:pPr>
      <w:r>
        <w:t>A graduated levy of $1.14 per $10,000 of credit intermediated greater than</w:t>
      </w:r>
      <w:r w:rsidR="0033052A">
        <w:br/>
      </w:r>
      <w:r w:rsidR="0033052A">
        <w:tab/>
      </w:r>
      <w:r>
        <w:t>$100 million</w:t>
      </w:r>
      <w:r w:rsidR="00310C2D">
        <w:tab/>
      </w:r>
      <w:r>
        <w:t>$68,400</w:t>
      </w:r>
      <w:r w:rsidR="00A24E2C">
        <w:br/>
      </w:r>
      <w:r w:rsidR="00A24E2C">
        <w:tab/>
      </w:r>
      <w:r>
        <w:tab/>
        <w:t>($1.14 x $0.6 billion / $10,000)</w:t>
      </w:r>
    </w:p>
    <w:p w14:paraId="2D3775A4" w14:textId="2702BE72" w:rsidR="0095224B" w:rsidRPr="0095224B" w:rsidRDefault="0095224B" w:rsidP="00A24E2C">
      <w:pPr>
        <w:pStyle w:val="KPtext"/>
        <w:tabs>
          <w:tab w:val="right" w:pos="8931"/>
        </w:tabs>
        <w:ind w:left="0"/>
        <w:rPr>
          <w:b/>
        </w:rPr>
      </w:pPr>
      <w:r w:rsidRPr="0095224B">
        <w:rPr>
          <w:b/>
        </w:rPr>
        <w:t>Total indicative levy for Company F:</w:t>
      </w:r>
      <w:r w:rsidRPr="0095224B">
        <w:rPr>
          <w:b/>
        </w:rPr>
        <w:tab/>
        <w:t>$</w:t>
      </w:r>
      <w:r w:rsidR="008A7F8F">
        <w:rPr>
          <w:b/>
        </w:rPr>
        <w:t>761</w:t>
      </w:r>
      <w:r w:rsidRPr="0095224B">
        <w:rPr>
          <w:b/>
        </w:rPr>
        <w:t>,900</w:t>
      </w:r>
    </w:p>
    <w:p w14:paraId="52F3D889" w14:textId="77777777" w:rsidR="00167F93" w:rsidRDefault="00167F93" w:rsidP="00A31BC3">
      <w:pPr>
        <w:pStyle w:val="BodyText"/>
        <w:numPr>
          <w:ilvl w:val="0"/>
          <w:numId w:val="0"/>
        </w:numPr>
      </w:pPr>
    </w:p>
    <w:p w14:paraId="0DFD28DE" w14:textId="1746D443" w:rsidR="00167F93" w:rsidRDefault="00167F93" w:rsidP="00167F93">
      <w:pPr>
        <w:pStyle w:val="KPhead"/>
        <w:ind w:left="0"/>
      </w:pPr>
      <w:r>
        <w:t>Example 8</w:t>
      </w:r>
    </w:p>
    <w:p w14:paraId="42E5B93B" w14:textId="77777777" w:rsidR="00167F93" w:rsidRDefault="00167F93" w:rsidP="00167F93">
      <w:pPr>
        <w:pStyle w:val="KPtext"/>
        <w:ind w:left="0"/>
      </w:pPr>
      <w:r>
        <w:t>Company E is a publicly listed, disclosing entity with a market capitalisation of $5 billion. The company also has:</w:t>
      </w:r>
    </w:p>
    <w:p w14:paraId="4848F896" w14:textId="3FA37F82" w:rsidR="00167F93" w:rsidRDefault="00167F93" w:rsidP="005626DB">
      <w:pPr>
        <w:pStyle w:val="KPtext"/>
        <w:numPr>
          <w:ilvl w:val="0"/>
          <w:numId w:val="20"/>
        </w:numPr>
      </w:pPr>
      <w:r>
        <w:t>an Australian credit licence a</w:t>
      </w:r>
      <w:r w:rsidR="002D0DA3">
        <w:t>nd operates as</w:t>
      </w:r>
      <w:r>
        <w:t xml:space="preserve"> a credit provider with $2 billion provided in credit and as a credit intermediary with $1 billion credit intermediated. No credit was provided under small amount credit contracts.</w:t>
      </w:r>
    </w:p>
    <w:p w14:paraId="4E68FD2C" w14:textId="32755B19" w:rsidR="00167F93" w:rsidRDefault="00167F93" w:rsidP="005626DB">
      <w:pPr>
        <w:pStyle w:val="KPtext"/>
        <w:numPr>
          <w:ilvl w:val="0"/>
          <w:numId w:val="20"/>
        </w:numPr>
      </w:pPr>
      <w:r>
        <w:t>an AFS licence with authorisations as a personal advice provider (advising on Tier 1 products, with 20 financial advisers registered on the Financial Advisers Register) and insurance distributor.</w:t>
      </w:r>
    </w:p>
    <w:p w14:paraId="2CC572F4" w14:textId="6F56B036" w:rsidR="00167F93" w:rsidRDefault="00167F93" w:rsidP="00167F93">
      <w:pPr>
        <w:pStyle w:val="KPtext"/>
        <w:ind w:left="0"/>
      </w:pPr>
      <w:r>
        <w:t>Company E</w:t>
      </w:r>
      <w:r w:rsidR="0003187F">
        <w:t>’</w:t>
      </w:r>
      <w:r>
        <w:t>s indicative annual levy is:</w:t>
      </w:r>
    </w:p>
    <w:p w14:paraId="2DD7CFB0" w14:textId="42544B10" w:rsidR="00167F93" w:rsidRDefault="00167F93" w:rsidP="00D26F16">
      <w:pPr>
        <w:pStyle w:val="KPtext"/>
        <w:tabs>
          <w:tab w:val="left" w:pos="567"/>
          <w:tab w:val="right" w:pos="8931"/>
        </w:tabs>
        <w:ind w:left="0" w:firstLine="426"/>
      </w:pPr>
      <w:r>
        <w:t>The minimum levy for a public company (listed, disclosing)</w:t>
      </w:r>
      <w:r>
        <w:tab/>
        <w:t>$4,000</w:t>
      </w:r>
    </w:p>
    <w:p w14:paraId="0953B773" w14:textId="3DEEC318" w:rsidR="00167F93" w:rsidRDefault="00167F93" w:rsidP="00D26F16">
      <w:pPr>
        <w:pStyle w:val="KPtext"/>
        <w:tabs>
          <w:tab w:val="left" w:pos="567"/>
          <w:tab w:val="right" w:pos="8931"/>
        </w:tabs>
        <w:ind w:left="0" w:firstLine="426"/>
      </w:pPr>
      <w:r>
        <w:t>A graduated levy of $0.</w:t>
      </w:r>
      <w:r w:rsidR="007F2B27">
        <w:t xml:space="preserve">33 </w:t>
      </w:r>
      <w:r>
        <w:t>per $10,000 of market capitalisation above $5 million</w:t>
      </w:r>
      <w:r w:rsidR="009E5EF9">
        <w:tab/>
      </w:r>
      <w:r>
        <w:t>$</w:t>
      </w:r>
      <w:r w:rsidR="009E5EF9">
        <w:t>164</w:t>
      </w:r>
      <w:r>
        <w:t>,</w:t>
      </w:r>
      <w:r w:rsidR="009E5EF9">
        <w:t>835</w:t>
      </w:r>
      <w:r w:rsidR="00D26F16">
        <w:br/>
      </w:r>
      <w:r>
        <w:tab/>
      </w:r>
      <w:r>
        <w:tab/>
        <w:t>($0.</w:t>
      </w:r>
      <w:r w:rsidR="007F2B27">
        <w:t xml:space="preserve">33 </w:t>
      </w:r>
      <w:r>
        <w:t>x $4.995 billion / $10,000)</w:t>
      </w:r>
    </w:p>
    <w:p w14:paraId="10B06C81" w14:textId="748CB863" w:rsidR="00167F93" w:rsidRDefault="0033052A" w:rsidP="00D26F16">
      <w:pPr>
        <w:pStyle w:val="KPtext"/>
        <w:tabs>
          <w:tab w:val="left" w:pos="567"/>
          <w:tab w:val="right" w:pos="8931"/>
        </w:tabs>
        <w:ind w:left="0" w:firstLine="426"/>
      </w:pPr>
      <w:r>
        <w:t>T</w:t>
      </w:r>
      <w:r w:rsidR="00167F93">
        <w:t>he minimum levy for credit provider</w:t>
      </w:r>
      <w:r w:rsidR="00167F93">
        <w:tab/>
        <w:t>$2,000</w:t>
      </w:r>
    </w:p>
    <w:p w14:paraId="25448E3F" w14:textId="593718EB" w:rsidR="00167F93" w:rsidRDefault="00167F93" w:rsidP="00D26F16">
      <w:pPr>
        <w:pStyle w:val="KPtext"/>
        <w:tabs>
          <w:tab w:val="left" w:pos="567"/>
          <w:tab w:val="right" w:pos="8931"/>
        </w:tabs>
        <w:ind w:left="0" w:firstLine="426"/>
      </w:pPr>
      <w:r>
        <w:t>A graduated levy of $0.15 per $10,000 of credit provided above $100 million</w:t>
      </w:r>
      <w:r>
        <w:tab/>
        <w:t>$28,500</w:t>
      </w:r>
      <w:r w:rsidR="00D26F16">
        <w:br/>
      </w:r>
      <w:r>
        <w:tab/>
      </w:r>
      <w:r>
        <w:tab/>
        <w:t xml:space="preserve"> ($0.15 x $ 1.9 billion / $10,000)</w:t>
      </w:r>
    </w:p>
    <w:p w14:paraId="5211BF4F" w14:textId="437F426C" w:rsidR="00167F93" w:rsidRDefault="00167F93" w:rsidP="00D26F16">
      <w:pPr>
        <w:pStyle w:val="KPtext"/>
        <w:tabs>
          <w:tab w:val="left" w:pos="567"/>
          <w:tab w:val="right" w:pos="8931"/>
        </w:tabs>
        <w:ind w:left="0" w:firstLine="426"/>
      </w:pPr>
      <w:r>
        <w:t>The minimum levy for a credit intermediary:</w:t>
      </w:r>
      <w:r>
        <w:tab/>
        <w:t>$1,000</w:t>
      </w:r>
    </w:p>
    <w:p w14:paraId="26E0D5AE" w14:textId="7C68BD67" w:rsidR="00167F93" w:rsidRDefault="00167F93" w:rsidP="00D26F16">
      <w:pPr>
        <w:pStyle w:val="KPtext"/>
        <w:tabs>
          <w:tab w:val="left" w:pos="567"/>
          <w:tab w:val="right" w:pos="8931"/>
        </w:tabs>
        <w:ind w:left="0" w:firstLine="426"/>
      </w:pPr>
      <w:r>
        <w:t>A graduated levy of $1.14 per $10,000 of credit intermediated greater than</w:t>
      </w:r>
      <w:r w:rsidR="0033052A">
        <w:br/>
      </w:r>
      <w:r w:rsidR="0033052A">
        <w:tab/>
        <w:t>$100 million</w:t>
      </w:r>
      <w:r w:rsidR="0033052A">
        <w:tab/>
      </w:r>
      <w:r>
        <w:t>$102,600</w:t>
      </w:r>
      <w:r w:rsidR="00D26F16">
        <w:br/>
      </w:r>
      <w:r>
        <w:tab/>
      </w:r>
      <w:r>
        <w:tab/>
        <w:t>($1.14 x $ 0.9 billion / $10,000)</w:t>
      </w:r>
    </w:p>
    <w:p w14:paraId="1A7234CD" w14:textId="1A7E0E8B" w:rsidR="00167F93" w:rsidRDefault="00167F93" w:rsidP="00D26F16">
      <w:pPr>
        <w:pStyle w:val="KPtext"/>
        <w:tabs>
          <w:tab w:val="left" w:pos="567"/>
          <w:tab w:val="right" w:pos="8931"/>
        </w:tabs>
        <w:ind w:left="0" w:firstLine="426"/>
      </w:pPr>
      <w:r>
        <w:t>A levy of $960 per financial advice provider registered on the financial advisers</w:t>
      </w:r>
      <w:r w:rsidR="00606ADD">
        <w:br/>
      </w:r>
      <w:r w:rsidR="00606ADD">
        <w:tab/>
        <w:t>r</w:t>
      </w:r>
      <w:r w:rsidR="00714D0C">
        <w:t>egister</w:t>
      </w:r>
      <w:r w:rsidR="00D26F16">
        <w:tab/>
      </w:r>
      <w:r>
        <w:t>$19,200</w:t>
      </w:r>
      <w:r w:rsidR="005D46E5">
        <w:tab/>
      </w:r>
      <w:r w:rsidR="00D26F16">
        <w:tab/>
      </w:r>
      <w:r>
        <w:t>(20 x $960)</w:t>
      </w:r>
    </w:p>
    <w:p w14:paraId="2A6065FB" w14:textId="72CDB622" w:rsidR="00167F93" w:rsidRDefault="00167F93" w:rsidP="00D26F16">
      <w:pPr>
        <w:pStyle w:val="KPtext"/>
        <w:tabs>
          <w:tab w:val="left" w:pos="567"/>
          <w:tab w:val="right" w:pos="8931"/>
        </w:tabs>
        <w:ind w:left="0" w:firstLine="426"/>
      </w:pPr>
      <w:r>
        <w:t>The levy for being an insurance product distributor</w:t>
      </w:r>
      <w:r>
        <w:tab/>
        <w:t>$2,400</w:t>
      </w:r>
    </w:p>
    <w:p w14:paraId="06854CF3" w14:textId="01AC1954" w:rsidR="00167F93" w:rsidRPr="00167F93" w:rsidRDefault="00167F93" w:rsidP="00D26F16">
      <w:pPr>
        <w:pStyle w:val="KPtext"/>
        <w:tabs>
          <w:tab w:val="left" w:pos="567"/>
          <w:tab w:val="right" w:pos="8931"/>
        </w:tabs>
        <w:ind w:left="0"/>
        <w:rPr>
          <w:b/>
        </w:rPr>
      </w:pPr>
      <w:r w:rsidRPr="00167F93">
        <w:rPr>
          <w:b/>
        </w:rPr>
        <w:t>Total indicative levy for Company E:</w:t>
      </w:r>
      <w:r w:rsidRPr="00167F93">
        <w:rPr>
          <w:b/>
        </w:rPr>
        <w:tab/>
        <w:t>$</w:t>
      </w:r>
      <w:r w:rsidR="009E5EF9" w:rsidRPr="00167F93">
        <w:rPr>
          <w:b/>
        </w:rPr>
        <w:t>3</w:t>
      </w:r>
      <w:r w:rsidR="009E5EF9">
        <w:rPr>
          <w:b/>
        </w:rPr>
        <w:t>2</w:t>
      </w:r>
      <w:r w:rsidR="009E5EF9" w:rsidRPr="00167F93">
        <w:rPr>
          <w:b/>
        </w:rPr>
        <w:t>4</w:t>
      </w:r>
      <w:r w:rsidRPr="00167F93">
        <w:rPr>
          <w:b/>
        </w:rPr>
        <w:t>,</w:t>
      </w:r>
      <w:r w:rsidR="009E5EF9" w:rsidRPr="00167F93">
        <w:rPr>
          <w:b/>
        </w:rPr>
        <w:t>5</w:t>
      </w:r>
      <w:r w:rsidR="009E5EF9">
        <w:rPr>
          <w:b/>
        </w:rPr>
        <w:t>3</w:t>
      </w:r>
      <w:r w:rsidR="009E5EF9" w:rsidRPr="00167F93">
        <w:rPr>
          <w:b/>
        </w:rPr>
        <w:t>5</w:t>
      </w:r>
    </w:p>
    <w:p w14:paraId="4C35B1EC" w14:textId="77777777" w:rsidR="00167F93" w:rsidRPr="00167F93" w:rsidRDefault="00167F93" w:rsidP="00167F93">
      <w:pPr>
        <w:pStyle w:val="BodyText"/>
        <w:numPr>
          <w:ilvl w:val="0"/>
          <w:numId w:val="0"/>
        </w:numPr>
        <w:ind w:left="1134" w:hanging="1134"/>
      </w:pPr>
    </w:p>
    <w:bookmarkEnd w:id="175"/>
    <w:p w14:paraId="31961D41" w14:textId="38B3FD7C" w:rsidR="007C3F29" w:rsidRDefault="007C3F29" w:rsidP="007C3F29"/>
    <w:p w14:paraId="66ED0ED8" w14:textId="77777777" w:rsidR="007C3F29" w:rsidRPr="00FA6379" w:rsidRDefault="007C3F29" w:rsidP="007C3F29"/>
    <w:p w14:paraId="2F5F5235" w14:textId="6A7A5B3B" w:rsidR="007C3F29" w:rsidRPr="00A71649" w:rsidRDefault="007C3F29" w:rsidP="007C3F29"/>
    <w:p w14:paraId="6DE0861D" w14:textId="77777777" w:rsidR="00A31BC3" w:rsidRDefault="00A31BC3" w:rsidP="007C3F29"/>
    <w:p w14:paraId="0136E674" w14:textId="77777777" w:rsidR="00A31BC3" w:rsidRDefault="00A31BC3">
      <w:pPr>
        <w:spacing w:after="0"/>
      </w:pPr>
      <w:r>
        <w:br w:type="page"/>
      </w:r>
    </w:p>
    <w:p w14:paraId="03B3C395" w14:textId="2262DBCC" w:rsidR="00A31BC3" w:rsidRPr="0076406B" w:rsidRDefault="00A31BC3" w:rsidP="00A31BC3">
      <w:pPr>
        <w:pStyle w:val="Heading1"/>
      </w:pPr>
      <w:bookmarkStart w:id="180" w:name="_Toc452626332"/>
      <w:bookmarkStart w:id="181" w:name="_Toc462677696"/>
      <w:bookmarkStart w:id="182" w:name="_Toc462697139"/>
      <w:bookmarkStart w:id="183" w:name="_Toc462698950"/>
      <w:bookmarkStart w:id="184" w:name="_Toc462700186"/>
      <w:bookmarkStart w:id="185" w:name="_Toc462700867"/>
      <w:bookmarkStart w:id="186" w:name="_Toc463544600"/>
      <w:bookmarkStart w:id="187" w:name="_Toc463595202"/>
      <w:bookmarkStart w:id="188" w:name="_Toc464140313"/>
      <w:bookmarkStart w:id="189" w:name="_Toc466020965"/>
      <w:r w:rsidRPr="00EA173B">
        <w:t>Investment management, superannuation and related services</w:t>
      </w:r>
      <w:bookmarkEnd w:id="180"/>
      <w:bookmarkEnd w:id="181"/>
      <w:bookmarkEnd w:id="182"/>
      <w:bookmarkEnd w:id="183"/>
      <w:bookmarkEnd w:id="184"/>
      <w:bookmarkEnd w:id="185"/>
      <w:bookmarkEnd w:id="186"/>
      <w:bookmarkEnd w:id="187"/>
      <w:bookmarkEnd w:id="188"/>
      <w:bookmarkEnd w:id="189"/>
    </w:p>
    <w:p w14:paraId="4976FD88" w14:textId="77777777" w:rsidR="00A31BC3" w:rsidRPr="008E2393" w:rsidRDefault="00A31BC3" w:rsidP="00A31BC3">
      <w:pPr>
        <w:pStyle w:val="Heading2"/>
      </w:pPr>
      <w:bookmarkStart w:id="190" w:name="_Toc462677697"/>
      <w:bookmarkStart w:id="191" w:name="_Toc462697140"/>
      <w:bookmarkStart w:id="192" w:name="_Toc462698951"/>
      <w:bookmarkStart w:id="193" w:name="_Toc462700187"/>
      <w:bookmarkStart w:id="194" w:name="_Toc462700868"/>
      <w:bookmarkStart w:id="195" w:name="_Toc463544601"/>
      <w:bookmarkStart w:id="196" w:name="_Toc463595203"/>
      <w:bookmarkStart w:id="197" w:name="_Toc464140314"/>
      <w:bookmarkStart w:id="198" w:name="_Toc466020966"/>
      <w:r w:rsidRPr="008E2393">
        <w:t>Description of ASIC regulatory activities</w:t>
      </w:r>
      <w:bookmarkEnd w:id="190"/>
      <w:bookmarkEnd w:id="191"/>
      <w:bookmarkEnd w:id="192"/>
      <w:bookmarkEnd w:id="193"/>
      <w:bookmarkEnd w:id="194"/>
      <w:bookmarkEnd w:id="195"/>
      <w:bookmarkEnd w:id="196"/>
      <w:bookmarkEnd w:id="197"/>
      <w:bookmarkEnd w:id="198"/>
    </w:p>
    <w:p w14:paraId="76E177A5" w14:textId="5985E88A" w:rsidR="007C3F29" w:rsidRDefault="007C3F29" w:rsidP="007C3F29"/>
    <w:p w14:paraId="548783EF" w14:textId="77777777" w:rsidR="00A31BC3" w:rsidRPr="00021FDC" w:rsidRDefault="00A31BC3" w:rsidP="00A31BC3">
      <w:pPr>
        <w:pStyle w:val="BodyText"/>
      </w:pPr>
      <w:r w:rsidRPr="00DD6BD6">
        <w:t>The investment management, super</w:t>
      </w:r>
      <w:r w:rsidRPr="00BB2D35">
        <w:t>annuation</w:t>
      </w:r>
      <w:r w:rsidRPr="007F23E2">
        <w:t xml:space="preserve"> and </w:t>
      </w:r>
      <w:r w:rsidRPr="00372CBB">
        <w:t>related</w:t>
      </w:r>
      <w:r w:rsidRPr="00876696">
        <w:t xml:space="preserve"> services sector consists of AFS licensees with authorisations to</w:t>
      </w:r>
      <w:r w:rsidRPr="00021FDC">
        <w:t>:</w:t>
      </w:r>
      <w:r w:rsidRPr="00DD6BD6">
        <w:t xml:space="preserve"> </w:t>
      </w:r>
    </w:p>
    <w:p w14:paraId="6DDD427C" w14:textId="5C704734" w:rsidR="00A31BC3" w:rsidRPr="00021FDC" w:rsidRDefault="00A31BC3" w:rsidP="000B5B80">
      <w:pPr>
        <w:pStyle w:val="subparaa"/>
        <w:ind w:left="1559"/>
      </w:pPr>
      <w:r w:rsidRPr="00DD6BD6">
        <w:t>operate as responsible entities (</w:t>
      </w:r>
      <w:r w:rsidR="002D0DA3">
        <w:t>responsible e</w:t>
      </w:r>
      <w:r w:rsidRPr="00BB2D35">
        <w:t>ntities)</w:t>
      </w:r>
      <w:r>
        <w:t xml:space="preserve"> and registrable superannuation entity licens</w:t>
      </w:r>
      <w:r w:rsidR="002D0DA3">
        <w:t>e</w:t>
      </w:r>
      <w:r>
        <w:t>es (superannuation trustees)</w:t>
      </w:r>
      <w:r w:rsidRPr="00DD6BD6">
        <w:t xml:space="preserve"> </w:t>
      </w:r>
    </w:p>
    <w:p w14:paraId="5C4C8701" w14:textId="77777777" w:rsidR="00A31BC3" w:rsidRPr="00021FDC" w:rsidRDefault="00A31BC3" w:rsidP="000B5B80">
      <w:pPr>
        <w:pStyle w:val="subparaa"/>
        <w:ind w:left="1559"/>
      </w:pPr>
      <w:r w:rsidRPr="00DD6BD6">
        <w:t>issue interests in managed investment schemes limited to own schemes only to wholes</w:t>
      </w:r>
      <w:r w:rsidRPr="00BB2D35">
        <w:t xml:space="preserve">ale </w:t>
      </w:r>
      <w:r>
        <w:t>client</w:t>
      </w:r>
      <w:r w:rsidRPr="007F23E2">
        <w:t xml:space="preserve"> </w:t>
      </w:r>
      <w:r w:rsidRPr="00372CBB">
        <w:t>trustees</w:t>
      </w:r>
      <w:r w:rsidRPr="00876696">
        <w:t xml:space="preserve"> (wholesale trustees)</w:t>
      </w:r>
      <w:r>
        <w:t>.</w:t>
      </w:r>
    </w:p>
    <w:p w14:paraId="7EE42A38" w14:textId="6DA8EFD8" w:rsidR="00A31BC3" w:rsidRPr="00876696" w:rsidRDefault="00A31BC3" w:rsidP="000B5B80">
      <w:pPr>
        <w:pStyle w:val="subparaa"/>
        <w:ind w:left="1559"/>
      </w:pPr>
      <w:r w:rsidRPr="00EA1E92">
        <w:t>operate as custodians, operators of investor director portfolio services (IDPS),</w:t>
      </w:r>
      <w:r w:rsidRPr="00DD6BD6">
        <w:t xml:space="preserve"> managed discretionary acc</w:t>
      </w:r>
      <w:r w:rsidRPr="00BB2D35">
        <w:t>ount (</w:t>
      </w:r>
      <w:r w:rsidRPr="007F23E2">
        <w:t>MDA</w:t>
      </w:r>
      <w:r w:rsidRPr="00372CBB">
        <w:t xml:space="preserve">) </w:t>
      </w:r>
      <w:r w:rsidRPr="00876696">
        <w:t xml:space="preserve">operators, </w:t>
      </w:r>
      <w:r w:rsidRPr="00EA1E92">
        <w:t xml:space="preserve">traditional trustee company service providers, </w:t>
      </w:r>
      <w:r w:rsidRPr="00DD6BD6">
        <w:t>and</w:t>
      </w:r>
      <w:r w:rsidRPr="00BB2D35">
        <w:t xml:space="preserve"> registered</w:t>
      </w:r>
      <w:r w:rsidRPr="007F23E2">
        <w:t xml:space="preserve"> SMSF auditors</w:t>
      </w:r>
      <w:r w:rsidR="00984FBC">
        <w:t xml:space="preserve"> (see </w:t>
      </w:r>
      <w:r w:rsidR="00984FBC" w:rsidRPr="00B25C47">
        <w:rPr>
          <w:b/>
        </w:rPr>
        <w:fldChar w:fldCharType="begin"/>
      </w:r>
      <w:r w:rsidR="00984FBC" w:rsidRPr="00B25C47">
        <w:rPr>
          <w:b/>
        </w:rPr>
        <w:instrText xml:space="preserve"> REF _Ref463605142 \h </w:instrText>
      </w:r>
      <w:r w:rsidR="00A75F21" w:rsidRPr="00B25C47">
        <w:rPr>
          <w:b/>
        </w:rPr>
        <w:instrText xml:space="preserve"> \* MERGEFORMAT </w:instrText>
      </w:r>
      <w:r w:rsidR="00984FBC" w:rsidRPr="00B25C47">
        <w:rPr>
          <w:b/>
        </w:rPr>
      </w:r>
      <w:r w:rsidR="00984FBC" w:rsidRPr="00B25C47">
        <w:rPr>
          <w:b/>
        </w:rPr>
        <w:fldChar w:fldCharType="separate"/>
      </w:r>
      <w:r w:rsidR="00A37D1A" w:rsidRPr="00B25C47">
        <w:rPr>
          <w:b/>
        </w:rPr>
        <w:t>Table 14</w:t>
      </w:r>
      <w:r w:rsidR="00984FBC" w:rsidRPr="00B25C47">
        <w:rPr>
          <w:b/>
        </w:rPr>
        <w:fldChar w:fldCharType="end"/>
      </w:r>
      <w:r w:rsidR="00984FBC">
        <w:t>)</w:t>
      </w:r>
      <w:r w:rsidRPr="007F23E2">
        <w:t>.</w:t>
      </w:r>
      <w:r w:rsidRPr="00372CBB">
        <w:t xml:space="preserve"> </w:t>
      </w:r>
    </w:p>
    <w:p w14:paraId="1234A606" w14:textId="7100AD1B" w:rsidR="00A31BC3" w:rsidRPr="008E2393" w:rsidRDefault="00A31BC3" w:rsidP="00A75F21">
      <w:pPr>
        <w:pStyle w:val="BodyText"/>
      </w:pPr>
      <w:r w:rsidRPr="00860A32">
        <w:t>In 2016</w:t>
      </w:r>
      <w:r>
        <w:t>–</w:t>
      </w:r>
      <w:r w:rsidRPr="00860A32">
        <w:t>17,</w:t>
      </w:r>
      <w:r w:rsidRPr="008208D2">
        <w:t xml:space="preserve"> </w:t>
      </w:r>
      <w:r>
        <w:t>ASIC</w:t>
      </w:r>
      <w:r w:rsidR="0003187F">
        <w:t>’</w:t>
      </w:r>
      <w:r>
        <w:t>s forecast effort to regulate the investment management, superannuation and related services sector is expected to cost $48.8 million</w:t>
      </w:r>
      <w:r w:rsidR="00984FBC">
        <w:t xml:space="preserve"> (see </w:t>
      </w:r>
      <w:r w:rsidR="00984FBC" w:rsidRPr="00B25C47">
        <w:rPr>
          <w:b/>
        </w:rPr>
        <w:fldChar w:fldCharType="begin"/>
      </w:r>
      <w:r w:rsidR="00984FBC" w:rsidRPr="00B25C47">
        <w:rPr>
          <w:b/>
        </w:rPr>
        <w:instrText xml:space="preserve"> REF _Ref463605168 \h </w:instrText>
      </w:r>
      <w:r w:rsidR="00B25C47" w:rsidRPr="00B25C47">
        <w:rPr>
          <w:b/>
        </w:rPr>
        <w:instrText xml:space="preserve"> \* MERGEFORMAT </w:instrText>
      </w:r>
      <w:r w:rsidR="00984FBC" w:rsidRPr="00B25C47">
        <w:rPr>
          <w:b/>
        </w:rPr>
      </w:r>
      <w:r w:rsidR="00984FBC" w:rsidRPr="00B25C47">
        <w:rPr>
          <w:b/>
        </w:rPr>
        <w:fldChar w:fldCharType="separate"/>
      </w:r>
      <w:r w:rsidR="00A37D1A" w:rsidRPr="00B25C47">
        <w:rPr>
          <w:b/>
        </w:rPr>
        <w:t>Figure</w:t>
      </w:r>
      <w:r w:rsidR="00B25C47" w:rsidRPr="00B25C47">
        <w:rPr>
          <w:b/>
        </w:rPr>
        <w:t> </w:t>
      </w:r>
      <w:r w:rsidR="00A37D1A" w:rsidRPr="00B25C47">
        <w:rPr>
          <w:b/>
          <w:noProof/>
        </w:rPr>
        <w:t>9</w:t>
      </w:r>
      <w:r w:rsidR="00984FBC" w:rsidRPr="00B25C47">
        <w:rPr>
          <w:b/>
        </w:rPr>
        <w:fldChar w:fldCharType="end"/>
      </w:r>
      <w:r w:rsidR="00984FBC">
        <w:t>)</w:t>
      </w:r>
      <w:r>
        <w:t>. This is 20% of ASIC</w:t>
      </w:r>
      <w:r w:rsidR="0003187F">
        <w:t>’</w:t>
      </w:r>
      <w:r>
        <w:t xml:space="preserve">s budget for regulatory activities and </w:t>
      </w:r>
      <w:r w:rsidR="009D2BB5">
        <w:t xml:space="preserve">is proposed to </w:t>
      </w:r>
      <w:r>
        <w:t xml:space="preserve">be recovered </w:t>
      </w:r>
      <w:r w:rsidRPr="003B5688">
        <w:t xml:space="preserve">through levies on the </w:t>
      </w:r>
      <w:r>
        <w:t>investment management, superannuation and related services sector</w:t>
      </w:r>
      <w:r w:rsidRPr="003B5688">
        <w:t>.</w:t>
      </w:r>
    </w:p>
    <w:p w14:paraId="42B7DE37" w14:textId="4147F84B" w:rsidR="007C3F29" w:rsidRDefault="002D0DA3" w:rsidP="002D0DA3">
      <w:pPr>
        <w:pStyle w:val="BodyText"/>
      </w:pPr>
      <w:r w:rsidRPr="002D0DA3">
        <w:t xml:space="preserve">ASIC will issue invoices to recover its </w:t>
      </w:r>
      <w:r w:rsidR="00714D0C">
        <w:t xml:space="preserve">2017–18 costs in January 2019. </w:t>
      </w:r>
      <w:r w:rsidRPr="002D0DA3">
        <w:t xml:space="preserve">Based on forecast 2016–17 costs, levies on the investment management, superannuation and related services sector would comprise $23.5 million (48%) from responsible entities, </w:t>
      </w:r>
      <w:r w:rsidR="00A31BC3" w:rsidRPr="00706F00">
        <w:t>$13.8 million (28%) from wholesale trustees, $8.5</w:t>
      </w:r>
      <w:r w:rsidR="0004769E">
        <w:t> </w:t>
      </w:r>
      <w:r w:rsidR="00A31BC3" w:rsidRPr="00706F00">
        <w:t>million (17%) from superannuation trustees, $1.6</w:t>
      </w:r>
      <w:r w:rsidR="005B65A8">
        <w:t> </w:t>
      </w:r>
      <w:r w:rsidR="00A31BC3" w:rsidRPr="00706F00">
        <w:t>million (3%) from operators of an IDPS, $0.5 million (1%) from custodians, $0.4</w:t>
      </w:r>
      <w:r w:rsidR="005B65A8">
        <w:t> </w:t>
      </w:r>
      <w:r w:rsidR="00A31BC3" w:rsidRPr="00706F00">
        <w:t>million (1%) from SMSF auditors, $0.2</w:t>
      </w:r>
      <w:r w:rsidR="0004769E">
        <w:t> </w:t>
      </w:r>
      <w:r w:rsidR="00A31BC3" w:rsidRPr="00706F00">
        <w:t>million (1%) from MDA</w:t>
      </w:r>
      <w:r w:rsidR="00A31BC3" w:rsidRPr="00860A32">
        <w:t xml:space="preserve"> operators and $0.2</w:t>
      </w:r>
      <w:r w:rsidR="005B65A8">
        <w:t> </w:t>
      </w:r>
      <w:r w:rsidR="00A31BC3" w:rsidRPr="00860A32">
        <w:t xml:space="preserve">million (1%) from traditional trustee service companies (see </w:t>
      </w:r>
      <w:r w:rsidR="00984FBC" w:rsidRPr="00B25C47">
        <w:rPr>
          <w:b/>
        </w:rPr>
        <w:fldChar w:fldCharType="begin"/>
      </w:r>
      <w:r w:rsidR="00984FBC" w:rsidRPr="00B25C47">
        <w:rPr>
          <w:b/>
        </w:rPr>
        <w:instrText xml:space="preserve"> REF _Ref463605209 \h </w:instrText>
      </w:r>
      <w:r w:rsidR="00B25C47">
        <w:rPr>
          <w:b/>
        </w:rPr>
        <w:instrText xml:space="preserve"> \* MERGEFORMAT </w:instrText>
      </w:r>
      <w:r w:rsidR="00984FBC" w:rsidRPr="00B25C47">
        <w:rPr>
          <w:b/>
        </w:rPr>
      </w:r>
      <w:r w:rsidR="00984FBC" w:rsidRPr="00B25C47">
        <w:rPr>
          <w:b/>
        </w:rPr>
        <w:fldChar w:fldCharType="separate"/>
      </w:r>
      <w:r w:rsidR="00A37D1A" w:rsidRPr="00B25C47">
        <w:rPr>
          <w:b/>
        </w:rPr>
        <w:t xml:space="preserve">Figure </w:t>
      </w:r>
      <w:r w:rsidR="00A37D1A" w:rsidRPr="00B25C47">
        <w:rPr>
          <w:b/>
          <w:noProof/>
        </w:rPr>
        <w:t>10</w:t>
      </w:r>
      <w:r w:rsidR="00984FBC" w:rsidRPr="00B25C47">
        <w:rPr>
          <w:b/>
        </w:rPr>
        <w:fldChar w:fldCharType="end"/>
      </w:r>
      <w:r w:rsidR="00984FBC">
        <w:t xml:space="preserve"> </w:t>
      </w:r>
      <w:r w:rsidR="00A31BC3" w:rsidRPr="003E35B4">
        <w:t>below).</w:t>
      </w:r>
    </w:p>
    <w:p w14:paraId="4E12E5CA" w14:textId="216B9533" w:rsidR="00393610" w:rsidRDefault="00393610" w:rsidP="00A64016">
      <w:pPr>
        <w:pStyle w:val="figuretitlefullwidth"/>
      </w:pPr>
      <w:bookmarkStart w:id="199" w:name="_Ref463605168"/>
      <w:r>
        <w:t xml:space="preserve">Figure </w:t>
      </w:r>
      <w:r w:rsidR="003D3E81">
        <w:fldChar w:fldCharType="begin"/>
      </w:r>
      <w:r w:rsidR="003D3E81">
        <w:instrText xml:space="preserve"> SEQ Figure \* ARABIC </w:instrText>
      </w:r>
      <w:r w:rsidR="003D3E81">
        <w:fldChar w:fldCharType="separate"/>
      </w:r>
      <w:r w:rsidR="00A37D1A">
        <w:rPr>
          <w:noProof/>
        </w:rPr>
        <w:t>9</w:t>
      </w:r>
      <w:r w:rsidR="003D3E81">
        <w:rPr>
          <w:noProof/>
        </w:rPr>
        <w:fldChar w:fldCharType="end"/>
      </w:r>
      <w:bookmarkEnd w:id="199"/>
      <w:r>
        <w:t>:</w:t>
      </w:r>
      <w:r>
        <w:tab/>
        <w:t>Costs to regulate the investment management, superannuation and related services sector</w:t>
      </w:r>
    </w:p>
    <w:p w14:paraId="4557AB59" w14:textId="58EBE25C" w:rsidR="008D5FA4" w:rsidRPr="008D5FA4" w:rsidRDefault="008D5FA4" w:rsidP="001149DE">
      <w:pPr>
        <w:pStyle w:val="figuretext"/>
      </w:pPr>
      <w:r w:rsidRPr="008D5FA4">
        <w:rPr>
          <w:noProof/>
        </w:rPr>
        <w:drawing>
          <wp:inline distT="0" distB="0" distL="0" distR="0" wp14:anchorId="56001D20" wp14:editId="439AE431">
            <wp:extent cx="5759114" cy="2213811"/>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644" b="10049"/>
                    <a:stretch/>
                  </pic:blipFill>
                  <pic:spPr bwMode="auto">
                    <a:xfrm>
                      <a:off x="0" y="0"/>
                      <a:ext cx="5755092" cy="2212265"/>
                    </a:xfrm>
                    <a:prstGeom prst="rect">
                      <a:avLst/>
                    </a:prstGeom>
                    <a:noFill/>
                    <a:ln>
                      <a:noFill/>
                    </a:ln>
                    <a:extLst>
                      <a:ext uri="{53640926-AAD7-44D8-BBD7-CCE9431645EC}">
                        <a14:shadowObscured xmlns:a14="http://schemas.microsoft.com/office/drawing/2010/main"/>
                      </a:ext>
                    </a:extLst>
                  </pic:spPr>
                </pic:pic>
              </a:graphicData>
            </a:graphic>
          </wp:inline>
        </w:drawing>
      </w:r>
    </w:p>
    <w:p w14:paraId="23106874" w14:textId="77777777" w:rsidR="00E638BD" w:rsidRPr="00E638BD" w:rsidRDefault="00E638BD" w:rsidP="00775990">
      <w:pPr>
        <w:pStyle w:val="BodyText"/>
      </w:pPr>
      <w:r w:rsidRPr="00E638BD">
        <w:t xml:space="preserve">A large amount of regulatory effort is expended within the investment management, superannuation and related services sector. This is due to the large number of interactions entities in this sector have with retail and institutional investors. ASIC monitors compliance with obligations under the Corporations Act, ASIC Act and </w:t>
      </w:r>
      <w:r w:rsidRPr="000B5B80">
        <w:rPr>
          <w:i/>
        </w:rPr>
        <w:t>Superannuation Industry (Supervision) Act 1993</w:t>
      </w:r>
      <w:r w:rsidRPr="00E638BD">
        <w:t xml:space="preserve"> through a range of proactive and reactive surveillances and takes disciplinary action where there are breaches of the law. </w:t>
      </w:r>
    </w:p>
    <w:p w14:paraId="4783EF99" w14:textId="5913917C" w:rsidR="00E638BD" w:rsidRDefault="00E638BD" w:rsidP="00984FBC">
      <w:pPr>
        <w:pStyle w:val="BodyText"/>
      </w:pPr>
      <w:r w:rsidRPr="00E638BD">
        <w:t>ASIC provides assistance to Treasury on matters of law reform and provides education and guidance to industry in response to regulatory reforms, as well as market innovations and structural changes for entities in this sector.</w:t>
      </w:r>
    </w:p>
    <w:p w14:paraId="123E9DD8" w14:textId="225D79D0" w:rsidR="00C565D7" w:rsidRDefault="00C565D7" w:rsidP="002D57C4">
      <w:pPr>
        <w:pStyle w:val="tabletitlefullwidth"/>
      </w:pPr>
      <w:bookmarkStart w:id="200" w:name="_Ref463605142"/>
      <w:r>
        <w:t xml:space="preserve">Table </w:t>
      </w:r>
      <w:r w:rsidR="003D3E81">
        <w:fldChar w:fldCharType="begin"/>
      </w:r>
      <w:r w:rsidR="003D3E81">
        <w:instrText xml:space="preserve"> SEQ Table \* ARABIC </w:instrText>
      </w:r>
      <w:r w:rsidR="003D3E81">
        <w:fldChar w:fldCharType="separate"/>
      </w:r>
      <w:r w:rsidR="00A37D1A">
        <w:rPr>
          <w:noProof/>
        </w:rPr>
        <w:t>14</w:t>
      </w:r>
      <w:r w:rsidR="003D3E81">
        <w:rPr>
          <w:noProof/>
        </w:rPr>
        <w:fldChar w:fldCharType="end"/>
      </w:r>
      <w:bookmarkEnd w:id="200"/>
      <w:r>
        <w:t>:</w:t>
      </w:r>
      <w:r>
        <w:tab/>
      </w:r>
      <w:r w:rsidRPr="008E2393">
        <w:t xml:space="preserve">Subsectors in the investment management, superannuation and </w:t>
      </w:r>
      <w:r>
        <w:t>related</w:t>
      </w:r>
      <w:r w:rsidRPr="008E2393">
        <w:t xml:space="preserve"> services sector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633"/>
        <w:gridCol w:w="2438"/>
      </w:tblGrid>
      <w:tr w:rsidR="00554D1A" w:rsidRPr="000540E1" w14:paraId="68718FC8" w14:textId="77777777" w:rsidTr="00554D1A">
        <w:trPr>
          <w:cantSplit/>
          <w:tblHeader/>
        </w:trPr>
        <w:tc>
          <w:tcPr>
            <w:tcW w:w="6633" w:type="dxa"/>
            <w:shd w:val="clear" w:color="auto" w:fill="C2E3FA"/>
          </w:tcPr>
          <w:p w14:paraId="073A121B" w14:textId="28568595" w:rsidR="00C565D7" w:rsidRPr="000540E1" w:rsidRDefault="00C565D7" w:rsidP="002D57C4">
            <w:pPr>
              <w:pStyle w:val="tablehead"/>
            </w:pPr>
            <w:r>
              <w:t>Subsectors</w:t>
            </w:r>
          </w:p>
        </w:tc>
        <w:tc>
          <w:tcPr>
            <w:tcW w:w="2438" w:type="dxa"/>
            <w:shd w:val="clear" w:color="auto" w:fill="C2E3FA"/>
          </w:tcPr>
          <w:p w14:paraId="59D556D8" w14:textId="46CB0693" w:rsidR="00C565D7" w:rsidRPr="000540E1" w:rsidRDefault="00C565D7" w:rsidP="002D57C4">
            <w:pPr>
              <w:pStyle w:val="tablehead"/>
            </w:pPr>
            <w:r>
              <w:t>Number of entities</w:t>
            </w:r>
          </w:p>
        </w:tc>
      </w:tr>
      <w:tr w:rsidR="00554D1A" w:rsidRPr="000540E1" w14:paraId="1D49C816" w14:textId="77777777" w:rsidTr="00554D1A">
        <w:trPr>
          <w:cantSplit/>
        </w:trPr>
        <w:tc>
          <w:tcPr>
            <w:tcW w:w="6633" w:type="dxa"/>
            <w:vAlign w:val="center"/>
          </w:tcPr>
          <w:p w14:paraId="67A5DA66" w14:textId="0E6C243B" w:rsidR="00C565D7" w:rsidRPr="000540E1" w:rsidRDefault="00C565D7" w:rsidP="002D0DA3">
            <w:pPr>
              <w:pStyle w:val="tbltext"/>
            </w:pPr>
            <w:r w:rsidRPr="008E2393">
              <w:t xml:space="preserve">Responsible </w:t>
            </w:r>
            <w:r w:rsidR="002D0DA3">
              <w:t>e</w:t>
            </w:r>
            <w:r w:rsidRPr="008E2393">
              <w:t>ntities</w:t>
            </w:r>
          </w:p>
        </w:tc>
        <w:tc>
          <w:tcPr>
            <w:tcW w:w="2438" w:type="dxa"/>
            <w:vAlign w:val="center"/>
          </w:tcPr>
          <w:p w14:paraId="60B866BA" w14:textId="747584A4" w:rsidR="00C565D7" w:rsidRPr="000540E1" w:rsidRDefault="00C565D7" w:rsidP="00C565D7">
            <w:pPr>
              <w:pStyle w:val="tbltext"/>
            </w:pPr>
            <w:r w:rsidRPr="008E2393">
              <w:t>49</w:t>
            </w:r>
            <w:r>
              <w:t>0</w:t>
            </w:r>
          </w:p>
        </w:tc>
      </w:tr>
      <w:tr w:rsidR="00554D1A" w:rsidRPr="000540E1" w14:paraId="71A1FA79" w14:textId="77777777" w:rsidTr="00554D1A">
        <w:trPr>
          <w:cantSplit/>
        </w:trPr>
        <w:tc>
          <w:tcPr>
            <w:tcW w:w="6633" w:type="dxa"/>
            <w:vAlign w:val="center"/>
          </w:tcPr>
          <w:p w14:paraId="328DB7A7" w14:textId="7CCDE799" w:rsidR="00C565D7" w:rsidRPr="000540E1" w:rsidRDefault="00C565D7" w:rsidP="00C565D7">
            <w:pPr>
              <w:pStyle w:val="tbltext"/>
            </w:pPr>
            <w:r w:rsidRPr="008E2393">
              <w:t>Superannuation trustees (excluding SMSF trustees)</w:t>
            </w:r>
            <w:r w:rsidRPr="008E2393">
              <w:rPr>
                <w:rStyle w:val="FootnoteReference"/>
                <w:rFonts w:ascii="Calibri" w:hAnsi="Calibri"/>
                <w:color w:val="000000"/>
                <w:kern w:val="24"/>
                <w:sz w:val="20"/>
              </w:rPr>
              <w:footnoteReference w:id="4"/>
            </w:r>
            <w:r w:rsidRPr="008E2393" w:rsidDel="00143E7A">
              <w:t xml:space="preserve"> </w:t>
            </w:r>
          </w:p>
        </w:tc>
        <w:tc>
          <w:tcPr>
            <w:tcW w:w="2438" w:type="dxa"/>
            <w:vAlign w:val="center"/>
          </w:tcPr>
          <w:p w14:paraId="01CB5C56" w14:textId="0F127EC1" w:rsidR="00C565D7" w:rsidRPr="000540E1" w:rsidRDefault="00A55051" w:rsidP="00C565D7">
            <w:pPr>
              <w:pStyle w:val="tbltext"/>
            </w:pPr>
            <w:r>
              <w:t>144</w:t>
            </w:r>
          </w:p>
        </w:tc>
      </w:tr>
      <w:tr w:rsidR="00554D1A" w:rsidRPr="000540E1" w14:paraId="16C42B65" w14:textId="77777777" w:rsidTr="00554D1A">
        <w:trPr>
          <w:cantSplit/>
        </w:trPr>
        <w:tc>
          <w:tcPr>
            <w:tcW w:w="6633" w:type="dxa"/>
            <w:vAlign w:val="center"/>
          </w:tcPr>
          <w:p w14:paraId="6E12ECBE" w14:textId="4CC18540" w:rsidR="00C565D7" w:rsidRPr="000540E1" w:rsidRDefault="00C565D7" w:rsidP="00C565D7">
            <w:pPr>
              <w:pStyle w:val="tbltext"/>
            </w:pPr>
            <w:r w:rsidRPr="008E2393">
              <w:t xml:space="preserve">Wholesale </w:t>
            </w:r>
            <w:r>
              <w:t>t</w:t>
            </w:r>
            <w:r w:rsidRPr="008E2393">
              <w:t>rustees</w:t>
            </w:r>
            <w:r w:rsidRPr="008E2393" w:rsidDel="00143E7A">
              <w:t xml:space="preserve"> </w:t>
            </w:r>
          </w:p>
        </w:tc>
        <w:tc>
          <w:tcPr>
            <w:tcW w:w="2438" w:type="dxa"/>
            <w:vAlign w:val="center"/>
          </w:tcPr>
          <w:p w14:paraId="67111E4C" w14:textId="3721B5E0" w:rsidR="00C565D7" w:rsidRPr="000540E1" w:rsidRDefault="00C565D7" w:rsidP="00C565D7">
            <w:pPr>
              <w:pStyle w:val="tbltext"/>
            </w:pPr>
            <w:r>
              <w:t>1,749</w:t>
            </w:r>
          </w:p>
        </w:tc>
      </w:tr>
      <w:tr w:rsidR="00554D1A" w:rsidRPr="000540E1" w14:paraId="5BAAEE8C" w14:textId="77777777" w:rsidTr="00554D1A">
        <w:trPr>
          <w:cantSplit/>
        </w:trPr>
        <w:tc>
          <w:tcPr>
            <w:tcW w:w="6633" w:type="dxa"/>
            <w:vAlign w:val="center"/>
          </w:tcPr>
          <w:p w14:paraId="3CD5ED00" w14:textId="478E5364" w:rsidR="00C565D7" w:rsidRPr="008E2393" w:rsidRDefault="00C565D7" w:rsidP="00C565D7">
            <w:pPr>
              <w:pStyle w:val="tbltext"/>
            </w:pPr>
            <w:r>
              <w:t>Custodians</w:t>
            </w:r>
          </w:p>
        </w:tc>
        <w:tc>
          <w:tcPr>
            <w:tcW w:w="2438" w:type="dxa"/>
            <w:vAlign w:val="center"/>
          </w:tcPr>
          <w:p w14:paraId="75F1E353" w14:textId="3A21F7B3" w:rsidR="00C565D7" w:rsidRDefault="00C565D7" w:rsidP="00C565D7">
            <w:pPr>
              <w:pStyle w:val="tbltext"/>
            </w:pPr>
            <w:r>
              <w:t>861</w:t>
            </w:r>
          </w:p>
        </w:tc>
      </w:tr>
      <w:tr w:rsidR="00554D1A" w:rsidRPr="000540E1" w14:paraId="7DCFD5A4" w14:textId="77777777" w:rsidTr="00554D1A">
        <w:trPr>
          <w:cantSplit/>
        </w:trPr>
        <w:tc>
          <w:tcPr>
            <w:tcW w:w="6633" w:type="dxa"/>
            <w:vAlign w:val="center"/>
          </w:tcPr>
          <w:p w14:paraId="444EE6A3" w14:textId="2943E62C" w:rsidR="00C565D7" w:rsidRDefault="00C565D7" w:rsidP="00C565D7">
            <w:pPr>
              <w:pStyle w:val="tbltext"/>
            </w:pPr>
            <w:r>
              <w:t>Operators of an IDPS</w:t>
            </w:r>
          </w:p>
        </w:tc>
        <w:tc>
          <w:tcPr>
            <w:tcW w:w="2438" w:type="dxa"/>
            <w:vAlign w:val="center"/>
          </w:tcPr>
          <w:p w14:paraId="21F2E1DE" w14:textId="2CE1E78C" w:rsidR="00C565D7" w:rsidRDefault="00C565D7" w:rsidP="00C565D7">
            <w:pPr>
              <w:pStyle w:val="tbltext"/>
            </w:pPr>
            <w:r>
              <w:t>35</w:t>
            </w:r>
          </w:p>
        </w:tc>
      </w:tr>
      <w:tr w:rsidR="00554D1A" w:rsidRPr="000540E1" w14:paraId="23B87B8D" w14:textId="77777777" w:rsidTr="00554D1A">
        <w:trPr>
          <w:cantSplit/>
        </w:trPr>
        <w:tc>
          <w:tcPr>
            <w:tcW w:w="6633" w:type="dxa"/>
            <w:vAlign w:val="center"/>
          </w:tcPr>
          <w:p w14:paraId="58C79119" w14:textId="77689215" w:rsidR="00C565D7" w:rsidRDefault="00C565D7" w:rsidP="00C565D7">
            <w:pPr>
              <w:pStyle w:val="tbltext"/>
            </w:pPr>
            <w:r>
              <w:t>MDA</w:t>
            </w:r>
            <w:r w:rsidRPr="008E2393">
              <w:t xml:space="preserve"> operators </w:t>
            </w:r>
          </w:p>
        </w:tc>
        <w:tc>
          <w:tcPr>
            <w:tcW w:w="2438" w:type="dxa"/>
            <w:vAlign w:val="center"/>
          </w:tcPr>
          <w:p w14:paraId="7B165B46" w14:textId="01B922DF" w:rsidR="00C565D7" w:rsidRDefault="00C565D7" w:rsidP="00C565D7">
            <w:pPr>
              <w:pStyle w:val="tbltext"/>
            </w:pPr>
            <w:r>
              <w:t>64</w:t>
            </w:r>
          </w:p>
        </w:tc>
      </w:tr>
      <w:tr w:rsidR="00554D1A" w:rsidRPr="000540E1" w14:paraId="5E096ED0" w14:textId="77777777" w:rsidTr="00554D1A">
        <w:trPr>
          <w:cantSplit/>
        </w:trPr>
        <w:tc>
          <w:tcPr>
            <w:tcW w:w="6633" w:type="dxa"/>
            <w:vAlign w:val="center"/>
          </w:tcPr>
          <w:p w14:paraId="3A2676AF" w14:textId="2AED1793" w:rsidR="00C565D7" w:rsidRDefault="00C565D7" w:rsidP="00C565D7">
            <w:pPr>
              <w:pStyle w:val="tbltext"/>
            </w:pPr>
            <w:r w:rsidRPr="008E2393">
              <w:t>Traditional trustee company service providers</w:t>
            </w:r>
          </w:p>
        </w:tc>
        <w:tc>
          <w:tcPr>
            <w:tcW w:w="2438" w:type="dxa"/>
            <w:vAlign w:val="center"/>
          </w:tcPr>
          <w:p w14:paraId="70A3FC0D" w14:textId="64AE3F76" w:rsidR="00C565D7" w:rsidRDefault="00C565D7" w:rsidP="00C565D7">
            <w:pPr>
              <w:pStyle w:val="tbltext"/>
            </w:pPr>
            <w:r w:rsidRPr="008E2393">
              <w:t>12</w:t>
            </w:r>
          </w:p>
        </w:tc>
      </w:tr>
      <w:tr w:rsidR="00554D1A" w:rsidRPr="000540E1" w14:paraId="60387F61" w14:textId="77777777" w:rsidTr="00554D1A">
        <w:trPr>
          <w:cantSplit/>
        </w:trPr>
        <w:tc>
          <w:tcPr>
            <w:tcW w:w="6633" w:type="dxa"/>
            <w:vAlign w:val="center"/>
          </w:tcPr>
          <w:p w14:paraId="09905189" w14:textId="28C4B049" w:rsidR="00C565D7" w:rsidRPr="008E2393" w:rsidRDefault="00C565D7" w:rsidP="002D0DA3">
            <w:pPr>
              <w:pStyle w:val="tbltext"/>
            </w:pPr>
            <w:r w:rsidRPr="008E2393">
              <w:t xml:space="preserve">SMSF </w:t>
            </w:r>
            <w:r w:rsidR="002D0DA3">
              <w:t>a</w:t>
            </w:r>
            <w:r w:rsidRPr="008E2393">
              <w:t>uditors</w:t>
            </w:r>
          </w:p>
        </w:tc>
        <w:tc>
          <w:tcPr>
            <w:tcW w:w="2438" w:type="dxa"/>
            <w:vAlign w:val="center"/>
          </w:tcPr>
          <w:p w14:paraId="00949C30" w14:textId="097457A7" w:rsidR="00C565D7" w:rsidRPr="008E2393" w:rsidRDefault="00C565D7" w:rsidP="00C565D7">
            <w:pPr>
              <w:pStyle w:val="tbltext"/>
            </w:pPr>
            <w:r w:rsidRPr="008E2393">
              <w:t>6,500</w:t>
            </w:r>
          </w:p>
        </w:tc>
      </w:tr>
    </w:tbl>
    <w:p w14:paraId="7EECE230" w14:textId="12A8E9CF" w:rsidR="00393610" w:rsidRDefault="00393610" w:rsidP="00A64016">
      <w:pPr>
        <w:pStyle w:val="figuretitlefullwidth"/>
      </w:pPr>
      <w:bookmarkStart w:id="201" w:name="_Ref463605209"/>
      <w:r>
        <w:t xml:space="preserve">Figure </w:t>
      </w:r>
      <w:r w:rsidR="003D3E81">
        <w:fldChar w:fldCharType="begin"/>
      </w:r>
      <w:r w:rsidR="003D3E81">
        <w:instrText xml:space="preserve"> SEQ Figure \* ARABIC </w:instrText>
      </w:r>
      <w:r w:rsidR="003D3E81">
        <w:fldChar w:fldCharType="separate"/>
      </w:r>
      <w:r w:rsidR="00A37D1A">
        <w:rPr>
          <w:noProof/>
        </w:rPr>
        <w:t>10</w:t>
      </w:r>
      <w:r w:rsidR="003D3E81">
        <w:rPr>
          <w:noProof/>
        </w:rPr>
        <w:fldChar w:fldCharType="end"/>
      </w:r>
      <w:bookmarkEnd w:id="201"/>
      <w:r>
        <w:t>:</w:t>
      </w:r>
      <w:r>
        <w:tab/>
      </w:r>
      <w:r w:rsidRPr="001149DE">
        <w:t>Regulatory costs for the investment management, superannuation and related services sector in 2016–17</w:t>
      </w:r>
    </w:p>
    <w:p w14:paraId="2B644CC4" w14:textId="4DD273D9" w:rsidR="00393610" w:rsidRPr="00393610" w:rsidRDefault="00393610" w:rsidP="001149DE">
      <w:pPr>
        <w:pStyle w:val="figuretext"/>
      </w:pPr>
      <w:r>
        <w:rPr>
          <w:noProof/>
        </w:rPr>
        <w:drawing>
          <wp:inline distT="0" distB="0" distL="0" distR="0" wp14:anchorId="1DB3193C" wp14:editId="7E623DFA">
            <wp:extent cx="5037221" cy="2918501"/>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0AE54A1" w14:textId="58253FF0" w:rsidR="00393610" w:rsidRDefault="00393610" w:rsidP="00A64016">
      <w:pPr>
        <w:pStyle w:val="figuretext"/>
        <w:rPr>
          <w:lang w:val="en-ZW"/>
        </w:rPr>
      </w:pPr>
    </w:p>
    <w:p w14:paraId="6176AAB1" w14:textId="4459F4D1" w:rsidR="00FD2347" w:rsidRPr="00FD2347" w:rsidRDefault="00FD2347" w:rsidP="00393610">
      <w:pPr>
        <w:pStyle w:val="Heading3"/>
      </w:pPr>
      <w:bookmarkStart w:id="202" w:name="_Toc462677698"/>
      <w:bookmarkStart w:id="203" w:name="_Toc462697141"/>
      <w:bookmarkStart w:id="204" w:name="_Toc462698952"/>
      <w:bookmarkStart w:id="205" w:name="_Toc462700188"/>
      <w:bookmarkStart w:id="206" w:name="_Toc462700869"/>
      <w:r w:rsidRPr="008E2393">
        <w:t xml:space="preserve">Superannuation trustees and </w:t>
      </w:r>
      <w:r w:rsidR="002D0DA3">
        <w:t>r</w:t>
      </w:r>
      <w:r w:rsidRPr="008E2393">
        <w:t xml:space="preserve">esponsible </w:t>
      </w:r>
      <w:r w:rsidR="002D0DA3">
        <w:t>e</w:t>
      </w:r>
      <w:r w:rsidRPr="008E2393">
        <w:t>ntities</w:t>
      </w:r>
      <w:bookmarkEnd w:id="202"/>
      <w:bookmarkEnd w:id="203"/>
      <w:bookmarkEnd w:id="204"/>
      <w:bookmarkEnd w:id="205"/>
      <w:bookmarkEnd w:id="206"/>
    </w:p>
    <w:p w14:paraId="3D21B109" w14:textId="13A333BC" w:rsidR="00FD2347" w:rsidRDefault="00FD2347" w:rsidP="00FD2347">
      <w:pPr>
        <w:pStyle w:val="BodyText"/>
      </w:pPr>
      <w:r w:rsidRPr="008E2393">
        <w:t xml:space="preserve">Each year, ASIC undertakes proactive surveillances of </w:t>
      </w:r>
      <w:r w:rsidR="002D0DA3">
        <w:t>r</w:t>
      </w:r>
      <w:r w:rsidRPr="008E2393">
        <w:t xml:space="preserve">esponsible </w:t>
      </w:r>
      <w:r w:rsidR="002D0DA3">
        <w:t>e</w:t>
      </w:r>
      <w:r w:rsidRPr="008E2393">
        <w:t xml:space="preserve">ntities and superannuation trustees that have been identified through risk profiling as being most at risk of non-compliance or exhibiting particular risks. </w:t>
      </w:r>
    </w:p>
    <w:p w14:paraId="455BD198" w14:textId="2486DAB1" w:rsidR="00FD2347" w:rsidRDefault="00FD2347" w:rsidP="00FD2347">
      <w:pPr>
        <w:pStyle w:val="BodyText"/>
      </w:pPr>
      <w:r w:rsidRPr="008E2393">
        <w:t>In 2016</w:t>
      </w:r>
      <w:r w:rsidR="00D11144">
        <w:t>–</w:t>
      </w:r>
      <w:r w:rsidRPr="008E2393">
        <w:t xml:space="preserve">17, ASIC’s proactive surveillances of risk profiled entities will have a focus on culture, incentives and poor compliance systems that result in </w:t>
      </w:r>
      <w:r>
        <w:t>mis</w:t>
      </w:r>
      <w:r w:rsidRPr="008E2393">
        <w:t xml:space="preserve">conduct and that may lead to losses, as well as the effective implementation of law reform. ASIC will also continue monitoring higher risk entities </w:t>
      </w:r>
      <w:r>
        <w:t>it</w:t>
      </w:r>
      <w:r w:rsidRPr="008E2393">
        <w:t xml:space="preserve"> identified in prior years. </w:t>
      </w:r>
    </w:p>
    <w:p w14:paraId="5D4EB313" w14:textId="421B94C9" w:rsidR="00FD2347" w:rsidRDefault="00FD2347" w:rsidP="00FD2347">
      <w:pPr>
        <w:pStyle w:val="BodyText"/>
      </w:pPr>
      <w:r w:rsidRPr="008E2393">
        <w:t xml:space="preserve">ASIC will </w:t>
      </w:r>
      <w:r>
        <w:t>also</w:t>
      </w:r>
      <w:r w:rsidR="00883E44">
        <w:t>:</w:t>
      </w:r>
      <w:r>
        <w:t xml:space="preserve"> </w:t>
      </w:r>
    </w:p>
    <w:p w14:paraId="2F38DA56" w14:textId="77777777" w:rsidR="00FD2347" w:rsidRPr="008E2393" w:rsidRDefault="00FD2347" w:rsidP="000B5B80">
      <w:pPr>
        <w:pStyle w:val="subparaa"/>
        <w:ind w:left="1559"/>
      </w:pPr>
      <w:r w:rsidRPr="008E2393">
        <w:t>focus on current superannuation practices to identify instances where providers seek to take advantage of the passivity and inertia of disengaged super members, who are generally in the default option</w:t>
      </w:r>
    </w:p>
    <w:p w14:paraId="331CE771" w14:textId="77777777" w:rsidR="00FD2347" w:rsidRPr="008E2393" w:rsidRDefault="00FD2347" w:rsidP="000B5B80">
      <w:pPr>
        <w:pStyle w:val="subparaa"/>
        <w:ind w:left="1559"/>
      </w:pPr>
      <w:r w:rsidRPr="008E2393">
        <w:t>engage and provide guidance to the managed funds sector to promote best practice risk management arrangements, including conflict management, liquidity risk and leverage</w:t>
      </w:r>
    </w:p>
    <w:p w14:paraId="76E7977D" w14:textId="1E6DC508" w:rsidR="00FD2347" w:rsidRDefault="00FD2347" w:rsidP="000B5B80">
      <w:pPr>
        <w:pStyle w:val="subparaa"/>
        <w:ind w:left="1559"/>
      </w:pPr>
      <w:r w:rsidRPr="008E2393">
        <w:t xml:space="preserve">monitor and review compliance with revised custody requirements and fees and costs disclosure obligations by superannuation trustees and </w:t>
      </w:r>
      <w:r w:rsidR="002D0DA3">
        <w:t>r</w:t>
      </w:r>
      <w:r w:rsidRPr="008E2393">
        <w:t xml:space="preserve">esponsible </w:t>
      </w:r>
      <w:r w:rsidR="002D0DA3">
        <w:t>e</w:t>
      </w:r>
      <w:r w:rsidRPr="008E2393">
        <w:t>ntities</w:t>
      </w:r>
    </w:p>
    <w:p w14:paraId="1409C974" w14:textId="6D5C035A" w:rsidR="00883E44" w:rsidRDefault="00883E44" w:rsidP="000B5B80">
      <w:pPr>
        <w:pStyle w:val="subparaa"/>
        <w:ind w:left="1559"/>
      </w:pPr>
      <w:r>
        <w:t xml:space="preserve">reviewing industry compliance with the revised fee disclosure requirements </w:t>
      </w:r>
    </w:p>
    <w:p w14:paraId="2DAB9484" w14:textId="51F9704D" w:rsidR="00FD2347" w:rsidRDefault="00FD2347" w:rsidP="000B5B80">
      <w:pPr>
        <w:pStyle w:val="subparaa"/>
        <w:ind w:left="1559"/>
      </w:pPr>
      <w:r w:rsidRPr="008E2393">
        <w:t>issue guidance associated with law reform initiatives</w:t>
      </w:r>
      <w:r w:rsidR="00714D0C">
        <w:t xml:space="preserve"> in the coming financial year.</w:t>
      </w:r>
    </w:p>
    <w:p w14:paraId="3C551917" w14:textId="77777777" w:rsidR="00606ADD" w:rsidRDefault="00606ADD">
      <w:pPr>
        <w:spacing w:after="0"/>
        <w:rPr>
          <w:szCs w:val="22"/>
        </w:rPr>
      </w:pPr>
      <w:r>
        <w:br w:type="page"/>
      </w:r>
    </w:p>
    <w:p w14:paraId="28FF288F" w14:textId="19F08CC5" w:rsidR="009E238F" w:rsidRDefault="009E238F" w:rsidP="000B5B80">
      <w:pPr>
        <w:pStyle w:val="BodyText"/>
      </w:pPr>
      <w:r>
        <w:t xml:space="preserve">In 2016–17, ASIC will also investigate </w:t>
      </w:r>
      <w:r w:rsidRPr="006928EA">
        <w:t xml:space="preserve">and taking action against </w:t>
      </w:r>
      <w:r>
        <w:t xml:space="preserve">licensed and unlicensed entities in the superannuation and managed funds sector </w:t>
      </w:r>
      <w:r w:rsidRPr="006928EA">
        <w:t xml:space="preserve">identified through our </w:t>
      </w:r>
      <w:r>
        <w:t xml:space="preserve">proactive </w:t>
      </w:r>
      <w:r w:rsidRPr="006928EA">
        <w:t>risk-based surveillance program</w:t>
      </w:r>
      <w:r>
        <w:t xml:space="preserve">s and in response to reports of misconduct, </w:t>
      </w:r>
      <w:r w:rsidRPr="006928EA">
        <w:t>including in relation</w:t>
      </w:r>
      <w:r>
        <w:t xml:space="preserve"> to the </w:t>
      </w:r>
      <w:r w:rsidRPr="006928EA">
        <w:t>effectiveness of superannuation disclosure</w:t>
      </w:r>
      <w:r>
        <w:t xml:space="preserve"> and failures by Responsible Entities to comply with their duties. </w:t>
      </w:r>
    </w:p>
    <w:p w14:paraId="1BD43918" w14:textId="2B51E475" w:rsidR="009E238F" w:rsidRDefault="009E238F" w:rsidP="000B5B80">
      <w:pPr>
        <w:pStyle w:val="BodyText"/>
      </w:pPr>
      <w:r>
        <w:t xml:space="preserve">ASIC will also contribute to key reforms and proposals, including crowd-sourced funding, Collective Investment Vehicles and the Asia Region Funds Passport. </w:t>
      </w:r>
    </w:p>
    <w:p w14:paraId="781B0017" w14:textId="77777777" w:rsidR="00FD2347" w:rsidRPr="008E2393" w:rsidRDefault="00FD2347" w:rsidP="00FD2347">
      <w:pPr>
        <w:pStyle w:val="Heading3"/>
      </w:pPr>
      <w:bookmarkStart w:id="207" w:name="_Toc462677699"/>
      <w:bookmarkStart w:id="208" w:name="_Toc462697142"/>
      <w:bookmarkStart w:id="209" w:name="_Toc462698953"/>
      <w:bookmarkStart w:id="210" w:name="_Toc462700189"/>
      <w:bookmarkStart w:id="211" w:name="_Toc462700870"/>
      <w:r w:rsidRPr="008E2393">
        <w:t>Wholesale trustees</w:t>
      </w:r>
      <w:bookmarkEnd w:id="207"/>
      <w:bookmarkEnd w:id="208"/>
      <w:bookmarkEnd w:id="209"/>
      <w:bookmarkEnd w:id="210"/>
      <w:bookmarkEnd w:id="211"/>
    </w:p>
    <w:p w14:paraId="3EDF5CD4" w14:textId="77777777" w:rsidR="00FD2347" w:rsidRDefault="00FD2347" w:rsidP="00FD2347">
      <w:pPr>
        <w:pStyle w:val="BodyText"/>
      </w:pPr>
      <w:r>
        <w:t xml:space="preserve">In 2016–17, </w:t>
      </w:r>
      <w:r w:rsidRPr="008E2393">
        <w:t>ASIC will conduct risk</w:t>
      </w:r>
      <w:r>
        <w:t>-</w:t>
      </w:r>
      <w:r w:rsidRPr="008E2393">
        <w:t>based surveillance activities on this sector with a particular focus on entities that may be targeting retail consumers.</w:t>
      </w:r>
    </w:p>
    <w:p w14:paraId="19F90F34" w14:textId="77777777" w:rsidR="00FD2347" w:rsidRPr="008E2393" w:rsidRDefault="00FD2347" w:rsidP="00FD2347">
      <w:pPr>
        <w:pStyle w:val="Heading3"/>
      </w:pPr>
      <w:bookmarkStart w:id="212" w:name="_Toc462677700"/>
      <w:bookmarkStart w:id="213" w:name="_Toc462697143"/>
      <w:bookmarkStart w:id="214" w:name="_Toc462698954"/>
      <w:bookmarkStart w:id="215" w:name="_Toc462700190"/>
      <w:bookmarkStart w:id="216" w:name="_Toc462700871"/>
      <w:r w:rsidRPr="008E2393">
        <w:t>Custodians</w:t>
      </w:r>
      <w:bookmarkEnd w:id="212"/>
      <w:bookmarkEnd w:id="213"/>
      <w:bookmarkEnd w:id="214"/>
      <w:bookmarkEnd w:id="215"/>
      <w:bookmarkEnd w:id="216"/>
    </w:p>
    <w:p w14:paraId="02C8FDBC" w14:textId="77777777" w:rsidR="00FD2347" w:rsidRPr="008E2393" w:rsidRDefault="00FD2347" w:rsidP="0070410E">
      <w:pPr>
        <w:pStyle w:val="BodyText"/>
      </w:pPr>
      <w:r>
        <w:t xml:space="preserve">In 2016–17, </w:t>
      </w:r>
      <w:r w:rsidRPr="008E2393">
        <w:t xml:space="preserve">ASIC will review </w:t>
      </w:r>
      <w:r>
        <w:t xml:space="preserve">the </w:t>
      </w:r>
      <w:r w:rsidRPr="008E2393">
        <w:t xml:space="preserve">compliance </w:t>
      </w:r>
      <w:r>
        <w:t xml:space="preserve">of custodians </w:t>
      </w:r>
      <w:r w:rsidRPr="008E2393">
        <w:t xml:space="preserve">with </w:t>
      </w:r>
      <w:r>
        <w:t>the revised custody requirements</w:t>
      </w:r>
      <w:r w:rsidRPr="008E2393">
        <w:t>.</w:t>
      </w:r>
    </w:p>
    <w:p w14:paraId="73BABF7B" w14:textId="77777777" w:rsidR="00FD2347" w:rsidRPr="008E2393" w:rsidRDefault="00FD2347" w:rsidP="00FD2347">
      <w:pPr>
        <w:pStyle w:val="Heading3"/>
      </w:pPr>
      <w:bookmarkStart w:id="217" w:name="_Toc462677701"/>
      <w:bookmarkStart w:id="218" w:name="_Toc462697144"/>
      <w:bookmarkStart w:id="219" w:name="_Toc462698955"/>
      <w:bookmarkStart w:id="220" w:name="_Toc462700191"/>
      <w:bookmarkStart w:id="221" w:name="_Toc462700872"/>
      <w:r w:rsidRPr="008E2393">
        <w:t>Operators of an IDPS and MDA</w:t>
      </w:r>
      <w:r>
        <w:t xml:space="preserve"> operators</w:t>
      </w:r>
      <w:bookmarkEnd w:id="217"/>
      <w:bookmarkEnd w:id="218"/>
      <w:bookmarkEnd w:id="219"/>
      <w:bookmarkEnd w:id="220"/>
      <w:bookmarkEnd w:id="221"/>
    </w:p>
    <w:p w14:paraId="5E50B5A4" w14:textId="2C35F662" w:rsidR="00FD2347" w:rsidRDefault="00FD2347" w:rsidP="0070410E">
      <w:pPr>
        <w:pStyle w:val="BodyText"/>
      </w:pPr>
      <w:r>
        <w:t xml:space="preserve">In 2016–17, ASIC will review, as part of ASIC’s proactive surveillance program, </w:t>
      </w:r>
      <w:r w:rsidRPr="008E2393">
        <w:t xml:space="preserve">IDPS and MDA operators identified through risk profiling as being most at risk of non-compliance or exhibiting particular risks. </w:t>
      </w:r>
    </w:p>
    <w:p w14:paraId="59552AD2" w14:textId="77777777" w:rsidR="00FD2347" w:rsidRDefault="00FD2347" w:rsidP="00FD2347">
      <w:pPr>
        <w:pStyle w:val="Heading3"/>
      </w:pPr>
      <w:r>
        <w:t>Traditional trustee company service providers</w:t>
      </w:r>
    </w:p>
    <w:p w14:paraId="335896C0" w14:textId="77777777" w:rsidR="00FD2347" w:rsidRDefault="00FD2347" w:rsidP="0070410E">
      <w:pPr>
        <w:pStyle w:val="BodyText"/>
      </w:pPr>
      <w:r>
        <w:t>In 2016–17, ASIC will review the compliance of traditional trustee company service providers with their obligations under the Corporations Act.</w:t>
      </w:r>
    </w:p>
    <w:p w14:paraId="689C2322" w14:textId="77777777" w:rsidR="00FD2347" w:rsidRPr="008E2393" w:rsidRDefault="00FD2347" w:rsidP="00FD2347">
      <w:pPr>
        <w:pStyle w:val="Heading3"/>
      </w:pPr>
      <w:bookmarkStart w:id="222" w:name="_Toc462677703"/>
      <w:bookmarkStart w:id="223" w:name="_Toc462697145"/>
      <w:bookmarkStart w:id="224" w:name="_Toc462698956"/>
      <w:bookmarkStart w:id="225" w:name="_Toc462700192"/>
      <w:bookmarkStart w:id="226" w:name="_Toc462700873"/>
      <w:r w:rsidRPr="008E2393">
        <w:t>SMSF auditors</w:t>
      </w:r>
      <w:bookmarkEnd w:id="222"/>
      <w:bookmarkEnd w:id="223"/>
      <w:bookmarkEnd w:id="224"/>
      <w:bookmarkEnd w:id="225"/>
      <w:bookmarkEnd w:id="226"/>
    </w:p>
    <w:p w14:paraId="48FCB1F5" w14:textId="6CF747F5" w:rsidR="00FD2347" w:rsidRPr="008E2393" w:rsidRDefault="00FD2347" w:rsidP="0070410E">
      <w:pPr>
        <w:pStyle w:val="BodyText"/>
      </w:pPr>
      <w:r w:rsidRPr="008E2393">
        <w:t>For SMSF auditors, ASIC’s proactive supervision is comparatively lower due to the limited influence these auditors have on financial markets and ASIC’s primary activity is enforcement based on referrals from the ATO (which is responsible for the broad regulation of SMSF auditors).</w:t>
      </w:r>
    </w:p>
    <w:p w14:paraId="2143DF58" w14:textId="26F23C59" w:rsidR="00FD2347" w:rsidRPr="008E2393" w:rsidRDefault="00FD2347" w:rsidP="0070410E">
      <w:pPr>
        <w:pStyle w:val="BodyText"/>
      </w:pPr>
      <w:r w:rsidRPr="008E2393">
        <w:t>ASIC is responsible for the registration and deregistration of SMSF auditors. ASIC conducts a competency exam for applica</w:t>
      </w:r>
      <w:r w:rsidRPr="00D20BD2">
        <w:t>nts and assesses applications for registration of SMSF auditors having regard to qualification, experience and f</w:t>
      </w:r>
      <w:r w:rsidR="00714D0C">
        <w:t xml:space="preserve">it and proper person criteria. </w:t>
      </w:r>
      <w:r w:rsidRPr="00D20BD2">
        <w:t>ASIC</w:t>
      </w:r>
      <w:r w:rsidR="0003187F">
        <w:t>’</w:t>
      </w:r>
      <w:r w:rsidRPr="00D20BD2">
        <w:t>s costs to process an application for registration as a SMSF auditor will be subject to fee</w:t>
      </w:r>
      <w:r w:rsidRPr="001170A2">
        <w:t>s</w:t>
      </w:r>
      <w:r w:rsidRPr="00D20BD2">
        <w:t>-for-service arrangements.</w:t>
      </w:r>
      <w:r w:rsidRPr="008E2393">
        <w:t xml:space="preserve"> </w:t>
      </w:r>
    </w:p>
    <w:p w14:paraId="496FA6AA" w14:textId="77777777" w:rsidR="0070410E" w:rsidRDefault="00FD2347" w:rsidP="0070410E">
      <w:pPr>
        <w:pStyle w:val="BodyText"/>
      </w:pPr>
      <w:r w:rsidRPr="008E2393">
        <w:t>Where the ATO makes a referral to ASIC for the deregistration or suspension of an SMSF auditor, ASIC sends the auditor a show cause letter and assesses the matter. Matters are considered by an ASIC hearings delegate and ASIC also deals with any appeals of its decisions to the Adm</w:t>
      </w:r>
      <w:r>
        <w:t>inistrative App</w:t>
      </w:r>
      <w:r w:rsidRPr="008E2393">
        <w:t>eals Tribunal.</w:t>
      </w:r>
      <w:r>
        <w:t xml:space="preserve"> </w:t>
      </w:r>
      <w:bookmarkStart w:id="227" w:name="_Toc462677704"/>
      <w:bookmarkStart w:id="228" w:name="_Toc462697146"/>
      <w:bookmarkStart w:id="229" w:name="_Toc462698957"/>
      <w:bookmarkStart w:id="230" w:name="_Toc462700193"/>
      <w:bookmarkStart w:id="231" w:name="_Toc462700874"/>
    </w:p>
    <w:p w14:paraId="2ECB3197" w14:textId="3727BBA9" w:rsidR="0070410E" w:rsidRPr="008E2393" w:rsidRDefault="00F65426" w:rsidP="0070410E">
      <w:pPr>
        <w:pStyle w:val="Heading2"/>
      </w:pPr>
      <w:bookmarkStart w:id="232" w:name="_Toc463544602"/>
      <w:bookmarkStart w:id="233" w:name="_Toc463595204"/>
      <w:bookmarkStart w:id="234" w:name="_Toc464140315"/>
      <w:bookmarkStart w:id="235" w:name="_Toc466020967"/>
      <w:r>
        <w:t>Proposed l</w:t>
      </w:r>
      <w:r w:rsidR="0070410E" w:rsidRPr="008E2393">
        <w:t>evy methodologies</w:t>
      </w:r>
      <w:bookmarkEnd w:id="227"/>
      <w:bookmarkEnd w:id="228"/>
      <w:bookmarkEnd w:id="229"/>
      <w:bookmarkEnd w:id="230"/>
      <w:bookmarkEnd w:id="231"/>
      <w:bookmarkEnd w:id="232"/>
      <w:bookmarkEnd w:id="233"/>
      <w:bookmarkEnd w:id="234"/>
      <w:bookmarkEnd w:id="235"/>
    </w:p>
    <w:p w14:paraId="7AC63F10" w14:textId="5D51D8B2" w:rsidR="0070410E" w:rsidRDefault="0070410E" w:rsidP="0070410E">
      <w:pPr>
        <w:pStyle w:val="Heading3"/>
      </w:pPr>
      <w:bookmarkStart w:id="236" w:name="_Toc462677705"/>
      <w:bookmarkStart w:id="237" w:name="_Toc462697147"/>
      <w:bookmarkStart w:id="238" w:name="_Toc462698958"/>
      <w:bookmarkStart w:id="239" w:name="_Toc462700194"/>
      <w:bookmarkStart w:id="240" w:name="_Toc462700875"/>
      <w:r w:rsidRPr="008E2393">
        <w:t xml:space="preserve">Superannuation trustees and </w:t>
      </w:r>
      <w:r w:rsidR="002D0DA3">
        <w:t>r</w:t>
      </w:r>
      <w:r w:rsidRPr="008E2393">
        <w:t xml:space="preserve">esponsible </w:t>
      </w:r>
      <w:r w:rsidR="002D0DA3">
        <w:t>e</w:t>
      </w:r>
      <w:r w:rsidRPr="008E2393">
        <w:t>ntities</w:t>
      </w:r>
      <w:bookmarkEnd w:id="236"/>
      <w:bookmarkEnd w:id="237"/>
      <w:bookmarkEnd w:id="238"/>
      <w:bookmarkEnd w:id="239"/>
      <w:bookmarkEnd w:id="240"/>
    </w:p>
    <w:p w14:paraId="0784AFE1" w14:textId="3601E685" w:rsidR="0070410E" w:rsidRDefault="0070410E" w:rsidP="0070410E">
      <w:pPr>
        <w:pStyle w:val="BodyText"/>
      </w:pPr>
      <w:r w:rsidRPr="008E2393">
        <w:t xml:space="preserve">To recover ASIC’s costs to regulate superannuation trustees and </w:t>
      </w:r>
      <w:r w:rsidR="002D0DA3">
        <w:t>r</w:t>
      </w:r>
      <w:r w:rsidRPr="008E2393">
        <w:t xml:space="preserve">esponsible </w:t>
      </w:r>
      <w:r w:rsidR="002D0DA3">
        <w:t>e</w:t>
      </w:r>
      <w:r w:rsidRPr="008E2393">
        <w:t xml:space="preserve">ntities a graduated levy based on funds under management (FUM) is proposed. </w:t>
      </w:r>
      <w:r w:rsidR="00F65426">
        <w:t xml:space="preserve">ASIC proposes that a </w:t>
      </w:r>
      <w:r w:rsidRPr="008E2393">
        <w:t xml:space="preserve">minimum levy will apply reflecting ASIC’s fixed costs to regulate a superannuation trustee or </w:t>
      </w:r>
      <w:r w:rsidR="002D0DA3">
        <w:t>r</w:t>
      </w:r>
      <w:r w:rsidRPr="008E2393">
        <w:t xml:space="preserve">esponsible </w:t>
      </w:r>
      <w:r w:rsidR="002D0DA3">
        <w:t>e</w:t>
      </w:r>
      <w:r w:rsidRPr="008E2393">
        <w:t xml:space="preserve">ntity. FUM reflects the value of investor funds managed and the number of investors or members reached, serving as a measure of risk to investors or members and the broader market. </w:t>
      </w:r>
    </w:p>
    <w:p w14:paraId="223A18D0" w14:textId="7716D72F" w:rsidR="00C565D7" w:rsidRDefault="00C565D7" w:rsidP="002D57C4">
      <w:pPr>
        <w:pStyle w:val="tabletitlefullwidth"/>
      </w:pPr>
      <w:r>
        <w:t xml:space="preserve">Table </w:t>
      </w:r>
      <w:r w:rsidR="003D3E81">
        <w:fldChar w:fldCharType="begin"/>
      </w:r>
      <w:r w:rsidR="003D3E81">
        <w:instrText xml:space="preserve"> SEQ </w:instrText>
      </w:r>
      <w:r w:rsidR="003D3E81">
        <w:instrText xml:space="preserve">Table \* ARABIC </w:instrText>
      </w:r>
      <w:r w:rsidR="003D3E81">
        <w:fldChar w:fldCharType="separate"/>
      </w:r>
      <w:r w:rsidR="00A37D1A">
        <w:rPr>
          <w:noProof/>
        </w:rPr>
        <w:t>15</w:t>
      </w:r>
      <w:r w:rsidR="003D3E81">
        <w:rPr>
          <w:noProof/>
        </w:rPr>
        <w:fldChar w:fldCharType="end"/>
      </w:r>
      <w:r>
        <w:t>:</w:t>
      </w:r>
      <w:r>
        <w:tab/>
      </w:r>
      <w:r w:rsidRPr="008E2393">
        <w:t xml:space="preserve">Proposed levy arrangements – superannuation trustees and </w:t>
      </w:r>
      <w:r>
        <w:t>r</w:t>
      </w:r>
      <w:r w:rsidRPr="008E2393">
        <w:t xml:space="preserve">esponsible </w:t>
      </w:r>
      <w:r>
        <w:t>e</w:t>
      </w:r>
      <w:r w:rsidRPr="008E2393">
        <w:t>ntities</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87"/>
        <w:gridCol w:w="1191"/>
        <w:gridCol w:w="1984"/>
        <w:gridCol w:w="2891"/>
        <w:gridCol w:w="1417"/>
      </w:tblGrid>
      <w:tr w:rsidR="00554D1A" w:rsidRPr="000540E1" w14:paraId="61D4E0BC" w14:textId="77777777" w:rsidTr="00554D1A">
        <w:trPr>
          <w:cantSplit/>
          <w:tblHeader/>
        </w:trPr>
        <w:tc>
          <w:tcPr>
            <w:tcW w:w="1587" w:type="dxa"/>
            <w:shd w:val="clear" w:color="auto" w:fill="C2E3FA"/>
          </w:tcPr>
          <w:p w14:paraId="29D6A5E0" w14:textId="3B653FA0" w:rsidR="00C565D7" w:rsidRPr="000540E1" w:rsidRDefault="00C565D7" w:rsidP="002D57C4">
            <w:pPr>
              <w:pStyle w:val="tablehead"/>
            </w:pPr>
            <w:r>
              <w:t>Subsectors</w:t>
            </w:r>
          </w:p>
        </w:tc>
        <w:tc>
          <w:tcPr>
            <w:tcW w:w="1191" w:type="dxa"/>
            <w:shd w:val="clear" w:color="auto" w:fill="C2E3FA"/>
          </w:tcPr>
          <w:p w14:paraId="2AA652B3" w14:textId="7368C5D2" w:rsidR="00C565D7" w:rsidRPr="000540E1" w:rsidRDefault="00C565D7" w:rsidP="002D57C4">
            <w:pPr>
              <w:pStyle w:val="tablehead"/>
            </w:pPr>
            <w:r>
              <w:t>Number of entities</w:t>
            </w:r>
          </w:p>
        </w:tc>
        <w:tc>
          <w:tcPr>
            <w:tcW w:w="1984" w:type="dxa"/>
            <w:shd w:val="clear" w:color="auto" w:fill="C2E3FA"/>
          </w:tcPr>
          <w:p w14:paraId="49BF6C14" w14:textId="4A33A35B" w:rsidR="00C565D7" w:rsidRPr="000540E1" w:rsidRDefault="00F65426" w:rsidP="002D57C4">
            <w:pPr>
              <w:pStyle w:val="tablehead"/>
            </w:pPr>
            <w:r>
              <w:t>Proposed m</w:t>
            </w:r>
            <w:r w:rsidR="00C565D7">
              <w:t>inimum levy</w:t>
            </w:r>
          </w:p>
        </w:tc>
        <w:tc>
          <w:tcPr>
            <w:tcW w:w="2891" w:type="dxa"/>
            <w:shd w:val="clear" w:color="auto" w:fill="C2E3FA"/>
          </w:tcPr>
          <w:p w14:paraId="4FA206F1" w14:textId="3A0EC8A7" w:rsidR="00C565D7" w:rsidRPr="000540E1" w:rsidRDefault="00F65426" w:rsidP="002D57C4">
            <w:pPr>
              <w:pStyle w:val="tablehead"/>
            </w:pPr>
            <w:r>
              <w:t>Proposed v</w:t>
            </w:r>
            <w:r w:rsidR="00C565D7">
              <w:t>ariable levy</w:t>
            </w:r>
          </w:p>
        </w:tc>
        <w:tc>
          <w:tcPr>
            <w:tcW w:w="1417" w:type="dxa"/>
            <w:shd w:val="clear" w:color="auto" w:fill="C2E3FA"/>
          </w:tcPr>
          <w:p w14:paraId="15F136ED" w14:textId="678A1838" w:rsidR="00C565D7" w:rsidRPr="000540E1" w:rsidRDefault="00C565D7" w:rsidP="002D57C4">
            <w:pPr>
              <w:pStyle w:val="tablehead"/>
            </w:pPr>
            <w:r>
              <w:t>Amount to be recovered</w:t>
            </w:r>
          </w:p>
        </w:tc>
      </w:tr>
      <w:tr w:rsidR="00554D1A" w:rsidRPr="000540E1" w14:paraId="63962A9D" w14:textId="77777777" w:rsidTr="00554D1A">
        <w:trPr>
          <w:cantSplit/>
        </w:trPr>
        <w:tc>
          <w:tcPr>
            <w:tcW w:w="1587" w:type="dxa"/>
            <w:vAlign w:val="center"/>
          </w:tcPr>
          <w:p w14:paraId="3EBE86CE" w14:textId="7B65BDE8" w:rsidR="00C565D7" w:rsidRPr="000540E1" w:rsidRDefault="00C565D7" w:rsidP="00C565D7">
            <w:pPr>
              <w:pStyle w:val="tbltext"/>
            </w:pPr>
            <w:r w:rsidRPr="008E2393">
              <w:t>Superannuation trustees</w:t>
            </w:r>
          </w:p>
        </w:tc>
        <w:tc>
          <w:tcPr>
            <w:tcW w:w="1191" w:type="dxa"/>
            <w:vAlign w:val="center"/>
          </w:tcPr>
          <w:p w14:paraId="2E466601" w14:textId="64348C67" w:rsidR="00C565D7" w:rsidRPr="000540E1" w:rsidRDefault="007E17AE" w:rsidP="00C565D7">
            <w:pPr>
              <w:pStyle w:val="tbltext"/>
            </w:pPr>
            <w:r>
              <w:t>144</w:t>
            </w:r>
          </w:p>
        </w:tc>
        <w:tc>
          <w:tcPr>
            <w:tcW w:w="1984" w:type="dxa"/>
            <w:vAlign w:val="center"/>
          </w:tcPr>
          <w:p w14:paraId="5DC3EDAF" w14:textId="11C8C494" w:rsidR="00C565D7" w:rsidRPr="000540E1" w:rsidRDefault="00C565D7" w:rsidP="009B3268">
            <w:pPr>
              <w:pStyle w:val="tbltext"/>
            </w:pPr>
            <w:r w:rsidRPr="008E2393">
              <w:t>$18,000 for FUM less than $250 million</w:t>
            </w:r>
          </w:p>
        </w:tc>
        <w:tc>
          <w:tcPr>
            <w:tcW w:w="2891" w:type="dxa"/>
            <w:vAlign w:val="center"/>
          </w:tcPr>
          <w:p w14:paraId="40822AB1" w14:textId="5E2A2C65" w:rsidR="00C565D7" w:rsidRPr="000540E1" w:rsidRDefault="00C565D7" w:rsidP="002D57C4">
            <w:pPr>
              <w:pStyle w:val="tbltext"/>
            </w:pPr>
            <w:r>
              <w:t xml:space="preserve">$18,000 plus </w:t>
            </w:r>
            <w:r w:rsidRPr="008E2393">
              <w:t>$0.05 per $10,000 of FUM greater than $250 million</w:t>
            </w:r>
          </w:p>
        </w:tc>
        <w:tc>
          <w:tcPr>
            <w:tcW w:w="1417" w:type="dxa"/>
            <w:vAlign w:val="center"/>
          </w:tcPr>
          <w:p w14:paraId="5CAC9327" w14:textId="12F5F53D" w:rsidR="00C565D7" w:rsidRPr="000540E1" w:rsidRDefault="00C565D7" w:rsidP="002D57C4">
            <w:pPr>
              <w:pStyle w:val="tbltext"/>
            </w:pPr>
            <w:r>
              <w:t>$8.5 million</w:t>
            </w:r>
          </w:p>
        </w:tc>
      </w:tr>
      <w:tr w:rsidR="00554D1A" w:rsidRPr="000540E1" w14:paraId="6BE37DBC" w14:textId="77777777" w:rsidTr="007135CA">
        <w:trPr>
          <w:cantSplit/>
          <w:trHeight w:val="409"/>
        </w:trPr>
        <w:tc>
          <w:tcPr>
            <w:tcW w:w="1587" w:type="dxa"/>
            <w:vAlign w:val="center"/>
          </w:tcPr>
          <w:p w14:paraId="12EDB503" w14:textId="00CDD0C6" w:rsidR="00C565D7" w:rsidRPr="000540E1" w:rsidRDefault="00C565D7" w:rsidP="00C565D7">
            <w:pPr>
              <w:pStyle w:val="tbltext"/>
            </w:pPr>
            <w:r w:rsidRPr="008E2393">
              <w:t>Responsible entities</w:t>
            </w:r>
          </w:p>
        </w:tc>
        <w:tc>
          <w:tcPr>
            <w:tcW w:w="1191" w:type="dxa"/>
            <w:vAlign w:val="center"/>
          </w:tcPr>
          <w:p w14:paraId="4445DDC0" w14:textId="72CEE477" w:rsidR="00C565D7" w:rsidRPr="000540E1" w:rsidRDefault="00C565D7" w:rsidP="00C565D7">
            <w:pPr>
              <w:pStyle w:val="tbltext"/>
            </w:pPr>
            <w:r w:rsidRPr="008E2393">
              <w:t>490</w:t>
            </w:r>
          </w:p>
        </w:tc>
        <w:tc>
          <w:tcPr>
            <w:tcW w:w="1984" w:type="dxa"/>
            <w:vAlign w:val="center"/>
          </w:tcPr>
          <w:p w14:paraId="4758E84A" w14:textId="061F8D57" w:rsidR="00C565D7" w:rsidRPr="000540E1" w:rsidRDefault="00C565D7" w:rsidP="009B3268">
            <w:pPr>
              <w:pStyle w:val="tbltext"/>
            </w:pPr>
            <w:r w:rsidRPr="008E2393">
              <w:t>$7,000 for FUM less than $10 million</w:t>
            </w:r>
          </w:p>
        </w:tc>
        <w:tc>
          <w:tcPr>
            <w:tcW w:w="2891" w:type="dxa"/>
            <w:vAlign w:val="center"/>
          </w:tcPr>
          <w:p w14:paraId="38D43B0C" w14:textId="037DF509" w:rsidR="00C565D7" w:rsidRPr="000540E1" w:rsidRDefault="00C565D7" w:rsidP="002D57C4">
            <w:pPr>
              <w:pStyle w:val="tbltext"/>
            </w:pPr>
            <w:r>
              <w:t xml:space="preserve">$7,000 plus </w:t>
            </w:r>
            <w:r w:rsidRPr="008E2393">
              <w:t>$0.24 per $10,000 of FUM greater than $10 million</w:t>
            </w:r>
          </w:p>
        </w:tc>
        <w:tc>
          <w:tcPr>
            <w:tcW w:w="1417" w:type="dxa"/>
            <w:vAlign w:val="center"/>
          </w:tcPr>
          <w:p w14:paraId="40E9FEDF" w14:textId="122E171D" w:rsidR="00C565D7" w:rsidRPr="000540E1" w:rsidRDefault="00C565D7" w:rsidP="002D57C4">
            <w:pPr>
              <w:pStyle w:val="tbltext"/>
            </w:pPr>
            <w:r>
              <w:t>$23.5 million</w:t>
            </w:r>
          </w:p>
        </w:tc>
      </w:tr>
    </w:tbl>
    <w:p w14:paraId="18FF7369" w14:textId="74931CD7" w:rsidR="0070410E" w:rsidRDefault="0070410E" w:rsidP="0070410E">
      <w:pPr>
        <w:pStyle w:val="BodyText"/>
      </w:pPr>
      <w:r>
        <w:t>The</w:t>
      </w:r>
      <w:r w:rsidR="00F65426">
        <w:t xml:space="preserve"> proposed</w:t>
      </w:r>
      <w:r>
        <w:t xml:space="preserve"> minimum levy for </w:t>
      </w:r>
      <w:r w:rsidR="002D0DA3">
        <w:t>r</w:t>
      </w:r>
      <w:r>
        <w:t xml:space="preserve">esponsible </w:t>
      </w:r>
      <w:r w:rsidR="002D0DA3">
        <w:t>e</w:t>
      </w:r>
      <w:r>
        <w:t xml:space="preserve">ntities has been lowered relative to the levy presented in the August 2015 consultation paper. This levy reflects stakeholder feedback that a higher minimum levy would disproportionally impact smaller responsible entities and would be a relatively high barrier to entry. </w:t>
      </w:r>
    </w:p>
    <w:p w14:paraId="1AFB4B74" w14:textId="10E00BAA" w:rsidR="0070410E" w:rsidRPr="008E2393" w:rsidRDefault="0070410E" w:rsidP="0070410E">
      <w:pPr>
        <w:pStyle w:val="BodyText"/>
      </w:pPr>
      <w:r w:rsidRPr="008E2393">
        <w:t xml:space="preserve">The August 2015 consultation paper sought feedback on two options to recover costs from superannuation trustees and </w:t>
      </w:r>
      <w:r w:rsidR="002D0DA3">
        <w:t>r</w:t>
      </w:r>
      <w:r w:rsidRPr="008E2393">
        <w:t xml:space="preserve">esponsible </w:t>
      </w:r>
      <w:r w:rsidR="002D0DA3">
        <w:t>e</w:t>
      </w:r>
      <w:r w:rsidRPr="008E2393">
        <w:t>ntities — a three tiered levy model based on the range of FUM held by the entity, or a graduated levy model based on FUM of the entity with a minimum and maximum levy.</w:t>
      </w:r>
    </w:p>
    <w:p w14:paraId="358A5F7B" w14:textId="77777777" w:rsidR="0070410E" w:rsidRPr="008E2393" w:rsidRDefault="0070410E" w:rsidP="0070410E">
      <w:pPr>
        <w:pStyle w:val="BodyText"/>
      </w:pPr>
      <w:r w:rsidRPr="008E2393">
        <w:t>Submissions preferred a graduated levy approach as it will spread costs more equitably between small and large entities and a graduated model ensures entities will not be subject to a large increase in their levy if they cross a specific threshold. Submissions note the move from one tier to the next could distort decisions in the market.</w:t>
      </w:r>
    </w:p>
    <w:p w14:paraId="187DD052" w14:textId="7E2C2A82" w:rsidR="0070410E" w:rsidRDefault="0070410E" w:rsidP="0070410E">
      <w:pPr>
        <w:pStyle w:val="BodyText"/>
      </w:pPr>
      <w:r w:rsidRPr="008E2393">
        <w:t xml:space="preserve">Submissions also opposed a maximum cap on levies as large institutions that hold the majority of FUM present systemic risk and should not have a </w:t>
      </w:r>
      <w:r w:rsidR="002D0DA3">
        <w:t xml:space="preserve">maximum </w:t>
      </w:r>
      <w:r w:rsidRPr="008E2393">
        <w:t xml:space="preserve">cap applied. </w:t>
      </w:r>
    </w:p>
    <w:p w14:paraId="6126DFA1" w14:textId="4EFB2E2C" w:rsidR="00984FBC" w:rsidRDefault="00984FBC" w:rsidP="000B5B80">
      <w:pPr>
        <w:pStyle w:val="Heading4"/>
      </w:pPr>
      <w:r>
        <w:t xml:space="preserve">Asia Region Funds Passport </w:t>
      </w:r>
      <w:r w:rsidR="00874F09">
        <w:t>and</w:t>
      </w:r>
      <w:r>
        <w:t xml:space="preserve"> Collective Investment Vehicles</w:t>
      </w:r>
    </w:p>
    <w:p w14:paraId="2307C255" w14:textId="00EC9C1F" w:rsidR="0070410E" w:rsidRDefault="0070410E" w:rsidP="000B5B80">
      <w:pPr>
        <w:pStyle w:val="BodyText"/>
        <w:rPr>
          <w:rFonts w:ascii="Arial" w:hAnsi="Arial"/>
          <w:b/>
          <w:sz w:val="20"/>
        </w:rPr>
      </w:pPr>
      <w:r>
        <w:t>ASIC proposes that entities operating under the Asia Region Funds Passport or Collective Investment Vehicles proposed init</w:t>
      </w:r>
      <w:r w:rsidR="002D0DA3">
        <w:t>iatives will be subject to the r</w:t>
      </w:r>
      <w:r>
        <w:t xml:space="preserve">esponsible </w:t>
      </w:r>
      <w:r w:rsidR="002D0DA3">
        <w:t>e</w:t>
      </w:r>
      <w:r>
        <w:t>ntities levy</w:t>
      </w:r>
      <w:r w:rsidRPr="00B25C34">
        <w:t>.</w:t>
      </w:r>
      <w:r>
        <w:t xml:space="preserve"> </w:t>
      </w:r>
      <w:r w:rsidRPr="00B25C34">
        <w:t xml:space="preserve">In future, a </w:t>
      </w:r>
      <w:r>
        <w:t xml:space="preserve">separate </w:t>
      </w:r>
      <w:r w:rsidRPr="00B25C34">
        <w:t xml:space="preserve">levy may be </w:t>
      </w:r>
      <w:r>
        <w:t xml:space="preserve">introduced </w:t>
      </w:r>
      <w:r w:rsidRPr="00B25C34">
        <w:t>for</w:t>
      </w:r>
      <w:r>
        <w:t xml:space="preserve"> entities operating under these provisions, if ASIC</w:t>
      </w:r>
      <w:r w:rsidR="0003187F">
        <w:t>’</w:t>
      </w:r>
      <w:r>
        <w:t xml:space="preserve">s regulatory effort is demonstrably different to the effort required to regulate </w:t>
      </w:r>
      <w:r w:rsidR="002D0DA3">
        <w:t>r</w:t>
      </w:r>
      <w:r>
        <w:t xml:space="preserve">esponsible </w:t>
      </w:r>
      <w:r w:rsidR="002D0DA3">
        <w:t>e</w:t>
      </w:r>
      <w:r>
        <w:t>ntities</w:t>
      </w:r>
      <w:r w:rsidRPr="00B25C34">
        <w:t>.</w:t>
      </w:r>
    </w:p>
    <w:p w14:paraId="6EADC750" w14:textId="77777777" w:rsidR="006F6EEA" w:rsidRPr="008E2393" w:rsidRDefault="006F6EEA" w:rsidP="00A41F54">
      <w:pPr>
        <w:pStyle w:val="Heading3"/>
      </w:pPr>
      <w:bookmarkStart w:id="241" w:name="_Toc462677706"/>
      <w:bookmarkStart w:id="242" w:name="_Toc462697148"/>
      <w:bookmarkStart w:id="243" w:name="_Toc462698959"/>
      <w:bookmarkStart w:id="244" w:name="_Toc462700195"/>
      <w:bookmarkStart w:id="245" w:name="_Toc462700876"/>
      <w:r w:rsidRPr="008E2393">
        <w:t>Wholesale trustees and operators of an IDPS</w:t>
      </w:r>
      <w:bookmarkEnd w:id="241"/>
      <w:bookmarkEnd w:id="242"/>
      <w:bookmarkEnd w:id="243"/>
      <w:bookmarkEnd w:id="244"/>
      <w:bookmarkEnd w:id="245"/>
    </w:p>
    <w:p w14:paraId="1BC43769" w14:textId="6C52FBAB" w:rsidR="006F6EEA" w:rsidRPr="008E2393" w:rsidRDefault="006F6EEA" w:rsidP="006F6EEA">
      <w:pPr>
        <w:pStyle w:val="BodyText"/>
      </w:pPr>
      <w:r w:rsidRPr="008E2393">
        <w:t>For wholesale trustees</w:t>
      </w:r>
      <w:r w:rsidR="00F65426">
        <w:t>,</w:t>
      </w:r>
      <w:r w:rsidRPr="008E2393">
        <w:t xml:space="preserve"> a flat levy is proposed in 2017</w:t>
      </w:r>
      <w:r>
        <w:t>–</w:t>
      </w:r>
      <w:r w:rsidRPr="008E2393">
        <w:t>18</w:t>
      </w:r>
      <w:r w:rsidR="00984FBC">
        <w:t>. I</w:t>
      </w:r>
      <w:r w:rsidRPr="008E2393">
        <w:t>n 2018</w:t>
      </w:r>
      <w:r>
        <w:t>–</w:t>
      </w:r>
      <w:r w:rsidRPr="008E2393">
        <w:t>19</w:t>
      </w:r>
      <w:r w:rsidR="00F65426">
        <w:t>,</w:t>
      </w:r>
      <w:r w:rsidRPr="008E2393">
        <w:t xml:space="preserve"> it is proposed that a graduated levy</w:t>
      </w:r>
      <w:r w:rsidR="00984FBC">
        <w:t xml:space="preserve"> will apply</w:t>
      </w:r>
      <w:r w:rsidRPr="008E2393">
        <w:t xml:space="preserve"> based on FUM with a minimum levy payable by all wholesale trustees. </w:t>
      </w:r>
      <w:r w:rsidR="00F65426">
        <w:t>If a</w:t>
      </w:r>
      <w:r w:rsidRPr="008E2393">
        <w:t xml:space="preserve"> graduated levy</w:t>
      </w:r>
      <w:r w:rsidR="00F65426">
        <w:t xml:space="preserve"> is adopted, this</w:t>
      </w:r>
      <w:r w:rsidRPr="008E2393">
        <w:t xml:space="preserve"> would impose a new reporting requirement on wholesale trustees to report FUM to ASIC.</w:t>
      </w:r>
    </w:p>
    <w:p w14:paraId="5792CA2B" w14:textId="424A0FE0" w:rsidR="00C565D7" w:rsidRDefault="00C565D7"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16</w:t>
      </w:r>
      <w:r w:rsidR="003D3E81">
        <w:rPr>
          <w:noProof/>
        </w:rPr>
        <w:fldChar w:fldCharType="end"/>
      </w:r>
      <w:r>
        <w:t>:</w:t>
      </w:r>
      <w:r>
        <w:tab/>
      </w:r>
      <w:r w:rsidR="009B3268" w:rsidRPr="008E2393">
        <w:t>Proposed levy arrangements – Wholesale trustees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31"/>
        <w:gridCol w:w="1814"/>
        <w:gridCol w:w="1814"/>
        <w:gridCol w:w="2381"/>
        <w:gridCol w:w="1587"/>
      </w:tblGrid>
      <w:tr w:rsidR="00C565D7" w:rsidRPr="000540E1" w14:paraId="6DBBC7C4" w14:textId="77777777" w:rsidTr="007135CA">
        <w:trPr>
          <w:cantSplit/>
          <w:tblHeader/>
        </w:trPr>
        <w:tc>
          <w:tcPr>
            <w:tcW w:w="1531" w:type="dxa"/>
            <w:shd w:val="clear" w:color="auto" w:fill="C2E3FA"/>
          </w:tcPr>
          <w:p w14:paraId="3562A90A" w14:textId="47BF7AC0" w:rsidR="00C565D7" w:rsidRPr="000540E1" w:rsidRDefault="009B3268" w:rsidP="002D57C4">
            <w:pPr>
              <w:pStyle w:val="tablehead"/>
            </w:pPr>
            <w:r>
              <w:t>Financial year</w:t>
            </w:r>
          </w:p>
        </w:tc>
        <w:tc>
          <w:tcPr>
            <w:tcW w:w="1814" w:type="dxa"/>
            <w:shd w:val="clear" w:color="auto" w:fill="C2E3FA"/>
          </w:tcPr>
          <w:p w14:paraId="24FBC12C" w14:textId="2A195CA8" w:rsidR="00C565D7" w:rsidRPr="000540E1" w:rsidRDefault="009B3268" w:rsidP="002D57C4">
            <w:pPr>
              <w:pStyle w:val="tablehead"/>
            </w:pPr>
            <w:r>
              <w:t>Subsector</w:t>
            </w:r>
          </w:p>
        </w:tc>
        <w:tc>
          <w:tcPr>
            <w:tcW w:w="1814" w:type="dxa"/>
            <w:shd w:val="clear" w:color="auto" w:fill="C2E3FA"/>
          </w:tcPr>
          <w:p w14:paraId="692E74F9" w14:textId="6350B5FF" w:rsidR="00C565D7" w:rsidRPr="000540E1" w:rsidRDefault="009B3268" w:rsidP="002D57C4">
            <w:pPr>
              <w:pStyle w:val="tablehead"/>
            </w:pPr>
            <w:r>
              <w:t>Number of entities</w:t>
            </w:r>
          </w:p>
        </w:tc>
        <w:tc>
          <w:tcPr>
            <w:tcW w:w="2381" w:type="dxa"/>
            <w:shd w:val="clear" w:color="auto" w:fill="C2E3FA"/>
          </w:tcPr>
          <w:p w14:paraId="364A52F1" w14:textId="468DB4E0" w:rsidR="00C565D7" w:rsidRPr="000540E1" w:rsidRDefault="00F65426" w:rsidP="002D57C4">
            <w:pPr>
              <w:pStyle w:val="tablehead"/>
            </w:pPr>
            <w:r>
              <w:t>Proposed a</w:t>
            </w:r>
            <w:r w:rsidR="009B3268">
              <w:t>nnual levy</w:t>
            </w:r>
          </w:p>
        </w:tc>
        <w:tc>
          <w:tcPr>
            <w:tcW w:w="1587" w:type="dxa"/>
            <w:shd w:val="clear" w:color="auto" w:fill="C2E3FA"/>
          </w:tcPr>
          <w:p w14:paraId="5C5CC343" w14:textId="12BDB4D9" w:rsidR="00C565D7" w:rsidRPr="000540E1" w:rsidRDefault="009B3268" w:rsidP="002D57C4">
            <w:pPr>
              <w:pStyle w:val="tablehead"/>
            </w:pPr>
            <w:r>
              <w:t>Amount to be recovered</w:t>
            </w:r>
          </w:p>
        </w:tc>
      </w:tr>
      <w:tr w:rsidR="009B3268" w:rsidRPr="000540E1" w14:paraId="1B3441FC" w14:textId="77777777" w:rsidTr="007135CA">
        <w:trPr>
          <w:cantSplit/>
        </w:trPr>
        <w:tc>
          <w:tcPr>
            <w:tcW w:w="1531" w:type="dxa"/>
            <w:vAlign w:val="center"/>
          </w:tcPr>
          <w:p w14:paraId="57EB8FA8" w14:textId="331FE480" w:rsidR="009B3268" w:rsidRPr="000540E1" w:rsidRDefault="009B3268" w:rsidP="009B3268">
            <w:pPr>
              <w:pStyle w:val="tbltext"/>
            </w:pPr>
            <w:r w:rsidRPr="008E2393">
              <w:t>2017</w:t>
            </w:r>
            <w:r w:rsidR="00D11144">
              <w:t>–</w:t>
            </w:r>
            <w:r w:rsidRPr="008E2393">
              <w:t>18</w:t>
            </w:r>
          </w:p>
        </w:tc>
        <w:tc>
          <w:tcPr>
            <w:tcW w:w="1814" w:type="dxa"/>
            <w:vAlign w:val="center"/>
          </w:tcPr>
          <w:p w14:paraId="02F2F7A0" w14:textId="2FB3818C" w:rsidR="009B3268" w:rsidRPr="000540E1" w:rsidRDefault="009B3268" w:rsidP="009B3268">
            <w:pPr>
              <w:pStyle w:val="tbltext"/>
            </w:pPr>
            <w:r>
              <w:t>Wholesale trustees</w:t>
            </w:r>
          </w:p>
        </w:tc>
        <w:tc>
          <w:tcPr>
            <w:tcW w:w="1814" w:type="dxa"/>
            <w:vAlign w:val="center"/>
          </w:tcPr>
          <w:p w14:paraId="3E127590" w14:textId="147D9BF9" w:rsidR="009B3268" w:rsidRPr="000540E1" w:rsidRDefault="009B3268" w:rsidP="009B3268">
            <w:pPr>
              <w:pStyle w:val="tbltext"/>
            </w:pPr>
            <w:r>
              <w:t>1,749</w:t>
            </w:r>
          </w:p>
        </w:tc>
        <w:tc>
          <w:tcPr>
            <w:tcW w:w="2381" w:type="dxa"/>
            <w:vAlign w:val="center"/>
          </w:tcPr>
          <w:p w14:paraId="6534F73F" w14:textId="31D55734" w:rsidR="009B3268" w:rsidRPr="000540E1" w:rsidRDefault="009B3268" w:rsidP="009B3268">
            <w:pPr>
              <w:pStyle w:val="tbltext"/>
            </w:pPr>
            <w:r w:rsidRPr="008E2393">
              <w:t>$8,000 flat levy</w:t>
            </w:r>
            <w:r>
              <w:t>*</w:t>
            </w:r>
          </w:p>
        </w:tc>
        <w:tc>
          <w:tcPr>
            <w:tcW w:w="1587" w:type="dxa"/>
            <w:vAlign w:val="center"/>
          </w:tcPr>
          <w:p w14:paraId="3BFE05E0" w14:textId="607F451F" w:rsidR="009B3268" w:rsidRPr="000540E1" w:rsidRDefault="009B3268" w:rsidP="009B3268">
            <w:pPr>
              <w:pStyle w:val="tbltext"/>
            </w:pPr>
            <w:r>
              <w:t>$13.8 million</w:t>
            </w:r>
          </w:p>
        </w:tc>
      </w:tr>
      <w:tr w:rsidR="009B3268" w:rsidRPr="000540E1" w14:paraId="54F0CF66" w14:textId="77777777" w:rsidTr="007135CA">
        <w:trPr>
          <w:cantSplit/>
        </w:trPr>
        <w:tc>
          <w:tcPr>
            <w:tcW w:w="1531" w:type="dxa"/>
            <w:vAlign w:val="center"/>
          </w:tcPr>
          <w:p w14:paraId="3ED431B2" w14:textId="02E3206D" w:rsidR="009B3268" w:rsidRPr="000540E1" w:rsidRDefault="009B3268" w:rsidP="009B3268">
            <w:pPr>
              <w:pStyle w:val="tbltext"/>
            </w:pPr>
            <w:r w:rsidRPr="008E2393">
              <w:t>2018</w:t>
            </w:r>
            <w:r w:rsidR="00D11144">
              <w:t>–</w:t>
            </w:r>
            <w:r w:rsidRPr="008E2393">
              <w:t>19</w:t>
            </w:r>
          </w:p>
        </w:tc>
        <w:tc>
          <w:tcPr>
            <w:tcW w:w="1814" w:type="dxa"/>
            <w:vAlign w:val="center"/>
          </w:tcPr>
          <w:p w14:paraId="6D8348A3" w14:textId="431D6DD3" w:rsidR="009B3268" w:rsidRPr="000540E1" w:rsidRDefault="009B3268" w:rsidP="009B3268">
            <w:pPr>
              <w:pStyle w:val="tbltext"/>
            </w:pPr>
            <w:r>
              <w:t>Wholesale trustees</w:t>
            </w:r>
          </w:p>
        </w:tc>
        <w:tc>
          <w:tcPr>
            <w:tcW w:w="1814" w:type="dxa"/>
            <w:vAlign w:val="center"/>
          </w:tcPr>
          <w:p w14:paraId="60868049" w14:textId="5B0B20DA" w:rsidR="009B3268" w:rsidRPr="000540E1" w:rsidRDefault="009B3268" w:rsidP="009B3268">
            <w:pPr>
              <w:pStyle w:val="tbltext"/>
            </w:pPr>
            <w:r>
              <w:t>N/A</w:t>
            </w:r>
          </w:p>
        </w:tc>
        <w:tc>
          <w:tcPr>
            <w:tcW w:w="2381" w:type="dxa"/>
            <w:vAlign w:val="center"/>
          </w:tcPr>
          <w:p w14:paraId="22F46017" w14:textId="54F825EF" w:rsidR="009B3268" w:rsidRPr="000540E1" w:rsidRDefault="009B3268" w:rsidP="009B3268">
            <w:pPr>
              <w:pStyle w:val="tbltext"/>
            </w:pPr>
            <w:r w:rsidRPr="008E2393">
              <w:t xml:space="preserve">Graduated based on FUM with a minimum levy </w:t>
            </w:r>
          </w:p>
        </w:tc>
        <w:tc>
          <w:tcPr>
            <w:tcW w:w="1587" w:type="dxa"/>
            <w:vAlign w:val="center"/>
          </w:tcPr>
          <w:p w14:paraId="14171798" w14:textId="4ED41A64" w:rsidR="009B3268" w:rsidRPr="000540E1" w:rsidRDefault="009B3268" w:rsidP="009B3268">
            <w:pPr>
              <w:pStyle w:val="tbltext"/>
            </w:pPr>
            <w:r>
              <w:t>N/A</w:t>
            </w:r>
          </w:p>
        </w:tc>
      </w:tr>
    </w:tbl>
    <w:p w14:paraId="5D7EE577" w14:textId="744B28C5" w:rsidR="00C565D7" w:rsidRDefault="009B3268" w:rsidP="002D57C4">
      <w:pPr>
        <w:pStyle w:val="sourcenotefullwidth"/>
      </w:pPr>
      <w:r>
        <w:t>* Annual levy amount has been rounded.</w:t>
      </w:r>
      <w:r w:rsidR="00C565D7">
        <w:t xml:space="preserve"> </w:t>
      </w:r>
    </w:p>
    <w:p w14:paraId="4D3E6B78" w14:textId="77777777" w:rsidR="006F6EEA" w:rsidRDefault="006F6EEA">
      <w:pPr>
        <w:spacing w:after="0"/>
        <w:rPr>
          <w:rFonts w:ascii="Arial" w:hAnsi="Arial" w:cs="Arial"/>
          <w:b/>
          <w:sz w:val="20"/>
        </w:rPr>
      </w:pPr>
    </w:p>
    <w:p w14:paraId="2D89509C" w14:textId="6AA1C0D4" w:rsidR="006F6EEA" w:rsidRDefault="006F6EEA" w:rsidP="006F6EEA">
      <w:pPr>
        <w:pStyle w:val="BodyText"/>
      </w:pPr>
      <w:bookmarkStart w:id="246" w:name="_Toc152037863"/>
      <w:bookmarkStart w:id="247" w:name="_Toc158520483"/>
      <w:bookmarkStart w:id="248" w:name="_Toc164436801"/>
      <w:bookmarkStart w:id="249" w:name="_Toc164465188"/>
      <w:r w:rsidRPr="008E2393">
        <w:t>For operators of an IDPS</w:t>
      </w:r>
      <w:r w:rsidR="00F65426">
        <w:t>,</w:t>
      </w:r>
      <w:r w:rsidRPr="008E2393">
        <w:t xml:space="preserve"> a flat levy is proposed in 2017</w:t>
      </w:r>
      <w:r>
        <w:t>–</w:t>
      </w:r>
      <w:r w:rsidRPr="008E2393">
        <w:t>18</w:t>
      </w:r>
      <w:r w:rsidR="00984FBC">
        <w:t>.</w:t>
      </w:r>
      <w:r w:rsidR="00984FBC" w:rsidRPr="008E2393" w:rsidDel="00984FBC">
        <w:t xml:space="preserve"> </w:t>
      </w:r>
      <w:r w:rsidR="00984FBC">
        <w:t>I</w:t>
      </w:r>
      <w:r w:rsidRPr="008E2393">
        <w:t>n 2018</w:t>
      </w:r>
      <w:r>
        <w:t>–</w:t>
      </w:r>
      <w:r w:rsidRPr="008E2393">
        <w:t>19</w:t>
      </w:r>
      <w:r w:rsidR="00F65426">
        <w:t>, it is proposed that</w:t>
      </w:r>
      <w:r w:rsidRPr="008E2393">
        <w:t xml:space="preserve"> a graduated levy </w:t>
      </w:r>
      <w:r w:rsidR="00984FBC">
        <w:t xml:space="preserve">will apply </w:t>
      </w:r>
      <w:r w:rsidRPr="008E2393">
        <w:t xml:space="preserve">based on revenue from </w:t>
      </w:r>
      <w:r>
        <w:t>IDPS</w:t>
      </w:r>
      <w:r w:rsidRPr="008E2393">
        <w:t xml:space="preserve"> activity with a minimum levy payable by all operators</w:t>
      </w:r>
      <w:r w:rsidR="00984FBC">
        <w:t xml:space="preserve"> of an IDPS</w:t>
      </w:r>
      <w:r w:rsidRPr="008E2393">
        <w:t xml:space="preserve">. </w:t>
      </w:r>
      <w:r w:rsidR="00BC1123">
        <w:t xml:space="preserve">If a </w:t>
      </w:r>
      <w:r w:rsidRPr="008E2393">
        <w:t>graduated levy</w:t>
      </w:r>
      <w:r w:rsidR="00BC1123">
        <w:t xml:space="preserve"> is adopted, this</w:t>
      </w:r>
      <w:r w:rsidRPr="008E2393">
        <w:t xml:space="preserve"> would impose a new reporting requirement for operators of </w:t>
      </w:r>
      <w:r>
        <w:t xml:space="preserve">an </w:t>
      </w:r>
      <w:r w:rsidRPr="008E2393">
        <w:t>IDPS to report revenue from IDPS activity separately to ASIC.</w:t>
      </w:r>
    </w:p>
    <w:p w14:paraId="7D993787" w14:textId="460A5850" w:rsidR="009B3268" w:rsidRDefault="009B3268"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17</w:t>
      </w:r>
      <w:r w:rsidR="003D3E81">
        <w:rPr>
          <w:noProof/>
        </w:rPr>
        <w:fldChar w:fldCharType="end"/>
      </w:r>
      <w:r>
        <w:t>:</w:t>
      </w:r>
      <w:r>
        <w:tab/>
      </w:r>
      <w:r w:rsidRPr="008E2393">
        <w:t xml:space="preserve">Proposed levy arrangements – </w:t>
      </w:r>
      <w:r>
        <w:t>Operators of an IDPS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31"/>
        <w:gridCol w:w="1814"/>
        <w:gridCol w:w="1814"/>
        <w:gridCol w:w="2381"/>
        <w:gridCol w:w="1587"/>
      </w:tblGrid>
      <w:tr w:rsidR="009B3268" w:rsidRPr="000540E1" w14:paraId="252A1BF9" w14:textId="77777777" w:rsidTr="007135CA">
        <w:trPr>
          <w:cantSplit/>
          <w:tblHeader/>
        </w:trPr>
        <w:tc>
          <w:tcPr>
            <w:tcW w:w="1531" w:type="dxa"/>
            <w:shd w:val="clear" w:color="auto" w:fill="C2E3FA"/>
          </w:tcPr>
          <w:p w14:paraId="6C2C74D9" w14:textId="77777777" w:rsidR="009B3268" w:rsidRPr="000540E1" w:rsidRDefault="009B3268" w:rsidP="002D57C4">
            <w:pPr>
              <w:pStyle w:val="tablehead"/>
            </w:pPr>
            <w:r>
              <w:t>Financial year</w:t>
            </w:r>
          </w:p>
        </w:tc>
        <w:tc>
          <w:tcPr>
            <w:tcW w:w="1814" w:type="dxa"/>
            <w:shd w:val="clear" w:color="auto" w:fill="C2E3FA"/>
          </w:tcPr>
          <w:p w14:paraId="008B95DB" w14:textId="77777777" w:rsidR="009B3268" w:rsidRPr="000540E1" w:rsidRDefault="009B3268" w:rsidP="002D57C4">
            <w:pPr>
              <w:pStyle w:val="tablehead"/>
            </w:pPr>
            <w:r>
              <w:t>Subsector</w:t>
            </w:r>
          </w:p>
        </w:tc>
        <w:tc>
          <w:tcPr>
            <w:tcW w:w="1814" w:type="dxa"/>
            <w:shd w:val="clear" w:color="auto" w:fill="C2E3FA"/>
          </w:tcPr>
          <w:p w14:paraId="0600B121" w14:textId="77777777" w:rsidR="009B3268" w:rsidRPr="000540E1" w:rsidRDefault="009B3268" w:rsidP="002D57C4">
            <w:pPr>
              <w:pStyle w:val="tablehead"/>
            </w:pPr>
            <w:r>
              <w:t>Number of entities</w:t>
            </w:r>
          </w:p>
        </w:tc>
        <w:tc>
          <w:tcPr>
            <w:tcW w:w="2381" w:type="dxa"/>
            <w:shd w:val="clear" w:color="auto" w:fill="C2E3FA"/>
          </w:tcPr>
          <w:p w14:paraId="6397E5CD" w14:textId="5A6F65E6" w:rsidR="009B3268" w:rsidRPr="000540E1" w:rsidRDefault="00BC1123" w:rsidP="002D57C4">
            <w:pPr>
              <w:pStyle w:val="tablehead"/>
            </w:pPr>
            <w:r>
              <w:t>Proposed a</w:t>
            </w:r>
            <w:r w:rsidR="009B3268">
              <w:t>nnual levy</w:t>
            </w:r>
          </w:p>
        </w:tc>
        <w:tc>
          <w:tcPr>
            <w:tcW w:w="1587" w:type="dxa"/>
            <w:shd w:val="clear" w:color="auto" w:fill="C2E3FA"/>
          </w:tcPr>
          <w:p w14:paraId="5557D242" w14:textId="77777777" w:rsidR="009B3268" w:rsidRPr="000540E1" w:rsidRDefault="009B3268" w:rsidP="002D57C4">
            <w:pPr>
              <w:pStyle w:val="tablehead"/>
            </w:pPr>
            <w:r>
              <w:t>Amount to be recovered</w:t>
            </w:r>
          </w:p>
        </w:tc>
      </w:tr>
      <w:tr w:rsidR="009B3268" w:rsidRPr="000540E1" w14:paraId="7F0507E0" w14:textId="77777777" w:rsidTr="007135CA">
        <w:trPr>
          <w:cantSplit/>
        </w:trPr>
        <w:tc>
          <w:tcPr>
            <w:tcW w:w="1531" w:type="dxa"/>
            <w:vAlign w:val="center"/>
          </w:tcPr>
          <w:p w14:paraId="01882841" w14:textId="18981C0D" w:rsidR="009B3268" w:rsidRPr="000540E1" w:rsidRDefault="009B3268" w:rsidP="009B3268">
            <w:pPr>
              <w:pStyle w:val="tbltext"/>
            </w:pPr>
            <w:r w:rsidRPr="008E2393">
              <w:t>2017</w:t>
            </w:r>
            <w:r w:rsidR="00D11144">
              <w:t>–</w:t>
            </w:r>
            <w:r w:rsidRPr="008E2393">
              <w:t>18</w:t>
            </w:r>
          </w:p>
        </w:tc>
        <w:tc>
          <w:tcPr>
            <w:tcW w:w="1814" w:type="dxa"/>
            <w:vAlign w:val="center"/>
          </w:tcPr>
          <w:p w14:paraId="5F7CF5DE" w14:textId="2F681CB9" w:rsidR="009B3268" w:rsidRPr="000540E1" w:rsidRDefault="009B3268" w:rsidP="009B3268">
            <w:pPr>
              <w:pStyle w:val="tbltext"/>
            </w:pPr>
            <w:r w:rsidRPr="008E2393">
              <w:t>Operators of an IDPS</w:t>
            </w:r>
          </w:p>
        </w:tc>
        <w:tc>
          <w:tcPr>
            <w:tcW w:w="1814" w:type="dxa"/>
            <w:vAlign w:val="center"/>
          </w:tcPr>
          <w:p w14:paraId="57F11E97" w14:textId="4822B681" w:rsidR="009B3268" w:rsidRPr="000540E1" w:rsidRDefault="009B3268" w:rsidP="009B3268">
            <w:pPr>
              <w:pStyle w:val="tbltext"/>
            </w:pPr>
            <w:r>
              <w:t>35</w:t>
            </w:r>
          </w:p>
        </w:tc>
        <w:tc>
          <w:tcPr>
            <w:tcW w:w="2381" w:type="dxa"/>
            <w:vAlign w:val="center"/>
          </w:tcPr>
          <w:p w14:paraId="582F5D19" w14:textId="76C04FC5" w:rsidR="009B3268" w:rsidRPr="000540E1" w:rsidRDefault="009B3268" w:rsidP="009B3268">
            <w:pPr>
              <w:pStyle w:val="tbltext"/>
            </w:pPr>
            <w:r w:rsidRPr="008E2393">
              <w:t>$47,000 flat levy</w:t>
            </w:r>
            <w:r>
              <w:t>*</w:t>
            </w:r>
          </w:p>
        </w:tc>
        <w:tc>
          <w:tcPr>
            <w:tcW w:w="1587" w:type="dxa"/>
            <w:vAlign w:val="center"/>
          </w:tcPr>
          <w:p w14:paraId="2C13648C" w14:textId="1C3B2906" w:rsidR="009B3268" w:rsidRPr="00B56267" w:rsidRDefault="009B3268" w:rsidP="002D57C4">
            <w:pPr>
              <w:pStyle w:val="tbltext"/>
              <w:rPr>
                <w:b/>
              </w:rPr>
            </w:pPr>
            <w:r>
              <w:t>$1.6 million</w:t>
            </w:r>
          </w:p>
        </w:tc>
      </w:tr>
      <w:tr w:rsidR="009B3268" w:rsidRPr="000540E1" w14:paraId="7B2FFE46" w14:textId="77777777" w:rsidTr="007135CA">
        <w:trPr>
          <w:cantSplit/>
        </w:trPr>
        <w:tc>
          <w:tcPr>
            <w:tcW w:w="1531" w:type="dxa"/>
            <w:vAlign w:val="center"/>
          </w:tcPr>
          <w:p w14:paraId="7F0C2557" w14:textId="1E4127E3" w:rsidR="009B3268" w:rsidRPr="000540E1" w:rsidRDefault="009B3268" w:rsidP="002D57C4">
            <w:pPr>
              <w:pStyle w:val="tbltext"/>
            </w:pPr>
            <w:r w:rsidRPr="008E2393">
              <w:t>2018</w:t>
            </w:r>
            <w:r w:rsidR="00D11144">
              <w:t>–</w:t>
            </w:r>
            <w:r w:rsidRPr="008E2393">
              <w:t>19</w:t>
            </w:r>
          </w:p>
        </w:tc>
        <w:tc>
          <w:tcPr>
            <w:tcW w:w="1814" w:type="dxa"/>
            <w:vAlign w:val="center"/>
          </w:tcPr>
          <w:p w14:paraId="10017C4F" w14:textId="40B841AC" w:rsidR="009B3268" w:rsidRPr="000540E1" w:rsidRDefault="009B3268" w:rsidP="009B3268">
            <w:pPr>
              <w:pStyle w:val="tbltext"/>
            </w:pPr>
            <w:r w:rsidRPr="008E2393">
              <w:t>Operators of an IDPS</w:t>
            </w:r>
          </w:p>
        </w:tc>
        <w:tc>
          <w:tcPr>
            <w:tcW w:w="1814" w:type="dxa"/>
            <w:vAlign w:val="center"/>
          </w:tcPr>
          <w:p w14:paraId="240AA65D" w14:textId="77BC2F02" w:rsidR="009B3268" w:rsidRPr="000540E1" w:rsidRDefault="009B3268" w:rsidP="009B3268">
            <w:pPr>
              <w:pStyle w:val="tbltext"/>
            </w:pPr>
            <w:r>
              <w:t>N/A</w:t>
            </w:r>
          </w:p>
        </w:tc>
        <w:tc>
          <w:tcPr>
            <w:tcW w:w="2381" w:type="dxa"/>
            <w:vAlign w:val="center"/>
          </w:tcPr>
          <w:p w14:paraId="479CF216" w14:textId="09646387" w:rsidR="009B3268" w:rsidRPr="000540E1" w:rsidRDefault="009B3268" w:rsidP="009B3268">
            <w:pPr>
              <w:pStyle w:val="tbltext"/>
            </w:pPr>
            <w:r w:rsidRPr="008E2393">
              <w:t xml:space="preserve">Graduated based on revenue from IDPS activity with a minimum levy </w:t>
            </w:r>
          </w:p>
        </w:tc>
        <w:tc>
          <w:tcPr>
            <w:tcW w:w="1587" w:type="dxa"/>
            <w:vAlign w:val="center"/>
          </w:tcPr>
          <w:p w14:paraId="6B000796" w14:textId="6B4AF8FF" w:rsidR="009B3268" w:rsidRPr="000540E1" w:rsidRDefault="009B3268" w:rsidP="002D57C4">
            <w:pPr>
              <w:pStyle w:val="tbltext"/>
            </w:pPr>
            <w:r>
              <w:t>N/A</w:t>
            </w:r>
          </w:p>
        </w:tc>
      </w:tr>
    </w:tbl>
    <w:p w14:paraId="6999CDE5" w14:textId="7EE08454" w:rsidR="009B3268" w:rsidRDefault="009B3268" w:rsidP="002D57C4">
      <w:pPr>
        <w:pStyle w:val="sourcenotefullwidth"/>
      </w:pPr>
      <w:r>
        <w:t>* Annual levy amount has been rounded.</w:t>
      </w:r>
    </w:p>
    <w:p w14:paraId="1FADA319" w14:textId="77777777" w:rsidR="006F6EEA" w:rsidRPr="008E2393" w:rsidRDefault="006F6EEA" w:rsidP="006F6EEA">
      <w:pPr>
        <w:pStyle w:val="BodyText"/>
      </w:pPr>
      <w:r w:rsidRPr="008E2393">
        <w:t>The August 2015 consultation paper proposed a flat levy</w:t>
      </w:r>
      <w:r>
        <w:t xml:space="preserve"> of $1,700</w:t>
      </w:r>
      <w:r w:rsidRPr="008E2393">
        <w:t xml:space="preserve"> for wholesale trustees and a flat levy</w:t>
      </w:r>
      <w:r>
        <w:t xml:space="preserve"> of $30,000</w:t>
      </w:r>
      <w:r w:rsidRPr="008E2393">
        <w:t xml:space="preserve"> for operators of an IDPS. The flat levy proposed has increased because the base levy and levy per authorisation of $250 for AFS licensees have been removed and incorporated into the levies for the AFS licensee </w:t>
      </w:r>
      <w:r>
        <w:t>subsector</w:t>
      </w:r>
      <w:r w:rsidRPr="008E2393">
        <w:t xml:space="preserve">s under the model. A flat levy would reduce the reporting burden, however could mean some entities pay levies significantly higher or lower levies than the actual cost to regulate them. </w:t>
      </w:r>
    </w:p>
    <w:p w14:paraId="6356ACB4" w14:textId="77777777" w:rsidR="006F6EEA" w:rsidRPr="008E2393" w:rsidRDefault="006F6EEA" w:rsidP="006F6EEA">
      <w:pPr>
        <w:pStyle w:val="BodyText"/>
      </w:pPr>
      <w:r w:rsidRPr="008E2393">
        <w:t>Submissions showed an interest from stakeholders to have a graduated model apply more broadly in the model. This would ensure levies for entities are closely aligned to the level of supervision, however would increase complexity and the reporting burden in the model.</w:t>
      </w:r>
    </w:p>
    <w:p w14:paraId="0F2C5F31" w14:textId="77777777" w:rsidR="006F6EEA" w:rsidRPr="008E2393" w:rsidRDefault="006F6EEA" w:rsidP="006F6EEA">
      <w:pPr>
        <w:pStyle w:val="Heading3"/>
      </w:pPr>
      <w:bookmarkStart w:id="250" w:name="_Toc462677709"/>
      <w:bookmarkStart w:id="251" w:name="_Toc462697149"/>
      <w:bookmarkStart w:id="252" w:name="_Toc462698960"/>
      <w:bookmarkStart w:id="253" w:name="_Toc462700196"/>
      <w:bookmarkStart w:id="254" w:name="_Toc462700877"/>
      <w:r w:rsidRPr="008E2393">
        <w:t>Remaining subsectors</w:t>
      </w:r>
      <w:bookmarkEnd w:id="250"/>
      <w:bookmarkEnd w:id="251"/>
      <w:bookmarkEnd w:id="252"/>
      <w:bookmarkEnd w:id="253"/>
      <w:bookmarkEnd w:id="254"/>
    </w:p>
    <w:p w14:paraId="344CA08F" w14:textId="77777777" w:rsidR="006F6EEA" w:rsidRPr="008E2393" w:rsidRDefault="006F6EEA" w:rsidP="006F6EEA">
      <w:pPr>
        <w:pStyle w:val="BodyText"/>
      </w:pPr>
      <w:r>
        <w:t>Flat levies are proposed t</w:t>
      </w:r>
      <w:r w:rsidRPr="008E2393">
        <w:t>o recover the costs from the remaining subsectors of custodians, SMSF auditors, traditional trustee company service providers and MDA operators. This is consistent with the approach proposed in the August 2015 consultation paper.</w:t>
      </w:r>
    </w:p>
    <w:p w14:paraId="7AB86BE8" w14:textId="5181B156" w:rsidR="006F6EEA" w:rsidRPr="008E2393" w:rsidRDefault="006F6EEA" w:rsidP="006F6EEA">
      <w:pPr>
        <w:pStyle w:val="BodyText"/>
      </w:pPr>
      <w:r w:rsidRPr="008E2393">
        <w:t xml:space="preserve">A flat levy is proposed as a </w:t>
      </w:r>
      <w:r>
        <w:t xml:space="preserve">small </w:t>
      </w:r>
      <w:r w:rsidRPr="008E2393">
        <w:t xml:space="preserve">amount of ASIC’s </w:t>
      </w:r>
      <w:r>
        <w:t>regulatory effort is expended on</w:t>
      </w:r>
      <w:r w:rsidRPr="008E2393">
        <w:t xml:space="preserve"> these subsectors and a graduated levy would impose additional reporting burden and complexity which would exceed the benefits of a graduated model.</w:t>
      </w:r>
    </w:p>
    <w:p w14:paraId="10109AF2" w14:textId="77777777" w:rsidR="006F6EEA" w:rsidRDefault="006F6EEA" w:rsidP="006F6EEA">
      <w:pPr>
        <w:pStyle w:val="BodyText"/>
      </w:pPr>
      <w:r w:rsidRPr="008E2393">
        <w:t>Submissions did not raise concerns regarding the flat levies for these subsectors.</w:t>
      </w:r>
    </w:p>
    <w:p w14:paraId="15E1C083" w14:textId="15EAC65D" w:rsidR="002D57C4" w:rsidRDefault="002D57C4" w:rsidP="002D57C4">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18</w:t>
      </w:r>
      <w:r w:rsidR="003D3E81">
        <w:rPr>
          <w:noProof/>
        </w:rPr>
        <w:fldChar w:fldCharType="end"/>
      </w:r>
      <w:r>
        <w:t>:</w:t>
      </w:r>
      <w:r>
        <w:tab/>
      </w:r>
      <w:r w:rsidRPr="008E2393">
        <w:t xml:space="preserve">Investment management, superannuation and </w:t>
      </w:r>
      <w:r>
        <w:t>related</w:t>
      </w:r>
      <w:r w:rsidRPr="008E2393">
        <w:t xml:space="preserve"> </w:t>
      </w:r>
      <w:r>
        <w:t>services flat levy arrangements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231"/>
        <w:gridCol w:w="1984"/>
        <w:gridCol w:w="2268"/>
        <w:gridCol w:w="1644"/>
      </w:tblGrid>
      <w:tr w:rsidR="002D57C4" w:rsidRPr="000540E1" w14:paraId="3645C205" w14:textId="77777777" w:rsidTr="007135CA">
        <w:trPr>
          <w:cantSplit/>
          <w:tblHeader/>
        </w:trPr>
        <w:tc>
          <w:tcPr>
            <w:tcW w:w="3231" w:type="dxa"/>
            <w:shd w:val="clear" w:color="auto" w:fill="C2E3FA"/>
          </w:tcPr>
          <w:p w14:paraId="10A31119" w14:textId="4814D841" w:rsidR="002D57C4" w:rsidRPr="000540E1" w:rsidRDefault="002D57C4" w:rsidP="002D57C4">
            <w:pPr>
              <w:pStyle w:val="tablehead"/>
            </w:pPr>
            <w:r>
              <w:t>Subsector</w:t>
            </w:r>
          </w:p>
        </w:tc>
        <w:tc>
          <w:tcPr>
            <w:tcW w:w="1984" w:type="dxa"/>
            <w:shd w:val="clear" w:color="auto" w:fill="C2E3FA"/>
          </w:tcPr>
          <w:p w14:paraId="5AD3A5B3" w14:textId="1817D17F" w:rsidR="002D57C4" w:rsidRPr="000540E1" w:rsidRDefault="002D57C4" w:rsidP="002D57C4">
            <w:pPr>
              <w:pStyle w:val="tablehead"/>
            </w:pPr>
            <w:r>
              <w:t>Number of entities</w:t>
            </w:r>
          </w:p>
        </w:tc>
        <w:tc>
          <w:tcPr>
            <w:tcW w:w="2268" w:type="dxa"/>
            <w:shd w:val="clear" w:color="auto" w:fill="C2E3FA"/>
          </w:tcPr>
          <w:p w14:paraId="0488B805" w14:textId="7EA4FD12" w:rsidR="002D57C4" w:rsidRPr="000540E1" w:rsidRDefault="00BC1123" w:rsidP="002D57C4">
            <w:pPr>
              <w:pStyle w:val="tablehead"/>
            </w:pPr>
            <w:r>
              <w:t xml:space="preserve">Proposed annual </w:t>
            </w:r>
            <w:r w:rsidR="002D57C4">
              <w:t>levy*</w:t>
            </w:r>
          </w:p>
        </w:tc>
        <w:tc>
          <w:tcPr>
            <w:tcW w:w="1644" w:type="dxa"/>
            <w:shd w:val="clear" w:color="auto" w:fill="C2E3FA"/>
          </w:tcPr>
          <w:p w14:paraId="0C085230" w14:textId="1FD68276" w:rsidR="002D57C4" w:rsidRPr="000540E1" w:rsidRDefault="002D57C4" w:rsidP="002D57C4">
            <w:pPr>
              <w:pStyle w:val="tablehead"/>
            </w:pPr>
            <w:r>
              <w:t>Amount to be recovered</w:t>
            </w:r>
          </w:p>
        </w:tc>
      </w:tr>
      <w:tr w:rsidR="002D57C4" w:rsidRPr="000540E1" w14:paraId="333B60C8" w14:textId="77777777" w:rsidTr="007135CA">
        <w:trPr>
          <w:cantSplit/>
        </w:trPr>
        <w:tc>
          <w:tcPr>
            <w:tcW w:w="3231" w:type="dxa"/>
            <w:vAlign w:val="center"/>
          </w:tcPr>
          <w:p w14:paraId="2D3117B4" w14:textId="3047C2DD" w:rsidR="002D57C4" w:rsidRPr="000540E1" w:rsidRDefault="002D57C4" w:rsidP="002D57C4">
            <w:pPr>
              <w:pStyle w:val="tbltext"/>
            </w:pPr>
            <w:r w:rsidRPr="008E2393">
              <w:t>Custodians</w:t>
            </w:r>
          </w:p>
        </w:tc>
        <w:tc>
          <w:tcPr>
            <w:tcW w:w="1984" w:type="dxa"/>
            <w:vAlign w:val="center"/>
          </w:tcPr>
          <w:p w14:paraId="4F671EB8" w14:textId="4C0B57D3" w:rsidR="002D57C4" w:rsidRPr="000540E1" w:rsidRDefault="002D57C4" w:rsidP="002D57C4">
            <w:pPr>
              <w:pStyle w:val="tbltext"/>
            </w:pPr>
            <w:r w:rsidRPr="008E2393">
              <w:t>861</w:t>
            </w:r>
          </w:p>
        </w:tc>
        <w:tc>
          <w:tcPr>
            <w:tcW w:w="2268" w:type="dxa"/>
            <w:vAlign w:val="center"/>
          </w:tcPr>
          <w:p w14:paraId="421259E0" w14:textId="6A3514B0" w:rsidR="002D57C4" w:rsidRPr="000540E1" w:rsidRDefault="002D57C4" w:rsidP="00C367A0">
            <w:pPr>
              <w:pStyle w:val="tbltext"/>
            </w:pPr>
            <w:r w:rsidRPr="008E2393">
              <w:rPr>
                <w:color w:val="000000" w:themeColor="text1"/>
              </w:rPr>
              <w:t>$560</w:t>
            </w:r>
          </w:p>
        </w:tc>
        <w:tc>
          <w:tcPr>
            <w:tcW w:w="1644" w:type="dxa"/>
            <w:vAlign w:val="center"/>
          </w:tcPr>
          <w:p w14:paraId="550EC8D4" w14:textId="11679861" w:rsidR="002D57C4" w:rsidRPr="000540E1" w:rsidRDefault="002D57C4" w:rsidP="00C367A0">
            <w:pPr>
              <w:pStyle w:val="tbltext"/>
            </w:pPr>
            <w:r>
              <w:rPr>
                <w:color w:val="000000" w:themeColor="text1"/>
              </w:rPr>
              <w:t>$0.5 million</w:t>
            </w:r>
          </w:p>
        </w:tc>
      </w:tr>
      <w:tr w:rsidR="002D57C4" w:rsidRPr="000540E1" w14:paraId="7155E661" w14:textId="77777777" w:rsidTr="007135CA">
        <w:trPr>
          <w:cantSplit/>
        </w:trPr>
        <w:tc>
          <w:tcPr>
            <w:tcW w:w="3231" w:type="dxa"/>
            <w:vAlign w:val="center"/>
          </w:tcPr>
          <w:p w14:paraId="07FCA47D" w14:textId="4E4D7F0E" w:rsidR="002D57C4" w:rsidRPr="000540E1" w:rsidRDefault="002D57C4" w:rsidP="002D57C4">
            <w:pPr>
              <w:pStyle w:val="tbltext"/>
            </w:pPr>
            <w:r w:rsidRPr="008E2393">
              <w:t xml:space="preserve">SMSF Auditors </w:t>
            </w:r>
          </w:p>
        </w:tc>
        <w:tc>
          <w:tcPr>
            <w:tcW w:w="1984" w:type="dxa"/>
            <w:vAlign w:val="center"/>
          </w:tcPr>
          <w:p w14:paraId="023EFBFF" w14:textId="0E10104F" w:rsidR="002D57C4" w:rsidRPr="000540E1" w:rsidRDefault="002D57C4" w:rsidP="002D57C4">
            <w:pPr>
              <w:pStyle w:val="tbltext"/>
            </w:pPr>
            <w:r w:rsidRPr="008E2393">
              <w:t>6,500</w:t>
            </w:r>
          </w:p>
        </w:tc>
        <w:tc>
          <w:tcPr>
            <w:tcW w:w="2268" w:type="dxa"/>
            <w:vAlign w:val="center"/>
          </w:tcPr>
          <w:p w14:paraId="45561C09" w14:textId="194E6079" w:rsidR="002D57C4" w:rsidRPr="000540E1" w:rsidRDefault="002D57C4" w:rsidP="00C367A0">
            <w:pPr>
              <w:pStyle w:val="tbltext"/>
            </w:pPr>
            <w:r w:rsidRPr="008E2393">
              <w:rPr>
                <w:color w:val="000000" w:themeColor="text1"/>
              </w:rPr>
              <w:t>$60</w:t>
            </w:r>
          </w:p>
        </w:tc>
        <w:tc>
          <w:tcPr>
            <w:tcW w:w="1644" w:type="dxa"/>
            <w:vAlign w:val="center"/>
          </w:tcPr>
          <w:p w14:paraId="137E5A2B" w14:textId="6ED7B727" w:rsidR="002D57C4" w:rsidRPr="000540E1" w:rsidRDefault="002D57C4" w:rsidP="00C367A0">
            <w:pPr>
              <w:pStyle w:val="tbltext"/>
            </w:pPr>
            <w:r>
              <w:rPr>
                <w:color w:val="000000" w:themeColor="text1"/>
              </w:rPr>
              <w:t>$0.4 million</w:t>
            </w:r>
          </w:p>
        </w:tc>
      </w:tr>
      <w:tr w:rsidR="002D57C4" w:rsidRPr="000540E1" w14:paraId="1145C411" w14:textId="77777777" w:rsidTr="007135CA">
        <w:trPr>
          <w:cantSplit/>
        </w:trPr>
        <w:tc>
          <w:tcPr>
            <w:tcW w:w="3231" w:type="dxa"/>
            <w:vAlign w:val="center"/>
          </w:tcPr>
          <w:p w14:paraId="07741160" w14:textId="649A5205" w:rsidR="002D57C4" w:rsidRPr="000540E1" w:rsidRDefault="002D57C4" w:rsidP="002D57C4">
            <w:pPr>
              <w:pStyle w:val="tbltext"/>
            </w:pPr>
            <w:r w:rsidRPr="008E2393">
              <w:t>Traditional trustee company service providers</w:t>
            </w:r>
          </w:p>
        </w:tc>
        <w:tc>
          <w:tcPr>
            <w:tcW w:w="1984" w:type="dxa"/>
            <w:vAlign w:val="center"/>
          </w:tcPr>
          <w:p w14:paraId="0ACB4634" w14:textId="0F497797" w:rsidR="002D57C4" w:rsidRPr="000540E1" w:rsidRDefault="002D57C4" w:rsidP="002D57C4">
            <w:pPr>
              <w:pStyle w:val="tbltext"/>
            </w:pPr>
            <w:r w:rsidRPr="008E2393">
              <w:t>12</w:t>
            </w:r>
          </w:p>
        </w:tc>
        <w:tc>
          <w:tcPr>
            <w:tcW w:w="2268" w:type="dxa"/>
            <w:vAlign w:val="center"/>
          </w:tcPr>
          <w:p w14:paraId="3350E074" w14:textId="107D934E" w:rsidR="002D57C4" w:rsidRPr="000540E1" w:rsidRDefault="002D57C4" w:rsidP="00C367A0">
            <w:pPr>
              <w:pStyle w:val="tbltext"/>
            </w:pPr>
            <w:r w:rsidRPr="008E2393">
              <w:rPr>
                <w:color w:val="000000" w:themeColor="text1"/>
              </w:rPr>
              <w:t>$20,500</w:t>
            </w:r>
          </w:p>
        </w:tc>
        <w:tc>
          <w:tcPr>
            <w:tcW w:w="1644" w:type="dxa"/>
            <w:vAlign w:val="center"/>
          </w:tcPr>
          <w:p w14:paraId="40BF9862" w14:textId="3C88DAB2" w:rsidR="002D57C4" w:rsidRPr="000540E1" w:rsidRDefault="002D57C4" w:rsidP="00C367A0">
            <w:pPr>
              <w:pStyle w:val="tbltext"/>
            </w:pPr>
            <w:r>
              <w:rPr>
                <w:color w:val="000000" w:themeColor="text1"/>
              </w:rPr>
              <w:t>$0.2 million</w:t>
            </w:r>
          </w:p>
        </w:tc>
      </w:tr>
      <w:tr w:rsidR="002D57C4" w:rsidRPr="000540E1" w14:paraId="38909AEB" w14:textId="77777777" w:rsidTr="007135CA">
        <w:trPr>
          <w:cantSplit/>
        </w:trPr>
        <w:tc>
          <w:tcPr>
            <w:tcW w:w="3231" w:type="dxa"/>
            <w:vAlign w:val="center"/>
          </w:tcPr>
          <w:p w14:paraId="7AFFDFBB" w14:textId="07B3443E" w:rsidR="002D57C4" w:rsidRPr="008E2393" w:rsidRDefault="00F46623" w:rsidP="002D57C4">
            <w:pPr>
              <w:pStyle w:val="tbltext"/>
            </w:pPr>
            <w:r>
              <w:t>MDA</w:t>
            </w:r>
            <w:r w:rsidR="002D57C4" w:rsidRPr="008E2393">
              <w:t xml:space="preserve"> operators</w:t>
            </w:r>
          </w:p>
        </w:tc>
        <w:tc>
          <w:tcPr>
            <w:tcW w:w="1984" w:type="dxa"/>
            <w:vAlign w:val="center"/>
          </w:tcPr>
          <w:p w14:paraId="4536F74E" w14:textId="2C5DC20B" w:rsidR="002D57C4" w:rsidRPr="008E2393" w:rsidRDefault="002D57C4" w:rsidP="002D57C4">
            <w:pPr>
              <w:pStyle w:val="tbltext"/>
            </w:pPr>
            <w:r w:rsidRPr="008E2393">
              <w:t>64</w:t>
            </w:r>
          </w:p>
        </w:tc>
        <w:tc>
          <w:tcPr>
            <w:tcW w:w="2268" w:type="dxa"/>
            <w:vAlign w:val="center"/>
          </w:tcPr>
          <w:p w14:paraId="68BA343D" w14:textId="23E9FAD0" w:rsidR="002D57C4" w:rsidRPr="008E2393" w:rsidRDefault="002D57C4" w:rsidP="00C367A0">
            <w:pPr>
              <w:pStyle w:val="tbltext"/>
              <w:rPr>
                <w:color w:val="000000" w:themeColor="text1"/>
              </w:rPr>
            </w:pPr>
            <w:r w:rsidRPr="008E2393">
              <w:rPr>
                <w:color w:val="000000" w:themeColor="text1"/>
              </w:rPr>
              <w:t>$3,000</w:t>
            </w:r>
          </w:p>
        </w:tc>
        <w:tc>
          <w:tcPr>
            <w:tcW w:w="1644" w:type="dxa"/>
            <w:vAlign w:val="center"/>
          </w:tcPr>
          <w:p w14:paraId="4A72FE3F" w14:textId="6247B6BB" w:rsidR="002D57C4" w:rsidRDefault="002D57C4" w:rsidP="00C367A0">
            <w:pPr>
              <w:pStyle w:val="tbltext"/>
              <w:rPr>
                <w:color w:val="000000" w:themeColor="text1"/>
              </w:rPr>
            </w:pPr>
            <w:r>
              <w:rPr>
                <w:color w:val="000000" w:themeColor="text1"/>
              </w:rPr>
              <w:t>$0.2 million</w:t>
            </w:r>
          </w:p>
        </w:tc>
      </w:tr>
    </w:tbl>
    <w:p w14:paraId="3C7F7932" w14:textId="57F8DC81" w:rsidR="002D57C4" w:rsidRDefault="002D57C4" w:rsidP="002D57C4">
      <w:pPr>
        <w:pStyle w:val="sourcenotefullwidth"/>
      </w:pPr>
      <w:r>
        <w:t>*Annual levy amounts have been rounded.</w:t>
      </w:r>
    </w:p>
    <w:p w14:paraId="05B65E65" w14:textId="034DA677" w:rsidR="006F6EEA" w:rsidRPr="0032152C" w:rsidRDefault="0032152C" w:rsidP="0032152C">
      <w:pPr>
        <w:pStyle w:val="BodyText"/>
        <w:rPr>
          <w:rFonts w:asciiTheme="majorHAnsi" w:eastAsiaTheme="majorEastAsia" w:hAnsiTheme="majorHAnsi" w:cstheme="majorBidi"/>
          <w:b/>
          <w:bCs/>
          <w:color w:val="4F81BD" w:themeColor="accent1"/>
          <w:sz w:val="32"/>
          <w:szCs w:val="26"/>
        </w:rPr>
      </w:pPr>
      <w:r w:rsidRPr="008E2393">
        <w:t xml:space="preserve">The flat levies for these subsectors have been increased by </w:t>
      </w:r>
      <w:r>
        <w:t>up to</w:t>
      </w:r>
      <w:r w:rsidRPr="008E2393">
        <w:t xml:space="preserve"> 70% from the levies proposed in the August 2015 consultation paper. The flat levy proposed has increased and because</w:t>
      </w:r>
      <w:r w:rsidR="00BC1123">
        <w:t xml:space="preserve"> ASIC proposes to remove </w:t>
      </w:r>
      <w:r w:rsidRPr="008E2393">
        <w:t>the base levy and levy per authorisation of $250 for AFS licensees and incorpo</w:t>
      </w:r>
      <w:r w:rsidRPr="00797452">
        <w:t>rat</w:t>
      </w:r>
      <w:r w:rsidR="00BC1123">
        <w:t xml:space="preserve">e the costs </w:t>
      </w:r>
      <w:r w:rsidRPr="00797452">
        <w:t>into the levies for the AFS licensee subsectors under the model.</w:t>
      </w:r>
      <w:r w:rsidR="00BC1123">
        <w:t xml:space="preserve"> </w:t>
      </w:r>
      <w:r w:rsidRPr="00797452">
        <w:t xml:space="preserve">Submissions strongly opposed the base levy and levy per authorisation. For further information on stakeholder feedback see </w:t>
      </w:r>
      <w:r w:rsidRPr="00021FDC">
        <w:t>Chapter</w:t>
      </w:r>
      <w:r w:rsidRPr="00C96654">
        <w:t xml:space="preserve"> 6 of the </w:t>
      </w:r>
      <w:r w:rsidRPr="001170A2">
        <w:t>Government’s</w:t>
      </w:r>
      <w:r w:rsidRPr="00021FDC">
        <w:t xml:space="preserve"> Proposal</w:t>
      </w:r>
      <w:r w:rsidRPr="00C96654">
        <w:t>s Paper.</w:t>
      </w:r>
    </w:p>
    <w:p w14:paraId="1B436D50" w14:textId="13C3603E" w:rsidR="0032152C" w:rsidRDefault="0032152C" w:rsidP="0032152C">
      <w:pPr>
        <w:pStyle w:val="Heading2"/>
      </w:pPr>
      <w:bookmarkStart w:id="255" w:name="_Toc463544603"/>
      <w:bookmarkStart w:id="256" w:name="_Toc463595205"/>
      <w:bookmarkStart w:id="257" w:name="_Toc464140316"/>
      <w:bookmarkStart w:id="258" w:name="_Toc466020968"/>
      <w:r>
        <w:t>Example</w:t>
      </w:r>
      <w:r w:rsidR="00BC1123">
        <w:t>s of proposed</w:t>
      </w:r>
      <w:r>
        <w:t xml:space="preserve"> levies</w:t>
      </w:r>
      <w:bookmarkEnd w:id="255"/>
      <w:bookmarkEnd w:id="256"/>
      <w:bookmarkEnd w:id="257"/>
      <w:bookmarkEnd w:id="258"/>
    </w:p>
    <w:p w14:paraId="335B62FF" w14:textId="169174E0" w:rsidR="0032152C" w:rsidRDefault="0032152C" w:rsidP="00081A71">
      <w:pPr>
        <w:pStyle w:val="KPhead"/>
        <w:ind w:left="0"/>
      </w:pPr>
      <w:r>
        <w:t xml:space="preserve">Example 9 </w:t>
      </w:r>
    </w:p>
    <w:p w14:paraId="6FC94506" w14:textId="77777777" w:rsidR="0032152C" w:rsidRDefault="0032152C" w:rsidP="00081A71">
      <w:pPr>
        <w:pStyle w:val="KPtext"/>
        <w:ind w:left="0"/>
      </w:pPr>
      <w:r>
        <w:t xml:space="preserve">Company G is a public company (unlisted, disclosing). The company holds an AFS licence and is authorised as a Responsible Entity for a registered managed investment scheme, with $250 million of FUM. </w:t>
      </w:r>
    </w:p>
    <w:p w14:paraId="1769EE8B" w14:textId="5E13B8E2" w:rsidR="0032152C" w:rsidRDefault="0032152C" w:rsidP="00081A71">
      <w:pPr>
        <w:pStyle w:val="KPtext"/>
        <w:ind w:left="0"/>
      </w:pPr>
      <w:r>
        <w:t>Company G</w:t>
      </w:r>
      <w:r w:rsidR="0003187F">
        <w:t>’</w:t>
      </w:r>
      <w:r>
        <w:t>s indicative annual levy will equal:</w:t>
      </w:r>
    </w:p>
    <w:p w14:paraId="55F10B9C" w14:textId="320F579B" w:rsidR="0032152C" w:rsidRDefault="0032152C" w:rsidP="00D26F16">
      <w:pPr>
        <w:pStyle w:val="KPtext"/>
        <w:tabs>
          <w:tab w:val="right" w:pos="8931"/>
        </w:tabs>
        <w:ind w:left="0" w:firstLine="425"/>
      </w:pPr>
      <w:r>
        <w:t>The levy for being a public company (unlisted, disclosing)</w:t>
      </w:r>
      <w:r w:rsidR="00606ADD">
        <w:tab/>
      </w:r>
      <w:r>
        <w:t>$</w:t>
      </w:r>
      <w:r w:rsidR="00256526">
        <w:t>3,350</w:t>
      </w:r>
    </w:p>
    <w:p w14:paraId="1B573398" w14:textId="6DDDA8C9" w:rsidR="0032152C" w:rsidRDefault="0032152C" w:rsidP="00D26F16">
      <w:pPr>
        <w:pStyle w:val="KPtext"/>
        <w:tabs>
          <w:tab w:val="right" w:pos="8931"/>
        </w:tabs>
        <w:ind w:left="0" w:firstLine="425"/>
      </w:pPr>
      <w:r>
        <w:t>The minimum levy</w:t>
      </w:r>
      <w:r w:rsidR="00081A71">
        <w:t xml:space="preserve"> for being a Responsible Entity</w:t>
      </w:r>
      <w:r>
        <w:tab/>
        <w:t>$7,000</w:t>
      </w:r>
    </w:p>
    <w:p w14:paraId="22C8BE5E" w14:textId="0CD4F26E" w:rsidR="0032152C" w:rsidRDefault="0032152C" w:rsidP="00D26F16">
      <w:pPr>
        <w:pStyle w:val="KPtext"/>
        <w:tabs>
          <w:tab w:val="right" w:pos="8931"/>
        </w:tabs>
        <w:ind w:left="0" w:firstLine="425"/>
      </w:pPr>
      <w:r>
        <w:t xml:space="preserve">A graduated levy of $0.24 per </w:t>
      </w:r>
      <w:r w:rsidR="00081A71">
        <w:t>$10,000 of FUM over $10 million</w:t>
      </w:r>
      <w:r>
        <w:tab/>
        <w:t>$5,760</w:t>
      </w:r>
      <w:r w:rsidR="00D26F16">
        <w:br/>
      </w:r>
      <w:r w:rsidR="00081A71">
        <w:tab/>
      </w:r>
      <w:r>
        <w:t>($0.24 x $240million / $10,000)</w:t>
      </w:r>
    </w:p>
    <w:p w14:paraId="49918C89" w14:textId="3A3AE083" w:rsidR="0032152C" w:rsidRPr="00081A71" w:rsidRDefault="0032152C" w:rsidP="00D26F16">
      <w:pPr>
        <w:pStyle w:val="KPtext"/>
        <w:tabs>
          <w:tab w:val="right" w:pos="8931"/>
        </w:tabs>
        <w:ind w:left="0"/>
        <w:rPr>
          <w:b/>
        </w:rPr>
      </w:pPr>
      <w:r w:rsidRPr="00081A71">
        <w:rPr>
          <w:b/>
        </w:rPr>
        <w:t>Total indicative annual levy for company G</w:t>
      </w:r>
      <w:r w:rsidR="00B1436C">
        <w:rPr>
          <w:b/>
        </w:rPr>
        <w:t>:</w:t>
      </w:r>
      <w:r w:rsidR="00081A71" w:rsidRPr="00081A71">
        <w:rPr>
          <w:b/>
        </w:rPr>
        <w:tab/>
      </w:r>
      <w:r w:rsidRPr="00081A71">
        <w:rPr>
          <w:b/>
        </w:rPr>
        <w:t>$</w:t>
      </w:r>
      <w:r w:rsidR="00256526">
        <w:rPr>
          <w:b/>
        </w:rPr>
        <w:t>16,110</w:t>
      </w:r>
    </w:p>
    <w:p w14:paraId="0E87690F" w14:textId="77777777" w:rsidR="0032152C" w:rsidRPr="0032152C" w:rsidRDefault="0032152C" w:rsidP="00D26F16">
      <w:pPr>
        <w:pStyle w:val="BodyText"/>
        <w:numPr>
          <w:ilvl w:val="0"/>
          <w:numId w:val="0"/>
        </w:numPr>
        <w:ind w:left="1134" w:hanging="1134"/>
      </w:pPr>
    </w:p>
    <w:p w14:paraId="6FCF77FC" w14:textId="77777777" w:rsidR="00775990" w:rsidRDefault="00775990">
      <w:pPr>
        <w:spacing w:after="0"/>
        <w:rPr>
          <w:rFonts w:ascii="Arial" w:hAnsi="Arial" w:cs="Arial"/>
          <w:b/>
          <w:kern w:val="28"/>
          <w:sz w:val="36"/>
          <w:szCs w:val="36"/>
        </w:rPr>
      </w:pPr>
      <w:r>
        <w:br w:type="page"/>
      </w:r>
    </w:p>
    <w:p w14:paraId="24794D48" w14:textId="178DA5C5" w:rsidR="00775990" w:rsidRPr="008E2393" w:rsidRDefault="00775990" w:rsidP="00775990">
      <w:pPr>
        <w:pStyle w:val="Heading1"/>
      </w:pPr>
      <w:bookmarkStart w:id="259" w:name="_Toc453236840"/>
      <w:bookmarkStart w:id="260" w:name="_Toc453684003"/>
      <w:bookmarkStart w:id="261" w:name="_Toc453750644"/>
      <w:bookmarkStart w:id="262" w:name="_Toc453771929"/>
      <w:bookmarkStart w:id="263" w:name="_Toc453836175"/>
      <w:bookmarkStart w:id="264" w:name="_Toc453844429"/>
      <w:bookmarkStart w:id="265" w:name="_Toc462677713"/>
      <w:bookmarkStart w:id="266" w:name="_Toc462697151"/>
      <w:bookmarkStart w:id="267" w:name="_Toc462698962"/>
      <w:bookmarkStart w:id="268" w:name="_Toc462700198"/>
      <w:bookmarkStart w:id="269" w:name="_Toc462700879"/>
      <w:bookmarkStart w:id="270" w:name="_Toc463544604"/>
      <w:bookmarkStart w:id="271" w:name="_Toc463595206"/>
      <w:bookmarkStart w:id="272" w:name="_Toc464140317"/>
      <w:bookmarkStart w:id="273" w:name="_Toc466020969"/>
      <w:r w:rsidRPr="008E2393">
        <w:t>Market infrastructure and intermediaries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9E47A2A" w14:textId="2380AA5B" w:rsidR="00775990" w:rsidRPr="008E2393" w:rsidRDefault="00775990" w:rsidP="00393610">
      <w:pPr>
        <w:pStyle w:val="Heading2"/>
      </w:pPr>
      <w:bookmarkStart w:id="274" w:name="_Toc462677714"/>
      <w:bookmarkStart w:id="275" w:name="_Toc462697152"/>
      <w:bookmarkStart w:id="276" w:name="_Toc462698963"/>
      <w:bookmarkStart w:id="277" w:name="_Toc462700199"/>
      <w:bookmarkStart w:id="278" w:name="_Toc462700880"/>
      <w:bookmarkStart w:id="279" w:name="_Toc463544605"/>
      <w:bookmarkStart w:id="280" w:name="_Toc463595207"/>
      <w:bookmarkStart w:id="281" w:name="_Toc464140318"/>
      <w:bookmarkStart w:id="282" w:name="_Toc466020970"/>
      <w:r w:rsidRPr="008E2393">
        <w:t>Description of ASIC’s regulatory activities</w:t>
      </w:r>
      <w:bookmarkEnd w:id="274"/>
      <w:bookmarkEnd w:id="275"/>
      <w:bookmarkEnd w:id="276"/>
      <w:bookmarkEnd w:id="277"/>
      <w:bookmarkEnd w:id="278"/>
      <w:bookmarkEnd w:id="279"/>
      <w:bookmarkEnd w:id="280"/>
      <w:bookmarkEnd w:id="281"/>
      <w:bookmarkEnd w:id="282"/>
    </w:p>
    <w:p w14:paraId="2D2F70E1" w14:textId="64FA0AB2" w:rsidR="00775990" w:rsidRDefault="00775990" w:rsidP="00775990">
      <w:pPr>
        <w:pStyle w:val="BodyText"/>
      </w:pPr>
      <w:r w:rsidRPr="008E2393">
        <w:t>The market infrastructure and intermediaries sector consists of market infrastructure providers (MIPs) and market intermediaries</w:t>
      </w:r>
      <w:r w:rsidR="00984FBC">
        <w:t xml:space="preserve"> (see </w:t>
      </w:r>
      <w:r w:rsidR="00984FBC" w:rsidRPr="00B25C47">
        <w:rPr>
          <w:b/>
        </w:rPr>
        <w:fldChar w:fldCharType="begin"/>
      </w:r>
      <w:r w:rsidR="00984FBC" w:rsidRPr="00B25C47">
        <w:rPr>
          <w:b/>
        </w:rPr>
        <w:instrText xml:space="preserve"> REF _Ref463605464 \h </w:instrText>
      </w:r>
      <w:r w:rsidR="00B25C47">
        <w:rPr>
          <w:b/>
        </w:rPr>
        <w:instrText xml:space="preserve"> \* MERGEFORMAT </w:instrText>
      </w:r>
      <w:r w:rsidR="00984FBC" w:rsidRPr="00B25C47">
        <w:rPr>
          <w:b/>
        </w:rPr>
      </w:r>
      <w:r w:rsidR="00984FBC" w:rsidRPr="00B25C47">
        <w:rPr>
          <w:b/>
        </w:rPr>
        <w:fldChar w:fldCharType="separate"/>
      </w:r>
      <w:r w:rsidR="00A37D1A" w:rsidRPr="00B25C47">
        <w:rPr>
          <w:b/>
        </w:rPr>
        <w:t xml:space="preserve">Table </w:t>
      </w:r>
      <w:r w:rsidR="00A37D1A" w:rsidRPr="00B25C47">
        <w:rPr>
          <w:b/>
          <w:noProof/>
        </w:rPr>
        <w:t>19</w:t>
      </w:r>
      <w:r w:rsidR="00984FBC" w:rsidRPr="00B25C47">
        <w:rPr>
          <w:b/>
        </w:rPr>
        <w:fldChar w:fldCharType="end"/>
      </w:r>
      <w:r w:rsidR="00984FBC">
        <w:t>)</w:t>
      </w:r>
      <w:r w:rsidRPr="008E2393">
        <w:t xml:space="preserve">. </w:t>
      </w:r>
    </w:p>
    <w:p w14:paraId="100A367E" w14:textId="77041E19" w:rsidR="00775990" w:rsidRPr="008E2393" w:rsidRDefault="00775990" w:rsidP="00775990">
      <w:pPr>
        <w:pStyle w:val="BodyText"/>
      </w:pPr>
      <w:r w:rsidRPr="008E2393">
        <w:t>In 2016</w:t>
      </w:r>
      <w:r>
        <w:t>–</w:t>
      </w:r>
      <w:r w:rsidRPr="008E2393">
        <w:t>17</w:t>
      </w:r>
      <w:r>
        <w:t>, ASIC</w:t>
      </w:r>
      <w:r w:rsidR="0003187F">
        <w:t>’</w:t>
      </w:r>
      <w:r>
        <w:t xml:space="preserve">s forecast effort to regulate the market infrastructure and intermediaries sector is expected to cost </w:t>
      </w:r>
      <w:r w:rsidRPr="008E2393">
        <w:t>$47.8 million</w:t>
      </w:r>
      <w:r w:rsidR="00984FBC">
        <w:t xml:space="preserve"> (see </w:t>
      </w:r>
      <w:r w:rsidR="00984FBC" w:rsidRPr="00B25C47">
        <w:rPr>
          <w:b/>
        </w:rPr>
        <w:fldChar w:fldCharType="begin"/>
      </w:r>
      <w:r w:rsidR="00984FBC" w:rsidRPr="00B25C47">
        <w:rPr>
          <w:b/>
        </w:rPr>
        <w:instrText xml:space="preserve"> REF _Ref463605479 \h </w:instrText>
      </w:r>
      <w:r w:rsidR="00B25C47">
        <w:rPr>
          <w:b/>
        </w:rPr>
        <w:instrText xml:space="preserve"> \* MERGEFORMAT </w:instrText>
      </w:r>
      <w:r w:rsidR="00984FBC" w:rsidRPr="00B25C47">
        <w:rPr>
          <w:b/>
        </w:rPr>
      </w:r>
      <w:r w:rsidR="00984FBC" w:rsidRPr="00B25C47">
        <w:rPr>
          <w:b/>
        </w:rPr>
        <w:fldChar w:fldCharType="separate"/>
      </w:r>
      <w:r w:rsidR="00A37D1A" w:rsidRPr="00B25C47">
        <w:rPr>
          <w:b/>
        </w:rPr>
        <w:t xml:space="preserve">Figure </w:t>
      </w:r>
      <w:r w:rsidR="00A37D1A" w:rsidRPr="00B25C47">
        <w:rPr>
          <w:b/>
          <w:noProof/>
        </w:rPr>
        <w:t>11</w:t>
      </w:r>
      <w:r w:rsidR="00984FBC" w:rsidRPr="00B25C47">
        <w:rPr>
          <w:b/>
        </w:rPr>
        <w:fldChar w:fldCharType="end"/>
      </w:r>
      <w:r w:rsidR="00984FBC">
        <w:t>)</w:t>
      </w:r>
      <w:r>
        <w:t>.</w:t>
      </w:r>
      <w:r w:rsidRPr="008E2393">
        <w:t xml:space="preserve"> </w:t>
      </w:r>
      <w:r>
        <w:t>This is 20% of ASIC</w:t>
      </w:r>
      <w:r w:rsidR="0003187F">
        <w:t>’</w:t>
      </w:r>
      <w:r>
        <w:t xml:space="preserve">s budget for regulatory activities and </w:t>
      </w:r>
      <w:r w:rsidR="009D2BB5">
        <w:t xml:space="preserve">is proposed to </w:t>
      </w:r>
      <w:r>
        <w:t xml:space="preserve">be recovered </w:t>
      </w:r>
      <w:r w:rsidRPr="003B5688">
        <w:t xml:space="preserve">through levies on the </w:t>
      </w:r>
      <w:r>
        <w:t>market infrastructure and intermediaries sector.</w:t>
      </w:r>
      <w:r w:rsidRPr="008E2393">
        <w:t xml:space="preserve"> </w:t>
      </w:r>
    </w:p>
    <w:p w14:paraId="72D92F93" w14:textId="37E67D05" w:rsidR="00775990" w:rsidRPr="008E2393" w:rsidRDefault="00F46623" w:rsidP="00F46623">
      <w:pPr>
        <w:pStyle w:val="BodyText"/>
      </w:pPr>
      <w:r w:rsidRPr="00F46623">
        <w:t xml:space="preserve">ASIC will issue invoices to recover its 2017–18 costs in January </w:t>
      </w:r>
      <w:r w:rsidR="00714D0C">
        <w:t xml:space="preserve">2019. </w:t>
      </w:r>
      <w:r w:rsidRPr="00F46623">
        <w:t>Based on forecast 2016–17 costs, levies on the market infrastructure and intermediaries sector would comprise</w:t>
      </w:r>
      <w:r w:rsidR="00775990" w:rsidRPr="003E35B4">
        <w:t xml:space="preserve"> </w:t>
      </w:r>
      <w:r w:rsidR="00775990">
        <w:t xml:space="preserve">$8.1 million (17%) </w:t>
      </w:r>
      <w:r w:rsidR="009D2BB5">
        <w:t>is proposed to be</w:t>
      </w:r>
      <w:r w:rsidR="00775990">
        <w:t xml:space="preserve"> recovered from Australian market licence holders</w:t>
      </w:r>
      <w:r w:rsidR="00775990" w:rsidRPr="00706F00">
        <w:t>,</w:t>
      </w:r>
      <w:r w:rsidR="00775990">
        <w:t xml:space="preserve"> </w:t>
      </w:r>
      <w:r w:rsidR="00775990" w:rsidRPr="00706F00">
        <w:t>$</w:t>
      </w:r>
      <w:r w:rsidR="00775990">
        <w:t>2.1 million (5</w:t>
      </w:r>
      <w:r w:rsidR="00775990" w:rsidRPr="00706F00">
        <w:t>%) from</w:t>
      </w:r>
      <w:r w:rsidR="00775990">
        <w:t xml:space="preserve"> clearing and settlement facility providers, $1.3 million (2%) from exempt markets, $0.4 million (1%) from trade repositories, $0.2</w:t>
      </w:r>
      <w:r w:rsidR="007135CA">
        <w:t> </w:t>
      </w:r>
      <w:r w:rsidR="00775990" w:rsidRPr="00706F00">
        <w:t xml:space="preserve">million (1%) from </w:t>
      </w:r>
      <w:r w:rsidR="00775990">
        <w:t>credit rating agencies</w:t>
      </w:r>
      <w:r w:rsidR="00775990" w:rsidRPr="00706F00">
        <w:t xml:space="preserve">, </w:t>
      </w:r>
      <w:r w:rsidR="00775990">
        <w:t>$19.0 million (40%) from market participants</w:t>
      </w:r>
      <w:r w:rsidR="00775990" w:rsidRPr="00706F00">
        <w:t>, $</w:t>
      </w:r>
      <w:r w:rsidR="00775990">
        <w:t>9.7</w:t>
      </w:r>
      <w:r w:rsidR="00775990" w:rsidRPr="00706F00">
        <w:t xml:space="preserve"> million (</w:t>
      </w:r>
      <w:r w:rsidR="00775990">
        <w:t>20</w:t>
      </w:r>
      <w:r w:rsidR="00775990" w:rsidRPr="00706F00">
        <w:t>%) from</w:t>
      </w:r>
      <w:r w:rsidR="00775990">
        <w:t xml:space="preserve"> investment banks, $</w:t>
      </w:r>
      <w:r w:rsidR="00775990" w:rsidRPr="00706F00">
        <w:t>4</w:t>
      </w:r>
      <w:r w:rsidR="00775990">
        <w:t>.0 million (8</w:t>
      </w:r>
      <w:r w:rsidR="00775990" w:rsidRPr="00706F00">
        <w:t xml:space="preserve">%) from </w:t>
      </w:r>
      <w:r w:rsidR="00775990">
        <w:t>retail OTC derivatives issuers, $</w:t>
      </w:r>
      <w:r w:rsidR="00775990" w:rsidRPr="00706F00">
        <w:t>2</w:t>
      </w:r>
      <w:r w:rsidR="00775990">
        <w:t>.9</w:t>
      </w:r>
      <w:r w:rsidR="00775990" w:rsidRPr="00706F00">
        <w:t xml:space="preserve"> million (</w:t>
      </w:r>
      <w:r w:rsidR="00775990">
        <w:t>6</w:t>
      </w:r>
      <w:r w:rsidR="00775990" w:rsidRPr="00706F00">
        <w:t xml:space="preserve">%) from </w:t>
      </w:r>
      <w:r w:rsidR="00775990">
        <w:t xml:space="preserve">securities dealers and $0.1 million </w:t>
      </w:r>
      <w:r w:rsidR="00775990" w:rsidRPr="00555A51">
        <w:t>(0%)</w:t>
      </w:r>
      <w:r w:rsidR="00775990" w:rsidRPr="00860A32">
        <w:t xml:space="preserve"> from </w:t>
      </w:r>
      <w:r w:rsidR="00775990">
        <w:t xml:space="preserve">wholesale electricity dealers </w:t>
      </w:r>
      <w:r w:rsidR="00775990" w:rsidRPr="00860A32">
        <w:t xml:space="preserve">(see </w:t>
      </w:r>
      <w:r w:rsidR="00984FBC" w:rsidRPr="00B25C47">
        <w:rPr>
          <w:b/>
        </w:rPr>
        <w:fldChar w:fldCharType="begin"/>
      </w:r>
      <w:r w:rsidR="00984FBC" w:rsidRPr="00B25C47">
        <w:rPr>
          <w:b/>
        </w:rPr>
        <w:instrText xml:space="preserve"> REF _Ref463605502 \h </w:instrText>
      </w:r>
      <w:r w:rsidR="00B25C47">
        <w:rPr>
          <w:b/>
        </w:rPr>
        <w:instrText xml:space="preserve"> \* MERGEFORMAT </w:instrText>
      </w:r>
      <w:r w:rsidR="00984FBC" w:rsidRPr="00B25C47">
        <w:rPr>
          <w:b/>
        </w:rPr>
      </w:r>
      <w:r w:rsidR="00984FBC" w:rsidRPr="00B25C47">
        <w:rPr>
          <w:b/>
        </w:rPr>
        <w:fldChar w:fldCharType="separate"/>
      </w:r>
      <w:r w:rsidR="00A37D1A" w:rsidRPr="00B25C47">
        <w:rPr>
          <w:b/>
        </w:rPr>
        <w:t xml:space="preserve">Figure </w:t>
      </w:r>
      <w:r w:rsidR="00A37D1A" w:rsidRPr="00B25C47">
        <w:rPr>
          <w:b/>
          <w:noProof/>
        </w:rPr>
        <w:t>12</w:t>
      </w:r>
      <w:r w:rsidR="00984FBC" w:rsidRPr="00B25C47">
        <w:rPr>
          <w:b/>
        </w:rPr>
        <w:fldChar w:fldCharType="end"/>
      </w:r>
      <w:r w:rsidR="00775990" w:rsidRPr="003E35B4">
        <w:t xml:space="preserve"> below).</w:t>
      </w:r>
      <w:r w:rsidR="00775990">
        <w:t xml:space="preserve"> </w:t>
      </w:r>
    </w:p>
    <w:p w14:paraId="5F71A590" w14:textId="4404D484" w:rsidR="00775990" w:rsidRPr="008E2393" w:rsidRDefault="00753286" w:rsidP="001149DE">
      <w:pPr>
        <w:pStyle w:val="figuretitlefullwidth"/>
      </w:pPr>
      <w:bookmarkStart w:id="283" w:name="_Ref463605479"/>
      <w:r>
        <w:t xml:space="preserve">Figure </w:t>
      </w:r>
      <w:r w:rsidR="003D3E81">
        <w:fldChar w:fldCharType="begin"/>
      </w:r>
      <w:r w:rsidR="003D3E81">
        <w:instrText xml:space="preserve"> SEQ Figure \* ARABIC </w:instrText>
      </w:r>
      <w:r w:rsidR="003D3E81">
        <w:fldChar w:fldCharType="separate"/>
      </w:r>
      <w:r w:rsidR="00A37D1A">
        <w:rPr>
          <w:noProof/>
        </w:rPr>
        <w:t>11</w:t>
      </w:r>
      <w:r w:rsidR="003D3E81">
        <w:rPr>
          <w:noProof/>
        </w:rPr>
        <w:fldChar w:fldCharType="end"/>
      </w:r>
      <w:bookmarkEnd w:id="283"/>
      <w:r>
        <w:t>: Costs to regulate the market infrastructure and intermediaries sector</w:t>
      </w:r>
    </w:p>
    <w:p w14:paraId="55546951" w14:textId="77777777" w:rsidR="00984FBC" w:rsidRDefault="008D5FA4" w:rsidP="00984FBC">
      <w:pPr>
        <w:pStyle w:val="tabletitlefullwidth"/>
      </w:pPr>
      <w:r w:rsidRPr="008D5FA4">
        <w:rPr>
          <w:noProof/>
        </w:rPr>
        <w:drawing>
          <wp:inline distT="0" distB="0" distL="0" distR="0" wp14:anchorId="5546F8A7" wp14:editId="607294B5">
            <wp:extent cx="5721532" cy="2192432"/>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1646" b="11267"/>
                    <a:stretch/>
                  </pic:blipFill>
                  <pic:spPr bwMode="auto">
                    <a:xfrm>
                      <a:off x="0" y="0"/>
                      <a:ext cx="5733385" cy="2196974"/>
                    </a:xfrm>
                    <a:prstGeom prst="rect">
                      <a:avLst/>
                    </a:prstGeom>
                    <a:noFill/>
                    <a:ln>
                      <a:noFill/>
                    </a:ln>
                    <a:extLst>
                      <a:ext uri="{53640926-AAD7-44D8-BBD7-CCE9431645EC}">
                        <a14:shadowObscured xmlns:a14="http://schemas.microsoft.com/office/drawing/2010/main"/>
                      </a:ext>
                    </a:extLst>
                  </pic:spPr>
                </pic:pic>
              </a:graphicData>
            </a:graphic>
          </wp:inline>
        </w:drawing>
      </w:r>
    </w:p>
    <w:p w14:paraId="3DFD3C45" w14:textId="2F1331F4" w:rsidR="002D57C4" w:rsidRDefault="002D57C4" w:rsidP="00984FBC">
      <w:pPr>
        <w:pStyle w:val="tabletitlefullwidth"/>
      </w:pPr>
      <w:bookmarkStart w:id="284" w:name="_Ref463605464"/>
      <w:r>
        <w:t xml:space="preserve">Table </w:t>
      </w:r>
      <w:r w:rsidR="003D3E81">
        <w:fldChar w:fldCharType="begin"/>
      </w:r>
      <w:r w:rsidR="003D3E81">
        <w:instrText xml:space="preserve"> SEQ Table \* ARABIC </w:instrText>
      </w:r>
      <w:r w:rsidR="003D3E81">
        <w:fldChar w:fldCharType="separate"/>
      </w:r>
      <w:r w:rsidR="00A37D1A">
        <w:rPr>
          <w:noProof/>
        </w:rPr>
        <w:t>19</w:t>
      </w:r>
      <w:r w:rsidR="003D3E81">
        <w:rPr>
          <w:noProof/>
        </w:rPr>
        <w:fldChar w:fldCharType="end"/>
      </w:r>
      <w:bookmarkEnd w:id="284"/>
      <w:r>
        <w:t>:</w:t>
      </w:r>
      <w:r>
        <w:tab/>
      </w:r>
      <w:r w:rsidR="00C367A0">
        <w:t>Subsectors and entities in the market infrastructure and intermediaries sector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066"/>
        <w:gridCol w:w="3061"/>
      </w:tblGrid>
      <w:tr w:rsidR="007135CA" w:rsidRPr="000540E1" w14:paraId="3A79D7F2" w14:textId="77777777" w:rsidTr="007135CA">
        <w:trPr>
          <w:cantSplit/>
          <w:tblHeader/>
        </w:trPr>
        <w:tc>
          <w:tcPr>
            <w:tcW w:w="6066" w:type="dxa"/>
            <w:shd w:val="clear" w:color="auto" w:fill="C2E3FA"/>
          </w:tcPr>
          <w:p w14:paraId="36FDEFF2" w14:textId="23D99572" w:rsidR="002D57C4" w:rsidRPr="000540E1" w:rsidRDefault="00C367A0" w:rsidP="002D57C4">
            <w:pPr>
              <w:pStyle w:val="tablehead"/>
            </w:pPr>
            <w:r>
              <w:t>Subsector</w:t>
            </w:r>
          </w:p>
        </w:tc>
        <w:tc>
          <w:tcPr>
            <w:tcW w:w="3061" w:type="dxa"/>
            <w:shd w:val="clear" w:color="auto" w:fill="C2E3FA"/>
          </w:tcPr>
          <w:p w14:paraId="46EAD854" w14:textId="7BED1663" w:rsidR="002D57C4" w:rsidRPr="000540E1" w:rsidRDefault="00C367A0" w:rsidP="002D57C4">
            <w:pPr>
              <w:pStyle w:val="tablehead"/>
            </w:pPr>
            <w:r>
              <w:t>Number of entities</w:t>
            </w:r>
          </w:p>
        </w:tc>
      </w:tr>
      <w:tr w:rsidR="007135CA" w:rsidRPr="000540E1" w14:paraId="2CCE40F9" w14:textId="77777777" w:rsidTr="007135CA">
        <w:trPr>
          <w:cantSplit/>
        </w:trPr>
        <w:tc>
          <w:tcPr>
            <w:tcW w:w="6066" w:type="dxa"/>
            <w:vAlign w:val="center"/>
          </w:tcPr>
          <w:p w14:paraId="6F5E390D" w14:textId="36DD32AE" w:rsidR="00C367A0" w:rsidRPr="000540E1" w:rsidRDefault="00C367A0" w:rsidP="00C367A0">
            <w:pPr>
              <w:pStyle w:val="tbltext"/>
            </w:pPr>
            <w:r w:rsidRPr="00ED35A2">
              <w:rPr>
                <w:lang w:val="en-US"/>
              </w:rPr>
              <w:t>Australian market l</w:t>
            </w:r>
            <w:r w:rsidRPr="008E2393">
              <w:rPr>
                <w:lang w:val="en-US"/>
              </w:rPr>
              <w:t>icensees – domestic</w:t>
            </w:r>
          </w:p>
        </w:tc>
        <w:tc>
          <w:tcPr>
            <w:tcW w:w="3061" w:type="dxa"/>
            <w:vAlign w:val="center"/>
          </w:tcPr>
          <w:p w14:paraId="0CBF9545" w14:textId="5EEE1720" w:rsidR="00C367A0" w:rsidRPr="000540E1" w:rsidRDefault="00C367A0" w:rsidP="00C367A0">
            <w:pPr>
              <w:pStyle w:val="tbltext"/>
            </w:pPr>
            <w:r w:rsidRPr="008E2393">
              <w:t>12</w:t>
            </w:r>
          </w:p>
        </w:tc>
      </w:tr>
      <w:tr w:rsidR="007135CA" w:rsidRPr="000540E1" w14:paraId="5F0B4761" w14:textId="77777777" w:rsidTr="007135CA">
        <w:trPr>
          <w:cantSplit/>
        </w:trPr>
        <w:tc>
          <w:tcPr>
            <w:tcW w:w="6066" w:type="dxa"/>
            <w:vAlign w:val="center"/>
          </w:tcPr>
          <w:p w14:paraId="7F9F602D" w14:textId="6EF9FF43" w:rsidR="00C367A0" w:rsidRPr="000540E1" w:rsidRDefault="00C367A0" w:rsidP="00C367A0">
            <w:pPr>
              <w:pStyle w:val="tbltext"/>
            </w:pPr>
            <w:r w:rsidRPr="008E2393">
              <w:t xml:space="preserve">Australian </w:t>
            </w:r>
            <w:r>
              <w:t>m</w:t>
            </w:r>
            <w:r w:rsidRPr="008E2393">
              <w:t xml:space="preserve">arket </w:t>
            </w:r>
            <w:r>
              <w:t>l</w:t>
            </w:r>
            <w:r w:rsidRPr="008E2393">
              <w:t>icensees – foreign</w:t>
            </w:r>
          </w:p>
        </w:tc>
        <w:tc>
          <w:tcPr>
            <w:tcW w:w="3061" w:type="dxa"/>
            <w:vAlign w:val="center"/>
          </w:tcPr>
          <w:p w14:paraId="2039A8BE" w14:textId="07C2A8FA" w:rsidR="00C367A0" w:rsidRPr="000540E1" w:rsidRDefault="00C367A0" w:rsidP="00C367A0">
            <w:pPr>
              <w:pStyle w:val="tbltext"/>
            </w:pPr>
            <w:r w:rsidRPr="008E2393">
              <w:t>6</w:t>
            </w:r>
          </w:p>
        </w:tc>
      </w:tr>
      <w:tr w:rsidR="007135CA" w:rsidRPr="000540E1" w14:paraId="77083532" w14:textId="77777777" w:rsidTr="007135CA">
        <w:trPr>
          <w:cantSplit/>
        </w:trPr>
        <w:tc>
          <w:tcPr>
            <w:tcW w:w="6066" w:type="dxa"/>
            <w:vAlign w:val="center"/>
          </w:tcPr>
          <w:p w14:paraId="4EBE4395" w14:textId="51D9270E" w:rsidR="00C367A0" w:rsidRPr="000540E1" w:rsidRDefault="00C367A0" w:rsidP="00C367A0">
            <w:pPr>
              <w:pStyle w:val="tbltext"/>
            </w:pPr>
            <w:r w:rsidRPr="008E2393">
              <w:rPr>
                <w:lang w:val="en-US"/>
              </w:rPr>
              <w:t>Clearing and settlement</w:t>
            </w:r>
            <w:r>
              <w:rPr>
                <w:lang w:val="en-US"/>
              </w:rPr>
              <w:t xml:space="preserve"> (CS)</w:t>
            </w:r>
            <w:r w:rsidRPr="008E2393">
              <w:rPr>
                <w:lang w:val="en-US"/>
              </w:rPr>
              <w:t xml:space="preserve"> </w:t>
            </w:r>
            <w:r>
              <w:rPr>
                <w:lang w:val="en-US"/>
              </w:rPr>
              <w:t xml:space="preserve">facility </w:t>
            </w:r>
            <w:r w:rsidRPr="008E2393">
              <w:rPr>
                <w:lang w:val="en-US"/>
              </w:rPr>
              <w:t>license</w:t>
            </w:r>
            <w:r>
              <w:rPr>
                <w:lang w:val="en-US"/>
              </w:rPr>
              <w:t>es</w:t>
            </w:r>
          </w:p>
        </w:tc>
        <w:tc>
          <w:tcPr>
            <w:tcW w:w="3061" w:type="dxa"/>
            <w:vAlign w:val="center"/>
          </w:tcPr>
          <w:p w14:paraId="743381D1" w14:textId="0D9EB145" w:rsidR="00C367A0" w:rsidRPr="000540E1" w:rsidRDefault="00C367A0" w:rsidP="00C367A0">
            <w:pPr>
              <w:pStyle w:val="tbltext"/>
            </w:pPr>
            <w:r w:rsidRPr="003C6670">
              <w:t xml:space="preserve">7 (operating 8 </w:t>
            </w:r>
            <w:r w:rsidRPr="001170A2">
              <w:t>facilities</w:t>
            </w:r>
            <w:r w:rsidRPr="003C6670">
              <w:t>)</w:t>
            </w:r>
          </w:p>
        </w:tc>
      </w:tr>
      <w:tr w:rsidR="007135CA" w:rsidRPr="000540E1" w14:paraId="6E17862D" w14:textId="77777777" w:rsidTr="007135CA">
        <w:trPr>
          <w:cantSplit/>
        </w:trPr>
        <w:tc>
          <w:tcPr>
            <w:tcW w:w="6066" w:type="dxa"/>
            <w:vAlign w:val="center"/>
          </w:tcPr>
          <w:p w14:paraId="341C2166" w14:textId="31A83C36" w:rsidR="00C367A0" w:rsidRPr="008E2393" w:rsidRDefault="00C367A0" w:rsidP="00F46623">
            <w:pPr>
              <w:pStyle w:val="tbltext"/>
              <w:rPr>
                <w:lang w:val="en-US"/>
              </w:rPr>
            </w:pPr>
            <w:r w:rsidRPr="008E2393">
              <w:t xml:space="preserve">Exempt </w:t>
            </w:r>
            <w:r w:rsidR="00F46623">
              <w:t>market</w:t>
            </w:r>
            <w:r w:rsidRPr="008E2393">
              <w:t>s</w:t>
            </w:r>
          </w:p>
        </w:tc>
        <w:tc>
          <w:tcPr>
            <w:tcW w:w="3061" w:type="dxa"/>
            <w:vAlign w:val="center"/>
          </w:tcPr>
          <w:p w14:paraId="363A1A81" w14:textId="24F430E9" w:rsidR="00C367A0" w:rsidRPr="003C6670" w:rsidRDefault="00C367A0" w:rsidP="00C367A0">
            <w:pPr>
              <w:pStyle w:val="tbltext"/>
            </w:pPr>
            <w:r>
              <w:rPr>
                <w:rFonts w:eastAsiaTheme="minorEastAsia"/>
                <w:color w:val="000000" w:themeColor="dark1"/>
              </w:rPr>
              <w:t>26</w:t>
            </w:r>
          </w:p>
        </w:tc>
      </w:tr>
      <w:tr w:rsidR="007135CA" w:rsidRPr="000540E1" w14:paraId="0ECAC979" w14:textId="77777777" w:rsidTr="007135CA">
        <w:trPr>
          <w:cantSplit/>
        </w:trPr>
        <w:tc>
          <w:tcPr>
            <w:tcW w:w="6066" w:type="dxa"/>
            <w:vAlign w:val="center"/>
          </w:tcPr>
          <w:p w14:paraId="742F66C3" w14:textId="149FD112" w:rsidR="00C367A0" w:rsidRPr="008E2393" w:rsidRDefault="00C367A0" w:rsidP="00C367A0">
            <w:pPr>
              <w:pStyle w:val="tbltext"/>
            </w:pPr>
            <w:r>
              <w:t>Exempt clearing and settlement facilities</w:t>
            </w:r>
          </w:p>
        </w:tc>
        <w:tc>
          <w:tcPr>
            <w:tcW w:w="3061" w:type="dxa"/>
            <w:vAlign w:val="center"/>
          </w:tcPr>
          <w:p w14:paraId="59864325" w14:textId="52245629" w:rsidR="00C367A0" w:rsidRDefault="00C367A0" w:rsidP="00C367A0">
            <w:pPr>
              <w:pStyle w:val="tbltext"/>
              <w:rPr>
                <w:rFonts w:eastAsiaTheme="minorEastAsia"/>
                <w:color w:val="000000" w:themeColor="dark1"/>
              </w:rPr>
            </w:pPr>
            <w:r>
              <w:rPr>
                <w:rFonts w:eastAsiaTheme="minorEastAsia"/>
                <w:color w:val="000000" w:themeColor="dark1"/>
              </w:rPr>
              <w:t>1</w:t>
            </w:r>
          </w:p>
        </w:tc>
      </w:tr>
      <w:tr w:rsidR="007135CA" w:rsidRPr="000540E1" w14:paraId="6772B9DA" w14:textId="77777777" w:rsidTr="007135CA">
        <w:trPr>
          <w:cantSplit/>
        </w:trPr>
        <w:tc>
          <w:tcPr>
            <w:tcW w:w="6066" w:type="dxa"/>
            <w:vAlign w:val="center"/>
          </w:tcPr>
          <w:p w14:paraId="788F2331" w14:textId="3750C9FF" w:rsidR="00C367A0" w:rsidRDefault="00C367A0" w:rsidP="00C367A0">
            <w:pPr>
              <w:pStyle w:val="tbltext"/>
            </w:pPr>
            <w:r w:rsidRPr="008E2393">
              <w:t xml:space="preserve">Trade </w:t>
            </w:r>
            <w:r>
              <w:t>r</w:t>
            </w:r>
            <w:r w:rsidRPr="008E2393">
              <w:t>epositories</w:t>
            </w:r>
          </w:p>
        </w:tc>
        <w:tc>
          <w:tcPr>
            <w:tcW w:w="3061" w:type="dxa"/>
            <w:vAlign w:val="center"/>
          </w:tcPr>
          <w:p w14:paraId="26460677" w14:textId="31620165" w:rsidR="00C367A0" w:rsidRDefault="00C367A0" w:rsidP="00C367A0">
            <w:pPr>
              <w:pStyle w:val="tbltext"/>
              <w:rPr>
                <w:rFonts w:eastAsiaTheme="minorEastAsia"/>
                <w:color w:val="000000" w:themeColor="dark1"/>
              </w:rPr>
            </w:pPr>
            <w:r w:rsidRPr="008E2393">
              <w:t>3</w:t>
            </w:r>
          </w:p>
        </w:tc>
      </w:tr>
      <w:tr w:rsidR="007135CA" w:rsidRPr="000540E1" w14:paraId="64CD6406" w14:textId="77777777" w:rsidTr="007135CA">
        <w:trPr>
          <w:cantSplit/>
        </w:trPr>
        <w:tc>
          <w:tcPr>
            <w:tcW w:w="6066" w:type="dxa"/>
            <w:vAlign w:val="center"/>
          </w:tcPr>
          <w:p w14:paraId="658900A4" w14:textId="368317C4" w:rsidR="00C367A0" w:rsidRPr="008E2393" w:rsidRDefault="00C367A0" w:rsidP="00C367A0">
            <w:pPr>
              <w:pStyle w:val="tbltext"/>
            </w:pPr>
            <w:r w:rsidRPr="008E2393">
              <w:t>Credit rating agencies</w:t>
            </w:r>
          </w:p>
        </w:tc>
        <w:tc>
          <w:tcPr>
            <w:tcW w:w="3061" w:type="dxa"/>
            <w:vAlign w:val="center"/>
          </w:tcPr>
          <w:p w14:paraId="53EA7668" w14:textId="5E338F05" w:rsidR="00C367A0" w:rsidRPr="008E2393" w:rsidRDefault="00C367A0" w:rsidP="00C367A0">
            <w:pPr>
              <w:pStyle w:val="tbltext"/>
            </w:pPr>
            <w:r w:rsidRPr="008E2393">
              <w:t>7</w:t>
            </w:r>
          </w:p>
        </w:tc>
      </w:tr>
      <w:tr w:rsidR="007135CA" w:rsidRPr="000540E1" w14:paraId="6B8A9474" w14:textId="77777777" w:rsidTr="007135CA">
        <w:trPr>
          <w:cantSplit/>
        </w:trPr>
        <w:tc>
          <w:tcPr>
            <w:tcW w:w="6066" w:type="dxa"/>
            <w:vAlign w:val="center"/>
          </w:tcPr>
          <w:p w14:paraId="24EFBA3B" w14:textId="3E6E22F9" w:rsidR="00C367A0" w:rsidRPr="008E2393" w:rsidRDefault="00C367A0" w:rsidP="00C367A0">
            <w:pPr>
              <w:pStyle w:val="tbltext"/>
            </w:pPr>
            <w:r w:rsidRPr="008E2393">
              <w:t xml:space="preserve">Market </w:t>
            </w:r>
            <w:r>
              <w:t>p</w:t>
            </w:r>
            <w:r w:rsidRPr="008E2393">
              <w:t>articipants</w:t>
            </w:r>
          </w:p>
        </w:tc>
        <w:tc>
          <w:tcPr>
            <w:tcW w:w="3061" w:type="dxa"/>
            <w:vAlign w:val="center"/>
          </w:tcPr>
          <w:p w14:paraId="1BC83AF5" w14:textId="22407576" w:rsidR="00C367A0" w:rsidRPr="008E2393" w:rsidRDefault="00C367A0" w:rsidP="00C367A0">
            <w:pPr>
              <w:pStyle w:val="tbltext"/>
            </w:pPr>
            <w:r w:rsidRPr="008E2393">
              <w:t>133</w:t>
            </w:r>
          </w:p>
        </w:tc>
      </w:tr>
      <w:tr w:rsidR="007135CA" w:rsidRPr="000540E1" w14:paraId="2CCE7FF7" w14:textId="77777777" w:rsidTr="007135CA">
        <w:trPr>
          <w:cantSplit/>
        </w:trPr>
        <w:tc>
          <w:tcPr>
            <w:tcW w:w="6066" w:type="dxa"/>
            <w:vAlign w:val="center"/>
          </w:tcPr>
          <w:p w14:paraId="766928EF" w14:textId="090FF4F6" w:rsidR="00C367A0" w:rsidRPr="008E2393" w:rsidRDefault="00C367A0" w:rsidP="00C367A0">
            <w:pPr>
              <w:pStyle w:val="tbltext"/>
            </w:pPr>
            <w:r w:rsidRPr="008E2393">
              <w:rPr>
                <w:color w:val="000000" w:themeColor="dark1"/>
                <w:lang w:val="en-US"/>
              </w:rPr>
              <w:t>Securities dealers</w:t>
            </w:r>
          </w:p>
        </w:tc>
        <w:tc>
          <w:tcPr>
            <w:tcW w:w="3061" w:type="dxa"/>
            <w:vAlign w:val="center"/>
          </w:tcPr>
          <w:p w14:paraId="3B5451AF" w14:textId="443526C2" w:rsidR="00C367A0" w:rsidRPr="008E2393" w:rsidRDefault="00C367A0" w:rsidP="00C367A0">
            <w:pPr>
              <w:pStyle w:val="tbltext"/>
            </w:pPr>
            <w:r>
              <w:rPr>
                <w:rFonts w:eastAsiaTheme="minorEastAsia"/>
                <w:color w:val="000000" w:themeColor="dark1"/>
              </w:rPr>
              <w:t>2,840</w:t>
            </w:r>
          </w:p>
        </w:tc>
      </w:tr>
      <w:tr w:rsidR="007135CA" w:rsidRPr="000540E1" w14:paraId="2D235EA4" w14:textId="77777777" w:rsidTr="007135CA">
        <w:trPr>
          <w:cantSplit/>
        </w:trPr>
        <w:tc>
          <w:tcPr>
            <w:tcW w:w="6066" w:type="dxa"/>
            <w:vAlign w:val="center"/>
          </w:tcPr>
          <w:p w14:paraId="7E7D1DB2" w14:textId="40F2742C" w:rsidR="00C367A0" w:rsidRPr="008E2393" w:rsidRDefault="00C367A0" w:rsidP="00C367A0">
            <w:pPr>
              <w:pStyle w:val="tbltext"/>
              <w:rPr>
                <w:color w:val="000000" w:themeColor="dark1"/>
                <w:lang w:val="en-US"/>
              </w:rPr>
            </w:pPr>
            <w:r w:rsidRPr="008E2393">
              <w:rPr>
                <w:lang w:val="en-US"/>
              </w:rPr>
              <w:t>Investment bank</w:t>
            </w:r>
            <w:r>
              <w:rPr>
                <w:lang w:val="en-US"/>
              </w:rPr>
              <w:t>s</w:t>
            </w:r>
          </w:p>
        </w:tc>
        <w:tc>
          <w:tcPr>
            <w:tcW w:w="3061" w:type="dxa"/>
            <w:vAlign w:val="center"/>
          </w:tcPr>
          <w:p w14:paraId="20E931AC" w14:textId="305F9779" w:rsidR="00C367A0" w:rsidRDefault="00C367A0" w:rsidP="00C367A0">
            <w:pPr>
              <w:pStyle w:val="tbltext"/>
              <w:rPr>
                <w:rFonts w:eastAsiaTheme="minorEastAsia"/>
                <w:color w:val="000000" w:themeColor="dark1"/>
              </w:rPr>
            </w:pPr>
            <w:r>
              <w:rPr>
                <w:rFonts w:eastAsiaTheme="minorEastAsia"/>
                <w:color w:val="000000" w:themeColor="dark1"/>
              </w:rPr>
              <w:t>Estimated to be 570</w:t>
            </w:r>
          </w:p>
        </w:tc>
      </w:tr>
      <w:tr w:rsidR="007135CA" w:rsidRPr="000540E1" w14:paraId="79145D48" w14:textId="77777777" w:rsidTr="007135CA">
        <w:trPr>
          <w:cantSplit/>
        </w:trPr>
        <w:tc>
          <w:tcPr>
            <w:tcW w:w="6066" w:type="dxa"/>
            <w:vAlign w:val="center"/>
          </w:tcPr>
          <w:p w14:paraId="1E8FE52F" w14:textId="1D4B9D40" w:rsidR="00C367A0" w:rsidRPr="008E2393" w:rsidRDefault="00C367A0" w:rsidP="00C367A0">
            <w:pPr>
              <w:pStyle w:val="tbltext"/>
              <w:rPr>
                <w:lang w:val="en-US"/>
              </w:rPr>
            </w:pPr>
            <w:r w:rsidRPr="008E2393">
              <w:rPr>
                <w:color w:val="000000" w:themeColor="dark1"/>
                <w:lang w:val="en-US"/>
              </w:rPr>
              <w:t>Retail OTC derivatives issuers</w:t>
            </w:r>
          </w:p>
        </w:tc>
        <w:tc>
          <w:tcPr>
            <w:tcW w:w="3061" w:type="dxa"/>
            <w:vAlign w:val="center"/>
          </w:tcPr>
          <w:p w14:paraId="11580715" w14:textId="78DC7118" w:rsidR="00C367A0" w:rsidRDefault="00C367A0" w:rsidP="00C367A0">
            <w:pPr>
              <w:pStyle w:val="tbltext"/>
              <w:rPr>
                <w:rFonts w:eastAsiaTheme="minorEastAsia"/>
                <w:color w:val="000000" w:themeColor="dark1"/>
              </w:rPr>
            </w:pPr>
            <w:r>
              <w:rPr>
                <w:rFonts w:eastAsiaTheme="minorEastAsia"/>
                <w:color w:val="000000" w:themeColor="dark1"/>
              </w:rPr>
              <w:t>65</w:t>
            </w:r>
          </w:p>
        </w:tc>
      </w:tr>
      <w:tr w:rsidR="007135CA" w:rsidRPr="000540E1" w14:paraId="0DD48387" w14:textId="77777777" w:rsidTr="007135CA">
        <w:trPr>
          <w:cantSplit/>
        </w:trPr>
        <w:tc>
          <w:tcPr>
            <w:tcW w:w="6066" w:type="dxa"/>
            <w:vAlign w:val="center"/>
          </w:tcPr>
          <w:p w14:paraId="1B0CFDB8" w14:textId="2CC691F5" w:rsidR="00C367A0" w:rsidRPr="008E2393" w:rsidRDefault="00C367A0" w:rsidP="00C367A0">
            <w:pPr>
              <w:pStyle w:val="tbltext"/>
              <w:rPr>
                <w:color w:val="000000" w:themeColor="dark1"/>
                <w:lang w:val="en-US"/>
              </w:rPr>
            </w:pPr>
            <w:r w:rsidRPr="008E2393">
              <w:rPr>
                <w:color w:val="000000" w:themeColor="dark1"/>
                <w:lang w:val="en-US"/>
              </w:rPr>
              <w:t>Wholesale electricity dealers</w:t>
            </w:r>
          </w:p>
        </w:tc>
        <w:tc>
          <w:tcPr>
            <w:tcW w:w="3061" w:type="dxa"/>
            <w:vAlign w:val="center"/>
          </w:tcPr>
          <w:p w14:paraId="5C6E4832" w14:textId="58DA3B85" w:rsidR="00C367A0" w:rsidRDefault="00C367A0" w:rsidP="00C367A0">
            <w:pPr>
              <w:pStyle w:val="tbltext"/>
              <w:rPr>
                <w:rFonts w:eastAsiaTheme="minorEastAsia"/>
                <w:color w:val="000000" w:themeColor="dark1"/>
              </w:rPr>
            </w:pPr>
            <w:r w:rsidRPr="008E2393">
              <w:rPr>
                <w:rFonts w:eastAsiaTheme="minorEastAsia"/>
                <w:color w:val="000000" w:themeColor="dark1"/>
              </w:rPr>
              <w:t>59</w:t>
            </w:r>
          </w:p>
        </w:tc>
      </w:tr>
    </w:tbl>
    <w:p w14:paraId="5795DE64" w14:textId="60B57D81" w:rsidR="00775990" w:rsidRDefault="00775990">
      <w:pPr>
        <w:spacing w:after="0"/>
      </w:pPr>
    </w:p>
    <w:p w14:paraId="43894489" w14:textId="62D9B5DE" w:rsidR="00753286" w:rsidRDefault="00753286" w:rsidP="00A64016">
      <w:pPr>
        <w:pStyle w:val="figuretitlefullwidth"/>
      </w:pPr>
      <w:bookmarkStart w:id="285" w:name="_Ref463605502"/>
      <w:r w:rsidRPr="00753286">
        <w:t xml:space="preserve">Figure </w:t>
      </w:r>
      <w:r w:rsidRPr="00753286">
        <w:fldChar w:fldCharType="begin"/>
      </w:r>
      <w:r w:rsidRPr="008D5FA4">
        <w:instrText xml:space="preserve"> SEQ Figure \* ARABIC </w:instrText>
      </w:r>
      <w:r w:rsidRPr="00753286">
        <w:fldChar w:fldCharType="separate"/>
      </w:r>
      <w:r w:rsidR="00A37D1A">
        <w:rPr>
          <w:noProof/>
        </w:rPr>
        <w:t>12</w:t>
      </w:r>
      <w:r w:rsidRPr="00753286">
        <w:rPr>
          <w:noProof/>
        </w:rPr>
        <w:fldChar w:fldCharType="end"/>
      </w:r>
      <w:bookmarkEnd w:id="285"/>
      <w:r w:rsidRPr="00753286">
        <w:t>:</w:t>
      </w:r>
      <w:r w:rsidRPr="00753286">
        <w:tab/>
      </w:r>
      <w:r w:rsidRPr="001149DE">
        <w:t>Regulatory costs for the market infrastructure and intermediaries sector in 2016–17</w:t>
      </w:r>
    </w:p>
    <w:p w14:paraId="6CEA20F2" w14:textId="7B06EB4A" w:rsidR="00753286" w:rsidRPr="00753286" w:rsidRDefault="00F46623" w:rsidP="001149DE">
      <w:pPr>
        <w:pStyle w:val="figuretext"/>
      </w:pPr>
      <w:r>
        <w:rPr>
          <w:noProof/>
        </w:rPr>
        <w:drawing>
          <wp:inline distT="0" distB="0" distL="0" distR="0" wp14:anchorId="4D3E415D" wp14:editId="1EB403EA">
            <wp:extent cx="5761355" cy="313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3133725"/>
                    </a:xfrm>
                    <a:prstGeom prst="rect">
                      <a:avLst/>
                    </a:prstGeom>
                    <a:noFill/>
                  </pic:spPr>
                </pic:pic>
              </a:graphicData>
            </a:graphic>
          </wp:inline>
        </w:drawing>
      </w:r>
    </w:p>
    <w:p w14:paraId="69456152" w14:textId="77777777" w:rsidR="00775990" w:rsidRPr="008E2393" w:rsidRDefault="00775990" w:rsidP="00775990">
      <w:pPr>
        <w:pStyle w:val="Heading3"/>
      </w:pPr>
      <w:bookmarkStart w:id="286" w:name="_Toc462677715"/>
      <w:bookmarkStart w:id="287" w:name="_Toc462697153"/>
      <w:bookmarkStart w:id="288" w:name="_Toc462698964"/>
      <w:bookmarkStart w:id="289" w:name="_Toc462700200"/>
      <w:bookmarkStart w:id="290" w:name="_Toc462700881"/>
      <w:r w:rsidRPr="008E2393">
        <w:t>Market infrastructure providers</w:t>
      </w:r>
      <w:bookmarkEnd w:id="286"/>
      <w:bookmarkEnd w:id="287"/>
      <w:bookmarkEnd w:id="288"/>
      <w:bookmarkEnd w:id="289"/>
      <w:bookmarkEnd w:id="290"/>
    </w:p>
    <w:p w14:paraId="25B36EF1" w14:textId="77777777" w:rsidR="00775990" w:rsidRPr="008E2393" w:rsidRDefault="00775990" w:rsidP="00775990">
      <w:pPr>
        <w:pStyle w:val="BodyText"/>
      </w:pPr>
      <w:r w:rsidRPr="008E2393">
        <w:t xml:space="preserve">MIPs are entities that are Australian </w:t>
      </w:r>
      <w:r>
        <w:t>m</w:t>
      </w:r>
      <w:r w:rsidRPr="008E2393">
        <w:t xml:space="preserve">arket </w:t>
      </w:r>
      <w:r>
        <w:t>l</w:t>
      </w:r>
      <w:r w:rsidRPr="008E2393">
        <w:t>icen</w:t>
      </w:r>
      <w:r>
        <w:t>sees</w:t>
      </w:r>
      <w:r w:rsidRPr="008E2393">
        <w:t xml:space="preserve">, </w:t>
      </w:r>
      <w:r>
        <w:t>c</w:t>
      </w:r>
      <w:r w:rsidRPr="008E2393">
        <w:t xml:space="preserve">learing and </w:t>
      </w:r>
      <w:r>
        <w:t>s</w:t>
      </w:r>
      <w:r w:rsidRPr="008E2393">
        <w:t xml:space="preserve">ettlement </w:t>
      </w:r>
      <w:r>
        <w:t>(CS) f</w:t>
      </w:r>
      <w:r w:rsidRPr="008E2393">
        <w:t xml:space="preserve">acility </w:t>
      </w:r>
      <w:r>
        <w:t>l</w:t>
      </w:r>
      <w:r w:rsidRPr="008E2393">
        <w:t>icen</w:t>
      </w:r>
      <w:r>
        <w:t>sees</w:t>
      </w:r>
      <w:r w:rsidRPr="008E2393">
        <w:t xml:space="preserve">, Australian </w:t>
      </w:r>
      <w:r>
        <w:t>d</w:t>
      </w:r>
      <w:r w:rsidRPr="008E2393">
        <w:t xml:space="preserve">erivative </w:t>
      </w:r>
      <w:r>
        <w:t>t</w:t>
      </w:r>
      <w:r w:rsidRPr="008E2393">
        <w:t xml:space="preserve">rade </w:t>
      </w:r>
      <w:r>
        <w:t>r</w:t>
      </w:r>
      <w:r w:rsidRPr="008E2393">
        <w:t xml:space="preserve">epository </w:t>
      </w:r>
      <w:r>
        <w:t>license</w:t>
      </w:r>
      <w:r w:rsidRPr="008E2393">
        <w:t>e</w:t>
      </w:r>
      <w:r>
        <w:t>s</w:t>
      </w:r>
      <w:r w:rsidRPr="008E2393">
        <w:t xml:space="preserve">, </w:t>
      </w:r>
      <w:r>
        <w:t>c</w:t>
      </w:r>
      <w:r w:rsidRPr="008E2393">
        <w:t xml:space="preserve">redit </w:t>
      </w:r>
      <w:r>
        <w:t>r</w:t>
      </w:r>
      <w:r w:rsidRPr="008E2393">
        <w:t xml:space="preserve">ating </w:t>
      </w:r>
      <w:r>
        <w:t>a</w:t>
      </w:r>
      <w:r w:rsidRPr="008E2393">
        <w:t xml:space="preserve">gencies and entities that otherwise hold an exemption from the requirement to hold a licence (exempt MIPs). </w:t>
      </w:r>
    </w:p>
    <w:p w14:paraId="291D90C0" w14:textId="77777777" w:rsidR="007135CA" w:rsidRDefault="007135CA">
      <w:pPr>
        <w:spacing w:after="0"/>
        <w:rPr>
          <w:szCs w:val="22"/>
        </w:rPr>
      </w:pPr>
      <w:r>
        <w:br w:type="page"/>
      </w:r>
    </w:p>
    <w:p w14:paraId="6FB3D975" w14:textId="26BFDA11" w:rsidR="00775990" w:rsidRDefault="00775990" w:rsidP="00775990">
      <w:pPr>
        <w:pStyle w:val="BodyText"/>
      </w:pPr>
      <w:r w:rsidRPr="008E2393">
        <w:t xml:space="preserve">ASIC’s supervision of MIPs is critical to the operation of Australia’s financial markets. ASIC’s role is to oversee MIPs’ compliance with their obligations under the financial services laws, the discharge of which plays a central role in ensuring investor </w:t>
      </w:r>
      <w:r>
        <w:t xml:space="preserve">trust and </w:t>
      </w:r>
      <w:r w:rsidRPr="008E2393">
        <w:t xml:space="preserve">confidence in Australia’s financial markets . </w:t>
      </w:r>
    </w:p>
    <w:p w14:paraId="0B517797" w14:textId="6DC87856" w:rsidR="00775990" w:rsidRDefault="00775990" w:rsidP="00775990">
      <w:pPr>
        <w:pStyle w:val="BodyText"/>
      </w:pPr>
      <w:r w:rsidRPr="008E2393">
        <w:t>As part of its role, ASIC undertakes routine reviews of the performance and compliance of MIPs, which includes real-time front-line supervision of trading on licensed domestic markets, periodic assessments, strategic market wide and individual entity reviews, ongoing engage</w:t>
      </w:r>
      <w:r w:rsidR="00714D0C">
        <w:t>ment and periodic remediation.</w:t>
      </w:r>
    </w:p>
    <w:p w14:paraId="17A515F2" w14:textId="558DB7AB" w:rsidR="00775990" w:rsidRDefault="00775990" w:rsidP="00775990">
      <w:pPr>
        <w:pStyle w:val="BodyText"/>
      </w:pPr>
      <w:r w:rsidRPr="008E2393">
        <w:t xml:space="preserve">ASIC’s role also includes the provision of strategic and implementation </w:t>
      </w:r>
      <w:r>
        <w:t>advice to Government and provid</w:t>
      </w:r>
      <w:r w:rsidRPr="008E2393">
        <w:t>ing regulatory guidance to industry, includ</w:t>
      </w:r>
      <w:r>
        <w:t>ing</w:t>
      </w:r>
      <w:r w:rsidRPr="008E2393">
        <w:t xml:space="preserve"> guidance on standards.</w:t>
      </w:r>
    </w:p>
    <w:p w14:paraId="40278FF3" w14:textId="3347A414" w:rsidR="00775990" w:rsidRPr="008E2393" w:rsidRDefault="00775990" w:rsidP="00775990">
      <w:pPr>
        <w:pStyle w:val="BodyText"/>
      </w:pPr>
      <w:r w:rsidRPr="008E2393">
        <w:t>In 2016</w:t>
      </w:r>
      <w:r>
        <w:t>–</w:t>
      </w:r>
      <w:r w:rsidRPr="008E2393">
        <w:t>17, ASIC will undertake a range of ongoing and future initiatives in this respect, which include:</w:t>
      </w:r>
    </w:p>
    <w:p w14:paraId="48CA365E" w14:textId="77777777" w:rsidR="00775990" w:rsidRPr="008E2393" w:rsidRDefault="00775990" w:rsidP="000B5B80">
      <w:pPr>
        <w:pStyle w:val="subparaa"/>
        <w:ind w:left="1559"/>
      </w:pPr>
      <w:r>
        <w:t>c</w:t>
      </w:r>
      <w:r w:rsidRPr="008E2393">
        <w:t>ontinu</w:t>
      </w:r>
      <w:r>
        <w:t>ing</w:t>
      </w:r>
      <w:r w:rsidRPr="008E2393">
        <w:t xml:space="preserve"> work with other Council of Financial Regulators agencies on the proposal to institute a regulatory framework in Australia for benchmark administrators</w:t>
      </w:r>
    </w:p>
    <w:p w14:paraId="10948CDE" w14:textId="77777777" w:rsidR="00775990" w:rsidRPr="008E2393" w:rsidRDefault="00775990" w:rsidP="000B5B80">
      <w:pPr>
        <w:pStyle w:val="subparaa"/>
        <w:ind w:left="1559"/>
      </w:pPr>
      <w:r w:rsidRPr="008E2393">
        <w:t>support</w:t>
      </w:r>
      <w:r>
        <w:t>ing</w:t>
      </w:r>
      <w:r w:rsidRPr="008E2393">
        <w:t xml:space="preserve"> the implementation of any changes associated with the Government decision on competition in equities clearing</w:t>
      </w:r>
    </w:p>
    <w:p w14:paraId="2DECD686" w14:textId="77777777" w:rsidR="00775990" w:rsidRPr="008E2393" w:rsidRDefault="00775990" w:rsidP="000B5B80">
      <w:pPr>
        <w:pStyle w:val="subparaa"/>
        <w:ind w:left="1559"/>
      </w:pPr>
      <w:r w:rsidRPr="008E2393">
        <w:t>support</w:t>
      </w:r>
      <w:r>
        <w:t>ing</w:t>
      </w:r>
      <w:r w:rsidRPr="008E2393">
        <w:t xml:space="preserve"> delivery of an effective recovery and resolution regime for Australian CS </w:t>
      </w:r>
      <w:r>
        <w:t>f</w:t>
      </w:r>
      <w:r w:rsidRPr="008E2393">
        <w:t>acilit</w:t>
      </w:r>
      <w:r>
        <w:t>y licensees</w:t>
      </w:r>
      <w:r w:rsidRPr="008E2393">
        <w:t xml:space="preserve">, and </w:t>
      </w:r>
      <w:r>
        <w:t>t</w:t>
      </w:r>
      <w:r w:rsidRPr="008E2393">
        <w:t xml:space="preserve">rade </w:t>
      </w:r>
      <w:r>
        <w:t>r</w:t>
      </w:r>
      <w:r w:rsidRPr="008E2393">
        <w:t>epositories</w:t>
      </w:r>
    </w:p>
    <w:p w14:paraId="71EE9D28" w14:textId="77777777" w:rsidR="00775990" w:rsidRPr="008E2393" w:rsidRDefault="00775990" w:rsidP="000B5B80">
      <w:pPr>
        <w:pStyle w:val="subparaa"/>
        <w:ind w:left="1559"/>
      </w:pPr>
      <w:r w:rsidRPr="008E2393">
        <w:t>continu</w:t>
      </w:r>
      <w:r>
        <w:t>ing</w:t>
      </w:r>
      <w:r w:rsidRPr="008E2393">
        <w:t xml:space="preserve"> to progress the project to consolidate the various ASIC Market Integrity Rules rulebooks</w:t>
      </w:r>
    </w:p>
    <w:p w14:paraId="6A0FF67F" w14:textId="77777777" w:rsidR="00775990" w:rsidRDefault="00775990" w:rsidP="000B5B80">
      <w:pPr>
        <w:pStyle w:val="subparaa"/>
        <w:ind w:left="1559"/>
      </w:pPr>
      <w:r w:rsidRPr="008E2393">
        <w:t>undertak</w:t>
      </w:r>
      <w:r>
        <w:t xml:space="preserve">ing </w:t>
      </w:r>
      <w:r w:rsidRPr="008E2393">
        <w:t>various reviews and assessments with particular focus on standard setting and compliance on the administration of listings functions and conflict management</w:t>
      </w:r>
    </w:p>
    <w:p w14:paraId="1B7F89AA" w14:textId="74A3157F" w:rsidR="00A75F21" w:rsidRDefault="00A75F21" w:rsidP="000B5B80">
      <w:pPr>
        <w:pStyle w:val="subparaa"/>
        <w:ind w:left="1559"/>
      </w:pPr>
      <w:r>
        <w:t>f</w:t>
      </w:r>
      <w:r w:rsidRPr="005E74DE">
        <w:t>inalising the arrangements for conducting surveillance of OTC data from trade repositories – as part of our work on OTC derivatives reform</w:t>
      </w:r>
    </w:p>
    <w:p w14:paraId="3D392993" w14:textId="7921A9E4" w:rsidR="00A75F21" w:rsidRDefault="00A75F21" w:rsidP="000B5B80">
      <w:pPr>
        <w:pStyle w:val="subparaa"/>
        <w:ind w:left="1559"/>
      </w:pPr>
      <w:r>
        <w:t>d</w:t>
      </w:r>
      <w:r w:rsidRPr="005E74DE">
        <w:t>eveloping and implementing standards relating to technology changes and technology management</w:t>
      </w:r>
      <w:r w:rsidDel="00A75F21">
        <w:t xml:space="preserve"> </w:t>
      </w:r>
    </w:p>
    <w:p w14:paraId="71B4E471" w14:textId="32C2DA4A" w:rsidR="00A75F21" w:rsidRPr="008E2393" w:rsidRDefault="00A75F21" w:rsidP="000B5B80">
      <w:pPr>
        <w:pStyle w:val="subparaa"/>
        <w:ind w:left="1559"/>
      </w:pPr>
      <w:r w:rsidRPr="008E2393">
        <w:t>continu</w:t>
      </w:r>
      <w:r>
        <w:t>ing</w:t>
      </w:r>
      <w:r w:rsidRPr="008E2393">
        <w:t xml:space="preserve"> work on standard setting on cyber resilience</w:t>
      </w:r>
    </w:p>
    <w:p w14:paraId="50242880" w14:textId="053BFF20" w:rsidR="00775990" w:rsidRDefault="00775990" w:rsidP="000B5B80">
      <w:pPr>
        <w:pStyle w:val="subparaa"/>
        <w:ind w:left="1559"/>
      </w:pPr>
      <w:r w:rsidRPr="008E2393">
        <w:t>undertak</w:t>
      </w:r>
      <w:r>
        <w:t>ing</w:t>
      </w:r>
      <w:r w:rsidRPr="008E2393">
        <w:t xml:space="preserve"> industry consultation on updates to the new financial market licensing framework in Australia. This is important to ensuring Australia</w:t>
      </w:r>
      <w:r w:rsidR="0003187F">
        <w:t>’</w:t>
      </w:r>
      <w:r w:rsidRPr="008E2393">
        <w:t xml:space="preserve">s licensing regime continues to be fit for purpose and is able to accommodate new market types and business models that will emerge in </w:t>
      </w:r>
      <w:r>
        <w:t>the</w:t>
      </w:r>
      <w:r w:rsidRPr="008E2393">
        <w:t xml:space="preserve"> future.</w:t>
      </w:r>
    </w:p>
    <w:p w14:paraId="2D6317F3" w14:textId="363B421B" w:rsidR="00775990" w:rsidRPr="00775990" w:rsidRDefault="00775990" w:rsidP="00775990">
      <w:pPr>
        <w:pStyle w:val="BodyText"/>
        <w:rPr>
          <w:rFonts w:eastAsia="Batang"/>
          <w:b/>
          <w:bCs/>
        </w:rPr>
      </w:pPr>
      <w:bookmarkStart w:id="291" w:name="_Toc462677716"/>
      <w:r w:rsidRPr="00B510F6">
        <w:rPr>
          <w:rFonts w:eastAsia="Batang"/>
        </w:rPr>
        <w:t xml:space="preserve">In 2016–17, ASIC will </w:t>
      </w:r>
      <w:r>
        <w:rPr>
          <w:rFonts w:eastAsia="Batang"/>
        </w:rPr>
        <w:t xml:space="preserve">review the compliance of credit rating agencies with their obligations under the Corporations Act. </w:t>
      </w:r>
      <w:bookmarkEnd w:id="291"/>
    </w:p>
    <w:p w14:paraId="79356B2B" w14:textId="77777777" w:rsidR="007135CA" w:rsidRDefault="007135CA">
      <w:pPr>
        <w:spacing w:after="0"/>
        <w:rPr>
          <w:rFonts w:ascii="Arial" w:hAnsi="Arial" w:cs="Arial"/>
          <w:b/>
          <w:sz w:val="24"/>
          <w:szCs w:val="24"/>
        </w:rPr>
      </w:pPr>
      <w:bookmarkStart w:id="292" w:name="_Toc462677717"/>
      <w:bookmarkStart w:id="293" w:name="_Toc462697154"/>
      <w:bookmarkStart w:id="294" w:name="_Toc462698965"/>
      <w:bookmarkStart w:id="295" w:name="_Toc462700201"/>
      <w:bookmarkStart w:id="296" w:name="_Toc462700882"/>
      <w:r>
        <w:br w:type="page"/>
      </w:r>
    </w:p>
    <w:p w14:paraId="5D05AB07" w14:textId="7DE5F002" w:rsidR="00775990" w:rsidRPr="008E2393" w:rsidRDefault="00775990" w:rsidP="00775990">
      <w:pPr>
        <w:pStyle w:val="Heading3"/>
      </w:pPr>
      <w:r w:rsidRPr="008E2393">
        <w:t>Market intermediaries</w:t>
      </w:r>
      <w:bookmarkEnd w:id="292"/>
      <w:bookmarkEnd w:id="293"/>
      <w:bookmarkEnd w:id="294"/>
      <w:bookmarkEnd w:id="295"/>
      <w:bookmarkEnd w:id="296"/>
    </w:p>
    <w:p w14:paraId="3D7F0A7A" w14:textId="7BB135BD" w:rsidR="00775990" w:rsidRPr="008E2393" w:rsidRDefault="00775990" w:rsidP="00775990">
      <w:pPr>
        <w:pStyle w:val="BodyText"/>
      </w:pPr>
      <w:r w:rsidRPr="008E2393">
        <w:t>Market intermediaries (market participants and securities dealers) generally give effect to the trading behaviour that creates demand for market supervision and have a recognised ‘gatekeeper’ role in the Australian regulatory regime. ASIC supervises market intermediaries</w:t>
      </w:r>
      <w:r w:rsidR="0003187F">
        <w:t>’</w:t>
      </w:r>
      <w:r w:rsidRPr="008E2393">
        <w:t xml:space="preserve"> compliance with the Corporations Act and ASIC Market Integrity Rules and ensures intermediaries are meeting their AFS licence conditions. Where potential market misconduct is detected, ASIC conducts investigations and may take enforcement action.</w:t>
      </w:r>
    </w:p>
    <w:p w14:paraId="1E5B4163" w14:textId="7F53681C" w:rsidR="00775990" w:rsidRPr="00FB3400" w:rsidRDefault="00775990" w:rsidP="00FB3400">
      <w:pPr>
        <w:pStyle w:val="BodyText"/>
        <w:rPr>
          <w:rFonts w:asciiTheme="minorHAnsi" w:eastAsia="Batang" w:hAnsiTheme="minorHAnsi"/>
        </w:rPr>
      </w:pPr>
      <w:r w:rsidRPr="00FB3400">
        <w:rPr>
          <w:rFonts w:eastAsia="Batang"/>
        </w:rPr>
        <w:t>In 2016–17, ASIC will continue to promote better conduct by market intermediaries, including through:</w:t>
      </w:r>
    </w:p>
    <w:p w14:paraId="2DE8344E" w14:textId="1A720215" w:rsidR="00775990" w:rsidRPr="008E2393" w:rsidRDefault="00775990" w:rsidP="000B5B80">
      <w:pPr>
        <w:pStyle w:val="subparaa"/>
        <w:ind w:left="1559"/>
      </w:pPr>
      <w:r w:rsidRPr="008E2393">
        <w:t>real-time surveillance and supervision of activity on Australia</w:t>
      </w:r>
      <w:r w:rsidR="0003187F">
        <w:t>’</w:t>
      </w:r>
      <w:r w:rsidRPr="008E2393">
        <w:t>s financial markets</w:t>
      </w:r>
    </w:p>
    <w:p w14:paraId="402B56CC" w14:textId="3EBD687D" w:rsidR="00775990" w:rsidRPr="008E2393" w:rsidRDefault="00775990" w:rsidP="000B5B80">
      <w:pPr>
        <w:pStyle w:val="subparaa"/>
        <w:ind w:left="1559"/>
      </w:pPr>
      <w:r w:rsidRPr="008E2393">
        <w:t>providing guidance on good practices in relation to</w:t>
      </w:r>
      <w:r w:rsidR="009E238F">
        <w:t xml:space="preserve"> managing</w:t>
      </w:r>
      <w:r w:rsidRPr="008E2393">
        <w:t xml:space="preserve"> confidential information and conflicts of interest</w:t>
      </w:r>
      <w:r w:rsidR="009E238F">
        <w:t xml:space="preserve"> in research and corporate advisory</w:t>
      </w:r>
      <w:r w:rsidRPr="008E2393">
        <w:t>, and identifying and facilitating remediation of inappropriate practices</w:t>
      </w:r>
    </w:p>
    <w:p w14:paraId="24255C1D" w14:textId="58F14E6A" w:rsidR="009E238F" w:rsidRPr="008E2393" w:rsidRDefault="00775990" w:rsidP="000B5B80">
      <w:pPr>
        <w:pStyle w:val="subparaa"/>
        <w:ind w:left="1559"/>
      </w:pPr>
      <w:r w:rsidRPr="008E2393">
        <w:t xml:space="preserve">working to enhance </w:t>
      </w:r>
      <w:r>
        <w:t>their</w:t>
      </w:r>
      <w:r w:rsidRPr="008E2393">
        <w:t xml:space="preserve"> understanding of the level of </w:t>
      </w:r>
      <w:r w:rsidR="009E238F">
        <w:t xml:space="preserve">market </w:t>
      </w:r>
      <w:r w:rsidRPr="008E2393">
        <w:t>intermediaries</w:t>
      </w:r>
      <w:r w:rsidR="0003187F">
        <w:t>’</w:t>
      </w:r>
      <w:r w:rsidRPr="008E2393">
        <w:t xml:space="preserve"> implementation of conduct risk policies and procedures</w:t>
      </w:r>
      <w:r w:rsidR="009E238F">
        <w:t>,</w:t>
      </w:r>
      <w:r w:rsidRPr="008E2393">
        <w:t xml:space="preserve"> and incorporating the insights gather</w:t>
      </w:r>
      <w:r>
        <w:t>ed</w:t>
      </w:r>
      <w:r w:rsidRPr="008E2393">
        <w:t xml:space="preserve"> into future surveillances </w:t>
      </w:r>
    </w:p>
    <w:p w14:paraId="77073951" w14:textId="77777777" w:rsidR="00775990" w:rsidRPr="008E2393" w:rsidRDefault="00775990" w:rsidP="000B5B80">
      <w:pPr>
        <w:pStyle w:val="subparaa"/>
        <w:ind w:left="1559"/>
      </w:pPr>
      <w:r w:rsidRPr="008E2393">
        <w:t>continued work on standard setting on cyber resilience.</w:t>
      </w:r>
    </w:p>
    <w:p w14:paraId="79BE6EA9" w14:textId="783D251E" w:rsidR="009E238F" w:rsidRDefault="00775990" w:rsidP="009E238F">
      <w:pPr>
        <w:pStyle w:val="BodyText"/>
      </w:pPr>
      <w:r w:rsidRPr="00EA1E92">
        <w:t xml:space="preserve">ASIC will also enhance their Market Analysis Intelligence (MAI) system that will enable it to analyse </w:t>
      </w:r>
      <w:r w:rsidRPr="00ED0AA0">
        <w:t>transaction</w:t>
      </w:r>
      <w:r w:rsidRPr="00EA1E92">
        <w:t xml:space="preserve"> data for patterns and relationships, and incorporate </w:t>
      </w:r>
      <w:r w:rsidRPr="00ED0AA0">
        <w:t>transaction</w:t>
      </w:r>
      <w:r w:rsidRPr="00EA1E92">
        <w:t xml:space="preserve"> reporting data relating to OTC derivatives. ASIC’s Enhanced Investigative Analysis (EIA) system will help with building</w:t>
      </w:r>
      <w:r w:rsidR="003B3432">
        <w:t xml:space="preserve"> </w:t>
      </w:r>
      <w:r w:rsidR="003B3432" w:rsidRPr="00EA1E92">
        <w:t>evidence for investigations, create event chronologies and enable ASIC’s surveillance and enforcement teams to identify connections across matters.</w:t>
      </w:r>
      <w:r w:rsidR="009E238F">
        <w:t xml:space="preserve"> ASIC will provide </w:t>
      </w:r>
      <w:r w:rsidR="009E238F" w:rsidRPr="00C45A23">
        <w:t>feedback to entities and industry on the data gathered from</w:t>
      </w:r>
      <w:r w:rsidR="009E238F">
        <w:t xml:space="preserve"> surveillances, and highlight</w:t>
      </w:r>
      <w:r w:rsidR="009E238F" w:rsidRPr="00C45A23">
        <w:t xml:space="preserve"> critical areas of concern</w:t>
      </w:r>
      <w:r w:rsidR="009E238F">
        <w:t xml:space="preserve">. </w:t>
      </w:r>
    </w:p>
    <w:p w14:paraId="13DDD5A1" w14:textId="2B5CCC8C" w:rsidR="009E238F" w:rsidRPr="00C45A23" w:rsidRDefault="00A75F21" w:rsidP="009E238F">
      <w:pPr>
        <w:pStyle w:val="BodyText"/>
      </w:pPr>
      <w:r>
        <w:t>In 2016–17, ASIC will also d</w:t>
      </w:r>
      <w:r w:rsidR="009E238F">
        <w:t xml:space="preserve">eveloping </w:t>
      </w:r>
      <w:r w:rsidR="009E238F" w:rsidRPr="008D1937">
        <w:t>ASIC's position on capital requirements for market participants in parallel with the ASX</w:t>
      </w:r>
      <w:r w:rsidR="009E238F">
        <w:t xml:space="preserve"> Group</w:t>
      </w:r>
      <w:r w:rsidR="009E238F" w:rsidRPr="008D1937">
        <w:t xml:space="preserve"> review (and assistance from the R</w:t>
      </w:r>
      <w:r w:rsidR="009E238F">
        <w:t xml:space="preserve">eserve </w:t>
      </w:r>
      <w:r w:rsidR="009E238F" w:rsidRPr="008D1937">
        <w:t>B</w:t>
      </w:r>
      <w:r w:rsidR="009E238F">
        <w:t xml:space="preserve">ank of </w:t>
      </w:r>
      <w:r w:rsidR="009E238F" w:rsidRPr="008D1937">
        <w:t>A</w:t>
      </w:r>
      <w:r w:rsidR="009E238F">
        <w:t>ustralia</w:t>
      </w:r>
      <w:r w:rsidR="009E238F" w:rsidRPr="008D1937">
        <w:t>)</w:t>
      </w:r>
      <w:r>
        <w:t>.</w:t>
      </w:r>
    </w:p>
    <w:p w14:paraId="319E4407" w14:textId="77777777" w:rsidR="003B3432" w:rsidRPr="00EA1E92" w:rsidRDefault="003B3432" w:rsidP="003B3432">
      <w:pPr>
        <w:pStyle w:val="Heading3"/>
      </w:pPr>
      <w:bookmarkStart w:id="297" w:name="_Toc462677718"/>
      <w:bookmarkStart w:id="298" w:name="_Toc462697155"/>
      <w:bookmarkStart w:id="299" w:name="_Toc462698966"/>
      <w:bookmarkStart w:id="300" w:name="_Toc462700202"/>
      <w:bookmarkStart w:id="301" w:name="_Toc462700883"/>
      <w:r w:rsidRPr="00EA1E92">
        <w:t>Investment banks</w:t>
      </w:r>
      <w:bookmarkEnd w:id="297"/>
      <w:bookmarkEnd w:id="298"/>
      <w:bookmarkEnd w:id="299"/>
      <w:bookmarkEnd w:id="300"/>
      <w:bookmarkEnd w:id="301"/>
    </w:p>
    <w:p w14:paraId="1FA481BC" w14:textId="5534FD0B" w:rsidR="003B3432" w:rsidRPr="00EA1E92" w:rsidRDefault="003B3432" w:rsidP="003B3432">
      <w:pPr>
        <w:pStyle w:val="BodyText"/>
      </w:pPr>
      <w:r w:rsidRPr="00EA1E92">
        <w:t>Investment banks act as intermediaries in the equity and debt capital markets, advise on mergers and acquisitions and also issue and trade financial products in over the counter markets. These activities require supervision to support trust and co</w:t>
      </w:r>
      <w:r w:rsidR="00714D0C">
        <w:t xml:space="preserve">nfidence in wholesale markets. </w:t>
      </w:r>
      <w:r w:rsidRPr="00EA1E92">
        <w:t>ASIC supervises investment banks</w:t>
      </w:r>
      <w:r w:rsidR="0003187F">
        <w:t>’</w:t>
      </w:r>
      <w:r w:rsidRPr="00EA1E92">
        <w:t xml:space="preserve"> compliance with the Corporations Act and ensures they are meeting their AFS licence conditions or conditions of any exemptions from holding an AFS licence. Where potential misconduct is detected, ASIC conducts investigations and may take enforcement action.</w:t>
      </w:r>
    </w:p>
    <w:p w14:paraId="4A621671" w14:textId="77777777" w:rsidR="007135CA" w:rsidRDefault="007135CA">
      <w:pPr>
        <w:spacing w:after="0"/>
        <w:rPr>
          <w:szCs w:val="22"/>
        </w:rPr>
      </w:pPr>
      <w:r>
        <w:br w:type="page"/>
      </w:r>
    </w:p>
    <w:p w14:paraId="14AC07CB" w14:textId="10593C11" w:rsidR="003B3432" w:rsidRPr="00DF397B" w:rsidRDefault="003B3432" w:rsidP="003B3432">
      <w:pPr>
        <w:pStyle w:val="BodyText"/>
      </w:pPr>
      <w:r w:rsidRPr="00DF397B">
        <w:t>In 2016–17, ASIC will continue to promote better conduct by investment banks, including through:</w:t>
      </w:r>
    </w:p>
    <w:p w14:paraId="26B3BCCE" w14:textId="77777777" w:rsidR="003B3432" w:rsidRPr="00EA1E92" w:rsidRDefault="003B3432" w:rsidP="000B5B80">
      <w:pPr>
        <w:pStyle w:val="subparaa"/>
        <w:ind w:left="1559"/>
      </w:pPr>
      <w:r w:rsidRPr="00EA1E92">
        <w:t>conducting surveillances focused on the appropriate handling of confidential information and conflicts of interest, and facilitating remediation of inappropriate practices through issuing guidance and/or taking enforcement action</w:t>
      </w:r>
    </w:p>
    <w:p w14:paraId="585EFE4E" w14:textId="77777777" w:rsidR="003B3432" w:rsidRPr="00EA1E92" w:rsidRDefault="003B3432" w:rsidP="000B5B80">
      <w:pPr>
        <w:pStyle w:val="subparaa"/>
        <w:ind w:left="1559"/>
      </w:pPr>
      <w:r w:rsidRPr="00EA1E92">
        <w:t>encouraging adoption of appropriate conduct risk policies and procedures and conducting surveillances to gain insight into the implementation of such policies and procedures</w:t>
      </w:r>
    </w:p>
    <w:p w14:paraId="4F4EDD83" w14:textId="77777777" w:rsidR="003B3432" w:rsidRPr="00EA1E92" w:rsidRDefault="003B3432" w:rsidP="000B5B80">
      <w:pPr>
        <w:pStyle w:val="subparaa"/>
        <w:ind w:left="1559"/>
      </w:pPr>
      <w:r w:rsidRPr="00EA1E92">
        <w:t>continuing work on standard setting on cyber resilience</w:t>
      </w:r>
    </w:p>
    <w:p w14:paraId="1F94C900" w14:textId="464217B2" w:rsidR="003B3432" w:rsidRPr="00EA1E92" w:rsidRDefault="003B3432" w:rsidP="000B5B80">
      <w:pPr>
        <w:pStyle w:val="subparaa"/>
        <w:ind w:left="1559"/>
      </w:pPr>
      <w:r w:rsidRPr="00EA1E92">
        <w:t>progressing ASIC’s Sound Remuneration Policies Model survey of major investment banks, including consideration of how this work can be extended to include other market intermediaries.</w:t>
      </w:r>
    </w:p>
    <w:p w14:paraId="12CDA72C" w14:textId="77777777" w:rsidR="00DF397B" w:rsidRPr="00EA1E92" w:rsidRDefault="00DF397B" w:rsidP="00DF397B">
      <w:pPr>
        <w:pStyle w:val="Heading3"/>
      </w:pPr>
      <w:bookmarkStart w:id="302" w:name="_Toc462677719"/>
      <w:bookmarkStart w:id="303" w:name="_Toc462697156"/>
      <w:bookmarkStart w:id="304" w:name="_Toc462698967"/>
      <w:bookmarkStart w:id="305" w:name="_Toc462700203"/>
      <w:bookmarkStart w:id="306" w:name="_Toc462700884"/>
      <w:r w:rsidRPr="00EA1E92">
        <w:t>Retail OTC derivative issuers</w:t>
      </w:r>
      <w:bookmarkEnd w:id="302"/>
      <w:bookmarkEnd w:id="303"/>
      <w:bookmarkEnd w:id="304"/>
      <w:bookmarkEnd w:id="305"/>
      <w:bookmarkEnd w:id="306"/>
    </w:p>
    <w:p w14:paraId="7692F735" w14:textId="1758CF4E" w:rsidR="00DF397B" w:rsidRPr="00EA1E92" w:rsidRDefault="00DF397B" w:rsidP="00DF397B">
      <w:pPr>
        <w:pStyle w:val="BodyText"/>
      </w:pPr>
      <w:r w:rsidRPr="00EA1E92">
        <w:t>ASIC regulates the conduct and disclosure of issuers of retail OTC derivatives in Australia, including products such as margi</w:t>
      </w:r>
      <w:r w:rsidR="00714D0C">
        <w:t>n FX, CFDs and binary options.</w:t>
      </w:r>
    </w:p>
    <w:p w14:paraId="7F229D3E" w14:textId="57F81EE7" w:rsidR="00DF397B" w:rsidRPr="00EA1E92" w:rsidRDefault="00DF397B" w:rsidP="00DF397B">
      <w:pPr>
        <w:pStyle w:val="BodyText"/>
      </w:pPr>
      <w:r w:rsidRPr="00EA1E92">
        <w:t>In 2016</w:t>
      </w:r>
      <w:r w:rsidR="00D11144">
        <w:t>–</w:t>
      </w:r>
      <w:r w:rsidRPr="00EA1E92">
        <w:t>17, ASIC will continue its reactive surveillance of the industry which arises from complaints or intelligence received from investors, industry and other regulators (both</w:t>
      </w:r>
      <w:r w:rsidR="005B65A8">
        <w:t> </w:t>
      </w:r>
      <w:r w:rsidRPr="00EA1E92">
        <w:t>Australian and overseas). This reactive surveillance work may also be driven as a consequence of key market events (previous examples of such events include the Swiss</w:t>
      </w:r>
      <w:r w:rsidR="005B65A8">
        <w:t> </w:t>
      </w:r>
      <w:r w:rsidRPr="00EA1E92">
        <w:t>Franc event and the Brexit).</w:t>
      </w:r>
    </w:p>
    <w:p w14:paraId="43D55E02" w14:textId="70FE708B" w:rsidR="00DF397B" w:rsidRPr="00DF397B" w:rsidRDefault="00DF397B" w:rsidP="00DF397B">
      <w:pPr>
        <w:pStyle w:val="BodyText"/>
        <w:rPr>
          <w:color w:val="000000"/>
        </w:rPr>
      </w:pPr>
      <w:r w:rsidRPr="00EA1E92">
        <w:rPr>
          <w:rFonts w:cs="Helv"/>
          <w:color w:val="000000"/>
        </w:rPr>
        <w:t>Other business as usual work that will be undertaken regarding the retail OTC derivative industry includes:</w:t>
      </w:r>
    </w:p>
    <w:p w14:paraId="6B8448AB" w14:textId="77777777" w:rsidR="00DF397B" w:rsidRPr="00EA1E92" w:rsidRDefault="00DF397B" w:rsidP="000B5B80">
      <w:pPr>
        <w:pStyle w:val="subparaa"/>
        <w:ind w:left="1559"/>
      </w:pPr>
      <w:r w:rsidRPr="00EA1E92">
        <w:t>providing input, advice and assistance to other regulators and government bodies both in Australia and overseas</w:t>
      </w:r>
    </w:p>
    <w:p w14:paraId="4CE4AF12" w14:textId="77777777" w:rsidR="00DF397B" w:rsidRPr="000B5B80" w:rsidRDefault="00DF397B" w:rsidP="000B5B80">
      <w:pPr>
        <w:pStyle w:val="subparaa"/>
        <w:ind w:left="1559"/>
      </w:pPr>
      <w:r w:rsidRPr="00EA1E92">
        <w:t>implementing any relevant law reform.</w:t>
      </w:r>
    </w:p>
    <w:p w14:paraId="0796B7E4" w14:textId="00F901A6" w:rsidR="00DF397B" w:rsidRPr="00EA1E92" w:rsidRDefault="00DF397B" w:rsidP="00DF397B">
      <w:pPr>
        <w:pStyle w:val="BodyText"/>
        <w:autoSpaceDE w:val="0"/>
        <w:autoSpaceDN w:val="0"/>
        <w:adjustRightInd w:val="0"/>
        <w:rPr>
          <w:rFonts w:cs="Helv"/>
          <w:color w:val="000000"/>
        </w:rPr>
      </w:pPr>
      <w:r w:rsidRPr="00EA1E92">
        <w:t>In 2016–17, ASIC will also:</w:t>
      </w:r>
    </w:p>
    <w:p w14:paraId="3C1968E4" w14:textId="00792C0B" w:rsidR="00DF397B" w:rsidRPr="00EA1E92" w:rsidRDefault="00DF397B" w:rsidP="000B5B80">
      <w:pPr>
        <w:pStyle w:val="subparaa"/>
        <w:ind w:left="1559"/>
      </w:pPr>
      <w:r w:rsidRPr="00EA1E92">
        <w:t>undertake a project to collect key metrics about the industry to provide certainty as to the size and potential risks posed by the sector and to drive its risk-based surveil</w:t>
      </w:r>
      <w:r w:rsidR="00714D0C">
        <w:t>lance.</w:t>
      </w:r>
    </w:p>
    <w:p w14:paraId="35D9BC1C" w14:textId="77777777" w:rsidR="00DF397B" w:rsidRPr="00EA1E92" w:rsidRDefault="00DF397B" w:rsidP="000B5B80">
      <w:pPr>
        <w:pStyle w:val="subparaa"/>
        <w:ind w:left="1559"/>
      </w:pPr>
      <w:r w:rsidRPr="00EA1E92">
        <w:t>consider any emerging risks which may include counterparty concentration risk and liquidity risk issues that may have arisen since the withdrawal of some liquidity providers in the industry since the Swiss Franc event.</w:t>
      </w:r>
    </w:p>
    <w:p w14:paraId="7D124A5F" w14:textId="77777777" w:rsidR="00DF397B" w:rsidRPr="00EA1E92" w:rsidRDefault="00DF397B" w:rsidP="000B5B80">
      <w:pPr>
        <w:pStyle w:val="subparaa"/>
        <w:ind w:left="1559"/>
        <w:rPr>
          <w:rFonts w:cs="Helv"/>
          <w:color w:val="000000"/>
        </w:rPr>
      </w:pPr>
      <w:r w:rsidRPr="00EA1E92">
        <w:t>review whether further regulatory guidance and policy is appropriate in relation to binary options or other emerging high-risk financial products, and consider other potential significant risks to investors.</w:t>
      </w:r>
    </w:p>
    <w:p w14:paraId="41BC144D" w14:textId="77777777" w:rsidR="00DF397B" w:rsidRPr="00EA1E92" w:rsidRDefault="00DF397B" w:rsidP="00DF397B">
      <w:pPr>
        <w:pStyle w:val="BodyText"/>
        <w:rPr>
          <w:rFonts w:cs="Helv"/>
          <w:color w:val="000000"/>
        </w:rPr>
      </w:pPr>
      <w:r w:rsidRPr="00DF397B">
        <w:t>ASIC will also continue to liaise with industry to ensure clear expectations are set and to assist in raising standards across the industry</w:t>
      </w:r>
      <w:r w:rsidRPr="00EA1E92">
        <w:rPr>
          <w:rFonts w:cs="Helv"/>
          <w:color w:val="000000"/>
        </w:rPr>
        <w:t>.</w:t>
      </w:r>
    </w:p>
    <w:p w14:paraId="67639620" w14:textId="77777777" w:rsidR="00DF397B" w:rsidRPr="00EA1E92" w:rsidRDefault="00DF397B" w:rsidP="00DF397B">
      <w:pPr>
        <w:pStyle w:val="Heading3"/>
      </w:pPr>
      <w:bookmarkStart w:id="307" w:name="_Toc462677720"/>
      <w:bookmarkStart w:id="308" w:name="_Toc462697157"/>
      <w:bookmarkStart w:id="309" w:name="_Toc462698968"/>
      <w:bookmarkStart w:id="310" w:name="_Toc462700204"/>
      <w:bookmarkStart w:id="311" w:name="_Toc462700885"/>
      <w:r w:rsidRPr="00EA1E92">
        <w:t>Wholesale electricity dealers</w:t>
      </w:r>
      <w:bookmarkEnd w:id="307"/>
      <w:bookmarkEnd w:id="308"/>
      <w:bookmarkEnd w:id="309"/>
      <w:bookmarkEnd w:id="310"/>
      <w:bookmarkEnd w:id="311"/>
    </w:p>
    <w:p w14:paraId="728346C1" w14:textId="3B473C51" w:rsidR="00DF397B" w:rsidRPr="00EA1E92" w:rsidRDefault="00DF397B" w:rsidP="00DF397B">
      <w:pPr>
        <w:pStyle w:val="BodyText"/>
      </w:pPr>
      <w:r w:rsidRPr="00EA1E92">
        <w:t>Many participants in the electricity sector deal or make a market in OTC derivatives relating to the wholesale price of electricity. They are therefore required to hold an AFS licence wi</w:t>
      </w:r>
      <w:r w:rsidR="00714D0C">
        <w:t xml:space="preserve">th appropriate authorisations. </w:t>
      </w:r>
      <w:r w:rsidRPr="00EA1E92">
        <w:t xml:space="preserve">ASIC has primary responsibility for regulatory oversight of this aspect of their business. </w:t>
      </w:r>
    </w:p>
    <w:p w14:paraId="313E40FE" w14:textId="0F7A214D" w:rsidR="00DF397B" w:rsidRPr="00EA1E92" w:rsidRDefault="00DF397B" w:rsidP="00DF397B">
      <w:pPr>
        <w:pStyle w:val="BodyText"/>
      </w:pPr>
      <w:r w:rsidRPr="00EA1E92">
        <w:t>Stakeholders in this sector include entities such as electricity generators, retailers, distributors, renewable energy providers, gas providers and commodity traders (inc</w:t>
      </w:r>
      <w:r w:rsidR="00714D0C">
        <w:t xml:space="preserve">luding some investment banks). </w:t>
      </w:r>
      <w:r w:rsidRPr="00EA1E92">
        <w:t>The substantive operational businesses of these stakeholders are also subject to regulation by three other regulators — the Australian Energy Market Commission, the Australian Energy Regulator and the Australian Energy Market Operator.</w:t>
      </w:r>
    </w:p>
    <w:p w14:paraId="3C5012E3" w14:textId="7BE20374" w:rsidR="00DF397B" w:rsidRPr="00EA1E92" w:rsidRDefault="00DF397B" w:rsidP="00DF397B">
      <w:pPr>
        <w:pStyle w:val="BodyText"/>
      </w:pPr>
      <w:r w:rsidRPr="00EA1E92">
        <w:t>In 2016–2017, ASIC will continue its reactive surveillance work of this industry which primarily arises from breach reports regarding compliance with Australian financial services l</w:t>
      </w:r>
      <w:r w:rsidR="00714D0C">
        <w:t xml:space="preserve">aw. </w:t>
      </w:r>
      <w:r w:rsidRPr="00EA1E92">
        <w:t>Other business as usual work that will be undertaken includes providing input, advice and assistance to other regulators and government bodies both in Australia and overseas.</w:t>
      </w:r>
    </w:p>
    <w:p w14:paraId="66F1544C" w14:textId="268477B4" w:rsidR="00DF397B" w:rsidRPr="00EA1E92" w:rsidRDefault="00F65426" w:rsidP="00DF397B">
      <w:pPr>
        <w:pStyle w:val="Heading2"/>
      </w:pPr>
      <w:bookmarkStart w:id="312" w:name="_Toc452626339"/>
      <w:bookmarkStart w:id="313" w:name="_Toc453236842"/>
      <w:bookmarkStart w:id="314" w:name="_Toc453684005"/>
      <w:bookmarkStart w:id="315" w:name="_Toc453750646"/>
      <w:bookmarkStart w:id="316" w:name="_Toc453771931"/>
      <w:bookmarkStart w:id="317" w:name="_Toc453836177"/>
      <w:bookmarkStart w:id="318" w:name="_Toc453844431"/>
      <w:bookmarkStart w:id="319" w:name="_Toc462677721"/>
      <w:bookmarkStart w:id="320" w:name="_Toc462697158"/>
      <w:bookmarkStart w:id="321" w:name="_Toc462698969"/>
      <w:bookmarkStart w:id="322" w:name="_Toc462700205"/>
      <w:bookmarkStart w:id="323" w:name="_Toc462700886"/>
      <w:bookmarkStart w:id="324" w:name="_Toc463544606"/>
      <w:bookmarkStart w:id="325" w:name="_Toc463595208"/>
      <w:bookmarkStart w:id="326" w:name="_Toc464140319"/>
      <w:bookmarkStart w:id="327" w:name="_Toc466020971"/>
      <w:r>
        <w:t>Proposed l</w:t>
      </w:r>
      <w:r w:rsidR="00DF397B" w:rsidRPr="00EA1E92">
        <w:t>evy methodologies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33BCC89" w14:textId="77777777" w:rsidR="00DF397B" w:rsidRPr="00EA1E92" w:rsidRDefault="00DF397B" w:rsidP="00DF397B">
      <w:pPr>
        <w:pStyle w:val="Heading3"/>
      </w:pPr>
      <w:bookmarkStart w:id="328" w:name="_Toc453684006"/>
      <w:bookmarkStart w:id="329" w:name="_Toc453750647"/>
      <w:bookmarkStart w:id="330" w:name="_Toc453771932"/>
      <w:bookmarkStart w:id="331" w:name="_Toc453836178"/>
      <w:bookmarkStart w:id="332" w:name="_Toc453844432"/>
      <w:bookmarkStart w:id="333" w:name="_Toc462677722"/>
      <w:bookmarkStart w:id="334" w:name="_Toc462697159"/>
      <w:bookmarkStart w:id="335" w:name="_Toc462698970"/>
      <w:bookmarkStart w:id="336" w:name="_Toc462700206"/>
      <w:bookmarkStart w:id="337" w:name="_Toc462700887"/>
      <w:r w:rsidRPr="00EA1E92">
        <w:t>Market infrastructure providers</w:t>
      </w:r>
      <w:bookmarkEnd w:id="328"/>
      <w:bookmarkEnd w:id="329"/>
      <w:bookmarkEnd w:id="330"/>
      <w:bookmarkEnd w:id="331"/>
      <w:bookmarkEnd w:id="332"/>
      <w:bookmarkEnd w:id="333"/>
      <w:bookmarkEnd w:id="334"/>
      <w:bookmarkEnd w:id="335"/>
      <w:bookmarkEnd w:id="336"/>
      <w:bookmarkEnd w:id="337"/>
    </w:p>
    <w:p w14:paraId="3822974F" w14:textId="74D17CF0" w:rsidR="00DF397B" w:rsidRPr="00EA1E92" w:rsidRDefault="00DF397B" w:rsidP="00DF397B">
      <w:pPr>
        <w:pStyle w:val="BodyText"/>
      </w:pPr>
      <w:r w:rsidRPr="00EA1E92">
        <w:t xml:space="preserve">ASIC currently recovers around $4 million from domestic market licensees through fees charged under the current Market Supervision Cost Recovery Regime. These market licensees have been subject to the cost recovery arrangements for ASIC’s market supervision activities since August 2010. </w:t>
      </w:r>
    </w:p>
    <w:p w14:paraId="22138EFD" w14:textId="22C74569" w:rsidR="00DF397B" w:rsidRPr="00EA1E92" w:rsidRDefault="00DF397B" w:rsidP="00DF397B">
      <w:pPr>
        <w:pStyle w:val="BodyText"/>
      </w:pPr>
      <w:r w:rsidRPr="00EA1E92">
        <w:t xml:space="preserve">This $4 million recovers ASIC’s costs for: </w:t>
      </w:r>
    </w:p>
    <w:p w14:paraId="636138DB" w14:textId="77777777" w:rsidR="00DF397B" w:rsidRPr="00EA1E92" w:rsidRDefault="00DF397B" w:rsidP="000B5B80">
      <w:pPr>
        <w:pStyle w:val="subparaa"/>
        <w:ind w:left="1559"/>
      </w:pPr>
      <w:r w:rsidRPr="00EA1E92">
        <w:t>performing market supervision functions following their transfer from market operators to ASIC</w:t>
      </w:r>
    </w:p>
    <w:p w14:paraId="23CF0533" w14:textId="77777777" w:rsidR="00DF397B" w:rsidRPr="00EA1E92" w:rsidRDefault="00DF397B" w:rsidP="000B5B80">
      <w:pPr>
        <w:pStyle w:val="subparaa"/>
        <w:ind w:left="1559"/>
      </w:pPr>
      <w:r w:rsidRPr="00EA1E92">
        <w:t>regulating the market after the introduction of market competition for trading in ASX listed securities and maintaining the supporting regulatory framework</w:t>
      </w:r>
    </w:p>
    <w:p w14:paraId="58072E9F" w14:textId="147E83C1" w:rsidR="00DF397B" w:rsidRPr="00EA1E92" w:rsidRDefault="00DF397B" w:rsidP="000B5B80">
      <w:pPr>
        <w:pStyle w:val="subparaa"/>
        <w:ind w:left="1559"/>
      </w:pPr>
      <w:r w:rsidRPr="00EA1E92">
        <w:t xml:space="preserve">continued implementation of ASIC’s Enhanced Market Supervision (EMS) programme of works. </w:t>
      </w:r>
    </w:p>
    <w:p w14:paraId="26947356" w14:textId="6C63F32B" w:rsidR="00DF397B" w:rsidRPr="00EA1E92" w:rsidRDefault="00DF397B" w:rsidP="00DF397B">
      <w:pPr>
        <w:pStyle w:val="BodyText"/>
      </w:pPr>
      <w:r w:rsidRPr="00EA1E92">
        <w:t>Under the proposed cost recovery model</w:t>
      </w:r>
      <w:r w:rsidR="00BC1123">
        <w:t>,</w:t>
      </w:r>
      <w:r w:rsidRPr="00EA1E92">
        <w:t xml:space="preserve"> $11.9 million will be recovered from MIPs, including CS facility license</w:t>
      </w:r>
      <w:r w:rsidR="00984FBC">
        <w:t>es</w:t>
      </w:r>
      <w:r w:rsidRPr="00EA1E92">
        <w:t xml:space="preserve">, trade repository licensees, foreign market licensees in Australia and exempt market </w:t>
      </w:r>
      <w:r w:rsidR="00F46623">
        <w:t>and exempt CS facility</w:t>
      </w:r>
      <w:r w:rsidR="00F46623" w:rsidRPr="00F46623">
        <w:t xml:space="preserve"> </w:t>
      </w:r>
      <w:r w:rsidR="00F46623" w:rsidRPr="00EA1E92">
        <w:t>licensees</w:t>
      </w:r>
      <w:r w:rsidRPr="00EA1E92">
        <w:t>. This will recover all ASIC’s costs to regulate MIPs, including stakeholder engagement, education, guidance, surveillance, policy advice and capital expenditure.</w:t>
      </w:r>
    </w:p>
    <w:p w14:paraId="28198176" w14:textId="77777777" w:rsidR="00DF397B" w:rsidRPr="00EA1E92" w:rsidRDefault="00DF397B" w:rsidP="00DF397B">
      <w:pPr>
        <w:pStyle w:val="BodyText"/>
      </w:pPr>
      <w:r w:rsidRPr="00EA1E92">
        <w:t>The holders of multiple licences would pay a levy for each category of licence that they hold and for each market they operate or facility they provide.</w:t>
      </w:r>
    </w:p>
    <w:p w14:paraId="75884FD3" w14:textId="55726B5E" w:rsidR="00DF397B" w:rsidRPr="00EA1E92" w:rsidRDefault="00DF397B" w:rsidP="007135CA">
      <w:pPr>
        <w:pStyle w:val="BodyText"/>
        <w:spacing w:before="180"/>
      </w:pPr>
      <w:r w:rsidRPr="00EA1E92">
        <w:t xml:space="preserve">As part of the transition towards a broader industry funding model for ASIC, </w:t>
      </w:r>
      <w:r w:rsidR="00BC1123">
        <w:t xml:space="preserve">it is proposed that </w:t>
      </w:r>
      <w:r w:rsidRPr="00EA1E92">
        <w:t>the Market Supervision Cost Recovery arrangements for ASIC will continue until the proposed industry funding model is in place. Once in place, the amounts currently cost recovered under the Markets Supervision Cost Recovery regime (around $20 million per year), will cease and be replace</w:t>
      </w:r>
      <w:r w:rsidR="00714D0C">
        <w:t xml:space="preserve">d with the new levies or fees. </w:t>
      </w:r>
      <w:r w:rsidRPr="00EA1E92">
        <w:t>(See</w:t>
      </w:r>
      <w:r w:rsidR="00714D0C">
        <w:t> </w:t>
      </w:r>
      <w:r w:rsidRPr="00EA1E92">
        <w:t>Chapter 4 of the Government’s Proposals Paper for further detail).</w:t>
      </w:r>
    </w:p>
    <w:p w14:paraId="096B4831" w14:textId="77777777" w:rsidR="00DF397B" w:rsidRPr="00EA1E92" w:rsidRDefault="00DF397B" w:rsidP="000B5B80">
      <w:pPr>
        <w:pStyle w:val="Heading4"/>
      </w:pPr>
      <w:r w:rsidRPr="00EA1E92">
        <w:t>Australian market licensees</w:t>
      </w:r>
    </w:p>
    <w:p w14:paraId="73BD40E9" w14:textId="6E8D9372" w:rsidR="00DF397B" w:rsidRPr="00EA1E92" w:rsidRDefault="00DF397B" w:rsidP="007135CA">
      <w:pPr>
        <w:pStyle w:val="BodyText"/>
        <w:spacing w:before="180"/>
      </w:pPr>
      <w:r w:rsidRPr="00EA1E92">
        <w:t xml:space="preserve">For domestic market licensees ASIC’s activities include real-time front-line supervision of trading, market assessments, strategic market reviews, ongoing engagement and periodic remediation reviews. </w:t>
      </w:r>
    </w:p>
    <w:p w14:paraId="3E7024EE" w14:textId="1CDCEABA" w:rsidR="00DF397B" w:rsidRPr="00EA1E92" w:rsidRDefault="00DF397B" w:rsidP="007135CA">
      <w:pPr>
        <w:pStyle w:val="BodyText"/>
        <w:spacing w:before="180"/>
      </w:pPr>
      <w:r w:rsidRPr="00EA1E92">
        <w:t>For foreign market licensees</w:t>
      </w:r>
      <w:r w:rsidR="00984FBC">
        <w:t>,</w:t>
      </w:r>
      <w:r w:rsidRPr="00EA1E92">
        <w:t xml:space="preserve"> ASIC’s work includes reviewing annual reports, monitoring changes in market structure, monitoring regulatory developments and undertaking periodic engagement with regulators in their home jurisdiction to ensure equivalence of regulatory outcomes and advice and guidance on licensing and the scope of activities.</w:t>
      </w:r>
    </w:p>
    <w:p w14:paraId="6F4582B8" w14:textId="5B1BAAA0" w:rsidR="00DF397B" w:rsidRPr="00EA1E92" w:rsidRDefault="00DF397B" w:rsidP="007135CA">
      <w:pPr>
        <w:pStyle w:val="BodyText"/>
        <w:spacing w:before="180"/>
      </w:pPr>
      <w:r w:rsidRPr="00EA1E92">
        <w:t>For large equity market operators</w:t>
      </w:r>
      <w:r w:rsidR="00984FBC">
        <w:t>,</w:t>
      </w:r>
      <w:r w:rsidRPr="00EA1E92">
        <w:t xml:space="preserve"> a levy is proposed based on the number of transactions and messages in proportion to that of all entities in that market (as is the current methodology under ASIC’s Market Supervision Cost Recovery). </w:t>
      </w:r>
    </w:p>
    <w:p w14:paraId="58B4B8E4" w14:textId="7420BB1E" w:rsidR="00DF397B" w:rsidRPr="00EA1E92" w:rsidRDefault="009D4C02" w:rsidP="007135CA">
      <w:pPr>
        <w:pStyle w:val="BodyText"/>
        <w:spacing w:before="180"/>
      </w:pPr>
      <w:r>
        <w:t xml:space="preserve">A flat levy is proposed </w:t>
      </w:r>
      <w:r w:rsidR="00264F78">
        <w:t xml:space="preserve">for </w:t>
      </w:r>
      <w:r>
        <w:t xml:space="preserve">large futures markets, </w:t>
      </w:r>
      <w:r w:rsidR="00DF397B" w:rsidRPr="00EA1E92">
        <w:t>small equity and futures market operators (including small equity market operators with a self-listing function only), small derivatives operators and foreign market operators</w:t>
      </w:r>
      <w:r>
        <w:t>. The</w:t>
      </w:r>
      <w:r w:rsidR="00BC1123">
        <w:t xml:space="preserve"> proposed</w:t>
      </w:r>
      <w:r w:rsidR="00DF397B" w:rsidRPr="00EA1E92">
        <w:t xml:space="preserve"> flat levy</w:t>
      </w:r>
      <w:r>
        <w:t xml:space="preserve"> is</w:t>
      </w:r>
      <w:r w:rsidR="00DF397B" w:rsidRPr="00EA1E92">
        <w:t xml:space="preserve"> based on the number of entities in the market or the number of markets operated.</w:t>
      </w:r>
    </w:p>
    <w:p w14:paraId="50708659" w14:textId="268A8348" w:rsidR="00DF397B" w:rsidRDefault="00DF397B" w:rsidP="007135CA">
      <w:pPr>
        <w:pStyle w:val="BodyText"/>
        <w:spacing w:before="180"/>
      </w:pPr>
      <w:r w:rsidRPr="00ED0AA0">
        <w:t xml:space="preserve">Definitions of each category of market licensee are </w:t>
      </w:r>
      <w:r w:rsidR="00206F90">
        <w:t>set out in the Government’s Proposal Paper</w:t>
      </w:r>
      <w:r w:rsidRPr="00EA1E92">
        <w:t>.</w:t>
      </w:r>
    </w:p>
    <w:p w14:paraId="2C39475D" w14:textId="0E7031DD" w:rsidR="00C367A0" w:rsidRDefault="00C367A0" w:rsidP="007135CA">
      <w:pPr>
        <w:pStyle w:val="tabletitlefullwidth"/>
        <w:spacing w:before="300"/>
      </w:pPr>
      <w:r>
        <w:t xml:space="preserve">Table </w:t>
      </w:r>
      <w:r w:rsidR="003D3E81">
        <w:fldChar w:fldCharType="begin"/>
      </w:r>
      <w:r w:rsidR="003D3E81">
        <w:instrText xml:space="preserve"> SEQ Table \* ARABIC </w:instrText>
      </w:r>
      <w:r w:rsidR="003D3E81">
        <w:fldChar w:fldCharType="separate"/>
      </w:r>
      <w:r w:rsidR="00A37D1A">
        <w:rPr>
          <w:noProof/>
        </w:rPr>
        <w:t>20</w:t>
      </w:r>
      <w:r w:rsidR="003D3E81">
        <w:rPr>
          <w:noProof/>
        </w:rPr>
        <w:fldChar w:fldCharType="end"/>
      </w:r>
      <w:r>
        <w:t>:</w:t>
      </w:r>
      <w:r>
        <w:tab/>
      </w:r>
      <w:r w:rsidRPr="00EA1E92">
        <w:t xml:space="preserve">Proposed levy arrangements </w:t>
      </w:r>
      <w:r w:rsidR="008D5FA4" w:rsidRPr="00EA1E92">
        <w:t>–</w:t>
      </w:r>
      <w:r w:rsidRPr="00EA1E92">
        <w:t xml:space="preserve"> Australian market licensees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061"/>
        <w:gridCol w:w="1985"/>
        <w:gridCol w:w="2494"/>
        <w:gridCol w:w="1531"/>
      </w:tblGrid>
      <w:tr w:rsidR="00C367A0" w:rsidRPr="000540E1" w14:paraId="0E6308D2" w14:textId="77777777" w:rsidTr="007135CA">
        <w:trPr>
          <w:cantSplit/>
          <w:tblHeader/>
        </w:trPr>
        <w:tc>
          <w:tcPr>
            <w:tcW w:w="3061" w:type="dxa"/>
            <w:shd w:val="clear" w:color="auto" w:fill="C2E3FA"/>
          </w:tcPr>
          <w:p w14:paraId="2C7389C3" w14:textId="5B544634" w:rsidR="00C367A0" w:rsidRPr="000540E1" w:rsidRDefault="00C367A0" w:rsidP="003B0F12">
            <w:pPr>
              <w:pStyle w:val="tablehead"/>
            </w:pPr>
            <w:r>
              <w:t>Subsector</w:t>
            </w:r>
          </w:p>
        </w:tc>
        <w:tc>
          <w:tcPr>
            <w:tcW w:w="1985" w:type="dxa"/>
            <w:shd w:val="clear" w:color="auto" w:fill="C2E3FA"/>
          </w:tcPr>
          <w:p w14:paraId="6778C28C" w14:textId="481CC9B3" w:rsidR="00C367A0" w:rsidRPr="000540E1" w:rsidRDefault="00C367A0" w:rsidP="00AD01DF">
            <w:pPr>
              <w:pStyle w:val="tablehead"/>
              <w:jc w:val="center"/>
            </w:pPr>
            <w:r>
              <w:t>Number of entities</w:t>
            </w:r>
          </w:p>
        </w:tc>
        <w:tc>
          <w:tcPr>
            <w:tcW w:w="2494" w:type="dxa"/>
            <w:shd w:val="clear" w:color="auto" w:fill="C2E3FA"/>
          </w:tcPr>
          <w:p w14:paraId="1ECC645B" w14:textId="16C16CA3" w:rsidR="00C367A0" w:rsidRPr="000540E1" w:rsidRDefault="00BC1123" w:rsidP="003B0F12">
            <w:pPr>
              <w:pStyle w:val="tablehead"/>
            </w:pPr>
            <w:r>
              <w:t>Proposed a</w:t>
            </w:r>
            <w:r w:rsidR="00C367A0">
              <w:t>nnual levy*</w:t>
            </w:r>
          </w:p>
        </w:tc>
        <w:tc>
          <w:tcPr>
            <w:tcW w:w="1531" w:type="dxa"/>
            <w:shd w:val="clear" w:color="auto" w:fill="C2E3FA"/>
          </w:tcPr>
          <w:p w14:paraId="2232B553" w14:textId="05F6C718" w:rsidR="00C367A0" w:rsidRPr="000540E1" w:rsidRDefault="00C367A0" w:rsidP="003B0F12">
            <w:pPr>
              <w:pStyle w:val="tablehead"/>
            </w:pPr>
            <w:r>
              <w:t>Amount to be recovered</w:t>
            </w:r>
          </w:p>
        </w:tc>
      </w:tr>
      <w:tr w:rsidR="00C367A0" w:rsidRPr="000540E1" w14:paraId="2E30F5BD" w14:textId="77777777" w:rsidTr="007135CA">
        <w:trPr>
          <w:cantSplit/>
        </w:trPr>
        <w:tc>
          <w:tcPr>
            <w:tcW w:w="3061" w:type="dxa"/>
            <w:vAlign w:val="center"/>
          </w:tcPr>
          <w:p w14:paraId="085627B3" w14:textId="0017BB05" w:rsidR="00C367A0" w:rsidRPr="000540E1" w:rsidRDefault="00C367A0" w:rsidP="00C367A0">
            <w:pPr>
              <w:pStyle w:val="tbltext"/>
            </w:pPr>
            <w:r w:rsidRPr="00EA1E92">
              <w:t>Large equity market operator</w:t>
            </w:r>
            <w:r w:rsidR="00F46623">
              <w:t>s</w:t>
            </w:r>
          </w:p>
        </w:tc>
        <w:tc>
          <w:tcPr>
            <w:tcW w:w="1985" w:type="dxa"/>
            <w:vAlign w:val="center"/>
          </w:tcPr>
          <w:p w14:paraId="6C3DB579" w14:textId="161C495E" w:rsidR="00C367A0" w:rsidRPr="000540E1" w:rsidRDefault="00C367A0" w:rsidP="00AD01DF">
            <w:pPr>
              <w:pStyle w:val="tbltext"/>
              <w:jc w:val="center"/>
            </w:pPr>
            <w:r w:rsidRPr="00EA1E92">
              <w:t>2</w:t>
            </w:r>
          </w:p>
        </w:tc>
        <w:tc>
          <w:tcPr>
            <w:tcW w:w="2494" w:type="dxa"/>
            <w:vAlign w:val="center"/>
          </w:tcPr>
          <w:p w14:paraId="1667CCAF" w14:textId="563759CA" w:rsidR="00C367A0" w:rsidRPr="000540E1" w:rsidRDefault="00C367A0" w:rsidP="00C367A0">
            <w:pPr>
              <w:pStyle w:val="tbltext"/>
            </w:pPr>
            <w:r w:rsidRPr="00EA1E92">
              <w:t>Graduated based on transactions and messages</w:t>
            </w:r>
          </w:p>
        </w:tc>
        <w:tc>
          <w:tcPr>
            <w:tcW w:w="1531" w:type="dxa"/>
            <w:vAlign w:val="center"/>
          </w:tcPr>
          <w:p w14:paraId="27241471" w14:textId="247C7C2F" w:rsidR="00C367A0" w:rsidRPr="000540E1" w:rsidRDefault="00C367A0" w:rsidP="00C367A0">
            <w:pPr>
              <w:pStyle w:val="tbltext"/>
            </w:pPr>
            <w:r w:rsidRPr="00EA1E92">
              <w:t>$4.8 million</w:t>
            </w:r>
          </w:p>
        </w:tc>
      </w:tr>
      <w:tr w:rsidR="00C367A0" w:rsidRPr="000540E1" w14:paraId="69C591FE" w14:textId="77777777" w:rsidTr="007135CA">
        <w:trPr>
          <w:cantSplit/>
        </w:trPr>
        <w:tc>
          <w:tcPr>
            <w:tcW w:w="3061" w:type="dxa"/>
            <w:vAlign w:val="center"/>
          </w:tcPr>
          <w:p w14:paraId="27502077" w14:textId="56B4EA9E" w:rsidR="00C367A0" w:rsidRPr="000540E1" w:rsidRDefault="00C367A0" w:rsidP="00C367A0">
            <w:pPr>
              <w:pStyle w:val="tbltext"/>
            </w:pPr>
            <w:r w:rsidRPr="00EA1E92">
              <w:t>Large futures market operator</w:t>
            </w:r>
          </w:p>
        </w:tc>
        <w:tc>
          <w:tcPr>
            <w:tcW w:w="1985" w:type="dxa"/>
            <w:vAlign w:val="center"/>
          </w:tcPr>
          <w:p w14:paraId="47FA2FAD" w14:textId="75999D8A" w:rsidR="00C367A0" w:rsidRPr="000540E1" w:rsidRDefault="00C367A0" w:rsidP="00AD01DF">
            <w:pPr>
              <w:pStyle w:val="tbltext"/>
              <w:jc w:val="center"/>
            </w:pPr>
            <w:r w:rsidRPr="00EA1E92">
              <w:t>1</w:t>
            </w:r>
          </w:p>
        </w:tc>
        <w:tc>
          <w:tcPr>
            <w:tcW w:w="2494" w:type="dxa"/>
            <w:vAlign w:val="center"/>
          </w:tcPr>
          <w:p w14:paraId="6403CD66" w14:textId="213DB7C9" w:rsidR="00C367A0" w:rsidRPr="000540E1" w:rsidRDefault="00C367A0" w:rsidP="00C367A0">
            <w:pPr>
              <w:pStyle w:val="tbltext"/>
            </w:pPr>
            <w:r w:rsidRPr="00EA1E92">
              <w:t>$1,400,000</w:t>
            </w:r>
          </w:p>
        </w:tc>
        <w:tc>
          <w:tcPr>
            <w:tcW w:w="1531" w:type="dxa"/>
            <w:vAlign w:val="center"/>
          </w:tcPr>
          <w:p w14:paraId="00EB9BD3" w14:textId="57C06F36" w:rsidR="00C367A0" w:rsidRPr="000540E1" w:rsidRDefault="00C367A0" w:rsidP="00C367A0">
            <w:pPr>
              <w:pStyle w:val="tbltext"/>
            </w:pPr>
            <w:r w:rsidRPr="00EA1E92">
              <w:t>$1.4 million</w:t>
            </w:r>
          </w:p>
        </w:tc>
      </w:tr>
      <w:tr w:rsidR="00C367A0" w:rsidRPr="000540E1" w14:paraId="28FF807B" w14:textId="77777777" w:rsidTr="007135CA">
        <w:trPr>
          <w:cantSplit/>
        </w:trPr>
        <w:tc>
          <w:tcPr>
            <w:tcW w:w="3061" w:type="dxa"/>
            <w:vAlign w:val="center"/>
          </w:tcPr>
          <w:p w14:paraId="5B7E9AC9" w14:textId="0C77589E" w:rsidR="00C367A0" w:rsidRPr="000540E1" w:rsidRDefault="00C367A0" w:rsidP="00C367A0">
            <w:pPr>
              <w:pStyle w:val="tbltext"/>
            </w:pPr>
            <w:r w:rsidRPr="00EA1E92">
              <w:rPr>
                <w:color w:val="000000" w:themeColor="text1"/>
              </w:rPr>
              <w:t>Small equity market operator</w:t>
            </w:r>
          </w:p>
        </w:tc>
        <w:tc>
          <w:tcPr>
            <w:tcW w:w="1985" w:type="dxa"/>
            <w:vAlign w:val="center"/>
          </w:tcPr>
          <w:p w14:paraId="2304EA56" w14:textId="598F4B63" w:rsidR="00C367A0" w:rsidRPr="000540E1" w:rsidRDefault="00C367A0" w:rsidP="00AD01DF">
            <w:pPr>
              <w:pStyle w:val="tbltext"/>
              <w:jc w:val="center"/>
            </w:pPr>
            <w:r w:rsidRPr="00EA1E92">
              <w:rPr>
                <w:color w:val="000000" w:themeColor="text1"/>
              </w:rPr>
              <w:t>3</w:t>
            </w:r>
          </w:p>
        </w:tc>
        <w:tc>
          <w:tcPr>
            <w:tcW w:w="2494" w:type="dxa"/>
            <w:vAlign w:val="center"/>
          </w:tcPr>
          <w:p w14:paraId="0E9EAC81" w14:textId="694BF253" w:rsidR="00C367A0" w:rsidRPr="000540E1" w:rsidRDefault="00C367A0" w:rsidP="00C367A0">
            <w:pPr>
              <w:pStyle w:val="tbltext"/>
            </w:pPr>
            <w:r w:rsidRPr="00EA1E92">
              <w:t>$200,000</w:t>
            </w:r>
          </w:p>
        </w:tc>
        <w:tc>
          <w:tcPr>
            <w:tcW w:w="1531" w:type="dxa"/>
            <w:vAlign w:val="center"/>
          </w:tcPr>
          <w:p w14:paraId="784C7A5F" w14:textId="219C406F" w:rsidR="00C367A0" w:rsidRPr="000540E1" w:rsidRDefault="00C367A0" w:rsidP="00C367A0">
            <w:pPr>
              <w:pStyle w:val="tbltext"/>
            </w:pPr>
            <w:r w:rsidRPr="00EA1E92">
              <w:t>$0.6 million</w:t>
            </w:r>
          </w:p>
        </w:tc>
      </w:tr>
      <w:tr w:rsidR="00C367A0" w:rsidRPr="000540E1" w14:paraId="31D55AE5" w14:textId="77777777" w:rsidTr="007135CA">
        <w:trPr>
          <w:cantSplit/>
        </w:trPr>
        <w:tc>
          <w:tcPr>
            <w:tcW w:w="3061" w:type="dxa"/>
            <w:vAlign w:val="center"/>
          </w:tcPr>
          <w:p w14:paraId="7B8C79EA" w14:textId="5174A2F2" w:rsidR="00C367A0" w:rsidRPr="00EA1E92" w:rsidRDefault="00C367A0" w:rsidP="00C367A0">
            <w:pPr>
              <w:pStyle w:val="tbltext"/>
              <w:rPr>
                <w:color w:val="000000" w:themeColor="text1"/>
              </w:rPr>
            </w:pPr>
            <w:r w:rsidRPr="00EA1E92">
              <w:rPr>
                <w:lang w:val="en-US"/>
              </w:rPr>
              <w:t>Small derivatives market operator</w:t>
            </w:r>
            <w:r w:rsidR="00F46623">
              <w:rPr>
                <w:lang w:val="en-US"/>
              </w:rPr>
              <w:t>s</w:t>
            </w:r>
          </w:p>
        </w:tc>
        <w:tc>
          <w:tcPr>
            <w:tcW w:w="1985" w:type="dxa"/>
            <w:vAlign w:val="center"/>
          </w:tcPr>
          <w:p w14:paraId="572E121F" w14:textId="45C1CAFE" w:rsidR="00C367A0" w:rsidRPr="00EA1E92" w:rsidRDefault="00C367A0" w:rsidP="00AD01DF">
            <w:pPr>
              <w:pStyle w:val="tbltext"/>
              <w:jc w:val="center"/>
              <w:rPr>
                <w:color w:val="000000" w:themeColor="text1"/>
              </w:rPr>
            </w:pPr>
            <w:r w:rsidRPr="00EA1E92">
              <w:rPr>
                <w:lang w:val="en-US"/>
              </w:rPr>
              <w:t>4 entities operating 11 markets</w:t>
            </w:r>
          </w:p>
        </w:tc>
        <w:tc>
          <w:tcPr>
            <w:tcW w:w="2494" w:type="dxa"/>
            <w:vAlign w:val="center"/>
          </w:tcPr>
          <w:p w14:paraId="1D7A22BB" w14:textId="369545F8" w:rsidR="00C367A0" w:rsidRPr="00EA1E92" w:rsidRDefault="00C367A0" w:rsidP="00C367A0">
            <w:pPr>
              <w:pStyle w:val="tbltext"/>
            </w:pPr>
            <w:r w:rsidRPr="00EA1E92">
              <w:t>$50,000 per market</w:t>
            </w:r>
          </w:p>
        </w:tc>
        <w:tc>
          <w:tcPr>
            <w:tcW w:w="1531" w:type="dxa"/>
            <w:vAlign w:val="center"/>
          </w:tcPr>
          <w:p w14:paraId="71930FE3" w14:textId="17AA10D1" w:rsidR="00C367A0" w:rsidRPr="00EA1E92" w:rsidRDefault="00C367A0" w:rsidP="00C367A0">
            <w:pPr>
              <w:pStyle w:val="tbltext"/>
            </w:pPr>
            <w:r w:rsidRPr="00EA1E92">
              <w:t>$0.55 million</w:t>
            </w:r>
          </w:p>
        </w:tc>
      </w:tr>
      <w:tr w:rsidR="00C367A0" w:rsidRPr="000540E1" w14:paraId="5830D76E" w14:textId="77777777" w:rsidTr="007135CA">
        <w:trPr>
          <w:cantSplit/>
        </w:trPr>
        <w:tc>
          <w:tcPr>
            <w:tcW w:w="3061" w:type="dxa"/>
            <w:vAlign w:val="center"/>
          </w:tcPr>
          <w:p w14:paraId="08AA7A6A" w14:textId="64C575E5" w:rsidR="00C367A0" w:rsidRPr="00EA1E92" w:rsidRDefault="00C367A0" w:rsidP="00C367A0">
            <w:pPr>
              <w:pStyle w:val="tbltext"/>
              <w:rPr>
                <w:color w:val="000000" w:themeColor="dark1"/>
                <w:lang w:val="en-US"/>
              </w:rPr>
            </w:pPr>
            <w:r w:rsidRPr="00EA1E92">
              <w:rPr>
                <w:lang w:val="en-US"/>
              </w:rPr>
              <w:t>Small equity market operator with self-listing function only</w:t>
            </w:r>
          </w:p>
        </w:tc>
        <w:tc>
          <w:tcPr>
            <w:tcW w:w="1985" w:type="dxa"/>
            <w:vAlign w:val="center"/>
          </w:tcPr>
          <w:p w14:paraId="0F26FB2B" w14:textId="0648B15B" w:rsidR="00C367A0" w:rsidRPr="00EA1E92" w:rsidRDefault="00C367A0" w:rsidP="00BC1123">
            <w:pPr>
              <w:pStyle w:val="tbltext"/>
              <w:jc w:val="center"/>
              <w:rPr>
                <w:color w:val="000000" w:themeColor="dark1"/>
                <w:lang w:val="en-US"/>
              </w:rPr>
            </w:pPr>
            <w:r w:rsidRPr="00EA1E92">
              <w:rPr>
                <w:color w:val="000000" w:themeColor="dark1"/>
              </w:rPr>
              <w:t>1</w:t>
            </w:r>
          </w:p>
        </w:tc>
        <w:tc>
          <w:tcPr>
            <w:tcW w:w="2494" w:type="dxa"/>
            <w:vAlign w:val="center"/>
          </w:tcPr>
          <w:p w14:paraId="657E5F1C" w14:textId="2DC89766" w:rsidR="00C367A0" w:rsidRPr="00EA1E92" w:rsidRDefault="00C367A0" w:rsidP="00C367A0">
            <w:pPr>
              <w:pStyle w:val="tbltext"/>
              <w:rPr>
                <w:color w:val="000000" w:themeColor="dark1"/>
              </w:rPr>
            </w:pPr>
            <w:r w:rsidRPr="00EA1E92">
              <w:rPr>
                <w:color w:val="000000" w:themeColor="dark1"/>
              </w:rPr>
              <w:t>$45,000</w:t>
            </w:r>
          </w:p>
        </w:tc>
        <w:tc>
          <w:tcPr>
            <w:tcW w:w="1531" w:type="dxa"/>
            <w:vAlign w:val="center"/>
          </w:tcPr>
          <w:p w14:paraId="3C13A1BE" w14:textId="0364E565" w:rsidR="00C367A0" w:rsidRPr="00EA1E92" w:rsidRDefault="00C367A0" w:rsidP="00C367A0">
            <w:pPr>
              <w:pStyle w:val="tbltext"/>
              <w:rPr>
                <w:color w:val="000000" w:themeColor="dark1"/>
              </w:rPr>
            </w:pPr>
            <w:r w:rsidRPr="00EA1E92">
              <w:rPr>
                <w:color w:val="000000" w:themeColor="dark1"/>
              </w:rPr>
              <w:t>$0.045 million</w:t>
            </w:r>
          </w:p>
        </w:tc>
      </w:tr>
      <w:tr w:rsidR="00C367A0" w:rsidRPr="000540E1" w14:paraId="51031608" w14:textId="77777777" w:rsidTr="007135CA">
        <w:trPr>
          <w:cantSplit/>
        </w:trPr>
        <w:tc>
          <w:tcPr>
            <w:tcW w:w="3061" w:type="dxa"/>
            <w:vAlign w:val="center"/>
          </w:tcPr>
          <w:p w14:paraId="6855B79A" w14:textId="7E711BC0" w:rsidR="00C367A0" w:rsidRPr="00EA1E92" w:rsidRDefault="00C367A0" w:rsidP="00C367A0">
            <w:pPr>
              <w:pStyle w:val="tbltext"/>
              <w:rPr>
                <w:lang w:val="en-US"/>
              </w:rPr>
            </w:pPr>
            <w:r w:rsidRPr="00EA1E92">
              <w:rPr>
                <w:lang w:val="en-US"/>
              </w:rPr>
              <w:t>Small futures market operator</w:t>
            </w:r>
          </w:p>
        </w:tc>
        <w:tc>
          <w:tcPr>
            <w:tcW w:w="1985" w:type="dxa"/>
            <w:vAlign w:val="center"/>
          </w:tcPr>
          <w:p w14:paraId="3B71711A" w14:textId="544295B3" w:rsidR="00C367A0" w:rsidRPr="00EA1E92" w:rsidRDefault="00C367A0" w:rsidP="00BC1123">
            <w:pPr>
              <w:pStyle w:val="tbltext"/>
              <w:jc w:val="center"/>
              <w:rPr>
                <w:color w:val="000000" w:themeColor="dark1"/>
              </w:rPr>
            </w:pPr>
            <w:r w:rsidRPr="00EA1E92">
              <w:rPr>
                <w:color w:val="000000" w:themeColor="dark1"/>
              </w:rPr>
              <w:t>1</w:t>
            </w:r>
          </w:p>
        </w:tc>
        <w:tc>
          <w:tcPr>
            <w:tcW w:w="2494" w:type="dxa"/>
            <w:vAlign w:val="center"/>
          </w:tcPr>
          <w:p w14:paraId="0A0CCA57" w14:textId="1975E519" w:rsidR="00C367A0" w:rsidRPr="00EA1E92" w:rsidRDefault="00C367A0" w:rsidP="00C367A0">
            <w:pPr>
              <w:pStyle w:val="tbltext"/>
              <w:rPr>
                <w:color w:val="000000" w:themeColor="dark1"/>
              </w:rPr>
            </w:pPr>
            <w:r w:rsidRPr="00EA1E92">
              <w:rPr>
                <w:color w:val="000000" w:themeColor="dark1"/>
              </w:rPr>
              <w:t>$200,000</w:t>
            </w:r>
          </w:p>
        </w:tc>
        <w:tc>
          <w:tcPr>
            <w:tcW w:w="1531" w:type="dxa"/>
            <w:vAlign w:val="center"/>
          </w:tcPr>
          <w:p w14:paraId="27BB218E" w14:textId="5AE2A73A" w:rsidR="00C367A0" w:rsidRPr="00EA1E92" w:rsidRDefault="00C367A0" w:rsidP="00C367A0">
            <w:pPr>
              <w:pStyle w:val="tbltext"/>
              <w:rPr>
                <w:color w:val="000000" w:themeColor="dark1"/>
              </w:rPr>
            </w:pPr>
            <w:r w:rsidRPr="00EA1E92">
              <w:rPr>
                <w:color w:val="000000" w:themeColor="dark1"/>
              </w:rPr>
              <w:t>$0.2 million</w:t>
            </w:r>
          </w:p>
        </w:tc>
      </w:tr>
      <w:tr w:rsidR="00C367A0" w:rsidRPr="000540E1" w14:paraId="4EC27FB3" w14:textId="77777777" w:rsidTr="007135CA">
        <w:trPr>
          <w:cantSplit/>
        </w:trPr>
        <w:tc>
          <w:tcPr>
            <w:tcW w:w="3061" w:type="dxa"/>
            <w:vAlign w:val="center"/>
          </w:tcPr>
          <w:p w14:paraId="471212AD" w14:textId="16A9E6F2" w:rsidR="00C367A0" w:rsidRPr="00F46623" w:rsidRDefault="00C367A0" w:rsidP="00C367A0">
            <w:pPr>
              <w:pStyle w:val="tbltext"/>
              <w:rPr>
                <w:lang w:val="en-US"/>
              </w:rPr>
            </w:pPr>
            <w:r w:rsidRPr="00F46623">
              <w:rPr>
                <w:color w:val="000000"/>
              </w:rPr>
              <w:t>Foreign market operator</w:t>
            </w:r>
          </w:p>
        </w:tc>
        <w:tc>
          <w:tcPr>
            <w:tcW w:w="1985" w:type="dxa"/>
            <w:vAlign w:val="center"/>
          </w:tcPr>
          <w:p w14:paraId="1B6362AC" w14:textId="0F0DA17E" w:rsidR="00C367A0" w:rsidRPr="00EA1E92" w:rsidRDefault="00C367A0" w:rsidP="00BC1123">
            <w:pPr>
              <w:pStyle w:val="tbltext"/>
              <w:jc w:val="center"/>
              <w:rPr>
                <w:color w:val="000000" w:themeColor="dark1"/>
              </w:rPr>
            </w:pPr>
            <w:r w:rsidRPr="00EA1E92">
              <w:rPr>
                <w:color w:val="000000" w:themeColor="dark1"/>
              </w:rPr>
              <w:t>6</w:t>
            </w:r>
          </w:p>
        </w:tc>
        <w:tc>
          <w:tcPr>
            <w:tcW w:w="2494" w:type="dxa"/>
            <w:vAlign w:val="center"/>
          </w:tcPr>
          <w:p w14:paraId="4ECD2292" w14:textId="18F90E81" w:rsidR="00C367A0" w:rsidRPr="00EA1E92" w:rsidRDefault="00C367A0" w:rsidP="00C367A0">
            <w:pPr>
              <w:pStyle w:val="tbltext"/>
              <w:rPr>
                <w:color w:val="000000" w:themeColor="dark1"/>
              </w:rPr>
            </w:pPr>
            <w:r w:rsidRPr="00EA1E92">
              <w:rPr>
                <w:color w:val="000000" w:themeColor="dark1"/>
              </w:rPr>
              <w:t>$90,000</w:t>
            </w:r>
          </w:p>
        </w:tc>
        <w:tc>
          <w:tcPr>
            <w:tcW w:w="1531" w:type="dxa"/>
            <w:vAlign w:val="center"/>
          </w:tcPr>
          <w:p w14:paraId="2EB41CD2" w14:textId="25AE3964" w:rsidR="00C367A0" w:rsidRPr="00EA1E92" w:rsidRDefault="00C367A0" w:rsidP="00C367A0">
            <w:pPr>
              <w:pStyle w:val="tbltext"/>
              <w:rPr>
                <w:color w:val="000000" w:themeColor="dark1"/>
              </w:rPr>
            </w:pPr>
            <w:r w:rsidRPr="00EA1E92">
              <w:rPr>
                <w:color w:val="000000" w:themeColor="dark1"/>
              </w:rPr>
              <w:t>$0.54 million</w:t>
            </w:r>
          </w:p>
        </w:tc>
      </w:tr>
    </w:tbl>
    <w:p w14:paraId="6CF0ACCC" w14:textId="5699E47F" w:rsidR="00C367A0" w:rsidRDefault="00C367A0" w:rsidP="007135CA">
      <w:pPr>
        <w:pStyle w:val="sourcenotefullwidth"/>
        <w:spacing w:before="40"/>
      </w:pPr>
      <w:r>
        <w:t>*Annual levy amounts have been rounded.</w:t>
      </w:r>
    </w:p>
    <w:p w14:paraId="192FDF30" w14:textId="330C8957" w:rsidR="00DF397B" w:rsidRPr="00EA1E92" w:rsidRDefault="00DF397B" w:rsidP="00DF397B">
      <w:pPr>
        <w:pStyle w:val="BodyText"/>
      </w:pPr>
      <w:r w:rsidRPr="00EA1E92">
        <w:t xml:space="preserve">Submissions raised the concern that the August 2015 consultation paper levies will act as a significant barrier to new entry and innovation and could also lead to </w:t>
      </w:r>
      <w:r w:rsidR="00F46623">
        <w:t xml:space="preserve">an </w:t>
      </w:r>
      <w:r w:rsidRPr="00EA1E92">
        <w:t>exit from the Australian market for market licensees with marginal profitability. Some submissions also noted that market operators perform a function that has benefits for the broader Australian economy and should not bear the full cost of ASIC regulation.</w:t>
      </w:r>
    </w:p>
    <w:p w14:paraId="5C91E7E9" w14:textId="5578BA36" w:rsidR="00DF397B" w:rsidRPr="00EA1E92" w:rsidRDefault="00DF397B" w:rsidP="00DF397B">
      <w:pPr>
        <w:pStyle w:val="BodyText"/>
      </w:pPr>
      <w:r w:rsidRPr="00EA1E92">
        <w:t>Cost recovery principles require those who receive the benefit of regulation to bear to the cost. The main beneficiaries of ASIC’s market regulation are MIPs who derive significant value from their licence and the strong internationally recognised regulatory environment under which they operate. Consistent with the Government’s cost recovery guidelines, MIPs should be charged for this activity.</w:t>
      </w:r>
    </w:p>
    <w:p w14:paraId="4A01CABD" w14:textId="56B2D76B" w:rsidR="00DF397B" w:rsidRPr="00EA1E92" w:rsidRDefault="00DF397B" w:rsidP="000B5B80">
      <w:pPr>
        <w:pStyle w:val="Heading4"/>
      </w:pPr>
      <w:r w:rsidRPr="00EA1E92">
        <w:t>Clearing and settlement facility licensees</w:t>
      </w:r>
    </w:p>
    <w:p w14:paraId="41CB80A3" w14:textId="13173499" w:rsidR="00DF397B" w:rsidRPr="00EA1E92" w:rsidRDefault="00DF397B" w:rsidP="00DF397B">
      <w:pPr>
        <w:pStyle w:val="BodyText"/>
      </w:pPr>
      <w:r w:rsidRPr="00EA1E92">
        <w:t>For CS facility licensees, ASIC’s work includes assessment of the facility against statutory obligations, reviewing annual reports of overseas licensees, policy development and reform, guidance and advice for licensees and ensuring jurisdictional compliance with international standards.</w:t>
      </w:r>
    </w:p>
    <w:p w14:paraId="3712CE19" w14:textId="2ADB1F20" w:rsidR="00DF397B" w:rsidRDefault="00DF397B" w:rsidP="00DF397B">
      <w:pPr>
        <w:pStyle w:val="BodyText"/>
      </w:pPr>
      <w:r w:rsidRPr="00EA1E92">
        <w:t xml:space="preserve">The proposed levies for CS facility licensees are based on categories which reflect guidance of the RBA and ASIC on </w:t>
      </w:r>
      <w:r w:rsidRPr="00EA1E92">
        <w:rPr>
          <w:i/>
        </w:rPr>
        <w:t>‘Application of the Regulatory Influence Framework for Cross-border Central Counterparties</w:t>
      </w:r>
      <w:r w:rsidRPr="00EA1E92">
        <w:t xml:space="preserve">’. Definitions of each tier are provided in </w:t>
      </w:r>
      <w:r w:rsidR="00206F90">
        <w:t>the Government’s Proposals Paper</w:t>
      </w:r>
      <w:r w:rsidRPr="00EA1E92">
        <w:t xml:space="preserve">. Flat levies are proposed for entities in each tier as the costs are generally similar for each entity in a category. </w:t>
      </w:r>
    </w:p>
    <w:p w14:paraId="22CB7215" w14:textId="0135A50F" w:rsidR="00C367A0" w:rsidRDefault="00C367A0"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21</w:t>
      </w:r>
      <w:r w:rsidR="003D3E81">
        <w:rPr>
          <w:noProof/>
        </w:rPr>
        <w:fldChar w:fldCharType="end"/>
      </w:r>
      <w:r>
        <w:t>:</w:t>
      </w:r>
      <w:r>
        <w:tab/>
      </w:r>
      <w:r w:rsidRPr="00EA1E92">
        <w:t xml:space="preserve">Proposed levy arrangements </w:t>
      </w:r>
      <w:r w:rsidR="008D5FA4" w:rsidRPr="00EA1E92">
        <w:t>–</w:t>
      </w:r>
      <w:r w:rsidRPr="00EA1E92">
        <w:t xml:space="preserve"> Clearing and set</w:t>
      </w:r>
      <w:r>
        <w:t>tlement facility licensees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102"/>
        <w:gridCol w:w="1247"/>
        <w:gridCol w:w="1304"/>
        <w:gridCol w:w="1474"/>
      </w:tblGrid>
      <w:tr w:rsidR="00D840ED" w:rsidRPr="000540E1" w14:paraId="2061C552" w14:textId="77777777" w:rsidTr="00D840ED">
        <w:trPr>
          <w:cantSplit/>
          <w:tblHeader/>
        </w:trPr>
        <w:tc>
          <w:tcPr>
            <w:tcW w:w="5102" w:type="dxa"/>
            <w:shd w:val="clear" w:color="auto" w:fill="C2E3FA"/>
          </w:tcPr>
          <w:p w14:paraId="3466D9B6" w14:textId="77777777" w:rsidR="00C367A0" w:rsidRDefault="00C367A0" w:rsidP="00D840ED">
            <w:pPr>
              <w:pStyle w:val="tablehead"/>
            </w:pPr>
            <w:r>
              <w:t>Subsector</w:t>
            </w:r>
          </w:p>
          <w:p w14:paraId="71E45828" w14:textId="7DB840A3" w:rsidR="00C367A0" w:rsidRPr="000540E1" w:rsidRDefault="00C367A0" w:rsidP="00D840ED">
            <w:pPr>
              <w:pStyle w:val="tablehead"/>
            </w:pPr>
          </w:p>
        </w:tc>
        <w:tc>
          <w:tcPr>
            <w:tcW w:w="1247" w:type="dxa"/>
            <w:shd w:val="clear" w:color="auto" w:fill="C2E3FA"/>
          </w:tcPr>
          <w:p w14:paraId="6016F023" w14:textId="30286240" w:rsidR="00C367A0" w:rsidRPr="000540E1" w:rsidRDefault="00C367A0" w:rsidP="00D840ED">
            <w:pPr>
              <w:pStyle w:val="tablehead"/>
              <w:jc w:val="center"/>
            </w:pPr>
            <w:r>
              <w:t>Number of facilities</w:t>
            </w:r>
          </w:p>
        </w:tc>
        <w:tc>
          <w:tcPr>
            <w:tcW w:w="1304" w:type="dxa"/>
            <w:shd w:val="clear" w:color="auto" w:fill="C2E3FA"/>
          </w:tcPr>
          <w:p w14:paraId="6B07676C" w14:textId="2EB30589" w:rsidR="00C367A0" w:rsidRPr="000540E1" w:rsidRDefault="00C367A0" w:rsidP="00D840ED">
            <w:pPr>
              <w:pStyle w:val="tablehead"/>
              <w:jc w:val="center"/>
            </w:pPr>
            <w:r>
              <w:t>Annual levy</w:t>
            </w:r>
            <w:r w:rsidR="004077E1">
              <w:t xml:space="preserve"> per facility</w:t>
            </w:r>
            <w:r>
              <w:t>*</w:t>
            </w:r>
          </w:p>
        </w:tc>
        <w:tc>
          <w:tcPr>
            <w:tcW w:w="1474" w:type="dxa"/>
            <w:shd w:val="clear" w:color="auto" w:fill="C2E3FA"/>
          </w:tcPr>
          <w:p w14:paraId="16178BFA" w14:textId="252E7F0B" w:rsidR="00C367A0" w:rsidRPr="000540E1" w:rsidRDefault="00C367A0" w:rsidP="00D840ED">
            <w:pPr>
              <w:pStyle w:val="tablehead"/>
              <w:jc w:val="center"/>
            </w:pPr>
            <w:r>
              <w:t>Amount to be recovered</w:t>
            </w:r>
          </w:p>
        </w:tc>
      </w:tr>
      <w:tr w:rsidR="00D840ED" w:rsidRPr="000540E1" w14:paraId="33273F60" w14:textId="77777777" w:rsidTr="00D840ED">
        <w:trPr>
          <w:cantSplit/>
        </w:trPr>
        <w:tc>
          <w:tcPr>
            <w:tcW w:w="5102" w:type="dxa"/>
          </w:tcPr>
          <w:p w14:paraId="61DBA9E9" w14:textId="6C14B29D" w:rsidR="00C367A0" w:rsidRPr="000540E1" w:rsidRDefault="00C367A0" w:rsidP="00C367A0">
            <w:pPr>
              <w:pStyle w:val="tbltext"/>
            </w:pPr>
            <w:r w:rsidRPr="00EA1E92">
              <w:t>Tier 1: systemically important, strong domestic connection</w:t>
            </w:r>
          </w:p>
        </w:tc>
        <w:tc>
          <w:tcPr>
            <w:tcW w:w="1247" w:type="dxa"/>
            <w:vAlign w:val="center"/>
          </w:tcPr>
          <w:p w14:paraId="431248A7" w14:textId="71150F4B" w:rsidR="00C367A0" w:rsidRPr="000540E1" w:rsidRDefault="00C367A0" w:rsidP="004077E1">
            <w:pPr>
              <w:pStyle w:val="tbltext"/>
              <w:jc w:val="center"/>
            </w:pPr>
            <w:r w:rsidRPr="00EA1E92">
              <w:t>4</w:t>
            </w:r>
          </w:p>
        </w:tc>
        <w:tc>
          <w:tcPr>
            <w:tcW w:w="1304" w:type="dxa"/>
            <w:vAlign w:val="center"/>
          </w:tcPr>
          <w:p w14:paraId="2F7A15EC" w14:textId="4FF89D6A" w:rsidR="00C367A0" w:rsidRPr="000540E1" w:rsidRDefault="00C367A0" w:rsidP="004077E1">
            <w:pPr>
              <w:pStyle w:val="tbltext"/>
              <w:jc w:val="center"/>
            </w:pPr>
            <w:r w:rsidRPr="00EA1E92">
              <w:t>$436,000</w:t>
            </w:r>
          </w:p>
        </w:tc>
        <w:tc>
          <w:tcPr>
            <w:tcW w:w="1474" w:type="dxa"/>
            <w:vAlign w:val="center"/>
          </w:tcPr>
          <w:p w14:paraId="79A7BDBF" w14:textId="0FBBDE60" w:rsidR="00C367A0" w:rsidRPr="000540E1" w:rsidRDefault="00C367A0" w:rsidP="004077E1">
            <w:pPr>
              <w:pStyle w:val="tbltext"/>
              <w:jc w:val="center"/>
            </w:pPr>
            <w:r w:rsidRPr="00EA1E92">
              <w:t>$1.7 million</w:t>
            </w:r>
          </w:p>
        </w:tc>
      </w:tr>
      <w:tr w:rsidR="00D840ED" w:rsidRPr="000540E1" w14:paraId="7688E74D" w14:textId="77777777" w:rsidTr="00D840ED">
        <w:trPr>
          <w:cantSplit/>
        </w:trPr>
        <w:tc>
          <w:tcPr>
            <w:tcW w:w="5102" w:type="dxa"/>
          </w:tcPr>
          <w:p w14:paraId="03B70A70" w14:textId="354ECDCF" w:rsidR="00C367A0" w:rsidRPr="000540E1" w:rsidRDefault="00C367A0" w:rsidP="00C367A0">
            <w:pPr>
              <w:pStyle w:val="tbltext"/>
            </w:pPr>
            <w:r w:rsidRPr="00EA1E92">
              <w:t>Tier 2: systemically important, not domestically connected</w:t>
            </w:r>
          </w:p>
        </w:tc>
        <w:tc>
          <w:tcPr>
            <w:tcW w:w="1247" w:type="dxa"/>
            <w:vAlign w:val="center"/>
          </w:tcPr>
          <w:p w14:paraId="201825E2" w14:textId="2B3A5C3C" w:rsidR="00C367A0" w:rsidRPr="000540E1" w:rsidRDefault="00C367A0" w:rsidP="004077E1">
            <w:pPr>
              <w:pStyle w:val="tbltext"/>
              <w:jc w:val="center"/>
            </w:pPr>
            <w:r w:rsidRPr="00EA1E92">
              <w:t>1</w:t>
            </w:r>
          </w:p>
        </w:tc>
        <w:tc>
          <w:tcPr>
            <w:tcW w:w="1304" w:type="dxa"/>
            <w:vAlign w:val="center"/>
          </w:tcPr>
          <w:p w14:paraId="5972159C" w14:textId="78F1420F" w:rsidR="00C367A0" w:rsidRPr="000540E1" w:rsidRDefault="00C367A0" w:rsidP="004077E1">
            <w:pPr>
              <w:pStyle w:val="tbltext"/>
              <w:jc w:val="center"/>
            </w:pPr>
            <w:r w:rsidRPr="00EA1E92">
              <w:t>$200,000</w:t>
            </w:r>
          </w:p>
        </w:tc>
        <w:tc>
          <w:tcPr>
            <w:tcW w:w="1474" w:type="dxa"/>
            <w:vAlign w:val="center"/>
          </w:tcPr>
          <w:p w14:paraId="08B3D898" w14:textId="5A80389A" w:rsidR="00C367A0" w:rsidRPr="000540E1" w:rsidRDefault="00C367A0" w:rsidP="004077E1">
            <w:pPr>
              <w:pStyle w:val="tbltext"/>
              <w:jc w:val="center"/>
            </w:pPr>
            <w:r w:rsidRPr="00EA1E92">
              <w:t>$0.2 million</w:t>
            </w:r>
          </w:p>
        </w:tc>
      </w:tr>
      <w:tr w:rsidR="00D840ED" w:rsidRPr="000540E1" w14:paraId="44EA0BE8" w14:textId="77777777" w:rsidTr="00D840ED">
        <w:trPr>
          <w:cantSplit/>
        </w:trPr>
        <w:tc>
          <w:tcPr>
            <w:tcW w:w="5102" w:type="dxa"/>
            <w:vAlign w:val="center"/>
          </w:tcPr>
          <w:p w14:paraId="7D1E7BFD" w14:textId="04084F3B" w:rsidR="00C367A0" w:rsidRPr="000540E1" w:rsidRDefault="00C367A0" w:rsidP="00C367A0">
            <w:pPr>
              <w:pStyle w:val="tbltext"/>
            </w:pPr>
            <w:r w:rsidRPr="00EA1E92">
              <w:t>Tier 3: entry level</w:t>
            </w:r>
          </w:p>
        </w:tc>
        <w:tc>
          <w:tcPr>
            <w:tcW w:w="1247" w:type="dxa"/>
            <w:vAlign w:val="center"/>
          </w:tcPr>
          <w:p w14:paraId="1587A541" w14:textId="4DD43165" w:rsidR="00C367A0" w:rsidRPr="000540E1" w:rsidRDefault="00C367A0" w:rsidP="004077E1">
            <w:pPr>
              <w:pStyle w:val="tbltext"/>
              <w:jc w:val="center"/>
            </w:pPr>
            <w:r w:rsidRPr="00EA1E92">
              <w:t>2</w:t>
            </w:r>
          </w:p>
        </w:tc>
        <w:tc>
          <w:tcPr>
            <w:tcW w:w="1304" w:type="dxa"/>
            <w:vAlign w:val="center"/>
          </w:tcPr>
          <w:p w14:paraId="0FDB6A56" w14:textId="6077DAEA" w:rsidR="00C367A0" w:rsidRPr="000540E1" w:rsidRDefault="00C367A0" w:rsidP="004077E1">
            <w:pPr>
              <w:pStyle w:val="tbltext"/>
              <w:jc w:val="center"/>
            </w:pPr>
            <w:r w:rsidRPr="00EA1E92">
              <w:t>$80,000</w:t>
            </w:r>
          </w:p>
        </w:tc>
        <w:tc>
          <w:tcPr>
            <w:tcW w:w="1474" w:type="dxa"/>
            <w:vAlign w:val="center"/>
          </w:tcPr>
          <w:p w14:paraId="6F8B0FCD" w14:textId="71161A12" w:rsidR="00C367A0" w:rsidRPr="000540E1" w:rsidRDefault="00C367A0" w:rsidP="004077E1">
            <w:pPr>
              <w:pStyle w:val="tbltext"/>
              <w:jc w:val="center"/>
            </w:pPr>
            <w:r w:rsidRPr="00EA1E92">
              <w:t>$0.16 million</w:t>
            </w:r>
          </w:p>
        </w:tc>
      </w:tr>
      <w:tr w:rsidR="00D840ED" w:rsidRPr="000540E1" w14:paraId="4F7E221F" w14:textId="77777777" w:rsidTr="00D840ED">
        <w:trPr>
          <w:cantSplit/>
        </w:trPr>
        <w:tc>
          <w:tcPr>
            <w:tcW w:w="5102" w:type="dxa"/>
            <w:vAlign w:val="bottom"/>
          </w:tcPr>
          <w:p w14:paraId="7B4D1473" w14:textId="34EFD056" w:rsidR="00C367A0" w:rsidRPr="00EA1E92" w:rsidRDefault="00C367A0" w:rsidP="00C367A0">
            <w:pPr>
              <w:pStyle w:val="tbltext"/>
            </w:pPr>
            <w:r w:rsidRPr="00EA1E92">
              <w:t xml:space="preserve">Tier 4: clears and settles transactions only in its own ordinary shares only </w:t>
            </w:r>
          </w:p>
        </w:tc>
        <w:tc>
          <w:tcPr>
            <w:tcW w:w="1247" w:type="dxa"/>
            <w:vAlign w:val="center"/>
          </w:tcPr>
          <w:p w14:paraId="57168B4B" w14:textId="6F183B3F" w:rsidR="00C367A0" w:rsidRPr="00EA1E92" w:rsidRDefault="00C367A0" w:rsidP="004077E1">
            <w:pPr>
              <w:pStyle w:val="tbltext"/>
              <w:jc w:val="center"/>
            </w:pPr>
            <w:r w:rsidRPr="00EA1E92">
              <w:t>1</w:t>
            </w:r>
          </w:p>
        </w:tc>
        <w:tc>
          <w:tcPr>
            <w:tcW w:w="1304" w:type="dxa"/>
            <w:vAlign w:val="center"/>
          </w:tcPr>
          <w:p w14:paraId="16EA9E54" w14:textId="0FA5CF15" w:rsidR="00C367A0" w:rsidRPr="00EA1E92" w:rsidRDefault="00C367A0" w:rsidP="004077E1">
            <w:pPr>
              <w:pStyle w:val="tbltext"/>
              <w:jc w:val="center"/>
            </w:pPr>
            <w:r w:rsidRPr="00EA1E92">
              <w:t>$45,000</w:t>
            </w:r>
          </w:p>
        </w:tc>
        <w:tc>
          <w:tcPr>
            <w:tcW w:w="1474" w:type="dxa"/>
            <w:vAlign w:val="center"/>
          </w:tcPr>
          <w:p w14:paraId="41C8CD70" w14:textId="67062162" w:rsidR="00C367A0" w:rsidRPr="00EA1E92" w:rsidRDefault="00C367A0" w:rsidP="004077E1">
            <w:pPr>
              <w:pStyle w:val="tbltext"/>
              <w:jc w:val="center"/>
            </w:pPr>
            <w:r w:rsidRPr="00EA1E92">
              <w:t>$0.045 million</w:t>
            </w:r>
          </w:p>
        </w:tc>
      </w:tr>
    </w:tbl>
    <w:p w14:paraId="61D7946D" w14:textId="79AA89C9" w:rsidR="00C367A0" w:rsidRDefault="00C367A0" w:rsidP="003B0F12">
      <w:pPr>
        <w:pStyle w:val="sourcenotefullwidth"/>
      </w:pPr>
      <w:r>
        <w:t xml:space="preserve">*Annual levy amounts have been rounded. </w:t>
      </w:r>
    </w:p>
    <w:p w14:paraId="07158D7E" w14:textId="64C65E0E" w:rsidR="00DF397B" w:rsidRPr="00EA1E92" w:rsidRDefault="00DF397B" w:rsidP="00DF397B">
      <w:pPr>
        <w:pStyle w:val="BodyText"/>
        <w:rPr>
          <w:rFonts w:eastAsiaTheme="minorHAnsi"/>
        </w:rPr>
      </w:pPr>
      <w:r w:rsidRPr="00EA1E92">
        <w:t>A small number of submissions viewed the levies for CS facility licensees in the August</w:t>
      </w:r>
      <w:r w:rsidR="009D4C02">
        <w:t> </w:t>
      </w:r>
      <w:r w:rsidRPr="00EA1E92">
        <w:t xml:space="preserve">2015 consultation paper as not </w:t>
      </w:r>
      <w:r w:rsidRPr="00EA1E92">
        <w:rPr>
          <w:rFonts w:eastAsiaTheme="minorHAnsi"/>
        </w:rPr>
        <w:t xml:space="preserve">supporting small to medium businesses. The proposed division into four tiers for </w:t>
      </w:r>
      <w:r w:rsidR="009D4C02">
        <w:rPr>
          <w:rFonts w:eastAsiaTheme="minorHAnsi"/>
        </w:rPr>
        <w:t>CS facility licensees</w:t>
      </w:r>
      <w:r w:rsidRPr="00EA1E92">
        <w:rPr>
          <w:rFonts w:eastAsiaTheme="minorHAnsi"/>
        </w:rPr>
        <w:t xml:space="preserve"> is designed to address this concern.</w:t>
      </w:r>
    </w:p>
    <w:p w14:paraId="7F1CE2C0" w14:textId="77777777" w:rsidR="00D840ED" w:rsidRDefault="00D840ED">
      <w:pPr>
        <w:spacing w:after="0"/>
        <w:rPr>
          <w:rFonts w:ascii="Arial" w:hAnsi="Arial" w:cs="Arial"/>
          <w:b/>
          <w:sz w:val="20"/>
          <w:szCs w:val="22"/>
        </w:rPr>
      </w:pPr>
      <w:r>
        <w:br w:type="page"/>
      </w:r>
    </w:p>
    <w:p w14:paraId="60E1CFE5" w14:textId="6DB62100" w:rsidR="00DF397B" w:rsidRPr="00EA1E92" w:rsidRDefault="00DF397B" w:rsidP="000B5B80">
      <w:pPr>
        <w:pStyle w:val="Heading4"/>
      </w:pPr>
      <w:r w:rsidRPr="00EA1E92">
        <w:t xml:space="preserve">Trade repositories </w:t>
      </w:r>
    </w:p>
    <w:p w14:paraId="51F17C13" w14:textId="48FC5DEC" w:rsidR="00DF397B" w:rsidRPr="00EA1E92" w:rsidRDefault="00DF397B" w:rsidP="00DF397B">
      <w:pPr>
        <w:pStyle w:val="BodyText"/>
      </w:pPr>
      <w:r w:rsidRPr="00EA1E92">
        <w:t>For trade repositories</w:t>
      </w:r>
      <w:r w:rsidR="00BC1123">
        <w:t>,</w:t>
      </w:r>
      <w:r w:rsidRPr="00EA1E92">
        <w:t xml:space="preserve"> ASIC’s work includes surveillance of data integrity and compliance with the derivative trade repository rules, assessment of each entity’s annual compliance report, guidance on applicable trade repository rules and oversight of breach reporting, remediation and related enforcement activity.</w:t>
      </w:r>
    </w:p>
    <w:p w14:paraId="3831D6B8" w14:textId="22755C09" w:rsidR="00DF397B" w:rsidRDefault="00DF397B" w:rsidP="00DF397B">
      <w:pPr>
        <w:pStyle w:val="BodyText"/>
      </w:pPr>
      <w:r w:rsidRPr="00EA1E92">
        <w:t>To recover ASIC’s costs for regulating trade repositories,</w:t>
      </w:r>
      <w:r w:rsidR="009D4C02">
        <w:t xml:space="preserve"> a</w:t>
      </w:r>
      <w:r w:rsidRPr="00EA1E92">
        <w:t xml:space="preserve"> flat lev</w:t>
      </w:r>
      <w:r w:rsidR="009D4C02">
        <w:t>y is</w:t>
      </w:r>
      <w:r w:rsidRPr="00EA1E92">
        <w:t xml:space="preserve"> proposed as ASIC’s regulatory activity and effort is relatively similar for each regulated trade repository. This is consistent with the approach proposed in the August 2015 consultation paper.</w:t>
      </w:r>
    </w:p>
    <w:p w14:paraId="1132446F" w14:textId="6CC22C87" w:rsidR="00BC1123" w:rsidRDefault="00BC1123" w:rsidP="00BC1123">
      <w:pPr>
        <w:pStyle w:val="BodyText"/>
      </w:pPr>
      <w:r w:rsidRPr="00EA1E92">
        <w:t>Submissions did not raise concerns for the proposed flat levies on trade repositories.</w:t>
      </w:r>
    </w:p>
    <w:p w14:paraId="45D5E21C" w14:textId="0209E5A7" w:rsidR="00C367A0" w:rsidRDefault="00C367A0"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22</w:t>
      </w:r>
      <w:r w:rsidR="003D3E81">
        <w:rPr>
          <w:noProof/>
        </w:rPr>
        <w:fldChar w:fldCharType="end"/>
      </w:r>
      <w:r>
        <w:t>:</w:t>
      </w:r>
      <w:r>
        <w:tab/>
      </w:r>
      <w:r w:rsidRPr="00EA1E92">
        <w:t>Proposed levy arrangements – Trade repositories</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154"/>
        <w:gridCol w:w="2268"/>
        <w:gridCol w:w="2381"/>
      </w:tblGrid>
      <w:tr w:rsidR="00C367A0" w:rsidRPr="000540E1" w14:paraId="6F255310" w14:textId="77777777" w:rsidTr="00D840ED">
        <w:trPr>
          <w:cantSplit/>
          <w:tblHeader/>
        </w:trPr>
        <w:tc>
          <w:tcPr>
            <w:tcW w:w="2268" w:type="dxa"/>
            <w:shd w:val="clear" w:color="auto" w:fill="C2E3FA"/>
          </w:tcPr>
          <w:p w14:paraId="39502257" w14:textId="72A3AE4D" w:rsidR="00C367A0" w:rsidRPr="000540E1" w:rsidRDefault="00C367A0" w:rsidP="003B0F12">
            <w:pPr>
              <w:pStyle w:val="tablehead"/>
            </w:pPr>
            <w:r>
              <w:t>Subsector</w:t>
            </w:r>
          </w:p>
        </w:tc>
        <w:tc>
          <w:tcPr>
            <w:tcW w:w="2154" w:type="dxa"/>
            <w:shd w:val="clear" w:color="auto" w:fill="C2E3FA"/>
          </w:tcPr>
          <w:p w14:paraId="52423919" w14:textId="1DECF25F" w:rsidR="00C367A0" w:rsidRPr="000540E1" w:rsidRDefault="00C367A0" w:rsidP="003B0F12">
            <w:pPr>
              <w:pStyle w:val="tablehead"/>
            </w:pPr>
            <w:r>
              <w:t>Number of entities</w:t>
            </w:r>
          </w:p>
        </w:tc>
        <w:tc>
          <w:tcPr>
            <w:tcW w:w="2268" w:type="dxa"/>
            <w:shd w:val="clear" w:color="auto" w:fill="C2E3FA"/>
          </w:tcPr>
          <w:p w14:paraId="51955796" w14:textId="70332E7A" w:rsidR="00C367A0" w:rsidRPr="000540E1" w:rsidRDefault="009107AD" w:rsidP="003B0F12">
            <w:pPr>
              <w:pStyle w:val="tablehead"/>
            </w:pPr>
            <w:r>
              <w:t>Proposed a</w:t>
            </w:r>
            <w:r w:rsidR="00C367A0">
              <w:t>nnual levy*</w:t>
            </w:r>
          </w:p>
        </w:tc>
        <w:tc>
          <w:tcPr>
            <w:tcW w:w="2381" w:type="dxa"/>
            <w:shd w:val="clear" w:color="auto" w:fill="C2E3FA"/>
          </w:tcPr>
          <w:p w14:paraId="694DF7B9" w14:textId="2AF96DAE" w:rsidR="00C367A0" w:rsidRPr="000540E1" w:rsidRDefault="00C367A0" w:rsidP="003B0F12">
            <w:pPr>
              <w:pStyle w:val="tablehead"/>
            </w:pPr>
            <w:r>
              <w:t>Amount to be recovered</w:t>
            </w:r>
          </w:p>
        </w:tc>
      </w:tr>
      <w:tr w:rsidR="00C367A0" w:rsidRPr="000540E1" w14:paraId="366DD90D" w14:textId="77777777" w:rsidTr="00D840ED">
        <w:trPr>
          <w:cantSplit/>
        </w:trPr>
        <w:tc>
          <w:tcPr>
            <w:tcW w:w="2268" w:type="dxa"/>
            <w:vAlign w:val="center"/>
          </w:tcPr>
          <w:p w14:paraId="05F08B5F" w14:textId="2B883C97" w:rsidR="00C367A0" w:rsidRPr="000540E1" w:rsidRDefault="00C367A0" w:rsidP="003B0F12">
            <w:pPr>
              <w:pStyle w:val="tbltext"/>
            </w:pPr>
            <w:r w:rsidRPr="00EA1E92">
              <w:t>Trade repositories</w:t>
            </w:r>
          </w:p>
        </w:tc>
        <w:tc>
          <w:tcPr>
            <w:tcW w:w="2154" w:type="dxa"/>
            <w:vAlign w:val="center"/>
          </w:tcPr>
          <w:p w14:paraId="781F670B" w14:textId="248945CC" w:rsidR="00C367A0" w:rsidRPr="000540E1" w:rsidRDefault="00C367A0" w:rsidP="003B0F12">
            <w:pPr>
              <w:pStyle w:val="tbltext"/>
            </w:pPr>
            <w:r w:rsidRPr="00EA1E92">
              <w:t>3</w:t>
            </w:r>
          </w:p>
        </w:tc>
        <w:tc>
          <w:tcPr>
            <w:tcW w:w="2268" w:type="dxa"/>
            <w:vAlign w:val="center"/>
          </w:tcPr>
          <w:p w14:paraId="67C0FF4A" w14:textId="41476DE3" w:rsidR="00C367A0" w:rsidRPr="000540E1" w:rsidRDefault="00C367A0" w:rsidP="003B0F12">
            <w:pPr>
              <w:pStyle w:val="tbltext"/>
            </w:pPr>
            <w:r w:rsidRPr="00EA1E92">
              <w:t>$140,000</w:t>
            </w:r>
          </w:p>
        </w:tc>
        <w:tc>
          <w:tcPr>
            <w:tcW w:w="2381" w:type="dxa"/>
            <w:vAlign w:val="center"/>
          </w:tcPr>
          <w:p w14:paraId="720EA21B" w14:textId="6C4F81F1" w:rsidR="00C367A0" w:rsidRPr="000540E1" w:rsidRDefault="00C367A0" w:rsidP="003B0F12">
            <w:pPr>
              <w:pStyle w:val="tbltext"/>
            </w:pPr>
            <w:r w:rsidRPr="00EA1E92">
              <w:t>$0.42 million</w:t>
            </w:r>
          </w:p>
        </w:tc>
      </w:tr>
    </w:tbl>
    <w:p w14:paraId="76FCA0FD" w14:textId="0E45A2B4" w:rsidR="00C367A0" w:rsidRDefault="00C367A0" w:rsidP="003B0F12">
      <w:pPr>
        <w:pStyle w:val="sourcenotefullwidth"/>
      </w:pPr>
      <w:r>
        <w:t>* Annual levy amount has been rounded.</w:t>
      </w:r>
    </w:p>
    <w:p w14:paraId="265F1DA5" w14:textId="77777777" w:rsidR="00DF397B" w:rsidRPr="00EA1E92" w:rsidRDefault="00DF397B" w:rsidP="000B5B80">
      <w:pPr>
        <w:pStyle w:val="Heading4"/>
      </w:pPr>
      <w:r w:rsidRPr="00EA1E92">
        <w:t>Exempt MIPs</w:t>
      </w:r>
    </w:p>
    <w:p w14:paraId="2A011CEF" w14:textId="3B236C65" w:rsidR="00DF397B" w:rsidRPr="00EA1E92" w:rsidRDefault="00DF397B" w:rsidP="00DF397B">
      <w:pPr>
        <w:pStyle w:val="BodyText"/>
      </w:pPr>
      <w:r w:rsidRPr="00EA1E92">
        <w:t>There are currently two types of exempt MIPs</w:t>
      </w:r>
      <w:r w:rsidR="009D4C02">
        <w:t>:</w:t>
      </w:r>
      <w:r w:rsidRPr="00EA1E92">
        <w:t xml:space="preserve"> entities that are exempt from holding a market licence and entities that are exempt from </w:t>
      </w:r>
      <w:r w:rsidR="00714D0C">
        <w:t>holding a CS facility licence.</w:t>
      </w:r>
    </w:p>
    <w:p w14:paraId="6977DFC1" w14:textId="77777777" w:rsidR="009D4C02" w:rsidRDefault="00DF397B" w:rsidP="00DF397B">
      <w:pPr>
        <w:pStyle w:val="BodyText"/>
      </w:pPr>
      <w:r w:rsidRPr="00EA1E92">
        <w:t>ASIC’s work for exempt MIPs includes</w:t>
      </w:r>
      <w:r w:rsidR="009D4C02">
        <w:t>:</w:t>
      </w:r>
      <w:r w:rsidRPr="00EA1E92">
        <w:t xml:space="preserve"> </w:t>
      </w:r>
    </w:p>
    <w:p w14:paraId="27B71C97" w14:textId="4AA70B35" w:rsidR="009D4C02" w:rsidRDefault="00DF397B" w:rsidP="000B5B80">
      <w:pPr>
        <w:pStyle w:val="subparaa"/>
        <w:ind w:left="1559"/>
      </w:pPr>
      <w:r w:rsidRPr="00EA1E92">
        <w:t>reviewing trading volumes</w:t>
      </w:r>
    </w:p>
    <w:p w14:paraId="60F55826" w14:textId="0565C00E" w:rsidR="009D4C02" w:rsidRDefault="00DF397B" w:rsidP="000B5B80">
      <w:pPr>
        <w:pStyle w:val="subparaa"/>
        <w:ind w:left="1559"/>
      </w:pPr>
      <w:r w:rsidRPr="00EA1E92">
        <w:t xml:space="preserve">monitoring changes in market structure, where relevant </w:t>
      </w:r>
    </w:p>
    <w:p w14:paraId="4F0F9FA9" w14:textId="77777777" w:rsidR="009D4C02" w:rsidRDefault="00DF397B" w:rsidP="000B5B80">
      <w:pPr>
        <w:pStyle w:val="subparaa"/>
        <w:ind w:left="1559"/>
      </w:pPr>
      <w:r w:rsidRPr="00EA1E92">
        <w:t>monitoring regulatory developments in their home jurisdiction to ensure equivalence of regulatory outcomes</w:t>
      </w:r>
    </w:p>
    <w:p w14:paraId="5DF00EFC" w14:textId="4000845E" w:rsidR="009D4C02" w:rsidRDefault="00DF397B" w:rsidP="000B5B80">
      <w:pPr>
        <w:pStyle w:val="subparaa"/>
        <w:ind w:left="1559"/>
      </w:pPr>
      <w:r w:rsidRPr="00EA1E92">
        <w:t>advice and guidance the scope of activities</w:t>
      </w:r>
    </w:p>
    <w:p w14:paraId="2D079F67" w14:textId="77777777" w:rsidR="009D4C02" w:rsidRDefault="00DF397B" w:rsidP="000B5B80">
      <w:pPr>
        <w:pStyle w:val="subparaa"/>
        <w:ind w:left="1559"/>
      </w:pPr>
      <w:r w:rsidRPr="00EA1E92">
        <w:t>reviewing periodic reports</w:t>
      </w:r>
      <w:r w:rsidR="009D4C02">
        <w:t>,</w:t>
      </w:r>
      <w:r w:rsidRPr="00EA1E92">
        <w:t xml:space="preserve"> and </w:t>
      </w:r>
    </w:p>
    <w:p w14:paraId="07BFB613" w14:textId="187B0FDB" w:rsidR="00DF397B" w:rsidRPr="00EA1E92" w:rsidRDefault="00DF397B" w:rsidP="000B5B80">
      <w:pPr>
        <w:pStyle w:val="subparaa"/>
        <w:ind w:left="1559"/>
      </w:pPr>
      <w:r w:rsidRPr="00EA1E92">
        <w:t>compliance with conditions of authorisation.</w:t>
      </w:r>
    </w:p>
    <w:p w14:paraId="5CE857B3" w14:textId="441C0B71" w:rsidR="00DF397B" w:rsidRDefault="00DF397B" w:rsidP="0078418C">
      <w:pPr>
        <w:pStyle w:val="BodyText"/>
      </w:pPr>
      <w:r w:rsidRPr="00EA1E92">
        <w:t>For exempt MIPs</w:t>
      </w:r>
      <w:r w:rsidR="009D4C02">
        <w:t>,</w:t>
      </w:r>
      <w:r w:rsidRPr="00EA1E92">
        <w:t xml:space="preserve"> a flat levy is proposed based on the number of exempt operators as this is the main driver of ASIC’s costs for this subsector. This is consistent with the approach proposed in the August</w:t>
      </w:r>
      <w:r w:rsidR="0078418C">
        <w:t xml:space="preserve"> 2015 consultation paper.</w:t>
      </w:r>
    </w:p>
    <w:p w14:paraId="267AA216" w14:textId="3CB90F92" w:rsidR="009107AD" w:rsidRDefault="009107AD" w:rsidP="009107AD">
      <w:pPr>
        <w:pStyle w:val="BodyText"/>
      </w:pPr>
      <w:r w:rsidRPr="00EA1E92">
        <w:t>Submissions did not raise concerns regarding the proposed flat levies for exempt markets.</w:t>
      </w:r>
    </w:p>
    <w:p w14:paraId="6DDFA813" w14:textId="50BBE9CC" w:rsidR="00C367A0" w:rsidRDefault="00C367A0"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23</w:t>
      </w:r>
      <w:r w:rsidR="003D3E81">
        <w:rPr>
          <w:noProof/>
        </w:rPr>
        <w:fldChar w:fldCharType="end"/>
      </w:r>
      <w:r>
        <w:t>:</w:t>
      </w:r>
      <w:r>
        <w:tab/>
        <w:t xml:space="preserve">Proposed levy amounts </w:t>
      </w:r>
      <w:r w:rsidRPr="00EA1E92">
        <w:t>–</w:t>
      </w:r>
      <w:r>
        <w:t xml:space="preserve"> Exempt MIPs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3061"/>
        <w:gridCol w:w="2268"/>
        <w:gridCol w:w="1531"/>
      </w:tblGrid>
      <w:tr w:rsidR="00C367A0" w:rsidRPr="000540E1" w14:paraId="5B61FB7B" w14:textId="77777777" w:rsidTr="00D840ED">
        <w:trPr>
          <w:cantSplit/>
          <w:tblHeader/>
        </w:trPr>
        <w:tc>
          <w:tcPr>
            <w:tcW w:w="2268" w:type="dxa"/>
            <w:shd w:val="clear" w:color="auto" w:fill="C2E3FA"/>
          </w:tcPr>
          <w:p w14:paraId="383FCDEC" w14:textId="5D22CC0A" w:rsidR="00C367A0" w:rsidRPr="000540E1" w:rsidRDefault="00C367A0" w:rsidP="00C367A0">
            <w:pPr>
              <w:pStyle w:val="tablehead"/>
            </w:pPr>
            <w:r>
              <w:t>Subsector</w:t>
            </w:r>
          </w:p>
        </w:tc>
        <w:tc>
          <w:tcPr>
            <w:tcW w:w="3061" w:type="dxa"/>
            <w:shd w:val="clear" w:color="auto" w:fill="C2E3FA"/>
          </w:tcPr>
          <w:p w14:paraId="02CBBBAB" w14:textId="615215AE" w:rsidR="00C367A0" w:rsidRPr="000540E1" w:rsidRDefault="00C367A0" w:rsidP="003B0F12">
            <w:pPr>
              <w:pStyle w:val="tablehead"/>
            </w:pPr>
            <w:r>
              <w:t>Number of entities</w:t>
            </w:r>
          </w:p>
        </w:tc>
        <w:tc>
          <w:tcPr>
            <w:tcW w:w="2268" w:type="dxa"/>
            <w:shd w:val="clear" w:color="auto" w:fill="C2E3FA"/>
          </w:tcPr>
          <w:p w14:paraId="5CEB35EF" w14:textId="1B6C1210" w:rsidR="00C367A0" w:rsidRPr="000540E1" w:rsidRDefault="009107AD" w:rsidP="003B0F12">
            <w:pPr>
              <w:pStyle w:val="tablehead"/>
            </w:pPr>
            <w:r>
              <w:t>Proposed a</w:t>
            </w:r>
            <w:r w:rsidR="00C367A0">
              <w:t>nnual levy*</w:t>
            </w:r>
          </w:p>
        </w:tc>
        <w:tc>
          <w:tcPr>
            <w:tcW w:w="1531" w:type="dxa"/>
            <w:shd w:val="clear" w:color="auto" w:fill="C2E3FA"/>
          </w:tcPr>
          <w:p w14:paraId="4680EF1D" w14:textId="76AE605E" w:rsidR="00C367A0" w:rsidRPr="000540E1" w:rsidRDefault="00C367A0" w:rsidP="003B0F12">
            <w:pPr>
              <w:pStyle w:val="tablehead"/>
            </w:pPr>
            <w:r>
              <w:t>Amount to be recovered</w:t>
            </w:r>
          </w:p>
        </w:tc>
      </w:tr>
      <w:tr w:rsidR="00C367A0" w:rsidRPr="000540E1" w14:paraId="2592EF4E" w14:textId="77777777" w:rsidTr="00D840ED">
        <w:trPr>
          <w:cantSplit/>
        </w:trPr>
        <w:tc>
          <w:tcPr>
            <w:tcW w:w="2268" w:type="dxa"/>
            <w:vAlign w:val="center"/>
          </w:tcPr>
          <w:p w14:paraId="58F9969E" w14:textId="0406CC32" w:rsidR="00C367A0" w:rsidRPr="000540E1" w:rsidRDefault="00C367A0" w:rsidP="00C367A0">
            <w:pPr>
              <w:pStyle w:val="tbltext"/>
            </w:pPr>
            <w:r w:rsidRPr="00EA1E92">
              <w:t>Exempt market licensee</w:t>
            </w:r>
          </w:p>
        </w:tc>
        <w:tc>
          <w:tcPr>
            <w:tcW w:w="3061" w:type="dxa"/>
            <w:vAlign w:val="center"/>
          </w:tcPr>
          <w:p w14:paraId="7A140BAE" w14:textId="13D43E48" w:rsidR="00C367A0" w:rsidRPr="000540E1" w:rsidRDefault="00C367A0" w:rsidP="00C44672">
            <w:pPr>
              <w:pStyle w:val="tbltext"/>
            </w:pPr>
            <w:r w:rsidRPr="00EA1E92">
              <w:t>26 entities (operating 28 exempt markets)</w:t>
            </w:r>
          </w:p>
        </w:tc>
        <w:tc>
          <w:tcPr>
            <w:tcW w:w="2268" w:type="dxa"/>
            <w:vAlign w:val="center"/>
          </w:tcPr>
          <w:p w14:paraId="6E10FBB5" w14:textId="506618C3" w:rsidR="00C367A0" w:rsidRPr="000540E1" w:rsidRDefault="00C367A0" w:rsidP="00C44672">
            <w:pPr>
              <w:pStyle w:val="tbltext"/>
            </w:pPr>
            <w:r w:rsidRPr="00EA1E92">
              <w:t>$45,000 per market</w:t>
            </w:r>
          </w:p>
        </w:tc>
        <w:tc>
          <w:tcPr>
            <w:tcW w:w="1531" w:type="dxa"/>
            <w:vAlign w:val="center"/>
          </w:tcPr>
          <w:p w14:paraId="1C95455E" w14:textId="77D0CB0D" w:rsidR="00C367A0" w:rsidRPr="000540E1" w:rsidRDefault="00C367A0" w:rsidP="00C44672">
            <w:pPr>
              <w:pStyle w:val="tbltext"/>
            </w:pPr>
            <w:r w:rsidRPr="00EA1E92">
              <w:t>$1.3 million</w:t>
            </w:r>
          </w:p>
        </w:tc>
      </w:tr>
      <w:tr w:rsidR="00C367A0" w:rsidRPr="000540E1" w14:paraId="45DDFD4F" w14:textId="77777777" w:rsidTr="00D840ED">
        <w:trPr>
          <w:cantSplit/>
        </w:trPr>
        <w:tc>
          <w:tcPr>
            <w:tcW w:w="2268" w:type="dxa"/>
            <w:vAlign w:val="center"/>
          </w:tcPr>
          <w:p w14:paraId="10F35A1B" w14:textId="25FF0356" w:rsidR="00C367A0" w:rsidRPr="000540E1" w:rsidRDefault="00C367A0" w:rsidP="00C367A0">
            <w:pPr>
              <w:pStyle w:val="tbltext"/>
            </w:pPr>
            <w:r w:rsidRPr="00EA1E92">
              <w:t>Exempt CS facility</w:t>
            </w:r>
            <w:r w:rsidR="00F46623">
              <w:t xml:space="preserve"> licensee</w:t>
            </w:r>
          </w:p>
        </w:tc>
        <w:tc>
          <w:tcPr>
            <w:tcW w:w="3061" w:type="dxa"/>
            <w:vAlign w:val="center"/>
          </w:tcPr>
          <w:p w14:paraId="62D47E52" w14:textId="53983705" w:rsidR="00C367A0" w:rsidRPr="000540E1" w:rsidRDefault="00C367A0" w:rsidP="00C44672">
            <w:pPr>
              <w:pStyle w:val="tbltext"/>
            </w:pPr>
            <w:r w:rsidRPr="00EA1E92">
              <w:t>One entity (operating one exempt CS facility )</w:t>
            </w:r>
          </w:p>
        </w:tc>
        <w:tc>
          <w:tcPr>
            <w:tcW w:w="2268" w:type="dxa"/>
            <w:vAlign w:val="center"/>
          </w:tcPr>
          <w:p w14:paraId="0CFEF8B1" w14:textId="118391E3" w:rsidR="00C367A0" w:rsidRPr="000540E1" w:rsidRDefault="00C367A0" w:rsidP="00C44672">
            <w:pPr>
              <w:pStyle w:val="tbltext"/>
            </w:pPr>
            <w:r w:rsidRPr="00EA1E92">
              <w:t>$45,000 per facility</w:t>
            </w:r>
          </w:p>
        </w:tc>
        <w:tc>
          <w:tcPr>
            <w:tcW w:w="1531" w:type="dxa"/>
            <w:vAlign w:val="center"/>
          </w:tcPr>
          <w:p w14:paraId="2C975D2B" w14:textId="7F80677C" w:rsidR="00C367A0" w:rsidRPr="000540E1" w:rsidRDefault="00C367A0" w:rsidP="00C44672">
            <w:pPr>
              <w:pStyle w:val="tbltext"/>
            </w:pPr>
            <w:r w:rsidRPr="00EA1E92">
              <w:t>$0.045 million</w:t>
            </w:r>
          </w:p>
        </w:tc>
      </w:tr>
    </w:tbl>
    <w:p w14:paraId="0864F80C" w14:textId="70C328DE" w:rsidR="00C367A0" w:rsidRDefault="00C367A0" w:rsidP="003B0F12">
      <w:pPr>
        <w:pStyle w:val="sourcenotefullwidth"/>
      </w:pPr>
      <w:r>
        <w:t>*Annual levy amounts have been rounded.</w:t>
      </w:r>
    </w:p>
    <w:p w14:paraId="6766FA5C" w14:textId="77777777" w:rsidR="0078418C" w:rsidRPr="00EA1E92" w:rsidRDefault="0078418C" w:rsidP="000B5B80">
      <w:pPr>
        <w:pStyle w:val="Heading4"/>
      </w:pPr>
      <w:r w:rsidRPr="00EA1E92">
        <w:t>Credit rating agencies</w:t>
      </w:r>
    </w:p>
    <w:p w14:paraId="749F9434" w14:textId="7AFF29AE" w:rsidR="0078418C" w:rsidRPr="00EA1E92" w:rsidRDefault="0078418C" w:rsidP="0078418C">
      <w:pPr>
        <w:pStyle w:val="BodyText"/>
      </w:pPr>
      <w:r w:rsidRPr="00EA1E92">
        <w:t>Flat levies have been proposed to recover the cost</w:t>
      </w:r>
      <w:r w:rsidR="00714D0C">
        <w:t>s from credit rating agencies.</w:t>
      </w:r>
    </w:p>
    <w:p w14:paraId="2905879A" w14:textId="647376E0" w:rsidR="0078418C" w:rsidRPr="00EA1E92" w:rsidRDefault="0078418C" w:rsidP="0078418C">
      <w:pPr>
        <w:pStyle w:val="BodyText"/>
      </w:pPr>
      <w:r w:rsidRPr="00EA1E92">
        <w:t>A flat levy is proposed as a small amount of ASIC’s regulatory effort is expended on this subsector. It was also considered that a tiered or graduated levy would impose an additional reporting burden and complexity in the model which would offset the benefits of a graduated model.</w:t>
      </w:r>
    </w:p>
    <w:p w14:paraId="0D64F23B" w14:textId="540509F0" w:rsidR="00C44672" w:rsidRDefault="00C4467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24</w:t>
      </w:r>
      <w:r w:rsidR="003D3E81">
        <w:rPr>
          <w:noProof/>
        </w:rPr>
        <w:fldChar w:fldCharType="end"/>
      </w:r>
      <w:r>
        <w:t>:</w:t>
      </w:r>
      <w:r>
        <w:tab/>
      </w:r>
      <w:r w:rsidRPr="00EA1E92">
        <w:t>Proposed levy arrangements – Credit rating agencies</w:t>
      </w:r>
    </w:p>
    <w:tbl>
      <w:tblPr>
        <w:tblW w:w="9128"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154"/>
        <w:gridCol w:w="2268"/>
        <w:gridCol w:w="2438"/>
      </w:tblGrid>
      <w:tr w:rsidR="00D840ED" w:rsidRPr="000540E1" w14:paraId="550A3AD3" w14:textId="77777777" w:rsidTr="00D840ED">
        <w:trPr>
          <w:cantSplit/>
          <w:tblHeader/>
        </w:trPr>
        <w:tc>
          <w:tcPr>
            <w:tcW w:w="2268" w:type="dxa"/>
            <w:shd w:val="clear" w:color="auto" w:fill="C2E3FA"/>
          </w:tcPr>
          <w:p w14:paraId="74AD7009" w14:textId="6E022DB2" w:rsidR="00C44672" w:rsidRPr="000540E1" w:rsidRDefault="00C44672" w:rsidP="00C44672">
            <w:pPr>
              <w:pStyle w:val="tablehead"/>
            </w:pPr>
            <w:r>
              <w:t>Subsector</w:t>
            </w:r>
          </w:p>
        </w:tc>
        <w:tc>
          <w:tcPr>
            <w:tcW w:w="2154" w:type="dxa"/>
            <w:shd w:val="clear" w:color="auto" w:fill="C2E3FA"/>
          </w:tcPr>
          <w:p w14:paraId="3CB008B9" w14:textId="3272EE0D" w:rsidR="00C44672" w:rsidRPr="000540E1" w:rsidRDefault="00C44672" w:rsidP="003B0F12">
            <w:pPr>
              <w:pStyle w:val="tablehead"/>
            </w:pPr>
            <w:r>
              <w:t>Number of entities</w:t>
            </w:r>
          </w:p>
        </w:tc>
        <w:tc>
          <w:tcPr>
            <w:tcW w:w="2268" w:type="dxa"/>
            <w:shd w:val="clear" w:color="auto" w:fill="C2E3FA"/>
          </w:tcPr>
          <w:p w14:paraId="484B79FF" w14:textId="1BFDA2C4" w:rsidR="00C44672" w:rsidRPr="000540E1" w:rsidRDefault="009107AD" w:rsidP="003B0F12">
            <w:pPr>
              <w:pStyle w:val="tablehead"/>
            </w:pPr>
            <w:r>
              <w:t>Proposed a</w:t>
            </w:r>
            <w:r w:rsidR="00C44672">
              <w:t>nnual levy</w:t>
            </w:r>
          </w:p>
        </w:tc>
        <w:tc>
          <w:tcPr>
            <w:tcW w:w="2438" w:type="dxa"/>
            <w:shd w:val="clear" w:color="auto" w:fill="C2E3FA"/>
          </w:tcPr>
          <w:p w14:paraId="12940ED8" w14:textId="72DF71F6" w:rsidR="00C44672" w:rsidRPr="000540E1" w:rsidRDefault="00C44672" w:rsidP="003B0F12">
            <w:pPr>
              <w:pStyle w:val="tablehead"/>
            </w:pPr>
            <w:r>
              <w:t>Amount to be recovered</w:t>
            </w:r>
          </w:p>
        </w:tc>
      </w:tr>
      <w:tr w:rsidR="00D840ED" w:rsidRPr="000540E1" w14:paraId="6A3E848A" w14:textId="77777777" w:rsidTr="00D840ED">
        <w:trPr>
          <w:cantSplit/>
        </w:trPr>
        <w:tc>
          <w:tcPr>
            <w:tcW w:w="2268" w:type="dxa"/>
            <w:vAlign w:val="center"/>
          </w:tcPr>
          <w:p w14:paraId="047FA000" w14:textId="027FB11C" w:rsidR="00C44672" w:rsidRPr="000540E1" w:rsidRDefault="00C44672" w:rsidP="00C44672">
            <w:pPr>
              <w:pStyle w:val="tbltext"/>
            </w:pPr>
            <w:r w:rsidRPr="00EA1E92">
              <w:t>Credit rating agencies</w:t>
            </w:r>
          </w:p>
        </w:tc>
        <w:tc>
          <w:tcPr>
            <w:tcW w:w="2154" w:type="dxa"/>
            <w:vAlign w:val="center"/>
          </w:tcPr>
          <w:p w14:paraId="2F29D055" w14:textId="77BA2934" w:rsidR="00C44672" w:rsidRPr="000540E1" w:rsidRDefault="00C44672" w:rsidP="00C44672">
            <w:pPr>
              <w:pStyle w:val="tbltext"/>
            </w:pPr>
            <w:r w:rsidRPr="00EA1E92">
              <w:t>7</w:t>
            </w:r>
          </w:p>
        </w:tc>
        <w:tc>
          <w:tcPr>
            <w:tcW w:w="2268" w:type="dxa"/>
            <w:vAlign w:val="center"/>
          </w:tcPr>
          <w:p w14:paraId="722A066C" w14:textId="3BCBAC46" w:rsidR="00C44672" w:rsidRPr="000540E1" w:rsidRDefault="00C44672" w:rsidP="00C44672">
            <w:pPr>
              <w:pStyle w:val="tbltext"/>
            </w:pPr>
            <w:r w:rsidRPr="00EA1E92">
              <w:rPr>
                <w:color w:val="000000" w:themeColor="text1"/>
              </w:rPr>
              <w:t>$34,000</w:t>
            </w:r>
          </w:p>
        </w:tc>
        <w:tc>
          <w:tcPr>
            <w:tcW w:w="2438" w:type="dxa"/>
            <w:vAlign w:val="center"/>
          </w:tcPr>
          <w:p w14:paraId="51454A41" w14:textId="0F9CD7EB" w:rsidR="00C44672" w:rsidRPr="000540E1" w:rsidRDefault="00C44672" w:rsidP="00C44672">
            <w:pPr>
              <w:pStyle w:val="tbltext"/>
            </w:pPr>
            <w:r w:rsidRPr="00EA1E92">
              <w:rPr>
                <w:color w:val="000000" w:themeColor="text1"/>
              </w:rPr>
              <w:t>$0.2 million</w:t>
            </w:r>
          </w:p>
        </w:tc>
      </w:tr>
    </w:tbl>
    <w:p w14:paraId="22EE155D" w14:textId="62E7FF84" w:rsidR="00C44672" w:rsidRDefault="00C44672" w:rsidP="003B0F12">
      <w:pPr>
        <w:pStyle w:val="sourcenotefullwidth"/>
      </w:pPr>
      <w:r>
        <w:t>* Annual levy amount has been rounded.</w:t>
      </w:r>
    </w:p>
    <w:p w14:paraId="47C6A7A0" w14:textId="47E91E01" w:rsidR="00017473" w:rsidRPr="00EA1E92" w:rsidRDefault="00017473" w:rsidP="00017473">
      <w:pPr>
        <w:pStyle w:val="BodyText"/>
      </w:pPr>
      <w:r w:rsidRPr="00EA1E92">
        <w:t>The</w:t>
      </w:r>
      <w:r w:rsidR="009D4C02">
        <w:t xml:space="preserve"> August 2015</w:t>
      </w:r>
      <w:r w:rsidRPr="00EA1E92">
        <w:t xml:space="preserve"> consultation paper proposed a model where a two tier levy is based on whether the agency has a condition on its AFS licence to comply with the IOSCO </w:t>
      </w:r>
      <w:r w:rsidRPr="00EA1E92">
        <w:rPr>
          <w:i/>
          <w:iCs/>
        </w:rPr>
        <w:t>Code of Conduct Fundamentals for Credit Rating Agencies</w:t>
      </w:r>
      <w:r w:rsidRPr="00EA1E92">
        <w:t xml:space="preserve">. Levies were proposed to be tiered depending on whether a credit rating agency is subject to, or exempt from, IOSCO Supervisory College membership. </w:t>
      </w:r>
      <w:r>
        <w:t xml:space="preserve">However, to ensure </w:t>
      </w:r>
      <w:r w:rsidR="009D4C02">
        <w:t xml:space="preserve">greater </w:t>
      </w:r>
      <w:r>
        <w:t>simplicity in the model</w:t>
      </w:r>
      <w:r w:rsidR="009D4C02">
        <w:t>,</w:t>
      </w:r>
      <w:r>
        <w:t xml:space="preserve"> a flat annual levy is proposed for this subsector. </w:t>
      </w:r>
      <w:r w:rsidRPr="00EA1E92">
        <w:t xml:space="preserve">Submissions from industry did not comment on the proposed funding model for credit rating agencies. </w:t>
      </w:r>
    </w:p>
    <w:p w14:paraId="2B1977EC" w14:textId="77777777" w:rsidR="00017473" w:rsidRPr="00EA1E92" w:rsidRDefault="00017473" w:rsidP="00984FBC">
      <w:pPr>
        <w:pStyle w:val="Heading3"/>
      </w:pPr>
      <w:bookmarkStart w:id="338" w:name="_Toc453684007"/>
      <w:bookmarkStart w:id="339" w:name="_Toc453750648"/>
      <w:bookmarkStart w:id="340" w:name="_Toc453771933"/>
      <w:bookmarkStart w:id="341" w:name="_Toc453836179"/>
      <w:bookmarkStart w:id="342" w:name="_Toc453844433"/>
      <w:bookmarkStart w:id="343" w:name="_Toc462677723"/>
      <w:bookmarkStart w:id="344" w:name="_Toc462697160"/>
      <w:bookmarkStart w:id="345" w:name="_Toc462698971"/>
      <w:bookmarkStart w:id="346" w:name="_Toc462700207"/>
      <w:bookmarkStart w:id="347" w:name="_Toc462700888"/>
      <w:r w:rsidRPr="00EA1E92">
        <w:t>Market intermediaries</w:t>
      </w:r>
      <w:bookmarkEnd w:id="338"/>
      <w:bookmarkEnd w:id="339"/>
      <w:bookmarkEnd w:id="340"/>
      <w:bookmarkEnd w:id="341"/>
      <w:bookmarkEnd w:id="342"/>
      <w:bookmarkEnd w:id="343"/>
      <w:bookmarkEnd w:id="344"/>
      <w:bookmarkEnd w:id="345"/>
      <w:bookmarkEnd w:id="346"/>
      <w:bookmarkEnd w:id="347"/>
    </w:p>
    <w:p w14:paraId="0B1A6790" w14:textId="1062C223" w:rsidR="00017473" w:rsidRPr="00EA1E92" w:rsidRDefault="00017473" w:rsidP="00017473">
      <w:pPr>
        <w:pStyle w:val="BodyText"/>
      </w:pPr>
      <w:r w:rsidRPr="00EA1E92">
        <w:t xml:space="preserve">Market participants are currently paying $16.2 million under ASIC’s </w:t>
      </w:r>
      <w:r w:rsidR="00F46623">
        <w:t>Market S</w:t>
      </w:r>
      <w:r w:rsidRPr="00EA1E92">
        <w:t xml:space="preserve">upervision </w:t>
      </w:r>
      <w:r w:rsidR="00F46623">
        <w:t>C</w:t>
      </w:r>
      <w:r w:rsidRPr="00EA1E92">
        <w:t xml:space="preserve">ost </w:t>
      </w:r>
      <w:r w:rsidR="00F46623">
        <w:t>R</w:t>
      </w:r>
      <w:r w:rsidRPr="00EA1E92">
        <w:t xml:space="preserve">ecovery regime, which has been in place since 2010. This recovers costs for market supervision functions ASIC undertook from the transfer of market supervision from the ASX. </w:t>
      </w:r>
    </w:p>
    <w:p w14:paraId="0F03B617" w14:textId="29EF04DA" w:rsidR="00017473" w:rsidRPr="00EA1E92" w:rsidRDefault="00017473" w:rsidP="00017473">
      <w:pPr>
        <w:pStyle w:val="BodyText"/>
      </w:pPr>
      <w:r w:rsidRPr="00EA1E92">
        <w:t>Under industry funding it is proposed the Government will recover $19 million from market participants. The Government will also recover $2.9 million from securities dealers, $9.7 million from investment banks, $4.0 million from retail OTC derivatives issuers and $0.1 million from wholesale electricity dealers. This will recover all of ASIC’s costs for these subsectors</w:t>
      </w:r>
      <w:r w:rsidR="009D4C02">
        <w:t>,</w:t>
      </w:r>
      <w:r w:rsidRPr="00EA1E92">
        <w:t xml:space="preserve"> including stakeholder engagement, education, guidance, surveillance, enforcement and policy advice.</w:t>
      </w:r>
    </w:p>
    <w:p w14:paraId="1C6D3B5E" w14:textId="77777777" w:rsidR="00017473" w:rsidRPr="00EA1E92" w:rsidRDefault="00017473" w:rsidP="000B5B80">
      <w:pPr>
        <w:pStyle w:val="Heading4"/>
      </w:pPr>
      <w:bookmarkStart w:id="348" w:name="_Toc462698972"/>
      <w:bookmarkStart w:id="349" w:name="_Toc462700208"/>
      <w:bookmarkStart w:id="350" w:name="_Toc462700889"/>
      <w:r w:rsidRPr="00EA1E92">
        <w:t>Market participants</w:t>
      </w:r>
      <w:bookmarkEnd w:id="348"/>
      <w:bookmarkEnd w:id="349"/>
      <w:bookmarkEnd w:id="350"/>
    </w:p>
    <w:p w14:paraId="193484A5" w14:textId="1A9D63D3" w:rsidR="00017473" w:rsidRDefault="00017473" w:rsidP="001149DE">
      <w:pPr>
        <w:pStyle w:val="BodyText"/>
      </w:pPr>
      <w:r w:rsidRPr="00EA1E92">
        <w:t xml:space="preserve">Market participant costs are proposed to be recovered through a fixed levy from all market participants and a variable levy (payable only by participants in cash equity and futures markets) scaled relative to the proportion of transaction and message counts each </w:t>
      </w:r>
      <w:r w:rsidR="00FC3585">
        <w:t xml:space="preserve">market operator reports to ASIC and is recognised by </w:t>
      </w:r>
      <w:r w:rsidRPr="00EA1E92">
        <w:t>ASIC’s market s</w:t>
      </w:r>
      <w:r w:rsidR="00714D0C">
        <w:t xml:space="preserve">urveillance system. </w:t>
      </w:r>
      <w:r w:rsidRPr="00EA1E92">
        <w:t>This is generally consistent with ASIC’s Market Supervision Cost Recovery approach, which currently recovers market participant costs only from cash equity market participants, and was the approach in the August 2015 consultation paper.</w:t>
      </w:r>
    </w:p>
    <w:p w14:paraId="245B5164" w14:textId="605B3113" w:rsidR="00C44672" w:rsidRDefault="00C4467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25</w:t>
      </w:r>
      <w:r w:rsidR="003D3E81">
        <w:rPr>
          <w:noProof/>
        </w:rPr>
        <w:fldChar w:fldCharType="end"/>
      </w:r>
      <w:r>
        <w:t>:</w:t>
      </w:r>
      <w:r>
        <w:tab/>
      </w:r>
      <w:r w:rsidRPr="00EA1E92">
        <w:t>Proposed levy arrangements – Market participants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247"/>
        <w:gridCol w:w="1587"/>
        <w:gridCol w:w="3005"/>
        <w:gridCol w:w="1474"/>
      </w:tblGrid>
      <w:tr w:rsidR="00D840ED" w:rsidRPr="000540E1" w14:paraId="591E519B" w14:textId="77777777" w:rsidTr="00D840ED">
        <w:trPr>
          <w:cantSplit/>
          <w:tblHeader/>
        </w:trPr>
        <w:tc>
          <w:tcPr>
            <w:tcW w:w="1814" w:type="dxa"/>
            <w:shd w:val="clear" w:color="auto" w:fill="C2E3FA"/>
          </w:tcPr>
          <w:p w14:paraId="5E4E1CCD" w14:textId="17B95C7E" w:rsidR="00C44672" w:rsidRPr="000540E1" w:rsidRDefault="00C44672" w:rsidP="003B0F12">
            <w:pPr>
              <w:pStyle w:val="tablehead"/>
            </w:pPr>
            <w:r>
              <w:t>Subsector</w:t>
            </w:r>
          </w:p>
        </w:tc>
        <w:tc>
          <w:tcPr>
            <w:tcW w:w="1247" w:type="dxa"/>
            <w:shd w:val="clear" w:color="auto" w:fill="C2E3FA"/>
          </w:tcPr>
          <w:p w14:paraId="75B3DC81" w14:textId="636EA7EE" w:rsidR="00C44672" w:rsidRPr="000540E1" w:rsidRDefault="00C44672" w:rsidP="003B0F12">
            <w:pPr>
              <w:pStyle w:val="tablehead"/>
            </w:pPr>
            <w:r>
              <w:t>Number of entities</w:t>
            </w:r>
          </w:p>
        </w:tc>
        <w:tc>
          <w:tcPr>
            <w:tcW w:w="1587" w:type="dxa"/>
            <w:shd w:val="clear" w:color="auto" w:fill="C2E3FA"/>
          </w:tcPr>
          <w:p w14:paraId="101F409F" w14:textId="53D07EBD" w:rsidR="00C44672" w:rsidRPr="000540E1" w:rsidRDefault="009107AD" w:rsidP="003B0F12">
            <w:pPr>
              <w:pStyle w:val="tablehead"/>
            </w:pPr>
            <w:r>
              <w:t>Proposed f</w:t>
            </w:r>
            <w:r w:rsidR="00C44672">
              <w:t>ixed component</w:t>
            </w:r>
          </w:p>
        </w:tc>
        <w:tc>
          <w:tcPr>
            <w:tcW w:w="3005" w:type="dxa"/>
            <w:shd w:val="clear" w:color="auto" w:fill="C2E3FA"/>
          </w:tcPr>
          <w:p w14:paraId="19FEBBB3" w14:textId="009B0AA1" w:rsidR="00C44672" w:rsidRPr="000540E1" w:rsidRDefault="009107AD" w:rsidP="003B0F12">
            <w:pPr>
              <w:pStyle w:val="tablehead"/>
            </w:pPr>
            <w:r>
              <w:t>Proposed v</w:t>
            </w:r>
            <w:r w:rsidR="00C44672">
              <w:t>ariable component</w:t>
            </w:r>
          </w:p>
        </w:tc>
        <w:tc>
          <w:tcPr>
            <w:tcW w:w="1474" w:type="dxa"/>
            <w:shd w:val="clear" w:color="auto" w:fill="C2E3FA"/>
          </w:tcPr>
          <w:p w14:paraId="5C7394BF" w14:textId="52B09348" w:rsidR="00C44672" w:rsidRPr="000540E1" w:rsidRDefault="00C44672" w:rsidP="003B0F12">
            <w:pPr>
              <w:pStyle w:val="tablehead"/>
            </w:pPr>
            <w:r>
              <w:t>Amount to be recovered</w:t>
            </w:r>
          </w:p>
        </w:tc>
      </w:tr>
      <w:tr w:rsidR="00D840ED" w:rsidRPr="000540E1" w14:paraId="42009D20" w14:textId="77777777" w:rsidTr="00D840ED">
        <w:trPr>
          <w:cantSplit/>
        </w:trPr>
        <w:tc>
          <w:tcPr>
            <w:tcW w:w="1814" w:type="dxa"/>
          </w:tcPr>
          <w:p w14:paraId="7B2D8890" w14:textId="3995C4DA" w:rsidR="00C44672" w:rsidRPr="000540E1" w:rsidRDefault="00C44672" w:rsidP="003B0F12">
            <w:pPr>
              <w:pStyle w:val="tbltext"/>
            </w:pPr>
            <w:r>
              <w:t>Market participants</w:t>
            </w:r>
          </w:p>
        </w:tc>
        <w:tc>
          <w:tcPr>
            <w:tcW w:w="1247" w:type="dxa"/>
          </w:tcPr>
          <w:p w14:paraId="1CDCF3AD" w14:textId="41ADA0C2" w:rsidR="00C44672" w:rsidRPr="000540E1" w:rsidRDefault="00C44672" w:rsidP="003B0F12">
            <w:pPr>
              <w:pStyle w:val="tbltext"/>
            </w:pPr>
            <w:r>
              <w:t>133</w:t>
            </w:r>
          </w:p>
        </w:tc>
        <w:tc>
          <w:tcPr>
            <w:tcW w:w="1587" w:type="dxa"/>
          </w:tcPr>
          <w:p w14:paraId="637CF4F5" w14:textId="3CFD09D8" w:rsidR="00C44672" w:rsidRPr="000540E1" w:rsidRDefault="00C44672" w:rsidP="003B0F12">
            <w:pPr>
              <w:pStyle w:val="tbltext"/>
            </w:pPr>
            <w:r>
              <w:t>$9,000</w:t>
            </w:r>
          </w:p>
        </w:tc>
        <w:tc>
          <w:tcPr>
            <w:tcW w:w="3005" w:type="dxa"/>
          </w:tcPr>
          <w:p w14:paraId="4BCE5549" w14:textId="18F65F15" w:rsidR="00C44672" w:rsidRPr="000540E1" w:rsidRDefault="00C44672" w:rsidP="003B0F12">
            <w:pPr>
              <w:pStyle w:val="tbltext"/>
            </w:pPr>
            <w:r w:rsidRPr="00EA1E92">
              <w:t>$9,000 plus $0.02 per transaction plus $0.002 per message</w:t>
            </w:r>
          </w:p>
        </w:tc>
        <w:tc>
          <w:tcPr>
            <w:tcW w:w="1474" w:type="dxa"/>
          </w:tcPr>
          <w:p w14:paraId="45AABC24" w14:textId="3EAA6A7E" w:rsidR="00C44672" w:rsidRPr="000540E1" w:rsidRDefault="00C44672" w:rsidP="003B0F12">
            <w:pPr>
              <w:pStyle w:val="tbltext"/>
            </w:pPr>
            <w:r>
              <w:t>$19.0 million</w:t>
            </w:r>
          </w:p>
        </w:tc>
      </w:tr>
    </w:tbl>
    <w:p w14:paraId="176842C4" w14:textId="23AFF159" w:rsidR="00017473" w:rsidRDefault="00017473" w:rsidP="00017473">
      <w:pPr>
        <w:pStyle w:val="Bullet"/>
        <w:numPr>
          <w:ilvl w:val="0"/>
          <w:numId w:val="0"/>
        </w:numPr>
      </w:pPr>
    </w:p>
    <w:p w14:paraId="350E000A" w14:textId="56F38087" w:rsidR="00017473" w:rsidRPr="00EA1E92" w:rsidRDefault="00017473" w:rsidP="00017473">
      <w:pPr>
        <w:pStyle w:val="BodyText"/>
      </w:pPr>
      <w:r w:rsidRPr="00EA1E92">
        <w:t>Submissions generally supported the proposed transaction and message based model for market participants. Some stakeholders regarded the fixed levy of $15,500 in the August</w:t>
      </w:r>
      <w:r w:rsidR="009D4C02">
        <w:t> </w:t>
      </w:r>
      <w:r w:rsidRPr="00EA1E92">
        <w:t xml:space="preserve">2015 consultation paper as a potential barrier to entry for smaller participants, which could reduce competition in the sector. </w:t>
      </w:r>
    </w:p>
    <w:p w14:paraId="75245C64" w14:textId="5E6C7A3A" w:rsidR="00017473" w:rsidRPr="00EA1E92" w:rsidRDefault="00EF18B1" w:rsidP="00017473">
      <w:pPr>
        <w:pStyle w:val="BodyText"/>
      </w:pPr>
      <w:r>
        <w:t xml:space="preserve">ASIC proposes to address these concerns </w:t>
      </w:r>
      <w:r w:rsidR="00017473" w:rsidRPr="00EA1E92">
        <w:t>by reducing the fixed levy component to $9,000</w:t>
      </w:r>
      <w:r>
        <w:t xml:space="preserve"> — </w:t>
      </w:r>
      <w:r w:rsidR="00017473" w:rsidRPr="00EA1E92">
        <w:t>a reduction of 43% relative to the August 2015 consultation paper, and only a minor increase on the fixed fee currently paid of $7,620 per annum ($1,905 per quarter) under the Market Supervision Cost Recovery regime.</w:t>
      </w:r>
    </w:p>
    <w:p w14:paraId="0EF96397" w14:textId="77777777" w:rsidR="00017473" w:rsidRPr="00EA1E92" w:rsidRDefault="00017473" w:rsidP="000B5B80">
      <w:pPr>
        <w:pStyle w:val="Heading4"/>
      </w:pPr>
      <w:bookmarkStart w:id="351" w:name="_Toc462698973"/>
      <w:bookmarkStart w:id="352" w:name="_Toc462700209"/>
      <w:bookmarkStart w:id="353" w:name="_Toc462700890"/>
      <w:r w:rsidRPr="00EA1E92">
        <w:t>Securities dealers</w:t>
      </w:r>
      <w:bookmarkEnd w:id="351"/>
      <w:bookmarkEnd w:id="352"/>
      <w:bookmarkEnd w:id="353"/>
    </w:p>
    <w:p w14:paraId="106E43B1" w14:textId="77777777" w:rsidR="00017473" w:rsidRPr="00EA1E92" w:rsidRDefault="00017473" w:rsidP="00017473">
      <w:pPr>
        <w:pStyle w:val="BodyText"/>
      </w:pPr>
      <w:r w:rsidRPr="00EA1E92">
        <w:t xml:space="preserve">The Government proposes to recover $2.9 million from securities dealers. </w:t>
      </w:r>
    </w:p>
    <w:p w14:paraId="41862BEF" w14:textId="65325781" w:rsidR="00017473" w:rsidRPr="00EA1E92" w:rsidRDefault="00017473" w:rsidP="00017473">
      <w:pPr>
        <w:pStyle w:val="BodyText"/>
      </w:pPr>
      <w:r w:rsidRPr="00EA1E92">
        <w:t xml:space="preserve">It is proposed a graduated levy will apply based on annual transaction value attributable to each securities dealer compared to the total annual transaction value of all securities dealers. </w:t>
      </w:r>
      <w:r w:rsidR="00EF18B1">
        <w:t>ASIC proposes that a</w:t>
      </w:r>
      <w:r w:rsidRPr="00EA1E92">
        <w:t xml:space="preserve"> minimum levy will apply to all securities dealers reflecting ASIC’s fixed cost to regulate an entity with an authorisation to deal in securities. Th</w:t>
      </w:r>
      <w:r w:rsidR="00EF18B1">
        <w:t>e proposed</w:t>
      </w:r>
      <w:r w:rsidRPr="00EA1E92">
        <w:t xml:space="preserve"> levy will impose no additional reporting burden on securities dealers as it will be calculated by ASIC using data from its Market Analysis and Intelligence (MAI) surveillance system.</w:t>
      </w:r>
    </w:p>
    <w:p w14:paraId="4E712830" w14:textId="25768D88" w:rsidR="00C44672" w:rsidRDefault="00C4467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26</w:t>
      </w:r>
      <w:r w:rsidR="003D3E81">
        <w:rPr>
          <w:noProof/>
        </w:rPr>
        <w:fldChar w:fldCharType="end"/>
      </w:r>
      <w:r>
        <w:t>:</w:t>
      </w:r>
      <w:r>
        <w:tab/>
      </w:r>
      <w:r w:rsidRPr="00EA1E92">
        <w:t xml:space="preserve">Proposed levy arrangements – </w:t>
      </w:r>
      <w:r>
        <w:t>Securities dealers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247"/>
        <w:gridCol w:w="1587"/>
        <w:gridCol w:w="3005"/>
        <w:gridCol w:w="1474"/>
      </w:tblGrid>
      <w:tr w:rsidR="0018197A" w:rsidRPr="000540E1" w14:paraId="0E000ECE" w14:textId="77777777" w:rsidTr="0018197A">
        <w:trPr>
          <w:cantSplit/>
          <w:tblHeader/>
        </w:trPr>
        <w:tc>
          <w:tcPr>
            <w:tcW w:w="1814" w:type="dxa"/>
            <w:shd w:val="clear" w:color="auto" w:fill="C2E3FA"/>
          </w:tcPr>
          <w:p w14:paraId="661F9406" w14:textId="53F64164" w:rsidR="00C44672" w:rsidRPr="000540E1" w:rsidRDefault="00C44672" w:rsidP="003B0F12">
            <w:pPr>
              <w:pStyle w:val="tablehead"/>
            </w:pPr>
            <w:r>
              <w:t>Subsector</w:t>
            </w:r>
          </w:p>
        </w:tc>
        <w:tc>
          <w:tcPr>
            <w:tcW w:w="1247" w:type="dxa"/>
            <w:shd w:val="clear" w:color="auto" w:fill="C2E3FA"/>
          </w:tcPr>
          <w:p w14:paraId="647E9B2B" w14:textId="5215CA17" w:rsidR="00C44672" w:rsidRPr="000540E1" w:rsidRDefault="00C44672" w:rsidP="003B0F12">
            <w:pPr>
              <w:pStyle w:val="tablehead"/>
            </w:pPr>
            <w:r>
              <w:t>Number of entities</w:t>
            </w:r>
          </w:p>
        </w:tc>
        <w:tc>
          <w:tcPr>
            <w:tcW w:w="1587" w:type="dxa"/>
            <w:shd w:val="clear" w:color="auto" w:fill="C2E3FA"/>
          </w:tcPr>
          <w:p w14:paraId="6813BD86" w14:textId="5753CA9A" w:rsidR="00C44672" w:rsidRPr="000540E1" w:rsidRDefault="00EF18B1" w:rsidP="003B0F12">
            <w:pPr>
              <w:pStyle w:val="tablehead"/>
            </w:pPr>
            <w:r>
              <w:t xml:space="preserve">Proposed fixed </w:t>
            </w:r>
            <w:r w:rsidR="00C44672">
              <w:t>component</w:t>
            </w:r>
          </w:p>
        </w:tc>
        <w:tc>
          <w:tcPr>
            <w:tcW w:w="3005" w:type="dxa"/>
            <w:shd w:val="clear" w:color="auto" w:fill="C2E3FA"/>
          </w:tcPr>
          <w:p w14:paraId="585AB603" w14:textId="44906583" w:rsidR="00C44672" w:rsidRPr="000540E1" w:rsidRDefault="00EF18B1" w:rsidP="003B0F12">
            <w:pPr>
              <w:pStyle w:val="tablehead"/>
            </w:pPr>
            <w:r>
              <w:t>Proposed v</w:t>
            </w:r>
            <w:r w:rsidR="00C44672">
              <w:t>ariable component</w:t>
            </w:r>
          </w:p>
        </w:tc>
        <w:tc>
          <w:tcPr>
            <w:tcW w:w="1474" w:type="dxa"/>
            <w:shd w:val="clear" w:color="auto" w:fill="C2E3FA"/>
          </w:tcPr>
          <w:p w14:paraId="2B05865B" w14:textId="52C616C9" w:rsidR="00C44672" w:rsidRPr="000540E1" w:rsidRDefault="00C44672" w:rsidP="003B0F12">
            <w:pPr>
              <w:pStyle w:val="tablehead"/>
            </w:pPr>
            <w:r>
              <w:t>Amount to be recovered</w:t>
            </w:r>
          </w:p>
        </w:tc>
      </w:tr>
      <w:tr w:rsidR="0018197A" w:rsidRPr="000540E1" w14:paraId="72CA9EC8" w14:textId="77777777" w:rsidTr="0018197A">
        <w:trPr>
          <w:cantSplit/>
        </w:trPr>
        <w:tc>
          <w:tcPr>
            <w:tcW w:w="1814" w:type="dxa"/>
          </w:tcPr>
          <w:p w14:paraId="33449BBA" w14:textId="1464FE21" w:rsidR="00C44672" w:rsidRPr="000540E1" w:rsidRDefault="00C44672" w:rsidP="003B0F12">
            <w:pPr>
              <w:pStyle w:val="tbltext"/>
            </w:pPr>
            <w:r>
              <w:t>Securities dealer</w:t>
            </w:r>
          </w:p>
        </w:tc>
        <w:tc>
          <w:tcPr>
            <w:tcW w:w="1247" w:type="dxa"/>
          </w:tcPr>
          <w:p w14:paraId="6A16EC75" w14:textId="0175FB0E" w:rsidR="00C44672" w:rsidRPr="000540E1" w:rsidRDefault="00C44672" w:rsidP="003B0F12">
            <w:pPr>
              <w:pStyle w:val="tbltext"/>
            </w:pPr>
            <w:r>
              <w:t>2,840</w:t>
            </w:r>
          </w:p>
        </w:tc>
        <w:tc>
          <w:tcPr>
            <w:tcW w:w="1587" w:type="dxa"/>
          </w:tcPr>
          <w:p w14:paraId="0C7A460F" w14:textId="262CEB01" w:rsidR="00C44672" w:rsidRPr="000540E1" w:rsidRDefault="00C44672" w:rsidP="003B0F12">
            <w:pPr>
              <w:pStyle w:val="tbltext"/>
            </w:pPr>
            <w:r>
              <w:t>$250</w:t>
            </w:r>
          </w:p>
        </w:tc>
        <w:tc>
          <w:tcPr>
            <w:tcW w:w="3005" w:type="dxa"/>
          </w:tcPr>
          <w:p w14:paraId="49DE6319" w14:textId="7A1EA4BF" w:rsidR="00C44672" w:rsidRPr="000540E1" w:rsidRDefault="00C44672" w:rsidP="003B0F12">
            <w:pPr>
              <w:pStyle w:val="tbltext"/>
            </w:pPr>
            <w:r w:rsidRPr="00EA1E92">
              <w:t>$250 plus $0.34 per $10,000 of annual transaction turnover</w:t>
            </w:r>
          </w:p>
        </w:tc>
        <w:tc>
          <w:tcPr>
            <w:tcW w:w="1474" w:type="dxa"/>
          </w:tcPr>
          <w:p w14:paraId="738C9204" w14:textId="24405192" w:rsidR="00C44672" w:rsidRPr="000540E1" w:rsidRDefault="00C44672" w:rsidP="003B0F12">
            <w:pPr>
              <w:pStyle w:val="tbltext"/>
            </w:pPr>
            <w:r>
              <w:t>$2.9 million</w:t>
            </w:r>
          </w:p>
        </w:tc>
      </w:tr>
    </w:tbl>
    <w:p w14:paraId="294259D7" w14:textId="77777777" w:rsidR="00DF397B" w:rsidRPr="00DF397B" w:rsidRDefault="00DF397B">
      <w:pPr>
        <w:spacing w:after="0"/>
      </w:pPr>
    </w:p>
    <w:p w14:paraId="55B6F86F" w14:textId="43CA8058" w:rsidR="00017473" w:rsidRDefault="00017473" w:rsidP="00FC5759">
      <w:pPr>
        <w:pStyle w:val="BodyText"/>
      </w:pPr>
      <w:r w:rsidRPr="00EA1E92">
        <w:t>Submissions did not oppose the flat levy for securities dealers proposed in the August</w:t>
      </w:r>
      <w:r w:rsidR="009D4C02">
        <w:t> </w:t>
      </w:r>
      <w:r w:rsidRPr="00EA1E92">
        <w:t xml:space="preserve">2015 consultation paper, however noted many financial advisers also hold the authorisation to deal in securities and may cease to hold the authorisation where it is ancillary to their core business. This would reduce the number of entities subject to the </w:t>
      </w:r>
      <w:r w:rsidR="00FC5759" w:rsidRPr="00FC5759">
        <w:t>securities dealer levy and could increase the quantum of the levy in the second year of the model</w:t>
      </w:r>
      <w:r w:rsidR="00FC5759">
        <w:t>.</w:t>
      </w:r>
    </w:p>
    <w:p w14:paraId="5A06099B" w14:textId="3A8575A3" w:rsidR="009D4C02" w:rsidRPr="00EA1E92" w:rsidRDefault="009D4C02" w:rsidP="000B5B80">
      <w:pPr>
        <w:pStyle w:val="Heading4"/>
      </w:pPr>
      <w:r>
        <w:t xml:space="preserve">Crowd-sourced </w:t>
      </w:r>
      <w:r w:rsidR="001122E9">
        <w:t>e</w:t>
      </w:r>
      <w:r>
        <w:t xml:space="preserve">quity </w:t>
      </w:r>
      <w:r w:rsidR="001122E9">
        <w:t>f</w:t>
      </w:r>
      <w:r>
        <w:t>unding</w:t>
      </w:r>
    </w:p>
    <w:p w14:paraId="4DFB0291" w14:textId="0749A2D9" w:rsidR="003B3432" w:rsidRDefault="00017473" w:rsidP="00017473">
      <w:pPr>
        <w:pStyle w:val="BodyText"/>
      </w:pPr>
      <w:r w:rsidRPr="00EA1E92">
        <w:t xml:space="preserve">In future, once the proposed </w:t>
      </w:r>
      <w:r w:rsidR="009D4C02">
        <w:t>c</w:t>
      </w:r>
      <w:r w:rsidRPr="00EA1E92">
        <w:t>rowd</w:t>
      </w:r>
      <w:r w:rsidR="009D4C02">
        <w:t>-s</w:t>
      </w:r>
      <w:r w:rsidRPr="00EA1E92">
        <w:t>ource</w:t>
      </w:r>
      <w:r w:rsidR="009D4C02">
        <w:t>d</w:t>
      </w:r>
      <w:r w:rsidRPr="00EA1E92">
        <w:t xml:space="preserve"> </w:t>
      </w:r>
      <w:r w:rsidR="009D4C02">
        <w:t>e</w:t>
      </w:r>
      <w:r w:rsidR="009D4C02" w:rsidRPr="00EA1E92">
        <w:t xml:space="preserve">quity </w:t>
      </w:r>
      <w:r w:rsidR="009D4C02">
        <w:t>f</w:t>
      </w:r>
      <w:r w:rsidRPr="00EA1E92">
        <w:t xml:space="preserve">unding initiative is implemented, </w:t>
      </w:r>
      <w:r w:rsidR="00EF18B1">
        <w:t xml:space="preserve">it is proposed that </w:t>
      </w:r>
      <w:r w:rsidRPr="00EA1E92">
        <w:t>entities facilitating capital raising under these provisions will be required to hold an AFS licence with a new authorisation and therefore may be subject to a separate levy linked to ASIC</w:t>
      </w:r>
      <w:r w:rsidR="0003187F">
        <w:t>’</w:t>
      </w:r>
      <w:r w:rsidRPr="00EA1E92">
        <w:t>s effort in regulating this group.</w:t>
      </w:r>
    </w:p>
    <w:p w14:paraId="02AD9836" w14:textId="77777777" w:rsidR="00017473" w:rsidRPr="00EA1E92" w:rsidRDefault="00017473" w:rsidP="000B5B80">
      <w:pPr>
        <w:pStyle w:val="Heading4"/>
      </w:pPr>
      <w:bookmarkStart w:id="354" w:name="_Toc462698974"/>
      <w:bookmarkStart w:id="355" w:name="_Toc462700210"/>
      <w:bookmarkStart w:id="356" w:name="_Toc462700891"/>
      <w:r w:rsidRPr="00EA1E92">
        <w:t>Investment banks</w:t>
      </w:r>
      <w:bookmarkEnd w:id="354"/>
      <w:bookmarkEnd w:id="355"/>
      <w:bookmarkEnd w:id="356"/>
    </w:p>
    <w:p w14:paraId="58B4FE72" w14:textId="4AAA8011" w:rsidR="00017473" w:rsidRPr="00EA1E92" w:rsidRDefault="00017473" w:rsidP="00017473">
      <w:pPr>
        <w:pStyle w:val="BodyText"/>
      </w:pPr>
      <w:r w:rsidRPr="00EA1E92">
        <w:t xml:space="preserve">The Government proposes to recover $9.7 million from the investment banking </w:t>
      </w:r>
      <w:r w:rsidR="00FC5759">
        <w:t>sub</w:t>
      </w:r>
      <w:r w:rsidRPr="00EA1E92">
        <w:t>sector.</w:t>
      </w:r>
    </w:p>
    <w:p w14:paraId="3292496A" w14:textId="0CEC4726" w:rsidR="00017473" w:rsidRPr="00EA1E92" w:rsidRDefault="00017473" w:rsidP="00017473">
      <w:pPr>
        <w:pStyle w:val="BodyText"/>
      </w:pPr>
      <w:r w:rsidRPr="00EA1E92">
        <w:t>Submissions showed an interest from stakeholders to have a graduated model apply more broadly. This would ensure levies for entities are more closely aligned to the level of supervision</w:t>
      </w:r>
      <w:r w:rsidR="009D4C02">
        <w:t xml:space="preserve"> (</w:t>
      </w:r>
      <w:r w:rsidRPr="00EA1E92">
        <w:t>however would increase complexity in the model and the reporting burden on entities</w:t>
      </w:r>
      <w:r w:rsidR="009D4C02">
        <w:t>)</w:t>
      </w:r>
      <w:r w:rsidR="00714D0C">
        <w:t>.</w:t>
      </w:r>
    </w:p>
    <w:p w14:paraId="369EB4BF" w14:textId="77777777" w:rsidR="00EF18B1" w:rsidRDefault="00017473" w:rsidP="00017473">
      <w:pPr>
        <w:pStyle w:val="BodyText"/>
      </w:pPr>
      <w:r w:rsidRPr="00EA1E92">
        <w:t>It is proposed that costs relating to investment banks will be recovered through</w:t>
      </w:r>
      <w:r w:rsidR="00EF18B1">
        <w:t>:</w:t>
      </w:r>
      <w:r w:rsidRPr="00EA1E92">
        <w:t xml:space="preserve"> </w:t>
      </w:r>
    </w:p>
    <w:p w14:paraId="4D4F776E" w14:textId="77777777" w:rsidR="00EF18B1" w:rsidRDefault="00017473" w:rsidP="000B5B80">
      <w:pPr>
        <w:pStyle w:val="subparaa"/>
        <w:ind w:left="1559"/>
      </w:pPr>
      <w:r w:rsidRPr="00EA1E92">
        <w:t>a $1,000 fixed levy on all entities generating Australian sourced revenue from investment banking activities</w:t>
      </w:r>
      <w:r w:rsidR="00EF18B1">
        <w:t xml:space="preserve">, and </w:t>
      </w:r>
    </w:p>
    <w:p w14:paraId="74A63EEC" w14:textId="26487AF7" w:rsidR="00EF18B1" w:rsidRDefault="00017473" w:rsidP="000B5B80">
      <w:pPr>
        <w:pStyle w:val="subparaa"/>
        <w:ind w:left="1559"/>
      </w:pPr>
      <w:r w:rsidRPr="00EA1E92">
        <w:t>a graduated levy based on the group</w:t>
      </w:r>
      <w:r w:rsidR="0003187F">
        <w:t>’</w:t>
      </w:r>
      <w:r w:rsidRPr="00EA1E92">
        <w:t xml:space="preserve">s share of total Australian sourced revenue from those activities above $100,000. </w:t>
      </w:r>
    </w:p>
    <w:p w14:paraId="31172480" w14:textId="45A21E1C" w:rsidR="00017473" w:rsidRPr="00EA1E92" w:rsidRDefault="00017473" w:rsidP="00017473">
      <w:pPr>
        <w:pStyle w:val="BodyText"/>
      </w:pPr>
      <w:r w:rsidRPr="00EA1E92">
        <w:t>The</w:t>
      </w:r>
      <w:r w:rsidR="00EF18B1">
        <w:t xml:space="preserve"> proposed</w:t>
      </w:r>
      <w:r w:rsidRPr="00EA1E92">
        <w:t xml:space="preserve"> minimum fixed levy will reflect ASIC’s fixed cost to regulate an entity undertaking investment banking activity.</w:t>
      </w:r>
    </w:p>
    <w:p w14:paraId="524B4030" w14:textId="502055E6" w:rsidR="00C44672" w:rsidRDefault="00C4467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27</w:t>
      </w:r>
      <w:r w:rsidR="003D3E81">
        <w:rPr>
          <w:noProof/>
        </w:rPr>
        <w:fldChar w:fldCharType="end"/>
      </w:r>
      <w:r>
        <w:t>:</w:t>
      </w:r>
      <w:r>
        <w:tab/>
      </w:r>
      <w:r w:rsidRPr="00EA1E92">
        <w:t xml:space="preserve">Proposed levy arrangements – </w:t>
      </w:r>
      <w:r>
        <w:t>Investment banks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247"/>
        <w:gridCol w:w="1587"/>
        <w:gridCol w:w="3005"/>
        <w:gridCol w:w="1474"/>
      </w:tblGrid>
      <w:tr w:rsidR="00C44672" w:rsidRPr="000540E1" w14:paraId="40258948" w14:textId="77777777" w:rsidTr="0018197A">
        <w:trPr>
          <w:cantSplit/>
          <w:tblHeader/>
        </w:trPr>
        <w:tc>
          <w:tcPr>
            <w:tcW w:w="1814" w:type="dxa"/>
            <w:shd w:val="clear" w:color="auto" w:fill="C2E3FA"/>
          </w:tcPr>
          <w:p w14:paraId="2BEA5338" w14:textId="16B21D62" w:rsidR="00C44672" w:rsidRPr="000540E1" w:rsidRDefault="00C44672" w:rsidP="003B0F12">
            <w:pPr>
              <w:pStyle w:val="tablehead"/>
            </w:pPr>
            <w:r>
              <w:t>Subsector</w:t>
            </w:r>
          </w:p>
        </w:tc>
        <w:tc>
          <w:tcPr>
            <w:tcW w:w="1247" w:type="dxa"/>
            <w:shd w:val="clear" w:color="auto" w:fill="C2E3FA"/>
          </w:tcPr>
          <w:p w14:paraId="578766C1" w14:textId="7D2C7C70" w:rsidR="00C44672" w:rsidRPr="000540E1" w:rsidRDefault="00C44672" w:rsidP="003B0F12">
            <w:pPr>
              <w:pStyle w:val="tablehead"/>
            </w:pPr>
            <w:r>
              <w:t>Number of entities</w:t>
            </w:r>
          </w:p>
        </w:tc>
        <w:tc>
          <w:tcPr>
            <w:tcW w:w="1587" w:type="dxa"/>
            <w:shd w:val="clear" w:color="auto" w:fill="C2E3FA"/>
          </w:tcPr>
          <w:p w14:paraId="007DEB09" w14:textId="776A03D7" w:rsidR="00C44672" w:rsidRPr="000540E1" w:rsidRDefault="00EF18B1" w:rsidP="003B0F12">
            <w:pPr>
              <w:pStyle w:val="tablehead"/>
            </w:pPr>
            <w:r>
              <w:t>Proposed f</w:t>
            </w:r>
            <w:r w:rsidR="00C44672">
              <w:t>ixed component</w:t>
            </w:r>
          </w:p>
        </w:tc>
        <w:tc>
          <w:tcPr>
            <w:tcW w:w="3005" w:type="dxa"/>
            <w:shd w:val="clear" w:color="auto" w:fill="C2E3FA"/>
          </w:tcPr>
          <w:p w14:paraId="79AE617A" w14:textId="39224FFC" w:rsidR="00C44672" w:rsidRPr="000540E1" w:rsidRDefault="00EF18B1" w:rsidP="003B0F12">
            <w:pPr>
              <w:pStyle w:val="tablehead"/>
            </w:pPr>
            <w:r>
              <w:t>Proposed v</w:t>
            </w:r>
            <w:r w:rsidR="00C44672">
              <w:t>ariable component</w:t>
            </w:r>
          </w:p>
        </w:tc>
        <w:tc>
          <w:tcPr>
            <w:tcW w:w="1474" w:type="dxa"/>
            <w:shd w:val="clear" w:color="auto" w:fill="C2E3FA"/>
          </w:tcPr>
          <w:p w14:paraId="31DE81C7" w14:textId="5FA77D81" w:rsidR="00C44672" w:rsidRPr="000540E1" w:rsidRDefault="00C44672" w:rsidP="003B0F12">
            <w:pPr>
              <w:pStyle w:val="tablehead"/>
            </w:pPr>
            <w:r>
              <w:t>Amount to be recovered</w:t>
            </w:r>
          </w:p>
        </w:tc>
      </w:tr>
      <w:tr w:rsidR="00C44672" w:rsidRPr="000540E1" w14:paraId="3F08DD14" w14:textId="77777777" w:rsidTr="0018197A">
        <w:trPr>
          <w:cantSplit/>
        </w:trPr>
        <w:tc>
          <w:tcPr>
            <w:tcW w:w="1814" w:type="dxa"/>
          </w:tcPr>
          <w:p w14:paraId="7B106EC3" w14:textId="08AC487F" w:rsidR="00C44672" w:rsidRPr="000540E1" w:rsidRDefault="00C44672" w:rsidP="003B0F12">
            <w:pPr>
              <w:pStyle w:val="tbltext"/>
            </w:pPr>
            <w:r>
              <w:t>Investment banks</w:t>
            </w:r>
          </w:p>
        </w:tc>
        <w:tc>
          <w:tcPr>
            <w:tcW w:w="1247" w:type="dxa"/>
          </w:tcPr>
          <w:p w14:paraId="4076265A" w14:textId="5465F7D8" w:rsidR="00C44672" w:rsidRPr="000540E1" w:rsidRDefault="00C44672" w:rsidP="003B0F12">
            <w:pPr>
              <w:pStyle w:val="tbltext"/>
            </w:pPr>
            <w:r>
              <w:t>Estimated to be 570</w:t>
            </w:r>
          </w:p>
        </w:tc>
        <w:tc>
          <w:tcPr>
            <w:tcW w:w="1587" w:type="dxa"/>
          </w:tcPr>
          <w:p w14:paraId="0FAA19BF" w14:textId="66E1F84A" w:rsidR="00C44672" w:rsidRPr="000540E1" w:rsidRDefault="00C44672" w:rsidP="003B0F12">
            <w:pPr>
              <w:pStyle w:val="tbltext"/>
            </w:pPr>
            <w:r>
              <w:t>$1,000</w:t>
            </w:r>
          </w:p>
        </w:tc>
        <w:tc>
          <w:tcPr>
            <w:tcW w:w="3005" w:type="dxa"/>
          </w:tcPr>
          <w:p w14:paraId="0BAA8011" w14:textId="1F68E692" w:rsidR="00C44672" w:rsidRPr="000540E1" w:rsidRDefault="00C44672" w:rsidP="00C44672">
            <w:pPr>
              <w:pStyle w:val="tbltext"/>
            </w:pPr>
            <w:r w:rsidRPr="00EA1E92">
              <w:t>$1,000 plus a graduated levy based on the group</w:t>
            </w:r>
            <w:r w:rsidR="0003187F">
              <w:t>’</w:t>
            </w:r>
            <w:r w:rsidRPr="00EA1E92">
              <w:t>s share of total Australian sourced revenue from investment banking activities above $100,000</w:t>
            </w:r>
          </w:p>
        </w:tc>
        <w:tc>
          <w:tcPr>
            <w:tcW w:w="1474" w:type="dxa"/>
          </w:tcPr>
          <w:p w14:paraId="26FFD130" w14:textId="7B7ED555" w:rsidR="00C44672" w:rsidRPr="000540E1" w:rsidRDefault="00C44672" w:rsidP="003B0F12">
            <w:pPr>
              <w:pStyle w:val="tbltext"/>
            </w:pPr>
            <w:r>
              <w:t>$9.7 million</w:t>
            </w:r>
          </w:p>
        </w:tc>
      </w:tr>
    </w:tbl>
    <w:p w14:paraId="2CEA6594" w14:textId="44204E5E" w:rsidR="00017473" w:rsidRPr="00EA1E92" w:rsidRDefault="00017473" w:rsidP="00017473">
      <w:pPr>
        <w:pStyle w:val="BodyText"/>
      </w:pPr>
      <w:r w:rsidRPr="00EA1E92">
        <w:t xml:space="preserve">The August 2015 consultation paper proposed a three tier levy based on revenue and assets of the AFS licence under which the investment bank operates. Stakeholders opposed the consultation model as revenue and assets reported by the AFS licensee would not reflect investment banking activity and the level of supervision ASIC undertakes for these entities. </w:t>
      </w:r>
    </w:p>
    <w:p w14:paraId="3747BA67" w14:textId="77777777" w:rsidR="00017473" w:rsidRPr="00EA1E92" w:rsidRDefault="00017473" w:rsidP="000B5B80">
      <w:pPr>
        <w:pStyle w:val="Heading4"/>
      </w:pPr>
      <w:bookmarkStart w:id="357" w:name="_Toc462698975"/>
      <w:bookmarkStart w:id="358" w:name="_Toc462700211"/>
      <w:bookmarkStart w:id="359" w:name="_Toc462700892"/>
      <w:r w:rsidRPr="00EA1E92">
        <w:t xml:space="preserve">Retail OTC derivative </w:t>
      </w:r>
      <w:r>
        <w:t>i</w:t>
      </w:r>
      <w:r w:rsidRPr="00EA1E92">
        <w:t>ssuers</w:t>
      </w:r>
      <w:bookmarkEnd w:id="357"/>
      <w:bookmarkEnd w:id="358"/>
      <w:bookmarkEnd w:id="359"/>
    </w:p>
    <w:p w14:paraId="7D21B484" w14:textId="719A51F7" w:rsidR="00017473" w:rsidRDefault="00EF18B1" w:rsidP="001149DE">
      <w:pPr>
        <w:pStyle w:val="BodyText"/>
      </w:pPr>
      <w:r>
        <w:t xml:space="preserve">ASIC proposes to recover the </w:t>
      </w:r>
      <w:r w:rsidR="00017473" w:rsidRPr="00EA1E92">
        <w:t>costs relating to retail OTC derivatives issuers through a flat levy in 2017–18. In the future</w:t>
      </w:r>
      <w:r>
        <w:t xml:space="preserve"> </w:t>
      </w:r>
      <w:r w:rsidR="00017473" w:rsidRPr="00EA1E92">
        <w:t>the model may move to a graduated levy based on transaction reporting data from derivative transaction reporting, however this is not proposed in 2017</w:t>
      </w:r>
      <w:r w:rsidR="00D11144">
        <w:t>–</w:t>
      </w:r>
      <w:r w:rsidR="00017473" w:rsidRPr="00EA1E92">
        <w:t>18 due to issues with data currently reported.</w:t>
      </w:r>
    </w:p>
    <w:p w14:paraId="2049A26D" w14:textId="038C3AF1" w:rsidR="00C44672" w:rsidRDefault="00C4467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28</w:t>
      </w:r>
      <w:r w:rsidR="003D3E81">
        <w:rPr>
          <w:noProof/>
        </w:rPr>
        <w:fldChar w:fldCharType="end"/>
      </w:r>
      <w:r>
        <w:t>:</w:t>
      </w:r>
      <w:r>
        <w:tab/>
      </w:r>
      <w:r w:rsidRPr="00EA1E92">
        <w:t>Proposed levy arrangements – Retail OTC derivative issuers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21"/>
        <w:gridCol w:w="1871"/>
        <w:gridCol w:w="2211"/>
        <w:gridCol w:w="2324"/>
      </w:tblGrid>
      <w:tr w:rsidR="00C44672" w:rsidRPr="000540E1" w14:paraId="2CFB6F74" w14:textId="77777777" w:rsidTr="0018197A">
        <w:trPr>
          <w:cantSplit/>
          <w:tblHeader/>
        </w:trPr>
        <w:tc>
          <w:tcPr>
            <w:tcW w:w="2721" w:type="dxa"/>
            <w:shd w:val="clear" w:color="auto" w:fill="C2E3FA"/>
          </w:tcPr>
          <w:p w14:paraId="43E8F222" w14:textId="5A2A3AFC" w:rsidR="00C44672" w:rsidRPr="000540E1" w:rsidRDefault="00C44672" w:rsidP="003B0F12">
            <w:pPr>
              <w:pStyle w:val="tablehead"/>
            </w:pPr>
            <w:r>
              <w:t>Subsector</w:t>
            </w:r>
          </w:p>
        </w:tc>
        <w:tc>
          <w:tcPr>
            <w:tcW w:w="1871" w:type="dxa"/>
            <w:shd w:val="clear" w:color="auto" w:fill="C2E3FA"/>
          </w:tcPr>
          <w:p w14:paraId="5A9DE794" w14:textId="6E8735A4" w:rsidR="00C44672" w:rsidRPr="000540E1" w:rsidRDefault="00C44672" w:rsidP="003B0F12">
            <w:pPr>
              <w:pStyle w:val="tablehead"/>
            </w:pPr>
            <w:r>
              <w:t>Number of entities</w:t>
            </w:r>
          </w:p>
        </w:tc>
        <w:tc>
          <w:tcPr>
            <w:tcW w:w="2211" w:type="dxa"/>
            <w:shd w:val="clear" w:color="auto" w:fill="C2E3FA"/>
          </w:tcPr>
          <w:p w14:paraId="76CA01D0" w14:textId="48476984" w:rsidR="00C44672" w:rsidRPr="000540E1" w:rsidRDefault="00EF18B1" w:rsidP="003B0F12">
            <w:pPr>
              <w:pStyle w:val="tablehead"/>
            </w:pPr>
            <w:r>
              <w:t xml:space="preserve">Proposed annual </w:t>
            </w:r>
            <w:r w:rsidR="00C44672">
              <w:t>levy*</w:t>
            </w:r>
          </w:p>
        </w:tc>
        <w:tc>
          <w:tcPr>
            <w:tcW w:w="2324" w:type="dxa"/>
            <w:shd w:val="clear" w:color="auto" w:fill="C2E3FA"/>
          </w:tcPr>
          <w:p w14:paraId="3EB47BBA" w14:textId="055BFB1B" w:rsidR="00C44672" w:rsidRPr="000540E1" w:rsidRDefault="00C44672" w:rsidP="003B0F12">
            <w:pPr>
              <w:pStyle w:val="tablehead"/>
            </w:pPr>
            <w:r>
              <w:t>Amount to be recovered</w:t>
            </w:r>
          </w:p>
        </w:tc>
      </w:tr>
      <w:tr w:rsidR="00C44672" w:rsidRPr="000540E1" w14:paraId="58B34B6A" w14:textId="77777777" w:rsidTr="0018197A">
        <w:trPr>
          <w:cantSplit/>
        </w:trPr>
        <w:tc>
          <w:tcPr>
            <w:tcW w:w="2721" w:type="dxa"/>
            <w:vAlign w:val="center"/>
          </w:tcPr>
          <w:p w14:paraId="44EF89A9" w14:textId="0F1E5C8E" w:rsidR="00C44672" w:rsidRPr="000540E1" w:rsidRDefault="00C44672" w:rsidP="00C44672">
            <w:pPr>
              <w:pStyle w:val="tbltext"/>
            </w:pPr>
            <w:r w:rsidRPr="00EA1E92">
              <w:t>Retail OTC derivative issuers</w:t>
            </w:r>
          </w:p>
        </w:tc>
        <w:tc>
          <w:tcPr>
            <w:tcW w:w="1871" w:type="dxa"/>
            <w:vAlign w:val="center"/>
          </w:tcPr>
          <w:p w14:paraId="3480EE0A" w14:textId="1AD162F2" w:rsidR="00C44672" w:rsidRPr="000540E1" w:rsidRDefault="00C44672" w:rsidP="002B6EB6">
            <w:pPr>
              <w:pStyle w:val="tbltext"/>
            </w:pPr>
            <w:r w:rsidRPr="00EA1E92">
              <w:t>65</w:t>
            </w:r>
          </w:p>
        </w:tc>
        <w:tc>
          <w:tcPr>
            <w:tcW w:w="2211" w:type="dxa"/>
            <w:vAlign w:val="center"/>
          </w:tcPr>
          <w:p w14:paraId="5138C0B6" w14:textId="6DCD9519" w:rsidR="00C44672" w:rsidRPr="000540E1" w:rsidRDefault="00C44672" w:rsidP="002B6EB6">
            <w:pPr>
              <w:pStyle w:val="tbltext"/>
            </w:pPr>
            <w:r w:rsidRPr="00EA1E92">
              <w:t xml:space="preserve">$61,400 </w:t>
            </w:r>
          </w:p>
        </w:tc>
        <w:tc>
          <w:tcPr>
            <w:tcW w:w="2324" w:type="dxa"/>
            <w:vAlign w:val="center"/>
          </w:tcPr>
          <w:p w14:paraId="0945E01C" w14:textId="02DDC49A" w:rsidR="00C44672" w:rsidRPr="000540E1" w:rsidRDefault="00C44672" w:rsidP="000671F0">
            <w:pPr>
              <w:pStyle w:val="tbltext"/>
            </w:pPr>
            <w:r w:rsidRPr="00EA1E92">
              <w:t>$4.0 million</w:t>
            </w:r>
          </w:p>
        </w:tc>
      </w:tr>
    </w:tbl>
    <w:p w14:paraId="5CD845DD" w14:textId="76478ED9" w:rsidR="00C44672" w:rsidRDefault="00C44672" w:rsidP="003B0F12">
      <w:pPr>
        <w:pStyle w:val="sourcenotefullwidth"/>
      </w:pPr>
      <w:r>
        <w:t>*Annual levy amount has been rounded.</w:t>
      </w:r>
    </w:p>
    <w:p w14:paraId="05A11631" w14:textId="77777777" w:rsidR="00C44672" w:rsidRDefault="00C44672">
      <w:pPr>
        <w:spacing w:after="0"/>
      </w:pPr>
    </w:p>
    <w:p w14:paraId="7B1AA6CE" w14:textId="2407EA49" w:rsidR="001F3CE7" w:rsidRPr="00EA1E92" w:rsidRDefault="001F3CE7" w:rsidP="001F3CE7">
      <w:pPr>
        <w:pStyle w:val="BodyText"/>
      </w:pPr>
      <w:r w:rsidRPr="00EA1E92">
        <w:t>The August 2015 consultation paper proposed a two tiered levy for retail OTC derivative issuers based on the amount of net tangible assets (NTA) required to be held by the entity under ASIC Class Order CO [12/752]</w:t>
      </w:r>
      <w:r w:rsidRPr="00EA1E92">
        <w:rPr>
          <w:i/>
        </w:rPr>
        <w:t xml:space="preserve"> Fin</w:t>
      </w:r>
      <w:r w:rsidR="00FC5759">
        <w:rPr>
          <w:i/>
        </w:rPr>
        <w:t xml:space="preserve">ancial requirements for retail </w:t>
      </w:r>
      <w:r w:rsidRPr="00EA1E92">
        <w:rPr>
          <w:i/>
        </w:rPr>
        <w:t>O</w:t>
      </w:r>
      <w:r w:rsidR="00FC5759">
        <w:rPr>
          <w:i/>
        </w:rPr>
        <w:t>T</w:t>
      </w:r>
      <w:r w:rsidRPr="00EA1E92">
        <w:rPr>
          <w:i/>
        </w:rPr>
        <w:t>C derivative issuers</w:t>
      </w:r>
      <w:r w:rsidRPr="00EA1E92">
        <w:t>. Feedback from submissions was this model is not correlated to risk or ASIC’s level of regulatory oversight and could impact on an entity</w:t>
      </w:r>
      <w:r w:rsidR="0003187F">
        <w:t>’</w:t>
      </w:r>
      <w:r w:rsidRPr="00EA1E92">
        <w:t>s decision on the amount of NTA held, and a more appropriate model would be based on transaction data from retail OTC derivative issuers.</w:t>
      </w:r>
    </w:p>
    <w:p w14:paraId="487E34FB" w14:textId="77777777" w:rsidR="001F3CE7" w:rsidRPr="00EA1E92" w:rsidRDefault="001F3CE7" w:rsidP="000B5B80">
      <w:pPr>
        <w:pStyle w:val="Heading4"/>
      </w:pPr>
      <w:bookmarkStart w:id="360" w:name="_Toc462677724"/>
      <w:bookmarkStart w:id="361" w:name="_Toc462697161"/>
      <w:bookmarkStart w:id="362" w:name="_Toc462698976"/>
      <w:bookmarkStart w:id="363" w:name="_Toc462700212"/>
      <w:bookmarkStart w:id="364" w:name="_Toc462700893"/>
      <w:r w:rsidRPr="00EA1E92">
        <w:t>Wholesale electricity dealers</w:t>
      </w:r>
      <w:bookmarkEnd w:id="360"/>
      <w:bookmarkEnd w:id="361"/>
      <w:bookmarkEnd w:id="362"/>
      <w:bookmarkEnd w:id="363"/>
      <w:bookmarkEnd w:id="364"/>
    </w:p>
    <w:p w14:paraId="2CC35CAC" w14:textId="398B4FCF" w:rsidR="001F3CE7" w:rsidRPr="00EA1E92" w:rsidRDefault="001F3CE7" w:rsidP="001F3CE7">
      <w:pPr>
        <w:pStyle w:val="BodyText"/>
      </w:pPr>
      <w:r w:rsidRPr="00EA1E92">
        <w:t xml:space="preserve">A flat levy is proposed to recover the costs from </w:t>
      </w:r>
      <w:r w:rsidR="00714D0C">
        <w:t>wholesale electricity dealers.</w:t>
      </w:r>
    </w:p>
    <w:p w14:paraId="5DC70401" w14:textId="76A7BF4C" w:rsidR="001F3CE7" w:rsidRPr="00EA1E92" w:rsidRDefault="001F3CE7" w:rsidP="001F3CE7">
      <w:pPr>
        <w:pStyle w:val="BodyText"/>
      </w:pPr>
      <w:r w:rsidRPr="00EA1E92">
        <w:t>A flat levy is proposed as a small amount of ASIC’s regulatory effort is expended on this subsector</w:t>
      </w:r>
      <w:r w:rsidR="009D4C02">
        <w:t xml:space="preserve">. In addition, </w:t>
      </w:r>
      <w:r w:rsidRPr="00EA1E92">
        <w:t>a tiered or graduated levy would impose an additional reporting burden and complexity in the model which would offset the benefits of a graduated model.</w:t>
      </w:r>
    </w:p>
    <w:p w14:paraId="2B566E92" w14:textId="35BDCF9F" w:rsidR="002B6EB6" w:rsidRDefault="002B6EB6"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29</w:t>
      </w:r>
      <w:r w:rsidR="003D3E81">
        <w:rPr>
          <w:noProof/>
        </w:rPr>
        <w:fldChar w:fldCharType="end"/>
      </w:r>
      <w:r>
        <w:t>:</w:t>
      </w:r>
      <w:r>
        <w:tab/>
      </w:r>
      <w:r w:rsidRPr="00EA1E92">
        <w:t xml:space="preserve">Proposed levy arrangements – </w:t>
      </w:r>
      <w:r>
        <w:t>Wholesale electricity dealers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21"/>
        <w:gridCol w:w="1871"/>
        <w:gridCol w:w="2211"/>
        <w:gridCol w:w="2324"/>
      </w:tblGrid>
      <w:tr w:rsidR="002B6EB6" w:rsidRPr="000540E1" w14:paraId="7ECA6DFF" w14:textId="77777777" w:rsidTr="0018197A">
        <w:trPr>
          <w:cantSplit/>
          <w:tblHeader/>
        </w:trPr>
        <w:tc>
          <w:tcPr>
            <w:tcW w:w="2721" w:type="dxa"/>
            <w:shd w:val="clear" w:color="auto" w:fill="C2E3FA"/>
          </w:tcPr>
          <w:p w14:paraId="2DDCADF5" w14:textId="42BEA0E3" w:rsidR="002B6EB6" w:rsidRPr="000540E1" w:rsidRDefault="002B6EB6" w:rsidP="003B0F12">
            <w:pPr>
              <w:pStyle w:val="tablehead"/>
            </w:pPr>
            <w:r>
              <w:t>Subsector</w:t>
            </w:r>
          </w:p>
        </w:tc>
        <w:tc>
          <w:tcPr>
            <w:tcW w:w="1871" w:type="dxa"/>
            <w:shd w:val="clear" w:color="auto" w:fill="C2E3FA"/>
          </w:tcPr>
          <w:p w14:paraId="060A5E75" w14:textId="09E97CB5" w:rsidR="002B6EB6" w:rsidRPr="000540E1" w:rsidRDefault="002B6EB6" w:rsidP="003B0F12">
            <w:pPr>
              <w:pStyle w:val="tablehead"/>
            </w:pPr>
            <w:r>
              <w:t>Number of entities</w:t>
            </w:r>
          </w:p>
        </w:tc>
        <w:tc>
          <w:tcPr>
            <w:tcW w:w="2211" w:type="dxa"/>
            <w:shd w:val="clear" w:color="auto" w:fill="C2E3FA"/>
          </w:tcPr>
          <w:p w14:paraId="56D668CC" w14:textId="1C62B85A" w:rsidR="002B6EB6" w:rsidRPr="000540E1" w:rsidRDefault="00EF18B1" w:rsidP="003B0F12">
            <w:pPr>
              <w:pStyle w:val="tablehead"/>
            </w:pPr>
            <w:r>
              <w:t xml:space="preserve">Proposed annual </w:t>
            </w:r>
            <w:r w:rsidR="002B6EB6">
              <w:t>levy*</w:t>
            </w:r>
          </w:p>
        </w:tc>
        <w:tc>
          <w:tcPr>
            <w:tcW w:w="2324" w:type="dxa"/>
            <w:shd w:val="clear" w:color="auto" w:fill="C2E3FA"/>
          </w:tcPr>
          <w:p w14:paraId="7A7F4015" w14:textId="0DFE2CC2" w:rsidR="002B6EB6" w:rsidRPr="000540E1" w:rsidRDefault="002B6EB6" w:rsidP="003B0F12">
            <w:pPr>
              <w:pStyle w:val="tablehead"/>
            </w:pPr>
            <w:r>
              <w:t>Amount to be recovered</w:t>
            </w:r>
          </w:p>
        </w:tc>
      </w:tr>
      <w:tr w:rsidR="002B6EB6" w:rsidRPr="000540E1" w14:paraId="753A55E2" w14:textId="77777777" w:rsidTr="0018197A">
        <w:trPr>
          <w:cantSplit/>
        </w:trPr>
        <w:tc>
          <w:tcPr>
            <w:tcW w:w="2721" w:type="dxa"/>
            <w:vAlign w:val="center"/>
          </w:tcPr>
          <w:p w14:paraId="7A830007" w14:textId="618043A1" w:rsidR="002B6EB6" w:rsidRPr="000540E1" w:rsidRDefault="002B6EB6" w:rsidP="002B6EB6">
            <w:pPr>
              <w:pStyle w:val="tbltext"/>
            </w:pPr>
            <w:r w:rsidRPr="00EA1E92">
              <w:t xml:space="preserve">Wholesale electricity dealers </w:t>
            </w:r>
          </w:p>
        </w:tc>
        <w:tc>
          <w:tcPr>
            <w:tcW w:w="1871" w:type="dxa"/>
            <w:vAlign w:val="center"/>
          </w:tcPr>
          <w:p w14:paraId="0EA4FE36" w14:textId="10AF72C0" w:rsidR="002B6EB6" w:rsidRPr="000540E1" w:rsidRDefault="002B6EB6" w:rsidP="002B6EB6">
            <w:pPr>
              <w:pStyle w:val="tbltext"/>
            </w:pPr>
            <w:r w:rsidRPr="00EA1E92">
              <w:t>59</w:t>
            </w:r>
          </w:p>
        </w:tc>
        <w:tc>
          <w:tcPr>
            <w:tcW w:w="2211" w:type="dxa"/>
            <w:vAlign w:val="center"/>
          </w:tcPr>
          <w:p w14:paraId="6AB92638" w14:textId="35D1DB82" w:rsidR="002B6EB6" w:rsidRPr="000540E1" w:rsidRDefault="002B6EB6" w:rsidP="000671F0">
            <w:pPr>
              <w:pStyle w:val="tbltext"/>
            </w:pPr>
            <w:r w:rsidRPr="00EA1E92">
              <w:rPr>
                <w:color w:val="000000" w:themeColor="text1"/>
              </w:rPr>
              <w:t>$1,600</w:t>
            </w:r>
          </w:p>
        </w:tc>
        <w:tc>
          <w:tcPr>
            <w:tcW w:w="2324" w:type="dxa"/>
            <w:vAlign w:val="center"/>
          </w:tcPr>
          <w:p w14:paraId="5BFC32EB" w14:textId="4EDEE710" w:rsidR="002B6EB6" w:rsidRPr="000540E1" w:rsidRDefault="002B6EB6" w:rsidP="000671F0">
            <w:pPr>
              <w:pStyle w:val="tbltext"/>
            </w:pPr>
            <w:r w:rsidRPr="00EA1E92">
              <w:rPr>
                <w:color w:val="000000" w:themeColor="text1"/>
              </w:rPr>
              <w:t>$100,000</w:t>
            </w:r>
          </w:p>
        </w:tc>
      </w:tr>
    </w:tbl>
    <w:p w14:paraId="59FDAA3F" w14:textId="4CA4800B" w:rsidR="002B6EB6" w:rsidRDefault="002B6EB6" w:rsidP="003B0F12">
      <w:pPr>
        <w:pStyle w:val="sourcenotefullwidth"/>
      </w:pPr>
      <w:r>
        <w:t xml:space="preserve">*Annual levy amount has been rounded. </w:t>
      </w:r>
    </w:p>
    <w:p w14:paraId="36F9CE75" w14:textId="77777777" w:rsidR="001F3CE7" w:rsidRPr="00EA1E92" w:rsidRDefault="001F3CE7" w:rsidP="00BE7110">
      <w:pPr>
        <w:pStyle w:val="Heading2"/>
        <w:spacing w:before="600"/>
      </w:pPr>
      <w:bookmarkStart w:id="365" w:name="_Toc462697162"/>
      <w:bookmarkStart w:id="366" w:name="_Toc462698977"/>
      <w:bookmarkStart w:id="367" w:name="_Toc462700213"/>
      <w:bookmarkStart w:id="368" w:name="_Toc462700894"/>
      <w:bookmarkStart w:id="369" w:name="_Toc463544607"/>
      <w:bookmarkStart w:id="370" w:name="_Toc463595209"/>
      <w:bookmarkStart w:id="371" w:name="_Toc464140320"/>
      <w:bookmarkStart w:id="372" w:name="_Toc466020972"/>
      <w:r w:rsidRPr="00EA1E92">
        <w:t>Australian Market Regulatory Feed (AMRF)</w:t>
      </w:r>
      <w:bookmarkEnd w:id="365"/>
      <w:bookmarkEnd w:id="366"/>
      <w:bookmarkEnd w:id="367"/>
      <w:bookmarkEnd w:id="368"/>
      <w:bookmarkEnd w:id="369"/>
      <w:bookmarkEnd w:id="370"/>
      <w:bookmarkEnd w:id="371"/>
      <w:bookmarkEnd w:id="372"/>
    </w:p>
    <w:p w14:paraId="28722949" w14:textId="4C7C32CF" w:rsidR="001F3CE7" w:rsidRPr="00EA1E92" w:rsidRDefault="001F3CE7" w:rsidP="001F3CE7">
      <w:pPr>
        <w:pStyle w:val="BodyText"/>
      </w:pPr>
      <w:r w:rsidRPr="00EA1E92">
        <w:t xml:space="preserve">The AMRF is a messaging protocol. It allows for order and transaction information to be provided to ASIC in real time. The AMRF is critical to ASIC’s regulation of market participants and MIPs. </w:t>
      </w:r>
    </w:p>
    <w:p w14:paraId="3EA693A3" w14:textId="77777777" w:rsidR="001F3CE7" w:rsidRPr="00EA1E92" w:rsidRDefault="001F3CE7" w:rsidP="001F3CE7">
      <w:pPr>
        <w:pStyle w:val="BodyText"/>
      </w:pPr>
      <w:r w:rsidRPr="00EA1E92">
        <w:t xml:space="preserve">When a new product or systems change is proposed by a MIP, ASIC performs a detailed analysis of the potential impact of that product or change on the AMRF. This can cost up to $200,000. </w:t>
      </w:r>
    </w:p>
    <w:p w14:paraId="560A1C90" w14:textId="58386FCB" w:rsidR="001F3CE7" w:rsidRPr="00A15669" w:rsidRDefault="001F3CE7" w:rsidP="001F3CE7">
      <w:pPr>
        <w:pStyle w:val="BodyText"/>
      </w:pPr>
      <w:r w:rsidRPr="00EA1E92">
        <w:t>The August 2015 consultation paper sought feedback on two proposals to recover the costs of AMRF changes.</w:t>
      </w:r>
    </w:p>
    <w:p w14:paraId="5CF69D5F" w14:textId="77777777" w:rsidR="001F3CE7" w:rsidRPr="00EA1E92" w:rsidRDefault="001F3CE7" w:rsidP="000B5B80">
      <w:pPr>
        <w:pStyle w:val="subparaa"/>
        <w:ind w:left="1559"/>
      </w:pPr>
      <w:r w:rsidRPr="00EA1E92">
        <w:t>Option 1: AMRF changes will be funded by all MIPs through their annual levies. This shared cost approach would mean first movers are not punished as the MIP that developed the new product would not bear the entire financial burden for the AMRF upgrade while rival MIPs would be able to launch identical products without being charged.</w:t>
      </w:r>
    </w:p>
    <w:p w14:paraId="7C003647" w14:textId="77777777" w:rsidR="001F3CE7" w:rsidRPr="00EA1E92" w:rsidRDefault="001F3CE7" w:rsidP="000B5B80">
      <w:pPr>
        <w:pStyle w:val="subparaa"/>
        <w:ind w:left="1559"/>
      </w:pPr>
      <w:r w:rsidRPr="00EA1E92">
        <w:t xml:space="preserve">Option 2: AMRF changes will be funded by the market operator that has required the update to be made. This would result in lower levies for all MIPs, but would result in a large fee for the relevant provider when an update to the AMRF is required. The August 2015 consultation paper noted this could discourage product and market innovation through punishing first movers with a high upfront cost. </w:t>
      </w:r>
    </w:p>
    <w:p w14:paraId="2F2F29CB" w14:textId="77777777" w:rsidR="001F3CE7" w:rsidRPr="00EA1E92" w:rsidRDefault="001F3CE7" w:rsidP="001F3CE7">
      <w:pPr>
        <w:pStyle w:val="BodyText"/>
      </w:pPr>
      <w:bookmarkStart w:id="373" w:name="_Toc452626340"/>
      <w:r w:rsidRPr="00EA1E92">
        <w:t>There were a limited number of submissions that commented on the AMRF. Of those that did submissions supported the first approach, where AMRF changes are funded by all MIPs through their annual levies with submissions noting this would lessen the financial impact on innovators or first movers.</w:t>
      </w:r>
    </w:p>
    <w:p w14:paraId="79298A8B" w14:textId="10300E56" w:rsidR="00BB40AC" w:rsidRPr="00984FBC" w:rsidRDefault="001F3CE7" w:rsidP="00BB40AC">
      <w:pPr>
        <w:pStyle w:val="BodyText"/>
      </w:pPr>
      <w:r w:rsidRPr="000B5B80">
        <w:t xml:space="preserve">ASIC’s preference is to implement Option </w:t>
      </w:r>
      <w:r w:rsidR="00BB56A0">
        <w:t>1</w:t>
      </w:r>
      <w:r w:rsidRPr="000B5B80">
        <w:t>.</w:t>
      </w:r>
      <w:bookmarkStart w:id="374" w:name="_Toc462677726"/>
      <w:bookmarkStart w:id="375" w:name="_Toc462697163"/>
      <w:bookmarkStart w:id="376" w:name="_Toc462698978"/>
      <w:bookmarkStart w:id="377" w:name="_Toc462700214"/>
      <w:bookmarkStart w:id="378" w:name="_Toc462700895"/>
      <w:bookmarkStart w:id="379" w:name="_Toc452626341"/>
      <w:bookmarkStart w:id="380" w:name="_Toc453236845"/>
      <w:bookmarkStart w:id="381" w:name="_Toc453684010"/>
      <w:bookmarkStart w:id="382" w:name="_Toc453750651"/>
      <w:bookmarkStart w:id="383" w:name="_Toc453771936"/>
      <w:bookmarkStart w:id="384" w:name="_Toc453836182"/>
      <w:bookmarkStart w:id="385" w:name="_Toc453844436"/>
      <w:bookmarkEnd w:id="373"/>
    </w:p>
    <w:p w14:paraId="5B120667" w14:textId="49B4F9D8" w:rsidR="001F3CE7" w:rsidRPr="00EA1E92" w:rsidRDefault="001F3CE7" w:rsidP="00BB40AC">
      <w:pPr>
        <w:pStyle w:val="Heading2"/>
      </w:pPr>
      <w:bookmarkStart w:id="386" w:name="_Toc463544608"/>
      <w:bookmarkStart w:id="387" w:name="_Toc463595210"/>
      <w:bookmarkStart w:id="388" w:name="_Toc464140321"/>
      <w:bookmarkStart w:id="389" w:name="_Toc466020973"/>
      <w:r w:rsidRPr="00EA1E92">
        <w:t>Interaction with Markets Supervision Cost Recovery</w:t>
      </w:r>
      <w:bookmarkEnd w:id="374"/>
      <w:bookmarkEnd w:id="375"/>
      <w:bookmarkEnd w:id="376"/>
      <w:bookmarkEnd w:id="377"/>
      <w:bookmarkEnd w:id="378"/>
      <w:bookmarkEnd w:id="386"/>
      <w:bookmarkEnd w:id="387"/>
      <w:bookmarkEnd w:id="388"/>
      <w:bookmarkEnd w:id="389"/>
    </w:p>
    <w:p w14:paraId="5D8C8C16" w14:textId="5E631675" w:rsidR="001F3CE7" w:rsidRPr="00EA1E92" w:rsidRDefault="00EF18B1" w:rsidP="00BB40AC">
      <w:pPr>
        <w:pStyle w:val="BodyText"/>
      </w:pPr>
      <w:r>
        <w:t xml:space="preserve">It is proposed that the </w:t>
      </w:r>
      <w:r w:rsidR="001F3CE7" w:rsidRPr="00EA1E92">
        <w:t xml:space="preserve">Market </w:t>
      </w:r>
      <w:r w:rsidR="009D4C02">
        <w:t>S</w:t>
      </w:r>
      <w:r w:rsidR="001F3CE7" w:rsidRPr="00EA1E92">
        <w:t xml:space="preserve">upervision </w:t>
      </w:r>
      <w:r w:rsidR="009D4C02">
        <w:t>C</w:t>
      </w:r>
      <w:r w:rsidR="001F3CE7" w:rsidRPr="00EA1E92">
        <w:t xml:space="preserve">ost </w:t>
      </w:r>
      <w:r w:rsidR="009D4C02">
        <w:t>R</w:t>
      </w:r>
      <w:r w:rsidR="001F3CE7" w:rsidRPr="00EA1E92">
        <w:t>ecovery arrangements for ASIC will continue until the commencement of a new industry funding model for ASIC. Once the industry funding model has commenced, the amounts currently cost recovered from industry will cease to be recovered under those arrangements and be replaced with levies or f</w:t>
      </w:r>
      <w:r w:rsidR="00714D0C">
        <w:t>ees on the appropriate sector.</w:t>
      </w:r>
    </w:p>
    <w:p w14:paraId="1B175793" w14:textId="4AD357C5" w:rsidR="00BB40AC" w:rsidRPr="001149DE" w:rsidRDefault="001F3CE7" w:rsidP="00BB40AC">
      <w:pPr>
        <w:pStyle w:val="BodyText"/>
        <w:rPr>
          <w:rFonts w:eastAsiaTheme="minorHAnsi"/>
          <w:b/>
          <w:bCs/>
          <w:iCs/>
        </w:rPr>
      </w:pPr>
      <w:r w:rsidRPr="00EA1E92">
        <w:rPr>
          <w:rFonts w:eastAsiaTheme="minorHAnsi"/>
        </w:rPr>
        <w:t>For 2016–17, the amount to be recovered under these arrangements is budgeted to be:</w:t>
      </w:r>
    </w:p>
    <w:p w14:paraId="5D4D29D7" w14:textId="4DD2D6B6" w:rsidR="002B6EB6" w:rsidRDefault="002B6EB6" w:rsidP="001149DE">
      <w:pPr>
        <w:pStyle w:val="tabletitleindented"/>
        <w:ind w:left="2126"/>
      </w:pPr>
      <w:r>
        <w:t xml:space="preserve">Table </w:t>
      </w:r>
      <w:r w:rsidR="003D3E81">
        <w:fldChar w:fldCharType="begin"/>
      </w:r>
      <w:r w:rsidR="003D3E81">
        <w:instrText xml:space="preserve"> SEQ Table \* ARABIC </w:instrText>
      </w:r>
      <w:r w:rsidR="003D3E81">
        <w:fldChar w:fldCharType="separate"/>
      </w:r>
      <w:r w:rsidR="00A37D1A">
        <w:rPr>
          <w:noProof/>
        </w:rPr>
        <w:t>30</w:t>
      </w:r>
      <w:r w:rsidR="003D3E81">
        <w:rPr>
          <w:noProof/>
        </w:rPr>
        <w:fldChar w:fldCharType="end"/>
      </w:r>
      <w:r>
        <w:t>: Market Supervision Cost Recover</w:t>
      </w:r>
      <w:r w:rsidR="008D5FA4">
        <w:t xml:space="preserve"> </w:t>
      </w:r>
      <w:r w:rsidR="008D5FA4" w:rsidRPr="00EA1E92">
        <w:t>–</w:t>
      </w:r>
      <w:r>
        <w:t xml:space="preserve"> Amounts</w:t>
      </w:r>
      <w:r w:rsidR="008F5774">
        <w:t xml:space="preserve"> to be</w:t>
      </w:r>
      <w:r>
        <w:t xml:space="preserve"> recovered </w:t>
      </w:r>
    </w:p>
    <w:tbl>
      <w:tblPr>
        <w:tblW w:w="7994" w:type="dxa"/>
        <w:tblInd w:w="1242"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592"/>
        <w:gridCol w:w="3402"/>
      </w:tblGrid>
      <w:tr w:rsidR="002B6EB6" w:rsidRPr="000540E1" w14:paraId="3DDFE2F5" w14:textId="77777777" w:rsidTr="0018197A">
        <w:trPr>
          <w:cantSplit/>
          <w:tblHeader/>
        </w:trPr>
        <w:tc>
          <w:tcPr>
            <w:tcW w:w="4592" w:type="dxa"/>
            <w:shd w:val="clear" w:color="auto" w:fill="C2E3FA"/>
          </w:tcPr>
          <w:p w14:paraId="744B0CD2" w14:textId="28DB0DAA" w:rsidR="002B6EB6" w:rsidRPr="000540E1" w:rsidRDefault="002B6EB6" w:rsidP="003B0F12">
            <w:pPr>
              <w:pStyle w:val="tablehead"/>
            </w:pPr>
            <w:r>
              <w:t>Cost recovery from sector</w:t>
            </w:r>
          </w:p>
        </w:tc>
        <w:tc>
          <w:tcPr>
            <w:tcW w:w="3402" w:type="dxa"/>
            <w:shd w:val="clear" w:color="auto" w:fill="C2E3FA"/>
          </w:tcPr>
          <w:p w14:paraId="7E37CDD2" w14:textId="7DED05E8" w:rsidR="002B6EB6" w:rsidRPr="000540E1" w:rsidRDefault="002B6EB6" w:rsidP="003B0F12">
            <w:pPr>
              <w:pStyle w:val="tablehead"/>
            </w:pPr>
            <w:r>
              <w:t>Amount</w:t>
            </w:r>
            <w:r w:rsidR="008F5774">
              <w:t xml:space="preserve"> to be</w:t>
            </w:r>
            <w:r>
              <w:t xml:space="preserve"> recovered</w:t>
            </w:r>
          </w:p>
        </w:tc>
      </w:tr>
      <w:tr w:rsidR="002B6EB6" w:rsidRPr="000540E1" w14:paraId="6183059D" w14:textId="77777777" w:rsidTr="0018197A">
        <w:trPr>
          <w:cantSplit/>
        </w:trPr>
        <w:tc>
          <w:tcPr>
            <w:tcW w:w="4592" w:type="dxa"/>
          </w:tcPr>
          <w:p w14:paraId="5112999C" w14:textId="470E7823" w:rsidR="002B6EB6" w:rsidRPr="000540E1" w:rsidRDefault="002B6EB6" w:rsidP="002B6EB6">
            <w:pPr>
              <w:pStyle w:val="tbltext"/>
            </w:pPr>
            <w:r w:rsidRPr="00BB2999">
              <w:rPr>
                <w:rFonts w:eastAsiaTheme="minorHAnsi"/>
              </w:rPr>
              <w:t>Market operators</w:t>
            </w:r>
          </w:p>
        </w:tc>
        <w:tc>
          <w:tcPr>
            <w:tcW w:w="3402" w:type="dxa"/>
          </w:tcPr>
          <w:p w14:paraId="519BCFE3" w14:textId="1123AE89" w:rsidR="002B6EB6" w:rsidRPr="000540E1" w:rsidRDefault="002B6EB6" w:rsidP="000671F0">
            <w:pPr>
              <w:pStyle w:val="tbltext"/>
            </w:pPr>
            <w:r w:rsidRPr="00BB2999">
              <w:rPr>
                <w:rFonts w:eastAsiaTheme="minorHAnsi"/>
              </w:rPr>
              <w:t>$4.0m</w:t>
            </w:r>
          </w:p>
        </w:tc>
      </w:tr>
      <w:tr w:rsidR="002B6EB6" w:rsidRPr="000540E1" w14:paraId="0C0AA292" w14:textId="77777777" w:rsidTr="0018197A">
        <w:trPr>
          <w:cantSplit/>
        </w:trPr>
        <w:tc>
          <w:tcPr>
            <w:tcW w:w="4592" w:type="dxa"/>
          </w:tcPr>
          <w:p w14:paraId="7A7B432E" w14:textId="20EB6CC0" w:rsidR="002B6EB6" w:rsidRPr="000540E1" w:rsidRDefault="002B6EB6" w:rsidP="002B6EB6">
            <w:pPr>
              <w:pStyle w:val="tbltext"/>
            </w:pPr>
            <w:r w:rsidRPr="00BB2999">
              <w:rPr>
                <w:rFonts w:eastAsiaTheme="minorHAnsi"/>
              </w:rPr>
              <w:t>Market participants</w:t>
            </w:r>
          </w:p>
        </w:tc>
        <w:tc>
          <w:tcPr>
            <w:tcW w:w="3402" w:type="dxa"/>
          </w:tcPr>
          <w:p w14:paraId="65CD322C" w14:textId="02B7D752" w:rsidR="002B6EB6" w:rsidRPr="000540E1" w:rsidRDefault="002B6EB6" w:rsidP="000671F0">
            <w:pPr>
              <w:pStyle w:val="tbltext"/>
            </w:pPr>
            <w:r w:rsidRPr="00BB2999">
              <w:rPr>
                <w:rFonts w:eastAsiaTheme="minorHAnsi"/>
              </w:rPr>
              <w:t>$16.26m</w:t>
            </w:r>
          </w:p>
        </w:tc>
      </w:tr>
      <w:tr w:rsidR="002B6EB6" w:rsidRPr="000540E1" w14:paraId="57DC50F8" w14:textId="77777777" w:rsidTr="0018197A">
        <w:trPr>
          <w:cantSplit/>
        </w:trPr>
        <w:tc>
          <w:tcPr>
            <w:tcW w:w="4592" w:type="dxa"/>
          </w:tcPr>
          <w:p w14:paraId="0F0B73B0" w14:textId="61CC28E6" w:rsidR="002B6EB6" w:rsidRPr="001149DE" w:rsidRDefault="002B6EB6" w:rsidP="002B6EB6">
            <w:pPr>
              <w:pStyle w:val="tbltext"/>
              <w:rPr>
                <w:b/>
              </w:rPr>
            </w:pPr>
            <w:r w:rsidRPr="001149DE">
              <w:rPr>
                <w:b/>
              </w:rPr>
              <w:t>Total</w:t>
            </w:r>
          </w:p>
        </w:tc>
        <w:tc>
          <w:tcPr>
            <w:tcW w:w="3402" w:type="dxa"/>
          </w:tcPr>
          <w:p w14:paraId="4561E6B4" w14:textId="7049DDAA" w:rsidR="002B6EB6" w:rsidRPr="001149DE" w:rsidRDefault="002B6EB6" w:rsidP="002B6EB6">
            <w:pPr>
              <w:pStyle w:val="tbltext"/>
              <w:rPr>
                <w:b/>
              </w:rPr>
            </w:pPr>
            <w:r w:rsidRPr="001149DE">
              <w:rPr>
                <w:b/>
              </w:rPr>
              <w:t>$20.26m</w:t>
            </w:r>
          </w:p>
        </w:tc>
      </w:tr>
    </w:tbl>
    <w:p w14:paraId="7E29FDFD" w14:textId="77777777" w:rsidR="001F3CE7" w:rsidRPr="00EA1E92" w:rsidRDefault="001F3CE7" w:rsidP="00BB40AC">
      <w:pPr>
        <w:pStyle w:val="BodyText"/>
        <w:rPr>
          <w:rFonts w:eastAsiaTheme="minorHAnsi"/>
          <w:b/>
          <w:bCs/>
          <w:iCs/>
        </w:rPr>
      </w:pPr>
      <w:r w:rsidRPr="00EA1E92">
        <w:rPr>
          <w:rFonts w:eastAsiaTheme="minorHAnsi"/>
        </w:rPr>
        <w:t>In addition, there are approximately $15 million of historic market supervision set up costs that will be recovered from 2017–18 to 2019–20.</w:t>
      </w:r>
    </w:p>
    <w:p w14:paraId="2C01C122" w14:textId="77777777" w:rsidR="001F3CE7" w:rsidRPr="00EA1E92" w:rsidRDefault="001F3CE7" w:rsidP="00BB40AC">
      <w:pPr>
        <w:pStyle w:val="Heading2"/>
        <w:rPr>
          <w:color w:val="000000"/>
        </w:rPr>
      </w:pPr>
      <w:bookmarkStart w:id="390" w:name="_Toc462697164"/>
      <w:bookmarkStart w:id="391" w:name="_Toc462698979"/>
      <w:bookmarkStart w:id="392" w:name="_Toc462700215"/>
      <w:bookmarkStart w:id="393" w:name="_Toc462700896"/>
      <w:bookmarkStart w:id="394" w:name="_Toc463544609"/>
      <w:bookmarkStart w:id="395" w:name="_Toc463595211"/>
      <w:bookmarkStart w:id="396" w:name="_Toc464140322"/>
      <w:bookmarkStart w:id="397" w:name="_Toc466020974"/>
      <w:r w:rsidRPr="00EA1E92">
        <w:t>Market Entity Compliance System (MECS) costs</w:t>
      </w:r>
      <w:bookmarkEnd w:id="390"/>
      <w:bookmarkEnd w:id="391"/>
      <w:bookmarkEnd w:id="392"/>
      <w:bookmarkEnd w:id="393"/>
      <w:bookmarkEnd w:id="394"/>
      <w:bookmarkEnd w:id="395"/>
      <w:bookmarkEnd w:id="396"/>
      <w:bookmarkEnd w:id="397"/>
    </w:p>
    <w:p w14:paraId="5A5AF052" w14:textId="30E80FA5" w:rsidR="001F3CE7" w:rsidRPr="00EA1E92" w:rsidRDefault="001F3CE7" w:rsidP="00BB40AC">
      <w:pPr>
        <w:pStyle w:val="BodyText"/>
      </w:pPr>
      <w:r w:rsidRPr="00EA1E92">
        <w:t>As noted in the ASIC Market Supervision CRIS (2015–16 and as updated at 1 July 2016), no MECS costs will be recovered under those arrangements for the two years from 1</w:t>
      </w:r>
      <w:r w:rsidR="00B76366">
        <w:t> </w:t>
      </w:r>
      <w:r w:rsidRPr="00EA1E92">
        <w:t>July</w:t>
      </w:r>
      <w:r w:rsidR="00B76366">
        <w:t> </w:t>
      </w:r>
      <w:r w:rsidRPr="00EA1E92">
        <w:t>2015 to 30 June 20</w:t>
      </w:r>
      <w:r w:rsidR="00714D0C">
        <w:t>17.</w:t>
      </w:r>
    </w:p>
    <w:p w14:paraId="6DC251C1" w14:textId="5F847B7A" w:rsidR="001F3CE7" w:rsidRPr="00EA1E92" w:rsidRDefault="001F3CE7" w:rsidP="00BB40AC">
      <w:pPr>
        <w:pStyle w:val="BodyText"/>
      </w:pPr>
      <w:r w:rsidRPr="00EA1E92">
        <w:t xml:space="preserve">With the implementation of industry funding cost recovery arrangements MECS costs will be recovered from </w:t>
      </w:r>
      <w:r w:rsidR="00FC5759">
        <w:t>1 July</w:t>
      </w:r>
      <w:r w:rsidRPr="00EA1E92">
        <w:t xml:space="preserve"> 2017. Under industry funding</w:t>
      </w:r>
      <w:r w:rsidR="009D4C02">
        <w:t>,</w:t>
      </w:r>
      <w:r w:rsidRPr="00EA1E92">
        <w:t xml:space="preserve"> </w:t>
      </w:r>
      <w:r w:rsidR="00EF18B1">
        <w:t xml:space="preserve">it is proposed that </w:t>
      </w:r>
      <w:r w:rsidRPr="00EA1E92">
        <w:t>48% of these costs will be recovered from market participants, 15% from both public listed disclosing companies and investment banks, 5% each from domestic Australian market licensees, Responsible Entities, superannuation trustees and wholesale trustees, a</w:t>
      </w:r>
      <w:r w:rsidR="00714D0C">
        <w:t>nd 2% from securities dealers.</w:t>
      </w:r>
    </w:p>
    <w:p w14:paraId="52C73C64" w14:textId="03F68909" w:rsidR="001F3CE7" w:rsidRDefault="00EF18B1" w:rsidP="00BB40AC">
      <w:pPr>
        <w:pStyle w:val="BodyText"/>
      </w:pPr>
      <w:r>
        <w:t>ASIC proposes to share t</w:t>
      </w:r>
      <w:r w:rsidR="001F3CE7" w:rsidRPr="00EA1E92">
        <w:t>he MECS costs with those sectors driving the need for ASIC</w:t>
      </w:r>
      <w:r w:rsidR="0003187F">
        <w:t>’</w:t>
      </w:r>
      <w:r w:rsidR="001F3CE7" w:rsidRPr="00EA1E92">
        <w:t xml:space="preserve">s regulation. </w:t>
      </w:r>
      <w:bookmarkEnd w:id="379"/>
      <w:bookmarkEnd w:id="380"/>
      <w:bookmarkEnd w:id="381"/>
      <w:bookmarkEnd w:id="382"/>
      <w:bookmarkEnd w:id="383"/>
      <w:bookmarkEnd w:id="384"/>
      <w:bookmarkEnd w:id="385"/>
    </w:p>
    <w:p w14:paraId="2EA9DF8E" w14:textId="77777777" w:rsidR="00BB40AC" w:rsidRDefault="00BB40AC" w:rsidP="00BB40AC">
      <w:pPr>
        <w:pStyle w:val="BodyText"/>
        <w:numPr>
          <w:ilvl w:val="0"/>
          <w:numId w:val="0"/>
        </w:numPr>
        <w:ind w:left="1134"/>
      </w:pPr>
    </w:p>
    <w:p w14:paraId="4064BC18" w14:textId="77630690" w:rsidR="001F3CE7" w:rsidRDefault="001F3CE7" w:rsidP="001F3CE7">
      <w:pPr>
        <w:autoSpaceDE w:val="0"/>
        <w:autoSpaceDN w:val="0"/>
        <w:adjustRightInd w:val="0"/>
        <w:spacing w:after="0"/>
        <w:rPr>
          <w:rStyle w:val="Heading2Char"/>
        </w:rPr>
      </w:pPr>
      <w:bookmarkStart w:id="398" w:name="_Toc462677728"/>
      <w:bookmarkStart w:id="399" w:name="_Toc462697165"/>
      <w:bookmarkStart w:id="400" w:name="_Toc462698980"/>
      <w:bookmarkStart w:id="401" w:name="_Toc462700216"/>
      <w:bookmarkStart w:id="402" w:name="_Toc462700897"/>
      <w:bookmarkStart w:id="403" w:name="_Toc463544610"/>
      <w:bookmarkStart w:id="404" w:name="_Toc463595212"/>
      <w:bookmarkStart w:id="405" w:name="_Toc464140323"/>
      <w:bookmarkStart w:id="406" w:name="_Toc466020975"/>
      <w:r w:rsidRPr="00497D53">
        <w:rPr>
          <w:rStyle w:val="Heading2Char"/>
        </w:rPr>
        <w:t>Example</w:t>
      </w:r>
      <w:r w:rsidR="00EF18B1">
        <w:rPr>
          <w:rStyle w:val="Heading2Char"/>
        </w:rPr>
        <w:t>s of proposed</w:t>
      </w:r>
      <w:r w:rsidRPr="00497D53">
        <w:rPr>
          <w:rStyle w:val="Heading2Char"/>
        </w:rPr>
        <w:t xml:space="preserve"> levies</w:t>
      </w:r>
      <w:bookmarkEnd w:id="398"/>
      <w:bookmarkEnd w:id="399"/>
      <w:bookmarkEnd w:id="400"/>
      <w:bookmarkEnd w:id="401"/>
      <w:bookmarkEnd w:id="402"/>
      <w:bookmarkEnd w:id="403"/>
      <w:bookmarkEnd w:id="404"/>
      <w:bookmarkEnd w:id="405"/>
      <w:bookmarkEnd w:id="406"/>
    </w:p>
    <w:p w14:paraId="3F244A20" w14:textId="715D2D83" w:rsidR="007A35A6" w:rsidRDefault="007A35A6" w:rsidP="00567636">
      <w:pPr>
        <w:pStyle w:val="KPhead"/>
        <w:spacing w:before="560"/>
        <w:ind w:left="0"/>
      </w:pPr>
      <w:r>
        <w:t>Example 10</w:t>
      </w:r>
    </w:p>
    <w:p w14:paraId="08887811" w14:textId="77777777" w:rsidR="007A35A6" w:rsidRDefault="007A35A6" w:rsidP="007A35A6">
      <w:pPr>
        <w:pStyle w:val="KPtext"/>
        <w:ind w:left="0"/>
      </w:pPr>
      <w:r>
        <w:t>Company J is a large proprietary company with an AFS licence and operates as a credit rating agency. Company J is authorised to provide general advice to wholesale and retail clients.</w:t>
      </w:r>
    </w:p>
    <w:p w14:paraId="7672CA9C" w14:textId="61870B05" w:rsidR="007A35A6" w:rsidRDefault="007A35A6" w:rsidP="007A35A6">
      <w:pPr>
        <w:pStyle w:val="KPtext"/>
        <w:ind w:left="0"/>
      </w:pPr>
      <w:r>
        <w:t>Company J</w:t>
      </w:r>
      <w:r w:rsidR="0003187F">
        <w:t>’</w:t>
      </w:r>
      <w:r>
        <w:t>s indicative annual levy is:</w:t>
      </w:r>
    </w:p>
    <w:p w14:paraId="2CD3C9D8" w14:textId="38462D73" w:rsidR="007A35A6" w:rsidRDefault="007A35A6" w:rsidP="00D26F16">
      <w:pPr>
        <w:pStyle w:val="KPtext"/>
        <w:tabs>
          <w:tab w:val="right" w:pos="8931"/>
        </w:tabs>
        <w:ind w:left="0" w:firstLine="425"/>
      </w:pPr>
      <w:r>
        <w:t>The levy for large proprietary companies:</w:t>
      </w:r>
      <w:r>
        <w:tab/>
      </w:r>
      <w:r w:rsidR="00606ADD">
        <w:t>$350</w:t>
      </w:r>
    </w:p>
    <w:p w14:paraId="53F33105" w14:textId="132A2BE5" w:rsidR="007A35A6" w:rsidRDefault="007A35A6" w:rsidP="00D26F16">
      <w:pPr>
        <w:pStyle w:val="KPtext"/>
        <w:tabs>
          <w:tab w:val="right" w:pos="8931"/>
        </w:tabs>
        <w:ind w:left="0" w:firstLine="425"/>
      </w:pPr>
      <w:r>
        <w:t>The levy for being an authorised credit ratings agency:</w:t>
      </w:r>
      <w:r>
        <w:tab/>
      </w:r>
      <w:r w:rsidR="00606ADD">
        <w:t>$34,000</w:t>
      </w:r>
    </w:p>
    <w:p w14:paraId="33AC6695" w14:textId="12440EA1" w:rsidR="007A35A6" w:rsidRDefault="007A35A6" w:rsidP="00D26F16">
      <w:pPr>
        <w:pStyle w:val="KPtext"/>
        <w:tabs>
          <w:tab w:val="right" w:pos="8931"/>
        </w:tabs>
        <w:ind w:left="0" w:firstLine="425"/>
      </w:pPr>
      <w:r>
        <w:t>The levy for being a general advice provider:</w:t>
      </w:r>
      <w:r>
        <w:tab/>
        <w:t>$920</w:t>
      </w:r>
    </w:p>
    <w:p w14:paraId="21203E40" w14:textId="404D077C" w:rsidR="007A35A6" w:rsidRPr="007A35A6" w:rsidRDefault="007A35A6" w:rsidP="00D26F16">
      <w:pPr>
        <w:pStyle w:val="KPtext"/>
        <w:tabs>
          <w:tab w:val="right" w:pos="8931"/>
        </w:tabs>
        <w:ind w:left="0"/>
        <w:rPr>
          <w:b/>
        </w:rPr>
      </w:pPr>
      <w:r w:rsidRPr="007A35A6">
        <w:rPr>
          <w:b/>
        </w:rPr>
        <w:t>Total indicative levy payable by Company J:</w:t>
      </w:r>
      <w:r w:rsidRPr="007A35A6">
        <w:rPr>
          <w:b/>
        </w:rPr>
        <w:tab/>
        <w:t>$35,270</w:t>
      </w:r>
    </w:p>
    <w:p w14:paraId="4F6750A4" w14:textId="5CD80F70" w:rsidR="00DD0231" w:rsidRDefault="00DD0231" w:rsidP="00567636">
      <w:pPr>
        <w:pStyle w:val="KPhead"/>
        <w:keepNext w:val="0"/>
        <w:spacing w:before="560"/>
        <w:ind w:left="0"/>
      </w:pPr>
      <w:r>
        <w:t>Example 11</w:t>
      </w:r>
    </w:p>
    <w:p w14:paraId="67D510A7" w14:textId="48FC7917" w:rsidR="00DD0231" w:rsidRDefault="00DD0231" w:rsidP="0018197A">
      <w:pPr>
        <w:pStyle w:val="KPtext"/>
        <w:keepNext w:val="0"/>
        <w:ind w:left="0"/>
      </w:pPr>
      <w:r>
        <w:t>Company H is a large proprietary company that holds an AFS licence and is a market participant and retail OTC derivative issuer. As a market participant, they were responsible for 330,000 messages and 200,000 transact</w:t>
      </w:r>
      <w:r w:rsidR="00D26F16">
        <w:t>ions during the financial year.</w:t>
      </w:r>
    </w:p>
    <w:p w14:paraId="73ECD61E" w14:textId="7348C4C8" w:rsidR="00DD0231" w:rsidRDefault="00DD0231" w:rsidP="0018197A">
      <w:pPr>
        <w:pStyle w:val="KPtext"/>
        <w:keepNext w:val="0"/>
        <w:tabs>
          <w:tab w:val="right" w:pos="8789"/>
        </w:tabs>
        <w:ind w:left="0"/>
      </w:pPr>
      <w:r>
        <w:t xml:space="preserve">Company H’s indicative annual levy is: </w:t>
      </w:r>
    </w:p>
    <w:p w14:paraId="5FDF3BFA" w14:textId="134D612F" w:rsidR="00DD0231" w:rsidRDefault="00DD0231" w:rsidP="0018197A">
      <w:pPr>
        <w:pStyle w:val="KPtext"/>
        <w:keepNext w:val="0"/>
        <w:tabs>
          <w:tab w:val="right" w:pos="8931"/>
        </w:tabs>
        <w:ind w:left="0" w:firstLine="425"/>
      </w:pPr>
      <w:r>
        <w:t>The levy for large proprietary companies</w:t>
      </w:r>
      <w:r>
        <w:tab/>
      </w:r>
      <w:r w:rsidR="00606ADD">
        <w:t>$350</w:t>
      </w:r>
    </w:p>
    <w:p w14:paraId="120CC20F" w14:textId="40F8A32A" w:rsidR="00DD0231" w:rsidRDefault="00DD0231" w:rsidP="0018197A">
      <w:pPr>
        <w:pStyle w:val="KPtext"/>
        <w:keepNext w:val="0"/>
        <w:tabs>
          <w:tab w:val="right" w:pos="8931"/>
        </w:tabs>
        <w:ind w:left="0" w:firstLine="425"/>
      </w:pPr>
      <w:r>
        <w:t xml:space="preserve">A levy for being an authorised </w:t>
      </w:r>
      <w:r w:rsidR="00FC5759">
        <w:t>r</w:t>
      </w:r>
      <w:r>
        <w:t xml:space="preserve">etail OTC </w:t>
      </w:r>
      <w:r w:rsidR="00FC5759">
        <w:t>d</w:t>
      </w:r>
      <w:r>
        <w:t xml:space="preserve">erivatives </w:t>
      </w:r>
      <w:r w:rsidR="00FC5759">
        <w:t>i</w:t>
      </w:r>
      <w:r>
        <w:t>ssuer</w:t>
      </w:r>
      <w:r>
        <w:tab/>
        <w:t>$</w:t>
      </w:r>
      <w:r w:rsidR="00606ADD">
        <w:t>61,400</w:t>
      </w:r>
    </w:p>
    <w:p w14:paraId="0E7D83EE" w14:textId="08DC7706" w:rsidR="00DD0231" w:rsidRDefault="00DD0231" w:rsidP="0018197A">
      <w:pPr>
        <w:pStyle w:val="KPtext"/>
        <w:keepNext w:val="0"/>
        <w:tabs>
          <w:tab w:val="right" w:pos="8931"/>
        </w:tabs>
        <w:ind w:left="0" w:firstLine="425"/>
      </w:pPr>
      <w:r>
        <w:t>A fixe</w:t>
      </w:r>
      <w:r w:rsidR="00FC5759">
        <w:t>d levy for being an authorised m</w:t>
      </w:r>
      <w:r>
        <w:t xml:space="preserve">arket </w:t>
      </w:r>
      <w:r w:rsidR="00FC5759">
        <w:t>p</w:t>
      </w:r>
      <w:r>
        <w:t>articipant</w:t>
      </w:r>
      <w:r>
        <w:tab/>
        <w:t>$9,000</w:t>
      </w:r>
    </w:p>
    <w:p w14:paraId="003B0A12" w14:textId="3F9FE719" w:rsidR="00DD0231" w:rsidRDefault="00DD0231" w:rsidP="0018197A">
      <w:pPr>
        <w:pStyle w:val="KPtext"/>
        <w:keepNext w:val="0"/>
        <w:tabs>
          <w:tab w:val="right" w:pos="8931"/>
        </w:tabs>
        <w:ind w:left="0" w:firstLine="425"/>
      </w:pPr>
      <w:r>
        <w:t>A variable levy based on messages and transactions ($0.002 per message)</w:t>
      </w:r>
      <w:r>
        <w:tab/>
        <w:t>$4,660</w:t>
      </w:r>
    </w:p>
    <w:p w14:paraId="7394B27A" w14:textId="713E4B3B" w:rsidR="00DD0231" w:rsidRDefault="00DD0231" w:rsidP="0018197A">
      <w:pPr>
        <w:pStyle w:val="KPtext"/>
        <w:keepNext w:val="0"/>
        <w:tabs>
          <w:tab w:val="left" w:pos="567"/>
          <w:tab w:val="right" w:pos="8931"/>
        </w:tabs>
        <w:ind w:left="0" w:firstLine="425"/>
      </w:pPr>
      <w:r>
        <w:t>($0.02 per trans</w:t>
      </w:r>
      <w:r w:rsidR="00606ADD">
        <w:t>action) for being an authorised</w:t>
      </w:r>
      <w:r w:rsidR="00606ADD">
        <w:br/>
      </w:r>
      <w:r w:rsidR="00606ADD">
        <w:tab/>
      </w:r>
      <w:r>
        <w:t>market participant</w:t>
      </w:r>
      <w:r>
        <w:tab/>
        <w:t>($0.002 x 330,000 + $0.02 x 200,000)</w:t>
      </w:r>
    </w:p>
    <w:p w14:paraId="4FB13394" w14:textId="4684D724" w:rsidR="00DD0231" w:rsidRPr="00D258EF" w:rsidRDefault="00DD0231" w:rsidP="0018197A">
      <w:pPr>
        <w:pStyle w:val="KPtext"/>
        <w:keepNext w:val="0"/>
        <w:tabs>
          <w:tab w:val="right" w:pos="8931"/>
        </w:tabs>
        <w:ind w:left="0"/>
        <w:rPr>
          <w:b/>
        </w:rPr>
      </w:pPr>
      <w:r>
        <w:t xml:space="preserve"> </w:t>
      </w:r>
      <w:r w:rsidRPr="00DD0231">
        <w:rPr>
          <w:b/>
        </w:rPr>
        <w:t>Total levy payable by Company H:</w:t>
      </w:r>
      <w:r w:rsidRPr="00DD0231">
        <w:rPr>
          <w:b/>
        </w:rPr>
        <w:tab/>
        <w:t>$75,410</w:t>
      </w:r>
    </w:p>
    <w:p w14:paraId="7B784CC4" w14:textId="4A8BD01A" w:rsidR="00882A5A" w:rsidRDefault="00882A5A" w:rsidP="00882A5A">
      <w:pPr>
        <w:pStyle w:val="KPhead"/>
        <w:ind w:left="0"/>
      </w:pPr>
      <w:r>
        <w:t>Example 12</w:t>
      </w:r>
    </w:p>
    <w:p w14:paraId="535E75A8" w14:textId="50B26539" w:rsidR="00882A5A" w:rsidRDefault="00882A5A" w:rsidP="00882A5A">
      <w:pPr>
        <w:pStyle w:val="KPtext"/>
        <w:ind w:left="0"/>
      </w:pPr>
      <w:r>
        <w:t>Company I is an investment bank</w:t>
      </w:r>
      <w:r w:rsidRPr="00882A5A">
        <w:t xml:space="preserve"> </w:t>
      </w:r>
      <w:r w:rsidRPr="00E14BB5">
        <w:t xml:space="preserve">with </w:t>
      </w:r>
      <w:r w:rsidRPr="000A23C8">
        <w:t>annual investment banking revenue of $1 billion (10% of industry investment banking revenue).</w:t>
      </w:r>
      <w:r>
        <w:t xml:space="preserve"> ASIC</w:t>
      </w:r>
      <w:r w:rsidR="0003187F">
        <w:t>’</w:t>
      </w:r>
      <w:r>
        <w:t>s costs to be recovered from a graduated levy on investment banks are $9.1 million for the year.</w:t>
      </w:r>
    </w:p>
    <w:p w14:paraId="69D48EC3" w14:textId="05558CA9" w:rsidR="00882A5A" w:rsidRDefault="00882A5A" w:rsidP="00882A5A">
      <w:pPr>
        <w:pStyle w:val="KPtext"/>
        <w:ind w:left="0"/>
      </w:pPr>
      <w:r>
        <w:t>The company is public and listed on an Australian financial market with a market capitalisation of $20</w:t>
      </w:r>
      <w:r w:rsidR="00D26F16">
        <w:t> </w:t>
      </w:r>
      <w:r>
        <w:t>billion. The company also has an AFS licence and is a margin lender, wholesale advice provide</w:t>
      </w:r>
      <w:r w:rsidR="00D26F16">
        <w:t>r and payment product provider.</w:t>
      </w:r>
    </w:p>
    <w:p w14:paraId="1A75BBCA" w14:textId="7C2C73E3" w:rsidR="00882A5A" w:rsidRDefault="00882A5A" w:rsidP="00882A5A">
      <w:pPr>
        <w:pStyle w:val="KPtext"/>
        <w:ind w:left="0"/>
      </w:pPr>
      <w:r>
        <w:t>Company</w:t>
      </w:r>
      <w:r w:rsidR="00D26F16">
        <w:t xml:space="preserve"> I’s indicative annual levy is:</w:t>
      </w:r>
    </w:p>
    <w:p w14:paraId="31B1EBE8" w14:textId="65BC2792" w:rsidR="00882A5A" w:rsidRDefault="00882A5A" w:rsidP="00DD6EBE">
      <w:pPr>
        <w:pStyle w:val="KPtext"/>
        <w:tabs>
          <w:tab w:val="right" w:pos="8789"/>
        </w:tabs>
        <w:ind w:left="0" w:firstLine="426"/>
      </w:pPr>
      <w:r>
        <w:t>The maximum levy for public companies (listed, disclosing)</w:t>
      </w:r>
      <w:r>
        <w:tab/>
      </w:r>
      <w:r w:rsidR="00C82D2D">
        <w:t>$662,000</w:t>
      </w:r>
    </w:p>
    <w:p w14:paraId="11B3ED9D" w14:textId="05E7211F" w:rsidR="00882A5A" w:rsidRDefault="00882A5A" w:rsidP="00DD6EBE">
      <w:pPr>
        <w:pStyle w:val="KPtext"/>
        <w:tabs>
          <w:tab w:val="right" w:pos="8789"/>
        </w:tabs>
        <w:ind w:left="0" w:firstLine="426"/>
      </w:pPr>
      <w:r>
        <w:t>The minimum levy for an investment bank</w:t>
      </w:r>
      <w:r>
        <w:tab/>
        <w:t>$1,000</w:t>
      </w:r>
    </w:p>
    <w:p w14:paraId="68378DD8" w14:textId="454E615A" w:rsidR="00882A5A" w:rsidRPr="000A23C8" w:rsidRDefault="00882A5A" w:rsidP="00DD6EBE">
      <w:pPr>
        <w:pStyle w:val="KPtext"/>
        <w:tabs>
          <w:tab w:val="left" w:pos="567"/>
          <w:tab w:val="right" w:pos="8789"/>
        </w:tabs>
        <w:ind w:left="0" w:firstLine="426"/>
      </w:pPr>
      <w:r w:rsidRPr="000A23C8">
        <w:t>A graduated levy based on investment banking reven</w:t>
      </w:r>
      <w:r>
        <w:t>ue relative to industry</w:t>
      </w:r>
      <w:r w:rsidR="00DD6EBE">
        <w:br/>
      </w:r>
      <w:r w:rsidR="00DD6EBE">
        <w:tab/>
      </w:r>
      <w:r>
        <w:t>revenue</w:t>
      </w:r>
      <w:r w:rsidR="00DD6EBE">
        <w:tab/>
      </w:r>
      <w:r w:rsidRPr="000A23C8">
        <w:t>$9</w:t>
      </w:r>
      <w:r w:rsidRPr="001170A2">
        <w:t>1</w:t>
      </w:r>
      <w:r w:rsidRPr="000A23C8">
        <w:t>0,000</w:t>
      </w:r>
      <w:r w:rsidR="00D26F16">
        <w:br/>
      </w:r>
      <w:r w:rsidRPr="000A23C8">
        <w:tab/>
      </w:r>
      <w:r>
        <w:tab/>
      </w:r>
      <w:r w:rsidRPr="000A23C8">
        <w:t>(10% x $9.</w:t>
      </w:r>
      <w:r w:rsidRPr="00021FDC">
        <w:t>1</w:t>
      </w:r>
      <w:r w:rsidRPr="000A23C8">
        <w:t xml:space="preserve"> million)</w:t>
      </w:r>
    </w:p>
    <w:p w14:paraId="36498B3C" w14:textId="36627A8D" w:rsidR="00882A5A" w:rsidRDefault="00882A5A" w:rsidP="00DD6EBE">
      <w:pPr>
        <w:pStyle w:val="KPtext"/>
        <w:tabs>
          <w:tab w:val="left" w:pos="567"/>
          <w:tab w:val="right" w:pos="8789"/>
        </w:tabs>
        <w:ind w:left="0" w:firstLine="426"/>
      </w:pPr>
      <w:r>
        <w:t>The levy for being a margin lender</w:t>
      </w:r>
      <w:r>
        <w:tab/>
        <w:t>$11,100</w:t>
      </w:r>
    </w:p>
    <w:p w14:paraId="3E6F48A0" w14:textId="7B13BC8B" w:rsidR="00882A5A" w:rsidRDefault="00882A5A" w:rsidP="00DD6EBE">
      <w:pPr>
        <w:pStyle w:val="KPtext"/>
        <w:tabs>
          <w:tab w:val="right" w:pos="8789"/>
        </w:tabs>
        <w:ind w:left="0" w:firstLine="426"/>
      </w:pPr>
      <w:r>
        <w:t>The levy for being a wholesale advice provider:</w:t>
      </w:r>
      <w:r>
        <w:tab/>
        <w:t>$170</w:t>
      </w:r>
    </w:p>
    <w:p w14:paraId="4E41F512" w14:textId="644A1224" w:rsidR="00882A5A" w:rsidRDefault="00882A5A" w:rsidP="00DD6EBE">
      <w:pPr>
        <w:pStyle w:val="KPtext"/>
        <w:tabs>
          <w:tab w:val="right" w:pos="8789"/>
        </w:tabs>
        <w:ind w:left="0" w:firstLine="426"/>
      </w:pPr>
      <w:r>
        <w:t>The levy for being a payment product provider:</w:t>
      </w:r>
      <w:r>
        <w:tab/>
        <w:t>$9,000</w:t>
      </w:r>
    </w:p>
    <w:p w14:paraId="5363904D" w14:textId="14AA5644" w:rsidR="00882A5A" w:rsidRPr="00882A5A" w:rsidRDefault="00882A5A" w:rsidP="00DD6EBE">
      <w:pPr>
        <w:pStyle w:val="KPtext"/>
        <w:tabs>
          <w:tab w:val="right" w:pos="8789"/>
        </w:tabs>
        <w:ind w:left="0"/>
        <w:rPr>
          <w:b/>
        </w:rPr>
      </w:pPr>
      <w:r w:rsidRPr="00882A5A">
        <w:rPr>
          <w:b/>
        </w:rPr>
        <w:t>Total indicative levy payable by Company I:</w:t>
      </w:r>
      <w:r w:rsidRPr="00882A5A">
        <w:rPr>
          <w:b/>
        </w:rPr>
        <w:tab/>
        <w:t>$1,</w:t>
      </w:r>
      <w:r w:rsidR="00BB56A0" w:rsidRPr="00882A5A">
        <w:rPr>
          <w:b/>
        </w:rPr>
        <w:t>5</w:t>
      </w:r>
      <w:r w:rsidR="00BB56A0">
        <w:rPr>
          <w:b/>
        </w:rPr>
        <w:t>93</w:t>
      </w:r>
      <w:r w:rsidRPr="00882A5A">
        <w:rPr>
          <w:b/>
        </w:rPr>
        <w:t>,270</w:t>
      </w:r>
    </w:p>
    <w:p w14:paraId="72E02CD5" w14:textId="77777777" w:rsidR="00882A5A" w:rsidRPr="00017473" w:rsidRDefault="00882A5A" w:rsidP="00017473">
      <w:pPr>
        <w:pStyle w:val="BodyText"/>
        <w:numPr>
          <w:ilvl w:val="0"/>
          <w:numId w:val="0"/>
        </w:numPr>
        <w:ind w:left="1134" w:hanging="1134"/>
      </w:pPr>
    </w:p>
    <w:p w14:paraId="10B6FA78" w14:textId="77777777" w:rsidR="00D258EF" w:rsidRDefault="00D258EF">
      <w:pPr>
        <w:spacing w:after="0"/>
        <w:rPr>
          <w:rFonts w:ascii="Arial" w:hAnsi="Arial" w:cs="Arial"/>
          <w:b/>
          <w:kern w:val="28"/>
          <w:sz w:val="36"/>
          <w:szCs w:val="36"/>
        </w:rPr>
      </w:pPr>
      <w:r>
        <w:br w:type="page"/>
      </w:r>
    </w:p>
    <w:p w14:paraId="686EC480" w14:textId="642AF851" w:rsidR="00D258EF" w:rsidRPr="00EA1E92" w:rsidRDefault="00D258EF" w:rsidP="00D258EF">
      <w:pPr>
        <w:pStyle w:val="Heading1"/>
      </w:pPr>
      <w:bookmarkStart w:id="407" w:name="_Toc462677731"/>
      <w:bookmarkStart w:id="408" w:name="_Toc462697166"/>
      <w:bookmarkStart w:id="409" w:name="_Toc462698981"/>
      <w:bookmarkStart w:id="410" w:name="_Toc462700217"/>
      <w:bookmarkStart w:id="411" w:name="_Toc462700898"/>
      <w:bookmarkStart w:id="412" w:name="_Toc463544611"/>
      <w:bookmarkStart w:id="413" w:name="_Toc463595213"/>
      <w:bookmarkStart w:id="414" w:name="_Toc464140324"/>
      <w:bookmarkStart w:id="415" w:name="_Toc466020976"/>
      <w:r w:rsidRPr="00EA1E92">
        <w:t xml:space="preserve">Financial </w:t>
      </w:r>
      <w:r>
        <w:t>a</w:t>
      </w:r>
      <w:r w:rsidRPr="00EA1E92">
        <w:t>dvice</w:t>
      </w:r>
      <w:bookmarkEnd w:id="407"/>
      <w:bookmarkEnd w:id="408"/>
      <w:bookmarkEnd w:id="409"/>
      <w:bookmarkEnd w:id="410"/>
      <w:bookmarkEnd w:id="411"/>
      <w:bookmarkEnd w:id="412"/>
      <w:bookmarkEnd w:id="413"/>
      <w:bookmarkEnd w:id="414"/>
      <w:bookmarkEnd w:id="415"/>
    </w:p>
    <w:p w14:paraId="7C7552F7" w14:textId="4EF21EE0" w:rsidR="00D258EF" w:rsidRPr="00EA1E92" w:rsidRDefault="00D258EF" w:rsidP="00D258EF">
      <w:pPr>
        <w:pStyle w:val="Heading2"/>
      </w:pPr>
      <w:bookmarkStart w:id="416" w:name="_Toc462677732"/>
      <w:bookmarkStart w:id="417" w:name="_Toc462697167"/>
      <w:bookmarkStart w:id="418" w:name="_Toc462698982"/>
      <w:bookmarkStart w:id="419" w:name="_Toc462700218"/>
      <w:bookmarkStart w:id="420" w:name="_Toc462700899"/>
      <w:bookmarkStart w:id="421" w:name="_Toc463544612"/>
      <w:bookmarkStart w:id="422" w:name="_Toc463595214"/>
      <w:bookmarkStart w:id="423" w:name="_Toc464140325"/>
      <w:bookmarkStart w:id="424" w:name="_Toc466020977"/>
      <w:r w:rsidRPr="00EA1E92">
        <w:t>Description of ASIC’s regulatory activities</w:t>
      </w:r>
      <w:bookmarkEnd w:id="416"/>
      <w:bookmarkEnd w:id="417"/>
      <w:bookmarkEnd w:id="418"/>
      <w:bookmarkEnd w:id="419"/>
      <w:bookmarkEnd w:id="420"/>
      <w:bookmarkEnd w:id="421"/>
      <w:bookmarkEnd w:id="422"/>
      <w:bookmarkEnd w:id="423"/>
      <w:bookmarkEnd w:id="424"/>
    </w:p>
    <w:p w14:paraId="3BFCC039" w14:textId="77777777" w:rsidR="00D258EF" w:rsidRPr="00EA1E92" w:rsidRDefault="00D258EF" w:rsidP="00D258EF">
      <w:pPr>
        <w:pStyle w:val="BodyText"/>
      </w:pPr>
      <w:r w:rsidRPr="00EA1E92">
        <w:t xml:space="preserve">The financial advice sector consists of AFS licensees with an authorisation to provide financial product advice to retail and/or wholesale clients. This includes: </w:t>
      </w:r>
    </w:p>
    <w:p w14:paraId="6A671329" w14:textId="77777777" w:rsidR="00D258EF" w:rsidRPr="00EA1E92" w:rsidRDefault="00D258EF" w:rsidP="000B5B80">
      <w:pPr>
        <w:pStyle w:val="subparaa"/>
        <w:ind w:left="1559"/>
      </w:pPr>
      <w:r w:rsidRPr="00EA1E92">
        <w:t>licensees that provide personal advice to retail clients (personal advice providers)</w:t>
      </w:r>
    </w:p>
    <w:p w14:paraId="0F56FE8A" w14:textId="77777777" w:rsidR="00D258EF" w:rsidRPr="00EA1E92" w:rsidRDefault="00D258EF" w:rsidP="000B5B80">
      <w:pPr>
        <w:pStyle w:val="subparaa"/>
        <w:ind w:left="1559"/>
      </w:pPr>
      <w:r w:rsidRPr="00EA1E92">
        <w:t>licensees that provide general advice only to retail and wholesale clients (general advice providers)</w:t>
      </w:r>
    </w:p>
    <w:p w14:paraId="176FA42A" w14:textId="2C83D6B1" w:rsidR="00D258EF" w:rsidRPr="00EA1E92" w:rsidRDefault="00D258EF" w:rsidP="000B5B80">
      <w:pPr>
        <w:pStyle w:val="subparaa"/>
        <w:ind w:left="1559"/>
      </w:pPr>
      <w:r w:rsidRPr="00EA1E92">
        <w:t>licensees that provide personal advice to wholesale clients only (wholesale advice providers)</w:t>
      </w:r>
      <w:r w:rsidR="009D4C02">
        <w:t xml:space="preserve"> (see </w:t>
      </w:r>
      <w:r w:rsidR="009D4C02" w:rsidRPr="00B25C47">
        <w:rPr>
          <w:b/>
        </w:rPr>
        <w:fldChar w:fldCharType="begin"/>
      </w:r>
      <w:r w:rsidR="009D4C02" w:rsidRPr="00B25C47">
        <w:rPr>
          <w:b/>
        </w:rPr>
        <w:instrText xml:space="preserve"> REF _Ref463606255 \h </w:instrText>
      </w:r>
      <w:r w:rsidR="00A75F21" w:rsidRPr="00B25C47">
        <w:rPr>
          <w:b/>
        </w:rPr>
        <w:instrText xml:space="preserve"> \* MERGEFORMAT </w:instrText>
      </w:r>
      <w:r w:rsidR="009D4C02" w:rsidRPr="00B25C47">
        <w:rPr>
          <w:b/>
        </w:rPr>
      </w:r>
      <w:r w:rsidR="009D4C02" w:rsidRPr="00B25C47">
        <w:rPr>
          <w:b/>
        </w:rPr>
        <w:fldChar w:fldCharType="separate"/>
      </w:r>
      <w:r w:rsidR="00A37D1A" w:rsidRPr="00B25C47">
        <w:rPr>
          <w:b/>
        </w:rPr>
        <w:t>Table 31</w:t>
      </w:r>
      <w:r w:rsidR="009D4C02" w:rsidRPr="00B25C47">
        <w:rPr>
          <w:b/>
        </w:rPr>
        <w:fldChar w:fldCharType="end"/>
      </w:r>
      <w:r w:rsidR="009D4C02">
        <w:t>)</w:t>
      </w:r>
      <w:r w:rsidRPr="00EA1E92">
        <w:t xml:space="preserve">. </w:t>
      </w:r>
    </w:p>
    <w:p w14:paraId="30F9A34B" w14:textId="4B2B6E38" w:rsidR="00D258EF" w:rsidRPr="00EA1E92" w:rsidRDefault="00D258EF" w:rsidP="00D258EF">
      <w:pPr>
        <w:pStyle w:val="BodyText"/>
      </w:pPr>
      <w:r w:rsidRPr="00EA1E92">
        <w:t>In 2016–17, ASIC</w:t>
      </w:r>
      <w:r w:rsidR="0003187F">
        <w:t>’</w:t>
      </w:r>
      <w:r w:rsidRPr="00EA1E92">
        <w:t>s forecast effort to regulate the financial advice sector is expected to cost $24.0 million</w:t>
      </w:r>
      <w:r w:rsidR="009D4C02">
        <w:t xml:space="preserve"> (see </w:t>
      </w:r>
      <w:r w:rsidR="009D4C02" w:rsidRPr="00B25C47">
        <w:rPr>
          <w:b/>
        </w:rPr>
        <w:fldChar w:fldCharType="begin"/>
      </w:r>
      <w:r w:rsidR="009D4C02" w:rsidRPr="00B25C47">
        <w:rPr>
          <w:b/>
        </w:rPr>
        <w:instrText xml:space="preserve"> REF _Ref463606281 \h </w:instrText>
      </w:r>
      <w:r w:rsidR="00B25C47">
        <w:rPr>
          <w:b/>
        </w:rPr>
        <w:instrText xml:space="preserve"> \* MERGEFORMAT </w:instrText>
      </w:r>
      <w:r w:rsidR="009D4C02" w:rsidRPr="00B25C47">
        <w:rPr>
          <w:b/>
        </w:rPr>
      </w:r>
      <w:r w:rsidR="009D4C02" w:rsidRPr="00B25C47">
        <w:rPr>
          <w:b/>
        </w:rPr>
        <w:fldChar w:fldCharType="separate"/>
      </w:r>
      <w:r w:rsidR="00A37D1A" w:rsidRPr="00B25C47">
        <w:rPr>
          <w:b/>
        </w:rPr>
        <w:t xml:space="preserve">Figure </w:t>
      </w:r>
      <w:r w:rsidR="00A37D1A" w:rsidRPr="00B25C47">
        <w:rPr>
          <w:b/>
          <w:noProof/>
        </w:rPr>
        <w:t>13</w:t>
      </w:r>
      <w:r w:rsidR="009D4C02" w:rsidRPr="00B25C47">
        <w:rPr>
          <w:b/>
        </w:rPr>
        <w:fldChar w:fldCharType="end"/>
      </w:r>
      <w:r w:rsidR="009D4C02">
        <w:t>)</w:t>
      </w:r>
      <w:r w:rsidRPr="00EA1E92">
        <w:t>. This is 10% of ASIC</w:t>
      </w:r>
      <w:r w:rsidR="0003187F">
        <w:t>’</w:t>
      </w:r>
      <w:r w:rsidRPr="00EA1E92">
        <w:t xml:space="preserve">s budget for regulatory activities and </w:t>
      </w:r>
      <w:r w:rsidR="004D3E39">
        <w:t>is proposed to</w:t>
      </w:r>
      <w:r w:rsidRPr="00EA1E92">
        <w:t xml:space="preserve"> be recovered through levies on the financial advice sector. </w:t>
      </w:r>
    </w:p>
    <w:p w14:paraId="1765095D" w14:textId="08B411B6" w:rsidR="00D258EF" w:rsidRDefault="00FC5759" w:rsidP="00FC5759">
      <w:pPr>
        <w:pStyle w:val="BodyText"/>
      </w:pPr>
      <w:r w:rsidRPr="00FC5759">
        <w:t xml:space="preserve">ASIC will issue invoices to recover its </w:t>
      </w:r>
      <w:r w:rsidR="00714D0C">
        <w:t xml:space="preserve">2017–18 costs in January 2019. </w:t>
      </w:r>
      <w:r w:rsidRPr="00FC5759">
        <w:t xml:space="preserve">Based on forecast 2016–17 costs, levies on the financial advice sector would comprise </w:t>
      </w:r>
      <w:r w:rsidR="00D258EF" w:rsidRPr="00EA1E92">
        <w:t xml:space="preserve">$22 million (92%) </w:t>
      </w:r>
      <w:r w:rsidR="004D3E39">
        <w:t>is proposed to</w:t>
      </w:r>
      <w:r w:rsidR="00D258EF" w:rsidRPr="00EA1E92">
        <w:t xml:space="preserve"> be cost recovered from personal advice providers on Tier 1 products, $0.9</w:t>
      </w:r>
      <w:r w:rsidR="00DD6EBE">
        <w:t> </w:t>
      </w:r>
      <w:r w:rsidR="00D258EF" w:rsidRPr="00EA1E92">
        <w:t xml:space="preserve">million (4%) from personal advice providers on Tier 2 products, $0.8 million (3%) from general advice providers and $0.2 million (1%) from wholesale advice providers (see </w:t>
      </w:r>
      <w:r w:rsidR="009D4C02" w:rsidRPr="00B25C47">
        <w:rPr>
          <w:b/>
        </w:rPr>
        <w:fldChar w:fldCharType="begin"/>
      </w:r>
      <w:r w:rsidR="009D4C02" w:rsidRPr="00B25C47">
        <w:rPr>
          <w:b/>
        </w:rPr>
        <w:instrText xml:space="preserve"> REF _Ref463606302 \h </w:instrText>
      </w:r>
      <w:r w:rsidR="00B25C47">
        <w:rPr>
          <w:b/>
        </w:rPr>
        <w:instrText xml:space="preserve"> \* MERGEFORMAT </w:instrText>
      </w:r>
      <w:r w:rsidR="009D4C02" w:rsidRPr="00B25C47">
        <w:rPr>
          <w:b/>
        </w:rPr>
      </w:r>
      <w:r w:rsidR="009D4C02" w:rsidRPr="00B25C47">
        <w:rPr>
          <w:b/>
        </w:rPr>
        <w:fldChar w:fldCharType="separate"/>
      </w:r>
      <w:r w:rsidR="00A37D1A" w:rsidRPr="00B25C47">
        <w:rPr>
          <w:b/>
        </w:rPr>
        <w:t xml:space="preserve">Figure </w:t>
      </w:r>
      <w:r w:rsidR="00A37D1A" w:rsidRPr="00B25C47">
        <w:rPr>
          <w:b/>
          <w:noProof/>
        </w:rPr>
        <w:t>14</w:t>
      </w:r>
      <w:r w:rsidR="009D4C02" w:rsidRPr="00B25C47">
        <w:rPr>
          <w:b/>
        </w:rPr>
        <w:fldChar w:fldCharType="end"/>
      </w:r>
      <w:r w:rsidR="00714D0C">
        <w:t>).</w:t>
      </w:r>
    </w:p>
    <w:p w14:paraId="669335F7" w14:textId="77777777" w:rsidR="008D5FA4" w:rsidRDefault="00753286" w:rsidP="001149DE">
      <w:pPr>
        <w:pStyle w:val="figuretitlefullwidth"/>
      </w:pPr>
      <w:bookmarkStart w:id="425" w:name="_Ref463606281"/>
      <w:r>
        <w:t xml:space="preserve">Figure </w:t>
      </w:r>
      <w:r w:rsidR="003D3E81">
        <w:fldChar w:fldCharType="begin"/>
      </w:r>
      <w:r w:rsidR="003D3E81">
        <w:instrText xml:space="preserve"> SEQ Figure \* ARABIC </w:instrText>
      </w:r>
      <w:r w:rsidR="003D3E81">
        <w:fldChar w:fldCharType="separate"/>
      </w:r>
      <w:r w:rsidR="00A37D1A">
        <w:rPr>
          <w:noProof/>
        </w:rPr>
        <w:t>13</w:t>
      </w:r>
      <w:r w:rsidR="003D3E81">
        <w:rPr>
          <w:noProof/>
        </w:rPr>
        <w:fldChar w:fldCharType="end"/>
      </w:r>
      <w:bookmarkEnd w:id="425"/>
      <w:r>
        <w:t>:</w:t>
      </w:r>
      <w:r>
        <w:tab/>
        <w:t xml:space="preserve">Costs to regulate the financial advice sector </w:t>
      </w:r>
    </w:p>
    <w:p w14:paraId="606B62AC" w14:textId="648297A2" w:rsidR="00D258EF" w:rsidRPr="00EA1E92" w:rsidRDefault="008D5FA4" w:rsidP="001149DE">
      <w:pPr>
        <w:pStyle w:val="figuretitlefullwidth"/>
      </w:pPr>
      <w:r w:rsidRPr="008D5FA4">
        <w:rPr>
          <w:noProof/>
        </w:rPr>
        <w:drawing>
          <wp:inline distT="0" distB="0" distL="0" distR="0" wp14:anchorId="0AE06130" wp14:editId="3B4FBC8C">
            <wp:extent cx="5549962" cy="2165684"/>
            <wp:effectExtent l="0" t="0" r="0" b="635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703" t="1639" b="9836"/>
                    <a:stretch/>
                  </pic:blipFill>
                  <pic:spPr bwMode="auto">
                    <a:xfrm>
                      <a:off x="0" y="0"/>
                      <a:ext cx="5561546" cy="2170204"/>
                    </a:xfrm>
                    <a:prstGeom prst="rect">
                      <a:avLst/>
                    </a:prstGeom>
                    <a:noFill/>
                    <a:ln>
                      <a:noFill/>
                    </a:ln>
                    <a:extLst>
                      <a:ext uri="{53640926-AAD7-44D8-BBD7-CCE9431645EC}">
                        <a14:shadowObscured xmlns:a14="http://schemas.microsoft.com/office/drawing/2010/main"/>
                      </a:ext>
                    </a:extLst>
                  </pic:spPr>
                </pic:pic>
              </a:graphicData>
            </a:graphic>
          </wp:inline>
        </w:drawing>
      </w:r>
    </w:p>
    <w:p w14:paraId="47E65DA8" w14:textId="77777777" w:rsidR="0018197A" w:rsidRDefault="0018197A">
      <w:pPr>
        <w:spacing w:after="0"/>
        <w:rPr>
          <w:rFonts w:ascii="Arial" w:hAnsi="Arial" w:cs="Arial"/>
          <w:b/>
          <w:sz w:val="20"/>
        </w:rPr>
      </w:pPr>
      <w:bookmarkStart w:id="426" w:name="_Ref463606255"/>
      <w:r>
        <w:br w:type="page"/>
      </w:r>
    </w:p>
    <w:p w14:paraId="22DD1E2B" w14:textId="1B23CFC4" w:rsidR="000671F0" w:rsidRDefault="000671F0"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31</w:t>
      </w:r>
      <w:r w:rsidR="003D3E81">
        <w:rPr>
          <w:noProof/>
        </w:rPr>
        <w:fldChar w:fldCharType="end"/>
      </w:r>
      <w:bookmarkEnd w:id="426"/>
      <w:r>
        <w:t>:</w:t>
      </w:r>
      <w:r>
        <w:tab/>
      </w:r>
      <w:r w:rsidRPr="008E2393">
        <w:t xml:space="preserve">Subsectors in the </w:t>
      </w:r>
      <w:r>
        <w:t>financial advice sector</w:t>
      </w:r>
    </w:p>
    <w:tbl>
      <w:tblPr>
        <w:tblW w:w="9184"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3515"/>
      </w:tblGrid>
      <w:tr w:rsidR="0018197A" w:rsidRPr="000540E1" w14:paraId="27E4C2EF" w14:textId="77777777" w:rsidTr="0018197A">
        <w:trPr>
          <w:cantSplit/>
          <w:tblHeader/>
        </w:trPr>
        <w:tc>
          <w:tcPr>
            <w:tcW w:w="5669" w:type="dxa"/>
            <w:shd w:val="clear" w:color="auto" w:fill="C2E3FA"/>
          </w:tcPr>
          <w:p w14:paraId="17DB1883" w14:textId="548D3352" w:rsidR="000671F0" w:rsidRPr="000540E1" w:rsidRDefault="000671F0" w:rsidP="003B0F12">
            <w:pPr>
              <w:pStyle w:val="tablehead"/>
            </w:pPr>
            <w:r>
              <w:t>Subsector</w:t>
            </w:r>
          </w:p>
        </w:tc>
        <w:tc>
          <w:tcPr>
            <w:tcW w:w="3515" w:type="dxa"/>
            <w:shd w:val="clear" w:color="auto" w:fill="C2E3FA"/>
          </w:tcPr>
          <w:p w14:paraId="4B48189B" w14:textId="1C4EB15C" w:rsidR="000671F0" w:rsidRPr="000540E1" w:rsidRDefault="000671F0" w:rsidP="003B0F12">
            <w:pPr>
              <w:pStyle w:val="tablehead"/>
            </w:pPr>
            <w:r>
              <w:t>Number of entities</w:t>
            </w:r>
          </w:p>
        </w:tc>
      </w:tr>
      <w:tr w:rsidR="0018197A" w:rsidRPr="000540E1" w14:paraId="52CA5F67" w14:textId="77777777" w:rsidTr="0018197A">
        <w:trPr>
          <w:cantSplit/>
        </w:trPr>
        <w:tc>
          <w:tcPr>
            <w:tcW w:w="5669" w:type="dxa"/>
            <w:vAlign w:val="center"/>
          </w:tcPr>
          <w:p w14:paraId="0E170F63" w14:textId="6F268143" w:rsidR="000671F0" w:rsidRPr="000540E1" w:rsidRDefault="000671F0" w:rsidP="000671F0">
            <w:pPr>
              <w:pStyle w:val="tbltext"/>
            </w:pPr>
            <w:r w:rsidRPr="00EA1E92">
              <w:t>Personal advice providers on Tier 1 products to retail clients</w:t>
            </w:r>
          </w:p>
        </w:tc>
        <w:tc>
          <w:tcPr>
            <w:tcW w:w="3515" w:type="dxa"/>
            <w:vAlign w:val="center"/>
          </w:tcPr>
          <w:p w14:paraId="25B60429" w14:textId="3339D2F0" w:rsidR="000671F0" w:rsidRPr="000540E1" w:rsidRDefault="000671F0" w:rsidP="000671F0">
            <w:pPr>
              <w:pStyle w:val="tbltext"/>
            </w:pPr>
            <w:r w:rsidRPr="00EA1E92">
              <w:t>2,150 licensees with 23,000 advisers</w:t>
            </w:r>
          </w:p>
        </w:tc>
      </w:tr>
      <w:tr w:rsidR="0018197A" w:rsidRPr="000540E1" w14:paraId="2BCF84F6" w14:textId="77777777" w:rsidTr="0018197A">
        <w:trPr>
          <w:cantSplit/>
        </w:trPr>
        <w:tc>
          <w:tcPr>
            <w:tcW w:w="5669" w:type="dxa"/>
            <w:vAlign w:val="center"/>
          </w:tcPr>
          <w:p w14:paraId="38BAC956" w14:textId="4C5E14BB" w:rsidR="000671F0" w:rsidRPr="000540E1" w:rsidRDefault="000671F0" w:rsidP="000671F0">
            <w:pPr>
              <w:pStyle w:val="tbltext"/>
            </w:pPr>
            <w:r w:rsidRPr="00EA1E92">
              <w:t>Personal advice providers on Tier 2 products only to retail clients</w:t>
            </w:r>
          </w:p>
        </w:tc>
        <w:tc>
          <w:tcPr>
            <w:tcW w:w="3515" w:type="dxa"/>
            <w:vAlign w:val="center"/>
          </w:tcPr>
          <w:p w14:paraId="70CAB6B1" w14:textId="504E3814" w:rsidR="000671F0" w:rsidRPr="000540E1" w:rsidRDefault="000671F0" w:rsidP="000671F0">
            <w:pPr>
              <w:pStyle w:val="tbltext"/>
            </w:pPr>
            <w:r w:rsidRPr="00EA1E92">
              <w:t>614 licensees</w:t>
            </w:r>
          </w:p>
        </w:tc>
      </w:tr>
      <w:tr w:rsidR="0018197A" w:rsidRPr="000540E1" w14:paraId="1F9354C2" w14:textId="77777777" w:rsidTr="0018197A">
        <w:trPr>
          <w:cantSplit/>
        </w:trPr>
        <w:tc>
          <w:tcPr>
            <w:tcW w:w="5669" w:type="dxa"/>
            <w:vAlign w:val="center"/>
          </w:tcPr>
          <w:p w14:paraId="532C90FB" w14:textId="63CA318D" w:rsidR="000671F0" w:rsidRPr="000540E1" w:rsidRDefault="000671F0" w:rsidP="000671F0">
            <w:pPr>
              <w:pStyle w:val="tbltext"/>
            </w:pPr>
            <w:r w:rsidRPr="00EA1E92">
              <w:t>General advice provider to retail and wholesale clients</w:t>
            </w:r>
          </w:p>
        </w:tc>
        <w:tc>
          <w:tcPr>
            <w:tcW w:w="3515" w:type="dxa"/>
            <w:vAlign w:val="center"/>
          </w:tcPr>
          <w:p w14:paraId="6FC2CF30" w14:textId="5EDBE9B4" w:rsidR="000671F0" w:rsidRPr="000540E1" w:rsidRDefault="000671F0" w:rsidP="000671F0">
            <w:pPr>
              <w:pStyle w:val="tbltext"/>
            </w:pPr>
            <w:r w:rsidRPr="00EA1E92">
              <w:t>898 licensees</w:t>
            </w:r>
          </w:p>
        </w:tc>
      </w:tr>
      <w:tr w:rsidR="0018197A" w:rsidRPr="000540E1" w14:paraId="1BFB44D0" w14:textId="77777777" w:rsidTr="0018197A">
        <w:trPr>
          <w:cantSplit/>
        </w:trPr>
        <w:tc>
          <w:tcPr>
            <w:tcW w:w="5669" w:type="dxa"/>
            <w:vAlign w:val="center"/>
          </w:tcPr>
          <w:p w14:paraId="52CD4EF4" w14:textId="118B972A" w:rsidR="000671F0" w:rsidRPr="00EA1E92" w:rsidRDefault="000671F0" w:rsidP="000671F0">
            <w:pPr>
              <w:pStyle w:val="tbltext"/>
            </w:pPr>
            <w:r w:rsidRPr="00EA1E92">
              <w:t>Wholesale advice provider to wholesale clients only</w:t>
            </w:r>
          </w:p>
        </w:tc>
        <w:tc>
          <w:tcPr>
            <w:tcW w:w="3515" w:type="dxa"/>
            <w:vAlign w:val="center"/>
          </w:tcPr>
          <w:p w14:paraId="295AD071" w14:textId="3332D131" w:rsidR="000671F0" w:rsidRPr="00EA1E92" w:rsidRDefault="000671F0" w:rsidP="000671F0">
            <w:pPr>
              <w:pStyle w:val="tbltext"/>
            </w:pPr>
            <w:r w:rsidRPr="00EA1E92">
              <w:t>1,370 licensees</w:t>
            </w:r>
          </w:p>
        </w:tc>
      </w:tr>
    </w:tbl>
    <w:p w14:paraId="59EAC8F5" w14:textId="77777777" w:rsidR="0018197A" w:rsidRDefault="0018197A" w:rsidP="0018197A">
      <w:pPr>
        <w:pStyle w:val="SingleParagraph"/>
      </w:pPr>
      <w:bookmarkStart w:id="427" w:name="_Ref463606302"/>
    </w:p>
    <w:p w14:paraId="095DA325" w14:textId="0D4D1D0F" w:rsidR="00753286" w:rsidRPr="001149DE" w:rsidRDefault="00753286" w:rsidP="001149DE">
      <w:pPr>
        <w:pStyle w:val="figuretitlefullwidth"/>
      </w:pPr>
      <w:r>
        <w:t xml:space="preserve">Figure </w:t>
      </w:r>
      <w:r w:rsidR="003D3E81">
        <w:fldChar w:fldCharType="begin"/>
      </w:r>
      <w:r w:rsidR="003D3E81">
        <w:instrText xml:space="preserve"> SEQ Figure \* ARABIC </w:instrText>
      </w:r>
      <w:r w:rsidR="003D3E81">
        <w:fldChar w:fldCharType="separate"/>
      </w:r>
      <w:r w:rsidR="00A37D1A">
        <w:rPr>
          <w:noProof/>
        </w:rPr>
        <w:t>14</w:t>
      </w:r>
      <w:r w:rsidR="003D3E81">
        <w:rPr>
          <w:noProof/>
        </w:rPr>
        <w:fldChar w:fldCharType="end"/>
      </w:r>
      <w:bookmarkEnd w:id="427"/>
      <w:r>
        <w:t>:</w:t>
      </w:r>
      <w:r>
        <w:tab/>
      </w:r>
      <w:r w:rsidRPr="00753286">
        <w:t xml:space="preserve">Regulatory costs for the financial advice sector in </w:t>
      </w:r>
      <w:r w:rsidRPr="001149DE">
        <w:t>2016–17</w:t>
      </w:r>
    </w:p>
    <w:p w14:paraId="10951A6A" w14:textId="633A3F7C" w:rsidR="000B098D" w:rsidRDefault="008E1AA7">
      <w:pPr>
        <w:spacing w:after="0"/>
        <w:rPr>
          <w:rFonts w:ascii="Arial" w:hAnsi="Arial" w:cs="Arial"/>
          <w:b/>
          <w:kern w:val="28"/>
          <w:sz w:val="36"/>
          <w:szCs w:val="36"/>
        </w:rPr>
      </w:pPr>
      <w:r>
        <w:rPr>
          <w:noProof/>
        </w:rPr>
        <w:drawing>
          <wp:inline distT="0" distB="0" distL="0" distR="0" wp14:anchorId="4CA256FB" wp14:editId="3DD6CA76">
            <wp:extent cx="5759450" cy="2414270"/>
            <wp:effectExtent l="0" t="0" r="0" b="50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6253E73" w14:textId="4251F84B" w:rsidR="009D4C02" w:rsidRDefault="000B098D" w:rsidP="000B098D">
      <w:pPr>
        <w:pStyle w:val="BodyText"/>
      </w:pPr>
      <w:r w:rsidRPr="00EA1E92">
        <w:t>ASIC’s regulation of the financial advice sector is focused on promoting investor and financial consumer trust and confidence by holding gatekeepers (</w:t>
      </w:r>
      <w:r w:rsidR="00A366D4">
        <w:t xml:space="preserve">that is, </w:t>
      </w:r>
      <w:r w:rsidRPr="00EA1E92">
        <w:t xml:space="preserve">financial advisers) to account. </w:t>
      </w:r>
    </w:p>
    <w:p w14:paraId="444070AD" w14:textId="0DD9B578" w:rsidR="000B098D" w:rsidRDefault="000B098D" w:rsidP="000B098D">
      <w:pPr>
        <w:pStyle w:val="BodyText"/>
      </w:pPr>
      <w:r w:rsidRPr="00EA1E92">
        <w:t>ASIC’s work includes monitoring financial advisers’ compliance with their advice conduct obligations under the</w:t>
      </w:r>
      <w:r w:rsidRPr="00EA1E92">
        <w:rPr>
          <w:i/>
          <w:iCs/>
        </w:rPr>
        <w:t xml:space="preserve"> </w:t>
      </w:r>
      <w:r w:rsidRPr="00EA1E92">
        <w:rPr>
          <w:iCs/>
        </w:rPr>
        <w:t>Corporations Act</w:t>
      </w:r>
      <w:r w:rsidRPr="00EA1E92">
        <w:t xml:space="preserve">, identifying breaches of the Corporation and ASIC Acts, and enforcement. ASIC also engages with stakeholders to ensure risks are identified and addressed and provides guidance to financial advisers regarding their legal obligations. </w:t>
      </w:r>
    </w:p>
    <w:p w14:paraId="772F878B" w14:textId="77777777" w:rsidR="000B098D" w:rsidRPr="00EA1E92" w:rsidRDefault="000B098D" w:rsidP="000B098D">
      <w:pPr>
        <w:pStyle w:val="BodyText"/>
      </w:pPr>
      <w:r w:rsidRPr="00EA1E92">
        <w:t>In 2016–17, ASIC will focus on:</w:t>
      </w:r>
    </w:p>
    <w:p w14:paraId="756FD282" w14:textId="77777777" w:rsidR="000B098D" w:rsidRPr="000B5B80" w:rsidRDefault="000B098D" w:rsidP="0018197A">
      <w:pPr>
        <w:pStyle w:val="subparaa"/>
        <w:tabs>
          <w:tab w:val="clear" w:pos="2693"/>
          <w:tab w:val="left" w:pos="1559"/>
        </w:tabs>
        <w:ind w:left="1559"/>
      </w:pPr>
      <w:r w:rsidRPr="00EA1E92">
        <w:t>reviewing conflicted advice and compliance standards, including in vertically integrated advice businesses</w:t>
      </w:r>
    </w:p>
    <w:p w14:paraId="37F96A9B" w14:textId="77777777" w:rsidR="000B098D" w:rsidRPr="000B5B80" w:rsidRDefault="000B098D" w:rsidP="0018197A">
      <w:pPr>
        <w:pStyle w:val="subparaa"/>
        <w:tabs>
          <w:tab w:val="clear" w:pos="2693"/>
          <w:tab w:val="left" w:pos="1559"/>
        </w:tabs>
        <w:ind w:left="1559"/>
      </w:pPr>
      <w:r w:rsidRPr="00EA1E92">
        <w:t>improving the quality of advice provided by large financial institutions and promoting fair treatment of their past and present customers. This includes completing a review of fees for no service breaches</w:t>
      </w:r>
    </w:p>
    <w:p w14:paraId="4885E3B0" w14:textId="77777777" w:rsidR="0018197A" w:rsidRDefault="0018197A">
      <w:pPr>
        <w:spacing w:after="0"/>
        <w:rPr>
          <w:szCs w:val="22"/>
        </w:rPr>
      </w:pPr>
      <w:r>
        <w:br w:type="page"/>
      </w:r>
    </w:p>
    <w:p w14:paraId="7D989467" w14:textId="175239F3" w:rsidR="00883E44" w:rsidRPr="000B5B80" w:rsidRDefault="000B098D" w:rsidP="0018197A">
      <w:pPr>
        <w:pStyle w:val="subparaa"/>
        <w:tabs>
          <w:tab w:val="clear" w:pos="2693"/>
          <w:tab w:val="left" w:pos="1559"/>
        </w:tabs>
        <w:ind w:left="1559"/>
        <w:rPr>
          <w:sz w:val="20"/>
        </w:rPr>
      </w:pPr>
      <w:r w:rsidRPr="00EA1E92">
        <w:t>promoting better life insurance advice through continuing ASIC’s work on reviewing life insurance Statements of Advice (SOAs), and undertaking a surveillance of life insurance advisers reported under exception reporting by life insurers to test whether the advice they have provided to consumers complies with the law</w:t>
      </w:r>
    </w:p>
    <w:p w14:paraId="767B982B" w14:textId="1F372EA5" w:rsidR="000B098D" w:rsidRPr="00883E44" w:rsidRDefault="00883E44" w:rsidP="0018197A">
      <w:pPr>
        <w:pStyle w:val="subparaa"/>
        <w:tabs>
          <w:tab w:val="clear" w:pos="2693"/>
          <w:tab w:val="left" w:pos="1559"/>
        </w:tabs>
        <w:ind w:left="1559"/>
        <w:rPr>
          <w:sz w:val="20"/>
        </w:rPr>
      </w:pPr>
      <w:r>
        <w:t>continuing</w:t>
      </w:r>
      <w:r w:rsidRPr="00EA1E92">
        <w:t xml:space="preserve"> to support the transition to a professional advice industry by commencing a ‘shadow shop’ to assess the current quality of advice and supporting the Government’s initiatives to improve the professional standards of financial advisers</w:t>
      </w:r>
      <w:r>
        <w:t>.</w:t>
      </w:r>
    </w:p>
    <w:p w14:paraId="3697F70B" w14:textId="77AC32CC" w:rsidR="00883E44" w:rsidRDefault="000B098D" w:rsidP="000B098D">
      <w:pPr>
        <w:pStyle w:val="BodyText"/>
      </w:pPr>
      <w:r w:rsidRPr="00EA1E92">
        <w:t xml:space="preserve">ASIC will also </w:t>
      </w:r>
      <w:r w:rsidR="00883E44">
        <w:t>provide guidance to industry about compliance with their obligations and/or to clarify expectations and standards. For example, in 2016–17, ASIC will publish an information sheet explaining how the law applies to accounta</w:t>
      </w:r>
      <w:r w:rsidR="00714D0C">
        <w:t>nts offering financial advice.</w:t>
      </w:r>
    </w:p>
    <w:p w14:paraId="19326097" w14:textId="06BA2623" w:rsidR="000B098D" w:rsidRPr="000B5B80" w:rsidRDefault="000B098D" w:rsidP="001149DE">
      <w:pPr>
        <w:pStyle w:val="BodyText"/>
        <w:rPr>
          <w:rFonts w:ascii="Arial" w:hAnsi="Arial" w:cs="Arial"/>
          <w:b/>
          <w:kern w:val="28"/>
          <w:sz w:val="36"/>
          <w:szCs w:val="36"/>
        </w:rPr>
      </w:pPr>
      <w:r w:rsidRPr="00EA1E92">
        <w:t>In 2016</w:t>
      </w:r>
      <w:r w:rsidR="00D11144">
        <w:t>–</w:t>
      </w:r>
      <w:r w:rsidRPr="00EA1E92">
        <w:t>17, ASIC finalised its digital advice policy</w:t>
      </w:r>
      <w:r>
        <w:t xml:space="preserve"> </w:t>
      </w:r>
      <w:r w:rsidRPr="00EA1E92">
        <w:t xml:space="preserve">and published Regulatory Guide 255 </w:t>
      </w:r>
      <w:r w:rsidRPr="00EA1E92">
        <w:rPr>
          <w:i/>
        </w:rPr>
        <w:t>Providing digital financial product advice</w:t>
      </w:r>
      <w:r w:rsidRPr="00EA1E92" w:rsidDel="00C467D9">
        <w:t xml:space="preserve"> </w:t>
      </w:r>
      <w:r w:rsidRPr="00EA1E92">
        <w:t>in August 2016. ASIC will commence surveillance of industry</w:t>
      </w:r>
      <w:r w:rsidR="0003187F">
        <w:t>’</w:t>
      </w:r>
      <w:r w:rsidRPr="00EA1E92">
        <w:t>s compliance with the new digital advice policy in 2017–18.</w:t>
      </w:r>
    </w:p>
    <w:p w14:paraId="76498413" w14:textId="6009AE79" w:rsidR="00883E44" w:rsidRPr="000B5B80" w:rsidRDefault="00883E44" w:rsidP="00883E44">
      <w:pPr>
        <w:pStyle w:val="BodyText"/>
      </w:pPr>
      <w:r>
        <w:t xml:space="preserve">In 2016–17, ASIC will also contribute </w:t>
      </w:r>
      <w:r w:rsidRPr="000B5B80">
        <w:t>to the Government’s proposed reforms to raise advisers’ education, training and ethical standards, including updating guidance for Tier 2 and general advice and providing guidance on the Codes of Ethics once the reforms have been implemented</w:t>
      </w:r>
      <w:r>
        <w:t>.</w:t>
      </w:r>
    </w:p>
    <w:p w14:paraId="6653454C" w14:textId="6FEB23EF" w:rsidR="000B098D" w:rsidRPr="00EA1E92" w:rsidRDefault="00F65426" w:rsidP="000B098D">
      <w:pPr>
        <w:pStyle w:val="Heading2"/>
      </w:pPr>
      <w:bookmarkStart w:id="428" w:name="_Toc452626344"/>
      <w:bookmarkStart w:id="429" w:name="_Toc453236848"/>
      <w:bookmarkStart w:id="430" w:name="_Toc453684013"/>
      <w:bookmarkStart w:id="431" w:name="_Toc453750654"/>
      <w:bookmarkStart w:id="432" w:name="_Toc453771939"/>
      <w:bookmarkStart w:id="433" w:name="_Toc453836185"/>
      <w:bookmarkStart w:id="434" w:name="_Toc453844439"/>
      <w:bookmarkStart w:id="435" w:name="_Toc462677733"/>
      <w:bookmarkStart w:id="436" w:name="_Toc462697168"/>
      <w:bookmarkStart w:id="437" w:name="_Toc462698983"/>
      <w:bookmarkStart w:id="438" w:name="_Toc462700219"/>
      <w:bookmarkStart w:id="439" w:name="_Toc462700900"/>
      <w:bookmarkStart w:id="440" w:name="_Toc463544613"/>
      <w:bookmarkStart w:id="441" w:name="_Toc463595215"/>
      <w:bookmarkStart w:id="442" w:name="_Toc464140326"/>
      <w:bookmarkStart w:id="443" w:name="_Toc466020978"/>
      <w:r>
        <w:t>Proposed l</w:t>
      </w:r>
      <w:r w:rsidR="000B098D" w:rsidRPr="00EA1E92">
        <w:t>evy methodologies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3966155" w14:textId="4D400901" w:rsidR="000B098D" w:rsidRPr="00EA1E92" w:rsidRDefault="00EF18B1" w:rsidP="000B098D">
      <w:pPr>
        <w:pStyle w:val="BodyText"/>
      </w:pPr>
      <w:r>
        <w:t xml:space="preserve">For </w:t>
      </w:r>
      <w:r w:rsidR="000B098D" w:rsidRPr="00EA1E92">
        <w:t>AFS licensees who provide personal advice on Tier 1 products to retail clients</w:t>
      </w:r>
      <w:r>
        <w:t xml:space="preserve">, ASIC proposes to </w:t>
      </w:r>
      <w:r w:rsidR="000B098D" w:rsidRPr="00EA1E92">
        <w:t xml:space="preserve">charge a levy based on the number of advisers registered on the Financial Advisers Register (FAR). This is because the greater the number of advisers the larger the number of clients able to be serviced and the higher the level of regulatory oversight required by ASIC. </w:t>
      </w:r>
    </w:p>
    <w:p w14:paraId="5B20C2DC" w14:textId="77777777" w:rsidR="000B098D" w:rsidRPr="00EA1E92" w:rsidRDefault="000B098D" w:rsidP="000B098D">
      <w:pPr>
        <w:pStyle w:val="BodyText"/>
      </w:pPr>
      <w:r w:rsidRPr="00EA1E92">
        <w:t>There is a subsector of licensees who provide digital or automated financial product advice who are often called robo-advice providers. ASIC considers robo-advice (also known as digital advice) is the provision of automated financial product advice using algorithms and technology and without the direct involvement of a human adviser.</w:t>
      </w:r>
    </w:p>
    <w:p w14:paraId="12E0489E" w14:textId="77777777" w:rsidR="000B098D" w:rsidRPr="00EA1E92" w:rsidRDefault="000B098D" w:rsidP="000B098D">
      <w:pPr>
        <w:pStyle w:val="BodyText"/>
      </w:pPr>
      <w:r w:rsidRPr="00EA1E92">
        <w:t>Robo-advice is a developing area. ASIC is supportive of innovation and does not propose to charge a separate levy on robo-advice providers under the model at this time. In future, a levy may also be charged for robo-advice providers. In the meantime, ASIC proposes to deem robo-advice licensees who provide personal advice on Tier 1 products (and who do not have an adviser on the FAR because they only provide digital advice) to hold at least one adviser on the FAR to ensure they are captured by the personal advice provider on Tier 1 products levy. Where robo-advice licensees only provide general advice or wholesale advice, they will be required to pay the relevant flat levy for these subsectors.</w:t>
      </w:r>
    </w:p>
    <w:p w14:paraId="69FEB1E2" w14:textId="77777777" w:rsidR="000B098D" w:rsidRDefault="000B098D" w:rsidP="000B098D">
      <w:pPr>
        <w:pStyle w:val="BodyText"/>
      </w:pPr>
      <w:r w:rsidRPr="00EA1E92">
        <w:t>Flat annual levies are proposed for the remaining financial advice subsectors. The level of ASIC regulatory effort required for these entities is generally similar for entities in each subsector. The flat levy approach is consistent with that proposed in the August 2015 consultation paper.</w:t>
      </w:r>
    </w:p>
    <w:p w14:paraId="3592BBB6" w14:textId="0D3702E6" w:rsidR="000671F0" w:rsidRDefault="000671F0"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32</w:t>
      </w:r>
      <w:r w:rsidR="003D3E81">
        <w:rPr>
          <w:noProof/>
        </w:rPr>
        <w:fldChar w:fldCharType="end"/>
      </w:r>
      <w:r>
        <w:t>:</w:t>
      </w:r>
      <w:r>
        <w:tab/>
      </w:r>
      <w:r w:rsidR="00EF18B1">
        <w:t xml:space="preserve">Proposed </w:t>
      </w:r>
      <w:r w:rsidR="008F5774" w:rsidRPr="00EA1E92">
        <w:t>levy arrangements</w:t>
      </w:r>
      <w:r w:rsidR="00EF18B1">
        <w:t xml:space="preserve"> – Financial advice sector</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288"/>
        <w:gridCol w:w="1928"/>
        <w:gridCol w:w="2494"/>
        <w:gridCol w:w="1417"/>
      </w:tblGrid>
      <w:tr w:rsidR="000671F0" w:rsidRPr="000540E1" w14:paraId="454C2C67" w14:textId="77777777" w:rsidTr="0078113F">
        <w:trPr>
          <w:cantSplit/>
          <w:tblHeader/>
        </w:trPr>
        <w:tc>
          <w:tcPr>
            <w:tcW w:w="3288" w:type="dxa"/>
            <w:shd w:val="clear" w:color="auto" w:fill="C2E3FA"/>
          </w:tcPr>
          <w:p w14:paraId="59381600" w14:textId="2DCF130F" w:rsidR="000671F0" w:rsidRPr="000540E1" w:rsidRDefault="008F5774" w:rsidP="003B0F12">
            <w:pPr>
              <w:pStyle w:val="tablehead"/>
            </w:pPr>
            <w:r>
              <w:t>Subsector</w:t>
            </w:r>
          </w:p>
        </w:tc>
        <w:tc>
          <w:tcPr>
            <w:tcW w:w="1928" w:type="dxa"/>
            <w:shd w:val="clear" w:color="auto" w:fill="C2E3FA"/>
          </w:tcPr>
          <w:p w14:paraId="57B0D285" w14:textId="36E8222D" w:rsidR="000671F0" w:rsidRPr="000540E1" w:rsidRDefault="008F5774" w:rsidP="003B0F12">
            <w:pPr>
              <w:pStyle w:val="tablehead"/>
            </w:pPr>
            <w:r>
              <w:t>Number of entities</w:t>
            </w:r>
          </w:p>
        </w:tc>
        <w:tc>
          <w:tcPr>
            <w:tcW w:w="2494" w:type="dxa"/>
            <w:shd w:val="clear" w:color="auto" w:fill="C2E3FA"/>
          </w:tcPr>
          <w:p w14:paraId="35890DF6" w14:textId="01101532" w:rsidR="000671F0" w:rsidRPr="000540E1" w:rsidRDefault="00EF18B1" w:rsidP="003B0F12">
            <w:pPr>
              <w:pStyle w:val="tablehead"/>
            </w:pPr>
            <w:r>
              <w:t xml:space="preserve">Proposed annual </w:t>
            </w:r>
            <w:r w:rsidR="008F5774">
              <w:t>levy</w:t>
            </w:r>
            <w:r w:rsidR="009270D4">
              <w:t>*</w:t>
            </w:r>
          </w:p>
        </w:tc>
        <w:tc>
          <w:tcPr>
            <w:tcW w:w="1417" w:type="dxa"/>
            <w:shd w:val="clear" w:color="auto" w:fill="C2E3FA"/>
          </w:tcPr>
          <w:p w14:paraId="65E96171" w14:textId="081D3CB1" w:rsidR="000671F0" w:rsidRPr="000540E1" w:rsidRDefault="008F5774" w:rsidP="003B0F12">
            <w:pPr>
              <w:pStyle w:val="tablehead"/>
            </w:pPr>
            <w:r>
              <w:t>Amount to be recovered</w:t>
            </w:r>
          </w:p>
        </w:tc>
      </w:tr>
      <w:tr w:rsidR="008F5774" w:rsidRPr="000540E1" w14:paraId="1B5B2EFF" w14:textId="77777777" w:rsidTr="0078113F">
        <w:trPr>
          <w:cantSplit/>
        </w:trPr>
        <w:tc>
          <w:tcPr>
            <w:tcW w:w="3288" w:type="dxa"/>
            <w:vAlign w:val="center"/>
          </w:tcPr>
          <w:p w14:paraId="16504B08" w14:textId="5DF3A919" w:rsidR="008F5774" w:rsidRPr="000540E1" w:rsidRDefault="008F5774" w:rsidP="0078113F">
            <w:pPr>
              <w:pStyle w:val="tbltext"/>
            </w:pPr>
            <w:r w:rsidRPr="00EA1E92">
              <w:t>Personal advice providers on Tier</w:t>
            </w:r>
            <w:r w:rsidR="0078113F">
              <w:t> </w:t>
            </w:r>
            <w:r w:rsidRPr="00EA1E92">
              <w:t>1 products</w:t>
            </w:r>
          </w:p>
        </w:tc>
        <w:tc>
          <w:tcPr>
            <w:tcW w:w="1928" w:type="dxa"/>
            <w:vAlign w:val="center"/>
          </w:tcPr>
          <w:p w14:paraId="215B1CB1" w14:textId="35E6590C" w:rsidR="008F5774" w:rsidRPr="000540E1" w:rsidRDefault="008F5774" w:rsidP="0078113F">
            <w:pPr>
              <w:pStyle w:val="tbltext"/>
            </w:pPr>
            <w:r w:rsidRPr="00EA1E92">
              <w:t>2,150 licensees</w:t>
            </w:r>
            <w:r w:rsidR="0078113F">
              <w:br/>
            </w:r>
            <w:r w:rsidRPr="00EA1E92">
              <w:t>(23,000 advisers)</w:t>
            </w:r>
          </w:p>
        </w:tc>
        <w:tc>
          <w:tcPr>
            <w:tcW w:w="2494" w:type="dxa"/>
            <w:vAlign w:val="center"/>
          </w:tcPr>
          <w:p w14:paraId="3F688147" w14:textId="7A3482BB" w:rsidR="008F5774" w:rsidRPr="000540E1" w:rsidRDefault="008F5774" w:rsidP="003B0F12">
            <w:pPr>
              <w:pStyle w:val="tbltext"/>
            </w:pPr>
            <w:r w:rsidRPr="00EA1E92">
              <w:t>$960 x number of advisers listed on the Financial Advisers Register</w:t>
            </w:r>
          </w:p>
        </w:tc>
        <w:tc>
          <w:tcPr>
            <w:tcW w:w="1417" w:type="dxa"/>
            <w:vAlign w:val="center"/>
          </w:tcPr>
          <w:p w14:paraId="27344581" w14:textId="4B884621" w:rsidR="008F5774" w:rsidRPr="000540E1" w:rsidRDefault="008F5774" w:rsidP="003B0F12">
            <w:pPr>
              <w:pStyle w:val="tbltext"/>
            </w:pPr>
            <w:r w:rsidRPr="00EA1E92">
              <w:t>$22 million</w:t>
            </w:r>
          </w:p>
        </w:tc>
      </w:tr>
      <w:tr w:rsidR="008F5774" w:rsidRPr="000540E1" w14:paraId="22E1D683" w14:textId="77777777" w:rsidTr="0078113F">
        <w:trPr>
          <w:cantSplit/>
        </w:trPr>
        <w:tc>
          <w:tcPr>
            <w:tcW w:w="3288" w:type="dxa"/>
            <w:vAlign w:val="center"/>
          </w:tcPr>
          <w:p w14:paraId="1426AAE8" w14:textId="6714D969" w:rsidR="008F5774" w:rsidRPr="000540E1" w:rsidRDefault="008F5774" w:rsidP="0078113F">
            <w:pPr>
              <w:pStyle w:val="tbltext"/>
            </w:pPr>
            <w:r w:rsidRPr="00EA1E92">
              <w:t>Personal advice providers on Tier</w:t>
            </w:r>
            <w:r w:rsidR="0078113F">
              <w:t> </w:t>
            </w:r>
            <w:r w:rsidRPr="00EA1E92">
              <w:t>2 products only to retail clients</w:t>
            </w:r>
          </w:p>
        </w:tc>
        <w:tc>
          <w:tcPr>
            <w:tcW w:w="1928" w:type="dxa"/>
            <w:vAlign w:val="center"/>
          </w:tcPr>
          <w:p w14:paraId="2A773796" w14:textId="3A49B67B" w:rsidR="008F5774" w:rsidRPr="000540E1" w:rsidRDefault="008F5774" w:rsidP="003B0F12">
            <w:pPr>
              <w:pStyle w:val="tbltext"/>
            </w:pPr>
            <w:r w:rsidRPr="00EA1E92">
              <w:t>614 licensees</w:t>
            </w:r>
          </w:p>
        </w:tc>
        <w:tc>
          <w:tcPr>
            <w:tcW w:w="2494" w:type="dxa"/>
            <w:vAlign w:val="center"/>
          </w:tcPr>
          <w:p w14:paraId="3A9C3CE6" w14:textId="38EA4E65" w:rsidR="008F5774" w:rsidRPr="000540E1" w:rsidRDefault="008F5774" w:rsidP="003B0F12">
            <w:pPr>
              <w:pStyle w:val="tbltext"/>
            </w:pPr>
            <w:r w:rsidRPr="00EA1E92">
              <w:t>$1,500 flat levy</w:t>
            </w:r>
          </w:p>
        </w:tc>
        <w:tc>
          <w:tcPr>
            <w:tcW w:w="1417" w:type="dxa"/>
            <w:vAlign w:val="center"/>
          </w:tcPr>
          <w:p w14:paraId="16D9215E" w14:textId="0FCE5DFF" w:rsidR="008F5774" w:rsidRPr="000540E1" w:rsidRDefault="008F5774" w:rsidP="003B0F12">
            <w:pPr>
              <w:pStyle w:val="tbltext"/>
            </w:pPr>
            <w:r w:rsidRPr="00EA1E92">
              <w:t>$0.9 million</w:t>
            </w:r>
          </w:p>
        </w:tc>
      </w:tr>
      <w:tr w:rsidR="008F5774" w:rsidRPr="000540E1" w14:paraId="0BADBF4C" w14:textId="77777777" w:rsidTr="0078113F">
        <w:trPr>
          <w:cantSplit/>
        </w:trPr>
        <w:tc>
          <w:tcPr>
            <w:tcW w:w="3288" w:type="dxa"/>
            <w:vAlign w:val="center"/>
          </w:tcPr>
          <w:p w14:paraId="4CEF1E61" w14:textId="7AF8C94A" w:rsidR="008F5774" w:rsidRPr="000540E1" w:rsidRDefault="008F5774" w:rsidP="003B0F12">
            <w:pPr>
              <w:pStyle w:val="tbltext"/>
            </w:pPr>
            <w:r w:rsidRPr="00EA1E92">
              <w:t>General advice provider to retail and wholesale clients</w:t>
            </w:r>
          </w:p>
        </w:tc>
        <w:tc>
          <w:tcPr>
            <w:tcW w:w="1928" w:type="dxa"/>
            <w:vAlign w:val="center"/>
          </w:tcPr>
          <w:p w14:paraId="0C6D5153" w14:textId="354F0AED" w:rsidR="008F5774" w:rsidRPr="000540E1" w:rsidRDefault="008F5774" w:rsidP="003B0F12">
            <w:pPr>
              <w:pStyle w:val="tbltext"/>
            </w:pPr>
            <w:r w:rsidRPr="00EA1E92">
              <w:t>898 licensees</w:t>
            </w:r>
          </w:p>
        </w:tc>
        <w:tc>
          <w:tcPr>
            <w:tcW w:w="2494" w:type="dxa"/>
            <w:vAlign w:val="center"/>
          </w:tcPr>
          <w:p w14:paraId="58D587B6" w14:textId="34630748" w:rsidR="008F5774" w:rsidRPr="000540E1" w:rsidRDefault="008F5774" w:rsidP="003B0F12">
            <w:pPr>
              <w:pStyle w:val="tbltext"/>
            </w:pPr>
            <w:r w:rsidRPr="00EA1E92">
              <w:t>$920 flat levy</w:t>
            </w:r>
          </w:p>
        </w:tc>
        <w:tc>
          <w:tcPr>
            <w:tcW w:w="1417" w:type="dxa"/>
            <w:vAlign w:val="center"/>
          </w:tcPr>
          <w:p w14:paraId="12C4318E" w14:textId="561B1F2F" w:rsidR="008F5774" w:rsidRPr="000540E1" w:rsidRDefault="008F5774" w:rsidP="003B0F12">
            <w:pPr>
              <w:pStyle w:val="tbltext"/>
            </w:pPr>
            <w:r w:rsidRPr="00EA1E92">
              <w:t>$0.8 million</w:t>
            </w:r>
          </w:p>
        </w:tc>
      </w:tr>
      <w:tr w:rsidR="008F5774" w:rsidRPr="000540E1" w14:paraId="5A5726E0" w14:textId="77777777" w:rsidTr="0078113F">
        <w:trPr>
          <w:cantSplit/>
        </w:trPr>
        <w:tc>
          <w:tcPr>
            <w:tcW w:w="3288" w:type="dxa"/>
            <w:vAlign w:val="center"/>
          </w:tcPr>
          <w:p w14:paraId="0F1295D3" w14:textId="5C7B4221" w:rsidR="008F5774" w:rsidRPr="00EA1E92" w:rsidRDefault="008F5774" w:rsidP="003B0F12">
            <w:pPr>
              <w:pStyle w:val="tbltext"/>
            </w:pPr>
            <w:r w:rsidRPr="00EA1E92">
              <w:t>Wholesale advice provider to wholesale clients only</w:t>
            </w:r>
          </w:p>
        </w:tc>
        <w:tc>
          <w:tcPr>
            <w:tcW w:w="1928" w:type="dxa"/>
            <w:vAlign w:val="center"/>
          </w:tcPr>
          <w:p w14:paraId="570A6E8E" w14:textId="7FA4D542" w:rsidR="008F5774" w:rsidRPr="00EA1E92" w:rsidRDefault="008F5774" w:rsidP="003B0F12">
            <w:pPr>
              <w:pStyle w:val="tbltext"/>
            </w:pPr>
            <w:r w:rsidRPr="00EA1E92">
              <w:t>1,370 licensees</w:t>
            </w:r>
          </w:p>
        </w:tc>
        <w:tc>
          <w:tcPr>
            <w:tcW w:w="2494" w:type="dxa"/>
            <w:vAlign w:val="center"/>
          </w:tcPr>
          <w:p w14:paraId="4640328D" w14:textId="71964D0B" w:rsidR="008F5774" w:rsidRPr="00EA1E92" w:rsidRDefault="008F5774" w:rsidP="003B0F12">
            <w:pPr>
              <w:pStyle w:val="tbltext"/>
            </w:pPr>
            <w:r w:rsidRPr="00EA1E92">
              <w:t>$170 flat levy</w:t>
            </w:r>
          </w:p>
        </w:tc>
        <w:tc>
          <w:tcPr>
            <w:tcW w:w="1417" w:type="dxa"/>
            <w:vAlign w:val="center"/>
          </w:tcPr>
          <w:p w14:paraId="27E01375" w14:textId="2E1699CE" w:rsidR="008F5774" w:rsidRPr="00EA1E92" w:rsidRDefault="008F5774" w:rsidP="003B0F12">
            <w:pPr>
              <w:pStyle w:val="tbltext"/>
            </w:pPr>
            <w:r w:rsidRPr="00EA1E92">
              <w:t>$0.2 million</w:t>
            </w:r>
          </w:p>
        </w:tc>
      </w:tr>
    </w:tbl>
    <w:p w14:paraId="05AC2B94" w14:textId="05626B09" w:rsidR="009270D4" w:rsidRDefault="009270D4" w:rsidP="009270D4">
      <w:pPr>
        <w:pStyle w:val="sourcenotefullwidth"/>
      </w:pPr>
      <w:r>
        <w:t xml:space="preserve">*Proposed annual levy amounts have been rounded. </w:t>
      </w:r>
    </w:p>
    <w:p w14:paraId="06C2A8CB" w14:textId="77777777" w:rsidR="00BE2F00" w:rsidRPr="00EA1E92" w:rsidRDefault="00BE2F00" w:rsidP="00BE2F00">
      <w:pPr>
        <w:pStyle w:val="BodyText"/>
      </w:pPr>
      <w:r w:rsidRPr="00EA1E92">
        <w:t xml:space="preserve">The August 2015 consultation paper proposed a levy on financial advice providers on Tier 1 products that involved a fixed component of $1,350 and a variable component of $470 per adviser. Submissions strongly opposed this model due to concerns it would place a larger burden on smaller licensees relative to larger licensees due to the fixed component. This concern has been addressed by moving to a fully variable levy. </w:t>
      </w:r>
    </w:p>
    <w:p w14:paraId="74D2165C" w14:textId="77777777" w:rsidR="00BE2F00" w:rsidRPr="00EA1E92" w:rsidRDefault="00BE2F00" w:rsidP="00BE2F00">
      <w:pPr>
        <w:pStyle w:val="BodyText"/>
      </w:pPr>
      <w:r w:rsidRPr="00EA1E92">
        <w:t>Submissions did not raise concerns regarding the flat levies for other entities in the financial advice sector.</w:t>
      </w:r>
    </w:p>
    <w:p w14:paraId="7D75DA8B" w14:textId="0E9B0A7C" w:rsidR="00BE2F00" w:rsidRPr="00BE2F00" w:rsidRDefault="00EF18B1" w:rsidP="00BE2F00">
      <w:pPr>
        <w:pStyle w:val="BodyText"/>
        <w:rPr>
          <w:rFonts w:ascii="Arial" w:hAnsi="Arial" w:cs="Arial"/>
          <w:b/>
          <w:kern w:val="28"/>
          <w:sz w:val="36"/>
          <w:szCs w:val="36"/>
        </w:rPr>
      </w:pPr>
      <w:r>
        <w:t>It is proposed that t</w:t>
      </w:r>
      <w:r w:rsidR="00BE2F00" w:rsidRPr="00EA1E92">
        <w:t xml:space="preserve">he flat levies </w:t>
      </w:r>
      <w:r>
        <w:t xml:space="preserve">be </w:t>
      </w:r>
      <w:r w:rsidR="00BE2F00" w:rsidRPr="00EA1E92">
        <w:t>increased by around 70-100% from the levies</w:t>
      </w:r>
      <w:r>
        <w:t xml:space="preserve"> outlined</w:t>
      </w:r>
      <w:r w:rsidR="00BE2F00" w:rsidRPr="00EA1E92">
        <w:t xml:space="preserve"> in the August 2015 consultation paper. The proposed levies have increased because </w:t>
      </w:r>
      <w:r>
        <w:t xml:space="preserve">ASIC proposes to remove </w:t>
      </w:r>
      <w:r w:rsidR="00BE2F00" w:rsidRPr="00EA1E92">
        <w:t>the base levy and levy per authorisation</w:t>
      </w:r>
      <w:r w:rsidR="00BE2F00">
        <w:t xml:space="preserve"> </w:t>
      </w:r>
      <w:r w:rsidR="00BE2F00" w:rsidRPr="00EA1E92">
        <w:t>of $250 for AFS licensees and incorporate</w:t>
      </w:r>
      <w:r>
        <w:t xml:space="preserve"> the costs</w:t>
      </w:r>
      <w:r w:rsidR="00BE2F00" w:rsidRPr="00EA1E92">
        <w:t xml:space="preserve"> into the levies for AFS licensees. Submissions opposed the base levy and levy per authorisation. For further information on stakeholder feedback see </w:t>
      </w:r>
      <w:r w:rsidR="00BE2F00" w:rsidRPr="00ED0AA0">
        <w:t>Chapter 6 of the Government’s Proposals Paper.</w:t>
      </w:r>
    </w:p>
    <w:p w14:paraId="5385ADD3" w14:textId="768F7EBA" w:rsidR="00BE2F00" w:rsidRDefault="00BE2F00" w:rsidP="00BE2F00">
      <w:pPr>
        <w:pStyle w:val="Heading2"/>
      </w:pPr>
      <w:bookmarkStart w:id="444" w:name="_Toc463544614"/>
      <w:bookmarkStart w:id="445" w:name="_Toc463595216"/>
      <w:bookmarkStart w:id="446" w:name="_Toc464140327"/>
      <w:bookmarkStart w:id="447" w:name="_Toc466020979"/>
      <w:r>
        <w:t>Example</w:t>
      </w:r>
      <w:r w:rsidR="00EF18B1">
        <w:t>s</w:t>
      </w:r>
      <w:r>
        <w:t xml:space="preserve"> </w:t>
      </w:r>
      <w:r w:rsidR="00EF18B1">
        <w:t xml:space="preserve">of proposed </w:t>
      </w:r>
      <w:r>
        <w:t>levies</w:t>
      </w:r>
      <w:bookmarkEnd w:id="444"/>
      <w:bookmarkEnd w:id="445"/>
      <w:bookmarkEnd w:id="446"/>
      <w:bookmarkEnd w:id="447"/>
    </w:p>
    <w:p w14:paraId="4A6A68A5" w14:textId="3FD1064C" w:rsidR="00BE2F00" w:rsidRDefault="00BE2F00" w:rsidP="00DD6EBE">
      <w:pPr>
        <w:pStyle w:val="KPhead"/>
        <w:spacing w:before="480"/>
        <w:ind w:left="0"/>
      </w:pPr>
      <w:r>
        <w:t xml:space="preserve">Example 13 </w:t>
      </w:r>
    </w:p>
    <w:p w14:paraId="5564ED62" w14:textId="27D3A0FD" w:rsidR="00BE2F00" w:rsidRDefault="00BE2F00" w:rsidP="00BE2F00">
      <w:pPr>
        <w:pStyle w:val="KPtext"/>
        <w:ind w:left="0"/>
      </w:pPr>
      <w:r>
        <w:t xml:space="preserve">Company K is a small proprietary company providing financial advice with five employees who are registered financial advisers on the financial </w:t>
      </w:r>
      <w:r w:rsidR="0004769E">
        <w:t>adviser register (FAR).</w:t>
      </w:r>
    </w:p>
    <w:p w14:paraId="1BF3A344" w14:textId="09158F7F" w:rsidR="00BE2F00" w:rsidRDefault="00BE2F00" w:rsidP="00DD6EBE">
      <w:pPr>
        <w:pStyle w:val="KPtext"/>
        <w:tabs>
          <w:tab w:val="right" w:pos="8789"/>
        </w:tabs>
        <w:ind w:left="0"/>
      </w:pPr>
      <w:r>
        <w:t>Company</w:t>
      </w:r>
      <w:r w:rsidR="0004769E">
        <w:t xml:space="preserve"> K’s indicative annual levy is:</w:t>
      </w:r>
    </w:p>
    <w:p w14:paraId="6CCB394C" w14:textId="7F616281" w:rsidR="00BE2F00" w:rsidRDefault="00BE2F00" w:rsidP="0004769E">
      <w:pPr>
        <w:pStyle w:val="KPtext"/>
        <w:tabs>
          <w:tab w:val="right" w:pos="8931"/>
        </w:tabs>
        <w:ind w:left="0" w:firstLine="425"/>
      </w:pPr>
      <w:r>
        <w:t>The levy for small proprietary companies</w:t>
      </w:r>
      <w:r>
        <w:tab/>
      </w:r>
      <w:r w:rsidR="00DD6EBE">
        <w:t>$5</w:t>
      </w:r>
    </w:p>
    <w:p w14:paraId="4B621165" w14:textId="5020DE95" w:rsidR="00BE2F00" w:rsidRPr="00BD46E4" w:rsidRDefault="00BE2F00" w:rsidP="0004769E">
      <w:pPr>
        <w:pStyle w:val="KPtext"/>
        <w:tabs>
          <w:tab w:val="right" w:pos="8931"/>
        </w:tabs>
        <w:ind w:left="0" w:firstLine="425"/>
      </w:pPr>
      <w:r>
        <w:t>A levy for of $960 for each financial advice provider registered on the FAR</w:t>
      </w:r>
      <w:r>
        <w:tab/>
      </w:r>
      <w:r w:rsidR="00DD6EBE">
        <w:t>$4,800</w:t>
      </w:r>
    </w:p>
    <w:p w14:paraId="2462B864" w14:textId="1DD53C11" w:rsidR="002E5BB8" w:rsidRPr="001149DE" w:rsidRDefault="00BE2F00" w:rsidP="0004769E">
      <w:pPr>
        <w:pStyle w:val="KPtext"/>
        <w:tabs>
          <w:tab w:val="right" w:pos="8931"/>
        </w:tabs>
        <w:ind w:left="0"/>
        <w:rPr>
          <w:b/>
        </w:rPr>
      </w:pPr>
      <w:r w:rsidRPr="00BE2F00">
        <w:rPr>
          <w:b/>
        </w:rPr>
        <w:t>Total indicative levy payable by Company K:</w:t>
      </w:r>
      <w:r>
        <w:rPr>
          <w:b/>
        </w:rPr>
        <w:tab/>
      </w:r>
      <w:r w:rsidR="001149DE">
        <w:rPr>
          <w:b/>
        </w:rPr>
        <w:t>$4,805</w:t>
      </w:r>
    </w:p>
    <w:p w14:paraId="087620D4" w14:textId="1F0B029B" w:rsidR="00895C18" w:rsidRPr="008E2393" w:rsidRDefault="00895C18" w:rsidP="00895C18">
      <w:pPr>
        <w:pStyle w:val="Heading1"/>
      </w:pPr>
      <w:bookmarkStart w:id="448" w:name="_Toc462677736"/>
      <w:bookmarkStart w:id="449" w:name="_Toc462697171"/>
      <w:bookmarkStart w:id="450" w:name="_Toc462698985"/>
      <w:bookmarkStart w:id="451" w:name="_Toc462700221"/>
      <w:bookmarkStart w:id="452" w:name="_Toc462700902"/>
      <w:bookmarkStart w:id="453" w:name="_Toc463544615"/>
      <w:bookmarkStart w:id="454" w:name="_Toc463595217"/>
      <w:bookmarkStart w:id="455" w:name="_Toc464140328"/>
      <w:bookmarkStart w:id="456" w:name="_Toc466020980"/>
      <w:bookmarkStart w:id="457" w:name="_Toc452626352"/>
      <w:bookmarkStart w:id="458" w:name="_Toc453236856"/>
      <w:bookmarkStart w:id="459" w:name="_Toc453684021"/>
      <w:bookmarkStart w:id="460" w:name="_Toc453750662"/>
      <w:bookmarkStart w:id="461" w:name="_Toc453771947"/>
      <w:bookmarkStart w:id="462" w:name="_Toc453836193"/>
      <w:bookmarkStart w:id="463" w:name="_Toc453844447"/>
      <w:r w:rsidRPr="008E2393">
        <w:t>Insurance</w:t>
      </w:r>
      <w:bookmarkEnd w:id="448"/>
      <w:bookmarkEnd w:id="449"/>
      <w:bookmarkEnd w:id="450"/>
      <w:bookmarkEnd w:id="451"/>
      <w:bookmarkEnd w:id="452"/>
      <w:bookmarkEnd w:id="453"/>
      <w:bookmarkEnd w:id="454"/>
      <w:bookmarkEnd w:id="455"/>
      <w:bookmarkEnd w:id="456"/>
      <w:r w:rsidRPr="008E2393">
        <w:t xml:space="preserve"> </w:t>
      </w:r>
      <w:bookmarkEnd w:id="457"/>
      <w:bookmarkEnd w:id="458"/>
      <w:bookmarkEnd w:id="459"/>
      <w:bookmarkEnd w:id="460"/>
      <w:bookmarkEnd w:id="461"/>
      <w:bookmarkEnd w:id="462"/>
      <w:bookmarkEnd w:id="463"/>
    </w:p>
    <w:p w14:paraId="36D61712" w14:textId="6447FFA0" w:rsidR="00895C18" w:rsidRPr="008E2393" w:rsidRDefault="00895C18" w:rsidP="00895C18">
      <w:pPr>
        <w:pStyle w:val="Heading2"/>
      </w:pPr>
      <w:bookmarkStart w:id="464" w:name="_Toc462677737"/>
      <w:bookmarkStart w:id="465" w:name="_Toc462697172"/>
      <w:bookmarkStart w:id="466" w:name="_Toc462698986"/>
      <w:bookmarkStart w:id="467" w:name="_Toc462700222"/>
      <w:bookmarkStart w:id="468" w:name="_Toc462700903"/>
      <w:bookmarkStart w:id="469" w:name="_Toc463544616"/>
      <w:bookmarkStart w:id="470" w:name="_Toc463595218"/>
      <w:bookmarkStart w:id="471" w:name="_Toc464140329"/>
      <w:bookmarkStart w:id="472" w:name="_Toc466020981"/>
      <w:r w:rsidRPr="008E2393">
        <w:t>Description of ASIC’s regulatory activities</w:t>
      </w:r>
      <w:bookmarkEnd w:id="464"/>
      <w:bookmarkEnd w:id="465"/>
      <w:bookmarkEnd w:id="466"/>
      <w:bookmarkEnd w:id="467"/>
      <w:bookmarkEnd w:id="468"/>
      <w:bookmarkEnd w:id="469"/>
      <w:bookmarkEnd w:id="470"/>
      <w:bookmarkEnd w:id="471"/>
      <w:bookmarkEnd w:id="472"/>
    </w:p>
    <w:p w14:paraId="00CAF1E3" w14:textId="685EB91F" w:rsidR="00895C18" w:rsidRDefault="00895C18" w:rsidP="00895C18">
      <w:pPr>
        <w:pStyle w:val="BodyText"/>
      </w:pPr>
      <w:r w:rsidRPr="008E2393">
        <w:t>The insurance sector consists of AFS licensees including life and general insurance product issuers, insurance product distributors (insurance brokers) and risk management product providers</w:t>
      </w:r>
      <w:r w:rsidR="00FC3585">
        <w:t xml:space="preserve"> (see </w:t>
      </w:r>
      <w:r w:rsidR="00FC3585" w:rsidRPr="00F40539">
        <w:rPr>
          <w:b/>
        </w:rPr>
        <w:fldChar w:fldCharType="begin"/>
      </w:r>
      <w:r w:rsidR="00FC3585" w:rsidRPr="00F40539">
        <w:rPr>
          <w:b/>
        </w:rPr>
        <w:instrText xml:space="preserve"> REF _Ref463606332 \h </w:instrText>
      </w:r>
      <w:r w:rsidR="00F40539">
        <w:rPr>
          <w:b/>
        </w:rPr>
        <w:instrText xml:space="preserve"> \* MERGEFORMAT </w:instrText>
      </w:r>
      <w:r w:rsidR="00FC3585" w:rsidRPr="00F40539">
        <w:rPr>
          <w:b/>
        </w:rPr>
      </w:r>
      <w:r w:rsidR="00FC3585" w:rsidRPr="00F40539">
        <w:rPr>
          <w:b/>
        </w:rPr>
        <w:fldChar w:fldCharType="separate"/>
      </w:r>
      <w:r w:rsidR="00A37D1A" w:rsidRPr="00F40539">
        <w:rPr>
          <w:b/>
        </w:rPr>
        <w:t xml:space="preserve">Table </w:t>
      </w:r>
      <w:r w:rsidR="00A37D1A" w:rsidRPr="00F40539">
        <w:rPr>
          <w:b/>
          <w:noProof/>
        </w:rPr>
        <w:t>33</w:t>
      </w:r>
      <w:r w:rsidR="00FC3585" w:rsidRPr="00F40539">
        <w:rPr>
          <w:b/>
        </w:rPr>
        <w:fldChar w:fldCharType="end"/>
      </w:r>
      <w:r w:rsidR="00FC3585">
        <w:t>)</w:t>
      </w:r>
      <w:r w:rsidRPr="008E2393">
        <w:t xml:space="preserve">. </w:t>
      </w:r>
    </w:p>
    <w:p w14:paraId="29C9038F" w14:textId="0E4FE747" w:rsidR="00895C18" w:rsidRDefault="00895C18" w:rsidP="00895C18">
      <w:pPr>
        <w:pStyle w:val="BodyText"/>
      </w:pPr>
      <w:r w:rsidRPr="008E2393">
        <w:t>In 2016</w:t>
      </w:r>
      <w:r>
        <w:t>–</w:t>
      </w:r>
      <w:r w:rsidRPr="008E2393">
        <w:t>17</w:t>
      </w:r>
      <w:r>
        <w:t>, ASIC</w:t>
      </w:r>
      <w:r w:rsidR="0003187F">
        <w:t>’</w:t>
      </w:r>
      <w:r>
        <w:t xml:space="preserve">s forecast effort to regulate the insurance sector is expected to cost </w:t>
      </w:r>
      <w:r w:rsidRPr="008E2393">
        <w:t>$5.5 million</w:t>
      </w:r>
      <w:r w:rsidR="00FC3585">
        <w:t xml:space="preserve"> (see </w:t>
      </w:r>
      <w:r w:rsidR="00FC3585" w:rsidRPr="00F40539">
        <w:rPr>
          <w:b/>
        </w:rPr>
        <w:fldChar w:fldCharType="begin"/>
      </w:r>
      <w:r w:rsidR="00FC3585" w:rsidRPr="00F40539">
        <w:rPr>
          <w:b/>
        </w:rPr>
        <w:instrText xml:space="preserve"> REF _Ref463606344 \h </w:instrText>
      </w:r>
      <w:r w:rsidR="00F40539">
        <w:rPr>
          <w:b/>
        </w:rPr>
        <w:instrText xml:space="preserve"> \* MERGEFORMAT </w:instrText>
      </w:r>
      <w:r w:rsidR="00FC3585" w:rsidRPr="00F40539">
        <w:rPr>
          <w:b/>
        </w:rPr>
      </w:r>
      <w:r w:rsidR="00FC3585" w:rsidRPr="00F40539">
        <w:rPr>
          <w:b/>
        </w:rPr>
        <w:fldChar w:fldCharType="separate"/>
      </w:r>
      <w:r w:rsidR="00A37D1A" w:rsidRPr="00F40539">
        <w:rPr>
          <w:b/>
        </w:rPr>
        <w:t xml:space="preserve">Figure </w:t>
      </w:r>
      <w:r w:rsidR="00A37D1A" w:rsidRPr="00F40539">
        <w:rPr>
          <w:b/>
          <w:noProof/>
        </w:rPr>
        <w:t>15</w:t>
      </w:r>
      <w:r w:rsidR="00FC3585" w:rsidRPr="00F40539">
        <w:rPr>
          <w:b/>
        </w:rPr>
        <w:fldChar w:fldCharType="end"/>
      </w:r>
      <w:r w:rsidR="00FC3585">
        <w:t>)</w:t>
      </w:r>
      <w:r>
        <w:t>. This is 2% of ASIC</w:t>
      </w:r>
      <w:r w:rsidR="0003187F">
        <w:t>’</w:t>
      </w:r>
      <w:r>
        <w:t xml:space="preserve">s budget for regulatory activities and </w:t>
      </w:r>
      <w:r w:rsidR="004D3E39">
        <w:t xml:space="preserve">is proposed to </w:t>
      </w:r>
      <w:r>
        <w:t xml:space="preserve">be recovered </w:t>
      </w:r>
      <w:r w:rsidRPr="003B5688">
        <w:t xml:space="preserve">through levies on the </w:t>
      </w:r>
      <w:r>
        <w:t xml:space="preserve">insurance </w:t>
      </w:r>
      <w:r w:rsidRPr="003B5688">
        <w:t>sector.</w:t>
      </w:r>
      <w:r w:rsidRPr="008E2393">
        <w:t xml:space="preserve"> </w:t>
      </w:r>
    </w:p>
    <w:p w14:paraId="7B46C5C3" w14:textId="321DBA55" w:rsidR="00895C18" w:rsidRPr="001149DE" w:rsidRDefault="00FC5759" w:rsidP="00FC5759">
      <w:pPr>
        <w:pStyle w:val="BodyText"/>
        <w:rPr>
          <w:rFonts w:ascii="Calibri" w:hAnsi="Calibri"/>
          <w:b/>
          <w:bCs/>
          <w:color w:val="000000"/>
        </w:rPr>
      </w:pPr>
      <w:r w:rsidRPr="00FC5759">
        <w:t xml:space="preserve">ASIC will issue invoices to recover its </w:t>
      </w:r>
      <w:r w:rsidR="00714D0C">
        <w:t xml:space="preserve">2017–18 costs in January 2019. </w:t>
      </w:r>
      <w:r w:rsidRPr="00FC5759">
        <w:t>Based on forecast 2016–17 costs, levies on the insurance sector would comprise</w:t>
      </w:r>
      <w:r w:rsidR="00895C18">
        <w:t xml:space="preserve"> $4.1 million (75%) </w:t>
      </w:r>
      <w:r w:rsidR="004D3E39">
        <w:t xml:space="preserve">is proposed to </w:t>
      </w:r>
      <w:r w:rsidR="00895C18">
        <w:t>be recovered from insurance product providers, $1.1 million (20%) from insurance product distributors and $0.2 million (5%) from risk management product providers (see</w:t>
      </w:r>
      <w:r w:rsidR="00F40539">
        <w:t> </w:t>
      </w:r>
      <w:r w:rsidR="00FC3585" w:rsidRPr="00F40539">
        <w:rPr>
          <w:b/>
        </w:rPr>
        <w:t>Figure 16</w:t>
      </w:r>
      <w:r w:rsidR="00714D0C">
        <w:t>).</w:t>
      </w:r>
    </w:p>
    <w:p w14:paraId="651DBA6B" w14:textId="3A009F27" w:rsidR="00895C18" w:rsidRPr="008E2393" w:rsidRDefault="00753286" w:rsidP="001149DE">
      <w:pPr>
        <w:pStyle w:val="figuretitlefullwidth"/>
      </w:pPr>
      <w:bookmarkStart w:id="473" w:name="_Ref463606344"/>
      <w:r>
        <w:t xml:space="preserve">Figure </w:t>
      </w:r>
      <w:r w:rsidR="003D3E81">
        <w:fldChar w:fldCharType="begin"/>
      </w:r>
      <w:r w:rsidR="003D3E81">
        <w:instrText xml:space="preserve"> SEQ Figure \* ARABIC </w:instrText>
      </w:r>
      <w:r w:rsidR="003D3E81">
        <w:fldChar w:fldCharType="separate"/>
      </w:r>
      <w:r w:rsidR="00A37D1A">
        <w:rPr>
          <w:noProof/>
        </w:rPr>
        <w:t>15</w:t>
      </w:r>
      <w:r w:rsidR="003D3E81">
        <w:rPr>
          <w:noProof/>
        </w:rPr>
        <w:fldChar w:fldCharType="end"/>
      </w:r>
      <w:bookmarkEnd w:id="473"/>
      <w:r>
        <w:t>:</w:t>
      </w:r>
      <w:r>
        <w:tab/>
        <w:t>Costs to regulate the insurance sector</w:t>
      </w:r>
    </w:p>
    <w:p w14:paraId="64917200" w14:textId="5FC28B1F" w:rsidR="00895C18" w:rsidRPr="008E2393" w:rsidRDefault="008D5FA4" w:rsidP="00895C18">
      <w:pPr>
        <w:pStyle w:val="Bullet"/>
        <w:numPr>
          <w:ilvl w:val="0"/>
          <w:numId w:val="0"/>
        </w:numPr>
      </w:pPr>
      <w:r w:rsidRPr="008D5FA4">
        <w:rPr>
          <w:noProof/>
          <w:lang w:eastAsia="en-AU"/>
        </w:rPr>
        <w:drawing>
          <wp:inline distT="0" distB="0" distL="0" distR="0" wp14:anchorId="799392C6" wp14:editId="688DF392">
            <wp:extent cx="5759114" cy="2165684"/>
            <wp:effectExtent l="0" t="0" r="0" b="635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778" t="1635" b="10125"/>
                    <a:stretch/>
                  </pic:blipFill>
                  <pic:spPr bwMode="auto">
                    <a:xfrm>
                      <a:off x="0" y="0"/>
                      <a:ext cx="5760717" cy="2166287"/>
                    </a:xfrm>
                    <a:prstGeom prst="rect">
                      <a:avLst/>
                    </a:prstGeom>
                    <a:noFill/>
                    <a:ln>
                      <a:noFill/>
                    </a:ln>
                    <a:extLst>
                      <a:ext uri="{53640926-AAD7-44D8-BBD7-CCE9431645EC}">
                        <a14:shadowObscured xmlns:a14="http://schemas.microsoft.com/office/drawing/2010/main"/>
                      </a:ext>
                    </a:extLst>
                  </pic:spPr>
                </pic:pic>
              </a:graphicData>
            </a:graphic>
          </wp:inline>
        </w:drawing>
      </w:r>
    </w:p>
    <w:p w14:paraId="3ACF59A5" w14:textId="5C47E358" w:rsidR="00895C18" w:rsidRPr="008E2393" w:rsidRDefault="00895C18" w:rsidP="00895C18">
      <w:pPr>
        <w:pStyle w:val="BodyText"/>
      </w:pPr>
      <w:r w:rsidRPr="008E2393">
        <w:t xml:space="preserve">In this sector ASIC has focused on the mis-selling of inappropriate products, with a particular focus on products sold to vulnerable consumers. </w:t>
      </w:r>
      <w:r>
        <w:t>ASIC</w:t>
      </w:r>
      <w:r w:rsidR="0003187F">
        <w:t>’</w:t>
      </w:r>
      <w:r>
        <w:t>s work has included</w:t>
      </w:r>
      <w:r w:rsidRPr="008E2393">
        <w:t xml:space="preserve"> </w:t>
      </w:r>
      <w:r>
        <w:t xml:space="preserve">publishing </w:t>
      </w:r>
      <w:r w:rsidRPr="008E2393">
        <w:t xml:space="preserve">market snapshots of some insurance </w:t>
      </w:r>
      <w:r>
        <w:t>subsector</w:t>
      </w:r>
      <w:r w:rsidRPr="008E2393">
        <w:t>s, such as funeral insurance, and tak</w:t>
      </w:r>
      <w:r>
        <w:t>i</w:t>
      </w:r>
      <w:r w:rsidRPr="008E2393">
        <w:t>n</w:t>
      </w:r>
      <w:r>
        <w:t>g</w:t>
      </w:r>
      <w:r w:rsidRPr="008E2393">
        <w:t xml:space="preserve"> action in relation to misleading advertising and other poor practices.</w:t>
      </w:r>
      <w:r>
        <w:t xml:space="preserve"> ASIC</w:t>
      </w:r>
      <w:r w:rsidRPr="008E2393">
        <w:t xml:space="preserve"> ha</w:t>
      </w:r>
      <w:r>
        <w:t>s</w:t>
      </w:r>
      <w:r w:rsidRPr="008E2393">
        <w:t xml:space="preserve"> also published consumer guidance on common insurance products on </w:t>
      </w:r>
      <w:r>
        <w:t>ASIC’s MoneyS</w:t>
      </w:r>
      <w:r w:rsidRPr="008E2393">
        <w:t>mart website.</w:t>
      </w:r>
    </w:p>
    <w:p w14:paraId="5C07E7F4" w14:textId="71064F95" w:rsidR="00895C18" w:rsidRDefault="00895C18" w:rsidP="000B5B80">
      <w:pPr>
        <w:pStyle w:val="BodyText"/>
      </w:pPr>
      <w:r w:rsidRPr="008E2393">
        <w:t>In 2016</w:t>
      </w:r>
      <w:r>
        <w:t>–</w:t>
      </w:r>
      <w:r w:rsidRPr="008E2393">
        <w:t>17, ASIC will review the current practices in the life insurance industry, with a focus on claims handling and consumer outcomes</w:t>
      </w:r>
      <w:r>
        <w:t xml:space="preserve"> and</w:t>
      </w:r>
      <w:r w:rsidRPr="008E2393">
        <w:t xml:space="preserve"> will also continue to consider other issues that arise, such as the direct sale of life insurance products.</w:t>
      </w:r>
      <w:r w:rsidR="007739FE">
        <w:t xml:space="preserve"> ASIC will also focus on the mis-selling of funeral and life insurance products to vulnerable consumers (including Indigenous communities). </w:t>
      </w:r>
    </w:p>
    <w:p w14:paraId="062700D8" w14:textId="5C6C29BA" w:rsidR="003B0F12" w:rsidRDefault="003B0F12" w:rsidP="003B0F12">
      <w:pPr>
        <w:pStyle w:val="tabletitlefullwidth"/>
      </w:pPr>
      <w:bookmarkStart w:id="474" w:name="_Ref463606332"/>
      <w:bookmarkStart w:id="475" w:name="_Toc462677738"/>
      <w:bookmarkStart w:id="476" w:name="_Toc462697173"/>
      <w:r>
        <w:t xml:space="preserve">Table </w:t>
      </w:r>
      <w:r w:rsidR="003D3E81">
        <w:fldChar w:fldCharType="begin"/>
      </w:r>
      <w:r w:rsidR="003D3E81">
        <w:instrText xml:space="preserve"> SEQ Table \* ARABIC </w:instrText>
      </w:r>
      <w:r w:rsidR="003D3E81">
        <w:fldChar w:fldCharType="separate"/>
      </w:r>
      <w:r w:rsidR="00A37D1A">
        <w:rPr>
          <w:noProof/>
        </w:rPr>
        <w:t>33</w:t>
      </w:r>
      <w:r w:rsidR="003D3E81">
        <w:rPr>
          <w:noProof/>
        </w:rPr>
        <w:fldChar w:fldCharType="end"/>
      </w:r>
      <w:bookmarkEnd w:id="474"/>
      <w:r>
        <w:t>:</w:t>
      </w:r>
      <w:r>
        <w:tab/>
      </w:r>
      <w:r w:rsidRPr="008E2393">
        <w:t>Subsectors in the insurance sector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6237"/>
        <w:gridCol w:w="2835"/>
      </w:tblGrid>
      <w:tr w:rsidR="003B0F12" w:rsidRPr="000540E1" w14:paraId="7BD8AE83" w14:textId="77777777" w:rsidTr="0078113F">
        <w:trPr>
          <w:cantSplit/>
          <w:tblHeader/>
        </w:trPr>
        <w:tc>
          <w:tcPr>
            <w:tcW w:w="6237" w:type="dxa"/>
            <w:shd w:val="clear" w:color="auto" w:fill="C2E3FA"/>
          </w:tcPr>
          <w:p w14:paraId="21580270" w14:textId="4459CEEC" w:rsidR="003B0F12" w:rsidRPr="000540E1" w:rsidRDefault="003B0F12" w:rsidP="003B0F12">
            <w:pPr>
              <w:pStyle w:val="tablehead"/>
            </w:pPr>
            <w:r>
              <w:t>Subsectors</w:t>
            </w:r>
          </w:p>
        </w:tc>
        <w:tc>
          <w:tcPr>
            <w:tcW w:w="2835" w:type="dxa"/>
            <w:shd w:val="clear" w:color="auto" w:fill="C2E3FA"/>
          </w:tcPr>
          <w:p w14:paraId="48623D5B" w14:textId="40F9E639" w:rsidR="003B0F12" w:rsidRPr="000540E1" w:rsidRDefault="003B0F12" w:rsidP="003B0F12">
            <w:pPr>
              <w:pStyle w:val="tablehead"/>
            </w:pPr>
            <w:r>
              <w:t>Number of entities</w:t>
            </w:r>
          </w:p>
        </w:tc>
      </w:tr>
      <w:tr w:rsidR="003B0F12" w:rsidRPr="000540E1" w14:paraId="02E11049" w14:textId="77777777" w:rsidTr="0078113F">
        <w:trPr>
          <w:cantSplit/>
        </w:trPr>
        <w:tc>
          <w:tcPr>
            <w:tcW w:w="6237" w:type="dxa"/>
          </w:tcPr>
          <w:p w14:paraId="42ABCB5B" w14:textId="5E94AACE" w:rsidR="003B0F12" w:rsidRPr="000540E1" w:rsidRDefault="003B0F12" w:rsidP="003B0F12">
            <w:pPr>
              <w:pStyle w:val="tbltext"/>
            </w:pPr>
            <w:r>
              <w:t>Life insurance product issuers and friendly societies</w:t>
            </w:r>
          </w:p>
        </w:tc>
        <w:tc>
          <w:tcPr>
            <w:tcW w:w="2835" w:type="dxa"/>
          </w:tcPr>
          <w:p w14:paraId="53A52DF6" w14:textId="08698D90" w:rsidR="003B0F12" w:rsidRPr="000540E1" w:rsidRDefault="003B0F12" w:rsidP="003B0F12">
            <w:pPr>
              <w:pStyle w:val="tbltext"/>
            </w:pPr>
            <w:r>
              <w:t>27</w:t>
            </w:r>
          </w:p>
        </w:tc>
      </w:tr>
      <w:tr w:rsidR="003B0F12" w:rsidRPr="000540E1" w14:paraId="14375BD8" w14:textId="77777777" w:rsidTr="0078113F">
        <w:trPr>
          <w:cantSplit/>
        </w:trPr>
        <w:tc>
          <w:tcPr>
            <w:tcW w:w="6237" w:type="dxa"/>
          </w:tcPr>
          <w:p w14:paraId="0F3A72CD" w14:textId="54686FEE" w:rsidR="003B0F12" w:rsidRPr="000540E1" w:rsidRDefault="003B0F12" w:rsidP="003B0F12">
            <w:pPr>
              <w:pStyle w:val="tbltext"/>
            </w:pPr>
            <w:r>
              <w:t>General insurance product issuers</w:t>
            </w:r>
          </w:p>
        </w:tc>
        <w:tc>
          <w:tcPr>
            <w:tcW w:w="2835" w:type="dxa"/>
          </w:tcPr>
          <w:p w14:paraId="5052D161" w14:textId="55CF2D27" w:rsidR="003B0F12" w:rsidRPr="000540E1" w:rsidRDefault="003B0F12" w:rsidP="003B0F12">
            <w:pPr>
              <w:pStyle w:val="tbltext"/>
            </w:pPr>
            <w:r>
              <w:t>58</w:t>
            </w:r>
          </w:p>
        </w:tc>
      </w:tr>
      <w:tr w:rsidR="003B0F12" w:rsidRPr="000540E1" w14:paraId="681A9BD3" w14:textId="77777777" w:rsidTr="0078113F">
        <w:trPr>
          <w:cantSplit/>
        </w:trPr>
        <w:tc>
          <w:tcPr>
            <w:tcW w:w="6237" w:type="dxa"/>
          </w:tcPr>
          <w:p w14:paraId="2ACB2CA3" w14:textId="459AD427" w:rsidR="003B0F12" w:rsidRPr="000540E1" w:rsidRDefault="003B0F12" w:rsidP="003B0F12">
            <w:pPr>
              <w:pStyle w:val="tbltext"/>
            </w:pPr>
            <w:r>
              <w:t>Insurance product distributors</w:t>
            </w:r>
          </w:p>
        </w:tc>
        <w:tc>
          <w:tcPr>
            <w:tcW w:w="2835" w:type="dxa"/>
          </w:tcPr>
          <w:p w14:paraId="4F7C2169" w14:textId="08041D7B" w:rsidR="003B0F12" w:rsidRPr="000540E1" w:rsidRDefault="003B0F12" w:rsidP="003B0F12">
            <w:pPr>
              <w:pStyle w:val="tbltext"/>
            </w:pPr>
            <w:r>
              <w:t>464</w:t>
            </w:r>
          </w:p>
        </w:tc>
      </w:tr>
      <w:tr w:rsidR="003B0F12" w:rsidRPr="000540E1" w14:paraId="0660D939" w14:textId="77777777" w:rsidTr="0078113F">
        <w:trPr>
          <w:cantSplit/>
        </w:trPr>
        <w:tc>
          <w:tcPr>
            <w:tcW w:w="6237" w:type="dxa"/>
          </w:tcPr>
          <w:p w14:paraId="30596F97" w14:textId="178EA150" w:rsidR="003B0F12" w:rsidRDefault="003B0F12" w:rsidP="003B0F12">
            <w:pPr>
              <w:pStyle w:val="tbltext"/>
            </w:pPr>
            <w:r>
              <w:t>Risk management product providers</w:t>
            </w:r>
          </w:p>
        </w:tc>
        <w:tc>
          <w:tcPr>
            <w:tcW w:w="2835" w:type="dxa"/>
          </w:tcPr>
          <w:p w14:paraId="721ABA10" w14:textId="20EBAD8F" w:rsidR="003B0F12" w:rsidRPr="000540E1" w:rsidRDefault="003B0F12" w:rsidP="003B0F12">
            <w:pPr>
              <w:pStyle w:val="tbltext"/>
            </w:pPr>
            <w:r>
              <w:t>55</w:t>
            </w:r>
          </w:p>
        </w:tc>
      </w:tr>
      <w:bookmarkEnd w:id="475"/>
      <w:bookmarkEnd w:id="476"/>
    </w:tbl>
    <w:p w14:paraId="0AAFD0FD" w14:textId="77777777" w:rsidR="0078113F" w:rsidRDefault="0078113F" w:rsidP="0078113F">
      <w:pPr>
        <w:pStyle w:val="SingleParagraph"/>
      </w:pPr>
    </w:p>
    <w:p w14:paraId="2CFBE4AE" w14:textId="71283727" w:rsidR="00753286" w:rsidRDefault="00753286" w:rsidP="001149DE">
      <w:pPr>
        <w:pStyle w:val="figuretitlefullwidth"/>
        <w:ind w:left="0" w:firstLine="0"/>
      </w:pPr>
      <w:r>
        <w:t xml:space="preserve">Figure </w:t>
      </w:r>
      <w:r w:rsidR="003D3E81">
        <w:fldChar w:fldCharType="begin"/>
      </w:r>
      <w:r w:rsidR="003D3E81">
        <w:instrText xml:space="preserve"> SEQ Figure \* ARABIC </w:instrText>
      </w:r>
      <w:r w:rsidR="003D3E81">
        <w:fldChar w:fldCharType="separate"/>
      </w:r>
      <w:r w:rsidR="00A37D1A">
        <w:rPr>
          <w:noProof/>
        </w:rPr>
        <w:t>16</w:t>
      </w:r>
      <w:r w:rsidR="003D3E81">
        <w:rPr>
          <w:noProof/>
        </w:rPr>
        <w:fldChar w:fldCharType="end"/>
      </w:r>
      <w:r>
        <w:t>:</w:t>
      </w:r>
      <w:r>
        <w:tab/>
      </w:r>
      <w:r w:rsidRPr="00F23AB0">
        <w:t>Regulatory costs for the insurance sector in 2016</w:t>
      </w:r>
      <w:r>
        <w:t>–</w:t>
      </w:r>
      <w:r w:rsidRPr="00F23AB0">
        <w:t>17</w:t>
      </w:r>
    </w:p>
    <w:p w14:paraId="5680A879" w14:textId="2EB96205" w:rsidR="00753286" w:rsidRDefault="00753286" w:rsidP="00FC5759">
      <w:pPr>
        <w:pStyle w:val="figuretext"/>
        <w:jc w:val="center"/>
        <w:rPr>
          <w:lang w:val="en-ZW"/>
        </w:rPr>
      </w:pPr>
      <w:r>
        <w:rPr>
          <w:noProof/>
        </w:rPr>
        <w:drawing>
          <wp:inline distT="0" distB="0" distL="0" distR="0" wp14:anchorId="18F2292B" wp14:editId="4C5982D0">
            <wp:extent cx="4320000" cy="1976438"/>
            <wp:effectExtent l="0" t="0" r="4445" b="5080"/>
            <wp:docPr id="179" name="Chart 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22BC8EF" w14:textId="1A27F74D" w:rsidR="00895C18" w:rsidRPr="008E2393" w:rsidRDefault="00F65426" w:rsidP="00895C18">
      <w:pPr>
        <w:pStyle w:val="Heading2"/>
      </w:pPr>
      <w:bookmarkStart w:id="477" w:name="_Toc462677739"/>
      <w:bookmarkStart w:id="478" w:name="_Toc462697174"/>
      <w:bookmarkStart w:id="479" w:name="_Toc462698987"/>
      <w:bookmarkStart w:id="480" w:name="_Toc462700223"/>
      <w:bookmarkStart w:id="481" w:name="_Toc462700904"/>
      <w:bookmarkStart w:id="482" w:name="_Toc463544617"/>
      <w:bookmarkStart w:id="483" w:name="_Toc463595219"/>
      <w:bookmarkStart w:id="484" w:name="_Toc464140330"/>
      <w:bookmarkStart w:id="485" w:name="_Toc466020982"/>
      <w:r>
        <w:t>Proposed l</w:t>
      </w:r>
      <w:r w:rsidR="00895C18" w:rsidRPr="008E2393">
        <w:t>evy methodologies</w:t>
      </w:r>
      <w:bookmarkEnd w:id="477"/>
      <w:bookmarkEnd w:id="478"/>
      <w:bookmarkEnd w:id="479"/>
      <w:bookmarkEnd w:id="480"/>
      <w:bookmarkEnd w:id="481"/>
      <w:bookmarkEnd w:id="482"/>
      <w:bookmarkEnd w:id="483"/>
      <w:bookmarkEnd w:id="484"/>
      <w:bookmarkEnd w:id="485"/>
    </w:p>
    <w:p w14:paraId="14C86A7E" w14:textId="77777777" w:rsidR="00895C18" w:rsidRPr="008E2393" w:rsidRDefault="00895C18" w:rsidP="00895C18">
      <w:pPr>
        <w:pStyle w:val="Heading3"/>
      </w:pPr>
      <w:bookmarkStart w:id="486" w:name="_Toc462677740"/>
      <w:bookmarkStart w:id="487" w:name="_Toc462697175"/>
      <w:bookmarkStart w:id="488" w:name="_Toc462698988"/>
      <w:bookmarkStart w:id="489" w:name="_Toc462700224"/>
      <w:bookmarkStart w:id="490" w:name="_Toc462700905"/>
      <w:r w:rsidRPr="008E2393">
        <w:t>Insurance product issuers</w:t>
      </w:r>
      <w:bookmarkEnd w:id="486"/>
      <w:bookmarkEnd w:id="487"/>
      <w:bookmarkEnd w:id="488"/>
      <w:bookmarkEnd w:id="489"/>
      <w:bookmarkEnd w:id="490"/>
      <w:r w:rsidRPr="008E2393">
        <w:t xml:space="preserve"> </w:t>
      </w:r>
    </w:p>
    <w:p w14:paraId="67AA2C60" w14:textId="77777777" w:rsidR="00895C18" w:rsidRPr="008E2393" w:rsidRDefault="00895C18" w:rsidP="00895C18">
      <w:pPr>
        <w:pStyle w:val="BodyText"/>
      </w:pPr>
      <w:r w:rsidRPr="008E2393">
        <w:t xml:space="preserve">The effort required by ASIC to regulate insurance product issuers varies depending on whether the entity is a life </w:t>
      </w:r>
      <w:r>
        <w:t>insurer (or friendly society)</w:t>
      </w:r>
      <w:r w:rsidRPr="008E2393">
        <w:t xml:space="preserve"> or general insurance product issuer and the scale of operation. For example, a large general insurer, with a significant customer base presents a significantly larger risk </w:t>
      </w:r>
      <w:r>
        <w:t xml:space="preserve">to </w:t>
      </w:r>
      <w:r w:rsidRPr="008E2393">
        <w:t>the broader financial system than a small general insurer with a limited number of products and customers.</w:t>
      </w:r>
    </w:p>
    <w:p w14:paraId="06755F75" w14:textId="0A46F54E" w:rsidR="00895C18" w:rsidRPr="008E2393" w:rsidRDefault="00895C18" w:rsidP="00895C18">
      <w:pPr>
        <w:pStyle w:val="BodyText"/>
      </w:pPr>
      <w:r w:rsidRPr="008E2393">
        <w:t>To ensure the levies on insurance product issuers reflect ASIC’s costs,</w:t>
      </w:r>
      <w:r w:rsidR="009270D4">
        <w:t xml:space="preserve"> ASIC</w:t>
      </w:r>
      <w:r w:rsidRPr="008E2393">
        <w:t xml:space="preserve"> is proposing to introduce:</w:t>
      </w:r>
    </w:p>
    <w:p w14:paraId="5FDBB34A" w14:textId="77777777" w:rsidR="00895C18" w:rsidRPr="008E2393" w:rsidRDefault="00895C18" w:rsidP="000B5B80">
      <w:pPr>
        <w:pStyle w:val="subparaa"/>
        <w:ind w:left="1559"/>
      </w:pPr>
      <w:r>
        <w:t xml:space="preserve">a </w:t>
      </w:r>
      <w:r w:rsidRPr="008E2393">
        <w:t xml:space="preserve">graduated levy for general insurance product issuers based the amount of net </w:t>
      </w:r>
      <w:r>
        <w:t>premium revenue</w:t>
      </w:r>
      <w:r w:rsidRPr="008E2393">
        <w:t xml:space="preserve"> written in the previous financial year</w:t>
      </w:r>
    </w:p>
    <w:p w14:paraId="0A7A0909" w14:textId="77777777" w:rsidR="00895C18" w:rsidRPr="008E2393" w:rsidRDefault="00895C18" w:rsidP="000B5B80">
      <w:pPr>
        <w:pStyle w:val="subparaa"/>
        <w:ind w:left="1559"/>
      </w:pPr>
      <w:r>
        <w:t>a</w:t>
      </w:r>
      <w:r w:rsidRPr="008E2393">
        <w:t xml:space="preserve"> graduated levy for life insurance product issuers based on the amount of net </w:t>
      </w:r>
      <w:r>
        <w:t>policy revenue</w:t>
      </w:r>
      <w:r w:rsidRPr="008E2393">
        <w:t xml:space="preserve"> for the previous financial year.</w:t>
      </w:r>
    </w:p>
    <w:p w14:paraId="06B94802" w14:textId="5F3D6AE1" w:rsidR="00895C18" w:rsidRPr="008E2393" w:rsidRDefault="009270D4" w:rsidP="00895C18">
      <w:pPr>
        <w:pStyle w:val="BodyText"/>
      </w:pPr>
      <w:r>
        <w:t>ASIC proposes that a</w:t>
      </w:r>
      <w:r w:rsidR="00895C18" w:rsidRPr="008E2393">
        <w:t xml:space="preserve"> minimum levy of $20,000 will apply for both life and general insurance product issuers reflecting ASIC’s minimum cost of regulating insurance product issuers.</w:t>
      </w:r>
    </w:p>
    <w:p w14:paraId="0644294C" w14:textId="61EFD713" w:rsidR="003B0F12" w:rsidRDefault="00895C18" w:rsidP="001149DE">
      <w:pPr>
        <w:pStyle w:val="BodyText"/>
      </w:pPr>
      <w:r w:rsidRPr="008E2393">
        <w:t>These levies will impose minimal additional reporting requirement as insurers already provide APRA with the information on which the levies will be based.</w:t>
      </w:r>
    </w:p>
    <w:p w14:paraId="65CA9425" w14:textId="3C89B6FD" w:rsidR="003B0F12" w:rsidRDefault="003B0F12" w:rsidP="003B0F1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34</w:t>
      </w:r>
      <w:r w:rsidR="003D3E81">
        <w:rPr>
          <w:noProof/>
        </w:rPr>
        <w:fldChar w:fldCharType="end"/>
      </w:r>
      <w:r>
        <w:t>:</w:t>
      </w:r>
      <w:r>
        <w:tab/>
      </w:r>
      <w:r w:rsidRPr="008E2393">
        <w:t xml:space="preserve">Proposed levy arrangements </w:t>
      </w:r>
      <w:r w:rsidR="00D11144">
        <w:t>–</w:t>
      </w:r>
      <w:r w:rsidRPr="008E2393">
        <w:t xml:space="preserve"> Insurance product issuers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984"/>
        <w:gridCol w:w="1304"/>
        <w:gridCol w:w="2154"/>
        <w:gridCol w:w="2098"/>
        <w:gridCol w:w="1587"/>
      </w:tblGrid>
      <w:tr w:rsidR="003B0F12" w:rsidRPr="000540E1" w14:paraId="50EBAC93" w14:textId="77777777" w:rsidTr="0078113F">
        <w:trPr>
          <w:cantSplit/>
          <w:tblHeader/>
        </w:trPr>
        <w:tc>
          <w:tcPr>
            <w:tcW w:w="1984" w:type="dxa"/>
            <w:shd w:val="clear" w:color="auto" w:fill="C2E3FA"/>
          </w:tcPr>
          <w:p w14:paraId="27A22BC1" w14:textId="34FFCD1E" w:rsidR="003B0F12" w:rsidRPr="000540E1" w:rsidRDefault="003B0F12" w:rsidP="003B0F12">
            <w:pPr>
              <w:pStyle w:val="tablehead"/>
            </w:pPr>
            <w:r>
              <w:t>Subsectors</w:t>
            </w:r>
          </w:p>
        </w:tc>
        <w:tc>
          <w:tcPr>
            <w:tcW w:w="1304" w:type="dxa"/>
            <w:shd w:val="clear" w:color="auto" w:fill="C2E3FA"/>
          </w:tcPr>
          <w:p w14:paraId="13755C90" w14:textId="546CC9A5" w:rsidR="003B0F12" w:rsidRPr="000540E1" w:rsidRDefault="003B0F12" w:rsidP="003B0F12">
            <w:pPr>
              <w:pStyle w:val="tablehead"/>
            </w:pPr>
            <w:r>
              <w:t>Number of entities</w:t>
            </w:r>
          </w:p>
        </w:tc>
        <w:tc>
          <w:tcPr>
            <w:tcW w:w="2154" w:type="dxa"/>
            <w:shd w:val="clear" w:color="auto" w:fill="C2E3FA"/>
          </w:tcPr>
          <w:p w14:paraId="186CC4CD" w14:textId="523A26C2" w:rsidR="003B0F12" w:rsidRPr="000540E1" w:rsidRDefault="009270D4" w:rsidP="003B0F12">
            <w:pPr>
              <w:pStyle w:val="tablehead"/>
            </w:pPr>
            <w:r>
              <w:t xml:space="preserve">Proposed minimum </w:t>
            </w:r>
            <w:r w:rsidR="003B0F12">
              <w:t>levy</w:t>
            </w:r>
          </w:p>
        </w:tc>
        <w:tc>
          <w:tcPr>
            <w:tcW w:w="2098" w:type="dxa"/>
            <w:shd w:val="clear" w:color="auto" w:fill="C2E3FA"/>
          </w:tcPr>
          <w:p w14:paraId="1FC6A0B3" w14:textId="1BEDC555" w:rsidR="003B0F12" w:rsidRPr="000540E1" w:rsidRDefault="009270D4" w:rsidP="003B0F12">
            <w:pPr>
              <w:pStyle w:val="tablehead"/>
            </w:pPr>
            <w:r>
              <w:t>Proposed v</w:t>
            </w:r>
            <w:r w:rsidR="003B0F12">
              <w:t>ariable levy</w:t>
            </w:r>
          </w:p>
        </w:tc>
        <w:tc>
          <w:tcPr>
            <w:tcW w:w="1587" w:type="dxa"/>
            <w:shd w:val="clear" w:color="auto" w:fill="C2E3FA"/>
          </w:tcPr>
          <w:p w14:paraId="220FBDA8" w14:textId="440552A4" w:rsidR="003B0F12" w:rsidRPr="000540E1" w:rsidRDefault="003B0F12" w:rsidP="003B0F12">
            <w:pPr>
              <w:pStyle w:val="tablehead"/>
            </w:pPr>
            <w:r>
              <w:t>Amount to be recovered</w:t>
            </w:r>
          </w:p>
        </w:tc>
      </w:tr>
      <w:tr w:rsidR="00B04105" w:rsidRPr="000540E1" w14:paraId="6E991851" w14:textId="77777777" w:rsidTr="0078113F">
        <w:trPr>
          <w:cantSplit/>
        </w:trPr>
        <w:tc>
          <w:tcPr>
            <w:tcW w:w="1984" w:type="dxa"/>
          </w:tcPr>
          <w:p w14:paraId="7C48555F" w14:textId="54B446B4" w:rsidR="00B04105" w:rsidRPr="000540E1" w:rsidRDefault="00B04105" w:rsidP="003B0F12">
            <w:pPr>
              <w:pStyle w:val="tbltext"/>
            </w:pPr>
            <w:r>
              <w:t>Life insurance product issuers and friendly societies</w:t>
            </w:r>
          </w:p>
        </w:tc>
        <w:tc>
          <w:tcPr>
            <w:tcW w:w="1304" w:type="dxa"/>
          </w:tcPr>
          <w:p w14:paraId="7E0012C5" w14:textId="35EA1CAA" w:rsidR="00B04105" w:rsidRPr="000540E1" w:rsidRDefault="00B04105" w:rsidP="003B0F12">
            <w:pPr>
              <w:pStyle w:val="tbltext"/>
            </w:pPr>
            <w:r>
              <w:t>27</w:t>
            </w:r>
          </w:p>
        </w:tc>
        <w:tc>
          <w:tcPr>
            <w:tcW w:w="2154" w:type="dxa"/>
            <w:vAlign w:val="center"/>
          </w:tcPr>
          <w:p w14:paraId="63DD1A1B" w14:textId="5B13D979" w:rsidR="00B04105" w:rsidRPr="000540E1" w:rsidRDefault="00B04105" w:rsidP="003B0F12">
            <w:pPr>
              <w:pStyle w:val="tbltext"/>
            </w:pPr>
            <w:r w:rsidRPr="008E2393">
              <w:t xml:space="preserve">$20,000 for entities with net </w:t>
            </w:r>
            <w:r>
              <w:t>policy</w:t>
            </w:r>
            <w:r w:rsidRPr="008E2393">
              <w:t xml:space="preserve"> revenue less than $5 million</w:t>
            </w:r>
          </w:p>
        </w:tc>
        <w:tc>
          <w:tcPr>
            <w:tcW w:w="2098" w:type="dxa"/>
            <w:vAlign w:val="center"/>
          </w:tcPr>
          <w:p w14:paraId="343F7878" w14:textId="0C6B2C56" w:rsidR="00B04105" w:rsidRPr="000540E1" w:rsidRDefault="00B04105" w:rsidP="0078113F">
            <w:pPr>
              <w:pStyle w:val="tbltext"/>
            </w:pPr>
            <w:r w:rsidRPr="008E2393">
              <w:t xml:space="preserve">$20,000 plus $0.59 for each $10,000 of net </w:t>
            </w:r>
            <w:r>
              <w:t>policy revenue</w:t>
            </w:r>
            <w:r w:rsidRPr="008E2393">
              <w:t xml:space="preserve"> above $5</w:t>
            </w:r>
            <w:r w:rsidR="0078113F">
              <w:t> </w:t>
            </w:r>
            <w:r w:rsidRPr="008E2393">
              <w:t>million</w:t>
            </w:r>
          </w:p>
        </w:tc>
        <w:tc>
          <w:tcPr>
            <w:tcW w:w="1587" w:type="dxa"/>
            <w:vMerge w:val="restart"/>
            <w:vAlign w:val="center"/>
          </w:tcPr>
          <w:p w14:paraId="01FD5456" w14:textId="269CB05E" w:rsidR="00B04105" w:rsidRPr="000540E1" w:rsidRDefault="00B04105" w:rsidP="0078113F">
            <w:pPr>
              <w:pStyle w:val="tbltext"/>
              <w:jc w:val="center"/>
            </w:pPr>
            <w:r w:rsidRPr="00B04105">
              <w:t>$4.1 million</w:t>
            </w:r>
          </w:p>
        </w:tc>
      </w:tr>
      <w:tr w:rsidR="00B04105" w:rsidRPr="000540E1" w14:paraId="39E820BA" w14:textId="77777777" w:rsidTr="0078113F">
        <w:trPr>
          <w:cantSplit/>
        </w:trPr>
        <w:tc>
          <w:tcPr>
            <w:tcW w:w="1984" w:type="dxa"/>
          </w:tcPr>
          <w:p w14:paraId="0246DAA9" w14:textId="230946B4" w:rsidR="00B04105" w:rsidRPr="000540E1" w:rsidRDefault="00B04105" w:rsidP="003B0F12">
            <w:pPr>
              <w:pStyle w:val="tbltext"/>
            </w:pPr>
            <w:r>
              <w:t>General insurance product issuers</w:t>
            </w:r>
          </w:p>
        </w:tc>
        <w:tc>
          <w:tcPr>
            <w:tcW w:w="1304" w:type="dxa"/>
          </w:tcPr>
          <w:p w14:paraId="733F39C4" w14:textId="715A8537" w:rsidR="00B04105" w:rsidRPr="000540E1" w:rsidRDefault="00B04105" w:rsidP="003B0F12">
            <w:pPr>
              <w:pStyle w:val="tbltext"/>
            </w:pPr>
            <w:r>
              <w:t>58</w:t>
            </w:r>
          </w:p>
        </w:tc>
        <w:tc>
          <w:tcPr>
            <w:tcW w:w="2154" w:type="dxa"/>
            <w:vAlign w:val="center"/>
          </w:tcPr>
          <w:p w14:paraId="5B981322" w14:textId="23C30261" w:rsidR="00B04105" w:rsidRPr="000540E1" w:rsidRDefault="00B04105" w:rsidP="003B0F12">
            <w:pPr>
              <w:pStyle w:val="tbltext"/>
            </w:pPr>
            <w:r w:rsidRPr="008E2393">
              <w:t xml:space="preserve">$20,000 for entities with net </w:t>
            </w:r>
            <w:r>
              <w:t>premium revenue</w:t>
            </w:r>
            <w:r w:rsidRPr="008E2393">
              <w:t xml:space="preserve"> less than $5 million</w:t>
            </w:r>
          </w:p>
        </w:tc>
        <w:tc>
          <w:tcPr>
            <w:tcW w:w="2098" w:type="dxa"/>
            <w:vAlign w:val="center"/>
          </w:tcPr>
          <w:p w14:paraId="7422E494" w14:textId="5243133A" w:rsidR="00B04105" w:rsidRPr="000540E1" w:rsidRDefault="00B04105" w:rsidP="003B0F12">
            <w:pPr>
              <w:pStyle w:val="tbltext"/>
            </w:pPr>
            <w:r w:rsidRPr="008E2393">
              <w:t xml:space="preserve">$20,000 plus $0.59 for each $10,000 of net earned premium </w:t>
            </w:r>
            <w:r w:rsidR="00FC5759">
              <w:t xml:space="preserve">revenue </w:t>
            </w:r>
            <w:r w:rsidRPr="008E2393">
              <w:t>above $5 million</w:t>
            </w:r>
          </w:p>
        </w:tc>
        <w:tc>
          <w:tcPr>
            <w:tcW w:w="1587" w:type="dxa"/>
            <w:vMerge/>
          </w:tcPr>
          <w:p w14:paraId="79A7EAD0" w14:textId="77777777" w:rsidR="00B04105" w:rsidRPr="000540E1" w:rsidRDefault="00B04105" w:rsidP="003B0F12">
            <w:pPr>
              <w:pStyle w:val="tbltext"/>
            </w:pPr>
          </w:p>
        </w:tc>
      </w:tr>
    </w:tbl>
    <w:p w14:paraId="1A013E66" w14:textId="348B167E" w:rsidR="00895C18" w:rsidRPr="008E2393" w:rsidRDefault="00895C18" w:rsidP="00895C18">
      <w:pPr>
        <w:pStyle w:val="BodyText"/>
      </w:pPr>
      <w:r w:rsidRPr="008E2393">
        <w:t xml:space="preserve">The August 2015 </w:t>
      </w:r>
      <w:r>
        <w:t>c</w:t>
      </w:r>
      <w:r w:rsidRPr="008E2393">
        <w:t xml:space="preserve">onsultation paper proposed a flat levy of $31,000 for </w:t>
      </w:r>
      <w:r w:rsidR="00714D0C">
        <w:t>insurance product issuers.</w:t>
      </w:r>
      <w:r w:rsidRPr="008E2393">
        <w:t xml:space="preserve"> Some stakeholders were comfortable with</w:t>
      </w:r>
      <w:r>
        <w:t xml:space="preserve"> a</w:t>
      </w:r>
      <w:r w:rsidRPr="008E2393">
        <w:t xml:space="preserve"> flat levy model due to the simplicity </w:t>
      </w:r>
      <w:r>
        <w:t>of that approach</w:t>
      </w:r>
      <w:r w:rsidR="00714D0C">
        <w:t xml:space="preserve">. </w:t>
      </w:r>
      <w:r w:rsidRPr="008E2393">
        <w:t xml:space="preserve">However, a few submissions suggested that a proxy </w:t>
      </w:r>
      <w:r>
        <w:t xml:space="preserve">for scale </w:t>
      </w:r>
      <w:r w:rsidRPr="008E2393">
        <w:t xml:space="preserve">such as written premiums could be used. </w:t>
      </w:r>
    </w:p>
    <w:p w14:paraId="3CC37E09" w14:textId="77777777" w:rsidR="00895C18" w:rsidRPr="008E2393" w:rsidRDefault="00895C18" w:rsidP="00895C18">
      <w:pPr>
        <w:pStyle w:val="Heading3"/>
      </w:pPr>
      <w:bookmarkStart w:id="491" w:name="_Toc462677741"/>
      <w:bookmarkStart w:id="492" w:name="_Toc462697176"/>
      <w:bookmarkStart w:id="493" w:name="_Toc462698989"/>
      <w:bookmarkStart w:id="494" w:name="_Toc462700225"/>
      <w:bookmarkStart w:id="495" w:name="_Toc462700906"/>
      <w:r w:rsidRPr="008E2393">
        <w:t>Remaining sectors</w:t>
      </w:r>
      <w:bookmarkEnd w:id="491"/>
      <w:bookmarkEnd w:id="492"/>
      <w:bookmarkEnd w:id="493"/>
      <w:bookmarkEnd w:id="494"/>
      <w:bookmarkEnd w:id="495"/>
    </w:p>
    <w:p w14:paraId="32C6F4D7" w14:textId="5D53B25C" w:rsidR="00895C18" w:rsidRPr="008E2393" w:rsidRDefault="00895C18" w:rsidP="00895C18">
      <w:pPr>
        <w:pStyle w:val="BodyText"/>
      </w:pPr>
      <w:r w:rsidRPr="008E2393">
        <w:t>Flat annual levies are proposed for insurance product distributors and risk management product providers as ASIC’s level of supervision is relatively similar for entities with each authorisation. This is consistent with the approach proposed in the August 2015 consultation paper.</w:t>
      </w:r>
    </w:p>
    <w:p w14:paraId="3E57F37C" w14:textId="0A3DC967" w:rsidR="00264231" w:rsidRDefault="00264231" w:rsidP="000E43A2">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35</w:t>
      </w:r>
      <w:r w:rsidR="003D3E81">
        <w:rPr>
          <w:noProof/>
        </w:rPr>
        <w:fldChar w:fldCharType="end"/>
      </w:r>
      <w:r>
        <w:t>:</w:t>
      </w:r>
      <w:r>
        <w:tab/>
      </w:r>
      <w:r w:rsidRPr="008E2393">
        <w:t>Pro</w:t>
      </w:r>
      <w:r>
        <w:t xml:space="preserve">posed flat levy arrangements — </w:t>
      </w:r>
      <w:r w:rsidR="007839C8">
        <w:t>remaining</w:t>
      </w:r>
      <w:r w:rsidRPr="008E2393">
        <w:t xml:space="preserve"> sectors</w:t>
      </w:r>
    </w:p>
    <w:tbl>
      <w:tblPr>
        <w:tblW w:w="9127"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21"/>
        <w:gridCol w:w="1871"/>
        <w:gridCol w:w="2211"/>
        <w:gridCol w:w="2324"/>
      </w:tblGrid>
      <w:tr w:rsidR="0078113F" w:rsidRPr="000540E1" w14:paraId="088E6B8E" w14:textId="77777777" w:rsidTr="0078113F">
        <w:trPr>
          <w:cantSplit/>
          <w:tblHeader/>
        </w:trPr>
        <w:tc>
          <w:tcPr>
            <w:tcW w:w="2721" w:type="dxa"/>
            <w:shd w:val="clear" w:color="auto" w:fill="C2E3FA"/>
          </w:tcPr>
          <w:p w14:paraId="4F24BD4E" w14:textId="278B26D7" w:rsidR="00264231" w:rsidRPr="000540E1" w:rsidRDefault="00264231" w:rsidP="00264231">
            <w:pPr>
              <w:pStyle w:val="tablehead"/>
            </w:pPr>
            <w:r>
              <w:t>Subsector</w:t>
            </w:r>
          </w:p>
        </w:tc>
        <w:tc>
          <w:tcPr>
            <w:tcW w:w="1871" w:type="dxa"/>
            <w:shd w:val="clear" w:color="auto" w:fill="C2E3FA"/>
          </w:tcPr>
          <w:p w14:paraId="4F7F2A55" w14:textId="7B88E33A" w:rsidR="00264231" w:rsidRPr="000540E1" w:rsidRDefault="00264231" w:rsidP="000E43A2">
            <w:pPr>
              <w:pStyle w:val="tablehead"/>
            </w:pPr>
            <w:r>
              <w:t>Number of entities</w:t>
            </w:r>
          </w:p>
        </w:tc>
        <w:tc>
          <w:tcPr>
            <w:tcW w:w="2211" w:type="dxa"/>
            <w:shd w:val="clear" w:color="auto" w:fill="C2E3FA"/>
          </w:tcPr>
          <w:p w14:paraId="5C87E647" w14:textId="5CF634FD" w:rsidR="00264231" w:rsidRPr="000540E1" w:rsidRDefault="009270D4" w:rsidP="000E43A2">
            <w:pPr>
              <w:pStyle w:val="tablehead"/>
            </w:pPr>
            <w:r>
              <w:t>Proposed a</w:t>
            </w:r>
            <w:r w:rsidR="00264231">
              <w:t>nnual levy</w:t>
            </w:r>
            <w:r>
              <w:t>*</w:t>
            </w:r>
          </w:p>
        </w:tc>
        <w:tc>
          <w:tcPr>
            <w:tcW w:w="2324" w:type="dxa"/>
            <w:shd w:val="clear" w:color="auto" w:fill="C2E3FA"/>
          </w:tcPr>
          <w:p w14:paraId="649A251B" w14:textId="271DDAA7" w:rsidR="00264231" w:rsidRPr="000540E1" w:rsidRDefault="00264231" w:rsidP="000E43A2">
            <w:pPr>
              <w:pStyle w:val="tablehead"/>
            </w:pPr>
            <w:r>
              <w:t>Amount to be recovered</w:t>
            </w:r>
          </w:p>
        </w:tc>
      </w:tr>
      <w:tr w:rsidR="0078113F" w:rsidRPr="000540E1" w14:paraId="430AFF95" w14:textId="77777777" w:rsidTr="0078113F">
        <w:trPr>
          <w:cantSplit/>
        </w:trPr>
        <w:tc>
          <w:tcPr>
            <w:tcW w:w="2721" w:type="dxa"/>
            <w:vAlign w:val="center"/>
          </w:tcPr>
          <w:p w14:paraId="5AC0EBE5" w14:textId="7F915DD6" w:rsidR="00264231" w:rsidRPr="000540E1" w:rsidRDefault="00264231" w:rsidP="00264231">
            <w:pPr>
              <w:pStyle w:val="tbltext"/>
            </w:pPr>
            <w:r w:rsidRPr="008E2393">
              <w:t>Insurance product distributor</w:t>
            </w:r>
          </w:p>
        </w:tc>
        <w:tc>
          <w:tcPr>
            <w:tcW w:w="1871" w:type="dxa"/>
            <w:vAlign w:val="center"/>
          </w:tcPr>
          <w:p w14:paraId="36268AB5" w14:textId="06C9C9F1" w:rsidR="00264231" w:rsidRPr="000540E1" w:rsidRDefault="00264231" w:rsidP="00264231">
            <w:pPr>
              <w:pStyle w:val="tbltext"/>
            </w:pPr>
            <w:r w:rsidRPr="008E2393">
              <w:t>464</w:t>
            </w:r>
          </w:p>
        </w:tc>
        <w:tc>
          <w:tcPr>
            <w:tcW w:w="2211" w:type="dxa"/>
            <w:vAlign w:val="center"/>
          </w:tcPr>
          <w:p w14:paraId="7FA40569" w14:textId="0654C4F2" w:rsidR="00264231" w:rsidRPr="000540E1" w:rsidRDefault="00264231" w:rsidP="00F64427">
            <w:pPr>
              <w:pStyle w:val="tbltext"/>
            </w:pPr>
            <w:r w:rsidRPr="008E2393">
              <w:t>$2,400</w:t>
            </w:r>
          </w:p>
        </w:tc>
        <w:tc>
          <w:tcPr>
            <w:tcW w:w="2324" w:type="dxa"/>
            <w:vAlign w:val="center"/>
          </w:tcPr>
          <w:p w14:paraId="52708E2C" w14:textId="7D1439B3" w:rsidR="00264231" w:rsidRPr="000540E1" w:rsidRDefault="00264231" w:rsidP="00F64427">
            <w:pPr>
              <w:pStyle w:val="tbltext"/>
            </w:pPr>
            <w:r>
              <w:t>$1.1 million</w:t>
            </w:r>
          </w:p>
        </w:tc>
      </w:tr>
      <w:tr w:rsidR="0078113F" w:rsidRPr="000540E1" w14:paraId="50CA67A3" w14:textId="77777777" w:rsidTr="0078113F">
        <w:trPr>
          <w:cantSplit/>
        </w:trPr>
        <w:tc>
          <w:tcPr>
            <w:tcW w:w="2721" w:type="dxa"/>
            <w:vAlign w:val="center"/>
          </w:tcPr>
          <w:p w14:paraId="17FBC98E" w14:textId="0BF6744D" w:rsidR="00264231" w:rsidRPr="000540E1" w:rsidRDefault="00264231" w:rsidP="00264231">
            <w:pPr>
              <w:pStyle w:val="tbltext"/>
            </w:pPr>
            <w:r w:rsidRPr="008E2393">
              <w:t>Risk management product provider</w:t>
            </w:r>
          </w:p>
        </w:tc>
        <w:tc>
          <w:tcPr>
            <w:tcW w:w="1871" w:type="dxa"/>
            <w:vAlign w:val="center"/>
          </w:tcPr>
          <w:p w14:paraId="316FF892" w14:textId="08D87396" w:rsidR="00264231" w:rsidRPr="000540E1" w:rsidRDefault="00264231" w:rsidP="00264231">
            <w:pPr>
              <w:pStyle w:val="tbltext"/>
            </w:pPr>
            <w:r w:rsidRPr="008E2393">
              <w:t>55</w:t>
            </w:r>
          </w:p>
        </w:tc>
        <w:tc>
          <w:tcPr>
            <w:tcW w:w="2211" w:type="dxa"/>
            <w:vAlign w:val="center"/>
          </w:tcPr>
          <w:p w14:paraId="2F9FC46B" w14:textId="72D6EB26" w:rsidR="00264231" w:rsidRPr="000540E1" w:rsidRDefault="00264231" w:rsidP="00F64427">
            <w:pPr>
              <w:pStyle w:val="tbltext"/>
            </w:pPr>
            <w:r w:rsidRPr="008E2393">
              <w:t>$4,500</w:t>
            </w:r>
          </w:p>
        </w:tc>
        <w:tc>
          <w:tcPr>
            <w:tcW w:w="2324" w:type="dxa"/>
            <w:vAlign w:val="center"/>
          </w:tcPr>
          <w:p w14:paraId="1F3F0C5F" w14:textId="3A0810B5" w:rsidR="00264231" w:rsidRPr="000540E1" w:rsidRDefault="00264231" w:rsidP="00F64427">
            <w:pPr>
              <w:pStyle w:val="tbltext"/>
            </w:pPr>
            <w:r>
              <w:t>$0.2 million</w:t>
            </w:r>
          </w:p>
        </w:tc>
      </w:tr>
    </w:tbl>
    <w:p w14:paraId="5C006C48" w14:textId="12EF27D3" w:rsidR="009270D4" w:rsidRDefault="009270D4" w:rsidP="000B5B80">
      <w:pPr>
        <w:pStyle w:val="tblnote"/>
        <w:ind w:left="0"/>
      </w:pPr>
      <w:r>
        <w:t>*Proposed annual levy amounts have been rounded.</w:t>
      </w:r>
    </w:p>
    <w:p w14:paraId="6F761FCA" w14:textId="77777777" w:rsidR="00895C18" w:rsidRPr="008E2393" w:rsidRDefault="00895C18" w:rsidP="00895C18">
      <w:pPr>
        <w:pStyle w:val="BodyText"/>
      </w:pPr>
      <w:r w:rsidRPr="008E2393">
        <w:t>Submissions supported a flat levy for insurance product distributors due to the simplicity in the model and certainty for entities. Submissions did not oppose the levy for risk management product providers.</w:t>
      </w:r>
    </w:p>
    <w:p w14:paraId="5FA40BC1" w14:textId="77777777" w:rsidR="005B65A8" w:rsidRDefault="005B65A8">
      <w:pPr>
        <w:spacing w:after="0"/>
        <w:rPr>
          <w:szCs w:val="22"/>
        </w:rPr>
      </w:pPr>
      <w:r>
        <w:br w:type="page"/>
      </w:r>
    </w:p>
    <w:p w14:paraId="21AE878A" w14:textId="29132CA2" w:rsidR="00895C18" w:rsidRDefault="00895C18" w:rsidP="00895C18">
      <w:pPr>
        <w:pStyle w:val="BodyText"/>
      </w:pPr>
      <w:r w:rsidRPr="008E2393">
        <w:t xml:space="preserve">The </w:t>
      </w:r>
      <w:r w:rsidR="009270D4">
        <w:t xml:space="preserve">proposed </w:t>
      </w:r>
      <w:r w:rsidRPr="008E2393">
        <w:t xml:space="preserve">flat levies for these subsectors have been increased by around 60-74% from the levies proposed in the August 2015 </w:t>
      </w:r>
      <w:r w:rsidRPr="00EA1E92">
        <w:t xml:space="preserve">consultation paper. The proposed levies have increased because </w:t>
      </w:r>
      <w:r w:rsidR="009270D4">
        <w:t xml:space="preserve">ASIC proposes to remove </w:t>
      </w:r>
      <w:r w:rsidRPr="00EA1E92">
        <w:t>the base levy and levy per authorisation of $250 for AFS licensees and incorporate</w:t>
      </w:r>
      <w:r w:rsidR="009270D4">
        <w:t xml:space="preserve"> these costs</w:t>
      </w:r>
      <w:r w:rsidRPr="00EA1E92">
        <w:t xml:space="preserve"> into the levies for AFS licensee</w:t>
      </w:r>
      <w:r w:rsidR="009270D4">
        <w:t xml:space="preserve"> subsectors</w:t>
      </w:r>
      <w:r w:rsidRPr="00EA1E92">
        <w:t xml:space="preserve">. Submissions opposed the base levy and levy per authorisation. For further information on stakeholder feedback see </w:t>
      </w:r>
      <w:r w:rsidRPr="00ED0AA0">
        <w:t>Chapter 6 of the Government’s Proposals Paper.</w:t>
      </w:r>
    </w:p>
    <w:p w14:paraId="21644C87" w14:textId="6235F4C7" w:rsidR="0048229A" w:rsidRDefault="0048229A" w:rsidP="0048229A">
      <w:pPr>
        <w:pStyle w:val="Heading2"/>
      </w:pPr>
      <w:bookmarkStart w:id="496" w:name="_Toc463544618"/>
      <w:bookmarkStart w:id="497" w:name="_Toc463595220"/>
      <w:bookmarkStart w:id="498" w:name="_Toc464140331"/>
      <w:bookmarkStart w:id="499" w:name="_Toc466020983"/>
      <w:r>
        <w:t>Example</w:t>
      </w:r>
      <w:r w:rsidR="009270D4">
        <w:t>s</w:t>
      </w:r>
      <w:r>
        <w:t xml:space="preserve"> </w:t>
      </w:r>
      <w:r w:rsidR="009270D4">
        <w:t xml:space="preserve">of proposed </w:t>
      </w:r>
      <w:r>
        <w:t>levies</w:t>
      </w:r>
      <w:bookmarkEnd w:id="496"/>
      <w:bookmarkEnd w:id="497"/>
      <w:bookmarkEnd w:id="498"/>
      <w:bookmarkEnd w:id="499"/>
    </w:p>
    <w:p w14:paraId="2F1045C6" w14:textId="2608CFCA" w:rsidR="00A715B5" w:rsidRDefault="00A715B5" w:rsidP="00A715B5">
      <w:pPr>
        <w:pStyle w:val="KPhead"/>
        <w:ind w:left="0"/>
      </w:pPr>
      <w:r>
        <w:t>Example 14</w:t>
      </w:r>
    </w:p>
    <w:p w14:paraId="4D618FDF" w14:textId="77777777" w:rsidR="00A715B5" w:rsidRPr="00452353" w:rsidRDefault="00A715B5" w:rsidP="00A715B5">
      <w:pPr>
        <w:pStyle w:val="KPtext"/>
        <w:ind w:left="0"/>
      </w:pPr>
      <w:r w:rsidRPr="00452353">
        <w:t xml:space="preserve">Company </w:t>
      </w:r>
      <w:r>
        <w:t>L</w:t>
      </w:r>
      <w:r w:rsidRPr="00452353">
        <w:t xml:space="preserve"> is a small proprietary company providing with an AFS licence and operates as an insurance broker. </w:t>
      </w:r>
    </w:p>
    <w:p w14:paraId="32D93B43" w14:textId="67F8AD1A" w:rsidR="00A715B5" w:rsidRDefault="00A715B5" w:rsidP="00A715B5">
      <w:pPr>
        <w:pStyle w:val="KPtext"/>
        <w:ind w:left="0"/>
      </w:pPr>
      <w:r>
        <w:t>Company</w:t>
      </w:r>
      <w:r w:rsidR="00DD6EBE">
        <w:t xml:space="preserve"> L’s indicative annual levy is:</w:t>
      </w:r>
    </w:p>
    <w:p w14:paraId="52C34205" w14:textId="5BA0A32C" w:rsidR="00A715B5" w:rsidRDefault="00A715B5" w:rsidP="0004769E">
      <w:pPr>
        <w:pStyle w:val="KPtext"/>
        <w:tabs>
          <w:tab w:val="right" w:pos="8931"/>
        </w:tabs>
        <w:ind w:left="0" w:firstLine="425"/>
      </w:pPr>
      <w:r>
        <w:t>The levy for small proprietary companies</w:t>
      </w:r>
      <w:r>
        <w:tab/>
        <w:t xml:space="preserve">$5 </w:t>
      </w:r>
    </w:p>
    <w:p w14:paraId="27C89B00" w14:textId="22FB2472" w:rsidR="00A715B5" w:rsidRPr="00BD46E4" w:rsidRDefault="00A715B5" w:rsidP="0004769E">
      <w:pPr>
        <w:pStyle w:val="KPtext"/>
        <w:tabs>
          <w:tab w:val="right" w:pos="8931"/>
        </w:tabs>
        <w:ind w:left="0" w:firstLine="425"/>
      </w:pPr>
      <w:r>
        <w:t>A levy for being an insurance product distributor</w:t>
      </w:r>
      <w:r>
        <w:tab/>
        <w:t>$2,400</w:t>
      </w:r>
    </w:p>
    <w:p w14:paraId="4F3686A9" w14:textId="10640EE5" w:rsidR="00895C18" w:rsidRPr="00A715B5" w:rsidRDefault="00A715B5" w:rsidP="0004769E">
      <w:pPr>
        <w:pStyle w:val="KPtext"/>
        <w:tabs>
          <w:tab w:val="right" w:pos="8931"/>
        </w:tabs>
        <w:ind w:left="0"/>
        <w:rPr>
          <w:b/>
        </w:rPr>
      </w:pPr>
      <w:r w:rsidRPr="00A715B5">
        <w:rPr>
          <w:b/>
        </w:rPr>
        <w:t>Total indicative levy payable by company L:</w:t>
      </w:r>
      <w:r w:rsidRPr="00A715B5">
        <w:rPr>
          <w:b/>
        </w:rPr>
        <w:tab/>
        <w:t>$2,405</w:t>
      </w:r>
    </w:p>
    <w:p w14:paraId="5A78FA4C" w14:textId="4BF3287E" w:rsidR="00A715B5" w:rsidRDefault="00A715B5" w:rsidP="00A715B5">
      <w:pPr>
        <w:pStyle w:val="KPhead"/>
        <w:ind w:left="0"/>
      </w:pPr>
      <w:r>
        <w:t>Example 15</w:t>
      </w:r>
    </w:p>
    <w:p w14:paraId="43B9A7C1" w14:textId="77777777" w:rsidR="00A715B5" w:rsidRDefault="00A715B5" w:rsidP="00A715B5">
      <w:pPr>
        <w:pStyle w:val="KPtext"/>
        <w:ind w:left="0"/>
      </w:pPr>
      <w:r>
        <w:t xml:space="preserve">Company M is a large proprietary limited company with an AFS licence and is authorised as an insurance product provider. The company issues general insurance products and recorded net premium revenue of $460 million in the previous financial year. </w:t>
      </w:r>
    </w:p>
    <w:p w14:paraId="44658243" w14:textId="2724C7DC" w:rsidR="00A715B5" w:rsidRDefault="00A715B5" w:rsidP="00A715B5">
      <w:pPr>
        <w:pStyle w:val="KPtext"/>
        <w:ind w:left="0"/>
      </w:pPr>
      <w:r>
        <w:t>Company</w:t>
      </w:r>
      <w:r w:rsidR="00DD6EBE">
        <w:t xml:space="preserve"> M’s indicative annual levy is:</w:t>
      </w:r>
    </w:p>
    <w:p w14:paraId="05431471" w14:textId="2F6547DB" w:rsidR="00A715B5" w:rsidRDefault="00A715B5" w:rsidP="0004769E">
      <w:pPr>
        <w:pStyle w:val="KPtext"/>
        <w:tabs>
          <w:tab w:val="right" w:pos="8931"/>
        </w:tabs>
        <w:ind w:left="0" w:firstLine="425"/>
      </w:pPr>
      <w:r>
        <w:t>The levy for large proprietary companies</w:t>
      </w:r>
      <w:r>
        <w:tab/>
        <w:t xml:space="preserve">$350 </w:t>
      </w:r>
    </w:p>
    <w:p w14:paraId="7973ED31" w14:textId="6D849D4E" w:rsidR="00A715B5" w:rsidRDefault="00A715B5" w:rsidP="0004769E">
      <w:pPr>
        <w:pStyle w:val="KPtext"/>
        <w:tabs>
          <w:tab w:val="right" w:pos="8931"/>
        </w:tabs>
        <w:ind w:left="0" w:firstLine="425"/>
      </w:pPr>
      <w:r>
        <w:t>The minimum levy for being an insurance product provide</w:t>
      </w:r>
      <w:r w:rsidR="00BF58AB">
        <w:t>r</w:t>
      </w:r>
      <w:r>
        <w:tab/>
        <w:t>$20,000</w:t>
      </w:r>
    </w:p>
    <w:p w14:paraId="6F5F6F34" w14:textId="5A928044" w:rsidR="00A715B5" w:rsidRPr="00BD46E4" w:rsidRDefault="00A715B5" w:rsidP="0004769E">
      <w:pPr>
        <w:pStyle w:val="KPtext"/>
        <w:tabs>
          <w:tab w:val="right" w:pos="8931"/>
        </w:tabs>
        <w:ind w:left="0" w:firstLine="425"/>
      </w:pPr>
      <w:r>
        <w:t>A levy of $0.59 per $10,000 of net premium revenue above $5 million</w:t>
      </w:r>
      <w:r>
        <w:tab/>
        <w:t>$26,845</w:t>
      </w:r>
    </w:p>
    <w:p w14:paraId="3B3A0837" w14:textId="525B166E" w:rsidR="00A715B5" w:rsidRPr="00A715B5" w:rsidRDefault="00A715B5" w:rsidP="0004769E">
      <w:pPr>
        <w:pStyle w:val="KPtext"/>
        <w:tabs>
          <w:tab w:val="right" w:pos="8931"/>
        </w:tabs>
        <w:ind w:left="0"/>
        <w:rPr>
          <w:b/>
        </w:rPr>
      </w:pPr>
      <w:r w:rsidRPr="00A715B5">
        <w:rPr>
          <w:b/>
        </w:rPr>
        <w:t>Total indicative levy payable by Company M:</w:t>
      </w:r>
      <w:r w:rsidRPr="00A715B5">
        <w:rPr>
          <w:b/>
        </w:rPr>
        <w:tab/>
        <w:t>$47,195</w:t>
      </w:r>
    </w:p>
    <w:p w14:paraId="368E428A" w14:textId="77777777" w:rsidR="00A715B5" w:rsidRPr="00DD6EBE" w:rsidRDefault="00A715B5" w:rsidP="00DD6EBE"/>
    <w:p w14:paraId="02CF2DE3" w14:textId="654A8401" w:rsidR="00895C18" w:rsidRPr="00DD6EBE" w:rsidRDefault="00895C18" w:rsidP="00DD6EBE"/>
    <w:p w14:paraId="7C4701D9" w14:textId="77777777" w:rsidR="00FD1C24" w:rsidRPr="00DD6EBE" w:rsidRDefault="00FD1C24" w:rsidP="00DD6EBE">
      <w:pPr>
        <w:sectPr w:rsidR="00FD1C24" w:rsidRPr="00DD6EBE" w:rsidSect="0080591D">
          <w:headerReference w:type="even" r:id="rId49"/>
          <w:headerReference w:type="default" r:id="rId50"/>
          <w:footerReference w:type="even" r:id="rId51"/>
          <w:footerReference w:type="default" r:id="rId52"/>
          <w:headerReference w:type="first" r:id="rId53"/>
          <w:pgSz w:w="11906" w:h="16838" w:code="9"/>
          <w:pgMar w:top="1644" w:right="1418" w:bottom="1418" w:left="1418" w:header="567" w:footer="567" w:gutter="0"/>
          <w:cols w:space="720"/>
          <w:docGrid w:linePitch="299"/>
        </w:sectPr>
      </w:pPr>
    </w:p>
    <w:p w14:paraId="14D9E6DF" w14:textId="0AB5D207" w:rsidR="00A715B5" w:rsidRDefault="0080591D" w:rsidP="00A715B5">
      <w:pPr>
        <w:pStyle w:val="Heading1"/>
      </w:pPr>
      <w:bookmarkStart w:id="500" w:name="_Toc463544619"/>
      <w:bookmarkStart w:id="501" w:name="_Toc463595221"/>
      <w:bookmarkStart w:id="502" w:name="_Toc464140332"/>
      <w:bookmarkStart w:id="503" w:name="_Toc466020984"/>
      <w:r>
        <w:t xml:space="preserve">Appendix 1: </w:t>
      </w:r>
      <w:bookmarkStart w:id="504" w:name="_Toc462677745"/>
      <w:bookmarkStart w:id="505" w:name="_Toc462697179"/>
      <w:bookmarkStart w:id="506" w:name="_Toc462698991"/>
      <w:bookmarkStart w:id="507" w:name="_Toc462700227"/>
      <w:bookmarkStart w:id="508" w:name="_Toc462700908"/>
      <w:bookmarkEnd w:id="246"/>
      <w:bookmarkEnd w:id="247"/>
      <w:bookmarkEnd w:id="248"/>
      <w:bookmarkEnd w:id="249"/>
      <w:r w:rsidR="00A715B5" w:rsidRPr="00B86BC2">
        <w:t>Industry funding model summary table</w:t>
      </w:r>
      <w:bookmarkEnd w:id="500"/>
      <w:bookmarkEnd w:id="501"/>
      <w:bookmarkEnd w:id="502"/>
      <w:bookmarkEnd w:id="504"/>
      <w:bookmarkEnd w:id="505"/>
      <w:bookmarkEnd w:id="506"/>
      <w:bookmarkEnd w:id="507"/>
      <w:bookmarkEnd w:id="508"/>
      <w:bookmarkEnd w:id="503"/>
    </w:p>
    <w:p w14:paraId="451604C0" w14:textId="7F641E73" w:rsidR="00561DCE" w:rsidRDefault="00561DCE" w:rsidP="00561DCE">
      <w:pPr>
        <w:pStyle w:val="tabletitlefullwidth"/>
      </w:pPr>
      <w:r>
        <w:t xml:space="preserve">Table </w:t>
      </w:r>
      <w:r w:rsidR="003D3E81">
        <w:fldChar w:fldCharType="begin"/>
      </w:r>
      <w:r w:rsidR="003D3E81">
        <w:instrText xml:space="preserve"> SEQ Table \* ARABIC </w:instrText>
      </w:r>
      <w:r w:rsidR="003D3E81">
        <w:fldChar w:fldCharType="separate"/>
      </w:r>
      <w:r w:rsidR="00A37D1A">
        <w:rPr>
          <w:noProof/>
        </w:rPr>
        <w:t>36</w:t>
      </w:r>
      <w:r w:rsidR="003D3E81">
        <w:rPr>
          <w:noProof/>
        </w:rPr>
        <w:fldChar w:fldCharType="end"/>
      </w:r>
      <w:r>
        <w:t>:</w:t>
      </w:r>
      <w:r>
        <w:tab/>
        <w:t>Industry funding model summary table</w:t>
      </w:r>
    </w:p>
    <w:tbl>
      <w:tblPr>
        <w:tblW w:w="13835"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531"/>
        <w:gridCol w:w="1361"/>
        <w:gridCol w:w="1134"/>
        <w:gridCol w:w="1361"/>
        <w:gridCol w:w="2211"/>
        <w:gridCol w:w="113"/>
        <w:gridCol w:w="1588"/>
        <w:gridCol w:w="56"/>
        <w:gridCol w:w="1645"/>
        <w:gridCol w:w="2835"/>
      </w:tblGrid>
      <w:tr w:rsidR="00561DCE" w:rsidRPr="000540E1" w14:paraId="106CEF57" w14:textId="39207255" w:rsidTr="00C60CE1">
        <w:trPr>
          <w:cantSplit/>
          <w:tblHeader/>
        </w:trPr>
        <w:tc>
          <w:tcPr>
            <w:tcW w:w="1531" w:type="dxa"/>
            <w:shd w:val="clear" w:color="auto" w:fill="C2E3FA"/>
          </w:tcPr>
          <w:p w14:paraId="78C1239F" w14:textId="75F7CBFF" w:rsidR="00561DCE" w:rsidRPr="000540E1" w:rsidRDefault="00561DCE" w:rsidP="006E04D4">
            <w:pPr>
              <w:pStyle w:val="tablehead"/>
            </w:pPr>
            <w:r>
              <w:t>Subsectors</w:t>
            </w:r>
          </w:p>
        </w:tc>
        <w:tc>
          <w:tcPr>
            <w:tcW w:w="1361" w:type="dxa"/>
            <w:shd w:val="clear" w:color="auto" w:fill="C2E3FA"/>
          </w:tcPr>
          <w:p w14:paraId="24807DDB" w14:textId="4B1772E0" w:rsidR="00561DCE" w:rsidRPr="000540E1" w:rsidRDefault="00561DCE" w:rsidP="006E04D4">
            <w:pPr>
              <w:pStyle w:val="tablehead"/>
            </w:pPr>
            <w:r>
              <w:t>Amount to be recovered</w:t>
            </w:r>
          </w:p>
        </w:tc>
        <w:tc>
          <w:tcPr>
            <w:tcW w:w="1134" w:type="dxa"/>
            <w:shd w:val="clear" w:color="auto" w:fill="C2E3FA"/>
          </w:tcPr>
          <w:p w14:paraId="7068EE08" w14:textId="35C8DED6" w:rsidR="00561DCE" w:rsidRPr="000540E1" w:rsidRDefault="00561DCE" w:rsidP="006E04D4">
            <w:pPr>
              <w:pStyle w:val="tablehead"/>
            </w:pPr>
            <w:r>
              <w:t>Estimated number of entities</w:t>
            </w:r>
          </w:p>
        </w:tc>
        <w:tc>
          <w:tcPr>
            <w:tcW w:w="1361" w:type="dxa"/>
            <w:shd w:val="clear" w:color="auto" w:fill="C2E3FA"/>
          </w:tcPr>
          <w:p w14:paraId="0480A0F2" w14:textId="1488A78A" w:rsidR="00561DCE" w:rsidRPr="000540E1" w:rsidRDefault="009270D4" w:rsidP="006E04D4">
            <w:pPr>
              <w:pStyle w:val="tablehead"/>
            </w:pPr>
            <w:r>
              <w:t>Proposed l</w:t>
            </w:r>
            <w:r w:rsidR="00561DCE">
              <w:t>evy metric</w:t>
            </w:r>
          </w:p>
        </w:tc>
        <w:tc>
          <w:tcPr>
            <w:tcW w:w="2211" w:type="dxa"/>
            <w:shd w:val="clear" w:color="auto" w:fill="C2E3FA"/>
          </w:tcPr>
          <w:p w14:paraId="55AB16F0" w14:textId="59902050" w:rsidR="00561DCE" w:rsidRPr="000540E1" w:rsidRDefault="009270D4" w:rsidP="006E04D4">
            <w:pPr>
              <w:pStyle w:val="tablehead"/>
            </w:pPr>
            <w:r>
              <w:t>Proposed l</w:t>
            </w:r>
            <w:r w:rsidR="00561DCE">
              <w:t>evy metric description</w:t>
            </w:r>
          </w:p>
        </w:tc>
        <w:tc>
          <w:tcPr>
            <w:tcW w:w="1701" w:type="dxa"/>
            <w:gridSpan w:val="2"/>
            <w:shd w:val="clear" w:color="auto" w:fill="C2E3FA"/>
          </w:tcPr>
          <w:p w14:paraId="1F9BE9C7" w14:textId="09348C56" w:rsidR="00561DCE" w:rsidRPr="000540E1" w:rsidRDefault="009270D4" w:rsidP="006E04D4">
            <w:pPr>
              <w:pStyle w:val="tablehead"/>
            </w:pPr>
            <w:r>
              <w:t>Proposed d</w:t>
            </w:r>
            <w:r w:rsidR="00561DCE">
              <w:t>ata source to calculate levies</w:t>
            </w:r>
          </w:p>
        </w:tc>
        <w:tc>
          <w:tcPr>
            <w:tcW w:w="1701" w:type="dxa"/>
            <w:gridSpan w:val="2"/>
            <w:shd w:val="clear" w:color="auto" w:fill="C2E3FA"/>
          </w:tcPr>
          <w:p w14:paraId="3B64430C" w14:textId="5169AC09" w:rsidR="00561DCE" w:rsidRPr="000540E1" w:rsidRDefault="00561DCE" w:rsidP="006E04D4">
            <w:pPr>
              <w:pStyle w:val="tablehead"/>
            </w:pPr>
            <w:r w:rsidRPr="00B9767A">
              <w:t>Data source for indi</w:t>
            </w:r>
            <w:r w:rsidR="001E771D">
              <w:t xml:space="preserve">cative levies in ASIC’s </w:t>
            </w:r>
            <w:r w:rsidRPr="00B9767A">
              <w:t>paper</w:t>
            </w:r>
          </w:p>
        </w:tc>
        <w:tc>
          <w:tcPr>
            <w:tcW w:w="2835" w:type="dxa"/>
            <w:shd w:val="clear" w:color="auto" w:fill="C2E3FA"/>
          </w:tcPr>
          <w:p w14:paraId="2CCF08BD" w14:textId="3FF8689A" w:rsidR="00561DCE" w:rsidRPr="00B9767A" w:rsidRDefault="009270D4" w:rsidP="006E04D4">
            <w:pPr>
              <w:pStyle w:val="tablehead"/>
            </w:pPr>
            <w:r>
              <w:t>Proposed l</w:t>
            </w:r>
            <w:r w:rsidRPr="00B9767A">
              <w:t xml:space="preserve">evy </w:t>
            </w:r>
            <w:r w:rsidR="00561DCE" w:rsidRPr="00B9767A">
              <w:t>description and estimated value</w:t>
            </w:r>
          </w:p>
        </w:tc>
      </w:tr>
      <w:tr w:rsidR="001E771D" w:rsidRPr="000540E1" w14:paraId="700BE70D" w14:textId="1D8EF6AE" w:rsidTr="00C60CE1">
        <w:trPr>
          <w:cantSplit/>
        </w:trPr>
        <w:tc>
          <w:tcPr>
            <w:tcW w:w="1531" w:type="dxa"/>
            <w:vAlign w:val="center"/>
          </w:tcPr>
          <w:p w14:paraId="3E269720" w14:textId="473AF075" w:rsidR="001E771D" w:rsidRPr="000540E1" w:rsidRDefault="001E771D" w:rsidP="006E04D4">
            <w:pPr>
              <w:pStyle w:val="tbltext"/>
            </w:pPr>
            <w:r w:rsidRPr="004B374A">
              <w:t>Public (listed, disclosing) companies</w:t>
            </w:r>
          </w:p>
        </w:tc>
        <w:tc>
          <w:tcPr>
            <w:tcW w:w="1361" w:type="dxa"/>
            <w:vAlign w:val="center"/>
          </w:tcPr>
          <w:p w14:paraId="69807B24" w14:textId="3B279E7B" w:rsidR="001E771D" w:rsidRPr="000540E1" w:rsidRDefault="001E771D" w:rsidP="006E04D4">
            <w:pPr>
              <w:pStyle w:val="tbltext"/>
            </w:pPr>
            <w:r w:rsidRPr="004B374A">
              <w:t xml:space="preserve"> $48.5m </w:t>
            </w:r>
          </w:p>
        </w:tc>
        <w:tc>
          <w:tcPr>
            <w:tcW w:w="1134" w:type="dxa"/>
            <w:vAlign w:val="center"/>
          </w:tcPr>
          <w:p w14:paraId="01011017" w14:textId="04BEA01B" w:rsidR="001E771D" w:rsidRPr="000540E1" w:rsidRDefault="00602E9F" w:rsidP="006E04D4">
            <w:pPr>
              <w:pStyle w:val="tbltext"/>
            </w:pPr>
            <w:r>
              <w:t>2,000</w:t>
            </w:r>
          </w:p>
        </w:tc>
        <w:tc>
          <w:tcPr>
            <w:tcW w:w="1361" w:type="dxa"/>
            <w:vAlign w:val="center"/>
          </w:tcPr>
          <w:p w14:paraId="20D2E713" w14:textId="2F286E42" w:rsidR="001E771D" w:rsidRPr="000540E1" w:rsidRDefault="001E771D" w:rsidP="006E04D4">
            <w:pPr>
              <w:pStyle w:val="tbltext"/>
            </w:pPr>
            <w:r w:rsidRPr="004B374A">
              <w:t>Market capitalisation</w:t>
            </w:r>
          </w:p>
        </w:tc>
        <w:tc>
          <w:tcPr>
            <w:tcW w:w="2211" w:type="dxa"/>
            <w:vAlign w:val="center"/>
          </w:tcPr>
          <w:p w14:paraId="55F77787" w14:textId="066A5B34" w:rsidR="001E771D" w:rsidRPr="000540E1" w:rsidRDefault="001E771D" w:rsidP="006E04D4">
            <w:pPr>
              <w:pStyle w:val="tbltext"/>
            </w:pPr>
            <w:r w:rsidRPr="004B374A">
              <w:t>The value of a company that is traded on a licensed market, calculated by multiplying the total number of shares at close of the market by the share price at 30</w:t>
            </w:r>
            <w:r w:rsidR="00833984">
              <w:t> </w:t>
            </w:r>
            <w:r w:rsidRPr="004B374A">
              <w:t>June.</w:t>
            </w:r>
          </w:p>
        </w:tc>
        <w:tc>
          <w:tcPr>
            <w:tcW w:w="1701" w:type="dxa"/>
            <w:gridSpan w:val="2"/>
            <w:vAlign w:val="center"/>
          </w:tcPr>
          <w:p w14:paraId="11B16128" w14:textId="03742DE2" w:rsidR="001E771D" w:rsidRPr="000540E1" w:rsidRDefault="00B56D8D" w:rsidP="006E04D4">
            <w:pPr>
              <w:pStyle w:val="tbltext"/>
            </w:pPr>
            <w:r w:rsidRPr="004B374A">
              <w:t>New reporting requirement</w:t>
            </w:r>
          </w:p>
        </w:tc>
        <w:tc>
          <w:tcPr>
            <w:tcW w:w="1701" w:type="dxa"/>
            <w:gridSpan w:val="2"/>
            <w:vAlign w:val="center"/>
          </w:tcPr>
          <w:p w14:paraId="5CE8F500" w14:textId="526FE0C9" w:rsidR="001E771D" w:rsidRPr="000540E1" w:rsidRDefault="001E771D" w:rsidP="006E04D4">
            <w:pPr>
              <w:pStyle w:val="tbltext"/>
            </w:pPr>
            <w:r w:rsidRPr="004B374A">
              <w:t>Bloomberg, MorningStar data as at June 2016</w:t>
            </w:r>
          </w:p>
        </w:tc>
        <w:tc>
          <w:tcPr>
            <w:tcW w:w="2835" w:type="dxa"/>
            <w:vAlign w:val="center"/>
          </w:tcPr>
          <w:p w14:paraId="109A37A6" w14:textId="34589748" w:rsidR="001E771D" w:rsidRPr="000540E1" w:rsidRDefault="001E771D" w:rsidP="006E04D4">
            <w:pPr>
              <w:pStyle w:val="tbltext"/>
            </w:pPr>
            <w:r w:rsidRPr="004B374A">
              <w:t>$4,000 minimum levy for all public listed, disclosing entities plus an estimated $0.</w:t>
            </w:r>
            <w:r w:rsidR="007F2B27">
              <w:t>33</w:t>
            </w:r>
            <w:r w:rsidR="007F2B27" w:rsidRPr="004B374A">
              <w:t xml:space="preserve"> </w:t>
            </w:r>
            <w:r w:rsidRPr="004B374A">
              <w:t>per $10,000 of market capitalisation above $5</w:t>
            </w:r>
            <w:r w:rsidR="00C60CE1">
              <w:t> </w:t>
            </w:r>
            <w:r w:rsidRPr="004B374A">
              <w:t xml:space="preserve">million. The maximum levy is estimated to be </w:t>
            </w:r>
            <w:r w:rsidR="00C82D2D">
              <w:t>$662,000</w:t>
            </w:r>
            <w:r w:rsidRPr="004B374A">
              <w:t xml:space="preserve"> for entities with a market capitalisation greater than $20</w:t>
            </w:r>
            <w:r w:rsidR="00C60CE1">
              <w:t> </w:t>
            </w:r>
            <w:r w:rsidRPr="004B374A">
              <w:t>billion.</w:t>
            </w:r>
          </w:p>
        </w:tc>
      </w:tr>
      <w:tr w:rsidR="001E771D" w:rsidRPr="000540E1" w14:paraId="021EDED8" w14:textId="075584E5" w:rsidTr="00C60CE1">
        <w:trPr>
          <w:cantSplit/>
        </w:trPr>
        <w:tc>
          <w:tcPr>
            <w:tcW w:w="1531" w:type="dxa"/>
            <w:vAlign w:val="center"/>
          </w:tcPr>
          <w:p w14:paraId="13ABC6B3" w14:textId="404F5A31" w:rsidR="001E771D" w:rsidRPr="000540E1" w:rsidRDefault="001E771D" w:rsidP="006E04D4">
            <w:pPr>
              <w:pStyle w:val="tbltext"/>
            </w:pPr>
            <w:r w:rsidRPr="004B374A">
              <w:t>Public (unlisted, disclosing) companies</w:t>
            </w:r>
          </w:p>
        </w:tc>
        <w:tc>
          <w:tcPr>
            <w:tcW w:w="1361" w:type="dxa"/>
            <w:vAlign w:val="center"/>
          </w:tcPr>
          <w:p w14:paraId="3FF286F0" w14:textId="3F43D135" w:rsidR="001E771D" w:rsidRPr="000540E1" w:rsidRDefault="001E771D" w:rsidP="006E04D4">
            <w:pPr>
              <w:pStyle w:val="tbltext"/>
            </w:pPr>
            <w:r w:rsidRPr="004B374A">
              <w:t xml:space="preserve"> $2.8m </w:t>
            </w:r>
          </w:p>
        </w:tc>
        <w:tc>
          <w:tcPr>
            <w:tcW w:w="1134" w:type="dxa"/>
            <w:vAlign w:val="center"/>
          </w:tcPr>
          <w:p w14:paraId="562F6AB8" w14:textId="7EC29DF7" w:rsidR="001E771D" w:rsidRPr="000540E1" w:rsidRDefault="00A62185" w:rsidP="006E04D4">
            <w:pPr>
              <w:pStyle w:val="tbltext"/>
            </w:pPr>
            <w:r>
              <w:t>838</w:t>
            </w:r>
          </w:p>
        </w:tc>
        <w:tc>
          <w:tcPr>
            <w:tcW w:w="1361" w:type="dxa"/>
            <w:vAlign w:val="center"/>
          </w:tcPr>
          <w:p w14:paraId="741E0442" w14:textId="34E49B8A" w:rsidR="001E771D" w:rsidRPr="000540E1" w:rsidRDefault="001E771D" w:rsidP="006E04D4">
            <w:pPr>
              <w:pStyle w:val="tbltext"/>
            </w:pPr>
            <w:r w:rsidRPr="004B374A">
              <w:t>Flat levy</w:t>
            </w:r>
          </w:p>
        </w:tc>
        <w:tc>
          <w:tcPr>
            <w:tcW w:w="2211" w:type="dxa"/>
            <w:vAlign w:val="center"/>
          </w:tcPr>
          <w:p w14:paraId="3E965C00" w14:textId="412FBBEC" w:rsidR="001E771D" w:rsidRPr="000540E1" w:rsidRDefault="001E771D" w:rsidP="006E04D4">
            <w:pPr>
              <w:pStyle w:val="tbltext"/>
            </w:pPr>
            <w:r>
              <w:t>Flat levy</w:t>
            </w:r>
          </w:p>
        </w:tc>
        <w:tc>
          <w:tcPr>
            <w:tcW w:w="1701" w:type="dxa"/>
            <w:gridSpan w:val="2"/>
            <w:vAlign w:val="center"/>
          </w:tcPr>
          <w:p w14:paraId="295447CA" w14:textId="6A343FD8" w:rsidR="001E771D" w:rsidRPr="000540E1" w:rsidRDefault="001E771D" w:rsidP="006E04D4">
            <w:pPr>
              <w:pStyle w:val="tbltext"/>
            </w:pPr>
            <w:r w:rsidRPr="004B374A">
              <w:t>ASIC</w:t>
            </w:r>
            <w:r w:rsidR="0003187F">
              <w:t>’</w:t>
            </w:r>
            <w:r w:rsidRPr="004B374A">
              <w:t>s company register</w:t>
            </w:r>
          </w:p>
        </w:tc>
        <w:tc>
          <w:tcPr>
            <w:tcW w:w="1701" w:type="dxa"/>
            <w:gridSpan w:val="2"/>
            <w:vAlign w:val="center"/>
          </w:tcPr>
          <w:p w14:paraId="2152D76B" w14:textId="2CC2394C" w:rsidR="001E771D" w:rsidRPr="000540E1" w:rsidRDefault="001E771D" w:rsidP="006E04D4">
            <w:pPr>
              <w:pStyle w:val="tbltext"/>
            </w:pPr>
            <w:r w:rsidRPr="004B374A">
              <w:t>ASIC</w:t>
            </w:r>
            <w:r w:rsidR="0003187F">
              <w:t>’</w:t>
            </w:r>
            <w:r w:rsidRPr="004B374A">
              <w:t>s company register</w:t>
            </w:r>
          </w:p>
        </w:tc>
        <w:tc>
          <w:tcPr>
            <w:tcW w:w="2835" w:type="dxa"/>
            <w:vAlign w:val="center"/>
          </w:tcPr>
          <w:p w14:paraId="76D7F165" w14:textId="0B331375" w:rsidR="001E771D" w:rsidRPr="000540E1" w:rsidRDefault="001E771D" w:rsidP="006E04D4">
            <w:pPr>
              <w:pStyle w:val="tbltext"/>
            </w:pPr>
            <w:r w:rsidRPr="004B374A">
              <w:t>$</w:t>
            </w:r>
            <w:r w:rsidR="00256526">
              <w:t>3,350</w:t>
            </w:r>
            <w:r w:rsidR="00256526" w:rsidRPr="004B374A">
              <w:t xml:space="preserve"> </w:t>
            </w:r>
            <w:r w:rsidRPr="004B374A">
              <w:t>annual levy</w:t>
            </w:r>
          </w:p>
        </w:tc>
      </w:tr>
      <w:tr w:rsidR="001E771D" w:rsidRPr="000540E1" w14:paraId="45004B75" w14:textId="5554B656" w:rsidTr="00C60CE1">
        <w:trPr>
          <w:cantSplit/>
        </w:trPr>
        <w:tc>
          <w:tcPr>
            <w:tcW w:w="1531" w:type="dxa"/>
            <w:vAlign w:val="center"/>
          </w:tcPr>
          <w:p w14:paraId="7557B611" w14:textId="5F492ED0" w:rsidR="001E771D" w:rsidRPr="000540E1" w:rsidRDefault="001E771D" w:rsidP="006E04D4">
            <w:pPr>
              <w:pStyle w:val="tbltext"/>
            </w:pPr>
            <w:r w:rsidRPr="004B374A">
              <w:t xml:space="preserve">Public (unlisted, non-disclosing) companies </w:t>
            </w:r>
          </w:p>
        </w:tc>
        <w:tc>
          <w:tcPr>
            <w:tcW w:w="1361" w:type="dxa"/>
            <w:vAlign w:val="center"/>
          </w:tcPr>
          <w:p w14:paraId="40F0B3D2" w14:textId="1595D8DA" w:rsidR="001E771D" w:rsidRPr="000540E1" w:rsidRDefault="001E771D" w:rsidP="006E04D4">
            <w:pPr>
              <w:pStyle w:val="tbltext"/>
            </w:pPr>
            <w:r w:rsidRPr="004B374A">
              <w:t xml:space="preserve"> $3.1m </w:t>
            </w:r>
          </w:p>
        </w:tc>
        <w:tc>
          <w:tcPr>
            <w:tcW w:w="1134" w:type="dxa"/>
            <w:vAlign w:val="center"/>
          </w:tcPr>
          <w:p w14:paraId="6D2F639E" w14:textId="30ACDD44" w:rsidR="001E771D" w:rsidRPr="000540E1" w:rsidRDefault="001E771D" w:rsidP="006E04D4">
            <w:pPr>
              <w:pStyle w:val="tbltext"/>
            </w:pPr>
            <w:r w:rsidRPr="004B374A">
              <w:t>19,000</w:t>
            </w:r>
          </w:p>
        </w:tc>
        <w:tc>
          <w:tcPr>
            <w:tcW w:w="1361" w:type="dxa"/>
            <w:vAlign w:val="center"/>
          </w:tcPr>
          <w:p w14:paraId="4E0D868E" w14:textId="72B14AC6" w:rsidR="001E771D" w:rsidRPr="000540E1" w:rsidRDefault="001E771D" w:rsidP="006E04D4">
            <w:pPr>
              <w:pStyle w:val="tbltext"/>
            </w:pPr>
            <w:r w:rsidRPr="004B374A">
              <w:t>Flat levy</w:t>
            </w:r>
          </w:p>
        </w:tc>
        <w:tc>
          <w:tcPr>
            <w:tcW w:w="2211" w:type="dxa"/>
            <w:vAlign w:val="center"/>
          </w:tcPr>
          <w:p w14:paraId="77EFCD79" w14:textId="168E7C4D" w:rsidR="001E771D" w:rsidRPr="000540E1" w:rsidRDefault="001E771D" w:rsidP="006E04D4">
            <w:pPr>
              <w:pStyle w:val="tbltext"/>
            </w:pPr>
            <w:r>
              <w:t>Flat levy</w:t>
            </w:r>
          </w:p>
        </w:tc>
        <w:tc>
          <w:tcPr>
            <w:tcW w:w="1701" w:type="dxa"/>
            <w:gridSpan w:val="2"/>
            <w:vAlign w:val="center"/>
          </w:tcPr>
          <w:p w14:paraId="45AA9DA2" w14:textId="1840DD79" w:rsidR="001E771D" w:rsidRPr="000540E1" w:rsidRDefault="001E771D" w:rsidP="006E04D4">
            <w:pPr>
              <w:pStyle w:val="tbltext"/>
            </w:pPr>
            <w:r w:rsidRPr="004B374A">
              <w:t>ASIC</w:t>
            </w:r>
            <w:r w:rsidR="0003187F">
              <w:t>’</w:t>
            </w:r>
            <w:r w:rsidRPr="004B374A">
              <w:t>s company register</w:t>
            </w:r>
          </w:p>
        </w:tc>
        <w:tc>
          <w:tcPr>
            <w:tcW w:w="1701" w:type="dxa"/>
            <w:gridSpan w:val="2"/>
            <w:vAlign w:val="center"/>
          </w:tcPr>
          <w:p w14:paraId="3D6E214D" w14:textId="5D4CB43B" w:rsidR="001E771D" w:rsidRPr="000540E1" w:rsidRDefault="001E771D" w:rsidP="006E04D4">
            <w:pPr>
              <w:pStyle w:val="tbltext"/>
            </w:pPr>
            <w:r w:rsidRPr="004B374A">
              <w:t>ASIC</w:t>
            </w:r>
            <w:r w:rsidR="0003187F">
              <w:t>’</w:t>
            </w:r>
            <w:r w:rsidRPr="004B374A">
              <w:t>s company register</w:t>
            </w:r>
          </w:p>
        </w:tc>
        <w:tc>
          <w:tcPr>
            <w:tcW w:w="2835" w:type="dxa"/>
            <w:vAlign w:val="center"/>
          </w:tcPr>
          <w:p w14:paraId="2DE3EAD1" w14:textId="7EB542DB" w:rsidR="001E771D" w:rsidRPr="000540E1" w:rsidRDefault="001E771D" w:rsidP="006E04D4">
            <w:pPr>
              <w:pStyle w:val="tbltext"/>
            </w:pPr>
            <w:r w:rsidRPr="004B374A">
              <w:t>$170 annual levy</w:t>
            </w:r>
          </w:p>
        </w:tc>
      </w:tr>
      <w:tr w:rsidR="001E771D" w:rsidRPr="000540E1" w14:paraId="47176A75" w14:textId="1BB42B25" w:rsidTr="00C60CE1">
        <w:trPr>
          <w:cantSplit/>
        </w:trPr>
        <w:tc>
          <w:tcPr>
            <w:tcW w:w="1531" w:type="dxa"/>
            <w:vAlign w:val="center"/>
          </w:tcPr>
          <w:p w14:paraId="18C3B838" w14:textId="685BF354" w:rsidR="001E771D" w:rsidRPr="004B374A" w:rsidRDefault="001E771D" w:rsidP="006E04D4">
            <w:pPr>
              <w:pStyle w:val="tbltext"/>
            </w:pPr>
            <w:r w:rsidRPr="004B374A">
              <w:t>Large Pty Ltd companies</w:t>
            </w:r>
          </w:p>
        </w:tc>
        <w:tc>
          <w:tcPr>
            <w:tcW w:w="1361" w:type="dxa"/>
            <w:vAlign w:val="center"/>
          </w:tcPr>
          <w:p w14:paraId="277EFAD6" w14:textId="2A92BBC7" w:rsidR="001E771D" w:rsidRPr="004B374A" w:rsidRDefault="001E771D" w:rsidP="006E04D4">
            <w:pPr>
              <w:pStyle w:val="tbltext"/>
            </w:pPr>
            <w:r w:rsidRPr="004B374A">
              <w:t xml:space="preserve"> $3.0m </w:t>
            </w:r>
          </w:p>
        </w:tc>
        <w:tc>
          <w:tcPr>
            <w:tcW w:w="1134" w:type="dxa"/>
            <w:vAlign w:val="center"/>
          </w:tcPr>
          <w:p w14:paraId="4D69A9F3" w14:textId="5A3A8819" w:rsidR="001E771D" w:rsidRPr="004B374A" w:rsidRDefault="001E771D" w:rsidP="006E04D4">
            <w:pPr>
              <w:pStyle w:val="tbltext"/>
            </w:pPr>
            <w:r w:rsidRPr="004B374A">
              <w:t>9,000</w:t>
            </w:r>
          </w:p>
        </w:tc>
        <w:tc>
          <w:tcPr>
            <w:tcW w:w="1361" w:type="dxa"/>
            <w:vAlign w:val="center"/>
          </w:tcPr>
          <w:p w14:paraId="69A9B0AF" w14:textId="128419E0" w:rsidR="001E771D" w:rsidRPr="004B374A" w:rsidRDefault="001E771D" w:rsidP="006E04D4">
            <w:pPr>
              <w:pStyle w:val="tbltext"/>
            </w:pPr>
            <w:r w:rsidRPr="004B374A">
              <w:t>Flat levy</w:t>
            </w:r>
          </w:p>
        </w:tc>
        <w:tc>
          <w:tcPr>
            <w:tcW w:w="2211" w:type="dxa"/>
            <w:vAlign w:val="center"/>
          </w:tcPr>
          <w:p w14:paraId="2DEC0883" w14:textId="70E16457" w:rsidR="001E771D" w:rsidRDefault="001E771D" w:rsidP="006E04D4">
            <w:pPr>
              <w:pStyle w:val="tbltext"/>
            </w:pPr>
            <w:r>
              <w:t>Flat levy</w:t>
            </w:r>
          </w:p>
        </w:tc>
        <w:tc>
          <w:tcPr>
            <w:tcW w:w="1701" w:type="dxa"/>
            <w:gridSpan w:val="2"/>
            <w:vAlign w:val="center"/>
          </w:tcPr>
          <w:p w14:paraId="530F4262" w14:textId="5BEE06F9" w:rsidR="001E771D" w:rsidRPr="000540E1" w:rsidRDefault="001E771D" w:rsidP="006E04D4">
            <w:pPr>
              <w:pStyle w:val="tbltext"/>
            </w:pPr>
            <w:r w:rsidRPr="004B374A">
              <w:t>ASIC</w:t>
            </w:r>
            <w:r w:rsidR="0003187F">
              <w:t>’</w:t>
            </w:r>
            <w:r w:rsidRPr="004B374A">
              <w:t>s company register</w:t>
            </w:r>
          </w:p>
        </w:tc>
        <w:tc>
          <w:tcPr>
            <w:tcW w:w="1701" w:type="dxa"/>
            <w:gridSpan w:val="2"/>
            <w:vAlign w:val="center"/>
          </w:tcPr>
          <w:p w14:paraId="0B729DAB" w14:textId="55A0F672" w:rsidR="001E771D" w:rsidRPr="000540E1" w:rsidRDefault="001E771D" w:rsidP="006E04D4">
            <w:pPr>
              <w:pStyle w:val="tbltext"/>
            </w:pPr>
            <w:r w:rsidRPr="004B374A">
              <w:t>ASIC</w:t>
            </w:r>
            <w:r w:rsidR="0003187F">
              <w:t>’</w:t>
            </w:r>
            <w:r w:rsidRPr="004B374A">
              <w:t>s company register</w:t>
            </w:r>
          </w:p>
        </w:tc>
        <w:tc>
          <w:tcPr>
            <w:tcW w:w="2835" w:type="dxa"/>
            <w:vAlign w:val="center"/>
          </w:tcPr>
          <w:p w14:paraId="69E7EE66" w14:textId="31D11C61" w:rsidR="001E771D" w:rsidRPr="000540E1" w:rsidRDefault="001E771D" w:rsidP="006E04D4">
            <w:pPr>
              <w:pStyle w:val="tbltext"/>
            </w:pPr>
            <w:r w:rsidRPr="004B374A">
              <w:t>$350 annual levy</w:t>
            </w:r>
          </w:p>
        </w:tc>
      </w:tr>
      <w:tr w:rsidR="001E771D" w:rsidRPr="000540E1" w14:paraId="44CD1FB9" w14:textId="01B1B598" w:rsidTr="00C60CE1">
        <w:trPr>
          <w:cantSplit/>
        </w:trPr>
        <w:tc>
          <w:tcPr>
            <w:tcW w:w="1531" w:type="dxa"/>
            <w:vAlign w:val="center"/>
          </w:tcPr>
          <w:p w14:paraId="052BE23A" w14:textId="0C46E436" w:rsidR="001E771D" w:rsidRPr="004B374A" w:rsidRDefault="001E771D" w:rsidP="006E04D4">
            <w:pPr>
              <w:pStyle w:val="tbltext"/>
            </w:pPr>
            <w:r w:rsidRPr="004B374A">
              <w:t>Small Pty Ltd companies</w:t>
            </w:r>
          </w:p>
        </w:tc>
        <w:tc>
          <w:tcPr>
            <w:tcW w:w="1361" w:type="dxa"/>
            <w:vAlign w:val="center"/>
          </w:tcPr>
          <w:p w14:paraId="7F92822D" w14:textId="16ADA397" w:rsidR="001E771D" w:rsidRPr="004B374A" w:rsidRDefault="001E771D" w:rsidP="006E04D4">
            <w:pPr>
              <w:pStyle w:val="tbltext"/>
            </w:pPr>
            <w:r w:rsidRPr="004B374A">
              <w:t xml:space="preserve"> $9.7m </w:t>
            </w:r>
          </w:p>
        </w:tc>
        <w:tc>
          <w:tcPr>
            <w:tcW w:w="1134" w:type="dxa"/>
            <w:vAlign w:val="center"/>
          </w:tcPr>
          <w:p w14:paraId="3298FC43" w14:textId="1E69A5A2" w:rsidR="001E771D" w:rsidRPr="004B374A" w:rsidRDefault="001E771D" w:rsidP="006E04D4">
            <w:pPr>
              <w:pStyle w:val="tbltext"/>
            </w:pPr>
            <w:r w:rsidRPr="004B374A">
              <w:t>2.1 million</w:t>
            </w:r>
          </w:p>
        </w:tc>
        <w:tc>
          <w:tcPr>
            <w:tcW w:w="1361" w:type="dxa"/>
            <w:vAlign w:val="center"/>
          </w:tcPr>
          <w:p w14:paraId="32125475" w14:textId="56040028" w:rsidR="001E771D" w:rsidRPr="004B374A" w:rsidRDefault="001E771D" w:rsidP="006E04D4">
            <w:pPr>
              <w:pStyle w:val="tbltext"/>
            </w:pPr>
            <w:r w:rsidRPr="004B374A">
              <w:t>Flat levy</w:t>
            </w:r>
          </w:p>
        </w:tc>
        <w:tc>
          <w:tcPr>
            <w:tcW w:w="2211" w:type="dxa"/>
            <w:vAlign w:val="center"/>
          </w:tcPr>
          <w:p w14:paraId="043ED63D" w14:textId="7286E33B" w:rsidR="001E771D" w:rsidRDefault="001E771D" w:rsidP="006E04D4">
            <w:pPr>
              <w:pStyle w:val="tbltext"/>
            </w:pPr>
            <w:r>
              <w:t>Flat levy</w:t>
            </w:r>
          </w:p>
        </w:tc>
        <w:tc>
          <w:tcPr>
            <w:tcW w:w="1701" w:type="dxa"/>
            <w:gridSpan w:val="2"/>
            <w:vAlign w:val="center"/>
          </w:tcPr>
          <w:p w14:paraId="79AD8B71" w14:textId="03F92B10" w:rsidR="001E771D" w:rsidRPr="000540E1" w:rsidRDefault="001E771D" w:rsidP="006E04D4">
            <w:pPr>
              <w:pStyle w:val="tbltext"/>
            </w:pPr>
            <w:r w:rsidRPr="004B374A">
              <w:t>ASIC</w:t>
            </w:r>
            <w:r w:rsidR="0003187F">
              <w:t>’</w:t>
            </w:r>
            <w:r w:rsidRPr="004B374A">
              <w:t>s company register</w:t>
            </w:r>
          </w:p>
        </w:tc>
        <w:tc>
          <w:tcPr>
            <w:tcW w:w="1701" w:type="dxa"/>
            <w:gridSpan w:val="2"/>
            <w:vAlign w:val="center"/>
          </w:tcPr>
          <w:p w14:paraId="11CB717A" w14:textId="540253B2" w:rsidR="001E771D" w:rsidRPr="000540E1" w:rsidRDefault="001E771D" w:rsidP="006E04D4">
            <w:pPr>
              <w:pStyle w:val="tbltext"/>
            </w:pPr>
            <w:r w:rsidRPr="004B374A">
              <w:t>ASIC</w:t>
            </w:r>
            <w:r w:rsidR="0003187F">
              <w:t>’</w:t>
            </w:r>
            <w:r w:rsidRPr="004B374A">
              <w:t>s company register</w:t>
            </w:r>
          </w:p>
        </w:tc>
        <w:tc>
          <w:tcPr>
            <w:tcW w:w="2835" w:type="dxa"/>
            <w:vAlign w:val="center"/>
          </w:tcPr>
          <w:p w14:paraId="19904956" w14:textId="29284133" w:rsidR="001E771D" w:rsidRPr="000540E1" w:rsidRDefault="001E771D" w:rsidP="006E04D4">
            <w:pPr>
              <w:pStyle w:val="tbltext"/>
            </w:pPr>
            <w:r w:rsidRPr="004B374A">
              <w:t>$5 annual levy</w:t>
            </w:r>
          </w:p>
        </w:tc>
      </w:tr>
      <w:tr w:rsidR="001E771D" w:rsidRPr="000540E1" w14:paraId="29B6793B" w14:textId="4F5A15CD" w:rsidTr="00C60CE1">
        <w:trPr>
          <w:cantSplit/>
        </w:trPr>
        <w:tc>
          <w:tcPr>
            <w:tcW w:w="1531" w:type="dxa"/>
            <w:vAlign w:val="center"/>
          </w:tcPr>
          <w:p w14:paraId="3D22E903" w14:textId="5855938A" w:rsidR="001E771D" w:rsidRPr="004B374A" w:rsidRDefault="001E771D" w:rsidP="006E04D4">
            <w:pPr>
              <w:pStyle w:val="tbltext"/>
            </w:pPr>
            <w:r w:rsidRPr="004B374A">
              <w:t>Registered liquidators</w:t>
            </w:r>
          </w:p>
        </w:tc>
        <w:tc>
          <w:tcPr>
            <w:tcW w:w="1361" w:type="dxa"/>
            <w:vAlign w:val="center"/>
          </w:tcPr>
          <w:p w14:paraId="7F51E0EB" w14:textId="6609FD6E" w:rsidR="001E771D" w:rsidRPr="004B374A" w:rsidRDefault="001E771D" w:rsidP="006E04D4">
            <w:pPr>
              <w:pStyle w:val="tbltext"/>
            </w:pPr>
            <w:r w:rsidRPr="004B374A">
              <w:t xml:space="preserve"> $8.5m </w:t>
            </w:r>
          </w:p>
        </w:tc>
        <w:tc>
          <w:tcPr>
            <w:tcW w:w="1134" w:type="dxa"/>
            <w:vAlign w:val="center"/>
          </w:tcPr>
          <w:p w14:paraId="032E867E" w14:textId="284C5F2C" w:rsidR="001E771D" w:rsidRPr="004B374A" w:rsidRDefault="001E771D" w:rsidP="006E04D4">
            <w:pPr>
              <w:pStyle w:val="tbltext"/>
            </w:pPr>
            <w:r w:rsidRPr="004B374A">
              <w:t>710</w:t>
            </w:r>
          </w:p>
        </w:tc>
        <w:tc>
          <w:tcPr>
            <w:tcW w:w="1361" w:type="dxa"/>
            <w:vAlign w:val="center"/>
          </w:tcPr>
          <w:p w14:paraId="001B1E3E" w14:textId="5B7A1C64" w:rsidR="00AE1560" w:rsidRDefault="001E771D" w:rsidP="006E04D4">
            <w:pPr>
              <w:pStyle w:val="tbltext"/>
            </w:pPr>
            <w:r w:rsidRPr="004B374A">
              <w:t>Number of external administration appointments</w:t>
            </w:r>
          </w:p>
          <w:p w14:paraId="2AEA51A3" w14:textId="76A00071" w:rsidR="001E771D" w:rsidRPr="004B374A" w:rsidRDefault="001E771D" w:rsidP="006E04D4">
            <w:pPr>
              <w:pStyle w:val="tbltext"/>
            </w:pPr>
          </w:p>
        </w:tc>
        <w:tc>
          <w:tcPr>
            <w:tcW w:w="2211" w:type="dxa"/>
            <w:vAlign w:val="center"/>
          </w:tcPr>
          <w:p w14:paraId="66503713" w14:textId="1B887CCD" w:rsidR="00206F90" w:rsidRDefault="001E771D" w:rsidP="006E04D4">
            <w:pPr>
              <w:pStyle w:val="tbltext"/>
            </w:pPr>
            <w:r w:rsidRPr="004B374A">
              <w:t>Total number of external administration appointments accepted by the registered liquidator during the relevant financial year</w:t>
            </w:r>
            <w:r>
              <w:t>.</w:t>
            </w:r>
          </w:p>
          <w:p w14:paraId="7A4AA717" w14:textId="7F9DACF5" w:rsidR="001E771D" w:rsidRDefault="001E771D" w:rsidP="006E04D4">
            <w:pPr>
              <w:pStyle w:val="tbltext"/>
            </w:pPr>
          </w:p>
        </w:tc>
        <w:tc>
          <w:tcPr>
            <w:tcW w:w="1701" w:type="dxa"/>
            <w:gridSpan w:val="2"/>
            <w:vAlign w:val="center"/>
          </w:tcPr>
          <w:p w14:paraId="1CF91C23" w14:textId="18E2076D" w:rsidR="001E771D" w:rsidRPr="00C60CE1" w:rsidRDefault="001E771D" w:rsidP="006E04D4">
            <w:pPr>
              <w:pStyle w:val="tbltext"/>
              <w:rPr>
                <w:i/>
                <w:iCs/>
              </w:rPr>
            </w:pPr>
            <w:r w:rsidRPr="004B374A">
              <w:t xml:space="preserve">New reporting requirement (verified against Form 505 </w:t>
            </w:r>
            <w:r w:rsidRPr="004B374A">
              <w:rPr>
                <w:i/>
                <w:iCs/>
              </w:rPr>
              <w:t xml:space="preserve">Notification of appointment or cessation of an external administrator </w:t>
            </w:r>
            <w:r w:rsidRPr="004B374A">
              <w:rPr>
                <w:iCs/>
              </w:rPr>
              <w:t>lodgements</w:t>
            </w:r>
            <w:r w:rsidRPr="004B374A">
              <w:rPr>
                <w:i/>
                <w:iCs/>
              </w:rPr>
              <w:t>)</w:t>
            </w:r>
          </w:p>
        </w:tc>
        <w:tc>
          <w:tcPr>
            <w:tcW w:w="1701" w:type="dxa"/>
            <w:gridSpan w:val="2"/>
            <w:vAlign w:val="center"/>
          </w:tcPr>
          <w:p w14:paraId="1BB92B15" w14:textId="02EA218F" w:rsidR="001E771D" w:rsidRPr="000540E1" w:rsidRDefault="001E771D" w:rsidP="006E04D4">
            <w:pPr>
              <w:pStyle w:val="tbltext"/>
            </w:pPr>
            <w:r w:rsidRPr="004B374A">
              <w:t>2015</w:t>
            </w:r>
            <w:r>
              <w:t>–</w:t>
            </w:r>
            <w:r w:rsidRPr="004B374A">
              <w:t>16 external administration appointments per registered liquidator</w:t>
            </w:r>
          </w:p>
        </w:tc>
        <w:tc>
          <w:tcPr>
            <w:tcW w:w="2835" w:type="dxa"/>
            <w:vAlign w:val="center"/>
          </w:tcPr>
          <w:p w14:paraId="4E0334BC" w14:textId="3DD0EB7F" w:rsidR="001E771D" w:rsidRPr="000540E1" w:rsidRDefault="001E771D" w:rsidP="006E04D4">
            <w:pPr>
              <w:pStyle w:val="tbltext"/>
            </w:pPr>
            <w:r w:rsidRPr="004B374A">
              <w:t>$5,000 minimum levy for all registered liquidators plus an estimated $550</w:t>
            </w:r>
            <w:r w:rsidR="00833984">
              <w:t> </w:t>
            </w:r>
            <w:r w:rsidRPr="004B374A">
              <w:t>per</w:t>
            </w:r>
            <w:r w:rsidR="00C60CE1">
              <w:t> </w:t>
            </w:r>
            <w:r w:rsidRPr="004B374A">
              <w:t>appointment</w:t>
            </w:r>
          </w:p>
        </w:tc>
      </w:tr>
      <w:tr w:rsidR="001E771D" w:rsidRPr="000540E1" w14:paraId="1B087C94" w14:textId="25EDB004" w:rsidTr="00C60CE1">
        <w:trPr>
          <w:cantSplit/>
        </w:trPr>
        <w:tc>
          <w:tcPr>
            <w:tcW w:w="1531" w:type="dxa"/>
            <w:vAlign w:val="center"/>
          </w:tcPr>
          <w:p w14:paraId="6B0FC6B8" w14:textId="2F9FF93B" w:rsidR="001E771D" w:rsidRPr="004B374A" w:rsidRDefault="001E771D" w:rsidP="006E04D4">
            <w:pPr>
              <w:pStyle w:val="tbltext"/>
            </w:pPr>
            <w:r w:rsidRPr="004B374A">
              <w:t>Authorised audit companies and Audit firms</w:t>
            </w:r>
            <w:r>
              <w:t xml:space="preserve"> that audit publicly listed entities</w:t>
            </w:r>
          </w:p>
        </w:tc>
        <w:tc>
          <w:tcPr>
            <w:tcW w:w="1361" w:type="dxa"/>
            <w:vAlign w:val="center"/>
          </w:tcPr>
          <w:p w14:paraId="57476EB0" w14:textId="27292081" w:rsidR="001E771D" w:rsidRPr="004B374A" w:rsidRDefault="001E771D" w:rsidP="006E04D4">
            <w:pPr>
              <w:pStyle w:val="tbltext"/>
            </w:pPr>
            <w:r w:rsidRPr="004B374A">
              <w:t>$4.3m</w:t>
            </w:r>
          </w:p>
        </w:tc>
        <w:tc>
          <w:tcPr>
            <w:tcW w:w="1134" w:type="dxa"/>
            <w:vAlign w:val="center"/>
          </w:tcPr>
          <w:p w14:paraId="6A6E3AB7" w14:textId="6FD0C70F" w:rsidR="001E771D" w:rsidRPr="004B374A" w:rsidRDefault="001E771D" w:rsidP="006E04D4">
            <w:pPr>
              <w:pStyle w:val="tbltext"/>
            </w:pPr>
            <w:r w:rsidRPr="004B374A">
              <w:t>125</w:t>
            </w:r>
          </w:p>
        </w:tc>
        <w:tc>
          <w:tcPr>
            <w:tcW w:w="1361" w:type="dxa"/>
            <w:vAlign w:val="center"/>
          </w:tcPr>
          <w:p w14:paraId="21CF6416" w14:textId="37716E41" w:rsidR="001E771D" w:rsidRPr="004B374A" w:rsidRDefault="001E771D" w:rsidP="006E04D4">
            <w:pPr>
              <w:pStyle w:val="tbltext"/>
            </w:pPr>
            <w:r w:rsidRPr="004B374A">
              <w:t>Audit fee revenue</w:t>
            </w:r>
          </w:p>
        </w:tc>
        <w:tc>
          <w:tcPr>
            <w:tcW w:w="2211" w:type="dxa"/>
            <w:vAlign w:val="center"/>
          </w:tcPr>
          <w:p w14:paraId="2C3F5F29" w14:textId="72E4A16E" w:rsidR="001E771D" w:rsidRDefault="001E771D" w:rsidP="006E04D4">
            <w:pPr>
              <w:pStyle w:val="tbltext"/>
            </w:pPr>
            <w:r w:rsidRPr="004B374A">
              <w:t>Total fees paid or payable to the appointed audit firm or authorised audit company that are attributable to the audit and review of the</w:t>
            </w:r>
            <w:r w:rsidR="00C60CE1">
              <w:br/>
            </w:r>
            <w:r w:rsidRPr="004B374A">
              <w:t>full</w:t>
            </w:r>
            <w:r w:rsidR="00DE48B2">
              <w:t>-</w:t>
            </w:r>
            <w:r w:rsidRPr="004B374A">
              <w:t>year and</w:t>
            </w:r>
            <w:r w:rsidR="00C60CE1">
              <w:t xml:space="preserve"> </w:t>
            </w:r>
            <w:r w:rsidRPr="004B374A">
              <w:t xml:space="preserve">half-year financial reports </w:t>
            </w:r>
            <w:r w:rsidR="00DE48B2">
              <w:t xml:space="preserve">for the financial year that ended </w:t>
            </w:r>
            <w:r w:rsidRPr="004B374A">
              <w:t>during the relevant financial year of each entity with equity securities listed and any of the controlled entities of such an entity.</w:t>
            </w:r>
          </w:p>
        </w:tc>
        <w:tc>
          <w:tcPr>
            <w:tcW w:w="1701" w:type="dxa"/>
            <w:gridSpan w:val="2"/>
            <w:vAlign w:val="center"/>
          </w:tcPr>
          <w:p w14:paraId="16326018" w14:textId="2968C40A" w:rsidR="001E771D" w:rsidRPr="000540E1" w:rsidRDefault="001E771D" w:rsidP="006E04D4">
            <w:pPr>
              <w:pStyle w:val="tbltext"/>
            </w:pPr>
            <w:r w:rsidRPr="004B374A">
              <w:t>New reporting requirement</w:t>
            </w:r>
          </w:p>
        </w:tc>
        <w:tc>
          <w:tcPr>
            <w:tcW w:w="1701" w:type="dxa"/>
            <w:gridSpan w:val="2"/>
            <w:vAlign w:val="center"/>
          </w:tcPr>
          <w:p w14:paraId="259D350A" w14:textId="33358BC0" w:rsidR="001E771D" w:rsidRPr="000540E1" w:rsidRDefault="001E771D" w:rsidP="006E04D4">
            <w:pPr>
              <w:pStyle w:val="tbltext"/>
            </w:pPr>
            <w:r w:rsidRPr="004B374A">
              <w:t>Data not available to estimate indicative levy</w:t>
            </w:r>
          </w:p>
        </w:tc>
        <w:tc>
          <w:tcPr>
            <w:tcW w:w="2835" w:type="dxa"/>
            <w:vAlign w:val="center"/>
          </w:tcPr>
          <w:p w14:paraId="2A865F19" w14:textId="6B7DBCD8" w:rsidR="001E771D" w:rsidRPr="000540E1" w:rsidRDefault="001E771D" w:rsidP="00FC5759">
            <w:pPr>
              <w:pStyle w:val="tbltext"/>
            </w:pPr>
            <w:r w:rsidRPr="004B374A">
              <w:t xml:space="preserve">Entity’s Audit Fee Revenue/Total Subsector Audit Fee Revenue x ASIC’s Costs for the </w:t>
            </w:r>
            <w:r w:rsidR="00FC5759">
              <w:t>s</w:t>
            </w:r>
            <w:r w:rsidRPr="004B374A">
              <w:t>ubsector</w:t>
            </w:r>
          </w:p>
        </w:tc>
      </w:tr>
      <w:tr w:rsidR="00AE1560" w:rsidRPr="000540E1" w14:paraId="7F601C76" w14:textId="77777777" w:rsidTr="00C60CE1">
        <w:trPr>
          <w:cantSplit/>
        </w:trPr>
        <w:tc>
          <w:tcPr>
            <w:tcW w:w="1531" w:type="dxa"/>
            <w:vAlign w:val="center"/>
          </w:tcPr>
          <w:p w14:paraId="39F7FA58" w14:textId="77777777" w:rsidR="00AE1560" w:rsidRPr="004B374A" w:rsidRDefault="00AE1560" w:rsidP="006E04D4">
            <w:pPr>
              <w:pStyle w:val="tbltext"/>
            </w:pPr>
            <w:r w:rsidRPr="004B374A">
              <w:t>Registered company auditors</w:t>
            </w:r>
          </w:p>
        </w:tc>
        <w:tc>
          <w:tcPr>
            <w:tcW w:w="1361" w:type="dxa"/>
            <w:vAlign w:val="center"/>
          </w:tcPr>
          <w:p w14:paraId="794BCD6B" w14:textId="77777777" w:rsidR="00AE1560" w:rsidRPr="004B374A" w:rsidRDefault="00AE1560" w:rsidP="006E04D4">
            <w:pPr>
              <w:pStyle w:val="tbltext"/>
            </w:pPr>
            <w:r w:rsidRPr="004B374A">
              <w:t>$0.8m</w:t>
            </w:r>
          </w:p>
        </w:tc>
        <w:tc>
          <w:tcPr>
            <w:tcW w:w="1134" w:type="dxa"/>
            <w:vAlign w:val="center"/>
          </w:tcPr>
          <w:p w14:paraId="6C147EB3" w14:textId="77777777" w:rsidR="00AE1560" w:rsidRPr="004B374A" w:rsidRDefault="00AE1560" w:rsidP="006E04D4">
            <w:pPr>
              <w:pStyle w:val="tbltext"/>
            </w:pPr>
            <w:r w:rsidRPr="004B374A">
              <w:t>4,700</w:t>
            </w:r>
          </w:p>
        </w:tc>
        <w:tc>
          <w:tcPr>
            <w:tcW w:w="1361" w:type="dxa"/>
            <w:vAlign w:val="center"/>
          </w:tcPr>
          <w:p w14:paraId="694D8A64" w14:textId="77777777" w:rsidR="00AE1560" w:rsidRPr="004B374A" w:rsidRDefault="00AE1560" w:rsidP="006E04D4">
            <w:pPr>
              <w:pStyle w:val="tbltext"/>
            </w:pPr>
            <w:r w:rsidRPr="004B374A">
              <w:t>Flat levy</w:t>
            </w:r>
          </w:p>
        </w:tc>
        <w:tc>
          <w:tcPr>
            <w:tcW w:w="2211" w:type="dxa"/>
            <w:vAlign w:val="center"/>
          </w:tcPr>
          <w:p w14:paraId="5EC317C9" w14:textId="77777777" w:rsidR="00AE1560" w:rsidRPr="004B374A" w:rsidRDefault="00AE1560" w:rsidP="006E04D4">
            <w:pPr>
              <w:pStyle w:val="tbltext"/>
            </w:pPr>
            <w:r>
              <w:t>Flat levy</w:t>
            </w:r>
          </w:p>
        </w:tc>
        <w:tc>
          <w:tcPr>
            <w:tcW w:w="1701" w:type="dxa"/>
            <w:gridSpan w:val="2"/>
            <w:vAlign w:val="center"/>
          </w:tcPr>
          <w:p w14:paraId="7D7464B7" w14:textId="77777777" w:rsidR="00AE1560" w:rsidRPr="000540E1" w:rsidRDefault="00AE1560" w:rsidP="006E04D4">
            <w:pPr>
              <w:pStyle w:val="tbltext"/>
            </w:pPr>
            <w:r w:rsidRPr="004B374A">
              <w:t>ASIC</w:t>
            </w:r>
            <w:r>
              <w:t>’</w:t>
            </w:r>
            <w:r w:rsidRPr="004B374A">
              <w:t>s Auditor Register</w:t>
            </w:r>
          </w:p>
        </w:tc>
        <w:tc>
          <w:tcPr>
            <w:tcW w:w="1701" w:type="dxa"/>
            <w:gridSpan w:val="2"/>
            <w:vAlign w:val="center"/>
          </w:tcPr>
          <w:p w14:paraId="7548B37E" w14:textId="77777777" w:rsidR="00AE1560" w:rsidRPr="000540E1" w:rsidRDefault="00AE1560" w:rsidP="006E04D4">
            <w:pPr>
              <w:pStyle w:val="tbltext"/>
            </w:pPr>
            <w:r w:rsidRPr="004B374A">
              <w:t>ASIC</w:t>
            </w:r>
            <w:r>
              <w:t>’</w:t>
            </w:r>
            <w:r w:rsidRPr="004B374A">
              <w:t>s Auditor Register</w:t>
            </w:r>
          </w:p>
        </w:tc>
        <w:tc>
          <w:tcPr>
            <w:tcW w:w="2835" w:type="dxa"/>
            <w:vAlign w:val="center"/>
          </w:tcPr>
          <w:p w14:paraId="011AE216" w14:textId="77777777" w:rsidR="00AE1560" w:rsidRPr="000540E1" w:rsidRDefault="00AE1560" w:rsidP="006E04D4">
            <w:pPr>
              <w:pStyle w:val="tbltext"/>
            </w:pPr>
            <w:r w:rsidRPr="004B374A">
              <w:t>$170 annual levy</w:t>
            </w:r>
          </w:p>
        </w:tc>
      </w:tr>
      <w:tr w:rsidR="001E771D" w:rsidRPr="000540E1" w14:paraId="61B9DBC3" w14:textId="7FFB0D28" w:rsidTr="00C60CE1">
        <w:trPr>
          <w:cantSplit/>
        </w:trPr>
        <w:tc>
          <w:tcPr>
            <w:tcW w:w="1531" w:type="dxa"/>
            <w:vAlign w:val="center"/>
          </w:tcPr>
          <w:p w14:paraId="35E7780A" w14:textId="3230AC05" w:rsidR="001E771D" w:rsidRPr="004B374A" w:rsidRDefault="001E771D" w:rsidP="006E04D4">
            <w:pPr>
              <w:pStyle w:val="tbltext"/>
            </w:pPr>
            <w:r w:rsidRPr="004B374A">
              <w:t>Credit providers</w:t>
            </w:r>
          </w:p>
        </w:tc>
        <w:tc>
          <w:tcPr>
            <w:tcW w:w="1361" w:type="dxa"/>
            <w:vAlign w:val="center"/>
          </w:tcPr>
          <w:p w14:paraId="0BF4E915" w14:textId="1044100A" w:rsidR="001E771D" w:rsidRPr="004B374A" w:rsidRDefault="001E771D" w:rsidP="006E04D4">
            <w:pPr>
              <w:pStyle w:val="tbltext"/>
            </w:pPr>
            <w:r w:rsidRPr="004B374A">
              <w:t>$9.3m</w:t>
            </w:r>
          </w:p>
        </w:tc>
        <w:tc>
          <w:tcPr>
            <w:tcW w:w="1134" w:type="dxa"/>
            <w:vAlign w:val="center"/>
          </w:tcPr>
          <w:p w14:paraId="4D9E8F1D" w14:textId="1E280968" w:rsidR="001E771D" w:rsidRPr="004B374A" w:rsidRDefault="001E771D" w:rsidP="006E04D4">
            <w:pPr>
              <w:pStyle w:val="tbltext"/>
            </w:pPr>
            <w:r w:rsidRPr="004B374A">
              <w:t>1,271</w:t>
            </w:r>
          </w:p>
        </w:tc>
        <w:tc>
          <w:tcPr>
            <w:tcW w:w="1361" w:type="dxa"/>
            <w:vAlign w:val="center"/>
          </w:tcPr>
          <w:p w14:paraId="56E5261F" w14:textId="00FD8FFC" w:rsidR="001E771D" w:rsidRPr="004B374A" w:rsidRDefault="001E771D" w:rsidP="006E04D4">
            <w:pPr>
              <w:pStyle w:val="tbltext"/>
            </w:pPr>
            <w:r w:rsidRPr="004B374A">
              <w:t>Credit provided</w:t>
            </w:r>
          </w:p>
        </w:tc>
        <w:tc>
          <w:tcPr>
            <w:tcW w:w="2211" w:type="dxa"/>
            <w:vAlign w:val="center"/>
          </w:tcPr>
          <w:p w14:paraId="2FF46441" w14:textId="1A8968AD" w:rsidR="001E771D" w:rsidRPr="004B374A" w:rsidRDefault="001E771D" w:rsidP="006E04D4">
            <w:pPr>
              <w:pStyle w:val="tbltext"/>
            </w:pPr>
            <w:r w:rsidRPr="004B374A">
              <w:t>The total amount of credit provided under credit contracts (other than small amount credit contracts) by the credit provider during the relevant financial year</w:t>
            </w:r>
            <w:r>
              <w:t>.</w:t>
            </w:r>
          </w:p>
        </w:tc>
        <w:tc>
          <w:tcPr>
            <w:tcW w:w="1701" w:type="dxa"/>
            <w:gridSpan w:val="2"/>
            <w:vAlign w:val="center"/>
          </w:tcPr>
          <w:p w14:paraId="4DB6E828" w14:textId="16467265" w:rsidR="001E771D" w:rsidRPr="000540E1" w:rsidRDefault="001E771D" w:rsidP="006E04D4">
            <w:pPr>
              <w:pStyle w:val="tbltext"/>
            </w:pPr>
            <w:r w:rsidRPr="004B374A">
              <w:t>New reporting requirement</w:t>
            </w:r>
          </w:p>
        </w:tc>
        <w:tc>
          <w:tcPr>
            <w:tcW w:w="1701" w:type="dxa"/>
            <w:gridSpan w:val="2"/>
            <w:vAlign w:val="center"/>
          </w:tcPr>
          <w:p w14:paraId="7CF51880" w14:textId="279F524D" w:rsidR="001E771D" w:rsidRPr="000540E1" w:rsidRDefault="001E771D" w:rsidP="006E04D4">
            <w:pPr>
              <w:pStyle w:val="tbltext"/>
            </w:pPr>
            <w:r w:rsidRPr="004B374A">
              <w:t>Credit written during 2014</w:t>
            </w:r>
            <w:r>
              <w:t>–</w:t>
            </w:r>
            <w:r w:rsidRPr="004B374A">
              <w:t>15</w:t>
            </w:r>
          </w:p>
        </w:tc>
        <w:tc>
          <w:tcPr>
            <w:tcW w:w="2835" w:type="dxa"/>
            <w:vAlign w:val="center"/>
          </w:tcPr>
          <w:p w14:paraId="5D34B7E2" w14:textId="262523FF" w:rsidR="001E771D" w:rsidRPr="000540E1" w:rsidRDefault="001E771D" w:rsidP="006E04D4">
            <w:pPr>
              <w:pStyle w:val="tbltext"/>
            </w:pPr>
            <w:r w:rsidRPr="004B374A">
              <w:t>$2,000 minimum levy for all credit providers plus an estimated $0.</w:t>
            </w:r>
            <w:r>
              <w:t>15</w:t>
            </w:r>
            <w:r w:rsidRPr="004B374A">
              <w:t xml:space="preserve"> per $10,000 of credit provided (other than under a small amount credit contract) greater than $100 million</w:t>
            </w:r>
          </w:p>
        </w:tc>
      </w:tr>
      <w:tr w:rsidR="001E771D" w:rsidRPr="000540E1" w14:paraId="7B7191B8" w14:textId="4A7F38C9" w:rsidTr="00C60CE1">
        <w:trPr>
          <w:cantSplit/>
        </w:trPr>
        <w:tc>
          <w:tcPr>
            <w:tcW w:w="1531" w:type="dxa"/>
            <w:vAlign w:val="center"/>
          </w:tcPr>
          <w:p w14:paraId="3C6A918C" w14:textId="51C28C66" w:rsidR="001E771D" w:rsidRPr="004B374A" w:rsidRDefault="001E771D" w:rsidP="006E04D4">
            <w:pPr>
              <w:pStyle w:val="tbltext"/>
            </w:pPr>
            <w:r w:rsidRPr="004B374A">
              <w:t>Small amount credit provider</w:t>
            </w:r>
            <w:r w:rsidR="00FC5759">
              <w:t>s</w:t>
            </w:r>
          </w:p>
        </w:tc>
        <w:tc>
          <w:tcPr>
            <w:tcW w:w="1361" w:type="dxa"/>
            <w:vAlign w:val="center"/>
          </w:tcPr>
          <w:p w14:paraId="5F5E78BE" w14:textId="704EEFB1" w:rsidR="001E771D" w:rsidRPr="004B374A" w:rsidRDefault="001E771D" w:rsidP="006E04D4">
            <w:pPr>
              <w:pStyle w:val="tbltext"/>
            </w:pPr>
            <w:r w:rsidRPr="004B374A">
              <w:t>$2.0m</w:t>
            </w:r>
          </w:p>
        </w:tc>
        <w:tc>
          <w:tcPr>
            <w:tcW w:w="1134" w:type="dxa"/>
            <w:vAlign w:val="center"/>
          </w:tcPr>
          <w:p w14:paraId="464B0131" w14:textId="1F4E510A" w:rsidR="001E771D" w:rsidRPr="004B374A" w:rsidRDefault="001E771D" w:rsidP="006E04D4">
            <w:pPr>
              <w:pStyle w:val="tbltext"/>
            </w:pPr>
            <w:r w:rsidRPr="004B374A">
              <w:t>Estimated to be 332</w:t>
            </w:r>
          </w:p>
        </w:tc>
        <w:tc>
          <w:tcPr>
            <w:tcW w:w="1361" w:type="dxa"/>
            <w:vAlign w:val="center"/>
          </w:tcPr>
          <w:p w14:paraId="46798B6B" w14:textId="1A87AA27" w:rsidR="001E771D" w:rsidRPr="004B374A" w:rsidRDefault="001E771D" w:rsidP="006E04D4">
            <w:pPr>
              <w:pStyle w:val="tbltext"/>
            </w:pPr>
            <w:r w:rsidRPr="004B374A">
              <w:t>Credit provided under small amount credit contracts</w:t>
            </w:r>
          </w:p>
        </w:tc>
        <w:tc>
          <w:tcPr>
            <w:tcW w:w="2211" w:type="dxa"/>
            <w:vAlign w:val="center"/>
          </w:tcPr>
          <w:p w14:paraId="3FE660D0" w14:textId="61975283" w:rsidR="001E771D" w:rsidRPr="004B374A" w:rsidRDefault="001E771D" w:rsidP="006E04D4">
            <w:pPr>
              <w:pStyle w:val="tbltext"/>
            </w:pPr>
            <w:r w:rsidRPr="004B374A">
              <w:t>The total amount of credit provided under small amount credit contracts by the credit provider during the relevant financial year</w:t>
            </w:r>
            <w:r>
              <w:t>.</w:t>
            </w:r>
          </w:p>
        </w:tc>
        <w:tc>
          <w:tcPr>
            <w:tcW w:w="1701" w:type="dxa"/>
            <w:gridSpan w:val="2"/>
            <w:vAlign w:val="center"/>
          </w:tcPr>
          <w:p w14:paraId="041CD658" w14:textId="79E2C72C" w:rsidR="001E771D" w:rsidRPr="000540E1" w:rsidRDefault="001E771D" w:rsidP="006E04D4">
            <w:pPr>
              <w:pStyle w:val="tbltext"/>
            </w:pPr>
            <w:r w:rsidRPr="004B374A">
              <w:t>New reporting requirement</w:t>
            </w:r>
          </w:p>
        </w:tc>
        <w:tc>
          <w:tcPr>
            <w:tcW w:w="1701" w:type="dxa"/>
            <w:gridSpan w:val="2"/>
            <w:vAlign w:val="center"/>
          </w:tcPr>
          <w:p w14:paraId="6157AC15" w14:textId="0BFFE583" w:rsidR="001E771D" w:rsidRPr="000540E1" w:rsidRDefault="001E771D" w:rsidP="006E04D4">
            <w:pPr>
              <w:pStyle w:val="tbltext"/>
            </w:pPr>
            <w:r w:rsidRPr="004B374A">
              <w:t>Data not available to estimate indicative levy</w:t>
            </w:r>
          </w:p>
        </w:tc>
        <w:tc>
          <w:tcPr>
            <w:tcW w:w="2835" w:type="dxa"/>
            <w:vAlign w:val="center"/>
          </w:tcPr>
          <w:p w14:paraId="0DB24F23" w14:textId="19C3458F" w:rsidR="001E771D" w:rsidRPr="000540E1" w:rsidRDefault="001E771D" w:rsidP="006E04D4">
            <w:pPr>
              <w:pStyle w:val="tbltext"/>
            </w:pPr>
            <w:r w:rsidRPr="004B374A">
              <w:t>Small amount credit providers are liable for the $2,000 minimum levy p</w:t>
            </w:r>
            <w:r w:rsidR="005B65A8">
              <w:t>ayable by all credit providers.</w:t>
            </w:r>
            <w:r w:rsidRPr="004B374A">
              <w:t xml:space="preserve"> In addition, a graduated levy </w:t>
            </w:r>
            <w:r w:rsidR="004D3E39">
              <w:t xml:space="preserve">is proposed </w:t>
            </w:r>
            <w:r w:rsidRPr="004B374A">
              <w:t>based on the entity</w:t>
            </w:r>
            <w:r w:rsidR="0003187F">
              <w:t>’</w:t>
            </w:r>
            <w:r w:rsidRPr="004B374A">
              <w:t xml:space="preserve">s </w:t>
            </w:r>
            <w:r>
              <w:t xml:space="preserve">relative </w:t>
            </w:r>
            <w:r w:rsidRPr="004B374A">
              <w:t>share of credit provided under small amount credit contracts during the relevant financial year.</w:t>
            </w:r>
          </w:p>
        </w:tc>
      </w:tr>
      <w:tr w:rsidR="001E771D" w:rsidRPr="000540E1" w14:paraId="7B3D7A8E" w14:textId="0C92BC92" w:rsidTr="00C60CE1">
        <w:trPr>
          <w:cantSplit/>
        </w:trPr>
        <w:tc>
          <w:tcPr>
            <w:tcW w:w="1531" w:type="dxa"/>
            <w:vAlign w:val="center"/>
          </w:tcPr>
          <w:p w14:paraId="20A92A0E" w14:textId="00939DFD" w:rsidR="001E771D" w:rsidRPr="004B374A" w:rsidRDefault="001E771D" w:rsidP="006E04D4">
            <w:pPr>
              <w:pStyle w:val="tbltext"/>
            </w:pPr>
            <w:r w:rsidRPr="004B374A">
              <w:t>Credit intermediaries</w:t>
            </w:r>
          </w:p>
        </w:tc>
        <w:tc>
          <w:tcPr>
            <w:tcW w:w="1361" w:type="dxa"/>
            <w:vAlign w:val="center"/>
          </w:tcPr>
          <w:p w14:paraId="14BF2126" w14:textId="3A20A4E3" w:rsidR="001E771D" w:rsidRPr="004B374A" w:rsidRDefault="001E771D" w:rsidP="006E04D4">
            <w:pPr>
              <w:pStyle w:val="tbltext"/>
            </w:pPr>
            <w:r w:rsidRPr="004B374A">
              <w:t>$15.8m</w:t>
            </w:r>
          </w:p>
        </w:tc>
        <w:tc>
          <w:tcPr>
            <w:tcW w:w="1134" w:type="dxa"/>
            <w:vAlign w:val="center"/>
          </w:tcPr>
          <w:p w14:paraId="03675BEA" w14:textId="1162783A" w:rsidR="001E771D" w:rsidRPr="004B374A" w:rsidRDefault="001E771D" w:rsidP="006E04D4">
            <w:pPr>
              <w:pStyle w:val="tbltext"/>
            </w:pPr>
            <w:r w:rsidRPr="004B374A">
              <w:t>5,</w:t>
            </w:r>
            <w:r>
              <w:t>100</w:t>
            </w:r>
          </w:p>
        </w:tc>
        <w:tc>
          <w:tcPr>
            <w:tcW w:w="1361" w:type="dxa"/>
            <w:vAlign w:val="center"/>
          </w:tcPr>
          <w:p w14:paraId="2F3DE0D2" w14:textId="09AB0D42" w:rsidR="001E771D" w:rsidRPr="004B374A" w:rsidRDefault="001E771D" w:rsidP="006E04D4">
            <w:pPr>
              <w:pStyle w:val="tbltext"/>
            </w:pPr>
            <w:r w:rsidRPr="004B374A">
              <w:t>Credit intermediated</w:t>
            </w:r>
          </w:p>
        </w:tc>
        <w:tc>
          <w:tcPr>
            <w:tcW w:w="2211" w:type="dxa"/>
            <w:vAlign w:val="center"/>
          </w:tcPr>
          <w:p w14:paraId="73E6B6B2" w14:textId="1CB52404" w:rsidR="001E771D" w:rsidRPr="004B374A" w:rsidRDefault="001E771D" w:rsidP="006E04D4">
            <w:pPr>
              <w:pStyle w:val="tbltext"/>
            </w:pPr>
            <w:r w:rsidRPr="004B374A">
              <w:t>The total amount of credit</w:t>
            </w:r>
            <w:r w:rsidR="00DE48B2">
              <w:t xml:space="preserve"> intermediated </w:t>
            </w:r>
            <w:r w:rsidRPr="004B374A">
              <w:t>during the relevant financial year under credit contracts in relation to which the person provided a credit service.</w:t>
            </w:r>
          </w:p>
        </w:tc>
        <w:tc>
          <w:tcPr>
            <w:tcW w:w="1701" w:type="dxa"/>
            <w:gridSpan w:val="2"/>
            <w:vAlign w:val="center"/>
          </w:tcPr>
          <w:p w14:paraId="74FBC5C5" w14:textId="77CF302B" w:rsidR="001E771D" w:rsidRPr="000540E1" w:rsidRDefault="001E771D" w:rsidP="006E04D4">
            <w:pPr>
              <w:pStyle w:val="tbltext"/>
            </w:pPr>
            <w:r w:rsidRPr="004B374A">
              <w:t>New reporting requirement</w:t>
            </w:r>
          </w:p>
        </w:tc>
        <w:tc>
          <w:tcPr>
            <w:tcW w:w="1701" w:type="dxa"/>
            <w:gridSpan w:val="2"/>
            <w:vAlign w:val="center"/>
          </w:tcPr>
          <w:p w14:paraId="79DF0130" w14:textId="702D6364" w:rsidR="001E771D" w:rsidRPr="000540E1" w:rsidRDefault="001E771D" w:rsidP="006E04D4">
            <w:pPr>
              <w:pStyle w:val="tbltext"/>
            </w:pPr>
            <w:r w:rsidRPr="004B374A">
              <w:rPr>
                <w:color w:val="000000" w:themeColor="text1"/>
              </w:rPr>
              <w:t>Estimated from credit intermediary</w:t>
            </w:r>
            <w:r w:rsidR="0003187F">
              <w:rPr>
                <w:color w:val="000000" w:themeColor="text1"/>
              </w:rPr>
              <w:t>’</w:t>
            </w:r>
            <w:r w:rsidRPr="004B374A">
              <w:rPr>
                <w:color w:val="000000" w:themeColor="text1"/>
              </w:rPr>
              <w:t xml:space="preserve">s Annual Compliance Certificate </w:t>
            </w:r>
          </w:p>
        </w:tc>
        <w:tc>
          <w:tcPr>
            <w:tcW w:w="2835" w:type="dxa"/>
            <w:vAlign w:val="center"/>
          </w:tcPr>
          <w:p w14:paraId="7458F21F" w14:textId="7CA5FD54" w:rsidR="001E771D" w:rsidRPr="000540E1" w:rsidRDefault="001E771D" w:rsidP="006E04D4">
            <w:pPr>
              <w:pStyle w:val="tbltext"/>
            </w:pPr>
            <w:r w:rsidRPr="004B374A">
              <w:t>$1,000 minimum levy for all credit intermediaries plus an estimated $</w:t>
            </w:r>
            <w:r>
              <w:t>1.14</w:t>
            </w:r>
            <w:r w:rsidR="00833984">
              <w:t> </w:t>
            </w:r>
            <w:r w:rsidRPr="004B374A">
              <w:t>per $10,000 of credit intermediated greater than $100 million</w:t>
            </w:r>
          </w:p>
        </w:tc>
      </w:tr>
      <w:tr w:rsidR="00C60CE1" w:rsidRPr="000540E1" w14:paraId="4E063AF9" w14:textId="134D7B3D" w:rsidTr="00C60CE1">
        <w:trPr>
          <w:cantSplit/>
        </w:trPr>
        <w:tc>
          <w:tcPr>
            <w:tcW w:w="1531" w:type="dxa"/>
            <w:vAlign w:val="center"/>
          </w:tcPr>
          <w:p w14:paraId="6AAC1F67" w14:textId="2F910E7B" w:rsidR="001E771D" w:rsidRPr="004B374A" w:rsidRDefault="001E771D" w:rsidP="006E04D4">
            <w:pPr>
              <w:pStyle w:val="tbltext"/>
            </w:pPr>
            <w:r w:rsidRPr="004B374A">
              <w:t>Deposit product provider</w:t>
            </w:r>
            <w:r w:rsidR="00FC5759">
              <w:t>s</w:t>
            </w:r>
          </w:p>
        </w:tc>
        <w:tc>
          <w:tcPr>
            <w:tcW w:w="1361" w:type="dxa"/>
            <w:vAlign w:val="center"/>
          </w:tcPr>
          <w:p w14:paraId="683D9BEA" w14:textId="0FE145AE" w:rsidR="001E771D" w:rsidRPr="004B374A" w:rsidRDefault="001E771D" w:rsidP="006E04D4">
            <w:pPr>
              <w:pStyle w:val="tbltext"/>
            </w:pPr>
            <w:r w:rsidRPr="004B374A">
              <w:t>$3.1m</w:t>
            </w:r>
          </w:p>
        </w:tc>
        <w:tc>
          <w:tcPr>
            <w:tcW w:w="1134" w:type="dxa"/>
            <w:vAlign w:val="center"/>
          </w:tcPr>
          <w:p w14:paraId="1E93569F" w14:textId="6C3375E8" w:rsidR="001E771D" w:rsidRPr="004B374A" w:rsidRDefault="00B97C1A" w:rsidP="006E04D4">
            <w:pPr>
              <w:pStyle w:val="tbltext"/>
            </w:pPr>
            <w:r>
              <w:t>258</w:t>
            </w:r>
          </w:p>
        </w:tc>
        <w:tc>
          <w:tcPr>
            <w:tcW w:w="1361" w:type="dxa"/>
            <w:vAlign w:val="center"/>
          </w:tcPr>
          <w:p w14:paraId="156ED9D8" w14:textId="00202232" w:rsidR="001E771D" w:rsidRPr="004B374A" w:rsidRDefault="001E771D" w:rsidP="006E04D4">
            <w:pPr>
              <w:pStyle w:val="tbltext"/>
            </w:pPr>
            <w:r w:rsidRPr="004B374A">
              <w:t>Total deposits</w:t>
            </w:r>
          </w:p>
        </w:tc>
        <w:tc>
          <w:tcPr>
            <w:tcW w:w="2324" w:type="dxa"/>
            <w:gridSpan w:val="2"/>
            <w:vAlign w:val="center"/>
          </w:tcPr>
          <w:p w14:paraId="58A80344" w14:textId="533B0435" w:rsidR="001E771D" w:rsidRPr="004B374A" w:rsidRDefault="001E771D" w:rsidP="006E04D4">
            <w:pPr>
              <w:pStyle w:val="tbltext"/>
            </w:pPr>
            <w:r w:rsidRPr="004B374A">
              <w:t>Total deposits comprise transaction d</w:t>
            </w:r>
            <w:r w:rsidR="00C60CE1">
              <w:t>eposit accounts, non-transaction</w:t>
            </w:r>
            <w:r w:rsidRPr="004B374A">
              <w:t xml:space="preserve"> deposit accounts, certificates of deposit and foreign currency deposits, but exclude intra-group deposits.</w:t>
            </w:r>
          </w:p>
        </w:tc>
        <w:tc>
          <w:tcPr>
            <w:tcW w:w="1644" w:type="dxa"/>
            <w:gridSpan w:val="2"/>
            <w:vAlign w:val="center"/>
          </w:tcPr>
          <w:p w14:paraId="409232B3" w14:textId="431D826A" w:rsidR="001E771D" w:rsidRPr="000540E1" w:rsidRDefault="001E771D" w:rsidP="006E04D4">
            <w:pPr>
              <w:pStyle w:val="tbltext"/>
            </w:pPr>
            <w:r w:rsidRPr="004B374A">
              <w:t>New reporting requirement</w:t>
            </w:r>
          </w:p>
        </w:tc>
        <w:tc>
          <w:tcPr>
            <w:tcW w:w="1644" w:type="dxa"/>
            <w:vAlign w:val="center"/>
          </w:tcPr>
          <w:p w14:paraId="43AFE58D" w14:textId="697CD0CE" w:rsidR="001E771D" w:rsidRPr="000540E1" w:rsidRDefault="005B65A8" w:rsidP="006E04D4">
            <w:pPr>
              <w:pStyle w:val="tbltext"/>
            </w:pPr>
            <w:r>
              <w:t xml:space="preserve">APRA, </w:t>
            </w:r>
            <w:r w:rsidR="001E771D" w:rsidRPr="004B374A">
              <w:t>Monthly Banking Statistics</w:t>
            </w:r>
          </w:p>
        </w:tc>
        <w:tc>
          <w:tcPr>
            <w:tcW w:w="2835" w:type="dxa"/>
            <w:vAlign w:val="center"/>
          </w:tcPr>
          <w:p w14:paraId="1E7D7CE6" w14:textId="3E89C906" w:rsidR="001E771D" w:rsidRPr="000540E1" w:rsidRDefault="001E771D" w:rsidP="006E04D4">
            <w:pPr>
              <w:pStyle w:val="tbltext"/>
            </w:pPr>
            <w:r w:rsidRPr="004B374A">
              <w:t>$2,000 minimum levy payable by all deposit product providers plus $0.</w:t>
            </w:r>
            <w:r w:rsidR="00B97C1A" w:rsidRPr="004B374A">
              <w:t>0</w:t>
            </w:r>
            <w:r w:rsidR="00B97C1A">
              <w:t>2</w:t>
            </w:r>
            <w:r w:rsidR="00B97C1A" w:rsidRPr="004B374A">
              <w:t xml:space="preserve"> </w:t>
            </w:r>
            <w:r w:rsidRPr="004B374A">
              <w:t>for each $10,000 of deposit liabilities greater than $10 million</w:t>
            </w:r>
          </w:p>
        </w:tc>
      </w:tr>
      <w:tr w:rsidR="001E771D" w:rsidRPr="000540E1" w14:paraId="6F1B125F" w14:textId="4F2D3DB3" w:rsidTr="00C60CE1">
        <w:trPr>
          <w:cantSplit/>
        </w:trPr>
        <w:tc>
          <w:tcPr>
            <w:tcW w:w="1531" w:type="dxa"/>
            <w:vAlign w:val="center"/>
          </w:tcPr>
          <w:p w14:paraId="095BF9B3" w14:textId="6AE54DF6" w:rsidR="001E771D" w:rsidRPr="004B374A" w:rsidRDefault="001E771D" w:rsidP="006E04D4">
            <w:pPr>
              <w:pStyle w:val="tbltext"/>
            </w:pPr>
            <w:r w:rsidRPr="004B374A">
              <w:t>Payment product provider</w:t>
            </w:r>
            <w:r w:rsidR="00FC5759">
              <w:t>s</w:t>
            </w:r>
          </w:p>
        </w:tc>
        <w:tc>
          <w:tcPr>
            <w:tcW w:w="1361" w:type="dxa"/>
            <w:vAlign w:val="center"/>
          </w:tcPr>
          <w:p w14:paraId="2886F117" w14:textId="238C02BB" w:rsidR="001E771D" w:rsidRPr="004B374A" w:rsidRDefault="001E771D" w:rsidP="006E04D4">
            <w:pPr>
              <w:pStyle w:val="tbltext"/>
            </w:pPr>
            <w:r w:rsidRPr="004B374A">
              <w:t>$2.4m</w:t>
            </w:r>
          </w:p>
        </w:tc>
        <w:tc>
          <w:tcPr>
            <w:tcW w:w="1134" w:type="dxa"/>
            <w:vAlign w:val="center"/>
          </w:tcPr>
          <w:p w14:paraId="5BDBC783" w14:textId="4D519487" w:rsidR="001E771D" w:rsidRPr="004B374A" w:rsidRDefault="001E771D" w:rsidP="006E04D4">
            <w:pPr>
              <w:pStyle w:val="tbltext"/>
            </w:pPr>
            <w:r w:rsidRPr="004B374A">
              <w:t>266</w:t>
            </w:r>
          </w:p>
        </w:tc>
        <w:tc>
          <w:tcPr>
            <w:tcW w:w="1361" w:type="dxa"/>
            <w:vAlign w:val="center"/>
          </w:tcPr>
          <w:p w14:paraId="1981C35C" w14:textId="5DC0CA3F" w:rsidR="001E771D" w:rsidRPr="004B374A" w:rsidRDefault="001E771D" w:rsidP="006E04D4">
            <w:pPr>
              <w:pStyle w:val="tbltext"/>
            </w:pPr>
            <w:r w:rsidRPr="00833984">
              <w:rPr>
                <w:b/>
              </w:rPr>
              <w:t>Year 1</w:t>
            </w:r>
            <w:r w:rsidRPr="004B374A">
              <w:t xml:space="preserve">: </w:t>
            </w:r>
            <w:r>
              <w:t>Flat levy</w:t>
            </w:r>
            <w:r w:rsidR="00833984">
              <w:br/>
            </w:r>
            <w:r w:rsidRPr="00833984">
              <w:rPr>
                <w:b/>
              </w:rPr>
              <w:t>Year 2</w:t>
            </w:r>
            <w:r w:rsidRPr="004B374A">
              <w:t xml:space="preserve">: revenue from payment product </w:t>
            </w:r>
            <w:r>
              <w:t xml:space="preserve">provider </w:t>
            </w:r>
            <w:r w:rsidRPr="004B374A">
              <w:t>activity</w:t>
            </w:r>
          </w:p>
        </w:tc>
        <w:tc>
          <w:tcPr>
            <w:tcW w:w="2211" w:type="dxa"/>
            <w:vAlign w:val="center"/>
          </w:tcPr>
          <w:p w14:paraId="223060F0" w14:textId="383BFE46" w:rsidR="001E771D" w:rsidRPr="004B374A" w:rsidRDefault="001E771D" w:rsidP="006E04D4">
            <w:pPr>
              <w:pStyle w:val="tbltext"/>
            </w:pPr>
            <w:r w:rsidRPr="00833984">
              <w:rPr>
                <w:b/>
              </w:rPr>
              <w:t>Year 1</w:t>
            </w:r>
            <w:r w:rsidRPr="004B374A">
              <w:t xml:space="preserve">: </w:t>
            </w:r>
            <w:r>
              <w:t>Flat levy</w:t>
            </w:r>
            <w:r w:rsidRPr="004B374A">
              <w:t>,</w:t>
            </w:r>
            <w:r w:rsidRPr="004B374A">
              <w:br/>
            </w:r>
            <w:r w:rsidRPr="00833984">
              <w:rPr>
                <w:b/>
              </w:rPr>
              <w:t>Year 2</w:t>
            </w:r>
            <w:r w:rsidRPr="004B374A">
              <w:t>: Total revenue received less expenses incurred by the licensee from non-cash payment facilities the licensee has dealt in.</w:t>
            </w:r>
          </w:p>
        </w:tc>
        <w:tc>
          <w:tcPr>
            <w:tcW w:w="1701" w:type="dxa"/>
            <w:gridSpan w:val="2"/>
            <w:vAlign w:val="center"/>
          </w:tcPr>
          <w:p w14:paraId="350399BA" w14:textId="2739D0B7"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New reporting requirement</w:t>
            </w:r>
          </w:p>
        </w:tc>
        <w:tc>
          <w:tcPr>
            <w:tcW w:w="1701" w:type="dxa"/>
            <w:gridSpan w:val="2"/>
            <w:vAlign w:val="center"/>
          </w:tcPr>
          <w:p w14:paraId="662D336F" w14:textId="7008C8C1"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Data not available to estimate indicative levies</w:t>
            </w:r>
          </w:p>
        </w:tc>
        <w:tc>
          <w:tcPr>
            <w:tcW w:w="2835" w:type="dxa"/>
            <w:vAlign w:val="center"/>
          </w:tcPr>
          <w:p w14:paraId="15A4D412" w14:textId="491143AE" w:rsidR="001E771D" w:rsidRPr="000540E1" w:rsidRDefault="001E771D" w:rsidP="006E04D4">
            <w:pPr>
              <w:pStyle w:val="tbltext"/>
            </w:pPr>
            <w:r w:rsidRPr="00833984">
              <w:rPr>
                <w:b/>
              </w:rPr>
              <w:t>2017-18</w:t>
            </w:r>
            <w:r w:rsidRPr="004B374A">
              <w:t>: $9,000 flat levy</w:t>
            </w:r>
            <w:r w:rsidRPr="004B374A">
              <w:br/>
            </w:r>
            <w:r w:rsidRPr="00833984">
              <w:rPr>
                <w:b/>
              </w:rPr>
              <w:t>2018</w:t>
            </w:r>
            <w:r w:rsidR="00833984">
              <w:rPr>
                <w:b/>
              </w:rPr>
              <w:t>-</w:t>
            </w:r>
            <w:r w:rsidRPr="00833984">
              <w:rPr>
                <w:b/>
              </w:rPr>
              <w:t>19</w:t>
            </w:r>
            <w:r w:rsidRPr="004B374A">
              <w:t xml:space="preserve">: graduated levy </w:t>
            </w:r>
            <w:r>
              <w:t xml:space="preserve">based on payment product provider revenue </w:t>
            </w:r>
            <w:r w:rsidRPr="004B374A">
              <w:t>with a minimum levy payable by all payment product providers</w:t>
            </w:r>
          </w:p>
        </w:tc>
      </w:tr>
      <w:tr w:rsidR="001E771D" w:rsidRPr="000540E1" w14:paraId="00BA9C5A" w14:textId="6F687A6C" w:rsidTr="00C60CE1">
        <w:trPr>
          <w:cantSplit/>
        </w:trPr>
        <w:tc>
          <w:tcPr>
            <w:tcW w:w="1531" w:type="dxa"/>
            <w:vAlign w:val="center"/>
          </w:tcPr>
          <w:p w14:paraId="7A700CA6" w14:textId="79ECC8EE" w:rsidR="001E771D" w:rsidRPr="004B374A" w:rsidRDefault="001E771D" w:rsidP="006E04D4">
            <w:pPr>
              <w:pStyle w:val="tbltext"/>
            </w:pPr>
            <w:r w:rsidRPr="004B374A">
              <w:t>Margin Lender</w:t>
            </w:r>
            <w:r w:rsidR="00FC5759">
              <w:t>s</w:t>
            </w:r>
          </w:p>
        </w:tc>
        <w:tc>
          <w:tcPr>
            <w:tcW w:w="1361" w:type="dxa"/>
            <w:vAlign w:val="center"/>
          </w:tcPr>
          <w:p w14:paraId="37A222F5" w14:textId="0FDAD305" w:rsidR="001E771D" w:rsidRPr="004B374A" w:rsidRDefault="001E771D" w:rsidP="006E04D4">
            <w:pPr>
              <w:pStyle w:val="tbltext"/>
            </w:pPr>
            <w:r w:rsidRPr="004B374A">
              <w:t>$0.2m</w:t>
            </w:r>
          </w:p>
        </w:tc>
        <w:tc>
          <w:tcPr>
            <w:tcW w:w="1134" w:type="dxa"/>
            <w:vAlign w:val="center"/>
          </w:tcPr>
          <w:p w14:paraId="6223E4FF" w14:textId="58DE0DBE" w:rsidR="001E771D" w:rsidRPr="004B374A" w:rsidRDefault="001E771D" w:rsidP="006E04D4">
            <w:pPr>
              <w:pStyle w:val="tbltext"/>
            </w:pPr>
            <w:r w:rsidRPr="004B374A">
              <w:t>2</w:t>
            </w:r>
            <w:r>
              <w:t>2</w:t>
            </w:r>
          </w:p>
        </w:tc>
        <w:tc>
          <w:tcPr>
            <w:tcW w:w="1361" w:type="dxa"/>
            <w:vAlign w:val="center"/>
          </w:tcPr>
          <w:p w14:paraId="1614FC3B" w14:textId="59C20694" w:rsidR="001E771D" w:rsidRPr="004B374A" w:rsidRDefault="001E771D" w:rsidP="006E04D4">
            <w:pPr>
              <w:pStyle w:val="tbltext"/>
            </w:pPr>
            <w:r w:rsidRPr="004B374A">
              <w:t>Flat levy</w:t>
            </w:r>
          </w:p>
        </w:tc>
        <w:tc>
          <w:tcPr>
            <w:tcW w:w="2211" w:type="dxa"/>
            <w:vAlign w:val="center"/>
          </w:tcPr>
          <w:p w14:paraId="3E1D24FF" w14:textId="0383481E" w:rsidR="001E771D" w:rsidRPr="004B374A" w:rsidRDefault="001E771D" w:rsidP="006E04D4">
            <w:pPr>
              <w:pStyle w:val="tbltext"/>
            </w:pPr>
            <w:r>
              <w:t>Flat levy</w:t>
            </w:r>
          </w:p>
        </w:tc>
        <w:tc>
          <w:tcPr>
            <w:tcW w:w="1701" w:type="dxa"/>
            <w:gridSpan w:val="2"/>
            <w:vAlign w:val="center"/>
          </w:tcPr>
          <w:p w14:paraId="7F212200" w14:textId="5C647F1F" w:rsidR="001E771D" w:rsidRPr="000540E1" w:rsidRDefault="001E771D" w:rsidP="006E04D4">
            <w:pPr>
              <w:pStyle w:val="tbltext"/>
            </w:pPr>
            <w:r>
              <w:t>ASIC database</w:t>
            </w:r>
          </w:p>
        </w:tc>
        <w:tc>
          <w:tcPr>
            <w:tcW w:w="1701" w:type="dxa"/>
            <w:gridSpan w:val="2"/>
            <w:vAlign w:val="center"/>
          </w:tcPr>
          <w:p w14:paraId="35225243" w14:textId="166DA660" w:rsidR="001E771D" w:rsidRPr="000540E1" w:rsidRDefault="001E771D" w:rsidP="006E04D4">
            <w:pPr>
              <w:pStyle w:val="tbltext"/>
            </w:pPr>
            <w:r>
              <w:t>ASIC database</w:t>
            </w:r>
          </w:p>
        </w:tc>
        <w:tc>
          <w:tcPr>
            <w:tcW w:w="2835" w:type="dxa"/>
            <w:vAlign w:val="center"/>
          </w:tcPr>
          <w:p w14:paraId="162D70CE" w14:textId="079469C0" w:rsidR="001E771D" w:rsidRPr="000540E1" w:rsidRDefault="001E771D" w:rsidP="006E04D4">
            <w:pPr>
              <w:pStyle w:val="tbltext"/>
            </w:pPr>
            <w:r w:rsidRPr="004B374A">
              <w:t>$11,100 annual levy</w:t>
            </w:r>
          </w:p>
        </w:tc>
      </w:tr>
      <w:tr w:rsidR="001E771D" w:rsidRPr="000540E1" w14:paraId="144BAD18" w14:textId="684D5424" w:rsidTr="00C60CE1">
        <w:trPr>
          <w:cantSplit/>
        </w:trPr>
        <w:tc>
          <w:tcPr>
            <w:tcW w:w="1531" w:type="dxa"/>
            <w:vAlign w:val="center"/>
          </w:tcPr>
          <w:p w14:paraId="424EFAF8" w14:textId="0BE54854" w:rsidR="001E771D" w:rsidRPr="004B374A" w:rsidRDefault="001E771D" w:rsidP="006E04D4">
            <w:pPr>
              <w:pStyle w:val="tbltext"/>
            </w:pPr>
            <w:r w:rsidRPr="004B374A">
              <w:t>Superannuation trustee</w:t>
            </w:r>
            <w:r w:rsidR="00FC5759">
              <w:t>s</w:t>
            </w:r>
            <w:r w:rsidRPr="004B374A">
              <w:t xml:space="preserve"> </w:t>
            </w:r>
          </w:p>
        </w:tc>
        <w:tc>
          <w:tcPr>
            <w:tcW w:w="1361" w:type="dxa"/>
            <w:vAlign w:val="center"/>
          </w:tcPr>
          <w:p w14:paraId="6AFED2C9" w14:textId="3F515F78" w:rsidR="001E771D" w:rsidRPr="004B374A" w:rsidRDefault="001E771D" w:rsidP="006E04D4">
            <w:pPr>
              <w:pStyle w:val="tbltext"/>
            </w:pPr>
            <w:r w:rsidRPr="004B374A">
              <w:t>$8.5m</w:t>
            </w:r>
          </w:p>
        </w:tc>
        <w:tc>
          <w:tcPr>
            <w:tcW w:w="1134" w:type="dxa"/>
            <w:vAlign w:val="center"/>
          </w:tcPr>
          <w:p w14:paraId="4CE948ED" w14:textId="43B8A725" w:rsidR="001E771D" w:rsidRPr="004B374A" w:rsidRDefault="007E17AE" w:rsidP="006E04D4">
            <w:pPr>
              <w:pStyle w:val="tbltext"/>
            </w:pPr>
            <w:r>
              <w:t>144</w:t>
            </w:r>
          </w:p>
        </w:tc>
        <w:tc>
          <w:tcPr>
            <w:tcW w:w="1361" w:type="dxa"/>
            <w:vAlign w:val="center"/>
          </w:tcPr>
          <w:p w14:paraId="2C9F991F" w14:textId="3587D9E4" w:rsidR="001E771D" w:rsidRPr="004B374A" w:rsidRDefault="001E771D" w:rsidP="006E04D4">
            <w:pPr>
              <w:pStyle w:val="tbltext"/>
            </w:pPr>
            <w:r w:rsidRPr="004B374A">
              <w:t xml:space="preserve">Funds under management </w:t>
            </w:r>
          </w:p>
        </w:tc>
        <w:tc>
          <w:tcPr>
            <w:tcW w:w="2211" w:type="dxa"/>
            <w:vAlign w:val="center"/>
          </w:tcPr>
          <w:p w14:paraId="01C1F8C2" w14:textId="37BED7B8" w:rsidR="001E771D" w:rsidRDefault="001E771D" w:rsidP="006E04D4">
            <w:pPr>
              <w:pStyle w:val="tbltext"/>
            </w:pPr>
            <w:r w:rsidRPr="004B374A">
              <w:t>The total gross assets of an RSE trustee (including acting trustees) reported to APRA, as at 30 June of the relevant financial year</w:t>
            </w:r>
            <w:r>
              <w:t>.</w:t>
            </w:r>
          </w:p>
        </w:tc>
        <w:tc>
          <w:tcPr>
            <w:tcW w:w="1701" w:type="dxa"/>
            <w:gridSpan w:val="2"/>
            <w:vAlign w:val="center"/>
          </w:tcPr>
          <w:p w14:paraId="0970CA53" w14:textId="63A9990E" w:rsidR="001E771D" w:rsidRPr="000540E1" w:rsidRDefault="001E771D" w:rsidP="006E04D4">
            <w:pPr>
              <w:pStyle w:val="tbltext"/>
            </w:pPr>
            <w:r w:rsidRPr="004B374A">
              <w:t>New reporting requirement</w:t>
            </w:r>
          </w:p>
        </w:tc>
        <w:tc>
          <w:tcPr>
            <w:tcW w:w="1701" w:type="dxa"/>
            <w:gridSpan w:val="2"/>
            <w:vAlign w:val="center"/>
          </w:tcPr>
          <w:p w14:paraId="470E8D33" w14:textId="4A6761A9" w:rsidR="001E771D" w:rsidRPr="000540E1" w:rsidRDefault="001E771D" w:rsidP="006E04D4">
            <w:pPr>
              <w:pStyle w:val="tbltext"/>
            </w:pPr>
            <w:r w:rsidRPr="004B374A">
              <w:t>APRA data for total assets (June</w:t>
            </w:r>
            <w:r w:rsidR="00C60CE1">
              <w:t> </w:t>
            </w:r>
            <w:r w:rsidRPr="004B374A">
              <w:t>2015)</w:t>
            </w:r>
          </w:p>
        </w:tc>
        <w:tc>
          <w:tcPr>
            <w:tcW w:w="2835" w:type="dxa"/>
            <w:vAlign w:val="center"/>
          </w:tcPr>
          <w:p w14:paraId="79A1E9F4" w14:textId="185DD5D0" w:rsidR="001E771D" w:rsidRPr="000540E1" w:rsidRDefault="001E771D" w:rsidP="006E04D4">
            <w:pPr>
              <w:pStyle w:val="tbltext"/>
            </w:pPr>
            <w:r w:rsidRPr="004B374A">
              <w:t>$18,000 minimum levy payable by all superannuation trustees plus an estimated $0.05</w:t>
            </w:r>
            <w:r w:rsidR="00833984">
              <w:t> </w:t>
            </w:r>
            <w:r w:rsidRPr="004B374A">
              <w:t>per $10,000 of FUM greater than $250 million</w:t>
            </w:r>
          </w:p>
        </w:tc>
      </w:tr>
      <w:tr w:rsidR="001E771D" w:rsidRPr="000540E1" w14:paraId="4B861127" w14:textId="53991FAA" w:rsidTr="00C60CE1">
        <w:trPr>
          <w:cantSplit/>
        </w:trPr>
        <w:tc>
          <w:tcPr>
            <w:tcW w:w="1531" w:type="dxa"/>
            <w:vAlign w:val="center"/>
          </w:tcPr>
          <w:p w14:paraId="6CBD9A39" w14:textId="07CDC150" w:rsidR="001E771D" w:rsidRPr="004B374A" w:rsidRDefault="00FC5759" w:rsidP="006E04D4">
            <w:pPr>
              <w:pStyle w:val="tbltext"/>
            </w:pPr>
            <w:r>
              <w:t xml:space="preserve">Responsible entities </w:t>
            </w:r>
          </w:p>
        </w:tc>
        <w:tc>
          <w:tcPr>
            <w:tcW w:w="1361" w:type="dxa"/>
            <w:vAlign w:val="center"/>
          </w:tcPr>
          <w:p w14:paraId="40D260D0" w14:textId="2E059689" w:rsidR="001E771D" w:rsidRPr="004B374A" w:rsidRDefault="001E771D" w:rsidP="006E04D4">
            <w:pPr>
              <w:pStyle w:val="tbltext"/>
            </w:pPr>
            <w:r w:rsidRPr="004B374A">
              <w:t>$23.5m</w:t>
            </w:r>
          </w:p>
        </w:tc>
        <w:tc>
          <w:tcPr>
            <w:tcW w:w="1134" w:type="dxa"/>
            <w:vAlign w:val="center"/>
          </w:tcPr>
          <w:p w14:paraId="61D8D8D0" w14:textId="276CDE43" w:rsidR="001E771D" w:rsidRPr="004B374A" w:rsidRDefault="001E771D" w:rsidP="006E04D4">
            <w:pPr>
              <w:pStyle w:val="tbltext"/>
            </w:pPr>
            <w:r w:rsidRPr="004B374A">
              <w:t>490</w:t>
            </w:r>
          </w:p>
        </w:tc>
        <w:tc>
          <w:tcPr>
            <w:tcW w:w="1361" w:type="dxa"/>
            <w:vAlign w:val="center"/>
          </w:tcPr>
          <w:p w14:paraId="570287D1" w14:textId="169777AD" w:rsidR="001E771D" w:rsidRPr="004B374A" w:rsidRDefault="001E771D" w:rsidP="006E04D4">
            <w:pPr>
              <w:pStyle w:val="tbltext"/>
            </w:pPr>
            <w:r w:rsidRPr="004B374A">
              <w:t xml:space="preserve">Funds under management </w:t>
            </w:r>
          </w:p>
        </w:tc>
        <w:tc>
          <w:tcPr>
            <w:tcW w:w="2211" w:type="dxa"/>
            <w:vAlign w:val="center"/>
          </w:tcPr>
          <w:p w14:paraId="1721381E" w14:textId="09ECCDF1" w:rsidR="001E771D" w:rsidRPr="004B374A" w:rsidRDefault="001E771D" w:rsidP="006E04D4">
            <w:pPr>
              <w:pStyle w:val="tbltext"/>
            </w:pPr>
            <w:r w:rsidRPr="004B374A">
              <w:t>The total gross assets of each responsible entity from the entity</w:t>
            </w:r>
            <w:r w:rsidR="0003187F">
              <w:t>’</w:t>
            </w:r>
            <w:r w:rsidRPr="004B374A">
              <w:t>s financial reports lodged with ASIC under section 319 of the Corporations Act.</w:t>
            </w:r>
          </w:p>
        </w:tc>
        <w:tc>
          <w:tcPr>
            <w:tcW w:w="1701" w:type="dxa"/>
            <w:gridSpan w:val="2"/>
            <w:vAlign w:val="center"/>
          </w:tcPr>
          <w:p w14:paraId="70728C8B" w14:textId="0A5704BF" w:rsidR="001E771D" w:rsidRPr="000540E1" w:rsidRDefault="001E771D" w:rsidP="006E04D4">
            <w:pPr>
              <w:pStyle w:val="tbltext"/>
            </w:pPr>
            <w:r w:rsidRPr="004B374A">
              <w:t>Amended reporting requirement (digital format)</w:t>
            </w:r>
          </w:p>
        </w:tc>
        <w:tc>
          <w:tcPr>
            <w:tcW w:w="1701" w:type="dxa"/>
            <w:gridSpan w:val="2"/>
            <w:vAlign w:val="center"/>
          </w:tcPr>
          <w:p w14:paraId="7586B2CB" w14:textId="475DC597" w:rsidR="001E771D" w:rsidRPr="000540E1" w:rsidRDefault="001E771D" w:rsidP="006E04D4">
            <w:pPr>
              <w:pStyle w:val="tbltext"/>
            </w:pPr>
            <w:r w:rsidRPr="004B374A">
              <w:t>Data lodged with ASIC by responsible entities</w:t>
            </w:r>
          </w:p>
        </w:tc>
        <w:tc>
          <w:tcPr>
            <w:tcW w:w="2835" w:type="dxa"/>
            <w:vAlign w:val="center"/>
          </w:tcPr>
          <w:p w14:paraId="3460977F" w14:textId="73720027" w:rsidR="001E771D" w:rsidRPr="000540E1" w:rsidRDefault="001E771D" w:rsidP="006E04D4">
            <w:pPr>
              <w:pStyle w:val="tbltext"/>
            </w:pPr>
            <w:r w:rsidRPr="004B374A">
              <w:t>$7,000 minimum levy payable by all responsible entities plus an estimated $0.24 per $10,000 of FUM greater than $10 million</w:t>
            </w:r>
          </w:p>
        </w:tc>
      </w:tr>
      <w:tr w:rsidR="001E771D" w:rsidRPr="000540E1" w14:paraId="0FCE1372" w14:textId="78A0BBB3" w:rsidTr="00C60CE1">
        <w:trPr>
          <w:cantSplit/>
        </w:trPr>
        <w:tc>
          <w:tcPr>
            <w:tcW w:w="1531" w:type="dxa"/>
            <w:vAlign w:val="center"/>
          </w:tcPr>
          <w:p w14:paraId="678FD3B6" w14:textId="7B7DD6D3" w:rsidR="001E771D" w:rsidRPr="004B374A" w:rsidRDefault="001E771D" w:rsidP="006E04D4">
            <w:pPr>
              <w:pStyle w:val="tbltext"/>
            </w:pPr>
            <w:r w:rsidRPr="004B374A">
              <w:t>Wholesale trustee</w:t>
            </w:r>
            <w:r w:rsidR="00FC5759">
              <w:t>s</w:t>
            </w:r>
          </w:p>
        </w:tc>
        <w:tc>
          <w:tcPr>
            <w:tcW w:w="1361" w:type="dxa"/>
            <w:vAlign w:val="center"/>
          </w:tcPr>
          <w:p w14:paraId="13B9CCB1" w14:textId="19371E81" w:rsidR="001E771D" w:rsidRPr="004B374A" w:rsidRDefault="001E771D" w:rsidP="006E04D4">
            <w:pPr>
              <w:pStyle w:val="tbltext"/>
            </w:pPr>
            <w:r w:rsidRPr="004B374A">
              <w:t>$13.8m</w:t>
            </w:r>
          </w:p>
        </w:tc>
        <w:tc>
          <w:tcPr>
            <w:tcW w:w="1134" w:type="dxa"/>
            <w:vAlign w:val="center"/>
          </w:tcPr>
          <w:p w14:paraId="59EE5CD2" w14:textId="7299FF92" w:rsidR="001E771D" w:rsidRPr="004B374A" w:rsidRDefault="001E771D" w:rsidP="006E04D4">
            <w:pPr>
              <w:pStyle w:val="tbltext"/>
            </w:pPr>
            <w:r w:rsidRPr="004B374A">
              <w:t>1,749</w:t>
            </w:r>
          </w:p>
        </w:tc>
        <w:tc>
          <w:tcPr>
            <w:tcW w:w="1361" w:type="dxa"/>
            <w:vAlign w:val="center"/>
          </w:tcPr>
          <w:p w14:paraId="18EE7389" w14:textId="77777777" w:rsidR="001E771D" w:rsidRDefault="001E771D" w:rsidP="006E04D4">
            <w:pPr>
              <w:pStyle w:val="tbltext"/>
            </w:pPr>
            <w:r w:rsidRPr="00833984">
              <w:rPr>
                <w:b/>
              </w:rPr>
              <w:t>Year 1</w:t>
            </w:r>
            <w:r>
              <w:t>: Flat levy</w:t>
            </w:r>
          </w:p>
          <w:p w14:paraId="286BB8CF" w14:textId="0ED30D0A" w:rsidR="001E771D" w:rsidRPr="004B374A" w:rsidRDefault="001E771D" w:rsidP="006E04D4">
            <w:pPr>
              <w:pStyle w:val="tbltext"/>
            </w:pPr>
            <w:r w:rsidRPr="00833984">
              <w:rPr>
                <w:b/>
              </w:rPr>
              <w:t>Year 2</w:t>
            </w:r>
            <w:r>
              <w:t xml:space="preserve">: </w:t>
            </w:r>
            <w:r w:rsidRPr="004B374A">
              <w:t xml:space="preserve">Funds under management </w:t>
            </w:r>
          </w:p>
        </w:tc>
        <w:tc>
          <w:tcPr>
            <w:tcW w:w="2211" w:type="dxa"/>
            <w:vAlign w:val="center"/>
          </w:tcPr>
          <w:p w14:paraId="479DB2D8" w14:textId="1DF10ABD" w:rsidR="001E771D" w:rsidRPr="004B374A" w:rsidRDefault="001E771D" w:rsidP="006E04D4">
            <w:pPr>
              <w:pStyle w:val="tbltext"/>
            </w:pPr>
            <w:r w:rsidRPr="00833984">
              <w:rPr>
                <w:b/>
              </w:rPr>
              <w:t>Year 1</w:t>
            </w:r>
            <w:r w:rsidRPr="004B374A">
              <w:t xml:space="preserve">: </w:t>
            </w:r>
            <w:r>
              <w:t>Flat levy</w:t>
            </w:r>
            <w:r w:rsidR="007839C8" w:rsidRPr="004B374A">
              <w:t xml:space="preserve">; </w:t>
            </w:r>
            <w:r w:rsidRPr="004B374A">
              <w:br/>
            </w:r>
            <w:r w:rsidRPr="00833984">
              <w:rPr>
                <w:b/>
              </w:rPr>
              <w:t>Year 2</w:t>
            </w:r>
            <w:r w:rsidRPr="004B374A">
              <w:t>: The market value as at 30 June of the gross assets in managed investment schemes managed by the wholesale trustee.</w:t>
            </w:r>
          </w:p>
        </w:tc>
        <w:tc>
          <w:tcPr>
            <w:tcW w:w="1701" w:type="dxa"/>
            <w:gridSpan w:val="2"/>
            <w:vAlign w:val="center"/>
          </w:tcPr>
          <w:p w14:paraId="07E2D38D" w14:textId="777CD140"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New reporting requirement</w:t>
            </w:r>
          </w:p>
        </w:tc>
        <w:tc>
          <w:tcPr>
            <w:tcW w:w="1701" w:type="dxa"/>
            <w:gridSpan w:val="2"/>
            <w:vAlign w:val="center"/>
          </w:tcPr>
          <w:p w14:paraId="23DA7BDA" w14:textId="0A747279"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Data not available to estimate indicative levies</w:t>
            </w:r>
          </w:p>
        </w:tc>
        <w:tc>
          <w:tcPr>
            <w:tcW w:w="2835" w:type="dxa"/>
            <w:vAlign w:val="center"/>
          </w:tcPr>
          <w:p w14:paraId="494DB6B1" w14:textId="764899A2" w:rsidR="001E771D" w:rsidRPr="000540E1" w:rsidRDefault="001E771D" w:rsidP="006E04D4">
            <w:pPr>
              <w:pStyle w:val="tbltext"/>
            </w:pPr>
            <w:r w:rsidRPr="00833984">
              <w:rPr>
                <w:b/>
              </w:rPr>
              <w:t>Year 1</w:t>
            </w:r>
            <w:r w:rsidR="005B65A8">
              <w:t xml:space="preserve">: </w:t>
            </w:r>
            <w:r w:rsidRPr="004B374A">
              <w:t>$8,000 flat levy</w:t>
            </w:r>
            <w:r w:rsidRPr="004B374A">
              <w:br/>
            </w:r>
            <w:r w:rsidRPr="00833984">
              <w:rPr>
                <w:b/>
              </w:rPr>
              <w:t>Year 2</w:t>
            </w:r>
            <w:r w:rsidR="005B65A8">
              <w:t xml:space="preserve">: </w:t>
            </w:r>
            <w:r w:rsidRPr="004B374A">
              <w:t xml:space="preserve">graduated levy </w:t>
            </w:r>
            <w:r>
              <w:t xml:space="preserve">based on FUM </w:t>
            </w:r>
            <w:r w:rsidRPr="004B374A">
              <w:t>with a minimum levy payable by all wholesale trustees</w:t>
            </w:r>
          </w:p>
        </w:tc>
      </w:tr>
      <w:tr w:rsidR="001E771D" w:rsidRPr="000540E1" w14:paraId="1A5A335A" w14:textId="45667719" w:rsidTr="00C60CE1">
        <w:trPr>
          <w:cantSplit/>
        </w:trPr>
        <w:tc>
          <w:tcPr>
            <w:tcW w:w="1531" w:type="dxa"/>
            <w:vAlign w:val="center"/>
          </w:tcPr>
          <w:p w14:paraId="2F13D9E6" w14:textId="25A768C5" w:rsidR="001E771D" w:rsidRPr="004B374A" w:rsidRDefault="001E771D" w:rsidP="006E04D4">
            <w:pPr>
              <w:pStyle w:val="tbltext"/>
            </w:pPr>
            <w:r w:rsidRPr="004B374A">
              <w:t>Operator</w:t>
            </w:r>
            <w:r w:rsidR="00FC5759">
              <w:t>s</w:t>
            </w:r>
            <w:r w:rsidRPr="004B374A">
              <w:t xml:space="preserve"> of an Investor Directed Portfolio Service</w:t>
            </w:r>
          </w:p>
        </w:tc>
        <w:tc>
          <w:tcPr>
            <w:tcW w:w="1361" w:type="dxa"/>
            <w:vAlign w:val="center"/>
          </w:tcPr>
          <w:p w14:paraId="279B1490" w14:textId="2CC27E10" w:rsidR="001E771D" w:rsidRPr="004B374A" w:rsidRDefault="001E771D" w:rsidP="006E04D4">
            <w:pPr>
              <w:pStyle w:val="tbltext"/>
            </w:pPr>
            <w:r w:rsidRPr="004B374A">
              <w:t>$1.6m</w:t>
            </w:r>
          </w:p>
        </w:tc>
        <w:tc>
          <w:tcPr>
            <w:tcW w:w="1134" w:type="dxa"/>
            <w:vAlign w:val="center"/>
          </w:tcPr>
          <w:p w14:paraId="0370A126" w14:textId="3C6AF2D8" w:rsidR="001E771D" w:rsidRPr="004B374A" w:rsidRDefault="001E771D" w:rsidP="006E04D4">
            <w:pPr>
              <w:pStyle w:val="tbltext"/>
            </w:pPr>
            <w:r w:rsidRPr="004B374A">
              <w:t>35</w:t>
            </w:r>
          </w:p>
        </w:tc>
        <w:tc>
          <w:tcPr>
            <w:tcW w:w="1361" w:type="dxa"/>
            <w:vAlign w:val="center"/>
          </w:tcPr>
          <w:p w14:paraId="12E2D133" w14:textId="6DF329CC" w:rsidR="001E771D" w:rsidRDefault="001E771D" w:rsidP="006E04D4">
            <w:pPr>
              <w:pStyle w:val="tbltext"/>
            </w:pPr>
            <w:r w:rsidRPr="00833984">
              <w:rPr>
                <w:b/>
              </w:rPr>
              <w:t>Year 1</w:t>
            </w:r>
            <w:r w:rsidRPr="004B374A">
              <w:t xml:space="preserve">: </w:t>
            </w:r>
            <w:r>
              <w:t>Flat levy</w:t>
            </w:r>
            <w:r w:rsidRPr="004B374A">
              <w:br/>
            </w:r>
            <w:r w:rsidRPr="00833984">
              <w:rPr>
                <w:b/>
              </w:rPr>
              <w:t>Year 2</w:t>
            </w:r>
            <w:r w:rsidRPr="004B374A">
              <w:t>: Revenue from IDPS activity</w:t>
            </w:r>
          </w:p>
        </w:tc>
        <w:tc>
          <w:tcPr>
            <w:tcW w:w="2211" w:type="dxa"/>
            <w:vAlign w:val="center"/>
          </w:tcPr>
          <w:p w14:paraId="22805351" w14:textId="4335B566" w:rsidR="001E771D" w:rsidRPr="004B374A" w:rsidRDefault="001E771D" w:rsidP="006E04D4">
            <w:pPr>
              <w:pStyle w:val="tbltext"/>
            </w:pPr>
            <w:r w:rsidRPr="00833984">
              <w:rPr>
                <w:b/>
              </w:rPr>
              <w:t>Year 1</w:t>
            </w:r>
            <w:r w:rsidRPr="004B374A">
              <w:t xml:space="preserve">: </w:t>
            </w:r>
            <w:r>
              <w:t>Flat levy</w:t>
            </w:r>
            <w:r w:rsidR="007839C8" w:rsidRPr="004B374A">
              <w:t xml:space="preserve">; </w:t>
            </w:r>
            <w:r w:rsidRPr="004B374A">
              <w:br/>
            </w:r>
            <w:r w:rsidRPr="00833984">
              <w:rPr>
                <w:b/>
              </w:rPr>
              <w:t>Year 2</w:t>
            </w:r>
            <w:r w:rsidRPr="004B374A">
              <w:t>: Any revenue, or other amount paid or payable out of IDPS property, for the performance of the obligations imposed on the licensee as an operator of an IDPS, for the relevant financial year</w:t>
            </w:r>
            <w:r>
              <w:t>.</w:t>
            </w:r>
          </w:p>
        </w:tc>
        <w:tc>
          <w:tcPr>
            <w:tcW w:w="1701" w:type="dxa"/>
            <w:gridSpan w:val="2"/>
            <w:vAlign w:val="center"/>
          </w:tcPr>
          <w:p w14:paraId="30091056" w14:textId="45A5CA10"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New reporting requirement</w:t>
            </w:r>
          </w:p>
        </w:tc>
        <w:tc>
          <w:tcPr>
            <w:tcW w:w="1701" w:type="dxa"/>
            <w:gridSpan w:val="2"/>
            <w:vAlign w:val="center"/>
          </w:tcPr>
          <w:p w14:paraId="66C478C6" w14:textId="0445AB19" w:rsidR="001E771D" w:rsidRPr="000540E1" w:rsidRDefault="001E771D" w:rsidP="006E04D4">
            <w:pPr>
              <w:pStyle w:val="tbltext"/>
            </w:pPr>
            <w:r w:rsidRPr="00833984">
              <w:rPr>
                <w:b/>
              </w:rPr>
              <w:t>Year 1</w:t>
            </w:r>
            <w:r w:rsidRPr="004B374A">
              <w:t xml:space="preserve">: </w:t>
            </w:r>
            <w:r>
              <w:t>ASIC database</w:t>
            </w:r>
            <w:r w:rsidRPr="004B374A">
              <w:br/>
            </w:r>
            <w:r w:rsidRPr="00833984">
              <w:rPr>
                <w:b/>
              </w:rPr>
              <w:t>Year 2</w:t>
            </w:r>
            <w:r w:rsidRPr="004B374A">
              <w:t>: Data not available to estimate indicative levies</w:t>
            </w:r>
          </w:p>
        </w:tc>
        <w:tc>
          <w:tcPr>
            <w:tcW w:w="2835" w:type="dxa"/>
            <w:vAlign w:val="center"/>
          </w:tcPr>
          <w:p w14:paraId="06F3C8E9" w14:textId="7B459F6C" w:rsidR="001E771D" w:rsidRPr="000540E1" w:rsidRDefault="001E771D" w:rsidP="006E04D4">
            <w:pPr>
              <w:pStyle w:val="tbltext"/>
            </w:pPr>
            <w:r w:rsidRPr="00833984">
              <w:rPr>
                <w:b/>
              </w:rPr>
              <w:t>Year 1</w:t>
            </w:r>
            <w:r w:rsidRPr="004B374A">
              <w:t>: $47,000</w:t>
            </w:r>
            <w:r>
              <w:t xml:space="preserve"> annual levy</w:t>
            </w:r>
            <w:r w:rsidRPr="004B374A">
              <w:br/>
            </w:r>
            <w:r w:rsidRPr="00833984">
              <w:rPr>
                <w:b/>
              </w:rPr>
              <w:t>Year 2</w:t>
            </w:r>
            <w:r w:rsidRPr="004B374A">
              <w:t xml:space="preserve">: graduated levy </w:t>
            </w:r>
            <w:r>
              <w:t xml:space="preserve">based on revenue from IDPS activity </w:t>
            </w:r>
            <w:r w:rsidRPr="004B374A">
              <w:t>with a minimum levy payable by all operators of an IDPS</w:t>
            </w:r>
          </w:p>
        </w:tc>
      </w:tr>
      <w:tr w:rsidR="001E771D" w:rsidRPr="000540E1" w14:paraId="39101948" w14:textId="516F496B" w:rsidTr="00C60CE1">
        <w:trPr>
          <w:cantSplit/>
        </w:trPr>
        <w:tc>
          <w:tcPr>
            <w:tcW w:w="1531" w:type="dxa"/>
            <w:vAlign w:val="center"/>
          </w:tcPr>
          <w:p w14:paraId="07B5DCCB" w14:textId="226B1AAB" w:rsidR="001E771D" w:rsidRPr="004B374A" w:rsidRDefault="001E771D" w:rsidP="006E04D4">
            <w:pPr>
              <w:pStyle w:val="tbltext"/>
            </w:pPr>
            <w:r w:rsidRPr="004B374A">
              <w:t>Custodian</w:t>
            </w:r>
            <w:r w:rsidR="00FC5759">
              <w:t>s</w:t>
            </w:r>
          </w:p>
        </w:tc>
        <w:tc>
          <w:tcPr>
            <w:tcW w:w="1361" w:type="dxa"/>
            <w:vAlign w:val="center"/>
          </w:tcPr>
          <w:p w14:paraId="66E41EDA" w14:textId="49D21A4E" w:rsidR="001E771D" w:rsidRPr="004B374A" w:rsidRDefault="001E771D" w:rsidP="006E04D4">
            <w:pPr>
              <w:pStyle w:val="tbltext"/>
            </w:pPr>
            <w:r w:rsidRPr="004B374A">
              <w:t>$0.5m</w:t>
            </w:r>
          </w:p>
        </w:tc>
        <w:tc>
          <w:tcPr>
            <w:tcW w:w="1134" w:type="dxa"/>
            <w:vAlign w:val="center"/>
          </w:tcPr>
          <w:p w14:paraId="5880797F" w14:textId="1C47EC11" w:rsidR="001E771D" w:rsidRPr="004B374A" w:rsidRDefault="001E771D" w:rsidP="006E04D4">
            <w:pPr>
              <w:pStyle w:val="tbltext"/>
            </w:pPr>
            <w:r w:rsidRPr="004B374A">
              <w:t>861</w:t>
            </w:r>
          </w:p>
        </w:tc>
        <w:tc>
          <w:tcPr>
            <w:tcW w:w="1361" w:type="dxa"/>
            <w:vAlign w:val="center"/>
          </w:tcPr>
          <w:p w14:paraId="53C1D0FB" w14:textId="0E3817D4" w:rsidR="001E771D" w:rsidRPr="004B374A" w:rsidRDefault="001E771D" w:rsidP="006E04D4">
            <w:pPr>
              <w:pStyle w:val="tbltext"/>
            </w:pPr>
            <w:r w:rsidRPr="004B374A">
              <w:t>Flat levy</w:t>
            </w:r>
          </w:p>
        </w:tc>
        <w:tc>
          <w:tcPr>
            <w:tcW w:w="2211" w:type="dxa"/>
            <w:vAlign w:val="center"/>
          </w:tcPr>
          <w:p w14:paraId="4D7B10D6" w14:textId="18F6D6B7" w:rsidR="001E771D" w:rsidRPr="004B374A" w:rsidRDefault="001E771D" w:rsidP="006E04D4">
            <w:pPr>
              <w:pStyle w:val="tbltext"/>
            </w:pPr>
            <w:r>
              <w:t>Flat levy</w:t>
            </w:r>
          </w:p>
        </w:tc>
        <w:tc>
          <w:tcPr>
            <w:tcW w:w="1701" w:type="dxa"/>
            <w:gridSpan w:val="2"/>
            <w:vAlign w:val="center"/>
          </w:tcPr>
          <w:p w14:paraId="0541D1EA" w14:textId="3E19E238" w:rsidR="001E771D" w:rsidRPr="000540E1" w:rsidRDefault="001E771D" w:rsidP="006E04D4">
            <w:pPr>
              <w:pStyle w:val="tbltext"/>
            </w:pPr>
            <w:r>
              <w:t>ASIC database</w:t>
            </w:r>
          </w:p>
        </w:tc>
        <w:tc>
          <w:tcPr>
            <w:tcW w:w="1701" w:type="dxa"/>
            <w:gridSpan w:val="2"/>
            <w:vAlign w:val="center"/>
          </w:tcPr>
          <w:p w14:paraId="491EAE43" w14:textId="0208557D" w:rsidR="001E771D" w:rsidRPr="000540E1" w:rsidRDefault="001E771D" w:rsidP="006E04D4">
            <w:pPr>
              <w:pStyle w:val="tbltext"/>
            </w:pPr>
            <w:r>
              <w:t>ASIC database</w:t>
            </w:r>
          </w:p>
        </w:tc>
        <w:tc>
          <w:tcPr>
            <w:tcW w:w="2835" w:type="dxa"/>
            <w:vAlign w:val="center"/>
          </w:tcPr>
          <w:p w14:paraId="35605F3F" w14:textId="14C45968" w:rsidR="001E771D" w:rsidRPr="000540E1" w:rsidRDefault="001E771D" w:rsidP="006E04D4">
            <w:pPr>
              <w:pStyle w:val="tbltext"/>
            </w:pPr>
            <w:r w:rsidRPr="004B374A">
              <w:t>$560 annual levy</w:t>
            </w:r>
          </w:p>
        </w:tc>
      </w:tr>
      <w:tr w:rsidR="001E771D" w:rsidRPr="000540E1" w14:paraId="56E2846C" w14:textId="4D32B167" w:rsidTr="00C60CE1">
        <w:trPr>
          <w:cantSplit/>
        </w:trPr>
        <w:tc>
          <w:tcPr>
            <w:tcW w:w="1531" w:type="dxa"/>
            <w:vAlign w:val="center"/>
          </w:tcPr>
          <w:p w14:paraId="3C544170" w14:textId="01EAE871" w:rsidR="001E771D" w:rsidRPr="004B374A" w:rsidRDefault="001E771D" w:rsidP="006E04D4">
            <w:pPr>
              <w:pStyle w:val="tbltext"/>
            </w:pPr>
            <w:r w:rsidRPr="004B374A">
              <w:t>SMSF auditor</w:t>
            </w:r>
            <w:r w:rsidR="00FC5759">
              <w:t>s</w:t>
            </w:r>
          </w:p>
        </w:tc>
        <w:tc>
          <w:tcPr>
            <w:tcW w:w="1361" w:type="dxa"/>
            <w:vAlign w:val="center"/>
          </w:tcPr>
          <w:p w14:paraId="075F2C20" w14:textId="377E22B1" w:rsidR="001E771D" w:rsidRPr="004B374A" w:rsidRDefault="001E771D" w:rsidP="006E04D4">
            <w:pPr>
              <w:pStyle w:val="tbltext"/>
            </w:pPr>
            <w:r w:rsidRPr="004B374A">
              <w:t>$0.4m</w:t>
            </w:r>
          </w:p>
        </w:tc>
        <w:tc>
          <w:tcPr>
            <w:tcW w:w="1134" w:type="dxa"/>
            <w:vAlign w:val="center"/>
          </w:tcPr>
          <w:p w14:paraId="692C7135" w14:textId="7D05A276" w:rsidR="001E771D" w:rsidRPr="004B374A" w:rsidRDefault="001E771D" w:rsidP="006E04D4">
            <w:pPr>
              <w:pStyle w:val="tbltext"/>
            </w:pPr>
            <w:r w:rsidRPr="004B374A">
              <w:t>6,500</w:t>
            </w:r>
          </w:p>
        </w:tc>
        <w:tc>
          <w:tcPr>
            <w:tcW w:w="1361" w:type="dxa"/>
            <w:vAlign w:val="center"/>
          </w:tcPr>
          <w:p w14:paraId="68FFF730" w14:textId="5C36719E" w:rsidR="001E771D" w:rsidRPr="004B374A" w:rsidRDefault="001E771D" w:rsidP="006E04D4">
            <w:pPr>
              <w:pStyle w:val="tbltext"/>
            </w:pPr>
            <w:r w:rsidRPr="004B374A">
              <w:t>Flat levy</w:t>
            </w:r>
          </w:p>
        </w:tc>
        <w:tc>
          <w:tcPr>
            <w:tcW w:w="2211" w:type="dxa"/>
            <w:vAlign w:val="center"/>
          </w:tcPr>
          <w:p w14:paraId="3EBACCB9" w14:textId="2FB191B1" w:rsidR="001E771D" w:rsidRDefault="001E771D" w:rsidP="006E04D4">
            <w:pPr>
              <w:pStyle w:val="tbltext"/>
            </w:pPr>
            <w:r>
              <w:t>Flat levy</w:t>
            </w:r>
          </w:p>
        </w:tc>
        <w:tc>
          <w:tcPr>
            <w:tcW w:w="1701" w:type="dxa"/>
            <w:gridSpan w:val="2"/>
            <w:vAlign w:val="center"/>
          </w:tcPr>
          <w:p w14:paraId="1F4C9858" w14:textId="4BA698B7" w:rsidR="001E771D" w:rsidRPr="000540E1" w:rsidRDefault="001E771D" w:rsidP="006E04D4">
            <w:pPr>
              <w:pStyle w:val="tbltext"/>
            </w:pPr>
            <w:r>
              <w:t>ASIC database</w:t>
            </w:r>
          </w:p>
        </w:tc>
        <w:tc>
          <w:tcPr>
            <w:tcW w:w="1701" w:type="dxa"/>
            <w:gridSpan w:val="2"/>
            <w:vAlign w:val="center"/>
          </w:tcPr>
          <w:p w14:paraId="587D3837" w14:textId="513D7C39" w:rsidR="001E771D" w:rsidRPr="000540E1" w:rsidRDefault="001E771D" w:rsidP="006E04D4">
            <w:pPr>
              <w:pStyle w:val="tbltext"/>
            </w:pPr>
            <w:r>
              <w:t>ASIC database</w:t>
            </w:r>
          </w:p>
        </w:tc>
        <w:tc>
          <w:tcPr>
            <w:tcW w:w="2835" w:type="dxa"/>
            <w:vAlign w:val="center"/>
          </w:tcPr>
          <w:p w14:paraId="2CCC9B21" w14:textId="3ED36515" w:rsidR="001E771D" w:rsidRPr="000540E1" w:rsidRDefault="001E771D" w:rsidP="006E04D4">
            <w:pPr>
              <w:pStyle w:val="tbltext"/>
            </w:pPr>
            <w:r w:rsidRPr="004B374A">
              <w:t>$</w:t>
            </w:r>
            <w:r>
              <w:t>6</w:t>
            </w:r>
            <w:r w:rsidRPr="004B374A">
              <w:t>0 annual levy</w:t>
            </w:r>
          </w:p>
        </w:tc>
      </w:tr>
      <w:tr w:rsidR="001E771D" w:rsidRPr="000540E1" w14:paraId="54AD54ED" w14:textId="40680B3E" w:rsidTr="00C60CE1">
        <w:trPr>
          <w:cantSplit/>
        </w:trPr>
        <w:tc>
          <w:tcPr>
            <w:tcW w:w="1531" w:type="dxa"/>
            <w:vAlign w:val="center"/>
          </w:tcPr>
          <w:p w14:paraId="71AAF1A9" w14:textId="2BE3F41E" w:rsidR="001E771D" w:rsidRPr="004B374A" w:rsidRDefault="001E771D" w:rsidP="006E04D4">
            <w:pPr>
              <w:pStyle w:val="tbltext"/>
            </w:pPr>
            <w:r w:rsidRPr="004B374A">
              <w:t>Traditional trustee company service provider</w:t>
            </w:r>
            <w:r w:rsidR="00FC5759">
              <w:t>s</w:t>
            </w:r>
            <w:r w:rsidRPr="004B374A">
              <w:t xml:space="preserve"> </w:t>
            </w:r>
          </w:p>
        </w:tc>
        <w:tc>
          <w:tcPr>
            <w:tcW w:w="1361" w:type="dxa"/>
            <w:vAlign w:val="center"/>
          </w:tcPr>
          <w:p w14:paraId="4605C65F" w14:textId="4A8E7022" w:rsidR="001E771D" w:rsidRPr="004B374A" w:rsidRDefault="001E771D" w:rsidP="006E04D4">
            <w:pPr>
              <w:pStyle w:val="tbltext"/>
            </w:pPr>
            <w:r w:rsidRPr="004B374A">
              <w:t>$0.2m</w:t>
            </w:r>
          </w:p>
        </w:tc>
        <w:tc>
          <w:tcPr>
            <w:tcW w:w="1134" w:type="dxa"/>
            <w:vAlign w:val="center"/>
          </w:tcPr>
          <w:p w14:paraId="66980C97" w14:textId="55709FF1" w:rsidR="001E771D" w:rsidRPr="004B374A" w:rsidRDefault="001E771D" w:rsidP="006E04D4">
            <w:pPr>
              <w:pStyle w:val="tbltext"/>
            </w:pPr>
            <w:r w:rsidRPr="004B374A">
              <w:t>12</w:t>
            </w:r>
          </w:p>
        </w:tc>
        <w:tc>
          <w:tcPr>
            <w:tcW w:w="1361" w:type="dxa"/>
            <w:vAlign w:val="center"/>
          </w:tcPr>
          <w:p w14:paraId="7227F423" w14:textId="5CB4C75A" w:rsidR="001E771D" w:rsidRPr="004B374A" w:rsidRDefault="001E771D" w:rsidP="006E04D4">
            <w:pPr>
              <w:pStyle w:val="tbltext"/>
            </w:pPr>
            <w:r w:rsidRPr="004B374A">
              <w:t>Flat levy</w:t>
            </w:r>
          </w:p>
        </w:tc>
        <w:tc>
          <w:tcPr>
            <w:tcW w:w="2211" w:type="dxa"/>
            <w:vAlign w:val="center"/>
          </w:tcPr>
          <w:p w14:paraId="01CDE984" w14:textId="1E50A9A1" w:rsidR="001E771D" w:rsidRDefault="001E771D" w:rsidP="006E04D4">
            <w:pPr>
              <w:pStyle w:val="tbltext"/>
            </w:pPr>
            <w:r>
              <w:t>Flat levy</w:t>
            </w:r>
          </w:p>
        </w:tc>
        <w:tc>
          <w:tcPr>
            <w:tcW w:w="1701" w:type="dxa"/>
            <w:gridSpan w:val="2"/>
            <w:vAlign w:val="center"/>
          </w:tcPr>
          <w:p w14:paraId="538417BC" w14:textId="4ED9B051" w:rsidR="001E771D" w:rsidRPr="000540E1" w:rsidRDefault="001E771D" w:rsidP="006E04D4">
            <w:pPr>
              <w:pStyle w:val="tbltext"/>
            </w:pPr>
            <w:r>
              <w:t>ASIC database</w:t>
            </w:r>
          </w:p>
        </w:tc>
        <w:tc>
          <w:tcPr>
            <w:tcW w:w="1701" w:type="dxa"/>
            <w:gridSpan w:val="2"/>
            <w:vAlign w:val="center"/>
          </w:tcPr>
          <w:p w14:paraId="0D8F7CA4" w14:textId="104DFD87" w:rsidR="001E771D" w:rsidRPr="000540E1" w:rsidRDefault="001E771D" w:rsidP="006E04D4">
            <w:pPr>
              <w:pStyle w:val="tbltext"/>
            </w:pPr>
            <w:r>
              <w:t>ASIC database</w:t>
            </w:r>
          </w:p>
        </w:tc>
        <w:tc>
          <w:tcPr>
            <w:tcW w:w="2835" w:type="dxa"/>
            <w:vAlign w:val="center"/>
          </w:tcPr>
          <w:p w14:paraId="72842396" w14:textId="1B03DF50" w:rsidR="001E771D" w:rsidRPr="000540E1" w:rsidRDefault="001E771D" w:rsidP="006E04D4">
            <w:pPr>
              <w:pStyle w:val="tbltext"/>
            </w:pPr>
            <w:r w:rsidRPr="004B374A">
              <w:t>$20,</w:t>
            </w:r>
            <w:r>
              <w:t>5</w:t>
            </w:r>
            <w:r w:rsidRPr="004B374A">
              <w:t>00 annual levy</w:t>
            </w:r>
          </w:p>
        </w:tc>
      </w:tr>
      <w:tr w:rsidR="001E771D" w:rsidRPr="000540E1" w14:paraId="2B25559A" w14:textId="52561811" w:rsidTr="00C60CE1">
        <w:trPr>
          <w:cantSplit/>
        </w:trPr>
        <w:tc>
          <w:tcPr>
            <w:tcW w:w="1531" w:type="dxa"/>
            <w:vAlign w:val="center"/>
          </w:tcPr>
          <w:p w14:paraId="0DDDE5C1" w14:textId="6318FE29" w:rsidR="001E771D" w:rsidRPr="004B374A" w:rsidRDefault="001E771D" w:rsidP="006E04D4">
            <w:pPr>
              <w:pStyle w:val="tbltext"/>
            </w:pPr>
            <w:r w:rsidRPr="004B374A">
              <w:t xml:space="preserve">Managed Discretionary Account </w:t>
            </w:r>
            <w:r w:rsidR="000F3409">
              <w:t xml:space="preserve">(MDA) </w:t>
            </w:r>
            <w:r w:rsidRPr="004B374A">
              <w:t>operator</w:t>
            </w:r>
            <w:r w:rsidR="00FC5759">
              <w:t>s</w:t>
            </w:r>
          </w:p>
        </w:tc>
        <w:tc>
          <w:tcPr>
            <w:tcW w:w="1361" w:type="dxa"/>
            <w:vAlign w:val="center"/>
          </w:tcPr>
          <w:p w14:paraId="14C3CFEB" w14:textId="276B4736" w:rsidR="001E771D" w:rsidRPr="004B374A" w:rsidRDefault="001E771D" w:rsidP="006E04D4">
            <w:pPr>
              <w:pStyle w:val="tbltext"/>
            </w:pPr>
            <w:r w:rsidRPr="004B374A">
              <w:t>$0.2m</w:t>
            </w:r>
          </w:p>
        </w:tc>
        <w:tc>
          <w:tcPr>
            <w:tcW w:w="1134" w:type="dxa"/>
            <w:vAlign w:val="center"/>
          </w:tcPr>
          <w:p w14:paraId="370C23B1" w14:textId="5997A620" w:rsidR="001E771D" w:rsidRPr="004B374A" w:rsidRDefault="001E771D" w:rsidP="006E04D4">
            <w:pPr>
              <w:pStyle w:val="tbltext"/>
            </w:pPr>
            <w:r w:rsidRPr="004B374A">
              <w:t>64</w:t>
            </w:r>
          </w:p>
        </w:tc>
        <w:tc>
          <w:tcPr>
            <w:tcW w:w="1361" w:type="dxa"/>
            <w:vAlign w:val="center"/>
          </w:tcPr>
          <w:p w14:paraId="67C2156A" w14:textId="29CD0CB7" w:rsidR="001E771D" w:rsidRPr="004B374A" w:rsidRDefault="001E771D" w:rsidP="006E04D4">
            <w:pPr>
              <w:pStyle w:val="tbltext"/>
            </w:pPr>
            <w:r w:rsidRPr="004B374A">
              <w:t>Flat levy</w:t>
            </w:r>
          </w:p>
        </w:tc>
        <w:tc>
          <w:tcPr>
            <w:tcW w:w="2211" w:type="dxa"/>
            <w:vAlign w:val="center"/>
          </w:tcPr>
          <w:p w14:paraId="1BBC74BA" w14:textId="3A6DA252" w:rsidR="001E771D" w:rsidRDefault="001E771D" w:rsidP="006E04D4">
            <w:pPr>
              <w:pStyle w:val="tbltext"/>
            </w:pPr>
            <w:r>
              <w:t>Flat levy</w:t>
            </w:r>
          </w:p>
        </w:tc>
        <w:tc>
          <w:tcPr>
            <w:tcW w:w="1701" w:type="dxa"/>
            <w:gridSpan w:val="2"/>
            <w:vAlign w:val="center"/>
          </w:tcPr>
          <w:p w14:paraId="27D6C8A8" w14:textId="7E9ACD89" w:rsidR="001E771D" w:rsidRPr="000540E1" w:rsidRDefault="001E771D" w:rsidP="006E04D4">
            <w:pPr>
              <w:pStyle w:val="tbltext"/>
            </w:pPr>
            <w:r>
              <w:t>ASIC database</w:t>
            </w:r>
          </w:p>
        </w:tc>
        <w:tc>
          <w:tcPr>
            <w:tcW w:w="1701" w:type="dxa"/>
            <w:gridSpan w:val="2"/>
            <w:vAlign w:val="center"/>
          </w:tcPr>
          <w:p w14:paraId="75DC9AA3" w14:textId="13CBF9EE" w:rsidR="001E771D" w:rsidRPr="000540E1" w:rsidRDefault="001E771D" w:rsidP="006E04D4">
            <w:pPr>
              <w:pStyle w:val="tbltext"/>
            </w:pPr>
            <w:r>
              <w:t>ASIC database</w:t>
            </w:r>
          </w:p>
        </w:tc>
        <w:tc>
          <w:tcPr>
            <w:tcW w:w="2835" w:type="dxa"/>
            <w:vAlign w:val="center"/>
          </w:tcPr>
          <w:p w14:paraId="4BE637A4" w14:textId="7E7CE17E" w:rsidR="001E771D" w:rsidRPr="000540E1" w:rsidRDefault="002A0713" w:rsidP="006E04D4">
            <w:pPr>
              <w:pStyle w:val="tbltext"/>
            </w:pPr>
            <w:r>
              <w:t>$</w:t>
            </w:r>
            <w:r w:rsidR="001E771D" w:rsidRPr="004B374A">
              <w:t>3,000 annual levy</w:t>
            </w:r>
          </w:p>
        </w:tc>
      </w:tr>
      <w:tr w:rsidR="001E771D" w:rsidRPr="000540E1" w14:paraId="5AFDA2BB" w14:textId="59F164E5" w:rsidTr="00C60CE1">
        <w:trPr>
          <w:cantSplit/>
        </w:trPr>
        <w:tc>
          <w:tcPr>
            <w:tcW w:w="1531" w:type="dxa"/>
            <w:vAlign w:val="center"/>
          </w:tcPr>
          <w:p w14:paraId="0A750A00" w14:textId="2B17BD93" w:rsidR="001E771D" w:rsidRPr="004B374A" w:rsidRDefault="001E771D" w:rsidP="00FC5759">
            <w:pPr>
              <w:pStyle w:val="tbltext"/>
            </w:pPr>
            <w:r w:rsidRPr="004B374A">
              <w:t xml:space="preserve">Large </w:t>
            </w:r>
            <w:r w:rsidR="00FC5759">
              <w:t>e</w:t>
            </w:r>
            <w:r w:rsidRPr="004B374A">
              <w:t xml:space="preserve">quity </w:t>
            </w:r>
            <w:r w:rsidR="00FC5759">
              <w:t>m</w:t>
            </w:r>
            <w:r w:rsidRPr="004B374A">
              <w:t xml:space="preserve">arket </w:t>
            </w:r>
            <w:r w:rsidR="00FC5759">
              <w:t>o</w:t>
            </w:r>
            <w:r w:rsidRPr="004B374A">
              <w:t>perator</w:t>
            </w:r>
            <w:r w:rsidR="00FC5759">
              <w:t>s</w:t>
            </w:r>
            <w:r w:rsidRPr="004B374A">
              <w:t xml:space="preserve"> </w:t>
            </w:r>
          </w:p>
        </w:tc>
        <w:tc>
          <w:tcPr>
            <w:tcW w:w="1361" w:type="dxa"/>
            <w:vAlign w:val="center"/>
          </w:tcPr>
          <w:p w14:paraId="470D46B7" w14:textId="1B799FFB" w:rsidR="001E771D" w:rsidRPr="004B374A" w:rsidRDefault="001E771D" w:rsidP="006E04D4">
            <w:pPr>
              <w:pStyle w:val="tbltext"/>
            </w:pPr>
            <w:r w:rsidRPr="004B374A">
              <w:t>$4.8m</w:t>
            </w:r>
          </w:p>
        </w:tc>
        <w:tc>
          <w:tcPr>
            <w:tcW w:w="1134" w:type="dxa"/>
            <w:vAlign w:val="center"/>
          </w:tcPr>
          <w:p w14:paraId="635EB478" w14:textId="23FB2798" w:rsidR="001E771D" w:rsidRPr="004B374A" w:rsidRDefault="001E771D" w:rsidP="006E04D4">
            <w:pPr>
              <w:pStyle w:val="tbltext"/>
            </w:pPr>
            <w:r w:rsidRPr="004B374A">
              <w:t>2</w:t>
            </w:r>
          </w:p>
        </w:tc>
        <w:tc>
          <w:tcPr>
            <w:tcW w:w="1361" w:type="dxa"/>
            <w:vAlign w:val="center"/>
          </w:tcPr>
          <w:p w14:paraId="433E3F34" w14:textId="752AA9AA" w:rsidR="001E771D" w:rsidRPr="004B374A" w:rsidRDefault="001E771D" w:rsidP="006E04D4">
            <w:pPr>
              <w:pStyle w:val="tbltext"/>
            </w:pPr>
            <w:r w:rsidRPr="004B374A">
              <w:t>Volume of tra</w:t>
            </w:r>
            <w:r>
              <w:t xml:space="preserve">nsactions </w:t>
            </w:r>
            <w:r w:rsidRPr="004B374A">
              <w:t>and messages</w:t>
            </w:r>
          </w:p>
        </w:tc>
        <w:tc>
          <w:tcPr>
            <w:tcW w:w="2211" w:type="dxa"/>
            <w:vAlign w:val="center"/>
          </w:tcPr>
          <w:p w14:paraId="5D640BC0" w14:textId="77777777" w:rsidR="00C60CE1" w:rsidRDefault="001E771D" w:rsidP="006E04D4">
            <w:pPr>
              <w:pStyle w:val="tbltext"/>
            </w:pPr>
            <w:r w:rsidRPr="004B374A">
              <w:t>Tra</w:t>
            </w:r>
            <w:r>
              <w:t>nsaction</w:t>
            </w:r>
            <w:r w:rsidRPr="004B374A">
              <w:t>s are the total number of transactions executed or reported under the operating rules of the financial market operator during the relevant financial year.</w:t>
            </w:r>
          </w:p>
          <w:p w14:paraId="460B7F0A" w14:textId="0DC6BEAA" w:rsidR="001E771D" w:rsidRDefault="001E771D" w:rsidP="006E04D4">
            <w:pPr>
              <w:pStyle w:val="tbltext"/>
            </w:pPr>
            <w:r w:rsidRPr="004B374A">
              <w:t>Messages are the total number of messages from the financial market operator during the relevant financial year.</w:t>
            </w:r>
          </w:p>
        </w:tc>
        <w:tc>
          <w:tcPr>
            <w:tcW w:w="1701" w:type="dxa"/>
            <w:gridSpan w:val="2"/>
            <w:vAlign w:val="center"/>
          </w:tcPr>
          <w:p w14:paraId="4215719C" w14:textId="4C749BF2" w:rsidR="001E771D" w:rsidRPr="000540E1" w:rsidRDefault="001E771D" w:rsidP="006E04D4">
            <w:pPr>
              <w:pStyle w:val="tbltext"/>
            </w:pPr>
            <w:r w:rsidRPr="004B374A">
              <w:t>ASIC</w:t>
            </w:r>
            <w:r w:rsidR="0003187F">
              <w:t>’</w:t>
            </w:r>
            <w:r w:rsidRPr="004B374A">
              <w:t>s real time surveillance system</w:t>
            </w:r>
          </w:p>
        </w:tc>
        <w:tc>
          <w:tcPr>
            <w:tcW w:w="1701" w:type="dxa"/>
            <w:gridSpan w:val="2"/>
            <w:vAlign w:val="center"/>
          </w:tcPr>
          <w:p w14:paraId="4BB43261" w14:textId="16751096" w:rsidR="001E771D" w:rsidRPr="000540E1" w:rsidRDefault="001E771D" w:rsidP="006E04D4">
            <w:pPr>
              <w:pStyle w:val="tbltext"/>
            </w:pPr>
            <w:r w:rsidRPr="004B374A">
              <w:t>ASIC</w:t>
            </w:r>
            <w:r w:rsidR="0003187F">
              <w:t>’</w:t>
            </w:r>
            <w:r w:rsidRPr="004B374A">
              <w:t xml:space="preserve">s real time surveillance system records of </w:t>
            </w:r>
            <w:r>
              <w:t>transaction</w:t>
            </w:r>
            <w:r w:rsidRPr="004B374A">
              <w:t>s and messages for</w:t>
            </w:r>
            <w:r w:rsidR="00833984">
              <w:br/>
            </w:r>
            <w:r w:rsidRPr="004B374A">
              <w:t>2013</w:t>
            </w:r>
            <w:r>
              <w:t>–</w:t>
            </w:r>
            <w:r w:rsidRPr="004B374A">
              <w:t>14</w:t>
            </w:r>
          </w:p>
        </w:tc>
        <w:tc>
          <w:tcPr>
            <w:tcW w:w="2835" w:type="dxa"/>
            <w:vAlign w:val="center"/>
          </w:tcPr>
          <w:p w14:paraId="1CB888A0" w14:textId="66228480" w:rsidR="001E771D" w:rsidRPr="000540E1" w:rsidRDefault="001E771D" w:rsidP="006E04D4">
            <w:pPr>
              <w:pStyle w:val="tbltext"/>
            </w:pPr>
            <w:r w:rsidRPr="004B374A">
              <w:t xml:space="preserve">Graduated based on the number of transactions and messages for the operator relative to the total amount </w:t>
            </w:r>
            <w:r>
              <w:t>for</w:t>
            </w:r>
            <w:r w:rsidRPr="004B374A">
              <w:t xml:space="preserve"> all operators</w:t>
            </w:r>
          </w:p>
        </w:tc>
      </w:tr>
      <w:tr w:rsidR="001E771D" w:rsidRPr="000540E1" w14:paraId="5CDF98EF" w14:textId="6E5E1706" w:rsidTr="00C60CE1">
        <w:trPr>
          <w:cantSplit/>
        </w:trPr>
        <w:tc>
          <w:tcPr>
            <w:tcW w:w="1531" w:type="dxa"/>
            <w:vAlign w:val="center"/>
          </w:tcPr>
          <w:p w14:paraId="556B892C" w14:textId="48D06873" w:rsidR="001E771D" w:rsidRPr="004B374A" w:rsidRDefault="001E771D" w:rsidP="00FC5759">
            <w:pPr>
              <w:pStyle w:val="tbltext"/>
            </w:pPr>
            <w:r w:rsidRPr="004B374A">
              <w:t xml:space="preserve">Large </w:t>
            </w:r>
            <w:r w:rsidR="00FC5759">
              <w:t>f</w:t>
            </w:r>
            <w:r w:rsidRPr="004B374A">
              <w:t xml:space="preserve">utures </w:t>
            </w:r>
            <w:r w:rsidR="00FC5759">
              <w:t>m</w:t>
            </w:r>
            <w:r w:rsidRPr="004B374A">
              <w:t xml:space="preserve">arkets </w:t>
            </w:r>
            <w:r w:rsidR="00FC5759">
              <w:t>o</w:t>
            </w:r>
            <w:r w:rsidRPr="004B374A">
              <w:t>perator</w:t>
            </w:r>
            <w:r w:rsidR="00FC5759">
              <w:t>s</w:t>
            </w:r>
          </w:p>
        </w:tc>
        <w:tc>
          <w:tcPr>
            <w:tcW w:w="1361" w:type="dxa"/>
            <w:vAlign w:val="center"/>
          </w:tcPr>
          <w:p w14:paraId="197A31E1" w14:textId="1D3DB544" w:rsidR="001E771D" w:rsidRPr="004B374A" w:rsidRDefault="001E771D" w:rsidP="006E04D4">
            <w:pPr>
              <w:pStyle w:val="tbltext"/>
            </w:pPr>
            <w:r w:rsidRPr="004B374A">
              <w:t>$1.4m</w:t>
            </w:r>
          </w:p>
        </w:tc>
        <w:tc>
          <w:tcPr>
            <w:tcW w:w="1134" w:type="dxa"/>
            <w:vAlign w:val="center"/>
          </w:tcPr>
          <w:p w14:paraId="7FD856DB" w14:textId="635FBAAE" w:rsidR="001E771D" w:rsidRPr="004B374A" w:rsidRDefault="001E771D" w:rsidP="006E04D4">
            <w:pPr>
              <w:pStyle w:val="tbltext"/>
            </w:pPr>
            <w:r w:rsidRPr="004B374A">
              <w:t>1</w:t>
            </w:r>
          </w:p>
        </w:tc>
        <w:tc>
          <w:tcPr>
            <w:tcW w:w="1361" w:type="dxa"/>
            <w:vAlign w:val="center"/>
          </w:tcPr>
          <w:p w14:paraId="298912C2" w14:textId="6A89A244" w:rsidR="001E771D" w:rsidRPr="004B374A" w:rsidRDefault="001E771D" w:rsidP="006E04D4">
            <w:pPr>
              <w:pStyle w:val="tbltext"/>
            </w:pPr>
            <w:r w:rsidRPr="004B374A">
              <w:t>Flat levy</w:t>
            </w:r>
          </w:p>
        </w:tc>
        <w:tc>
          <w:tcPr>
            <w:tcW w:w="2211" w:type="dxa"/>
            <w:vAlign w:val="center"/>
          </w:tcPr>
          <w:p w14:paraId="0AA1786B" w14:textId="3D22EA9D" w:rsidR="001E771D" w:rsidRPr="004B374A" w:rsidRDefault="001E771D" w:rsidP="006E04D4">
            <w:pPr>
              <w:pStyle w:val="tbltext"/>
            </w:pPr>
            <w:r>
              <w:t>Flat levy</w:t>
            </w:r>
          </w:p>
        </w:tc>
        <w:tc>
          <w:tcPr>
            <w:tcW w:w="1701" w:type="dxa"/>
            <w:gridSpan w:val="2"/>
            <w:vAlign w:val="center"/>
          </w:tcPr>
          <w:p w14:paraId="6F954F79" w14:textId="5541FDB0" w:rsidR="001E771D" w:rsidRPr="000540E1" w:rsidRDefault="001E771D" w:rsidP="006E04D4">
            <w:pPr>
              <w:pStyle w:val="tbltext"/>
            </w:pPr>
            <w:r>
              <w:t>ASIC database</w:t>
            </w:r>
          </w:p>
        </w:tc>
        <w:tc>
          <w:tcPr>
            <w:tcW w:w="1701" w:type="dxa"/>
            <w:gridSpan w:val="2"/>
            <w:vAlign w:val="center"/>
          </w:tcPr>
          <w:p w14:paraId="4E16D469" w14:textId="5FAE24F3" w:rsidR="001E771D" w:rsidRPr="000540E1" w:rsidRDefault="001E771D" w:rsidP="006E04D4">
            <w:pPr>
              <w:pStyle w:val="tbltext"/>
            </w:pPr>
            <w:r>
              <w:t>ASIC database</w:t>
            </w:r>
          </w:p>
        </w:tc>
        <w:tc>
          <w:tcPr>
            <w:tcW w:w="2835" w:type="dxa"/>
            <w:vAlign w:val="center"/>
          </w:tcPr>
          <w:p w14:paraId="2AA62429" w14:textId="36CC5A37" w:rsidR="001E771D" w:rsidRPr="000540E1" w:rsidRDefault="001E771D" w:rsidP="006E04D4">
            <w:pPr>
              <w:pStyle w:val="tbltext"/>
            </w:pPr>
            <w:r w:rsidRPr="004B374A">
              <w:t xml:space="preserve">$1.4m annual levy </w:t>
            </w:r>
          </w:p>
        </w:tc>
      </w:tr>
      <w:tr w:rsidR="001E771D" w:rsidRPr="000540E1" w14:paraId="06EBDE2E" w14:textId="42C610C9" w:rsidTr="00C60CE1">
        <w:trPr>
          <w:cantSplit/>
        </w:trPr>
        <w:tc>
          <w:tcPr>
            <w:tcW w:w="1531" w:type="dxa"/>
            <w:vAlign w:val="center"/>
          </w:tcPr>
          <w:p w14:paraId="50897D8A" w14:textId="7E43D885" w:rsidR="001E771D" w:rsidRPr="004B374A" w:rsidRDefault="001E771D" w:rsidP="00FC5759">
            <w:pPr>
              <w:pStyle w:val="tbltext"/>
            </w:pPr>
            <w:r w:rsidRPr="004B374A">
              <w:t xml:space="preserve">Small </w:t>
            </w:r>
            <w:r w:rsidR="00FC5759">
              <w:t>s</w:t>
            </w:r>
            <w:r w:rsidRPr="004B374A">
              <w:t xml:space="preserve">ecurities </w:t>
            </w:r>
            <w:r w:rsidR="00FC5759">
              <w:t>m</w:t>
            </w:r>
            <w:r w:rsidRPr="004B374A">
              <w:t xml:space="preserve">arkets </w:t>
            </w:r>
            <w:r w:rsidR="00FC5759">
              <w:t>o</w:t>
            </w:r>
            <w:r w:rsidRPr="004B374A">
              <w:t>perator</w:t>
            </w:r>
            <w:r w:rsidR="00FC5759">
              <w:t>s</w:t>
            </w:r>
          </w:p>
        </w:tc>
        <w:tc>
          <w:tcPr>
            <w:tcW w:w="1361" w:type="dxa"/>
            <w:vAlign w:val="center"/>
          </w:tcPr>
          <w:p w14:paraId="45A20700" w14:textId="0CDC947E" w:rsidR="001E771D" w:rsidRPr="004B374A" w:rsidRDefault="001E771D" w:rsidP="006E04D4">
            <w:pPr>
              <w:pStyle w:val="tbltext"/>
            </w:pPr>
            <w:r w:rsidRPr="004B374A">
              <w:t>$0.6m</w:t>
            </w:r>
          </w:p>
        </w:tc>
        <w:tc>
          <w:tcPr>
            <w:tcW w:w="1134" w:type="dxa"/>
            <w:vAlign w:val="center"/>
          </w:tcPr>
          <w:p w14:paraId="73F36C1B" w14:textId="05396A30" w:rsidR="001E771D" w:rsidRPr="004B374A" w:rsidRDefault="001E771D" w:rsidP="006E04D4">
            <w:pPr>
              <w:pStyle w:val="tbltext"/>
            </w:pPr>
            <w:r w:rsidRPr="004B374A">
              <w:t>3</w:t>
            </w:r>
          </w:p>
        </w:tc>
        <w:tc>
          <w:tcPr>
            <w:tcW w:w="1361" w:type="dxa"/>
            <w:vAlign w:val="center"/>
          </w:tcPr>
          <w:p w14:paraId="5C87313B" w14:textId="06AB60B3" w:rsidR="001E771D" w:rsidRPr="004B374A" w:rsidRDefault="001E771D" w:rsidP="006E04D4">
            <w:pPr>
              <w:pStyle w:val="tbltext"/>
            </w:pPr>
            <w:r w:rsidRPr="004B374A">
              <w:t>Flat levy</w:t>
            </w:r>
          </w:p>
        </w:tc>
        <w:tc>
          <w:tcPr>
            <w:tcW w:w="2211" w:type="dxa"/>
            <w:vAlign w:val="center"/>
          </w:tcPr>
          <w:p w14:paraId="49789427" w14:textId="77A95B69" w:rsidR="001E771D" w:rsidRDefault="001E771D" w:rsidP="006E04D4">
            <w:pPr>
              <w:pStyle w:val="tbltext"/>
            </w:pPr>
            <w:r>
              <w:t>Flat levy</w:t>
            </w:r>
          </w:p>
        </w:tc>
        <w:tc>
          <w:tcPr>
            <w:tcW w:w="1701" w:type="dxa"/>
            <w:gridSpan w:val="2"/>
            <w:vAlign w:val="center"/>
          </w:tcPr>
          <w:p w14:paraId="31D86F57" w14:textId="58ADC4F3" w:rsidR="001E771D" w:rsidRPr="000540E1" w:rsidRDefault="001E771D" w:rsidP="006E04D4">
            <w:pPr>
              <w:pStyle w:val="tbltext"/>
            </w:pPr>
            <w:r>
              <w:t>ASIC database</w:t>
            </w:r>
          </w:p>
        </w:tc>
        <w:tc>
          <w:tcPr>
            <w:tcW w:w="1701" w:type="dxa"/>
            <w:gridSpan w:val="2"/>
            <w:vAlign w:val="center"/>
          </w:tcPr>
          <w:p w14:paraId="573427E8" w14:textId="1D69775F" w:rsidR="001E771D" w:rsidRPr="000540E1" w:rsidRDefault="001E771D" w:rsidP="006E04D4">
            <w:pPr>
              <w:pStyle w:val="tbltext"/>
            </w:pPr>
            <w:r>
              <w:t>ASIC database</w:t>
            </w:r>
          </w:p>
        </w:tc>
        <w:tc>
          <w:tcPr>
            <w:tcW w:w="2835" w:type="dxa"/>
            <w:vAlign w:val="center"/>
          </w:tcPr>
          <w:p w14:paraId="437ECB55" w14:textId="721529DC" w:rsidR="001E771D" w:rsidRPr="000540E1" w:rsidRDefault="001E771D" w:rsidP="006E04D4">
            <w:pPr>
              <w:pStyle w:val="tbltext"/>
            </w:pPr>
            <w:r w:rsidRPr="004B374A">
              <w:t>$200,000 annual levy</w:t>
            </w:r>
          </w:p>
        </w:tc>
      </w:tr>
      <w:tr w:rsidR="001E771D" w:rsidRPr="000540E1" w14:paraId="1E7D1259" w14:textId="724B4D53" w:rsidTr="00C60CE1">
        <w:trPr>
          <w:cantSplit/>
        </w:trPr>
        <w:tc>
          <w:tcPr>
            <w:tcW w:w="1531" w:type="dxa"/>
            <w:vAlign w:val="center"/>
          </w:tcPr>
          <w:p w14:paraId="4A353979" w14:textId="0BD650DE" w:rsidR="001E771D" w:rsidRPr="004B374A" w:rsidRDefault="00FC5759" w:rsidP="00FC5759">
            <w:pPr>
              <w:pStyle w:val="tbltext"/>
            </w:pPr>
            <w:r>
              <w:t>Small f</w:t>
            </w:r>
            <w:r w:rsidR="001E771D" w:rsidRPr="004B374A">
              <w:t xml:space="preserve">utures </w:t>
            </w:r>
            <w:r>
              <w:t>m</w:t>
            </w:r>
            <w:r w:rsidR="001E771D" w:rsidRPr="004B374A">
              <w:t xml:space="preserve">arket </w:t>
            </w:r>
            <w:r>
              <w:t>o</w:t>
            </w:r>
            <w:r w:rsidR="001E771D" w:rsidRPr="004B374A">
              <w:t>perator</w:t>
            </w:r>
            <w:r>
              <w:t>s</w:t>
            </w:r>
          </w:p>
        </w:tc>
        <w:tc>
          <w:tcPr>
            <w:tcW w:w="1361" w:type="dxa"/>
            <w:vAlign w:val="center"/>
          </w:tcPr>
          <w:p w14:paraId="76EAC360" w14:textId="050702CA" w:rsidR="001E771D" w:rsidRPr="004B374A" w:rsidRDefault="001E771D" w:rsidP="006E04D4">
            <w:pPr>
              <w:pStyle w:val="tbltext"/>
            </w:pPr>
            <w:r w:rsidRPr="004B374A">
              <w:t>$0.2</w:t>
            </w:r>
            <w:r>
              <w:t>m</w:t>
            </w:r>
          </w:p>
        </w:tc>
        <w:tc>
          <w:tcPr>
            <w:tcW w:w="1134" w:type="dxa"/>
            <w:vAlign w:val="center"/>
          </w:tcPr>
          <w:p w14:paraId="275633B6" w14:textId="7902B58E" w:rsidR="001E771D" w:rsidRPr="004B374A" w:rsidRDefault="001E771D" w:rsidP="006E04D4">
            <w:pPr>
              <w:pStyle w:val="tbltext"/>
            </w:pPr>
            <w:r w:rsidRPr="004B374A">
              <w:t>1</w:t>
            </w:r>
          </w:p>
        </w:tc>
        <w:tc>
          <w:tcPr>
            <w:tcW w:w="1361" w:type="dxa"/>
            <w:vAlign w:val="center"/>
          </w:tcPr>
          <w:p w14:paraId="310A8DEE" w14:textId="77FBEEEF" w:rsidR="001E771D" w:rsidRPr="004B374A" w:rsidRDefault="001E771D" w:rsidP="006E04D4">
            <w:pPr>
              <w:pStyle w:val="tbltext"/>
            </w:pPr>
            <w:r w:rsidRPr="004B374A">
              <w:t>Flat levy</w:t>
            </w:r>
          </w:p>
        </w:tc>
        <w:tc>
          <w:tcPr>
            <w:tcW w:w="2211" w:type="dxa"/>
            <w:vAlign w:val="center"/>
          </w:tcPr>
          <w:p w14:paraId="7CF3C1DE" w14:textId="170A4BAD" w:rsidR="001E771D" w:rsidRDefault="001E771D" w:rsidP="006E04D4">
            <w:pPr>
              <w:pStyle w:val="tbltext"/>
            </w:pPr>
            <w:r>
              <w:t>Flat levy</w:t>
            </w:r>
          </w:p>
        </w:tc>
        <w:tc>
          <w:tcPr>
            <w:tcW w:w="1701" w:type="dxa"/>
            <w:gridSpan w:val="2"/>
            <w:vAlign w:val="center"/>
          </w:tcPr>
          <w:p w14:paraId="2E615CC2" w14:textId="30F3DF86" w:rsidR="001E771D" w:rsidRPr="000540E1" w:rsidRDefault="001E771D" w:rsidP="006E04D4">
            <w:pPr>
              <w:pStyle w:val="tbltext"/>
            </w:pPr>
            <w:r>
              <w:t>ASIC database</w:t>
            </w:r>
          </w:p>
        </w:tc>
        <w:tc>
          <w:tcPr>
            <w:tcW w:w="1701" w:type="dxa"/>
            <w:gridSpan w:val="2"/>
            <w:vAlign w:val="center"/>
          </w:tcPr>
          <w:p w14:paraId="683042BC" w14:textId="16D2E23C" w:rsidR="001E771D" w:rsidRPr="000540E1" w:rsidRDefault="001E771D" w:rsidP="006E04D4">
            <w:pPr>
              <w:pStyle w:val="tbltext"/>
            </w:pPr>
            <w:r>
              <w:t>ASIC database</w:t>
            </w:r>
          </w:p>
        </w:tc>
        <w:tc>
          <w:tcPr>
            <w:tcW w:w="2835" w:type="dxa"/>
            <w:vAlign w:val="center"/>
          </w:tcPr>
          <w:p w14:paraId="4DE25400" w14:textId="333DE75F" w:rsidR="001E771D" w:rsidRPr="000540E1" w:rsidRDefault="001E771D" w:rsidP="006E04D4">
            <w:pPr>
              <w:pStyle w:val="tbltext"/>
            </w:pPr>
            <w:r w:rsidRPr="004B374A">
              <w:rPr>
                <w:color w:val="000000" w:themeColor="text1"/>
              </w:rPr>
              <w:t>$200,000 annual levy</w:t>
            </w:r>
          </w:p>
        </w:tc>
      </w:tr>
      <w:tr w:rsidR="001E771D" w:rsidRPr="000540E1" w14:paraId="3F849E1E" w14:textId="7EBD5E96" w:rsidTr="00C60CE1">
        <w:trPr>
          <w:cantSplit/>
        </w:trPr>
        <w:tc>
          <w:tcPr>
            <w:tcW w:w="1531" w:type="dxa"/>
            <w:vAlign w:val="center"/>
          </w:tcPr>
          <w:p w14:paraId="498E63AC" w14:textId="0C7D354C" w:rsidR="001E771D" w:rsidRPr="004B374A" w:rsidRDefault="001E771D" w:rsidP="009522BC">
            <w:pPr>
              <w:pStyle w:val="tbltext"/>
            </w:pPr>
            <w:r w:rsidRPr="004B374A">
              <w:t xml:space="preserve">Small </w:t>
            </w:r>
            <w:r w:rsidR="009522BC">
              <w:t>e</w:t>
            </w:r>
            <w:r w:rsidRPr="004B374A">
              <w:t xml:space="preserve">quity </w:t>
            </w:r>
            <w:r w:rsidR="009522BC">
              <w:t>m</w:t>
            </w:r>
            <w:r w:rsidRPr="004B374A">
              <w:t xml:space="preserve">arket </w:t>
            </w:r>
            <w:r w:rsidR="009522BC">
              <w:t>o</w:t>
            </w:r>
            <w:r w:rsidRPr="004B374A">
              <w:t>perator</w:t>
            </w:r>
            <w:r w:rsidR="009522BC">
              <w:t>s</w:t>
            </w:r>
            <w:r w:rsidRPr="004B374A">
              <w:t xml:space="preserve"> with self-listing function only </w:t>
            </w:r>
          </w:p>
        </w:tc>
        <w:tc>
          <w:tcPr>
            <w:tcW w:w="1361" w:type="dxa"/>
            <w:vAlign w:val="center"/>
          </w:tcPr>
          <w:p w14:paraId="7692930D" w14:textId="2F90D036" w:rsidR="001E771D" w:rsidRPr="004B374A" w:rsidRDefault="001E771D" w:rsidP="006E04D4">
            <w:pPr>
              <w:pStyle w:val="tbltext"/>
            </w:pPr>
            <w:r w:rsidRPr="004B374A">
              <w:t>$0.05m</w:t>
            </w:r>
          </w:p>
        </w:tc>
        <w:tc>
          <w:tcPr>
            <w:tcW w:w="1134" w:type="dxa"/>
            <w:vAlign w:val="center"/>
          </w:tcPr>
          <w:p w14:paraId="70204431" w14:textId="6190662E" w:rsidR="001E771D" w:rsidRPr="004B374A" w:rsidRDefault="001E771D" w:rsidP="006E04D4">
            <w:pPr>
              <w:pStyle w:val="tbltext"/>
            </w:pPr>
            <w:r w:rsidRPr="004B374A">
              <w:t>1</w:t>
            </w:r>
          </w:p>
        </w:tc>
        <w:tc>
          <w:tcPr>
            <w:tcW w:w="1361" w:type="dxa"/>
            <w:vAlign w:val="center"/>
          </w:tcPr>
          <w:p w14:paraId="20E5105A" w14:textId="7BACE63F" w:rsidR="001E771D" w:rsidRPr="004B374A" w:rsidRDefault="001E771D" w:rsidP="006E04D4">
            <w:pPr>
              <w:pStyle w:val="tbltext"/>
            </w:pPr>
            <w:r w:rsidRPr="004B374A">
              <w:t>Flat levy</w:t>
            </w:r>
          </w:p>
        </w:tc>
        <w:tc>
          <w:tcPr>
            <w:tcW w:w="2211" w:type="dxa"/>
            <w:vAlign w:val="center"/>
          </w:tcPr>
          <w:p w14:paraId="0EB10C9D" w14:textId="330A0289" w:rsidR="001E771D" w:rsidRDefault="001E771D" w:rsidP="006E04D4">
            <w:pPr>
              <w:pStyle w:val="tbltext"/>
            </w:pPr>
            <w:r>
              <w:t>Flat levy</w:t>
            </w:r>
          </w:p>
        </w:tc>
        <w:tc>
          <w:tcPr>
            <w:tcW w:w="1701" w:type="dxa"/>
            <w:gridSpan w:val="2"/>
            <w:vAlign w:val="center"/>
          </w:tcPr>
          <w:p w14:paraId="393D9430" w14:textId="68E1FD9A" w:rsidR="001E771D" w:rsidRPr="000540E1" w:rsidRDefault="001E771D" w:rsidP="006E04D4">
            <w:pPr>
              <w:pStyle w:val="tbltext"/>
            </w:pPr>
            <w:r>
              <w:t>ASIC database</w:t>
            </w:r>
          </w:p>
        </w:tc>
        <w:tc>
          <w:tcPr>
            <w:tcW w:w="1701" w:type="dxa"/>
            <w:gridSpan w:val="2"/>
            <w:vAlign w:val="center"/>
          </w:tcPr>
          <w:p w14:paraId="0A6AD546" w14:textId="40CAF1D5" w:rsidR="001E771D" w:rsidRPr="000540E1" w:rsidRDefault="001E771D" w:rsidP="006E04D4">
            <w:pPr>
              <w:pStyle w:val="tbltext"/>
            </w:pPr>
            <w:r>
              <w:t>ASIC database</w:t>
            </w:r>
          </w:p>
        </w:tc>
        <w:tc>
          <w:tcPr>
            <w:tcW w:w="2835" w:type="dxa"/>
            <w:vAlign w:val="center"/>
          </w:tcPr>
          <w:p w14:paraId="41E2917C" w14:textId="44AC6001" w:rsidR="001E771D" w:rsidRPr="000540E1" w:rsidRDefault="001E771D" w:rsidP="006E04D4">
            <w:pPr>
              <w:pStyle w:val="tbltext"/>
            </w:pPr>
            <w:r w:rsidRPr="004B374A">
              <w:t>$</w:t>
            </w:r>
            <w:r>
              <w:t>45</w:t>
            </w:r>
            <w:r w:rsidRPr="004B374A">
              <w:t>,000 annual levy</w:t>
            </w:r>
          </w:p>
        </w:tc>
      </w:tr>
      <w:tr w:rsidR="001E771D" w:rsidRPr="000540E1" w14:paraId="2159E7A8" w14:textId="2BF41897" w:rsidTr="00C60CE1">
        <w:trPr>
          <w:cantSplit/>
        </w:trPr>
        <w:tc>
          <w:tcPr>
            <w:tcW w:w="1531" w:type="dxa"/>
            <w:vAlign w:val="center"/>
          </w:tcPr>
          <w:p w14:paraId="1A4F9184" w14:textId="7A1C3D45" w:rsidR="001E771D" w:rsidRPr="004B374A" w:rsidRDefault="001E771D" w:rsidP="009522BC">
            <w:pPr>
              <w:pStyle w:val="tbltext"/>
            </w:pPr>
            <w:r w:rsidRPr="004B374A">
              <w:t xml:space="preserve">Small </w:t>
            </w:r>
            <w:r w:rsidR="009522BC">
              <w:t>d</w:t>
            </w:r>
            <w:r w:rsidRPr="004B374A">
              <w:t>erivative</w:t>
            </w:r>
            <w:r w:rsidR="009522BC">
              <w:t>s market o</w:t>
            </w:r>
            <w:r w:rsidRPr="004B374A">
              <w:t>perator</w:t>
            </w:r>
            <w:r w:rsidR="009522BC">
              <w:t>s</w:t>
            </w:r>
          </w:p>
        </w:tc>
        <w:tc>
          <w:tcPr>
            <w:tcW w:w="1361" w:type="dxa"/>
            <w:vAlign w:val="center"/>
          </w:tcPr>
          <w:p w14:paraId="798E2E92" w14:textId="008E9D08" w:rsidR="001E771D" w:rsidRPr="004B374A" w:rsidRDefault="001E771D" w:rsidP="006E04D4">
            <w:pPr>
              <w:pStyle w:val="tbltext"/>
            </w:pPr>
            <w:r w:rsidRPr="004B374A">
              <w:t>$0.6m</w:t>
            </w:r>
          </w:p>
        </w:tc>
        <w:tc>
          <w:tcPr>
            <w:tcW w:w="1134" w:type="dxa"/>
            <w:vAlign w:val="center"/>
          </w:tcPr>
          <w:p w14:paraId="5E9D8B07" w14:textId="7A2AE15E" w:rsidR="001E771D" w:rsidRPr="004B374A" w:rsidRDefault="001E771D" w:rsidP="006E04D4">
            <w:pPr>
              <w:pStyle w:val="tbltext"/>
            </w:pPr>
            <w:r w:rsidRPr="004B374A">
              <w:t>4 entities operating 11 markets</w:t>
            </w:r>
          </w:p>
        </w:tc>
        <w:tc>
          <w:tcPr>
            <w:tcW w:w="1361" w:type="dxa"/>
            <w:vAlign w:val="center"/>
          </w:tcPr>
          <w:p w14:paraId="5CEB6C46" w14:textId="5A14CC75" w:rsidR="001E771D" w:rsidRPr="004B374A" w:rsidRDefault="001E771D" w:rsidP="006E04D4">
            <w:pPr>
              <w:pStyle w:val="tbltext"/>
            </w:pPr>
            <w:r w:rsidRPr="004B374A">
              <w:t>Flat levy</w:t>
            </w:r>
          </w:p>
        </w:tc>
        <w:tc>
          <w:tcPr>
            <w:tcW w:w="2211" w:type="dxa"/>
            <w:vAlign w:val="center"/>
          </w:tcPr>
          <w:p w14:paraId="4EA5A660" w14:textId="6AF48CBA" w:rsidR="001E771D" w:rsidRDefault="001E771D" w:rsidP="006E04D4">
            <w:pPr>
              <w:pStyle w:val="tbltext"/>
            </w:pPr>
            <w:r>
              <w:t>Flat levy</w:t>
            </w:r>
          </w:p>
        </w:tc>
        <w:tc>
          <w:tcPr>
            <w:tcW w:w="1701" w:type="dxa"/>
            <w:gridSpan w:val="2"/>
            <w:vAlign w:val="center"/>
          </w:tcPr>
          <w:p w14:paraId="43EC8EC3" w14:textId="23EBE839" w:rsidR="001E771D" w:rsidRPr="000540E1" w:rsidRDefault="001E771D" w:rsidP="006E04D4">
            <w:pPr>
              <w:pStyle w:val="tbltext"/>
            </w:pPr>
            <w:r>
              <w:t>ASIC database</w:t>
            </w:r>
          </w:p>
        </w:tc>
        <w:tc>
          <w:tcPr>
            <w:tcW w:w="1701" w:type="dxa"/>
            <w:gridSpan w:val="2"/>
            <w:vAlign w:val="center"/>
          </w:tcPr>
          <w:p w14:paraId="652D992B" w14:textId="2C388EBA" w:rsidR="001E771D" w:rsidRPr="000540E1" w:rsidRDefault="001E771D" w:rsidP="006E04D4">
            <w:pPr>
              <w:pStyle w:val="tbltext"/>
            </w:pPr>
            <w:r>
              <w:t>ASIC database</w:t>
            </w:r>
          </w:p>
        </w:tc>
        <w:tc>
          <w:tcPr>
            <w:tcW w:w="2835" w:type="dxa"/>
            <w:vAlign w:val="center"/>
          </w:tcPr>
          <w:p w14:paraId="4E602AD4" w14:textId="10C83C02" w:rsidR="001E771D" w:rsidRPr="000540E1" w:rsidRDefault="001E771D" w:rsidP="006E04D4">
            <w:pPr>
              <w:pStyle w:val="tbltext"/>
            </w:pPr>
            <w:r w:rsidRPr="004B374A">
              <w:t xml:space="preserve">$50,000 </w:t>
            </w:r>
            <w:r>
              <w:t>per market</w:t>
            </w:r>
          </w:p>
        </w:tc>
      </w:tr>
      <w:tr w:rsidR="001E771D" w:rsidRPr="000540E1" w14:paraId="7FAC74AB" w14:textId="5A57D5EA" w:rsidTr="00C60CE1">
        <w:trPr>
          <w:cantSplit/>
        </w:trPr>
        <w:tc>
          <w:tcPr>
            <w:tcW w:w="1531" w:type="dxa"/>
            <w:vAlign w:val="center"/>
          </w:tcPr>
          <w:p w14:paraId="13156150" w14:textId="56151320" w:rsidR="001E771D" w:rsidRPr="004B374A" w:rsidRDefault="009522BC" w:rsidP="009522BC">
            <w:pPr>
              <w:pStyle w:val="tbltext"/>
            </w:pPr>
            <w:r>
              <w:t>Foreign m</w:t>
            </w:r>
            <w:r w:rsidR="001E771D" w:rsidRPr="004B374A">
              <w:t xml:space="preserve">arket </w:t>
            </w:r>
            <w:r>
              <w:t>o</w:t>
            </w:r>
            <w:r w:rsidR="001E771D" w:rsidRPr="004B374A">
              <w:t>perator</w:t>
            </w:r>
            <w:r>
              <w:t>s</w:t>
            </w:r>
          </w:p>
        </w:tc>
        <w:tc>
          <w:tcPr>
            <w:tcW w:w="1361" w:type="dxa"/>
            <w:vAlign w:val="center"/>
          </w:tcPr>
          <w:p w14:paraId="3642FA21" w14:textId="4E7F663F" w:rsidR="001E771D" w:rsidRPr="004B374A" w:rsidRDefault="001E771D" w:rsidP="006E04D4">
            <w:pPr>
              <w:pStyle w:val="tbltext"/>
            </w:pPr>
            <w:r w:rsidRPr="004B374A">
              <w:t>$0.54m</w:t>
            </w:r>
          </w:p>
        </w:tc>
        <w:tc>
          <w:tcPr>
            <w:tcW w:w="1134" w:type="dxa"/>
            <w:vAlign w:val="center"/>
          </w:tcPr>
          <w:p w14:paraId="42828314" w14:textId="088270EE" w:rsidR="001E771D" w:rsidRPr="004B374A" w:rsidRDefault="001E771D" w:rsidP="006E04D4">
            <w:pPr>
              <w:pStyle w:val="tbltext"/>
            </w:pPr>
            <w:r w:rsidRPr="004B374A">
              <w:t>6</w:t>
            </w:r>
          </w:p>
        </w:tc>
        <w:tc>
          <w:tcPr>
            <w:tcW w:w="1361" w:type="dxa"/>
            <w:vAlign w:val="center"/>
          </w:tcPr>
          <w:p w14:paraId="23EB6DDC" w14:textId="0F331F79" w:rsidR="001E771D" w:rsidRPr="004B374A" w:rsidRDefault="001E771D" w:rsidP="006E04D4">
            <w:pPr>
              <w:pStyle w:val="tbltext"/>
            </w:pPr>
            <w:r w:rsidRPr="004B374A">
              <w:t>Flat levy</w:t>
            </w:r>
          </w:p>
        </w:tc>
        <w:tc>
          <w:tcPr>
            <w:tcW w:w="2211" w:type="dxa"/>
            <w:vAlign w:val="center"/>
          </w:tcPr>
          <w:p w14:paraId="19E2515D" w14:textId="374B2399" w:rsidR="001E771D" w:rsidRDefault="001E771D" w:rsidP="006E04D4">
            <w:pPr>
              <w:pStyle w:val="tbltext"/>
            </w:pPr>
            <w:r>
              <w:t>Flat levy</w:t>
            </w:r>
          </w:p>
        </w:tc>
        <w:tc>
          <w:tcPr>
            <w:tcW w:w="1701" w:type="dxa"/>
            <w:gridSpan w:val="2"/>
            <w:vAlign w:val="center"/>
          </w:tcPr>
          <w:p w14:paraId="1A58185B" w14:textId="6CB2C24F" w:rsidR="001E771D" w:rsidRPr="000540E1" w:rsidRDefault="001E771D" w:rsidP="006E04D4">
            <w:pPr>
              <w:pStyle w:val="tbltext"/>
            </w:pPr>
            <w:r>
              <w:t>ASIC database</w:t>
            </w:r>
          </w:p>
        </w:tc>
        <w:tc>
          <w:tcPr>
            <w:tcW w:w="1701" w:type="dxa"/>
            <w:gridSpan w:val="2"/>
            <w:vAlign w:val="center"/>
          </w:tcPr>
          <w:p w14:paraId="40AB1E0B" w14:textId="20D549A3" w:rsidR="001E771D" w:rsidRPr="000540E1" w:rsidRDefault="001E771D" w:rsidP="006E04D4">
            <w:pPr>
              <w:pStyle w:val="tbltext"/>
            </w:pPr>
            <w:r>
              <w:t>ASIC database</w:t>
            </w:r>
          </w:p>
        </w:tc>
        <w:tc>
          <w:tcPr>
            <w:tcW w:w="2835" w:type="dxa"/>
            <w:vAlign w:val="center"/>
          </w:tcPr>
          <w:p w14:paraId="76B6561C" w14:textId="3176AC23" w:rsidR="001E771D" w:rsidRPr="000540E1" w:rsidRDefault="001E771D" w:rsidP="006E04D4">
            <w:pPr>
              <w:pStyle w:val="tbltext"/>
            </w:pPr>
            <w:r w:rsidRPr="004B374A">
              <w:t xml:space="preserve">$90,000 annual levy </w:t>
            </w:r>
          </w:p>
        </w:tc>
      </w:tr>
      <w:tr w:rsidR="001E771D" w:rsidRPr="000540E1" w14:paraId="43D04620" w14:textId="4C1263C9" w:rsidTr="00C60CE1">
        <w:trPr>
          <w:cantSplit/>
        </w:trPr>
        <w:tc>
          <w:tcPr>
            <w:tcW w:w="1531" w:type="dxa"/>
            <w:vAlign w:val="center"/>
          </w:tcPr>
          <w:p w14:paraId="2E8B8A1C" w14:textId="6F8BE6C8" w:rsidR="001E771D" w:rsidRPr="004B374A" w:rsidRDefault="001E771D" w:rsidP="009522BC">
            <w:pPr>
              <w:pStyle w:val="tbltext"/>
            </w:pPr>
            <w:r w:rsidRPr="004B374A">
              <w:t xml:space="preserve">Trade </w:t>
            </w:r>
            <w:r w:rsidR="009522BC">
              <w:t>r</w:t>
            </w:r>
            <w:r w:rsidRPr="004B374A">
              <w:t>epository licensee</w:t>
            </w:r>
            <w:r w:rsidR="009522BC">
              <w:t>s</w:t>
            </w:r>
          </w:p>
        </w:tc>
        <w:tc>
          <w:tcPr>
            <w:tcW w:w="1361" w:type="dxa"/>
            <w:vAlign w:val="center"/>
          </w:tcPr>
          <w:p w14:paraId="3A3E2DB6" w14:textId="48F5E807" w:rsidR="001E771D" w:rsidRPr="004B374A" w:rsidRDefault="001E771D" w:rsidP="006E04D4">
            <w:pPr>
              <w:pStyle w:val="tbltext"/>
            </w:pPr>
            <w:r w:rsidRPr="004B374A">
              <w:t>$0.4m</w:t>
            </w:r>
          </w:p>
        </w:tc>
        <w:tc>
          <w:tcPr>
            <w:tcW w:w="1134" w:type="dxa"/>
            <w:vAlign w:val="center"/>
          </w:tcPr>
          <w:p w14:paraId="7E6C7B47" w14:textId="1CD32265" w:rsidR="001E771D" w:rsidRPr="004B374A" w:rsidRDefault="001E771D" w:rsidP="006E04D4">
            <w:pPr>
              <w:pStyle w:val="tbltext"/>
            </w:pPr>
            <w:r w:rsidRPr="004B374A">
              <w:t>3</w:t>
            </w:r>
          </w:p>
        </w:tc>
        <w:tc>
          <w:tcPr>
            <w:tcW w:w="1361" w:type="dxa"/>
            <w:vAlign w:val="center"/>
          </w:tcPr>
          <w:p w14:paraId="22C23CAB" w14:textId="6ADB4BF7" w:rsidR="001E771D" w:rsidRPr="004B374A" w:rsidRDefault="001E771D" w:rsidP="006E04D4">
            <w:pPr>
              <w:pStyle w:val="tbltext"/>
            </w:pPr>
            <w:r w:rsidRPr="004B374A">
              <w:t>Flat levy</w:t>
            </w:r>
          </w:p>
        </w:tc>
        <w:tc>
          <w:tcPr>
            <w:tcW w:w="2211" w:type="dxa"/>
            <w:vAlign w:val="center"/>
          </w:tcPr>
          <w:p w14:paraId="109E38ED" w14:textId="79FE234F" w:rsidR="001E771D" w:rsidRDefault="001E771D" w:rsidP="006E04D4">
            <w:pPr>
              <w:pStyle w:val="tbltext"/>
            </w:pPr>
            <w:r>
              <w:t>Flat levy</w:t>
            </w:r>
          </w:p>
        </w:tc>
        <w:tc>
          <w:tcPr>
            <w:tcW w:w="1701" w:type="dxa"/>
            <w:gridSpan w:val="2"/>
            <w:vAlign w:val="center"/>
          </w:tcPr>
          <w:p w14:paraId="20FA968B" w14:textId="30B67DDA" w:rsidR="001E771D" w:rsidRPr="000540E1" w:rsidRDefault="001E771D" w:rsidP="006E04D4">
            <w:pPr>
              <w:pStyle w:val="tbltext"/>
            </w:pPr>
            <w:r>
              <w:t>ASIC database</w:t>
            </w:r>
          </w:p>
        </w:tc>
        <w:tc>
          <w:tcPr>
            <w:tcW w:w="1701" w:type="dxa"/>
            <w:gridSpan w:val="2"/>
            <w:vAlign w:val="center"/>
          </w:tcPr>
          <w:p w14:paraId="486E200C" w14:textId="6406E471" w:rsidR="001E771D" w:rsidRPr="000540E1" w:rsidRDefault="001E771D" w:rsidP="006E04D4">
            <w:pPr>
              <w:pStyle w:val="tbltext"/>
            </w:pPr>
            <w:r>
              <w:t>ASIC database</w:t>
            </w:r>
          </w:p>
        </w:tc>
        <w:tc>
          <w:tcPr>
            <w:tcW w:w="2835" w:type="dxa"/>
            <w:vAlign w:val="center"/>
          </w:tcPr>
          <w:p w14:paraId="788AFA58" w14:textId="7776B17E" w:rsidR="001E771D" w:rsidRPr="000540E1" w:rsidRDefault="001E771D" w:rsidP="006E04D4">
            <w:pPr>
              <w:pStyle w:val="tbltext"/>
            </w:pPr>
            <w:r w:rsidRPr="004B374A">
              <w:t>$140,000 annual levy</w:t>
            </w:r>
          </w:p>
        </w:tc>
      </w:tr>
      <w:tr w:rsidR="001E771D" w:rsidRPr="000540E1" w14:paraId="561DB969" w14:textId="06B30A7E" w:rsidTr="00C60CE1">
        <w:trPr>
          <w:cantSplit/>
        </w:trPr>
        <w:tc>
          <w:tcPr>
            <w:tcW w:w="1531" w:type="dxa"/>
            <w:vAlign w:val="center"/>
          </w:tcPr>
          <w:p w14:paraId="02852321" w14:textId="65218728" w:rsidR="001E771D" w:rsidRPr="004B374A" w:rsidRDefault="001E771D" w:rsidP="006E04D4">
            <w:pPr>
              <w:pStyle w:val="tbltext"/>
            </w:pPr>
            <w:r w:rsidRPr="004B374A">
              <w:t>Exempt market</w:t>
            </w:r>
            <w:r w:rsidR="009522BC">
              <w:t>s</w:t>
            </w:r>
          </w:p>
        </w:tc>
        <w:tc>
          <w:tcPr>
            <w:tcW w:w="1361" w:type="dxa"/>
            <w:vAlign w:val="center"/>
          </w:tcPr>
          <w:p w14:paraId="48A16D79" w14:textId="4C91C9B2" w:rsidR="001E771D" w:rsidRPr="004B374A" w:rsidRDefault="001E771D" w:rsidP="006E04D4">
            <w:pPr>
              <w:pStyle w:val="tbltext"/>
            </w:pPr>
            <w:r w:rsidRPr="004B374A">
              <w:t>$1.3m</w:t>
            </w:r>
          </w:p>
        </w:tc>
        <w:tc>
          <w:tcPr>
            <w:tcW w:w="1134" w:type="dxa"/>
            <w:vAlign w:val="center"/>
          </w:tcPr>
          <w:p w14:paraId="73F1958B" w14:textId="0FF39240" w:rsidR="001E771D" w:rsidRPr="004B374A" w:rsidRDefault="001E771D" w:rsidP="006E04D4">
            <w:pPr>
              <w:pStyle w:val="tbltext"/>
            </w:pPr>
            <w:r w:rsidRPr="004B374A">
              <w:t>26 entities operating 28 exempt markets</w:t>
            </w:r>
          </w:p>
        </w:tc>
        <w:tc>
          <w:tcPr>
            <w:tcW w:w="1361" w:type="dxa"/>
            <w:vAlign w:val="center"/>
          </w:tcPr>
          <w:p w14:paraId="1602FD7E" w14:textId="0E3E59E6" w:rsidR="001E771D" w:rsidRPr="004B374A" w:rsidRDefault="001E771D" w:rsidP="006E04D4">
            <w:pPr>
              <w:pStyle w:val="tbltext"/>
            </w:pPr>
            <w:r w:rsidRPr="004B374A">
              <w:t>Flat levy</w:t>
            </w:r>
          </w:p>
        </w:tc>
        <w:tc>
          <w:tcPr>
            <w:tcW w:w="2211" w:type="dxa"/>
            <w:vAlign w:val="center"/>
          </w:tcPr>
          <w:p w14:paraId="0BC39854" w14:textId="090B8C53" w:rsidR="001E771D" w:rsidRDefault="001E771D" w:rsidP="006E04D4">
            <w:pPr>
              <w:pStyle w:val="tbltext"/>
            </w:pPr>
            <w:r>
              <w:t>Flat levy</w:t>
            </w:r>
          </w:p>
        </w:tc>
        <w:tc>
          <w:tcPr>
            <w:tcW w:w="1701" w:type="dxa"/>
            <w:gridSpan w:val="2"/>
            <w:vAlign w:val="center"/>
          </w:tcPr>
          <w:p w14:paraId="69B781EA" w14:textId="1F8424F0" w:rsidR="001E771D" w:rsidRPr="000540E1" w:rsidRDefault="001E771D" w:rsidP="006E04D4">
            <w:pPr>
              <w:pStyle w:val="tbltext"/>
            </w:pPr>
            <w:r>
              <w:t>ASIC database</w:t>
            </w:r>
          </w:p>
        </w:tc>
        <w:tc>
          <w:tcPr>
            <w:tcW w:w="1701" w:type="dxa"/>
            <w:gridSpan w:val="2"/>
            <w:vAlign w:val="center"/>
          </w:tcPr>
          <w:p w14:paraId="3FFFDF13" w14:textId="2B89CFE6" w:rsidR="001E771D" w:rsidRPr="000540E1" w:rsidRDefault="001E771D" w:rsidP="006E04D4">
            <w:pPr>
              <w:pStyle w:val="tbltext"/>
            </w:pPr>
            <w:r>
              <w:t>ASIC database</w:t>
            </w:r>
          </w:p>
        </w:tc>
        <w:tc>
          <w:tcPr>
            <w:tcW w:w="2835" w:type="dxa"/>
            <w:vAlign w:val="center"/>
          </w:tcPr>
          <w:p w14:paraId="1DA6354E" w14:textId="60F973AF" w:rsidR="001E771D" w:rsidRPr="000540E1" w:rsidRDefault="001E771D" w:rsidP="006E04D4">
            <w:pPr>
              <w:pStyle w:val="tbltext"/>
            </w:pPr>
            <w:r w:rsidRPr="004B374A">
              <w:t>$45,000 per market</w:t>
            </w:r>
          </w:p>
        </w:tc>
      </w:tr>
      <w:tr w:rsidR="001E771D" w:rsidRPr="000540E1" w14:paraId="34D8622C" w14:textId="0C57A74A" w:rsidTr="00C60CE1">
        <w:trPr>
          <w:cantSplit/>
        </w:trPr>
        <w:tc>
          <w:tcPr>
            <w:tcW w:w="1531" w:type="dxa"/>
            <w:vAlign w:val="center"/>
          </w:tcPr>
          <w:p w14:paraId="27093CBC" w14:textId="73FC6899" w:rsidR="001E771D" w:rsidRPr="004B374A" w:rsidRDefault="009522BC" w:rsidP="006E04D4">
            <w:pPr>
              <w:pStyle w:val="tbltext"/>
            </w:pPr>
            <w:r>
              <w:t>Credit rating agencies</w:t>
            </w:r>
          </w:p>
        </w:tc>
        <w:tc>
          <w:tcPr>
            <w:tcW w:w="1361" w:type="dxa"/>
            <w:vAlign w:val="center"/>
          </w:tcPr>
          <w:p w14:paraId="286BC4CD" w14:textId="2DBAAC6D" w:rsidR="001E771D" w:rsidRPr="004B374A" w:rsidRDefault="001E771D" w:rsidP="006E04D4">
            <w:pPr>
              <w:pStyle w:val="tbltext"/>
            </w:pPr>
            <w:r w:rsidRPr="004B374A">
              <w:t>$0.2m</w:t>
            </w:r>
          </w:p>
        </w:tc>
        <w:tc>
          <w:tcPr>
            <w:tcW w:w="1134" w:type="dxa"/>
            <w:vAlign w:val="center"/>
          </w:tcPr>
          <w:p w14:paraId="4969B168" w14:textId="6D758B37" w:rsidR="001E771D" w:rsidRPr="004B374A" w:rsidRDefault="001E771D" w:rsidP="006E04D4">
            <w:pPr>
              <w:pStyle w:val="tbltext"/>
            </w:pPr>
            <w:r w:rsidRPr="004B374A">
              <w:t>7</w:t>
            </w:r>
          </w:p>
        </w:tc>
        <w:tc>
          <w:tcPr>
            <w:tcW w:w="1361" w:type="dxa"/>
            <w:vAlign w:val="center"/>
          </w:tcPr>
          <w:p w14:paraId="76C7C0D0" w14:textId="516AB0F8" w:rsidR="001E771D" w:rsidRPr="004B374A" w:rsidRDefault="001E771D" w:rsidP="006E04D4">
            <w:pPr>
              <w:pStyle w:val="tbltext"/>
            </w:pPr>
            <w:r w:rsidRPr="004B374A">
              <w:t>Flat levy</w:t>
            </w:r>
          </w:p>
        </w:tc>
        <w:tc>
          <w:tcPr>
            <w:tcW w:w="2211" w:type="dxa"/>
            <w:vAlign w:val="center"/>
          </w:tcPr>
          <w:p w14:paraId="683CEA30" w14:textId="0513FAD5" w:rsidR="001E771D" w:rsidRDefault="001E771D" w:rsidP="006E04D4">
            <w:pPr>
              <w:pStyle w:val="tbltext"/>
            </w:pPr>
            <w:r>
              <w:t>Flat levy</w:t>
            </w:r>
          </w:p>
        </w:tc>
        <w:tc>
          <w:tcPr>
            <w:tcW w:w="1701" w:type="dxa"/>
            <w:gridSpan w:val="2"/>
            <w:vAlign w:val="center"/>
          </w:tcPr>
          <w:p w14:paraId="03F13298" w14:textId="5CD7E534" w:rsidR="001E771D" w:rsidRPr="000540E1" w:rsidRDefault="001E771D" w:rsidP="006E04D4">
            <w:pPr>
              <w:pStyle w:val="tbltext"/>
            </w:pPr>
            <w:r>
              <w:t>ASIC database</w:t>
            </w:r>
          </w:p>
        </w:tc>
        <w:tc>
          <w:tcPr>
            <w:tcW w:w="1701" w:type="dxa"/>
            <w:gridSpan w:val="2"/>
            <w:vAlign w:val="center"/>
          </w:tcPr>
          <w:p w14:paraId="572EAE0F" w14:textId="6180D38E" w:rsidR="001E771D" w:rsidRPr="000540E1" w:rsidRDefault="001E771D" w:rsidP="006E04D4">
            <w:pPr>
              <w:pStyle w:val="tbltext"/>
            </w:pPr>
            <w:r>
              <w:t>ASIC database</w:t>
            </w:r>
          </w:p>
        </w:tc>
        <w:tc>
          <w:tcPr>
            <w:tcW w:w="2835" w:type="dxa"/>
            <w:vAlign w:val="center"/>
          </w:tcPr>
          <w:p w14:paraId="19B96CF8" w14:textId="2640DC5C" w:rsidR="001E771D" w:rsidRPr="000540E1" w:rsidRDefault="001E771D" w:rsidP="006E04D4">
            <w:pPr>
              <w:pStyle w:val="tbltext"/>
            </w:pPr>
            <w:r w:rsidRPr="004B374A">
              <w:t>$34,000 annual levy</w:t>
            </w:r>
          </w:p>
        </w:tc>
      </w:tr>
      <w:tr w:rsidR="001E771D" w:rsidRPr="000540E1" w14:paraId="7F2B27F7" w14:textId="79962A93" w:rsidTr="00C60CE1">
        <w:trPr>
          <w:cantSplit/>
        </w:trPr>
        <w:tc>
          <w:tcPr>
            <w:tcW w:w="1531" w:type="dxa"/>
            <w:vAlign w:val="center"/>
          </w:tcPr>
          <w:p w14:paraId="792EBB55" w14:textId="4A3141AC" w:rsidR="001E771D" w:rsidRPr="004B374A" w:rsidRDefault="001E771D" w:rsidP="006E04D4">
            <w:pPr>
              <w:pStyle w:val="tbltext"/>
            </w:pPr>
            <w:r w:rsidRPr="004B374A">
              <w:t xml:space="preserve">Clearing and Settlement </w:t>
            </w:r>
            <w:r w:rsidR="009522BC">
              <w:t xml:space="preserve">(CS) </w:t>
            </w:r>
            <w:r w:rsidRPr="004B374A">
              <w:t>facility licensee</w:t>
            </w:r>
            <w:r w:rsidR="009522BC">
              <w:t>s</w:t>
            </w:r>
          </w:p>
        </w:tc>
        <w:tc>
          <w:tcPr>
            <w:tcW w:w="1361" w:type="dxa"/>
            <w:vAlign w:val="center"/>
          </w:tcPr>
          <w:p w14:paraId="10D5AB7C" w14:textId="3413343F" w:rsidR="001E771D" w:rsidRPr="004B374A" w:rsidRDefault="001E771D" w:rsidP="006E04D4">
            <w:pPr>
              <w:pStyle w:val="tbltext"/>
            </w:pPr>
            <w:r w:rsidRPr="004B374A">
              <w:t>$2.1m</w:t>
            </w:r>
          </w:p>
        </w:tc>
        <w:tc>
          <w:tcPr>
            <w:tcW w:w="1134" w:type="dxa"/>
            <w:vAlign w:val="center"/>
          </w:tcPr>
          <w:p w14:paraId="70207468" w14:textId="2F359B32" w:rsidR="001E771D" w:rsidRPr="004B374A" w:rsidRDefault="001E771D" w:rsidP="006E04D4">
            <w:pPr>
              <w:pStyle w:val="tbltext"/>
            </w:pPr>
            <w:r>
              <w:t xml:space="preserve">7 entities providing </w:t>
            </w:r>
            <w:r w:rsidRPr="004B374A">
              <w:t>8</w:t>
            </w:r>
            <w:r w:rsidR="00833984">
              <w:t> </w:t>
            </w:r>
            <w:r>
              <w:t>facilities</w:t>
            </w:r>
          </w:p>
        </w:tc>
        <w:tc>
          <w:tcPr>
            <w:tcW w:w="1361" w:type="dxa"/>
            <w:vAlign w:val="center"/>
          </w:tcPr>
          <w:p w14:paraId="281EBB1C" w14:textId="1E9E3CC5" w:rsidR="001E771D" w:rsidRPr="004B374A" w:rsidRDefault="001E771D" w:rsidP="006E04D4">
            <w:pPr>
              <w:pStyle w:val="tbltext"/>
            </w:pPr>
            <w:r w:rsidRPr="004B374A">
              <w:t>Tiered based on systemic importance</w:t>
            </w:r>
            <w:r>
              <w:t xml:space="preserve"> and domestic connection</w:t>
            </w:r>
          </w:p>
        </w:tc>
        <w:tc>
          <w:tcPr>
            <w:tcW w:w="2211" w:type="dxa"/>
            <w:vAlign w:val="center"/>
          </w:tcPr>
          <w:p w14:paraId="3DFCE847" w14:textId="378E100F" w:rsidR="001E771D" w:rsidRDefault="001E771D" w:rsidP="006E04D4">
            <w:pPr>
              <w:pStyle w:val="tbltext"/>
            </w:pPr>
            <w:r w:rsidRPr="004B374A">
              <w:t>Tiered based on systemic importance</w:t>
            </w:r>
          </w:p>
        </w:tc>
        <w:tc>
          <w:tcPr>
            <w:tcW w:w="1701" w:type="dxa"/>
            <w:gridSpan w:val="2"/>
            <w:vAlign w:val="center"/>
          </w:tcPr>
          <w:p w14:paraId="2A67D418" w14:textId="21526CDF" w:rsidR="001E771D" w:rsidRPr="000540E1" w:rsidRDefault="001E771D" w:rsidP="006E04D4">
            <w:pPr>
              <w:pStyle w:val="tbltext"/>
            </w:pPr>
            <w:r>
              <w:t>ASIC database</w:t>
            </w:r>
          </w:p>
        </w:tc>
        <w:tc>
          <w:tcPr>
            <w:tcW w:w="1701" w:type="dxa"/>
            <w:gridSpan w:val="2"/>
            <w:vAlign w:val="center"/>
          </w:tcPr>
          <w:p w14:paraId="6C407090" w14:textId="72276A5F" w:rsidR="001E771D" w:rsidRPr="000540E1" w:rsidRDefault="001E771D" w:rsidP="006E04D4">
            <w:pPr>
              <w:pStyle w:val="tbltext"/>
            </w:pPr>
            <w:r>
              <w:t>ASIC database</w:t>
            </w:r>
          </w:p>
        </w:tc>
        <w:tc>
          <w:tcPr>
            <w:tcW w:w="2835" w:type="dxa"/>
            <w:vAlign w:val="center"/>
          </w:tcPr>
          <w:p w14:paraId="10EC4A5B" w14:textId="346B1ABD" w:rsidR="001E771D" w:rsidRPr="000540E1" w:rsidRDefault="001E771D" w:rsidP="006E04D4">
            <w:pPr>
              <w:pStyle w:val="tbltext"/>
            </w:pPr>
            <w:r w:rsidRPr="00833984">
              <w:rPr>
                <w:b/>
              </w:rPr>
              <w:t>Tier 1</w:t>
            </w:r>
            <w:r w:rsidRPr="004B374A">
              <w:t>: $436,000</w:t>
            </w:r>
            <w:r>
              <w:t xml:space="preserve"> per</w:t>
            </w:r>
            <w:r w:rsidR="00C60CE1">
              <w:t> </w:t>
            </w:r>
            <w:r>
              <w:t>facility</w:t>
            </w:r>
            <w:r w:rsidRPr="004B374A">
              <w:br/>
            </w:r>
            <w:r w:rsidRPr="00833984">
              <w:rPr>
                <w:b/>
              </w:rPr>
              <w:t>Tier 2</w:t>
            </w:r>
            <w:r w:rsidRPr="004B374A">
              <w:t>: $200,000</w:t>
            </w:r>
            <w:r>
              <w:t xml:space="preserve"> per</w:t>
            </w:r>
            <w:r w:rsidR="00C60CE1">
              <w:t> </w:t>
            </w:r>
            <w:r>
              <w:t>facility</w:t>
            </w:r>
            <w:r w:rsidRPr="004B374A">
              <w:br/>
            </w:r>
            <w:r w:rsidRPr="00833984">
              <w:rPr>
                <w:b/>
              </w:rPr>
              <w:t>Tier 3</w:t>
            </w:r>
            <w:r w:rsidRPr="004B374A">
              <w:t>: $80,000</w:t>
            </w:r>
            <w:r>
              <w:t xml:space="preserve"> per facility</w:t>
            </w:r>
            <w:r w:rsidRPr="004B374A">
              <w:br/>
            </w:r>
            <w:r w:rsidRPr="00833984">
              <w:rPr>
                <w:b/>
              </w:rPr>
              <w:t>Tier 4</w:t>
            </w:r>
            <w:r w:rsidRPr="004B374A">
              <w:t>: $45,000</w:t>
            </w:r>
            <w:r>
              <w:t xml:space="preserve"> per facility</w:t>
            </w:r>
          </w:p>
        </w:tc>
      </w:tr>
      <w:tr w:rsidR="001E771D" w:rsidRPr="000540E1" w14:paraId="12606023" w14:textId="53ED4FC3" w:rsidTr="00C60CE1">
        <w:trPr>
          <w:cantSplit/>
        </w:trPr>
        <w:tc>
          <w:tcPr>
            <w:tcW w:w="1531" w:type="dxa"/>
            <w:vAlign w:val="center"/>
          </w:tcPr>
          <w:p w14:paraId="45C82C9F" w14:textId="04E978E7" w:rsidR="001E771D" w:rsidRPr="004B374A" w:rsidRDefault="001E771D" w:rsidP="009522BC">
            <w:pPr>
              <w:pStyle w:val="tbltext"/>
            </w:pPr>
            <w:r w:rsidRPr="004B374A">
              <w:t xml:space="preserve">Exempt </w:t>
            </w:r>
            <w:r w:rsidR="009522BC">
              <w:t>CS</w:t>
            </w:r>
            <w:r w:rsidRPr="004B374A">
              <w:t xml:space="preserve"> facility</w:t>
            </w:r>
            <w:r w:rsidR="009522BC">
              <w:t xml:space="preserve"> licensees</w:t>
            </w:r>
          </w:p>
        </w:tc>
        <w:tc>
          <w:tcPr>
            <w:tcW w:w="1361" w:type="dxa"/>
            <w:vAlign w:val="center"/>
          </w:tcPr>
          <w:p w14:paraId="2B64BCEF" w14:textId="519CF61D" w:rsidR="001E771D" w:rsidRPr="004B374A" w:rsidRDefault="001E771D" w:rsidP="006E04D4">
            <w:pPr>
              <w:pStyle w:val="tbltext"/>
            </w:pPr>
            <w:r>
              <w:rPr>
                <w:rFonts w:ascii="Calibri" w:hAnsi="Calibri"/>
              </w:rPr>
              <w:t>$</w:t>
            </w:r>
            <w:r w:rsidRPr="004B374A">
              <w:t>0.0</w:t>
            </w:r>
            <w:r>
              <w:t>4</w:t>
            </w:r>
            <w:r w:rsidRPr="004B374A">
              <w:t>5</w:t>
            </w:r>
            <w:r>
              <w:t>m</w:t>
            </w:r>
          </w:p>
        </w:tc>
        <w:tc>
          <w:tcPr>
            <w:tcW w:w="1134" w:type="dxa"/>
            <w:vAlign w:val="center"/>
          </w:tcPr>
          <w:p w14:paraId="52B0E940" w14:textId="0D9AA788" w:rsidR="001E771D" w:rsidRDefault="001E771D" w:rsidP="006E04D4">
            <w:pPr>
              <w:pStyle w:val="tbltext"/>
            </w:pPr>
            <w:r>
              <w:rPr>
                <w:rFonts w:ascii="Calibri" w:hAnsi="Calibri"/>
              </w:rPr>
              <w:t>1</w:t>
            </w:r>
          </w:p>
        </w:tc>
        <w:tc>
          <w:tcPr>
            <w:tcW w:w="1361" w:type="dxa"/>
            <w:vAlign w:val="center"/>
          </w:tcPr>
          <w:p w14:paraId="67F12094" w14:textId="0119BC97" w:rsidR="001E771D" w:rsidRPr="004B374A" w:rsidRDefault="001E771D" w:rsidP="006E04D4">
            <w:pPr>
              <w:pStyle w:val="tbltext"/>
            </w:pPr>
            <w:r w:rsidRPr="004B374A">
              <w:t>Flat levy</w:t>
            </w:r>
          </w:p>
        </w:tc>
        <w:tc>
          <w:tcPr>
            <w:tcW w:w="2211" w:type="dxa"/>
            <w:vAlign w:val="center"/>
          </w:tcPr>
          <w:p w14:paraId="287BAFEC" w14:textId="53649876" w:rsidR="001E771D" w:rsidRPr="004B374A" w:rsidRDefault="001E771D" w:rsidP="006E04D4">
            <w:pPr>
              <w:pStyle w:val="tbltext"/>
            </w:pPr>
            <w:r>
              <w:t>Flat levy</w:t>
            </w:r>
          </w:p>
        </w:tc>
        <w:tc>
          <w:tcPr>
            <w:tcW w:w="1701" w:type="dxa"/>
            <w:gridSpan w:val="2"/>
            <w:vAlign w:val="center"/>
          </w:tcPr>
          <w:p w14:paraId="2C18C8A0" w14:textId="4B1B92D7" w:rsidR="001E771D" w:rsidRPr="000540E1" w:rsidRDefault="001E771D" w:rsidP="006E04D4">
            <w:pPr>
              <w:pStyle w:val="tbltext"/>
            </w:pPr>
            <w:r>
              <w:t>ASIC database</w:t>
            </w:r>
          </w:p>
        </w:tc>
        <w:tc>
          <w:tcPr>
            <w:tcW w:w="1701" w:type="dxa"/>
            <w:gridSpan w:val="2"/>
            <w:vAlign w:val="center"/>
          </w:tcPr>
          <w:p w14:paraId="4DD57E70" w14:textId="7BDD131A" w:rsidR="001E771D" w:rsidRPr="000540E1" w:rsidRDefault="001E771D" w:rsidP="006E04D4">
            <w:pPr>
              <w:pStyle w:val="tbltext"/>
            </w:pPr>
            <w:r>
              <w:t>ASIC database</w:t>
            </w:r>
          </w:p>
        </w:tc>
        <w:tc>
          <w:tcPr>
            <w:tcW w:w="2835" w:type="dxa"/>
            <w:vAlign w:val="center"/>
          </w:tcPr>
          <w:p w14:paraId="5219C959" w14:textId="6B32B3D8" w:rsidR="001E771D" w:rsidRPr="000540E1" w:rsidRDefault="001E771D" w:rsidP="006E04D4">
            <w:pPr>
              <w:pStyle w:val="tbltext"/>
            </w:pPr>
            <w:r w:rsidRPr="004B374A">
              <w:t xml:space="preserve">$45,000 per </w:t>
            </w:r>
            <w:r>
              <w:t>facility</w:t>
            </w:r>
          </w:p>
        </w:tc>
      </w:tr>
      <w:tr w:rsidR="001E771D" w:rsidRPr="000540E1" w14:paraId="5AB020CC" w14:textId="424E4F8C" w:rsidTr="00C60CE1">
        <w:trPr>
          <w:cantSplit/>
        </w:trPr>
        <w:tc>
          <w:tcPr>
            <w:tcW w:w="1531" w:type="dxa"/>
            <w:vAlign w:val="center"/>
          </w:tcPr>
          <w:p w14:paraId="6174E8BD" w14:textId="0BCFE5CD" w:rsidR="001E771D" w:rsidRPr="004B374A" w:rsidRDefault="001E771D" w:rsidP="006E04D4">
            <w:pPr>
              <w:pStyle w:val="tbltext"/>
            </w:pPr>
            <w:r w:rsidRPr="004B374A">
              <w:t>Market participant</w:t>
            </w:r>
            <w:r w:rsidR="009522BC">
              <w:t>s</w:t>
            </w:r>
          </w:p>
        </w:tc>
        <w:tc>
          <w:tcPr>
            <w:tcW w:w="1361" w:type="dxa"/>
            <w:vAlign w:val="center"/>
          </w:tcPr>
          <w:p w14:paraId="5D11917F" w14:textId="090FABF3" w:rsidR="001E771D" w:rsidRDefault="001E771D" w:rsidP="006E04D4">
            <w:pPr>
              <w:pStyle w:val="tbltext"/>
              <w:rPr>
                <w:rFonts w:ascii="Calibri" w:hAnsi="Calibri"/>
              </w:rPr>
            </w:pPr>
            <w:r w:rsidRPr="004B374A">
              <w:t>$19</w:t>
            </w:r>
            <w:r>
              <w:t>.0</w:t>
            </w:r>
            <w:r w:rsidRPr="004B374A">
              <w:t>m</w:t>
            </w:r>
          </w:p>
        </w:tc>
        <w:tc>
          <w:tcPr>
            <w:tcW w:w="1134" w:type="dxa"/>
            <w:vAlign w:val="center"/>
          </w:tcPr>
          <w:p w14:paraId="0607A921" w14:textId="394450FC" w:rsidR="001E771D" w:rsidRDefault="001E771D" w:rsidP="006E04D4">
            <w:pPr>
              <w:pStyle w:val="tbltext"/>
              <w:rPr>
                <w:rFonts w:ascii="Calibri" w:hAnsi="Calibri"/>
              </w:rPr>
            </w:pPr>
            <w:r w:rsidRPr="004B374A">
              <w:t>133</w:t>
            </w:r>
          </w:p>
        </w:tc>
        <w:tc>
          <w:tcPr>
            <w:tcW w:w="1361" w:type="dxa"/>
            <w:vAlign w:val="center"/>
          </w:tcPr>
          <w:p w14:paraId="6EF0115B" w14:textId="0CE3A6DF" w:rsidR="001E771D" w:rsidRPr="004B374A" w:rsidRDefault="001E771D" w:rsidP="006E04D4">
            <w:pPr>
              <w:pStyle w:val="tbltext"/>
            </w:pPr>
            <w:r w:rsidRPr="004B374A">
              <w:t>Volume of tra</w:t>
            </w:r>
            <w:r>
              <w:t>nsaction</w:t>
            </w:r>
            <w:r w:rsidRPr="004B374A">
              <w:t>s and messages</w:t>
            </w:r>
          </w:p>
        </w:tc>
        <w:tc>
          <w:tcPr>
            <w:tcW w:w="2211" w:type="dxa"/>
            <w:vAlign w:val="center"/>
          </w:tcPr>
          <w:p w14:paraId="12D433C2" w14:textId="77777777" w:rsidR="00C60CE1" w:rsidRDefault="001E771D" w:rsidP="006E04D4">
            <w:pPr>
              <w:pStyle w:val="tbltext"/>
            </w:pPr>
            <w:r w:rsidRPr="004B374A">
              <w:t>Tra</w:t>
            </w:r>
            <w:r>
              <w:t>nsaction</w:t>
            </w:r>
            <w:r w:rsidRPr="004B374A">
              <w:t>s are the total number of transactions executed on, or reported to, the cash equity markets by a participant during the relevant financial year.</w:t>
            </w:r>
          </w:p>
          <w:p w14:paraId="0AD6BD02" w14:textId="10A8CBC9" w:rsidR="001E771D" w:rsidRDefault="001E771D" w:rsidP="006E04D4">
            <w:pPr>
              <w:pStyle w:val="tbltext"/>
            </w:pPr>
            <w:r w:rsidRPr="004B374A">
              <w:t>Messages are the total number of messages by a participant in the cash equity markets during the billing period.</w:t>
            </w:r>
          </w:p>
        </w:tc>
        <w:tc>
          <w:tcPr>
            <w:tcW w:w="1701" w:type="dxa"/>
            <w:gridSpan w:val="2"/>
            <w:vAlign w:val="center"/>
          </w:tcPr>
          <w:p w14:paraId="6B1DAD3F" w14:textId="71AF4165" w:rsidR="001E771D" w:rsidRPr="000540E1" w:rsidRDefault="001E771D" w:rsidP="006E04D4">
            <w:pPr>
              <w:pStyle w:val="tbltext"/>
            </w:pPr>
            <w:r w:rsidRPr="004B374A">
              <w:t>ASIC</w:t>
            </w:r>
            <w:r w:rsidR="0003187F">
              <w:t>’</w:t>
            </w:r>
            <w:r w:rsidRPr="004B374A">
              <w:t>s real time surveillance system</w:t>
            </w:r>
          </w:p>
        </w:tc>
        <w:tc>
          <w:tcPr>
            <w:tcW w:w="1701" w:type="dxa"/>
            <w:gridSpan w:val="2"/>
            <w:vAlign w:val="center"/>
          </w:tcPr>
          <w:p w14:paraId="6C8C3A94" w14:textId="1B58C208" w:rsidR="001E771D" w:rsidRPr="000540E1" w:rsidRDefault="001E771D" w:rsidP="006E04D4">
            <w:pPr>
              <w:pStyle w:val="tbltext"/>
            </w:pPr>
            <w:r w:rsidRPr="004B374A">
              <w:t>ASIC</w:t>
            </w:r>
            <w:r w:rsidR="0003187F">
              <w:t>’</w:t>
            </w:r>
            <w:r w:rsidRPr="004B374A">
              <w:t>s real time surveillance system records of tra</w:t>
            </w:r>
            <w:r>
              <w:t>nsaction</w:t>
            </w:r>
            <w:r w:rsidRPr="004B374A">
              <w:t>s and me</w:t>
            </w:r>
            <w:r w:rsidR="005B65A8">
              <w:t xml:space="preserve">ssages on ASX, Chi-X and ASX24 </w:t>
            </w:r>
            <w:r w:rsidRPr="004B374A">
              <w:t>markets for</w:t>
            </w:r>
            <w:r w:rsidR="006E04D4">
              <w:t xml:space="preserve"> </w:t>
            </w:r>
            <w:r w:rsidRPr="004B374A">
              <w:t>2013</w:t>
            </w:r>
            <w:r>
              <w:t>–</w:t>
            </w:r>
            <w:r w:rsidRPr="004B374A">
              <w:t>14</w:t>
            </w:r>
          </w:p>
        </w:tc>
        <w:tc>
          <w:tcPr>
            <w:tcW w:w="2835" w:type="dxa"/>
            <w:vAlign w:val="center"/>
          </w:tcPr>
          <w:p w14:paraId="514E7D22" w14:textId="0905A8F8" w:rsidR="001E771D" w:rsidRPr="000540E1" w:rsidRDefault="001E771D" w:rsidP="006E04D4">
            <w:pPr>
              <w:pStyle w:val="tbltext"/>
            </w:pPr>
            <w:r w:rsidRPr="004B374A">
              <w:t>$9,000 fixed levy payable by all market participants plus $0.02 per tra</w:t>
            </w:r>
            <w:r>
              <w:t>nsaction</w:t>
            </w:r>
            <w:r w:rsidRPr="004B374A">
              <w:t xml:space="preserve"> plus $0.002 per</w:t>
            </w:r>
            <w:r w:rsidR="006E04D4">
              <w:t> </w:t>
            </w:r>
            <w:r w:rsidRPr="004B374A">
              <w:t>message</w:t>
            </w:r>
          </w:p>
        </w:tc>
      </w:tr>
      <w:tr w:rsidR="001E771D" w:rsidRPr="000540E1" w14:paraId="1D303C8C" w14:textId="4B2361EF" w:rsidTr="00C60CE1">
        <w:trPr>
          <w:cantSplit/>
        </w:trPr>
        <w:tc>
          <w:tcPr>
            <w:tcW w:w="1531" w:type="dxa"/>
            <w:vAlign w:val="center"/>
          </w:tcPr>
          <w:p w14:paraId="010B48A9" w14:textId="41AF9F92" w:rsidR="001E771D" w:rsidRPr="004B374A" w:rsidRDefault="001E771D" w:rsidP="006E04D4">
            <w:pPr>
              <w:pStyle w:val="tbltext"/>
            </w:pPr>
            <w:r w:rsidRPr="00EA1E92">
              <w:t>Securities dealer</w:t>
            </w:r>
            <w:r w:rsidR="009522BC">
              <w:t>s</w:t>
            </w:r>
          </w:p>
        </w:tc>
        <w:tc>
          <w:tcPr>
            <w:tcW w:w="1361" w:type="dxa"/>
            <w:vAlign w:val="center"/>
          </w:tcPr>
          <w:p w14:paraId="28EF21E9" w14:textId="42E774CF" w:rsidR="001E771D" w:rsidRPr="004B374A" w:rsidRDefault="001E771D" w:rsidP="006E04D4">
            <w:pPr>
              <w:pStyle w:val="tbltext"/>
            </w:pPr>
            <w:r w:rsidRPr="00EA1E92">
              <w:t>$2.9m</w:t>
            </w:r>
          </w:p>
        </w:tc>
        <w:tc>
          <w:tcPr>
            <w:tcW w:w="1134" w:type="dxa"/>
            <w:vAlign w:val="center"/>
          </w:tcPr>
          <w:p w14:paraId="78F4A90E" w14:textId="44790117" w:rsidR="001E771D" w:rsidRPr="004B374A" w:rsidRDefault="001E771D" w:rsidP="006E04D4">
            <w:pPr>
              <w:pStyle w:val="tbltext"/>
            </w:pPr>
            <w:r w:rsidRPr="00EA1E92">
              <w:t>2,840</w:t>
            </w:r>
          </w:p>
        </w:tc>
        <w:tc>
          <w:tcPr>
            <w:tcW w:w="1361" w:type="dxa"/>
            <w:vAlign w:val="center"/>
          </w:tcPr>
          <w:p w14:paraId="5D067961" w14:textId="712BABAA" w:rsidR="001E771D" w:rsidRPr="004B374A" w:rsidRDefault="001E771D" w:rsidP="006E04D4">
            <w:pPr>
              <w:pStyle w:val="tbltext"/>
            </w:pPr>
            <w:r w:rsidRPr="00EA1E92">
              <w:t xml:space="preserve">Annual </w:t>
            </w:r>
            <w:r w:rsidRPr="00ED0AA0">
              <w:t>transaction</w:t>
            </w:r>
            <w:r w:rsidRPr="00EA1E92">
              <w:t xml:space="preserve"> turnover value</w:t>
            </w:r>
          </w:p>
        </w:tc>
        <w:tc>
          <w:tcPr>
            <w:tcW w:w="2211" w:type="dxa"/>
            <w:vAlign w:val="center"/>
          </w:tcPr>
          <w:p w14:paraId="5C6B6710" w14:textId="70ACDDA6" w:rsidR="001E771D" w:rsidRPr="004B374A" w:rsidRDefault="001E771D" w:rsidP="006E04D4">
            <w:pPr>
              <w:pStyle w:val="tbltext"/>
            </w:pPr>
            <w:r w:rsidRPr="00EA1E92">
              <w:t xml:space="preserve">Total value of a securities dealer’s completed transactions in securities (as measured by </w:t>
            </w:r>
            <w:r>
              <w:t xml:space="preserve">the buy </w:t>
            </w:r>
            <w:r w:rsidRPr="00EA1E92">
              <w:t>price plus the sale price of securities) that are reported to the cash equity markets by a participant during the previous billing period.</w:t>
            </w:r>
          </w:p>
        </w:tc>
        <w:tc>
          <w:tcPr>
            <w:tcW w:w="1701" w:type="dxa"/>
            <w:gridSpan w:val="2"/>
            <w:vAlign w:val="center"/>
          </w:tcPr>
          <w:p w14:paraId="1F5DAF13" w14:textId="11F6A71D" w:rsidR="001E771D" w:rsidRPr="000540E1" w:rsidRDefault="001E771D" w:rsidP="006E04D4">
            <w:pPr>
              <w:pStyle w:val="tbltext"/>
            </w:pPr>
            <w:r w:rsidRPr="00EA1E92">
              <w:t>ASIC</w:t>
            </w:r>
            <w:r w:rsidR="0003187F">
              <w:t>’</w:t>
            </w:r>
            <w:r w:rsidRPr="00EA1E92">
              <w:t>s real time surveillance system</w:t>
            </w:r>
          </w:p>
        </w:tc>
        <w:tc>
          <w:tcPr>
            <w:tcW w:w="1701" w:type="dxa"/>
            <w:gridSpan w:val="2"/>
            <w:vAlign w:val="center"/>
          </w:tcPr>
          <w:p w14:paraId="681232B5" w14:textId="3D7E3E0A" w:rsidR="001E771D" w:rsidRPr="000540E1" w:rsidRDefault="001E771D" w:rsidP="006E04D4">
            <w:pPr>
              <w:pStyle w:val="tbltext"/>
            </w:pPr>
            <w:r w:rsidRPr="00EA1E92">
              <w:t>ASIC</w:t>
            </w:r>
            <w:r w:rsidR="0003187F">
              <w:t>’</w:t>
            </w:r>
            <w:r w:rsidRPr="00EA1E92">
              <w:t xml:space="preserve">s real time surveillance system records of </w:t>
            </w:r>
            <w:r w:rsidRPr="00ED0AA0">
              <w:t>transactions</w:t>
            </w:r>
            <w:r w:rsidRPr="00EA1E92">
              <w:t xml:space="preserve"> and messages on AS</w:t>
            </w:r>
            <w:r w:rsidR="005B65A8">
              <w:t xml:space="preserve">X, Chi-X and ASX24 </w:t>
            </w:r>
            <w:r w:rsidR="00C60CE1">
              <w:t>markets for</w:t>
            </w:r>
            <w:r w:rsidR="006E04D4">
              <w:t xml:space="preserve"> </w:t>
            </w:r>
            <w:r w:rsidRPr="00EA1E92">
              <w:t>2015–16</w:t>
            </w:r>
          </w:p>
        </w:tc>
        <w:tc>
          <w:tcPr>
            <w:tcW w:w="2835" w:type="dxa"/>
            <w:vAlign w:val="center"/>
          </w:tcPr>
          <w:p w14:paraId="2770ECD6" w14:textId="671A48B3" w:rsidR="001E771D" w:rsidRPr="000540E1" w:rsidRDefault="001E771D" w:rsidP="006E04D4">
            <w:pPr>
              <w:pStyle w:val="tbltext"/>
            </w:pPr>
            <w:r w:rsidRPr="00EA1E92">
              <w:t xml:space="preserve">$250 fixed levy payable by all securities dealers plus $0.34 per $10,000 </w:t>
            </w:r>
            <w:r>
              <w:t>o</w:t>
            </w:r>
            <w:r w:rsidRPr="00EA1E92">
              <w:t>f annual transactions turnover</w:t>
            </w:r>
          </w:p>
        </w:tc>
      </w:tr>
      <w:tr w:rsidR="001E771D" w:rsidRPr="000540E1" w14:paraId="6D74E28F" w14:textId="323A8D82" w:rsidTr="00C60CE1">
        <w:trPr>
          <w:cantSplit/>
        </w:trPr>
        <w:tc>
          <w:tcPr>
            <w:tcW w:w="1531" w:type="dxa"/>
            <w:vAlign w:val="center"/>
          </w:tcPr>
          <w:p w14:paraId="13F0AAB4" w14:textId="0989836D" w:rsidR="001E771D" w:rsidRPr="00EA1E92" w:rsidRDefault="001E771D" w:rsidP="006E04D4">
            <w:pPr>
              <w:pStyle w:val="tbltext"/>
            </w:pPr>
            <w:r w:rsidRPr="00EA1E92">
              <w:t>Investment bank</w:t>
            </w:r>
            <w:r w:rsidR="009522BC">
              <w:t>s</w:t>
            </w:r>
          </w:p>
        </w:tc>
        <w:tc>
          <w:tcPr>
            <w:tcW w:w="1361" w:type="dxa"/>
            <w:vAlign w:val="center"/>
          </w:tcPr>
          <w:p w14:paraId="12D18559" w14:textId="67DC47B6" w:rsidR="001E771D" w:rsidRPr="00EA1E92" w:rsidRDefault="001E771D" w:rsidP="006E04D4">
            <w:pPr>
              <w:pStyle w:val="tbltext"/>
            </w:pPr>
            <w:r w:rsidRPr="00EA1E92">
              <w:t>$9.7m</w:t>
            </w:r>
          </w:p>
        </w:tc>
        <w:tc>
          <w:tcPr>
            <w:tcW w:w="1134" w:type="dxa"/>
            <w:vAlign w:val="center"/>
          </w:tcPr>
          <w:p w14:paraId="0AF56587" w14:textId="08B80BDA" w:rsidR="001E771D" w:rsidRPr="00EA1E92" w:rsidRDefault="001E771D" w:rsidP="006E04D4">
            <w:pPr>
              <w:pStyle w:val="tbltext"/>
            </w:pPr>
            <w:r w:rsidRPr="00EA1E92">
              <w:t>Estimated to be 570</w:t>
            </w:r>
          </w:p>
        </w:tc>
        <w:tc>
          <w:tcPr>
            <w:tcW w:w="1361" w:type="dxa"/>
            <w:vAlign w:val="center"/>
          </w:tcPr>
          <w:p w14:paraId="03449662" w14:textId="17AB71E8" w:rsidR="001E771D" w:rsidRPr="00EA1E92" w:rsidRDefault="001E771D" w:rsidP="006E04D4">
            <w:pPr>
              <w:pStyle w:val="tbltext"/>
            </w:pPr>
            <w:r w:rsidRPr="00EA1E92">
              <w:t>Revenue from investment banking activity</w:t>
            </w:r>
          </w:p>
        </w:tc>
        <w:tc>
          <w:tcPr>
            <w:tcW w:w="2211" w:type="dxa"/>
            <w:vAlign w:val="center"/>
          </w:tcPr>
          <w:p w14:paraId="7949D2C3" w14:textId="7FBC30C3" w:rsidR="001E771D" w:rsidRPr="00EA1E92" w:rsidRDefault="001E771D" w:rsidP="006E04D4">
            <w:pPr>
              <w:pStyle w:val="tbltext"/>
            </w:pPr>
            <w:r w:rsidRPr="00EA1E92">
              <w:t>Total revenue generated from the wholesale financial services that an investment bank provides in Australia, as set out in the definition of ‘investment banks’.</w:t>
            </w:r>
          </w:p>
        </w:tc>
        <w:tc>
          <w:tcPr>
            <w:tcW w:w="1701" w:type="dxa"/>
            <w:gridSpan w:val="2"/>
            <w:vAlign w:val="center"/>
          </w:tcPr>
          <w:p w14:paraId="202786A5" w14:textId="7663DE61" w:rsidR="001E771D" w:rsidRPr="000540E1" w:rsidRDefault="001E771D" w:rsidP="006E04D4">
            <w:pPr>
              <w:pStyle w:val="tbltext"/>
            </w:pPr>
            <w:r w:rsidRPr="00EA1E92">
              <w:t>New reporting requirement</w:t>
            </w:r>
          </w:p>
        </w:tc>
        <w:tc>
          <w:tcPr>
            <w:tcW w:w="1701" w:type="dxa"/>
            <w:gridSpan w:val="2"/>
            <w:vAlign w:val="center"/>
          </w:tcPr>
          <w:p w14:paraId="27651F77" w14:textId="705729E5" w:rsidR="001E771D" w:rsidRPr="000540E1" w:rsidRDefault="001E771D" w:rsidP="006E04D4">
            <w:pPr>
              <w:pStyle w:val="tbltext"/>
            </w:pPr>
            <w:r w:rsidRPr="00EA1E92">
              <w:t>Data not available to estimate indicative levy</w:t>
            </w:r>
          </w:p>
        </w:tc>
        <w:tc>
          <w:tcPr>
            <w:tcW w:w="2835" w:type="dxa"/>
            <w:vAlign w:val="center"/>
          </w:tcPr>
          <w:p w14:paraId="0B537DCF" w14:textId="5AEF1D5E" w:rsidR="001E771D" w:rsidRPr="000540E1" w:rsidRDefault="001E771D" w:rsidP="006E04D4">
            <w:pPr>
              <w:pStyle w:val="tbltext"/>
            </w:pPr>
            <w:r w:rsidRPr="00EA1E92">
              <w:t>$1,000 fixed levy payable by all investment banks plus a graduated levy based on revenue from investment banking activity above $100,000 relative to total investment banking industry revenue</w:t>
            </w:r>
          </w:p>
        </w:tc>
      </w:tr>
      <w:tr w:rsidR="001E771D" w:rsidRPr="000540E1" w14:paraId="17A556E8" w14:textId="1D0E2FEA" w:rsidTr="00C60CE1">
        <w:trPr>
          <w:cantSplit/>
        </w:trPr>
        <w:tc>
          <w:tcPr>
            <w:tcW w:w="1531" w:type="dxa"/>
            <w:vAlign w:val="center"/>
          </w:tcPr>
          <w:p w14:paraId="683FB163" w14:textId="3D03B3BC" w:rsidR="001E771D" w:rsidRPr="00EA1E92" w:rsidRDefault="001E771D" w:rsidP="006E04D4">
            <w:pPr>
              <w:pStyle w:val="tbltext"/>
            </w:pPr>
            <w:r w:rsidRPr="00EA1E92">
              <w:t>Retail OTC derivative issuers</w:t>
            </w:r>
          </w:p>
        </w:tc>
        <w:tc>
          <w:tcPr>
            <w:tcW w:w="1361" w:type="dxa"/>
            <w:vAlign w:val="center"/>
          </w:tcPr>
          <w:p w14:paraId="6E851CF3" w14:textId="521308A4" w:rsidR="001E771D" w:rsidRPr="00EA1E92" w:rsidRDefault="001E771D" w:rsidP="006E04D4">
            <w:pPr>
              <w:pStyle w:val="tbltext"/>
            </w:pPr>
            <w:r w:rsidRPr="00EA1E92">
              <w:t>$4.0m</w:t>
            </w:r>
          </w:p>
        </w:tc>
        <w:tc>
          <w:tcPr>
            <w:tcW w:w="1134" w:type="dxa"/>
            <w:vAlign w:val="center"/>
          </w:tcPr>
          <w:p w14:paraId="03B47C09" w14:textId="3F3F5126" w:rsidR="001E771D" w:rsidRPr="00EA1E92" w:rsidRDefault="001E771D" w:rsidP="006E04D4">
            <w:pPr>
              <w:pStyle w:val="tbltext"/>
            </w:pPr>
            <w:r w:rsidRPr="00EA1E92">
              <w:t>65</w:t>
            </w:r>
          </w:p>
        </w:tc>
        <w:tc>
          <w:tcPr>
            <w:tcW w:w="1361" w:type="dxa"/>
            <w:vAlign w:val="center"/>
          </w:tcPr>
          <w:p w14:paraId="3E070C02" w14:textId="5096D2E7" w:rsidR="001E771D" w:rsidRPr="00EA1E92" w:rsidRDefault="006E04D4" w:rsidP="006E04D4">
            <w:pPr>
              <w:pStyle w:val="tbltext"/>
            </w:pPr>
            <w:r>
              <w:t>Flat levy</w:t>
            </w:r>
          </w:p>
        </w:tc>
        <w:tc>
          <w:tcPr>
            <w:tcW w:w="2211" w:type="dxa"/>
            <w:vAlign w:val="center"/>
          </w:tcPr>
          <w:p w14:paraId="2F647F0C" w14:textId="4BF32BD0" w:rsidR="001E771D" w:rsidRPr="00EA1E92" w:rsidRDefault="001E771D" w:rsidP="006E04D4">
            <w:pPr>
              <w:pStyle w:val="tbltext"/>
            </w:pPr>
            <w:r w:rsidRPr="00EA1E92">
              <w:t>Flat levy</w:t>
            </w:r>
          </w:p>
        </w:tc>
        <w:tc>
          <w:tcPr>
            <w:tcW w:w="1701" w:type="dxa"/>
            <w:gridSpan w:val="2"/>
            <w:vAlign w:val="center"/>
          </w:tcPr>
          <w:p w14:paraId="3D6AAC6D" w14:textId="788687DD" w:rsidR="001E771D" w:rsidRPr="000540E1" w:rsidRDefault="006E04D4" w:rsidP="006E04D4">
            <w:pPr>
              <w:pStyle w:val="tbltext"/>
            </w:pPr>
            <w:r>
              <w:t>ASIC database;</w:t>
            </w:r>
          </w:p>
        </w:tc>
        <w:tc>
          <w:tcPr>
            <w:tcW w:w="1701" w:type="dxa"/>
            <w:gridSpan w:val="2"/>
            <w:vAlign w:val="center"/>
          </w:tcPr>
          <w:p w14:paraId="4065ACDC" w14:textId="54E19FD8" w:rsidR="001E771D" w:rsidRPr="000540E1" w:rsidRDefault="006E04D4" w:rsidP="006E04D4">
            <w:pPr>
              <w:pStyle w:val="tbltext"/>
            </w:pPr>
            <w:r>
              <w:t>ASIC database;</w:t>
            </w:r>
          </w:p>
        </w:tc>
        <w:tc>
          <w:tcPr>
            <w:tcW w:w="2835" w:type="dxa"/>
            <w:vAlign w:val="center"/>
          </w:tcPr>
          <w:p w14:paraId="4450E2F3" w14:textId="4C6FBC99" w:rsidR="001E771D" w:rsidRPr="000540E1" w:rsidRDefault="001E771D" w:rsidP="006E04D4">
            <w:pPr>
              <w:pStyle w:val="tbltext"/>
            </w:pPr>
            <w:r w:rsidRPr="00833984">
              <w:rPr>
                <w:b/>
              </w:rPr>
              <w:t>Year 1</w:t>
            </w:r>
            <w:r w:rsidR="006E04D4">
              <w:t>: $61,400 annual levy</w:t>
            </w:r>
          </w:p>
        </w:tc>
      </w:tr>
      <w:tr w:rsidR="001E771D" w:rsidRPr="000540E1" w14:paraId="2A811BE3" w14:textId="6E1F4DEE" w:rsidTr="00C60CE1">
        <w:trPr>
          <w:cantSplit/>
        </w:trPr>
        <w:tc>
          <w:tcPr>
            <w:tcW w:w="1531" w:type="dxa"/>
            <w:vAlign w:val="center"/>
          </w:tcPr>
          <w:p w14:paraId="65CB135F" w14:textId="7B83A8D6" w:rsidR="001E771D" w:rsidRPr="00EA1E92" w:rsidRDefault="001E771D" w:rsidP="006E04D4">
            <w:pPr>
              <w:pStyle w:val="tbltext"/>
            </w:pPr>
            <w:r w:rsidRPr="00EA1E92">
              <w:t>Wholesale electricity dealer</w:t>
            </w:r>
            <w:r w:rsidR="009522BC">
              <w:t>s</w:t>
            </w:r>
          </w:p>
        </w:tc>
        <w:tc>
          <w:tcPr>
            <w:tcW w:w="1361" w:type="dxa"/>
            <w:vAlign w:val="center"/>
          </w:tcPr>
          <w:p w14:paraId="3AB311BB" w14:textId="45381CD1" w:rsidR="001E771D" w:rsidRPr="00EA1E92" w:rsidRDefault="001E771D" w:rsidP="006E04D4">
            <w:pPr>
              <w:pStyle w:val="tbltext"/>
            </w:pPr>
            <w:r w:rsidRPr="00EA1E92">
              <w:t>$0.1m</w:t>
            </w:r>
          </w:p>
        </w:tc>
        <w:tc>
          <w:tcPr>
            <w:tcW w:w="1134" w:type="dxa"/>
            <w:vAlign w:val="center"/>
          </w:tcPr>
          <w:p w14:paraId="02BC1432" w14:textId="14B66AA6" w:rsidR="001E771D" w:rsidRPr="00EA1E92" w:rsidRDefault="001E771D" w:rsidP="006E04D4">
            <w:pPr>
              <w:pStyle w:val="tbltext"/>
            </w:pPr>
            <w:r w:rsidRPr="00EA1E92">
              <w:t>59</w:t>
            </w:r>
          </w:p>
        </w:tc>
        <w:tc>
          <w:tcPr>
            <w:tcW w:w="1361" w:type="dxa"/>
            <w:vAlign w:val="center"/>
          </w:tcPr>
          <w:p w14:paraId="045F6CCD" w14:textId="35262B49" w:rsidR="001E771D" w:rsidRPr="00EA1E92" w:rsidRDefault="001E771D" w:rsidP="006E04D4">
            <w:pPr>
              <w:pStyle w:val="tbltext"/>
            </w:pPr>
            <w:r w:rsidRPr="00EA1E92">
              <w:t>Flat levy</w:t>
            </w:r>
          </w:p>
        </w:tc>
        <w:tc>
          <w:tcPr>
            <w:tcW w:w="2211" w:type="dxa"/>
            <w:vAlign w:val="center"/>
          </w:tcPr>
          <w:p w14:paraId="5BDDB583" w14:textId="14576637" w:rsidR="001E771D" w:rsidRPr="00EA1E92" w:rsidRDefault="001E771D" w:rsidP="006E04D4">
            <w:pPr>
              <w:pStyle w:val="tbltext"/>
            </w:pPr>
            <w:r w:rsidRPr="00EA1E92">
              <w:t>Flat levy</w:t>
            </w:r>
          </w:p>
        </w:tc>
        <w:tc>
          <w:tcPr>
            <w:tcW w:w="1701" w:type="dxa"/>
            <w:gridSpan w:val="2"/>
            <w:vAlign w:val="center"/>
          </w:tcPr>
          <w:p w14:paraId="6389468A" w14:textId="7115AD1C" w:rsidR="001E771D" w:rsidRPr="000540E1" w:rsidRDefault="001E771D" w:rsidP="006E04D4">
            <w:pPr>
              <w:pStyle w:val="tbltext"/>
            </w:pPr>
            <w:r w:rsidRPr="00EA1E92">
              <w:t>ASIC database</w:t>
            </w:r>
          </w:p>
        </w:tc>
        <w:tc>
          <w:tcPr>
            <w:tcW w:w="1701" w:type="dxa"/>
            <w:gridSpan w:val="2"/>
            <w:vAlign w:val="center"/>
          </w:tcPr>
          <w:p w14:paraId="2463FA2B" w14:textId="679F0920" w:rsidR="001E771D" w:rsidRPr="000540E1" w:rsidRDefault="001E771D" w:rsidP="006E04D4">
            <w:pPr>
              <w:pStyle w:val="tbltext"/>
            </w:pPr>
            <w:r w:rsidRPr="00EA1E92">
              <w:t>ASIC database</w:t>
            </w:r>
          </w:p>
        </w:tc>
        <w:tc>
          <w:tcPr>
            <w:tcW w:w="2835" w:type="dxa"/>
            <w:vAlign w:val="center"/>
          </w:tcPr>
          <w:p w14:paraId="41FD9281" w14:textId="5B2DF780" w:rsidR="001E771D" w:rsidRPr="000540E1" w:rsidRDefault="001E771D" w:rsidP="006E04D4">
            <w:pPr>
              <w:pStyle w:val="tbltext"/>
            </w:pPr>
            <w:r w:rsidRPr="00EA1E92">
              <w:t>$1,600 annual levy</w:t>
            </w:r>
          </w:p>
        </w:tc>
      </w:tr>
      <w:tr w:rsidR="001E771D" w:rsidRPr="000540E1" w14:paraId="79D5CCF3" w14:textId="37EA400C" w:rsidTr="00C60CE1">
        <w:trPr>
          <w:cantSplit/>
        </w:trPr>
        <w:tc>
          <w:tcPr>
            <w:tcW w:w="1531" w:type="dxa"/>
            <w:vAlign w:val="center"/>
          </w:tcPr>
          <w:p w14:paraId="080E36AF" w14:textId="1A247254" w:rsidR="001E771D" w:rsidRPr="00EA1E92" w:rsidRDefault="001E771D" w:rsidP="006E04D4">
            <w:pPr>
              <w:pStyle w:val="tbltext"/>
            </w:pPr>
            <w:r w:rsidRPr="00EA1E92">
              <w:t>Licensees that provide personal advice on Tier 1 products to retail clients</w:t>
            </w:r>
          </w:p>
        </w:tc>
        <w:tc>
          <w:tcPr>
            <w:tcW w:w="1361" w:type="dxa"/>
            <w:vAlign w:val="center"/>
          </w:tcPr>
          <w:p w14:paraId="24549AC9" w14:textId="0342B126" w:rsidR="001E771D" w:rsidRPr="00EA1E92" w:rsidRDefault="001E771D" w:rsidP="006E04D4">
            <w:pPr>
              <w:pStyle w:val="tbltext"/>
            </w:pPr>
            <w:r w:rsidRPr="00EA1E92">
              <w:t>$22m</w:t>
            </w:r>
          </w:p>
        </w:tc>
        <w:tc>
          <w:tcPr>
            <w:tcW w:w="1134" w:type="dxa"/>
            <w:vAlign w:val="center"/>
          </w:tcPr>
          <w:p w14:paraId="5CC2E83C" w14:textId="3092ADDC" w:rsidR="001E771D" w:rsidRPr="00EA1E92" w:rsidRDefault="001E771D" w:rsidP="006E04D4">
            <w:pPr>
              <w:pStyle w:val="tbltext"/>
            </w:pPr>
            <w:r w:rsidRPr="00EA1E92">
              <w:t>2,150 licensees with 23,000 advisers</w:t>
            </w:r>
          </w:p>
        </w:tc>
        <w:tc>
          <w:tcPr>
            <w:tcW w:w="1361" w:type="dxa"/>
            <w:vAlign w:val="center"/>
          </w:tcPr>
          <w:p w14:paraId="3C54301F" w14:textId="0624AD77" w:rsidR="001E771D" w:rsidRPr="00EA1E92" w:rsidRDefault="001E771D" w:rsidP="006E04D4">
            <w:pPr>
              <w:pStyle w:val="tbltext"/>
            </w:pPr>
            <w:r w:rsidRPr="00EA1E92">
              <w:t>Number of advisers on the Financial Advisers Register</w:t>
            </w:r>
          </w:p>
        </w:tc>
        <w:tc>
          <w:tcPr>
            <w:tcW w:w="2211" w:type="dxa"/>
            <w:vAlign w:val="center"/>
          </w:tcPr>
          <w:p w14:paraId="04C6E570" w14:textId="2436B860" w:rsidR="001E771D" w:rsidRPr="00EA1E92" w:rsidRDefault="001E771D" w:rsidP="006E04D4">
            <w:pPr>
              <w:pStyle w:val="tbltext"/>
            </w:pPr>
            <w:r w:rsidRPr="00EA1E92">
              <w:t>Number of advisers on the Financial Advisers Register (relevant providers)</w:t>
            </w:r>
            <w:r w:rsidR="00B517DD">
              <w:t>, as at 30</w:t>
            </w:r>
            <w:r w:rsidR="006E04D4">
              <w:t> </w:t>
            </w:r>
            <w:r w:rsidR="00B517DD">
              <w:t>June</w:t>
            </w:r>
            <w:r w:rsidRPr="00EA1E92">
              <w:t>.</w:t>
            </w:r>
          </w:p>
        </w:tc>
        <w:tc>
          <w:tcPr>
            <w:tcW w:w="1701" w:type="dxa"/>
            <w:gridSpan w:val="2"/>
            <w:vAlign w:val="center"/>
          </w:tcPr>
          <w:p w14:paraId="5D5CBACC" w14:textId="4729C6E2" w:rsidR="001E771D" w:rsidRPr="000540E1" w:rsidRDefault="001E771D" w:rsidP="006E04D4">
            <w:pPr>
              <w:pStyle w:val="tbltext"/>
            </w:pPr>
            <w:r w:rsidRPr="00EA1E92">
              <w:t>ASIC</w:t>
            </w:r>
            <w:r w:rsidR="0003187F">
              <w:t>’</w:t>
            </w:r>
            <w:r w:rsidRPr="00EA1E92">
              <w:t>s Financial Advisers Register</w:t>
            </w:r>
          </w:p>
        </w:tc>
        <w:tc>
          <w:tcPr>
            <w:tcW w:w="1701" w:type="dxa"/>
            <w:gridSpan w:val="2"/>
            <w:vAlign w:val="center"/>
          </w:tcPr>
          <w:p w14:paraId="49771E64" w14:textId="5E0B40AA" w:rsidR="001E771D" w:rsidRPr="000540E1" w:rsidRDefault="001E771D" w:rsidP="006E04D4">
            <w:pPr>
              <w:pStyle w:val="tbltext"/>
            </w:pPr>
            <w:r w:rsidRPr="00EA1E92">
              <w:t>ASIC</w:t>
            </w:r>
            <w:r w:rsidR="0003187F">
              <w:t>’</w:t>
            </w:r>
            <w:r w:rsidRPr="00EA1E92">
              <w:t>s Financial Advisers Register</w:t>
            </w:r>
          </w:p>
        </w:tc>
        <w:tc>
          <w:tcPr>
            <w:tcW w:w="2835" w:type="dxa"/>
            <w:vAlign w:val="center"/>
          </w:tcPr>
          <w:p w14:paraId="30A7D664" w14:textId="2910BAEE" w:rsidR="001E771D" w:rsidRPr="000540E1" w:rsidRDefault="001E771D" w:rsidP="006E04D4">
            <w:pPr>
              <w:pStyle w:val="tbltext"/>
            </w:pPr>
            <w:r w:rsidRPr="00EA1E92">
              <w:t xml:space="preserve">Estimated $960 per adviser listed on the financial advisers register (with a minimum levy of $960 payable for entities with no advisers registered on the </w:t>
            </w:r>
            <w:r w:rsidR="009522BC" w:rsidRPr="009522BC">
              <w:t>Financial Advisers Register)</w:t>
            </w:r>
          </w:p>
        </w:tc>
      </w:tr>
      <w:tr w:rsidR="001E771D" w:rsidRPr="000540E1" w14:paraId="141A73B5" w14:textId="31D87F7D" w:rsidTr="00C60CE1">
        <w:trPr>
          <w:cantSplit/>
        </w:trPr>
        <w:tc>
          <w:tcPr>
            <w:tcW w:w="1531" w:type="dxa"/>
            <w:vAlign w:val="center"/>
          </w:tcPr>
          <w:p w14:paraId="51C115EB" w14:textId="55D5B341" w:rsidR="001E771D" w:rsidRPr="00EA1E92" w:rsidRDefault="001E771D" w:rsidP="006E04D4">
            <w:pPr>
              <w:pStyle w:val="tbltext"/>
            </w:pPr>
            <w:r w:rsidRPr="00EA1E92">
              <w:t>Licensees that provide personal advice to Tier 2 products only to retail clients</w:t>
            </w:r>
          </w:p>
        </w:tc>
        <w:tc>
          <w:tcPr>
            <w:tcW w:w="1361" w:type="dxa"/>
            <w:vAlign w:val="center"/>
          </w:tcPr>
          <w:p w14:paraId="7772C803" w14:textId="024AAFEA" w:rsidR="001E771D" w:rsidRPr="00EA1E92" w:rsidRDefault="001E771D" w:rsidP="006E04D4">
            <w:pPr>
              <w:pStyle w:val="tbltext"/>
            </w:pPr>
            <w:r w:rsidRPr="00EA1E92">
              <w:t>$0.9m</w:t>
            </w:r>
          </w:p>
        </w:tc>
        <w:tc>
          <w:tcPr>
            <w:tcW w:w="1134" w:type="dxa"/>
            <w:vAlign w:val="center"/>
          </w:tcPr>
          <w:p w14:paraId="09700DA9" w14:textId="064B5BAF" w:rsidR="001E771D" w:rsidRPr="00EA1E92" w:rsidRDefault="001E771D" w:rsidP="006E04D4">
            <w:pPr>
              <w:pStyle w:val="tbltext"/>
            </w:pPr>
            <w:r w:rsidRPr="00EA1E92">
              <w:t xml:space="preserve">614 </w:t>
            </w:r>
          </w:p>
        </w:tc>
        <w:tc>
          <w:tcPr>
            <w:tcW w:w="1361" w:type="dxa"/>
            <w:vAlign w:val="center"/>
          </w:tcPr>
          <w:p w14:paraId="2AC8B588" w14:textId="1408FA7B" w:rsidR="001E771D" w:rsidRPr="00EA1E92" w:rsidRDefault="001E771D" w:rsidP="006E04D4">
            <w:pPr>
              <w:pStyle w:val="tbltext"/>
            </w:pPr>
            <w:r w:rsidRPr="00EA1E92">
              <w:t>Flat levy</w:t>
            </w:r>
          </w:p>
        </w:tc>
        <w:tc>
          <w:tcPr>
            <w:tcW w:w="2211" w:type="dxa"/>
            <w:vAlign w:val="center"/>
          </w:tcPr>
          <w:p w14:paraId="70E8F187" w14:textId="377E0A1C" w:rsidR="001E771D" w:rsidRPr="00EA1E92" w:rsidRDefault="001E771D" w:rsidP="006E04D4">
            <w:pPr>
              <w:pStyle w:val="tbltext"/>
            </w:pPr>
            <w:r w:rsidRPr="00EA1E92">
              <w:t>Flat levy</w:t>
            </w:r>
          </w:p>
        </w:tc>
        <w:tc>
          <w:tcPr>
            <w:tcW w:w="1701" w:type="dxa"/>
            <w:gridSpan w:val="2"/>
            <w:vAlign w:val="center"/>
          </w:tcPr>
          <w:p w14:paraId="3386C10E" w14:textId="3DD8FD0E" w:rsidR="001E771D" w:rsidRPr="000540E1" w:rsidRDefault="001E771D" w:rsidP="006E04D4">
            <w:pPr>
              <w:pStyle w:val="tbltext"/>
            </w:pPr>
            <w:r w:rsidRPr="00EA1E92">
              <w:t>ASIC database</w:t>
            </w:r>
          </w:p>
        </w:tc>
        <w:tc>
          <w:tcPr>
            <w:tcW w:w="1701" w:type="dxa"/>
            <w:gridSpan w:val="2"/>
            <w:vAlign w:val="center"/>
          </w:tcPr>
          <w:p w14:paraId="53A8F70C" w14:textId="4870E2E5" w:rsidR="001E771D" w:rsidRPr="000540E1" w:rsidRDefault="001E771D" w:rsidP="006E04D4">
            <w:pPr>
              <w:pStyle w:val="tbltext"/>
            </w:pPr>
            <w:r w:rsidRPr="00EA1E92">
              <w:t>ASIC database</w:t>
            </w:r>
          </w:p>
        </w:tc>
        <w:tc>
          <w:tcPr>
            <w:tcW w:w="2835" w:type="dxa"/>
            <w:vAlign w:val="center"/>
          </w:tcPr>
          <w:p w14:paraId="599FAAFC" w14:textId="2DBD38BE" w:rsidR="001E771D" w:rsidRPr="000540E1" w:rsidRDefault="001E771D" w:rsidP="006E04D4">
            <w:pPr>
              <w:pStyle w:val="tbltext"/>
            </w:pPr>
            <w:r w:rsidRPr="00EA1E92">
              <w:t>$1,500 annual levy</w:t>
            </w:r>
          </w:p>
        </w:tc>
      </w:tr>
      <w:tr w:rsidR="001E771D" w:rsidRPr="000540E1" w14:paraId="6389C040" w14:textId="5D6F77D0" w:rsidTr="00C60CE1">
        <w:trPr>
          <w:cantSplit/>
        </w:trPr>
        <w:tc>
          <w:tcPr>
            <w:tcW w:w="1531" w:type="dxa"/>
            <w:vAlign w:val="center"/>
          </w:tcPr>
          <w:p w14:paraId="6AA42C49" w14:textId="36A1447F" w:rsidR="001E771D" w:rsidRPr="00EA1E92" w:rsidRDefault="001E771D" w:rsidP="006E04D4">
            <w:pPr>
              <w:pStyle w:val="tbltext"/>
            </w:pPr>
            <w:r w:rsidRPr="00EA1E92">
              <w:t>Licensees that provide general advice only to retail or wholesale clients</w:t>
            </w:r>
          </w:p>
        </w:tc>
        <w:tc>
          <w:tcPr>
            <w:tcW w:w="1361" w:type="dxa"/>
            <w:vAlign w:val="center"/>
          </w:tcPr>
          <w:p w14:paraId="3743D27F" w14:textId="63CD8F88" w:rsidR="001E771D" w:rsidRPr="00EA1E92" w:rsidRDefault="001E771D" w:rsidP="006E04D4">
            <w:pPr>
              <w:pStyle w:val="tbltext"/>
            </w:pPr>
            <w:r w:rsidRPr="00EA1E92">
              <w:t>$0.8m</w:t>
            </w:r>
          </w:p>
        </w:tc>
        <w:tc>
          <w:tcPr>
            <w:tcW w:w="1134" w:type="dxa"/>
            <w:vAlign w:val="center"/>
          </w:tcPr>
          <w:p w14:paraId="3FEF3425" w14:textId="6008349D" w:rsidR="001E771D" w:rsidRPr="00EA1E92" w:rsidRDefault="001E771D" w:rsidP="006E04D4">
            <w:pPr>
              <w:pStyle w:val="tbltext"/>
            </w:pPr>
            <w:r w:rsidRPr="00EA1E92">
              <w:t>898</w:t>
            </w:r>
          </w:p>
        </w:tc>
        <w:tc>
          <w:tcPr>
            <w:tcW w:w="1361" w:type="dxa"/>
            <w:vAlign w:val="center"/>
          </w:tcPr>
          <w:p w14:paraId="56B03965" w14:textId="35D74D91" w:rsidR="001E771D" w:rsidRPr="00EA1E92" w:rsidRDefault="001E771D" w:rsidP="006E04D4">
            <w:pPr>
              <w:pStyle w:val="tbltext"/>
            </w:pPr>
            <w:r w:rsidRPr="00EA1E92">
              <w:t>Flat levy</w:t>
            </w:r>
          </w:p>
        </w:tc>
        <w:tc>
          <w:tcPr>
            <w:tcW w:w="2211" w:type="dxa"/>
            <w:vAlign w:val="center"/>
          </w:tcPr>
          <w:p w14:paraId="4196BC3F" w14:textId="1FC7880C" w:rsidR="001E771D" w:rsidRPr="00EA1E92" w:rsidRDefault="001E771D" w:rsidP="006E04D4">
            <w:pPr>
              <w:pStyle w:val="tbltext"/>
            </w:pPr>
            <w:r w:rsidRPr="00EA1E92">
              <w:t>Flat levy</w:t>
            </w:r>
          </w:p>
        </w:tc>
        <w:tc>
          <w:tcPr>
            <w:tcW w:w="1701" w:type="dxa"/>
            <w:gridSpan w:val="2"/>
            <w:vAlign w:val="center"/>
          </w:tcPr>
          <w:p w14:paraId="4EC08D95" w14:textId="4F36AAC9" w:rsidR="001E771D" w:rsidRPr="000540E1" w:rsidRDefault="001E771D" w:rsidP="006E04D4">
            <w:pPr>
              <w:pStyle w:val="tbltext"/>
            </w:pPr>
            <w:r w:rsidRPr="00EA1E92">
              <w:t>ASIC database</w:t>
            </w:r>
          </w:p>
        </w:tc>
        <w:tc>
          <w:tcPr>
            <w:tcW w:w="1701" w:type="dxa"/>
            <w:gridSpan w:val="2"/>
            <w:vAlign w:val="center"/>
          </w:tcPr>
          <w:p w14:paraId="4C047F05" w14:textId="7F42D215" w:rsidR="001E771D" w:rsidRPr="000540E1" w:rsidRDefault="001E771D" w:rsidP="006E04D4">
            <w:pPr>
              <w:pStyle w:val="tbltext"/>
            </w:pPr>
            <w:r w:rsidRPr="00EA1E92">
              <w:t>ASIC database</w:t>
            </w:r>
          </w:p>
        </w:tc>
        <w:tc>
          <w:tcPr>
            <w:tcW w:w="2835" w:type="dxa"/>
            <w:vAlign w:val="center"/>
          </w:tcPr>
          <w:p w14:paraId="1854407B" w14:textId="41827381" w:rsidR="001E771D" w:rsidRPr="000540E1" w:rsidRDefault="001E771D" w:rsidP="006E04D4">
            <w:pPr>
              <w:pStyle w:val="tbltext"/>
            </w:pPr>
            <w:r w:rsidRPr="00EA1E92">
              <w:t>$920 annual levy</w:t>
            </w:r>
          </w:p>
        </w:tc>
      </w:tr>
      <w:tr w:rsidR="001E771D" w:rsidRPr="000540E1" w14:paraId="6D76100D" w14:textId="733A60F5" w:rsidTr="00C60CE1">
        <w:trPr>
          <w:cantSplit/>
        </w:trPr>
        <w:tc>
          <w:tcPr>
            <w:tcW w:w="1531" w:type="dxa"/>
            <w:vAlign w:val="center"/>
          </w:tcPr>
          <w:p w14:paraId="06589D34" w14:textId="6552B057" w:rsidR="001E771D" w:rsidRPr="00EA1E92" w:rsidRDefault="001E771D" w:rsidP="006E04D4">
            <w:pPr>
              <w:pStyle w:val="tbltext"/>
            </w:pPr>
            <w:r w:rsidRPr="00EA1E92">
              <w:t>Licensees that provide personal advice to wholesale clients only</w:t>
            </w:r>
          </w:p>
        </w:tc>
        <w:tc>
          <w:tcPr>
            <w:tcW w:w="1361" w:type="dxa"/>
            <w:vAlign w:val="center"/>
          </w:tcPr>
          <w:p w14:paraId="10937F6D" w14:textId="3043EFEB" w:rsidR="001E771D" w:rsidRPr="00EA1E92" w:rsidRDefault="001E771D" w:rsidP="006E04D4">
            <w:pPr>
              <w:pStyle w:val="tbltext"/>
            </w:pPr>
            <w:r w:rsidRPr="00EA1E92">
              <w:t>$0.2m</w:t>
            </w:r>
          </w:p>
        </w:tc>
        <w:tc>
          <w:tcPr>
            <w:tcW w:w="1134" w:type="dxa"/>
            <w:vAlign w:val="center"/>
          </w:tcPr>
          <w:p w14:paraId="058C4088" w14:textId="3957DCF1" w:rsidR="001E771D" w:rsidRPr="00EA1E92" w:rsidRDefault="001E771D" w:rsidP="006E04D4">
            <w:pPr>
              <w:pStyle w:val="tbltext"/>
            </w:pPr>
            <w:r w:rsidRPr="00EA1E92">
              <w:t xml:space="preserve">1,370 </w:t>
            </w:r>
          </w:p>
        </w:tc>
        <w:tc>
          <w:tcPr>
            <w:tcW w:w="1361" w:type="dxa"/>
            <w:vAlign w:val="center"/>
          </w:tcPr>
          <w:p w14:paraId="70946344" w14:textId="7AC3E9D5" w:rsidR="001E771D" w:rsidRPr="00EA1E92" w:rsidRDefault="001E771D" w:rsidP="006E04D4">
            <w:pPr>
              <w:pStyle w:val="tbltext"/>
            </w:pPr>
            <w:r w:rsidRPr="00EA1E92">
              <w:t>Flat levy</w:t>
            </w:r>
          </w:p>
        </w:tc>
        <w:tc>
          <w:tcPr>
            <w:tcW w:w="2211" w:type="dxa"/>
            <w:vAlign w:val="center"/>
          </w:tcPr>
          <w:p w14:paraId="07B11AF2" w14:textId="48EE79E1" w:rsidR="001E771D" w:rsidRPr="00EA1E92" w:rsidRDefault="001E771D" w:rsidP="006E04D4">
            <w:pPr>
              <w:pStyle w:val="tbltext"/>
            </w:pPr>
            <w:r w:rsidRPr="00EA1E92">
              <w:t>Flat levy</w:t>
            </w:r>
          </w:p>
        </w:tc>
        <w:tc>
          <w:tcPr>
            <w:tcW w:w="1701" w:type="dxa"/>
            <w:gridSpan w:val="2"/>
            <w:vAlign w:val="center"/>
          </w:tcPr>
          <w:p w14:paraId="30637754" w14:textId="4495E9B7" w:rsidR="001E771D" w:rsidRPr="000540E1" w:rsidRDefault="001E771D" w:rsidP="006E04D4">
            <w:pPr>
              <w:pStyle w:val="tbltext"/>
            </w:pPr>
            <w:r w:rsidRPr="00EA1E92">
              <w:t>ASIC database</w:t>
            </w:r>
          </w:p>
        </w:tc>
        <w:tc>
          <w:tcPr>
            <w:tcW w:w="1701" w:type="dxa"/>
            <w:gridSpan w:val="2"/>
            <w:vAlign w:val="center"/>
          </w:tcPr>
          <w:p w14:paraId="72E59AF1" w14:textId="4633E0C1" w:rsidR="001E771D" w:rsidRPr="000540E1" w:rsidRDefault="001E771D" w:rsidP="006E04D4">
            <w:pPr>
              <w:pStyle w:val="tbltext"/>
            </w:pPr>
            <w:r w:rsidRPr="00EA1E92">
              <w:t>ASIC database</w:t>
            </w:r>
          </w:p>
        </w:tc>
        <w:tc>
          <w:tcPr>
            <w:tcW w:w="2835" w:type="dxa"/>
            <w:vAlign w:val="center"/>
          </w:tcPr>
          <w:p w14:paraId="21A692A3" w14:textId="4F422CB2" w:rsidR="001E771D" w:rsidRPr="000540E1" w:rsidRDefault="001E771D" w:rsidP="006E04D4">
            <w:pPr>
              <w:pStyle w:val="tbltext"/>
            </w:pPr>
            <w:r w:rsidRPr="00EA1E92">
              <w:t>$170 annual levy</w:t>
            </w:r>
          </w:p>
        </w:tc>
      </w:tr>
      <w:tr w:rsidR="001E771D" w:rsidRPr="000540E1" w14:paraId="07132E25" w14:textId="0E5445D1" w:rsidTr="00C60CE1">
        <w:trPr>
          <w:cantSplit/>
        </w:trPr>
        <w:tc>
          <w:tcPr>
            <w:tcW w:w="1531" w:type="dxa"/>
            <w:vAlign w:val="center"/>
          </w:tcPr>
          <w:p w14:paraId="158E24A2" w14:textId="7CF774ED" w:rsidR="001E771D" w:rsidRPr="00EA1E92" w:rsidRDefault="001E771D" w:rsidP="006E04D4">
            <w:pPr>
              <w:pStyle w:val="tbltext"/>
            </w:pPr>
            <w:r w:rsidRPr="00EA1E92">
              <w:t>Insurance product issuer</w:t>
            </w:r>
            <w:r w:rsidR="009522BC">
              <w:t>s</w:t>
            </w:r>
          </w:p>
        </w:tc>
        <w:tc>
          <w:tcPr>
            <w:tcW w:w="1361" w:type="dxa"/>
            <w:vAlign w:val="center"/>
          </w:tcPr>
          <w:p w14:paraId="09200E2E" w14:textId="2DC4DBA8" w:rsidR="001E771D" w:rsidRPr="00EA1E92" w:rsidRDefault="001E771D" w:rsidP="006E04D4">
            <w:pPr>
              <w:pStyle w:val="tbltext"/>
            </w:pPr>
            <w:r w:rsidRPr="00EA1E92">
              <w:t>$4.1m</w:t>
            </w:r>
          </w:p>
        </w:tc>
        <w:tc>
          <w:tcPr>
            <w:tcW w:w="1134" w:type="dxa"/>
            <w:vAlign w:val="center"/>
          </w:tcPr>
          <w:p w14:paraId="2DCCBE73" w14:textId="742B9ABD" w:rsidR="001E771D" w:rsidRPr="00EA1E92" w:rsidRDefault="001E771D" w:rsidP="006E04D4">
            <w:pPr>
              <w:pStyle w:val="tbltext"/>
            </w:pPr>
            <w:r w:rsidRPr="00EA1E92">
              <w:t>85</w:t>
            </w:r>
          </w:p>
        </w:tc>
        <w:tc>
          <w:tcPr>
            <w:tcW w:w="1361" w:type="dxa"/>
            <w:vAlign w:val="center"/>
          </w:tcPr>
          <w:p w14:paraId="22B2FD0C" w14:textId="47DC3547" w:rsidR="001E771D" w:rsidRPr="00EA1E92" w:rsidRDefault="001E771D" w:rsidP="006E04D4">
            <w:pPr>
              <w:pStyle w:val="tbltext"/>
            </w:pPr>
            <w:r w:rsidRPr="00EA1E92">
              <w:t>General insurers: net premium revenue</w:t>
            </w:r>
            <w:r w:rsidRPr="00EA1E92">
              <w:br/>
              <w:t>Life insurers: net policy revenue</w:t>
            </w:r>
          </w:p>
        </w:tc>
        <w:tc>
          <w:tcPr>
            <w:tcW w:w="2211" w:type="dxa"/>
            <w:vAlign w:val="center"/>
          </w:tcPr>
          <w:p w14:paraId="7CE95D3F" w14:textId="46CB340E" w:rsidR="006E04D4" w:rsidRDefault="001E771D" w:rsidP="006E04D4">
            <w:pPr>
              <w:pStyle w:val="tbltext"/>
            </w:pPr>
            <w:r w:rsidRPr="00EA1E92">
              <w:t xml:space="preserve">General insurance: net premium </w:t>
            </w:r>
            <w:r w:rsidR="009522BC">
              <w:t xml:space="preserve">revenue </w:t>
            </w:r>
            <w:r w:rsidRPr="00EA1E92">
              <w:t>comprises of total premium revenue</w:t>
            </w:r>
            <w:r w:rsidR="006E04D4">
              <w:t xml:space="preserve"> </w:t>
            </w:r>
            <w:r w:rsidRPr="00EA1E92">
              <w:t>less</w:t>
            </w:r>
            <w:r w:rsidR="006E04D4">
              <w:t xml:space="preserve"> </w:t>
            </w:r>
            <w:r w:rsidRPr="00EA1E92">
              <w:t>outwar</w:t>
            </w:r>
            <w:r w:rsidR="00737B80">
              <w:t>d</w:t>
            </w:r>
            <w:r w:rsidRPr="00EA1E92">
              <w:t>s reinsurance expense relating to current and prior years</w:t>
            </w:r>
            <w:r w:rsidR="00737B80">
              <w:t>’</w:t>
            </w:r>
            <w:r w:rsidRPr="00EA1E92">
              <w:t xml:space="preserve"> cover.</w:t>
            </w:r>
          </w:p>
          <w:p w14:paraId="47A282D6" w14:textId="53B0A9C2" w:rsidR="001E771D" w:rsidRPr="00EA1E92" w:rsidRDefault="001E771D" w:rsidP="006E04D4">
            <w:pPr>
              <w:pStyle w:val="tbltext"/>
            </w:pPr>
            <w:r w:rsidRPr="00EA1E92">
              <w:t>Life insurance: Net policy revenue comprises policy revenue net of outward reinsurance premiums.</w:t>
            </w:r>
          </w:p>
        </w:tc>
        <w:tc>
          <w:tcPr>
            <w:tcW w:w="1701" w:type="dxa"/>
            <w:gridSpan w:val="2"/>
            <w:vAlign w:val="center"/>
          </w:tcPr>
          <w:p w14:paraId="40821E8A" w14:textId="38B987AD" w:rsidR="001E771D" w:rsidRPr="000540E1" w:rsidRDefault="001E771D" w:rsidP="006E04D4">
            <w:pPr>
              <w:pStyle w:val="tbltext"/>
            </w:pPr>
            <w:r w:rsidRPr="00EA1E92">
              <w:t>New reporting requirement</w:t>
            </w:r>
          </w:p>
        </w:tc>
        <w:tc>
          <w:tcPr>
            <w:tcW w:w="1701" w:type="dxa"/>
            <w:gridSpan w:val="2"/>
            <w:vAlign w:val="center"/>
          </w:tcPr>
          <w:p w14:paraId="5ADA62F5" w14:textId="6DE08A8F" w:rsidR="001E771D" w:rsidRPr="000540E1" w:rsidRDefault="001E771D" w:rsidP="006E04D4">
            <w:pPr>
              <w:pStyle w:val="tbltext"/>
            </w:pPr>
            <w:r w:rsidRPr="00EA1E92">
              <w:t>APRA, General Insurance Institution-level Statistics, June 2015</w:t>
            </w:r>
            <w:r w:rsidR="006E04D4">
              <w:t xml:space="preserve"> </w:t>
            </w:r>
            <w:r w:rsidRPr="00EA1E92">
              <w:t>APRA, Life Insurance Institution-level Statistics, June</w:t>
            </w:r>
            <w:r w:rsidR="00C60CE1">
              <w:t> </w:t>
            </w:r>
            <w:r w:rsidRPr="00EA1E92">
              <w:t>2015</w:t>
            </w:r>
          </w:p>
        </w:tc>
        <w:tc>
          <w:tcPr>
            <w:tcW w:w="2835" w:type="dxa"/>
            <w:vAlign w:val="center"/>
          </w:tcPr>
          <w:p w14:paraId="52072B28" w14:textId="7AA0ECDC" w:rsidR="001E771D" w:rsidRPr="000540E1" w:rsidRDefault="001E771D" w:rsidP="009522BC">
            <w:pPr>
              <w:pStyle w:val="tbltext"/>
            </w:pPr>
            <w:r w:rsidRPr="00EA1E92">
              <w:t xml:space="preserve">$20,000 minimum levy payable by all insurance product providers plus an estimated $0.59 for each $10,000 of net premium </w:t>
            </w:r>
            <w:r w:rsidR="009522BC">
              <w:t xml:space="preserve">revenue </w:t>
            </w:r>
            <w:r w:rsidRPr="00EA1E92">
              <w:t>or net policy revenue above $5 million</w:t>
            </w:r>
          </w:p>
        </w:tc>
      </w:tr>
      <w:tr w:rsidR="001E771D" w:rsidRPr="000540E1" w14:paraId="77051C5A" w14:textId="780F7B43" w:rsidTr="00C60CE1">
        <w:trPr>
          <w:cantSplit/>
        </w:trPr>
        <w:tc>
          <w:tcPr>
            <w:tcW w:w="1531" w:type="dxa"/>
            <w:vAlign w:val="center"/>
          </w:tcPr>
          <w:p w14:paraId="1BFB3268" w14:textId="77C28606" w:rsidR="001E771D" w:rsidRPr="00EA1E92" w:rsidRDefault="001E771D" w:rsidP="006E04D4">
            <w:pPr>
              <w:pStyle w:val="tbltext"/>
            </w:pPr>
            <w:r w:rsidRPr="00EA1E92">
              <w:t>Insurance product distributor</w:t>
            </w:r>
            <w:r w:rsidR="009522BC">
              <w:t>s</w:t>
            </w:r>
          </w:p>
        </w:tc>
        <w:tc>
          <w:tcPr>
            <w:tcW w:w="1361" w:type="dxa"/>
            <w:vAlign w:val="center"/>
          </w:tcPr>
          <w:p w14:paraId="0EC98BD6" w14:textId="7AF45E9E" w:rsidR="001E771D" w:rsidRPr="00EA1E92" w:rsidRDefault="001E771D" w:rsidP="006E04D4">
            <w:pPr>
              <w:pStyle w:val="tbltext"/>
            </w:pPr>
            <w:r w:rsidRPr="00EA1E92">
              <w:t>$1.1m</w:t>
            </w:r>
          </w:p>
        </w:tc>
        <w:tc>
          <w:tcPr>
            <w:tcW w:w="1134" w:type="dxa"/>
            <w:vAlign w:val="center"/>
          </w:tcPr>
          <w:p w14:paraId="6506523A" w14:textId="0BDEC7D7" w:rsidR="001E771D" w:rsidRPr="00EA1E92" w:rsidRDefault="001E771D" w:rsidP="006E04D4">
            <w:pPr>
              <w:pStyle w:val="tbltext"/>
            </w:pPr>
            <w:r w:rsidRPr="00EA1E92">
              <w:t>464</w:t>
            </w:r>
          </w:p>
        </w:tc>
        <w:tc>
          <w:tcPr>
            <w:tcW w:w="1361" w:type="dxa"/>
            <w:vAlign w:val="center"/>
          </w:tcPr>
          <w:p w14:paraId="3E8D71D5" w14:textId="7CA540EB" w:rsidR="001E771D" w:rsidRPr="00EA1E92" w:rsidRDefault="001E771D" w:rsidP="006E04D4">
            <w:pPr>
              <w:pStyle w:val="tbltext"/>
            </w:pPr>
            <w:r w:rsidRPr="00EA1E92">
              <w:t>Flat levy</w:t>
            </w:r>
          </w:p>
        </w:tc>
        <w:tc>
          <w:tcPr>
            <w:tcW w:w="2211" w:type="dxa"/>
            <w:vAlign w:val="center"/>
          </w:tcPr>
          <w:p w14:paraId="5354CE65" w14:textId="6AB871F4" w:rsidR="001E771D" w:rsidRPr="00EA1E92" w:rsidRDefault="001E771D" w:rsidP="006E04D4">
            <w:pPr>
              <w:pStyle w:val="tbltext"/>
            </w:pPr>
            <w:r w:rsidRPr="00EA1E92">
              <w:t>Flat levy</w:t>
            </w:r>
          </w:p>
        </w:tc>
        <w:tc>
          <w:tcPr>
            <w:tcW w:w="1701" w:type="dxa"/>
            <w:gridSpan w:val="2"/>
            <w:vAlign w:val="center"/>
          </w:tcPr>
          <w:p w14:paraId="777EE69C" w14:textId="5FA62E1C" w:rsidR="001E771D" w:rsidRPr="000540E1" w:rsidRDefault="001E771D" w:rsidP="006E04D4">
            <w:pPr>
              <w:pStyle w:val="tbltext"/>
            </w:pPr>
            <w:r w:rsidRPr="00EA1E92">
              <w:t>ASIC database</w:t>
            </w:r>
          </w:p>
        </w:tc>
        <w:tc>
          <w:tcPr>
            <w:tcW w:w="1701" w:type="dxa"/>
            <w:gridSpan w:val="2"/>
            <w:vAlign w:val="center"/>
          </w:tcPr>
          <w:p w14:paraId="5A61DA6B" w14:textId="0543CD8E" w:rsidR="001E771D" w:rsidRPr="000540E1" w:rsidRDefault="001E771D" w:rsidP="006E04D4">
            <w:pPr>
              <w:pStyle w:val="tbltext"/>
            </w:pPr>
            <w:r w:rsidRPr="00EA1E92">
              <w:t>ASIC database</w:t>
            </w:r>
          </w:p>
        </w:tc>
        <w:tc>
          <w:tcPr>
            <w:tcW w:w="2835" w:type="dxa"/>
            <w:vAlign w:val="center"/>
          </w:tcPr>
          <w:p w14:paraId="04F8C276" w14:textId="15316AD9" w:rsidR="001E771D" w:rsidRPr="000540E1" w:rsidRDefault="001E771D" w:rsidP="006E04D4">
            <w:pPr>
              <w:pStyle w:val="tbltext"/>
            </w:pPr>
            <w:r w:rsidRPr="00EA1E92">
              <w:t>$2,400 annual levy</w:t>
            </w:r>
          </w:p>
        </w:tc>
      </w:tr>
      <w:tr w:rsidR="001E771D" w:rsidRPr="000540E1" w14:paraId="5E3E51FB" w14:textId="5648EBC7" w:rsidTr="00C60CE1">
        <w:trPr>
          <w:cantSplit/>
        </w:trPr>
        <w:tc>
          <w:tcPr>
            <w:tcW w:w="1531" w:type="dxa"/>
            <w:vAlign w:val="center"/>
          </w:tcPr>
          <w:p w14:paraId="6CD5AD09" w14:textId="0AABB16E" w:rsidR="001E771D" w:rsidRPr="00EA1E92" w:rsidRDefault="001E771D" w:rsidP="006E04D4">
            <w:pPr>
              <w:pStyle w:val="tbltext"/>
            </w:pPr>
            <w:r w:rsidRPr="00EA1E92">
              <w:t>Risk management product provider</w:t>
            </w:r>
            <w:r w:rsidR="009522BC">
              <w:t>s</w:t>
            </w:r>
            <w:r w:rsidRPr="00EA1E92">
              <w:t xml:space="preserve"> </w:t>
            </w:r>
          </w:p>
        </w:tc>
        <w:tc>
          <w:tcPr>
            <w:tcW w:w="1361" w:type="dxa"/>
            <w:vAlign w:val="center"/>
          </w:tcPr>
          <w:p w14:paraId="5C5C17CC" w14:textId="6B8DB76A" w:rsidR="001E771D" w:rsidRPr="00EA1E92" w:rsidRDefault="001E771D" w:rsidP="006E04D4">
            <w:pPr>
              <w:pStyle w:val="tbltext"/>
            </w:pPr>
            <w:r w:rsidRPr="00EA1E92">
              <w:t>$0.2m</w:t>
            </w:r>
          </w:p>
        </w:tc>
        <w:tc>
          <w:tcPr>
            <w:tcW w:w="1134" w:type="dxa"/>
            <w:vAlign w:val="center"/>
          </w:tcPr>
          <w:p w14:paraId="5409CBBE" w14:textId="36C25E4F" w:rsidR="001E771D" w:rsidRPr="00EA1E92" w:rsidRDefault="001E771D" w:rsidP="006E04D4">
            <w:pPr>
              <w:pStyle w:val="tbltext"/>
            </w:pPr>
            <w:r w:rsidRPr="00EA1E92">
              <w:t>55</w:t>
            </w:r>
          </w:p>
        </w:tc>
        <w:tc>
          <w:tcPr>
            <w:tcW w:w="1361" w:type="dxa"/>
            <w:vAlign w:val="center"/>
          </w:tcPr>
          <w:p w14:paraId="16DA21AD" w14:textId="59A8DFD4" w:rsidR="001E771D" w:rsidRPr="00EA1E92" w:rsidRDefault="001E771D" w:rsidP="006E04D4">
            <w:pPr>
              <w:pStyle w:val="tbltext"/>
            </w:pPr>
            <w:r w:rsidRPr="00EA1E92">
              <w:t>Flat levy</w:t>
            </w:r>
          </w:p>
        </w:tc>
        <w:tc>
          <w:tcPr>
            <w:tcW w:w="2211" w:type="dxa"/>
            <w:vAlign w:val="center"/>
          </w:tcPr>
          <w:p w14:paraId="494AA1AB" w14:textId="3E9FADC5" w:rsidR="001E771D" w:rsidRPr="00EA1E92" w:rsidRDefault="001E771D" w:rsidP="006E04D4">
            <w:pPr>
              <w:pStyle w:val="tbltext"/>
            </w:pPr>
            <w:r w:rsidRPr="00EA1E92">
              <w:t>Flat levy</w:t>
            </w:r>
          </w:p>
        </w:tc>
        <w:tc>
          <w:tcPr>
            <w:tcW w:w="1701" w:type="dxa"/>
            <w:gridSpan w:val="2"/>
            <w:vAlign w:val="center"/>
          </w:tcPr>
          <w:p w14:paraId="4F290353" w14:textId="23DCCB65" w:rsidR="001E771D" w:rsidRPr="000540E1" w:rsidRDefault="001E771D" w:rsidP="006E04D4">
            <w:pPr>
              <w:pStyle w:val="tbltext"/>
            </w:pPr>
            <w:r w:rsidRPr="00EA1E92">
              <w:t>ASIC database</w:t>
            </w:r>
          </w:p>
        </w:tc>
        <w:tc>
          <w:tcPr>
            <w:tcW w:w="1701" w:type="dxa"/>
            <w:gridSpan w:val="2"/>
            <w:vAlign w:val="center"/>
          </w:tcPr>
          <w:p w14:paraId="737157B3" w14:textId="68739CE2" w:rsidR="001E771D" w:rsidRPr="000540E1" w:rsidRDefault="001E771D" w:rsidP="006E04D4">
            <w:pPr>
              <w:pStyle w:val="tbltext"/>
            </w:pPr>
            <w:r w:rsidRPr="00EA1E92">
              <w:t>ASIC database</w:t>
            </w:r>
          </w:p>
        </w:tc>
        <w:tc>
          <w:tcPr>
            <w:tcW w:w="2835" w:type="dxa"/>
            <w:vAlign w:val="center"/>
          </w:tcPr>
          <w:p w14:paraId="468A1300" w14:textId="365676F9" w:rsidR="001E771D" w:rsidRPr="000540E1" w:rsidRDefault="001E771D" w:rsidP="006E04D4">
            <w:pPr>
              <w:pStyle w:val="tbltext"/>
            </w:pPr>
            <w:r w:rsidRPr="00EA1E92">
              <w:t>$4,500 annual levy</w:t>
            </w:r>
          </w:p>
        </w:tc>
      </w:tr>
    </w:tbl>
    <w:p w14:paraId="375BA218" w14:textId="030A32BF" w:rsidR="00561DCE" w:rsidRDefault="00561DCE" w:rsidP="00DE53E8">
      <w:pPr>
        <w:pStyle w:val="sourcenotefullwidth"/>
      </w:pPr>
      <w:r>
        <w:t xml:space="preserve"> </w:t>
      </w:r>
    </w:p>
    <w:p w14:paraId="51663D59" w14:textId="77777777" w:rsidR="00561DCE" w:rsidRDefault="00561DCE" w:rsidP="00DE53E8">
      <w:pPr>
        <w:pStyle w:val="tblnote"/>
      </w:pPr>
    </w:p>
    <w:p w14:paraId="7AC105CA" w14:textId="44741DAB" w:rsidR="00FD1C24" w:rsidRDefault="00FD1C24" w:rsidP="00A715B5">
      <w:pPr>
        <w:pStyle w:val="BodyText"/>
        <w:numPr>
          <w:ilvl w:val="0"/>
          <w:numId w:val="0"/>
        </w:numPr>
        <w:ind w:left="1134" w:hanging="1134"/>
        <w:sectPr w:rsidR="00FD1C24" w:rsidSect="00FD1C24">
          <w:headerReference w:type="even" r:id="rId54"/>
          <w:headerReference w:type="default" r:id="rId55"/>
          <w:footerReference w:type="even" r:id="rId56"/>
          <w:footerReference w:type="default" r:id="rId57"/>
          <w:headerReference w:type="first" r:id="rId58"/>
          <w:pgSz w:w="16838" w:h="11906" w:orient="landscape" w:code="9"/>
          <w:pgMar w:top="1418" w:right="1644" w:bottom="1418" w:left="1418" w:header="567" w:footer="567" w:gutter="0"/>
          <w:cols w:space="720"/>
          <w:docGrid w:linePitch="299"/>
        </w:sectPr>
      </w:pPr>
    </w:p>
    <w:p w14:paraId="2AED8E16" w14:textId="70BB2F86" w:rsidR="005C7184" w:rsidRDefault="005C7C78" w:rsidP="000B5B80">
      <w:pPr>
        <w:pStyle w:val="Heading1"/>
      </w:pPr>
      <w:bookmarkStart w:id="509" w:name="_Toc464140335"/>
      <w:bookmarkStart w:id="510" w:name="_Toc466020985"/>
      <w:r>
        <w:t xml:space="preserve">Appendix </w:t>
      </w:r>
      <w:r w:rsidR="00206F90">
        <w:t>2</w:t>
      </w:r>
      <w:r w:rsidR="00A645CF">
        <w:t>:</w:t>
      </w:r>
      <w:r>
        <w:t xml:space="preserve"> Forms that </w:t>
      </w:r>
      <w:r w:rsidR="004D3E39">
        <w:t xml:space="preserve">are proposed </w:t>
      </w:r>
      <w:r w:rsidR="008054DC">
        <w:t xml:space="preserve">to have </w:t>
      </w:r>
      <w:r>
        <w:t>fees removed</w:t>
      </w:r>
      <w:bookmarkEnd w:id="509"/>
      <w:bookmarkEnd w:id="510"/>
      <w:r w:rsidR="008054DC">
        <w:t xml:space="preserve"> </w:t>
      </w:r>
    </w:p>
    <w:p w14:paraId="0011217E" w14:textId="31A11F2A" w:rsidR="005C7C78" w:rsidRDefault="005C7C78" w:rsidP="008054DC">
      <w:pPr>
        <w:pStyle w:val="tabletitlefullwidth"/>
        <w:ind w:left="0" w:firstLine="0"/>
      </w:pPr>
      <w:r>
        <w:t xml:space="preserve">Table </w:t>
      </w:r>
      <w:r w:rsidR="003D3E81">
        <w:fldChar w:fldCharType="begin"/>
      </w:r>
      <w:r w:rsidR="003D3E81">
        <w:instrText xml:space="preserve"> SEQ Table \* ARABIC </w:instrText>
      </w:r>
      <w:r w:rsidR="003D3E81">
        <w:fldChar w:fldCharType="separate"/>
      </w:r>
      <w:r w:rsidR="00A37D1A">
        <w:rPr>
          <w:noProof/>
        </w:rPr>
        <w:t>37</w:t>
      </w:r>
      <w:r w:rsidR="003D3E81">
        <w:rPr>
          <w:noProof/>
        </w:rPr>
        <w:fldChar w:fldCharType="end"/>
      </w:r>
      <w:r>
        <w:t>:</w:t>
      </w:r>
      <w:r>
        <w:tab/>
        <w:t xml:space="preserve">Forms that </w:t>
      </w:r>
      <w:r w:rsidR="008054DC">
        <w:t>are proposed to</w:t>
      </w:r>
      <w:r>
        <w:t xml:space="preserve"> have fees removed</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4536"/>
        <w:gridCol w:w="1559"/>
        <w:gridCol w:w="1559"/>
      </w:tblGrid>
      <w:tr w:rsidR="005C7C78" w:rsidRPr="000540E1" w14:paraId="17902F7D" w14:textId="77777777" w:rsidTr="000B5B80">
        <w:trPr>
          <w:cantSplit/>
          <w:tblHeader/>
        </w:trPr>
        <w:tc>
          <w:tcPr>
            <w:tcW w:w="1418" w:type="dxa"/>
            <w:shd w:val="clear" w:color="auto" w:fill="C2E3FA"/>
          </w:tcPr>
          <w:p w14:paraId="2C3E97A5" w14:textId="3E573C64" w:rsidR="005C7C78" w:rsidRPr="000540E1" w:rsidRDefault="005C7C78" w:rsidP="00B36555">
            <w:pPr>
              <w:pStyle w:val="tablehead"/>
            </w:pPr>
            <w:r>
              <w:t>Form Code</w:t>
            </w:r>
          </w:p>
        </w:tc>
        <w:tc>
          <w:tcPr>
            <w:tcW w:w="4536" w:type="dxa"/>
            <w:shd w:val="clear" w:color="auto" w:fill="C2E3FA"/>
          </w:tcPr>
          <w:p w14:paraId="784C699C" w14:textId="44EFCD06" w:rsidR="005C7C78" w:rsidRPr="000540E1" w:rsidRDefault="005C7C78" w:rsidP="00B36555">
            <w:pPr>
              <w:pStyle w:val="tablehead"/>
            </w:pPr>
            <w:r>
              <w:t>Form Description</w:t>
            </w:r>
          </w:p>
        </w:tc>
        <w:tc>
          <w:tcPr>
            <w:tcW w:w="1559" w:type="dxa"/>
            <w:shd w:val="clear" w:color="auto" w:fill="C2E3FA"/>
          </w:tcPr>
          <w:p w14:paraId="267C76E4" w14:textId="428590B7" w:rsidR="005C7C78" w:rsidRPr="000540E1" w:rsidRDefault="005C7C78" w:rsidP="000B5B80">
            <w:pPr>
              <w:pStyle w:val="tablehead"/>
              <w:jc w:val="right"/>
            </w:pPr>
            <w:r>
              <w:t>Fees charged in 2013–14</w:t>
            </w:r>
          </w:p>
        </w:tc>
        <w:tc>
          <w:tcPr>
            <w:tcW w:w="1559" w:type="dxa"/>
            <w:shd w:val="clear" w:color="auto" w:fill="C2E3FA"/>
          </w:tcPr>
          <w:p w14:paraId="0FE9CDFD" w14:textId="7E2C35BB" w:rsidR="005C7C78" w:rsidRPr="000540E1" w:rsidRDefault="005C7C78" w:rsidP="000B5B80">
            <w:pPr>
              <w:pStyle w:val="tablehead"/>
              <w:jc w:val="right"/>
            </w:pPr>
            <w:r>
              <w:t>Proposed fee</w:t>
            </w:r>
          </w:p>
        </w:tc>
      </w:tr>
      <w:tr w:rsidR="005C7C78" w:rsidRPr="000540E1" w14:paraId="164CF051" w14:textId="77777777" w:rsidTr="000B5B80">
        <w:trPr>
          <w:cantSplit/>
        </w:trPr>
        <w:tc>
          <w:tcPr>
            <w:tcW w:w="1418" w:type="dxa"/>
          </w:tcPr>
          <w:p w14:paraId="117A9A51" w14:textId="4ADA6E82" w:rsidR="005C7C78" w:rsidRPr="000540E1" w:rsidRDefault="005C7C78" w:rsidP="00B36555">
            <w:pPr>
              <w:pStyle w:val="tbltext"/>
            </w:pPr>
            <w:r>
              <w:t>P-719</w:t>
            </w:r>
          </w:p>
        </w:tc>
        <w:tc>
          <w:tcPr>
            <w:tcW w:w="4536" w:type="dxa"/>
          </w:tcPr>
          <w:p w14:paraId="277EC8FA" w14:textId="11A82465" w:rsidR="005C7C78" w:rsidRPr="000540E1" w:rsidRDefault="005C7C78" w:rsidP="00CC456C">
            <w:pPr>
              <w:pStyle w:val="tbltext"/>
            </w:pPr>
            <w:r>
              <w:t>Statement about payments out of a development account</w:t>
            </w:r>
          </w:p>
        </w:tc>
        <w:tc>
          <w:tcPr>
            <w:tcW w:w="1559" w:type="dxa"/>
          </w:tcPr>
          <w:p w14:paraId="45F0F776" w14:textId="5861AF8E" w:rsidR="005C7C78" w:rsidRPr="000540E1" w:rsidRDefault="005C7C78" w:rsidP="000B5B80">
            <w:pPr>
              <w:pStyle w:val="tbltext"/>
              <w:jc w:val="right"/>
            </w:pPr>
            <w:r>
              <w:t>$37</w:t>
            </w:r>
          </w:p>
        </w:tc>
        <w:tc>
          <w:tcPr>
            <w:tcW w:w="1559" w:type="dxa"/>
          </w:tcPr>
          <w:p w14:paraId="48523F23" w14:textId="41554887" w:rsidR="005C7C78" w:rsidRPr="000540E1" w:rsidRDefault="005C7C78" w:rsidP="000B5B80">
            <w:pPr>
              <w:pStyle w:val="tbltext"/>
              <w:jc w:val="right"/>
            </w:pPr>
            <w:r>
              <w:t>$0</w:t>
            </w:r>
          </w:p>
        </w:tc>
      </w:tr>
      <w:tr w:rsidR="005C7C78" w:rsidRPr="000540E1" w14:paraId="27F5EB94" w14:textId="77777777" w:rsidTr="000B5B80">
        <w:trPr>
          <w:cantSplit/>
        </w:trPr>
        <w:tc>
          <w:tcPr>
            <w:tcW w:w="1418" w:type="dxa"/>
          </w:tcPr>
          <w:p w14:paraId="20AC1BA9" w14:textId="38CE4B5E" w:rsidR="005C7C78" w:rsidRPr="000540E1" w:rsidRDefault="005C7C78" w:rsidP="00B36555">
            <w:pPr>
              <w:pStyle w:val="tbltext"/>
            </w:pPr>
            <w:r>
              <w:t>P-CL04</w:t>
            </w:r>
          </w:p>
        </w:tc>
        <w:tc>
          <w:tcPr>
            <w:tcW w:w="4536" w:type="dxa"/>
          </w:tcPr>
          <w:p w14:paraId="05ADD9C5" w14:textId="7A88E6A4" w:rsidR="005C7C78" w:rsidRPr="005C7C78" w:rsidRDefault="005C7C78" w:rsidP="00B36555">
            <w:pPr>
              <w:pStyle w:val="tbltext"/>
            </w:pPr>
            <w:r>
              <w:t>Change of credit licence name</w:t>
            </w:r>
          </w:p>
        </w:tc>
        <w:tc>
          <w:tcPr>
            <w:tcW w:w="1559" w:type="dxa"/>
          </w:tcPr>
          <w:p w14:paraId="798816F5" w14:textId="3698AF55" w:rsidR="005C7C78" w:rsidRPr="000540E1" w:rsidRDefault="005C7C78" w:rsidP="000B5B80">
            <w:pPr>
              <w:pStyle w:val="tbltext"/>
              <w:jc w:val="right"/>
            </w:pPr>
            <w:r>
              <w:t>$25</w:t>
            </w:r>
          </w:p>
        </w:tc>
        <w:tc>
          <w:tcPr>
            <w:tcW w:w="1559" w:type="dxa"/>
          </w:tcPr>
          <w:p w14:paraId="74E59E46" w14:textId="7FCC427F" w:rsidR="005C7C78" w:rsidRPr="000540E1" w:rsidRDefault="005C7C78" w:rsidP="000B5B80">
            <w:pPr>
              <w:pStyle w:val="tbltext"/>
              <w:jc w:val="right"/>
            </w:pPr>
            <w:r>
              <w:t>$0</w:t>
            </w:r>
          </w:p>
        </w:tc>
      </w:tr>
      <w:tr w:rsidR="005C7C78" w:rsidRPr="000540E1" w14:paraId="4A3F356F" w14:textId="77777777" w:rsidTr="000B5B80">
        <w:trPr>
          <w:cantSplit/>
        </w:trPr>
        <w:tc>
          <w:tcPr>
            <w:tcW w:w="1418" w:type="dxa"/>
          </w:tcPr>
          <w:p w14:paraId="205B41E4" w14:textId="5D2E1C54" w:rsidR="005C7C78" w:rsidRPr="000540E1" w:rsidRDefault="005C7C78" w:rsidP="00B36555">
            <w:pPr>
              <w:pStyle w:val="tbltext"/>
            </w:pPr>
            <w:r>
              <w:t>P-CL08</w:t>
            </w:r>
          </w:p>
        </w:tc>
        <w:tc>
          <w:tcPr>
            <w:tcW w:w="4536" w:type="dxa"/>
          </w:tcPr>
          <w:p w14:paraId="67FB9959" w14:textId="71052B5E" w:rsidR="005C7C78" w:rsidRPr="000540E1" w:rsidRDefault="005C7C78" w:rsidP="00B36555">
            <w:pPr>
              <w:pStyle w:val="tbltext"/>
            </w:pPr>
            <w:r>
              <w:t>Request to change credit licence status</w:t>
            </w:r>
          </w:p>
        </w:tc>
        <w:tc>
          <w:tcPr>
            <w:tcW w:w="1559" w:type="dxa"/>
          </w:tcPr>
          <w:p w14:paraId="3A36DD26" w14:textId="1A8B1411" w:rsidR="005C7C78" w:rsidRPr="000540E1" w:rsidRDefault="005C7C78" w:rsidP="000B5B80">
            <w:pPr>
              <w:pStyle w:val="tbltext"/>
              <w:jc w:val="right"/>
            </w:pPr>
            <w:r>
              <w:t>$25</w:t>
            </w:r>
          </w:p>
        </w:tc>
        <w:tc>
          <w:tcPr>
            <w:tcW w:w="1559" w:type="dxa"/>
          </w:tcPr>
          <w:p w14:paraId="65CED145" w14:textId="5A201213" w:rsidR="005C7C78" w:rsidRPr="000540E1" w:rsidRDefault="005C7C78" w:rsidP="000B5B80">
            <w:pPr>
              <w:pStyle w:val="tbltext"/>
              <w:jc w:val="right"/>
            </w:pPr>
            <w:r>
              <w:t>$0</w:t>
            </w:r>
          </w:p>
        </w:tc>
      </w:tr>
      <w:tr w:rsidR="005C7C78" w:rsidRPr="000540E1" w14:paraId="53B2EC09" w14:textId="77777777" w:rsidTr="000B5B80">
        <w:trPr>
          <w:cantSplit/>
        </w:trPr>
        <w:tc>
          <w:tcPr>
            <w:tcW w:w="1418" w:type="dxa"/>
          </w:tcPr>
          <w:p w14:paraId="4D1E2D86" w14:textId="1215FC73" w:rsidR="005C7C78" w:rsidRDefault="005C7C78" w:rsidP="00B36555">
            <w:pPr>
              <w:pStyle w:val="tbltext"/>
            </w:pPr>
            <w:r>
              <w:t>P-CL20</w:t>
            </w:r>
          </w:p>
        </w:tc>
        <w:tc>
          <w:tcPr>
            <w:tcW w:w="4536" w:type="dxa"/>
          </w:tcPr>
          <w:p w14:paraId="19C54892" w14:textId="6E5DB6D9" w:rsidR="005C7C78" w:rsidRPr="000540E1" w:rsidRDefault="005C7C78" w:rsidP="00B36555">
            <w:pPr>
              <w:pStyle w:val="tbltext"/>
            </w:pPr>
            <w:r>
              <w:t>Notification of change of credit licence details</w:t>
            </w:r>
          </w:p>
        </w:tc>
        <w:tc>
          <w:tcPr>
            <w:tcW w:w="1559" w:type="dxa"/>
          </w:tcPr>
          <w:p w14:paraId="407DC92E" w14:textId="648D8EE4" w:rsidR="005C7C78" w:rsidRPr="000540E1" w:rsidRDefault="005C7C78" w:rsidP="000B5B80">
            <w:pPr>
              <w:pStyle w:val="tbltext"/>
              <w:jc w:val="right"/>
            </w:pPr>
            <w:r>
              <w:t>$25</w:t>
            </w:r>
          </w:p>
        </w:tc>
        <w:tc>
          <w:tcPr>
            <w:tcW w:w="1559" w:type="dxa"/>
          </w:tcPr>
          <w:p w14:paraId="349BAFC5" w14:textId="1B623A32" w:rsidR="005C7C78" w:rsidRPr="000540E1" w:rsidRDefault="005C7C78" w:rsidP="000B5B80">
            <w:pPr>
              <w:pStyle w:val="tbltext"/>
              <w:jc w:val="right"/>
            </w:pPr>
            <w:r>
              <w:t>$0</w:t>
            </w:r>
          </w:p>
        </w:tc>
      </w:tr>
      <w:tr w:rsidR="005C7C78" w:rsidRPr="000540E1" w14:paraId="3E6DD060" w14:textId="77777777" w:rsidTr="000B5B80">
        <w:trPr>
          <w:cantSplit/>
        </w:trPr>
        <w:tc>
          <w:tcPr>
            <w:tcW w:w="1418" w:type="dxa"/>
          </w:tcPr>
          <w:p w14:paraId="1DABD12B" w14:textId="15DFC79F" w:rsidR="005C7C78" w:rsidRDefault="005C7C78" w:rsidP="00B36555">
            <w:pPr>
              <w:pStyle w:val="tbltext"/>
            </w:pPr>
            <w:r>
              <w:t>P-CL30</w:t>
            </w:r>
          </w:p>
        </w:tc>
        <w:tc>
          <w:tcPr>
            <w:tcW w:w="4536" w:type="dxa"/>
          </w:tcPr>
          <w:p w14:paraId="638424AD" w14:textId="1C3C8CDC" w:rsidR="005C7C78" w:rsidRPr="000540E1" w:rsidRDefault="005C7C78" w:rsidP="00B36555">
            <w:pPr>
              <w:pStyle w:val="tbltext"/>
            </w:pPr>
            <w:r>
              <w:t>Appoint a credit representative</w:t>
            </w:r>
          </w:p>
        </w:tc>
        <w:tc>
          <w:tcPr>
            <w:tcW w:w="1559" w:type="dxa"/>
          </w:tcPr>
          <w:p w14:paraId="5F7FFAAE" w14:textId="25AF9BF1" w:rsidR="005C7C78" w:rsidRPr="000540E1" w:rsidRDefault="005C7C78" w:rsidP="000B5B80">
            <w:pPr>
              <w:pStyle w:val="tbltext"/>
              <w:jc w:val="right"/>
            </w:pPr>
            <w:r>
              <w:t>$25</w:t>
            </w:r>
          </w:p>
        </w:tc>
        <w:tc>
          <w:tcPr>
            <w:tcW w:w="1559" w:type="dxa"/>
          </w:tcPr>
          <w:p w14:paraId="4BC0CC63" w14:textId="225F5B18" w:rsidR="005C7C78" w:rsidRPr="000540E1" w:rsidRDefault="005C7C78" w:rsidP="000B5B80">
            <w:pPr>
              <w:pStyle w:val="tbltext"/>
              <w:jc w:val="right"/>
            </w:pPr>
            <w:r>
              <w:t>$0</w:t>
            </w:r>
          </w:p>
        </w:tc>
      </w:tr>
      <w:tr w:rsidR="005C7C78" w:rsidRPr="000540E1" w14:paraId="4BACA1C7" w14:textId="77777777" w:rsidTr="000B5B80">
        <w:trPr>
          <w:cantSplit/>
        </w:trPr>
        <w:tc>
          <w:tcPr>
            <w:tcW w:w="1418" w:type="dxa"/>
          </w:tcPr>
          <w:p w14:paraId="581B18C9" w14:textId="38C73259" w:rsidR="005C7C78" w:rsidRDefault="005C7C78" w:rsidP="00B36555">
            <w:pPr>
              <w:pStyle w:val="tbltext"/>
            </w:pPr>
            <w:r>
              <w:t>P-CL31</w:t>
            </w:r>
          </w:p>
        </w:tc>
        <w:tc>
          <w:tcPr>
            <w:tcW w:w="4536" w:type="dxa"/>
          </w:tcPr>
          <w:p w14:paraId="2292AB9E" w14:textId="59F4884C" w:rsidR="005C7C78" w:rsidRPr="000540E1" w:rsidRDefault="005C7C78" w:rsidP="00B36555">
            <w:pPr>
              <w:pStyle w:val="tbltext"/>
            </w:pPr>
            <w:r>
              <w:t>Cease a credit representative</w:t>
            </w:r>
          </w:p>
        </w:tc>
        <w:tc>
          <w:tcPr>
            <w:tcW w:w="1559" w:type="dxa"/>
          </w:tcPr>
          <w:p w14:paraId="6FCE82A5" w14:textId="5CFE4198" w:rsidR="005C7C78" w:rsidRPr="000540E1" w:rsidRDefault="005C7C78" w:rsidP="000B5B80">
            <w:pPr>
              <w:pStyle w:val="tbltext"/>
              <w:jc w:val="right"/>
            </w:pPr>
            <w:r>
              <w:t>$25</w:t>
            </w:r>
          </w:p>
        </w:tc>
        <w:tc>
          <w:tcPr>
            <w:tcW w:w="1559" w:type="dxa"/>
          </w:tcPr>
          <w:p w14:paraId="6076E143" w14:textId="3F3673C5" w:rsidR="005C7C78" w:rsidRPr="000540E1" w:rsidRDefault="005C7C78" w:rsidP="000B5B80">
            <w:pPr>
              <w:pStyle w:val="tbltext"/>
              <w:jc w:val="right"/>
            </w:pPr>
            <w:r>
              <w:t>$0</w:t>
            </w:r>
          </w:p>
        </w:tc>
      </w:tr>
      <w:tr w:rsidR="005C7C78" w:rsidRPr="000540E1" w14:paraId="125AD8C2" w14:textId="77777777" w:rsidTr="000B5B80">
        <w:trPr>
          <w:cantSplit/>
        </w:trPr>
        <w:tc>
          <w:tcPr>
            <w:tcW w:w="1418" w:type="dxa"/>
          </w:tcPr>
          <w:p w14:paraId="103026FA" w14:textId="423A338A" w:rsidR="005C7C78" w:rsidRDefault="005C7C78" w:rsidP="00B36555">
            <w:pPr>
              <w:pStyle w:val="tbltext"/>
            </w:pPr>
            <w:r>
              <w:t>P-CL32</w:t>
            </w:r>
          </w:p>
        </w:tc>
        <w:tc>
          <w:tcPr>
            <w:tcW w:w="4536" w:type="dxa"/>
          </w:tcPr>
          <w:p w14:paraId="2253FF91" w14:textId="151DA42D" w:rsidR="005C7C78" w:rsidRPr="000540E1" w:rsidRDefault="005C7C78" w:rsidP="00B36555">
            <w:pPr>
              <w:pStyle w:val="tbltext"/>
            </w:pPr>
            <w:r>
              <w:t>Vary the details of a credit representative</w:t>
            </w:r>
          </w:p>
        </w:tc>
        <w:tc>
          <w:tcPr>
            <w:tcW w:w="1559" w:type="dxa"/>
          </w:tcPr>
          <w:p w14:paraId="0B8020BD" w14:textId="21274447" w:rsidR="005C7C78" w:rsidRPr="000540E1" w:rsidRDefault="005C7C78" w:rsidP="000B5B80">
            <w:pPr>
              <w:pStyle w:val="tbltext"/>
              <w:jc w:val="right"/>
            </w:pPr>
            <w:r>
              <w:t>$25</w:t>
            </w:r>
          </w:p>
        </w:tc>
        <w:tc>
          <w:tcPr>
            <w:tcW w:w="1559" w:type="dxa"/>
          </w:tcPr>
          <w:p w14:paraId="4D74BBF1" w14:textId="2704346B" w:rsidR="005C7C78" w:rsidRPr="000540E1" w:rsidRDefault="005C7C78" w:rsidP="000B5B80">
            <w:pPr>
              <w:pStyle w:val="tbltext"/>
              <w:jc w:val="right"/>
            </w:pPr>
            <w:r>
              <w:t>$0</w:t>
            </w:r>
          </w:p>
        </w:tc>
      </w:tr>
      <w:tr w:rsidR="005C7C78" w:rsidRPr="000540E1" w14:paraId="5DE1B1A4" w14:textId="77777777" w:rsidTr="000B5B80">
        <w:trPr>
          <w:cantSplit/>
        </w:trPr>
        <w:tc>
          <w:tcPr>
            <w:tcW w:w="1418" w:type="dxa"/>
          </w:tcPr>
          <w:p w14:paraId="331B0BC6" w14:textId="3668BC37" w:rsidR="005C7C78" w:rsidRDefault="005C7C78" w:rsidP="00B36555">
            <w:pPr>
              <w:pStyle w:val="tbltext"/>
            </w:pPr>
            <w:r>
              <w:t>P-CL50AA</w:t>
            </w:r>
          </w:p>
        </w:tc>
        <w:tc>
          <w:tcPr>
            <w:tcW w:w="4536" w:type="dxa"/>
          </w:tcPr>
          <w:p w14:paraId="2F9F697F" w14:textId="2D3020A6" w:rsidR="005C7C78" w:rsidRPr="000540E1" w:rsidRDefault="005C7C78" w:rsidP="00B36555">
            <w:pPr>
              <w:pStyle w:val="tbltext"/>
            </w:pPr>
            <w:r>
              <w:t>Australian credit licence annual compliance certificate - Person/Sole trader, under $100 million</w:t>
            </w:r>
          </w:p>
        </w:tc>
        <w:tc>
          <w:tcPr>
            <w:tcW w:w="1559" w:type="dxa"/>
          </w:tcPr>
          <w:p w14:paraId="119EFA51" w14:textId="7A732C62" w:rsidR="005C7C78" w:rsidRPr="000540E1" w:rsidRDefault="005C7C78" w:rsidP="000B5B80">
            <w:pPr>
              <w:pStyle w:val="tbltext"/>
              <w:jc w:val="right"/>
            </w:pPr>
            <w:r>
              <w:t>$484</w:t>
            </w:r>
          </w:p>
        </w:tc>
        <w:tc>
          <w:tcPr>
            <w:tcW w:w="1559" w:type="dxa"/>
          </w:tcPr>
          <w:p w14:paraId="1AF5AC5A" w14:textId="675BBD44" w:rsidR="005C7C78" w:rsidRPr="000540E1" w:rsidRDefault="005C7C78" w:rsidP="000B5B80">
            <w:pPr>
              <w:pStyle w:val="tbltext"/>
              <w:jc w:val="right"/>
            </w:pPr>
            <w:r>
              <w:t>$0</w:t>
            </w:r>
          </w:p>
        </w:tc>
      </w:tr>
      <w:tr w:rsidR="005C7C78" w:rsidRPr="000540E1" w14:paraId="6B79CE7C" w14:textId="77777777" w:rsidTr="000B5B80">
        <w:trPr>
          <w:cantSplit/>
        </w:trPr>
        <w:tc>
          <w:tcPr>
            <w:tcW w:w="1418" w:type="dxa"/>
          </w:tcPr>
          <w:p w14:paraId="3CCDCDB6" w14:textId="3AF356CB" w:rsidR="005C7C78" w:rsidRDefault="005C7C78" w:rsidP="00B36555">
            <w:pPr>
              <w:pStyle w:val="tbltext"/>
            </w:pPr>
            <w:r>
              <w:t>P-CL50AB</w:t>
            </w:r>
          </w:p>
        </w:tc>
        <w:tc>
          <w:tcPr>
            <w:tcW w:w="4536" w:type="dxa"/>
          </w:tcPr>
          <w:p w14:paraId="3E59809B" w14:textId="2A615307" w:rsidR="005C7C78" w:rsidRPr="000540E1" w:rsidRDefault="005C7C78" w:rsidP="00B36555">
            <w:pPr>
              <w:pStyle w:val="tbltext"/>
            </w:pPr>
            <w:r>
              <w:t>Australian credit licence annual compliance certificate - Body corporate, under $100 million</w:t>
            </w:r>
          </w:p>
        </w:tc>
        <w:tc>
          <w:tcPr>
            <w:tcW w:w="1559" w:type="dxa"/>
          </w:tcPr>
          <w:p w14:paraId="0AA78AB6" w14:textId="2F7AAE94" w:rsidR="005C7C78" w:rsidRPr="000540E1" w:rsidRDefault="005C7C78" w:rsidP="000B5B80">
            <w:pPr>
              <w:pStyle w:val="tbltext"/>
              <w:jc w:val="right"/>
            </w:pPr>
            <w:r>
              <w:t>$1,075</w:t>
            </w:r>
          </w:p>
        </w:tc>
        <w:tc>
          <w:tcPr>
            <w:tcW w:w="1559" w:type="dxa"/>
          </w:tcPr>
          <w:p w14:paraId="588117C5" w14:textId="4578D616" w:rsidR="005C7C78" w:rsidRPr="000540E1" w:rsidRDefault="005C7C78" w:rsidP="000B5B80">
            <w:pPr>
              <w:pStyle w:val="tbltext"/>
              <w:jc w:val="right"/>
            </w:pPr>
            <w:r>
              <w:t>$0</w:t>
            </w:r>
          </w:p>
        </w:tc>
      </w:tr>
      <w:tr w:rsidR="005C7C78" w:rsidRPr="000540E1" w14:paraId="0673C852" w14:textId="77777777" w:rsidTr="000B5B80">
        <w:trPr>
          <w:cantSplit/>
        </w:trPr>
        <w:tc>
          <w:tcPr>
            <w:tcW w:w="1418" w:type="dxa"/>
          </w:tcPr>
          <w:p w14:paraId="23EBF14D" w14:textId="22D8AB7C" w:rsidR="005C7C78" w:rsidRDefault="005C7C78" w:rsidP="00B36555">
            <w:pPr>
              <w:pStyle w:val="tbltext"/>
            </w:pPr>
            <w:r>
              <w:t>P-CL50AC</w:t>
            </w:r>
          </w:p>
        </w:tc>
        <w:tc>
          <w:tcPr>
            <w:tcW w:w="4536" w:type="dxa"/>
          </w:tcPr>
          <w:p w14:paraId="2D94D37B" w14:textId="72BAFB65" w:rsidR="005C7C78" w:rsidRPr="000540E1" w:rsidRDefault="005C7C78" w:rsidP="00B36555">
            <w:pPr>
              <w:pStyle w:val="tbltext"/>
            </w:pPr>
            <w:r>
              <w:t>Australian credit licence annual compliance certificate - All, $100 million - $200 million</w:t>
            </w:r>
          </w:p>
        </w:tc>
        <w:tc>
          <w:tcPr>
            <w:tcW w:w="1559" w:type="dxa"/>
          </w:tcPr>
          <w:p w14:paraId="4181CFDE" w14:textId="10882ABA" w:rsidR="005C7C78" w:rsidRPr="000540E1" w:rsidRDefault="005C7C78" w:rsidP="000B5B80">
            <w:pPr>
              <w:pStyle w:val="tbltext"/>
              <w:jc w:val="right"/>
            </w:pPr>
            <w:r>
              <w:t>$1,075</w:t>
            </w:r>
          </w:p>
        </w:tc>
        <w:tc>
          <w:tcPr>
            <w:tcW w:w="1559" w:type="dxa"/>
          </w:tcPr>
          <w:p w14:paraId="2C103FFE" w14:textId="47B9D18C" w:rsidR="005C7C78" w:rsidRPr="000540E1" w:rsidRDefault="005C7C78" w:rsidP="000B5B80">
            <w:pPr>
              <w:pStyle w:val="tbltext"/>
              <w:jc w:val="right"/>
            </w:pPr>
            <w:r>
              <w:t>$0</w:t>
            </w:r>
          </w:p>
        </w:tc>
      </w:tr>
      <w:tr w:rsidR="005C7C78" w:rsidRPr="000540E1" w14:paraId="2536B257" w14:textId="77777777" w:rsidTr="000B5B80">
        <w:trPr>
          <w:cantSplit/>
        </w:trPr>
        <w:tc>
          <w:tcPr>
            <w:tcW w:w="1418" w:type="dxa"/>
          </w:tcPr>
          <w:p w14:paraId="4AAA9631" w14:textId="3E647B3D" w:rsidR="005C7C78" w:rsidRDefault="005C7C78" w:rsidP="00B36555">
            <w:pPr>
              <w:pStyle w:val="tbltext"/>
            </w:pPr>
            <w:r>
              <w:t>P-CL50AD</w:t>
            </w:r>
          </w:p>
        </w:tc>
        <w:tc>
          <w:tcPr>
            <w:tcW w:w="4536" w:type="dxa"/>
          </w:tcPr>
          <w:p w14:paraId="0D50B8B6" w14:textId="0A4B5951" w:rsidR="005C7C78" w:rsidRPr="000540E1" w:rsidRDefault="005C7C78" w:rsidP="00B36555">
            <w:pPr>
              <w:pStyle w:val="tbltext"/>
            </w:pPr>
            <w:r>
              <w:t>Australian credit licence annual compliance certificate - All, $200 million - $600 million</w:t>
            </w:r>
          </w:p>
        </w:tc>
        <w:tc>
          <w:tcPr>
            <w:tcW w:w="1559" w:type="dxa"/>
          </w:tcPr>
          <w:p w14:paraId="6CCAC899" w14:textId="52DBD592" w:rsidR="005C7C78" w:rsidRPr="000540E1" w:rsidRDefault="005C7C78" w:rsidP="000B5B80">
            <w:pPr>
              <w:pStyle w:val="tbltext"/>
              <w:jc w:val="right"/>
            </w:pPr>
            <w:r>
              <w:t>$4,303</w:t>
            </w:r>
          </w:p>
        </w:tc>
        <w:tc>
          <w:tcPr>
            <w:tcW w:w="1559" w:type="dxa"/>
          </w:tcPr>
          <w:p w14:paraId="3A7E9569" w14:textId="3EA8D39B" w:rsidR="005C7C78" w:rsidRPr="000540E1" w:rsidRDefault="005C7C78" w:rsidP="000B5B80">
            <w:pPr>
              <w:pStyle w:val="tbltext"/>
              <w:jc w:val="right"/>
            </w:pPr>
            <w:r>
              <w:t>$0</w:t>
            </w:r>
          </w:p>
        </w:tc>
      </w:tr>
      <w:tr w:rsidR="005C7C78" w:rsidRPr="000540E1" w14:paraId="5AF8DDAF" w14:textId="77777777" w:rsidTr="000B5B80">
        <w:trPr>
          <w:cantSplit/>
        </w:trPr>
        <w:tc>
          <w:tcPr>
            <w:tcW w:w="1418" w:type="dxa"/>
          </w:tcPr>
          <w:p w14:paraId="54BD1D47" w14:textId="185D71FF" w:rsidR="005C7C78" w:rsidRDefault="005C7C78" w:rsidP="00B36555">
            <w:pPr>
              <w:pStyle w:val="tbltext"/>
            </w:pPr>
            <w:r>
              <w:t>P-CL50AE</w:t>
            </w:r>
          </w:p>
        </w:tc>
        <w:tc>
          <w:tcPr>
            <w:tcW w:w="4536" w:type="dxa"/>
          </w:tcPr>
          <w:p w14:paraId="761912D8" w14:textId="07AE2310" w:rsidR="005C7C78" w:rsidRPr="000540E1" w:rsidRDefault="005C7C78" w:rsidP="00B36555">
            <w:pPr>
              <w:pStyle w:val="tbltext"/>
            </w:pPr>
            <w:r>
              <w:t>Australian credit licence annual compliance certificate - All, $600 million - $1,000 million</w:t>
            </w:r>
          </w:p>
        </w:tc>
        <w:tc>
          <w:tcPr>
            <w:tcW w:w="1559" w:type="dxa"/>
          </w:tcPr>
          <w:p w14:paraId="3AF4D172" w14:textId="569D1E20" w:rsidR="005C7C78" w:rsidRPr="000540E1" w:rsidRDefault="005C7C78" w:rsidP="000B5B80">
            <w:pPr>
              <w:pStyle w:val="tbltext"/>
              <w:jc w:val="right"/>
            </w:pPr>
            <w:r>
              <w:t>$8,608</w:t>
            </w:r>
          </w:p>
        </w:tc>
        <w:tc>
          <w:tcPr>
            <w:tcW w:w="1559" w:type="dxa"/>
          </w:tcPr>
          <w:p w14:paraId="5D13C852" w14:textId="6DCAC2CA" w:rsidR="005C7C78" w:rsidRPr="000540E1" w:rsidRDefault="005C7C78" w:rsidP="000B5B80">
            <w:pPr>
              <w:pStyle w:val="tbltext"/>
              <w:jc w:val="right"/>
            </w:pPr>
            <w:r>
              <w:t>$0</w:t>
            </w:r>
          </w:p>
        </w:tc>
      </w:tr>
      <w:tr w:rsidR="005C7C78" w:rsidRPr="000540E1" w14:paraId="3BE76D5A" w14:textId="77777777" w:rsidTr="000B5B80">
        <w:trPr>
          <w:cantSplit/>
        </w:trPr>
        <w:tc>
          <w:tcPr>
            <w:tcW w:w="1418" w:type="dxa"/>
          </w:tcPr>
          <w:p w14:paraId="28BFA032" w14:textId="385AF215" w:rsidR="005C7C78" w:rsidRDefault="005C7C78" w:rsidP="00B36555">
            <w:pPr>
              <w:pStyle w:val="tbltext"/>
            </w:pPr>
            <w:r>
              <w:t>P-CL50AF</w:t>
            </w:r>
          </w:p>
        </w:tc>
        <w:tc>
          <w:tcPr>
            <w:tcW w:w="4536" w:type="dxa"/>
          </w:tcPr>
          <w:p w14:paraId="5A715B14" w14:textId="3E83DDDA" w:rsidR="005C7C78" w:rsidRPr="000540E1" w:rsidRDefault="005C7C78" w:rsidP="00B36555">
            <w:pPr>
              <w:pStyle w:val="tbltext"/>
            </w:pPr>
            <w:r>
              <w:t>Australian credit licence annual compliance certificate - All, $1,000 million - $1,400 million</w:t>
            </w:r>
          </w:p>
        </w:tc>
        <w:tc>
          <w:tcPr>
            <w:tcW w:w="1559" w:type="dxa"/>
          </w:tcPr>
          <w:p w14:paraId="49C001F4" w14:textId="64999487" w:rsidR="005C7C78" w:rsidRPr="000540E1" w:rsidRDefault="005C7C78" w:rsidP="000B5B80">
            <w:pPr>
              <w:pStyle w:val="tbltext"/>
              <w:jc w:val="right"/>
            </w:pPr>
            <w:r>
              <w:t>$12,911</w:t>
            </w:r>
          </w:p>
        </w:tc>
        <w:tc>
          <w:tcPr>
            <w:tcW w:w="1559" w:type="dxa"/>
          </w:tcPr>
          <w:p w14:paraId="6617D8DC" w14:textId="169FA54A" w:rsidR="005C7C78" w:rsidRPr="000540E1" w:rsidRDefault="005C7C78" w:rsidP="000B5B80">
            <w:pPr>
              <w:pStyle w:val="tbltext"/>
              <w:jc w:val="right"/>
            </w:pPr>
            <w:r>
              <w:t>$0</w:t>
            </w:r>
          </w:p>
        </w:tc>
      </w:tr>
      <w:tr w:rsidR="005C7C78" w:rsidRPr="000540E1" w14:paraId="6692CABB" w14:textId="77777777" w:rsidTr="000B5B80">
        <w:trPr>
          <w:cantSplit/>
        </w:trPr>
        <w:tc>
          <w:tcPr>
            <w:tcW w:w="1418" w:type="dxa"/>
          </w:tcPr>
          <w:p w14:paraId="072735A9" w14:textId="2878673D" w:rsidR="005C7C78" w:rsidRDefault="005C7C78" w:rsidP="00B36555">
            <w:pPr>
              <w:pStyle w:val="tbltext"/>
            </w:pPr>
            <w:r>
              <w:t>P-CL50AG</w:t>
            </w:r>
          </w:p>
        </w:tc>
        <w:tc>
          <w:tcPr>
            <w:tcW w:w="4536" w:type="dxa"/>
          </w:tcPr>
          <w:p w14:paraId="064241E1" w14:textId="63E2C125" w:rsidR="005C7C78" w:rsidRPr="000540E1" w:rsidRDefault="005C7C78" w:rsidP="00B36555">
            <w:pPr>
              <w:pStyle w:val="tbltext"/>
            </w:pPr>
            <w:r>
              <w:t>Australian credit licence annual compliance certificate - All, $1,400 million - $1,800 million</w:t>
            </w:r>
          </w:p>
        </w:tc>
        <w:tc>
          <w:tcPr>
            <w:tcW w:w="1559" w:type="dxa"/>
          </w:tcPr>
          <w:p w14:paraId="36E61208" w14:textId="72E3F640" w:rsidR="005C7C78" w:rsidRPr="000540E1" w:rsidRDefault="005C7C78" w:rsidP="000B5B80">
            <w:pPr>
              <w:pStyle w:val="tbltext"/>
              <w:jc w:val="right"/>
            </w:pPr>
            <w:r>
              <w:t>$17,215</w:t>
            </w:r>
          </w:p>
        </w:tc>
        <w:tc>
          <w:tcPr>
            <w:tcW w:w="1559" w:type="dxa"/>
          </w:tcPr>
          <w:p w14:paraId="334E86B6" w14:textId="0594BC90" w:rsidR="005C7C78" w:rsidRPr="000540E1" w:rsidRDefault="005C7C78" w:rsidP="000B5B80">
            <w:pPr>
              <w:pStyle w:val="tbltext"/>
              <w:jc w:val="right"/>
            </w:pPr>
            <w:r>
              <w:t>$0</w:t>
            </w:r>
          </w:p>
        </w:tc>
      </w:tr>
      <w:tr w:rsidR="005C7C78" w:rsidRPr="000540E1" w14:paraId="13B58E50" w14:textId="77777777" w:rsidTr="000B5B80">
        <w:trPr>
          <w:cantSplit/>
        </w:trPr>
        <w:tc>
          <w:tcPr>
            <w:tcW w:w="1418" w:type="dxa"/>
          </w:tcPr>
          <w:p w14:paraId="074CEE89" w14:textId="37215467" w:rsidR="005C7C78" w:rsidRDefault="005C7C78" w:rsidP="00B36555">
            <w:pPr>
              <w:pStyle w:val="tbltext"/>
            </w:pPr>
            <w:r>
              <w:t>P-CL50AH</w:t>
            </w:r>
          </w:p>
        </w:tc>
        <w:tc>
          <w:tcPr>
            <w:tcW w:w="4536" w:type="dxa"/>
          </w:tcPr>
          <w:p w14:paraId="2D67B8D1" w14:textId="0D189730" w:rsidR="005C7C78" w:rsidRPr="000540E1" w:rsidRDefault="005C7C78" w:rsidP="00B36555">
            <w:pPr>
              <w:pStyle w:val="tbltext"/>
            </w:pPr>
            <w:r>
              <w:t>Australian credit licence annual compliance certificate - All, $1,800 million - $2,100 million</w:t>
            </w:r>
          </w:p>
        </w:tc>
        <w:tc>
          <w:tcPr>
            <w:tcW w:w="1559" w:type="dxa"/>
          </w:tcPr>
          <w:p w14:paraId="7F29E27E" w14:textId="2E6AF514" w:rsidR="005C7C78" w:rsidRPr="000540E1" w:rsidRDefault="005C7C78" w:rsidP="000B5B80">
            <w:pPr>
              <w:pStyle w:val="tbltext"/>
              <w:jc w:val="right"/>
            </w:pPr>
            <w:r>
              <w:t>$21,519</w:t>
            </w:r>
          </w:p>
        </w:tc>
        <w:tc>
          <w:tcPr>
            <w:tcW w:w="1559" w:type="dxa"/>
          </w:tcPr>
          <w:p w14:paraId="04E3014D" w14:textId="36128807" w:rsidR="005C7C78" w:rsidRPr="000540E1" w:rsidRDefault="005C7C78" w:rsidP="000B5B80">
            <w:pPr>
              <w:pStyle w:val="tbltext"/>
              <w:jc w:val="right"/>
            </w:pPr>
            <w:r>
              <w:t>$0</w:t>
            </w:r>
          </w:p>
        </w:tc>
      </w:tr>
      <w:tr w:rsidR="005C7C78" w:rsidRPr="000540E1" w14:paraId="6E847A02" w14:textId="77777777" w:rsidTr="000B5B80">
        <w:trPr>
          <w:cantSplit/>
        </w:trPr>
        <w:tc>
          <w:tcPr>
            <w:tcW w:w="1418" w:type="dxa"/>
          </w:tcPr>
          <w:p w14:paraId="24A9F475" w14:textId="6B498992" w:rsidR="005C7C78" w:rsidRDefault="005C7C78" w:rsidP="00B36555">
            <w:pPr>
              <w:pStyle w:val="tbltext"/>
            </w:pPr>
            <w:r>
              <w:t>P-CL50AI</w:t>
            </w:r>
          </w:p>
        </w:tc>
        <w:tc>
          <w:tcPr>
            <w:tcW w:w="4536" w:type="dxa"/>
          </w:tcPr>
          <w:p w14:paraId="2713E84C" w14:textId="036CD1C0" w:rsidR="005C7C78" w:rsidRPr="000540E1" w:rsidRDefault="005C7C78" w:rsidP="00B36555">
            <w:pPr>
              <w:pStyle w:val="tbltext"/>
            </w:pPr>
            <w:r>
              <w:t>Australian credit licence annual compliance certificate - All, over $2,100 million</w:t>
            </w:r>
          </w:p>
        </w:tc>
        <w:tc>
          <w:tcPr>
            <w:tcW w:w="1559" w:type="dxa"/>
          </w:tcPr>
          <w:p w14:paraId="41C38380" w14:textId="5848D575" w:rsidR="005C7C78" w:rsidRPr="000540E1" w:rsidRDefault="005C7C78" w:rsidP="000B5B80">
            <w:pPr>
              <w:pStyle w:val="tbltext"/>
              <w:jc w:val="right"/>
            </w:pPr>
            <w:r>
              <w:t>$22,596</w:t>
            </w:r>
          </w:p>
        </w:tc>
        <w:tc>
          <w:tcPr>
            <w:tcW w:w="1559" w:type="dxa"/>
          </w:tcPr>
          <w:p w14:paraId="0498A1D1" w14:textId="7FF9325B" w:rsidR="005C7C78" w:rsidRPr="000540E1" w:rsidRDefault="005C7C78" w:rsidP="000B5B80">
            <w:pPr>
              <w:pStyle w:val="tbltext"/>
              <w:jc w:val="right"/>
            </w:pPr>
            <w:r>
              <w:t>$0</w:t>
            </w:r>
          </w:p>
        </w:tc>
      </w:tr>
      <w:tr w:rsidR="005C7C78" w:rsidRPr="000540E1" w14:paraId="269A0879" w14:textId="77777777" w:rsidTr="000B5B80">
        <w:trPr>
          <w:cantSplit/>
        </w:trPr>
        <w:tc>
          <w:tcPr>
            <w:tcW w:w="1418" w:type="dxa"/>
          </w:tcPr>
          <w:p w14:paraId="0CB91D1A" w14:textId="7E43E06C" w:rsidR="005C7C78" w:rsidRDefault="005C7C78" w:rsidP="00B36555">
            <w:pPr>
              <w:pStyle w:val="tbltext"/>
            </w:pPr>
            <w:r>
              <w:t>P-CL70</w:t>
            </w:r>
          </w:p>
        </w:tc>
        <w:tc>
          <w:tcPr>
            <w:tcW w:w="4536" w:type="dxa"/>
          </w:tcPr>
          <w:p w14:paraId="349E290A" w14:textId="00B766E7" w:rsidR="005C7C78" w:rsidRPr="000540E1" w:rsidRDefault="005C7C78" w:rsidP="00B36555">
            <w:pPr>
              <w:pStyle w:val="tbltext"/>
            </w:pPr>
            <w:r>
              <w:t>Australian credit licence - Trust account statement</w:t>
            </w:r>
          </w:p>
        </w:tc>
        <w:tc>
          <w:tcPr>
            <w:tcW w:w="1559" w:type="dxa"/>
          </w:tcPr>
          <w:p w14:paraId="3299401F" w14:textId="7D31D77F" w:rsidR="005C7C78" w:rsidRPr="000540E1" w:rsidRDefault="005C7C78" w:rsidP="000B5B80">
            <w:pPr>
              <w:pStyle w:val="tbltext"/>
              <w:jc w:val="right"/>
            </w:pPr>
            <w:r>
              <w:t>$108</w:t>
            </w:r>
          </w:p>
        </w:tc>
        <w:tc>
          <w:tcPr>
            <w:tcW w:w="1559" w:type="dxa"/>
          </w:tcPr>
          <w:p w14:paraId="3C3DB6C9" w14:textId="160DC7A5" w:rsidR="005C7C78" w:rsidRPr="000540E1" w:rsidRDefault="005C7C78" w:rsidP="000B5B80">
            <w:pPr>
              <w:pStyle w:val="tbltext"/>
              <w:jc w:val="right"/>
            </w:pPr>
            <w:r>
              <w:t>$0</w:t>
            </w:r>
          </w:p>
        </w:tc>
      </w:tr>
      <w:tr w:rsidR="005C7C78" w:rsidRPr="000540E1" w14:paraId="30B66AD1" w14:textId="77777777" w:rsidTr="000B5B80">
        <w:trPr>
          <w:cantSplit/>
        </w:trPr>
        <w:tc>
          <w:tcPr>
            <w:tcW w:w="1418" w:type="dxa"/>
          </w:tcPr>
          <w:p w14:paraId="077A3648" w14:textId="612C9E07" w:rsidR="005C7C78" w:rsidRDefault="005C7C78" w:rsidP="00B36555">
            <w:pPr>
              <w:pStyle w:val="tbltext"/>
            </w:pPr>
            <w:r>
              <w:t>P-FS06</w:t>
            </w:r>
          </w:p>
        </w:tc>
        <w:tc>
          <w:tcPr>
            <w:tcW w:w="4536" w:type="dxa"/>
          </w:tcPr>
          <w:p w14:paraId="76811795" w14:textId="16F36F95" w:rsidR="005C7C78" w:rsidRPr="000540E1" w:rsidRDefault="005C7C78" w:rsidP="00B36555">
            <w:pPr>
              <w:pStyle w:val="tbltext"/>
            </w:pPr>
            <w:r>
              <w:t>Appointment of an auditor of an Australian financial services licensee</w:t>
            </w:r>
          </w:p>
        </w:tc>
        <w:tc>
          <w:tcPr>
            <w:tcW w:w="1559" w:type="dxa"/>
          </w:tcPr>
          <w:p w14:paraId="5172AE82" w14:textId="7C2515D9" w:rsidR="005C7C78" w:rsidRPr="000540E1" w:rsidRDefault="005C7C78" w:rsidP="000B5B80">
            <w:pPr>
              <w:pStyle w:val="tbltext"/>
              <w:jc w:val="right"/>
            </w:pPr>
            <w:r>
              <w:t>$37</w:t>
            </w:r>
          </w:p>
        </w:tc>
        <w:tc>
          <w:tcPr>
            <w:tcW w:w="1559" w:type="dxa"/>
          </w:tcPr>
          <w:p w14:paraId="379D82F9" w14:textId="29B0BEB6" w:rsidR="005C7C78" w:rsidRPr="000540E1" w:rsidRDefault="005C7C78" w:rsidP="000B5B80">
            <w:pPr>
              <w:pStyle w:val="tbltext"/>
              <w:jc w:val="right"/>
            </w:pPr>
            <w:r>
              <w:t>$0</w:t>
            </w:r>
          </w:p>
        </w:tc>
      </w:tr>
      <w:tr w:rsidR="005C7C78" w:rsidRPr="000540E1" w14:paraId="213EC38C" w14:textId="77777777" w:rsidTr="005C7C78">
        <w:trPr>
          <w:cantSplit/>
        </w:trPr>
        <w:tc>
          <w:tcPr>
            <w:tcW w:w="1418" w:type="dxa"/>
          </w:tcPr>
          <w:p w14:paraId="3EEE85BF" w14:textId="614A81C6" w:rsidR="005C7C78" w:rsidRDefault="005C7C78" w:rsidP="00B36555">
            <w:pPr>
              <w:pStyle w:val="tbltext"/>
            </w:pPr>
            <w:r>
              <w:t>P-FS31</w:t>
            </w:r>
          </w:p>
        </w:tc>
        <w:tc>
          <w:tcPr>
            <w:tcW w:w="4536" w:type="dxa"/>
          </w:tcPr>
          <w:p w14:paraId="5F8DBA44" w14:textId="4E6666F8" w:rsidR="005C7C78" w:rsidRDefault="005C7C78" w:rsidP="00B36555">
            <w:pPr>
              <w:pStyle w:val="tbltext"/>
            </w:pPr>
            <w:r>
              <w:t>Cease an AFS licensee authorised representative</w:t>
            </w:r>
          </w:p>
        </w:tc>
        <w:tc>
          <w:tcPr>
            <w:tcW w:w="1559" w:type="dxa"/>
          </w:tcPr>
          <w:p w14:paraId="5B2FA04A" w14:textId="3546767A" w:rsidR="005C7C78" w:rsidRDefault="005C7C78" w:rsidP="005C7C78">
            <w:pPr>
              <w:pStyle w:val="tbltext"/>
              <w:jc w:val="right"/>
            </w:pPr>
            <w:r>
              <w:t>$37</w:t>
            </w:r>
          </w:p>
        </w:tc>
        <w:tc>
          <w:tcPr>
            <w:tcW w:w="1559" w:type="dxa"/>
          </w:tcPr>
          <w:p w14:paraId="4D250BB3" w14:textId="6B3BF179" w:rsidR="005C7C78" w:rsidRDefault="005C7C78" w:rsidP="005C7C78">
            <w:pPr>
              <w:pStyle w:val="tbltext"/>
              <w:jc w:val="right"/>
            </w:pPr>
            <w:r>
              <w:t>$0</w:t>
            </w:r>
          </w:p>
        </w:tc>
      </w:tr>
      <w:tr w:rsidR="005C7C78" w:rsidRPr="000540E1" w14:paraId="11229D12" w14:textId="77777777" w:rsidTr="005C7C78">
        <w:trPr>
          <w:cantSplit/>
        </w:trPr>
        <w:tc>
          <w:tcPr>
            <w:tcW w:w="1418" w:type="dxa"/>
          </w:tcPr>
          <w:p w14:paraId="230AC105" w14:textId="77F06712" w:rsidR="005C7C78" w:rsidRDefault="005C7C78" w:rsidP="00B36555">
            <w:pPr>
              <w:pStyle w:val="tbltext"/>
            </w:pPr>
            <w:r>
              <w:t>P-FS32</w:t>
            </w:r>
          </w:p>
        </w:tc>
        <w:tc>
          <w:tcPr>
            <w:tcW w:w="4536" w:type="dxa"/>
          </w:tcPr>
          <w:p w14:paraId="6E9BB0CF" w14:textId="4989171A" w:rsidR="005C7C78" w:rsidRDefault="005C7C78" w:rsidP="00B36555">
            <w:pPr>
              <w:pStyle w:val="tbltext"/>
            </w:pPr>
            <w:r>
              <w:t>Vary the details of an AFS licensee authorised representative</w:t>
            </w:r>
          </w:p>
        </w:tc>
        <w:tc>
          <w:tcPr>
            <w:tcW w:w="1559" w:type="dxa"/>
          </w:tcPr>
          <w:p w14:paraId="65DAE6CA" w14:textId="75AB8FE9" w:rsidR="005C7C78" w:rsidRDefault="005C7C78" w:rsidP="005C7C78">
            <w:pPr>
              <w:pStyle w:val="tbltext"/>
              <w:jc w:val="right"/>
            </w:pPr>
            <w:r>
              <w:t>$37</w:t>
            </w:r>
          </w:p>
        </w:tc>
        <w:tc>
          <w:tcPr>
            <w:tcW w:w="1559" w:type="dxa"/>
          </w:tcPr>
          <w:p w14:paraId="19D4BB50" w14:textId="51BCDF7F" w:rsidR="005C7C78" w:rsidRDefault="005C7C78" w:rsidP="005C7C78">
            <w:pPr>
              <w:pStyle w:val="tbltext"/>
              <w:jc w:val="right"/>
            </w:pPr>
            <w:r>
              <w:t>$0</w:t>
            </w:r>
          </w:p>
        </w:tc>
      </w:tr>
      <w:tr w:rsidR="005C7C78" w:rsidRPr="000540E1" w14:paraId="01DEA921" w14:textId="77777777" w:rsidTr="005C7C78">
        <w:trPr>
          <w:cantSplit/>
        </w:trPr>
        <w:tc>
          <w:tcPr>
            <w:tcW w:w="1418" w:type="dxa"/>
          </w:tcPr>
          <w:p w14:paraId="76D9F79F" w14:textId="560B1507" w:rsidR="005C7C78" w:rsidRDefault="005C7C78" w:rsidP="00B36555">
            <w:pPr>
              <w:pStyle w:val="tbltext"/>
            </w:pPr>
            <w:r>
              <w:t>P-FS70A</w:t>
            </w:r>
          </w:p>
        </w:tc>
        <w:tc>
          <w:tcPr>
            <w:tcW w:w="4536" w:type="dxa"/>
          </w:tcPr>
          <w:p w14:paraId="22FD8F44" w14:textId="2B482693" w:rsidR="005C7C78" w:rsidRDefault="005C7C78" w:rsidP="00B36555">
            <w:pPr>
              <w:pStyle w:val="tbltext"/>
            </w:pPr>
            <w:r>
              <w:t>Australian financial services licensee profit and loss statement and balance sheet - Body corporate</w:t>
            </w:r>
          </w:p>
        </w:tc>
        <w:tc>
          <w:tcPr>
            <w:tcW w:w="1559" w:type="dxa"/>
          </w:tcPr>
          <w:p w14:paraId="746DEAF5" w14:textId="55D6DCBC" w:rsidR="005C7C78" w:rsidRDefault="005C7C78" w:rsidP="005C7C78">
            <w:pPr>
              <w:pStyle w:val="tbltext"/>
              <w:jc w:val="right"/>
            </w:pPr>
            <w:r>
              <w:t>$563</w:t>
            </w:r>
          </w:p>
        </w:tc>
        <w:tc>
          <w:tcPr>
            <w:tcW w:w="1559" w:type="dxa"/>
          </w:tcPr>
          <w:p w14:paraId="37DBAF3E" w14:textId="2EDEEAB8" w:rsidR="005C7C78" w:rsidRDefault="005C7C78" w:rsidP="005C7C78">
            <w:pPr>
              <w:pStyle w:val="tbltext"/>
              <w:jc w:val="right"/>
            </w:pPr>
            <w:r>
              <w:t>$0</w:t>
            </w:r>
          </w:p>
        </w:tc>
      </w:tr>
      <w:tr w:rsidR="005C7C78" w:rsidRPr="000540E1" w14:paraId="2194537D" w14:textId="77777777" w:rsidTr="005C7C78">
        <w:trPr>
          <w:cantSplit/>
        </w:trPr>
        <w:tc>
          <w:tcPr>
            <w:tcW w:w="1418" w:type="dxa"/>
          </w:tcPr>
          <w:p w14:paraId="4D6F8987" w14:textId="525393DD" w:rsidR="005C7C78" w:rsidRDefault="005C7C78" w:rsidP="00B36555">
            <w:pPr>
              <w:pStyle w:val="tbltext"/>
            </w:pPr>
            <w:r>
              <w:t>P-FS70B</w:t>
            </w:r>
          </w:p>
        </w:tc>
        <w:tc>
          <w:tcPr>
            <w:tcW w:w="4536" w:type="dxa"/>
          </w:tcPr>
          <w:p w14:paraId="4AFBD65C" w14:textId="09FC9EFC" w:rsidR="005C7C78" w:rsidRDefault="005C7C78" w:rsidP="00B36555">
            <w:pPr>
              <w:pStyle w:val="tbltext"/>
            </w:pPr>
            <w:r>
              <w:t>Australian financial services licensee profit and loss statement and balance sheet - Natural person</w:t>
            </w:r>
          </w:p>
        </w:tc>
        <w:tc>
          <w:tcPr>
            <w:tcW w:w="1559" w:type="dxa"/>
          </w:tcPr>
          <w:p w14:paraId="3A5B6ADA" w14:textId="38DF6731" w:rsidR="005C7C78" w:rsidRDefault="005C7C78" w:rsidP="005C7C78">
            <w:pPr>
              <w:pStyle w:val="tbltext"/>
              <w:jc w:val="right"/>
            </w:pPr>
            <w:r>
              <w:t>$231</w:t>
            </w:r>
          </w:p>
        </w:tc>
        <w:tc>
          <w:tcPr>
            <w:tcW w:w="1559" w:type="dxa"/>
          </w:tcPr>
          <w:p w14:paraId="601F0875" w14:textId="6D868E2D" w:rsidR="005C7C78" w:rsidRDefault="005C7C78" w:rsidP="005C7C78">
            <w:pPr>
              <w:pStyle w:val="tbltext"/>
              <w:jc w:val="right"/>
            </w:pPr>
            <w:r>
              <w:t>$0</w:t>
            </w:r>
          </w:p>
        </w:tc>
      </w:tr>
      <w:tr w:rsidR="005C7C78" w:rsidRPr="000540E1" w14:paraId="1FBFBBAF" w14:textId="77777777" w:rsidTr="005C7C78">
        <w:trPr>
          <w:cantSplit/>
        </w:trPr>
        <w:tc>
          <w:tcPr>
            <w:tcW w:w="1418" w:type="dxa"/>
          </w:tcPr>
          <w:p w14:paraId="57515DAF" w14:textId="198FDAC7" w:rsidR="005C7C78" w:rsidRDefault="005C7C78" w:rsidP="00B36555">
            <w:pPr>
              <w:pStyle w:val="tbltext"/>
            </w:pPr>
            <w:r>
              <w:t>P-FS70C</w:t>
            </w:r>
          </w:p>
        </w:tc>
        <w:tc>
          <w:tcPr>
            <w:tcW w:w="4536" w:type="dxa"/>
          </w:tcPr>
          <w:p w14:paraId="6783D73E" w14:textId="3B6BEB42" w:rsidR="005C7C78" w:rsidRDefault="005C7C78" w:rsidP="00B36555">
            <w:pPr>
              <w:pStyle w:val="tbltext"/>
            </w:pPr>
            <w:r>
              <w:t>Australian financial services licensee profit and loss statement and balance sheet - Superfund trustee / Partnership</w:t>
            </w:r>
          </w:p>
        </w:tc>
        <w:tc>
          <w:tcPr>
            <w:tcW w:w="1559" w:type="dxa"/>
          </w:tcPr>
          <w:p w14:paraId="47E5491A" w14:textId="5E094A35" w:rsidR="005C7C78" w:rsidRDefault="005C7C78" w:rsidP="005C7C78">
            <w:pPr>
              <w:pStyle w:val="tbltext"/>
              <w:jc w:val="right"/>
            </w:pPr>
            <w:r>
              <w:t>$563</w:t>
            </w:r>
          </w:p>
        </w:tc>
        <w:tc>
          <w:tcPr>
            <w:tcW w:w="1559" w:type="dxa"/>
          </w:tcPr>
          <w:p w14:paraId="423253A5" w14:textId="2570C8D1" w:rsidR="005C7C78" w:rsidRDefault="005C7C78" w:rsidP="005C7C78">
            <w:pPr>
              <w:pStyle w:val="tbltext"/>
              <w:jc w:val="right"/>
            </w:pPr>
            <w:r>
              <w:t>$0</w:t>
            </w:r>
          </w:p>
        </w:tc>
      </w:tr>
      <w:tr w:rsidR="005C7C78" w:rsidRPr="000540E1" w14:paraId="15BAEAF2" w14:textId="77777777" w:rsidTr="005C7C78">
        <w:trPr>
          <w:cantSplit/>
        </w:trPr>
        <w:tc>
          <w:tcPr>
            <w:tcW w:w="1418" w:type="dxa"/>
          </w:tcPr>
          <w:p w14:paraId="3C2FC7A1" w14:textId="3ED3FA11" w:rsidR="005C7C78" w:rsidRDefault="005C7C78" w:rsidP="00B36555">
            <w:pPr>
              <w:pStyle w:val="tbltext"/>
            </w:pPr>
            <w:r>
              <w:t>P-FS70D</w:t>
            </w:r>
          </w:p>
        </w:tc>
        <w:tc>
          <w:tcPr>
            <w:tcW w:w="4536" w:type="dxa"/>
          </w:tcPr>
          <w:p w14:paraId="100A52E4" w14:textId="362D2848" w:rsidR="005C7C78" w:rsidRDefault="005C7C78" w:rsidP="00B36555">
            <w:pPr>
              <w:pStyle w:val="tbltext"/>
            </w:pPr>
            <w:r>
              <w:t>Australian financial services licensee profit and loss statement and balance sheet - Body corporate non-disclosing entity</w:t>
            </w:r>
          </w:p>
        </w:tc>
        <w:tc>
          <w:tcPr>
            <w:tcW w:w="1559" w:type="dxa"/>
          </w:tcPr>
          <w:p w14:paraId="771AC1C7" w14:textId="72D4D38A" w:rsidR="005C7C78" w:rsidRDefault="005C7C78" w:rsidP="005C7C78">
            <w:pPr>
              <w:pStyle w:val="tbltext"/>
              <w:jc w:val="right"/>
            </w:pPr>
            <w:r>
              <w:t>$563</w:t>
            </w:r>
          </w:p>
        </w:tc>
        <w:tc>
          <w:tcPr>
            <w:tcW w:w="1559" w:type="dxa"/>
          </w:tcPr>
          <w:p w14:paraId="5888DE09" w14:textId="69C43843" w:rsidR="005C7C78" w:rsidRDefault="005C7C78" w:rsidP="005C7C78">
            <w:pPr>
              <w:pStyle w:val="tbltext"/>
              <w:jc w:val="right"/>
            </w:pPr>
            <w:r>
              <w:t>$0</w:t>
            </w:r>
          </w:p>
        </w:tc>
      </w:tr>
      <w:tr w:rsidR="005C7C78" w:rsidRPr="000540E1" w14:paraId="00B8AAC9" w14:textId="77777777" w:rsidTr="005C7C78">
        <w:trPr>
          <w:cantSplit/>
        </w:trPr>
        <w:tc>
          <w:tcPr>
            <w:tcW w:w="1418" w:type="dxa"/>
          </w:tcPr>
          <w:p w14:paraId="244FA0BE" w14:textId="477CA1FB" w:rsidR="005C7C78" w:rsidRDefault="005C7C78" w:rsidP="00B36555">
            <w:pPr>
              <w:pStyle w:val="tbltext"/>
            </w:pPr>
            <w:r>
              <w:t>P-FS72</w:t>
            </w:r>
          </w:p>
        </w:tc>
        <w:tc>
          <w:tcPr>
            <w:tcW w:w="4536" w:type="dxa"/>
          </w:tcPr>
          <w:p w14:paraId="1DD66467" w14:textId="7D6F1BCF" w:rsidR="005C7C78" w:rsidRDefault="005C7C78" w:rsidP="00B36555">
            <w:pPr>
              <w:pStyle w:val="tbltext"/>
            </w:pPr>
            <w:r>
              <w:t>Application for extension of time to lodge annual accounts</w:t>
            </w:r>
          </w:p>
        </w:tc>
        <w:tc>
          <w:tcPr>
            <w:tcW w:w="1559" w:type="dxa"/>
          </w:tcPr>
          <w:p w14:paraId="44D692EB" w14:textId="27AF482B" w:rsidR="005C7C78" w:rsidRDefault="005C7C78" w:rsidP="005C7C78">
            <w:pPr>
              <w:pStyle w:val="tbltext"/>
              <w:jc w:val="right"/>
            </w:pPr>
            <w:r>
              <w:t>$37</w:t>
            </w:r>
          </w:p>
        </w:tc>
        <w:tc>
          <w:tcPr>
            <w:tcW w:w="1559" w:type="dxa"/>
          </w:tcPr>
          <w:p w14:paraId="76CF107E" w14:textId="0A706DB2" w:rsidR="005C7C78" w:rsidRDefault="005C7C78" w:rsidP="005C7C78">
            <w:pPr>
              <w:pStyle w:val="tbltext"/>
              <w:jc w:val="right"/>
            </w:pPr>
            <w:r>
              <w:t>$0</w:t>
            </w:r>
          </w:p>
        </w:tc>
      </w:tr>
      <w:tr w:rsidR="005C7C78" w:rsidRPr="000540E1" w14:paraId="28BD5D7F" w14:textId="77777777" w:rsidTr="005C7C78">
        <w:trPr>
          <w:cantSplit/>
        </w:trPr>
        <w:tc>
          <w:tcPr>
            <w:tcW w:w="1418" w:type="dxa"/>
          </w:tcPr>
          <w:p w14:paraId="1693ACC4" w14:textId="03B8AC1B" w:rsidR="005C7C78" w:rsidRDefault="005C7C78" w:rsidP="00B36555">
            <w:pPr>
              <w:pStyle w:val="tbltext"/>
            </w:pPr>
            <w:r>
              <w:t>P-FS88</w:t>
            </w:r>
          </w:p>
        </w:tc>
        <w:tc>
          <w:tcPr>
            <w:tcW w:w="4536" w:type="dxa"/>
          </w:tcPr>
          <w:p w14:paraId="3A578BE8" w14:textId="2A8AC33F" w:rsidR="005C7C78" w:rsidRDefault="005C7C78" w:rsidP="00B36555">
            <w:pPr>
              <w:pStyle w:val="tbltext"/>
            </w:pPr>
            <w:r>
              <w:t>PDS in-use notice</w:t>
            </w:r>
          </w:p>
        </w:tc>
        <w:tc>
          <w:tcPr>
            <w:tcW w:w="1559" w:type="dxa"/>
          </w:tcPr>
          <w:p w14:paraId="4B9F1FAB" w14:textId="162CF180" w:rsidR="005C7C78" w:rsidRDefault="005C7C78" w:rsidP="005C7C78">
            <w:pPr>
              <w:pStyle w:val="tbltext"/>
              <w:jc w:val="right"/>
            </w:pPr>
            <w:r>
              <w:t>$37</w:t>
            </w:r>
          </w:p>
        </w:tc>
        <w:tc>
          <w:tcPr>
            <w:tcW w:w="1559" w:type="dxa"/>
          </w:tcPr>
          <w:p w14:paraId="328EBB8A" w14:textId="553978F1" w:rsidR="005C7C78" w:rsidRDefault="005C7C78" w:rsidP="005C7C78">
            <w:pPr>
              <w:pStyle w:val="tbltext"/>
              <w:jc w:val="right"/>
            </w:pPr>
            <w:r>
              <w:t>$0</w:t>
            </w:r>
          </w:p>
        </w:tc>
      </w:tr>
      <w:tr w:rsidR="005C7C78" w:rsidRPr="000540E1" w14:paraId="2D8193F7" w14:textId="77777777" w:rsidTr="005C7C78">
        <w:trPr>
          <w:cantSplit/>
        </w:trPr>
        <w:tc>
          <w:tcPr>
            <w:tcW w:w="1418" w:type="dxa"/>
          </w:tcPr>
          <w:p w14:paraId="5ACBCD8C" w14:textId="5F1636C8" w:rsidR="005C7C78" w:rsidRDefault="005C7C78" w:rsidP="00B36555">
            <w:pPr>
              <w:pStyle w:val="tbltext"/>
            </w:pPr>
            <w:r>
              <w:t>P-FT10</w:t>
            </w:r>
          </w:p>
        </w:tc>
        <w:tc>
          <w:tcPr>
            <w:tcW w:w="4536" w:type="dxa"/>
          </w:tcPr>
          <w:p w14:paraId="57995920" w14:textId="287102B5" w:rsidR="005C7C78" w:rsidRDefault="005C7C78" w:rsidP="00B36555">
            <w:pPr>
              <w:pStyle w:val="tbltext"/>
            </w:pPr>
            <w:r>
              <w:t>Application for extension of time to provide copy of register of members</w:t>
            </w:r>
          </w:p>
        </w:tc>
        <w:tc>
          <w:tcPr>
            <w:tcW w:w="1559" w:type="dxa"/>
          </w:tcPr>
          <w:p w14:paraId="30FCFA04" w14:textId="18E18D4B" w:rsidR="005C7C78" w:rsidRDefault="005C7C78" w:rsidP="005C7C78">
            <w:pPr>
              <w:pStyle w:val="tbltext"/>
              <w:jc w:val="right"/>
            </w:pPr>
            <w:r>
              <w:t>$37</w:t>
            </w:r>
          </w:p>
        </w:tc>
        <w:tc>
          <w:tcPr>
            <w:tcW w:w="1559" w:type="dxa"/>
          </w:tcPr>
          <w:p w14:paraId="741039AD" w14:textId="1FF644A0" w:rsidR="005C7C78" w:rsidRDefault="005C7C78" w:rsidP="005C7C78">
            <w:pPr>
              <w:pStyle w:val="tbltext"/>
              <w:jc w:val="right"/>
            </w:pPr>
            <w:r>
              <w:t>$0</w:t>
            </w:r>
          </w:p>
        </w:tc>
      </w:tr>
      <w:tr w:rsidR="005C7C78" w:rsidRPr="000540E1" w14:paraId="6EE098D8" w14:textId="77777777" w:rsidTr="005C7C78">
        <w:trPr>
          <w:cantSplit/>
        </w:trPr>
        <w:tc>
          <w:tcPr>
            <w:tcW w:w="1418" w:type="dxa"/>
          </w:tcPr>
          <w:p w14:paraId="5156FB46" w14:textId="39548BE2" w:rsidR="005C7C78" w:rsidRDefault="005C7C78" w:rsidP="00B36555">
            <w:pPr>
              <w:pStyle w:val="tbltext"/>
            </w:pPr>
            <w:r>
              <w:t>P-M06</w:t>
            </w:r>
          </w:p>
        </w:tc>
        <w:tc>
          <w:tcPr>
            <w:tcW w:w="4536" w:type="dxa"/>
          </w:tcPr>
          <w:p w14:paraId="10F28E5D" w14:textId="1281A3C9" w:rsidR="005C7C78" w:rsidRDefault="005C7C78" w:rsidP="00B36555">
            <w:pPr>
              <w:pStyle w:val="tbltext"/>
            </w:pPr>
            <w:r>
              <w:t>Report and financial statements under s892H(6)</w:t>
            </w:r>
          </w:p>
        </w:tc>
        <w:tc>
          <w:tcPr>
            <w:tcW w:w="1559" w:type="dxa"/>
          </w:tcPr>
          <w:p w14:paraId="444C48C5" w14:textId="45B36173" w:rsidR="005C7C78" w:rsidRDefault="005C7C78" w:rsidP="005C7C78">
            <w:pPr>
              <w:pStyle w:val="tbltext"/>
              <w:jc w:val="right"/>
            </w:pPr>
            <w:r>
              <w:t>$366</w:t>
            </w:r>
          </w:p>
        </w:tc>
        <w:tc>
          <w:tcPr>
            <w:tcW w:w="1559" w:type="dxa"/>
          </w:tcPr>
          <w:p w14:paraId="3D90963E" w14:textId="0DAE62E1" w:rsidR="005C7C78" w:rsidRDefault="005C7C78" w:rsidP="005C7C78">
            <w:pPr>
              <w:pStyle w:val="tbltext"/>
              <w:jc w:val="right"/>
            </w:pPr>
            <w:r>
              <w:t>$0</w:t>
            </w:r>
          </w:p>
        </w:tc>
      </w:tr>
      <w:tr w:rsidR="005C7C78" w:rsidRPr="000540E1" w14:paraId="18FFE800" w14:textId="77777777" w:rsidTr="005C7C78">
        <w:trPr>
          <w:cantSplit/>
        </w:trPr>
        <w:tc>
          <w:tcPr>
            <w:tcW w:w="1418" w:type="dxa"/>
          </w:tcPr>
          <w:p w14:paraId="7154F714" w14:textId="2C7416FA" w:rsidR="005C7C78" w:rsidRDefault="005C7C78" w:rsidP="00B36555">
            <w:pPr>
              <w:pStyle w:val="tbltext"/>
            </w:pPr>
            <w:r>
              <w:t>P-M13</w:t>
            </w:r>
          </w:p>
        </w:tc>
        <w:tc>
          <w:tcPr>
            <w:tcW w:w="4536" w:type="dxa"/>
          </w:tcPr>
          <w:p w14:paraId="6397ABB5" w14:textId="12751B2E" w:rsidR="005C7C78" w:rsidRDefault="005C7C78" w:rsidP="00B36555">
            <w:pPr>
              <w:pStyle w:val="tbltext"/>
            </w:pPr>
            <w:r>
              <w:t>Australian markets licensee annual report to ASIC under s792F(1)</w:t>
            </w:r>
          </w:p>
        </w:tc>
        <w:tc>
          <w:tcPr>
            <w:tcW w:w="1559" w:type="dxa"/>
          </w:tcPr>
          <w:p w14:paraId="4CA318BE" w14:textId="76140D01" w:rsidR="005C7C78" w:rsidRDefault="005C7C78" w:rsidP="005C7C78">
            <w:pPr>
              <w:pStyle w:val="tbltext"/>
              <w:jc w:val="right"/>
            </w:pPr>
            <w:r>
              <w:t>$366</w:t>
            </w:r>
          </w:p>
        </w:tc>
        <w:tc>
          <w:tcPr>
            <w:tcW w:w="1559" w:type="dxa"/>
          </w:tcPr>
          <w:p w14:paraId="27F910A2" w14:textId="7A43D333" w:rsidR="005C7C78" w:rsidRDefault="005C7C78" w:rsidP="005C7C78">
            <w:pPr>
              <w:pStyle w:val="tbltext"/>
              <w:jc w:val="right"/>
            </w:pPr>
            <w:r>
              <w:t>$0</w:t>
            </w:r>
          </w:p>
        </w:tc>
      </w:tr>
      <w:tr w:rsidR="005C7C78" w:rsidRPr="000540E1" w14:paraId="044EF4A2" w14:textId="77777777" w:rsidTr="005C7C78">
        <w:trPr>
          <w:cantSplit/>
        </w:trPr>
        <w:tc>
          <w:tcPr>
            <w:tcW w:w="1418" w:type="dxa"/>
          </w:tcPr>
          <w:p w14:paraId="62F2277C" w14:textId="640B9748" w:rsidR="005C7C78" w:rsidRDefault="005C7C78" w:rsidP="00B36555">
            <w:pPr>
              <w:pStyle w:val="tbltext"/>
            </w:pPr>
            <w:r>
              <w:t>P-M29</w:t>
            </w:r>
          </w:p>
        </w:tc>
        <w:tc>
          <w:tcPr>
            <w:tcW w:w="4536" w:type="dxa"/>
          </w:tcPr>
          <w:p w14:paraId="7EE199BC" w14:textId="31A0804A" w:rsidR="005C7C78" w:rsidRDefault="005C7C78" w:rsidP="00B36555">
            <w:pPr>
              <w:pStyle w:val="tbltext"/>
            </w:pPr>
            <w:r>
              <w:t>Australian clearing and settlements licensee annual report to ASIC under s821E(1)</w:t>
            </w:r>
          </w:p>
        </w:tc>
        <w:tc>
          <w:tcPr>
            <w:tcW w:w="1559" w:type="dxa"/>
          </w:tcPr>
          <w:p w14:paraId="2FD3AB66" w14:textId="170A44B0" w:rsidR="005C7C78" w:rsidRDefault="005C7C78" w:rsidP="005C7C78">
            <w:pPr>
              <w:pStyle w:val="tbltext"/>
              <w:jc w:val="right"/>
            </w:pPr>
            <w:r>
              <w:t>$366</w:t>
            </w:r>
          </w:p>
        </w:tc>
        <w:tc>
          <w:tcPr>
            <w:tcW w:w="1559" w:type="dxa"/>
          </w:tcPr>
          <w:p w14:paraId="66632352" w14:textId="7FF9E2D5" w:rsidR="005C7C78" w:rsidRDefault="005C7C78" w:rsidP="005C7C78">
            <w:pPr>
              <w:pStyle w:val="tbltext"/>
              <w:jc w:val="right"/>
            </w:pPr>
            <w:r>
              <w:t>$0</w:t>
            </w:r>
          </w:p>
        </w:tc>
      </w:tr>
      <w:tr w:rsidR="005C7C78" w:rsidRPr="000540E1" w14:paraId="03B36F02" w14:textId="77777777" w:rsidTr="005C7C78">
        <w:trPr>
          <w:cantSplit/>
        </w:trPr>
        <w:tc>
          <w:tcPr>
            <w:tcW w:w="1418" w:type="dxa"/>
          </w:tcPr>
          <w:p w14:paraId="5FEEA790" w14:textId="15B648B7" w:rsidR="005C7C78" w:rsidRDefault="005C7C78" w:rsidP="00B36555">
            <w:pPr>
              <w:pStyle w:val="tbltext"/>
            </w:pPr>
            <w:r>
              <w:t>P-338</w:t>
            </w:r>
          </w:p>
        </w:tc>
        <w:tc>
          <w:tcPr>
            <w:tcW w:w="4536" w:type="dxa"/>
          </w:tcPr>
          <w:p w14:paraId="619F2FEE" w14:textId="756662C8" w:rsidR="005C7C78" w:rsidRDefault="005C7C78" w:rsidP="00B36555">
            <w:pPr>
              <w:pStyle w:val="tbltext"/>
            </w:pPr>
            <w:r>
              <w:t>Application for approval of unregistered auditor of proprietary company</w:t>
            </w:r>
          </w:p>
        </w:tc>
        <w:tc>
          <w:tcPr>
            <w:tcW w:w="1559" w:type="dxa"/>
          </w:tcPr>
          <w:p w14:paraId="32FE9787" w14:textId="30800FD9" w:rsidR="005C7C78" w:rsidRDefault="005C7C78" w:rsidP="005C7C78">
            <w:pPr>
              <w:pStyle w:val="tbltext"/>
              <w:jc w:val="right"/>
            </w:pPr>
            <w:r>
              <w:t>$37</w:t>
            </w:r>
          </w:p>
        </w:tc>
        <w:tc>
          <w:tcPr>
            <w:tcW w:w="1559" w:type="dxa"/>
          </w:tcPr>
          <w:p w14:paraId="6C07D641" w14:textId="3BECC515" w:rsidR="005C7C78" w:rsidRDefault="005C7C78" w:rsidP="005C7C78">
            <w:pPr>
              <w:pStyle w:val="tbltext"/>
              <w:jc w:val="right"/>
            </w:pPr>
            <w:r>
              <w:t>$0</w:t>
            </w:r>
          </w:p>
        </w:tc>
      </w:tr>
      <w:tr w:rsidR="005C7C78" w:rsidRPr="000540E1" w14:paraId="7B940281" w14:textId="77777777" w:rsidTr="005C7C78">
        <w:trPr>
          <w:cantSplit/>
        </w:trPr>
        <w:tc>
          <w:tcPr>
            <w:tcW w:w="1418" w:type="dxa"/>
          </w:tcPr>
          <w:p w14:paraId="05AC953F" w14:textId="78311A4D" w:rsidR="005C7C78" w:rsidRDefault="005C7C78" w:rsidP="00B36555">
            <w:pPr>
              <w:pStyle w:val="tbltext"/>
            </w:pPr>
            <w:r>
              <w:t>P-5116</w:t>
            </w:r>
          </w:p>
        </w:tc>
        <w:tc>
          <w:tcPr>
            <w:tcW w:w="4536" w:type="dxa"/>
          </w:tcPr>
          <w:p w14:paraId="48E652B3" w14:textId="73E892EE" w:rsidR="005C7C78" w:rsidRDefault="005C7C78" w:rsidP="00B36555">
            <w:pPr>
              <w:pStyle w:val="tbltext"/>
            </w:pPr>
            <w:r>
              <w:t>Notice of withdrawal offer regarding registered scheme</w:t>
            </w:r>
          </w:p>
        </w:tc>
        <w:tc>
          <w:tcPr>
            <w:tcW w:w="1559" w:type="dxa"/>
          </w:tcPr>
          <w:p w14:paraId="46FF7B70" w14:textId="05519AE3" w:rsidR="005C7C78" w:rsidRDefault="005C7C78" w:rsidP="005C7C78">
            <w:pPr>
              <w:pStyle w:val="tbltext"/>
              <w:jc w:val="right"/>
            </w:pPr>
            <w:r>
              <w:t>$37</w:t>
            </w:r>
          </w:p>
        </w:tc>
        <w:tc>
          <w:tcPr>
            <w:tcW w:w="1559" w:type="dxa"/>
          </w:tcPr>
          <w:p w14:paraId="522F4C6E" w14:textId="26AFAB4B" w:rsidR="005C7C78" w:rsidRDefault="005C7C78" w:rsidP="005C7C78">
            <w:pPr>
              <w:pStyle w:val="tbltext"/>
              <w:jc w:val="right"/>
            </w:pPr>
            <w:r>
              <w:t>$0</w:t>
            </w:r>
          </w:p>
        </w:tc>
      </w:tr>
      <w:tr w:rsidR="005C7C78" w:rsidRPr="000540E1" w14:paraId="20B62A03" w14:textId="77777777" w:rsidTr="005C7C78">
        <w:trPr>
          <w:cantSplit/>
        </w:trPr>
        <w:tc>
          <w:tcPr>
            <w:tcW w:w="1418" w:type="dxa"/>
          </w:tcPr>
          <w:p w14:paraId="2E3DBF48" w14:textId="07767502" w:rsidR="005C7C78" w:rsidRDefault="005C7C78" w:rsidP="00B36555">
            <w:pPr>
              <w:pStyle w:val="tbltext"/>
            </w:pPr>
            <w:r>
              <w:t>P-5131</w:t>
            </w:r>
          </w:p>
        </w:tc>
        <w:tc>
          <w:tcPr>
            <w:tcW w:w="4536" w:type="dxa"/>
          </w:tcPr>
          <w:p w14:paraId="11E0025A" w14:textId="3C59B377" w:rsidR="005C7C78" w:rsidRDefault="005C7C78" w:rsidP="00B36555">
            <w:pPr>
              <w:pStyle w:val="tbltext"/>
            </w:pPr>
            <w:r>
              <w:t>Application for appointment of scheme auditor by member of a registered scheme</w:t>
            </w:r>
          </w:p>
        </w:tc>
        <w:tc>
          <w:tcPr>
            <w:tcW w:w="1559" w:type="dxa"/>
          </w:tcPr>
          <w:p w14:paraId="59C6FE53" w14:textId="3C4B11E5" w:rsidR="005C7C78" w:rsidRDefault="005C7C78" w:rsidP="005C7C78">
            <w:pPr>
              <w:pStyle w:val="tbltext"/>
              <w:jc w:val="right"/>
            </w:pPr>
            <w:r>
              <w:t>$37</w:t>
            </w:r>
          </w:p>
        </w:tc>
        <w:tc>
          <w:tcPr>
            <w:tcW w:w="1559" w:type="dxa"/>
          </w:tcPr>
          <w:p w14:paraId="4217A8DE" w14:textId="26FA5A21" w:rsidR="005C7C78" w:rsidRDefault="005C7C78" w:rsidP="005C7C78">
            <w:pPr>
              <w:pStyle w:val="tbltext"/>
              <w:jc w:val="right"/>
            </w:pPr>
            <w:r>
              <w:t>$0</w:t>
            </w:r>
          </w:p>
        </w:tc>
      </w:tr>
      <w:tr w:rsidR="005C7C78" w:rsidRPr="000540E1" w14:paraId="15871266" w14:textId="77777777" w:rsidTr="005C7C78">
        <w:trPr>
          <w:cantSplit/>
        </w:trPr>
        <w:tc>
          <w:tcPr>
            <w:tcW w:w="1418" w:type="dxa"/>
          </w:tcPr>
          <w:p w14:paraId="10A2A1B7" w14:textId="79D98853" w:rsidR="005C7C78" w:rsidRDefault="005C7C78" w:rsidP="00B36555">
            <w:pPr>
              <w:pStyle w:val="tbltext"/>
            </w:pPr>
            <w:r>
              <w:t>P-5138</w:t>
            </w:r>
          </w:p>
        </w:tc>
        <w:tc>
          <w:tcPr>
            <w:tcW w:w="4536" w:type="dxa"/>
          </w:tcPr>
          <w:p w14:paraId="4A22A80C" w14:textId="5846B193" w:rsidR="005C7C78" w:rsidRDefault="005C7C78" w:rsidP="00B36555">
            <w:pPr>
              <w:pStyle w:val="tbltext"/>
            </w:pPr>
            <w:r>
              <w:t>Notification of commencement or completion of winding up of a registered scheme</w:t>
            </w:r>
          </w:p>
        </w:tc>
        <w:tc>
          <w:tcPr>
            <w:tcW w:w="1559" w:type="dxa"/>
          </w:tcPr>
          <w:p w14:paraId="2E95A189" w14:textId="6D6078F4" w:rsidR="005C7C78" w:rsidRDefault="005C7C78" w:rsidP="005C7C78">
            <w:pPr>
              <w:pStyle w:val="tbltext"/>
              <w:jc w:val="right"/>
            </w:pPr>
            <w:r>
              <w:t>$37</w:t>
            </w:r>
          </w:p>
        </w:tc>
        <w:tc>
          <w:tcPr>
            <w:tcW w:w="1559" w:type="dxa"/>
          </w:tcPr>
          <w:p w14:paraId="3D62E20E" w14:textId="290D2818" w:rsidR="005C7C78" w:rsidRDefault="005C7C78" w:rsidP="005C7C78">
            <w:pPr>
              <w:pStyle w:val="tbltext"/>
              <w:jc w:val="right"/>
            </w:pPr>
            <w:r>
              <w:t>$0</w:t>
            </w:r>
          </w:p>
        </w:tc>
      </w:tr>
      <w:tr w:rsidR="005C7C78" w:rsidRPr="000540E1" w14:paraId="27A8F07E" w14:textId="77777777" w:rsidTr="005C7C78">
        <w:trPr>
          <w:cantSplit/>
        </w:trPr>
        <w:tc>
          <w:tcPr>
            <w:tcW w:w="1418" w:type="dxa"/>
          </w:tcPr>
          <w:p w14:paraId="2C8FA6AB" w14:textId="171EE8C5" w:rsidR="005C7C78" w:rsidRDefault="005C7C78" w:rsidP="00B36555">
            <w:pPr>
              <w:pStyle w:val="tbltext"/>
            </w:pPr>
            <w:r>
              <w:t>P-5140</w:t>
            </w:r>
          </w:p>
        </w:tc>
        <w:tc>
          <w:tcPr>
            <w:tcW w:w="4536" w:type="dxa"/>
          </w:tcPr>
          <w:p w14:paraId="1DF9AF3C" w14:textId="2B1729F9" w:rsidR="005C7C78" w:rsidRDefault="005C7C78" w:rsidP="00B36555">
            <w:pPr>
              <w:pStyle w:val="tbltext"/>
            </w:pPr>
            <w:r>
              <w:t>Notification of proposed change of name of registered scheme</w:t>
            </w:r>
          </w:p>
        </w:tc>
        <w:tc>
          <w:tcPr>
            <w:tcW w:w="1559" w:type="dxa"/>
          </w:tcPr>
          <w:p w14:paraId="0EC464B8" w14:textId="78C7F981" w:rsidR="005C7C78" w:rsidRDefault="005C7C78" w:rsidP="005C7C78">
            <w:pPr>
              <w:pStyle w:val="tbltext"/>
              <w:jc w:val="right"/>
            </w:pPr>
            <w:r>
              <w:t>$37</w:t>
            </w:r>
          </w:p>
        </w:tc>
        <w:tc>
          <w:tcPr>
            <w:tcW w:w="1559" w:type="dxa"/>
          </w:tcPr>
          <w:p w14:paraId="1F58AB1B" w14:textId="2ABBD36F" w:rsidR="005C7C78" w:rsidRDefault="005C7C78" w:rsidP="005C7C78">
            <w:pPr>
              <w:pStyle w:val="tbltext"/>
              <w:jc w:val="right"/>
            </w:pPr>
            <w:r>
              <w:t>$0</w:t>
            </w:r>
          </w:p>
        </w:tc>
      </w:tr>
      <w:tr w:rsidR="005C7C78" w:rsidRPr="000540E1" w14:paraId="3D331C51" w14:textId="77777777" w:rsidTr="005C7C78">
        <w:trPr>
          <w:cantSplit/>
        </w:trPr>
        <w:tc>
          <w:tcPr>
            <w:tcW w:w="1418" w:type="dxa"/>
          </w:tcPr>
          <w:p w14:paraId="3C8B72E9" w14:textId="745E282B" w:rsidR="005C7C78" w:rsidRDefault="005C7C78" w:rsidP="00B36555">
            <w:pPr>
              <w:pStyle w:val="tbltext"/>
            </w:pPr>
            <w:r>
              <w:t>P-593</w:t>
            </w:r>
          </w:p>
        </w:tc>
        <w:tc>
          <w:tcPr>
            <w:tcW w:w="4536" w:type="dxa"/>
          </w:tcPr>
          <w:p w14:paraId="4CC42BA3" w14:textId="1A1B3081" w:rsidR="005C7C78" w:rsidRDefault="005C7C78" w:rsidP="00B36555">
            <w:pPr>
              <w:pStyle w:val="tbltext"/>
            </w:pPr>
            <w:r>
              <w:t>Application for extension of time to provide notice of hearing for a scheme</w:t>
            </w:r>
          </w:p>
        </w:tc>
        <w:tc>
          <w:tcPr>
            <w:tcW w:w="1559" w:type="dxa"/>
          </w:tcPr>
          <w:p w14:paraId="1CCAE1A3" w14:textId="69E9825F" w:rsidR="005C7C78" w:rsidRDefault="005C7C78" w:rsidP="005C7C78">
            <w:pPr>
              <w:pStyle w:val="tbltext"/>
              <w:jc w:val="right"/>
            </w:pPr>
            <w:r>
              <w:t>$37</w:t>
            </w:r>
          </w:p>
        </w:tc>
        <w:tc>
          <w:tcPr>
            <w:tcW w:w="1559" w:type="dxa"/>
          </w:tcPr>
          <w:p w14:paraId="2E3EE064" w14:textId="3E3B6B7A" w:rsidR="005C7C78" w:rsidRDefault="005C7C78" w:rsidP="005C7C78">
            <w:pPr>
              <w:pStyle w:val="tbltext"/>
              <w:jc w:val="right"/>
            </w:pPr>
            <w:r>
              <w:t>$0</w:t>
            </w:r>
          </w:p>
        </w:tc>
      </w:tr>
      <w:tr w:rsidR="005C7C78" w:rsidRPr="000540E1" w14:paraId="2C2BBFA8" w14:textId="77777777" w:rsidTr="005C7C78">
        <w:trPr>
          <w:cantSplit/>
        </w:trPr>
        <w:tc>
          <w:tcPr>
            <w:tcW w:w="1418" w:type="dxa"/>
          </w:tcPr>
          <w:p w14:paraId="4BF68417" w14:textId="5B37F028" w:rsidR="005C7C78" w:rsidRDefault="005C7C78" w:rsidP="00B36555">
            <w:pPr>
              <w:pStyle w:val="tbltext"/>
            </w:pPr>
            <w:r>
              <w:t>P-6010A</w:t>
            </w:r>
          </w:p>
        </w:tc>
        <w:tc>
          <w:tcPr>
            <w:tcW w:w="4536" w:type="dxa"/>
          </w:tcPr>
          <w:p w14:paraId="4B364D28" w14:textId="20207CD6" w:rsidR="005C7C78" w:rsidRDefault="005C7C78" w:rsidP="00B36555">
            <w:pPr>
              <w:pStyle w:val="tbltext"/>
            </w:pPr>
            <w:r>
              <w:t>Application for voluntary deregistration of a managed investment scheme</w:t>
            </w:r>
          </w:p>
        </w:tc>
        <w:tc>
          <w:tcPr>
            <w:tcW w:w="1559" w:type="dxa"/>
          </w:tcPr>
          <w:p w14:paraId="7D3AD976" w14:textId="0896EF8E" w:rsidR="005C7C78" w:rsidRDefault="005C7C78" w:rsidP="005C7C78">
            <w:pPr>
              <w:pStyle w:val="tbltext"/>
              <w:jc w:val="right"/>
            </w:pPr>
            <w:r>
              <w:t>$37</w:t>
            </w:r>
          </w:p>
        </w:tc>
        <w:tc>
          <w:tcPr>
            <w:tcW w:w="1559" w:type="dxa"/>
          </w:tcPr>
          <w:p w14:paraId="55B56D37" w14:textId="2170D1F6" w:rsidR="005C7C78" w:rsidRDefault="005C7C78" w:rsidP="005C7C78">
            <w:pPr>
              <w:pStyle w:val="tbltext"/>
              <w:jc w:val="right"/>
            </w:pPr>
            <w:r>
              <w:t>$0</w:t>
            </w:r>
          </w:p>
        </w:tc>
      </w:tr>
      <w:tr w:rsidR="005C7C78" w:rsidRPr="000540E1" w14:paraId="785A6F51" w14:textId="77777777" w:rsidTr="005C7C78">
        <w:trPr>
          <w:cantSplit/>
        </w:trPr>
        <w:tc>
          <w:tcPr>
            <w:tcW w:w="1418" w:type="dxa"/>
          </w:tcPr>
          <w:p w14:paraId="50877A6A" w14:textId="406D7B59" w:rsidR="005C7C78" w:rsidRDefault="005C7C78" w:rsidP="00B36555">
            <w:pPr>
              <w:pStyle w:val="tbltext"/>
            </w:pPr>
            <w:r>
              <w:t>P-7079</w:t>
            </w:r>
          </w:p>
        </w:tc>
        <w:tc>
          <w:tcPr>
            <w:tcW w:w="4536" w:type="dxa"/>
          </w:tcPr>
          <w:p w14:paraId="787009EC" w14:textId="1961EB85" w:rsidR="005C7C78" w:rsidRDefault="005C7C78" w:rsidP="00B36555">
            <w:pPr>
              <w:pStyle w:val="tbltext"/>
            </w:pPr>
            <w:r>
              <w:t>Supplementary or replacement identification statement</w:t>
            </w:r>
          </w:p>
        </w:tc>
        <w:tc>
          <w:tcPr>
            <w:tcW w:w="1559" w:type="dxa"/>
          </w:tcPr>
          <w:p w14:paraId="7D39A5A1" w14:textId="003386C3" w:rsidR="005C7C78" w:rsidRDefault="005C7C78" w:rsidP="005C7C78">
            <w:pPr>
              <w:pStyle w:val="tbltext"/>
              <w:jc w:val="right"/>
            </w:pPr>
            <w:r>
              <w:t>$37</w:t>
            </w:r>
          </w:p>
        </w:tc>
        <w:tc>
          <w:tcPr>
            <w:tcW w:w="1559" w:type="dxa"/>
          </w:tcPr>
          <w:p w14:paraId="27941E48" w14:textId="53C5A9C0" w:rsidR="005C7C78" w:rsidRDefault="005C7C78" w:rsidP="005C7C78">
            <w:pPr>
              <w:pStyle w:val="tbltext"/>
              <w:jc w:val="right"/>
            </w:pPr>
            <w:r>
              <w:t>$0</w:t>
            </w:r>
          </w:p>
        </w:tc>
      </w:tr>
      <w:tr w:rsidR="005C7C78" w:rsidRPr="000540E1" w14:paraId="5FC32B3D" w14:textId="77777777" w:rsidTr="005C7C78">
        <w:trPr>
          <w:cantSplit/>
        </w:trPr>
        <w:tc>
          <w:tcPr>
            <w:tcW w:w="1418" w:type="dxa"/>
          </w:tcPr>
          <w:p w14:paraId="39697B29" w14:textId="5D5EAD42" w:rsidR="005C7C78" w:rsidRDefault="005C7C78" w:rsidP="00B36555">
            <w:pPr>
              <w:pStyle w:val="tbltext"/>
            </w:pPr>
            <w:r>
              <w:t>P-905A</w:t>
            </w:r>
          </w:p>
        </w:tc>
        <w:tc>
          <w:tcPr>
            <w:tcW w:w="4536" w:type="dxa"/>
          </w:tcPr>
          <w:p w14:paraId="1EA6B7B4" w14:textId="5C95159F" w:rsidR="005C7C78" w:rsidRDefault="005C7C78" w:rsidP="00B36555">
            <w:pPr>
              <w:pStyle w:val="tbltext"/>
            </w:pPr>
            <w:r>
              <w:t>Notification of ceasing to act or change to details of a liquidator</w:t>
            </w:r>
          </w:p>
        </w:tc>
        <w:tc>
          <w:tcPr>
            <w:tcW w:w="1559" w:type="dxa"/>
          </w:tcPr>
          <w:p w14:paraId="7CE225C4" w14:textId="610E0C75" w:rsidR="005C7C78" w:rsidRDefault="005C7C78" w:rsidP="005C7C78">
            <w:pPr>
              <w:pStyle w:val="tbltext"/>
              <w:jc w:val="right"/>
            </w:pPr>
            <w:r>
              <w:t>$37</w:t>
            </w:r>
          </w:p>
        </w:tc>
        <w:tc>
          <w:tcPr>
            <w:tcW w:w="1559" w:type="dxa"/>
          </w:tcPr>
          <w:p w14:paraId="0ACFC4F2" w14:textId="7300C755" w:rsidR="005C7C78" w:rsidRDefault="005C7C78" w:rsidP="005C7C78">
            <w:pPr>
              <w:pStyle w:val="tbltext"/>
              <w:jc w:val="right"/>
            </w:pPr>
            <w:r>
              <w:t>$0</w:t>
            </w:r>
          </w:p>
        </w:tc>
      </w:tr>
      <w:tr w:rsidR="005C7C78" w:rsidRPr="000540E1" w14:paraId="56D950D7" w14:textId="77777777" w:rsidTr="005C7C78">
        <w:trPr>
          <w:cantSplit/>
        </w:trPr>
        <w:tc>
          <w:tcPr>
            <w:tcW w:w="1418" w:type="dxa"/>
          </w:tcPr>
          <w:p w14:paraId="5DEE04B3" w14:textId="69FF222B" w:rsidR="005C7C78" w:rsidRDefault="005C7C78" w:rsidP="00B36555">
            <w:pPr>
              <w:pStyle w:val="tbltext"/>
            </w:pPr>
            <w:r>
              <w:t>P-905B</w:t>
            </w:r>
          </w:p>
        </w:tc>
        <w:tc>
          <w:tcPr>
            <w:tcW w:w="4536" w:type="dxa"/>
          </w:tcPr>
          <w:p w14:paraId="0F373EC4" w14:textId="5E6B5977" w:rsidR="005C7C78" w:rsidRDefault="005C7C78" w:rsidP="00B36555">
            <w:pPr>
              <w:pStyle w:val="tbltext"/>
            </w:pPr>
            <w:r>
              <w:t>Notification of ceasing to practise as or change to details of an auditor</w:t>
            </w:r>
          </w:p>
        </w:tc>
        <w:tc>
          <w:tcPr>
            <w:tcW w:w="1559" w:type="dxa"/>
          </w:tcPr>
          <w:p w14:paraId="556FA2B8" w14:textId="7FEBF81E" w:rsidR="005C7C78" w:rsidRDefault="005C7C78" w:rsidP="005C7C78">
            <w:pPr>
              <w:pStyle w:val="tbltext"/>
              <w:jc w:val="right"/>
            </w:pPr>
            <w:r>
              <w:t>$37</w:t>
            </w:r>
          </w:p>
        </w:tc>
        <w:tc>
          <w:tcPr>
            <w:tcW w:w="1559" w:type="dxa"/>
          </w:tcPr>
          <w:p w14:paraId="36C24B8E" w14:textId="1A9A9ADA" w:rsidR="005C7C78" w:rsidRDefault="005C7C78" w:rsidP="005C7C78">
            <w:pPr>
              <w:pStyle w:val="tbltext"/>
              <w:jc w:val="right"/>
            </w:pPr>
            <w:r>
              <w:t>$0</w:t>
            </w:r>
          </w:p>
        </w:tc>
      </w:tr>
      <w:tr w:rsidR="005C7C78" w:rsidRPr="000540E1" w14:paraId="2452FD45" w14:textId="77777777" w:rsidTr="005C7C78">
        <w:trPr>
          <w:cantSplit/>
        </w:trPr>
        <w:tc>
          <w:tcPr>
            <w:tcW w:w="1418" w:type="dxa"/>
          </w:tcPr>
          <w:p w14:paraId="392AE2C4" w14:textId="1ECAF81D" w:rsidR="005C7C78" w:rsidRDefault="005C7C78" w:rsidP="00B36555">
            <w:pPr>
              <w:pStyle w:val="tbltext"/>
            </w:pPr>
            <w:r>
              <w:t>P-905D</w:t>
            </w:r>
          </w:p>
        </w:tc>
        <w:tc>
          <w:tcPr>
            <w:tcW w:w="4536" w:type="dxa"/>
          </w:tcPr>
          <w:p w14:paraId="3D4A3958" w14:textId="575408DD" w:rsidR="005C7C78" w:rsidRDefault="005C7C78" w:rsidP="00B36555">
            <w:pPr>
              <w:pStyle w:val="tbltext"/>
            </w:pPr>
            <w:r>
              <w:t>Notification of ceasing to practise as or change to details of an authorised audit company</w:t>
            </w:r>
          </w:p>
        </w:tc>
        <w:tc>
          <w:tcPr>
            <w:tcW w:w="1559" w:type="dxa"/>
          </w:tcPr>
          <w:p w14:paraId="6386AB06" w14:textId="38334BBA" w:rsidR="005C7C78" w:rsidRDefault="005C7C78" w:rsidP="005C7C78">
            <w:pPr>
              <w:pStyle w:val="tbltext"/>
              <w:jc w:val="right"/>
            </w:pPr>
            <w:r>
              <w:t>$37</w:t>
            </w:r>
          </w:p>
        </w:tc>
        <w:tc>
          <w:tcPr>
            <w:tcW w:w="1559" w:type="dxa"/>
          </w:tcPr>
          <w:p w14:paraId="405BFF03" w14:textId="22ECF0B2" w:rsidR="005C7C78" w:rsidRDefault="005C7C78" w:rsidP="005C7C78">
            <w:pPr>
              <w:pStyle w:val="tbltext"/>
              <w:jc w:val="right"/>
            </w:pPr>
            <w:r>
              <w:t>$0</w:t>
            </w:r>
          </w:p>
        </w:tc>
      </w:tr>
      <w:tr w:rsidR="005C7C78" w:rsidRPr="000540E1" w14:paraId="556A808C" w14:textId="77777777" w:rsidTr="005C7C78">
        <w:trPr>
          <w:cantSplit/>
        </w:trPr>
        <w:tc>
          <w:tcPr>
            <w:tcW w:w="1418" w:type="dxa"/>
          </w:tcPr>
          <w:p w14:paraId="7DF171FA" w14:textId="71D25538" w:rsidR="005C7C78" w:rsidRDefault="005C7C78" w:rsidP="00B36555">
            <w:pPr>
              <w:pStyle w:val="tbltext"/>
            </w:pPr>
            <w:r>
              <w:t>P-908</w:t>
            </w:r>
          </w:p>
        </w:tc>
        <w:tc>
          <w:tcPr>
            <w:tcW w:w="4536" w:type="dxa"/>
          </w:tcPr>
          <w:p w14:paraId="32AE8A3E" w14:textId="4DE4EFEF" w:rsidR="005C7C78" w:rsidRDefault="005C7C78" w:rsidP="00B36555">
            <w:pPr>
              <w:pStyle w:val="tbltext"/>
            </w:pPr>
            <w:r>
              <w:t>Annual statement by a liquidator</w:t>
            </w:r>
          </w:p>
        </w:tc>
        <w:tc>
          <w:tcPr>
            <w:tcW w:w="1559" w:type="dxa"/>
          </w:tcPr>
          <w:p w14:paraId="6CFA411D" w14:textId="76DA9322" w:rsidR="005C7C78" w:rsidRDefault="005C7C78" w:rsidP="005C7C78">
            <w:pPr>
              <w:pStyle w:val="tbltext"/>
              <w:jc w:val="right"/>
            </w:pPr>
            <w:r>
              <w:t>$150</w:t>
            </w:r>
          </w:p>
        </w:tc>
        <w:tc>
          <w:tcPr>
            <w:tcW w:w="1559" w:type="dxa"/>
          </w:tcPr>
          <w:p w14:paraId="57A0F882" w14:textId="3A4B8194" w:rsidR="005C7C78" w:rsidRDefault="005C7C78" w:rsidP="005C7C78">
            <w:pPr>
              <w:pStyle w:val="tbltext"/>
              <w:jc w:val="right"/>
            </w:pPr>
            <w:r>
              <w:t>$0</w:t>
            </w:r>
          </w:p>
        </w:tc>
      </w:tr>
      <w:tr w:rsidR="005C7C78" w:rsidRPr="000540E1" w14:paraId="2D9038C4" w14:textId="77777777" w:rsidTr="005C7C78">
        <w:trPr>
          <w:cantSplit/>
        </w:trPr>
        <w:tc>
          <w:tcPr>
            <w:tcW w:w="1418" w:type="dxa"/>
          </w:tcPr>
          <w:p w14:paraId="3609F745" w14:textId="10DE7459" w:rsidR="005C7C78" w:rsidRDefault="005C7C78" w:rsidP="00B36555">
            <w:pPr>
              <w:pStyle w:val="tbltext"/>
            </w:pPr>
            <w:r>
              <w:t>P-912A</w:t>
            </w:r>
          </w:p>
        </w:tc>
        <w:tc>
          <w:tcPr>
            <w:tcW w:w="4536" w:type="dxa"/>
          </w:tcPr>
          <w:p w14:paraId="375FD62E" w14:textId="62D58202" w:rsidR="005C7C78" w:rsidRDefault="005C7C78" w:rsidP="00B36555">
            <w:pPr>
              <w:pStyle w:val="tbltext"/>
            </w:pPr>
            <w:r>
              <w:t>Annual statement by an auditor</w:t>
            </w:r>
            <w:r>
              <w:tab/>
            </w:r>
          </w:p>
        </w:tc>
        <w:tc>
          <w:tcPr>
            <w:tcW w:w="1559" w:type="dxa"/>
          </w:tcPr>
          <w:p w14:paraId="72A87175" w14:textId="7DB6D8C3" w:rsidR="005C7C78" w:rsidRDefault="005C7C78" w:rsidP="005C7C78">
            <w:pPr>
              <w:pStyle w:val="tbltext"/>
              <w:jc w:val="right"/>
            </w:pPr>
            <w:r>
              <w:t>$72</w:t>
            </w:r>
          </w:p>
        </w:tc>
        <w:tc>
          <w:tcPr>
            <w:tcW w:w="1559" w:type="dxa"/>
          </w:tcPr>
          <w:p w14:paraId="43159209" w14:textId="6AA6B469" w:rsidR="005C7C78" w:rsidRDefault="005C7C78" w:rsidP="005C7C78">
            <w:pPr>
              <w:pStyle w:val="tbltext"/>
              <w:jc w:val="right"/>
            </w:pPr>
            <w:r>
              <w:t>$0</w:t>
            </w:r>
          </w:p>
        </w:tc>
      </w:tr>
      <w:tr w:rsidR="005C7C78" w:rsidRPr="000540E1" w14:paraId="61CBC4F7" w14:textId="77777777" w:rsidTr="005C7C78">
        <w:trPr>
          <w:cantSplit/>
        </w:trPr>
        <w:tc>
          <w:tcPr>
            <w:tcW w:w="1418" w:type="dxa"/>
          </w:tcPr>
          <w:p w14:paraId="7D683705" w14:textId="61500FFF" w:rsidR="005C7C78" w:rsidRDefault="005C7C78" w:rsidP="00B36555">
            <w:pPr>
              <w:pStyle w:val="tbltext"/>
            </w:pPr>
            <w:r>
              <w:t>P-912B</w:t>
            </w:r>
          </w:p>
        </w:tc>
        <w:tc>
          <w:tcPr>
            <w:tcW w:w="4536" w:type="dxa"/>
          </w:tcPr>
          <w:p w14:paraId="2213A72A" w14:textId="33E96CEE" w:rsidR="005C7C78" w:rsidRDefault="005C7C78" w:rsidP="00B36555">
            <w:pPr>
              <w:pStyle w:val="tbltext"/>
            </w:pPr>
            <w:r>
              <w:t>Annual statement by an authorised audit company</w:t>
            </w:r>
          </w:p>
        </w:tc>
        <w:tc>
          <w:tcPr>
            <w:tcW w:w="1559" w:type="dxa"/>
          </w:tcPr>
          <w:p w14:paraId="6700C2C2" w14:textId="18641EDA" w:rsidR="005C7C78" w:rsidRDefault="005C7C78" w:rsidP="005C7C78">
            <w:pPr>
              <w:pStyle w:val="tbltext"/>
              <w:jc w:val="right"/>
            </w:pPr>
            <w:r>
              <w:t>$150</w:t>
            </w:r>
          </w:p>
        </w:tc>
        <w:tc>
          <w:tcPr>
            <w:tcW w:w="1559" w:type="dxa"/>
          </w:tcPr>
          <w:p w14:paraId="233C77C7" w14:textId="54004A97" w:rsidR="005C7C78" w:rsidRDefault="005C7C78" w:rsidP="005C7C78">
            <w:pPr>
              <w:pStyle w:val="tbltext"/>
              <w:jc w:val="right"/>
            </w:pPr>
            <w:r>
              <w:t>$0</w:t>
            </w:r>
          </w:p>
        </w:tc>
      </w:tr>
      <w:tr w:rsidR="005C7C78" w:rsidRPr="000540E1" w14:paraId="3C63D2FB" w14:textId="77777777" w:rsidTr="005C7C78">
        <w:trPr>
          <w:cantSplit/>
        </w:trPr>
        <w:tc>
          <w:tcPr>
            <w:tcW w:w="1418" w:type="dxa"/>
          </w:tcPr>
          <w:p w14:paraId="543BF422" w14:textId="5CA1C8AA" w:rsidR="005C7C78" w:rsidRDefault="005C7C78" w:rsidP="00B36555">
            <w:pPr>
              <w:pStyle w:val="tbltext"/>
            </w:pPr>
            <w:r>
              <w:t>P-SFANL</w:t>
            </w:r>
          </w:p>
        </w:tc>
        <w:tc>
          <w:tcPr>
            <w:tcW w:w="4536" w:type="dxa"/>
          </w:tcPr>
          <w:p w14:paraId="1B119C43" w14:textId="1D04B703" w:rsidR="005C7C78" w:rsidRDefault="005C7C78" w:rsidP="00B36555">
            <w:pPr>
              <w:pStyle w:val="tbltext"/>
            </w:pPr>
            <w:r>
              <w:t>Annual statement by a self-managed superannuation fund auditor</w:t>
            </w:r>
          </w:p>
        </w:tc>
        <w:tc>
          <w:tcPr>
            <w:tcW w:w="1559" w:type="dxa"/>
          </w:tcPr>
          <w:p w14:paraId="0DA47D00" w14:textId="2A3A61F1" w:rsidR="005C7C78" w:rsidRDefault="005C7C78" w:rsidP="005C7C78">
            <w:pPr>
              <w:pStyle w:val="tbltext"/>
              <w:jc w:val="right"/>
            </w:pPr>
            <w:r>
              <w:t>$50</w:t>
            </w:r>
          </w:p>
        </w:tc>
        <w:tc>
          <w:tcPr>
            <w:tcW w:w="1559" w:type="dxa"/>
          </w:tcPr>
          <w:p w14:paraId="7A5C277D" w14:textId="1CCC2149" w:rsidR="005C7C78" w:rsidRDefault="005C7C78" w:rsidP="005C7C78">
            <w:pPr>
              <w:pStyle w:val="tbltext"/>
              <w:jc w:val="right"/>
            </w:pPr>
            <w:r>
              <w:t>$0</w:t>
            </w:r>
          </w:p>
        </w:tc>
      </w:tr>
      <w:tr w:rsidR="005C7C78" w:rsidRPr="000540E1" w14:paraId="115106FE" w14:textId="77777777" w:rsidTr="005C7C78">
        <w:trPr>
          <w:cantSplit/>
        </w:trPr>
        <w:tc>
          <w:tcPr>
            <w:tcW w:w="1418" w:type="dxa"/>
          </w:tcPr>
          <w:p w14:paraId="79AEB803" w14:textId="6C85EF20" w:rsidR="005C7C78" w:rsidRDefault="005C7C78" w:rsidP="00B36555">
            <w:pPr>
              <w:pStyle w:val="tbltext"/>
            </w:pPr>
            <w:r>
              <w:t>NONUM</w:t>
            </w:r>
          </w:p>
        </w:tc>
        <w:tc>
          <w:tcPr>
            <w:tcW w:w="4536" w:type="dxa"/>
          </w:tcPr>
          <w:p w14:paraId="3ED65196" w14:textId="58EDABAE" w:rsidR="005C7C78" w:rsidRDefault="005C7C78" w:rsidP="00B36555">
            <w:pPr>
              <w:pStyle w:val="tbltext"/>
            </w:pPr>
            <w:r>
              <w:t>Lodgement of notice on Insolvency Notice Website</w:t>
            </w:r>
          </w:p>
        </w:tc>
        <w:tc>
          <w:tcPr>
            <w:tcW w:w="1559" w:type="dxa"/>
          </w:tcPr>
          <w:p w14:paraId="3F04C321" w14:textId="5E25B2FA" w:rsidR="005C7C78" w:rsidRDefault="005C7C78" w:rsidP="005C7C78">
            <w:pPr>
              <w:pStyle w:val="tbltext"/>
              <w:jc w:val="right"/>
            </w:pPr>
            <w:r>
              <w:t>$145</w:t>
            </w:r>
          </w:p>
        </w:tc>
        <w:tc>
          <w:tcPr>
            <w:tcW w:w="1559" w:type="dxa"/>
          </w:tcPr>
          <w:p w14:paraId="34BEA873" w14:textId="67500945" w:rsidR="005C7C78" w:rsidRDefault="005C7C78" w:rsidP="005C7C78">
            <w:pPr>
              <w:pStyle w:val="tbltext"/>
              <w:jc w:val="right"/>
            </w:pPr>
            <w:r>
              <w:t>$0</w:t>
            </w:r>
          </w:p>
        </w:tc>
      </w:tr>
    </w:tbl>
    <w:p w14:paraId="14461083" w14:textId="6887C755" w:rsidR="005C7C78" w:rsidRPr="000B5B80" w:rsidRDefault="005C7C78" w:rsidP="00CC456C">
      <w:pPr>
        <w:rPr>
          <w:b/>
        </w:rPr>
      </w:pPr>
    </w:p>
    <w:sectPr w:rsidR="005C7C78" w:rsidRPr="000B5B80" w:rsidSect="0080591D">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C9014" w14:textId="77777777" w:rsidR="00BE7110" w:rsidRDefault="00BE7110">
      <w:r>
        <w:separator/>
      </w:r>
    </w:p>
  </w:endnote>
  <w:endnote w:type="continuationSeparator" w:id="0">
    <w:p w14:paraId="13841D96" w14:textId="77777777" w:rsidR="00BE7110" w:rsidRDefault="00BE7110">
      <w:r>
        <w:continuationSeparator/>
      </w:r>
    </w:p>
  </w:endnote>
  <w:endnote w:type="continuationNotice" w:id="1">
    <w:p w14:paraId="2F43D456" w14:textId="77777777" w:rsidR="00BE7110" w:rsidRDefault="00BE7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variable"/>
    <w:sig w:usb0="E0002AFF" w:usb1="C0007843" w:usb2="00000009" w:usb3="00000000" w:csb0="000001FF" w:csb1="00000000"/>
  </w:font>
  <w:font w:name="HelveticaNeue LT 55 Roman">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C9004" w14:textId="77777777" w:rsidR="00BE7110" w:rsidRDefault="00BE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05DB8E1" w14:textId="77777777" w:rsidR="00BE7110" w:rsidRDefault="00BE7110">
    <w:pPr>
      <w:pStyle w:val="Footer"/>
      <w:ind w:right="360"/>
    </w:pPr>
  </w:p>
  <w:p w14:paraId="468A57E5" w14:textId="77777777" w:rsidR="00BE7110" w:rsidRDefault="00BE7110"/>
  <w:p w14:paraId="445AC2F5" w14:textId="77777777" w:rsidR="00BE7110" w:rsidRDefault="00BE7110"/>
  <w:p w14:paraId="68F617E1" w14:textId="77777777" w:rsidR="00BE7110" w:rsidRDefault="00BE7110"/>
  <w:p w14:paraId="43FEFBA3" w14:textId="77777777" w:rsidR="00BE7110" w:rsidRDefault="00BE71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B519" w14:textId="758D2168" w:rsidR="00BE7110" w:rsidRDefault="00BE7110">
    <w:pPr>
      <w:pStyle w:val="Footer"/>
      <w:pBdr>
        <w:top w:val="single" w:sz="4" w:space="1" w:color="117DC7"/>
      </w:pBdr>
      <w:rPr>
        <w:b/>
        <w:color w:val="117DC7"/>
      </w:rPr>
    </w:pPr>
    <w:r>
      <w:rPr>
        <w:color w:val="117DC7"/>
      </w:rPr>
      <w:t xml:space="preserve">© Australian Securities and Investments Commission </w:t>
    </w:r>
    <w:r w:rsidR="003D3E81">
      <w:fldChar w:fldCharType="begin"/>
    </w:r>
    <w:r w:rsidR="003D3E81">
      <w:instrText xml:space="preserve"> DOCPROPERTY  "Issue date"  \* MERGEFORMAT </w:instrText>
    </w:r>
    <w:r w:rsidR="003D3E81">
      <w:fldChar w:fldCharType="separate"/>
    </w:r>
    <w:r w:rsidRPr="00A37D1A">
      <w:rPr>
        <w:color w:val="117DC7"/>
      </w:rPr>
      <w:t>October 2016</w:t>
    </w:r>
    <w:r w:rsidR="003D3E81">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6181" w14:textId="77777777" w:rsidR="00BE7110" w:rsidRDefault="00BE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342840F" w14:textId="77777777" w:rsidR="00BE7110" w:rsidRDefault="00BE7110">
    <w:pPr>
      <w:pStyle w:val="Footer"/>
      <w:ind w:right="360"/>
    </w:pPr>
  </w:p>
  <w:p w14:paraId="29D0E009" w14:textId="77777777" w:rsidR="00BE7110" w:rsidRDefault="00BE7110"/>
  <w:p w14:paraId="4D2F6FAB" w14:textId="77777777" w:rsidR="00BE7110" w:rsidRDefault="00BE7110"/>
  <w:p w14:paraId="2FDBDF05" w14:textId="77777777" w:rsidR="00BE7110" w:rsidRDefault="00BE7110"/>
  <w:p w14:paraId="21078BE0" w14:textId="77777777" w:rsidR="00BE7110" w:rsidRDefault="00BE711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1ED46" w14:textId="7CDE054D" w:rsidR="00BE7110" w:rsidRDefault="00BE711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5" behindDoc="0" locked="1" layoutInCell="1" allowOverlap="1" wp14:anchorId="7982F1E5" wp14:editId="2580B4C2">
              <wp:simplePos x="0" y="0"/>
              <wp:positionH relativeFrom="rightMargin">
                <wp:posOffset>-648335</wp:posOffset>
              </wp:positionH>
              <wp:positionV relativeFrom="paragraph">
                <wp:posOffset>36195</wp:posOffset>
              </wp:positionV>
              <wp:extent cx="657860" cy="158750"/>
              <wp:effectExtent l="1270" t="2540" r="0"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8A49D" w14:textId="77777777" w:rsidR="00BE7110" w:rsidRPr="008F541E" w:rsidRDefault="00BE7110" w:rsidP="00CB5C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E81">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76" type="#_x0000_t202" style="position:absolute;margin-left:-51.05pt;margin-top:2.85pt;width:51.8pt;height:12.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L5VUgh6AgAA/wQAAA4A&#10;AAAAAAAAAAAAAAAALgIAAGRycy9lMm9Eb2MueG1sUEsBAi0AFAAGAAgAAAAhAPxsPDXcAAAABwEA&#10;AA8AAAAAAAAAAAAAAAAA1AQAAGRycy9kb3ducmV2LnhtbFBLBQYAAAAABAAEAPMAAADdBQAAAAA=&#10;" stroked="f">
              <v:textbox inset="0,0,0,0">
                <w:txbxContent>
                  <w:p w14:paraId="1B48A49D" w14:textId="77777777" w:rsidR="00BE7110" w:rsidRPr="008F541E" w:rsidRDefault="00BE7110" w:rsidP="00CB5C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E81">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r w:rsidR="003D3E81">
      <w:fldChar w:fldCharType="begin"/>
    </w:r>
    <w:r w:rsidR="003D3E81">
      <w:instrText xml:space="preserve"> DOCPROPERTY  "Issue date"  \* MERGEFORMAT </w:instrText>
    </w:r>
    <w:r w:rsidR="003D3E81">
      <w:fldChar w:fldCharType="separate"/>
    </w:r>
    <w:r w:rsidRPr="00A37D1A">
      <w:rPr>
        <w:color w:val="117DC7"/>
      </w:rPr>
      <w:t>October 2016</w:t>
    </w:r>
    <w:r w:rsidR="003D3E81">
      <w:rPr>
        <w:color w:val="117DC7"/>
      </w:rPr>
      <w:fldChar w:fldCharType="end"/>
    </w:r>
    <w:r>
      <w:rPr>
        <w:color w:val="117DC7"/>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B274" w14:textId="77777777" w:rsidR="00BE7110" w:rsidRDefault="00BE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747F352" w14:textId="77777777" w:rsidR="00BE7110" w:rsidRDefault="00BE7110">
    <w:pPr>
      <w:pStyle w:val="Footer"/>
      <w:ind w:right="360"/>
    </w:pPr>
  </w:p>
  <w:p w14:paraId="6E4E48D5" w14:textId="77777777" w:rsidR="00BE7110" w:rsidRDefault="00BE7110"/>
  <w:p w14:paraId="4C4D0E7C" w14:textId="77777777" w:rsidR="00BE7110" w:rsidRDefault="00BE7110"/>
  <w:p w14:paraId="433195AC" w14:textId="77777777" w:rsidR="00BE7110" w:rsidRDefault="00BE7110"/>
  <w:p w14:paraId="6047AD2B" w14:textId="77777777" w:rsidR="00BE7110" w:rsidRDefault="00BE711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5974" w14:textId="07472116" w:rsidR="00BE7110" w:rsidRDefault="00BE711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65CC2651" wp14:editId="09FA1708">
              <wp:simplePos x="0" y="0"/>
              <wp:positionH relativeFrom="rightMargin">
                <wp:posOffset>-648335</wp:posOffset>
              </wp:positionH>
              <wp:positionV relativeFrom="paragraph">
                <wp:posOffset>36195</wp:posOffset>
              </wp:positionV>
              <wp:extent cx="657860" cy="158750"/>
              <wp:effectExtent l="1270" t="2540" r="0"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CB25E" w14:textId="77777777" w:rsidR="00BE7110" w:rsidRPr="008F541E" w:rsidRDefault="00BE7110"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E81">
                            <w:rPr>
                              <w:rStyle w:val="PageNumber"/>
                              <w:rFonts w:ascii="Arial" w:hAnsi="Arial" w:cs="Arial"/>
                              <w:noProof/>
                              <w:color w:val="117DC7"/>
                              <w:sz w:val="16"/>
                              <w:szCs w:val="16"/>
                            </w:rPr>
                            <w:t>70</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77"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" stroked="f">
              <v:textbox inset="0,0,0,0">
                <w:txbxContent>
                  <w:p w14:paraId="57ACB25E" w14:textId="77777777" w:rsidR="00BE7110" w:rsidRPr="008F541E" w:rsidRDefault="00BE7110"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E81">
                      <w:rPr>
                        <w:rStyle w:val="PageNumber"/>
                        <w:rFonts w:ascii="Arial" w:hAnsi="Arial" w:cs="Arial"/>
                        <w:noProof/>
                        <w:color w:val="117DC7"/>
                        <w:sz w:val="16"/>
                        <w:szCs w:val="16"/>
                      </w:rPr>
                      <w:t>70</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r w:rsidR="003D3E81">
      <w:fldChar w:fldCharType="begin"/>
    </w:r>
    <w:r w:rsidR="003D3E81">
      <w:instrText xml:space="preserve"> DOCPROPERTY  "Issue date"  \* MERGEFORMAT </w:instrText>
    </w:r>
    <w:r w:rsidR="003D3E81">
      <w:fldChar w:fldCharType="separate"/>
    </w:r>
    <w:r w:rsidRPr="00A37D1A">
      <w:rPr>
        <w:color w:val="117DC7"/>
      </w:rPr>
      <w:t>October 2016</w:t>
    </w:r>
    <w:r w:rsidR="003D3E81">
      <w:rPr>
        <w:color w:val="117DC7"/>
      </w:rPr>
      <w:fldChar w:fldCharType="end"/>
    </w:r>
    <w:r>
      <w:rPr>
        <w:color w:val="117DC7"/>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DA3D" w14:textId="77777777" w:rsidR="00BE7110" w:rsidRDefault="00BE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7E5559E" w14:textId="77777777" w:rsidR="00BE7110" w:rsidRDefault="00BE7110">
    <w:pPr>
      <w:pStyle w:val="Footer"/>
      <w:ind w:right="360"/>
    </w:pPr>
  </w:p>
  <w:p w14:paraId="041240D4" w14:textId="77777777" w:rsidR="00BE7110" w:rsidRDefault="00BE7110"/>
  <w:p w14:paraId="4B4DC1DB" w14:textId="77777777" w:rsidR="00BE7110" w:rsidRDefault="00BE7110"/>
  <w:p w14:paraId="0112DB49" w14:textId="77777777" w:rsidR="00BE7110" w:rsidRDefault="00BE7110"/>
  <w:p w14:paraId="4B732223" w14:textId="77777777" w:rsidR="00BE7110" w:rsidRDefault="00BE711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D427" w14:textId="4ECCEE15" w:rsidR="00BE7110" w:rsidRDefault="003D3E81">
    <w:pPr>
      <w:pStyle w:val="Footer"/>
      <w:pBdr>
        <w:top w:val="single" w:sz="4" w:space="1" w:color="117DC7"/>
      </w:pBdr>
      <w:rPr>
        <w:b/>
        <w:color w:val="117DC7"/>
      </w:rPr>
    </w:pPr>
    <w:r>
      <w:rPr>
        <w:noProof/>
        <w:color w:val="117DC7"/>
        <w:sz w:val="20"/>
      </w:rPr>
      <w:pict w14:anchorId="3D874459">
        <v:shapetype id="_x0000_t202" coordsize="21600,21600" o:spt="202" path="m,l,21600r21600,l21600,xe">
          <v:stroke joinstyle="miter"/>
          <v:path gradientshapeok="t" o:connecttype="rect"/>
        </v:shapetype>
        <v:shape id="_x0000_s2065" type="#_x0000_t202" style="position:absolute;margin-left:-51.05pt;margin-top:2.85pt;width:51.8pt;height:12.5pt;z-index:251658243;mso-position-horizontal-relative:right-margin-area;mso-width-relative:margin;mso-height-relative:margin" stroked="f">
          <v:textbox style="mso-next-textbox:#_x0000_s2065" inset="0,0,0,0">
            <w:txbxContent>
              <w:p w14:paraId="3D7B908A" w14:textId="77777777" w:rsidR="00BE7110" w:rsidRPr="008F541E" w:rsidRDefault="00BE7110" w:rsidP="00DE53E8">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E81">
                  <w:rPr>
                    <w:rStyle w:val="PageNumber"/>
                    <w:rFonts w:ascii="Arial" w:hAnsi="Arial" w:cs="Arial"/>
                    <w:noProof/>
                    <w:color w:val="117DC7"/>
                    <w:sz w:val="16"/>
                    <w:szCs w:val="16"/>
                  </w:rPr>
                  <w:t>84</w:t>
                </w:r>
                <w:r w:rsidRPr="008F541E">
                  <w:rPr>
                    <w:rStyle w:val="PageNumber"/>
                    <w:rFonts w:ascii="Arial" w:hAnsi="Arial" w:cs="Arial"/>
                    <w:color w:val="117DC7"/>
                    <w:sz w:val="16"/>
                    <w:szCs w:val="16"/>
                  </w:rPr>
                  <w:fldChar w:fldCharType="end"/>
                </w:r>
              </w:p>
            </w:txbxContent>
          </v:textbox>
          <w10:wrap anchorx="page"/>
          <w10:anchorlock/>
        </v:shape>
      </w:pict>
    </w:r>
    <w:r w:rsidR="00BE7110">
      <w:rPr>
        <w:color w:val="117DC7"/>
      </w:rPr>
      <w:t xml:space="preserve">© Australian Securities and Investments Commission </w:t>
    </w:r>
    <w:r>
      <w:fldChar w:fldCharType="begin"/>
    </w:r>
    <w:r>
      <w:instrText xml:space="preserve"> DOCPROPERTY  "Issue date"  \* MERGEFORMAT </w:instrText>
    </w:r>
    <w:r>
      <w:fldChar w:fldCharType="separate"/>
    </w:r>
    <w:r w:rsidR="00BE7110" w:rsidRPr="00A37D1A">
      <w:rPr>
        <w:color w:val="117DC7"/>
      </w:rPr>
      <w:t>October 2016</w:t>
    </w:r>
    <w:r>
      <w:rPr>
        <w:color w:val="117DC7"/>
      </w:rPr>
      <w:fldChar w:fldCharType="end"/>
    </w:r>
    <w:r w:rsidR="00BE7110">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86F72" w14:textId="77777777" w:rsidR="00BE7110" w:rsidRDefault="00BE7110">
      <w:r>
        <w:separator/>
      </w:r>
    </w:p>
  </w:footnote>
  <w:footnote w:type="continuationSeparator" w:id="0">
    <w:p w14:paraId="0B7D7170" w14:textId="77777777" w:rsidR="00BE7110" w:rsidRDefault="00BE7110">
      <w:r>
        <w:continuationSeparator/>
      </w:r>
    </w:p>
  </w:footnote>
  <w:footnote w:type="continuationNotice" w:id="1">
    <w:p w14:paraId="44B49218" w14:textId="77777777" w:rsidR="00BE7110" w:rsidRDefault="00BE7110">
      <w:pPr>
        <w:spacing w:after="0"/>
      </w:pPr>
    </w:p>
  </w:footnote>
  <w:footnote w:id="2">
    <w:p w14:paraId="2A020B01" w14:textId="0FEFA3EB" w:rsidR="00BE7110" w:rsidRPr="00A366D4" w:rsidRDefault="00BE7110" w:rsidP="00A366D4">
      <w:pPr>
        <w:pStyle w:val="FootnoteText"/>
      </w:pPr>
      <w:r w:rsidRPr="00A366D4">
        <w:rPr>
          <w:rStyle w:val="FootnoteReference"/>
          <w:vertAlign w:val="baseline"/>
        </w:rPr>
        <w:footnoteRef/>
      </w:r>
      <w:r w:rsidRPr="00A366D4">
        <w:t xml:space="preserve"> </w:t>
      </w:r>
      <w:r>
        <w:tab/>
      </w:r>
      <w:r w:rsidRPr="00A366D4">
        <w:t xml:space="preserve">Recommendation 15 of the ASIC Capability Review was for: </w:t>
      </w:r>
      <w:r w:rsidRPr="00A366D4">
        <w:rPr>
          <w:i/>
        </w:rPr>
        <w:t>“ASIC to review and introduce a more outcomes focused and dynamic use of advisory panels to ensure these forums input more directly into strategic management, and introduce a broader public consultation element into the strategy setting process”</w:t>
      </w:r>
      <w:r w:rsidRPr="00A366D4">
        <w:t>.</w:t>
      </w:r>
    </w:p>
  </w:footnote>
  <w:footnote w:id="3">
    <w:p w14:paraId="33D9339B" w14:textId="0E229099" w:rsidR="00BE7110" w:rsidRPr="00B25C47" w:rsidRDefault="00BE7110" w:rsidP="00B25C47">
      <w:pPr>
        <w:pStyle w:val="FootnoteText"/>
      </w:pPr>
      <w:r w:rsidRPr="00B25C47">
        <w:rPr>
          <w:rStyle w:val="FootnoteReference"/>
          <w:vertAlign w:val="baseline"/>
        </w:rPr>
        <w:footnoteRef/>
      </w:r>
      <w:r w:rsidRPr="00B25C47">
        <w:t xml:space="preserve"> </w:t>
      </w:r>
      <w:r>
        <w:tab/>
      </w:r>
      <w:r w:rsidRPr="00B25C47">
        <w:t>ASIC is considering the most efficient way to recover these costs from small proprietary companies. A possible option might be to recover costs through an increase in the annual review fee for small proprietary companies.</w:t>
      </w:r>
    </w:p>
  </w:footnote>
  <w:footnote w:id="4">
    <w:p w14:paraId="023AD4E4" w14:textId="7C39B6D3" w:rsidR="00BE7110" w:rsidRDefault="00BE7110" w:rsidP="00B25C47">
      <w:pPr>
        <w:pStyle w:val="FootnoteText"/>
      </w:pPr>
      <w:r w:rsidRPr="00B25C47">
        <w:rPr>
          <w:rStyle w:val="FootnoteReference"/>
          <w:vertAlign w:val="baseline"/>
        </w:rPr>
        <w:footnoteRef/>
      </w:r>
      <w:r w:rsidRPr="00B25C47">
        <w:t xml:space="preserve"> </w:t>
      </w:r>
      <w:r>
        <w:tab/>
      </w:r>
      <w:r w:rsidRPr="00B25C47">
        <w:t>That is, APRA regulated superannuation trustees. SMSF trustees wil</w:t>
      </w:r>
      <w:r>
        <w:t>l not be liable to pay a levy.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0C30" w14:textId="77777777" w:rsidR="00BE7110" w:rsidRDefault="00BE7110"/>
  <w:p w14:paraId="57D96DCC" w14:textId="77777777" w:rsidR="00BE7110" w:rsidRDefault="00BE711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65967" w14:textId="35D74BD6" w:rsidR="00BE7110" w:rsidRDefault="00BE7110">
    <w:pPr>
      <w:pStyle w:val="Footer"/>
      <w:pBdr>
        <w:bottom w:val="single" w:sz="4" w:space="1" w:color="117DC7"/>
      </w:pBdr>
      <w:jc w:val="right"/>
      <w:rPr>
        <w:color w:val="117DC7"/>
      </w:rPr>
    </w:pP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Proposed Industry Funding Model for ASIC: Supporting attachment to the Government's Proposals Paper</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8920" w14:textId="77777777" w:rsidR="00BE7110" w:rsidRDefault="00BE7110">
    <w:pPr>
      <w:pStyle w:val="Header"/>
      <w:pBdr>
        <w:bottom w:val="none" w:sz="0" w:space="0" w:color="auto"/>
      </w:pBdr>
      <w:jc w:val="center"/>
      <w:rPr>
        <w:b/>
        <w:bCs/>
        <w:color w:val="C0C0C0"/>
        <w:sz w:val="48"/>
        <w:lang w:val="en-US"/>
      </w:rPr>
    </w:pPr>
    <w:r>
      <w:rPr>
        <w:b/>
        <w:bCs/>
        <w:color w:val="C0C0C0"/>
        <w:sz w:val="48"/>
        <w:lang w:val="en-US"/>
      </w:rP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8368" w14:textId="5E336A98" w:rsidR="00BE7110" w:rsidRDefault="00BE7110">
    <w:pPr>
      <w:pStyle w:val="Footer"/>
      <w:pBdr>
        <w:bottom w:val="single" w:sz="4" w:space="1" w:color="117DC7"/>
      </w:pBdr>
      <w:jc w:val="right"/>
      <w:rPr>
        <w:color w:val="117DC7"/>
      </w:rPr>
    </w:pPr>
    <w:r>
      <w:tab/>
    </w:r>
    <w:r w:rsidR="003D3E81">
      <w:fldChar w:fldCharType="begin"/>
    </w:r>
    <w:r w:rsidR="003D3E81">
      <w:instrText xml:space="preserve"> DOCPROPERTY  "Document type"  \* MERGEFORMAT </w:instrText>
    </w:r>
    <w:r w:rsidR="003D3E81">
      <w:fldChar w:fldCharType="separate"/>
    </w:r>
    <w:r w:rsidRPr="00A37D1A">
      <w:rPr>
        <w:caps/>
        <w:color w:val="117DC7"/>
      </w:rPr>
      <w:t>REPORT</w:t>
    </w:r>
    <w:r w:rsidR="003D3E81">
      <w:rPr>
        <w:caps/>
        <w:color w:val="117DC7"/>
      </w:rPr>
      <w:fldChar w:fldCharType="end"/>
    </w:r>
    <w:r>
      <w:rPr>
        <w:color w:val="117DC7"/>
      </w:rPr>
      <w:t xml:space="preserve">: </w:t>
    </w:r>
    <w:r w:rsidR="003D3E81">
      <w:fldChar w:fldCharType="begin"/>
    </w:r>
    <w:r w:rsidR="003D3E81">
      <w:instrText xml:space="preserve"> DOCPROPERTY  "Document title"  \* MERGEFORMAT </w:instrText>
    </w:r>
    <w:r w:rsidR="003D3E81">
      <w:fldChar w:fldCharType="separate"/>
    </w:r>
    <w:r w:rsidRPr="00A37D1A">
      <w:rPr>
        <w:color w:val="117DC7"/>
      </w:rPr>
      <w:t>Proposed Industry</w:t>
    </w:r>
    <w:r>
      <w:t xml:space="preserve"> Funding Model for ASIC:  Supporting attachment to the Government's Proposals Paper</w:t>
    </w:r>
    <w:r w:rsidR="003D3E8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DAF2" w14:textId="77777777" w:rsidR="00BE7110" w:rsidRDefault="00BE7110"/>
  <w:p w14:paraId="7302245E" w14:textId="77777777" w:rsidR="00BE7110" w:rsidRDefault="00BE711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29CA" w14:textId="6F0BE183" w:rsidR="00BE7110" w:rsidRDefault="00BE7110">
    <w:pPr>
      <w:pStyle w:val="Footer"/>
      <w:pBdr>
        <w:bottom w:val="single" w:sz="4" w:space="1" w:color="117DC7"/>
      </w:pBdr>
      <w:jc w:val="right"/>
      <w:rPr>
        <w:color w:val="117DC7"/>
      </w:rPr>
    </w:pPr>
    <w:r>
      <w:tab/>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Proposed Industry Funding Model for ASIC: Supporting attachment to the Government's Proposals Paper</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65934" w14:textId="77777777" w:rsidR="00BE7110" w:rsidRDefault="00BE7110">
    <w:pPr>
      <w:pStyle w:val="Header"/>
      <w:pBdr>
        <w:bottom w:val="none" w:sz="0" w:space="0" w:color="auto"/>
      </w:pBdr>
      <w:jc w:val="center"/>
      <w:rPr>
        <w:b/>
        <w:bCs/>
        <w:color w:val="C0C0C0"/>
        <w:sz w:val="48"/>
        <w:lang w:val="en-US"/>
      </w:rPr>
    </w:pPr>
    <w:r>
      <w:rPr>
        <w:b/>
        <w:bCs/>
        <w:color w:val="C0C0C0"/>
        <w:sz w:val="48"/>
        <w:lang w:val="en-US"/>
      </w:rPr>
      <w:t>DRAFT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9B20E" w14:textId="77777777" w:rsidR="00BE7110" w:rsidRDefault="00BE7110"/>
  <w:p w14:paraId="77309069" w14:textId="77777777" w:rsidR="00BE7110" w:rsidRDefault="00BE71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A84B" w14:textId="64707292" w:rsidR="00BE7110" w:rsidRDefault="00BE7110">
    <w:pPr>
      <w:pStyle w:val="Footer"/>
      <w:pBdr>
        <w:bottom w:val="single" w:sz="4" w:space="1" w:color="117DC7"/>
      </w:pBdr>
      <w:jc w:val="right"/>
      <w:rPr>
        <w:color w:val="117DC7"/>
      </w:rPr>
    </w:pP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Proposed Industry Funding Model for ASIC: Supporting attachment to the Government's Proposals Paper</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F3A33" w14:textId="77777777" w:rsidR="00BE7110" w:rsidRDefault="00BE7110">
    <w:pPr>
      <w:pStyle w:val="Header"/>
      <w:pBdr>
        <w:bottom w:val="none" w:sz="0" w:space="0" w:color="auto"/>
      </w:pBdr>
      <w:jc w:val="center"/>
      <w:rPr>
        <w:b/>
        <w:bCs/>
        <w:color w:val="C0C0C0"/>
        <w:sz w:val="48"/>
        <w:lang w:val="en-US"/>
      </w:rPr>
    </w:pPr>
    <w:r>
      <w:rPr>
        <w:b/>
        <w:bCs/>
        <w:color w:val="C0C0C0"/>
        <w:sz w:val="48"/>
        <w:lang w:val="en-US"/>
      </w:rPr>
      <w:t>DRAFT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4CB62" w14:textId="77777777" w:rsidR="00BE7110" w:rsidRDefault="00BE7110"/>
  <w:p w14:paraId="5DDB52DB" w14:textId="77777777" w:rsidR="00BE7110" w:rsidRDefault="00BE71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2B7"/>
    <w:multiLevelType w:val="hybridMultilevel"/>
    <w:tmpl w:val="B58E7566"/>
    <w:lvl w:ilvl="0" w:tplc="4472162E">
      <w:start w:val="1"/>
      <w:numFmt w:val="bullet"/>
      <w:lvlText w:val="-"/>
      <w:lvlJc w:val="left"/>
      <w:pPr>
        <w:ind w:left="720" w:hanging="360"/>
      </w:pPr>
      <w:rPr>
        <w:rFonts w:ascii="Courier New" w:hAnsi="Courier New" w:hint="default"/>
        <w:color w:val="2D8692"/>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D34FC"/>
    <w:multiLevelType w:val="hybridMultilevel"/>
    <w:tmpl w:val="CD4C5D32"/>
    <w:lvl w:ilvl="0" w:tplc="34EEE33C">
      <w:start w:val="1"/>
      <w:numFmt w:val="lowerRoman"/>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083E5B7C"/>
    <w:multiLevelType w:val="hybridMultilevel"/>
    <w:tmpl w:val="856AAA5A"/>
    <w:lvl w:ilvl="0" w:tplc="4A2A8F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96E784A"/>
    <w:multiLevelType w:val="hybridMultilevel"/>
    <w:tmpl w:val="D430D1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9F535B4"/>
    <w:multiLevelType w:val="hybridMultilevel"/>
    <w:tmpl w:val="89ECC13A"/>
    <w:lvl w:ilvl="0" w:tplc="967CB65C">
      <w:start w:val="1"/>
      <w:numFmt w:val="decimal"/>
      <w:pStyle w:val="OutlineNumbered1"/>
      <w:lvlText w:val="%1."/>
      <w:lvlJc w:val="left"/>
      <w:pPr>
        <w:tabs>
          <w:tab w:val="num" w:pos="454"/>
        </w:tabs>
        <w:ind w:left="454" w:hanging="454"/>
      </w:pPr>
      <w:rPr>
        <w:rFonts w:ascii="Calibri" w:hAnsi="Calibri" w:hint="default"/>
        <w:b w:val="0"/>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652D4A"/>
    <w:multiLevelType w:val="hybridMultilevel"/>
    <w:tmpl w:val="CD4C5D32"/>
    <w:lvl w:ilvl="0" w:tplc="34EEE33C">
      <w:start w:val="1"/>
      <w:numFmt w:val="lowerRoman"/>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nsid w:val="0E4A6EB2"/>
    <w:multiLevelType w:val="multilevel"/>
    <w:tmpl w:val="ED440638"/>
    <w:lvl w:ilvl="0">
      <w:start w:val="1"/>
      <w:numFmt w:val="bullet"/>
      <w:lvlText w:val="•"/>
      <w:lvlJc w:val="left"/>
      <w:pPr>
        <w:tabs>
          <w:tab w:val="num" w:pos="397"/>
        </w:tabs>
        <w:ind w:left="397" w:hanging="397"/>
      </w:pPr>
      <w:rPr>
        <w:rFonts w:ascii="Times New Roman" w:hAnsi="Times New Roman" w:cs="Times New Roman" w:hint="default"/>
      </w:rPr>
    </w:lvl>
    <w:lvl w:ilvl="1">
      <w:start w:val="1"/>
      <w:numFmt w:val="bullet"/>
      <w:pStyle w:val="TableTextLeft-Dash"/>
      <w:lvlText w:val="-"/>
      <w:lvlJc w:val="left"/>
      <w:pPr>
        <w:tabs>
          <w:tab w:val="num" w:pos="794"/>
        </w:tabs>
        <w:ind w:left="1040" w:hanging="520"/>
      </w:pPr>
      <w:rPr>
        <w:rFonts w:ascii="Courier New" w:hAnsi="Courier New"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E894AD3"/>
    <w:multiLevelType w:val="hybridMultilevel"/>
    <w:tmpl w:val="7D081016"/>
    <w:lvl w:ilvl="0" w:tplc="34EEE33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1495F37"/>
    <w:multiLevelType w:val="hybridMultilevel"/>
    <w:tmpl w:val="2D8A7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4A95BD3"/>
    <w:multiLevelType w:val="hybridMultilevel"/>
    <w:tmpl w:val="84260E16"/>
    <w:lvl w:ilvl="0" w:tplc="88F824E6">
      <w:start w:val="1"/>
      <w:numFmt w:val="bullet"/>
      <w:pStyle w:val="Bodybullets"/>
      <w:lvlText w:val=""/>
      <w:lvlJc w:val="left"/>
      <w:pPr>
        <w:ind w:left="717" w:hanging="360"/>
      </w:pPr>
      <w:rPr>
        <w:rFonts w:ascii="Symbol" w:hAnsi="Symbol" w:hint="default"/>
        <w:color w:val="19248A"/>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E15CE2"/>
    <w:multiLevelType w:val="hybridMultilevel"/>
    <w:tmpl w:val="040460F2"/>
    <w:lvl w:ilvl="0" w:tplc="A0F67D2E">
      <w:start w:val="1"/>
      <w:numFmt w:val="bullet"/>
      <w:lvlText w:val=""/>
      <w:lvlJc w:val="left"/>
      <w:pPr>
        <w:ind w:left="4472" w:hanging="360"/>
      </w:pPr>
      <w:rPr>
        <w:rFonts w:ascii="Symbol" w:hAnsi="Symbol" w:hint="default"/>
        <w:color w:val="2D86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948FB"/>
    <w:multiLevelType w:val="hybridMultilevel"/>
    <w:tmpl w:val="E22E9B6E"/>
    <w:lvl w:ilvl="0" w:tplc="C0309276">
      <w:start w:val="1"/>
      <w:numFmt w:val="bullet"/>
      <w:lvlText w:val=""/>
      <w:lvlJc w:val="left"/>
      <w:pPr>
        <w:ind w:left="360" w:hanging="360"/>
      </w:pPr>
      <w:rPr>
        <w:rFonts w:ascii="Symbol" w:hAnsi="Symbol" w:hint="default"/>
        <w:color w:val="2D8692"/>
        <w:sz w:val="16"/>
      </w:rPr>
    </w:lvl>
    <w:lvl w:ilvl="1" w:tplc="4472162E">
      <w:start w:val="1"/>
      <w:numFmt w:val="bullet"/>
      <w:lvlText w:val="-"/>
      <w:lvlJc w:val="left"/>
      <w:pPr>
        <w:ind w:left="1080" w:hanging="360"/>
      </w:pPr>
      <w:rPr>
        <w:rFonts w:ascii="Courier New" w:hAnsi="Courier New" w:hint="default"/>
        <w:color w:val="2D8692"/>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9D119D9"/>
    <w:multiLevelType w:val="hybridMultilevel"/>
    <w:tmpl w:val="DC8A264A"/>
    <w:lvl w:ilvl="0" w:tplc="C0309276">
      <w:start w:val="1"/>
      <w:numFmt w:val="bullet"/>
      <w:lvlText w:val=""/>
      <w:lvlJc w:val="left"/>
      <w:pPr>
        <w:ind w:left="360" w:hanging="360"/>
      </w:pPr>
      <w:rPr>
        <w:rFonts w:ascii="Symbol" w:hAnsi="Symbol" w:hint="default"/>
        <w:color w:val="2D8692"/>
        <w:sz w:val="16"/>
      </w:rPr>
    </w:lvl>
    <w:lvl w:ilvl="1" w:tplc="4472162E">
      <w:start w:val="1"/>
      <w:numFmt w:val="bullet"/>
      <w:lvlText w:val="-"/>
      <w:lvlJc w:val="left"/>
      <w:pPr>
        <w:ind w:left="1080" w:hanging="360"/>
      </w:pPr>
      <w:rPr>
        <w:rFonts w:ascii="Courier New" w:hAnsi="Courier New" w:hint="default"/>
        <w:color w:val="2D8692"/>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3B4C6F"/>
    <w:multiLevelType w:val="hybridMultilevel"/>
    <w:tmpl w:val="006A37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E82952"/>
    <w:multiLevelType w:val="hybridMultilevel"/>
    <w:tmpl w:val="7598E7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E0C6808"/>
    <w:multiLevelType w:val="multilevel"/>
    <w:tmpl w:val="40CE7818"/>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nsid w:val="1FC87E06"/>
    <w:multiLevelType w:val="hybridMultilevel"/>
    <w:tmpl w:val="F98ACC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24AF16EE"/>
    <w:multiLevelType w:val="hybridMultilevel"/>
    <w:tmpl w:val="8C40E0DC"/>
    <w:lvl w:ilvl="0" w:tplc="313AF1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6275013"/>
    <w:multiLevelType w:val="hybridMultilevel"/>
    <w:tmpl w:val="7FDED678"/>
    <w:lvl w:ilvl="0" w:tplc="69684904">
      <w:start w:val="1"/>
      <w:numFmt w:val="bullet"/>
      <w:pStyle w:val="Body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CC0C9B"/>
    <w:multiLevelType w:val="hybridMultilevel"/>
    <w:tmpl w:val="F0C44F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ACE658A"/>
    <w:multiLevelType w:val="hybridMultilevel"/>
    <w:tmpl w:val="4314BC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BDE116E"/>
    <w:multiLevelType w:val="hybridMultilevel"/>
    <w:tmpl w:val="BFA003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8">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9">
    <w:nsid w:val="42590A04"/>
    <w:multiLevelType w:val="hybridMultilevel"/>
    <w:tmpl w:val="2DBE19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AE862C5"/>
    <w:multiLevelType w:val="hybridMultilevel"/>
    <w:tmpl w:val="4DF29D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9C69A2"/>
    <w:multiLevelType w:val="hybridMultilevel"/>
    <w:tmpl w:val="ABD0D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B75F6F"/>
    <w:multiLevelType w:val="hybridMultilevel"/>
    <w:tmpl w:val="F60A9A4E"/>
    <w:lvl w:ilvl="0" w:tplc="740C910A">
      <w:start w:val="1"/>
      <w:numFmt w:val="bullet"/>
      <w:lvlText w:val=""/>
      <w:lvlJc w:val="left"/>
      <w:pPr>
        <w:ind w:left="1431" w:hanging="360"/>
      </w:pPr>
      <w:rPr>
        <w:rFonts w:ascii="Symbol" w:hAnsi="Symbol" w:hint="default"/>
        <w:color w:val="00D2AA"/>
      </w:rPr>
    </w:lvl>
    <w:lvl w:ilvl="1" w:tplc="DB46A3A4">
      <w:start w:val="1"/>
      <w:numFmt w:val="bullet"/>
      <w:lvlText w:val="-"/>
      <w:lvlJc w:val="left"/>
      <w:pPr>
        <w:ind w:left="2154" w:hanging="360"/>
      </w:pPr>
      <w:rPr>
        <w:rFonts w:ascii="Courier New" w:hAnsi="Courier New" w:hint="default"/>
        <w:sz w:val="18"/>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w:hAnsi="Courier"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w:hAnsi="Courier" w:hint="default"/>
      </w:rPr>
    </w:lvl>
    <w:lvl w:ilvl="8" w:tplc="04090005" w:tentative="1">
      <w:start w:val="1"/>
      <w:numFmt w:val="bullet"/>
      <w:lvlText w:val=""/>
      <w:lvlJc w:val="left"/>
      <w:pPr>
        <w:ind w:left="7194" w:hanging="360"/>
      </w:pPr>
      <w:rPr>
        <w:rFonts w:ascii="Wingdings" w:hAnsi="Wingdings" w:hint="default"/>
      </w:rPr>
    </w:lvl>
  </w:abstractNum>
  <w:abstractNum w:abstractNumId="33">
    <w:nsid w:val="4C3F52DF"/>
    <w:multiLevelType w:val="hybridMultilevel"/>
    <w:tmpl w:val="4FCA87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5441CD"/>
    <w:multiLevelType w:val="hybridMultilevel"/>
    <w:tmpl w:val="737243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F233AA8"/>
    <w:multiLevelType w:val="multilevel"/>
    <w:tmpl w:val="39A256D2"/>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785"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95690E"/>
    <w:multiLevelType w:val="hybridMultilevel"/>
    <w:tmpl w:val="6E2CF2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7D3A71"/>
    <w:multiLevelType w:val="hybridMultilevel"/>
    <w:tmpl w:val="53DC71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4D24863"/>
    <w:multiLevelType w:val="hybridMultilevel"/>
    <w:tmpl w:val="638AF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5F96CF0"/>
    <w:multiLevelType w:val="hybridMultilevel"/>
    <w:tmpl w:val="7D2215F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56695426"/>
    <w:multiLevelType w:val="hybridMultilevel"/>
    <w:tmpl w:val="EF6CA1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CD8266D"/>
    <w:multiLevelType w:val="multilevel"/>
    <w:tmpl w:val="9DD0BE34"/>
    <w:lvl w:ilvl="0">
      <w:start w:val="1"/>
      <w:numFmt w:val="decimal"/>
      <w:pStyle w:val="BoxQuestions"/>
      <w:lvlText w:val="%1."/>
      <w:lvlJc w:val="left"/>
      <w:pPr>
        <w:tabs>
          <w:tab w:val="num" w:pos="454"/>
        </w:tabs>
        <w:ind w:left="454" w:hanging="454"/>
      </w:pPr>
      <w:rPr>
        <w:rFonts w:hint="default"/>
        <w:b w:val="0"/>
        <w:color w:val="auto"/>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E3D1A65"/>
    <w:multiLevelType w:val="hybridMultilevel"/>
    <w:tmpl w:val="CDB672F2"/>
    <w:lvl w:ilvl="0" w:tplc="E4E26CBC">
      <w:start w:val="1"/>
      <w:numFmt w:val="lowerLetter"/>
      <w:pStyle w:val="TableTextLeft-AlphaNumbering"/>
      <w:lvlText w:val="%1)"/>
      <w:lvlJc w:val="left"/>
      <w:pPr>
        <w:tabs>
          <w:tab w:val="num" w:pos="397"/>
        </w:tabs>
        <w:ind w:left="397" w:hanging="397"/>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E5412C3"/>
    <w:multiLevelType w:val="hybridMultilevel"/>
    <w:tmpl w:val="739CC658"/>
    <w:lvl w:ilvl="0" w:tplc="0764EF7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0BA7F6E"/>
    <w:multiLevelType w:val="hybridMultilevel"/>
    <w:tmpl w:val="66008D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2546BDD"/>
    <w:multiLevelType w:val="hybridMultilevel"/>
    <w:tmpl w:val="79C2AC00"/>
    <w:lvl w:ilvl="0" w:tplc="34EEE33C">
      <w:start w:val="1"/>
      <w:numFmt w:val="lowerRoman"/>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CA023C"/>
    <w:multiLevelType w:val="hybridMultilevel"/>
    <w:tmpl w:val="18A6F352"/>
    <w:lvl w:ilvl="0" w:tplc="2876A3D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2">
    <w:nsid w:val="6E434DE3"/>
    <w:multiLevelType w:val="hybridMultilevel"/>
    <w:tmpl w:val="D1CE80E0"/>
    <w:lvl w:ilvl="0" w:tplc="21C26B38">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3">
    <w:nsid w:val="77900F79"/>
    <w:multiLevelType w:val="hybridMultilevel"/>
    <w:tmpl w:val="28AE0410"/>
    <w:lvl w:ilvl="0" w:tplc="9936143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95B688B"/>
    <w:multiLevelType w:val="hybridMultilevel"/>
    <w:tmpl w:val="C05C02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9B30D92"/>
    <w:multiLevelType w:val="hybridMultilevel"/>
    <w:tmpl w:val="A2DEB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A0C78FD"/>
    <w:multiLevelType w:val="singleLevel"/>
    <w:tmpl w:val="70144614"/>
    <w:name w:val="StandardNumberedParagraphList"/>
    <w:lvl w:ilvl="0">
      <w:start w:val="2"/>
      <w:numFmt w:val="decimal"/>
      <w:pStyle w:val="NumberedParagraph"/>
      <w:lvlText w:val="%1."/>
      <w:lvlJc w:val="left"/>
      <w:pPr>
        <w:tabs>
          <w:tab w:val="num" w:pos="567"/>
        </w:tabs>
        <w:ind w:left="0" w:firstLine="0"/>
      </w:pPr>
    </w:lvl>
  </w:abstractNum>
  <w:num w:numId="1">
    <w:abstractNumId w:val="28"/>
  </w:num>
  <w:num w:numId="2">
    <w:abstractNumId w:val="26"/>
  </w:num>
  <w:num w:numId="3">
    <w:abstractNumId w:val="49"/>
  </w:num>
  <w:num w:numId="4">
    <w:abstractNumId w:val="3"/>
  </w:num>
  <w:num w:numId="5">
    <w:abstractNumId w:val="48"/>
  </w:num>
  <w:num w:numId="6">
    <w:abstractNumId w:val="20"/>
  </w:num>
  <w:num w:numId="7">
    <w:abstractNumId w:val="37"/>
  </w:num>
  <w:num w:numId="8">
    <w:abstractNumId w:val="42"/>
  </w:num>
  <w:num w:numId="9">
    <w:abstractNumId w:val="1"/>
  </w:num>
  <w:num w:numId="10">
    <w:abstractNumId w:val="18"/>
  </w:num>
  <w:num w:numId="11">
    <w:abstractNumId w:val="35"/>
  </w:num>
  <w:num w:numId="12">
    <w:abstractNumId w:val="43"/>
  </w:num>
  <w:num w:numId="13">
    <w:abstractNumId w:val="56"/>
  </w:num>
  <w:num w:numId="14">
    <w:abstractNumId w:val="44"/>
  </w:num>
  <w:num w:numId="15">
    <w:abstractNumId w:val="9"/>
  </w:num>
  <w:num w:numId="16">
    <w:abstractNumId w:val="7"/>
    <w:lvlOverride w:ilvl="0">
      <w:startOverride w:val="1"/>
    </w:lvlOverride>
  </w:num>
  <w:num w:numId="17">
    <w:abstractNumId w:val="12"/>
  </w:num>
  <w:num w:numId="18">
    <w:abstractNumId w:val="22"/>
  </w:num>
  <w:num w:numId="19">
    <w:abstractNumId w:val="39"/>
  </w:num>
  <w:num w:numId="20">
    <w:abstractNumId w:val="11"/>
  </w:num>
  <w:num w:numId="21">
    <w:abstractNumId w:val="33"/>
  </w:num>
  <w:num w:numId="22">
    <w:abstractNumId w:val="6"/>
  </w:num>
  <w:num w:numId="23">
    <w:abstractNumId w:val="40"/>
  </w:num>
  <w:num w:numId="24">
    <w:abstractNumId w:val="46"/>
  </w:num>
  <w:num w:numId="25">
    <w:abstractNumId w:val="2"/>
  </w:num>
  <w:num w:numId="26">
    <w:abstractNumId w:val="8"/>
  </w:num>
  <w:num w:numId="27">
    <w:abstractNumId w:val="50"/>
  </w:num>
  <w:num w:numId="28">
    <w:abstractNumId w:val="41"/>
  </w:num>
  <w:num w:numId="29">
    <w:abstractNumId w:val="17"/>
  </w:num>
  <w:num w:numId="30">
    <w:abstractNumId w:val="36"/>
  </w:num>
  <w:num w:numId="31">
    <w:abstractNumId w:val="55"/>
  </w:num>
  <w:num w:numId="32">
    <w:abstractNumId w:val="24"/>
  </w:num>
  <w:num w:numId="33">
    <w:abstractNumId w:val="53"/>
  </w:num>
  <w:num w:numId="34">
    <w:abstractNumId w:val="29"/>
  </w:num>
  <w:num w:numId="35">
    <w:abstractNumId w:val="21"/>
  </w:num>
  <w:num w:numId="36">
    <w:abstractNumId w:val="23"/>
  </w:num>
  <w:num w:numId="37">
    <w:abstractNumId w:val="54"/>
  </w:num>
  <w:num w:numId="38">
    <w:abstractNumId w:val="34"/>
  </w:num>
  <w:num w:numId="39">
    <w:abstractNumId w:val="38"/>
  </w:num>
  <w:num w:numId="40">
    <w:abstractNumId w:val="16"/>
  </w:num>
  <w:num w:numId="41">
    <w:abstractNumId w:val="5"/>
  </w:num>
  <w:num w:numId="42">
    <w:abstractNumId w:val="30"/>
  </w:num>
  <w:num w:numId="43">
    <w:abstractNumId w:val="25"/>
  </w:num>
  <w:num w:numId="44">
    <w:abstractNumId w:val="10"/>
  </w:num>
  <w:num w:numId="45">
    <w:abstractNumId w:val="19"/>
  </w:num>
  <w:num w:numId="46">
    <w:abstractNumId w:val="45"/>
  </w:num>
  <w:num w:numId="47">
    <w:abstractNumId w:val="47"/>
  </w:num>
  <w:num w:numId="48">
    <w:abstractNumId w:val="27"/>
  </w:num>
  <w:num w:numId="49">
    <w:abstractNumId w:val="52"/>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14"/>
  </w:num>
  <w:num w:numId="53">
    <w:abstractNumId w:val="18"/>
  </w:num>
  <w:num w:numId="54">
    <w:abstractNumId w:val="15"/>
  </w:num>
  <w:num w:numId="55">
    <w:abstractNumId w:val="0"/>
  </w:num>
  <w:num w:numId="56">
    <w:abstractNumId w:val="31"/>
  </w:num>
  <w:num w:numId="57">
    <w:abstractNumId w:val="32"/>
  </w:num>
  <w:num w:numId="58">
    <w:abstractNumId w:val="13"/>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2067">
      <o:colormru v:ext="edit" colors="#00a8d0,#008eb0,#1492e8,#1287d6,#117dc7,#c2e3f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1D"/>
    <w:rsid w:val="00002A0C"/>
    <w:rsid w:val="00002E38"/>
    <w:rsid w:val="000035A2"/>
    <w:rsid w:val="0000551C"/>
    <w:rsid w:val="00006BC1"/>
    <w:rsid w:val="00007A02"/>
    <w:rsid w:val="00017473"/>
    <w:rsid w:val="00020FE9"/>
    <w:rsid w:val="00027B72"/>
    <w:rsid w:val="0003187F"/>
    <w:rsid w:val="000424F1"/>
    <w:rsid w:val="000431FD"/>
    <w:rsid w:val="00045E3F"/>
    <w:rsid w:val="0004769E"/>
    <w:rsid w:val="00051547"/>
    <w:rsid w:val="000530A4"/>
    <w:rsid w:val="0005755C"/>
    <w:rsid w:val="0006104A"/>
    <w:rsid w:val="00061B54"/>
    <w:rsid w:val="000671F0"/>
    <w:rsid w:val="000676D6"/>
    <w:rsid w:val="00067A54"/>
    <w:rsid w:val="00081A71"/>
    <w:rsid w:val="00082B67"/>
    <w:rsid w:val="00084B74"/>
    <w:rsid w:val="00086B46"/>
    <w:rsid w:val="000935C6"/>
    <w:rsid w:val="0009684B"/>
    <w:rsid w:val="000968B6"/>
    <w:rsid w:val="00097838"/>
    <w:rsid w:val="000A263A"/>
    <w:rsid w:val="000A61D7"/>
    <w:rsid w:val="000A7E01"/>
    <w:rsid w:val="000B098D"/>
    <w:rsid w:val="000B34D3"/>
    <w:rsid w:val="000B5B80"/>
    <w:rsid w:val="000C08CC"/>
    <w:rsid w:val="000C7915"/>
    <w:rsid w:val="000D50AE"/>
    <w:rsid w:val="000D59A9"/>
    <w:rsid w:val="000E43A2"/>
    <w:rsid w:val="000F01AE"/>
    <w:rsid w:val="000F3409"/>
    <w:rsid w:val="000F539E"/>
    <w:rsid w:val="000F7517"/>
    <w:rsid w:val="0010215F"/>
    <w:rsid w:val="0010355D"/>
    <w:rsid w:val="00103669"/>
    <w:rsid w:val="00105398"/>
    <w:rsid w:val="001058D4"/>
    <w:rsid w:val="001059F5"/>
    <w:rsid w:val="00105A6A"/>
    <w:rsid w:val="001122E9"/>
    <w:rsid w:val="001149DE"/>
    <w:rsid w:val="001230A4"/>
    <w:rsid w:val="00123553"/>
    <w:rsid w:val="00124273"/>
    <w:rsid w:val="00124735"/>
    <w:rsid w:val="001302D4"/>
    <w:rsid w:val="001311C0"/>
    <w:rsid w:val="00133C4D"/>
    <w:rsid w:val="001428CB"/>
    <w:rsid w:val="00145576"/>
    <w:rsid w:val="00145723"/>
    <w:rsid w:val="00146DC9"/>
    <w:rsid w:val="00146F85"/>
    <w:rsid w:val="0015002B"/>
    <w:rsid w:val="00151205"/>
    <w:rsid w:val="00153E5E"/>
    <w:rsid w:val="001549AC"/>
    <w:rsid w:val="001609E3"/>
    <w:rsid w:val="00161352"/>
    <w:rsid w:val="0016370F"/>
    <w:rsid w:val="00167F93"/>
    <w:rsid w:val="00171C80"/>
    <w:rsid w:val="00177A28"/>
    <w:rsid w:val="00177D64"/>
    <w:rsid w:val="0018197A"/>
    <w:rsid w:val="00181A2D"/>
    <w:rsid w:val="001A0B04"/>
    <w:rsid w:val="001C612A"/>
    <w:rsid w:val="001D6DAA"/>
    <w:rsid w:val="001D7A07"/>
    <w:rsid w:val="001E15E6"/>
    <w:rsid w:val="001E6D17"/>
    <w:rsid w:val="001E771D"/>
    <w:rsid w:val="001F3CE7"/>
    <w:rsid w:val="00206F90"/>
    <w:rsid w:val="00215E73"/>
    <w:rsid w:val="00216A91"/>
    <w:rsid w:val="00222838"/>
    <w:rsid w:val="002233EF"/>
    <w:rsid w:val="00226A47"/>
    <w:rsid w:val="002304D9"/>
    <w:rsid w:val="00230EED"/>
    <w:rsid w:val="00237048"/>
    <w:rsid w:val="0024211A"/>
    <w:rsid w:val="00242316"/>
    <w:rsid w:val="00242E2C"/>
    <w:rsid w:val="00251775"/>
    <w:rsid w:val="00256526"/>
    <w:rsid w:val="002579A0"/>
    <w:rsid w:val="00262AF4"/>
    <w:rsid w:val="00264231"/>
    <w:rsid w:val="00264F78"/>
    <w:rsid w:val="00271408"/>
    <w:rsid w:val="002725EA"/>
    <w:rsid w:val="00272982"/>
    <w:rsid w:val="00273BFA"/>
    <w:rsid w:val="002774A0"/>
    <w:rsid w:val="002835F3"/>
    <w:rsid w:val="002A0713"/>
    <w:rsid w:val="002A39B7"/>
    <w:rsid w:val="002A5860"/>
    <w:rsid w:val="002A7218"/>
    <w:rsid w:val="002B5EF3"/>
    <w:rsid w:val="002B6EB6"/>
    <w:rsid w:val="002B74F1"/>
    <w:rsid w:val="002C7910"/>
    <w:rsid w:val="002D0AB8"/>
    <w:rsid w:val="002D0DA3"/>
    <w:rsid w:val="002D1ABB"/>
    <w:rsid w:val="002D3F93"/>
    <w:rsid w:val="002D57C4"/>
    <w:rsid w:val="002D7093"/>
    <w:rsid w:val="002E0589"/>
    <w:rsid w:val="002E2E55"/>
    <w:rsid w:val="002E4D55"/>
    <w:rsid w:val="002E5BB8"/>
    <w:rsid w:val="002F356F"/>
    <w:rsid w:val="002F4F20"/>
    <w:rsid w:val="003024F0"/>
    <w:rsid w:val="0030469E"/>
    <w:rsid w:val="0030753F"/>
    <w:rsid w:val="00310C2D"/>
    <w:rsid w:val="003123C3"/>
    <w:rsid w:val="003149A5"/>
    <w:rsid w:val="0031567F"/>
    <w:rsid w:val="0032152C"/>
    <w:rsid w:val="00323D5C"/>
    <w:rsid w:val="0033052A"/>
    <w:rsid w:val="00330B6B"/>
    <w:rsid w:val="003417C5"/>
    <w:rsid w:val="00351338"/>
    <w:rsid w:val="003523D4"/>
    <w:rsid w:val="00364A89"/>
    <w:rsid w:val="003746C7"/>
    <w:rsid w:val="0037695E"/>
    <w:rsid w:val="003775F5"/>
    <w:rsid w:val="0038015E"/>
    <w:rsid w:val="003808E3"/>
    <w:rsid w:val="00383E90"/>
    <w:rsid w:val="00393610"/>
    <w:rsid w:val="003A2B1E"/>
    <w:rsid w:val="003A36D8"/>
    <w:rsid w:val="003A3829"/>
    <w:rsid w:val="003A511D"/>
    <w:rsid w:val="003A6974"/>
    <w:rsid w:val="003B0F12"/>
    <w:rsid w:val="003B3432"/>
    <w:rsid w:val="003B7ED4"/>
    <w:rsid w:val="003C1F84"/>
    <w:rsid w:val="003C3719"/>
    <w:rsid w:val="003C5111"/>
    <w:rsid w:val="003C7A94"/>
    <w:rsid w:val="003C7C4E"/>
    <w:rsid w:val="003D3198"/>
    <w:rsid w:val="003D3E81"/>
    <w:rsid w:val="003D4BEA"/>
    <w:rsid w:val="003E133F"/>
    <w:rsid w:val="003E166D"/>
    <w:rsid w:val="003E22A8"/>
    <w:rsid w:val="003E4C88"/>
    <w:rsid w:val="003E549E"/>
    <w:rsid w:val="003F35C5"/>
    <w:rsid w:val="004019CD"/>
    <w:rsid w:val="00405D84"/>
    <w:rsid w:val="00406149"/>
    <w:rsid w:val="004077E1"/>
    <w:rsid w:val="00410555"/>
    <w:rsid w:val="00411185"/>
    <w:rsid w:val="0041210E"/>
    <w:rsid w:val="00417B10"/>
    <w:rsid w:val="00421E6F"/>
    <w:rsid w:val="004247CA"/>
    <w:rsid w:val="00434072"/>
    <w:rsid w:val="00437621"/>
    <w:rsid w:val="00437EBF"/>
    <w:rsid w:val="0044090E"/>
    <w:rsid w:val="00442CB1"/>
    <w:rsid w:val="00450619"/>
    <w:rsid w:val="0046797C"/>
    <w:rsid w:val="00467B47"/>
    <w:rsid w:val="004718FD"/>
    <w:rsid w:val="00475801"/>
    <w:rsid w:val="00481861"/>
    <w:rsid w:val="0048229A"/>
    <w:rsid w:val="00487A8B"/>
    <w:rsid w:val="00491E5C"/>
    <w:rsid w:val="004A0FD0"/>
    <w:rsid w:val="004A50B4"/>
    <w:rsid w:val="004B55B7"/>
    <w:rsid w:val="004B7D7D"/>
    <w:rsid w:val="004C3374"/>
    <w:rsid w:val="004C4E7A"/>
    <w:rsid w:val="004C72A9"/>
    <w:rsid w:val="004D364C"/>
    <w:rsid w:val="004D3E39"/>
    <w:rsid w:val="004E61FB"/>
    <w:rsid w:val="004E7AA7"/>
    <w:rsid w:val="004F1976"/>
    <w:rsid w:val="004F6680"/>
    <w:rsid w:val="004F7B80"/>
    <w:rsid w:val="00506331"/>
    <w:rsid w:val="00517554"/>
    <w:rsid w:val="0052280B"/>
    <w:rsid w:val="00524EDC"/>
    <w:rsid w:val="00526795"/>
    <w:rsid w:val="00526D2A"/>
    <w:rsid w:val="00531EC0"/>
    <w:rsid w:val="0054184C"/>
    <w:rsid w:val="00543DCE"/>
    <w:rsid w:val="00545755"/>
    <w:rsid w:val="00545BA8"/>
    <w:rsid w:val="0054727A"/>
    <w:rsid w:val="0055031D"/>
    <w:rsid w:val="00552989"/>
    <w:rsid w:val="00554D1A"/>
    <w:rsid w:val="00557728"/>
    <w:rsid w:val="00561DCE"/>
    <w:rsid w:val="005626DB"/>
    <w:rsid w:val="0056603E"/>
    <w:rsid w:val="00567636"/>
    <w:rsid w:val="00570F0F"/>
    <w:rsid w:val="005726C0"/>
    <w:rsid w:val="00572A96"/>
    <w:rsid w:val="00573DA9"/>
    <w:rsid w:val="00575B21"/>
    <w:rsid w:val="00576C1B"/>
    <w:rsid w:val="005771C9"/>
    <w:rsid w:val="00582851"/>
    <w:rsid w:val="00586367"/>
    <w:rsid w:val="00590831"/>
    <w:rsid w:val="005950EB"/>
    <w:rsid w:val="0059589F"/>
    <w:rsid w:val="0059746D"/>
    <w:rsid w:val="00597F97"/>
    <w:rsid w:val="005A2A35"/>
    <w:rsid w:val="005A457D"/>
    <w:rsid w:val="005B2925"/>
    <w:rsid w:val="005B48AF"/>
    <w:rsid w:val="005B5089"/>
    <w:rsid w:val="005B6025"/>
    <w:rsid w:val="005B65A8"/>
    <w:rsid w:val="005B6717"/>
    <w:rsid w:val="005C23A2"/>
    <w:rsid w:val="005C2F1F"/>
    <w:rsid w:val="005C7184"/>
    <w:rsid w:val="005C7C78"/>
    <w:rsid w:val="005D46E5"/>
    <w:rsid w:val="005E11B1"/>
    <w:rsid w:val="005E14C2"/>
    <w:rsid w:val="005E2294"/>
    <w:rsid w:val="005E45D1"/>
    <w:rsid w:val="005E7C34"/>
    <w:rsid w:val="005F60FD"/>
    <w:rsid w:val="005F633B"/>
    <w:rsid w:val="00602E9F"/>
    <w:rsid w:val="00604049"/>
    <w:rsid w:val="00606ADD"/>
    <w:rsid w:val="00610E3B"/>
    <w:rsid w:val="006133DD"/>
    <w:rsid w:val="00615C30"/>
    <w:rsid w:val="00616CAF"/>
    <w:rsid w:val="00623F57"/>
    <w:rsid w:val="00626F3F"/>
    <w:rsid w:val="00631BF3"/>
    <w:rsid w:val="00632141"/>
    <w:rsid w:val="006414B4"/>
    <w:rsid w:val="006456DC"/>
    <w:rsid w:val="00652E6A"/>
    <w:rsid w:val="00670FA0"/>
    <w:rsid w:val="006717AC"/>
    <w:rsid w:val="00676D6D"/>
    <w:rsid w:val="00681B0F"/>
    <w:rsid w:val="006870FD"/>
    <w:rsid w:val="00690F97"/>
    <w:rsid w:val="006944E0"/>
    <w:rsid w:val="006958A3"/>
    <w:rsid w:val="006A0EE3"/>
    <w:rsid w:val="006A5422"/>
    <w:rsid w:val="006B0C84"/>
    <w:rsid w:val="006B1992"/>
    <w:rsid w:val="006B6436"/>
    <w:rsid w:val="006C3DF2"/>
    <w:rsid w:val="006C4413"/>
    <w:rsid w:val="006D106F"/>
    <w:rsid w:val="006D5384"/>
    <w:rsid w:val="006E04D4"/>
    <w:rsid w:val="006E7642"/>
    <w:rsid w:val="006F004C"/>
    <w:rsid w:val="006F2C40"/>
    <w:rsid w:val="006F6749"/>
    <w:rsid w:val="006F6EEA"/>
    <w:rsid w:val="006F79F4"/>
    <w:rsid w:val="00700EE4"/>
    <w:rsid w:val="00701F18"/>
    <w:rsid w:val="0070206C"/>
    <w:rsid w:val="0070410E"/>
    <w:rsid w:val="007135CA"/>
    <w:rsid w:val="00714D0C"/>
    <w:rsid w:val="00715C95"/>
    <w:rsid w:val="0071714C"/>
    <w:rsid w:val="00722DC0"/>
    <w:rsid w:val="007232E7"/>
    <w:rsid w:val="0072344E"/>
    <w:rsid w:val="007246B4"/>
    <w:rsid w:val="00725E22"/>
    <w:rsid w:val="007267D9"/>
    <w:rsid w:val="007278C7"/>
    <w:rsid w:val="00733285"/>
    <w:rsid w:val="00737B80"/>
    <w:rsid w:val="00743716"/>
    <w:rsid w:val="007469D4"/>
    <w:rsid w:val="00750213"/>
    <w:rsid w:val="00753286"/>
    <w:rsid w:val="00761CC1"/>
    <w:rsid w:val="00770327"/>
    <w:rsid w:val="007739FE"/>
    <w:rsid w:val="00775975"/>
    <w:rsid w:val="00775990"/>
    <w:rsid w:val="007767B5"/>
    <w:rsid w:val="00776978"/>
    <w:rsid w:val="0077724D"/>
    <w:rsid w:val="00780FA7"/>
    <w:rsid w:val="0078113F"/>
    <w:rsid w:val="007839C8"/>
    <w:rsid w:val="0078418C"/>
    <w:rsid w:val="007863C6"/>
    <w:rsid w:val="0079079D"/>
    <w:rsid w:val="00792E8A"/>
    <w:rsid w:val="007932DC"/>
    <w:rsid w:val="007A2413"/>
    <w:rsid w:val="007A35A6"/>
    <w:rsid w:val="007B36E7"/>
    <w:rsid w:val="007B54F6"/>
    <w:rsid w:val="007C0664"/>
    <w:rsid w:val="007C3F29"/>
    <w:rsid w:val="007C4C84"/>
    <w:rsid w:val="007D4D6E"/>
    <w:rsid w:val="007E17AE"/>
    <w:rsid w:val="007E60A1"/>
    <w:rsid w:val="007F275E"/>
    <w:rsid w:val="007F2B27"/>
    <w:rsid w:val="00801015"/>
    <w:rsid w:val="008054DC"/>
    <w:rsid w:val="0080591D"/>
    <w:rsid w:val="00806E0D"/>
    <w:rsid w:val="00816003"/>
    <w:rsid w:val="00817E57"/>
    <w:rsid w:val="00820699"/>
    <w:rsid w:val="00833984"/>
    <w:rsid w:val="00834D1F"/>
    <w:rsid w:val="00836D50"/>
    <w:rsid w:val="00843E0E"/>
    <w:rsid w:val="00851E60"/>
    <w:rsid w:val="00852530"/>
    <w:rsid w:val="00854FBD"/>
    <w:rsid w:val="00864843"/>
    <w:rsid w:val="00874F09"/>
    <w:rsid w:val="00882714"/>
    <w:rsid w:val="00882A5A"/>
    <w:rsid w:val="00883E44"/>
    <w:rsid w:val="00892FFC"/>
    <w:rsid w:val="0089474E"/>
    <w:rsid w:val="00895C18"/>
    <w:rsid w:val="00896C36"/>
    <w:rsid w:val="008A20B7"/>
    <w:rsid w:val="008A6690"/>
    <w:rsid w:val="008A7F8F"/>
    <w:rsid w:val="008B3DE3"/>
    <w:rsid w:val="008B6DF3"/>
    <w:rsid w:val="008C2057"/>
    <w:rsid w:val="008C3E7B"/>
    <w:rsid w:val="008C5E07"/>
    <w:rsid w:val="008D219B"/>
    <w:rsid w:val="008D4AB0"/>
    <w:rsid w:val="008D4E74"/>
    <w:rsid w:val="008D5FA4"/>
    <w:rsid w:val="008E1AA7"/>
    <w:rsid w:val="008E2A7C"/>
    <w:rsid w:val="008E32A5"/>
    <w:rsid w:val="008E34F3"/>
    <w:rsid w:val="008E40A6"/>
    <w:rsid w:val="008E5957"/>
    <w:rsid w:val="008E6A6D"/>
    <w:rsid w:val="008F2E5B"/>
    <w:rsid w:val="008F5774"/>
    <w:rsid w:val="008F77BF"/>
    <w:rsid w:val="00902869"/>
    <w:rsid w:val="009064FD"/>
    <w:rsid w:val="009107AD"/>
    <w:rsid w:val="00910C51"/>
    <w:rsid w:val="00926EB2"/>
    <w:rsid w:val="009270D4"/>
    <w:rsid w:val="009339DD"/>
    <w:rsid w:val="009365BA"/>
    <w:rsid w:val="009378FB"/>
    <w:rsid w:val="0095224B"/>
    <w:rsid w:val="009522BC"/>
    <w:rsid w:val="009522C3"/>
    <w:rsid w:val="009528A9"/>
    <w:rsid w:val="00953913"/>
    <w:rsid w:val="0095514F"/>
    <w:rsid w:val="0095678A"/>
    <w:rsid w:val="00960960"/>
    <w:rsid w:val="00966286"/>
    <w:rsid w:val="00967F77"/>
    <w:rsid w:val="00970F22"/>
    <w:rsid w:val="00984FBC"/>
    <w:rsid w:val="00992AB4"/>
    <w:rsid w:val="009935C1"/>
    <w:rsid w:val="00994A31"/>
    <w:rsid w:val="009A1AF7"/>
    <w:rsid w:val="009A2562"/>
    <w:rsid w:val="009A31A3"/>
    <w:rsid w:val="009A6F0A"/>
    <w:rsid w:val="009A7EBB"/>
    <w:rsid w:val="009B2AC1"/>
    <w:rsid w:val="009B3268"/>
    <w:rsid w:val="009B36F7"/>
    <w:rsid w:val="009B5A6F"/>
    <w:rsid w:val="009C4101"/>
    <w:rsid w:val="009C4D1E"/>
    <w:rsid w:val="009C515E"/>
    <w:rsid w:val="009C761E"/>
    <w:rsid w:val="009D0EE5"/>
    <w:rsid w:val="009D2BB5"/>
    <w:rsid w:val="009D4C02"/>
    <w:rsid w:val="009D78A9"/>
    <w:rsid w:val="009E142C"/>
    <w:rsid w:val="009E238F"/>
    <w:rsid w:val="009E2EC8"/>
    <w:rsid w:val="009E5EF9"/>
    <w:rsid w:val="009E5FEF"/>
    <w:rsid w:val="009F4DE3"/>
    <w:rsid w:val="009F648F"/>
    <w:rsid w:val="00A00671"/>
    <w:rsid w:val="00A05121"/>
    <w:rsid w:val="00A07278"/>
    <w:rsid w:val="00A13445"/>
    <w:rsid w:val="00A14F64"/>
    <w:rsid w:val="00A15669"/>
    <w:rsid w:val="00A22088"/>
    <w:rsid w:val="00A24E2C"/>
    <w:rsid w:val="00A26343"/>
    <w:rsid w:val="00A26A90"/>
    <w:rsid w:val="00A26D09"/>
    <w:rsid w:val="00A31BC3"/>
    <w:rsid w:val="00A34722"/>
    <w:rsid w:val="00A366D4"/>
    <w:rsid w:val="00A37D1A"/>
    <w:rsid w:val="00A40C22"/>
    <w:rsid w:val="00A41F54"/>
    <w:rsid w:val="00A43B7F"/>
    <w:rsid w:val="00A45770"/>
    <w:rsid w:val="00A46AFC"/>
    <w:rsid w:val="00A50E4C"/>
    <w:rsid w:val="00A513D2"/>
    <w:rsid w:val="00A55051"/>
    <w:rsid w:val="00A5796F"/>
    <w:rsid w:val="00A62185"/>
    <w:rsid w:val="00A64016"/>
    <w:rsid w:val="00A645CF"/>
    <w:rsid w:val="00A64C86"/>
    <w:rsid w:val="00A678D5"/>
    <w:rsid w:val="00A715B5"/>
    <w:rsid w:val="00A7336D"/>
    <w:rsid w:val="00A75F21"/>
    <w:rsid w:val="00A87599"/>
    <w:rsid w:val="00A87E69"/>
    <w:rsid w:val="00AA27D6"/>
    <w:rsid w:val="00AA3B9F"/>
    <w:rsid w:val="00AA59EE"/>
    <w:rsid w:val="00AA7EDA"/>
    <w:rsid w:val="00AC48D4"/>
    <w:rsid w:val="00AC5563"/>
    <w:rsid w:val="00AC6652"/>
    <w:rsid w:val="00AD01DF"/>
    <w:rsid w:val="00AD0413"/>
    <w:rsid w:val="00AD22BA"/>
    <w:rsid w:val="00AD6406"/>
    <w:rsid w:val="00AE1560"/>
    <w:rsid w:val="00AE5E30"/>
    <w:rsid w:val="00AF0EC7"/>
    <w:rsid w:val="00AF4B53"/>
    <w:rsid w:val="00AF505D"/>
    <w:rsid w:val="00AF70D5"/>
    <w:rsid w:val="00B004C4"/>
    <w:rsid w:val="00B02FE2"/>
    <w:rsid w:val="00B04105"/>
    <w:rsid w:val="00B05272"/>
    <w:rsid w:val="00B10EFE"/>
    <w:rsid w:val="00B1436C"/>
    <w:rsid w:val="00B14934"/>
    <w:rsid w:val="00B16E1C"/>
    <w:rsid w:val="00B2332F"/>
    <w:rsid w:val="00B24475"/>
    <w:rsid w:val="00B25C47"/>
    <w:rsid w:val="00B3132C"/>
    <w:rsid w:val="00B3181F"/>
    <w:rsid w:val="00B34E2E"/>
    <w:rsid w:val="00B36555"/>
    <w:rsid w:val="00B36F17"/>
    <w:rsid w:val="00B41F3B"/>
    <w:rsid w:val="00B517DD"/>
    <w:rsid w:val="00B51C92"/>
    <w:rsid w:val="00B56267"/>
    <w:rsid w:val="00B56D8D"/>
    <w:rsid w:val="00B57D4D"/>
    <w:rsid w:val="00B657D8"/>
    <w:rsid w:val="00B6764A"/>
    <w:rsid w:val="00B71444"/>
    <w:rsid w:val="00B752DC"/>
    <w:rsid w:val="00B76366"/>
    <w:rsid w:val="00B84F99"/>
    <w:rsid w:val="00B918F5"/>
    <w:rsid w:val="00B91E07"/>
    <w:rsid w:val="00B93173"/>
    <w:rsid w:val="00B97C1A"/>
    <w:rsid w:val="00BA1272"/>
    <w:rsid w:val="00BB0AFA"/>
    <w:rsid w:val="00BB1523"/>
    <w:rsid w:val="00BB40AC"/>
    <w:rsid w:val="00BB4803"/>
    <w:rsid w:val="00BB56A0"/>
    <w:rsid w:val="00BC048C"/>
    <w:rsid w:val="00BC0860"/>
    <w:rsid w:val="00BC1123"/>
    <w:rsid w:val="00BC7D41"/>
    <w:rsid w:val="00BE1313"/>
    <w:rsid w:val="00BE225B"/>
    <w:rsid w:val="00BE2F00"/>
    <w:rsid w:val="00BE4B92"/>
    <w:rsid w:val="00BE7110"/>
    <w:rsid w:val="00BF189F"/>
    <w:rsid w:val="00BF4B9B"/>
    <w:rsid w:val="00BF58AB"/>
    <w:rsid w:val="00BF6103"/>
    <w:rsid w:val="00C0036C"/>
    <w:rsid w:val="00C032EE"/>
    <w:rsid w:val="00C04DEE"/>
    <w:rsid w:val="00C05022"/>
    <w:rsid w:val="00C11EB5"/>
    <w:rsid w:val="00C32C4A"/>
    <w:rsid w:val="00C347EC"/>
    <w:rsid w:val="00C367A0"/>
    <w:rsid w:val="00C42A28"/>
    <w:rsid w:val="00C44672"/>
    <w:rsid w:val="00C47B75"/>
    <w:rsid w:val="00C5354C"/>
    <w:rsid w:val="00C565D7"/>
    <w:rsid w:val="00C569E5"/>
    <w:rsid w:val="00C60CE1"/>
    <w:rsid w:val="00C61472"/>
    <w:rsid w:val="00C6208C"/>
    <w:rsid w:val="00C64480"/>
    <w:rsid w:val="00C822E2"/>
    <w:rsid w:val="00C82D2D"/>
    <w:rsid w:val="00C87CD5"/>
    <w:rsid w:val="00C95D32"/>
    <w:rsid w:val="00C96E23"/>
    <w:rsid w:val="00CB2163"/>
    <w:rsid w:val="00CB2CF2"/>
    <w:rsid w:val="00CB5C63"/>
    <w:rsid w:val="00CB6278"/>
    <w:rsid w:val="00CC2011"/>
    <w:rsid w:val="00CC3D78"/>
    <w:rsid w:val="00CC3E64"/>
    <w:rsid w:val="00CC456C"/>
    <w:rsid w:val="00CD1040"/>
    <w:rsid w:val="00CD124C"/>
    <w:rsid w:val="00CE0A20"/>
    <w:rsid w:val="00CE0AEB"/>
    <w:rsid w:val="00CE1F98"/>
    <w:rsid w:val="00CE21E2"/>
    <w:rsid w:val="00CE36E1"/>
    <w:rsid w:val="00CE5319"/>
    <w:rsid w:val="00CE55B1"/>
    <w:rsid w:val="00CF4B30"/>
    <w:rsid w:val="00CF7072"/>
    <w:rsid w:val="00D0026A"/>
    <w:rsid w:val="00D0235D"/>
    <w:rsid w:val="00D07949"/>
    <w:rsid w:val="00D11144"/>
    <w:rsid w:val="00D11FE0"/>
    <w:rsid w:val="00D258EF"/>
    <w:rsid w:val="00D26F16"/>
    <w:rsid w:val="00D31E41"/>
    <w:rsid w:val="00D331BE"/>
    <w:rsid w:val="00D34D7F"/>
    <w:rsid w:val="00D35BF3"/>
    <w:rsid w:val="00D360C6"/>
    <w:rsid w:val="00D4320C"/>
    <w:rsid w:val="00D52325"/>
    <w:rsid w:val="00D55622"/>
    <w:rsid w:val="00D556E7"/>
    <w:rsid w:val="00D57FED"/>
    <w:rsid w:val="00D61E19"/>
    <w:rsid w:val="00D63B2F"/>
    <w:rsid w:val="00D650BF"/>
    <w:rsid w:val="00D71A56"/>
    <w:rsid w:val="00D71C24"/>
    <w:rsid w:val="00D73D89"/>
    <w:rsid w:val="00D7774E"/>
    <w:rsid w:val="00D840ED"/>
    <w:rsid w:val="00D97C35"/>
    <w:rsid w:val="00DA12BE"/>
    <w:rsid w:val="00DA1A75"/>
    <w:rsid w:val="00DA7707"/>
    <w:rsid w:val="00DB0BC6"/>
    <w:rsid w:val="00DC2226"/>
    <w:rsid w:val="00DC729B"/>
    <w:rsid w:val="00DD0231"/>
    <w:rsid w:val="00DD03E5"/>
    <w:rsid w:val="00DD21DD"/>
    <w:rsid w:val="00DD6EBE"/>
    <w:rsid w:val="00DE1DB8"/>
    <w:rsid w:val="00DE48B2"/>
    <w:rsid w:val="00DE53E8"/>
    <w:rsid w:val="00DE6354"/>
    <w:rsid w:val="00DE7B5D"/>
    <w:rsid w:val="00DF397B"/>
    <w:rsid w:val="00E00074"/>
    <w:rsid w:val="00E0011A"/>
    <w:rsid w:val="00E11121"/>
    <w:rsid w:val="00E23E48"/>
    <w:rsid w:val="00E27418"/>
    <w:rsid w:val="00E277A0"/>
    <w:rsid w:val="00E35847"/>
    <w:rsid w:val="00E47003"/>
    <w:rsid w:val="00E507D2"/>
    <w:rsid w:val="00E55211"/>
    <w:rsid w:val="00E61A83"/>
    <w:rsid w:val="00E638BD"/>
    <w:rsid w:val="00E70851"/>
    <w:rsid w:val="00E73543"/>
    <w:rsid w:val="00E73750"/>
    <w:rsid w:val="00E739C9"/>
    <w:rsid w:val="00E73FB3"/>
    <w:rsid w:val="00E84A09"/>
    <w:rsid w:val="00E8562C"/>
    <w:rsid w:val="00E869B5"/>
    <w:rsid w:val="00E93DB8"/>
    <w:rsid w:val="00E96C27"/>
    <w:rsid w:val="00E978BF"/>
    <w:rsid w:val="00EA1932"/>
    <w:rsid w:val="00EB1B23"/>
    <w:rsid w:val="00EB6C75"/>
    <w:rsid w:val="00EC14F5"/>
    <w:rsid w:val="00EC15F1"/>
    <w:rsid w:val="00EC2D17"/>
    <w:rsid w:val="00EC2EA9"/>
    <w:rsid w:val="00ED283B"/>
    <w:rsid w:val="00ED2F5A"/>
    <w:rsid w:val="00EE5B7C"/>
    <w:rsid w:val="00EE6C83"/>
    <w:rsid w:val="00EE7190"/>
    <w:rsid w:val="00EF18B1"/>
    <w:rsid w:val="00EF6BF9"/>
    <w:rsid w:val="00F011A9"/>
    <w:rsid w:val="00F03952"/>
    <w:rsid w:val="00F03BCB"/>
    <w:rsid w:val="00F05A2D"/>
    <w:rsid w:val="00F20B86"/>
    <w:rsid w:val="00F21D20"/>
    <w:rsid w:val="00F22258"/>
    <w:rsid w:val="00F228B3"/>
    <w:rsid w:val="00F25D5B"/>
    <w:rsid w:val="00F31CA4"/>
    <w:rsid w:val="00F33137"/>
    <w:rsid w:val="00F336AA"/>
    <w:rsid w:val="00F3483A"/>
    <w:rsid w:val="00F4020A"/>
    <w:rsid w:val="00F40539"/>
    <w:rsid w:val="00F419D8"/>
    <w:rsid w:val="00F41CDE"/>
    <w:rsid w:val="00F425AE"/>
    <w:rsid w:val="00F42879"/>
    <w:rsid w:val="00F42A02"/>
    <w:rsid w:val="00F46623"/>
    <w:rsid w:val="00F519FB"/>
    <w:rsid w:val="00F52DFF"/>
    <w:rsid w:val="00F53D09"/>
    <w:rsid w:val="00F56ECF"/>
    <w:rsid w:val="00F576D8"/>
    <w:rsid w:val="00F6036D"/>
    <w:rsid w:val="00F6340B"/>
    <w:rsid w:val="00F63B3D"/>
    <w:rsid w:val="00F64427"/>
    <w:rsid w:val="00F65426"/>
    <w:rsid w:val="00F66DDE"/>
    <w:rsid w:val="00F67AC8"/>
    <w:rsid w:val="00F71CD1"/>
    <w:rsid w:val="00F72118"/>
    <w:rsid w:val="00F72474"/>
    <w:rsid w:val="00F731FF"/>
    <w:rsid w:val="00F7330D"/>
    <w:rsid w:val="00F80CCE"/>
    <w:rsid w:val="00F82975"/>
    <w:rsid w:val="00F947DD"/>
    <w:rsid w:val="00F947E7"/>
    <w:rsid w:val="00FA1756"/>
    <w:rsid w:val="00FA2CCF"/>
    <w:rsid w:val="00FB3018"/>
    <w:rsid w:val="00FB3400"/>
    <w:rsid w:val="00FC1A91"/>
    <w:rsid w:val="00FC3585"/>
    <w:rsid w:val="00FC5759"/>
    <w:rsid w:val="00FD1C24"/>
    <w:rsid w:val="00FD2347"/>
    <w:rsid w:val="00FD40C4"/>
    <w:rsid w:val="00FD60DD"/>
    <w:rsid w:val="00FE1947"/>
    <w:rsid w:val="00FE1A3E"/>
    <w:rsid w:val="00FE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ru v:ext="edit" colors="#00a8d0,#008eb0,#1492e8,#1287d6,#117dc7,#c2e3fa"/>
    </o:shapedefaults>
    <o:shapelayout v:ext="edit">
      <o:idmap v:ext="edit" data="1"/>
    </o:shapelayout>
  </w:shapeDefaults>
  <w:decimalSymbol w:val="."/>
  <w:listSeparator w:val=","/>
  <w14:docId w14:val="1ACE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Bullet 2"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aliases w:val="Heading 1 Cab"/>
    <w:basedOn w:val="Normal"/>
    <w:next w:val="BodyText"/>
    <w:link w:val="Heading1Char"/>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9"/>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9"/>
    <w:qFormat/>
    <w:rsid w:val="005E2294"/>
    <w:pPr>
      <w:keepNext/>
      <w:spacing w:before="400" w:after="0" w:line="280" w:lineRule="atLeast"/>
      <w:ind w:left="1134"/>
      <w:outlineLvl w:val="2"/>
    </w:pPr>
    <w:rPr>
      <w:rFonts w:ascii="Arial" w:hAnsi="Arial" w:cs="Arial"/>
      <w:b/>
      <w:sz w:val="24"/>
      <w:szCs w:val="24"/>
    </w:rPr>
  </w:style>
  <w:style w:type="paragraph" w:styleId="Heading4">
    <w:name w:val="heading 4"/>
    <w:basedOn w:val="Normal"/>
    <w:next w:val="BodyText"/>
    <w:link w:val="Heading4Char"/>
    <w:uiPriority w:val="9"/>
    <w:qFormat/>
    <w:rsid w:val="002D1ABB"/>
    <w:pPr>
      <w:keepNext/>
      <w:spacing w:before="280" w:after="0" w:line="280" w:lineRule="atLeast"/>
      <w:ind w:left="1134"/>
      <w:outlineLvl w:val="3"/>
    </w:pPr>
    <w:rPr>
      <w:rFonts w:ascii="Arial" w:hAnsi="Arial" w:cs="Arial"/>
      <w:b/>
      <w:sz w:val="20"/>
      <w:szCs w:val="22"/>
    </w:rPr>
  </w:style>
  <w:style w:type="paragraph" w:styleId="Heading5">
    <w:name w:val="heading 5"/>
    <w:basedOn w:val="Normal"/>
    <w:next w:val="BodyText"/>
    <w:link w:val="Heading5Char"/>
    <w:uiPriority w:val="9"/>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B56267"/>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354C"/>
    <w:pPr>
      <w:numPr>
        <w:numId w:val="10"/>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uiPriority w:val="99"/>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25C47"/>
    <w:pPr>
      <w:keepNext/>
      <w:spacing w:before="360" w:after="6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8"/>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uiPriority w:val="99"/>
    <w:rsid w:val="00A366D4"/>
    <w:pPr>
      <w:tabs>
        <w:tab w:val="left" w:pos="340"/>
      </w:tabs>
      <w:spacing w:after="0"/>
      <w:ind w:left="340" w:hanging="340"/>
    </w:pPr>
    <w:rPr>
      <w:sz w:val="16"/>
    </w:rPr>
  </w:style>
  <w:style w:type="character" w:styleId="FootnoteReference">
    <w:name w:val="footnote reference"/>
    <w:basedOn w:val="DefaultParagraphFont"/>
    <w:uiPriority w:val="99"/>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uiPriority w:val="39"/>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uiPriority w:val="39"/>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A87599"/>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AA3B9F"/>
    <w:pPr>
      <w:numPr>
        <w:ilvl w:val="2"/>
      </w:numPr>
      <w:tabs>
        <w:tab w:val="clear" w:pos="3119"/>
      </w:tabs>
      <w:ind w:left="2070" w:hanging="450"/>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7"/>
      </w:numPr>
      <w:spacing w:before="120"/>
    </w:pPr>
  </w:style>
  <w:style w:type="paragraph" w:customStyle="1" w:styleId="Frontheading">
    <w:name w:val="Front heading"/>
    <w:basedOn w:val="Heading3"/>
    <w:next w:val="Fronttext"/>
    <w:rsid w:val="00B56267"/>
    <w:pPr>
      <w:ind w:left="1168"/>
      <w:outlineLvl w:val="9"/>
    </w:pPr>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B36F17"/>
    <w:rPr>
      <w:sz w:val="16"/>
      <w:szCs w:val="16"/>
    </w:rPr>
  </w:style>
  <w:style w:type="paragraph" w:styleId="CommentText">
    <w:name w:val="annotation text"/>
    <w:basedOn w:val="Normal"/>
    <w:link w:val="CommentTextChar"/>
    <w:uiPriority w:val="99"/>
    <w:rsid w:val="00B36F17"/>
    <w:rPr>
      <w:sz w:val="20"/>
    </w:rPr>
  </w:style>
  <w:style w:type="paragraph" w:styleId="BalloonText">
    <w:name w:val="Balloon Text"/>
    <w:basedOn w:val="Normal"/>
    <w:link w:val="BalloonTextChar"/>
    <w:uiPriority w:val="99"/>
    <w:semiHidden/>
    <w:rsid w:val="00B36F17"/>
    <w:rPr>
      <w:rFonts w:ascii="Tahoma" w:hAnsi="Tahoma" w:cs="Tahoma"/>
      <w:sz w:val="16"/>
      <w:szCs w:val="16"/>
    </w:rPr>
  </w:style>
  <w:style w:type="paragraph" w:customStyle="1" w:styleId="boxbullet">
    <w:name w:val="box bullet"/>
    <w:basedOn w:val="Frontbullet"/>
    <w:rsid w:val="004E61FB"/>
    <w:pPr>
      <w:numPr>
        <w:ilvl w:val="0"/>
        <w:numId w:val="9"/>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80591D"/>
    <w:pPr>
      <w:keepNext w:val="0"/>
    </w:pPr>
    <w:rPr>
      <w:b w:val="0"/>
    </w:rPr>
  </w:style>
  <w:style w:type="character" w:customStyle="1" w:styleId="HeaderChar">
    <w:name w:val="Header Char"/>
    <w:basedOn w:val="DefaultParagraphFont"/>
    <w:link w:val="Header"/>
    <w:rsid w:val="0080591D"/>
    <w:rPr>
      <w:rFonts w:ascii="Arial" w:hAnsi="Arial" w:cs="Arial"/>
      <w:caps/>
      <w:color w:val="008291"/>
      <w:sz w:val="16"/>
      <w:szCs w:val="16"/>
    </w:rPr>
  </w:style>
  <w:style w:type="character" w:customStyle="1" w:styleId="FootnoteTextChar">
    <w:name w:val="Footnote Text Char"/>
    <w:basedOn w:val="DefaultParagraphFont"/>
    <w:link w:val="FootnoteText"/>
    <w:uiPriority w:val="99"/>
    <w:rsid w:val="00A366D4"/>
    <w:rPr>
      <w:sz w:val="16"/>
    </w:rPr>
  </w:style>
  <w:style w:type="paragraph" w:customStyle="1" w:styleId="Bullet">
    <w:name w:val="Bullet"/>
    <w:aliases w:val="b,b1,b + line,level 1,Body,Bullet + line"/>
    <w:basedOn w:val="Normal"/>
    <w:link w:val="BulletChar"/>
    <w:qFormat/>
    <w:rsid w:val="0080591D"/>
    <w:pPr>
      <w:numPr>
        <w:numId w:val="11"/>
      </w:numPr>
      <w:spacing w:after="200" w:line="276" w:lineRule="auto"/>
    </w:pPr>
    <w:rPr>
      <w:rFonts w:asciiTheme="minorHAnsi" w:eastAsia="Batang" w:hAnsiTheme="minorHAnsi" w:cstheme="minorBidi"/>
      <w:szCs w:val="22"/>
      <w:lang w:eastAsia="en-US"/>
    </w:rPr>
  </w:style>
  <w:style w:type="character" w:customStyle="1" w:styleId="BulletChar">
    <w:name w:val="Bullet Char"/>
    <w:aliases w:val="b Char,b + line Char Char,b Char Char"/>
    <w:basedOn w:val="DefaultParagraphFont"/>
    <w:link w:val="Bullet"/>
    <w:rsid w:val="0080591D"/>
    <w:rPr>
      <w:rFonts w:asciiTheme="minorHAnsi" w:eastAsia="Batang" w:hAnsiTheme="minorHAnsi" w:cstheme="minorBidi"/>
      <w:sz w:val="22"/>
      <w:szCs w:val="22"/>
      <w:lang w:eastAsia="en-US"/>
    </w:rPr>
  </w:style>
  <w:style w:type="paragraph" w:customStyle="1" w:styleId="Dash">
    <w:name w:val="Dash"/>
    <w:basedOn w:val="Normal"/>
    <w:link w:val="DashChar"/>
    <w:qFormat/>
    <w:rsid w:val="0080591D"/>
    <w:pPr>
      <w:numPr>
        <w:ilvl w:val="1"/>
        <w:numId w:val="11"/>
      </w:numPr>
      <w:spacing w:after="200" w:line="276" w:lineRule="auto"/>
    </w:pPr>
    <w:rPr>
      <w:rFonts w:asciiTheme="minorHAnsi" w:eastAsia="Batang" w:hAnsiTheme="minorHAnsi" w:cstheme="minorBidi"/>
      <w:szCs w:val="22"/>
      <w:lang w:eastAsia="en-US"/>
    </w:rPr>
  </w:style>
  <w:style w:type="paragraph" w:customStyle="1" w:styleId="DoubleDot">
    <w:name w:val="Double Dot"/>
    <w:basedOn w:val="Normal"/>
    <w:link w:val="DoubleDotChar"/>
    <w:qFormat/>
    <w:rsid w:val="0080591D"/>
    <w:pPr>
      <w:numPr>
        <w:ilvl w:val="2"/>
        <w:numId w:val="11"/>
      </w:numPr>
      <w:spacing w:after="200" w:line="276" w:lineRule="auto"/>
    </w:pPr>
    <w:rPr>
      <w:rFonts w:asciiTheme="minorHAnsi" w:eastAsia="Batang" w:hAnsiTheme="minorHAnsi" w:cstheme="minorBidi"/>
      <w:szCs w:val="22"/>
      <w:lang w:eastAsia="en-US"/>
    </w:rPr>
  </w:style>
  <w:style w:type="paragraph" w:styleId="ListParagraph">
    <w:name w:val="List Paragraph"/>
    <w:aliases w:val="List Paragraph - Levl 3"/>
    <w:basedOn w:val="Normal"/>
    <w:link w:val="ListParagraphChar"/>
    <w:uiPriority w:val="34"/>
    <w:qFormat/>
    <w:rsid w:val="0080591D"/>
    <w:pPr>
      <w:spacing w:after="200" w:line="276" w:lineRule="auto"/>
      <w:ind w:left="720"/>
      <w:contextualSpacing/>
    </w:pPr>
    <w:rPr>
      <w:rFonts w:asciiTheme="minorHAnsi" w:eastAsia="Batang" w:hAnsiTheme="minorHAnsi" w:cstheme="minorBidi"/>
      <w:szCs w:val="22"/>
      <w:lang w:eastAsia="en-US"/>
    </w:rPr>
  </w:style>
  <w:style w:type="character" w:customStyle="1" w:styleId="ListParagraphChar">
    <w:name w:val="List Paragraph Char"/>
    <w:aliases w:val="List Paragraph - Levl 3 Char"/>
    <w:basedOn w:val="DefaultParagraphFont"/>
    <w:link w:val="ListParagraph"/>
    <w:uiPriority w:val="34"/>
    <w:rsid w:val="0080591D"/>
    <w:rPr>
      <w:rFonts w:asciiTheme="minorHAnsi" w:eastAsia="Batang" w:hAnsiTheme="minorHAnsi" w:cstheme="minorBidi"/>
      <w:sz w:val="22"/>
      <w:szCs w:val="22"/>
      <w:lang w:eastAsia="en-US"/>
    </w:rPr>
  </w:style>
  <w:style w:type="character" w:customStyle="1" w:styleId="FooterChar">
    <w:name w:val="Footer Char"/>
    <w:basedOn w:val="DefaultParagraphFont"/>
    <w:link w:val="Footer"/>
    <w:rsid w:val="00B3181F"/>
    <w:rPr>
      <w:rFonts w:ascii="Arial" w:hAnsi="Arial"/>
      <w:sz w:val="16"/>
      <w:szCs w:val="16"/>
    </w:rPr>
  </w:style>
  <w:style w:type="paragraph" w:customStyle="1" w:styleId="TableColumnHeadingLeft">
    <w:name w:val="Table Column Heading Left"/>
    <w:basedOn w:val="Normal"/>
    <w:qFormat/>
    <w:rsid w:val="00B3181F"/>
    <w:pPr>
      <w:keepNext/>
      <w:spacing w:before="40" w:after="40"/>
    </w:pPr>
    <w:rPr>
      <w:rFonts w:asciiTheme="minorHAnsi" w:eastAsia="Batang" w:hAnsiTheme="minorHAnsi" w:cstheme="minorBidi"/>
      <w:bCs/>
      <w:color w:val="1F497D" w:themeColor="text2"/>
      <w:szCs w:val="22"/>
      <w:lang w:eastAsia="en-US"/>
    </w:rPr>
  </w:style>
  <w:style w:type="paragraph" w:customStyle="1" w:styleId="TableTextLeft">
    <w:name w:val="Table Text Left"/>
    <w:basedOn w:val="Bullet"/>
    <w:qFormat/>
    <w:rsid w:val="00B3181F"/>
    <w:pPr>
      <w:numPr>
        <w:numId w:val="0"/>
      </w:numPr>
      <w:spacing w:before="80" w:after="80" w:line="240" w:lineRule="auto"/>
    </w:pPr>
    <w:rPr>
      <w:color w:val="000000" w:themeColor="text1" w:themeShade="BF"/>
    </w:rPr>
  </w:style>
  <w:style w:type="paragraph" w:customStyle="1" w:styleId="TableRowHeadingLeft">
    <w:name w:val="Table Row Heading Left"/>
    <w:basedOn w:val="Bullet"/>
    <w:qFormat/>
    <w:rsid w:val="00B3181F"/>
    <w:pPr>
      <w:numPr>
        <w:numId w:val="0"/>
      </w:numPr>
      <w:spacing w:before="80" w:after="80" w:line="240" w:lineRule="auto"/>
    </w:pPr>
    <w:rPr>
      <w:bCs/>
      <w:color w:val="000000" w:themeColor="text1" w:themeShade="BF"/>
    </w:rPr>
  </w:style>
  <w:style w:type="character" w:customStyle="1" w:styleId="CommentTextChar">
    <w:name w:val="Comment Text Char"/>
    <w:basedOn w:val="DefaultParagraphFont"/>
    <w:link w:val="CommentText"/>
    <w:uiPriority w:val="99"/>
    <w:rsid w:val="00CB5C63"/>
  </w:style>
  <w:style w:type="paragraph" w:customStyle="1" w:styleId="TableMainHeading">
    <w:name w:val="Table Main Heading"/>
    <w:basedOn w:val="Bullet"/>
    <w:qFormat/>
    <w:rsid w:val="00CB5C63"/>
    <w:pPr>
      <w:keepNext/>
      <w:numPr>
        <w:numId w:val="0"/>
      </w:numPr>
      <w:spacing w:after="0"/>
    </w:pPr>
    <w:rPr>
      <w:b/>
      <w:color w:val="1F497D" w:themeColor="text2"/>
      <w:sz w:val="24"/>
    </w:rPr>
  </w:style>
  <w:style w:type="paragraph" w:customStyle="1" w:styleId="TableMainHeadingCont">
    <w:name w:val="Table Main Heading (Cont)"/>
    <w:basedOn w:val="TableMainHeading"/>
    <w:qFormat/>
    <w:rsid w:val="00CB5C63"/>
  </w:style>
  <w:style w:type="paragraph" w:customStyle="1" w:styleId="Box-Other-Heading">
    <w:name w:val="Box - Other - Heading"/>
    <w:basedOn w:val="Normal"/>
    <w:qFormat/>
    <w:rsid w:val="00CB5C63"/>
    <w:pPr>
      <w:spacing w:before="120" w:after="120"/>
    </w:pPr>
    <w:rPr>
      <w:rFonts w:asciiTheme="minorHAnsi" w:eastAsia="Batang" w:hAnsiTheme="minorHAnsi" w:cstheme="minorBidi"/>
      <w:b/>
      <w:color w:val="1F497D" w:themeColor="text2"/>
      <w:sz w:val="24"/>
      <w:szCs w:val="22"/>
      <w:lang w:eastAsia="en-US"/>
    </w:rPr>
  </w:style>
  <w:style w:type="paragraph" w:customStyle="1" w:styleId="Box-Other-Bullets">
    <w:name w:val="Box - Other - Bullets"/>
    <w:basedOn w:val="Normal"/>
    <w:qFormat/>
    <w:rsid w:val="00CB5C63"/>
    <w:pPr>
      <w:tabs>
        <w:tab w:val="num" w:pos="170"/>
      </w:tabs>
      <w:spacing w:before="80" w:after="80"/>
      <w:ind w:left="170" w:hanging="170"/>
    </w:pPr>
    <w:rPr>
      <w:rFonts w:asciiTheme="minorHAnsi" w:eastAsia="Batang" w:hAnsiTheme="minorHAnsi" w:cstheme="minorBidi"/>
      <w:color w:val="000000" w:themeColor="text1" w:themeShade="BF"/>
      <w:szCs w:val="22"/>
      <w:lang w:eastAsia="en-US"/>
    </w:rPr>
  </w:style>
  <w:style w:type="paragraph" w:customStyle="1" w:styleId="TableColumnSubHeadingLeft">
    <w:name w:val="Table Column Sub Heading Left"/>
    <w:basedOn w:val="TableColumnHeadingLeft"/>
    <w:qFormat/>
    <w:rsid w:val="00CB5C63"/>
    <w:pPr>
      <w:spacing w:before="80" w:after="80"/>
    </w:pPr>
    <w:rPr>
      <w:b/>
      <w:sz w:val="24"/>
      <w:szCs w:val="24"/>
    </w:rPr>
  </w:style>
  <w:style w:type="paragraph" w:customStyle="1" w:styleId="Default">
    <w:name w:val="Default"/>
    <w:rsid w:val="00CB5C63"/>
    <w:pPr>
      <w:autoSpaceDE w:val="0"/>
      <w:autoSpaceDN w:val="0"/>
      <w:adjustRightInd w:val="0"/>
    </w:pPr>
    <w:rPr>
      <w:rFonts w:ascii="Calibri" w:eastAsia="Batang" w:hAnsi="Calibri" w:cs="Calibr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3A2B1E"/>
    <w:rPr>
      <w:b/>
      <w:bCs/>
    </w:rPr>
  </w:style>
  <w:style w:type="character" w:customStyle="1" w:styleId="CommentSubjectChar">
    <w:name w:val="Comment Subject Char"/>
    <w:basedOn w:val="CommentTextChar"/>
    <w:link w:val="CommentSubject"/>
    <w:uiPriority w:val="99"/>
    <w:semiHidden/>
    <w:rsid w:val="003A2B1E"/>
    <w:rPr>
      <w:b/>
      <w:bCs/>
    </w:rPr>
  </w:style>
  <w:style w:type="paragraph" w:styleId="NormalWeb">
    <w:name w:val="Normal (Web)"/>
    <w:basedOn w:val="Normal"/>
    <w:uiPriority w:val="99"/>
    <w:unhideWhenUsed/>
    <w:rsid w:val="007C3F29"/>
    <w:pPr>
      <w:spacing w:before="100" w:beforeAutospacing="1" w:after="100" w:afterAutospacing="1"/>
    </w:pPr>
    <w:rPr>
      <w:sz w:val="24"/>
      <w:szCs w:val="24"/>
    </w:rPr>
  </w:style>
  <w:style w:type="character" w:customStyle="1" w:styleId="BalloonTextChar">
    <w:name w:val="Balloon Text Char"/>
    <w:basedOn w:val="DefaultParagraphFont"/>
    <w:link w:val="BalloonText"/>
    <w:uiPriority w:val="99"/>
    <w:semiHidden/>
    <w:rsid w:val="007C3F29"/>
    <w:rPr>
      <w:rFonts w:ascii="Tahoma" w:hAnsi="Tahoma" w:cs="Tahoma"/>
      <w:sz w:val="16"/>
      <w:szCs w:val="16"/>
    </w:rPr>
  </w:style>
  <w:style w:type="paragraph" w:customStyle="1" w:styleId="OutlineNumbered1">
    <w:name w:val="Outline Numbered 1"/>
    <w:basedOn w:val="Normal"/>
    <w:link w:val="OutlineNumbered1Char"/>
    <w:rsid w:val="007C3F29"/>
    <w:pPr>
      <w:numPr>
        <w:numId w:val="16"/>
      </w:numPr>
      <w:spacing w:after="200" w:line="276" w:lineRule="auto"/>
    </w:pPr>
    <w:rPr>
      <w:rFonts w:asciiTheme="minorHAnsi" w:eastAsia="Batang" w:hAnsiTheme="minorHAnsi" w:cstheme="minorBidi"/>
      <w:szCs w:val="22"/>
      <w:lang w:eastAsia="en-US"/>
    </w:rPr>
  </w:style>
  <w:style w:type="character" w:customStyle="1" w:styleId="OutlineNumbered1Char">
    <w:name w:val="Outline Numbered 1 Char"/>
    <w:basedOn w:val="DefaultParagraphFont"/>
    <w:link w:val="OutlineNumbered1"/>
    <w:rsid w:val="007C3F29"/>
    <w:rPr>
      <w:rFonts w:asciiTheme="minorHAnsi" w:eastAsia="Batang" w:hAnsiTheme="minorHAnsi" w:cstheme="minorBidi"/>
      <w:sz w:val="22"/>
      <w:szCs w:val="22"/>
      <w:lang w:eastAsia="en-US"/>
    </w:rPr>
  </w:style>
  <w:style w:type="paragraph" w:customStyle="1" w:styleId="OutlineNumbered2">
    <w:name w:val="Outline Numbered 2"/>
    <w:basedOn w:val="Normal"/>
    <w:link w:val="OutlineNumbered2Char"/>
    <w:rsid w:val="007C3F29"/>
    <w:pPr>
      <w:numPr>
        <w:ilvl w:val="1"/>
        <w:numId w:val="12"/>
      </w:numPr>
      <w:spacing w:after="200" w:line="276" w:lineRule="auto"/>
    </w:pPr>
    <w:rPr>
      <w:rFonts w:asciiTheme="minorHAnsi" w:eastAsia="Batang" w:hAnsiTheme="minorHAnsi" w:cstheme="minorBidi"/>
      <w:szCs w:val="22"/>
      <w:lang w:eastAsia="en-US"/>
    </w:rPr>
  </w:style>
  <w:style w:type="character" w:customStyle="1" w:styleId="OutlineNumbered2Char">
    <w:name w:val="Outline Numbered 2 Char"/>
    <w:basedOn w:val="DefaultParagraphFont"/>
    <w:link w:val="OutlineNumbered2"/>
    <w:rsid w:val="007C3F29"/>
    <w:rPr>
      <w:rFonts w:asciiTheme="minorHAnsi" w:eastAsia="Batang" w:hAnsiTheme="minorHAnsi" w:cstheme="minorBidi"/>
      <w:sz w:val="22"/>
      <w:szCs w:val="22"/>
      <w:lang w:eastAsia="en-US"/>
    </w:rPr>
  </w:style>
  <w:style w:type="paragraph" w:customStyle="1" w:styleId="OutlineNumbered3">
    <w:name w:val="Outline Numbered 3"/>
    <w:basedOn w:val="Normal"/>
    <w:link w:val="OutlineNumbered3Char"/>
    <w:rsid w:val="007C3F29"/>
    <w:pPr>
      <w:numPr>
        <w:ilvl w:val="2"/>
        <w:numId w:val="12"/>
      </w:numPr>
      <w:spacing w:after="200" w:line="276" w:lineRule="auto"/>
    </w:pPr>
    <w:rPr>
      <w:rFonts w:asciiTheme="minorHAnsi" w:eastAsia="Batang" w:hAnsiTheme="minorHAnsi" w:cstheme="minorBidi"/>
      <w:szCs w:val="22"/>
      <w:lang w:eastAsia="en-US"/>
    </w:rPr>
  </w:style>
  <w:style w:type="character" w:customStyle="1" w:styleId="OutlineNumbered3Char">
    <w:name w:val="Outline Numbered 3 Char"/>
    <w:basedOn w:val="DefaultParagraphFont"/>
    <w:link w:val="OutlineNumbered3"/>
    <w:rsid w:val="007C3F29"/>
    <w:rPr>
      <w:rFonts w:asciiTheme="minorHAnsi" w:eastAsia="Batang" w:hAnsiTheme="minorHAnsi" w:cstheme="minorBidi"/>
      <w:sz w:val="22"/>
      <w:szCs w:val="22"/>
      <w:lang w:eastAsia="en-US"/>
    </w:rPr>
  </w:style>
  <w:style w:type="character" w:customStyle="1" w:styleId="DashChar">
    <w:name w:val="Dash Char"/>
    <w:basedOn w:val="DefaultParagraphFont"/>
    <w:link w:val="Dash"/>
    <w:rsid w:val="007C3F29"/>
    <w:rPr>
      <w:rFonts w:asciiTheme="minorHAnsi" w:eastAsia="Batang" w:hAnsiTheme="minorHAnsi" w:cstheme="minorBidi"/>
      <w:sz w:val="22"/>
      <w:szCs w:val="22"/>
      <w:lang w:eastAsia="en-US"/>
    </w:rPr>
  </w:style>
  <w:style w:type="character" w:customStyle="1" w:styleId="DoubleDotChar">
    <w:name w:val="Double Dot Char"/>
    <w:basedOn w:val="DefaultParagraphFont"/>
    <w:link w:val="DoubleDot"/>
    <w:rsid w:val="007C3F29"/>
    <w:rPr>
      <w:rFonts w:asciiTheme="minorHAnsi" w:eastAsia="Batang" w:hAnsiTheme="minorHAnsi" w:cstheme="minorBidi"/>
      <w:sz w:val="22"/>
      <w:szCs w:val="22"/>
      <w:lang w:eastAsia="en-US"/>
    </w:rPr>
  </w:style>
  <w:style w:type="table" w:styleId="TableGrid">
    <w:name w:val="Table Grid"/>
    <w:basedOn w:val="TableNormal"/>
    <w:uiPriority w:val="59"/>
    <w:rsid w:val="007C3F2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C3F29"/>
    <w:rPr>
      <w:rFonts w:asciiTheme="minorHAnsi" w:eastAsia="Batang"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curityClassificationHeader">
    <w:name w:val="Security Classification Header"/>
    <w:link w:val="SecurityClassificationHeaderChar"/>
    <w:rsid w:val="007C3F29"/>
    <w:pPr>
      <w:spacing w:before="240" w:after="60" w:line="276" w:lineRule="auto"/>
      <w:jc w:val="center"/>
    </w:pPr>
    <w:rPr>
      <w:rFonts w:ascii="Arial" w:eastAsia="Batang" w:hAnsi="Arial" w:cs="Arial"/>
      <w:b/>
      <w:caps/>
      <w:color w:val="008291"/>
      <w:sz w:val="24"/>
      <w:szCs w:val="22"/>
      <w:lang w:eastAsia="en-US"/>
    </w:rPr>
  </w:style>
  <w:style w:type="character" w:customStyle="1" w:styleId="SecurityClassificationHeaderChar">
    <w:name w:val="Security Classification Header Char"/>
    <w:basedOn w:val="HeaderChar"/>
    <w:link w:val="SecurityClassificationHeader"/>
    <w:rsid w:val="007C3F29"/>
    <w:rPr>
      <w:rFonts w:ascii="Arial" w:eastAsia="Batang" w:hAnsi="Arial" w:cs="Arial"/>
      <w:b/>
      <w:caps/>
      <w:color w:val="008291"/>
      <w:sz w:val="24"/>
      <w:szCs w:val="22"/>
      <w:lang w:eastAsia="en-US"/>
    </w:rPr>
  </w:style>
  <w:style w:type="paragraph" w:customStyle="1" w:styleId="SecurityClassificationFooter">
    <w:name w:val="Security Classification Footer"/>
    <w:link w:val="SecurityClassificationFooterChar"/>
    <w:rsid w:val="007C3F29"/>
    <w:pPr>
      <w:spacing w:before="60" w:after="240" w:line="276" w:lineRule="auto"/>
      <w:jc w:val="center"/>
    </w:pPr>
    <w:rPr>
      <w:rFonts w:ascii="Arial" w:eastAsia="Batang" w:hAnsi="Arial" w:cs="Arial"/>
      <w:b/>
      <w:caps/>
      <w:color w:val="008291"/>
      <w:sz w:val="24"/>
      <w:szCs w:val="22"/>
      <w:lang w:eastAsia="en-US"/>
    </w:rPr>
  </w:style>
  <w:style w:type="character" w:customStyle="1" w:styleId="SecurityClassificationFooterChar">
    <w:name w:val="Security Classification Footer Char"/>
    <w:basedOn w:val="HeaderChar"/>
    <w:link w:val="SecurityClassificationFooter"/>
    <w:rsid w:val="007C3F29"/>
    <w:rPr>
      <w:rFonts w:ascii="Arial" w:eastAsia="Batang" w:hAnsi="Arial" w:cs="Arial"/>
      <w:b/>
      <w:caps/>
      <w:color w:val="008291"/>
      <w:sz w:val="24"/>
      <w:szCs w:val="22"/>
      <w:lang w:eastAsia="en-US"/>
    </w:rPr>
  </w:style>
  <w:style w:type="paragraph" w:customStyle="1" w:styleId="DLMSecurityHeader">
    <w:name w:val="DLM Security Header"/>
    <w:link w:val="DLMSecurityHeaderChar"/>
    <w:rsid w:val="007C3F29"/>
    <w:pPr>
      <w:spacing w:before="60" w:after="240" w:line="276" w:lineRule="auto"/>
      <w:jc w:val="center"/>
    </w:pPr>
    <w:rPr>
      <w:rFonts w:ascii="Arial" w:eastAsia="Batang" w:hAnsi="Arial" w:cs="Arial"/>
      <w:b/>
      <w:caps/>
      <w:color w:val="008291"/>
      <w:sz w:val="24"/>
      <w:szCs w:val="22"/>
      <w:lang w:eastAsia="en-US"/>
    </w:rPr>
  </w:style>
  <w:style w:type="character" w:customStyle="1" w:styleId="DLMSecurityHeaderChar">
    <w:name w:val="DLM Security Header Char"/>
    <w:basedOn w:val="HeaderChar"/>
    <w:link w:val="DLMSecurityHeader"/>
    <w:rsid w:val="007C3F29"/>
    <w:rPr>
      <w:rFonts w:ascii="Arial" w:eastAsia="Batang" w:hAnsi="Arial" w:cs="Arial"/>
      <w:b/>
      <w:caps/>
      <w:color w:val="008291"/>
      <w:sz w:val="24"/>
      <w:szCs w:val="22"/>
      <w:lang w:eastAsia="en-US"/>
    </w:rPr>
  </w:style>
  <w:style w:type="paragraph" w:customStyle="1" w:styleId="DLMSecurityFooter">
    <w:name w:val="DLM Security Footer"/>
    <w:link w:val="DLMSecurityFooterChar"/>
    <w:rsid w:val="007C3F29"/>
    <w:pPr>
      <w:spacing w:before="240" w:after="60" w:line="276" w:lineRule="auto"/>
      <w:jc w:val="center"/>
    </w:pPr>
    <w:rPr>
      <w:rFonts w:ascii="Arial" w:eastAsia="Batang" w:hAnsi="Arial" w:cs="Arial"/>
      <w:b/>
      <w:caps/>
      <w:color w:val="008291"/>
      <w:sz w:val="24"/>
      <w:szCs w:val="22"/>
      <w:lang w:eastAsia="en-US"/>
    </w:rPr>
  </w:style>
  <w:style w:type="character" w:customStyle="1" w:styleId="DLMSecurityFooterChar">
    <w:name w:val="DLM Security Footer Char"/>
    <w:basedOn w:val="HeaderChar"/>
    <w:link w:val="DLMSecurityFooter"/>
    <w:rsid w:val="007C3F29"/>
    <w:rPr>
      <w:rFonts w:ascii="Arial" w:eastAsia="Batang" w:hAnsi="Arial" w:cs="Arial"/>
      <w:b/>
      <w:caps/>
      <w:color w:val="008291"/>
      <w:sz w:val="24"/>
      <w:szCs w:val="22"/>
      <w:lang w:eastAsia="en-US"/>
    </w:rPr>
  </w:style>
  <w:style w:type="table" w:customStyle="1" w:styleId="TableGrid1">
    <w:name w:val="Table Grid1"/>
    <w:basedOn w:val="TableNormal"/>
    <w:next w:val="TableGrid"/>
    <w:uiPriority w:val="59"/>
    <w:rsid w:val="007C3F2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C3F29"/>
    <w:rPr>
      <w:sz w:val="22"/>
      <w:szCs w:val="22"/>
    </w:rPr>
  </w:style>
  <w:style w:type="paragraph" w:styleId="Revision">
    <w:name w:val="Revision"/>
    <w:hidden/>
    <w:uiPriority w:val="99"/>
    <w:semiHidden/>
    <w:rsid w:val="007C3F29"/>
    <w:rPr>
      <w:rFonts w:asciiTheme="minorHAnsi" w:eastAsia="Batang" w:hAnsiTheme="minorHAnsi" w:cstheme="minorBidi"/>
      <w:sz w:val="22"/>
      <w:szCs w:val="22"/>
      <w:lang w:eastAsia="en-US"/>
    </w:rPr>
  </w:style>
  <w:style w:type="character" w:customStyle="1" w:styleId="Heading1Char">
    <w:name w:val="Heading 1 Char"/>
    <w:aliases w:val="Heading 1 Cab Char"/>
    <w:basedOn w:val="DefaultParagraphFont"/>
    <w:link w:val="Heading1"/>
    <w:rsid w:val="007C3F29"/>
    <w:rPr>
      <w:rFonts w:ascii="Arial" w:hAnsi="Arial" w:cs="Arial"/>
      <w:b/>
      <w:kern w:val="28"/>
      <w:sz w:val="36"/>
      <w:szCs w:val="36"/>
    </w:rPr>
  </w:style>
  <w:style w:type="paragraph" w:styleId="TOCHeading">
    <w:name w:val="TOC Heading"/>
    <w:basedOn w:val="Heading1"/>
    <w:next w:val="Normal"/>
    <w:uiPriority w:val="39"/>
    <w:unhideWhenUsed/>
    <w:qFormat/>
    <w:rsid w:val="007C3F29"/>
    <w:pPr>
      <w:keepLines/>
      <w:pageBreakBefore w:val="0"/>
      <w:numPr>
        <w:numId w:val="0"/>
      </w:numPr>
      <w:tabs>
        <w:tab w:val="left" w:pos="2098"/>
      </w:tabs>
      <w:spacing w:after="360" w:line="240" w:lineRule="auto"/>
      <w:ind w:left="2098" w:hanging="2098"/>
      <w:outlineLvl w:val="9"/>
    </w:pPr>
    <w:rPr>
      <w:rFonts w:asciiTheme="majorHAnsi" w:eastAsiaTheme="majorEastAsia" w:hAnsiTheme="majorHAnsi" w:cstheme="majorBidi"/>
      <w:bCs/>
      <w:color w:val="1F497D" w:themeColor="text2"/>
      <w:kern w:val="0"/>
      <w:sz w:val="40"/>
      <w:szCs w:val="28"/>
      <w:lang w:val="en-US" w:eastAsia="ja-JP"/>
    </w:rPr>
  </w:style>
  <w:style w:type="paragraph" w:styleId="Title">
    <w:name w:val="Title"/>
    <w:basedOn w:val="Normal"/>
    <w:link w:val="TitleChar"/>
    <w:uiPriority w:val="10"/>
    <w:qFormat/>
    <w:rsid w:val="007C3F29"/>
    <w:pPr>
      <w:spacing w:before="240" w:after="60" w:line="276" w:lineRule="auto"/>
      <w:jc w:val="center"/>
      <w:outlineLvl w:val="0"/>
    </w:pPr>
    <w:rPr>
      <w:rFonts w:ascii="Arial" w:hAnsi="Arial"/>
      <w:b/>
      <w:kern w:val="28"/>
      <w:sz w:val="32"/>
      <w:szCs w:val="22"/>
      <w:lang w:eastAsia="en-US"/>
    </w:rPr>
  </w:style>
  <w:style w:type="character" w:customStyle="1" w:styleId="TitleChar">
    <w:name w:val="Title Char"/>
    <w:basedOn w:val="DefaultParagraphFont"/>
    <w:link w:val="Title"/>
    <w:uiPriority w:val="10"/>
    <w:rsid w:val="007C3F29"/>
    <w:rPr>
      <w:rFonts w:ascii="Arial" w:hAnsi="Arial"/>
      <w:b/>
      <w:kern w:val="28"/>
      <w:sz w:val="32"/>
      <w:szCs w:val="22"/>
      <w:lang w:eastAsia="en-US"/>
    </w:rPr>
  </w:style>
  <w:style w:type="paragraph" w:customStyle="1" w:styleId="SingleParagraph">
    <w:name w:val="Single Paragraph"/>
    <w:basedOn w:val="Normal"/>
    <w:link w:val="SingleParagraphChar"/>
    <w:rsid w:val="007C3F29"/>
    <w:pPr>
      <w:spacing w:after="0"/>
      <w:jc w:val="both"/>
    </w:pPr>
    <w:rPr>
      <w:rFonts w:ascii="Calibri" w:hAnsi="Calibri"/>
      <w:color w:val="000000"/>
    </w:rPr>
  </w:style>
  <w:style w:type="paragraph" w:customStyle="1" w:styleId="Heading2NotNumbered">
    <w:name w:val="Heading 2 Not Numbered"/>
    <w:basedOn w:val="Normal"/>
    <w:next w:val="Normal"/>
    <w:rsid w:val="007C3F29"/>
    <w:pPr>
      <w:keepNext/>
      <w:spacing w:before="360" w:line="276" w:lineRule="auto"/>
    </w:pPr>
    <w:rPr>
      <w:rFonts w:asciiTheme="majorHAnsi" w:hAnsiTheme="majorHAnsi"/>
      <w:b/>
      <w:color w:val="4F81BD" w:themeColor="accent1"/>
      <w:sz w:val="32"/>
      <w:szCs w:val="28"/>
    </w:rPr>
  </w:style>
  <w:style w:type="character" w:customStyle="1" w:styleId="SingleParagraphChar">
    <w:name w:val="Single Paragraph Char"/>
    <w:link w:val="SingleParagraph"/>
    <w:locked/>
    <w:rsid w:val="007C3F29"/>
    <w:rPr>
      <w:rFonts w:ascii="Calibri" w:hAnsi="Calibri"/>
      <w:color w:val="000000"/>
      <w:sz w:val="22"/>
    </w:rPr>
  </w:style>
  <w:style w:type="paragraph" w:customStyle="1" w:styleId="Heading1NotNumbered">
    <w:name w:val="Heading 1 Not Numbered"/>
    <w:basedOn w:val="Normal"/>
    <w:next w:val="Normal"/>
    <w:rsid w:val="007C3F29"/>
    <w:pPr>
      <w:keepNext/>
      <w:spacing w:after="360"/>
      <w:outlineLvl w:val="0"/>
    </w:pPr>
    <w:rPr>
      <w:rFonts w:asciiTheme="majorHAnsi" w:eastAsiaTheme="majorEastAsia" w:hAnsiTheme="majorHAnsi"/>
      <w:b/>
      <w:smallCaps/>
      <w:color w:val="1F497D" w:themeColor="text2"/>
      <w:sz w:val="40"/>
      <w:szCs w:val="36"/>
    </w:rPr>
  </w:style>
  <w:style w:type="paragraph" w:customStyle="1" w:styleId="CoverTitleSub">
    <w:name w:val="Cover Title Sub"/>
    <w:basedOn w:val="Normal"/>
    <w:rsid w:val="007C3F29"/>
    <w:pPr>
      <w:keepNext/>
      <w:spacing w:before="480" w:after="360"/>
      <w:jc w:val="right"/>
    </w:pPr>
    <w:rPr>
      <w:rFonts w:ascii="Garamond" w:hAnsi="Garamond"/>
      <w:color w:val="1F497D" w:themeColor="text2"/>
      <w:sz w:val="36"/>
    </w:rPr>
  </w:style>
  <w:style w:type="paragraph" w:customStyle="1" w:styleId="CoverTitleMain">
    <w:name w:val="Cover Title Main"/>
    <w:basedOn w:val="Normal"/>
    <w:next w:val="Normal"/>
    <w:rsid w:val="007C3F29"/>
    <w:pPr>
      <w:pBdr>
        <w:bottom w:val="single" w:sz="24" w:space="18" w:color="1F497D" w:themeColor="text2"/>
      </w:pBdr>
      <w:shd w:val="clear" w:color="auto" w:fill="FFFFFF"/>
      <w:spacing w:after="600"/>
      <w:jc w:val="center"/>
    </w:pPr>
    <w:rPr>
      <w:rFonts w:ascii="Garamond" w:hAnsi="Garamond"/>
      <w:b/>
      <w:color w:val="1F497D" w:themeColor="text2"/>
      <w:sz w:val="56"/>
    </w:rPr>
  </w:style>
  <w:style w:type="paragraph" w:styleId="NoSpacing">
    <w:name w:val="No Spacing"/>
    <w:uiPriority w:val="1"/>
    <w:qFormat/>
    <w:rsid w:val="007C3F29"/>
    <w:rPr>
      <w:rFonts w:asciiTheme="minorHAnsi" w:eastAsia="Batang" w:hAnsiTheme="minorHAnsi" w:cstheme="minorBidi"/>
      <w:sz w:val="22"/>
      <w:szCs w:val="22"/>
      <w:lang w:eastAsia="en-US"/>
    </w:rPr>
  </w:style>
  <w:style w:type="character" w:customStyle="1" w:styleId="Heading2Char">
    <w:name w:val="Heading 2 Char"/>
    <w:basedOn w:val="DefaultParagraphFont"/>
    <w:link w:val="Heading2"/>
    <w:uiPriority w:val="9"/>
    <w:rsid w:val="007C3F29"/>
    <w:rPr>
      <w:rFonts w:ascii="Arial" w:hAnsi="Arial" w:cs="Arial"/>
      <w:b/>
      <w:sz w:val="28"/>
      <w:szCs w:val="28"/>
    </w:rPr>
  </w:style>
  <w:style w:type="character" w:customStyle="1" w:styleId="Heading3Char">
    <w:name w:val="Heading 3 Char"/>
    <w:basedOn w:val="DefaultParagraphFont"/>
    <w:link w:val="Heading3"/>
    <w:uiPriority w:val="9"/>
    <w:rsid w:val="005E2294"/>
    <w:rPr>
      <w:rFonts w:ascii="Arial" w:hAnsi="Arial" w:cs="Arial"/>
      <w:b/>
      <w:sz w:val="24"/>
      <w:szCs w:val="24"/>
    </w:rPr>
  </w:style>
  <w:style w:type="paragraph" w:styleId="PlainText">
    <w:name w:val="Plain Text"/>
    <w:basedOn w:val="Normal"/>
    <w:link w:val="PlainTextChar"/>
    <w:uiPriority w:val="99"/>
    <w:semiHidden/>
    <w:unhideWhenUsed/>
    <w:rsid w:val="007C3F29"/>
    <w:pPr>
      <w:spacing w:after="0"/>
    </w:pPr>
    <w:rPr>
      <w:rFonts w:ascii="Calibri" w:eastAsia="Batang" w:hAnsi="Calibri" w:cstheme="minorBidi"/>
      <w:szCs w:val="21"/>
      <w:lang w:eastAsia="en-US"/>
    </w:rPr>
  </w:style>
  <w:style w:type="character" w:customStyle="1" w:styleId="PlainTextChar">
    <w:name w:val="Plain Text Char"/>
    <w:basedOn w:val="DefaultParagraphFont"/>
    <w:link w:val="PlainText"/>
    <w:uiPriority w:val="99"/>
    <w:semiHidden/>
    <w:rsid w:val="007C3F29"/>
    <w:rPr>
      <w:rFonts w:ascii="Calibri" w:eastAsia="Batang" w:hAnsi="Calibri" w:cstheme="minorBidi"/>
      <w:sz w:val="22"/>
      <w:szCs w:val="21"/>
      <w:lang w:eastAsia="en-US"/>
    </w:rPr>
  </w:style>
  <w:style w:type="paragraph" w:customStyle="1" w:styleId="NumberedParagraph">
    <w:name w:val="Numbered Paragraph"/>
    <w:basedOn w:val="Normal"/>
    <w:link w:val="NumberedParagraphChar"/>
    <w:rsid w:val="007C3F29"/>
    <w:pPr>
      <w:numPr>
        <w:numId w:val="13"/>
      </w:numPr>
      <w:spacing w:after="0" w:line="276" w:lineRule="auto"/>
    </w:pPr>
    <w:rPr>
      <w:rFonts w:asciiTheme="minorHAnsi" w:eastAsia="Batang" w:hAnsiTheme="minorHAnsi" w:cstheme="minorBidi"/>
      <w:b/>
      <w:szCs w:val="22"/>
      <w:lang w:eastAsia="en-US"/>
    </w:rPr>
  </w:style>
  <w:style w:type="character" w:customStyle="1" w:styleId="NumberedParagraphChar">
    <w:name w:val="Numbered Paragraph Char"/>
    <w:basedOn w:val="BulletChar"/>
    <w:link w:val="NumberedParagraph"/>
    <w:rsid w:val="007C3F29"/>
    <w:rPr>
      <w:rFonts w:asciiTheme="minorHAnsi" w:eastAsia="Batang" w:hAnsiTheme="minorHAnsi" w:cstheme="minorBidi"/>
      <w:b/>
      <w:sz w:val="22"/>
      <w:szCs w:val="22"/>
      <w:lang w:eastAsia="en-US"/>
    </w:rPr>
  </w:style>
  <w:style w:type="character" w:customStyle="1" w:styleId="A5">
    <w:name w:val="A5"/>
    <w:uiPriority w:val="99"/>
    <w:rsid w:val="007C3F29"/>
    <w:rPr>
      <w:rFonts w:cs="Swiss 721 BT"/>
      <w:color w:val="000000"/>
      <w:sz w:val="20"/>
      <w:szCs w:val="20"/>
    </w:rPr>
  </w:style>
  <w:style w:type="paragraph" w:customStyle="1" w:styleId="FooterOdd">
    <w:name w:val="Footer Odd"/>
    <w:basedOn w:val="Footer"/>
    <w:qFormat/>
    <w:rsid w:val="007C3F29"/>
    <w:pPr>
      <w:tabs>
        <w:tab w:val="clear" w:pos="9070"/>
        <w:tab w:val="center" w:pos="4513"/>
        <w:tab w:val="right" w:pos="9026"/>
      </w:tabs>
      <w:jc w:val="right"/>
    </w:pPr>
    <w:rPr>
      <w:rFonts w:asciiTheme="minorHAnsi" w:eastAsia="Batang" w:hAnsiTheme="minorHAnsi" w:cstheme="minorBidi"/>
      <w:color w:val="1F497D" w:themeColor="text2"/>
      <w:sz w:val="20"/>
      <w:szCs w:val="22"/>
      <w:lang w:eastAsia="en-US"/>
    </w:rPr>
  </w:style>
  <w:style w:type="paragraph" w:customStyle="1" w:styleId="FooterEven">
    <w:name w:val="Footer Even"/>
    <w:basedOn w:val="FooterOdd"/>
    <w:qFormat/>
    <w:rsid w:val="007C3F29"/>
    <w:pPr>
      <w:jc w:val="left"/>
    </w:pPr>
  </w:style>
  <w:style w:type="paragraph" w:customStyle="1" w:styleId="Heading1NoTOC">
    <w:name w:val="Heading 1 No TOC"/>
    <w:basedOn w:val="Heading1NotNumbered"/>
    <w:qFormat/>
    <w:rsid w:val="007C3F29"/>
    <w:pPr>
      <w:outlineLvl w:val="9"/>
    </w:pPr>
  </w:style>
  <w:style w:type="paragraph" w:customStyle="1" w:styleId="BoxQuestions">
    <w:name w:val="Box Questions"/>
    <w:qFormat/>
    <w:rsid w:val="007C3F29"/>
    <w:pPr>
      <w:numPr>
        <w:numId w:val="12"/>
      </w:numPr>
      <w:spacing w:before="120" w:after="120" w:line="300" w:lineRule="auto"/>
    </w:pPr>
    <w:rPr>
      <w:rFonts w:ascii="Helvetica" w:eastAsia="Batang" w:hAnsi="Helvetica" w:cstheme="minorBidi"/>
      <w:lang w:eastAsia="en-US"/>
    </w:rPr>
  </w:style>
  <w:style w:type="paragraph" w:customStyle="1" w:styleId="BoxQuestions-Heading">
    <w:name w:val="Box Questions - Heading"/>
    <w:basedOn w:val="OutlineNumbered1"/>
    <w:qFormat/>
    <w:rsid w:val="007C3F29"/>
    <w:pPr>
      <w:numPr>
        <w:numId w:val="0"/>
      </w:numPr>
      <w:spacing w:before="120" w:after="120" w:line="240" w:lineRule="auto"/>
    </w:pPr>
    <w:rPr>
      <w:rFonts w:ascii="Helvetica" w:hAnsi="Helvetica"/>
      <w:b/>
      <w:color w:val="1F497D" w:themeColor="text2"/>
    </w:rPr>
  </w:style>
  <w:style w:type="paragraph" w:customStyle="1" w:styleId="ChartMainHeading">
    <w:name w:val="Chart Main Heading"/>
    <w:basedOn w:val="TableMainHeading"/>
    <w:qFormat/>
    <w:rsid w:val="007C3F29"/>
    <w:pPr>
      <w:spacing w:after="120"/>
    </w:pPr>
  </w:style>
  <w:style w:type="paragraph" w:customStyle="1" w:styleId="ChartGraphic">
    <w:name w:val="Chart Graphic"/>
    <w:basedOn w:val="Bullet"/>
    <w:qFormat/>
    <w:rsid w:val="007C3F29"/>
    <w:pPr>
      <w:numPr>
        <w:numId w:val="0"/>
      </w:numPr>
      <w:jc w:val="center"/>
    </w:pPr>
    <w:rPr>
      <w:noProof/>
      <w:lang w:eastAsia="en-AU"/>
    </w:rPr>
  </w:style>
  <w:style w:type="paragraph" w:customStyle="1" w:styleId="Box-Other-Text">
    <w:name w:val="Box - Other - Text"/>
    <w:basedOn w:val="Normal"/>
    <w:qFormat/>
    <w:rsid w:val="007C3F29"/>
    <w:pPr>
      <w:spacing w:after="120"/>
    </w:pPr>
    <w:rPr>
      <w:rFonts w:asciiTheme="minorHAnsi" w:eastAsia="Batang" w:hAnsiTheme="minorHAnsi" w:cstheme="minorBidi"/>
      <w:szCs w:val="22"/>
      <w:lang w:eastAsia="en-US"/>
    </w:rPr>
  </w:style>
  <w:style w:type="character" w:customStyle="1" w:styleId="Heading4Char">
    <w:name w:val="Heading 4 Char"/>
    <w:basedOn w:val="DefaultParagraphFont"/>
    <w:link w:val="Heading4"/>
    <w:uiPriority w:val="9"/>
    <w:rsid w:val="002D1ABB"/>
    <w:rPr>
      <w:rFonts w:ascii="Arial" w:hAnsi="Arial" w:cs="Arial"/>
      <w:b/>
      <w:szCs w:val="22"/>
    </w:rPr>
  </w:style>
  <w:style w:type="paragraph" w:customStyle="1" w:styleId="FigureGraphic">
    <w:name w:val="Figure Graphic"/>
    <w:basedOn w:val="Bullet"/>
    <w:qFormat/>
    <w:rsid w:val="007C3F29"/>
    <w:pPr>
      <w:numPr>
        <w:numId w:val="0"/>
      </w:numPr>
      <w:spacing w:after="120"/>
      <w:jc w:val="center"/>
    </w:pPr>
    <w:rPr>
      <w:noProof/>
      <w:lang w:eastAsia="en-AU"/>
    </w:rPr>
  </w:style>
  <w:style w:type="paragraph" w:customStyle="1" w:styleId="FigureHeading">
    <w:name w:val="Figure Heading"/>
    <w:basedOn w:val="ChartMainHeading"/>
    <w:qFormat/>
    <w:rsid w:val="007C3F29"/>
  </w:style>
  <w:style w:type="paragraph" w:customStyle="1" w:styleId="ChartorTableNote">
    <w:name w:val="Chart or Table Note"/>
    <w:basedOn w:val="Bullet"/>
    <w:qFormat/>
    <w:rsid w:val="007C3F29"/>
    <w:pPr>
      <w:numPr>
        <w:numId w:val="0"/>
      </w:numPr>
      <w:tabs>
        <w:tab w:val="left" w:pos="567"/>
      </w:tabs>
      <w:spacing w:after="240"/>
      <w:ind w:left="567" w:hanging="567"/>
    </w:pPr>
    <w:rPr>
      <w:sz w:val="18"/>
      <w:szCs w:val="18"/>
    </w:rPr>
  </w:style>
  <w:style w:type="paragraph" w:customStyle="1" w:styleId="AttachmentHeading">
    <w:name w:val="Attachment Heading"/>
    <w:basedOn w:val="Heading1"/>
    <w:qFormat/>
    <w:rsid w:val="007C3F29"/>
    <w:pPr>
      <w:keepLines/>
      <w:pageBreakBefore w:val="0"/>
      <w:numPr>
        <w:numId w:val="0"/>
      </w:numPr>
      <w:tabs>
        <w:tab w:val="left" w:pos="2892"/>
      </w:tabs>
      <w:spacing w:after="360" w:line="240" w:lineRule="auto"/>
      <w:ind w:left="2892" w:hanging="2892"/>
    </w:pPr>
    <w:rPr>
      <w:rFonts w:asciiTheme="majorHAnsi" w:eastAsiaTheme="majorEastAsia" w:hAnsiTheme="majorHAnsi" w:cstheme="majorBidi"/>
      <w:bCs/>
      <w:color w:val="1F497D" w:themeColor="text2"/>
      <w:kern w:val="0"/>
      <w:sz w:val="40"/>
      <w:szCs w:val="28"/>
      <w:lang w:eastAsia="en-US"/>
    </w:rPr>
  </w:style>
  <w:style w:type="paragraph" w:customStyle="1" w:styleId="TableTextLeft-AlphaNumbering">
    <w:name w:val="Table Text Left - Alpha Numbering"/>
    <w:basedOn w:val="TableTextLeft"/>
    <w:qFormat/>
    <w:rsid w:val="007C3F29"/>
    <w:pPr>
      <w:numPr>
        <w:numId w:val="14"/>
      </w:numPr>
    </w:pPr>
  </w:style>
  <w:style w:type="paragraph" w:customStyle="1" w:styleId="TableTextCentre">
    <w:name w:val="Table Text Centre"/>
    <w:basedOn w:val="TableTextLeft"/>
    <w:qFormat/>
    <w:rsid w:val="007C3F29"/>
    <w:pPr>
      <w:jc w:val="center"/>
    </w:pPr>
  </w:style>
  <w:style w:type="paragraph" w:customStyle="1" w:styleId="TableColumnHeadingCentred">
    <w:name w:val="Table Column Heading Centred"/>
    <w:basedOn w:val="TableColumnHeadingLeft"/>
    <w:qFormat/>
    <w:rsid w:val="007C3F29"/>
    <w:pPr>
      <w:jc w:val="center"/>
    </w:pPr>
    <w:rPr>
      <w:bCs w:val="0"/>
    </w:rPr>
  </w:style>
  <w:style w:type="paragraph" w:customStyle="1" w:styleId="SingleParagraphDouble">
    <w:name w:val="Single Paragraph Double"/>
    <w:basedOn w:val="SingleParagraph"/>
    <w:qFormat/>
    <w:rsid w:val="007C3F29"/>
    <w:rPr>
      <w:sz w:val="44"/>
      <w:szCs w:val="40"/>
    </w:rPr>
  </w:style>
  <w:style w:type="paragraph" w:customStyle="1" w:styleId="TableTexLeft-Bullets">
    <w:name w:val="Table Tex Left - Bullets"/>
    <w:basedOn w:val="Bullet"/>
    <w:qFormat/>
    <w:rsid w:val="007C3F29"/>
    <w:pPr>
      <w:numPr>
        <w:numId w:val="0"/>
      </w:numPr>
      <w:tabs>
        <w:tab w:val="num" w:pos="170"/>
      </w:tabs>
      <w:spacing w:before="80" w:after="80" w:line="240" w:lineRule="auto"/>
      <w:ind w:left="170" w:hanging="170"/>
    </w:pPr>
    <w:rPr>
      <w:color w:val="000000" w:themeColor="text1" w:themeShade="BF"/>
    </w:rPr>
  </w:style>
  <w:style w:type="paragraph" w:customStyle="1" w:styleId="TableTextLeft-Dash">
    <w:name w:val="Table Text Left - Dash"/>
    <w:basedOn w:val="Dash"/>
    <w:qFormat/>
    <w:rsid w:val="007C3F29"/>
    <w:pPr>
      <w:numPr>
        <w:numId w:val="15"/>
      </w:numPr>
      <w:spacing w:before="80" w:after="80" w:line="240" w:lineRule="auto"/>
      <w:ind w:left="794" w:hanging="397"/>
    </w:pPr>
    <w:rPr>
      <w:color w:val="000000" w:themeColor="text1" w:themeShade="BF"/>
    </w:rPr>
  </w:style>
  <w:style w:type="paragraph" w:customStyle="1" w:styleId="HeaderEven">
    <w:name w:val="Header Even"/>
    <w:basedOn w:val="Header"/>
    <w:qFormat/>
    <w:rsid w:val="007C3F29"/>
    <w:pPr>
      <w:pBdr>
        <w:bottom w:val="none" w:sz="0" w:space="0" w:color="auto"/>
      </w:pBdr>
      <w:tabs>
        <w:tab w:val="clear" w:pos="9356"/>
        <w:tab w:val="center" w:pos="4513"/>
        <w:tab w:val="right" w:pos="9026"/>
      </w:tabs>
      <w:ind w:left="0"/>
    </w:pPr>
    <w:rPr>
      <w:rFonts w:asciiTheme="minorHAnsi" w:eastAsia="Batang" w:hAnsiTheme="minorHAnsi" w:cstheme="minorBidi"/>
      <w:caps w:val="0"/>
      <w:color w:val="1F497D" w:themeColor="text2"/>
      <w:sz w:val="20"/>
      <w:szCs w:val="22"/>
      <w:lang w:eastAsia="en-US"/>
    </w:rPr>
  </w:style>
  <w:style w:type="paragraph" w:customStyle="1" w:styleId="HeaderOdd">
    <w:name w:val="Header Odd"/>
    <w:basedOn w:val="Header"/>
    <w:qFormat/>
    <w:rsid w:val="007C3F29"/>
    <w:pPr>
      <w:pBdr>
        <w:bottom w:val="none" w:sz="0" w:space="0" w:color="auto"/>
      </w:pBdr>
      <w:tabs>
        <w:tab w:val="clear" w:pos="9356"/>
        <w:tab w:val="center" w:pos="4513"/>
        <w:tab w:val="right" w:pos="9026"/>
      </w:tabs>
      <w:ind w:left="0"/>
      <w:jc w:val="right"/>
    </w:pPr>
    <w:rPr>
      <w:rFonts w:asciiTheme="minorHAnsi" w:eastAsia="Batang" w:hAnsiTheme="minorHAnsi" w:cstheme="minorBidi"/>
      <w:caps w:val="0"/>
      <w:color w:val="1F497D" w:themeColor="text2"/>
      <w:sz w:val="20"/>
      <w:szCs w:val="22"/>
      <w:lang w:eastAsia="en-US"/>
    </w:rPr>
  </w:style>
  <w:style w:type="table" w:customStyle="1" w:styleId="Style1">
    <w:name w:val="Style1"/>
    <w:basedOn w:val="TableNormal"/>
    <w:uiPriority w:val="99"/>
    <w:rsid w:val="007C3F29"/>
    <w:rPr>
      <w:rFonts w:asciiTheme="minorHAnsi" w:eastAsia="Batang" w:hAnsiTheme="minorHAnsi" w:cstheme="minorBidi"/>
      <w:sz w:val="22"/>
      <w:szCs w:val="22"/>
      <w:lang w:eastAsia="en-US"/>
    </w:rPr>
    <w:tblPr>
      <w:tblBorders>
        <w:top w:val="single" w:sz="4" w:space="0" w:color="auto"/>
        <w:bottom w:val="single" w:sz="4" w:space="0" w:color="auto"/>
      </w:tblBorders>
    </w:tblPr>
    <w:tcPr>
      <w:shd w:val="clear" w:color="auto" w:fill="auto"/>
    </w:tcPr>
  </w:style>
  <w:style w:type="paragraph" w:customStyle="1" w:styleId="SinglePara">
    <w:name w:val="Single Para"/>
    <w:basedOn w:val="Normal"/>
    <w:rsid w:val="007C3F29"/>
    <w:pPr>
      <w:spacing w:after="0"/>
    </w:pPr>
    <w:rPr>
      <w:sz w:val="20"/>
    </w:rPr>
  </w:style>
  <w:style w:type="table" w:styleId="MediumShading1">
    <w:name w:val="Medium Shading 1"/>
    <w:basedOn w:val="TableNormal"/>
    <w:uiPriority w:val="63"/>
    <w:rsid w:val="007C3F29"/>
    <w:rPr>
      <w:rFonts w:asciiTheme="minorHAnsi" w:eastAsia="Batang"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7C3F29"/>
    <w:rPr>
      <w:rFonts w:asciiTheme="minorHAnsi" w:eastAsia="Batang"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CRISbody">
    <w:name w:val="CRIS body"/>
    <w:basedOn w:val="Normal"/>
    <w:qFormat/>
    <w:rsid w:val="007C3F29"/>
    <w:pPr>
      <w:widowControl w:val="0"/>
      <w:autoSpaceDE w:val="0"/>
      <w:autoSpaceDN w:val="0"/>
      <w:adjustRightInd w:val="0"/>
      <w:spacing w:line="276" w:lineRule="auto"/>
      <w:jc w:val="both"/>
    </w:pPr>
    <w:rPr>
      <w:rFonts w:ascii="Calibri" w:eastAsia="SimSun" w:hAnsi="Calibri"/>
      <w:iCs/>
      <w:sz w:val="24"/>
      <w:szCs w:val="24"/>
    </w:rPr>
  </w:style>
  <w:style w:type="character" w:customStyle="1" w:styleId="plaintextparagraph2">
    <w:name w:val="plaintextparagraph2"/>
    <w:basedOn w:val="DefaultParagraphFont"/>
    <w:rsid w:val="007C3F29"/>
    <w:rPr>
      <w:rFonts w:ascii="Arial" w:hAnsi="Arial" w:cs="Arial" w:hint="default"/>
      <w:b w:val="0"/>
      <w:bCs w:val="0"/>
      <w:caps w:val="0"/>
      <w:color w:val="000000"/>
      <w:sz w:val="18"/>
      <w:szCs w:val="18"/>
      <w:bdr w:val="none" w:sz="0" w:space="0" w:color="auto" w:frame="1"/>
    </w:rPr>
  </w:style>
  <w:style w:type="paragraph" w:customStyle="1" w:styleId="BodyTextCabNumbered">
    <w:name w:val="Body Text Cab Numbered"/>
    <w:basedOn w:val="BodyText"/>
    <w:link w:val="BodyTextCabNumberedChar"/>
    <w:uiPriority w:val="98"/>
    <w:rsid w:val="007C3F29"/>
    <w:pPr>
      <w:numPr>
        <w:numId w:val="0"/>
      </w:numPr>
      <w:tabs>
        <w:tab w:val="num" w:pos="142"/>
        <w:tab w:val="left" w:pos="567"/>
      </w:tabs>
      <w:spacing w:before="120" w:line="240" w:lineRule="auto"/>
      <w:ind w:left="142"/>
    </w:pPr>
    <w:rPr>
      <w:rFonts w:ascii="Arial" w:eastAsiaTheme="minorHAnsi" w:hAnsi="Arial" w:cstheme="minorBidi"/>
      <w:lang w:eastAsia="en-US"/>
    </w:rPr>
  </w:style>
  <w:style w:type="character" w:customStyle="1" w:styleId="BodyTextCabNumberedChar">
    <w:name w:val="Body Text Cab Numbered Char"/>
    <w:basedOn w:val="DefaultParagraphFont"/>
    <w:link w:val="BodyTextCabNumbered"/>
    <w:uiPriority w:val="98"/>
    <w:rsid w:val="007C3F29"/>
    <w:rPr>
      <w:rFonts w:ascii="Arial" w:eastAsiaTheme="minorHAnsi" w:hAnsi="Arial" w:cstheme="minorBidi"/>
      <w:sz w:val="22"/>
      <w:szCs w:val="22"/>
      <w:lang w:eastAsia="en-US"/>
    </w:rPr>
  </w:style>
  <w:style w:type="character" w:customStyle="1" w:styleId="Heading5Char">
    <w:name w:val="Heading 5 Char"/>
    <w:basedOn w:val="DefaultParagraphFont"/>
    <w:link w:val="Heading5"/>
    <w:uiPriority w:val="9"/>
    <w:rsid w:val="007C3F29"/>
    <w:rPr>
      <w:rFonts w:ascii="Arial" w:hAnsi="Arial" w:cs="Arial"/>
      <w:i/>
    </w:rPr>
  </w:style>
  <w:style w:type="table" w:styleId="MediumList1">
    <w:name w:val="Medium List 1"/>
    <w:basedOn w:val="TableNormal"/>
    <w:uiPriority w:val="65"/>
    <w:rsid w:val="007C3F29"/>
    <w:rPr>
      <w:rFonts w:asciiTheme="minorHAnsi" w:eastAsia="Batang"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J-Table">
    <w:name w:val="J-Table"/>
    <w:basedOn w:val="Style1"/>
    <w:uiPriority w:val="99"/>
    <w:rsid w:val="007C3F29"/>
    <w:tblPr/>
    <w:tcPr>
      <w:shd w:val="clear" w:color="auto" w:fill="auto"/>
    </w:tcPr>
  </w:style>
  <w:style w:type="paragraph" w:customStyle="1" w:styleId="Bodybullets">
    <w:name w:val="Body bullets"/>
    <w:basedOn w:val="BodyText"/>
    <w:qFormat/>
    <w:rsid w:val="007C3F29"/>
    <w:pPr>
      <w:widowControl w:val="0"/>
      <w:numPr>
        <w:numId w:val="17"/>
      </w:numPr>
      <w:spacing w:before="40" w:line="240" w:lineRule="auto"/>
    </w:pPr>
    <w:rPr>
      <w:rFonts w:ascii="Arial" w:eastAsia="Arial" w:hAnsi="Arial" w:cs="Arial"/>
      <w:sz w:val="18"/>
      <w:szCs w:val="18"/>
      <w:lang w:val="en-US" w:eastAsia="en-US"/>
    </w:rPr>
  </w:style>
  <w:style w:type="paragraph" w:customStyle="1" w:styleId="00Intro">
    <w:name w:val="00_Intro"/>
    <w:basedOn w:val="Heading2"/>
    <w:uiPriority w:val="1"/>
    <w:qFormat/>
    <w:rsid w:val="007C3F29"/>
    <w:pPr>
      <w:keepNext w:val="0"/>
      <w:widowControl w:val="0"/>
      <w:spacing w:before="120" w:after="240" w:line="250" w:lineRule="auto"/>
    </w:pPr>
    <w:rPr>
      <w:rFonts w:eastAsia="Arial" w:cstheme="minorBidi"/>
      <w:b w:val="0"/>
      <w:color w:val="101E8E"/>
      <w:sz w:val="30"/>
      <w:szCs w:val="30"/>
      <w:lang w:val="en-US" w:eastAsia="en-US"/>
    </w:rPr>
  </w:style>
  <w:style w:type="character" w:customStyle="1" w:styleId="apple-converted-space">
    <w:name w:val="apple-converted-space"/>
    <w:basedOn w:val="DefaultParagraphFont"/>
    <w:rsid w:val="007C3F29"/>
  </w:style>
  <w:style w:type="paragraph" w:customStyle="1" w:styleId="Bodybullets2">
    <w:name w:val="Body bullets 2"/>
    <w:basedOn w:val="Bodybullets"/>
    <w:uiPriority w:val="1"/>
    <w:qFormat/>
    <w:rsid w:val="007C3F29"/>
    <w:pPr>
      <w:numPr>
        <w:numId w:val="18"/>
      </w:numPr>
    </w:pPr>
  </w:style>
  <w:style w:type="paragraph" w:customStyle="1" w:styleId="BodyBullets0">
    <w:name w:val="Body Bullets"/>
    <w:basedOn w:val="ListBullet"/>
    <w:next w:val="Bullet"/>
    <w:uiPriority w:val="99"/>
    <w:rsid w:val="007C3F29"/>
    <w:pPr>
      <w:widowControl w:val="0"/>
      <w:numPr>
        <w:numId w:val="0"/>
      </w:numPr>
      <w:tabs>
        <w:tab w:val="left" w:pos="170"/>
        <w:tab w:val="left" w:pos="340"/>
        <w:tab w:val="num" w:pos="3621"/>
      </w:tabs>
      <w:suppressAutoHyphens/>
      <w:autoSpaceDE w:val="0"/>
      <w:autoSpaceDN w:val="0"/>
      <w:adjustRightInd w:val="0"/>
      <w:spacing w:before="0" w:after="120" w:line="220" w:lineRule="atLeast"/>
      <w:ind w:left="3621" w:hanging="360"/>
      <w:contextualSpacing/>
      <w:textAlignment w:val="center"/>
    </w:pPr>
    <w:rPr>
      <w:rFonts w:ascii="Arial" w:eastAsiaTheme="minorHAnsi" w:hAnsi="Arial" w:cs="ArialMT"/>
      <w:color w:val="000000"/>
      <w:sz w:val="18"/>
      <w:szCs w:val="18"/>
      <w:lang w:val="en-GB" w:eastAsia="en-US"/>
    </w:rPr>
  </w:style>
  <w:style w:type="paragraph" w:customStyle="1" w:styleId="definition">
    <w:name w:val="definition"/>
    <w:basedOn w:val="Normal"/>
    <w:rsid w:val="007C3F29"/>
    <w:pPr>
      <w:spacing w:before="100" w:beforeAutospacing="1" w:after="100" w:afterAutospacing="1"/>
    </w:pPr>
    <w:rPr>
      <w:sz w:val="24"/>
      <w:szCs w:val="24"/>
    </w:rPr>
  </w:style>
  <w:style w:type="paragraph" w:customStyle="1" w:styleId="paragraph">
    <w:name w:val="paragraph"/>
    <w:basedOn w:val="Normal"/>
    <w:rsid w:val="007C3F29"/>
    <w:pPr>
      <w:spacing w:before="100" w:beforeAutospacing="1" w:after="100" w:afterAutospacing="1"/>
    </w:pPr>
    <w:rPr>
      <w:sz w:val="24"/>
      <w:szCs w:val="24"/>
    </w:rPr>
  </w:style>
  <w:style w:type="paragraph" w:customStyle="1" w:styleId="paragraphsub">
    <w:name w:val="paragraphsub"/>
    <w:basedOn w:val="Normal"/>
    <w:rsid w:val="007C3F29"/>
    <w:pPr>
      <w:spacing w:before="100" w:beforeAutospacing="1" w:after="100" w:afterAutospacing="1"/>
    </w:pPr>
    <w:rPr>
      <w:sz w:val="24"/>
      <w:szCs w:val="24"/>
    </w:rPr>
  </w:style>
  <w:style w:type="table" w:styleId="MediumShading1-Accent1">
    <w:name w:val="Medium Shading 1 Accent 1"/>
    <w:basedOn w:val="TableNormal"/>
    <w:uiPriority w:val="63"/>
    <w:rsid w:val="007C3F29"/>
    <w:rPr>
      <w:rFonts w:asciiTheme="minorHAnsi" w:eastAsia="Batang"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C3F29"/>
    <w:rPr>
      <w:rFonts w:asciiTheme="minorHAnsi" w:eastAsia="Batang"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5">
    <w:name w:val="toc 5"/>
    <w:basedOn w:val="Normal"/>
    <w:next w:val="Normal"/>
    <w:autoRedefine/>
    <w:uiPriority w:val="39"/>
    <w:unhideWhenUsed/>
    <w:rsid w:val="007C3F29"/>
    <w:pPr>
      <w:spacing w:after="0" w:line="276" w:lineRule="auto"/>
      <w:ind w:left="880"/>
    </w:pPr>
    <w:rPr>
      <w:rFonts w:asciiTheme="minorHAnsi" w:eastAsia="Batang" w:hAnsiTheme="minorHAnsi" w:cstheme="minorBidi"/>
      <w:sz w:val="18"/>
      <w:szCs w:val="18"/>
      <w:lang w:eastAsia="en-US"/>
    </w:rPr>
  </w:style>
  <w:style w:type="paragraph" w:styleId="TOC6">
    <w:name w:val="toc 6"/>
    <w:basedOn w:val="Normal"/>
    <w:next w:val="Normal"/>
    <w:autoRedefine/>
    <w:uiPriority w:val="39"/>
    <w:unhideWhenUsed/>
    <w:rsid w:val="007C3F29"/>
    <w:pPr>
      <w:spacing w:after="0" w:line="276" w:lineRule="auto"/>
      <w:ind w:left="1100"/>
    </w:pPr>
    <w:rPr>
      <w:rFonts w:asciiTheme="minorHAnsi" w:eastAsia="Batang" w:hAnsiTheme="minorHAnsi" w:cstheme="minorBidi"/>
      <w:sz w:val="18"/>
      <w:szCs w:val="18"/>
      <w:lang w:eastAsia="en-US"/>
    </w:rPr>
  </w:style>
  <w:style w:type="paragraph" w:styleId="TOC7">
    <w:name w:val="toc 7"/>
    <w:basedOn w:val="Normal"/>
    <w:next w:val="Normal"/>
    <w:autoRedefine/>
    <w:uiPriority w:val="39"/>
    <w:unhideWhenUsed/>
    <w:rsid w:val="007C3F29"/>
    <w:pPr>
      <w:spacing w:after="0" w:line="276" w:lineRule="auto"/>
      <w:ind w:left="1320"/>
    </w:pPr>
    <w:rPr>
      <w:rFonts w:asciiTheme="minorHAnsi" w:eastAsia="Batang" w:hAnsiTheme="minorHAnsi" w:cstheme="minorBidi"/>
      <w:sz w:val="18"/>
      <w:szCs w:val="18"/>
      <w:lang w:eastAsia="en-US"/>
    </w:rPr>
  </w:style>
  <w:style w:type="paragraph" w:styleId="TOC8">
    <w:name w:val="toc 8"/>
    <w:basedOn w:val="Normal"/>
    <w:next w:val="Normal"/>
    <w:autoRedefine/>
    <w:uiPriority w:val="39"/>
    <w:unhideWhenUsed/>
    <w:rsid w:val="007C3F29"/>
    <w:pPr>
      <w:spacing w:after="0" w:line="276" w:lineRule="auto"/>
      <w:ind w:left="1540"/>
    </w:pPr>
    <w:rPr>
      <w:rFonts w:asciiTheme="minorHAnsi" w:eastAsia="Batang" w:hAnsiTheme="minorHAnsi" w:cstheme="minorBidi"/>
      <w:sz w:val="18"/>
      <w:szCs w:val="18"/>
      <w:lang w:eastAsia="en-US"/>
    </w:rPr>
  </w:style>
  <w:style w:type="paragraph" w:styleId="TOC9">
    <w:name w:val="toc 9"/>
    <w:basedOn w:val="Normal"/>
    <w:next w:val="Normal"/>
    <w:autoRedefine/>
    <w:uiPriority w:val="39"/>
    <w:unhideWhenUsed/>
    <w:rsid w:val="007C3F29"/>
    <w:pPr>
      <w:spacing w:after="0" w:line="276" w:lineRule="auto"/>
      <w:ind w:left="1760"/>
    </w:pPr>
    <w:rPr>
      <w:rFonts w:asciiTheme="minorHAnsi" w:eastAsia="Batang" w:hAnsiTheme="minorHAnsi" w:cstheme="minorBidi"/>
      <w:sz w:val="18"/>
      <w:szCs w:val="18"/>
      <w:lang w:eastAsia="en-US"/>
    </w:rPr>
  </w:style>
  <w:style w:type="paragraph" w:customStyle="1" w:styleId="Para2">
    <w:name w:val="Para 2"/>
    <w:basedOn w:val="ListParagraph"/>
    <w:uiPriority w:val="1"/>
    <w:qFormat/>
    <w:rsid w:val="00F425AE"/>
    <w:pPr>
      <w:keepLines/>
      <w:tabs>
        <w:tab w:val="left" w:pos="1418"/>
      </w:tabs>
      <w:spacing w:after="160"/>
      <w:ind w:left="0"/>
      <w:contextualSpacing w:val="0"/>
    </w:pPr>
    <w:rPr>
      <w:rFonts w:ascii="Arial" w:eastAsiaTheme="minorHAnsi" w:hAnsi="Arial" w:cs="Arial"/>
      <w:sz w:val="24"/>
      <w:szCs w:val="24"/>
    </w:rPr>
  </w:style>
  <w:style w:type="paragraph" w:customStyle="1" w:styleId="FooterPaper">
    <w:name w:val="Footer Paper"/>
    <w:basedOn w:val="Footer"/>
    <w:link w:val="FooterPaperChar"/>
    <w:uiPriority w:val="12"/>
    <w:qFormat/>
    <w:rsid w:val="00883E44"/>
    <w:pPr>
      <w:tabs>
        <w:tab w:val="clear" w:pos="9070"/>
        <w:tab w:val="left" w:pos="2580"/>
        <w:tab w:val="left" w:pos="2985"/>
        <w:tab w:val="center" w:pos="4153"/>
        <w:tab w:val="center" w:pos="4513"/>
        <w:tab w:val="right" w:pos="9026"/>
      </w:tabs>
      <w:spacing w:before="60" w:after="200"/>
    </w:pPr>
    <w:rPr>
      <w:rFonts w:asciiTheme="minorHAnsi" w:hAnsiTheme="minorHAnsi" w:cs="Arial"/>
      <w:bCs/>
      <w:sz w:val="18"/>
      <w:szCs w:val="18"/>
      <w:lang w:eastAsia="en-US"/>
    </w:rPr>
  </w:style>
  <w:style w:type="character" w:customStyle="1" w:styleId="FooterPaperChar">
    <w:name w:val="Footer Paper Char"/>
    <w:basedOn w:val="FooterChar"/>
    <w:link w:val="FooterPaper"/>
    <w:uiPriority w:val="12"/>
    <w:rsid w:val="00883E44"/>
    <w:rPr>
      <w:rFonts w:asciiTheme="minorHAnsi" w:hAnsiTheme="minorHAnsi" w:cs="Arial"/>
      <w:bCs/>
      <w:sz w:val="18"/>
      <w:szCs w:val="18"/>
      <w:lang w:eastAsia="en-US"/>
    </w:rPr>
  </w:style>
  <w:style w:type="paragraph" w:customStyle="1" w:styleId="Title2">
    <w:name w:val="Title 2"/>
    <w:link w:val="Title2Char"/>
    <w:uiPriority w:val="1"/>
    <w:qFormat/>
    <w:rsid w:val="009E238F"/>
    <w:pPr>
      <w:spacing w:after="200" w:line="276" w:lineRule="auto"/>
    </w:pPr>
    <w:rPr>
      <w:rFonts w:asciiTheme="minorHAnsi" w:eastAsiaTheme="majorEastAsia" w:hAnsiTheme="minorHAnsi" w:cs="Arial"/>
      <w:b/>
      <w:iCs/>
      <w:color w:val="007CC2"/>
      <w:spacing w:val="15"/>
      <w:sz w:val="28"/>
      <w:szCs w:val="24"/>
      <w:lang w:eastAsia="en-US"/>
    </w:rPr>
  </w:style>
  <w:style w:type="character" w:customStyle="1" w:styleId="Title2Char">
    <w:name w:val="Title 2 Char"/>
    <w:basedOn w:val="Heading2Char"/>
    <w:link w:val="Title2"/>
    <w:uiPriority w:val="1"/>
    <w:rsid w:val="009E238F"/>
    <w:rPr>
      <w:rFonts w:asciiTheme="minorHAnsi" w:eastAsiaTheme="majorEastAsia" w:hAnsiTheme="minorHAnsi" w:cs="Arial"/>
      <w:b/>
      <w:iCs/>
      <w:color w:val="007CC2"/>
      <w:spacing w:val="15"/>
      <w:sz w:val="28"/>
      <w:szCs w:val="24"/>
      <w:lang w:eastAsia="en-US"/>
    </w:rPr>
  </w:style>
  <w:style w:type="character" w:customStyle="1" w:styleId="Heading6Char">
    <w:name w:val="Heading 6 Char"/>
    <w:basedOn w:val="DefaultParagraphFont"/>
    <w:link w:val="Heading6"/>
    <w:rsid w:val="00B56267"/>
    <w:rPr>
      <w:rFonts w:ascii="Arial" w:hAnsi="Arial" w:cs="Arial"/>
      <w:b/>
      <w:kern w:val="28"/>
      <w:sz w:val="36"/>
      <w:szCs w:val="36"/>
    </w:rPr>
  </w:style>
  <w:style w:type="paragraph" w:customStyle="1" w:styleId="Heading6-NoTOC">
    <w:name w:val="Heading 6 - No TOC"/>
    <w:basedOn w:val="Heading6"/>
    <w:rsid w:val="00B5626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Bullet 2"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aliases w:val="Heading 1 Cab"/>
    <w:basedOn w:val="Normal"/>
    <w:next w:val="BodyText"/>
    <w:link w:val="Heading1Char"/>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9"/>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9"/>
    <w:qFormat/>
    <w:rsid w:val="005E2294"/>
    <w:pPr>
      <w:keepNext/>
      <w:spacing w:before="400" w:after="0" w:line="280" w:lineRule="atLeast"/>
      <w:ind w:left="1134"/>
      <w:outlineLvl w:val="2"/>
    </w:pPr>
    <w:rPr>
      <w:rFonts w:ascii="Arial" w:hAnsi="Arial" w:cs="Arial"/>
      <w:b/>
      <w:sz w:val="24"/>
      <w:szCs w:val="24"/>
    </w:rPr>
  </w:style>
  <w:style w:type="paragraph" w:styleId="Heading4">
    <w:name w:val="heading 4"/>
    <w:basedOn w:val="Normal"/>
    <w:next w:val="BodyText"/>
    <w:link w:val="Heading4Char"/>
    <w:uiPriority w:val="9"/>
    <w:qFormat/>
    <w:rsid w:val="002D1ABB"/>
    <w:pPr>
      <w:keepNext/>
      <w:spacing w:before="280" w:after="0" w:line="280" w:lineRule="atLeast"/>
      <w:ind w:left="1134"/>
      <w:outlineLvl w:val="3"/>
    </w:pPr>
    <w:rPr>
      <w:rFonts w:ascii="Arial" w:hAnsi="Arial" w:cs="Arial"/>
      <w:b/>
      <w:sz w:val="20"/>
      <w:szCs w:val="22"/>
    </w:rPr>
  </w:style>
  <w:style w:type="paragraph" w:styleId="Heading5">
    <w:name w:val="heading 5"/>
    <w:basedOn w:val="Normal"/>
    <w:next w:val="BodyText"/>
    <w:link w:val="Heading5Char"/>
    <w:uiPriority w:val="9"/>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B56267"/>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354C"/>
    <w:pPr>
      <w:numPr>
        <w:numId w:val="10"/>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uiPriority w:val="99"/>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25C47"/>
    <w:pPr>
      <w:keepNext/>
      <w:spacing w:before="360" w:after="6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8"/>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uiPriority w:val="99"/>
    <w:rsid w:val="00A366D4"/>
    <w:pPr>
      <w:tabs>
        <w:tab w:val="left" w:pos="340"/>
      </w:tabs>
      <w:spacing w:after="0"/>
      <w:ind w:left="340" w:hanging="340"/>
    </w:pPr>
    <w:rPr>
      <w:sz w:val="16"/>
    </w:rPr>
  </w:style>
  <w:style w:type="character" w:styleId="FootnoteReference">
    <w:name w:val="footnote reference"/>
    <w:basedOn w:val="DefaultParagraphFont"/>
    <w:uiPriority w:val="99"/>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uiPriority w:val="39"/>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uiPriority w:val="39"/>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A87599"/>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AA3B9F"/>
    <w:pPr>
      <w:numPr>
        <w:ilvl w:val="2"/>
      </w:numPr>
      <w:tabs>
        <w:tab w:val="clear" w:pos="3119"/>
      </w:tabs>
      <w:ind w:left="2070" w:hanging="450"/>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7"/>
      </w:numPr>
      <w:spacing w:before="120"/>
    </w:pPr>
  </w:style>
  <w:style w:type="paragraph" w:customStyle="1" w:styleId="Frontheading">
    <w:name w:val="Front heading"/>
    <w:basedOn w:val="Heading3"/>
    <w:next w:val="Fronttext"/>
    <w:rsid w:val="00B56267"/>
    <w:pPr>
      <w:ind w:left="1168"/>
      <w:outlineLvl w:val="9"/>
    </w:pPr>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B36F17"/>
    <w:rPr>
      <w:sz w:val="16"/>
      <w:szCs w:val="16"/>
    </w:rPr>
  </w:style>
  <w:style w:type="paragraph" w:styleId="CommentText">
    <w:name w:val="annotation text"/>
    <w:basedOn w:val="Normal"/>
    <w:link w:val="CommentTextChar"/>
    <w:uiPriority w:val="99"/>
    <w:rsid w:val="00B36F17"/>
    <w:rPr>
      <w:sz w:val="20"/>
    </w:rPr>
  </w:style>
  <w:style w:type="paragraph" w:styleId="BalloonText">
    <w:name w:val="Balloon Text"/>
    <w:basedOn w:val="Normal"/>
    <w:link w:val="BalloonTextChar"/>
    <w:uiPriority w:val="99"/>
    <w:semiHidden/>
    <w:rsid w:val="00B36F17"/>
    <w:rPr>
      <w:rFonts w:ascii="Tahoma" w:hAnsi="Tahoma" w:cs="Tahoma"/>
      <w:sz w:val="16"/>
      <w:szCs w:val="16"/>
    </w:rPr>
  </w:style>
  <w:style w:type="paragraph" w:customStyle="1" w:styleId="boxbullet">
    <w:name w:val="box bullet"/>
    <w:basedOn w:val="Frontbullet"/>
    <w:rsid w:val="004E61FB"/>
    <w:pPr>
      <w:numPr>
        <w:ilvl w:val="0"/>
        <w:numId w:val="9"/>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80591D"/>
    <w:pPr>
      <w:keepNext w:val="0"/>
    </w:pPr>
    <w:rPr>
      <w:b w:val="0"/>
    </w:rPr>
  </w:style>
  <w:style w:type="character" w:customStyle="1" w:styleId="HeaderChar">
    <w:name w:val="Header Char"/>
    <w:basedOn w:val="DefaultParagraphFont"/>
    <w:link w:val="Header"/>
    <w:rsid w:val="0080591D"/>
    <w:rPr>
      <w:rFonts w:ascii="Arial" w:hAnsi="Arial" w:cs="Arial"/>
      <w:caps/>
      <w:color w:val="008291"/>
      <w:sz w:val="16"/>
      <w:szCs w:val="16"/>
    </w:rPr>
  </w:style>
  <w:style w:type="character" w:customStyle="1" w:styleId="FootnoteTextChar">
    <w:name w:val="Footnote Text Char"/>
    <w:basedOn w:val="DefaultParagraphFont"/>
    <w:link w:val="FootnoteText"/>
    <w:uiPriority w:val="99"/>
    <w:rsid w:val="00A366D4"/>
    <w:rPr>
      <w:sz w:val="16"/>
    </w:rPr>
  </w:style>
  <w:style w:type="paragraph" w:customStyle="1" w:styleId="Bullet">
    <w:name w:val="Bullet"/>
    <w:aliases w:val="b,b1,b + line,level 1,Body,Bullet + line"/>
    <w:basedOn w:val="Normal"/>
    <w:link w:val="BulletChar"/>
    <w:qFormat/>
    <w:rsid w:val="0080591D"/>
    <w:pPr>
      <w:numPr>
        <w:numId w:val="11"/>
      </w:numPr>
      <w:spacing w:after="200" w:line="276" w:lineRule="auto"/>
    </w:pPr>
    <w:rPr>
      <w:rFonts w:asciiTheme="minorHAnsi" w:eastAsia="Batang" w:hAnsiTheme="minorHAnsi" w:cstheme="minorBidi"/>
      <w:szCs w:val="22"/>
      <w:lang w:eastAsia="en-US"/>
    </w:rPr>
  </w:style>
  <w:style w:type="character" w:customStyle="1" w:styleId="BulletChar">
    <w:name w:val="Bullet Char"/>
    <w:aliases w:val="b Char,b + line Char Char,b Char Char"/>
    <w:basedOn w:val="DefaultParagraphFont"/>
    <w:link w:val="Bullet"/>
    <w:rsid w:val="0080591D"/>
    <w:rPr>
      <w:rFonts w:asciiTheme="minorHAnsi" w:eastAsia="Batang" w:hAnsiTheme="minorHAnsi" w:cstheme="minorBidi"/>
      <w:sz w:val="22"/>
      <w:szCs w:val="22"/>
      <w:lang w:eastAsia="en-US"/>
    </w:rPr>
  </w:style>
  <w:style w:type="paragraph" w:customStyle="1" w:styleId="Dash">
    <w:name w:val="Dash"/>
    <w:basedOn w:val="Normal"/>
    <w:link w:val="DashChar"/>
    <w:qFormat/>
    <w:rsid w:val="0080591D"/>
    <w:pPr>
      <w:numPr>
        <w:ilvl w:val="1"/>
        <w:numId w:val="11"/>
      </w:numPr>
      <w:spacing w:after="200" w:line="276" w:lineRule="auto"/>
    </w:pPr>
    <w:rPr>
      <w:rFonts w:asciiTheme="minorHAnsi" w:eastAsia="Batang" w:hAnsiTheme="minorHAnsi" w:cstheme="minorBidi"/>
      <w:szCs w:val="22"/>
      <w:lang w:eastAsia="en-US"/>
    </w:rPr>
  </w:style>
  <w:style w:type="paragraph" w:customStyle="1" w:styleId="DoubleDot">
    <w:name w:val="Double Dot"/>
    <w:basedOn w:val="Normal"/>
    <w:link w:val="DoubleDotChar"/>
    <w:qFormat/>
    <w:rsid w:val="0080591D"/>
    <w:pPr>
      <w:numPr>
        <w:ilvl w:val="2"/>
        <w:numId w:val="11"/>
      </w:numPr>
      <w:spacing w:after="200" w:line="276" w:lineRule="auto"/>
    </w:pPr>
    <w:rPr>
      <w:rFonts w:asciiTheme="minorHAnsi" w:eastAsia="Batang" w:hAnsiTheme="minorHAnsi" w:cstheme="minorBidi"/>
      <w:szCs w:val="22"/>
      <w:lang w:eastAsia="en-US"/>
    </w:rPr>
  </w:style>
  <w:style w:type="paragraph" w:styleId="ListParagraph">
    <w:name w:val="List Paragraph"/>
    <w:aliases w:val="List Paragraph - Levl 3"/>
    <w:basedOn w:val="Normal"/>
    <w:link w:val="ListParagraphChar"/>
    <w:uiPriority w:val="34"/>
    <w:qFormat/>
    <w:rsid w:val="0080591D"/>
    <w:pPr>
      <w:spacing w:after="200" w:line="276" w:lineRule="auto"/>
      <w:ind w:left="720"/>
      <w:contextualSpacing/>
    </w:pPr>
    <w:rPr>
      <w:rFonts w:asciiTheme="minorHAnsi" w:eastAsia="Batang" w:hAnsiTheme="minorHAnsi" w:cstheme="minorBidi"/>
      <w:szCs w:val="22"/>
      <w:lang w:eastAsia="en-US"/>
    </w:rPr>
  </w:style>
  <w:style w:type="character" w:customStyle="1" w:styleId="ListParagraphChar">
    <w:name w:val="List Paragraph Char"/>
    <w:aliases w:val="List Paragraph - Levl 3 Char"/>
    <w:basedOn w:val="DefaultParagraphFont"/>
    <w:link w:val="ListParagraph"/>
    <w:uiPriority w:val="34"/>
    <w:rsid w:val="0080591D"/>
    <w:rPr>
      <w:rFonts w:asciiTheme="minorHAnsi" w:eastAsia="Batang" w:hAnsiTheme="minorHAnsi" w:cstheme="minorBidi"/>
      <w:sz w:val="22"/>
      <w:szCs w:val="22"/>
      <w:lang w:eastAsia="en-US"/>
    </w:rPr>
  </w:style>
  <w:style w:type="character" w:customStyle="1" w:styleId="FooterChar">
    <w:name w:val="Footer Char"/>
    <w:basedOn w:val="DefaultParagraphFont"/>
    <w:link w:val="Footer"/>
    <w:rsid w:val="00B3181F"/>
    <w:rPr>
      <w:rFonts w:ascii="Arial" w:hAnsi="Arial"/>
      <w:sz w:val="16"/>
      <w:szCs w:val="16"/>
    </w:rPr>
  </w:style>
  <w:style w:type="paragraph" w:customStyle="1" w:styleId="TableColumnHeadingLeft">
    <w:name w:val="Table Column Heading Left"/>
    <w:basedOn w:val="Normal"/>
    <w:qFormat/>
    <w:rsid w:val="00B3181F"/>
    <w:pPr>
      <w:keepNext/>
      <w:spacing w:before="40" w:after="40"/>
    </w:pPr>
    <w:rPr>
      <w:rFonts w:asciiTheme="minorHAnsi" w:eastAsia="Batang" w:hAnsiTheme="minorHAnsi" w:cstheme="minorBidi"/>
      <w:bCs/>
      <w:color w:val="1F497D" w:themeColor="text2"/>
      <w:szCs w:val="22"/>
      <w:lang w:eastAsia="en-US"/>
    </w:rPr>
  </w:style>
  <w:style w:type="paragraph" w:customStyle="1" w:styleId="TableTextLeft">
    <w:name w:val="Table Text Left"/>
    <w:basedOn w:val="Bullet"/>
    <w:qFormat/>
    <w:rsid w:val="00B3181F"/>
    <w:pPr>
      <w:numPr>
        <w:numId w:val="0"/>
      </w:numPr>
      <w:spacing w:before="80" w:after="80" w:line="240" w:lineRule="auto"/>
    </w:pPr>
    <w:rPr>
      <w:color w:val="000000" w:themeColor="text1" w:themeShade="BF"/>
    </w:rPr>
  </w:style>
  <w:style w:type="paragraph" w:customStyle="1" w:styleId="TableRowHeadingLeft">
    <w:name w:val="Table Row Heading Left"/>
    <w:basedOn w:val="Bullet"/>
    <w:qFormat/>
    <w:rsid w:val="00B3181F"/>
    <w:pPr>
      <w:numPr>
        <w:numId w:val="0"/>
      </w:numPr>
      <w:spacing w:before="80" w:after="80" w:line="240" w:lineRule="auto"/>
    </w:pPr>
    <w:rPr>
      <w:bCs/>
      <w:color w:val="000000" w:themeColor="text1" w:themeShade="BF"/>
    </w:rPr>
  </w:style>
  <w:style w:type="character" w:customStyle="1" w:styleId="CommentTextChar">
    <w:name w:val="Comment Text Char"/>
    <w:basedOn w:val="DefaultParagraphFont"/>
    <w:link w:val="CommentText"/>
    <w:uiPriority w:val="99"/>
    <w:rsid w:val="00CB5C63"/>
  </w:style>
  <w:style w:type="paragraph" w:customStyle="1" w:styleId="TableMainHeading">
    <w:name w:val="Table Main Heading"/>
    <w:basedOn w:val="Bullet"/>
    <w:qFormat/>
    <w:rsid w:val="00CB5C63"/>
    <w:pPr>
      <w:keepNext/>
      <w:numPr>
        <w:numId w:val="0"/>
      </w:numPr>
      <w:spacing w:after="0"/>
    </w:pPr>
    <w:rPr>
      <w:b/>
      <w:color w:val="1F497D" w:themeColor="text2"/>
      <w:sz w:val="24"/>
    </w:rPr>
  </w:style>
  <w:style w:type="paragraph" w:customStyle="1" w:styleId="TableMainHeadingCont">
    <w:name w:val="Table Main Heading (Cont)"/>
    <w:basedOn w:val="TableMainHeading"/>
    <w:qFormat/>
    <w:rsid w:val="00CB5C63"/>
  </w:style>
  <w:style w:type="paragraph" w:customStyle="1" w:styleId="Box-Other-Heading">
    <w:name w:val="Box - Other - Heading"/>
    <w:basedOn w:val="Normal"/>
    <w:qFormat/>
    <w:rsid w:val="00CB5C63"/>
    <w:pPr>
      <w:spacing w:before="120" w:after="120"/>
    </w:pPr>
    <w:rPr>
      <w:rFonts w:asciiTheme="minorHAnsi" w:eastAsia="Batang" w:hAnsiTheme="minorHAnsi" w:cstheme="minorBidi"/>
      <w:b/>
      <w:color w:val="1F497D" w:themeColor="text2"/>
      <w:sz w:val="24"/>
      <w:szCs w:val="22"/>
      <w:lang w:eastAsia="en-US"/>
    </w:rPr>
  </w:style>
  <w:style w:type="paragraph" w:customStyle="1" w:styleId="Box-Other-Bullets">
    <w:name w:val="Box - Other - Bullets"/>
    <w:basedOn w:val="Normal"/>
    <w:qFormat/>
    <w:rsid w:val="00CB5C63"/>
    <w:pPr>
      <w:tabs>
        <w:tab w:val="num" w:pos="170"/>
      </w:tabs>
      <w:spacing w:before="80" w:after="80"/>
      <w:ind w:left="170" w:hanging="170"/>
    </w:pPr>
    <w:rPr>
      <w:rFonts w:asciiTheme="minorHAnsi" w:eastAsia="Batang" w:hAnsiTheme="minorHAnsi" w:cstheme="minorBidi"/>
      <w:color w:val="000000" w:themeColor="text1" w:themeShade="BF"/>
      <w:szCs w:val="22"/>
      <w:lang w:eastAsia="en-US"/>
    </w:rPr>
  </w:style>
  <w:style w:type="paragraph" w:customStyle="1" w:styleId="TableColumnSubHeadingLeft">
    <w:name w:val="Table Column Sub Heading Left"/>
    <w:basedOn w:val="TableColumnHeadingLeft"/>
    <w:qFormat/>
    <w:rsid w:val="00CB5C63"/>
    <w:pPr>
      <w:spacing w:before="80" w:after="80"/>
    </w:pPr>
    <w:rPr>
      <w:b/>
      <w:sz w:val="24"/>
      <w:szCs w:val="24"/>
    </w:rPr>
  </w:style>
  <w:style w:type="paragraph" w:customStyle="1" w:styleId="Default">
    <w:name w:val="Default"/>
    <w:rsid w:val="00CB5C63"/>
    <w:pPr>
      <w:autoSpaceDE w:val="0"/>
      <w:autoSpaceDN w:val="0"/>
      <w:adjustRightInd w:val="0"/>
    </w:pPr>
    <w:rPr>
      <w:rFonts w:ascii="Calibri" w:eastAsia="Batang" w:hAnsi="Calibri" w:cs="Calibr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3A2B1E"/>
    <w:rPr>
      <w:b/>
      <w:bCs/>
    </w:rPr>
  </w:style>
  <w:style w:type="character" w:customStyle="1" w:styleId="CommentSubjectChar">
    <w:name w:val="Comment Subject Char"/>
    <w:basedOn w:val="CommentTextChar"/>
    <w:link w:val="CommentSubject"/>
    <w:uiPriority w:val="99"/>
    <w:semiHidden/>
    <w:rsid w:val="003A2B1E"/>
    <w:rPr>
      <w:b/>
      <w:bCs/>
    </w:rPr>
  </w:style>
  <w:style w:type="paragraph" w:styleId="NormalWeb">
    <w:name w:val="Normal (Web)"/>
    <w:basedOn w:val="Normal"/>
    <w:uiPriority w:val="99"/>
    <w:unhideWhenUsed/>
    <w:rsid w:val="007C3F29"/>
    <w:pPr>
      <w:spacing w:before="100" w:beforeAutospacing="1" w:after="100" w:afterAutospacing="1"/>
    </w:pPr>
    <w:rPr>
      <w:sz w:val="24"/>
      <w:szCs w:val="24"/>
    </w:rPr>
  </w:style>
  <w:style w:type="character" w:customStyle="1" w:styleId="BalloonTextChar">
    <w:name w:val="Balloon Text Char"/>
    <w:basedOn w:val="DefaultParagraphFont"/>
    <w:link w:val="BalloonText"/>
    <w:uiPriority w:val="99"/>
    <w:semiHidden/>
    <w:rsid w:val="007C3F29"/>
    <w:rPr>
      <w:rFonts w:ascii="Tahoma" w:hAnsi="Tahoma" w:cs="Tahoma"/>
      <w:sz w:val="16"/>
      <w:szCs w:val="16"/>
    </w:rPr>
  </w:style>
  <w:style w:type="paragraph" w:customStyle="1" w:styleId="OutlineNumbered1">
    <w:name w:val="Outline Numbered 1"/>
    <w:basedOn w:val="Normal"/>
    <w:link w:val="OutlineNumbered1Char"/>
    <w:rsid w:val="007C3F29"/>
    <w:pPr>
      <w:numPr>
        <w:numId w:val="16"/>
      </w:numPr>
      <w:spacing w:after="200" w:line="276" w:lineRule="auto"/>
    </w:pPr>
    <w:rPr>
      <w:rFonts w:asciiTheme="minorHAnsi" w:eastAsia="Batang" w:hAnsiTheme="minorHAnsi" w:cstheme="minorBidi"/>
      <w:szCs w:val="22"/>
      <w:lang w:eastAsia="en-US"/>
    </w:rPr>
  </w:style>
  <w:style w:type="character" w:customStyle="1" w:styleId="OutlineNumbered1Char">
    <w:name w:val="Outline Numbered 1 Char"/>
    <w:basedOn w:val="DefaultParagraphFont"/>
    <w:link w:val="OutlineNumbered1"/>
    <w:rsid w:val="007C3F29"/>
    <w:rPr>
      <w:rFonts w:asciiTheme="minorHAnsi" w:eastAsia="Batang" w:hAnsiTheme="minorHAnsi" w:cstheme="minorBidi"/>
      <w:sz w:val="22"/>
      <w:szCs w:val="22"/>
      <w:lang w:eastAsia="en-US"/>
    </w:rPr>
  </w:style>
  <w:style w:type="paragraph" w:customStyle="1" w:styleId="OutlineNumbered2">
    <w:name w:val="Outline Numbered 2"/>
    <w:basedOn w:val="Normal"/>
    <w:link w:val="OutlineNumbered2Char"/>
    <w:rsid w:val="007C3F29"/>
    <w:pPr>
      <w:numPr>
        <w:ilvl w:val="1"/>
        <w:numId w:val="12"/>
      </w:numPr>
      <w:spacing w:after="200" w:line="276" w:lineRule="auto"/>
    </w:pPr>
    <w:rPr>
      <w:rFonts w:asciiTheme="minorHAnsi" w:eastAsia="Batang" w:hAnsiTheme="minorHAnsi" w:cstheme="minorBidi"/>
      <w:szCs w:val="22"/>
      <w:lang w:eastAsia="en-US"/>
    </w:rPr>
  </w:style>
  <w:style w:type="character" w:customStyle="1" w:styleId="OutlineNumbered2Char">
    <w:name w:val="Outline Numbered 2 Char"/>
    <w:basedOn w:val="DefaultParagraphFont"/>
    <w:link w:val="OutlineNumbered2"/>
    <w:rsid w:val="007C3F29"/>
    <w:rPr>
      <w:rFonts w:asciiTheme="minorHAnsi" w:eastAsia="Batang" w:hAnsiTheme="minorHAnsi" w:cstheme="minorBidi"/>
      <w:sz w:val="22"/>
      <w:szCs w:val="22"/>
      <w:lang w:eastAsia="en-US"/>
    </w:rPr>
  </w:style>
  <w:style w:type="paragraph" w:customStyle="1" w:styleId="OutlineNumbered3">
    <w:name w:val="Outline Numbered 3"/>
    <w:basedOn w:val="Normal"/>
    <w:link w:val="OutlineNumbered3Char"/>
    <w:rsid w:val="007C3F29"/>
    <w:pPr>
      <w:numPr>
        <w:ilvl w:val="2"/>
        <w:numId w:val="12"/>
      </w:numPr>
      <w:spacing w:after="200" w:line="276" w:lineRule="auto"/>
    </w:pPr>
    <w:rPr>
      <w:rFonts w:asciiTheme="minorHAnsi" w:eastAsia="Batang" w:hAnsiTheme="minorHAnsi" w:cstheme="minorBidi"/>
      <w:szCs w:val="22"/>
      <w:lang w:eastAsia="en-US"/>
    </w:rPr>
  </w:style>
  <w:style w:type="character" w:customStyle="1" w:styleId="OutlineNumbered3Char">
    <w:name w:val="Outline Numbered 3 Char"/>
    <w:basedOn w:val="DefaultParagraphFont"/>
    <w:link w:val="OutlineNumbered3"/>
    <w:rsid w:val="007C3F29"/>
    <w:rPr>
      <w:rFonts w:asciiTheme="minorHAnsi" w:eastAsia="Batang" w:hAnsiTheme="minorHAnsi" w:cstheme="minorBidi"/>
      <w:sz w:val="22"/>
      <w:szCs w:val="22"/>
      <w:lang w:eastAsia="en-US"/>
    </w:rPr>
  </w:style>
  <w:style w:type="character" w:customStyle="1" w:styleId="DashChar">
    <w:name w:val="Dash Char"/>
    <w:basedOn w:val="DefaultParagraphFont"/>
    <w:link w:val="Dash"/>
    <w:rsid w:val="007C3F29"/>
    <w:rPr>
      <w:rFonts w:asciiTheme="minorHAnsi" w:eastAsia="Batang" w:hAnsiTheme="minorHAnsi" w:cstheme="minorBidi"/>
      <w:sz w:val="22"/>
      <w:szCs w:val="22"/>
      <w:lang w:eastAsia="en-US"/>
    </w:rPr>
  </w:style>
  <w:style w:type="character" w:customStyle="1" w:styleId="DoubleDotChar">
    <w:name w:val="Double Dot Char"/>
    <w:basedOn w:val="DefaultParagraphFont"/>
    <w:link w:val="DoubleDot"/>
    <w:rsid w:val="007C3F29"/>
    <w:rPr>
      <w:rFonts w:asciiTheme="minorHAnsi" w:eastAsia="Batang" w:hAnsiTheme="minorHAnsi" w:cstheme="minorBidi"/>
      <w:sz w:val="22"/>
      <w:szCs w:val="22"/>
      <w:lang w:eastAsia="en-US"/>
    </w:rPr>
  </w:style>
  <w:style w:type="table" w:styleId="TableGrid">
    <w:name w:val="Table Grid"/>
    <w:basedOn w:val="TableNormal"/>
    <w:uiPriority w:val="59"/>
    <w:rsid w:val="007C3F2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C3F29"/>
    <w:rPr>
      <w:rFonts w:asciiTheme="minorHAnsi" w:eastAsia="Batang"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curityClassificationHeader">
    <w:name w:val="Security Classification Header"/>
    <w:link w:val="SecurityClassificationHeaderChar"/>
    <w:rsid w:val="007C3F29"/>
    <w:pPr>
      <w:spacing w:before="240" w:after="60" w:line="276" w:lineRule="auto"/>
      <w:jc w:val="center"/>
    </w:pPr>
    <w:rPr>
      <w:rFonts w:ascii="Arial" w:eastAsia="Batang" w:hAnsi="Arial" w:cs="Arial"/>
      <w:b/>
      <w:caps/>
      <w:color w:val="008291"/>
      <w:sz w:val="24"/>
      <w:szCs w:val="22"/>
      <w:lang w:eastAsia="en-US"/>
    </w:rPr>
  </w:style>
  <w:style w:type="character" w:customStyle="1" w:styleId="SecurityClassificationHeaderChar">
    <w:name w:val="Security Classification Header Char"/>
    <w:basedOn w:val="HeaderChar"/>
    <w:link w:val="SecurityClassificationHeader"/>
    <w:rsid w:val="007C3F29"/>
    <w:rPr>
      <w:rFonts w:ascii="Arial" w:eastAsia="Batang" w:hAnsi="Arial" w:cs="Arial"/>
      <w:b/>
      <w:caps/>
      <w:color w:val="008291"/>
      <w:sz w:val="24"/>
      <w:szCs w:val="22"/>
      <w:lang w:eastAsia="en-US"/>
    </w:rPr>
  </w:style>
  <w:style w:type="paragraph" w:customStyle="1" w:styleId="SecurityClassificationFooter">
    <w:name w:val="Security Classification Footer"/>
    <w:link w:val="SecurityClassificationFooterChar"/>
    <w:rsid w:val="007C3F29"/>
    <w:pPr>
      <w:spacing w:before="60" w:after="240" w:line="276" w:lineRule="auto"/>
      <w:jc w:val="center"/>
    </w:pPr>
    <w:rPr>
      <w:rFonts w:ascii="Arial" w:eastAsia="Batang" w:hAnsi="Arial" w:cs="Arial"/>
      <w:b/>
      <w:caps/>
      <w:color w:val="008291"/>
      <w:sz w:val="24"/>
      <w:szCs w:val="22"/>
      <w:lang w:eastAsia="en-US"/>
    </w:rPr>
  </w:style>
  <w:style w:type="character" w:customStyle="1" w:styleId="SecurityClassificationFooterChar">
    <w:name w:val="Security Classification Footer Char"/>
    <w:basedOn w:val="HeaderChar"/>
    <w:link w:val="SecurityClassificationFooter"/>
    <w:rsid w:val="007C3F29"/>
    <w:rPr>
      <w:rFonts w:ascii="Arial" w:eastAsia="Batang" w:hAnsi="Arial" w:cs="Arial"/>
      <w:b/>
      <w:caps/>
      <w:color w:val="008291"/>
      <w:sz w:val="24"/>
      <w:szCs w:val="22"/>
      <w:lang w:eastAsia="en-US"/>
    </w:rPr>
  </w:style>
  <w:style w:type="paragraph" w:customStyle="1" w:styleId="DLMSecurityHeader">
    <w:name w:val="DLM Security Header"/>
    <w:link w:val="DLMSecurityHeaderChar"/>
    <w:rsid w:val="007C3F29"/>
    <w:pPr>
      <w:spacing w:before="60" w:after="240" w:line="276" w:lineRule="auto"/>
      <w:jc w:val="center"/>
    </w:pPr>
    <w:rPr>
      <w:rFonts w:ascii="Arial" w:eastAsia="Batang" w:hAnsi="Arial" w:cs="Arial"/>
      <w:b/>
      <w:caps/>
      <w:color w:val="008291"/>
      <w:sz w:val="24"/>
      <w:szCs w:val="22"/>
      <w:lang w:eastAsia="en-US"/>
    </w:rPr>
  </w:style>
  <w:style w:type="character" w:customStyle="1" w:styleId="DLMSecurityHeaderChar">
    <w:name w:val="DLM Security Header Char"/>
    <w:basedOn w:val="HeaderChar"/>
    <w:link w:val="DLMSecurityHeader"/>
    <w:rsid w:val="007C3F29"/>
    <w:rPr>
      <w:rFonts w:ascii="Arial" w:eastAsia="Batang" w:hAnsi="Arial" w:cs="Arial"/>
      <w:b/>
      <w:caps/>
      <w:color w:val="008291"/>
      <w:sz w:val="24"/>
      <w:szCs w:val="22"/>
      <w:lang w:eastAsia="en-US"/>
    </w:rPr>
  </w:style>
  <w:style w:type="paragraph" w:customStyle="1" w:styleId="DLMSecurityFooter">
    <w:name w:val="DLM Security Footer"/>
    <w:link w:val="DLMSecurityFooterChar"/>
    <w:rsid w:val="007C3F29"/>
    <w:pPr>
      <w:spacing w:before="240" w:after="60" w:line="276" w:lineRule="auto"/>
      <w:jc w:val="center"/>
    </w:pPr>
    <w:rPr>
      <w:rFonts w:ascii="Arial" w:eastAsia="Batang" w:hAnsi="Arial" w:cs="Arial"/>
      <w:b/>
      <w:caps/>
      <w:color w:val="008291"/>
      <w:sz w:val="24"/>
      <w:szCs w:val="22"/>
      <w:lang w:eastAsia="en-US"/>
    </w:rPr>
  </w:style>
  <w:style w:type="character" w:customStyle="1" w:styleId="DLMSecurityFooterChar">
    <w:name w:val="DLM Security Footer Char"/>
    <w:basedOn w:val="HeaderChar"/>
    <w:link w:val="DLMSecurityFooter"/>
    <w:rsid w:val="007C3F29"/>
    <w:rPr>
      <w:rFonts w:ascii="Arial" w:eastAsia="Batang" w:hAnsi="Arial" w:cs="Arial"/>
      <w:b/>
      <w:caps/>
      <w:color w:val="008291"/>
      <w:sz w:val="24"/>
      <w:szCs w:val="22"/>
      <w:lang w:eastAsia="en-US"/>
    </w:rPr>
  </w:style>
  <w:style w:type="table" w:customStyle="1" w:styleId="TableGrid1">
    <w:name w:val="Table Grid1"/>
    <w:basedOn w:val="TableNormal"/>
    <w:next w:val="TableGrid"/>
    <w:uiPriority w:val="59"/>
    <w:rsid w:val="007C3F2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C3F29"/>
    <w:rPr>
      <w:sz w:val="22"/>
      <w:szCs w:val="22"/>
    </w:rPr>
  </w:style>
  <w:style w:type="paragraph" w:styleId="Revision">
    <w:name w:val="Revision"/>
    <w:hidden/>
    <w:uiPriority w:val="99"/>
    <w:semiHidden/>
    <w:rsid w:val="007C3F29"/>
    <w:rPr>
      <w:rFonts w:asciiTheme="minorHAnsi" w:eastAsia="Batang" w:hAnsiTheme="minorHAnsi" w:cstheme="minorBidi"/>
      <w:sz w:val="22"/>
      <w:szCs w:val="22"/>
      <w:lang w:eastAsia="en-US"/>
    </w:rPr>
  </w:style>
  <w:style w:type="character" w:customStyle="1" w:styleId="Heading1Char">
    <w:name w:val="Heading 1 Char"/>
    <w:aliases w:val="Heading 1 Cab Char"/>
    <w:basedOn w:val="DefaultParagraphFont"/>
    <w:link w:val="Heading1"/>
    <w:rsid w:val="007C3F29"/>
    <w:rPr>
      <w:rFonts w:ascii="Arial" w:hAnsi="Arial" w:cs="Arial"/>
      <w:b/>
      <w:kern w:val="28"/>
      <w:sz w:val="36"/>
      <w:szCs w:val="36"/>
    </w:rPr>
  </w:style>
  <w:style w:type="paragraph" w:styleId="TOCHeading">
    <w:name w:val="TOC Heading"/>
    <w:basedOn w:val="Heading1"/>
    <w:next w:val="Normal"/>
    <w:uiPriority w:val="39"/>
    <w:unhideWhenUsed/>
    <w:qFormat/>
    <w:rsid w:val="007C3F29"/>
    <w:pPr>
      <w:keepLines/>
      <w:pageBreakBefore w:val="0"/>
      <w:numPr>
        <w:numId w:val="0"/>
      </w:numPr>
      <w:tabs>
        <w:tab w:val="left" w:pos="2098"/>
      </w:tabs>
      <w:spacing w:after="360" w:line="240" w:lineRule="auto"/>
      <w:ind w:left="2098" w:hanging="2098"/>
      <w:outlineLvl w:val="9"/>
    </w:pPr>
    <w:rPr>
      <w:rFonts w:asciiTheme="majorHAnsi" w:eastAsiaTheme="majorEastAsia" w:hAnsiTheme="majorHAnsi" w:cstheme="majorBidi"/>
      <w:bCs/>
      <w:color w:val="1F497D" w:themeColor="text2"/>
      <w:kern w:val="0"/>
      <w:sz w:val="40"/>
      <w:szCs w:val="28"/>
      <w:lang w:val="en-US" w:eastAsia="ja-JP"/>
    </w:rPr>
  </w:style>
  <w:style w:type="paragraph" w:styleId="Title">
    <w:name w:val="Title"/>
    <w:basedOn w:val="Normal"/>
    <w:link w:val="TitleChar"/>
    <w:uiPriority w:val="10"/>
    <w:qFormat/>
    <w:rsid w:val="007C3F29"/>
    <w:pPr>
      <w:spacing w:before="240" w:after="60" w:line="276" w:lineRule="auto"/>
      <w:jc w:val="center"/>
      <w:outlineLvl w:val="0"/>
    </w:pPr>
    <w:rPr>
      <w:rFonts w:ascii="Arial" w:hAnsi="Arial"/>
      <w:b/>
      <w:kern w:val="28"/>
      <w:sz w:val="32"/>
      <w:szCs w:val="22"/>
      <w:lang w:eastAsia="en-US"/>
    </w:rPr>
  </w:style>
  <w:style w:type="character" w:customStyle="1" w:styleId="TitleChar">
    <w:name w:val="Title Char"/>
    <w:basedOn w:val="DefaultParagraphFont"/>
    <w:link w:val="Title"/>
    <w:uiPriority w:val="10"/>
    <w:rsid w:val="007C3F29"/>
    <w:rPr>
      <w:rFonts w:ascii="Arial" w:hAnsi="Arial"/>
      <w:b/>
      <w:kern w:val="28"/>
      <w:sz w:val="32"/>
      <w:szCs w:val="22"/>
      <w:lang w:eastAsia="en-US"/>
    </w:rPr>
  </w:style>
  <w:style w:type="paragraph" w:customStyle="1" w:styleId="SingleParagraph">
    <w:name w:val="Single Paragraph"/>
    <w:basedOn w:val="Normal"/>
    <w:link w:val="SingleParagraphChar"/>
    <w:rsid w:val="007C3F29"/>
    <w:pPr>
      <w:spacing w:after="0"/>
      <w:jc w:val="both"/>
    </w:pPr>
    <w:rPr>
      <w:rFonts w:ascii="Calibri" w:hAnsi="Calibri"/>
      <w:color w:val="000000"/>
    </w:rPr>
  </w:style>
  <w:style w:type="paragraph" w:customStyle="1" w:styleId="Heading2NotNumbered">
    <w:name w:val="Heading 2 Not Numbered"/>
    <w:basedOn w:val="Normal"/>
    <w:next w:val="Normal"/>
    <w:rsid w:val="007C3F29"/>
    <w:pPr>
      <w:keepNext/>
      <w:spacing w:before="360" w:line="276" w:lineRule="auto"/>
    </w:pPr>
    <w:rPr>
      <w:rFonts w:asciiTheme="majorHAnsi" w:hAnsiTheme="majorHAnsi"/>
      <w:b/>
      <w:color w:val="4F81BD" w:themeColor="accent1"/>
      <w:sz w:val="32"/>
      <w:szCs w:val="28"/>
    </w:rPr>
  </w:style>
  <w:style w:type="character" w:customStyle="1" w:styleId="SingleParagraphChar">
    <w:name w:val="Single Paragraph Char"/>
    <w:link w:val="SingleParagraph"/>
    <w:locked/>
    <w:rsid w:val="007C3F29"/>
    <w:rPr>
      <w:rFonts w:ascii="Calibri" w:hAnsi="Calibri"/>
      <w:color w:val="000000"/>
      <w:sz w:val="22"/>
    </w:rPr>
  </w:style>
  <w:style w:type="paragraph" w:customStyle="1" w:styleId="Heading1NotNumbered">
    <w:name w:val="Heading 1 Not Numbered"/>
    <w:basedOn w:val="Normal"/>
    <w:next w:val="Normal"/>
    <w:rsid w:val="007C3F29"/>
    <w:pPr>
      <w:keepNext/>
      <w:spacing w:after="360"/>
      <w:outlineLvl w:val="0"/>
    </w:pPr>
    <w:rPr>
      <w:rFonts w:asciiTheme="majorHAnsi" w:eastAsiaTheme="majorEastAsia" w:hAnsiTheme="majorHAnsi"/>
      <w:b/>
      <w:smallCaps/>
      <w:color w:val="1F497D" w:themeColor="text2"/>
      <w:sz w:val="40"/>
      <w:szCs w:val="36"/>
    </w:rPr>
  </w:style>
  <w:style w:type="paragraph" w:customStyle="1" w:styleId="CoverTitleSub">
    <w:name w:val="Cover Title Sub"/>
    <w:basedOn w:val="Normal"/>
    <w:rsid w:val="007C3F29"/>
    <w:pPr>
      <w:keepNext/>
      <w:spacing w:before="480" w:after="360"/>
      <w:jc w:val="right"/>
    </w:pPr>
    <w:rPr>
      <w:rFonts w:ascii="Garamond" w:hAnsi="Garamond"/>
      <w:color w:val="1F497D" w:themeColor="text2"/>
      <w:sz w:val="36"/>
    </w:rPr>
  </w:style>
  <w:style w:type="paragraph" w:customStyle="1" w:styleId="CoverTitleMain">
    <w:name w:val="Cover Title Main"/>
    <w:basedOn w:val="Normal"/>
    <w:next w:val="Normal"/>
    <w:rsid w:val="007C3F29"/>
    <w:pPr>
      <w:pBdr>
        <w:bottom w:val="single" w:sz="24" w:space="18" w:color="1F497D" w:themeColor="text2"/>
      </w:pBdr>
      <w:shd w:val="clear" w:color="auto" w:fill="FFFFFF"/>
      <w:spacing w:after="600"/>
      <w:jc w:val="center"/>
    </w:pPr>
    <w:rPr>
      <w:rFonts w:ascii="Garamond" w:hAnsi="Garamond"/>
      <w:b/>
      <w:color w:val="1F497D" w:themeColor="text2"/>
      <w:sz w:val="56"/>
    </w:rPr>
  </w:style>
  <w:style w:type="paragraph" w:styleId="NoSpacing">
    <w:name w:val="No Spacing"/>
    <w:uiPriority w:val="1"/>
    <w:qFormat/>
    <w:rsid w:val="007C3F29"/>
    <w:rPr>
      <w:rFonts w:asciiTheme="minorHAnsi" w:eastAsia="Batang" w:hAnsiTheme="minorHAnsi" w:cstheme="minorBidi"/>
      <w:sz w:val="22"/>
      <w:szCs w:val="22"/>
      <w:lang w:eastAsia="en-US"/>
    </w:rPr>
  </w:style>
  <w:style w:type="character" w:customStyle="1" w:styleId="Heading2Char">
    <w:name w:val="Heading 2 Char"/>
    <w:basedOn w:val="DefaultParagraphFont"/>
    <w:link w:val="Heading2"/>
    <w:uiPriority w:val="9"/>
    <w:rsid w:val="007C3F29"/>
    <w:rPr>
      <w:rFonts w:ascii="Arial" w:hAnsi="Arial" w:cs="Arial"/>
      <w:b/>
      <w:sz w:val="28"/>
      <w:szCs w:val="28"/>
    </w:rPr>
  </w:style>
  <w:style w:type="character" w:customStyle="1" w:styleId="Heading3Char">
    <w:name w:val="Heading 3 Char"/>
    <w:basedOn w:val="DefaultParagraphFont"/>
    <w:link w:val="Heading3"/>
    <w:uiPriority w:val="9"/>
    <w:rsid w:val="005E2294"/>
    <w:rPr>
      <w:rFonts w:ascii="Arial" w:hAnsi="Arial" w:cs="Arial"/>
      <w:b/>
      <w:sz w:val="24"/>
      <w:szCs w:val="24"/>
    </w:rPr>
  </w:style>
  <w:style w:type="paragraph" w:styleId="PlainText">
    <w:name w:val="Plain Text"/>
    <w:basedOn w:val="Normal"/>
    <w:link w:val="PlainTextChar"/>
    <w:uiPriority w:val="99"/>
    <w:semiHidden/>
    <w:unhideWhenUsed/>
    <w:rsid w:val="007C3F29"/>
    <w:pPr>
      <w:spacing w:after="0"/>
    </w:pPr>
    <w:rPr>
      <w:rFonts w:ascii="Calibri" w:eastAsia="Batang" w:hAnsi="Calibri" w:cstheme="minorBidi"/>
      <w:szCs w:val="21"/>
      <w:lang w:eastAsia="en-US"/>
    </w:rPr>
  </w:style>
  <w:style w:type="character" w:customStyle="1" w:styleId="PlainTextChar">
    <w:name w:val="Plain Text Char"/>
    <w:basedOn w:val="DefaultParagraphFont"/>
    <w:link w:val="PlainText"/>
    <w:uiPriority w:val="99"/>
    <w:semiHidden/>
    <w:rsid w:val="007C3F29"/>
    <w:rPr>
      <w:rFonts w:ascii="Calibri" w:eastAsia="Batang" w:hAnsi="Calibri" w:cstheme="minorBidi"/>
      <w:sz w:val="22"/>
      <w:szCs w:val="21"/>
      <w:lang w:eastAsia="en-US"/>
    </w:rPr>
  </w:style>
  <w:style w:type="paragraph" w:customStyle="1" w:styleId="NumberedParagraph">
    <w:name w:val="Numbered Paragraph"/>
    <w:basedOn w:val="Normal"/>
    <w:link w:val="NumberedParagraphChar"/>
    <w:rsid w:val="007C3F29"/>
    <w:pPr>
      <w:numPr>
        <w:numId w:val="13"/>
      </w:numPr>
      <w:spacing w:after="0" w:line="276" w:lineRule="auto"/>
    </w:pPr>
    <w:rPr>
      <w:rFonts w:asciiTheme="minorHAnsi" w:eastAsia="Batang" w:hAnsiTheme="minorHAnsi" w:cstheme="minorBidi"/>
      <w:b/>
      <w:szCs w:val="22"/>
      <w:lang w:eastAsia="en-US"/>
    </w:rPr>
  </w:style>
  <w:style w:type="character" w:customStyle="1" w:styleId="NumberedParagraphChar">
    <w:name w:val="Numbered Paragraph Char"/>
    <w:basedOn w:val="BulletChar"/>
    <w:link w:val="NumberedParagraph"/>
    <w:rsid w:val="007C3F29"/>
    <w:rPr>
      <w:rFonts w:asciiTheme="minorHAnsi" w:eastAsia="Batang" w:hAnsiTheme="minorHAnsi" w:cstheme="minorBidi"/>
      <w:b/>
      <w:sz w:val="22"/>
      <w:szCs w:val="22"/>
      <w:lang w:eastAsia="en-US"/>
    </w:rPr>
  </w:style>
  <w:style w:type="character" w:customStyle="1" w:styleId="A5">
    <w:name w:val="A5"/>
    <w:uiPriority w:val="99"/>
    <w:rsid w:val="007C3F29"/>
    <w:rPr>
      <w:rFonts w:cs="Swiss 721 BT"/>
      <w:color w:val="000000"/>
      <w:sz w:val="20"/>
      <w:szCs w:val="20"/>
    </w:rPr>
  </w:style>
  <w:style w:type="paragraph" w:customStyle="1" w:styleId="FooterOdd">
    <w:name w:val="Footer Odd"/>
    <w:basedOn w:val="Footer"/>
    <w:qFormat/>
    <w:rsid w:val="007C3F29"/>
    <w:pPr>
      <w:tabs>
        <w:tab w:val="clear" w:pos="9070"/>
        <w:tab w:val="center" w:pos="4513"/>
        <w:tab w:val="right" w:pos="9026"/>
      </w:tabs>
      <w:jc w:val="right"/>
    </w:pPr>
    <w:rPr>
      <w:rFonts w:asciiTheme="minorHAnsi" w:eastAsia="Batang" w:hAnsiTheme="minorHAnsi" w:cstheme="minorBidi"/>
      <w:color w:val="1F497D" w:themeColor="text2"/>
      <w:sz w:val="20"/>
      <w:szCs w:val="22"/>
      <w:lang w:eastAsia="en-US"/>
    </w:rPr>
  </w:style>
  <w:style w:type="paragraph" w:customStyle="1" w:styleId="FooterEven">
    <w:name w:val="Footer Even"/>
    <w:basedOn w:val="FooterOdd"/>
    <w:qFormat/>
    <w:rsid w:val="007C3F29"/>
    <w:pPr>
      <w:jc w:val="left"/>
    </w:pPr>
  </w:style>
  <w:style w:type="paragraph" w:customStyle="1" w:styleId="Heading1NoTOC">
    <w:name w:val="Heading 1 No TOC"/>
    <w:basedOn w:val="Heading1NotNumbered"/>
    <w:qFormat/>
    <w:rsid w:val="007C3F29"/>
    <w:pPr>
      <w:outlineLvl w:val="9"/>
    </w:pPr>
  </w:style>
  <w:style w:type="paragraph" w:customStyle="1" w:styleId="BoxQuestions">
    <w:name w:val="Box Questions"/>
    <w:qFormat/>
    <w:rsid w:val="007C3F29"/>
    <w:pPr>
      <w:numPr>
        <w:numId w:val="12"/>
      </w:numPr>
      <w:spacing w:before="120" w:after="120" w:line="300" w:lineRule="auto"/>
    </w:pPr>
    <w:rPr>
      <w:rFonts w:ascii="Helvetica" w:eastAsia="Batang" w:hAnsi="Helvetica" w:cstheme="minorBidi"/>
      <w:lang w:eastAsia="en-US"/>
    </w:rPr>
  </w:style>
  <w:style w:type="paragraph" w:customStyle="1" w:styleId="BoxQuestions-Heading">
    <w:name w:val="Box Questions - Heading"/>
    <w:basedOn w:val="OutlineNumbered1"/>
    <w:qFormat/>
    <w:rsid w:val="007C3F29"/>
    <w:pPr>
      <w:numPr>
        <w:numId w:val="0"/>
      </w:numPr>
      <w:spacing w:before="120" w:after="120" w:line="240" w:lineRule="auto"/>
    </w:pPr>
    <w:rPr>
      <w:rFonts w:ascii="Helvetica" w:hAnsi="Helvetica"/>
      <w:b/>
      <w:color w:val="1F497D" w:themeColor="text2"/>
    </w:rPr>
  </w:style>
  <w:style w:type="paragraph" w:customStyle="1" w:styleId="ChartMainHeading">
    <w:name w:val="Chart Main Heading"/>
    <w:basedOn w:val="TableMainHeading"/>
    <w:qFormat/>
    <w:rsid w:val="007C3F29"/>
    <w:pPr>
      <w:spacing w:after="120"/>
    </w:pPr>
  </w:style>
  <w:style w:type="paragraph" w:customStyle="1" w:styleId="ChartGraphic">
    <w:name w:val="Chart Graphic"/>
    <w:basedOn w:val="Bullet"/>
    <w:qFormat/>
    <w:rsid w:val="007C3F29"/>
    <w:pPr>
      <w:numPr>
        <w:numId w:val="0"/>
      </w:numPr>
      <w:jc w:val="center"/>
    </w:pPr>
    <w:rPr>
      <w:noProof/>
      <w:lang w:eastAsia="en-AU"/>
    </w:rPr>
  </w:style>
  <w:style w:type="paragraph" w:customStyle="1" w:styleId="Box-Other-Text">
    <w:name w:val="Box - Other - Text"/>
    <w:basedOn w:val="Normal"/>
    <w:qFormat/>
    <w:rsid w:val="007C3F29"/>
    <w:pPr>
      <w:spacing w:after="120"/>
    </w:pPr>
    <w:rPr>
      <w:rFonts w:asciiTheme="minorHAnsi" w:eastAsia="Batang" w:hAnsiTheme="minorHAnsi" w:cstheme="minorBidi"/>
      <w:szCs w:val="22"/>
      <w:lang w:eastAsia="en-US"/>
    </w:rPr>
  </w:style>
  <w:style w:type="character" w:customStyle="1" w:styleId="Heading4Char">
    <w:name w:val="Heading 4 Char"/>
    <w:basedOn w:val="DefaultParagraphFont"/>
    <w:link w:val="Heading4"/>
    <w:uiPriority w:val="9"/>
    <w:rsid w:val="002D1ABB"/>
    <w:rPr>
      <w:rFonts w:ascii="Arial" w:hAnsi="Arial" w:cs="Arial"/>
      <w:b/>
      <w:szCs w:val="22"/>
    </w:rPr>
  </w:style>
  <w:style w:type="paragraph" w:customStyle="1" w:styleId="FigureGraphic">
    <w:name w:val="Figure Graphic"/>
    <w:basedOn w:val="Bullet"/>
    <w:qFormat/>
    <w:rsid w:val="007C3F29"/>
    <w:pPr>
      <w:numPr>
        <w:numId w:val="0"/>
      </w:numPr>
      <w:spacing w:after="120"/>
      <w:jc w:val="center"/>
    </w:pPr>
    <w:rPr>
      <w:noProof/>
      <w:lang w:eastAsia="en-AU"/>
    </w:rPr>
  </w:style>
  <w:style w:type="paragraph" w:customStyle="1" w:styleId="FigureHeading">
    <w:name w:val="Figure Heading"/>
    <w:basedOn w:val="ChartMainHeading"/>
    <w:qFormat/>
    <w:rsid w:val="007C3F29"/>
  </w:style>
  <w:style w:type="paragraph" w:customStyle="1" w:styleId="ChartorTableNote">
    <w:name w:val="Chart or Table Note"/>
    <w:basedOn w:val="Bullet"/>
    <w:qFormat/>
    <w:rsid w:val="007C3F29"/>
    <w:pPr>
      <w:numPr>
        <w:numId w:val="0"/>
      </w:numPr>
      <w:tabs>
        <w:tab w:val="left" w:pos="567"/>
      </w:tabs>
      <w:spacing w:after="240"/>
      <w:ind w:left="567" w:hanging="567"/>
    </w:pPr>
    <w:rPr>
      <w:sz w:val="18"/>
      <w:szCs w:val="18"/>
    </w:rPr>
  </w:style>
  <w:style w:type="paragraph" w:customStyle="1" w:styleId="AttachmentHeading">
    <w:name w:val="Attachment Heading"/>
    <w:basedOn w:val="Heading1"/>
    <w:qFormat/>
    <w:rsid w:val="007C3F29"/>
    <w:pPr>
      <w:keepLines/>
      <w:pageBreakBefore w:val="0"/>
      <w:numPr>
        <w:numId w:val="0"/>
      </w:numPr>
      <w:tabs>
        <w:tab w:val="left" w:pos="2892"/>
      </w:tabs>
      <w:spacing w:after="360" w:line="240" w:lineRule="auto"/>
      <w:ind w:left="2892" w:hanging="2892"/>
    </w:pPr>
    <w:rPr>
      <w:rFonts w:asciiTheme="majorHAnsi" w:eastAsiaTheme="majorEastAsia" w:hAnsiTheme="majorHAnsi" w:cstheme="majorBidi"/>
      <w:bCs/>
      <w:color w:val="1F497D" w:themeColor="text2"/>
      <w:kern w:val="0"/>
      <w:sz w:val="40"/>
      <w:szCs w:val="28"/>
      <w:lang w:eastAsia="en-US"/>
    </w:rPr>
  </w:style>
  <w:style w:type="paragraph" w:customStyle="1" w:styleId="TableTextLeft-AlphaNumbering">
    <w:name w:val="Table Text Left - Alpha Numbering"/>
    <w:basedOn w:val="TableTextLeft"/>
    <w:qFormat/>
    <w:rsid w:val="007C3F29"/>
    <w:pPr>
      <w:numPr>
        <w:numId w:val="14"/>
      </w:numPr>
    </w:pPr>
  </w:style>
  <w:style w:type="paragraph" w:customStyle="1" w:styleId="TableTextCentre">
    <w:name w:val="Table Text Centre"/>
    <w:basedOn w:val="TableTextLeft"/>
    <w:qFormat/>
    <w:rsid w:val="007C3F29"/>
    <w:pPr>
      <w:jc w:val="center"/>
    </w:pPr>
  </w:style>
  <w:style w:type="paragraph" w:customStyle="1" w:styleId="TableColumnHeadingCentred">
    <w:name w:val="Table Column Heading Centred"/>
    <w:basedOn w:val="TableColumnHeadingLeft"/>
    <w:qFormat/>
    <w:rsid w:val="007C3F29"/>
    <w:pPr>
      <w:jc w:val="center"/>
    </w:pPr>
    <w:rPr>
      <w:bCs w:val="0"/>
    </w:rPr>
  </w:style>
  <w:style w:type="paragraph" w:customStyle="1" w:styleId="SingleParagraphDouble">
    <w:name w:val="Single Paragraph Double"/>
    <w:basedOn w:val="SingleParagraph"/>
    <w:qFormat/>
    <w:rsid w:val="007C3F29"/>
    <w:rPr>
      <w:sz w:val="44"/>
      <w:szCs w:val="40"/>
    </w:rPr>
  </w:style>
  <w:style w:type="paragraph" w:customStyle="1" w:styleId="TableTexLeft-Bullets">
    <w:name w:val="Table Tex Left - Bullets"/>
    <w:basedOn w:val="Bullet"/>
    <w:qFormat/>
    <w:rsid w:val="007C3F29"/>
    <w:pPr>
      <w:numPr>
        <w:numId w:val="0"/>
      </w:numPr>
      <w:tabs>
        <w:tab w:val="num" w:pos="170"/>
      </w:tabs>
      <w:spacing w:before="80" w:after="80" w:line="240" w:lineRule="auto"/>
      <w:ind w:left="170" w:hanging="170"/>
    </w:pPr>
    <w:rPr>
      <w:color w:val="000000" w:themeColor="text1" w:themeShade="BF"/>
    </w:rPr>
  </w:style>
  <w:style w:type="paragraph" w:customStyle="1" w:styleId="TableTextLeft-Dash">
    <w:name w:val="Table Text Left - Dash"/>
    <w:basedOn w:val="Dash"/>
    <w:qFormat/>
    <w:rsid w:val="007C3F29"/>
    <w:pPr>
      <w:numPr>
        <w:numId w:val="15"/>
      </w:numPr>
      <w:spacing w:before="80" w:after="80" w:line="240" w:lineRule="auto"/>
      <w:ind w:left="794" w:hanging="397"/>
    </w:pPr>
    <w:rPr>
      <w:color w:val="000000" w:themeColor="text1" w:themeShade="BF"/>
    </w:rPr>
  </w:style>
  <w:style w:type="paragraph" w:customStyle="1" w:styleId="HeaderEven">
    <w:name w:val="Header Even"/>
    <w:basedOn w:val="Header"/>
    <w:qFormat/>
    <w:rsid w:val="007C3F29"/>
    <w:pPr>
      <w:pBdr>
        <w:bottom w:val="none" w:sz="0" w:space="0" w:color="auto"/>
      </w:pBdr>
      <w:tabs>
        <w:tab w:val="clear" w:pos="9356"/>
        <w:tab w:val="center" w:pos="4513"/>
        <w:tab w:val="right" w:pos="9026"/>
      </w:tabs>
      <w:ind w:left="0"/>
    </w:pPr>
    <w:rPr>
      <w:rFonts w:asciiTheme="minorHAnsi" w:eastAsia="Batang" w:hAnsiTheme="minorHAnsi" w:cstheme="minorBidi"/>
      <w:caps w:val="0"/>
      <w:color w:val="1F497D" w:themeColor="text2"/>
      <w:sz w:val="20"/>
      <w:szCs w:val="22"/>
      <w:lang w:eastAsia="en-US"/>
    </w:rPr>
  </w:style>
  <w:style w:type="paragraph" w:customStyle="1" w:styleId="HeaderOdd">
    <w:name w:val="Header Odd"/>
    <w:basedOn w:val="Header"/>
    <w:qFormat/>
    <w:rsid w:val="007C3F29"/>
    <w:pPr>
      <w:pBdr>
        <w:bottom w:val="none" w:sz="0" w:space="0" w:color="auto"/>
      </w:pBdr>
      <w:tabs>
        <w:tab w:val="clear" w:pos="9356"/>
        <w:tab w:val="center" w:pos="4513"/>
        <w:tab w:val="right" w:pos="9026"/>
      </w:tabs>
      <w:ind w:left="0"/>
      <w:jc w:val="right"/>
    </w:pPr>
    <w:rPr>
      <w:rFonts w:asciiTheme="minorHAnsi" w:eastAsia="Batang" w:hAnsiTheme="minorHAnsi" w:cstheme="minorBidi"/>
      <w:caps w:val="0"/>
      <w:color w:val="1F497D" w:themeColor="text2"/>
      <w:sz w:val="20"/>
      <w:szCs w:val="22"/>
      <w:lang w:eastAsia="en-US"/>
    </w:rPr>
  </w:style>
  <w:style w:type="table" w:customStyle="1" w:styleId="Style1">
    <w:name w:val="Style1"/>
    <w:basedOn w:val="TableNormal"/>
    <w:uiPriority w:val="99"/>
    <w:rsid w:val="007C3F29"/>
    <w:rPr>
      <w:rFonts w:asciiTheme="minorHAnsi" w:eastAsia="Batang" w:hAnsiTheme="minorHAnsi" w:cstheme="minorBidi"/>
      <w:sz w:val="22"/>
      <w:szCs w:val="22"/>
      <w:lang w:eastAsia="en-US"/>
    </w:rPr>
    <w:tblPr>
      <w:tblBorders>
        <w:top w:val="single" w:sz="4" w:space="0" w:color="auto"/>
        <w:bottom w:val="single" w:sz="4" w:space="0" w:color="auto"/>
      </w:tblBorders>
    </w:tblPr>
    <w:tcPr>
      <w:shd w:val="clear" w:color="auto" w:fill="auto"/>
    </w:tcPr>
  </w:style>
  <w:style w:type="paragraph" w:customStyle="1" w:styleId="SinglePara">
    <w:name w:val="Single Para"/>
    <w:basedOn w:val="Normal"/>
    <w:rsid w:val="007C3F29"/>
    <w:pPr>
      <w:spacing w:after="0"/>
    </w:pPr>
    <w:rPr>
      <w:sz w:val="20"/>
    </w:rPr>
  </w:style>
  <w:style w:type="table" w:styleId="MediumShading1">
    <w:name w:val="Medium Shading 1"/>
    <w:basedOn w:val="TableNormal"/>
    <w:uiPriority w:val="63"/>
    <w:rsid w:val="007C3F29"/>
    <w:rPr>
      <w:rFonts w:asciiTheme="minorHAnsi" w:eastAsia="Batang"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7C3F29"/>
    <w:rPr>
      <w:rFonts w:asciiTheme="minorHAnsi" w:eastAsia="Batang"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CRISbody">
    <w:name w:val="CRIS body"/>
    <w:basedOn w:val="Normal"/>
    <w:qFormat/>
    <w:rsid w:val="007C3F29"/>
    <w:pPr>
      <w:widowControl w:val="0"/>
      <w:autoSpaceDE w:val="0"/>
      <w:autoSpaceDN w:val="0"/>
      <w:adjustRightInd w:val="0"/>
      <w:spacing w:line="276" w:lineRule="auto"/>
      <w:jc w:val="both"/>
    </w:pPr>
    <w:rPr>
      <w:rFonts w:ascii="Calibri" w:eastAsia="SimSun" w:hAnsi="Calibri"/>
      <w:iCs/>
      <w:sz w:val="24"/>
      <w:szCs w:val="24"/>
    </w:rPr>
  </w:style>
  <w:style w:type="character" w:customStyle="1" w:styleId="plaintextparagraph2">
    <w:name w:val="plaintextparagraph2"/>
    <w:basedOn w:val="DefaultParagraphFont"/>
    <w:rsid w:val="007C3F29"/>
    <w:rPr>
      <w:rFonts w:ascii="Arial" w:hAnsi="Arial" w:cs="Arial" w:hint="default"/>
      <w:b w:val="0"/>
      <w:bCs w:val="0"/>
      <w:caps w:val="0"/>
      <w:color w:val="000000"/>
      <w:sz w:val="18"/>
      <w:szCs w:val="18"/>
      <w:bdr w:val="none" w:sz="0" w:space="0" w:color="auto" w:frame="1"/>
    </w:rPr>
  </w:style>
  <w:style w:type="paragraph" w:customStyle="1" w:styleId="BodyTextCabNumbered">
    <w:name w:val="Body Text Cab Numbered"/>
    <w:basedOn w:val="BodyText"/>
    <w:link w:val="BodyTextCabNumberedChar"/>
    <w:uiPriority w:val="98"/>
    <w:rsid w:val="007C3F29"/>
    <w:pPr>
      <w:numPr>
        <w:numId w:val="0"/>
      </w:numPr>
      <w:tabs>
        <w:tab w:val="num" w:pos="142"/>
        <w:tab w:val="left" w:pos="567"/>
      </w:tabs>
      <w:spacing w:before="120" w:line="240" w:lineRule="auto"/>
      <w:ind w:left="142"/>
    </w:pPr>
    <w:rPr>
      <w:rFonts w:ascii="Arial" w:eastAsiaTheme="minorHAnsi" w:hAnsi="Arial" w:cstheme="minorBidi"/>
      <w:lang w:eastAsia="en-US"/>
    </w:rPr>
  </w:style>
  <w:style w:type="character" w:customStyle="1" w:styleId="BodyTextCabNumberedChar">
    <w:name w:val="Body Text Cab Numbered Char"/>
    <w:basedOn w:val="DefaultParagraphFont"/>
    <w:link w:val="BodyTextCabNumbered"/>
    <w:uiPriority w:val="98"/>
    <w:rsid w:val="007C3F29"/>
    <w:rPr>
      <w:rFonts w:ascii="Arial" w:eastAsiaTheme="minorHAnsi" w:hAnsi="Arial" w:cstheme="minorBidi"/>
      <w:sz w:val="22"/>
      <w:szCs w:val="22"/>
      <w:lang w:eastAsia="en-US"/>
    </w:rPr>
  </w:style>
  <w:style w:type="character" w:customStyle="1" w:styleId="Heading5Char">
    <w:name w:val="Heading 5 Char"/>
    <w:basedOn w:val="DefaultParagraphFont"/>
    <w:link w:val="Heading5"/>
    <w:uiPriority w:val="9"/>
    <w:rsid w:val="007C3F29"/>
    <w:rPr>
      <w:rFonts w:ascii="Arial" w:hAnsi="Arial" w:cs="Arial"/>
      <w:i/>
    </w:rPr>
  </w:style>
  <w:style w:type="table" w:styleId="MediumList1">
    <w:name w:val="Medium List 1"/>
    <w:basedOn w:val="TableNormal"/>
    <w:uiPriority w:val="65"/>
    <w:rsid w:val="007C3F29"/>
    <w:rPr>
      <w:rFonts w:asciiTheme="minorHAnsi" w:eastAsia="Batang"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J-Table">
    <w:name w:val="J-Table"/>
    <w:basedOn w:val="Style1"/>
    <w:uiPriority w:val="99"/>
    <w:rsid w:val="007C3F29"/>
    <w:tblPr/>
    <w:tcPr>
      <w:shd w:val="clear" w:color="auto" w:fill="auto"/>
    </w:tcPr>
  </w:style>
  <w:style w:type="paragraph" w:customStyle="1" w:styleId="Bodybullets">
    <w:name w:val="Body bullets"/>
    <w:basedOn w:val="BodyText"/>
    <w:qFormat/>
    <w:rsid w:val="007C3F29"/>
    <w:pPr>
      <w:widowControl w:val="0"/>
      <w:numPr>
        <w:numId w:val="17"/>
      </w:numPr>
      <w:spacing w:before="40" w:line="240" w:lineRule="auto"/>
    </w:pPr>
    <w:rPr>
      <w:rFonts w:ascii="Arial" w:eastAsia="Arial" w:hAnsi="Arial" w:cs="Arial"/>
      <w:sz w:val="18"/>
      <w:szCs w:val="18"/>
      <w:lang w:val="en-US" w:eastAsia="en-US"/>
    </w:rPr>
  </w:style>
  <w:style w:type="paragraph" w:customStyle="1" w:styleId="00Intro">
    <w:name w:val="00_Intro"/>
    <w:basedOn w:val="Heading2"/>
    <w:uiPriority w:val="1"/>
    <w:qFormat/>
    <w:rsid w:val="007C3F29"/>
    <w:pPr>
      <w:keepNext w:val="0"/>
      <w:widowControl w:val="0"/>
      <w:spacing w:before="120" w:after="240" w:line="250" w:lineRule="auto"/>
    </w:pPr>
    <w:rPr>
      <w:rFonts w:eastAsia="Arial" w:cstheme="minorBidi"/>
      <w:b w:val="0"/>
      <w:color w:val="101E8E"/>
      <w:sz w:val="30"/>
      <w:szCs w:val="30"/>
      <w:lang w:val="en-US" w:eastAsia="en-US"/>
    </w:rPr>
  </w:style>
  <w:style w:type="character" w:customStyle="1" w:styleId="apple-converted-space">
    <w:name w:val="apple-converted-space"/>
    <w:basedOn w:val="DefaultParagraphFont"/>
    <w:rsid w:val="007C3F29"/>
  </w:style>
  <w:style w:type="paragraph" w:customStyle="1" w:styleId="Bodybullets2">
    <w:name w:val="Body bullets 2"/>
    <w:basedOn w:val="Bodybullets"/>
    <w:uiPriority w:val="1"/>
    <w:qFormat/>
    <w:rsid w:val="007C3F29"/>
    <w:pPr>
      <w:numPr>
        <w:numId w:val="18"/>
      </w:numPr>
    </w:pPr>
  </w:style>
  <w:style w:type="paragraph" w:customStyle="1" w:styleId="BodyBullets0">
    <w:name w:val="Body Bullets"/>
    <w:basedOn w:val="ListBullet"/>
    <w:next w:val="Bullet"/>
    <w:uiPriority w:val="99"/>
    <w:rsid w:val="007C3F29"/>
    <w:pPr>
      <w:widowControl w:val="0"/>
      <w:numPr>
        <w:numId w:val="0"/>
      </w:numPr>
      <w:tabs>
        <w:tab w:val="left" w:pos="170"/>
        <w:tab w:val="left" w:pos="340"/>
        <w:tab w:val="num" w:pos="3621"/>
      </w:tabs>
      <w:suppressAutoHyphens/>
      <w:autoSpaceDE w:val="0"/>
      <w:autoSpaceDN w:val="0"/>
      <w:adjustRightInd w:val="0"/>
      <w:spacing w:before="0" w:after="120" w:line="220" w:lineRule="atLeast"/>
      <w:ind w:left="3621" w:hanging="360"/>
      <w:contextualSpacing/>
      <w:textAlignment w:val="center"/>
    </w:pPr>
    <w:rPr>
      <w:rFonts w:ascii="Arial" w:eastAsiaTheme="minorHAnsi" w:hAnsi="Arial" w:cs="ArialMT"/>
      <w:color w:val="000000"/>
      <w:sz w:val="18"/>
      <w:szCs w:val="18"/>
      <w:lang w:val="en-GB" w:eastAsia="en-US"/>
    </w:rPr>
  </w:style>
  <w:style w:type="paragraph" w:customStyle="1" w:styleId="definition">
    <w:name w:val="definition"/>
    <w:basedOn w:val="Normal"/>
    <w:rsid w:val="007C3F29"/>
    <w:pPr>
      <w:spacing w:before="100" w:beforeAutospacing="1" w:after="100" w:afterAutospacing="1"/>
    </w:pPr>
    <w:rPr>
      <w:sz w:val="24"/>
      <w:szCs w:val="24"/>
    </w:rPr>
  </w:style>
  <w:style w:type="paragraph" w:customStyle="1" w:styleId="paragraph">
    <w:name w:val="paragraph"/>
    <w:basedOn w:val="Normal"/>
    <w:rsid w:val="007C3F29"/>
    <w:pPr>
      <w:spacing w:before="100" w:beforeAutospacing="1" w:after="100" w:afterAutospacing="1"/>
    </w:pPr>
    <w:rPr>
      <w:sz w:val="24"/>
      <w:szCs w:val="24"/>
    </w:rPr>
  </w:style>
  <w:style w:type="paragraph" w:customStyle="1" w:styleId="paragraphsub">
    <w:name w:val="paragraphsub"/>
    <w:basedOn w:val="Normal"/>
    <w:rsid w:val="007C3F29"/>
    <w:pPr>
      <w:spacing w:before="100" w:beforeAutospacing="1" w:after="100" w:afterAutospacing="1"/>
    </w:pPr>
    <w:rPr>
      <w:sz w:val="24"/>
      <w:szCs w:val="24"/>
    </w:rPr>
  </w:style>
  <w:style w:type="table" w:styleId="MediumShading1-Accent1">
    <w:name w:val="Medium Shading 1 Accent 1"/>
    <w:basedOn w:val="TableNormal"/>
    <w:uiPriority w:val="63"/>
    <w:rsid w:val="007C3F29"/>
    <w:rPr>
      <w:rFonts w:asciiTheme="minorHAnsi" w:eastAsia="Batang"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C3F29"/>
    <w:rPr>
      <w:rFonts w:asciiTheme="minorHAnsi" w:eastAsia="Batang"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5">
    <w:name w:val="toc 5"/>
    <w:basedOn w:val="Normal"/>
    <w:next w:val="Normal"/>
    <w:autoRedefine/>
    <w:uiPriority w:val="39"/>
    <w:unhideWhenUsed/>
    <w:rsid w:val="007C3F29"/>
    <w:pPr>
      <w:spacing w:after="0" w:line="276" w:lineRule="auto"/>
      <w:ind w:left="880"/>
    </w:pPr>
    <w:rPr>
      <w:rFonts w:asciiTheme="minorHAnsi" w:eastAsia="Batang" w:hAnsiTheme="minorHAnsi" w:cstheme="minorBidi"/>
      <w:sz w:val="18"/>
      <w:szCs w:val="18"/>
      <w:lang w:eastAsia="en-US"/>
    </w:rPr>
  </w:style>
  <w:style w:type="paragraph" w:styleId="TOC6">
    <w:name w:val="toc 6"/>
    <w:basedOn w:val="Normal"/>
    <w:next w:val="Normal"/>
    <w:autoRedefine/>
    <w:uiPriority w:val="39"/>
    <w:unhideWhenUsed/>
    <w:rsid w:val="007C3F29"/>
    <w:pPr>
      <w:spacing w:after="0" w:line="276" w:lineRule="auto"/>
      <w:ind w:left="1100"/>
    </w:pPr>
    <w:rPr>
      <w:rFonts w:asciiTheme="minorHAnsi" w:eastAsia="Batang" w:hAnsiTheme="minorHAnsi" w:cstheme="minorBidi"/>
      <w:sz w:val="18"/>
      <w:szCs w:val="18"/>
      <w:lang w:eastAsia="en-US"/>
    </w:rPr>
  </w:style>
  <w:style w:type="paragraph" w:styleId="TOC7">
    <w:name w:val="toc 7"/>
    <w:basedOn w:val="Normal"/>
    <w:next w:val="Normal"/>
    <w:autoRedefine/>
    <w:uiPriority w:val="39"/>
    <w:unhideWhenUsed/>
    <w:rsid w:val="007C3F29"/>
    <w:pPr>
      <w:spacing w:after="0" w:line="276" w:lineRule="auto"/>
      <w:ind w:left="1320"/>
    </w:pPr>
    <w:rPr>
      <w:rFonts w:asciiTheme="minorHAnsi" w:eastAsia="Batang" w:hAnsiTheme="minorHAnsi" w:cstheme="minorBidi"/>
      <w:sz w:val="18"/>
      <w:szCs w:val="18"/>
      <w:lang w:eastAsia="en-US"/>
    </w:rPr>
  </w:style>
  <w:style w:type="paragraph" w:styleId="TOC8">
    <w:name w:val="toc 8"/>
    <w:basedOn w:val="Normal"/>
    <w:next w:val="Normal"/>
    <w:autoRedefine/>
    <w:uiPriority w:val="39"/>
    <w:unhideWhenUsed/>
    <w:rsid w:val="007C3F29"/>
    <w:pPr>
      <w:spacing w:after="0" w:line="276" w:lineRule="auto"/>
      <w:ind w:left="1540"/>
    </w:pPr>
    <w:rPr>
      <w:rFonts w:asciiTheme="minorHAnsi" w:eastAsia="Batang" w:hAnsiTheme="minorHAnsi" w:cstheme="minorBidi"/>
      <w:sz w:val="18"/>
      <w:szCs w:val="18"/>
      <w:lang w:eastAsia="en-US"/>
    </w:rPr>
  </w:style>
  <w:style w:type="paragraph" w:styleId="TOC9">
    <w:name w:val="toc 9"/>
    <w:basedOn w:val="Normal"/>
    <w:next w:val="Normal"/>
    <w:autoRedefine/>
    <w:uiPriority w:val="39"/>
    <w:unhideWhenUsed/>
    <w:rsid w:val="007C3F29"/>
    <w:pPr>
      <w:spacing w:after="0" w:line="276" w:lineRule="auto"/>
      <w:ind w:left="1760"/>
    </w:pPr>
    <w:rPr>
      <w:rFonts w:asciiTheme="minorHAnsi" w:eastAsia="Batang" w:hAnsiTheme="minorHAnsi" w:cstheme="minorBidi"/>
      <w:sz w:val="18"/>
      <w:szCs w:val="18"/>
      <w:lang w:eastAsia="en-US"/>
    </w:rPr>
  </w:style>
  <w:style w:type="paragraph" w:customStyle="1" w:styleId="Para2">
    <w:name w:val="Para 2"/>
    <w:basedOn w:val="ListParagraph"/>
    <w:uiPriority w:val="1"/>
    <w:qFormat/>
    <w:rsid w:val="00F425AE"/>
    <w:pPr>
      <w:keepLines/>
      <w:tabs>
        <w:tab w:val="left" w:pos="1418"/>
      </w:tabs>
      <w:spacing w:after="160"/>
      <w:ind w:left="0"/>
      <w:contextualSpacing w:val="0"/>
    </w:pPr>
    <w:rPr>
      <w:rFonts w:ascii="Arial" w:eastAsiaTheme="minorHAnsi" w:hAnsi="Arial" w:cs="Arial"/>
      <w:sz w:val="24"/>
      <w:szCs w:val="24"/>
    </w:rPr>
  </w:style>
  <w:style w:type="paragraph" w:customStyle="1" w:styleId="FooterPaper">
    <w:name w:val="Footer Paper"/>
    <w:basedOn w:val="Footer"/>
    <w:link w:val="FooterPaperChar"/>
    <w:uiPriority w:val="12"/>
    <w:qFormat/>
    <w:rsid w:val="00883E44"/>
    <w:pPr>
      <w:tabs>
        <w:tab w:val="clear" w:pos="9070"/>
        <w:tab w:val="left" w:pos="2580"/>
        <w:tab w:val="left" w:pos="2985"/>
        <w:tab w:val="center" w:pos="4153"/>
        <w:tab w:val="center" w:pos="4513"/>
        <w:tab w:val="right" w:pos="9026"/>
      </w:tabs>
      <w:spacing w:before="60" w:after="200"/>
    </w:pPr>
    <w:rPr>
      <w:rFonts w:asciiTheme="minorHAnsi" w:hAnsiTheme="minorHAnsi" w:cs="Arial"/>
      <w:bCs/>
      <w:sz w:val="18"/>
      <w:szCs w:val="18"/>
      <w:lang w:eastAsia="en-US"/>
    </w:rPr>
  </w:style>
  <w:style w:type="character" w:customStyle="1" w:styleId="FooterPaperChar">
    <w:name w:val="Footer Paper Char"/>
    <w:basedOn w:val="FooterChar"/>
    <w:link w:val="FooterPaper"/>
    <w:uiPriority w:val="12"/>
    <w:rsid w:val="00883E44"/>
    <w:rPr>
      <w:rFonts w:asciiTheme="minorHAnsi" w:hAnsiTheme="minorHAnsi" w:cs="Arial"/>
      <w:bCs/>
      <w:sz w:val="18"/>
      <w:szCs w:val="18"/>
      <w:lang w:eastAsia="en-US"/>
    </w:rPr>
  </w:style>
  <w:style w:type="paragraph" w:customStyle="1" w:styleId="Title2">
    <w:name w:val="Title 2"/>
    <w:link w:val="Title2Char"/>
    <w:uiPriority w:val="1"/>
    <w:qFormat/>
    <w:rsid w:val="009E238F"/>
    <w:pPr>
      <w:spacing w:after="200" w:line="276" w:lineRule="auto"/>
    </w:pPr>
    <w:rPr>
      <w:rFonts w:asciiTheme="minorHAnsi" w:eastAsiaTheme="majorEastAsia" w:hAnsiTheme="minorHAnsi" w:cs="Arial"/>
      <w:b/>
      <w:iCs/>
      <w:color w:val="007CC2"/>
      <w:spacing w:val="15"/>
      <w:sz w:val="28"/>
      <w:szCs w:val="24"/>
      <w:lang w:eastAsia="en-US"/>
    </w:rPr>
  </w:style>
  <w:style w:type="character" w:customStyle="1" w:styleId="Title2Char">
    <w:name w:val="Title 2 Char"/>
    <w:basedOn w:val="Heading2Char"/>
    <w:link w:val="Title2"/>
    <w:uiPriority w:val="1"/>
    <w:rsid w:val="009E238F"/>
    <w:rPr>
      <w:rFonts w:asciiTheme="minorHAnsi" w:eastAsiaTheme="majorEastAsia" w:hAnsiTheme="minorHAnsi" w:cs="Arial"/>
      <w:b/>
      <w:iCs/>
      <w:color w:val="007CC2"/>
      <w:spacing w:val="15"/>
      <w:sz w:val="28"/>
      <w:szCs w:val="24"/>
      <w:lang w:eastAsia="en-US"/>
    </w:rPr>
  </w:style>
  <w:style w:type="character" w:customStyle="1" w:styleId="Heading6Char">
    <w:name w:val="Heading 6 Char"/>
    <w:basedOn w:val="DefaultParagraphFont"/>
    <w:link w:val="Heading6"/>
    <w:rsid w:val="00B56267"/>
    <w:rPr>
      <w:rFonts w:ascii="Arial" w:hAnsi="Arial" w:cs="Arial"/>
      <w:b/>
      <w:kern w:val="28"/>
      <w:sz w:val="36"/>
      <w:szCs w:val="36"/>
    </w:rPr>
  </w:style>
  <w:style w:type="paragraph" w:customStyle="1" w:styleId="Heading6-NoTOC">
    <w:name w:val="Heading 6 - No TOC"/>
    <w:basedOn w:val="Heading6"/>
    <w:rsid w:val="00B562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diagramLayout" Target="diagrams/layout1.xml"/><Relationship Id="rId39" Type="http://schemas.openxmlformats.org/officeDocument/2006/relationships/image" Target="media/image4.emf"/><Relationship Id="rId21" Type="http://schemas.openxmlformats.org/officeDocument/2006/relationships/footer" Target="footer3.xml"/><Relationship Id="rId34" Type="http://schemas.openxmlformats.org/officeDocument/2006/relationships/diagramColors" Target="diagrams/colors2.xml"/><Relationship Id="rId42" Type="http://schemas.openxmlformats.org/officeDocument/2006/relationships/chart" Target="charts/chart3.xml"/><Relationship Id="rId47" Type="http://schemas.openxmlformats.org/officeDocument/2006/relationships/image" Target="media/image9.emf"/><Relationship Id="rId50" Type="http://schemas.openxmlformats.org/officeDocument/2006/relationships/header" Target="header7.xml"/><Relationship Id="rId55" Type="http://schemas.openxmlformats.org/officeDocument/2006/relationships/header" Target="header10.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diagramQuickStyle" Target="diagrams/quickStyle2.xml"/><Relationship Id="rId38" Type="http://schemas.openxmlformats.org/officeDocument/2006/relationships/chart" Target="charts/chart1.xml"/><Relationship Id="rId46" Type="http://schemas.openxmlformats.org/officeDocument/2006/relationships/chart" Target="charts/chart4.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microsoft.com/office/2007/relationships/diagramDrawing" Target="diagrams/drawing1.xml"/><Relationship Id="rId41" Type="http://schemas.openxmlformats.org/officeDocument/2006/relationships/image" Target="media/image5.emf"/><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diagramLayout" Target="diagrams/layout2.xml"/><Relationship Id="rId37" Type="http://schemas.openxmlformats.org/officeDocument/2006/relationships/image" Target="media/image3.emf"/><Relationship Id="rId40" Type="http://schemas.openxmlformats.org/officeDocument/2006/relationships/chart" Target="charts/chart2.xml"/><Relationship Id="rId45" Type="http://schemas.openxmlformats.org/officeDocument/2006/relationships/image" Target="media/image8.emf"/><Relationship Id="rId53" Type="http://schemas.openxmlformats.org/officeDocument/2006/relationships/header" Target="header8.xml"/><Relationship Id="rId58"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diagramColors" Target="diagrams/colors1.xml"/><Relationship Id="rId36" Type="http://schemas.openxmlformats.org/officeDocument/2006/relationships/image" Target="media/image4.png"/><Relationship Id="rId49" Type="http://schemas.openxmlformats.org/officeDocument/2006/relationships/header" Target="header6.xml"/><Relationship Id="rId57"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diagramData" Target="diagrams/data2.xml"/><Relationship Id="rId44" Type="http://schemas.openxmlformats.org/officeDocument/2006/relationships/image" Target="media/image7.png"/><Relationship Id="rId52" Type="http://schemas.openxmlformats.org/officeDocument/2006/relationships/footer" Target="footer6.xml"/><Relationship Id="rId60"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diagramQuickStyle" Target="diagrams/quickStyle1.xml"/><Relationship Id="rId30" Type="http://schemas.openxmlformats.org/officeDocument/2006/relationships/image" Target="media/image3.png"/><Relationship Id="rId35" Type="http://schemas.microsoft.com/office/2007/relationships/diagramDrawing" Target="diagrams/drawing2.xml"/><Relationship Id="rId43" Type="http://schemas.openxmlformats.org/officeDocument/2006/relationships/image" Target="media/image6.emf"/><Relationship Id="rId48" Type="http://schemas.openxmlformats.org/officeDocument/2006/relationships/chart" Target="charts/chart5.xml"/><Relationship Id="rId56" Type="http://schemas.openxmlformats.org/officeDocument/2006/relationships/footer" Target="footer7.xml"/><Relationship Id="rId8" Type="http://schemas.openxmlformats.org/officeDocument/2006/relationships/styles" Target="styles.xml"/><Relationship Id="rId51" Type="http://schemas.openxmlformats.org/officeDocument/2006/relationships/footer" Target="footer5.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https://ecm.a1.asic.gov.au/projects/sifm/Documents/Consultation%20and%20Technical%20Paper%20-%20July%202016/ASIC%20Technical%20Paper%20-%20Cost%20data%20by%20sector%20and%20pie%20charts%20-%2020160929%20(edit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onathan.gawthorne\AppData\Local\Temp\notes466565\ASIC%20Technical%20Paper%20-%20Cost%20data%20by%20sector%20and%20pie%20charts%20-%2020160929%20(edit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onathan.gawthorne\AppData\Local\Temp\notes466565\ASIC%20Technical%20Paper%20-%20Cost%20data%20by%20sector%20and%20pie%20charts%20-%2020160929%20(edi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nathan.gawthorne\AppData\Local\Temp\notes466565\ASIC%20Technical%20Paper%20-%20Cost%20data%20by%20sector%20and%20pie%20charts%20-%2020160929%20(edi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70631644940146"/>
          <c:y val="3.1194312318928684E-2"/>
          <c:w val="0.79195161793671975"/>
          <c:h val="0.9633735810239894"/>
        </c:manualLayout>
      </c:layout>
      <c:barChart>
        <c:barDir val="bar"/>
        <c:grouping val="clustered"/>
        <c:varyColors val="0"/>
        <c:ser>
          <c:idx val="0"/>
          <c:order val="0"/>
          <c:spPr>
            <a:solidFill>
              <a:srgbClr val="0A4B78"/>
            </a:solidFill>
          </c:spPr>
          <c:invertIfNegative val="0"/>
          <c:dLbls>
            <c:dLbl>
              <c:idx val="0"/>
              <c:layout>
                <c:manualLayout>
                  <c:x val="-0.60849019202161903"/>
                  <c:y val="-0.55845459901744487"/>
                </c:manualLayout>
              </c:layout>
              <c:tx>
                <c:rich>
                  <a:bodyPr/>
                  <a:lstStyle/>
                  <a:p>
                    <a:r>
                      <a:rPr lang="en-US">
                        <a:solidFill>
                          <a:sysClr val="windowText" lastClr="000000"/>
                        </a:solidFill>
                      </a:rPr>
                      <a:t>$5.1m, 6%</a:t>
                    </a:r>
                    <a:endParaRPr lang="en-US"/>
                  </a:p>
                </c:rich>
              </c:tx>
              <c:dLblPos val="outEnd"/>
              <c:showLegendKey val="0"/>
              <c:showVal val="1"/>
              <c:showCatName val="0"/>
              <c:showSerName val="0"/>
              <c:showPercent val="0"/>
              <c:showBubbleSize val="0"/>
            </c:dLbl>
            <c:dLbl>
              <c:idx val="1"/>
              <c:layout>
                <c:manualLayout>
                  <c:x val="0.46902777777777777"/>
                  <c:y val="0.27988329625634667"/>
                </c:manualLayout>
              </c:layout>
              <c:tx>
                <c:rich>
                  <a:bodyPr/>
                  <a:lstStyle/>
                  <a:p>
                    <a:pPr>
                      <a:defRPr sz="900">
                        <a:solidFill>
                          <a:schemeClr val="bg1"/>
                        </a:solidFill>
                        <a:latin typeface="Arial" panose="020B0604020202020204" pitchFamily="34" charset="0"/>
                        <a:cs typeface="Arial" panose="020B0604020202020204" pitchFamily="34" charset="0"/>
                      </a:defRPr>
                    </a:pPr>
                    <a:r>
                      <a:rPr lang="en-US">
                        <a:solidFill>
                          <a:schemeClr val="bg1"/>
                        </a:solidFill>
                      </a:rPr>
                      <a:t>$67.1m, 83%</a:t>
                    </a:r>
                  </a:p>
                </c:rich>
              </c:tx>
              <c:spPr>
                <a:noFill/>
              </c:spPr>
              <c:dLblPos val="outEnd"/>
              <c:showLegendKey val="0"/>
              <c:showVal val="1"/>
              <c:showCatName val="0"/>
              <c:showSerName val="0"/>
              <c:showPercent val="0"/>
              <c:showBubbleSize val="0"/>
            </c:dLbl>
            <c:dLbl>
              <c:idx val="2"/>
              <c:layout>
                <c:manualLayout>
                  <c:x val="4.1102081341897426E-2"/>
                  <c:y val="0.27083329525216132"/>
                </c:manualLayout>
              </c:layout>
              <c:tx>
                <c:rich>
                  <a:bodyPr/>
                  <a:lstStyle/>
                  <a:p>
                    <a:r>
                      <a:rPr lang="en-US">
                        <a:solidFill>
                          <a:sysClr val="windowText" lastClr="000000"/>
                        </a:solidFill>
                      </a:rPr>
                      <a:t>$8.5m, 11%</a:t>
                    </a:r>
                    <a:endParaRPr lang="en-US"/>
                  </a:p>
                </c:rich>
              </c:tx>
              <c:dLblPos val="outEnd"/>
              <c:showLegendKey val="0"/>
              <c:showVal val="1"/>
              <c:showCatName val="0"/>
              <c:showSerName val="0"/>
              <c:showPercent val="0"/>
              <c:showBubbleSize val="0"/>
            </c:dLbl>
            <c:spPr>
              <a:solidFill>
                <a:schemeClr val="bg1"/>
              </a:solidFill>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'Fig 4 &amp; 6--10'!$A$2:$A$4</c:f>
              <c:strCache>
                <c:ptCount val="3"/>
                <c:pt idx="0">
                  <c:v>Companies</c:v>
                </c:pt>
                <c:pt idx="1">
                  <c:v>Liquidators</c:v>
                </c:pt>
                <c:pt idx="2">
                  <c:v>Auditors</c:v>
                </c:pt>
              </c:strCache>
            </c:strRef>
          </c:cat>
          <c:val>
            <c:numRef>
              <c:f>'Fig 4 &amp; 6--10'!$B$2:$B$4</c:f>
              <c:numCache>
                <c:formatCode>* "$"#,##0.0,,"m";[Red]\(* \("$"#,##0.0,,\);\(* "-"??\);\(@\)</c:formatCode>
                <c:ptCount val="3"/>
                <c:pt idx="0">
                  <c:v>67006688.598806456</c:v>
                </c:pt>
                <c:pt idx="1">
                  <c:v>8547410.9940576144</c:v>
                </c:pt>
                <c:pt idx="2">
                  <c:v>5123413.1139206104</c:v>
                </c:pt>
              </c:numCache>
            </c:numRef>
          </c:val>
        </c:ser>
        <c:dLbls>
          <c:dLblPos val="outEnd"/>
          <c:showLegendKey val="0"/>
          <c:showVal val="1"/>
          <c:showCatName val="0"/>
          <c:showSerName val="0"/>
          <c:showPercent val="0"/>
          <c:showBubbleSize val="0"/>
        </c:dLbls>
        <c:gapWidth val="50"/>
        <c:axId val="45247488"/>
        <c:axId val="45249280"/>
      </c:barChart>
      <c:catAx>
        <c:axId val="45247488"/>
        <c:scaling>
          <c:orientation val="minMax"/>
        </c:scaling>
        <c:delete val="0"/>
        <c:axPos val="l"/>
        <c:majorTickMark val="out"/>
        <c:minorTickMark val="none"/>
        <c:tickLblPos val="nextTo"/>
        <c:spPr>
          <a:ln>
            <a:noFill/>
          </a:ln>
        </c:spPr>
        <c:txPr>
          <a:bodyPr/>
          <a:lstStyle/>
          <a:p>
            <a:pPr>
              <a:defRPr sz="900">
                <a:latin typeface="Arial" panose="020B0604020202020204" pitchFamily="34" charset="0"/>
                <a:cs typeface="Arial" panose="020B0604020202020204" pitchFamily="34" charset="0"/>
              </a:defRPr>
            </a:pPr>
            <a:endParaRPr lang="en-US"/>
          </a:p>
        </c:txPr>
        <c:crossAx val="45249280"/>
        <c:crosses val="autoZero"/>
        <c:auto val="1"/>
        <c:lblAlgn val="ctr"/>
        <c:lblOffset val="100"/>
        <c:noMultiLvlLbl val="0"/>
      </c:catAx>
      <c:valAx>
        <c:axId val="45249280"/>
        <c:scaling>
          <c:orientation val="minMax"/>
          <c:max val="70000000"/>
          <c:min val="0"/>
        </c:scaling>
        <c:delete val="1"/>
        <c:axPos val="b"/>
        <c:numFmt formatCode="* &quot;$&quot;#,##0.0,,&quot;m&quot;;[Red]\(* \(&quot;$&quot;#,##0.0,,\);\(* &quot;-&quot;??\);\(@\)" sourceLinked="1"/>
        <c:majorTickMark val="out"/>
        <c:minorTickMark val="none"/>
        <c:tickLblPos val="nextTo"/>
        <c:crossAx val="4524748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283003472222223"/>
          <c:y val="8.0146243741466736E-5"/>
          <c:w val="0.68189218750000002"/>
          <c:h val="0.99991978023349304"/>
        </c:manualLayout>
      </c:layout>
      <c:barChart>
        <c:barDir val="bar"/>
        <c:grouping val="clustered"/>
        <c:varyColors val="0"/>
        <c:ser>
          <c:idx val="0"/>
          <c:order val="0"/>
          <c:spPr>
            <a:solidFill>
              <a:srgbClr val="0A4B78"/>
            </a:solidFill>
          </c:spPr>
          <c:invertIfNegative val="0"/>
          <c:dLbls>
            <c:dLbl>
              <c:idx val="0"/>
              <c:layout>
                <c:manualLayout>
                  <c:x val="-4.7222222222222221E-2"/>
                  <c:y val="0"/>
                </c:manualLayout>
              </c:layout>
              <c:tx>
                <c:rich>
                  <a:bodyPr/>
                  <a:lstStyle/>
                  <a:p>
                    <a:pPr>
                      <a:defRPr sz="900">
                        <a:solidFill>
                          <a:schemeClr val="bg1"/>
                        </a:solidFill>
                        <a:latin typeface="Arial" panose="020B0604020202020204" pitchFamily="34" charset="0"/>
                        <a:cs typeface="Arial" panose="020B0604020202020204" pitchFamily="34" charset="0"/>
                      </a:defRPr>
                    </a:pPr>
                    <a:r>
                      <a:rPr lang="en-US"/>
                      <a:t>$15.8m, 48%</a:t>
                    </a:r>
                  </a:p>
                </c:rich>
              </c:tx>
              <c:spPr/>
              <c:dLblPos val="outEnd"/>
              <c:showLegendKey val="0"/>
              <c:showVal val="1"/>
              <c:showCatName val="0"/>
              <c:showSerName val="0"/>
              <c:showPercent val="0"/>
              <c:showBubbleSize val="0"/>
            </c:dLbl>
            <c:dLbl>
              <c:idx val="1"/>
              <c:layout>
                <c:manualLayout>
                  <c:x val="-0.13972222222222222"/>
                  <c:y val="0"/>
                </c:manualLayout>
              </c:layout>
              <c:tx>
                <c:rich>
                  <a:bodyPr/>
                  <a:lstStyle/>
                  <a:p>
                    <a:pPr>
                      <a:defRPr sz="900">
                        <a:solidFill>
                          <a:schemeClr val="bg1"/>
                        </a:solidFill>
                        <a:latin typeface="Arial" panose="020B0604020202020204" pitchFamily="34" charset="0"/>
                        <a:cs typeface="Arial" panose="020B0604020202020204" pitchFamily="34" charset="0"/>
                      </a:defRPr>
                    </a:pPr>
                    <a:r>
                      <a:rPr lang="en-US">
                        <a:solidFill>
                          <a:schemeClr val="bg1"/>
                        </a:solidFill>
                      </a:rPr>
                      <a:t>9.3m, 28%</a:t>
                    </a:r>
                  </a:p>
                </c:rich>
              </c:tx>
              <c:spPr/>
              <c:dLblPos val="outEnd"/>
              <c:showLegendKey val="0"/>
              <c:showVal val="1"/>
              <c:showCatName val="0"/>
              <c:showSerName val="0"/>
              <c:showPercent val="0"/>
              <c:showBubbleSize val="0"/>
            </c:dLbl>
            <c:dLbl>
              <c:idx val="2"/>
              <c:tx>
                <c:rich>
                  <a:bodyPr/>
                  <a:lstStyle/>
                  <a:p>
                    <a:r>
                      <a:rPr lang="en-US"/>
                      <a:t>$3.1m, 9%</a:t>
                    </a:r>
                  </a:p>
                </c:rich>
              </c:tx>
              <c:dLblPos val="outEnd"/>
              <c:showLegendKey val="0"/>
              <c:showVal val="1"/>
              <c:showCatName val="0"/>
              <c:showSerName val="0"/>
              <c:showPercent val="0"/>
              <c:showBubbleSize val="0"/>
            </c:dLbl>
            <c:dLbl>
              <c:idx val="3"/>
              <c:layout>
                <c:manualLayout>
                  <c:x val="-9.0399305555555559E-2"/>
                  <c:y val="-0.29881149172956672"/>
                </c:manualLayout>
              </c:layout>
              <c:tx>
                <c:rich>
                  <a:bodyPr/>
                  <a:lstStyle/>
                  <a:p>
                    <a:r>
                      <a:rPr lang="en-US"/>
                      <a:t>$0.2m, 1%</a:t>
                    </a:r>
                  </a:p>
                </c:rich>
              </c:tx>
              <c:dLblPos val="outEnd"/>
              <c:showLegendKey val="0"/>
              <c:showVal val="1"/>
              <c:showCatName val="0"/>
              <c:showSerName val="0"/>
              <c:showPercent val="0"/>
              <c:showBubbleSize val="0"/>
            </c:dLbl>
            <c:dLbl>
              <c:idx val="4"/>
              <c:layout>
                <c:manualLayout>
                  <c:x val="1.984375E-2"/>
                  <c:y val="0.14940574586478333"/>
                </c:manualLayout>
              </c:layout>
              <c:tx>
                <c:rich>
                  <a:bodyPr/>
                  <a:lstStyle/>
                  <a:p>
                    <a:r>
                      <a:rPr lang="en-US"/>
                      <a:t>$2.4m, 8%</a:t>
                    </a:r>
                  </a:p>
                </c:rich>
              </c:tx>
              <c:dLblPos val="outEnd"/>
              <c:showLegendKey val="0"/>
              <c:showVal val="1"/>
              <c:showCatName val="0"/>
              <c:showSerName val="0"/>
              <c:showPercent val="0"/>
              <c:showBubbleSize val="0"/>
            </c:dLbl>
            <c:dLbl>
              <c:idx val="5"/>
              <c:layout>
                <c:manualLayout>
                  <c:x val="7.4965277777777783E-2"/>
                  <c:y val="0.14940574586478333"/>
                </c:manualLayout>
              </c:layout>
              <c:tx>
                <c:rich>
                  <a:bodyPr/>
                  <a:lstStyle/>
                  <a:p>
                    <a:r>
                      <a:rPr lang="en-US"/>
                      <a:t>$2.0m, 6% </a:t>
                    </a:r>
                  </a:p>
                </c:rich>
              </c:tx>
              <c:dLblPos val="outEnd"/>
              <c:showLegendKey val="0"/>
              <c:showVal val="1"/>
              <c:showCatName val="0"/>
              <c:showSerName val="0"/>
              <c:showPercent val="0"/>
              <c:showBubbleSize val="0"/>
            </c:dLbl>
            <c:txPr>
              <a:bodyPr/>
              <a:lstStyle/>
              <a:p>
                <a:pPr>
                  <a:defRPr sz="900">
                    <a:solidFill>
                      <a:schemeClr val="tx1"/>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'Fig 4 &amp; 6--10'!$H$2:$H$7</c:f>
              <c:strCache>
                <c:ptCount val="6"/>
                <c:pt idx="0">
                  <c:v>Credit intermediary</c:v>
                </c:pt>
                <c:pt idx="1">
                  <c:v>Credit providers</c:v>
                </c:pt>
                <c:pt idx="2">
                  <c:v>Deposit product providers</c:v>
                </c:pt>
                <c:pt idx="3">
                  <c:v>Payment product provider</c:v>
                </c:pt>
                <c:pt idx="4">
                  <c:v>Small amount credit providers</c:v>
                </c:pt>
                <c:pt idx="5">
                  <c:v>Margin lender</c:v>
                </c:pt>
              </c:strCache>
            </c:strRef>
          </c:cat>
          <c:val>
            <c:numRef>
              <c:f>'Fig 4 &amp; 6--10'!$I$2:$I$7</c:f>
              <c:numCache>
                <c:formatCode>* "$"#,##0.0,,"m";[Red]\(* \("$"#,##0.0,,\);\(* "-"??\);\(@\)</c:formatCode>
                <c:ptCount val="6"/>
                <c:pt idx="0">
                  <c:v>15848900.143548084</c:v>
                </c:pt>
                <c:pt idx="1">
                  <c:v>9306857.0573519692</c:v>
                </c:pt>
                <c:pt idx="2">
                  <c:v>3090316.2619976606</c:v>
                </c:pt>
                <c:pt idx="3">
                  <c:v>2441947.5768894358</c:v>
                </c:pt>
                <c:pt idx="4">
                  <c:v>2022559.0037801554</c:v>
                </c:pt>
                <c:pt idx="5">
                  <c:v>244194.75768894356</c:v>
                </c:pt>
              </c:numCache>
            </c:numRef>
          </c:val>
        </c:ser>
        <c:dLbls>
          <c:showLegendKey val="0"/>
          <c:showVal val="0"/>
          <c:showCatName val="0"/>
          <c:showSerName val="0"/>
          <c:showPercent val="0"/>
          <c:showBubbleSize val="0"/>
        </c:dLbls>
        <c:gapWidth val="50"/>
        <c:axId val="47280896"/>
        <c:axId val="47282432"/>
      </c:barChart>
      <c:catAx>
        <c:axId val="47280896"/>
        <c:scaling>
          <c:orientation val="minMax"/>
        </c:scaling>
        <c:delete val="0"/>
        <c:axPos val="l"/>
        <c:majorTickMark val="out"/>
        <c:minorTickMark val="none"/>
        <c:tickLblPos val="nextTo"/>
        <c:spPr>
          <a:ln>
            <a:noFill/>
          </a:ln>
        </c:spPr>
        <c:txPr>
          <a:bodyPr/>
          <a:lstStyle/>
          <a:p>
            <a:pPr>
              <a:defRPr sz="900">
                <a:latin typeface="Arial" panose="020B0604020202020204" pitchFamily="34" charset="0"/>
                <a:cs typeface="Arial" panose="020B0604020202020204" pitchFamily="34" charset="0"/>
              </a:defRPr>
            </a:pPr>
            <a:endParaRPr lang="en-US"/>
          </a:p>
        </c:txPr>
        <c:crossAx val="47282432"/>
        <c:crosses val="autoZero"/>
        <c:auto val="1"/>
        <c:lblAlgn val="ctr"/>
        <c:lblOffset val="100"/>
        <c:noMultiLvlLbl val="0"/>
      </c:catAx>
      <c:valAx>
        <c:axId val="47282432"/>
        <c:scaling>
          <c:orientation val="minMax"/>
          <c:max val="16000000"/>
          <c:min val="0"/>
        </c:scaling>
        <c:delete val="1"/>
        <c:axPos val="b"/>
        <c:numFmt formatCode="* &quot;$&quot;#,##0.0,,&quot;m&quot;;[Red]\(* \(&quot;$&quot;#,##0.0,,\);\(* &quot;-&quot;??\);\(@\)" sourceLinked="1"/>
        <c:majorTickMark val="out"/>
        <c:minorTickMark val="none"/>
        <c:tickLblPos val="nextTo"/>
        <c:crossAx val="4728089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64529834092594"/>
          <c:y val="0"/>
          <c:w val="0.72809750663122608"/>
          <c:h val="0.96009477648245911"/>
        </c:manualLayout>
      </c:layout>
      <c:barChart>
        <c:barDir val="bar"/>
        <c:grouping val="clustered"/>
        <c:varyColors val="0"/>
        <c:ser>
          <c:idx val="0"/>
          <c:order val="0"/>
          <c:spPr>
            <a:solidFill>
              <a:srgbClr val="0A4B78"/>
            </a:solidFill>
          </c:spPr>
          <c:invertIfNegative val="0"/>
          <c:dLbls>
            <c:dLbl>
              <c:idx val="0"/>
              <c:tx>
                <c:rich>
                  <a:bodyPr/>
                  <a:lstStyle/>
                  <a:p>
                    <a:pPr>
                      <a:defRPr sz="900">
                        <a:solidFill>
                          <a:schemeClr val="bg1"/>
                        </a:solidFill>
                        <a:latin typeface="Arial" panose="020B0604020202020204" pitchFamily="34" charset="0"/>
                        <a:cs typeface="Arial" panose="020B0604020202020204" pitchFamily="34" charset="0"/>
                      </a:defRPr>
                    </a:pPr>
                    <a:r>
                      <a:rPr lang="en-US">
                        <a:solidFill>
                          <a:schemeClr val="bg1"/>
                        </a:solidFill>
                      </a:rPr>
                      <a:t>$23.5m, 48%</a:t>
                    </a:r>
                  </a:p>
                </c:rich>
              </c:tx>
              <c:spPr/>
              <c:dLblPos val="inEnd"/>
              <c:showLegendKey val="0"/>
              <c:showVal val="1"/>
              <c:showCatName val="0"/>
              <c:showSerName val="0"/>
              <c:showPercent val="0"/>
              <c:showBubbleSize val="0"/>
            </c:dLbl>
            <c:dLbl>
              <c:idx val="1"/>
              <c:tx>
                <c:rich>
                  <a:bodyPr/>
                  <a:lstStyle/>
                  <a:p>
                    <a:pPr>
                      <a:defRPr sz="900">
                        <a:solidFill>
                          <a:schemeClr val="bg1"/>
                        </a:solidFill>
                        <a:latin typeface="Arial" panose="020B0604020202020204" pitchFamily="34" charset="0"/>
                        <a:cs typeface="Arial" panose="020B0604020202020204" pitchFamily="34" charset="0"/>
                      </a:defRPr>
                    </a:pPr>
                    <a:r>
                      <a:rPr lang="en-US">
                        <a:solidFill>
                          <a:schemeClr val="bg1"/>
                        </a:solidFill>
                      </a:rPr>
                      <a:t>$13.8m, 28% </a:t>
                    </a:r>
                  </a:p>
                </c:rich>
              </c:tx>
              <c:spPr/>
              <c:dLblPos val="inEnd"/>
              <c:showLegendKey val="0"/>
              <c:showVal val="1"/>
              <c:showCatName val="0"/>
              <c:showSerName val="0"/>
              <c:showPercent val="0"/>
              <c:showBubbleSize val="0"/>
            </c:dLbl>
            <c:dLbl>
              <c:idx val="2"/>
              <c:tx>
                <c:rich>
                  <a:bodyPr/>
                  <a:lstStyle/>
                  <a:p>
                    <a:pPr>
                      <a:defRPr sz="900">
                        <a:solidFill>
                          <a:schemeClr val="bg1"/>
                        </a:solidFill>
                        <a:latin typeface="Arial" panose="020B0604020202020204" pitchFamily="34" charset="0"/>
                        <a:cs typeface="Arial" panose="020B0604020202020204" pitchFamily="34" charset="0"/>
                      </a:defRPr>
                    </a:pPr>
                    <a:r>
                      <a:rPr lang="en-US"/>
                      <a:t>$8.5m, 17%</a:t>
                    </a:r>
                  </a:p>
                </c:rich>
              </c:tx>
              <c:spPr/>
              <c:dLblPos val="inEnd"/>
              <c:showLegendKey val="0"/>
              <c:showVal val="1"/>
              <c:showCatName val="0"/>
              <c:showSerName val="0"/>
              <c:showPercent val="0"/>
              <c:showBubbleSize val="0"/>
            </c:dLbl>
            <c:dLbl>
              <c:idx val="3"/>
              <c:layout>
                <c:manualLayout>
                  <c:x val="1.2684027777777373E-3"/>
                  <c:y val="0"/>
                </c:manualLayout>
              </c:layout>
              <c:tx>
                <c:rich>
                  <a:bodyPr/>
                  <a:lstStyle/>
                  <a:p>
                    <a:r>
                      <a:rPr lang="en-US"/>
                      <a:t>$1.6m</a:t>
                    </a:r>
                  </a:p>
                </c:rich>
              </c:tx>
              <c:dLblPos val="outEnd"/>
              <c:showLegendKey val="0"/>
              <c:showVal val="1"/>
              <c:showCatName val="0"/>
              <c:showSerName val="0"/>
              <c:showPercent val="0"/>
              <c:showBubbleSize val="0"/>
            </c:dLbl>
            <c:dLbl>
              <c:idx val="4"/>
              <c:layout>
                <c:manualLayout>
                  <c:x val="5.2409722222222224E-3"/>
                  <c:y val="5.6913045636121155E-17"/>
                </c:manualLayout>
              </c:layout>
              <c:tx>
                <c:rich>
                  <a:bodyPr/>
                  <a:lstStyle/>
                  <a:p>
                    <a:r>
                      <a:rPr lang="en-US"/>
                      <a:t>$0.5m</a:t>
                    </a:r>
                  </a:p>
                </c:rich>
              </c:tx>
              <c:dLblPos val="outEnd"/>
              <c:showLegendKey val="0"/>
              <c:showVal val="1"/>
              <c:showCatName val="0"/>
              <c:showSerName val="0"/>
              <c:showPercent val="0"/>
              <c:showBubbleSize val="0"/>
            </c:dLbl>
            <c:dLbl>
              <c:idx val="5"/>
              <c:layout>
                <c:manualLayout>
                  <c:x val="3.6170138888888888E-3"/>
                  <c:y val="0"/>
                </c:manualLayout>
              </c:layout>
              <c:tx>
                <c:rich>
                  <a:bodyPr/>
                  <a:lstStyle/>
                  <a:p>
                    <a:r>
                      <a:rPr lang="en-US"/>
                      <a:t>$0.4m</a:t>
                    </a:r>
                  </a:p>
                </c:rich>
              </c:tx>
              <c:dLblPos val="outEnd"/>
              <c:showLegendKey val="0"/>
              <c:showVal val="1"/>
              <c:showCatName val="0"/>
              <c:showSerName val="0"/>
              <c:showPercent val="0"/>
              <c:showBubbleSize val="0"/>
            </c:dLbl>
            <c:dLbl>
              <c:idx val="6"/>
              <c:tx>
                <c:rich>
                  <a:bodyPr/>
                  <a:lstStyle/>
                  <a:p>
                    <a:r>
                      <a:rPr lang="en-US"/>
                      <a:t>$0.2m</a:t>
                    </a:r>
                  </a:p>
                </c:rich>
              </c:tx>
              <c:dLblPos val="inEnd"/>
              <c:showLegendKey val="0"/>
              <c:showVal val="1"/>
              <c:showCatName val="0"/>
              <c:showSerName val="0"/>
              <c:showPercent val="0"/>
              <c:showBubbleSize val="0"/>
            </c:dLbl>
            <c:dLbl>
              <c:idx val="7"/>
              <c:tx>
                <c:rich>
                  <a:bodyPr/>
                  <a:lstStyle/>
                  <a:p>
                    <a:r>
                      <a:rPr lang="en-US"/>
                      <a:t>$0.2m</a:t>
                    </a:r>
                  </a:p>
                </c:rich>
              </c:tx>
              <c:dLblPos val="inEnd"/>
              <c:showLegendKey val="0"/>
              <c:showVal val="1"/>
              <c:showCatName val="0"/>
              <c:showSerName val="0"/>
              <c:showPercent val="0"/>
              <c:showBubbleSize val="0"/>
            </c:dLbl>
            <c:txPr>
              <a:bodyPr/>
              <a:lstStyle/>
              <a:p>
                <a:pPr>
                  <a:defRPr sz="900">
                    <a:latin typeface="Arial" panose="020B0604020202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dLbls>
          <c:cat>
            <c:strRef>
              <c:f>'Fig 4 &amp; 6--10'!$S$2:$S$9</c:f>
              <c:strCache>
                <c:ptCount val="8"/>
                <c:pt idx="0">
                  <c:v>Responsible entities</c:v>
                </c:pt>
                <c:pt idx="1">
                  <c:v>Wholesale trustees</c:v>
                </c:pt>
                <c:pt idx="2">
                  <c:v>Superannuation trustees</c:v>
                </c:pt>
                <c:pt idx="3">
                  <c:v>Operator of an IDPS</c:v>
                </c:pt>
                <c:pt idx="4">
                  <c:v>Custodian</c:v>
                </c:pt>
                <c:pt idx="5">
                  <c:v>SMSF auditors</c:v>
                </c:pt>
                <c:pt idx="6">
                  <c:v>Traditional trustee
service companies</c:v>
                </c:pt>
                <c:pt idx="7">
                  <c:v>MDA operators</c:v>
                </c:pt>
              </c:strCache>
            </c:strRef>
          </c:cat>
          <c:val>
            <c:numRef>
              <c:f>'Fig 4 &amp; 6--10'!$T$2:$T$9</c:f>
              <c:numCache>
                <c:formatCode>* "$"#,##0.0,,"m";[Red]\(* \("$"#,##0.0,,\);\(* "-"??\);\(@\)</c:formatCode>
                <c:ptCount val="8"/>
                <c:pt idx="0">
                  <c:v>23494558.589464255</c:v>
                </c:pt>
                <c:pt idx="1">
                  <c:v>13803740.083516683</c:v>
                </c:pt>
                <c:pt idx="2">
                  <c:v>8480494.0829920806</c:v>
                </c:pt>
                <c:pt idx="3">
                  <c:v>1629689.6525868997</c:v>
                </c:pt>
                <c:pt idx="4">
                  <c:v>481315.45661015355</c:v>
                </c:pt>
                <c:pt idx="5">
                  <c:v>389499.55440024816</c:v>
                </c:pt>
                <c:pt idx="6">
                  <c:v>244194.75768894356</c:v>
                </c:pt>
                <c:pt idx="7">
                  <c:v>192526.18264406142</c:v>
                </c:pt>
              </c:numCache>
            </c:numRef>
          </c:val>
        </c:ser>
        <c:dLbls>
          <c:dLblPos val="inEnd"/>
          <c:showLegendKey val="0"/>
          <c:showVal val="1"/>
          <c:showCatName val="0"/>
          <c:showSerName val="0"/>
          <c:showPercent val="0"/>
          <c:showBubbleSize val="0"/>
        </c:dLbls>
        <c:gapWidth val="50"/>
        <c:axId val="47460352"/>
        <c:axId val="47461888"/>
      </c:barChart>
      <c:catAx>
        <c:axId val="47460352"/>
        <c:scaling>
          <c:orientation val="minMax"/>
        </c:scaling>
        <c:delete val="0"/>
        <c:axPos val="l"/>
        <c:majorTickMark val="out"/>
        <c:minorTickMark val="none"/>
        <c:tickLblPos val="nextTo"/>
        <c:spPr>
          <a:ln>
            <a:noFill/>
          </a:ln>
        </c:spPr>
        <c:txPr>
          <a:bodyPr/>
          <a:lstStyle/>
          <a:p>
            <a:pPr>
              <a:defRPr sz="900">
                <a:latin typeface="Arial" panose="020B0604020202020204" pitchFamily="34" charset="0"/>
                <a:cs typeface="Arial" panose="020B0604020202020204" pitchFamily="34" charset="0"/>
              </a:defRPr>
            </a:pPr>
            <a:endParaRPr lang="en-US"/>
          </a:p>
        </c:txPr>
        <c:crossAx val="47461888"/>
        <c:crosses val="autoZero"/>
        <c:auto val="1"/>
        <c:lblAlgn val="ctr"/>
        <c:lblOffset val="100"/>
        <c:noMultiLvlLbl val="0"/>
      </c:catAx>
      <c:valAx>
        <c:axId val="47461888"/>
        <c:scaling>
          <c:orientation val="minMax"/>
          <c:max val="24000000"/>
          <c:min val="0"/>
        </c:scaling>
        <c:delete val="1"/>
        <c:axPos val="b"/>
        <c:numFmt formatCode="* &quot;$&quot;#,##0.0,,&quot;m&quot;;[Red]\(* \(&quot;$&quot;#,##0.0,,\);\(* &quot;-&quot;??\);\(@\)" sourceLinked="1"/>
        <c:majorTickMark val="out"/>
        <c:minorTickMark val="none"/>
        <c:tickLblPos val="nextTo"/>
        <c:crossAx val="47460352"/>
        <c:crosses val="autoZero"/>
        <c:crossBetween val="between"/>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A4B78"/>
            </a:solidFill>
          </c:spPr>
          <c:invertIfNegative val="0"/>
          <c:dLbls>
            <c:dLbl>
              <c:idx val="1"/>
              <c:tx>
                <c:rich>
                  <a:bodyPr/>
                  <a:lstStyle/>
                  <a:p>
                    <a:r>
                      <a:rPr lang="en-US"/>
                      <a:t>$0.9m</a:t>
                    </a:r>
                  </a:p>
                </c:rich>
              </c:tx>
              <c:dLblPos val="outEnd"/>
              <c:showLegendKey val="0"/>
              <c:showVal val="1"/>
              <c:showCatName val="0"/>
              <c:showSerName val="0"/>
              <c:showPercent val="0"/>
              <c:showBubbleSize val="0"/>
            </c:dLbl>
            <c:dLbl>
              <c:idx val="2"/>
              <c:tx>
                <c:rich>
                  <a:bodyPr/>
                  <a:lstStyle/>
                  <a:p>
                    <a:r>
                      <a:rPr lang="en-US"/>
                      <a:t>$0.8m</a:t>
                    </a:r>
                  </a:p>
                </c:rich>
              </c:tx>
              <c:dLblPos val="outEnd"/>
              <c:showLegendKey val="0"/>
              <c:showVal val="1"/>
              <c:showCatName val="0"/>
              <c:showSerName val="0"/>
              <c:showPercent val="0"/>
              <c:showBubbleSize val="0"/>
            </c:dLbl>
            <c:dLbl>
              <c:idx val="3"/>
              <c:tx>
                <c:rich>
                  <a:bodyPr/>
                  <a:lstStyle/>
                  <a:p>
                    <a:r>
                      <a:rPr lang="en-US"/>
                      <a:t>$0.2m</a:t>
                    </a:r>
                  </a:p>
                </c:rich>
              </c:tx>
              <c:dLblPos val="outEnd"/>
              <c:showLegendKey val="0"/>
              <c:showVal val="1"/>
              <c:showCatName val="0"/>
              <c:showSerName val="0"/>
              <c:showPercent val="0"/>
              <c:showBubbleSize val="0"/>
            </c:dLbl>
            <c:txPr>
              <a:bodyPr/>
              <a:lstStyle/>
              <a:p>
                <a:pPr>
                  <a:defRPr sz="90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'Fig 4 &amp; 6--10'!$AM$2:$AM$5</c:f>
              <c:strCache>
                <c:ptCount val="4"/>
                <c:pt idx="0">
                  <c:v>Personal advice providers
on Tier 1 products</c:v>
                </c:pt>
                <c:pt idx="1">
                  <c:v>Personal advice providers
on Tier 2 products only to retail clients</c:v>
                </c:pt>
                <c:pt idx="2">
                  <c:v>General advice providers
to retail and wholesale clients</c:v>
                </c:pt>
                <c:pt idx="3">
                  <c:v>Wholesale advice provider
to wholesale clients only</c:v>
                </c:pt>
              </c:strCache>
            </c:strRef>
          </c:cat>
          <c:val>
            <c:numRef>
              <c:f>'Fig 4 &amp; 6--10'!$AN$2:$AN$5</c:f>
              <c:numCache>
                <c:formatCode>* "$"#,##0.0,,"m";[Red]\(* \("$"#,##0.0,,\);\(* "-"??\);\(@\)</c:formatCode>
                <c:ptCount val="4"/>
                <c:pt idx="0">
                  <c:v>22025265.200039003</c:v>
                </c:pt>
                <c:pt idx="1">
                  <c:v>928170.77383497439</c:v>
                </c:pt>
                <c:pt idx="2">
                  <c:v>822245.16006297804</c:v>
                </c:pt>
                <c:pt idx="3">
                  <c:v>230071.76750212835</c:v>
                </c:pt>
              </c:numCache>
            </c:numRef>
          </c:val>
        </c:ser>
        <c:dLbls>
          <c:dLblPos val="outEnd"/>
          <c:showLegendKey val="0"/>
          <c:showVal val="1"/>
          <c:showCatName val="0"/>
          <c:showSerName val="0"/>
          <c:showPercent val="0"/>
          <c:showBubbleSize val="0"/>
        </c:dLbls>
        <c:gapWidth val="50"/>
        <c:axId val="47322240"/>
        <c:axId val="47357952"/>
      </c:barChart>
      <c:catAx>
        <c:axId val="47322240"/>
        <c:scaling>
          <c:orientation val="minMax"/>
        </c:scaling>
        <c:delete val="0"/>
        <c:axPos val="l"/>
        <c:majorTickMark val="out"/>
        <c:minorTickMark val="none"/>
        <c:tickLblPos val="nextTo"/>
        <c:spPr>
          <a:ln>
            <a:noFill/>
          </a:ln>
        </c:spPr>
        <c:txPr>
          <a:bodyPr/>
          <a:lstStyle/>
          <a:p>
            <a:pPr>
              <a:defRPr sz="900">
                <a:latin typeface="Arial" panose="020B0604020202020204" pitchFamily="34" charset="0"/>
                <a:cs typeface="Arial" panose="020B0604020202020204" pitchFamily="34" charset="0"/>
              </a:defRPr>
            </a:pPr>
            <a:endParaRPr lang="en-US"/>
          </a:p>
        </c:txPr>
        <c:crossAx val="47357952"/>
        <c:crosses val="autoZero"/>
        <c:auto val="1"/>
        <c:lblAlgn val="ctr"/>
        <c:lblOffset val="100"/>
        <c:noMultiLvlLbl val="0"/>
      </c:catAx>
      <c:valAx>
        <c:axId val="47357952"/>
        <c:scaling>
          <c:orientation val="minMax"/>
          <c:max val="22000000"/>
          <c:min val="0"/>
        </c:scaling>
        <c:delete val="1"/>
        <c:axPos val="b"/>
        <c:numFmt formatCode="* &quot;$&quot;#,##0.0,,&quot;m&quot;;[Red]\(* \(&quot;$&quot;#,##0.0,,\);\(* &quot;-&quot;??\);\(@\)" sourceLinked="1"/>
        <c:majorTickMark val="out"/>
        <c:minorTickMark val="none"/>
        <c:tickLblPos val="nextTo"/>
        <c:crossAx val="47322240"/>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A4B78"/>
            </a:solidFill>
          </c:spPr>
          <c:invertIfNegative val="0"/>
          <c:dLbls>
            <c:dLbl>
              <c:idx val="0"/>
              <c:tx>
                <c:rich>
                  <a:bodyPr/>
                  <a:lstStyle/>
                  <a:p>
                    <a:r>
                      <a:rPr lang="en-US"/>
                      <a:t>$4.1m, 75%</a:t>
                    </a:r>
                  </a:p>
                </c:rich>
              </c:tx>
              <c:dLblPos val="inEnd"/>
              <c:showLegendKey val="0"/>
              <c:showVal val="1"/>
              <c:showCatName val="0"/>
              <c:showSerName val="0"/>
              <c:showPercent val="0"/>
              <c:showBubbleSize val="0"/>
            </c:dLbl>
            <c:dLbl>
              <c:idx val="1"/>
              <c:tx>
                <c:rich>
                  <a:bodyPr/>
                  <a:lstStyle/>
                  <a:p>
                    <a:r>
                      <a:rPr lang="en-US"/>
                      <a:t>$1.1m, 20%</a:t>
                    </a:r>
                  </a:p>
                </c:rich>
              </c:tx>
              <c:dLblPos val="inEnd"/>
              <c:showLegendKey val="0"/>
              <c:showVal val="1"/>
              <c:showCatName val="0"/>
              <c:showSerName val="0"/>
              <c:showPercent val="0"/>
              <c:showBubbleSize val="0"/>
            </c:dLbl>
            <c:dLbl>
              <c:idx val="2"/>
              <c:layout>
                <c:manualLayout>
                  <c:x val="-1.6743055555555556E-3"/>
                  <c:y val="0"/>
                </c:manualLayout>
              </c:layout>
              <c:tx>
                <c:rich>
                  <a:bodyPr/>
                  <a:lstStyle/>
                  <a:p>
                    <a:pPr>
                      <a:defRPr sz="900">
                        <a:solidFill>
                          <a:schemeClr val="tx1"/>
                        </a:solidFill>
                        <a:latin typeface="Arial" panose="020B0604020202020204" pitchFamily="34" charset="0"/>
                        <a:cs typeface="Arial" panose="020B0604020202020204" pitchFamily="34" charset="0"/>
                      </a:defRPr>
                    </a:pPr>
                    <a:r>
                      <a:rPr lang="en-US"/>
                      <a:t>$0.2m, 5%</a:t>
                    </a:r>
                  </a:p>
                </c:rich>
              </c:tx>
              <c:spPr/>
              <c:dLblPos val="outEnd"/>
              <c:showLegendKey val="0"/>
              <c:showVal val="1"/>
              <c:showCatName val="0"/>
              <c:showSerName val="0"/>
              <c:showPercent val="0"/>
              <c:showBubbleSize val="0"/>
            </c:dLbl>
            <c:txPr>
              <a:bodyPr/>
              <a:lstStyle/>
              <a:p>
                <a:pPr>
                  <a:defRPr sz="900">
                    <a:solidFill>
                      <a:schemeClr val="bg1"/>
                    </a:solidFill>
                    <a:latin typeface="Arial" panose="020B0604020202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dLbls>
          <c:cat>
            <c:strRef>
              <c:f>'Fig 4 &amp; 6--10'!$AW$2:$AW$4</c:f>
              <c:strCache>
                <c:ptCount val="3"/>
                <c:pt idx="0">
                  <c:v>Insurance provider</c:v>
                </c:pt>
                <c:pt idx="1">
                  <c:v>Insurance distributor</c:v>
                </c:pt>
                <c:pt idx="2">
                  <c:v>Risk management
product provider</c:v>
                </c:pt>
              </c:strCache>
            </c:strRef>
          </c:cat>
          <c:val>
            <c:numRef>
              <c:f>'Fig 4 &amp; 6--10'!$AX$2:$AX$4</c:f>
              <c:numCache>
                <c:formatCode>* "$"#,##0.0,,"m";[Red]\(* \("$"#,##0.0,,\);\(* "-"??\);\(@\)</c:formatCode>
                <c:ptCount val="3"/>
                <c:pt idx="0">
                  <c:v>4149436.0005826247</c:v>
                </c:pt>
                <c:pt idx="1">
                  <c:v>1111278.2386402171</c:v>
                </c:pt>
                <c:pt idx="2">
                  <c:v>244194.75768894356</c:v>
                </c:pt>
              </c:numCache>
            </c:numRef>
          </c:val>
        </c:ser>
        <c:dLbls>
          <c:dLblPos val="inEnd"/>
          <c:showLegendKey val="0"/>
          <c:showVal val="1"/>
          <c:showCatName val="0"/>
          <c:showSerName val="0"/>
          <c:showPercent val="0"/>
          <c:showBubbleSize val="0"/>
        </c:dLbls>
        <c:gapWidth val="50"/>
        <c:axId val="47404544"/>
        <c:axId val="47406080"/>
      </c:barChart>
      <c:catAx>
        <c:axId val="47404544"/>
        <c:scaling>
          <c:orientation val="minMax"/>
        </c:scaling>
        <c:delete val="0"/>
        <c:axPos val="l"/>
        <c:majorTickMark val="out"/>
        <c:minorTickMark val="none"/>
        <c:tickLblPos val="nextTo"/>
        <c:spPr>
          <a:ln>
            <a:noFill/>
          </a:ln>
        </c:spPr>
        <c:txPr>
          <a:bodyPr/>
          <a:lstStyle/>
          <a:p>
            <a:pPr>
              <a:defRPr sz="900">
                <a:latin typeface="Arial" panose="020B0604020202020204" pitchFamily="34" charset="0"/>
                <a:cs typeface="Arial" panose="020B0604020202020204" pitchFamily="34" charset="0"/>
              </a:defRPr>
            </a:pPr>
            <a:endParaRPr lang="en-US"/>
          </a:p>
        </c:txPr>
        <c:crossAx val="47406080"/>
        <c:crosses val="autoZero"/>
        <c:auto val="1"/>
        <c:lblAlgn val="ctr"/>
        <c:lblOffset val="100"/>
        <c:noMultiLvlLbl val="0"/>
      </c:catAx>
      <c:valAx>
        <c:axId val="47406080"/>
        <c:scaling>
          <c:orientation val="minMax"/>
          <c:max val="4200000"/>
          <c:min val="0"/>
        </c:scaling>
        <c:delete val="1"/>
        <c:axPos val="b"/>
        <c:numFmt formatCode="* &quot;$&quot;#,##0.0,,&quot;m&quot;;[Red]\(* \(&quot;$&quot;#,##0.0,,\);\(* &quot;-&quot;??\);\(@\)" sourceLinked="1"/>
        <c:majorTickMark val="out"/>
        <c:minorTickMark val="none"/>
        <c:tickLblPos val="nextTo"/>
        <c:crossAx val="47404544"/>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ED912-458A-424E-8DF3-F64DE4532392}" type="doc">
      <dgm:prSet loTypeId="urn:microsoft.com/office/officeart/2005/8/layout/process2" loCatId="process" qsTypeId="urn:microsoft.com/office/officeart/2005/8/quickstyle/simple1" qsCatId="simple" csTypeId="urn:microsoft.com/office/officeart/2005/8/colors/accent1_2" csCatId="accent1" phldr="1"/>
      <dgm:spPr/>
    </dgm:pt>
    <dgm:pt modelId="{A198C5F7-72ED-47C3-AD02-8E0AEEBD7688}">
      <dgm:prSet phldrT="[Text]"/>
      <dgm:spPr/>
      <dgm:t>
        <a:bodyPr/>
        <a:lstStyle/>
        <a:p>
          <a:r>
            <a:rPr lang="en-AU"/>
            <a:t>Effort of  Stakeholder engagement</a:t>
          </a:r>
        </a:p>
      </dgm:t>
    </dgm:pt>
    <dgm:pt modelId="{268248CB-F68E-4C79-8532-59AF65540CB9}" type="parTrans" cxnId="{49B50E83-16F2-4528-98F6-6C5EA1AA6AB0}">
      <dgm:prSet/>
      <dgm:spPr/>
      <dgm:t>
        <a:bodyPr/>
        <a:lstStyle/>
        <a:p>
          <a:endParaRPr lang="en-AU"/>
        </a:p>
      </dgm:t>
    </dgm:pt>
    <dgm:pt modelId="{02126FDB-F0F6-4969-BC84-914B14EF3455}" type="sibTrans" cxnId="{49B50E83-16F2-4528-98F6-6C5EA1AA6AB0}">
      <dgm:prSet/>
      <dgm:spPr/>
      <dgm:t>
        <a:bodyPr/>
        <a:lstStyle/>
        <a:p>
          <a:endParaRPr lang="en-AU"/>
        </a:p>
      </dgm:t>
    </dgm:pt>
    <dgm:pt modelId="{C5D1B8AC-1F10-43CB-BA32-43DCB88E1FDC}">
      <dgm:prSet phldrT="[Text]"/>
      <dgm:spPr/>
      <dgm:t>
        <a:bodyPr/>
        <a:lstStyle/>
        <a:p>
          <a:r>
            <a:rPr lang="en-AU"/>
            <a:t>Effort of Policy advice</a:t>
          </a:r>
        </a:p>
      </dgm:t>
    </dgm:pt>
    <dgm:pt modelId="{98377116-D76B-4C67-A52A-65BB962BDF0E}" type="parTrans" cxnId="{BDAEB16A-7205-49D9-93C8-E8837B17F9BF}">
      <dgm:prSet/>
      <dgm:spPr/>
      <dgm:t>
        <a:bodyPr/>
        <a:lstStyle/>
        <a:p>
          <a:endParaRPr lang="en-AU"/>
        </a:p>
      </dgm:t>
    </dgm:pt>
    <dgm:pt modelId="{BFADE863-A198-4FF1-86BC-76897921AA43}" type="sibTrans" cxnId="{BDAEB16A-7205-49D9-93C8-E8837B17F9BF}">
      <dgm:prSet/>
      <dgm:spPr/>
      <dgm:t>
        <a:bodyPr/>
        <a:lstStyle/>
        <a:p>
          <a:endParaRPr lang="en-AU"/>
        </a:p>
      </dgm:t>
    </dgm:pt>
    <dgm:pt modelId="{9D47CBCF-FDFE-4C43-B50F-E3F1AECFD57A}">
      <dgm:prSet phldrT="[Text]"/>
      <dgm:spPr/>
      <dgm:t>
        <a:bodyPr/>
        <a:lstStyle/>
        <a:p>
          <a:r>
            <a:rPr lang="en-AU"/>
            <a:t>Effort of Guidance</a:t>
          </a:r>
        </a:p>
      </dgm:t>
    </dgm:pt>
    <dgm:pt modelId="{562773D3-54B1-49EC-B6CE-B4CD43B3CC3F}" type="parTrans" cxnId="{BEECDAD1-E2CC-4E70-B36C-A470A86AF71B}">
      <dgm:prSet/>
      <dgm:spPr/>
      <dgm:t>
        <a:bodyPr/>
        <a:lstStyle/>
        <a:p>
          <a:endParaRPr lang="en-AU"/>
        </a:p>
      </dgm:t>
    </dgm:pt>
    <dgm:pt modelId="{E014FB23-4713-4BE0-B68B-047CE9586123}" type="sibTrans" cxnId="{BEECDAD1-E2CC-4E70-B36C-A470A86AF71B}">
      <dgm:prSet/>
      <dgm:spPr/>
      <dgm:t>
        <a:bodyPr/>
        <a:lstStyle/>
        <a:p>
          <a:endParaRPr lang="en-AU"/>
        </a:p>
      </dgm:t>
    </dgm:pt>
    <dgm:pt modelId="{10C95637-189C-41C1-8F78-3646814CA730}">
      <dgm:prSet phldrT="[Text]"/>
      <dgm:spPr/>
      <dgm:t>
        <a:bodyPr/>
        <a:lstStyle/>
        <a:p>
          <a:r>
            <a:rPr lang="en-AU"/>
            <a:t>Effort  of Education</a:t>
          </a:r>
        </a:p>
      </dgm:t>
    </dgm:pt>
    <dgm:pt modelId="{A07BFD17-9DB1-4593-9B77-4F1A70AF8A11}" type="parTrans" cxnId="{E2F4E98C-F54C-4676-B45A-7BDF39E5B83E}">
      <dgm:prSet/>
      <dgm:spPr/>
      <dgm:t>
        <a:bodyPr/>
        <a:lstStyle/>
        <a:p>
          <a:endParaRPr lang="en-AU"/>
        </a:p>
      </dgm:t>
    </dgm:pt>
    <dgm:pt modelId="{761055C7-506C-497A-8D6C-1CA044244894}" type="sibTrans" cxnId="{E2F4E98C-F54C-4676-B45A-7BDF39E5B83E}">
      <dgm:prSet/>
      <dgm:spPr/>
      <dgm:t>
        <a:bodyPr/>
        <a:lstStyle/>
        <a:p>
          <a:endParaRPr lang="en-AU"/>
        </a:p>
      </dgm:t>
    </dgm:pt>
    <dgm:pt modelId="{72B6589B-69D9-43B6-9BDF-2351C2694450}">
      <dgm:prSet phldrT="[Text]"/>
      <dgm:spPr/>
      <dgm:t>
        <a:bodyPr/>
        <a:lstStyle/>
        <a:p>
          <a:r>
            <a:rPr lang="en-AU"/>
            <a:t>Capital allowance*</a:t>
          </a:r>
        </a:p>
      </dgm:t>
    </dgm:pt>
    <dgm:pt modelId="{67F1F0BF-658C-4803-959C-44EB92DFD490}" type="parTrans" cxnId="{BF917BCC-C870-4932-9408-FE36F7B08FE2}">
      <dgm:prSet/>
      <dgm:spPr/>
      <dgm:t>
        <a:bodyPr/>
        <a:lstStyle/>
        <a:p>
          <a:endParaRPr lang="en-AU"/>
        </a:p>
      </dgm:t>
    </dgm:pt>
    <dgm:pt modelId="{8071CA93-6AD4-4CEC-8704-C25D0F1498D0}" type="sibTrans" cxnId="{BF917BCC-C870-4932-9408-FE36F7B08FE2}">
      <dgm:prSet/>
      <dgm:spPr/>
      <dgm:t>
        <a:bodyPr/>
        <a:lstStyle/>
        <a:p>
          <a:endParaRPr lang="en-AU"/>
        </a:p>
      </dgm:t>
    </dgm:pt>
    <dgm:pt modelId="{1CDA2963-E9AF-4993-AA06-9D017243BF06}" type="pres">
      <dgm:prSet presAssocID="{198ED912-458A-424E-8DF3-F64DE4532392}" presName="linearFlow" presStyleCnt="0">
        <dgm:presLayoutVars>
          <dgm:resizeHandles val="exact"/>
        </dgm:presLayoutVars>
      </dgm:prSet>
      <dgm:spPr/>
    </dgm:pt>
    <dgm:pt modelId="{139F544A-8C0C-40AD-A810-D06C9C271253}" type="pres">
      <dgm:prSet presAssocID="{A198C5F7-72ED-47C3-AD02-8E0AEEBD7688}" presName="node" presStyleLbl="node1" presStyleIdx="0" presStyleCnt="5">
        <dgm:presLayoutVars>
          <dgm:bulletEnabled val="1"/>
        </dgm:presLayoutVars>
      </dgm:prSet>
      <dgm:spPr/>
      <dgm:t>
        <a:bodyPr/>
        <a:lstStyle/>
        <a:p>
          <a:endParaRPr lang="en-AU"/>
        </a:p>
      </dgm:t>
    </dgm:pt>
    <dgm:pt modelId="{4F95A644-349A-47B2-9F4E-B8887767334A}" type="pres">
      <dgm:prSet presAssocID="{02126FDB-F0F6-4969-BC84-914B14EF3455}" presName="sibTrans" presStyleLbl="sibTrans2D1" presStyleIdx="0" presStyleCnt="4" custScaleX="95910" custScaleY="79925"/>
      <dgm:spPr>
        <a:prstGeom prst="plus">
          <a:avLst/>
        </a:prstGeom>
      </dgm:spPr>
      <dgm:t>
        <a:bodyPr/>
        <a:lstStyle/>
        <a:p>
          <a:endParaRPr lang="en-AU"/>
        </a:p>
      </dgm:t>
    </dgm:pt>
    <dgm:pt modelId="{D424798D-D4B5-40DE-BF28-BFDB0D501002}" type="pres">
      <dgm:prSet presAssocID="{02126FDB-F0F6-4969-BC84-914B14EF3455}" presName="connectorText" presStyleLbl="sibTrans2D1" presStyleIdx="0" presStyleCnt="4"/>
      <dgm:spPr/>
      <dgm:t>
        <a:bodyPr/>
        <a:lstStyle/>
        <a:p>
          <a:endParaRPr lang="en-AU"/>
        </a:p>
      </dgm:t>
    </dgm:pt>
    <dgm:pt modelId="{45439CA9-411B-41E6-BA08-0BCAC8D931B5}" type="pres">
      <dgm:prSet presAssocID="{C5D1B8AC-1F10-43CB-BA32-43DCB88E1FDC}" presName="node" presStyleLbl="node1" presStyleIdx="1" presStyleCnt="5">
        <dgm:presLayoutVars>
          <dgm:bulletEnabled val="1"/>
        </dgm:presLayoutVars>
      </dgm:prSet>
      <dgm:spPr/>
      <dgm:t>
        <a:bodyPr/>
        <a:lstStyle/>
        <a:p>
          <a:endParaRPr lang="en-AU"/>
        </a:p>
      </dgm:t>
    </dgm:pt>
    <dgm:pt modelId="{A9C24E59-570A-4377-A0BB-8AF0F29E037A}" type="pres">
      <dgm:prSet presAssocID="{BFADE863-A198-4FF1-86BC-76897921AA43}" presName="sibTrans" presStyleLbl="sibTrans2D1" presStyleIdx="1" presStyleCnt="4" custScaleX="95910" custScaleY="79925"/>
      <dgm:spPr>
        <a:prstGeom prst="plus">
          <a:avLst/>
        </a:prstGeom>
      </dgm:spPr>
      <dgm:t>
        <a:bodyPr/>
        <a:lstStyle/>
        <a:p>
          <a:endParaRPr lang="en-AU"/>
        </a:p>
      </dgm:t>
    </dgm:pt>
    <dgm:pt modelId="{EB2C1294-2FF7-4AEE-A3F2-7027FA997A54}" type="pres">
      <dgm:prSet presAssocID="{BFADE863-A198-4FF1-86BC-76897921AA43}" presName="connectorText" presStyleLbl="sibTrans2D1" presStyleIdx="1" presStyleCnt="4"/>
      <dgm:spPr/>
      <dgm:t>
        <a:bodyPr/>
        <a:lstStyle/>
        <a:p>
          <a:endParaRPr lang="en-AU"/>
        </a:p>
      </dgm:t>
    </dgm:pt>
    <dgm:pt modelId="{6B7CE5EE-1D69-4B12-8410-2279B0406428}" type="pres">
      <dgm:prSet presAssocID="{9D47CBCF-FDFE-4C43-B50F-E3F1AECFD57A}" presName="node" presStyleLbl="node1" presStyleIdx="2" presStyleCnt="5">
        <dgm:presLayoutVars>
          <dgm:bulletEnabled val="1"/>
        </dgm:presLayoutVars>
      </dgm:prSet>
      <dgm:spPr/>
      <dgm:t>
        <a:bodyPr/>
        <a:lstStyle/>
        <a:p>
          <a:endParaRPr lang="en-AU"/>
        </a:p>
      </dgm:t>
    </dgm:pt>
    <dgm:pt modelId="{E4C3A0A9-67E6-4838-9B39-87AA2CAE83C2}" type="pres">
      <dgm:prSet presAssocID="{E014FB23-4713-4BE0-B68B-047CE9586123}" presName="sibTrans" presStyleLbl="sibTrans2D1" presStyleIdx="2" presStyleCnt="4" custScaleX="95910" custScaleY="79925"/>
      <dgm:spPr>
        <a:prstGeom prst="plus">
          <a:avLst/>
        </a:prstGeom>
      </dgm:spPr>
      <dgm:t>
        <a:bodyPr/>
        <a:lstStyle/>
        <a:p>
          <a:endParaRPr lang="en-AU"/>
        </a:p>
      </dgm:t>
    </dgm:pt>
    <dgm:pt modelId="{3C6DB82E-45F3-4AAB-AD2F-E66723540659}" type="pres">
      <dgm:prSet presAssocID="{E014FB23-4713-4BE0-B68B-047CE9586123}" presName="connectorText" presStyleLbl="sibTrans2D1" presStyleIdx="2" presStyleCnt="4"/>
      <dgm:spPr/>
      <dgm:t>
        <a:bodyPr/>
        <a:lstStyle/>
        <a:p>
          <a:endParaRPr lang="en-AU"/>
        </a:p>
      </dgm:t>
    </dgm:pt>
    <dgm:pt modelId="{49F1E3D3-C19C-43F4-8B37-4A077D9E6F9A}" type="pres">
      <dgm:prSet presAssocID="{10C95637-189C-41C1-8F78-3646814CA730}" presName="node" presStyleLbl="node1" presStyleIdx="3" presStyleCnt="5">
        <dgm:presLayoutVars>
          <dgm:bulletEnabled val="1"/>
        </dgm:presLayoutVars>
      </dgm:prSet>
      <dgm:spPr/>
      <dgm:t>
        <a:bodyPr/>
        <a:lstStyle/>
        <a:p>
          <a:endParaRPr lang="en-AU"/>
        </a:p>
      </dgm:t>
    </dgm:pt>
    <dgm:pt modelId="{83655CCC-D582-43F4-9A51-B0D42C2C280E}" type="pres">
      <dgm:prSet presAssocID="{761055C7-506C-497A-8D6C-1CA044244894}" presName="sibTrans" presStyleLbl="sibTrans2D1" presStyleIdx="3" presStyleCnt="4" custScaleX="95910" custScaleY="79925"/>
      <dgm:spPr>
        <a:prstGeom prst="plus">
          <a:avLst/>
        </a:prstGeom>
      </dgm:spPr>
      <dgm:t>
        <a:bodyPr/>
        <a:lstStyle/>
        <a:p>
          <a:endParaRPr lang="en-AU"/>
        </a:p>
      </dgm:t>
    </dgm:pt>
    <dgm:pt modelId="{8B148481-8B6B-4D09-B116-047B53481078}" type="pres">
      <dgm:prSet presAssocID="{761055C7-506C-497A-8D6C-1CA044244894}" presName="connectorText" presStyleLbl="sibTrans2D1" presStyleIdx="3" presStyleCnt="4"/>
      <dgm:spPr/>
      <dgm:t>
        <a:bodyPr/>
        <a:lstStyle/>
        <a:p>
          <a:endParaRPr lang="en-AU"/>
        </a:p>
      </dgm:t>
    </dgm:pt>
    <dgm:pt modelId="{0E11E2CA-904F-4503-9FD6-CD229DE56997}" type="pres">
      <dgm:prSet presAssocID="{72B6589B-69D9-43B6-9BDF-2351C2694450}" presName="node" presStyleLbl="node1" presStyleIdx="4" presStyleCnt="5">
        <dgm:presLayoutVars>
          <dgm:bulletEnabled val="1"/>
        </dgm:presLayoutVars>
      </dgm:prSet>
      <dgm:spPr/>
      <dgm:t>
        <a:bodyPr/>
        <a:lstStyle/>
        <a:p>
          <a:endParaRPr lang="en-AU"/>
        </a:p>
      </dgm:t>
    </dgm:pt>
  </dgm:ptLst>
  <dgm:cxnLst>
    <dgm:cxn modelId="{1F1DE92A-49ED-4B4B-8434-0B2D548FEE9E}" type="presOf" srcId="{761055C7-506C-497A-8D6C-1CA044244894}" destId="{83655CCC-D582-43F4-9A51-B0D42C2C280E}" srcOrd="0" destOrd="0" presId="urn:microsoft.com/office/officeart/2005/8/layout/process2"/>
    <dgm:cxn modelId="{E2F4E98C-F54C-4676-B45A-7BDF39E5B83E}" srcId="{198ED912-458A-424E-8DF3-F64DE4532392}" destId="{10C95637-189C-41C1-8F78-3646814CA730}" srcOrd="3" destOrd="0" parTransId="{A07BFD17-9DB1-4593-9B77-4F1A70AF8A11}" sibTransId="{761055C7-506C-497A-8D6C-1CA044244894}"/>
    <dgm:cxn modelId="{AA30043E-2185-4073-AF5E-90E532B30716}" type="presOf" srcId="{A198C5F7-72ED-47C3-AD02-8E0AEEBD7688}" destId="{139F544A-8C0C-40AD-A810-D06C9C271253}" srcOrd="0" destOrd="0" presId="urn:microsoft.com/office/officeart/2005/8/layout/process2"/>
    <dgm:cxn modelId="{C45455F6-36B3-4D76-ACBA-1C644C992CC3}" type="presOf" srcId="{BFADE863-A198-4FF1-86BC-76897921AA43}" destId="{EB2C1294-2FF7-4AEE-A3F2-7027FA997A54}" srcOrd="1" destOrd="0" presId="urn:microsoft.com/office/officeart/2005/8/layout/process2"/>
    <dgm:cxn modelId="{BDAEB16A-7205-49D9-93C8-E8837B17F9BF}" srcId="{198ED912-458A-424E-8DF3-F64DE4532392}" destId="{C5D1B8AC-1F10-43CB-BA32-43DCB88E1FDC}" srcOrd="1" destOrd="0" parTransId="{98377116-D76B-4C67-A52A-65BB962BDF0E}" sibTransId="{BFADE863-A198-4FF1-86BC-76897921AA43}"/>
    <dgm:cxn modelId="{8E09032B-2E3F-4A07-BD5B-E52825668283}" type="presOf" srcId="{02126FDB-F0F6-4969-BC84-914B14EF3455}" destId="{D424798D-D4B5-40DE-BF28-BFDB0D501002}" srcOrd="1" destOrd="0" presId="urn:microsoft.com/office/officeart/2005/8/layout/process2"/>
    <dgm:cxn modelId="{BEECDAD1-E2CC-4E70-B36C-A470A86AF71B}" srcId="{198ED912-458A-424E-8DF3-F64DE4532392}" destId="{9D47CBCF-FDFE-4C43-B50F-E3F1AECFD57A}" srcOrd="2" destOrd="0" parTransId="{562773D3-54B1-49EC-B6CE-B4CD43B3CC3F}" sibTransId="{E014FB23-4713-4BE0-B68B-047CE9586123}"/>
    <dgm:cxn modelId="{552B52AA-3D11-482A-A3D4-65399108B987}" type="presOf" srcId="{E014FB23-4713-4BE0-B68B-047CE9586123}" destId="{3C6DB82E-45F3-4AAB-AD2F-E66723540659}" srcOrd="1" destOrd="0" presId="urn:microsoft.com/office/officeart/2005/8/layout/process2"/>
    <dgm:cxn modelId="{2DB1B140-31A2-4732-A140-FA38BB34DA3E}" type="presOf" srcId="{C5D1B8AC-1F10-43CB-BA32-43DCB88E1FDC}" destId="{45439CA9-411B-41E6-BA08-0BCAC8D931B5}" srcOrd="0" destOrd="0" presId="urn:microsoft.com/office/officeart/2005/8/layout/process2"/>
    <dgm:cxn modelId="{93CE8B03-F1DC-4590-B4CA-31CEBA746E47}" type="presOf" srcId="{761055C7-506C-497A-8D6C-1CA044244894}" destId="{8B148481-8B6B-4D09-B116-047B53481078}" srcOrd="1" destOrd="0" presId="urn:microsoft.com/office/officeart/2005/8/layout/process2"/>
    <dgm:cxn modelId="{C09B7E70-F88A-486B-AD8E-BCF3F12C9FF6}" type="presOf" srcId="{10C95637-189C-41C1-8F78-3646814CA730}" destId="{49F1E3D3-C19C-43F4-8B37-4A077D9E6F9A}" srcOrd="0" destOrd="0" presId="urn:microsoft.com/office/officeart/2005/8/layout/process2"/>
    <dgm:cxn modelId="{8047B253-BF14-4BB1-AB92-C0711E221E8C}" type="presOf" srcId="{E014FB23-4713-4BE0-B68B-047CE9586123}" destId="{E4C3A0A9-67E6-4838-9B39-87AA2CAE83C2}" srcOrd="0" destOrd="0" presId="urn:microsoft.com/office/officeart/2005/8/layout/process2"/>
    <dgm:cxn modelId="{49D6AB8B-FA98-49EC-9131-547D78D2BA59}" type="presOf" srcId="{9D47CBCF-FDFE-4C43-B50F-E3F1AECFD57A}" destId="{6B7CE5EE-1D69-4B12-8410-2279B0406428}" srcOrd="0" destOrd="0" presId="urn:microsoft.com/office/officeart/2005/8/layout/process2"/>
    <dgm:cxn modelId="{8CC81AE2-F23B-42BA-BB23-24BE580D8942}" type="presOf" srcId="{BFADE863-A198-4FF1-86BC-76897921AA43}" destId="{A9C24E59-570A-4377-A0BB-8AF0F29E037A}" srcOrd="0" destOrd="0" presId="urn:microsoft.com/office/officeart/2005/8/layout/process2"/>
    <dgm:cxn modelId="{49B50E83-16F2-4528-98F6-6C5EA1AA6AB0}" srcId="{198ED912-458A-424E-8DF3-F64DE4532392}" destId="{A198C5F7-72ED-47C3-AD02-8E0AEEBD7688}" srcOrd="0" destOrd="0" parTransId="{268248CB-F68E-4C79-8532-59AF65540CB9}" sibTransId="{02126FDB-F0F6-4969-BC84-914B14EF3455}"/>
    <dgm:cxn modelId="{C941F6BF-D7FB-49E4-B40C-F6333C3B92EB}" type="presOf" srcId="{72B6589B-69D9-43B6-9BDF-2351C2694450}" destId="{0E11E2CA-904F-4503-9FD6-CD229DE56997}" srcOrd="0" destOrd="0" presId="urn:microsoft.com/office/officeart/2005/8/layout/process2"/>
    <dgm:cxn modelId="{A4194EC3-8447-46A4-8422-D390EA747040}" type="presOf" srcId="{02126FDB-F0F6-4969-BC84-914B14EF3455}" destId="{4F95A644-349A-47B2-9F4E-B8887767334A}" srcOrd="0" destOrd="0" presId="urn:microsoft.com/office/officeart/2005/8/layout/process2"/>
    <dgm:cxn modelId="{B4322BF0-0763-4667-AB8E-527ED1A47D84}" type="presOf" srcId="{198ED912-458A-424E-8DF3-F64DE4532392}" destId="{1CDA2963-E9AF-4993-AA06-9D017243BF06}" srcOrd="0" destOrd="0" presId="urn:microsoft.com/office/officeart/2005/8/layout/process2"/>
    <dgm:cxn modelId="{BF917BCC-C870-4932-9408-FE36F7B08FE2}" srcId="{198ED912-458A-424E-8DF3-F64DE4532392}" destId="{72B6589B-69D9-43B6-9BDF-2351C2694450}" srcOrd="4" destOrd="0" parTransId="{67F1F0BF-658C-4803-959C-44EB92DFD490}" sibTransId="{8071CA93-6AD4-4CEC-8704-C25D0F1498D0}"/>
    <dgm:cxn modelId="{AA0F9863-6B3C-408E-9CC2-937F53A0368E}" type="presParOf" srcId="{1CDA2963-E9AF-4993-AA06-9D017243BF06}" destId="{139F544A-8C0C-40AD-A810-D06C9C271253}" srcOrd="0" destOrd="0" presId="urn:microsoft.com/office/officeart/2005/8/layout/process2"/>
    <dgm:cxn modelId="{BB5603EE-66B7-4DBC-8744-CB10D0DB0AA2}" type="presParOf" srcId="{1CDA2963-E9AF-4993-AA06-9D017243BF06}" destId="{4F95A644-349A-47B2-9F4E-B8887767334A}" srcOrd="1" destOrd="0" presId="urn:microsoft.com/office/officeart/2005/8/layout/process2"/>
    <dgm:cxn modelId="{A3C346E2-C1B3-4924-A3BD-DEB8094DCBE5}" type="presParOf" srcId="{4F95A644-349A-47B2-9F4E-B8887767334A}" destId="{D424798D-D4B5-40DE-BF28-BFDB0D501002}" srcOrd="0" destOrd="0" presId="urn:microsoft.com/office/officeart/2005/8/layout/process2"/>
    <dgm:cxn modelId="{9D2866E3-8C0C-4C93-9D9D-A868EF8A1BA8}" type="presParOf" srcId="{1CDA2963-E9AF-4993-AA06-9D017243BF06}" destId="{45439CA9-411B-41E6-BA08-0BCAC8D931B5}" srcOrd="2" destOrd="0" presId="urn:microsoft.com/office/officeart/2005/8/layout/process2"/>
    <dgm:cxn modelId="{736D6ADD-5EAE-4AB8-85BE-38F1C8B56795}" type="presParOf" srcId="{1CDA2963-E9AF-4993-AA06-9D017243BF06}" destId="{A9C24E59-570A-4377-A0BB-8AF0F29E037A}" srcOrd="3" destOrd="0" presId="urn:microsoft.com/office/officeart/2005/8/layout/process2"/>
    <dgm:cxn modelId="{65A13DFA-D8F7-4D74-844B-F86616CE39C4}" type="presParOf" srcId="{A9C24E59-570A-4377-A0BB-8AF0F29E037A}" destId="{EB2C1294-2FF7-4AEE-A3F2-7027FA997A54}" srcOrd="0" destOrd="0" presId="urn:microsoft.com/office/officeart/2005/8/layout/process2"/>
    <dgm:cxn modelId="{7EC427E9-A2EC-4670-943C-0D470A95674A}" type="presParOf" srcId="{1CDA2963-E9AF-4993-AA06-9D017243BF06}" destId="{6B7CE5EE-1D69-4B12-8410-2279B0406428}" srcOrd="4" destOrd="0" presId="urn:microsoft.com/office/officeart/2005/8/layout/process2"/>
    <dgm:cxn modelId="{4D4BCDAC-CA7A-4D61-B846-98B64CAECFAA}" type="presParOf" srcId="{1CDA2963-E9AF-4993-AA06-9D017243BF06}" destId="{E4C3A0A9-67E6-4838-9B39-87AA2CAE83C2}" srcOrd="5" destOrd="0" presId="urn:microsoft.com/office/officeart/2005/8/layout/process2"/>
    <dgm:cxn modelId="{F3384EC0-1D4E-466C-B2C0-3833D963FEBE}" type="presParOf" srcId="{E4C3A0A9-67E6-4838-9B39-87AA2CAE83C2}" destId="{3C6DB82E-45F3-4AAB-AD2F-E66723540659}" srcOrd="0" destOrd="0" presId="urn:microsoft.com/office/officeart/2005/8/layout/process2"/>
    <dgm:cxn modelId="{C15C4FD9-AB1A-44D0-BB3B-6EB9004ACB6D}" type="presParOf" srcId="{1CDA2963-E9AF-4993-AA06-9D017243BF06}" destId="{49F1E3D3-C19C-43F4-8B37-4A077D9E6F9A}" srcOrd="6" destOrd="0" presId="urn:microsoft.com/office/officeart/2005/8/layout/process2"/>
    <dgm:cxn modelId="{08F67E54-8889-484D-B219-BF0489612550}" type="presParOf" srcId="{1CDA2963-E9AF-4993-AA06-9D017243BF06}" destId="{83655CCC-D582-43F4-9A51-B0D42C2C280E}" srcOrd="7" destOrd="0" presId="urn:microsoft.com/office/officeart/2005/8/layout/process2"/>
    <dgm:cxn modelId="{805B98D0-B4EE-4018-A783-DD5A706DF10A}" type="presParOf" srcId="{83655CCC-D582-43F4-9A51-B0D42C2C280E}" destId="{8B148481-8B6B-4D09-B116-047B53481078}" srcOrd="0" destOrd="0" presId="urn:microsoft.com/office/officeart/2005/8/layout/process2"/>
    <dgm:cxn modelId="{686A259C-5334-4046-94CA-7AB1FEC22484}" type="presParOf" srcId="{1CDA2963-E9AF-4993-AA06-9D017243BF06}" destId="{0E11E2CA-904F-4503-9FD6-CD229DE56997}" srcOrd="8"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8ED912-458A-424E-8DF3-F64DE4532392}" type="doc">
      <dgm:prSet loTypeId="urn:microsoft.com/office/officeart/2005/8/layout/process2" loCatId="process" qsTypeId="urn:microsoft.com/office/officeart/2005/8/quickstyle/simple1" qsCatId="simple" csTypeId="urn:microsoft.com/office/officeart/2005/8/colors/accent1_2" csCatId="accent1" phldr="1"/>
      <dgm:spPr/>
    </dgm:pt>
    <dgm:pt modelId="{B9C7501F-B968-40A5-9F36-C0A64213A890}">
      <dgm:prSet phldrT="[Text]" custT="1"/>
      <dgm:spPr/>
      <dgm:t>
        <a:bodyPr/>
        <a:lstStyle/>
        <a:p>
          <a:r>
            <a:rPr lang="en-AU" sz="900"/>
            <a:t>Effort of Enforcement</a:t>
          </a:r>
        </a:p>
      </dgm:t>
    </dgm:pt>
    <dgm:pt modelId="{E01A36D2-75AD-46CE-AEB8-902B506DFB4D}" type="parTrans" cxnId="{4DAC18EC-83B6-4A68-84C8-D064D6E2A823}">
      <dgm:prSet/>
      <dgm:spPr/>
      <dgm:t>
        <a:bodyPr/>
        <a:lstStyle/>
        <a:p>
          <a:endParaRPr lang="en-AU" sz="900"/>
        </a:p>
      </dgm:t>
    </dgm:pt>
    <dgm:pt modelId="{25353020-17FE-436E-98BF-75B7AD2E905E}" type="sibTrans" cxnId="{4DAC18EC-83B6-4A68-84C8-D064D6E2A823}">
      <dgm:prSet custT="1"/>
      <dgm:spPr/>
      <dgm:t>
        <a:bodyPr/>
        <a:lstStyle/>
        <a:p>
          <a:endParaRPr lang="en-AU" sz="900"/>
        </a:p>
      </dgm:t>
    </dgm:pt>
    <dgm:pt modelId="{7EBFEFF8-EFDB-4C10-9B14-9F33CD123007}">
      <dgm:prSet phldrT="[Text]" custT="1"/>
      <dgm:spPr/>
      <dgm:t>
        <a:bodyPr/>
        <a:lstStyle/>
        <a:p>
          <a:r>
            <a:rPr lang="en-AU" sz="900"/>
            <a:t>Effort of Surveillance </a:t>
          </a:r>
        </a:p>
      </dgm:t>
    </dgm:pt>
    <dgm:pt modelId="{0F3848A3-472C-4315-9B05-FFEEC88A1BAE}" type="parTrans" cxnId="{EBC63166-7A29-4EAC-8E21-CD6FC163C592}">
      <dgm:prSet/>
      <dgm:spPr/>
      <dgm:t>
        <a:bodyPr/>
        <a:lstStyle/>
        <a:p>
          <a:endParaRPr lang="en-AU" sz="900"/>
        </a:p>
      </dgm:t>
    </dgm:pt>
    <dgm:pt modelId="{4AEA0E18-ADBD-4418-B454-32D8FD16AEA5}" type="sibTrans" cxnId="{EBC63166-7A29-4EAC-8E21-CD6FC163C592}">
      <dgm:prSet custT="1"/>
      <dgm:spPr/>
      <dgm:t>
        <a:bodyPr/>
        <a:lstStyle/>
        <a:p>
          <a:endParaRPr lang="en-AU" sz="900"/>
        </a:p>
      </dgm:t>
    </dgm:pt>
    <dgm:pt modelId="{A198C5F7-72ED-47C3-AD02-8E0AEEBD7688}">
      <dgm:prSet phldrT="[Text]" custT="1"/>
      <dgm:spPr/>
      <dgm:t>
        <a:bodyPr/>
        <a:lstStyle/>
        <a:p>
          <a:r>
            <a:rPr lang="en-AU" sz="900"/>
            <a:t>Effort of Stakeholder Engagement</a:t>
          </a:r>
        </a:p>
      </dgm:t>
    </dgm:pt>
    <dgm:pt modelId="{268248CB-F68E-4C79-8532-59AF65540CB9}" type="parTrans" cxnId="{49B50E83-16F2-4528-98F6-6C5EA1AA6AB0}">
      <dgm:prSet/>
      <dgm:spPr/>
      <dgm:t>
        <a:bodyPr/>
        <a:lstStyle/>
        <a:p>
          <a:endParaRPr lang="en-AU" sz="900"/>
        </a:p>
      </dgm:t>
    </dgm:pt>
    <dgm:pt modelId="{02126FDB-F0F6-4969-BC84-914B14EF3455}" type="sibTrans" cxnId="{49B50E83-16F2-4528-98F6-6C5EA1AA6AB0}">
      <dgm:prSet custT="1"/>
      <dgm:spPr/>
      <dgm:t>
        <a:bodyPr/>
        <a:lstStyle/>
        <a:p>
          <a:endParaRPr lang="en-AU" sz="900"/>
        </a:p>
      </dgm:t>
    </dgm:pt>
    <dgm:pt modelId="{C5D1B8AC-1F10-43CB-BA32-43DCB88E1FDC}">
      <dgm:prSet phldrT="[Text]" custT="1"/>
      <dgm:spPr/>
      <dgm:t>
        <a:bodyPr/>
        <a:lstStyle/>
        <a:p>
          <a:r>
            <a:rPr lang="en-AU" sz="900"/>
            <a:t>Effort of Policy Advice</a:t>
          </a:r>
        </a:p>
      </dgm:t>
    </dgm:pt>
    <dgm:pt modelId="{98377116-D76B-4C67-A52A-65BB962BDF0E}" type="parTrans" cxnId="{BDAEB16A-7205-49D9-93C8-E8837B17F9BF}">
      <dgm:prSet/>
      <dgm:spPr/>
      <dgm:t>
        <a:bodyPr/>
        <a:lstStyle/>
        <a:p>
          <a:endParaRPr lang="en-AU" sz="900"/>
        </a:p>
      </dgm:t>
    </dgm:pt>
    <dgm:pt modelId="{BFADE863-A198-4FF1-86BC-76897921AA43}" type="sibTrans" cxnId="{BDAEB16A-7205-49D9-93C8-E8837B17F9BF}">
      <dgm:prSet custT="1"/>
      <dgm:spPr/>
      <dgm:t>
        <a:bodyPr/>
        <a:lstStyle/>
        <a:p>
          <a:endParaRPr lang="en-AU" sz="900"/>
        </a:p>
      </dgm:t>
    </dgm:pt>
    <dgm:pt modelId="{9D47CBCF-FDFE-4C43-B50F-E3F1AECFD57A}">
      <dgm:prSet phldrT="[Text]" custT="1"/>
      <dgm:spPr/>
      <dgm:t>
        <a:bodyPr/>
        <a:lstStyle/>
        <a:p>
          <a:r>
            <a:rPr lang="en-AU" sz="900"/>
            <a:t>Effort of Guidance</a:t>
          </a:r>
        </a:p>
      </dgm:t>
    </dgm:pt>
    <dgm:pt modelId="{562773D3-54B1-49EC-B6CE-B4CD43B3CC3F}" type="parTrans" cxnId="{BEECDAD1-E2CC-4E70-B36C-A470A86AF71B}">
      <dgm:prSet/>
      <dgm:spPr/>
      <dgm:t>
        <a:bodyPr/>
        <a:lstStyle/>
        <a:p>
          <a:endParaRPr lang="en-AU" sz="900"/>
        </a:p>
      </dgm:t>
    </dgm:pt>
    <dgm:pt modelId="{E014FB23-4713-4BE0-B68B-047CE9586123}" type="sibTrans" cxnId="{BEECDAD1-E2CC-4E70-B36C-A470A86AF71B}">
      <dgm:prSet custT="1"/>
      <dgm:spPr/>
      <dgm:t>
        <a:bodyPr/>
        <a:lstStyle/>
        <a:p>
          <a:endParaRPr lang="en-AU" sz="900"/>
        </a:p>
      </dgm:t>
    </dgm:pt>
    <dgm:pt modelId="{10C95637-189C-41C1-8F78-3646814CA730}">
      <dgm:prSet phldrT="[Text]" custT="1"/>
      <dgm:spPr/>
      <dgm:t>
        <a:bodyPr/>
        <a:lstStyle/>
        <a:p>
          <a:r>
            <a:rPr lang="en-AU" sz="900"/>
            <a:t>Effort of Education</a:t>
          </a:r>
        </a:p>
      </dgm:t>
    </dgm:pt>
    <dgm:pt modelId="{A07BFD17-9DB1-4593-9B77-4F1A70AF8A11}" type="parTrans" cxnId="{E2F4E98C-F54C-4676-B45A-7BDF39E5B83E}">
      <dgm:prSet/>
      <dgm:spPr/>
      <dgm:t>
        <a:bodyPr/>
        <a:lstStyle/>
        <a:p>
          <a:endParaRPr lang="en-AU" sz="900"/>
        </a:p>
      </dgm:t>
    </dgm:pt>
    <dgm:pt modelId="{761055C7-506C-497A-8D6C-1CA044244894}" type="sibTrans" cxnId="{E2F4E98C-F54C-4676-B45A-7BDF39E5B83E}">
      <dgm:prSet custT="1"/>
      <dgm:spPr/>
      <dgm:t>
        <a:bodyPr/>
        <a:lstStyle/>
        <a:p>
          <a:endParaRPr lang="en-AU" sz="900"/>
        </a:p>
      </dgm:t>
    </dgm:pt>
    <dgm:pt modelId="{1C5670AD-9190-42FC-A8E1-EA3F19D46831}">
      <dgm:prSet phldrT="[Text]" custT="1"/>
      <dgm:spPr/>
      <dgm:t>
        <a:bodyPr/>
        <a:lstStyle/>
        <a:p>
          <a:r>
            <a:rPr lang="en-AU" sz="900"/>
            <a:t>Capital allowance</a:t>
          </a:r>
        </a:p>
      </dgm:t>
    </dgm:pt>
    <dgm:pt modelId="{B5CD279F-18D9-4289-B1CD-139BA8CE6FC2}" type="parTrans" cxnId="{903EDBDE-C2C4-40F5-8115-33ED13A5A916}">
      <dgm:prSet/>
      <dgm:spPr/>
      <dgm:t>
        <a:bodyPr/>
        <a:lstStyle/>
        <a:p>
          <a:endParaRPr lang="en-AU" sz="900"/>
        </a:p>
      </dgm:t>
    </dgm:pt>
    <dgm:pt modelId="{020F7181-FD25-495A-AF07-F94EC3D515AA}" type="sibTrans" cxnId="{903EDBDE-C2C4-40F5-8115-33ED13A5A916}">
      <dgm:prSet/>
      <dgm:spPr/>
      <dgm:t>
        <a:bodyPr/>
        <a:lstStyle/>
        <a:p>
          <a:endParaRPr lang="en-AU" sz="900"/>
        </a:p>
      </dgm:t>
    </dgm:pt>
    <dgm:pt modelId="{1CDA2963-E9AF-4993-AA06-9D017243BF06}" type="pres">
      <dgm:prSet presAssocID="{198ED912-458A-424E-8DF3-F64DE4532392}" presName="linearFlow" presStyleCnt="0">
        <dgm:presLayoutVars>
          <dgm:resizeHandles val="exact"/>
        </dgm:presLayoutVars>
      </dgm:prSet>
      <dgm:spPr/>
    </dgm:pt>
    <dgm:pt modelId="{A01D30C7-7BD6-43F1-91E9-442072246538}" type="pres">
      <dgm:prSet presAssocID="{B9C7501F-B968-40A5-9F36-C0A64213A890}" presName="node" presStyleLbl="node1" presStyleIdx="0" presStyleCnt="7">
        <dgm:presLayoutVars>
          <dgm:bulletEnabled val="1"/>
        </dgm:presLayoutVars>
      </dgm:prSet>
      <dgm:spPr/>
      <dgm:t>
        <a:bodyPr/>
        <a:lstStyle/>
        <a:p>
          <a:endParaRPr lang="en-AU"/>
        </a:p>
      </dgm:t>
    </dgm:pt>
    <dgm:pt modelId="{4889C554-3AC5-4332-91FD-F5401C072733}" type="pres">
      <dgm:prSet presAssocID="{25353020-17FE-436E-98BF-75B7AD2E905E}" presName="sibTrans" presStyleLbl="sibTrans2D1" presStyleIdx="0" presStyleCnt="6" custScaleX="83945" custScaleY="69954"/>
      <dgm:spPr>
        <a:prstGeom prst="plus">
          <a:avLst/>
        </a:prstGeom>
      </dgm:spPr>
      <dgm:t>
        <a:bodyPr/>
        <a:lstStyle/>
        <a:p>
          <a:endParaRPr lang="en-AU"/>
        </a:p>
      </dgm:t>
    </dgm:pt>
    <dgm:pt modelId="{A00B7061-841D-4FC9-91DA-4FAC96C65668}" type="pres">
      <dgm:prSet presAssocID="{25353020-17FE-436E-98BF-75B7AD2E905E}" presName="connectorText" presStyleLbl="sibTrans2D1" presStyleIdx="0" presStyleCnt="6"/>
      <dgm:spPr/>
      <dgm:t>
        <a:bodyPr/>
        <a:lstStyle/>
        <a:p>
          <a:endParaRPr lang="en-AU"/>
        </a:p>
      </dgm:t>
    </dgm:pt>
    <dgm:pt modelId="{C2ECD743-92AD-482C-8204-40FD2718680B}" type="pres">
      <dgm:prSet presAssocID="{7EBFEFF8-EFDB-4C10-9B14-9F33CD123007}" presName="node" presStyleLbl="node1" presStyleIdx="1" presStyleCnt="7">
        <dgm:presLayoutVars>
          <dgm:bulletEnabled val="1"/>
        </dgm:presLayoutVars>
      </dgm:prSet>
      <dgm:spPr/>
      <dgm:t>
        <a:bodyPr/>
        <a:lstStyle/>
        <a:p>
          <a:endParaRPr lang="en-AU"/>
        </a:p>
      </dgm:t>
    </dgm:pt>
    <dgm:pt modelId="{A598CE77-63C3-49AC-81F5-146FB835FEFF}" type="pres">
      <dgm:prSet presAssocID="{4AEA0E18-ADBD-4418-B454-32D8FD16AEA5}" presName="sibTrans" presStyleLbl="sibTrans2D1" presStyleIdx="1" presStyleCnt="6" custScaleX="83945" custScaleY="69954"/>
      <dgm:spPr>
        <a:prstGeom prst="plus">
          <a:avLst/>
        </a:prstGeom>
      </dgm:spPr>
      <dgm:t>
        <a:bodyPr/>
        <a:lstStyle/>
        <a:p>
          <a:endParaRPr lang="en-AU"/>
        </a:p>
      </dgm:t>
    </dgm:pt>
    <dgm:pt modelId="{34023D20-C169-4BCE-AB7B-B380A9200415}" type="pres">
      <dgm:prSet presAssocID="{4AEA0E18-ADBD-4418-B454-32D8FD16AEA5}" presName="connectorText" presStyleLbl="sibTrans2D1" presStyleIdx="1" presStyleCnt="6"/>
      <dgm:spPr/>
      <dgm:t>
        <a:bodyPr/>
        <a:lstStyle/>
        <a:p>
          <a:endParaRPr lang="en-AU"/>
        </a:p>
      </dgm:t>
    </dgm:pt>
    <dgm:pt modelId="{139F544A-8C0C-40AD-A810-D06C9C271253}" type="pres">
      <dgm:prSet presAssocID="{A198C5F7-72ED-47C3-AD02-8E0AEEBD7688}" presName="node" presStyleLbl="node1" presStyleIdx="2" presStyleCnt="7">
        <dgm:presLayoutVars>
          <dgm:bulletEnabled val="1"/>
        </dgm:presLayoutVars>
      </dgm:prSet>
      <dgm:spPr/>
      <dgm:t>
        <a:bodyPr/>
        <a:lstStyle/>
        <a:p>
          <a:endParaRPr lang="en-AU"/>
        </a:p>
      </dgm:t>
    </dgm:pt>
    <dgm:pt modelId="{4F95A644-349A-47B2-9F4E-B8887767334A}" type="pres">
      <dgm:prSet presAssocID="{02126FDB-F0F6-4969-BC84-914B14EF3455}" presName="sibTrans" presStyleLbl="sibTrans2D1" presStyleIdx="2" presStyleCnt="6" custScaleX="83945" custScaleY="69954"/>
      <dgm:spPr>
        <a:prstGeom prst="plus">
          <a:avLst/>
        </a:prstGeom>
      </dgm:spPr>
      <dgm:t>
        <a:bodyPr/>
        <a:lstStyle/>
        <a:p>
          <a:endParaRPr lang="en-AU"/>
        </a:p>
      </dgm:t>
    </dgm:pt>
    <dgm:pt modelId="{D424798D-D4B5-40DE-BF28-BFDB0D501002}" type="pres">
      <dgm:prSet presAssocID="{02126FDB-F0F6-4969-BC84-914B14EF3455}" presName="connectorText" presStyleLbl="sibTrans2D1" presStyleIdx="2" presStyleCnt="6"/>
      <dgm:spPr/>
      <dgm:t>
        <a:bodyPr/>
        <a:lstStyle/>
        <a:p>
          <a:endParaRPr lang="en-AU"/>
        </a:p>
      </dgm:t>
    </dgm:pt>
    <dgm:pt modelId="{45439CA9-411B-41E6-BA08-0BCAC8D931B5}" type="pres">
      <dgm:prSet presAssocID="{C5D1B8AC-1F10-43CB-BA32-43DCB88E1FDC}" presName="node" presStyleLbl="node1" presStyleIdx="3" presStyleCnt="7">
        <dgm:presLayoutVars>
          <dgm:bulletEnabled val="1"/>
        </dgm:presLayoutVars>
      </dgm:prSet>
      <dgm:spPr/>
      <dgm:t>
        <a:bodyPr/>
        <a:lstStyle/>
        <a:p>
          <a:endParaRPr lang="en-AU"/>
        </a:p>
      </dgm:t>
    </dgm:pt>
    <dgm:pt modelId="{A9C24E59-570A-4377-A0BB-8AF0F29E037A}" type="pres">
      <dgm:prSet presAssocID="{BFADE863-A198-4FF1-86BC-76897921AA43}" presName="sibTrans" presStyleLbl="sibTrans2D1" presStyleIdx="3" presStyleCnt="6" custScaleX="83945" custScaleY="69954"/>
      <dgm:spPr>
        <a:prstGeom prst="plus">
          <a:avLst/>
        </a:prstGeom>
      </dgm:spPr>
      <dgm:t>
        <a:bodyPr/>
        <a:lstStyle/>
        <a:p>
          <a:endParaRPr lang="en-AU"/>
        </a:p>
      </dgm:t>
    </dgm:pt>
    <dgm:pt modelId="{EB2C1294-2FF7-4AEE-A3F2-7027FA997A54}" type="pres">
      <dgm:prSet presAssocID="{BFADE863-A198-4FF1-86BC-76897921AA43}" presName="connectorText" presStyleLbl="sibTrans2D1" presStyleIdx="3" presStyleCnt="6"/>
      <dgm:spPr/>
      <dgm:t>
        <a:bodyPr/>
        <a:lstStyle/>
        <a:p>
          <a:endParaRPr lang="en-AU"/>
        </a:p>
      </dgm:t>
    </dgm:pt>
    <dgm:pt modelId="{6B7CE5EE-1D69-4B12-8410-2279B0406428}" type="pres">
      <dgm:prSet presAssocID="{9D47CBCF-FDFE-4C43-B50F-E3F1AECFD57A}" presName="node" presStyleLbl="node1" presStyleIdx="4" presStyleCnt="7">
        <dgm:presLayoutVars>
          <dgm:bulletEnabled val="1"/>
        </dgm:presLayoutVars>
      </dgm:prSet>
      <dgm:spPr/>
      <dgm:t>
        <a:bodyPr/>
        <a:lstStyle/>
        <a:p>
          <a:endParaRPr lang="en-AU"/>
        </a:p>
      </dgm:t>
    </dgm:pt>
    <dgm:pt modelId="{E4C3A0A9-67E6-4838-9B39-87AA2CAE83C2}" type="pres">
      <dgm:prSet presAssocID="{E014FB23-4713-4BE0-B68B-047CE9586123}" presName="sibTrans" presStyleLbl="sibTrans2D1" presStyleIdx="4" presStyleCnt="6" custScaleX="83945" custScaleY="69954"/>
      <dgm:spPr>
        <a:prstGeom prst="plus">
          <a:avLst/>
        </a:prstGeom>
      </dgm:spPr>
      <dgm:t>
        <a:bodyPr/>
        <a:lstStyle/>
        <a:p>
          <a:endParaRPr lang="en-AU"/>
        </a:p>
      </dgm:t>
    </dgm:pt>
    <dgm:pt modelId="{3C6DB82E-45F3-4AAB-AD2F-E66723540659}" type="pres">
      <dgm:prSet presAssocID="{E014FB23-4713-4BE0-B68B-047CE9586123}" presName="connectorText" presStyleLbl="sibTrans2D1" presStyleIdx="4" presStyleCnt="6"/>
      <dgm:spPr/>
      <dgm:t>
        <a:bodyPr/>
        <a:lstStyle/>
        <a:p>
          <a:endParaRPr lang="en-AU"/>
        </a:p>
      </dgm:t>
    </dgm:pt>
    <dgm:pt modelId="{49F1E3D3-C19C-43F4-8B37-4A077D9E6F9A}" type="pres">
      <dgm:prSet presAssocID="{10C95637-189C-41C1-8F78-3646814CA730}" presName="node" presStyleLbl="node1" presStyleIdx="5" presStyleCnt="7">
        <dgm:presLayoutVars>
          <dgm:bulletEnabled val="1"/>
        </dgm:presLayoutVars>
      </dgm:prSet>
      <dgm:spPr/>
      <dgm:t>
        <a:bodyPr/>
        <a:lstStyle/>
        <a:p>
          <a:endParaRPr lang="en-AU"/>
        </a:p>
      </dgm:t>
    </dgm:pt>
    <dgm:pt modelId="{83655CCC-D582-43F4-9A51-B0D42C2C280E}" type="pres">
      <dgm:prSet presAssocID="{761055C7-506C-497A-8D6C-1CA044244894}" presName="sibTrans" presStyleLbl="sibTrans2D1" presStyleIdx="5" presStyleCnt="6" custScaleX="83945" custScaleY="69954"/>
      <dgm:spPr>
        <a:prstGeom prst="plus">
          <a:avLst/>
        </a:prstGeom>
      </dgm:spPr>
      <dgm:t>
        <a:bodyPr/>
        <a:lstStyle/>
        <a:p>
          <a:endParaRPr lang="en-AU"/>
        </a:p>
      </dgm:t>
    </dgm:pt>
    <dgm:pt modelId="{8B148481-8B6B-4D09-B116-047B53481078}" type="pres">
      <dgm:prSet presAssocID="{761055C7-506C-497A-8D6C-1CA044244894}" presName="connectorText" presStyleLbl="sibTrans2D1" presStyleIdx="5" presStyleCnt="6"/>
      <dgm:spPr/>
      <dgm:t>
        <a:bodyPr/>
        <a:lstStyle/>
        <a:p>
          <a:endParaRPr lang="en-AU"/>
        </a:p>
      </dgm:t>
    </dgm:pt>
    <dgm:pt modelId="{271EBB15-52CA-4718-9CE4-A3FF842707EF}" type="pres">
      <dgm:prSet presAssocID="{1C5670AD-9190-42FC-A8E1-EA3F19D46831}" presName="node" presStyleLbl="node1" presStyleIdx="6" presStyleCnt="7">
        <dgm:presLayoutVars>
          <dgm:bulletEnabled val="1"/>
        </dgm:presLayoutVars>
      </dgm:prSet>
      <dgm:spPr/>
      <dgm:t>
        <a:bodyPr/>
        <a:lstStyle/>
        <a:p>
          <a:endParaRPr lang="en-AU"/>
        </a:p>
      </dgm:t>
    </dgm:pt>
  </dgm:ptLst>
  <dgm:cxnLst>
    <dgm:cxn modelId="{E2F4E98C-F54C-4676-B45A-7BDF39E5B83E}" srcId="{198ED912-458A-424E-8DF3-F64DE4532392}" destId="{10C95637-189C-41C1-8F78-3646814CA730}" srcOrd="5" destOrd="0" parTransId="{A07BFD17-9DB1-4593-9B77-4F1A70AF8A11}" sibTransId="{761055C7-506C-497A-8D6C-1CA044244894}"/>
    <dgm:cxn modelId="{903EDBDE-C2C4-40F5-8115-33ED13A5A916}" srcId="{198ED912-458A-424E-8DF3-F64DE4532392}" destId="{1C5670AD-9190-42FC-A8E1-EA3F19D46831}" srcOrd="6" destOrd="0" parTransId="{B5CD279F-18D9-4289-B1CD-139BA8CE6FC2}" sibTransId="{020F7181-FD25-495A-AF07-F94EC3D515AA}"/>
    <dgm:cxn modelId="{617DDA68-E6ED-4701-9E26-E742E30D42B8}" type="presOf" srcId="{4AEA0E18-ADBD-4418-B454-32D8FD16AEA5}" destId="{A598CE77-63C3-49AC-81F5-146FB835FEFF}" srcOrd="0" destOrd="0" presId="urn:microsoft.com/office/officeart/2005/8/layout/process2"/>
    <dgm:cxn modelId="{4DAC18EC-83B6-4A68-84C8-D064D6E2A823}" srcId="{198ED912-458A-424E-8DF3-F64DE4532392}" destId="{B9C7501F-B968-40A5-9F36-C0A64213A890}" srcOrd="0" destOrd="0" parTransId="{E01A36D2-75AD-46CE-AEB8-902B506DFB4D}" sibTransId="{25353020-17FE-436E-98BF-75B7AD2E905E}"/>
    <dgm:cxn modelId="{B5633A86-5086-49A2-82F5-6845A017396F}" type="presOf" srcId="{02126FDB-F0F6-4969-BC84-914B14EF3455}" destId="{D424798D-D4B5-40DE-BF28-BFDB0D501002}" srcOrd="1" destOrd="0" presId="urn:microsoft.com/office/officeart/2005/8/layout/process2"/>
    <dgm:cxn modelId="{7C08E95F-6741-47B9-87D9-DCDCD117FD71}" type="presOf" srcId="{B9C7501F-B968-40A5-9F36-C0A64213A890}" destId="{A01D30C7-7BD6-43F1-91E9-442072246538}" srcOrd="0" destOrd="0" presId="urn:microsoft.com/office/officeart/2005/8/layout/process2"/>
    <dgm:cxn modelId="{BEECDAD1-E2CC-4E70-B36C-A470A86AF71B}" srcId="{198ED912-458A-424E-8DF3-F64DE4532392}" destId="{9D47CBCF-FDFE-4C43-B50F-E3F1AECFD57A}" srcOrd="4" destOrd="0" parTransId="{562773D3-54B1-49EC-B6CE-B4CD43B3CC3F}" sibTransId="{E014FB23-4713-4BE0-B68B-047CE9586123}"/>
    <dgm:cxn modelId="{C3063409-295A-45BA-9306-6CC35D799442}" type="presOf" srcId="{9D47CBCF-FDFE-4C43-B50F-E3F1AECFD57A}" destId="{6B7CE5EE-1D69-4B12-8410-2279B0406428}" srcOrd="0" destOrd="0" presId="urn:microsoft.com/office/officeart/2005/8/layout/process2"/>
    <dgm:cxn modelId="{A374DCCC-EFEA-4286-A37C-93791F428283}" type="presOf" srcId="{10C95637-189C-41C1-8F78-3646814CA730}" destId="{49F1E3D3-C19C-43F4-8B37-4A077D9E6F9A}" srcOrd="0" destOrd="0" presId="urn:microsoft.com/office/officeart/2005/8/layout/process2"/>
    <dgm:cxn modelId="{1F8986D2-6A1B-409E-A0C7-A7E6849CDF58}" type="presOf" srcId="{7EBFEFF8-EFDB-4C10-9B14-9F33CD123007}" destId="{C2ECD743-92AD-482C-8204-40FD2718680B}" srcOrd="0" destOrd="0" presId="urn:microsoft.com/office/officeart/2005/8/layout/process2"/>
    <dgm:cxn modelId="{63D6B1DE-7157-45D3-B5A1-946F0DC1B1BA}" type="presOf" srcId="{198ED912-458A-424E-8DF3-F64DE4532392}" destId="{1CDA2963-E9AF-4993-AA06-9D017243BF06}" srcOrd="0" destOrd="0" presId="urn:microsoft.com/office/officeart/2005/8/layout/process2"/>
    <dgm:cxn modelId="{C5393964-CC17-4176-AE49-4BDCE8FA281C}" type="presOf" srcId="{E014FB23-4713-4BE0-B68B-047CE9586123}" destId="{3C6DB82E-45F3-4AAB-AD2F-E66723540659}" srcOrd="1" destOrd="0" presId="urn:microsoft.com/office/officeart/2005/8/layout/process2"/>
    <dgm:cxn modelId="{5F16AEF0-F52A-41F0-A4EC-CE50B2E249F3}" type="presOf" srcId="{4AEA0E18-ADBD-4418-B454-32D8FD16AEA5}" destId="{34023D20-C169-4BCE-AB7B-B380A9200415}" srcOrd="1" destOrd="0" presId="urn:microsoft.com/office/officeart/2005/8/layout/process2"/>
    <dgm:cxn modelId="{9CDC3685-F6BB-42E0-B534-1328306D03E5}" type="presOf" srcId="{BFADE863-A198-4FF1-86BC-76897921AA43}" destId="{EB2C1294-2FF7-4AEE-A3F2-7027FA997A54}" srcOrd="1" destOrd="0" presId="urn:microsoft.com/office/officeart/2005/8/layout/process2"/>
    <dgm:cxn modelId="{B908CD7D-2ED9-4D70-B542-83AD679B2A06}" type="presOf" srcId="{25353020-17FE-436E-98BF-75B7AD2E905E}" destId="{A00B7061-841D-4FC9-91DA-4FAC96C65668}" srcOrd="1" destOrd="0" presId="urn:microsoft.com/office/officeart/2005/8/layout/process2"/>
    <dgm:cxn modelId="{BDAEB16A-7205-49D9-93C8-E8837B17F9BF}" srcId="{198ED912-458A-424E-8DF3-F64DE4532392}" destId="{C5D1B8AC-1F10-43CB-BA32-43DCB88E1FDC}" srcOrd="3" destOrd="0" parTransId="{98377116-D76B-4C67-A52A-65BB962BDF0E}" sibTransId="{BFADE863-A198-4FF1-86BC-76897921AA43}"/>
    <dgm:cxn modelId="{EBC63166-7A29-4EAC-8E21-CD6FC163C592}" srcId="{198ED912-458A-424E-8DF3-F64DE4532392}" destId="{7EBFEFF8-EFDB-4C10-9B14-9F33CD123007}" srcOrd="1" destOrd="0" parTransId="{0F3848A3-472C-4315-9B05-FFEEC88A1BAE}" sibTransId="{4AEA0E18-ADBD-4418-B454-32D8FD16AEA5}"/>
    <dgm:cxn modelId="{6A2D5BCE-8C06-4D78-B100-1D7658726913}" type="presOf" srcId="{761055C7-506C-497A-8D6C-1CA044244894}" destId="{83655CCC-D582-43F4-9A51-B0D42C2C280E}" srcOrd="0" destOrd="0" presId="urn:microsoft.com/office/officeart/2005/8/layout/process2"/>
    <dgm:cxn modelId="{5FE9F4E9-8DD0-45FA-884A-05BA4751E9CD}" type="presOf" srcId="{A198C5F7-72ED-47C3-AD02-8E0AEEBD7688}" destId="{139F544A-8C0C-40AD-A810-D06C9C271253}" srcOrd="0" destOrd="0" presId="urn:microsoft.com/office/officeart/2005/8/layout/process2"/>
    <dgm:cxn modelId="{C85E7E3D-68C4-4450-9B21-840679E02824}" type="presOf" srcId="{1C5670AD-9190-42FC-A8E1-EA3F19D46831}" destId="{271EBB15-52CA-4718-9CE4-A3FF842707EF}" srcOrd="0" destOrd="0" presId="urn:microsoft.com/office/officeart/2005/8/layout/process2"/>
    <dgm:cxn modelId="{0F9279CA-5829-4949-A695-E62DC98D693A}" type="presOf" srcId="{25353020-17FE-436E-98BF-75B7AD2E905E}" destId="{4889C554-3AC5-4332-91FD-F5401C072733}" srcOrd="0" destOrd="0" presId="urn:microsoft.com/office/officeart/2005/8/layout/process2"/>
    <dgm:cxn modelId="{49B50E83-16F2-4528-98F6-6C5EA1AA6AB0}" srcId="{198ED912-458A-424E-8DF3-F64DE4532392}" destId="{A198C5F7-72ED-47C3-AD02-8E0AEEBD7688}" srcOrd="2" destOrd="0" parTransId="{268248CB-F68E-4C79-8532-59AF65540CB9}" sibTransId="{02126FDB-F0F6-4969-BC84-914B14EF3455}"/>
    <dgm:cxn modelId="{ED159117-DEFC-4EFA-A73E-E8456CD469A0}" type="presOf" srcId="{E014FB23-4713-4BE0-B68B-047CE9586123}" destId="{E4C3A0A9-67E6-4838-9B39-87AA2CAE83C2}" srcOrd="0" destOrd="0" presId="urn:microsoft.com/office/officeart/2005/8/layout/process2"/>
    <dgm:cxn modelId="{AAF4FA53-7FE4-4E0D-8BA5-5AB372C34992}" type="presOf" srcId="{BFADE863-A198-4FF1-86BC-76897921AA43}" destId="{A9C24E59-570A-4377-A0BB-8AF0F29E037A}" srcOrd="0" destOrd="0" presId="urn:microsoft.com/office/officeart/2005/8/layout/process2"/>
    <dgm:cxn modelId="{9C7EDB1F-AB55-42DA-8EBE-C85685F40713}" type="presOf" srcId="{761055C7-506C-497A-8D6C-1CA044244894}" destId="{8B148481-8B6B-4D09-B116-047B53481078}" srcOrd="1" destOrd="0" presId="urn:microsoft.com/office/officeart/2005/8/layout/process2"/>
    <dgm:cxn modelId="{2C25F000-EB0B-4A38-92F6-A1ECB737E403}" type="presOf" srcId="{C5D1B8AC-1F10-43CB-BA32-43DCB88E1FDC}" destId="{45439CA9-411B-41E6-BA08-0BCAC8D931B5}" srcOrd="0" destOrd="0" presId="urn:microsoft.com/office/officeart/2005/8/layout/process2"/>
    <dgm:cxn modelId="{D8FCF6CD-1E21-4B09-93E9-E5B330304BF0}" type="presOf" srcId="{02126FDB-F0F6-4969-BC84-914B14EF3455}" destId="{4F95A644-349A-47B2-9F4E-B8887767334A}" srcOrd="0" destOrd="0" presId="urn:microsoft.com/office/officeart/2005/8/layout/process2"/>
    <dgm:cxn modelId="{AEC18C06-5379-4DED-B687-A6AAEA31E308}" type="presParOf" srcId="{1CDA2963-E9AF-4993-AA06-9D017243BF06}" destId="{A01D30C7-7BD6-43F1-91E9-442072246538}" srcOrd="0" destOrd="0" presId="urn:microsoft.com/office/officeart/2005/8/layout/process2"/>
    <dgm:cxn modelId="{59CABF14-3030-46F3-B6B7-E794EB99F334}" type="presParOf" srcId="{1CDA2963-E9AF-4993-AA06-9D017243BF06}" destId="{4889C554-3AC5-4332-91FD-F5401C072733}" srcOrd="1" destOrd="0" presId="urn:microsoft.com/office/officeart/2005/8/layout/process2"/>
    <dgm:cxn modelId="{4210C811-092C-4D88-BD07-566622608B46}" type="presParOf" srcId="{4889C554-3AC5-4332-91FD-F5401C072733}" destId="{A00B7061-841D-4FC9-91DA-4FAC96C65668}" srcOrd="0" destOrd="0" presId="urn:microsoft.com/office/officeart/2005/8/layout/process2"/>
    <dgm:cxn modelId="{06560D3C-E501-47C2-B508-58925BB41366}" type="presParOf" srcId="{1CDA2963-E9AF-4993-AA06-9D017243BF06}" destId="{C2ECD743-92AD-482C-8204-40FD2718680B}" srcOrd="2" destOrd="0" presId="urn:microsoft.com/office/officeart/2005/8/layout/process2"/>
    <dgm:cxn modelId="{44FAC580-F7C9-4CAE-9FA4-B14CADF0A146}" type="presParOf" srcId="{1CDA2963-E9AF-4993-AA06-9D017243BF06}" destId="{A598CE77-63C3-49AC-81F5-146FB835FEFF}" srcOrd="3" destOrd="0" presId="urn:microsoft.com/office/officeart/2005/8/layout/process2"/>
    <dgm:cxn modelId="{08D9F7DE-04F5-4E77-95C7-6419408A17AC}" type="presParOf" srcId="{A598CE77-63C3-49AC-81F5-146FB835FEFF}" destId="{34023D20-C169-4BCE-AB7B-B380A9200415}" srcOrd="0" destOrd="0" presId="urn:microsoft.com/office/officeart/2005/8/layout/process2"/>
    <dgm:cxn modelId="{4B78294A-0DAE-4E78-89D8-FD1EABD79E4D}" type="presParOf" srcId="{1CDA2963-E9AF-4993-AA06-9D017243BF06}" destId="{139F544A-8C0C-40AD-A810-D06C9C271253}" srcOrd="4" destOrd="0" presId="urn:microsoft.com/office/officeart/2005/8/layout/process2"/>
    <dgm:cxn modelId="{1BB04165-370D-4972-A86D-79CA3CA745D9}" type="presParOf" srcId="{1CDA2963-E9AF-4993-AA06-9D017243BF06}" destId="{4F95A644-349A-47B2-9F4E-B8887767334A}" srcOrd="5" destOrd="0" presId="urn:microsoft.com/office/officeart/2005/8/layout/process2"/>
    <dgm:cxn modelId="{013FC6CF-CF5C-439F-B7C5-524DC3A84C28}" type="presParOf" srcId="{4F95A644-349A-47B2-9F4E-B8887767334A}" destId="{D424798D-D4B5-40DE-BF28-BFDB0D501002}" srcOrd="0" destOrd="0" presId="urn:microsoft.com/office/officeart/2005/8/layout/process2"/>
    <dgm:cxn modelId="{190E1BDD-FC26-4506-A08E-396825653643}" type="presParOf" srcId="{1CDA2963-E9AF-4993-AA06-9D017243BF06}" destId="{45439CA9-411B-41E6-BA08-0BCAC8D931B5}" srcOrd="6" destOrd="0" presId="urn:microsoft.com/office/officeart/2005/8/layout/process2"/>
    <dgm:cxn modelId="{408D0966-5531-418B-98B3-D887608AFD87}" type="presParOf" srcId="{1CDA2963-E9AF-4993-AA06-9D017243BF06}" destId="{A9C24E59-570A-4377-A0BB-8AF0F29E037A}" srcOrd="7" destOrd="0" presId="urn:microsoft.com/office/officeart/2005/8/layout/process2"/>
    <dgm:cxn modelId="{38EA10C5-C929-4706-B2DE-A3417886CD68}" type="presParOf" srcId="{A9C24E59-570A-4377-A0BB-8AF0F29E037A}" destId="{EB2C1294-2FF7-4AEE-A3F2-7027FA997A54}" srcOrd="0" destOrd="0" presId="urn:microsoft.com/office/officeart/2005/8/layout/process2"/>
    <dgm:cxn modelId="{42B5D6C1-C203-4C30-A3EF-2C30CE458A0E}" type="presParOf" srcId="{1CDA2963-E9AF-4993-AA06-9D017243BF06}" destId="{6B7CE5EE-1D69-4B12-8410-2279B0406428}" srcOrd="8" destOrd="0" presId="urn:microsoft.com/office/officeart/2005/8/layout/process2"/>
    <dgm:cxn modelId="{20B55C96-5B2F-4A4E-AA53-6A047322820D}" type="presParOf" srcId="{1CDA2963-E9AF-4993-AA06-9D017243BF06}" destId="{E4C3A0A9-67E6-4838-9B39-87AA2CAE83C2}" srcOrd="9" destOrd="0" presId="urn:microsoft.com/office/officeart/2005/8/layout/process2"/>
    <dgm:cxn modelId="{C231FEA8-4966-4C0E-B3F2-4BCBB5A85E2D}" type="presParOf" srcId="{E4C3A0A9-67E6-4838-9B39-87AA2CAE83C2}" destId="{3C6DB82E-45F3-4AAB-AD2F-E66723540659}" srcOrd="0" destOrd="0" presId="urn:microsoft.com/office/officeart/2005/8/layout/process2"/>
    <dgm:cxn modelId="{1F4D2D7F-9FB7-4604-9279-C6FCCA08AB37}" type="presParOf" srcId="{1CDA2963-E9AF-4993-AA06-9D017243BF06}" destId="{49F1E3D3-C19C-43F4-8B37-4A077D9E6F9A}" srcOrd="10" destOrd="0" presId="urn:microsoft.com/office/officeart/2005/8/layout/process2"/>
    <dgm:cxn modelId="{8D0FE755-3E23-44FC-9FD2-4E2D676A3D51}" type="presParOf" srcId="{1CDA2963-E9AF-4993-AA06-9D017243BF06}" destId="{83655CCC-D582-43F4-9A51-B0D42C2C280E}" srcOrd="11" destOrd="0" presId="urn:microsoft.com/office/officeart/2005/8/layout/process2"/>
    <dgm:cxn modelId="{F635466E-2096-4681-8ECC-4E8617B4F1ED}" type="presParOf" srcId="{83655CCC-D582-43F4-9A51-B0D42C2C280E}" destId="{8B148481-8B6B-4D09-B116-047B53481078}" srcOrd="0" destOrd="0" presId="urn:microsoft.com/office/officeart/2005/8/layout/process2"/>
    <dgm:cxn modelId="{96CA13B8-45EB-4C93-B9F5-38CECDA8C849}" type="presParOf" srcId="{1CDA2963-E9AF-4993-AA06-9D017243BF06}" destId="{271EBB15-52CA-4718-9CE4-A3FF842707EF}" srcOrd="12"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9F544A-8C0C-40AD-A810-D06C9C271253}">
      <dsp:nvSpPr>
        <dsp:cNvPr id="0" name=""/>
        <dsp:cNvSpPr/>
      </dsp:nvSpPr>
      <dsp:spPr>
        <a:xfrm>
          <a:off x="0" y="428"/>
          <a:ext cx="722811" cy="501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Stakeholder engagement</a:t>
          </a:r>
        </a:p>
      </dsp:txBody>
      <dsp:txXfrm>
        <a:off x="14681" y="15109"/>
        <a:ext cx="693449" cy="471880"/>
      </dsp:txXfrm>
    </dsp:sp>
    <dsp:sp modelId="{4F95A644-349A-47B2-9F4E-B8887767334A}">
      <dsp:nvSpPr>
        <dsp:cNvPr id="0" name=""/>
        <dsp:cNvSpPr/>
      </dsp:nvSpPr>
      <dsp:spPr>
        <a:xfrm rot="5400000">
          <a:off x="271266" y="536842"/>
          <a:ext cx="180278" cy="180278"/>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5400000">
        <a:off x="307322" y="536843"/>
        <a:ext cx="108166" cy="126195"/>
      </dsp:txXfrm>
    </dsp:sp>
    <dsp:sp modelId="{45439CA9-411B-41E6-BA08-0BCAC8D931B5}">
      <dsp:nvSpPr>
        <dsp:cNvPr id="0" name=""/>
        <dsp:cNvSpPr/>
      </dsp:nvSpPr>
      <dsp:spPr>
        <a:xfrm>
          <a:off x="0" y="752292"/>
          <a:ext cx="722811" cy="501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Policy advice</a:t>
          </a:r>
        </a:p>
      </dsp:txBody>
      <dsp:txXfrm>
        <a:off x="14681" y="766973"/>
        <a:ext cx="693449" cy="471880"/>
      </dsp:txXfrm>
    </dsp:sp>
    <dsp:sp modelId="{A9C24E59-570A-4377-A0BB-8AF0F29E037A}">
      <dsp:nvSpPr>
        <dsp:cNvPr id="0" name=""/>
        <dsp:cNvSpPr/>
      </dsp:nvSpPr>
      <dsp:spPr>
        <a:xfrm rot="5400000">
          <a:off x="271266" y="1288706"/>
          <a:ext cx="180278" cy="180278"/>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5400000">
        <a:off x="307322" y="1288707"/>
        <a:ext cx="108166" cy="126195"/>
      </dsp:txXfrm>
    </dsp:sp>
    <dsp:sp modelId="{6B7CE5EE-1D69-4B12-8410-2279B0406428}">
      <dsp:nvSpPr>
        <dsp:cNvPr id="0" name=""/>
        <dsp:cNvSpPr/>
      </dsp:nvSpPr>
      <dsp:spPr>
        <a:xfrm>
          <a:off x="0" y="1504155"/>
          <a:ext cx="722811" cy="501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Guidance</a:t>
          </a:r>
        </a:p>
      </dsp:txBody>
      <dsp:txXfrm>
        <a:off x="14681" y="1518836"/>
        <a:ext cx="693449" cy="471880"/>
      </dsp:txXfrm>
    </dsp:sp>
    <dsp:sp modelId="{E4C3A0A9-67E6-4838-9B39-87AA2CAE83C2}">
      <dsp:nvSpPr>
        <dsp:cNvPr id="0" name=""/>
        <dsp:cNvSpPr/>
      </dsp:nvSpPr>
      <dsp:spPr>
        <a:xfrm rot="5400000">
          <a:off x="271266" y="2040569"/>
          <a:ext cx="180278" cy="180278"/>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5400000">
        <a:off x="307322" y="2040570"/>
        <a:ext cx="108166" cy="126195"/>
      </dsp:txXfrm>
    </dsp:sp>
    <dsp:sp modelId="{49F1E3D3-C19C-43F4-8B37-4A077D9E6F9A}">
      <dsp:nvSpPr>
        <dsp:cNvPr id="0" name=""/>
        <dsp:cNvSpPr/>
      </dsp:nvSpPr>
      <dsp:spPr>
        <a:xfrm>
          <a:off x="0" y="2256019"/>
          <a:ext cx="722811" cy="501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Education</a:t>
          </a:r>
        </a:p>
      </dsp:txBody>
      <dsp:txXfrm>
        <a:off x="14681" y="2270700"/>
        <a:ext cx="693449" cy="471880"/>
      </dsp:txXfrm>
    </dsp:sp>
    <dsp:sp modelId="{83655CCC-D582-43F4-9A51-B0D42C2C280E}">
      <dsp:nvSpPr>
        <dsp:cNvPr id="0" name=""/>
        <dsp:cNvSpPr/>
      </dsp:nvSpPr>
      <dsp:spPr>
        <a:xfrm rot="5400000">
          <a:off x="271266" y="2792433"/>
          <a:ext cx="180278" cy="180278"/>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5400000">
        <a:off x="307322" y="2792434"/>
        <a:ext cx="108166" cy="126195"/>
      </dsp:txXfrm>
    </dsp:sp>
    <dsp:sp modelId="{0E11E2CA-904F-4503-9FD6-CD229DE56997}">
      <dsp:nvSpPr>
        <dsp:cNvPr id="0" name=""/>
        <dsp:cNvSpPr/>
      </dsp:nvSpPr>
      <dsp:spPr>
        <a:xfrm>
          <a:off x="0" y="3007883"/>
          <a:ext cx="722811" cy="501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Capital allowance*</a:t>
          </a:r>
        </a:p>
      </dsp:txBody>
      <dsp:txXfrm>
        <a:off x="14681" y="3022564"/>
        <a:ext cx="693449" cy="4718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D30C7-7BD6-43F1-91E9-442072246538}">
      <dsp:nvSpPr>
        <dsp:cNvPr id="0" name=""/>
        <dsp:cNvSpPr/>
      </dsp:nvSpPr>
      <dsp:spPr>
        <a:xfrm>
          <a:off x="0" y="2794"/>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Enforcement</a:t>
          </a:r>
        </a:p>
      </dsp:txBody>
      <dsp:txXfrm>
        <a:off x="13398" y="16192"/>
        <a:ext cx="743224" cy="430647"/>
      </dsp:txXfrm>
    </dsp:sp>
    <dsp:sp modelId="{4889C554-3AC5-4332-91FD-F5401C072733}">
      <dsp:nvSpPr>
        <dsp:cNvPr id="0" name=""/>
        <dsp:cNvSpPr/>
      </dsp:nvSpPr>
      <dsp:spPr>
        <a:xfrm rot="5400000">
          <a:off x="313010" y="502598"/>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502598"/>
        <a:ext cx="86399" cy="100800"/>
      </dsp:txXfrm>
    </dsp:sp>
    <dsp:sp modelId="{C2ECD743-92AD-482C-8204-40FD2718680B}">
      <dsp:nvSpPr>
        <dsp:cNvPr id="0" name=""/>
        <dsp:cNvSpPr/>
      </dsp:nvSpPr>
      <dsp:spPr>
        <a:xfrm>
          <a:off x="0" y="688959"/>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Surveillance </a:t>
          </a:r>
        </a:p>
      </dsp:txBody>
      <dsp:txXfrm>
        <a:off x="13398" y="702357"/>
        <a:ext cx="743224" cy="430647"/>
      </dsp:txXfrm>
    </dsp:sp>
    <dsp:sp modelId="{A598CE77-63C3-49AC-81F5-146FB835FEFF}">
      <dsp:nvSpPr>
        <dsp:cNvPr id="0" name=""/>
        <dsp:cNvSpPr/>
      </dsp:nvSpPr>
      <dsp:spPr>
        <a:xfrm rot="5400000">
          <a:off x="313010" y="1188763"/>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1188763"/>
        <a:ext cx="86399" cy="100800"/>
      </dsp:txXfrm>
    </dsp:sp>
    <dsp:sp modelId="{139F544A-8C0C-40AD-A810-D06C9C271253}">
      <dsp:nvSpPr>
        <dsp:cNvPr id="0" name=""/>
        <dsp:cNvSpPr/>
      </dsp:nvSpPr>
      <dsp:spPr>
        <a:xfrm>
          <a:off x="0" y="1375124"/>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Stakeholder Engagement</a:t>
          </a:r>
        </a:p>
      </dsp:txBody>
      <dsp:txXfrm>
        <a:off x="13398" y="1388522"/>
        <a:ext cx="743224" cy="430647"/>
      </dsp:txXfrm>
    </dsp:sp>
    <dsp:sp modelId="{4F95A644-349A-47B2-9F4E-B8887767334A}">
      <dsp:nvSpPr>
        <dsp:cNvPr id="0" name=""/>
        <dsp:cNvSpPr/>
      </dsp:nvSpPr>
      <dsp:spPr>
        <a:xfrm rot="5400000">
          <a:off x="313010" y="1874928"/>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1874928"/>
        <a:ext cx="86399" cy="100800"/>
      </dsp:txXfrm>
    </dsp:sp>
    <dsp:sp modelId="{45439CA9-411B-41E6-BA08-0BCAC8D931B5}">
      <dsp:nvSpPr>
        <dsp:cNvPr id="0" name=""/>
        <dsp:cNvSpPr/>
      </dsp:nvSpPr>
      <dsp:spPr>
        <a:xfrm>
          <a:off x="0" y="2061288"/>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Policy Advice</a:t>
          </a:r>
        </a:p>
      </dsp:txBody>
      <dsp:txXfrm>
        <a:off x="13398" y="2074686"/>
        <a:ext cx="743224" cy="430647"/>
      </dsp:txXfrm>
    </dsp:sp>
    <dsp:sp modelId="{A9C24E59-570A-4377-A0BB-8AF0F29E037A}">
      <dsp:nvSpPr>
        <dsp:cNvPr id="0" name=""/>
        <dsp:cNvSpPr/>
      </dsp:nvSpPr>
      <dsp:spPr>
        <a:xfrm rot="5400000">
          <a:off x="313010" y="2561092"/>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2561092"/>
        <a:ext cx="86399" cy="100800"/>
      </dsp:txXfrm>
    </dsp:sp>
    <dsp:sp modelId="{6B7CE5EE-1D69-4B12-8410-2279B0406428}">
      <dsp:nvSpPr>
        <dsp:cNvPr id="0" name=""/>
        <dsp:cNvSpPr/>
      </dsp:nvSpPr>
      <dsp:spPr>
        <a:xfrm>
          <a:off x="0" y="2747453"/>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Guidance</a:t>
          </a:r>
        </a:p>
      </dsp:txBody>
      <dsp:txXfrm>
        <a:off x="13398" y="2760851"/>
        <a:ext cx="743224" cy="430647"/>
      </dsp:txXfrm>
    </dsp:sp>
    <dsp:sp modelId="{E4C3A0A9-67E6-4838-9B39-87AA2CAE83C2}">
      <dsp:nvSpPr>
        <dsp:cNvPr id="0" name=""/>
        <dsp:cNvSpPr/>
      </dsp:nvSpPr>
      <dsp:spPr>
        <a:xfrm rot="5400000">
          <a:off x="313010" y="3247257"/>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3247257"/>
        <a:ext cx="86399" cy="100800"/>
      </dsp:txXfrm>
    </dsp:sp>
    <dsp:sp modelId="{49F1E3D3-C19C-43F4-8B37-4A077D9E6F9A}">
      <dsp:nvSpPr>
        <dsp:cNvPr id="0" name=""/>
        <dsp:cNvSpPr/>
      </dsp:nvSpPr>
      <dsp:spPr>
        <a:xfrm>
          <a:off x="0" y="3433618"/>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Effort of Education</a:t>
          </a:r>
        </a:p>
      </dsp:txBody>
      <dsp:txXfrm>
        <a:off x="13398" y="3447016"/>
        <a:ext cx="743224" cy="430647"/>
      </dsp:txXfrm>
    </dsp:sp>
    <dsp:sp modelId="{83655CCC-D582-43F4-9A51-B0D42C2C280E}">
      <dsp:nvSpPr>
        <dsp:cNvPr id="0" name=""/>
        <dsp:cNvSpPr/>
      </dsp:nvSpPr>
      <dsp:spPr>
        <a:xfrm rot="5400000">
          <a:off x="313010" y="3933422"/>
          <a:ext cx="144000" cy="143999"/>
        </a:xfrm>
        <a:prstGeom prst="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5400000">
        <a:off x="341810" y="3933422"/>
        <a:ext cx="86399" cy="100800"/>
      </dsp:txXfrm>
    </dsp:sp>
    <dsp:sp modelId="{271EBB15-52CA-4718-9CE4-A3FF842707EF}">
      <dsp:nvSpPr>
        <dsp:cNvPr id="0" name=""/>
        <dsp:cNvSpPr/>
      </dsp:nvSpPr>
      <dsp:spPr>
        <a:xfrm>
          <a:off x="0" y="4119782"/>
          <a:ext cx="770020" cy="457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Capital allowance</a:t>
          </a:r>
        </a:p>
      </dsp:txBody>
      <dsp:txXfrm>
        <a:off x="13398" y="4133180"/>
        <a:ext cx="743224" cy="4306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0.38861</cdr:x>
      <cdr:y>0.04307</cdr:y>
    </cdr:from>
    <cdr:to>
      <cdr:x>0.41507</cdr:x>
      <cdr:y>0.58556</cdr:y>
    </cdr:to>
    <cdr:sp macro="" textlink="">
      <cdr:nvSpPr>
        <cdr:cNvPr id="2" name="Right Brace 1"/>
        <cdr:cNvSpPr/>
      </cdr:nvSpPr>
      <cdr:spPr>
        <a:xfrm xmlns:a="http://schemas.openxmlformats.org/drawingml/2006/main">
          <a:off x="2238375" y="176214"/>
          <a:ext cx="152400" cy="2219325"/>
        </a:xfrm>
        <a:prstGeom xmlns:a="http://schemas.openxmlformats.org/drawingml/2006/main" prst="rightBrace">
          <a:avLst/>
        </a:prstGeom>
        <a:ln xmlns:a="http://schemas.openxmlformats.org/drawingml/2006/main">
          <a:solidFill>
            <a:srgbClr val="999999"/>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0.41507</cdr:x>
      <cdr:y>0.28987</cdr:y>
    </cdr:from>
    <cdr:to>
      <cdr:x>0.57382</cdr:x>
      <cdr:y>0.34808</cdr:y>
    </cdr:to>
    <cdr:sp macro="" textlink="">
      <cdr:nvSpPr>
        <cdr:cNvPr id="3" name="TextBox 2"/>
        <cdr:cNvSpPr txBox="1"/>
      </cdr:nvSpPr>
      <cdr:spPr>
        <a:xfrm xmlns:a="http://schemas.openxmlformats.org/drawingml/2006/main">
          <a:off x="2390775" y="1185864"/>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7%</a:t>
          </a:r>
        </a:p>
      </cdr:txBody>
    </cdr:sp>
  </cdr:relSizeAnchor>
</c:userShapes>
</file>

<file path=word/drawings/drawing2.xml><?xml version="1.0" encoding="utf-8"?>
<c:userShapes xmlns:c="http://schemas.openxmlformats.org/drawingml/2006/chart">
  <cdr:relSizeAnchor xmlns:cdr="http://schemas.openxmlformats.org/drawingml/2006/chartDrawing">
    <cdr:from>
      <cdr:x>0.81249</cdr:x>
      <cdr:y>0.77843</cdr:y>
    </cdr:from>
    <cdr:to>
      <cdr:x>0.97124</cdr:x>
      <cdr:y>0.87311</cdr:y>
    </cdr:to>
    <cdr:sp macro="" textlink="">
      <cdr:nvSpPr>
        <cdr:cNvPr id="2" name="TextBox 1"/>
        <cdr:cNvSpPr txBox="1"/>
      </cdr:nvSpPr>
      <cdr:spPr>
        <a:xfrm xmlns:a="http://schemas.openxmlformats.org/drawingml/2006/main">
          <a:off x="4679950" y="1879600"/>
          <a:ext cx="914400" cy="2286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AU" sz="900">
              <a:solidFill>
                <a:schemeClr val="bg1"/>
              </a:solidFill>
              <a:latin typeface="Arial" panose="020B0604020202020204" pitchFamily="34" charset="0"/>
              <a:cs typeface="Arial" panose="020B0604020202020204" pitchFamily="34" charset="0"/>
            </a:rPr>
            <a:t>$22.0m, 92%</a:t>
          </a:r>
        </a:p>
      </cdr:txBody>
    </cdr:sp>
  </cdr:relSizeAnchor>
  <cdr:relSizeAnchor xmlns:cdr="http://schemas.openxmlformats.org/drawingml/2006/chartDrawing">
    <cdr:from>
      <cdr:x>0.48386</cdr:x>
      <cdr:y>0.07936</cdr:y>
    </cdr:from>
    <cdr:to>
      <cdr:x>0.51843</cdr:x>
      <cdr:y>0.68701</cdr:y>
    </cdr:to>
    <cdr:sp macro="" textlink="">
      <cdr:nvSpPr>
        <cdr:cNvPr id="3" name="Right Brace 2"/>
        <cdr:cNvSpPr/>
      </cdr:nvSpPr>
      <cdr:spPr>
        <a:xfrm xmlns:a="http://schemas.openxmlformats.org/drawingml/2006/main">
          <a:off x="2786743" y="191588"/>
          <a:ext cx="199105" cy="1467037"/>
        </a:xfrm>
        <a:prstGeom xmlns:a="http://schemas.openxmlformats.org/drawingml/2006/main" prst="rightBrace">
          <a:avLst/>
        </a:prstGeom>
        <a:ln xmlns:a="http://schemas.openxmlformats.org/drawingml/2006/main">
          <a:solidFill>
            <a:srgbClr val="999999"/>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0.52145</cdr:x>
      <cdr:y>0.33268</cdr:y>
    </cdr:from>
    <cdr:to>
      <cdr:x>0.6802</cdr:x>
      <cdr:y>0.43129</cdr:y>
    </cdr:to>
    <cdr:sp macro="" textlink="">
      <cdr:nvSpPr>
        <cdr:cNvPr id="4" name="TextBox 1"/>
        <cdr:cNvSpPr txBox="1"/>
      </cdr:nvSpPr>
      <cdr:spPr>
        <a:xfrm xmlns:a="http://schemas.openxmlformats.org/drawingml/2006/main">
          <a:off x="3003550" y="803275"/>
          <a:ext cx="914400"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eb47d8b7-fefc-4923-b53c-9685ba6b7210">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2016CSSG-1223-2144</_dlc_DocId>
    <_dlc_DocIdUrl xmlns="eb47d8b7-fefc-4923-b53c-9685ba6b7210">
      <Url>http://tweb/sites/cssg/ped/pu/pt/_layouts/15/DocIdRedir.aspx?ID=2016CSSG-1223-2144</Url>
      <Description>2016CSSG-1223-2144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311C-50F0-4454-9274-AD1C593A9B6A}">
  <ds:schemaRefs>
    <ds:schemaRef ds:uri="http://schemas.microsoft.com/sharepoint/v3/contenttype/forms"/>
  </ds:schemaRefs>
</ds:datastoreItem>
</file>

<file path=customXml/itemProps2.xml><?xml version="1.0" encoding="utf-8"?>
<ds:datastoreItem xmlns:ds="http://schemas.openxmlformats.org/officeDocument/2006/customXml" ds:itemID="{A95A41DC-DBAE-4D24-AC34-E645FC090358}">
  <ds:schemaRefs>
    <ds:schemaRef ds:uri="http://schemas.microsoft.com/sharepoint/events"/>
  </ds:schemaRefs>
</ds:datastoreItem>
</file>

<file path=customXml/itemProps3.xml><?xml version="1.0" encoding="utf-8"?>
<ds:datastoreItem xmlns:ds="http://schemas.openxmlformats.org/officeDocument/2006/customXml" ds:itemID="{C97E2813-CC1C-41CF-B7B2-FC26AD30D968}">
  <ds:schemaRefs>
    <ds:schemaRef ds:uri="http://schemas.microsoft.com/office/2006/documentManagement/types"/>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sharepoint/v4"/>
    <ds:schemaRef ds:uri="eb47d8b7-fefc-4923-b53c-9685ba6b721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034DB0C-B914-4DB8-82CC-212C8278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B1A769-53DE-42F0-AECB-FD25838F9A57}">
  <ds:schemaRefs>
    <ds:schemaRef ds:uri="office.server.policy"/>
  </ds:schemaRefs>
</ds:datastoreItem>
</file>

<file path=customXml/itemProps6.xml><?xml version="1.0" encoding="utf-8"?>
<ds:datastoreItem xmlns:ds="http://schemas.openxmlformats.org/officeDocument/2006/customXml" ds:itemID="{1104D6D7-6BF2-4295-9AC5-5C1DF26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84</Pages>
  <Words>21912</Words>
  <Characters>127941</Characters>
  <Application>Microsoft Office Word</Application>
  <DocSecurity>0</DocSecurity>
  <Lines>3877</Lines>
  <Paragraphs>2203</Paragraphs>
  <ScaleCrop>false</ScaleCrop>
  <HeadingPairs>
    <vt:vector size="2" baseType="variant">
      <vt:variant>
        <vt:lpstr>Title</vt:lpstr>
      </vt:variant>
      <vt:variant>
        <vt:i4>1</vt:i4>
      </vt:variant>
    </vt:vector>
  </HeadingPairs>
  <TitlesOfParts>
    <vt:vector size="1" baseType="lpstr">
      <vt:lpstr>Proposed Industry Funding Model for ASIC: Supporting attachment to the Government's Proposals Paper</vt:lpstr>
    </vt:vector>
  </TitlesOfParts>
  <Company/>
  <LinksUpToDate>false</LinksUpToDate>
  <CharactersWithSpaces>147650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Industry Funding Model for ASIC: Supporting attachment to the Government's Proposals Paper</dc:title>
  <dc:subject/>
  <dc:creator>Treasury</dc:creator>
  <cp:lastModifiedBy>Hill, Christine</cp:lastModifiedBy>
  <cp:revision>4</cp:revision>
  <cp:lastPrinted>2016-10-25T07:28:00Z</cp:lastPrinted>
  <dcterms:created xsi:type="dcterms:W3CDTF">2016-11-04T00:53:00Z</dcterms:created>
  <dcterms:modified xsi:type="dcterms:W3CDTF">2016-11-04T06:18:00Z</dcterms:modified>
</cp:coreProperties>
</file>