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184FC" w14:textId="69419FAE" w:rsidR="00D75494" w:rsidRDefault="00E2621C" w:rsidP="0024692E">
      <w:pPr>
        <w:pStyle w:val="Heading1"/>
      </w:pPr>
      <w:r>
        <w:t xml:space="preserve">Corporate </w:t>
      </w:r>
      <w:bookmarkStart w:id="0" w:name="_GoBack"/>
      <w:bookmarkEnd w:id="0"/>
      <w:r>
        <w:t>Collective Investment Vehicle</w:t>
      </w:r>
      <w:r w:rsidR="00D4189B">
        <w:t>s</w:t>
      </w:r>
      <w:r w:rsidR="00D75494">
        <w:br/>
      </w:r>
      <w:r w:rsidR="00D75494" w:rsidRPr="00D75494">
        <w:t xml:space="preserve">Exposure draft law and </w:t>
      </w:r>
      <w:r w:rsidR="008312D5">
        <w:t xml:space="preserve">associated </w:t>
      </w:r>
      <w:r w:rsidR="00D75494" w:rsidRPr="00D75494">
        <w:t>explanatory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E6FF" w:themeFill="accent1" w:themeFillTint="33"/>
        <w:tblCellMar>
          <w:top w:w="113" w:type="dxa"/>
          <w:bottom w:w="113" w:type="dxa"/>
        </w:tblCellMar>
        <w:tblLook w:val="04A0" w:firstRow="1" w:lastRow="0" w:firstColumn="1" w:lastColumn="0" w:noHBand="0" w:noVBand="1"/>
      </w:tblPr>
      <w:tblGrid>
        <w:gridCol w:w="9751"/>
      </w:tblGrid>
      <w:tr w:rsidR="00D75494" w:rsidRPr="00D75494" w14:paraId="2C95D407" w14:textId="77777777" w:rsidTr="00257032">
        <w:tc>
          <w:tcPr>
            <w:tcW w:w="9751" w:type="dxa"/>
            <w:shd w:val="clear" w:color="auto" w:fill="BEE6FF" w:themeFill="accent1" w:themeFillTint="33"/>
            <w:tcMar>
              <w:top w:w="113" w:type="dxa"/>
              <w:bottom w:w="113" w:type="dxa"/>
            </w:tcMar>
          </w:tcPr>
          <w:p w14:paraId="07776F86" w14:textId="1A6E1FDD" w:rsidR="00D75494" w:rsidRPr="00D75494" w:rsidRDefault="00D75494" w:rsidP="00C831C8">
            <w:pPr>
              <w:pStyle w:val="Boldintroductiontext"/>
            </w:pPr>
            <w:r w:rsidRPr="00D75494">
              <w:t>To assist in identifying relevant issues</w:t>
            </w:r>
            <w:r w:rsidR="00BB18C3">
              <w:t>,</w:t>
            </w:r>
            <w:r w:rsidRPr="00D75494">
              <w:t xml:space="preserve"> this table sets out the key elements of the</w:t>
            </w:r>
            <w:r>
              <w:t xml:space="preserve"> </w:t>
            </w:r>
            <w:r w:rsidR="00D4189B">
              <w:t>corporate collective investment vehicle (</w:t>
            </w:r>
            <w:r w:rsidR="00E2621C">
              <w:t>CCIV</w:t>
            </w:r>
            <w:r w:rsidR="00D4189B">
              <w:t>)</w:t>
            </w:r>
            <w:r w:rsidR="00E2621C" w:rsidRPr="00E2621C">
              <w:t xml:space="preserve"> regime </w:t>
            </w:r>
            <w:r w:rsidRPr="00D75494">
              <w:t xml:space="preserve">and shows the relevant sections and references. </w:t>
            </w:r>
          </w:p>
          <w:p w14:paraId="0BFE0F18" w14:textId="10DEB97B" w:rsidR="00D75494" w:rsidRPr="00D75494" w:rsidRDefault="00BB18C3" w:rsidP="001F1307">
            <w:pPr>
              <w:pStyle w:val="Boldintroductiontext"/>
            </w:pPr>
            <w:r>
              <w:t>This exposure draft does not include draft provisions relating to external administration, takeovers, compulsory buy-outs and acquisitions, disclosure, financial services and licencing or the penalty framework for CCIVs.</w:t>
            </w:r>
            <w:r w:rsidR="00747ADD">
              <w:t xml:space="preserve"> </w:t>
            </w:r>
            <w:r>
              <w:t xml:space="preserve">These draft provisions will be </w:t>
            </w:r>
            <w:r w:rsidR="00AF197D">
              <w:t xml:space="preserve">exposed for public consultation as part of a second tranche of </w:t>
            </w:r>
            <w:r w:rsidR="001F1307">
              <w:t xml:space="preserve">draft </w:t>
            </w:r>
            <w:r w:rsidR="00AF197D">
              <w:t>legislation</w:t>
            </w:r>
            <w:r>
              <w:t>.</w:t>
            </w:r>
          </w:p>
        </w:tc>
      </w:tr>
    </w:tbl>
    <w:p w14:paraId="0AF3CEE3" w14:textId="77777777" w:rsidR="00D75494" w:rsidRDefault="00D75494" w:rsidP="00D75494"/>
    <w:tbl>
      <w:tblPr>
        <w:tblStyle w:val="TableGrid"/>
        <w:tblW w:w="9750" w:type="dxa"/>
        <w:tblBorders>
          <w:top w:val="single" w:sz="8" w:space="0" w:color="00ABBD" w:themeColor="accent6"/>
          <w:left w:val="single" w:sz="8" w:space="0" w:color="00ABBD" w:themeColor="accent6"/>
          <w:bottom w:val="single" w:sz="8" w:space="0" w:color="00ABBD" w:themeColor="accent6"/>
          <w:right w:val="single" w:sz="8" w:space="0" w:color="00ABBD" w:themeColor="accent6"/>
          <w:insideH w:val="single" w:sz="8" w:space="0" w:color="00ABBD" w:themeColor="accent6"/>
          <w:insideV w:val="single" w:sz="8" w:space="0" w:color="00ABBD" w:themeColor="accent6"/>
        </w:tblBorders>
        <w:tblLayout w:type="fixed"/>
        <w:tblLook w:val="04A0" w:firstRow="1" w:lastRow="0" w:firstColumn="1" w:lastColumn="0" w:noHBand="0" w:noVBand="1"/>
      </w:tblPr>
      <w:tblGrid>
        <w:gridCol w:w="3510"/>
        <w:gridCol w:w="1134"/>
        <w:gridCol w:w="5106"/>
      </w:tblGrid>
      <w:tr w:rsidR="00FC5CFB" w:rsidRPr="00FC5CFB" w14:paraId="616F5648" w14:textId="77777777" w:rsidTr="00A26D20">
        <w:trPr>
          <w:cantSplit/>
          <w:trHeight w:val="340"/>
          <w:tblHeader/>
        </w:trPr>
        <w:tc>
          <w:tcPr>
            <w:tcW w:w="3510" w:type="dxa"/>
            <w:shd w:val="clear" w:color="auto" w:fill="00ABBD" w:themeFill="accent6"/>
            <w:vAlign w:val="center"/>
          </w:tcPr>
          <w:p w14:paraId="465492BC" w14:textId="77777777" w:rsidR="00FC5CFB" w:rsidRPr="00FC5CFB" w:rsidRDefault="00FC5CFB" w:rsidP="00B6678C">
            <w:pPr>
              <w:rPr>
                <w:b/>
                <w:color w:val="FFFFFF" w:themeColor="background1"/>
              </w:rPr>
            </w:pPr>
            <w:r w:rsidRPr="00FC5CFB">
              <w:rPr>
                <w:b/>
                <w:color w:val="FFFFFF" w:themeColor="background1"/>
              </w:rPr>
              <w:t>Issue</w:t>
            </w:r>
          </w:p>
        </w:tc>
        <w:tc>
          <w:tcPr>
            <w:tcW w:w="1134" w:type="dxa"/>
            <w:shd w:val="clear" w:color="auto" w:fill="00ABBD" w:themeFill="accent6"/>
            <w:vAlign w:val="center"/>
          </w:tcPr>
          <w:p w14:paraId="358E1FF2" w14:textId="77777777" w:rsidR="00FC5CFB" w:rsidRPr="00FC5CFB" w:rsidRDefault="00FC5CFB" w:rsidP="00B6678C">
            <w:pPr>
              <w:rPr>
                <w:b/>
                <w:color w:val="FFFFFF" w:themeColor="background1"/>
              </w:rPr>
            </w:pPr>
            <w:r w:rsidRPr="00FC5CFB">
              <w:rPr>
                <w:b/>
                <w:color w:val="FFFFFF" w:themeColor="background1"/>
              </w:rPr>
              <w:t>Bill ref.</w:t>
            </w:r>
          </w:p>
        </w:tc>
        <w:tc>
          <w:tcPr>
            <w:tcW w:w="5106" w:type="dxa"/>
            <w:shd w:val="clear" w:color="auto" w:fill="00ABBD" w:themeFill="accent6"/>
            <w:vAlign w:val="center"/>
          </w:tcPr>
          <w:p w14:paraId="286C651A" w14:textId="77777777" w:rsidR="00FC5CFB" w:rsidRPr="00FC5CFB" w:rsidRDefault="00FC5CFB" w:rsidP="00B6678C">
            <w:pPr>
              <w:rPr>
                <w:b/>
                <w:color w:val="FFFFFF" w:themeColor="background1"/>
              </w:rPr>
            </w:pPr>
            <w:r w:rsidRPr="00FC5CFB">
              <w:rPr>
                <w:b/>
                <w:color w:val="FFFFFF" w:themeColor="background1"/>
              </w:rPr>
              <w:t>Brief explanation</w:t>
            </w:r>
          </w:p>
        </w:tc>
      </w:tr>
      <w:tr w:rsidR="006C5237" w14:paraId="0C186C42" w14:textId="77777777" w:rsidTr="00DA7713">
        <w:trPr>
          <w:cantSplit/>
        </w:trPr>
        <w:tc>
          <w:tcPr>
            <w:tcW w:w="4644" w:type="dxa"/>
            <w:gridSpan w:val="2"/>
          </w:tcPr>
          <w:p w14:paraId="563F1321" w14:textId="08D8F18C" w:rsidR="006C5237" w:rsidRPr="006C5237" w:rsidRDefault="006C5237" w:rsidP="00B6678C">
            <w:pPr>
              <w:rPr>
                <w:b/>
              </w:rPr>
            </w:pPr>
            <w:r w:rsidRPr="006C5237">
              <w:rPr>
                <w:b/>
              </w:rPr>
              <w:t>What is a corporate collective investment vehicle (CCIV)?</w:t>
            </w:r>
          </w:p>
        </w:tc>
        <w:tc>
          <w:tcPr>
            <w:tcW w:w="5106" w:type="dxa"/>
            <w:vMerge w:val="restart"/>
          </w:tcPr>
          <w:p w14:paraId="4AD3675D" w14:textId="77777777" w:rsidR="006C5237" w:rsidRDefault="006C5237" w:rsidP="00313C66">
            <w:r>
              <w:t xml:space="preserve">A CCIV is a new type of company that is limited by shares and has as its director a public company with an </w:t>
            </w:r>
            <w:r w:rsidRPr="003C69FC">
              <w:t>AFSL</w:t>
            </w:r>
            <w:r>
              <w:t xml:space="preserve"> authorising it to operate the business and conduct the affairs of the CCIV (the corporate director).</w:t>
            </w:r>
          </w:p>
          <w:p w14:paraId="044BA6C6" w14:textId="4F01544E" w:rsidR="006C5237" w:rsidRDefault="006C5237" w:rsidP="00313C66">
            <w:r>
              <w:t>A CCIV must have at least one sub-fund. The CCIV, and each sub-fund of the CCIV, must have at least one member.</w:t>
            </w:r>
          </w:p>
          <w:p w14:paraId="381605B9" w14:textId="4A4CC145" w:rsidR="006C5237" w:rsidRDefault="006C5237" w:rsidP="00313C66">
            <w:r>
              <w:t>A CCIV may either be retail or wholesale, with retail CCIVs subject to a comprehensive regulatory framework that encompasses protections that are necessary for retail investors.</w:t>
            </w:r>
            <w:r w:rsidR="00747ADD">
              <w:t xml:space="preserve"> </w:t>
            </w:r>
          </w:p>
          <w:p w14:paraId="3E1EC6F3" w14:textId="2CD60145" w:rsidR="006C5237" w:rsidRDefault="006C5237" w:rsidP="00313C66">
            <w:r>
              <w:t xml:space="preserve">A CCIV will be wholesale unless an offer for securities in the CCIV to a client required giving the client a PDS under Division 2 of Part 7.9 of the Corporations Act. </w:t>
            </w:r>
          </w:p>
          <w:p w14:paraId="59C61FB6" w14:textId="661770F3" w:rsidR="006C5237" w:rsidRDefault="006C5237" w:rsidP="00B6678C">
            <w:r>
              <w:t>All CCIVs must have a constitution.</w:t>
            </w:r>
            <w:r w:rsidR="00747ADD">
              <w:t xml:space="preserve"> </w:t>
            </w:r>
            <w:r>
              <w:t xml:space="preserve">The constitution of </w:t>
            </w:r>
            <w:r w:rsidRPr="00F611B9">
              <w:t>a CCIV is enforceable as a statutory contract between the following parties: the CCIV, the corporate director, and each member</w:t>
            </w:r>
            <w:r>
              <w:t>.</w:t>
            </w:r>
            <w:r w:rsidR="00747ADD">
              <w:t xml:space="preserve"> </w:t>
            </w:r>
            <w:r>
              <w:t>The constitution of a retail CCIV must make adequate provision for certain matters (such as rights of the corporate director to be paid fees and indemnities in relation to the performance of its duties).</w:t>
            </w:r>
          </w:p>
          <w:p w14:paraId="4CCDBEAA" w14:textId="2458279F" w:rsidR="006C5237" w:rsidRDefault="006C5237" w:rsidP="008312D5">
            <w:r>
              <w:t xml:space="preserve">Refer to Chapter 2 of the explanatory materials for further information. </w:t>
            </w:r>
          </w:p>
        </w:tc>
      </w:tr>
      <w:tr w:rsidR="00AA1EA0" w14:paraId="16537E7E" w14:textId="77777777" w:rsidTr="00A26D20">
        <w:trPr>
          <w:cantSplit/>
        </w:trPr>
        <w:tc>
          <w:tcPr>
            <w:tcW w:w="3510" w:type="dxa"/>
          </w:tcPr>
          <w:p w14:paraId="1FFDD40E" w14:textId="51492341" w:rsidR="00AA1EA0" w:rsidRDefault="005842E5" w:rsidP="00333C08">
            <w:pPr>
              <w:pStyle w:val="Tabletextindent"/>
            </w:pPr>
            <w:r>
              <w:t xml:space="preserve">A </w:t>
            </w:r>
            <w:r w:rsidR="00AA1EA0">
              <w:t xml:space="preserve">CCIV as a </w:t>
            </w:r>
            <w:r w:rsidR="00AA1EA0" w:rsidRPr="00333C08">
              <w:t>new</w:t>
            </w:r>
            <w:r w:rsidR="00AA1EA0">
              <w:t xml:space="preserve"> type of company</w:t>
            </w:r>
            <w:r>
              <w:t xml:space="preserve"> that is limited by shares</w:t>
            </w:r>
          </w:p>
        </w:tc>
        <w:tc>
          <w:tcPr>
            <w:tcW w:w="1134" w:type="dxa"/>
          </w:tcPr>
          <w:p w14:paraId="67BCD9C7" w14:textId="11DBE440" w:rsidR="00AA1EA0" w:rsidRDefault="00AA1EA0" w:rsidP="00B6678C">
            <w:r>
              <w:t>1231</w:t>
            </w:r>
          </w:p>
        </w:tc>
        <w:tc>
          <w:tcPr>
            <w:tcW w:w="5106" w:type="dxa"/>
            <w:vMerge/>
          </w:tcPr>
          <w:p w14:paraId="52FB8614" w14:textId="36AC9816" w:rsidR="00AA1EA0" w:rsidRDefault="00AA1EA0" w:rsidP="00B6678C"/>
        </w:tc>
      </w:tr>
      <w:tr w:rsidR="00AA1EA0" w14:paraId="2E94D3B2" w14:textId="77777777" w:rsidTr="00A26D20">
        <w:trPr>
          <w:cantSplit/>
        </w:trPr>
        <w:tc>
          <w:tcPr>
            <w:tcW w:w="3510" w:type="dxa"/>
          </w:tcPr>
          <w:p w14:paraId="7740F94F" w14:textId="1A4A705E" w:rsidR="00AA1EA0" w:rsidRDefault="003E640D" w:rsidP="003E640D">
            <w:pPr>
              <w:pStyle w:val="Tabletextindent"/>
            </w:pPr>
            <w:r>
              <w:t>B</w:t>
            </w:r>
            <w:r w:rsidR="005842E5">
              <w:t xml:space="preserve">asic requirements for a CCIV </w:t>
            </w:r>
          </w:p>
        </w:tc>
        <w:tc>
          <w:tcPr>
            <w:tcW w:w="1134" w:type="dxa"/>
          </w:tcPr>
          <w:p w14:paraId="12A930C8" w14:textId="6D1D7020" w:rsidR="00AA1EA0" w:rsidRDefault="005C101D" w:rsidP="00313C66">
            <w:r>
              <w:t>1231 – 1231B</w:t>
            </w:r>
            <w:r w:rsidR="00A13446">
              <w:t>; 1232B</w:t>
            </w:r>
            <w:r w:rsidR="00D00890">
              <w:t xml:space="preserve"> </w:t>
            </w:r>
          </w:p>
        </w:tc>
        <w:tc>
          <w:tcPr>
            <w:tcW w:w="5106" w:type="dxa"/>
            <w:vMerge/>
          </w:tcPr>
          <w:p w14:paraId="7FC11D7A" w14:textId="200CC435" w:rsidR="00AA1EA0" w:rsidRDefault="00AA1EA0" w:rsidP="00B6678C"/>
        </w:tc>
      </w:tr>
      <w:tr w:rsidR="00AA1EA0" w14:paraId="2C7FB38C" w14:textId="77777777" w:rsidTr="00A26D20">
        <w:trPr>
          <w:cantSplit/>
        </w:trPr>
        <w:tc>
          <w:tcPr>
            <w:tcW w:w="3510" w:type="dxa"/>
          </w:tcPr>
          <w:p w14:paraId="0951CEC4" w14:textId="3249B006" w:rsidR="00AA1EA0" w:rsidRDefault="0049536D" w:rsidP="00B6678C">
            <w:pPr>
              <w:pStyle w:val="Tabletextindent"/>
            </w:pPr>
            <w:r>
              <w:t>D</w:t>
            </w:r>
            <w:r w:rsidR="005842E5">
              <w:t>ifference between a r</w:t>
            </w:r>
            <w:r w:rsidR="00AA1EA0">
              <w:t xml:space="preserve">etail </w:t>
            </w:r>
            <w:r w:rsidR="005842E5">
              <w:t xml:space="preserve">CCIV and a </w:t>
            </w:r>
            <w:r w:rsidR="00AA1EA0">
              <w:t>wholesale CCIV</w:t>
            </w:r>
          </w:p>
        </w:tc>
        <w:tc>
          <w:tcPr>
            <w:tcW w:w="1134" w:type="dxa"/>
          </w:tcPr>
          <w:p w14:paraId="2275D832" w14:textId="0D16840A" w:rsidR="00AA1EA0" w:rsidRDefault="00AA1EA0" w:rsidP="00A13446">
            <w:r>
              <w:t>123</w:t>
            </w:r>
            <w:r w:rsidR="00A13446">
              <w:t>2</w:t>
            </w:r>
            <w:r>
              <w:t>F</w:t>
            </w:r>
          </w:p>
        </w:tc>
        <w:tc>
          <w:tcPr>
            <w:tcW w:w="5106" w:type="dxa"/>
            <w:vMerge/>
          </w:tcPr>
          <w:p w14:paraId="1DF3C956" w14:textId="77777777" w:rsidR="00AA1EA0" w:rsidRDefault="00AA1EA0" w:rsidP="00B6678C"/>
        </w:tc>
      </w:tr>
      <w:tr w:rsidR="00AA1EA0" w14:paraId="1AF4FF43" w14:textId="77777777" w:rsidTr="00A26D20">
        <w:trPr>
          <w:cantSplit/>
        </w:trPr>
        <w:tc>
          <w:tcPr>
            <w:tcW w:w="3510" w:type="dxa"/>
          </w:tcPr>
          <w:p w14:paraId="3A17CA64" w14:textId="27BFD662" w:rsidR="00AA1EA0" w:rsidRDefault="0049536D" w:rsidP="003E640D">
            <w:pPr>
              <w:pStyle w:val="Tabletextindent"/>
            </w:pPr>
            <w:r>
              <w:t>P</w:t>
            </w:r>
            <w:r w:rsidR="005842E5">
              <w:t>owers of a</w:t>
            </w:r>
            <w:r w:rsidR="00AA1EA0">
              <w:t xml:space="preserve"> CCIV </w:t>
            </w:r>
          </w:p>
        </w:tc>
        <w:tc>
          <w:tcPr>
            <w:tcW w:w="1134" w:type="dxa"/>
          </w:tcPr>
          <w:p w14:paraId="3DBC3193" w14:textId="7CAE5520" w:rsidR="00AA1EA0" w:rsidRDefault="00AA1EA0" w:rsidP="00B6678C">
            <w:r>
              <w:t>1232</w:t>
            </w:r>
          </w:p>
        </w:tc>
        <w:tc>
          <w:tcPr>
            <w:tcW w:w="5106" w:type="dxa"/>
            <w:vMerge/>
          </w:tcPr>
          <w:p w14:paraId="77C6A6AC" w14:textId="77777777" w:rsidR="00AA1EA0" w:rsidRDefault="00AA1EA0" w:rsidP="00B6678C"/>
        </w:tc>
      </w:tr>
      <w:tr w:rsidR="00AA1EA0" w14:paraId="4758B70E" w14:textId="77777777" w:rsidTr="00A26D20">
        <w:trPr>
          <w:cantSplit/>
        </w:trPr>
        <w:tc>
          <w:tcPr>
            <w:tcW w:w="3510" w:type="dxa"/>
          </w:tcPr>
          <w:p w14:paraId="43F15AAC" w14:textId="05904486" w:rsidR="00AA1EA0" w:rsidRDefault="0049536D" w:rsidP="00B6678C">
            <w:pPr>
              <w:pStyle w:val="Tabletextindent"/>
            </w:pPr>
            <w:r>
              <w:t>R</w:t>
            </w:r>
            <w:r w:rsidR="005F7A5B">
              <w:t>equirements for</w:t>
            </w:r>
            <w:r w:rsidR="00AA1EA0">
              <w:t xml:space="preserve"> a CCIV’s constitution</w:t>
            </w:r>
          </w:p>
        </w:tc>
        <w:tc>
          <w:tcPr>
            <w:tcW w:w="1134" w:type="dxa"/>
          </w:tcPr>
          <w:p w14:paraId="1D304E34" w14:textId="6D0B28AC" w:rsidR="00AA1EA0" w:rsidRDefault="00A13446" w:rsidP="0025104B">
            <w:r>
              <w:t xml:space="preserve">1231B – 1232D; </w:t>
            </w:r>
            <w:r w:rsidR="00AA1EA0">
              <w:t>1232G</w:t>
            </w:r>
            <w:r w:rsidR="0049536D">
              <w:t xml:space="preserve"> </w:t>
            </w:r>
            <w:r w:rsidR="00AA1EA0">
              <w:t>–</w:t>
            </w:r>
            <w:r w:rsidR="0049536D">
              <w:t xml:space="preserve"> </w:t>
            </w:r>
            <w:r w:rsidR="00AA1EA0">
              <w:t>1232J</w:t>
            </w:r>
          </w:p>
        </w:tc>
        <w:tc>
          <w:tcPr>
            <w:tcW w:w="5106" w:type="dxa"/>
            <w:vMerge/>
          </w:tcPr>
          <w:p w14:paraId="6134F2EF" w14:textId="77777777" w:rsidR="00AA1EA0" w:rsidRDefault="00AA1EA0" w:rsidP="00B6678C"/>
        </w:tc>
      </w:tr>
      <w:tr w:rsidR="00592307" w14:paraId="4160D4AD" w14:textId="77777777" w:rsidTr="00A26D20">
        <w:trPr>
          <w:cantSplit/>
          <w:trHeight w:val="1066"/>
        </w:trPr>
        <w:tc>
          <w:tcPr>
            <w:tcW w:w="3510" w:type="dxa"/>
          </w:tcPr>
          <w:p w14:paraId="5BD5BCA8" w14:textId="062350C6" w:rsidR="00592307" w:rsidRDefault="00592307" w:rsidP="00592307">
            <w:pPr>
              <w:pStyle w:val="Tabletextindent"/>
            </w:pPr>
            <w:r>
              <w:t>Registering a CCIV</w:t>
            </w:r>
          </w:p>
        </w:tc>
        <w:tc>
          <w:tcPr>
            <w:tcW w:w="1134" w:type="dxa"/>
          </w:tcPr>
          <w:p w14:paraId="31B367A0" w14:textId="5751B0E6" w:rsidR="00592307" w:rsidRDefault="00592307" w:rsidP="00B6678C">
            <w:r>
              <w:t>1231B – 1231D</w:t>
            </w:r>
          </w:p>
        </w:tc>
        <w:tc>
          <w:tcPr>
            <w:tcW w:w="5106" w:type="dxa"/>
            <w:vMerge/>
          </w:tcPr>
          <w:p w14:paraId="4A9B42DC" w14:textId="77777777" w:rsidR="00592307" w:rsidRDefault="00592307" w:rsidP="00B6678C"/>
        </w:tc>
      </w:tr>
      <w:tr w:rsidR="006C5237" w14:paraId="401839DB" w14:textId="77777777" w:rsidTr="002E446F">
        <w:trPr>
          <w:cantSplit/>
        </w:trPr>
        <w:tc>
          <w:tcPr>
            <w:tcW w:w="4644" w:type="dxa"/>
            <w:gridSpan w:val="2"/>
          </w:tcPr>
          <w:p w14:paraId="3538A42A" w14:textId="6EE72062" w:rsidR="006C5237" w:rsidRDefault="006C5237" w:rsidP="00B6678C">
            <w:r>
              <w:rPr>
                <w:b/>
              </w:rPr>
              <w:lastRenderedPageBreak/>
              <w:t>What is a sub-fund of a CCIV?</w:t>
            </w:r>
          </w:p>
        </w:tc>
        <w:tc>
          <w:tcPr>
            <w:tcW w:w="5106" w:type="dxa"/>
            <w:vMerge w:val="restart"/>
          </w:tcPr>
          <w:p w14:paraId="75C8BE91" w14:textId="238381E2" w:rsidR="006C5237" w:rsidRDefault="006C5237" w:rsidP="00374756">
            <w:pPr>
              <w:keepNext/>
            </w:pPr>
            <w:r>
              <w:t>The business of a CCIV must be conducted through one or more sub-funds (that is, a CCIV must have at least one sub-fund). Each part of the CCIV’s business must relate to one (and only one) sub-fund and the business of all of the CCIV’s sub-funds must, together, constitute the entire business of the CCIV.</w:t>
            </w:r>
          </w:p>
          <w:p w14:paraId="10D652B8" w14:textId="31D3D93F" w:rsidR="006C5237" w:rsidRDefault="006C5237" w:rsidP="00B6678C">
            <w:pPr>
              <w:rPr>
                <w:lang w:val="en-US"/>
              </w:rPr>
            </w:pPr>
            <w:r>
              <w:t>A sub-fund is established on registration by ASIC and</w:t>
            </w:r>
            <w:r w:rsidRPr="004A22E5">
              <w:rPr>
                <w:lang w:val="en-US"/>
              </w:rPr>
              <w:t xml:space="preserve"> </w:t>
            </w:r>
            <w:r>
              <w:rPr>
                <w:lang w:val="en-US"/>
              </w:rPr>
              <w:t>is identifiable by its unique name and ARFN</w:t>
            </w:r>
            <w:r>
              <w:t xml:space="preserve">. A </w:t>
            </w:r>
            <w:r w:rsidRPr="00C65B19">
              <w:t xml:space="preserve">sub-fund </w:t>
            </w:r>
            <w:r>
              <w:t>does not have</w:t>
            </w:r>
            <w:r w:rsidRPr="00A12385">
              <w:rPr>
                <w:lang w:val="en-US"/>
              </w:rPr>
              <w:t xml:space="preserve"> legal personality</w:t>
            </w:r>
            <w:r>
              <w:rPr>
                <w:lang w:val="en-US"/>
              </w:rPr>
              <w:t>.</w:t>
            </w:r>
          </w:p>
          <w:p w14:paraId="2A62BC98" w14:textId="0338895C" w:rsidR="006C5237" w:rsidRDefault="006C5237" w:rsidP="00B6678C">
            <w:pPr>
              <w:rPr>
                <w:lang w:val="en-US"/>
              </w:rPr>
            </w:pPr>
            <w:r>
              <w:rPr>
                <w:lang w:val="en-US"/>
              </w:rPr>
              <w:t xml:space="preserve">Each security that is issued by a CCIV must be </w:t>
            </w:r>
            <w:proofErr w:type="spellStart"/>
            <w:r>
              <w:rPr>
                <w:lang w:val="en-US"/>
              </w:rPr>
              <w:t>referable</w:t>
            </w:r>
            <w:proofErr w:type="spellEnd"/>
            <w:r>
              <w:rPr>
                <w:lang w:val="en-US"/>
              </w:rPr>
              <w:t xml:space="preserve"> to one (and only one) sub-fund. The members of a CCIV who hold one or more shares that are </w:t>
            </w:r>
            <w:proofErr w:type="spellStart"/>
            <w:r>
              <w:rPr>
                <w:lang w:val="en-US"/>
              </w:rPr>
              <w:t>referable</w:t>
            </w:r>
            <w:proofErr w:type="spellEnd"/>
            <w:r>
              <w:rPr>
                <w:lang w:val="en-US"/>
              </w:rPr>
              <w:t xml:space="preserve"> to the same sub-fund form a class of shareholders. Shares that are </w:t>
            </w:r>
            <w:proofErr w:type="spellStart"/>
            <w:r>
              <w:rPr>
                <w:lang w:val="en-US"/>
              </w:rPr>
              <w:t>referable</w:t>
            </w:r>
            <w:proofErr w:type="spellEnd"/>
            <w:r>
              <w:rPr>
                <w:lang w:val="en-US"/>
              </w:rPr>
              <w:t xml:space="preserve"> to a sub-fund may be further divided into classes.</w:t>
            </w:r>
          </w:p>
          <w:p w14:paraId="6BFA1968" w14:textId="11A9AC71" w:rsidR="006C5237" w:rsidRDefault="006C5237" w:rsidP="00B6678C">
            <w:pPr>
              <w:rPr>
                <w:lang w:val="en-US"/>
              </w:rPr>
            </w:pPr>
            <w:r>
              <w:rPr>
                <w:lang w:val="en-US"/>
              </w:rPr>
              <w:t>Consistent with the requirement for strict segregation of the business of each sub-fund of a CCIV, each asset and liability of a CCIV must be allocated to a sub-fund.</w:t>
            </w:r>
          </w:p>
          <w:p w14:paraId="650526AD" w14:textId="165FBE43" w:rsidR="006C5237" w:rsidRDefault="006C5237" w:rsidP="00B6678C">
            <w:pPr>
              <w:rPr>
                <w:lang w:val="en-US"/>
              </w:rPr>
            </w:pPr>
            <w:r>
              <w:rPr>
                <w:lang w:val="en-US"/>
              </w:rPr>
              <w:t>Assets of a CCIV that relate solely to the business of a single sub-fund are automatically allocated to that sub-fund. Assets of a CCIV that are not automatically allocated are allocated to each sub-fund of the CCIV in a proportion that is fair and reasonable in the circumstances. The corporate director of the CCIV must determine the proportion of the asset to be allocated to each sub-fund on this basis. Assets that are not automatically allocated and which are not fungible assets must be converted into money, or two or more fungible assets, before they become assets of a sub-fund according to the proportion determined for the sub-fund.</w:t>
            </w:r>
          </w:p>
          <w:p w14:paraId="7212D259" w14:textId="5B073746" w:rsidR="006C5237" w:rsidRDefault="006C5237" w:rsidP="00B6678C">
            <w:r>
              <w:rPr>
                <w:lang w:val="en-US"/>
              </w:rPr>
              <w:t>Liabilities of a CCIV that relate solely to the business of a single sub-fund are liabilities of that sub-fund. A liability of a CCIV that relates to the business of more than one sub-fund is allocated to each sub-fund of the CCIV in a proportion that is fair and reasonable in the circumstances. The corporate director of the CCIV must determine the proportion of the liability to be allocated to each sub-fund on this basis.</w:t>
            </w:r>
          </w:p>
          <w:p w14:paraId="58FEBFFD" w14:textId="1A5B205A" w:rsidR="006C5237" w:rsidRDefault="006C5237" w:rsidP="008312D5">
            <w:r>
              <w:t>Refer to Chapter 3 of the explanatory materials for further information.</w:t>
            </w:r>
          </w:p>
        </w:tc>
      </w:tr>
      <w:tr w:rsidR="00157F7A" w14:paraId="75032AF4" w14:textId="77777777" w:rsidTr="00A26D20">
        <w:trPr>
          <w:cantSplit/>
        </w:trPr>
        <w:tc>
          <w:tcPr>
            <w:tcW w:w="3510" w:type="dxa"/>
          </w:tcPr>
          <w:p w14:paraId="20807775" w14:textId="727E576C" w:rsidR="00157F7A" w:rsidRDefault="00157F7A" w:rsidP="00374756">
            <w:pPr>
              <w:pStyle w:val="Tabletextindent"/>
              <w:keepNext/>
            </w:pPr>
            <w:r>
              <w:t>Meaning of a sub-fund</w:t>
            </w:r>
          </w:p>
        </w:tc>
        <w:tc>
          <w:tcPr>
            <w:tcW w:w="1134" w:type="dxa"/>
          </w:tcPr>
          <w:p w14:paraId="7B738A28" w14:textId="72BF66CF" w:rsidR="00157F7A" w:rsidRDefault="00AB06A8" w:rsidP="00B6678C">
            <w:r>
              <w:t>1233</w:t>
            </w:r>
          </w:p>
        </w:tc>
        <w:tc>
          <w:tcPr>
            <w:tcW w:w="5106" w:type="dxa"/>
            <w:vMerge/>
          </w:tcPr>
          <w:p w14:paraId="1A882BC0" w14:textId="77777777" w:rsidR="00157F7A" w:rsidRDefault="00157F7A" w:rsidP="00B6678C"/>
        </w:tc>
      </w:tr>
      <w:tr w:rsidR="00281BC5" w14:paraId="7DD9B89D" w14:textId="77777777" w:rsidTr="00A26D20">
        <w:trPr>
          <w:cantSplit/>
        </w:trPr>
        <w:tc>
          <w:tcPr>
            <w:tcW w:w="3510" w:type="dxa"/>
          </w:tcPr>
          <w:p w14:paraId="7C706471" w14:textId="645CB00A" w:rsidR="00281BC5" w:rsidRDefault="00AB06A8" w:rsidP="00B6678C">
            <w:pPr>
              <w:pStyle w:val="Tabletextindent"/>
            </w:pPr>
            <w:r>
              <w:t>Segregated operation of business of sub-funds</w:t>
            </w:r>
          </w:p>
        </w:tc>
        <w:tc>
          <w:tcPr>
            <w:tcW w:w="1134" w:type="dxa"/>
          </w:tcPr>
          <w:p w14:paraId="7ECA33BD" w14:textId="41E9523B" w:rsidR="00281BC5" w:rsidRDefault="0025104B" w:rsidP="00B6678C">
            <w:r>
              <w:t>1233</w:t>
            </w:r>
            <w:r w:rsidR="00AB06A8">
              <w:t>A</w:t>
            </w:r>
          </w:p>
        </w:tc>
        <w:tc>
          <w:tcPr>
            <w:tcW w:w="5106" w:type="dxa"/>
            <w:vMerge/>
          </w:tcPr>
          <w:p w14:paraId="2E2FE10F" w14:textId="08518FEC" w:rsidR="00281BC5" w:rsidRDefault="00281BC5" w:rsidP="00B6678C"/>
        </w:tc>
      </w:tr>
      <w:tr w:rsidR="00AB06A8" w14:paraId="08EEF8FA" w14:textId="77777777" w:rsidTr="00A26D20">
        <w:trPr>
          <w:cantSplit/>
        </w:trPr>
        <w:tc>
          <w:tcPr>
            <w:tcW w:w="3510" w:type="dxa"/>
          </w:tcPr>
          <w:p w14:paraId="35524031" w14:textId="20948936" w:rsidR="00AB06A8" w:rsidRDefault="00AB06A8" w:rsidP="00B6678C">
            <w:pPr>
              <w:pStyle w:val="Tabletextindent"/>
            </w:pPr>
            <w:r>
              <w:t>Minimum of one class of shares per sub-fund</w:t>
            </w:r>
          </w:p>
        </w:tc>
        <w:tc>
          <w:tcPr>
            <w:tcW w:w="1134" w:type="dxa"/>
          </w:tcPr>
          <w:p w14:paraId="2F755A1D" w14:textId="3C6546CC" w:rsidR="00AB06A8" w:rsidRDefault="00AB06A8" w:rsidP="00B6678C">
            <w:r>
              <w:t>1233B</w:t>
            </w:r>
          </w:p>
        </w:tc>
        <w:tc>
          <w:tcPr>
            <w:tcW w:w="5106" w:type="dxa"/>
            <w:vMerge/>
          </w:tcPr>
          <w:p w14:paraId="440EDADC" w14:textId="77777777" w:rsidR="00AB06A8" w:rsidRDefault="00AB06A8" w:rsidP="00B6678C"/>
        </w:tc>
      </w:tr>
      <w:tr w:rsidR="00AB06A8" w14:paraId="39E73767" w14:textId="77777777" w:rsidTr="00A26D20">
        <w:trPr>
          <w:cantSplit/>
        </w:trPr>
        <w:tc>
          <w:tcPr>
            <w:tcW w:w="3510" w:type="dxa"/>
          </w:tcPr>
          <w:p w14:paraId="2901E8C7" w14:textId="104A4D5A" w:rsidR="00AB06A8" w:rsidRDefault="00AB06A8" w:rsidP="00B6678C">
            <w:pPr>
              <w:pStyle w:val="Tabletextindent"/>
            </w:pPr>
            <w:r>
              <w:t>Membership of a sub-fund</w:t>
            </w:r>
          </w:p>
        </w:tc>
        <w:tc>
          <w:tcPr>
            <w:tcW w:w="1134" w:type="dxa"/>
          </w:tcPr>
          <w:p w14:paraId="494BDA35" w14:textId="0D8641FA" w:rsidR="00AB06A8" w:rsidRDefault="00AB06A8" w:rsidP="00B6678C">
            <w:r>
              <w:t>1233C</w:t>
            </w:r>
          </w:p>
        </w:tc>
        <w:tc>
          <w:tcPr>
            <w:tcW w:w="5106" w:type="dxa"/>
            <w:vMerge/>
          </w:tcPr>
          <w:p w14:paraId="7DFEFAC4" w14:textId="77777777" w:rsidR="00AB06A8" w:rsidRDefault="00AB06A8" w:rsidP="00B6678C"/>
        </w:tc>
      </w:tr>
      <w:tr w:rsidR="00157F7A" w14:paraId="79C9BF8D" w14:textId="77777777" w:rsidTr="00A26D20">
        <w:trPr>
          <w:cantSplit/>
        </w:trPr>
        <w:tc>
          <w:tcPr>
            <w:tcW w:w="3510" w:type="dxa"/>
          </w:tcPr>
          <w:p w14:paraId="14C8B4BA" w14:textId="69C75081" w:rsidR="00157F7A" w:rsidRDefault="00157F7A" w:rsidP="00B6678C">
            <w:pPr>
              <w:pStyle w:val="Tabletextindent"/>
            </w:pPr>
            <w:r>
              <w:t xml:space="preserve">Registration of </w:t>
            </w:r>
            <w:r w:rsidR="00AB06A8">
              <w:t xml:space="preserve">a </w:t>
            </w:r>
            <w:r>
              <w:t>sub-fund</w:t>
            </w:r>
          </w:p>
        </w:tc>
        <w:tc>
          <w:tcPr>
            <w:tcW w:w="1134" w:type="dxa"/>
          </w:tcPr>
          <w:p w14:paraId="72CA0CD9" w14:textId="152E8AD6" w:rsidR="00157F7A" w:rsidRDefault="00AB06A8" w:rsidP="00B6678C">
            <w:r>
              <w:t>1233D – 1233F</w:t>
            </w:r>
          </w:p>
        </w:tc>
        <w:tc>
          <w:tcPr>
            <w:tcW w:w="5106" w:type="dxa"/>
            <w:vMerge/>
          </w:tcPr>
          <w:p w14:paraId="4C5BD366" w14:textId="77777777" w:rsidR="00157F7A" w:rsidRDefault="00157F7A" w:rsidP="00B6678C"/>
        </w:tc>
      </w:tr>
      <w:tr w:rsidR="00AB06A8" w14:paraId="2FA32E65" w14:textId="77777777" w:rsidTr="00A26D20">
        <w:trPr>
          <w:cantSplit/>
        </w:trPr>
        <w:tc>
          <w:tcPr>
            <w:tcW w:w="3510" w:type="dxa"/>
          </w:tcPr>
          <w:p w14:paraId="07D3DDF1" w14:textId="3F8FB7C4" w:rsidR="00AB06A8" w:rsidRDefault="00AB06A8" w:rsidP="00B6678C">
            <w:pPr>
              <w:pStyle w:val="Tabletextindent"/>
            </w:pPr>
            <w:r>
              <w:t>Assets of sub-funds</w:t>
            </w:r>
          </w:p>
        </w:tc>
        <w:tc>
          <w:tcPr>
            <w:tcW w:w="1134" w:type="dxa"/>
          </w:tcPr>
          <w:p w14:paraId="65F60CFD" w14:textId="098813FE" w:rsidR="00AB06A8" w:rsidRDefault="00AB06A8" w:rsidP="0025104B">
            <w:r>
              <w:t>1233G – 1233M</w:t>
            </w:r>
          </w:p>
        </w:tc>
        <w:tc>
          <w:tcPr>
            <w:tcW w:w="5106" w:type="dxa"/>
            <w:vMerge/>
          </w:tcPr>
          <w:p w14:paraId="2B5D26B8" w14:textId="77777777" w:rsidR="00AB06A8" w:rsidRDefault="00AB06A8" w:rsidP="00B6678C"/>
        </w:tc>
      </w:tr>
      <w:tr w:rsidR="00AB06A8" w14:paraId="21B24B27" w14:textId="77777777" w:rsidTr="00A26D20">
        <w:trPr>
          <w:cantSplit/>
        </w:trPr>
        <w:tc>
          <w:tcPr>
            <w:tcW w:w="3510" w:type="dxa"/>
          </w:tcPr>
          <w:p w14:paraId="184A9627" w14:textId="69E5375F" w:rsidR="00AB06A8" w:rsidRDefault="00AB06A8" w:rsidP="00B6678C">
            <w:pPr>
              <w:pStyle w:val="Tabletextindent"/>
            </w:pPr>
            <w:r>
              <w:t>Liabilities of sub-funds</w:t>
            </w:r>
          </w:p>
        </w:tc>
        <w:tc>
          <w:tcPr>
            <w:tcW w:w="1134" w:type="dxa"/>
          </w:tcPr>
          <w:p w14:paraId="006F157D" w14:textId="44BB82A3" w:rsidR="00AB06A8" w:rsidRDefault="00AB06A8" w:rsidP="0025104B">
            <w:r>
              <w:t xml:space="preserve">1233N – 1233Q </w:t>
            </w:r>
          </w:p>
        </w:tc>
        <w:tc>
          <w:tcPr>
            <w:tcW w:w="5106" w:type="dxa"/>
            <w:vMerge/>
          </w:tcPr>
          <w:p w14:paraId="4097FC2E" w14:textId="77777777" w:rsidR="00AB06A8" w:rsidRDefault="00AB06A8" w:rsidP="00B6678C"/>
        </w:tc>
      </w:tr>
      <w:tr w:rsidR="00AB06A8" w14:paraId="2701E2BC" w14:textId="77777777" w:rsidTr="00A26D20">
        <w:trPr>
          <w:cantSplit/>
        </w:trPr>
        <w:tc>
          <w:tcPr>
            <w:tcW w:w="3510" w:type="dxa"/>
          </w:tcPr>
          <w:p w14:paraId="7CDE0658" w14:textId="3BB1F904" w:rsidR="00AB06A8" w:rsidRDefault="00AB06A8" w:rsidP="00B6678C">
            <w:pPr>
              <w:pStyle w:val="Tabletextindent"/>
            </w:pPr>
            <w:r>
              <w:t>Names of sub-funds</w:t>
            </w:r>
          </w:p>
        </w:tc>
        <w:tc>
          <w:tcPr>
            <w:tcW w:w="1134" w:type="dxa"/>
          </w:tcPr>
          <w:p w14:paraId="6CA64CC9" w14:textId="26232D6B" w:rsidR="00AB06A8" w:rsidRDefault="00AB06A8" w:rsidP="00B6678C">
            <w:r>
              <w:t xml:space="preserve">1233S </w:t>
            </w:r>
            <w:r w:rsidR="00374756">
              <w:t>–</w:t>
            </w:r>
            <w:r w:rsidR="005C101D">
              <w:t xml:space="preserve"> </w:t>
            </w:r>
            <w:r>
              <w:t>1233X</w:t>
            </w:r>
            <w:r w:rsidR="00747ADD">
              <w:t xml:space="preserve"> </w:t>
            </w:r>
          </w:p>
        </w:tc>
        <w:tc>
          <w:tcPr>
            <w:tcW w:w="5106" w:type="dxa"/>
            <w:vMerge/>
          </w:tcPr>
          <w:p w14:paraId="42DCADBC" w14:textId="77777777" w:rsidR="00AB06A8" w:rsidRDefault="00AB06A8" w:rsidP="00B6678C"/>
        </w:tc>
      </w:tr>
      <w:tr w:rsidR="00157F7A" w14:paraId="786E675F" w14:textId="77777777" w:rsidTr="00A26D20">
        <w:trPr>
          <w:cantSplit/>
        </w:trPr>
        <w:tc>
          <w:tcPr>
            <w:tcW w:w="3510" w:type="dxa"/>
          </w:tcPr>
          <w:p w14:paraId="680E7538" w14:textId="0B5DAFBB" w:rsidR="00157F7A" w:rsidRDefault="00157F7A" w:rsidP="00B6678C">
            <w:pPr>
              <w:pStyle w:val="Tabletextindent"/>
            </w:pPr>
            <w:r>
              <w:t xml:space="preserve">Identification of sub-funds on certain documents </w:t>
            </w:r>
          </w:p>
        </w:tc>
        <w:tc>
          <w:tcPr>
            <w:tcW w:w="1134" w:type="dxa"/>
          </w:tcPr>
          <w:p w14:paraId="0DB3CA6D" w14:textId="51B69B0B" w:rsidR="00157F7A" w:rsidRDefault="00157F7A" w:rsidP="00B6678C">
            <w:r>
              <w:t>1233T</w:t>
            </w:r>
          </w:p>
        </w:tc>
        <w:tc>
          <w:tcPr>
            <w:tcW w:w="5106" w:type="dxa"/>
            <w:vMerge/>
          </w:tcPr>
          <w:p w14:paraId="45696C59" w14:textId="6891DD84" w:rsidR="00157F7A" w:rsidRDefault="00157F7A" w:rsidP="00B6678C"/>
        </w:tc>
      </w:tr>
      <w:tr w:rsidR="006C5237" w14:paraId="21D6E0FE" w14:textId="77777777" w:rsidTr="005B1179">
        <w:trPr>
          <w:cantSplit/>
        </w:trPr>
        <w:tc>
          <w:tcPr>
            <w:tcW w:w="4644" w:type="dxa"/>
            <w:gridSpan w:val="2"/>
          </w:tcPr>
          <w:p w14:paraId="375CA246" w14:textId="41E3B204" w:rsidR="006C5237" w:rsidRDefault="006C5237" w:rsidP="00B6678C">
            <w:r>
              <w:rPr>
                <w:b/>
              </w:rPr>
              <w:lastRenderedPageBreak/>
              <w:t>What is a depositary of a CCIV and what are its obligations?</w:t>
            </w:r>
          </w:p>
        </w:tc>
        <w:tc>
          <w:tcPr>
            <w:tcW w:w="5106" w:type="dxa"/>
            <w:vMerge w:val="restart"/>
          </w:tcPr>
          <w:p w14:paraId="64467603" w14:textId="0370B4D8" w:rsidR="006C5237" w:rsidRDefault="006C5237" w:rsidP="00B6678C">
            <w:r>
              <w:t>A retail CCIV must have a depositary. A wholesale CCIV may choose to have a depositary. If it so chooses, the wholesale CCIV is subject to the full regulatory requirements for depositaries.</w:t>
            </w:r>
          </w:p>
          <w:p w14:paraId="15D6640A" w14:textId="3BCE614A" w:rsidR="006C5237" w:rsidRDefault="006C5237" w:rsidP="00B6678C">
            <w:r>
              <w:t>The depositary must be a public company or a registered foreign company that holds an AFSL authorising it to act as a depositary for the CCIV. The depositary of a CCIV (and any entities performing depositary functions) must also meet independence requirements (see the explanatory materials for a description of the proposed depositary independence requirements).</w:t>
            </w:r>
          </w:p>
          <w:p w14:paraId="141C2AB5" w14:textId="73DAD5AA" w:rsidR="006C5237" w:rsidRDefault="006C5237" w:rsidP="00B6678C">
            <w:r>
              <w:t>The depositary must hold the assets of the CCIV in a segregated manner and on trust for the CCIV. It must execute lawful instructions in relation to the assets of a CCIV. It also supervises certain aspects of the operations of the CCIV.</w:t>
            </w:r>
          </w:p>
          <w:p w14:paraId="1587A34A" w14:textId="77777777" w:rsidR="006C5237" w:rsidRDefault="006C5237" w:rsidP="008312D5">
            <w:r>
              <w:t xml:space="preserve">If a CCIV acquires an asset that is required to be held by the depositary, it must transfer that asset to the depositary immediately after it is acquired. </w:t>
            </w:r>
          </w:p>
          <w:p w14:paraId="2D43C77B" w14:textId="0615029E" w:rsidR="006C5237" w:rsidRDefault="006C5237" w:rsidP="00B6678C">
            <w:r>
              <w:t>The depositary cannot retire or be replaced by the CCIV’s members unless a new depositary is appointed.</w:t>
            </w:r>
          </w:p>
          <w:p w14:paraId="77CA2ABF" w14:textId="5C9AE8D5" w:rsidR="006C5237" w:rsidRDefault="006C5237" w:rsidP="00C659CE">
            <w:r>
              <w:t>Refer to Chapter 4 of the explanatory materials for further information.</w:t>
            </w:r>
          </w:p>
        </w:tc>
      </w:tr>
      <w:tr w:rsidR="000B403A" w14:paraId="23F131AB" w14:textId="77777777" w:rsidTr="00A26D20">
        <w:trPr>
          <w:cantSplit/>
        </w:trPr>
        <w:tc>
          <w:tcPr>
            <w:tcW w:w="3510" w:type="dxa"/>
          </w:tcPr>
          <w:p w14:paraId="5932F06C" w14:textId="1C4882BE" w:rsidR="000B403A" w:rsidRDefault="000B403A" w:rsidP="00FB13F2">
            <w:pPr>
              <w:pStyle w:val="Tabletextindent"/>
              <w:keepNext/>
            </w:pPr>
            <w:r>
              <w:t>CCIV must transfer assets to depositary</w:t>
            </w:r>
          </w:p>
        </w:tc>
        <w:tc>
          <w:tcPr>
            <w:tcW w:w="1134" w:type="dxa"/>
          </w:tcPr>
          <w:p w14:paraId="123E5493" w14:textId="58FD5593" w:rsidR="000B403A" w:rsidRDefault="000B403A" w:rsidP="00B6678C">
            <w:r>
              <w:t>1234 – 1234A</w:t>
            </w:r>
          </w:p>
        </w:tc>
        <w:tc>
          <w:tcPr>
            <w:tcW w:w="5106" w:type="dxa"/>
            <w:vMerge/>
          </w:tcPr>
          <w:p w14:paraId="7C3F501C" w14:textId="77777777" w:rsidR="000B403A" w:rsidRDefault="000B403A" w:rsidP="00B6678C"/>
        </w:tc>
      </w:tr>
      <w:tr w:rsidR="00157F7A" w14:paraId="5E33CE49" w14:textId="77777777" w:rsidTr="00A26D20">
        <w:trPr>
          <w:cantSplit/>
        </w:trPr>
        <w:tc>
          <w:tcPr>
            <w:tcW w:w="3510" w:type="dxa"/>
          </w:tcPr>
          <w:p w14:paraId="33AA8115" w14:textId="1FCC8813" w:rsidR="00157F7A" w:rsidRDefault="00157F7A" w:rsidP="00B6678C">
            <w:pPr>
              <w:pStyle w:val="Tabletextindent"/>
            </w:pPr>
            <w:r>
              <w:t>Retail CCIV must have a depositary</w:t>
            </w:r>
            <w:r w:rsidR="000B403A">
              <w:t>; wholesale CCIV may have a depositary</w:t>
            </w:r>
          </w:p>
        </w:tc>
        <w:tc>
          <w:tcPr>
            <w:tcW w:w="1134" w:type="dxa"/>
          </w:tcPr>
          <w:p w14:paraId="2F26C877" w14:textId="6BE8F855" w:rsidR="00157F7A" w:rsidRDefault="00157F7A" w:rsidP="00B6678C">
            <w:r>
              <w:t>1234B</w:t>
            </w:r>
          </w:p>
        </w:tc>
        <w:tc>
          <w:tcPr>
            <w:tcW w:w="5106" w:type="dxa"/>
            <w:vMerge/>
          </w:tcPr>
          <w:p w14:paraId="7DE53BCB" w14:textId="77777777" w:rsidR="00157F7A" w:rsidRDefault="00157F7A" w:rsidP="00B6678C"/>
        </w:tc>
      </w:tr>
      <w:tr w:rsidR="00157F7A" w14:paraId="2A2BD13A" w14:textId="77777777" w:rsidTr="00A26D20">
        <w:trPr>
          <w:cantSplit/>
        </w:trPr>
        <w:tc>
          <w:tcPr>
            <w:tcW w:w="3510" w:type="dxa"/>
          </w:tcPr>
          <w:p w14:paraId="4B8230A3" w14:textId="10E095B0" w:rsidR="00157F7A" w:rsidRDefault="00157F7A" w:rsidP="00B6678C">
            <w:pPr>
              <w:pStyle w:val="Tabletextindent"/>
            </w:pPr>
            <w:r>
              <w:t xml:space="preserve">Who can be a depositary </w:t>
            </w:r>
          </w:p>
        </w:tc>
        <w:tc>
          <w:tcPr>
            <w:tcW w:w="1134" w:type="dxa"/>
          </w:tcPr>
          <w:p w14:paraId="5C90B82D" w14:textId="0D815E23" w:rsidR="00157F7A" w:rsidRDefault="00157F7A" w:rsidP="00B6678C">
            <w:r>
              <w:t>1234C</w:t>
            </w:r>
          </w:p>
        </w:tc>
        <w:tc>
          <w:tcPr>
            <w:tcW w:w="5106" w:type="dxa"/>
            <w:vMerge/>
          </w:tcPr>
          <w:p w14:paraId="36F683D2" w14:textId="3126A11F" w:rsidR="00157F7A" w:rsidRDefault="00157F7A" w:rsidP="00B6678C"/>
        </w:tc>
      </w:tr>
      <w:tr w:rsidR="000B403A" w14:paraId="24F47082" w14:textId="77777777" w:rsidTr="00A26D20">
        <w:trPr>
          <w:cantSplit/>
        </w:trPr>
        <w:tc>
          <w:tcPr>
            <w:tcW w:w="3510" w:type="dxa"/>
          </w:tcPr>
          <w:p w14:paraId="100D6292" w14:textId="71E0ECF5" w:rsidR="000B403A" w:rsidRDefault="000B403A" w:rsidP="000B403A">
            <w:pPr>
              <w:pStyle w:val="Tabletextindent"/>
            </w:pPr>
            <w:r>
              <w:t>Independence of depositary</w:t>
            </w:r>
          </w:p>
        </w:tc>
        <w:tc>
          <w:tcPr>
            <w:tcW w:w="1134" w:type="dxa"/>
          </w:tcPr>
          <w:p w14:paraId="6C8B2658" w14:textId="307850B1" w:rsidR="000B403A" w:rsidRDefault="000B403A" w:rsidP="00B6678C">
            <w:r>
              <w:t>1234D</w:t>
            </w:r>
          </w:p>
        </w:tc>
        <w:tc>
          <w:tcPr>
            <w:tcW w:w="5106" w:type="dxa"/>
            <w:vMerge/>
          </w:tcPr>
          <w:p w14:paraId="314AFDB9" w14:textId="77777777" w:rsidR="000B403A" w:rsidRDefault="000B403A" w:rsidP="00B6678C"/>
        </w:tc>
      </w:tr>
      <w:tr w:rsidR="000B403A" w14:paraId="129BD5F7" w14:textId="77777777" w:rsidTr="00A26D20">
        <w:trPr>
          <w:cantSplit/>
        </w:trPr>
        <w:tc>
          <w:tcPr>
            <w:tcW w:w="3510" w:type="dxa"/>
          </w:tcPr>
          <w:p w14:paraId="4049EDB7" w14:textId="0AD8E88E" w:rsidR="000B403A" w:rsidRDefault="000B403A" w:rsidP="00FD2C9E">
            <w:pPr>
              <w:pStyle w:val="Tabletextindent"/>
            </w:pPr>
            <w:r>
              <w:t>Depositary and corporate director to provide each other reasonable assistance</w:t>
            </w:r>
          </w:p>
        </w:tc>
        <w:tc>
          <w:tcPr>
            <w:tcW w:w="1134" w:type="dxa"/>
          </w:tcPr>
          <w:p w14:paraId="6F314B03" w14:textId="52A832A8" w:rsidR="000B403A" w:rsidRDefault="000B403A" w:rsidP="00B6678C">
            <w:r>
              <w:t>1234F; 1234M</w:t>
            </w:r>
          </w:p>
        </w:tc>
        <w:tc>
          <w:tcPr>
            <w:tcW w:w="5106" w:type="dxa"/>
            <w:vMerge/>
          </w:tcPr>
          <w:p w14:paraId="5117A182" w14:textId="77777777" w:rsidR="000B403A" w:rsidRDefault="000B403A" w:rsidP="00B6678C"/>
        </w:tc>
      </w:tr>
      <w:tr w:rsidR="00FA6165" w14:paraId="26CED890" w14:textId="77777777" w:rsidTr="00A26D20">
        <w:trPr>
          <w:cantSplit/>
        </w:trPr>
        <w:tc>
          <w:tcPr>
            <w:tcW w:w="3510" w:type="dxa"/>
          </w:tcPr>
          <w:p w14:paraId="12C6FA73" w14:textId="5E14B267" w:rsidR="00FA6165" w:rsidRDefault="00FA6165" w:rsidP="00FD2C9E">
            <w:pPr>
              <w:pStyle w:val="Tabletextindent"/>
            </w:pPr>
            <w:r>
              <w:t xml:space="preserve">Agents of depositary </w:t>
            </w:r>
          </w:p>
        </w:tc>
        <w:tc>
          <w:tcPr>
            <w:tcW w:w="1134" w:type="dxa"/>
          </w:tcPr>
          <w:p w14:paraId="7682B736" w14:textId="4F67D9A0" w:rsidR="00FA6165" w:rsidRDefault="00FA6165" w:rsidP="00B6678C">
            <w:r>
              <w:t>1234H</w:t>
            </w:r>
          </w:p>
        </w:tc>
        <w:tc>
          <w:tcPr>
            <w:tcW w:w="5106" w:type="dxa"/>
            <w:vMerge/>
          </w:tcPr>
          <w:p w14:paraId="0FBB7D9E" w14:textId="77777777" w:rsidR="00FA6165" w:rsidRDefault="00FA6165" w:rsidP="00B6678C"/>
        </w:tc>
      </w:tr>
      <w:tr w:rsidR="00157F7A" w14:paraId="5DF0261F" w14:textId="77777777" w:rsidTr="00A26D20">
        <w:trPr>
          <w:cantSplit/>
        </w:trPr>
        <w:tc>
          <w:tcPr>
            <w:tcW w:w="3510" w:type="dxa"/>
          </w:tcPr>
          <w:p w14:paraId="305175D2" w14:textId="4D4602BE" w:rsidR="00157F7A" w:rsidRDefault="00157F7A" w:rsidP="000B403A">
            <w:pPr>
              <w:pStyle w:val="Tabletextindent"/>
            </w:pPr>
            <w:r>
              <w:t xml:space="preserve">Depositary </w:t>
            </w:r>
            <w:r w:rsidR="000B403A">
              <w:t xml:space="preserve">to </w:t>
            </w:r>
            <w:r>
              <w:t xml:space="preserve">hold assets </w:t>
            </w:r>
            <w:r w:rsidR="000B403A">
              <w:t xml:space="preserve">in of CCIV in a segregated manner and </w:t>
            </w:r>
            <w:r>
              <w:t xml:space="preserve">on trust for CCIV </w:t>
            </w:r>
          </w:p>
        </w:tc>
        <w:tc>
          <w:tcPr>
            <w:tcW w:w="1134" w:type="dxa"/>
          </w:tcPr>
          <w:p w14:paraId="4021CAB3" w14:textId="6C7019E6" w:rsidR="00157F7A" w:rsidRDefault="00157F7A" w:rsidP="00B6678C">
            <w:r>
              <w:t>1234J</w:t>
            </w:r>
          </w:p>
        </w:tc>
        <w:tc>
          <w:tcPr>
            <w:tcW w:w="5106" w:type="dxa"/>
            <w:vMerge/>
          </w:tcPr>
          <w:p w14:paraId="6B6A0935" w14:textId="72FEF758" w:rsidR="00157F7A" w:rsidRDefault="00157F7A" w:rsidP="00B6678C"/>
        </w:tc>
      </w:tr>
      <w:tr w:rsidR="000B403A" w14:paraId="73DDE100" w14:textId="77777777" w:rsidTr="00A26D20">
        <w:trPr>
          <w:cantSplit/>
        </w:trPr>
        <w:tc>
          <w:tcPr>
            <w:tcW w:w="3510" w:type="dxa"/>
          </w:tcPr>
          <w:p w14:paraId="1B8739DC" w14:textId="3CFD50F5" w:rsidR="000B403A" w:rsidRDefault="000B403A" w:rsidP="000B403A">
            <w:pPr>
              <w:pStyle w:val="Tabletextindent"/>
            </w:pPr>
            <w:r>
              <w:t>Depositary to deal with assets of CCIV on instructions</w:t>
            </w:r>
          </w:p>
        </w:tc>
        <w:tc>
          <w:tcPr>
            <w:tcW w:w="1134" w:type="dxa"/>
          </w:tcPr>
          <w:p w14:paraId="2DC374EE" w14:textId="5D17996C" w:rsidR="000B403A" w:rsidRDefault="000B403A" w:rsidP="00B6678C">
            <w:r>
              <w:t>1234K</w:t>
            </w:r>
          </w:p>
        </w:tc>
        <w:tc>
          <w:tcPr>
            <w:tcW w:w="5106" w:type="dxa"/>
            <w:vMerge/>
          </w:tcPr>
          <w:p w14:paraId="3E69974B" w14:textId="77777777" w:rsidR="000B403A" w:rsidRDefault="000B403A" w:rsidP="00B6678C"/>
        </w:tc>
      </w:tr>
      <w:tr w:rsidR="000B403A" w14:paraId="5AD09D7D" w14:textId="77777777" w:rsidTr="00A26D20">
        <w:trPr>
          <w:cantSplit/>
        </w:trPr>
        <w:tc>
          <w:tcPr>
            <w:tcW w:w="3510" w:type="dxa"/>
          </w:tcPr>
          <w:p w14:paraId="337A9FFA" w14:textId="4A923C4E" w:rsidR="000B403A" w:rsidRDefault="000B403A" w:rsidP="000B403A">
            <w:pPr>
              <w:pStyle w:val="Tabletextindent"/>
            </w:pPr>
            <w:r>
              <w:t>Depositary to have supervisory responsibility for certain activities carried out in relation to the CCIV</w:t>
            </w:r>
          </w:p>
        </w:tc>
        <w:tc>
          <w:tcPr>
            <w:tcW w:w="1134" w:type="dxa"/>
          </w:tcPr>
          <w:p w14:paraId="02581516" w14:textId="6720610A" w:rsidR="000B403A" w:rsidRDefault="000B403A" w:rsidP="00B6678C">
            <w:r>
              <w:t>1234L</w:t>
            </w:r>
          </w:p>
        </w:tc>
        <w:tc>
          <w:tcPr>
            <w:tcW w:w="5106" w:type="dxa"/>
            <w:vMerge/>
          </w:tcPr>
          <w:p w14:paraId="082DA99D" w14:textId="77777777" w:rsidR="000B403A" w:rsidRDefault="000B403A" w:rsidP="00B6678C"/>
        </w:tc>
      </w:tr>
      <w:tr w:rsidR="00157F7A" w14:paraId="6CCAFB05" w14:textId="77777777" w:rsidTr="00A26D20">
        <w:trPr>
          <w:cantSplit/>
        </w:trPr>
        <w:tc>
          <w:tcPr>
            <w:tcW w:w="3510" w:type="dxa"/>
          </w:tcPr>
          <w:p w14:paraId="7B7E385C" w14:textId="4C52A130" w:rsidR="00157F7A" w:rsidRDefault="00157F7A" w:rsidP="00B6678C">
            <w:pPr>
              <w:pStyle w:val="Tabletextindent"/>
            </w:pPr>
            <w:r>
              <w:t>Duties of a depositary</w:t>
            </w:r>
          </w:p>
        </w:tc>
        <w:tc>
          <w:tcPr>
            <w:tcW w:w="1134" w:type="dxa"/>
          </w:tcPr>
          <w:p w14:paraId="34452E4A" w14:textId="18FE94DE" w:rsidR="00157F7A" w:rsidRDefault="00157F7A" w:rsidP="00B6678C">
            <w:r>
              <w:t>1234N</w:t>
            </w:r>
          </w:p>
        </w:tc>
        <w:tc>
          <w:tcPr>
            <w:tcW w:w="5106" w:type="dxa"/>
            <w:vMerge/>
          </w:tcPr>
          <w:p w14:paraId="5D0D92F0" w14:textId="77777777" w:rsidR="00157F7A" w:rsidRDefault="00157F7A" w:rsidP="00B6678C"/>
        </w:tc>
      </w:tr>
      <w:tr w:rsidR="00157F7A" w14:paraId="7A914635" w14:textId="77777777" w:rsidTr="00A26D20">
        <w:trPr>
          <w:cantSplit/>
        </w:trPr>
        <w:tc>
          <w:tcPr>
            <w:tcW w:w="3510" w:type="dxa"/>
          </w:tcPr>
          <w:p w14:paraId="2C22D5E8" w14:textId="11E41808" w:rsidR="00157F7A" w:rsidRDefault="00157F7A" w:rsidP="000B403A">
            <w:pPr>
              <w:pStyle w:val="Tabletextindent"/>
            </w:pPr>
            <w:r>
              <w:t>Replacing</w:t>
            </w:r>
            <w:r w:rsidR="000B403A">
              <w:t xml:space="preserve"> the</w:t>
            </w:r>
            <w:r>
              <w:t xml:space="preserve"> depositary </w:t>
            </w:r>
          </w:p>
        </w:tc>
        <w:tc>
          <w:tcPr>
            <w:tcW w:w="1134" w:type="dxa"/>
          </w:tcPr>
          <w:p w14:paraId="4F74FA53" w14:textId="767A98AF" w:rsidR="00157F7A" w:rsidRDefault="000B403A" w:rsidP="00B6678C">
            <w:r>
              <w:t>1235 – 1235N</w:t>
            </w:r>
          </w:p>
        </w:tc>
        <w:tc>
          <w:tcPr>
            <w:tcW w:w="5106" w:type="dxa"/>
            <w:vMerge/>
          </w:tcPr>
          <w:p w14:paraId="55B42236" w14:textId="399798B6" w:rsidR="00157F7A" w:rsidRDefault="00157F7A" w:rsidP="00B6678C"/>
        </w:tc>
      </w:tr>
      <w:tr w:rsidR="006C5237" w14:paraId="432D8AEE" w14:textId="77777777" w:rsidTr="000071E0">
        <w:trPr>
          <w:cantSplit/>
        </w:trPr>
        <w:tc>
          <w:tcPr>
            <w:tcW w:w="4644" w:type="dxa"/>
            <w:gridSpan w:val="2"/>
          </w:tcPr>
          <w:p w14:paraId="084D01AB" w14:textId="76F6EBB9" w:rsidR="006C5237" w:rsidRDefault="006C5237" w:rsidP="00B6678C">
            <w:r>
              <w:rPr>
                <w:b/>
              </w:rPr>
              <w:t>What is the corporate director of a CCIV and what are its powers and obligations?</w:t>
            </w:r>
          </w:p>
        </w:tc>
        <w:tc>
          <w:tcPr>
            <w:tcW w:w="5106" w:type="dxa"/>
            <w:vMerge w:val="restart"/>
          </w:tcPr>
          <w:p w14:paraId="0FD4EB09" w14:textId="77777777" w:rsidR="006C5237" w:rsidRDefault="006C5237" w:rsidP="00B6678C">
            <w:r>
              <w:t xml:space="preserve">The CCIV must have, as its sole director, a public company that holds an AFSL authorising it to operate the business and conduct the affairs of the CCIV. </w:t>
            </w:r>
          </w:p>
          <w:p w14:paraId="79416ADF" w14:textId="58520120" w:rsidR="006C5237" w:rsidRDefault="006C5237" w:rsidP="00B6678C">
            <w:r>
              <w:t>The CCIV does not have any other officers or employees other than the corporate director. The primary exception to this is any liquidator, administrator or receiver appointed to the CCIV.</w:t>
            </w:r>
          </w:p>
          <w:p w14:paraId="045A3D60" w14:textId="542C594F" w:rsidR="006C5237" w:rsidRDefault="006C5237" w:rsidP="00B6678C">
            <w:r>
              <w:t>The corporate director of a CCIV has an obligation to operate the business and conduct the affairs of the CCIV. The corporate director must also perform the functions conferred on it by the CCIV’s constitution and the Act, as well as ensure the CCIV complies with its constitution and the Act.</w:t>
            </w:r>
          </w:p>
          <w:p w14:paraId="446B095C" w14:textId="4A5A332E" w:rsidR="006C5237" w:rsidRDefault="006C5237" w:rsidP="00B6678C">
            <w:r>
              <w:t xml:space="preserve">The corporate director of a CCIV may exercise all of the powers of the CCIV other than any power that must be exercised in a meeting of the members of the CCIV (or a sub-fund of the CCIV). </w:t>
            </w:r>
          </w:p>
          <w:p w14:paraId="41F549C0" w14:textId="57B1F9AC" w:rsidR="006C5237" w:rsidRDefault="006C5237" w:rsidP="00B6678C">
            <w:r>
              <w:t>The corporate director of a CCIV also owes statutory duties to the CCIV under Part 2D.1 of Chapter 2D of the Act in its capacity as an officer of the CCIV.</w:t>
            </w:r>
          </w:p>
          <w:p w14:paraId="61C40F54" w14:textId="3E111EAD" w:rsidR="006C5237" w:rsidRDefault="006C5237" w:rsidP="00B6678C">
            <w:r>
              <w:t xml:space="preserve">The corporate director of a retail CCIV, and the officers and employees of the corporate director, owe additional statutory duties to the members of the CCIV. These are based on the statutory duties a responsible entity and its officers and employees owe to the members of a registered scheme. </w:t>
            </w:r>
          </w:p>
          <w:p w14:paraId="54291D10" w14:textId="6DA2288C" w:rsidR="006C5237" w:rsidRDefault="006C5237" w:rsidP="00B6678C">
            <w:r>
              <w:t>The corporate director of a CCIV is liable for the acts of its agents and the agents of the CCIV, even if those acts are fraudulent or outside the scope of its authority.</w:t>
            </w:r>
          </w:p>
          <w:p w14:paraId="5790EB5D" w14:textId="76241C37" w:rsidR="006C5237" w:rsidRDefault="006C5237" w:rsidP="00B6678C">
            <w:r>
              <w:t xml:space="preserve">There are restrictions on the CCIV granting an indemnity or insuring an officer </w:t>
            </w:r>
            <w:r w:rsidRPr="006C5237">
              <w:t>or an auditor</w:t>
            </w:r>
            <w:r>
              <w:t xml:space="preserve"> of the CCIV, or an officer or auditor of the corporate director, from liability to the CCIV. </w:t>
            </w:r>
          </w:p>
          <w:p w14:paraId="0D45A091" w14:textId="05FAA35E" w:rsidR="006C5237" w:rsidRDefault="006C5237" w:rsidP="00C659CE">
            <w:r>
              <w:t>Refer to Chapter 5 of the explanatory materials for further detail.</w:t>
            </w:r>
          </w:p>
        </w:tc>
      </w:tr>
      <w:tr w:rsidR="00157F7A" w14:paraId="3012E0AD" w14:textId="77777777" w:rsidTr="00A26D20">
        <w:trPr>
          <w:cantSplit/>
        </w:trPr>
        <w:tc>
          <w:tcPr>
            <w:tcW w:w="3510" w:type="dxa"/>
          </w:tcPr>
          <w:p w14:paraId="4537A567" w14:textId="496BC9F2" w:rsidR="00157F7A" w:rsidRDefault="00E06B2B" w:rsidP="00B6678C">
            <w:pPr>
              <w:pStyle w:val="Tabletextindent"/>
            </w:pPr>
            <w:r>
              <w:t>Corporate director of the CCIV</w:t>
            </w:r>
          </w:p>
        </w:tc>
        <w:tc>
          <w:tcPr>
            <w:tcW w:w="1134" w:type="dxa"/>
          </w:tcPr>
          <w:p w14:paraId="02D12B33" w14:textId="472F163D" w:rsidR="00157F7A" w:rsidRDefault="00157F7A" w:rsidP="00B6678C">
            <w:r>
              <w:t>1231</w:t>
            </w:r>
            <w:r w:rsidR="00F51821">
              <w:t>;</w:t>
            </w:r>
            <w:r>
              <w:t xml:space="preserve"> 1238E</w:t>
            </w:r>
          </w:p>
        </w:tc>
        <w:tc>
          <w:tcPr>
            <w:tcW w:w="5106" w:type="dxa"/>
            <w:vMerge/>
          </w:tcPr>
          <w:p w14:paraId="2D7301A5" w14:textId="5D82A3BA" w:rsidR="00157F7A" w:rsidRDefault="00157F7A" w:rsidP="00B6678C"/>
        </w:tc>
      </w:tr>
      <w:tr w:rsidR="00E06B2B" w14:paraId="7C21DA8A" w14:textId="77777777" w:rsidTr="00A26D20">
        <w:trPr>
          <w:cantSplit/>
        </w:trPr>
        <w:tc>
          <w:tcPr>
            <w:tcW w:w="3510" w:type="dxa"/>
          </w:tcPr>
          <w:p w14:paraId="16F3A803" w14:textId="3862F200" w:rsidR="00E06B2B" w:rsidRDefault="00E06B2B" w:rsidP="00B6678C">
            <w:pPr>
              <w:pStyle w:val="Tabletextindent"/>
            </w:pPr>
            <w:r>
              <w:t>Appointment and removal of corporate director</w:t>
            </w:r>
          </w:p>
        </w:tc>
        <w:tc>
          <w:tcPr>
            <w:tcW w:w="1134" w:type="dxa"/>
          </w:tcPr>
          <w:p w14:paraId="1C813E74" w14:textId="7070BC9C" w:rsidR="00E06B2B" w:rsidRDefault="00E06B2B" w:rsidP="00B6678C">
            <w:r>
              <w:t>1238E –1238U</w:t>
            </w:r>
          </w:p>
        </w:tc>
        <w:tc>
          <w:tcPr>
            <w:tcW w:w="5106" w:type="dxa"/>
            <w:vMerge/>
          </w:tcPr>
          <w:p w14:paraId="2545A6EF" w14:textId="77777777" w:rsidR="00E06B2B" w:rsidRDefault="00E06B2B" w:rsidP="00B6678C"/>
        </w:tc>
      </w:tr>
      <w:tr w:rsidR="00E06B2B" w14:paraId="485C223D" w14:textId="77777777" w:rsidTr="00A26D20">
        <w:trPr>
          <w:cantSplit/>
        </w:trPr>
        <w:tc>
          <w:tcPr>
            <w:tcW w:w="3510" w:type="dxa"/>
          </w:tcPr>
          <w:p w14:paraId="2717720F" w14:textId="0B8AA72A" w:rsidR="00E06B2B" w:rsidRDefault="00E06B2B" w:rsidP="00B6678C">
            <w:pPr>
              <w:pStyle w:val="Tabletextindent"/>
            </w:pPr>
            <w:r>
              <w:t>Restriction on engagement of other directors</w:t>
            </w:r>
          </w:p>
        </w:tc>
        <w:tc>
          <w:tcPr>
            <w:tcW w:w="1134" w:type="dxa"/>
          </w:tcPr>
          <w:p w14:paraId="497F805E" w14:textId="69D38978" w:rsidR="00E06B2B" w:rsidRDefault="00E06B2B" w:rsidP="00B6678C">
            <w:r>
              <w:t>1238F</w:t>
            </w:r>
          </w:p>
        </w:tc>
        <w:tc>
          <w:tcPr>
            <w:tcW w:w="5106" w:type="dxa"/>
            <w:vMerge/>
          </w:tcPr>
          <w:p w14:paraId="3B6C6499" w14:textId="77777777" w:rsidR="00E06B2B" w:rsidRDefault="00E06B2B" w:rsidP="00B6678C"/>
        </w:tc>
      </w:tr>
      <w:tr w:rsidR="00E06B2B" w14:paraId="18BE4DB4" w14:textId="77777777" w:rsidTr="00A26D20">
        <w:trPr>
          <w:cantSplit/>
        </w:trPr>
        <w:tc>
          <w:tcPr>
            <w:tcW w:w="3510" w:type="dxa"/>
          </w:tcPr>
          <w:p w14:paraId="700762C1" w14:textId="2665E31A" w:rsidR="00E06B2B" w:rsidRDefault="00E06B2B" w:rsidP="00B6678C">
            <w:pPr>
              <w:pStyle w:val="Tabletextindent"/>
            </w:pPr>
            <w:r>
              <w:t>Restriction on appointment of other officers and employees</w:t>
            </w:r>
          </w:p>
        </w:tc>
        <w:tc>
          <w:tcPr>
            <w:tcW w:w="1134" w:type="dxa"/>
          </w:tcPr>
          <w:p w14:paraId="6664668B" w14:textId="4B0311C6" w:rsidR="00E06B2B" w:rsidRDefault="00E06B2B" w:rsidP="00B6678C">
            <w:r>
              <w:t>1239</w:t>
            </w:r>
          </w:p>
        </w:tc>
        <w:tc>
          <w:tcPr>
            <w:tcW w:w="5106" w:type="dxa"/>
            <w:vMerge/>
          </w:tcPr>
          <w:p w14:paraId="34BEDA02" w14:textId="77777777" w:rsidR="00E06B2B" w:rsidRDefault="00E06B2B" w:rsidP="00B6678C"/>
        </w:tc>
      </w:tr>
      <w:tr w:rsidR="00FA6165" w14:paraId="4C771154" w14:textId="77777777" w:rsidTr="00A26D20">
        <w:trPr>
          <w:cantSplit/>
        </w:trPr>
        <w:tc>
          <w:tcPr>
            <w:tcW w:w="3510" w:type="dxa"/>
          </w:tcPr>
          <w:p w14:paraId="6E532157" w14:textId="498F3FAB" w:rsidR="00FA6165" w:rsidRDefault="00E06B2B" w:rsidP="00E06B2B">
            <w:pPr>
              <w:pStyle w:val="Tabletextindent"/>
            </w:pPr>
            <w:r>
              <w:t>Additional statutory d</w:t>
            </w:r>
            <w:r w:rsidR="00FA6165">
              <w:t xml:space="preserve">uties of the corporate director </w:t>
            </w:r>
            <w:r>
              <w:t xml:space="preserve">of a retail CCIV </w:t>
            </w:r>
            <w:r w:rsidR="00FA6165">
              <w:t xml:space="preserve">(and its officers and employees) </w:t>
            </w:r>
          </w:p>
        </w:tc>
        <w:tc>
          <w:tcPr>
            <w:tcW w:w="1134" w:type="dxa"/>
          </w:tcPr>
          <w:p w14:paraId="0632FB1F" w14:textId="22EF273A" w:rsidR="00FA6165" w:rsidRDefault="00FA6165" w:rsidP="00B6678C">
            <w:r>
              <w:t>1237B</w:t>
            </w:r>
            <w:r w:rsidR="00A26D20">
              <w:t xml:space="preserve"> </w:t>
            </w:r>
            <w:r>
              <w:t>–1237F</w:t>
            </w:r>
          </w:p>
        </w:tc>
        <w:tc>
          <w:tcPr>
            <w:tcW w:w="5106" w:type="dxa"/>
            <w:vMerge/>
          </w:tcPr>
          <w:p w14:paraId="6CD8991E" w14:textId="77777777" w:rsidR="00FA6165" w:rsidRDefault="00FA6165" w:rsidP="00B6678C"/>
        </w:tc>
      </w:tr>
      <w:tr w:rsidR="0043564D" w14:paraId="6B6949A2" w14:textId="77777777" w:rsidTr="00A26D20">
        <w:trPr>
          <w:cantSplit/>
        </w:trPr>
        <w:tc>
          <w:tcPr>
            <w:tcW w:w="3510" w:type="dxa"/>
          </w:tcPr>
          <w:p w14:paraId="7B1C30A7" w14:textId="26CC3444" w:rsidR="0043564D" w:rsidRDefault="0043564D" w:rsidP="00B6678C">
            <w:pPr>
              <w:pStyle w:val="Tabletextindent"/>
            </w:pPr>
            <w:r>
              <w:t xml:space="preserve">Material personal interests </w:t>
            </w:r>
            <w:r w:rsidR="00E06B2B">
              <w:t>of directors of the corporate director</w:t>
            </w:r>
          </w:p>
        </w:tc>
        <w:tc>
          <w:tcPr>
            <w:tcW w:w="1134" w:type="dxa"/>
          </w:tcPr>
          <w:p w14:paraId="0383724E" w14:textId="15CA8705" w:rsidR="0043564D" w:rsidRDefault="0043564D" w:rsidP="00B6678C">
            <w:r>
              <w:t>1237G</w:t>
            </w:r>
            <w:r w:rsidR="00F51821">
              <w:t xml:space="preserve"> </w:t>
            </w:r>
            <w:r>
              <w:t>–1237H</w:t>
            </w:r>
          </w:p>
        </w:tc>
        <w:tc>
          <w:tcPr>
            <w:tcW w:w="5106" w:type="dxa"/>
            <w:vMerge/>
          </w:tcPr>
          <w:p w14:paraId="64C4C292" w14:textId="77777777" w:rsidR="0043564D" w:rsidRDefault="0043564D" w:rsidP="00B6678C"/>
        </w:tc>
      </w:tr>
      <w:tr w:rsidR="0043564D" w14:paraId="11B458AC" w14:textId="77777777" w:rsidTr="00A26D20">
        <w:trPr>
          <w:cantSplit/>
        </w:trPr>
        <w:tc>
          <w:tcPr>
            <w:tcW w:w="3510" w:type="dxa"/>
          </w:tcPr>
          <w:p w14:paraId="5C0412CE" w14:textId="178A5F83" w:rsidR="0043564D" w:rsidRDefault="0043564D" w:rsidP="00E06B2B">
            <w:pPr>
              <w:pStyle w:val="Tabletextindent"/>
            </w:pPr>
            <w:r>
              <w:t xml:space="preserve">Corporate director’s </w:t>
            </w:r>
            <w:r w:rsidR="00E06B2B">
              <w:t>powers and obligations</w:t>
            </w:r>
          </w:p>
        </w:tc>
        <w:tc>
          <w:tcPr>
            <w:tcW w:w="1134" w:type="dxa"/>
          </w:tcPr>
          <w:p w14:paraId="235253D6" w14:textId="6ACF21F7" w:rsidR="0043564D" w:rsidRDefault="0043564D" w:rsidP="00B6678C">
            <w:r>
              <w:t>1237J</w:t>
            </w:r>
          </w:p>
        </w:tc>
        <w:tc>
          <w:tcPr>
            <w:tcW w:w="5106" w:type="dxa"/>
            <w:vMerge/>
          </w:tcPr>
          <w:p w14:paraId="2866FAE8" w14:textId="77777777" w:rsidR="0043564D" w:rsidRDefault="0043564D" w:rsidP="00B6678C"/>
        </w:tc>
      </w:tr>
      <w:tr w:rsidR="0043564D" w14:paraId="758E92FC" w14:textId="77777777" w:rsidTr="00A26D20">
        <w:trPr>
          <w:cantSplit/>
        </w:trPr>
        <w:tc>
          <w:tcPr>
            <w:tcW w:w="3510" w:type="dxa"/>
          </w:tcPr>
          <w:p w14:paraId="2707F120" w14:textId="2019A595" w:rsidR="0043564D" w:rsidRDefault="0043564D" w:rsidP="00B6678C">
            <w:pPr>
              <w:pStyle w:val="Tabletextindent"/>
            </w:pPr>
            <w:r>
              <w:t>Liability of corporate director for agents</w:t>
            </w:r>
          </w:p>
        </w:tc>
        <w:tc>
          <w:tcPr>
            <w:tcW w:w="1134" w:type="dxa"/>
          </w:tcPr>
          <w:p w14:paraId="76BA24F9" w14:textId="6B19A733" w:rsidR="0043564D" w:rsidRDefault="0043564D" w:rsidP="00B6678C">
            <w:r>
              <w:t>1237K</w:t>
            </w:r>
          </w:p>
        </w:tc>
        <w:tc>
          <w:tcPr>
            <w:tcW w:w="5106" w:type="dxa"/>
            <w:vMerge/>
          </w:tcPr>
          <w:p w14:paraId="5E29682E" w14:textId="77777777" w:rsidR="0043564D" w:rsidRDefault="0043564D" w:rsidP="00B6678C"/>
        </w:tc>
      </w:tr>
      <w:tr w:rsidR="00FA6165" w14:paraId="0B975029" w14:textId="77777777" w:rsidTr="00332636">
        <w:trPr>
          <w:cantSplit/>
          <w:trHeight w:val="2560"/>
        </w:trPr>
        <w:tc>
          <w:tcPr>
            <w:tcW w:w="3510" w:type="dxa"/>
          </w:tcPr>
          <w:p w14:paraId="2F4013E7" w14:textId="327ED6A5" w:rsidR="00FA6165" w:rsidRDefault="00E06B2B" w:rsidP="00E06B2B">
            <w:pPr>
              <w:pStyle w:val="Tabletextindent"/>
            </w:pPr>
            <w:r>
              <w:t>Restrictions on indemnities, insurance and termination payments</w:t>
            </w:r>
          </w:p>
        </w:tc>
        <w:tc>
          <w:tcPr>
            <w:tcW w:w="1134" w:type="dxa"/>
          </w:tcPr>
          <w:p w14:paraId="48484F06" w14:textId="023D07A3" w:rsidR="00FA6165" w:rsidRDefault="00FA6165" w:rsidP="001367ED">
            <w:r>
              <w:t>1238</w:t>
            </w:r>
            <w:r w:rsidR="00A26D20">
              <w:t xml:space="preserve"> </w:t>
            </w:r>
            <w:r>
              <w:t>–1238D</w:t>
            </w:r>
          </w:p>
        </w:tc>
        <w:tc>
          <w:tcPr>
            <w:tcW w:w="5106" w:type="dxa"/>
            <w:vMerge/>
          </w:tcPr>
          <w:p w14:paraId="190C654F" w14:textId="77777777" w:rsidR="00FA6165" w:rsidRDefault="00FA6165" w:rsidP="00B6678C"/>
        </w:tc>
      </w:tr>
      <w:tr w:rsidR="006C5237" w14:paraId="606C13B3" w14:textId="77777777" w:rsidTr="0021515D">
        <w:trPr>
          <w:cantSplit/>
        </w:trPr>
        <w:tc>
          <w:tcPr>
            <w:tcW w:w="4644" w:type="dxa"/>
            <w:gridSpan w:val="2"/>
          </w:tcPr>
          <w:p w14:paraId="5DBA34A3" w14:textId="4C7F70EF" w:rsidR="006C5237" w:rsidRDefault="006C5237" w:rsidP="00B6678C">
            <w:r>
              <w:rPr>
                <w:b/>
              </w:rPr>
              <w:t>Compliance plan of a retail CCIV</w:t>
            </w:r>
          </w:p>
        </w:tc>
        <w:tc>
          <w:tcPr>
            <w:tcW w:w="5106" w:type="dxa"/>
            <w:vMerge w:val="restart"/>
          </w:tcPr>
          <w:p w14:paraId="0A31B5C0" w14:textId="77777777" w:rsidR="006C5237" w:rsidRDefault="006C5237" w:rsidP="00B6678C">
            <w:r w:rsidRPr="00BF6445">
              <w:t xml:space="preserve">A retail CCIV must have a compliance plan. A wholesale CCIV is not required to have </w:t>
            </w:r>
            <w:r>
              <w:t xml:space="preserve">a compliance plan. </w:t>
            </w:r>
          </w:p>
          <w:p w14:paraId="02DD6E59" w14:textId="77777777" w:rsidR="006C5237" w:rsidRDefault="006C5237" w:rsidP="00B6678C">
            <w:r>
              <w:t xml:space="preserve">A copy of the compliance plan must be lodged with ASIC (and signed by the directors of the corporate director). </w:t>
            </w:r>
          </w:p>
          <w:p w14:paraId="3185BE67" w14:textId="03DEFC84" w:rsidR="006C5237" w:rsidRDefault="006C5237" w:rsidP="00B6678C">
            <w:r>
              <w:t xml:space="preserve">The corporate director must ensure that the CCIV’s compliance plan meets the legislative requirements at all times. </w:t>
            </w:r>
          </w:p>
          <w:p w14:paraId="1D34C210" w14:textId="2A6E6103" w:rsidR="006C5237" w:rsidRDefault="006C5237" w:rsidP="00B6678C">
            <w:r w:rsidRPr="00BF6445">
              <w:t>T</w:t>
            </w:r>
            <w:r w:rsidRPr="00BF6445" w:rsidDel="002138BB">
              <w:t>he corporate director</w:t>
            </w:r>
            <w:r w:rsidRPr="00BF6445">
              <w:t xml:space="preserve">’s responsibilities in relation to the compliance plan are similar to those </w:t>
            </w:r>
            <w:r>
              <w:t>of</w:t>
            </w:r>
            <w:r w:rsidRPr="00BF6445">
              <w:t xml:space="preserve"> responsible entities of registered schemes. However, unlike for registered schemes, there are no prescribed content requirements for a CCIV’s compliance plan</w:t>
            </w:r>
            <w:r>
              <w:t xml:space="preserve">. </w:t>
            </w:r>
          </w:p>
          <w:p w14:paraId="45F9136B" w14:textId="505E9CBC" w:rsidR="006C5237" w:rsidRDefault="006C5237" w:rsidP="00B6678C">
            <w:r>
              <w:t>The corporate director may amend the CCIV’s compliance plan or repeal and replace it. ASIC may also direct the corporate director to modify the CCIV’s compliance plan. This amended compliance plan must also be lodged with ASIC.</w:t>
            </w:r>
          </w:p>
          <w:p w14:paraId="0212A61F" w14:textId="77777777" w:rsidR="006C5237" w:rsidRDefault="006C5237" w:rsidP="00FD06B5">
            <w:r>
              <w:t>The compliance plan must be audited by a registered company auditor.</w:t>
            </w:r>
          </w:p>
          <w:p w14:paraId="4B824A60" w14:textId="7B59F1A3" w:rsidR="006C5237" w:rsidRDefault="006C5237" w:rsidP="00B6678C">
            <w:r>
              <w:t xml:space="preserve">Refer to Chapter 5 of the explanatory materials for further information. </w:t>
            </w:r>
          </w:p>
        </w:tc>
      </w:tr>
      <w:tr w:rsidR="006C7852" w14:paraId="257AF72A" w14:textId="77777777" w:rsidTr="00A26D20">
        <w:trPr>
          <w:cantSplit/>
        </w:trPr>
        <w:tc>
          <w:tcPr>
            <w:tcW w:w="3510" w:type="dxa"/>
          </w:tcPr>
          <w:p w14:paraId="253B893C" w14:textId="6FDD0A19" w:rsidR="006C7852" w:rsidRDefault="00FD06B5" w:rsidP="00401A25">
            <w:pPr>
              <w:pStyle w:val="Tabletextindent"/>
            </w:pPr>
            <w:r>
              <w:t>R</w:t>
            </w:r>
            <w:r w:rsidR="006C7852">
              <w:t>etail CCIV must have a compliance plan</w:t>
            </w:r>
          </w:p>
        </w:tc>
        <w:tc>
          <w:tcPr>
            <w:tcW w:w="1134" w:type="dxa"/>
          </w:tcPr>
          <w:p w14:paraId="780C9225" w14:textId="1D89D6C0" w:rsidR="006C7852" w:rsidRDefault="006C7852" w:rsidP="00747ADD">
            <w:r>
              <w:t>1241 –1241A</w:t>
            </w:r>
          </w:p>
        </w:tc>
        <w:tc>
          <w:tcPr>
            <w:tcW w:w="5106" w:type="dxa"/>
            <w:vMerge/>
          </w:tcPr>
          <w:p w14:paraId="154F7CFF" w14:textId="414EC427" w:rsidR="006C7852" w:rsidRDefault="006C7852" w:rsidP="00B6678C"/>
        </w:tc>
      </w:tr>
      <w:tr w:rsidR="006C7852" w14:paraId="0C658785" w14:textId="77777777" w:rsidTr="00A26D20">
        <w:trPr>
          <w:cantSplit/>
        </w:trPr>
        <w:tc>
          <w:tcPr>
            <w:tcW w:w="3510" w:type="dxa"/>
          </w:tcPr>
          <w:p w14:paraId="744C7371" w14:textId="21A958B1" w:rsidR="006C7852" w:rsidRDefault="006C7852" w:rsidP="00F51821">
            <w:pPr>
              <w:pStyle w:val="Tabletextindent"/>
            </w:pPr>
            <w:r>
              <w:t>Content of compliance plan</w:t>
            </w:r>
          </w:p>
        </w:tc>
        <w:tc>
          <w:tcPr>
            <w:tcW w:w="1134" w:type="dxa"/>
          </w:tcPr>
          <w:p w14:paraId="33F59D14" w14:textId="75195B53" w:rsidR="006C7852" w:rsidRDefault="00747ADD" w:rsidP="00B6678C">
            <w:r>
              <w:t>1241B –</w:t>
            </w:r>
            <w:r w:rsidR="006C7852">
              <w:t>1241C</w:t>
            </w:r>
          </w:p>
        </w:tc>
        <w:tc>
          <w:tcPr>
            <w:tcW w:w="5106" w:type="dxa"/>
            <w:vMerge/>
          </w:tcPr>
          <w:p w14:paraId="7097D8D0" w14:textId="250672F3" w:rsidR="006C7852" w:rsidRDefault="006C7852" w:rsidP="00B6678C"/>
        </w:tc>
      </w:tr>
      <w:tr w:rsidR="00BF6445" w14:paraId="4CA3FE55" w14:textId="77777777" w:rsidTr="00A26D20">
        <w:trPr>
          <w:cantSplit/>
        </w:trPr>
        <w:tc>
          <w:tcPr>
            <w:tcW w:w="3510" w:type="dxa"/>
          </w:tcPr>
          <w:p w14:paraId="7E42DDA8" w14:textId="1D8D6A1D" w:rsidR="00BF6445" w:rsidRDefault="00BF6445" w:rsidP="00B6678C">
            <w:pPr>
              <w:pStyle w:val="Tabletextindent"/>
            </w:pPr>
            <w:r>
              <w:t>Lodging compliance plan with ASIC</w:t>
            </w:r>
          </w:p>
        </w:tc>
        <w:tc>
          <w:tcPr>
            <w:tcW w:w="1134" w:type="dxa"/>
          </w:tcPr>
          <w:p w14:paraId="663E642D" w14:textId="05116B52" w:rsidR="00BF6445" w:rsidRDefault="00BF6445" w:rsidP="00B6678C">
            <w:r>
              <w:t>1241A; 1241D</w:t>
            </w:r>
          </w:p>
        </w:tc>
        <w:tc>
          <w:tcPr>
            <w:tcW w:w="5106" w:type="dxa"/>
            <w:vMerge/>
          </w:tcPr>
          <w:p w14:paraId="0295ECA4" w14:textId="77777777" w:rsidR="00BF6445" w:rsidRDefault="00BF6445" w:rsidP="00B6678C"/>
        </w:tc>
      </w:tr>
      <w:tr w:rsidR="006C7852" w14:paraId="46BA6C18" w14:textId="77777777" w:rsidTr="00A26D20">
        <w:trPr>
          <w:cantSplit/>
        </w:trPr>
        <w:tc>
          <w:tcPr>
            <w:tcW w:w="3510" w:type="dxa"/>
          </w:tcPr>
          <w:p w14:paraId="7A144C27" w14:textId="281B4C0B" w:rsidR="006C7852" w:rsidRDefault="00BF6445" w:rsidP="00B6678C">
            <w:pPr>
              <w:pStyle w:val="Tabletextindent"/>
            </w:pPr>
            <w:r>
              <w:t>Amending</w:t>
            </w:r>
            <w:r w:rsidR="006C7852">
              <w:t xml:space="preserve"> the compliance plan</w:t>
            </w:r>
          </w:p>
        </w:tc>
        <w:tc>
          <w:tcPr>
            <w:tcW w:w="1134" w:type="dxa"/>
          </w:tcPr>
          <w:p w14:paraId="77BA7079" w14:textId="702F8768" w:rsidR="006C7852" w:rsidRDefault="006C7852" w:rsidP="00B6678C">
            <w:r>
              <w:t>1241F</w:t>
            </w:r>
          </w:p>
        </w:tc>
        <w:tc>
          <w:tcPr>
            <w:tcW w:w="5106" w:type="dxa"/>
            <w:vMerge/>
          </w:tcPr>
          <w:p w14:paraId="4679B8FC" w14:textId="042C13AA" w:rsidR="006C7852" w:rsidRDefault="006C7852" w:rsidP="00B6678C"/>
        </w:tc>
      </w:tr>
      <w:tr w:rsidR="006C7852" w14:paraId="6FF54691" w14:textId="77777777" w:rsidTr="00A26D20">
        <w:trPr>
          <w:cantSplit/>
        </w:trPr>
        <w:tc>
          <w:tcPr>
            <w:tcW w:w="3510" w:type="dxa"/>
          </w:tcPr>
          <w:p w14:paraId="31C2D807" w14:textId="717D328E" w:rsidR="006C7852" w:rsidRDefault="006C7852" w:rsidP="006C7852">
            <w:pPr>
              <w:pStyle w:val="Tabletextindent"/>
            </w:pPr>
            <w:r>
              <w:t>Requirement to audit the compliance plan</w:t>
            </w:r>
          </w:p>
        </w:tc>
        <w:tc>
          <w:tcPr>
            <w:tcW w:w="1134" w:type="dxa"/>
          </w:tcPr>
          <w:p w14:paraId="1AE64116" w14:textId="21DC014B" w:rsidR="006C7852" w:rsidRDefault="006C7852" w:rsidP="00B6678C">
            <w:r>
              <w:t xml:space="preserve">1241H </w:t>
            </w:r>
          </w:p>
        </w:tc>
        <w:tc>
          <w:tcPr>
            <w:tcW w:w="5106" w:type="dxa"/>
            <w:vMerge/>
          </w:tcPr>
          <w:p w14:paraId="0E5BB9D8" w14:textId="370E9930" w:rsidR="006C7852" w:rsidRDefault="006C7852" w:rsidP="00B6678C"/>
        </w:tc>
      </w:tr>
      <w:tr w:rsidR="006C7852" w14:paraId="005B9BC0" w14:textId="77777777" w:rsidTr="00A26D20">
        <w:trPr>
          <w:cantSplit/>
        </w:trPr>
        <w:tc>
          <w:tcPr>
            <w:tcW w:w="3510" w:type="dxa"/>
          </w:tcPr>
          <w:p w14:paraId="03B1DCA4" w14:textId="6C274FBF" w:rsidR="006C7852" w:rsidRDefault="006C7852" w:rsidP="00B6678C">
            <w:pPr>
              <w:pStyle w:val="Tabletextindent"/>
            </w:pPr>
            <w:r>
              <w:t>Eligibility to be auditor of compliance plan</w:t>
            </w:r>
          </w:p>
        </w:tc>
        <w:tc>
          <w:tcPr>
            <w:tcW w:w="1134" w:type="dxa"/>
          </w:tcPr>
          <w:p w14:paraId="596A3C0B" w14:textId="54CCD635" w:rsidR="006C7852" w:rsidRDefault="006C7852" w:rsidP="00B6678C">
            <w:r>
              <w:t>1241H</w:t>
            </w:r>
          </w:p>
        </w:tc>
        <w:tc>
          <w:tcPr>
            <w:tcW w:w="5106" w:type="dxa"/>
            <w:vMerge/>
          </w:tcPr>
          <w:p w14:paraId="5B8E623D" w14:textId="2C920038" w:rsidR="006C7852" w:rsidRDefault="006C7852" w:rsidP="00B6678C"/>
        </w:tc>
      </w:tr>
      <w:tr w:rsidR="006C7852" w14:paraId="15959A1B" w14:textId="77777777" w:rsidTr="00A26D20">
        <w:trPr>
          <w:cantSplit/>
        </w:trPr>
        <w:tc>
          <w:tcPr>
            <w:tcW w:w="3510" w:type="dxa"/>
          </w:tcPr>
          <w:p w14:paraId="1B8E8EE7" w14:textId="5DECA648" w:rsidR="006C7852" w:rsidRDefault="006C7852" w:rsidP="00B6678C">
            <w:pPr>
              <w:pStyle w:val="Tabletextindent"/>
            </w:pPr>
            <w:r>
              <w:t>Conducting audit</w:t>
            </w:r>
            <w:r w:rsidR="00FD06B5">
              <w:t xml:space="preserve"> of compliance plan</w:t>
            </w:r>
          </w:p>
        </w:tc>
        <w:tc>
          <w:tcPr>
            <w:tcW w:w="1134" w:type="dxa"/>
          </w:tcPr>
          <w:p w14:paraId="470CF268" w14:textId="14B463DA" w:rsidR="006C7852" w:rsidRDefault="006C7852" w:rsidP="00B6678C">
            <w:r>
              <w:t>1241J</w:t>
            </w:r>
          </w:p>
        </w:tc>
        <w:tc>
          <w:tcPr>
            <w:tcW w:w="5106" w:type="dxa"/>
            <w:vMerge/>
          </w:tcPr>
          <w:p w14:paraId="56BC6C5A" w14:textId="1AFA1F67" w:rsidR="006C7852" w:rsidRDefault="006C7852" w:rsidP="00B6678C"/>
        </w:tc>
      </w:tr>
      <w:tr w:rsidR="006C7852" w14:paraId="63CF35CA" w14:textId="77777777" w:rsidTr="00A26D20">
        <w:trPr>
          <w:cantSplit/>
        </w:trPr>
        <w:tc>
          <w:tcPr>
            <w:tcW w:w="3510" w:type="dxa"/>
          </w:tcPr>
          <w:p w14:paraId="2ADA774D" w14:textId="0878D5BF" w:rsidR="006C7852" w:rsidRDefault="006C7852" w:rsidP="00B6678C">
            <w:pPr>
              <w:pStyle w:val="Tabletextindent"/>
            </w:pPr>
            <w:r>
              <w:t>Contraventions by auditor</w:t>
            </w:r>
          </w:p>
        </w:tc>
        <w:tc>
          <w:tcPr>
            <w:tcW w:w="1134" w:type="dxa"/>
          </w:tcPr>
          <w:p w14:paraId="1A1F92C0" w14:textId="1EACAED9" w:rsidR="006C7852" w:rsidRDefault="006C7852" w:rsidP="00B6678C">
            <w:r>
              <w:t>1241K</w:t>
            </w:r>
          </w:p>
        </w:tc>
        <w:tc>
          <w:tcPr>
            <w:tcW w:w="5106" w:type="dxa"/>
            <w:vMerge/>
          </w:tcPr>
          <w:p w14:paraId="484D980E" w14:textId="29D13702" w:rsidR="006C7852" w:rsidRDefault="006C7852" w:rsidP="00B6678C"/>
        </w:tc>
      </w:tr>
      <w:tr w:rsidR="006C7852" w14:paraId="27B594A4" w14:textId="77777777" w:rsidTr="00A26D20">
        <w:trPr>
          <w:cantSplit/>
        </w:trPr>
        <w:tc>
          <w:tcPr>
            <w:tcW w:w="3510" w:type="dxa"/>
          </w:tcPr>
          <w:p w14:paraId="21B6F7BE" w14:textId="14FA60A7" w:rsidR="006C7852" w:rsidRDefault="006C7852" w:rsidP="00B6678C">
            <w:pPr>
              <w:pStyle w:val="Tabletextindent"/>
            </w:pPr>
            <w:r>
              <w:t>Removal and resignation of auditor</w:t>
            </w:r>
          </w:p>
        </w:tc>
        <w:tc>
          <w:tcPr>
            <w:tcW w:w="1134" w:type="dxa"/>
          </w:tcPr>
          <w:p w14:paraId="034AF105" w14:textId="3063C4CC" w:rsidR="006C7852" w:rsidRDefault="006C7852" w:rsidP="00B6678C">
            <w:r>
              <w:t>1241L – 1241M</w:t>
            </w:r>
          </w:p>
        </w:tc>
        <w:tc>
          <w:tcPr>
            <w:tcW w:w="5106" w:type="dxa"/>
            <w:vMerge/>
          </w:tcPr>
          <w:p w14:paraId="6D0D063F" w14:textId="1C62108C" w:rsidR="006C7852" w:rsidRDefault="006C7852" w:rsidP="00B6678C"/>
        </w:tc>
      </w:tr>
      <w:tr w:rsidR="006C5237" w14:paraId="0C8770D4" w14:textId="77777777" w:rsidTr="000360E2">
        <w:trPr>
          <w:cantSplit/>
        </w:trPr>
        <w:tc>
          <w:tcPr>
            <w:tcW w:w="4644" w:type="dxa"/>
            <w:gridSpan w:val="2"/>
          </w:tcPr>
          <w:p w14:paraId="20984721" w14:textId="1C50F1AD" w:rsidR="006C5237" w:rsidRDefault="006C5237" w:rsidP="00B6678C">
            <w:r>
              <w:rPr>
                <w:b/>
              </w:rPr>
              <w:t xml:space="preserve">Related party transactions </w:t>
            </w:r>
          </w:p>
        </w:tc>
        <w:tc>
          <w:tcPr>
            <w:tcW w:w="5106" w:type="dxa"/>
            <w:vMerge w:val="restart"/>
          </w:tcPr>
          <w:p w14:paraId="7A622F56" w14:textId="77777777" w:rsidR="006C5237" w:rsidRDefault="006C5237" w:rsidP="0043564D">
            <w:pPr>
              <w:pStyle w:val="Tabletext"/>
            </w:pPr>
            <w:r w:rsidRPr="0047552F">
              <w:t>A CCIV must obtain the approval of the members of each affected sub-fund if the CCIV wishes to give a financial benefit to a related party.</w:t>
            </w:r>
          </w:p>
          <w:p w14:paraId="23BEF71F" w14:textId="3A7CAD20" w:rsidR="006C5237" w:rsidRPr="0047552F" w:rsidRDefault="006C5237" w:rsidP="0043564D">
            <w:pPr>
              <w:pStyle w:val="Tabletext"/>
            </w:pPr>
            <w:r>
              <w:t>The key exception to this is for fees or indemnities payable to the corporate director of the CCIV for the proper performance of its duties to the CCIV.</w:t>
            </w:r>
            <w:r w:rsidR="00747ADD">
              <w:t xml:space="preserve"> </w:t>
            </w:r>
            <w:r>
              <w:t xml:space="preserve">A retail CCIV is required to specify these benefits in its constitution. </w:t>
            </w:r>
          </w:p>
          <w:p w14:paraId="701B23EB" w14:textId="4497E5A9" w:rsidR="006C5237" w:rsidRDefault="006C5237" w:rsidP="0043564D">
            <w:pPr>
              <w:pStyle w:val="Tabletext"/>
            </w:pPr>
            <w:r w:rsidRPr="0047552F">
              <w:t xml:space="preserve">The related parties of a CCIV </w:t>
            </w:r>
            <w:r>
              <w:t>include</w:t>
            </w:r>
            <w:r w:rsidRPr="0047552F">
              <w:t xml:space="preserve"> entities that control the corporate director, an agent of the corporate director, and the directors of the corporate director (and their relatives)</w:t>
            </w:r>
            <w:r>
              <w:t xml:space="preserve">, among others. </w:t>
            </w:r>
          </w:p>
          <w:p w14:paraId="0CED73FD" w14:textId="1252705F" w:rsidR="006C5237" w:rsidRDefault="006C5237" w:rsidP="00B6678C">
            <w:r>
              <w:t>Refer to Chapter 6 of the exposure explanatory materials for further information.</w:t>
            </w:r>
          </w:p>
        </w:tc>
      </w:tr>
      <w:tr w:rsidR="00157F7A" w14:paraId="6C7C5E54" w14:textId="77777777" w:rsidTr="00A26D20">
        <w:trPr>
          <w:cantSplit/>
        </w:trPr>
        <w:tc>
          <w:tcPr>
            <w:tcW w:w="3510" w:type="dxa"/>
          </w:tcPr>
          <w:p w14:paraId="51755A36" w14:textId="339B98D2" w:rsidR="00157F7A" w:rsidRPr="00592307" w:rsidRDefault="00157F7A" w:rsidP="00E534E5">
            <w:pPr>
              <w:pStyle w:val="Tabletextindent"/>
            </w:pPr>
            <w:r>
              <w:t xml:space="preserve">Member approval for </w:t>
            </w:r>
            <w:r w:rsidR="00E534E5">
              <w:t xml:space="preserve">the </w:t>
            </w:r>
            <w:r>
              <w:t xml:space="preserve">giving </w:t>
            </w:r>
            <w:r w:rsidR="00E534E5">
              <w:t xml:space="preserve">of </w:t>
            </w:r>
            <w:r>
              <w:t>a financial benefit to a related party</w:t>
            </w:r>
            <w:r w:rsidR="00E534E5">
              <w:t xml:space="preserve"> by the CCIV</w:t>
            </w:r>
          </w:p>
        </w:tc>
        <w:tc>
          <w:tcPr>
            <w:tcW w:w="1134" w:type="dxa"/>
          </w:tcPr>
          <w:p w14:paraId="1E12A51B" w14:textId="36ACD18C" w:rsidR="00157F7A" w:rsidRDefault="0043564D" w:rsidP="00B6678C">
            <w:r>
              <w:t>1242A</w:t>
            </w:r>
          </w:p>
        </w:tc>
        <w:tc>
          <w:tcPr>
            <w:tcW w:w="5106" w:type="dxa"/>
            <w:vMerge/>
          </w:tcPr>
          <w:p w14:paraId="4C54CE55" w14:textId="68AE1B4A" w:rsidR="00157F7A" w:rsidRDefault="00157F7A" w:rsidP="00B6678C"/>
        </w:tc>
      </w:tr>
      <w:tr w:rsidR="00157F7A" w14:paraId="0816CE0F" w14:textId="77777777" w:rsidTr="00A26D20">
        <w:trPr>
          <w:cantSplit/>
        </w:trPr>
        <w:tc>
          <w:tcPr>
            <w:tcW w:w="3510" w:type="dxa"/>
          </w:tcPr>
          <w:p w14:paraId="366623BE" w14:textId="13A21AEE" w:rsidR="00157F7A" w:rsidRDefault="00157F7A" w:rsidP="00E17506">
            <w:pPr>
              <w:pStyle w:val="Tabletextindent"/>
            </w:pPr>
            <w:r>
              <w:t>Exceptions to requiring member approval for related party transactions</w:t>
            </w:r>
          </w:p>
        </w:tc>
        <w:tc>
          <w:tcPr>
            <w:tcW w:w="1134" w:type="dxa"/>
          </w:tcPr>
          <w:p w14:paraId="0775F6E9" w14:textId="25265CE0" w:rsidR="00157F7A" w:rsidRDefault="0043564D" w:rsidP="00B6678C">
            <w:r>
              <w:t>1242B</w:t>
            </w:r>
            <w:r w:rsidR="00E534E5">
              <w:t xml:space="preserve"> </w:t>
            </w:r>
            <w:r>
              <w:t>–</w:t>
            </w:r>
            <w:r w:rsidR="00E534E5">
              <w:t xml:space="preserve"> </w:t>
            </w:r>
            <w:r>
              <w:t>1242C</w:t>
            </w:r>
          </w:p>
        </w:tc>
        <w:tc>
          <w:tcPr>
            <w:tcW w:w="5106" w:type="dxa"/>
            <w:vMerge/>
          </w:tcPr>
          <w:p w14:paraId="538DF5AD" w14:textId="37CC8123" w:rsidR="00157F7A" w:rsidRDefault="00157F7A" w:rsidP="00B6678C"/>
        </w:tc>
      </w:tr>
      <w:tr w:rsidR="00E55E74" w14:paraId="7AF5577F" w14:textId="77777777" w:rsidTr="00A26D20">
        <w:trPr>
          <w:cantSplit/>
        </w:trPr>
        <w:tc>
          <w:tcPr>
            <w:tcW w:w="3510" w:type="dxa"/>
          </w:tcPr>
          <w:p w14:paraId="6F47EBA4" w14:textId="47027C0C" w:rsidR="00E55E74" w:rsidRDefault="00E55E74" w:rsidP="00E17506">
            <w:pPr>
              <w:pStyle w:val="Tabletextindent"/>
            </w:pPr>
            <w:r>
              <w:t>Procedure for obtaining member approval</w:t>
            </w:r>
          </w:p>
        </w:tc>
        <w:tc>
          <w:tcPr>
            <w:tcW w:w="1134" w:type="dxa"/>
          </w:tcPr>
          <w:p w14:paraId="3527D389" w14:textId="36AC7370" w:rsidR="00E55E74" w:rsidRDefault="007343F7" w:rsidP="00B6678C">
            <w:r>
              <w:t>1242D</w:t>
            </w:r>
            <w:r w:rsidR="006048E8">
              <w:t xml:space="preserve"> – 1242E</w:t>
            </w:r>
          </w:p>
        </w:tc>
        <w:tc>
          <w:tcPr>
            <w:tcW w:w="5106" w:type="dxa"/>
            <w:vMerge/>
          </w:tcPr>
          <w:p w14:paraId="53EB0A42" w14:textId="77777777" w:rsidR="00E55E74" w:rsidRDefault="00E55E74" w:rsidP="00B6678C"/>
        </w:tc>
      </w:tr>
      <w:tr w:rsidR="00157F7A" w14:paraId="18593A07" w14:textId="77777777" w:rsidTr="00A26D20">
        <w:trPr>
          <w:cantSplit/>
        </w:trPr>
        <w:tc>
          <w:tcPr>
            <w:tcW w:w="3510" w:type="dxa"/>
          </w:tcPr>
          <w:p w14:paraId="549F5590" w14:textId="1B270E7D" w:rsidR="00157F7A" w:rsidRDefault="00157F7A" w:rsidP="00E17506">
            <w:pPr>
              <w:pStyle w:val="Tabletextindent"/>
            </w:pPr>
            <w:r>
              <w:t>Related parties of a CCIV</w:t>
            </w:r>
          </w:p>
        </w:tc>
        <w:tc>
          <w:tcPr>
            <w:tcW w:w="1134" w:type="dxa"/>
          </w:tcPr>
          <w:p w14:paraId="7FA2494E" w14:textId="6BB9464C" w:rsidR="00157F7A" w:rsidRDefault="0043564D" w:rsidP="00B6678C">
            <w:r>
              <w:t>1242F</w:t>
            </w:r>
          </w:p>
        </w:tc>
        <w:tc>
          <w:tcPr>
            <w:tcW w:w="5106" w:type="dxa"/>
            <w:vMerge/>
          </w:tcPr>
          <w:p w14:paraId="0FE326EE" w14:textId="6207DCEA" w:rsidR="00157F7A" w:rsidRDefault="00157F7A" w:rsidP="00B6678C"/>
        </w:tc>
      </w:tr>
      <w:tr w:rsidR="006C5237" w14:paraId="1F1AA7E6" w14:textId="77777777" w:rsidTr="00F279D6">
        <w:trPr>
          <w:cantSplit/>
        </w:trPr>
        <w:tc>
          <w:tcPr>
            <w:tcW w:w="4644" w:type="dxa"/>
            <w:gridSpan w:val="2"/>
          </w:tcPr>
          <w:p w14:paraId="03FECBB7" w14:textId="0B5A8C70" w:rsidR="006C5237" w:rsidRDefault="006C5237" w:rsidP="00B6678C">
            <w:r>
              <w:rPr>
                <w:b/>
              </w:rPr>
              <w:t>Members’ rights and remedies</w:t>
            </w:r>
          </w:p>
        </w:tc>
        <w:tc>
          <w:tcPr>
            <w:tcW w:w="5106" w:type="dxa"/>
            <w:vMerge w:val="restart"/>
          </w:tcPr>
          <w:p w14:paraId="1FF0565F" w14:textId="77777777" w:rsidR="006C5237" w:rsidRDefault="006C5237" w:rsidP="0043564D">
            <w:pPr>
              <w:pStyle w:val="Tabletext"/>
            </w:pPr>
            <w:r w:rsidRPr="0047552F">
              <w:t>Similar to other companies, members of a CCIV are able to seek remedy against a CCIV if its affairs are being conducted in a manner that is contrary to the interests of the members of the CCIV (as a whole) or is oppressive to a member, or class of members, of the CCIV. The grounds for a court order are not exhaustive and include an order to modify or repeal the CCIV’s constitution</w:t>
            </w:r>
            <w:r>
              <w:t>.</w:t>
            </w:r>
          </w:p>
          <w:p w14:paraId="6DF19177" w14:textId="55F123CC" w:rsidR="006C5237" w:rsidRDefault="006C5237" w:rsidP="00B6678C">
            <w:r>
              <w:t xml:space="preserve">A member of a CCIV may bring, or intervene in, legal proceedings on behalf of the CCIV in certain circumstances. </w:t>
            </w:r>
          </w:p>
          <w:p w14:paraId="5998CCAE" w14:textId="0C55E36E" w:rsidR="006C5237" w:rsidRDefault="006C5237" w:rsidP="00B6678C">
            <w:r>
              <w:t>The CCIV must comply with the relevant procedures for varying and cancelling class rights in the same way that other companies are required to do so.</w:t>
            </w:r>
          </w:p>
          <w:p w14:paraId="10DD1406" w14:textId="2C193745" w:rsidR="006C5237" w:rsidRDefault="006C5237" w:rsidP="00B6678C">
            <w:r>
              <w:t>Certain actions are taken to vary rights attached to shares of a CCIV in the same way that certain actions are taken to vary the rights attached to shares of other companies.</w:t>
            </w:r>
          </w:p>
          <w:p w14:paraId="60D9D058" w14:textId="4166EF86" w:rsidR="006C5237" w:rsidRDefault="006C5237" w:rsidP="00C659CE">
            <w:r>
              <w:t>Refer to Chapter 6 of the explanatory materials for further information.</w:t>
            </w:r>
          </w:p>
        </w:tc>
      </w:tr>
      <w:tr w:rsidR="00157F7A" w14:paraId="6D3D810E" w14:textId="77777777" w:rsidTr="00A26D20">
        <w:trPr>
          <w:cantSplit/>
        </w:trPr>
        <w:tc>
          <w:tcPr>
            <w:tcW w:w="3510" w:type="dxa"/>
          </w:tcPr>
          <w:p w14:paraId="2292B7F7" w14:textId="2BFB0F9F" w:rsidR="00157F7A" w:rsidRDefault="004C2EBB" w:rsidP="004C2EBB">
            <w:pPr>
              <w:pStyle w:val="Tabletextindent"/>
            </w:pPr>
            <w:r>
              <w:t>Oppressive conduct of affairs</w:t>
            </w:r>
          </w:p>
        </w:tc>
        <w:tc>
          <w:tcPr>
            <w:tcW w:w="1134" w:type="dxa"/>
          </w:tcPr>
          <w:p w14:paraId="71A8471C" w14:textId="599307F3" w:rsidR="00157F7A" w:rsidRDefault="00157F7A" w:rsidP="004C2EBB">
            <w:r>
              <w:t>1243</w:t>
            </w:r>
            <w:r w:rsidR="00A26D20">
              <w:t xml:space="preserve"> </w:t>
            </w:r>
          </w:p>
        </w:tc>
        <w:tc>
          <w:tcPr>
            <w:tcW w:w="5106" w:type="dxa"/>
            <w:vMerge/>
          </w:tcPr>
          <w:p w14:paraId="5FBCE8D8" w14:textId="1CA42E75" w:rsidR="00157F7A" w:rsidRDefault="00157F7A" w:rsidP="00B6678C"/>
        </w:tc>
      </w:tr>
      <w:tr w:rsidR="004C2EBB" w14:paraId="607D06A3" w14:textId="77777777" w:rsidTr="00A26D20">
        <w:trPr>
          <w:cantSplit/>
        </w:trPr>
        <w:tc>
          <w:tcPr>
            <w:tcW w:w="3510" w:type="dxa"/>
          </w:tcPr>
          <w:p w14:paraId="132844E5" w14:textId="0BC84637" w:rsidR="004C2EBB" w:rsidRDefault="004C2EBB" w:rsidP="004C2EBB">
            <w:pPr>
              <w:pStyle w:val="Tabletextindent"/>
            </w:pPr>
            <w:r>
              <w:t>Proceedings on behalf of a CCIV by members</w:t>
            </w:r>
          </w:p>
        </w:tc>
        <w:tc>
          <w:tcPr>
            <w:tcW w:w="1134" w:type="dxa"/>
          </w:tcPr>
          <w:p w14:paraId="0AE7BB12" w14:textId="1C81AC1C" w:rsidR="004C2EBB" w:rsidRDefault="004C2EBB" w:rsidP="00B6678C">
            <w:r>
              <w:t>1243A</w:t>
            </w:r>
          </w:p>
        </w:tc>
        <w:tc>
          <w:tcPr>
            <w:tcW w:w="5106" w:type="dxa"/>
            <w:vMerge/>
          </w:tcPr>
          <w:p w14:paraId="770045A7" w14:textId="77777777" w:rsidR="004C2EBB" w:rsidRDefault="004C2EBB" w:rsidP="00B6678C"/>
        </w:tc>
      </w:tr>
      <w:tr w:rsidR="00157F7A" w14:paraId="651751C3" w14:textId="77777777" w:rsidTr="00A26D20">
        <w:trPr>
          <w:cantSplit/>
        </w:trPr>
        <w:tc>
          <w:tcPr>
            <w:tcW w:w="3510" w:type="dxa"/>
          </w:tcPr>
          <w:p w14:paraId="7198E179" w14:textId="78A4D02A" w:rsidR="00157F7A" w:rsidRDefault="004C2EBB" w:rsidP="00145146">
            <w:pPr>
              <w:pStyle w:val="Tabletextindent"/>
            </w:pPr>
            <w:r>
              <w:t>Class rights</w:t>
            </w:r>
          </w:p>
        </w:tc>
        <w:tc>
          <w:tcPr>
            <w:tcW w:w="1134" w:type="dxa"/>
          </w:tcPr>
          <w:p w14:paraId="110EC071" w14:textId="7A609F7C" w:rsidR="00157F7A" w:rsidRDefault="00157F7A" w:rsidP="00B6678C">
            <w:r>
              <w:t>1243B</w:t>
            </w:r>
            <w:r w:rsidR="00A26D20">
              <w:t xml:space="preserve"> </w:t>
            </w:r>
            <w:r>
              <w:t>–1243D</w:t>
            </w:r>
          </w:p>
        </w:tc>
        <w:tc>
          <w:tcPr>
            <w:tcW w:w="5106" w:type="dxa"/>
            <w:vMerge/>
          </w:tcPr>
          <w:p w14:paraId="7DF96EA9" w14:textId="31F69CAE" w:rsidR="00157F7A" w:rsidRDefault="00157F7A" w:rsidP="00B6678C"/>
        </w:tc>
      </w:tr>
      <w:tr w:rsidR="006C5237" w14:paraId="526E4DC1" w14:textId="77777777" w:rsidTr="00CA7AE2">
        <w:trPr>
          <w:cantSplit/>
        </w:trPr>
        <w:tc>
          <w:tcPr>
            <w:tcW w:w="4644" w:type="dxa"/>
            <w:gridSpan w:val="2"/>
          </w:tcPr>
          <w:p w14:paraId="5246EC2A" w14:textId="2D0A3897" w:rsidR="006C5237" w:rsidRDefault="006C5237" w:rsidP="00B6678C">
            <w:r>
              <w:rPr>
                <w:b/>
              </w:rPr>
              <w:t>What are requirements for resolutions of the CCIV?</w:t>
            </w:r>
            <w:r w:rsidDel="0049536D">
              <w:rPr>
                <w:b/>
              </w:rPr>
              <w:t xml:space="preserve"> </w:t>
            </w:r>
          </w:p>
        </w:tc>
        <w:tc>
          <w:tcPr>
            <w:tcW w:w="5106" w:type="dxa"/>
            <w:vMerge w:val="restart"/>
          </w:tcPr>
          <w:p w14:paraId="28A5234F" w14:textId="5F455F71" w:rsidR="006C5237" w:rsidRDefault="006C5237" w:rsidP="00B6678C">
            <w:r w:rsidRPr="0043564D">
              <w:t>The corporate director (being a company with its own board of directors) may pass a resolution on behalf of the CCIV if the directors of the corporate director pass a resolution that expressly states it is on behalf of the corporate director and the CCIV to which the resolution applies.</w:t>
            </w:r>
          </w:p>
          <w:p w14:paraId="7F0DB85C" w14:textId="4A474734" w:rsidR="006C5237" w:rsidRDefault="006C5237" w:rsidP="007E764F">
            <w:pPr>
              <w:pStyle w:val="Tabletext"/>
            </w:pPr>
            <w:r>
              <w:t xml:space="preserve">The meetings of the whole CCIV, or a sub-fund of the CCIV, may be called by a director or a member. </w:t>
            </w:r>
          </w:p>
          <w:p w14:paraId="4DC1E792" w14:textId="22DDA1D6" w:rsidR="006C5237" w:rsidRDefault="006C5237" w:rsidP="007E764F">
            <w:pPr>
              <w:pStyle w:val="Tabletext"/>
            </w:pPr>
            <w:r>
              <w:t>The requirements for meetings of members of CCIVs are based on the requirements that apply to registered schemes (given similarities between a CCIV and a registered scheme).</w:t>
            </w:r>
          </w:p>
          <w:p w14:paraId="5CE869E9" w14:textId="77777777" w:rsidR="006C5237" w:rsidRDefault="006C5237" w:rsidP="00911C34">
            <w:r>
              <w:t xml:space="preserve">Some modifications are made to account for a CCIV’s corporate status. In particular, a member’s voting power at a meeting (of either the CCIV or a sub-fund) is </w:t>
            </w:r>
            <w:proofErr w:type="spellStart"/>
            <w:r>
              <w:t>referable</w:t>
            </w:r>
            <w:proofErr w:type="spellEnd"/>
            <w:r>
              <w:t xml:space="preserve"> to its shares in the CCIV (unless otherwise provided for in the CCIV’s constitution).</w:t>
            </w:r>
          </w:p>
          <w:p w14:paraId="05DEE11A" w14:textId="030BD8DB" w:rsidR="006C5237" w:rsidRDefault="006C5237" w:rsidP="00C659CE">
            <w:r>
              <w:t>Refer to Chapter 7 of the explanatory materials for further information.</w:t>
            </w:r>
          </w:p>
        </w:tc>
      </w:tr>
      <w:tr w:rsidR="00911C34" w14:paraId="5A905917" w14:textId="77777777" w:rsidTr="00A26D20">
        <w:trPr>
          <w:cantSplit/>
        </w:trPr>
        <w:tc>
          <w:tcPr>
            <w:tcW w:w="3510" w:type="dxa"/>
          </w:tcPr>
          <w:p w14:paraId="2A2F5B75" w14:textId="3FAF74AA" w:rsidR="00911C34" w:rsidRDefault="00911C34" w:rsidP="00B6678C">
            <w:pPr>
              <w:pStyle w:val="Tabletextindent"/>
            </w:pPr>
            <w:r>
              <w:t>Corporate director may pass a resolution on behalf of the CCIV (as its director)</w:t>
            </w:r>
          </w:p>
        </w:tc>
        <w:tc>
          <w:tcPr>
            <w:tcW w:w="1134" w:type="dxa"/>
          </w:tcPr>
          <w:p w14:paraId="75D46D25" w14:textId="306C240B" w:rsidR="00911C34" w:rsidRDefault="00911C34" w:rsidP="00B6678C">
            <w:r>
              <w:t>1244</w:t>
            </w:r>
          </w:p>
        </w:tc>
        <w:tc>
          <w:tcPr>
            <w:tcW w:w="5106" w:type="dxa"/>
            <w:vMerge/>
          </w:tcPr>
          <w:p w14:paraId="716C15E1" w14:textId="47E71FE7" w:rsidR="00911C34" w:rsidRDefault="00911C34" w:rsidP="00B6678C"/>
        </w:tc>
      </w:tr>
      <w:tr w:rsidR="00911C34" w14:paraId="2F0C85DE" w14:textId="77777777" w:rsidTr="00A26D20">
        <w:trPr>
          <w:cantSplit/>
        </w:trPr>
        <w:tc>
          <w:tcPr>
            <w:tcW w:w="3510" w:type="dxa"/>
          </w:tcPr>
          <w:p w14:paraId="62A70BFD" w14:textId="271B7C7E" w:rsidR="00911C34" w:rsidRDefault="00911C34" w:rsidP="004C2EBB">
            <w:pPr>
              <w:pStyle w:val="Tabletextindent"/>
            </w:pPr>
            <w:r>
              <w:t>Meetings of members of CCIV</w:t>
            </w:r>
          </w:p>
        </w:tc>
        <w:tc>
          <w:tcPr>
            <w:tcW w:w="1134" w:type="dxa"/>
          </w:tcPr>
          <w:p w14:paraId="3D83D1A9" w14:textId="6483A5E5" w:rsidR="00911C34" w:rsidRDefault="00911C34" w:rsidP="004C2EBB">
            <w:r>
              <w:t>1244A</w:t>
            </w:r>
          </w:p>
        </w:tc>
        <w:tc>
          <w:tcPr>
            <w:tcW w:w="5106" w:type="dxa"/>
            <w:vMerge/>
          </w:tcPr>
          <w:p w14:paraId="050F17B1" w14:textId="77777777" w:rsidR="00911C34" w:rsidRDefault="00911C34" w:rsidP="00B6678C"/>
        </w:tc>
      </w:tr>
      <w:tr w:rsidR="00911C34" w14:paraId="01FD198B" w14:textId="77777777" w:rsidTr="00A26D20">
        <w:trPr>
          <w:cantSplit/>
        </w:trPr>
        <w:tc>
          <w:tcPr>
            <w:tcW w:w="3510" w:type="dxa"/>
          </w:tcPr>
          <w:p w14:paraId="763F20A7" w14:textId="0F170C31" w:rsidR="00911C34" w:rsidRDefault="00911C34" w:rsidP="004C2EBB">
            <w:pPr>
              <w:pStyle w:val="Tabletextindent"/>
            </w:pPr>
            <w:r>
              <w:t>Meetings of members of a sub-fund</w:t>
            </w:r>
          </w:p>
        </w:tc>
        <w:tc>
          <w:tcPr>
            <w:tcW w:w="1134" w:type="dxa"/>
          </w:tcPr>
          <w:p w14:paraId="6ED4AEA9" w14:textId="7DA05406" w:rsidR="00911C34" w:rsidRDefault="00911C34" w:rsidP="00B6678C">
            <w:r>
              <w:t>1244B</w:t>
            </w:r>
          </w:p>
        </w:tc>
        <w:tc>
          <w:tcPr>
            <w:tcW w:w="5106" w:type="dxa"/>
            <w:vMerge/>
          </w:tcPr>
          <w:p w14:paraId="703D7D4E" w14:textId="77777777" w:rsidR="00911C34" w:rsidRDefault="00911C34" w:rsidP="00B6678C"/>
        </w:tc>
      </w:tr>
      <w:tr w:rsidR="00911C34" w14:paraId="69FC580D" w14:textId="77777777" w:rsidTr="00A26D20">
        <w:trPr>
          <w:cantSplit/>
        </w:trPr>
        <w:tc>
          <w:tcPr>
            <w:tcW w:w="3510" w:type="dxa"/>
          </w:tcPr>
          <w:p w14:paraId="1894A6A5" w14:textId="56F4CE6C" w:rsidR="00911C34" w:rsidRDefault="00911C34" w:rsidP="00AC5D30">
            <w:pPr>
              <w:pStyle w:val="Tabletextindent"/>
            </w:pPr>
            <w:r>
              <w:t xml:space="preserve">Members’ resolutions </w:t>
            </w:r>
          </w:p>
        </w:tc>
        <w:tc>
          <w:tcPr>
            <w:tcW w:w="1134" w:type="dxa"/>
          </w:tcPr>
          <w:p w14:paraId="19C9D08D" w14:textId="497210F4" w:rsidR="00911C34" w:rsidRDefault="00911C34" w:rsidP="00B6678C">
            <w:r>
              <w:t>1244E</w:t>
            </w:r>
          </w:p>
        </w:tc>
        <w:tc>
          <w:tcPr>
            <w:tcW w:w="5106" w:type="dxa"/>
            <w:vMerge/>
          </w:tcPr>
          <w:p w14:paraId="6E526512" w14:textId="3F8195E3" w:rsidR="00911C34" w:rsidRDefault="00911C34" w:rsidP="00B6678C"/>
        </w:tc>
      </w:tr>
      <w:tr w:rsidR="00911C34" w14:paraId="44DCA2B6" w14:textId="77777777" w:rsidTr="00A26D20">
        <w:trPr>
          <w:cantSplit/>
        </w:trPr>
        <w:tc>
          <w:tcPr>
            <w:tcW w:w="3510" w:type="dxa"/>
          </w:tcPr>
          <w:p w14:paraId="7692F19C" w14:textId="3981F3C8" w:rsidR="00911C34" w:rsidRDefault="00911C34" w:rsidP="00AC5D30">
            <w:pPr>
              <w:pStyle w:val="Tabletextindent"/>
            </w:pPr>
            <w:r>
              <w:t>Voting at a meeting of the members</w:t>
            </w:r>
          </w:p>
        </w:tc>
        <w:tc>
          <w:tcPr>
            <w:tcW w:w="1134" w:type="dxa"/>
          </w:tcPr>
          <w:p w14:paraId="7E4BE926" w14:textId="7D762BF9" w:rsidR="00911C34" w:rsidRDefault="00911C34" w:rsidP="00B6678C">
            <w:r>
              <w:t>1244F</w:t>
            </w:r>
          </w:p>
        </w:tc>
        <w:tc>
          <w:tcPr>
            <w:tcW w:w="5106" w:type="dxa"/>
            <w:vMerge/>
          </w:tcPr>
          <w:p w14:paraId="413C6432" w14:textId="77777777" w:rsidR="00911C34" w:rsidRDefault="00911C34" w:rsidP="00B6678C"/>
        </w:tc>
      </w:tr>
      <w:tr w:rsidR="00911C34" w14:paraId="1157E1F6" w14:textId="77777777" w:rsidTr="00A26D20">
        <w:trPr>
          <w:cantSplit/>
        </w:trPr>
        <w:tc>
          <w:tcPr>
            <w:tcW w:w="3510" w:type="dxa"/>
          </w:tcPr>
          <w:p w14:paraId="283ED307" w14:textId="77E77173" w:rsidR="00911C34" w:rsidRDefault="00911C34" w:rsidP="004C2EBB">
            <w:pPr>
              <w:pStyle w:val="Tabletextindent"/>
            </w:pPr>
            <w:r>
              <w:t>Voting by associates of the CCIV, corporate director and corporate director’s associates at a meeting of the members</w:t>
            </w:r>
          </w:p>
        </w:tc>
        <w:tc>
          <w:tcPr>
            <w:tcW w:w="1134" w:type="dxa"/>
          </w:tcPr>
          <w:p w14:paraId="0D3268F8" w14:textId="77344558" w:rsidR="00911C34" w:rsidRDefault="00911C34" w:rsidP="00B6678C">
            <w:r>
              <w:t>1244G</w:t>
            </w:r>
          </w:p>
        </w:tc>
        <w:tc>
          <w:tcPr>
            <w:tcW w:w="5106" w:type="dxa"/>
            <w:vMerge/>
          </w:tcPr>
          <w:p w14:paraId="61F1B920" w14:textId="73D962C9" w:rsidR="00911C34" w:rsidRDefault="00911C34" w:rsidP="00B6678C"/>
        </w:tc>
      </w:tr>
      <w:tr w:rsidR="006C5237" w14:paraId="5DBEC978" w14:textId="77777777" w:rsidTr="0064146D">
        <w:trPr>
          <w:cantSplit/>
        </w:trPr>
        <w:tc>
          <w:tcPr>
            <w:tcW w:w="4644" w:type="dxa"/>
            <w:gridSpan w:val="2"/>
          </w:tcPr>
          <w:p w14:paraId="122C5A80" w14:textId="744A5589" w:rsidR="006C5237" w:rsidRDefault="006C5237" w:rsidP="00FA68EE">
            <w:pPr>
              <w:keepNext/>
            </w:pPr>
            <w:r>
              <w:rPr>
                <w:b/>
              </w:rPr>
              <w:t>What are the requirements for securities of a CCIV and transactions affecting share capital?</w:t>
            </w:r>
          </w:p>
        </w:tc>
        <w:tc>
          <w:tcPr>
            <w:tcW w:w="5106" w:type="dxa"/>
            <w:vMerge w:val="restart"/>
          </w:tcPr>
          <w:p w14:paraId="1B0A43C7" w14:textId="1B153C39" w:rsidR="006C5237" w:rsidRDefault="006C5237" w:rsidP="00B6678C">
            <w:r>
              <w:t xml:space="preserve">A CCIV </w:t>
            </w:r>
            <w:r w:rsidRPr="0043564D">
              <w:t xml:space="preserve">may issue shares and debentures, provided that the security is </w:t>
            </w:r>
            <w:proofErr w:type="spellStart"/>
            <w:r w:rsidRPr="0043564D">
              <w:t>referable</w:t>
            </w:r>
            <w:proofErr w:type="spellEnd"/>
            <w:r w:rsidRPr="0043564D">
              <w:t xml:space="preserve"> to only one sub-fund.</w:t>
            </w:r>
            <w:r w:rsidR="00747ADD">
              <w:t xml:space="preserve"> </w:t>
            </w:r>
          </w:p>
          <w:p w14:paraId="5AFDED90" w14:textId="73D6D725" w:rsidR="006C5237" w:rsidRDefault="006C5237" w:rsidP="00B6678C">
            <w:r>
              <w:t>The CCIV may also issue ordinary shares which are liable to be redeemed (‘redeemable shares’). These shares can be redeemed if the redemption does not result in the sub-fund to which the shares are referable becoming insolvent and certain other conditions are satisfied.</w:t>
            </w:r>
          </w:p>
          <w:p w14:paraId="2EB4187C" w14:textId="086C0CAC" w:rsidR="006C5237" w:rsidRDefault="006C5237" w:rsidP="00052C7C">
            <w:r w:rsidRPr="00052C7C">
              <w:t xml:space="preserve">CCIVs may pay dividends, redeem redeemable preference shares and reduce their share capital in a similar way to other companies. Some modifications have been made to these rules to apply them at the sub-fund level. </w:t>
            </w:r>
          </w:p>
          <w:p w14:paraId="564AB526" w14:textId="6F5C241A" w:rsidR="006C5237" w:rsidRDefault="006C5237" w:rsidP="00052C7C">
            <w:r>
              <w:t>A CCIV is generally prohibited from acquiring shares (or units of shares) in itself.</w:t>
            </w:r>
            <w:r w:rsidR="00747ADD">
              <w:t xml:space="preserve"> </w:t>
            </w:r>
            <w:r>
              <w:t xml:space="preserve">One implication of this rule against self-acquisition is that a sub-fund of a CCIV cannot acquire shares that are </w:t>
            </w:r>
            <w:proofErr w:type="spellStart"/>
            <w:r>
              <w:t>referable</w:t>
            </w:r>
            <w:proofErr w:type="spellEnd"/>
            <w:r>
              <w:t xml:space="preserve"> to another sub-fund of the CCIV, except under a court order. This prevents one sub-fund from ‘cross</w:t>
            </w:r>
            <w:r>
              <w:noBreakHyphen/>
              <w:t>investing’ in another sub-fund, thereby minimising the risk of contagion between the sub-funds.</w:t>
            </w:r>
            <w:r w:rsidR="00747ADD">
              <w:t xml:space="preserve"> </w:t>
            </w:r>
          </w:p>
          <w:p w14:paraId="2C4A5D55" w14:textId="1F0E218A" w:rsidR="006C5237" w:rsidRPr="00052C7C" w:rsidRDefault="006C5237" w:rsidP="00052C7C">
            <w:r>
              <w:t>A CCIV may only financially assist a person to acquire shares (or units of shares) in a sub-fund in specified circumstances.</w:t>
            </w:r>
          </w:p>
          <w:p w14:paraId="4A98AA01" w14:textId="0484F1B1" w:rsidR="006C5237" w:rsidRDefault="006C5237" w:rsidP="00C659CE">
            <w:r>
              <w:t>Refer to Chapter 8 of the explanatory materials for further information.</w:t>
            </w:r>
          </w:p>
        </w:tc>
      </w:tr>
      <w:tr w:rsidR="00F51821" w14:paraId="2CA56205" w14:textId="77777777" w:rsidTr="00A26D20">
        <w:trPr>
          <w:cantSplit/>
        </w:trPr>
        <w:tc>
          <w:tcPr>
            <w:tcW w:w="3510" w:type="dxa"/>
          </w:tcPr>
          <w:p w14:paraId="7B43EA04" w14:textId="370552D9" w:rsidR="00F51821" w:rsidRDefault="00F51821" w:rsidP="00010544">
            <w:pPr>
              <w:pStyle w:val="Tabletextindent"/>
              <w:keepNext/>
            </w:pPr>
            <w:r>
              <w:t>Issuing shares in a CCIV</w:t>
            </w:r>
          </w:p>
        </w:tc>
        <w:tc>
          <w:tcPr>
            <w:tcW w:w="1134" w:type="dxa"/>
          </w:tcPr>
          <w:p w14:paraId="77758B18" w14:textId="6248115E" w:rsidR="00F51821" w:rsidRDefault="00F51821" w:rsidP="00010544">
            <w:pPr>
              <w:keepNext/>
            </w:pPr>
            <w:r>
              <w:t>1245; 1245A</w:t>
            </w:r>
          </w:p>
        </w:tc>
        <w:tc>
          <w:tcPr>
            <w:tcW w:w="5106" w:type="dxa"/>
            <w:vMerge/>
          </w:tcPr>
          <w:p w14:paraId="73660A48" w14:textId="677F9F5F" w:rsidR="00F51821" w:rsidRDefault="00F51821" w:rsidP="00B6678C"/>
        </w:tc>
      </w:tr>
      <w:tr w:rsidR="00F51821" w14:paraId="20DA1813" w14:textId="77777777" w:rsidTr="00A26D20">
        <w:trPr>
          <w:cantSplit/>
        </w:trPr>
        <w:tc>
          <w:tcPr>
            <w:tcW w:w="3510" w:type="dxa"/>
          </w:tcPr>
          <w:p w14:paraId="59677AAD" w14:textId="48BCF96E" w:rsidR="00F51821" w:rsidRDefault="00F51821" w:rsidP="00010544">
            <w:pPr>
              <w:pStyle w:val="Tabletextindent"/>
              <w:keepNext/>
            </w:pPr>
            <w:r>
              <w:t>Issuing debentures in the CCIV</w:t>
            </w:r>
          </w:p>
        </w:tc>
        <w:tc>
          <w:tcPr>
            <w:tcW w:w="1134" w:type="dxa"/>
          </w:tcPr>
          <w:p w14:paraId="71DA3216" w14:textId="3051D8BB" w:rsidR="00F51821" w:rsidRDefault="00F51821" w:rsidP="00FA68EE">
            <w:pPr>
              <w:keepNext/>
            </w:pPr>
            <w:r>
              <w:t>1247</w:t>
            </w:r>
          </w:p>
        </w:tc>
        <w:tc>
          <w:tcPr>
            <w:tcW w:w="5106" w:type="dxa"/>
            <w:vMerge/>
          </w:tcPr>
          <w:p w14:paraId="5AC05DC4" w14:textId="77777777" w:rsidR="00F51821" w:rsidRDefault="00F51821" w:rsidP="00B6678C"/>
        </w:tc>
      </w:tr>
      <w:tr w:rsidR="00F51821" w14:paraId="72FAD167" w14:textId="77777777" w:rsidTr="00A26D20">
        <w:trPr>
          <w:cantSplit/>
        </w:trPr>
        <w:tc>
          <w:tcPr>
            <w:tcW w:w="3510" w:type="dxa"/>
          </w:tcPr>
          <w:p w14:paraId="51122F02" w14:textId="66096B18" w:rsidR="00F51821" w:rsidRDefault="00F51821" w:rsidP="00B6678C">
            <w:pPr>
              <w:pStyle w:val="Tabletextindent"/>
            </w:pPr>
            <w:r>
              <w:t>Conversion of shares</w:t>
            </w:r>
          </w:p>
        </w:tc>
        <w:tc>
          <w:tcPr>
            <w:tcW w:w="1134" w:type="dxa"/>
          </w:tcPr>
          <w:p w14:paraId="41A230E0" w14:textId="656540EC" w:rsidR="00F51821" w:rsidRDefault="00F51821" w:rsidP="00B6678C">
            <w:r>
              <w:t>1245B – 1245D</w:t>
            </w:r>
          </w:p>
        </w:tc>
        <w:tc>
          <w:tcPr>
            <w:tcW w:w="5106" w:type="dxa"/>
            <w:vMerge/>
          </w:tcPr>
          <w:p w14:paraId="0639D05A" w14:textId="77777777" w:rsidR="00F51821" w:rsidRDefault="00F51821" w:rsidP="00B6678C"/>
        </w:tc>
      </w:tr>
      <w:tr w:rsidR="00F51821" w14:paraId="4801860E" w14:textId="77777777" w:rsidTr="00A26D20">
        <w:trPr>
          <w:cantSplit/>
        </w:trPr>
        <w:tc>
          <w:tcPr>
            <w:tcW w:w="3510" w:type="dxa"/>
          </w:tcPr>
          <w:p w14:paraId="4B4423F4" w14:textId="63B52A5C" w:rsidR="00F51821" w:rsidRDefault="00F51821" w:rsidP="00B6678C">
            <w:pPr>
              <w:pStyle w:val="Tabletextindent"/>
            </w:pPr>
            <w:r>
              <w:t>Redemption of redeemable shares</w:t>
            </w:r>
          </w:p>
        </w:tc>
        <w:tc>
          <w:tcPr>
            <w:tcW w:w="1134" w:type="dxa"/>
          </w:tcPr>
          <w:p w14:paraId="10241A37" w14:textId="3826EEA1" w:rsidR="00F51821" w:rsidRDefault="00F51821" w:rsidP="00B6678C">
            <w:r>
              <w:t>1245E – 1245N</w:t>
            </w:r>
          </w:p>
        </w:tc>
        <w:tc>
          <w:tcPr>
            <w:tcW w:w="5106" w:type="dxa"/>
            <w:vMerge/>
          </w:tcPr>
          <w:p w14:paraId="540E69E6" w14:textId="6B824777" w:rsidR="00F51821" w:rsidRDefault="00F51821" w:rsidP="00B6678C"/>
        </w:tc>
      </w:tr>
      <w:tr w:rsidR="00F51821" w14:paraId="1BA6A87B" w14:textId="77777777" w:rsidTr="00A26D20">
        <w:trPr>
          <w:cantSplit/>
        </w:trPr>
        <w:tc>
          <w:tcPr>
            <w:tcW w:w="3510" w:type="dxa"/>
          </w:tcPr>
          <w:p w14:paraId="7250215E" w14:textId="2C0C46CB" w:rsidR="00F51821" w:rsidRDefault="00F51821" w:rsidP="00B6678C">
            <w:pPr>
              <w:pStyle w:val="Tabletextindent"/>
            </w:pPr>
            <w:r>
              <w:t>Redemption of redeemable preference shares</w:t>
            </w:r>
          </w:p>
        </w:tc>
        <w:tc>
          <w:tcPr>
            <w:tcW w:w="1134" w:type="dxa"/>
          </w:tcPr>
          <w:p w14:paraId="071CF95B" w14:textId="6E04966F" w:rsidR="00F51821" w:rsidRDefault="00F51821" w:rsidP="00B6678C">
            <w:r>
              <w:t>1245P</w:t>
            </w:r>
          </w:p>
        </w:tc>
        <w:tc>
          <w:tcPr>
            <w:tcW w:w="5106" w:type="dxa"/>
            <w:vMerge/>
          </w:tcPr>
          <w:p w14:paraId="7D96C23D" w14:textId="77777777" w:rsidR="00F51821" w:rsidRDefault="00F51821" w:rsidP="00B6678C"/>
        </w:tc>
      </w:tr>
      <w:tr w:rsidR="00F51821" w14:paraId="4882638C" w14:textId="77777777" w:rsidTr="00A26D20">
        <w:trPr>
          <w:cantSplit/>
        </w:trPr>
        <w:tc>
          <w:tcPr>
            <w:tcW w:w="3510" w:type="dxa"/>
          </w:tcPr>
          <w:p w14:paraId="5CE43B9E" w14:textId="08883742" w:rsidR="00F51821" w:rsidRDefault="00F51821" w:rsidP="00962A39">
            <w:pPr>
              <w:pStyle w:val="Tabletextindent"/>
            </w:pPr>
            <w:r>
              <w:t xml:space="preserve">Circumstances in which a CCIV may pay dividends </w:t>
            </w:r>
          </w:p>
        </w:tc>
        <w:tc>
          <w:tcPr>
            <w:tcW w:w="1134" w:type="dxa"/>
          </w:tcPr>
          <w:p w14:paraId="3AD00DB1" w14:textId="4B36E552" w:rsidR="00F51821" w:rsidRDefault="00F51821" w:rsidP="00B6678C">
            <w:r>
              <w:t>1245Q – 1245R</w:t>
            </w:r>
          </w:p>
        </w:tc>
        <w:tc>
          <w:tcPr>
            <w:tcW w:w="5106" w:type="dxa"/>
            <w:vMerge/>
          </w:tcPr>
          <w:p w14:paraId="5AAA0B5A" w14:textId="3F3BC32B" w:rsidR="00F51821" w:rsidRDefault="00F51821" w:rsidP="00B6678C"/>
        </w:tc>
      </w:tr>
      <w:tr w:rsidR="00F51821" w14:paraId="42E66461" w14:textId="77777777" w:rsidTr="00A26D20">
        <w:trPr>
          <w:cantSplit/>
        </w:trPr>
        <w:tc>
          <w:tcPr>
            <w:tcW w:w="3510" w:type="dxa"/>
          </w:tcPr>
          <w:p w14:paraId="2C236F2E" w14:textId="6CBC9885" w:rsidR="00F51821" w:rsidRDefault="00F51821" w:rsidP="00962A39">
            <w:pPr>
              <w:pStyle w:val="Tabletextindent"/>
            </w:pPr>
            <w:r>
              <w:t>Requirements to notify ASIC about shares</w:t>
            </w:r>
          </w:p>
        </w:tc>
        <w:tc>
          <w:tcPr>
            <w:tcW w:w="1134" w:type="dxa"/>
          </w:tcPr>
          <w:p w14:paraId="666CF17B" w14:textId="07BD5603" w:rsidR="00F51821" w:rsidRDefault="00F51821" w:rsidP="00B6678C">
            <w:r>
              <w:t>1245S</w:t>
            </w:r>
          </w:p>
        </w:tc>
        <w:tc>
          <w:tcPr>
            <w:tcW w:w="5106" w:type="dxa"/>
            <w:vMerge/>
          </w:tcPr>
          <w:p w14:paraId="7C78D73E" w14:textId="0AC9C961" w:rsidR="00F51821" w:rsidRDefault="00F51821" w:rsidP="00B6678C"/>
        </w:tc>
      </w:tr>
      <w:tr w:rsidR="00F51821" w14:paraId="36FE0B84" w14:textId="77777777" w:rsidTr="00374756">
        <w:trPr>
          <w:cantSplit/>
          <w:trHeight w:val="684"/>
        </w:trPr>
        <w:tc>
          <w:tcPr>
            <w:tcW w:w="3510" w:type="dxa"/>
          </w:tcPr>
          <w:p w14:paraId="4B358EAA" w14:textId="1A341357" w:rsidR="00F51821" w:rsidRDefault="00F51821" w:rsidP="00962A39">
            <w:pPr>
              <w:pStyle w:val="Tabletextindent"/>
            </w:pPr>
            <w:r>
              <w:t>Reductions in share capital and share buy-backs</w:t>
            </w:r>
          </w:p>
        </w:tc>
        <w:tc>
          <w:tcPr>
            <w:tcW w:w="1134" w:type="dxa"/>
          </w:tcPr>
          <w:p w14:paraId="60AEFF2D" w14:textId="19A33B27" w:rsidR="00F51821" w:rsidRDefault="00F51821" w:rsidP="00962A39">
            <w:r>
              <w:t>1246A –1246G</w:t>
            </w:r>
          </w:p>
        </w:tc>
        <w:tc>
          <w:tcPr>
            <w:tcW w:w="5106" w:type="dxa"/>
            <w:vMerge/>
          </w:tcPr>
          <w:p w14:paraId="34803F02" w14:textId="5F607908" w:rsidR="00F51821" w:rsidRDefault="00F51821" w:rsidP="00B6678C"/>
        </w:tc>
      </w:tr>
      <w:tr w:rsidR="00F51821" w14:paraId="349497A2" w14:textId="77777777" w:rsidTr="00A26D20">
        <w:trPr>
          <w:cantSplit/>
        </w:trPr>
        <w:tc>
          <w:tcPr>
            <w:tcW w:w="3510" w:type="dxa"/>
          </w:tcPr>
          <w:p w14:paraId="62D2454D" w14:textId="6DFC3618" w:rsidR="00F51821" w:rsidRDefault="00F51821" w:rsidP="00962A39">
            <w:pPr>
              <w:pStyle w:val="Tabletextindent"/>
            </w:pPr>
            <w:r>
              <w:t xml:space="preserve">Prohibition on self-acquisition and control of shares </w:t>
            </w:r>
          </w:p>
        </w:tc>
        <w:tc>
          <w:tcPr>
            <w:tcW w:w="1134" w:type="dxa"/>
          </w:tcPr>
          <w:p w14:paraId="37B982E6" w14:textId="3B3C607E" w:rsidR="00F51821" w:rsidRDefault="00F51821" w:rsidP="00B6678C">
            <w:r>
              <w:t>1246H – 1246J</w:t>
            </w:r>
          </w:p>
        </w:tc>
        <w:tc>
          <w:tcPr>
            <w:tcW w:w="5106" w:type="dxa"/>
            <w:vMerge/>
          </w:tcPr>
          <w:p w14:paraId="62DF88EB" w14:textId="7CFCDF02" w:rsidR="00F51821" w:rsidRDefault="00F51821" w:rsidP="00B6678C"/>
        </w:tc>
      </w:tr>
      <w:tr w:rsidR="00F51821" w14:paraId="55B4C073" w14:textId="77777777" w:rsidTr="00A26D20">
        <w:trPr>
          <w:cantSplit/>
        </w:trPr>
        <w:tc>
          <w:tcPr>
            <w:tcW w:w="3510" w:type="dxa"/>
          </w:tcPr>
          <w:p w14:paraId="77561C0D" w14:textId="41396940" w:rsidR="00F51821" w:rsidRDefault="00F51821" w:rsidP="00962A39">
            <w:pPr>
              <w:pStyle w:val="Tabletextindent"/>
            </w:pPr>
            <w:r>
              <w:t>Restrictions on financial assistance for acquiring shares</w:t>
            </w:r>
            <w:r w:rsidR="00747ADD">
              <w:t xml:space="preserve"> </w:t>
            </w:r>
          </w:p>
        </w:tc>
        <w:tc>
          <w:tcPr>
            <w:tcW w:w="1134" w:type="dxa"/>
          </w:tcPr>
          <w:p w14:paraId="3D7F1D21" w14:textId="1AEE26B8" w:rsidR="00F51821" w:rsidRDefault="00F51821" w:rsidP="00B6678C">
            <w:r>
              <w:t>1246K – 1246M</w:t>
            </w:r>
          </w:p>
        </w:tc>
        <w:tc>
          <w:tcPr>
            <w:tcW w:w="5106" w:type="dxa"/>
            <w:vMerge/>
          </w:tcPr>
          <w:p w14:paraId="508D3EF3" w14:textId="77777777" w:rsidR="00F51821" w:rsidRDefault="00F51821" w:rsidP="00B6678C"/>
        </w:tc>
      </w:tr>
      <w:tr w:rsidR="006C5237" w14:paraId="6C130116" w14:textId="77777777" w:rsidTr="001C1ACE">
        <w:trPr>
          <w:cantSplit/>
        </w:trPr>
        <w:tc>
          <w:tcPr>
            <w:tcW w:w="4644" w:type="dxa"/>
            <w:gridSpan w:val="2"/>
          </w:tcPr>
          <w:p w14:paraId="37685811" w14:textId="0849710F" w:rsidR="006C5237" w:rsidRDefault="006C5237" w:rsidP="00B6678C">
            <w:r>
              <w:rPr>
                <w:b/>
              </w:rPr>
              <w:t>What are a CCIV’s reporting requirements?</w:t>
            </w:r>
          </w:p>
        </w:tc>
        <w:tc>
          <w:tcPr>
            <w:tcW w:w="5106" w:type="dxa"/>
            <w:vMerge w:val="restart"/>
          </w:tcPr>
          <w:p w14:paraId="00EEA1FB" w14:textId="3373C61C" w:rsidR="006C5237" w:rsidRPr="00052C7C" w:rsidRDefault="006C5237" w:rsidP="00052C7C">
            <w:r w:rsidRPr="00052C7C">
              <w:t>The financial reporting and record-keeping requirements for companies in the Act apply to retail CCIVs.</w:t>
            </w:r>
            <w:r w:rsidR="00747ADD">
              <w:t xml:space="preserve"> </w:t>
            </w:r>
            <w:r>
              <w:t xml:space="preserve">A wholesale is not subject to the reporting and audit requirements in the same way that these requirements do not extend to unregistered (or wholesale) </w:t>
            </w:r>
            <w:proofErr w:type="spellStart"/>
            <w:r>
              <w:t>MISs.</w:t>
            </w:r>
            <w:proofErr w:type="spellEnd"/>
          </w:p>
          <w:p w14:paraId="5DC8D3BA" w14:textId="164E8570" w:rsidR="006C5237" w:rsidRPr="00052C7C" w:rsidRDefault="006C5237" w:rsidP="00052C7C">
            <w:r w:rsidRPr="00052C7C">
              <w:t xml:space="preserve">Some reporting provisions are adapted to accommodate specific features of a CCIV. </w:t>
            </w:r>
            <w:r>
              <w:t>Importantly, a CCIV must keep records and make financial reports at the sub</w:t>
            </w:r>
            <w:r>
              <w:noBreakHyphen/>
              <w:t>fund level, rather than just across the whole of the CCIV. This ensures that members have appropriate information about the sub</w:t>
            </w:r>
            <w:r>
              <w:noBreakHyphen/>
              <w:t>fund to which their interest relates</w:t>
            </w:r>
          </w:p>
          <w:p w14:paraId="7C6F7397" w14:textId="77777777" w:rsidR="006C5237" w:rsidRPr="00052C7C" w:rsidRDefault="006C5237" w:rsidP="00052C7C">
            <w:r w:rsidRPr="00052C7C">
              <w:t>The financial records that a CCIV must keep, both for itself and for its sub-funds are subject to similar requirements regarding auditing, financial reporting and reporting to members as those of a registered scheme. These records are to be audited by an auditor that does not have a conflict of interest with the CCIV.</w:t>
            </w:r>
          </w:p>
          <w:p w14:paraId="5AB2582C" w14:textId="77777777" w:rsidR="006C5237" w:rsidRPr="00052C7C" w:rsidRDefault="006C5237" w:rsidP="00052C7C">
            <w:r w:rsidRPr="00052C7C">
              <w:t xml:space="preserve">A CCIV’s annual directors’ report requirements are adapted so that it must include specific details about the corporate director and its directors, such as any benefits or interests of a director of the corporate director in the CCIV. </w:t>
            </w:r>
          </w:p>
          <w:p w14:paraId="3907674F" w14:textId="4DDDBE91" w:rsidR="006C5237" w:rsidRDefault="006C5237" w:rsidP="004175A4">
            <w:r>
              <w:t>R</w:t>
            </w:r>
            <w:r w:rsidRPr="00052C7C">
              <w:t xml:space="preserve">efer to Chapter 9 of the exposure explanatory materials for further </w:t>
            </w:r>
            <w:r>
              <w:t>information</w:t>
            </w:r>
            <w:r w:rsidRPr="00052C7C">
              <w:t>.</w:t>
            </w:r>
          </w:p>
        </w:tc>
      </w:tr>
      <w:tr w:rsidR="00157F7A" w14:paraId="7CBFC0FE" w14:textId="77777777" w:rsidTr="00A26D20">
        <w:trPr>
          <w:cantSplit/>
        </w:trPr>
        <w:tc>
          <w:tcPr>
            <w:tcW w:w="3510" w:type="dxa"/>
          </w:tcPr>
          <w:p w14:paraId="301D9C75" w14:textId="5FFEBDD6" w:rsidR="00157F7A" w:rsidRDefault="00157F7A" w:rsidP="005A778A">
            <w:pPr>
              <w:pStyle w:val="Tabletextindent"/>
            </w:pPr>
            <w:r>
              <w:t xml:space="preserve">Only retail CCIVs are subject to financial reporting requirements </w:t>
            </w:r>
          </w:p>
        </w:tc>
        <w:tc>
          <w:tcPr>
            <w:tcW w:w="1134" w:type="dxa"/>
          </w:tcPr>
          <w:p w14:paraId="7B080AE5" w14:textId="1438BEDC" w:rsidR="00157F7A" w:rsidRDefault="00157F7A" w:rsidP="00B6678C">
            <w:r>
              <w:t>1248</w:t>
            </w:r>
          </w:p>
        </w:tc>
        <w:tc>
          <w:tcPr>
            <w:tcW w:w="5106" w:type="dxa"/>
            <w:vMerge/>
          </w:tcPr>
          <w:p w14:paraId="7E96DD96" w14:textId="2C304166" w:rsidR="00157F7A" w:rsidRDefault="00157F7A" w:rsidP="00B6678C"/>
        </w:tc>
      </w:tr>
      <w:tr w:rsidR="00157F7A" w14:paraId="13C1F1C3" w14:textId="77777777" w:rsidTr="00A26D20">
        <w:trPr>
          <w:cantSplit/>
        </w:trPr>
        <w:tc>
          <w:tcPr>
            <w:tcW w:w="3510" w:type="dxa"/>
          </w:tcPr>
          <w:p w14:paraId="261EC4C8" w14:textId="3648718B" w:rsidR="00157F7A" w:rsidRDefault="00157F7A" w:rsidP="005A778A">
            <w:pPr>
              <w:pStyle w:val="Tabletextindent"/>
            </w:pPr>
            <w:r>
              <w:t>CCIV to keep financial records for each sub-fund</w:t>
            </w:r>
          </w:p>
        </w:tc>
        <w:tc>
          <w:tcPr>
            <w:tcW w:w="1134" w:type="dxa"/>
          </w:tcPr>
          <w:p w14:paraId="056FFF88" w14:textId="20C164E5" w:rsidR="00157F7A" w:rsidRDefault="00157F7A" w:rsidP="00B6678C">
            <w:r>
              <w:t>1248A</w:t>
            </w:r>
          </w:p>
        </w:tc>
        <w:tc>
          <w:tcPr>
            <w:tcW w:w="5106" w:type="dxa"/>
            <w:vMerge/>
          </w:tcPr>
          <w:p w14:paraId="34AAB3D6" w14:textId="0E2168A4" w:rsidR="00157F7A" w:rsidRDefault="00157F7A" w:rsidP="00B6678C"/>
        </w:tc>
      </w:tr>
      <w:tr w:rsidR="00157F7A" w14:paraId="4D8D51F9" w14:textId="77777777" w:rsidTr="00A26D20">
        <w:trPr>
          <w:cantSplit/>
        </w:trPr>
        <w:tc>
          <w:tcPr>
            <w:tcW w:w="3510" w:type="dxa"/>
          </w:tcPr>
          <w:p w14:paraId="31C40986" w14:textId="5280581E" w:rsidR="00157F7A" w:rsidRDefault="00157F7A" w:rsidP="005A778A">
            <w:pPr>
              <w:pStyle w:val="Tabletextindent"/>
            </w:pPr>
            <w:r>
              <w:t>Directors of corporate director to have access to financial records</w:t>
            </w:r>
          </w:p>
        </w:tc>
        <w:tc>
          <w:tcPr>
            <w:tcW w:w="1134" w:type="dxa"/>
          </w:tcPr>
          <w:p w14:paraId="48AE17A5" w14:textId="32DFE5D1" w:rsidR="00157F7A" w:rsidRDefault="00157F7A" w:rsidP="00B6678C">
            <w:r>
              <w:t>1248B</w:t>
            </w:r>
          </w:p>
        </w:tc>
        <w:tc>
          <w:tcPr>
            <w:tcW w:w="5106" w:type="dxa"/>
            <w:vMerge/>
          </w:tcPr>
          <w:p w14:paraId="59CDF719" w14:textId="1780FE16" w:rsidR="00157F7A" w:rsidRDefault="00157F7A" w:rsidP="00B6678C"/>
        </w:tc>
      </w:tr>
      <w:tr w:rsidR="00157F7A" w14:paraId="39195A04" w14:textId="77777777" w:rsidTr="00A26D20">
        <w:trPr>
          <w:cantSplit/>
        </w:trPr>
        <w:tc>
          <w:tcPr>
            <w:tcW w:w="3510" w:type="dxa"/>
          </w:tcPr>
          <w:p w14:paraId="60442D14" w14:textId="07BE8423" w:rsidR="00157F7A" w:rsidRDefault="00157F7A" w:rsidP="00886726">
            <w:pPr>
              <w:pStyle w:val="Tabletextindent"/>
            </w:pPr>
            <w:r>
              <w:t xml:space="preserve">Financial reporting, including half-yearly reports </w:t>
            </w:r>
          </w:p>
        </w:tc>
        <w:tc>
          <w:tcPr>
            <w:tcW w:w="1134" w:type="dxa"/>
          </w:tcPr>
          <w:p w14:paraId="32823DCB" w14:textId="0C283483" w:rsidR="00157F7A" w:rsidRDefault="00236594" w:rsidP="00B6678C">
            <w:r>
              <w:t>1248C – 1248G</w:t>
            </w:r>
          </w:p>
        </w:tc>
        <w:tc>
          <w:tcPr>
            <w:tcW w:w="5106" w:type="dxa"/>
            <w:vMerge/>
          </w:tcPr>
          <w:p w14:paraId="4989734E" w14:textId="77AE4C61" w:rsidR="00157F7A" w:rsidRDefault="00157F7A" w:rsidP="00B6678C"/>
        </w:tc>
      </w:tr>
      <w:tr w:rsidR="00157F7A" w14:paraId="7A8F7632" w14:textId="77777777" w:rsidTr="00A26D20">
        <w:trPr>
          <w:cantSplit/>
        </w:trPr>
        <w:tc>
          <w:tcPr>
            <w:tcW w:w="3510" w:type="dxa"/>
          </w:tcPr>
          <w:p w14:paraId="28618719" w14:textId="7C8F9978" w:rsidR="00157F7A" w:rsidRDefault="00157F7A" w:rsidP="005A778A">
            <w:pPr>
              <w:pStyle w:val="Tabletextindent"/>
            </w:pPr>
            <w:r>
              <w:t xml:space="preserve">Financial records to be audited </w:t>
            </w:r>
          </w:p>
        </w:tc>
        <w:tc>
          <w:tcPr>
            <w:tcW w:w="1134" w:type="dxa"/>
          </w:tcPr>
          <w:p w14:paraId="4088A07A" w14:textId="50D6ACD2" w:rsidR="00157F7A" w:rsidRDefault="00157F7A" w:rsidP="00886726">
            <w:r>
              <w:t>1248H</w:t>
            </w:r>
            <w:r w:rsidR="00A26D20">
              <w:t xml:space="preserve"> </w:t>
            </w:r>
            <w:r>
              <w:t>–1248K</w:t>
            </w:r>
          </w:p>
        </w:tc>
        <w:tc>
          <w:tcPr>
            <w:tcW w:w="5106" w:type="dxa"/>
            <w:vMerge/>
          </w:tcPr>
          <w:p w14:paraId="54812C5B" w14:textId="77777777" w:rsidR="00157F7A" w:rsidRDefault="00157F7A" w:rsidP="00B6678C"/>
        </w:tc>
      </w:tr>
      <w:tr w:rsidR="00157F7A" w14:paraId="57CD82DF" w14:textId="77777777" w:rsidTr="00A26D20">
        <w:trPr>
          <w:cantSplit/>
        </w:trPr>
        <w:tc>
          <w:tcPr>
            <w:tcW w:w="3510" w:type="dxa"/>
          </w:tcPr>
          <w:p w14:paraId="563BBF7C" w14:textId="3FE483CA" w:rsidR="00157F7A" w:rsidRDefault="00157F7A" w:rsidP="005A778A">
            <w:pPr>
              <w:pStyle w:val="Tabletextindent"/>
            </w:pPr>
            <w:r>
              <w:t xml:space="preserve">Members to receive relevant financial reports </w:t>
            </w:r>
          </w:p>
        </w:tc>
        <w:tc>
          <w:tcPr>
            <w:tcW w:w="1134" w:type="dxa"/>
          </w:tcPr>
          <w:p w14:paraId="4D2DD628" w14:textId="36973BE7" w:rsidR="00157F7A" w:rsidRDefault="00157F7A" w:rsidP="00B6678C">
            <w:r>
              <w:t>1248L</w:t>
            </w:r>
            <w:r w:rsidR="00A26D20">
              <w:t xml:space="preserve"> </w:t>
            </w:r>
            <w:r>
              <w:t>–1248Q</w:t>
            </w:r>
          </w:p>
        </w:tc>
        <w:tc>
          <w:tcPr>
            <w:tcW w:w="5106" w:type="dxa"/>
            <w:vMerge/>
          </w:tcPr>
          <w:p w14:paraId="727D9BC3" w14:textId="77777777" w:rsidR="00157F7A" w:rsidRDefault="00157F7A" w:rsidP="00B6678C"/>
        </w:tc>
      </w:tr>
      <w:tr w:rsidR="00157F7A" w14:paraId="7F6461A8" w14:textId="77777777" w:rsidTr="00A26D20">
        <w:trPr>
          <w:cantSplit/>
        </w:trPr>
        <w:tc>
          <w:tcPr>
            <w:tcW w:w="3510" w:type="dxa"/>
          </w:tcPr>
          <w:p w14:paraId="7FB054FE" w14:textId="028C4CA3" w:rsidR="00157F7A" w:rsidRDefault="00157F7A" w:rsidP="005A778A">
            <w:pPr>
              <w:pStyle w:val="Tabletextindent"/>
            </w:pPr>
            <w:r>
              <w:t>When an auditor has a conflict of interest with the CCIV</w:t>
            </w:r>
          </w:p>
        </w:tc>
        <w:tc>
          <w:tcPr>
            <w:tcW w:w="1134" w:type="dxa"/>
          </w:tcPr>
          <w:p w14:paraId="2AB99514" w14:textId="770B2B62" w:rsidR="00157F7A" w:rsidRDefault="00157F7A" w:rsidP="00B6678C">
            <w:r>
              <w:t>1248S–1248V</w:t>
            </w:r>
          </w:p>
        </w:tc>
        <w:tc>
          <w:tcPr>
            <w:tcW w:w="5106" w:type="dxa"/>
            <w:vMerge/>
          </w:tcPr>
          <w:p w14:paraId="2C98DD09" w14:textId="77777777" w:rsidR="00157F7A" w:rsidRDefault="00157F7A" w:rsidP="00B6678C"/>
        </w:tc>
      </w:tr>
      <w:tr w:rsidR="006C5237" w:rsidRPr="005953E2" w14:paraId="4B47F081" w14:textId="77777777" w:rsidTr="009565E2">
        <w:trPr>
          <w:cantSplit/>
        </w:trPr>
        <w:tc>
          <w:tcPr>
            <w:tcW w:w="4644" w:type="dxa"/>
            <w:gridSpan w:val="2"/>
          </w:tcPr>
          <w:p w14:paraId="441EF124" w14:textId="565DD83E" w:rsidR="006C5237" w:rsidRPr="00592307" w:rsidRDefault="006C5237" w:rsidP="00B6678C">
            <w:pPr>
              <w:rPr>
                <w:b/>
              </w:rPr>
            </w:pPr>
            <w:r w:rsidRPr="00592307">
              <w:rPr>
                <w:b/>
              </w:rPr>
              <w:t>What are ASIC’s powers?</w:t>
            </w:r>
          </w:p>
        </w:tc>
        <w:tc>
          <w:tcPr>
            <w:tcW w:w="5106" w:type="dxa"/>
            <w:vMerge w:val="restart"/>
          </w:tcPr>
          <w:p w14:paraId="0E91992B" w14:textId="65904128" w:rsidR="006C5237" w:rsidRDefault="006C5237" w:rsidP="00AB06A8">
            <w:pPr>
              <w:pStyle w:val="Tabletext"/>
            </w:pPr>
            <w:r>
              <w:t>ASIC may make CCIV rules by legislative instrument that prescribe matters that are required or permitted by the Act or that are necessary or convenient to be prescribed for carrying out or giving effect to Chapter 8B.</w:t>
            </w:r>
          </w:p>
          <w:p w14:paraId="3EB5585B" w14:textId="5C3994BB" w:rsidR="006C5237" w:rsidRDefault="006C5237" w:rsidP="00AB06A8">
            <w:pPr>
              <w:pStyle w:val="Tabletext"/>
            </w:pPr>
            <w:r>
              <w:t>ASIC also has the power to:</w:t>
            </w:r>
          </w:p>
          <w:p w14:paraId="4E0B77F8" w14:textId="77777777" w:rsidR="006C5237" w:rsidRDefault="006C5237" w:rsidP="00AB06A8">
            <w:pPr>
              <w:pStyle w:val="Bullet"/>
            </w:pPr>
            <w:r>
              <w:t>register a CCIV;</w:t>
            </w:r>
          </w:p>
          <w:p w14:paraId="290647ED" w14:textId="77777777" w:rsidR="006C5237" w:rsidRDefault="006C5237" w:rsidP="00AB06A8">
            <w:pPr>
              <w:pStyle w:val="Bullet"/>
            </w:pPr>
            <w:r>
              <w:t>register a sub-fund;</w:t>
            </w:r>
          </w:p>
          <w:p w14:paraId="710218F9" w14:textId="77777777" w:rsidR="006C5237" w:rsidRDefault="006C5237" w:rsidP="00AB06A8">
            <w:pPr>
              <w:pStyle w:val="Bullet"/>
            </w:pPr>
            <w:r>
              <w:t>name a sub-fund (and change the sub-fund’s name);</w:t>
            </w:r>
          </w:p>
          <w:p w14:paraId="78850C67" w14:textId="77777777" w:rsidR="006C5237" w:rsidRDefault="006C5237" w:rsidP="00AB06A8">
            <w:pPr>
              <w:pStyle w:val="Bullet"/>
            </w:pPr>
            <w:r>
              <w:t>alter the record of registration if there is a change in the CCIV’s corporate director, depositary, or compliance plan auditor;</w:t>
            </w:r>
          </w:p>
          <w:p w14:paraId="2A43FC26" w14:textId="776428B0" w:rsidR="006C5237" w:rsidRDefault="006C5237" w:rsidP="00AB06A8">
            <w:pPr>
              <w:pStyle w:val="Bullet"/>
            </w:pPr>
            <w:r>
              <w:t>apply to the Court for orders to appoint a temporary depositary or temporary corporate director;</w:t>
            </w:r>
          </w:p>
          <w:p w14:paraId="5879DD33" w14:textId="4F5916C7" w:rsidR="006C5237" w:rsidRDefault="006C5237" w:rsidP="00AB06A8">
            <w:pPr>
              <w:pStyle w:val="Bullet"/>
            </w:pPr>
            <w:r>
              <w:t>apply to the Court for an order to wind up the CCIV in the event that no permanent depositary or new corporate director is appointed;</w:t>
            </w:r>
          </w:p>
          <w:p w14:paraId="731A3466" w14:textId="13C854DC" w:rsidR="006C5237" w:rsidRDefault="006C5237" w:rsidP="00AB06A8">
            <w:pPr>
              <w:pStyle w:val="Bullet"/>
            </w:pPr>
            <w:r>
              <w:t>apply to the Court for an order relating to consideration for a redemption of shares by a retail CCIV;</w:t>
            </w:r>
          </w:p>
          <w:p w14:paraId="47AB012A" w14:textId="77777777" w:rsidR="006C5237" w:rsidRDefault="006C5237" w:rsidP="00B6678C">
            <w:pPr>
              <w:pStyle w:val="Bullet"/>
            </w:pPr>
            <w:r>
              <w:t xml:space="preserve">consent to the resignation of a CCIV’s compliance plan auditor; and </w:t>
            </w:r>
          </w:p>
          <w:p w14:paraId="494FC966" w14:textId="77777777" w:rsidR="006C5237" w:rsidRPr="00D54CCB" w:rsidRDefault="006C5237" w:rsidP="00B6678C">
            <w:pPr>
              <w:pStyle w:val="Bullet"/>
            </w:pPr>
            <w:r>
              <w:t>give directions to a CCIV’s corporate director in relation to its compliance plan.</w:t>
            </w:r>
          </w:p>
          <w:p w14:paraId="14EE2906" w14:textId="4EE495B8" w:rsidR="006C5237" w:rsidRDefault="006C5237" w:rsidP="00B6678C">
            <w:r>
              <w:t>Refer to Chapter 10 of the explanatory materials for further information regarding the CCIV rules.</w:t>
            </w:r>
          </w:p>
          <w:p w14:paraId="7215D98D" w14:textId="19E7B310" w:rsidR="006C5237" w:rsidRPr="00D54CCB" w:rsidRDefault="006C5237" w:rsidP="00B6678C"/>
        </w:tc>
      </w:tr>
      <w:tr w:rsidR="0012367D" w14:paraId="410F014F" w14:textId="77777777" w:rsidTr="00A26D20">
        <w:trPr>
          <w:cantSplit/>
        </w:trPr>
        <w:tc>
          <w:tcPr>
            <w:tcW w:w="3510" w:type="dxa"/>
          </w:tcPr>
          <w:p w14:paraId="772A7EB3" w14:textId="3DDD5E53" w:rsidR="0012367D" w:rsidRDefault="0012367D" w:rsidP="005A778A">
            <w:pPr>
              <w:pStyle w:val="Tabletextindent"/>
            </w:pPr>
            <w:r>
              <w:t>Power to make CCIV rules</w:t>
            </w:r>
          </w:p>
        </w:tc>
        <w:tc>
          <w:tcPr>
            <w:tcW w:w="1134" w:type="dxa"/>
          </w:tcPr>
          <w:p w14:paraId="344B9928" w14:textId="0770FA48" w:rsidR="0012367D" w:rsidRDefault="0012367D" w:rsidP="00B6678C">
            <w:r>
              <w:t>1269 – 1269C</w:t>
            </w:r>
          </w:p>
        </w:tc>
        <w:tc>
          <w:tcPr>
            <w:tcW w:w="5106" w:type="dxa"/>
            <w:vMerge/>
          </w:tcPr>
          <w:p w14:paraId="533F5E3C" w14:textId="77777777" w:rsidR="0012367D" w:rsidRDefault="0012367D" w:rsidP="00B6678C"/>
        </w:tc>
      </w:tr>
      <w:tr w:rsidR="00157F7A" w14:paraId="472D4657" w14:textId="77777777" w:rsidTr="00A26D20">
        <w:trPr>
          <w:cantSplit/>
        </w:trPr>
        <w:tc>
          <w:tcPr>
            <w:tcW w:w="3510" w:type="dxa"/>
          </w:tcPr>
          <w:p w14:paraId="654C5CB0" w14:textId="479246D3" w:rsidR="00157F7A" w:rsidRDefault="0012367D" w:rsidP="005A778A">
            <w:pPr>
              <w:pStyle w:val="Tabletextindent"/>
            </w:pPr>
            <w:r>
              <w:t>Registration of</w:t>
            </w:r>
            <w:r w:rsidR="00157F7A">
              <w:t xml:space="preserve"> the CCIV</w:t>
            </w:r>
          </w:p>
        </w:tc>
        <w:tc>
          <w:tcPr>
            <w:tcW w:w="1134" w:type="dxa"/>
          </w:tcPr>
          <w:p w14:paraId="3D8CAA6C" w14:textId="0356FEDE" w:rsidR="00157F7A" w:rsidRDefault="00D54CCB" w:rsidP="00B6678C">
            <w:r>
              <w:t>1231D</w:t>
            </w:r>
          </w:p>
        </w:tc>
        <w:tc>
          <w:tcPr>
            <w:tcW w:w="5106" w:type="dxa"/>
            <w:vMerge/>
          </w:tcPr>
          <w:p w14:paraId="5872CCF2" w14:textId="7C16A42C" w:rsidR="00157F7A" w:rsidRDefault="00157F7A" w:rsidP="00B6678C"/>
        </w:tc>
      </w:tr>
      <w:tr w:rsidR="00157F7A" w14:paraId="16C74FC9" w14:textId="77777777" w:rsidTr="00A26D20">
        <w:trPr>
          <w:cantSplit/>
        </w:trPr>
        <w:tc>
          <w:tcPr>
            <w:tcW w:w="3510" w:type="dxa"/>
          </w:tcPr>
          <w:p w14:paraId="710D960A" w14:textId="6DA9B674" w:rsidR="00157F7A" w:rsidRDefault="0012367D" w:rsidP="005A778A">
            <w:pPr>
              <w:pStyle w:val="Tabletextindent"/>
            </w:pPr>
            <w:r>
              <w:t>Registration of</w:t>
            </w:r>
            <w:r w:rsidR="00157F7A">
              <w:t xml:space="preserve"> a sub-fund</w:t>
            </w:r>
            <w:r w:rsidR="00D54CCB">
              <w:t xml:space="preserve"> </w:t>
            </w:r>
          </w:p>
        </w:tc>
        <w:tc>
          <w:tcPr>
            <w:tcW w:w="1134" w:type="dxa"/>
          </w:tcPr>
          <w:p w14:paraId="3141F452" w14:textId="4040EE48" w:rsidR="00157F7A" w:rsidRDefault="00A26D20" w:rsidP="00B6678C">
            <w:r>
              <w:t>1231D;</w:t>
            </w:r>
            <w:r w:rsidR="00D54CCB">
              <w:t xml:space="preserve"> 1233D</w:t>
            </w:r>
          </w:p>
        </w:tc>
        <w:tc>
          <w:tcPr>
            <w:tcW w:w="5106" w:type="dxa"/>
            <w:vMerge/>
          </w:tcPr>
          <w:p w14:paraId="4A46BCD7" w14:textId="49B35C6A" w:rsidR="00157F7A" w:rsidRDefault="00157F7A" w:rsidP="00B6678C"/>
        </w:tc>
      </w:tr>
      <w:tr w:rsidR="00157F7A" w14:paraId="50F9F17B" w14:textId="77777777" w:rsidTr="00A26D20">
        <w:trPr>
          <w:cantSplit/>
        </w:trPr>
        <w:tc>
          <w:tcPr>
            <w:tcW w:w="3510" w:type="dxa"/>
          </w:tcPr>
          <w:p w14:paraId="0278E27E" w14:textId="23D269CF" w:rsidR="00157F7A" w:rsidRDefault="0012367D" w:rsidP="005A778A">
            <w:pPr>
              <w:pStyle w:val="Tabletextindent"/>
            </w:pPr>
            <w:r>
              <w:t>N</w:t>
            </w:r>
            <w:r w:rsidR="00D54CCB">
              <w:t>ame of a sub-fund</w:t>
            </w:r>
          </w:p>
        </w:tc>
        <w:tc>
          <w:tcPr>
            <w:tcW w:w="1134" w:type="dxa"/>
          </w:tcPr>
          <w:p w14:paraId="72959BC4" w14:textId="7FA52123" w:rsidR="00157F7A" w:rsidRDefault="00A26D20" w:rsidP="00B6678C">
            <w:r>
              <w:t>1233D;</w:t>
            </w:r>
            <w:r w:rsidR="00D54CCB">
              <w:t xml:space="preserve"> </w:t>
            </w:r>
            <w:r>
              <w:t>1233V;</w:t>
            </w:r>
            <w:r w:rsidR="00D54CCB">
              <w:t xml:space="preserve"> 1233W</w:t>
            </w:r>
          </w:p>
        </w:tc>
        <w:tc>
          <w:tcPr>
            <w:tcW w:w="5106" w:type="dxa"/>
            <w:vMerge/>
          </w:tcPr>
          <w:p w14:paraId="70859D8C" w14:textId="1EAFF25A" w:rsidR="00157F7A" w:rsidRDefault="00157F7A" w:rsidP="00B6678C"/>
        </w:tc>
      </w:tr>
      <w:tr w:rsidR="00157F7A" w14:paraId="419CE6AB" w14:textId="77777777" w:rsidTr="00A26D20">
        <w:trPr>
          <w:cantSplit/>
        </w:trPr>
        <w:tc>
          <w:tcPr>
            <w:tcW w:w="3510" w:type="dxa"/>
          </w:tcPr>
          <w:p w14:paraId="239902B5" w14:textId="1B28B1D2" w:rsidR="00157F7A" w:rsidRDefault="00D54CCB" w:rsidP="005A778A">
            <w:pPr>
              <w:pStyle w:val="Tabletextindent"/>
            </w:pPr>
            <w:r>
              <w:t>Alter</w:t>
            </w:r>
            <w:r w:rsidR="0012367D">
              <w:t>ation of</w:t>
            </w:r>
            <w:r>
              <w:t xml:space="preserve"> record of registration </w:t>
            </w:r>
            <w:r w:rsidR="0012367D">
              <w:t>to reflect</w:t>
            </w:r>
            <w:r>
              <w:t xml:space="preserve"> change in corporate director, depositary, or compliance plan auditor</w:t>
            </w:r>
          </w:p>
        </w:tc>
        <w:tc>
          <w:tcPr>
            <w:tcW w:w="1134" w:type="dxa"/>
          </w:tcPr>
          <w:p w14:paraId="4009AA61" w14:textId="4A4EA904" w:rsidR="00157F7A" w:rsidRDefault="00A26D20" w:rsidP="00B6678C">
            <w:r>
              <w:t>1235; 1238K; 1238Q;</w:t>
            </w:r>
            <w:r w:rsidR="00D54CCB">
              <w:t xml:space="preserve"> 1241M</w:t>
            </w:r>
          </w:p>
        </w:tc>
        <w:tc>
          <w:tcPr>
            <w:tcW w:w="5106" w:type="dxa"/>
            <w:vMerge/>
          </w:tcPr>
          <w:p w14:paraId="4DDA0FCC" w14:textId="3E7C0C5A" w:rsidR="00157F7A" w:rsidRDefault="00157F7A" w:rsidP="00B6678C"/>
        </w:tc>
      </w:tr>
      <w:tr w:rsidR="00A91023" w14:paraId="72A50286" w14:textId="77777777" w:rsidTr="00A26D20">
        <w:trPr>
          <w:cantSplit/>
        </w:trPr>
        <w:tc>
          <w:tcPr>
            <w:tcW w:w="3510" w:type="dxa"/>
          </w:tcPr>
          <w:p w14:paraId="4850F8C8" w14:textId="2D8A2441" w:rsidR="00A91023" w:rsidRDefault="0012367D" w:rsidP="005A778A">
            <w:pPr>
              <w:pStyle w:val="Tabletextindent"/>
            </w:pPr>
            <w:r>
              <w:t>Application</w:t>
            </w:r>
            <w:r w:rsidR="00A91023">
              <w:t xml:space="preserve"> to </w:t>
            </w:r>
            <w:r>
              <w:t>c</w:t>
            </w:r>
            <w:r w:rsidR="00A91023">
              <w:t>ourt for appointment of a temporary depositary</w:t>
            </w:r>
          </w:p>
        </w:tc>
        <w:tc>
          <w:tcPr>
            <w:tcW w:w="1134" w:type="dxa"/>
          </w:tcPr>
          <w:p w14:paraId="6564EC97" w14:textId="04340A28" w:rsidR="00A91023" w:rsidRDefault="00F857FD" w:rsidP="00B6678C">
            <w:r>
              <w:t>1235E;</w:t>
            </w:r>
            <w:r w:rsidR="00A91023">
              <w:t xml:space="preserve"> 1235F</w:t>
            </w:r>
          </w:p>
        </w:tc>
        <w:tc>
          <w:tcPr>
            <w:tcW w:w="5106" w:type="dxa"/>
            <w:vMerge/>
          </w:tcPr>
          <w:p w14:paraId="6BD5582F" w14:textId="4A080C5A" w:rsidR="00A91023" w:rsidRDefault="00A91023" w:rsidP="00B6678C"/>
        </w:tc>
      </w:tr>
      <w:tr w:rsidR="00A91023" w14:paraId="64A3A414" w14:textId="77777777" w:rsidTr="00A26D20">
        <w:trPr>
          <w:cantSplit/>
        </w:trPr>
        <w:tc>
          <w:tcPr>
            <w:tcW w:w="3510" w:type="dxa"/>
          </w:tcPr>
          <w:p w14:paraId="76FAF2EA" w14:textId="298590A5" w:rsidR="00A91023" w:rsidRDefault="0012367D" w:rsidP="005A778A">
            <w:pPr>
              <w:pStyle w:val="Tabletextindent"/>
            </w:pPr>
            <w:r>
              <w:t>Application</w:t>
            </w:r>
            <w:r w:rsidR="00A91023">
              <w:t xml:space="preserve"> to </w:t>
            </w:r>
            <w:r>
              <w:t>c</w:t>
            </w:r>
            <w:r w:rsidR="00A91023">
              <w:t>ourt to wind up a CCIV if a permanent depositary is not appointed</w:t>
            </w:r>
          </w:p>
        </w:tc>
        <w:tc>
          <w:tcPr>
            <w:tcW w:w="1134" w:type="dxa"/>
          </w:tcPr>
          <w:p w14:paraId="1445F884" w14:textId="1A8B5ED5" w:rsidR="00A91023" w:rsidRDefault="00A91023" w:rsidP="00B6678C">
            <w:r>
              <w:t>1235J</w:t>
            </w:r>
          </w:p>
        </w:tc>
        <w:tc>
          <w:tcPr>
            <w:tcW w:w="5106" w:type="dxa"/>
            <w:vMerge/>
          </w:tcPr>
          <w:p w14:paraId="5B5B9D05" w14:textId="7FD636BD" w:rsidR="00A91023" w:rsidRDefault="00A91023" w:rsidP="00B6678C"/>
        </w:tc>
      </w:tr>
      <w:tr w:rsidR="00A91023" w14:paraId="724FDE9D" w14:textId="77777777" w:rsidTr="00A26D20">
        <w:trPr>
          <w:cantSplit/>
        </w:trPr>
        <w:tc>
          <w:tcPr>
            <w:tcW w:w="3510" w:type="dxa"/>
          </w:tcPr>
          <w:p w14:paraId="626C4EE8" w14:textId="23526126" w:rsidR="00A91023" w:rsidRDefault="0012367D" w:rsidP="005A778A">
            <w:pPr>
              <w:pStyle w:val="Tabletextindent"/>
            </w:pPr>
            <w:r>
              <w:t>Application</w:t>
            </w:r>
            <w:r w:rsidR="00A91023">
              <w:t xml:space="preserve"> to </w:t>
            </w:r>
            <w:r>
              <w:t>c</w:t>
            </w:r>
            <w:r w:rsidR="00A91023">
              <w:t>ourt for appointment of a temporary corporate director</w:t>
            </w:r>
          </w:p>
        </w:tc>
        <w:tc>
          <w:tcPr>
            <w:tcW w:w="1134" w:type="dxa"/>
          </w:tcPr>
          <w:p w14:paraId="701BF3E5" w14:textId="4781DA7C" w:rsidR="00A91023" w:rsidRDefault="00A91023" w:rsidP="00B6678C">
            <w:r>
              <w:t>1238P; 1238Q</w:t>
            </w:r>
          </w:p>
        </w:tc>
        <w:tc>
          <w:tcPr>
            <w:tcW w:w="5106" w:type="dxa"/>
            <w:vMerge/>
          </w:tcPr>
          <w:p w14:paraId="7B687B51" w14:textId="61989671" w:rsidR="00A91023" w:rsidRDefault="00A91023" w:rsidP="00B6678C"/>
        </w:tc>
      </w:tr>
      <w:tr w:rsidR="00A91023" w14:paraId="336045AF" w14:textId="77777777" w:rsidTr="00A26D20">
        <w:trPr>
          <w:cantSplit/>
        </w:trPr>
        <w:tc>
          <w:tcPr>
            <w:tcW w:w="3510" w:type="dxa"/>
          </w:tcPr>
          <w:p w14:paraId="53520F19" w14:textId="3AC7BEF4" w:rsidR="00A91023" w:rsidRDefault="0012367D" w:rsidP="005A778A">
            <w:pPr>
              <w:pStyle w:val="Tabletextindent"/>
            </w:pPr>
            <w:r>
              <w:t>Application</w:t>
            </w:r>
            <w:r w:rsidR="00A91023">
              <w:t xml:space="preserve"> to </w:t>
            </w:r>
            <w:r>
              <w:t>c</w:t>
            </w:r>
            <w:r w:rsidR="00A91023">
              <w:t>ourt to wind up a CCIV if no corporate director is chosen</w:t>
            </w:r>
          </w:p>
        </w:tc>
        <w:tc>
          <w:tcPr>
            <w:tcW w:w="1134" w:type="dxa"/>
          </w:tcPr>
          <w:p w14:paraId="0E1A2181" w14:textId="7239A415" w:rsidR="00A91023" w:rsidRDefault="00A91023" w:rsidP="00B6678C">
            <w:r>
              <w:t>1238R</w:t>
            </w:r>
          </w:p>
        </w:tc>
        <w:tc>
          <w:tcPr>
            <w:tcW w:w="5106" w:type="dxa"/>
            <w:vMerge/>
          </w:tcPr>
          <w:p w14:paraId="1B84092A" w14:textId="337D8B3B" w:rsidR="00A91023" w:rsidRDefault="00A91023" w:rsidP="00B6678C"/>
        </w:tc>
      </w:tr>
      <w:tr w:rsidR="00A91023" w14:paraId="4FCF2A69" w14:textId="77777777" w:rsidTr="00A26D20">
        <w:trPr>
          <w:cantSplit/>
        </w:trPr>
        <w:tc>
          <w:tcPr>
            <w:tcW w:w="3510" w:type="dxa"/>
          </w:tcPr>
          <w:p w14:paraId="7E47E3CC" w14:textId="3A1EA8A8" w:rsidR="00A91023" w:rsidRDefault="00A91023" w:rsidP="005A778A">
            <w:pPr>
              <w:pStyle w:val="Tabletextindent"/>
            </w:pPr>
            <w:r>
              <w:t>Direct</w:t>
            </w:r>
            <w:r w:rsidR="0012367D">
              <w:t>ion for</w:t>
            </w:r>
            <w:r>
              <w:t xml:space="preserve"> corporate director to modify compliance plan</w:t>
            </w:r>
          </w:p>
        </w:tc>
        <w:tc>
          <w:tcPr>
            <w:tcW w:w="1134" w:type="dxa"/>
          </w:tcPr>
          <w:p w14:paraId="26FAF90E" w14:textId="3D7BEED5" w:rsidR="00A91023" w:rsidRDefault="00A91023" w:rsidP="00B6678C">
            <w:r>
              <w:t>1241F; 1241G</w:t>
            </w:r>
          </w:p>
        </w:tc>
        <w:tc>
          <w:tcPr>
            <w:tcW w:w="5106" w:type="dxa"/>
            <w:vMerge/>
          </w:tcPr>
          <w:p w14:paraId="05314FCD" w14:textId="07D298E7" w:rsidR="00A91023" w:rsidRDefault="00A91023" w:rsidP="00B6678C"/>
        </w:tc>
      </w:tr>
      <w:tr w:rsidR="00157F7A" w14:paraId="2F37BE4C" w14:textId="77777777" w:rsidTr="00A26D20">
        <w:trPr>
          <w:cantSplit/>
        </w:trPr>
        <w:tc>
          <w:tcPr>
            <w:tcW w:w="3510" w:type="dxa"/>
          </w:tcPr>
          <w:p w14:paraId="06E28DE4" w14:textId="53CFE52A" w:rsidR="00157F7A" w:rsidRDefault="0012367D" w:rsidP="005A778A">
            <w:pPr>
              <w:pStyle w:val="Tabletextindent"/>
            </w:pPr>
            <w:r>
              <w:t>Consent</w:t>
            </w:r>
            <w:r w:rsidR="00D54CCB">
              <w:t xml:space="preserve"> to resignation </w:t>
            </w:r>
            <w:r w:rsidR="00EE6030">
              <w:t>or removal</w:t>
            </w:r>
            <w:r w:rsidR="00D54CCB">
              <w:t xml:space="preserve"> of compliance plan</w:t>
            </w:r>
            <w:r>
              <w:t xml:space="preserve"> auditor</w:t>
            </w:r>
          </w:p>
        </w:tc>
        <w:tc>
          <w:tcPr>
            <w:tcW w:w="1134" w:type="dxa"/>
          </w:tcPr>
          <w:p w14:paraId="3C6A076B" w14:textId="067BC4D3" w:rsidR="00157F7A" w:rsidRDefault="00D54CCB" w:rsidP="00B6678C">
            <w:r>
              <w:t>1241L</w:t>
            </w:r>
          </w:p>
        </w:tc>
        <w:tc>
          <w:tcPr>
            <w:tcW w:w="5106" w:type="dxa"/>
            <w:vMerge/>
          </w:tcPr>
          <w:p w14:paraId="4AAB786D" w14:textId="7087676F" w:rsidR="00157F7A" w:rsidRDefault="00157F7A" w:rsidP="00B6678C"/>
        </w:tc>
      </w:tr>
      <w:tr w:rsidR="00A91023" w14:paraId="7770023A" w14:textId="77777777" w:rsidTr="00A26D20">
        <w:trPr>
          <w:cantSplit/>
        </w:trPr>
        <w:tc>
          <w:tcPr>
            <w:tcW w:w="3510" w:type="dxa"/>
          </w:tcPr>
          <w:p w14:paraId="7442D45E" w14:textId="6D6FFE7C" w:rsidR="00A91023" w:rsidRDefault="0012367D" w:rsidP="005A778A">
            <w:pPr>
              <w:pStyle w:val="Tabletextindent"/>
            </w:pPr>
            <w:r>
              <w:t>Application</w:t>
            </w:r>
            <w:r w:rsidR="00A91023">
              <w:t xml:space="preserve"> to </w:t>
            </w:r>
            <w:r>
              <w:t>c</w:t>
            </w:r>
            <w:r w:rsidR="00A91023">
              <w:t>ourt for an order relating to consideration for a redemption of shares by a retail CCIV</w:t>
            </w:r>
          </w:p>
        </w:tc>
        <w:tc>
          <w:tcPr>
            <w:tcW w:w="1134" w:type="dxa"/>
          </w:tcPr>
          <w:p w14:paraId="42DA03F3" w14:textId="284F1362" w:rsidR="00A91023" w:rsidRDefault="00A91023" w:rsidP="00B6678C">
            <w:r>
              <w:t>1245H</w:t>
            </w:r>
          </w:p>
        </w:tc>
        <w:tc>
          <w:tcPr>
            <w:tcW w:w="5106" w:type="dxa"/>
            <w:vMerge/>
          </w:tcPr>
          <w:p w14:paraId="40D64709" w14:textId="47ED8F8E" w:rsidR="00A91023" w:rsidRDefault="00A91023" w:rsidP="00B6678C"/>
        </w:tc>
      </w:tr>
    </w:tbl>
    <w:p w14:paraId="1C9C6433" w14:textId="77777777" w:rsidR="00FC5CFB" w:rsidRDefault="00FC5CFB" w:rsidP="00D75494"/>
    <w:p w14:paraId="36BCB2E6" w14:textId="6104D925" w:rsidR="005E4C5E" w:rsidRDefault="005E4C5E" w:rsidP="00D75494"/>
    <w:sectPr w:rsidR="005E4C5E" w:rsidSect="0024692E">
      <w:headerReference w:type="default" r:id="rId15"/>
      <w:footerReference w:type="default" r:id="rId16"/>
      <w:headerReference w:type="first" r:id="rId17"/>
      <w:footerReference w:type="first" r:id="rId18"/>
      <w:pgSz w:w="11906" w:h="16838"/>
      <w:pgMar w:top="2552"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48D4E" w14:textId="77777777" w:rsidR="00E816FE" w:rsidRDefault="00E816FE" w:rsidP="00D75494">
      <w:r>
        <w:separator/>
      </w:r>
    </w:p>
  </w:endnote>
  <w:endnote w:type="continuationSeparator" w:id="0">
    <w:p w14:paraId="5BD930FE" w14:textId="77777777" w:rsidR="00E816FE" w:rsidRDefault="00E816FE" w:rsidP="00D75494">
      <w:r>
        <w:continuationSeparator/>
      </w:r>
    </w:p>
  </w:endnote>
  <w:endnote w:type="continuationNotice" w:id="1">
    <w:p w14:paraId="53C0FF7F" w14:textId="77777777" w:rsidR="00E816FE" w:rsidRDefault="00E81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88060" w14:textId="77777777" w:rsidR="00E816FE" w:rsidRDefault="00E816FE" w:rsidP="005E4C5E">
    <w:pPr>
      <w:pStyle w:val="Footer"/>
    </w:pPr>
    <w:r>
      <w:t xml:space="preserve">Page </w:t>
    </w:r>
    <w:r>
      <w:fldChar w:fldCharType="begin"/>
    </w:r>
    <w:r>
      <w:instrText xml:space="preserve"> PAGE   \* MERGEFORMAT </w:instrText>
    </w:r>
    <w:r>
      <w:fldChar w:fldCharType="separate"/>
    </w:r>
    <w:r w:rsidR="00D86F7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572C5" w14:textId="77777777" w:rsidR="00E816FE" w:rsidRDefault="00E816FE">
    <w:pPr>
      <w:pStyle w:val="Footer"/>
    </w:pPr>
    <w:r>
      <w:t xml:space="preserve">Page </w:t>
    </w:r>
    <w:r>
      <w:fldChar w:fldCharType="begin"/>
    </w:r>
    <w:r>
      <w:instrText xml:space="preserve"> PAGE   \* MERGEFORMAT </w:instrText>
    </w:r>
    <w:r>
      <w:fldChar w:fldCharType="separate"/>
    </w:r>
    <w:r w:rsidR="00D86F7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61E98" w14:textId="77777777" w:rsidR="00E816FE" w:rsidRDefault="00E816FE" w:rsidP="00D75494">
      <w:r>
        <w:separator/>
      </w:r>
    </w:p>
  </w:footnote>
  <w:footnote w:type="continuationSeparator" w:id="0">
    <w:p w14:paraId="49D47756" w14:textId="77777777" w:rsidR="00E816FE" w:rsidRDefault="00E816FE" w:rsidP="00D75494">
      <w:r>
        <w:continuationSeparator/>
      </w:r>
    </w:p>
  </w:footnote>
  <w:footnote w:type="continuationNotice" w:id="1">
    <w:p w14:paraId="62382E65" w14:textId="77777777" w:rsidR="00E816FE" w:rsidRDefault="00E816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4528" w14:textId="604C51F7" w:rsidR="00E816FE" w:rsidRPr="005E4C5E" w:rsidRDefault="00E816FE">
    <w:pPr>
      <w:pStyle w:val="Header"/>
      <w:rPr>
        <w:color w:val="004A80" w:themeColor="background2"/>
        <w:sz w:val="24"/>
      </w:rPr>
    </w:pPr>
    <w:r w:rsidRPr="005E4C5E">
      <w:rPr>
        <w:noProof/>
        <w:color w:val="004A80" w:themeColor="background2"/>
        <w:sz w:val="24"/>
        <w:lang w:eastAsia="en-AU"/>
      </w:rPr>
      <w:drawing>
        <wp:anchor distT="0" distB="0" distL="114300" distR="114300" simplePos="0" relativeHeight="251658241" behindDoc="1" locked="0" layoutInCell="1" allowOverlap="1" wp14:anchorId="725A3791" wp14:editId="0A12B92E">
          <wp:simplePos x="723900" y="447675"/>
          <wp:positionH relativeFrom="page">
            <wp:align>center</wp:align>
          </wp:positionH>
          <wp:positionV relativeFrom="page">
            <wp:align>top</wp:align>
          </wp:positionV>
          <wp:extent cx="7560360" cy="15710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71040"/>
                  </a:xfrm>
                  <a:prstGeom prst="rect">
                    <a:avLst/>
                  </a:prstGeom>
                </pic:spPr>
              </pic:pic>
            </a:graphicData>
          </a:graphic>
          <wp14:sizeRelH relativeFrom="margin">
            <wp14:pctWidth>0</wp14:pctWidth>
          </wp14:sizeRelH>
          <wp14:sizeRelV relativeFrom="margin">
            <wp14:pctHeight>0</wp14:pctHeight>
          </wp14:sizeRelV>
        </wp:anchor>
      </w:drawing>
    </w:r>
    <w:r w:rsidRPr="005E4C5E">
      <w:rPr>
        <w:color w:val="004A80" w:themeColor="background2"/>
        <w:sz w:val="24"/>
      </w:rPr>
      <w:t>THE TREASURY</w:t>
    </w:r>
    <w:r w:rsidRPr="005E4C5E">
      <w:rPr>
        <w:b/>
        <w:color w:val="004A80" w:themeColor="background2"/>
        <w:sz w:val="24"/>
      </w:rPr>
      <w:t xml:space="preserve"> Draft Legislation</w:t>
    </w:r>
    <w:r w:rsidRPr="005E4C5E">
      <w:rPr>
        <w:color w:val="004A80" w:themeColor="background2"/>
        <w:sz w:val="24"/>
      </w:rPr>
      <w:t xml:space="preserve">: </w:t>
    </w:r>
    <w:r>
      <w:rPr>
        <w:color w:val="004A80" w:themeColor="background2"/>
        <w:sz w:val="24"/>
      </w:rPr>
      <w:t>Corporate Collective Investment Vehicles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10DC7" w14:textId="77777777" w:rsidR="00E816FE" w:rsidRPr="000505BE" w:rsidRDefault="00E816FE" w:rsidP="0024692E">
    <w:pPr>
      <w:spacing w:after="0" w:line="480" w:lineRule="exact"/>
      <w:jc w:val="right"/>
      <w:rPr>
        <w:color w:val="004A80" w:themeColor="background2"/>
        <w:sz w:val="40"/>
      </w:rPr>
    </w:pPr>
    <w:r w:rsidRPr="000505BE">
      <w:rPr>
        <w:color w:val="004A80" w:themeColor="background2"/>
        <w:sz w:val="40"/>
      </w:rPr>
      <w:t>THE TREASURY</w:t>
    </w:r>
  </w:p>
  <w:p w14:paraId="6A9A3E9E" w14:textId="77777777" w:rsidR="00E816FE" w:rsidRDefault="00E816FE" w:rsidP="0024692E">
    <w:pPr>
      <w:spacing w:after="240" w:line="480" w:lineRule="exact"/>
      <w:jc w:val="right"/>
    </w:pPr>
    <w:r w:rsidRPr="00FC5CFB">
      <w:rPr>
        <w:b/>
        <w:color w:val="004A80" w:themeColor="background2"/>
        <w:sz w:val="48"/>
      </w:rPr>
      <w:t>Draft Legislation</w:t>
    </w:r>
    <w:r>
      <w:rPr>
        <w:noProof/>
        <w:lang w:eastAsia="en-AU"/>
      </w:rPr>
      <w:drawing>
        <wp:anchor distT="0" distB="0" distL="114300" distR="114300" simplePos="0" relativeHeight="251658240" behindDoc="1" locked="0" layoutInCell="1" allowOverlap="1" wp14:anchorId="0B56C4CC" wp14:editId="1AC88A99">
          <wp:simplePos x="723900" y="447675"/>
          <wp:positionH relativeFrom="page">
            <wp:align>center</wp:align>
          </wp:positionH>
          <wp:positionV relativeFrom="page">
            <wp:align>top</wp:align>
          </wp:positionV>
          <wp:extent cx="7560360" cy="1596240"/>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crest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96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2D5"/>
    <w:multiLevelType w:val="multilevel"/>
    <w:tmpl w:val="57085B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1712E8"/>
    <w:multiLevelType w:val="hybridMultilevel"/>
    <w:tmpl w:val="FEA81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693800"/>
    <w:multiLevelType w:val="multilevel"/>
    <w:tmpl w:val="6102221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5856F29"/>
    <w:multiLevelType w:val="multilevel"/>
    <w:tmpl w:val="CCB82AC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1C"/>
    <w:rsid w:val="00010544"/>
    <w:rsid w:val="00010B35"/>
    <w:rsid w:val="000244A2"/>
    <w:rsid w:val="00027553"/>
    <w:rsid w:val="00041410"/>
    <w:rsid w:val="000421F9"/>
    <w:rsid w:val="00044A1F"/>
    <w:rsid w:val="000465A0"/>
    <w:rsid w:val="000505BE"/>
    <w:rsid w:val="00052C7C"/>
    <w:rsid w:val="000751F0"/>
    <w:rsid w:val="00094E55"/>
    <w:rsid w:val="000B403A"/>
    <w:rsid w:val="000D34F8"/>
    <w:rsid w:val="000D45F3"/>
    <w:rsid w:val="000F4FBC"/>
    <w:rsid w:val="001078AA"/>
    <w:rsid w:val="00113A5C"/>
    <w:rsid w:val="00122C85"/>
    <w:rsid w:val="0012367D"/>
    <w:rsid w:val="00124F2C"/>
    <w:rsid w:val="00125527"/>
    <w:rsid w:val="00126972"/>
    <w:rsid w:val="00132608"/>
    <w:rsid w:val="001367ED"/>
    <w:rsid w:val="0014005E"/>
    <w:rsid w:val="00145146"/>
    <w:rsid w:val="00156D53"/>
    <w:rsid w:val="00157F7A"/>
    <w:rsid w:val="00160D39"/>
    <w:rsid w:val="0016145E"/>
    <w:rsid w:val="001A3BBB"/>
    <w:rsid w:val="001B406B"/>
    <w:rsid w:val="001D48B5"/>
    <w:rsid w:val="001E2A69"/>
    <w:rsid w:val="001E7ED2"/>
    <w:rsid w:val="001F1307"/>
    <w:rsid w:val="00220F44"/>
    <w:rsid w:val="002246F2"/>
    <w:rsid w:val="002362D5"/>
    <w:rsid w:val="00236594"/>
    <w:rsid w:val="002467C6"/>
    <w:rsid w:val="0024692E"/>
    <w:rsid w:val="0025104B"/>
    <w:rsid w:val="00257032"/>
    <w:rsid w:val="002654EC"/>
    <w:rsid w:val="00281BC5"/>
    <w:rsid w:val="00291082"/>
    <w:rsid w:val="00295F06"/>
    <w:rsid w:val="002A2E13"/>
    <w:rsid w:val="002A3BD4"/>
    <w:rsid w:val="002F33B7"/>
    <w:rsid w:val="00311502"/>
    <w:rsid w:val="00312532"/>
    <w:rsid w:val="00312928"/>
    <w:rsid w:val="00313C66"/>
    <w:rsid w:val="00322B48"/>
    <w:rsid w:val="00332636"/>
    <w:rsid w:val="00333C08"/>
    <w:rsid w:val="003531D3"/>
    <w:rsid w:val="00356CC7"/>
    <w:rsid w:val="003624A6"/>
    <w:rsid w:val="00374756"/>
    <w:rsid w:val="00387527"/>
    <w:rsid w:val="003B545C"/>
    <w:rsid w:val="003D116E"/>
    <w:rsid w:val="003D6559"/>
    <w:rsid w:val="003E3435"/>
    <w:rsid w:val="003E640D"/>
    <w:rsid w:val="003F367A"/>
    <w:rsid w:val="00401A25"/>
    <w:rsid w:val="00406E74"/>
    <w:rsid w:val="00413351"/>
    <w:rsid w:val="004175A4"/>
    <w:rsid w:val="004354B3"/>
    <w:rsid w:val="004355E9"/>
    <w:rsid w:val="0043564D"/>
    <w:rsid w:val="00443F09"/>
    <w:rsid w:val="0045746B"/>
    <w:rsid w:val="0046767E"/>
    <w:rsid w:val="0047552F"/>
    <w:rsid w:val="004951BF"/>
    <w:rsid w:val="0049536D"/>
    <w:rsid w:val="004A780D"/>
    <w:rsid w:val="004B225C"/>
    <w:rsid w:val="004C2202"/>
    <w:rsid w:val="004C2EBB"/>
    <w:rsid w:val="004F05E5"/>
    <w:rsid w:val="004F7F38"/>
    <w:rsid w:val="00501327"/>
    <w:rsid w:val="00522FAA"/>
    <w:rsid w:val="00526231"/>
    <w:rsid w:val="005842E5"/>
    <w:rsid w:val="00592307"/>
    <w:rsid w:val="005953E2"/>
    <w:rsid w:val="00596857"/>
    <w:rsid w:val="005A778A"/>
    <w:rsid w:val="005C101D"/>
    <w:rsid w:val="005D137F"/>
    <w:rsid w:val="005D5220"/>
    <w:rsid w:val="005E4C5E"/>
    <w:rsid w:val="005F7A5B"/>
    <w:rsid w:val="00601E81"/>
    <w:rsid w:val="006048E8"/>
    <w:rsid w:val="00610E41"/>
    <w:rsid w:val="00611C58"/>
    <w:rsid w:val="00617CF3"/>
    <w:rsid w:val="0065015D"/>
    <w:rsid w:val="00654E51"/>
    <w:rsid w:val="00697A99"/>
    <w:rsid w:val="006B3182"/>
    <w:rsid w:val="006C5237"/>
    <w:rsid w:val="006C7852"/>
    <w:rsid w:val="006E19E6"/>
    <w:rsid w:val="006E3C58"/>
    <w:rsid w:val="006E4061"/>
    <w:rsid w:val="006E44EB"/>
    <w:rsid w:val="006F40B5"/>
    <w:rsid w:val="00732243"/>
    <w:rsid w:val="007343F7"/>
    <w:rsid w:val="00747ADD"/>
    <w:rsid w:val="00754A00"/>
    <w:rsid w:val="00795136"/>
    <w:rsid w:val="007B6ED9"/>
    <w:rsid w:val="007D2A8D"/>
    <w:rsid w:val="007D3584"/>
    <w:rsid w:val="007E764F"/>
    <w:rsid w:val="00802E9E"/>
    <w:rsid w:val="00804D5C"/>
    <w:rsid w:val="00805299"/>
    <w:rsid w:val="008147D5"/>
    <w:rsid w:val="00825212"/>
    <w:rsid w:val="008312D5"/>
    <w:rsid w:val="00864F9D"/>
    <w:rsid w:val="00886726"/>
    <w:rsid w:val="008A6530"/>
    <w:rsid w:val="008C1150"/>
    <w:rsid w:val="008C24FF"/>
    <w:rsid w:val="008D193C"/>
    <w:rsid w:val="008E2C04"/>
    <w:rsid w:val="008E3FE1"/>
    <w:rsid w:val="00911C34"/>
    <w:rsid w:val="00930D84"/>
    <w:rsid w:val="0095243F"/>
    <w:rsid w:val="009534DD"/>
    <w:rsid w:val="00962A39"/>
    <w:rsid w:val="00965B58"/>
    <w:rsid w:val="0098185C"/>
    <w:rsid w:val="009A20B2"/>
    <w:rsid w:val="009B2C56"/>
    <w:rsid w:val="009C007F"/>
    <w:rsid w:val="009F462F"/>
    <w:rsid w:val="00A00F22"/>
    <w:rsid w:val="00A13446"/>
    <w:rsid w:val="00A2463C"/>
    <w:rsid w:val="00A26D20"/>
    <w:rsid w:val="00A56ADC"/>
    <w:rsid w:val="00A64C93"/>
    <w:rsid w:val="00A65052"/>
    <w:rsid w:val="00A73C60"/>
    <w:rsid w:val="00A91023"/>
    <w:rsid w:val="00AA1EA0"/>
    <w:rsid w:val="00AA3D87"/>
    <w:rsid w:val="00AB06A8"/>
    <w:rsid w:val="00AC0316"/>
    <w:rsid w:val="00AC4DC5"/>
    <w:rsid w:val="00AC5D30"/>
    <w:rsid w:val="00AE1773"/>
    <w:rsid w:val="00AF197D"/>
    <w:rsid w:val="00AF362A"/>
    <w:rsid w:val="00AF6299"/>
    <w:rsid w:val="00B206AC"/>
    <w:rsid w:val="00B25FB3"/>
    <w:rsid w:val="00B26C9B"/>
    <w:rsid w:val="00B46F86"/>
    <w:rsid w:val="00B567F7"/>
    <w:rsid w:val="00B6678C"/>
    <w:rsid w:val="00B859E4"/>
    <w:rsid w:val="00B92398"/>
    <w:rsid w:val="00BA53BD"/>
    <w:rsid w:val="00BB18C3"/>
    <w:rsid w:val="00BC28E6"/>
    <w:rsid w:val="00BC3E7E"/>
    <w:rsid w:val="00BD6D2C"/>
    <w:rsid w:val="00BF084D"/>
    <w:rsid w:val="00BF6445"/>
    <w:rsid w:val="00C02FD6"/>
    <w:rsid w:val="00C16C07"/>
    <w:rsid w:val="00C2708E"/>
    <w:rsid w:val="00C27710"/>
    <w:rsid w:val="00C45732"/>
    <w:rsid w:val="00C565FC"/>
    <w:rsid w:val="00C659CE"/>
    <w:rsid w:val="00C70CED"/>
    <w:rsid w:val="00C749F8"/>
    <w:rsid w:val="00C831C8"/>
    <w:rsid w:val="00C85EDF"/>
    <w:rsid w:val="00CB1246"/>
    <w:rsid w:val="00D00890"/>
    <w:rsid w:val="00D2150F"/>
    <w:rsid w:val="00D37A1C"/>
    <w:rsid w:val="00D4189B"/>
    <w:rsid w:val="00D461D3"/>
    <w:rsid w:val="00D54CCB"/>
    <w:rsid w:val="00D7524D"/>
    <w:rsid w:val="00D75494"/>
    <w:rsid w:val="00D86F75"/>
    <w:rsid w:val="00DD1C72"/>
    <w:rsid w:val="00DD31DC"/>
    <w:rsid w:val="00DE56AF"/>
    <w:rsid w:val="00DE5AC6"/>
    <w:rsid w:val="00DF0285"/>
    <w:rsid w:val="00E06B2B"/>
    <w:rsid w:val="00E17506"/>
    <w:rsid w:val="00E2621C"/>
    <w:rsid w:val="00E461E0"/>
    <w:rsid w:val="00E534E5"/>
    <w:rsid w:val="00E53C39"/>
    <w:rsid w:val="00E55E74"/>
    <w:rsid w:val="00E66B50"/>
    <w:rsid w:val="00E816FE"/>
    <w:rsid w:val="00E93310"/>
    <w:rsid w:val="00EC0336"/>
    <w:rsid w:val="00EC1959"/>
    <w:rsid w:val="00EE6030"/>
    <w:rsid w:val="00F51821"/>
    <w:rsid w:val="00F56A0C"/>
    <w:rsid w:val="00F611B9"/>
    <w:rsid w:val="00F75A24"/>
    <w:rsid w:val="00F84596"/>
    <w:rsid w:val="00F857FD"/>
    <w:rsid w:val="00FA6165"/>
    <w:rsid w:val="00FA68EE"/>
    <w:rsid w:val="00FB13F2"/>
    <w:rsid w:val="00FC5CFB"/>
    <w:rsid w:val="00FD06B5"/>
    <w:rsid w:val="00FD2C9E"/>
    <w:rsid w:val="00FD7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5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FB"/>
    <w:pPr>
      <w:spacing w:after="120"/>
    </w:pPr>
    <w:rPr>
      <w:sz w:val="22"/>
    </w:rPr>
  </w:style>
  <w:style w:type="paragraph" w:styleId="Heading1">
    <w:name w:val="heading 1"/>
    <w:basedOn w:val="Normal"/>
    <w:next w:val="Normal"/>
    <w:link w:val="Heading1Char"/>
    <w:uiPriority w:val="9"/>
    <w:qFormat/>
    <w:rsid w:val="00D75494"/>
    <w:pPr>
      <w:keepNext/>
      <w:keepLines/>
      <w:spacing w:before="480" w:after="480"/>
      <w:outlineLvl w:val="0"/>
    </w:pPr>
    <w:rPr>
      <w:rFonts w:asciiTheme="majorHAnsi" w:eastAsiaTheme="majorEastAsia" w:hAnsiTheme="majorHAnsi" w:cstheme="majorBidi"/>
      <w:b/>
      <w:bCs/>
      <w:color w:val="16325C" w:themeColor="text2"/>
      <w:sz w:val="40"/>
      <w:szCs w:val="28"/>
    </w:rPr>
  </w:style>
  <w:style w:type="paragraph" w:styleId="Heading9">
    <w:name w:val="heading 9"/>
    <w:basedOn w:val="Normal"/>
    <w:next w:val="Normal"/>
    <w:link w:val="Heading9Char"/>
    <w:uiPriority w:val="9"/>
    <w:semiHidden/>
    <w:unhideWhenUsed/>
    <w:qFormat/>
    <w:rsid w:val="008E3FE1"/>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94"/>
    <w:pPr>
      <w:tabs>
        <w:tab w:val="center" w:pos="4513"/>
        <w:tab w:val="right" w:pos="9026"/>
      </w:tabs>
    </w:pPr>
  </w:style>
  <w:style w:type="character" w:customStyle="1" w:styleId="HeaderChar">
    <w:name w:val="Header Char"/>
    <w:basedOn w:val="DefaultParagraphFont"/>
    <w:link w:val="Header"/>
    <w:uiPriority w:val="99"/>
    <w:rsid w:val="00D75494"/>
  </w:style>
  <w:style w:type="paragraph" w:styleId="Footer">
    <w:name w:val="footer"/>
    <w:basedOn w:val="Normal"/>
    <w:link w:val="FooterChar"/>
    <w:uiPriority w:val="99"/>
    <w:unhideWhenUsed/>
    <w:rsid w:val="005E4C5E"/>
    <w:pPr>
      <w:tabs>
        <w:tab w:val="center" w:pos="4513"/>
        <w:tab w:val="right" w:pos="9026"/>
      </w:tabs>
      <w:jc w:val="right"/>
    </w:pPr>
    <w:rPr>
      <w:color w:val="004A80" w:themeColor="background2"/>
    </w:rPr>
  </w:style>
  <w:style w:type="character" w:customStyle="1" w:styleId="FooterChar">
    <w:name w:val="Footer Char"/>
    <w:basedOn w:val="DefaultParagraphFont"/>
    <w:link w:val="Footer"/>
    <w:uiPriority w:val="99"/>
    <w:rsid w:val="005E4C5E"/>
    <w:rPr>
      <w:color w:val="004A80" w:themeColor="background2"/>
      <w:sz w:val="22"/>
    </w:rPr>
  </w:style>
  <w:style w:type="paragraph" w:styleId="BalloonText">
    <w:name w:val="Balloon Text"/>
    <w:basedOn w:val="Normal"/>
    <w:link w:val="BalloonTextChar"/>
    <w:uiPriority w:val="99"/>
    <w:semiHidden/>
    <w:unhideWhenUsed/>
    <w:rsid w:val="00D75494"/>
    <w:rPr>
      <w:rFonts w:ascii="Tahoma" w:hAnsi="Tahoma" w:cs="Tahoma"/>
      <w:sz w:val="16"/>
      <w:szCs w:val="16"/>
    </w:rPr>
  </w:style>
  <w:style w:type="character" w:customStyle="1" w:styleId="BalloonTextChar">
    <w:name w:val="Balloon Text Char"/>
    <w:basedOn w:val="DefaultParagraphFont"/>
    <w:link w:val="BalloonText"/>
    <w:uiPriority w:val="99"/>
    <w:semiHidden/>
    <w:rsid w:val="00D75494"/>
    <w:rPr>
      <w:rFonts w:ascii="Tahoma" w:hAnsi="Tahoma" w:cs="Tahoma"/>
      <w:sz w:val="16"/>
      <w:szCs w:val="16"/>
    </w:rPr>
  </w:style>
  <w:style w:type="character" w:customStyle="1" w:styleId="Heading1Char">
    <w:name w:val="Heading 1 Char"/>
    <w:basedOn w:val="DefaultParagraphFont"/>
    <w:link w:val="Heading1"/>
    <w:uiPriority w:val="9"/>
    <w:rsid w:val="00D75494"/>
    <w:rPr>
      <w:rFonts w:asciiTheme="majorHAnsi" w:eastAsiaTheme="majorEastAsia" w:hAnsiTheme="majorHAnsi" w:cstheme="majorBidi"/>
      <w:b/>
      <w:bCs/>
      <w:color w:val="16325C" w:themeColor="text2"/>
      <w:sz w:val="40"/>
      <w:szCs w:val="28"/>
    </w:rPr>
  </w:style>
  <w:style w:type="table" w:styleId="TableGrid">
    <w:name w:val="Table Grid"/>
    <w:basedOn w:val="TableNormal"/>
    <w:uiPriority w:val="59"/>
    <w:rsid w:val="00D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257032"/>
    <w:rPr>
      <w:b/>
    </w:rPr>
  </w:style>
  <w:style w:type="paragraph" w:customStyle="1" w:styleId="Tabletextindent">
    <w:name w:val="Table text indent"/>
    <w:basedOn w:val="Normal"/>
    <w:link w:val="TabletextindentChar"/>
    <w:qFormat/>
    <w:rsid w:val="00B6678C"/>
    <w:pPr>
      <w:ind w:left="284"/>
    </w:pPr>
  </w:style>
  <w:style w:type="paragraph" w:customStyle="1" w:styleId="Tabletext">
    <w:name w:val="Table text"/>
    <w:basedOn w:val="Normal"/>
    <w:link w:val="TabletextChar"/>
    <w:qFormat/>
    <w:rsid w:val="0014005E"/>
  </w:style>
  <w:style w:type="paragraph" w:customStyle="1" w:styleId="Tabletextbolditalic">
    <w:name w:val="Table text bold italic"/>
    <w:basedOn w:val="Tabletextbold"/>
    <w:qFormat/>
    <w:rsid w:val="00B6678C"/>
    <w:rPr>
      <w:i/>
    </w:rPr>
  </w:style>
  <w:style w:type="paragraph" w:customStyle="1" w:styleId="Boldintroductiontext">
    <w:name w:val="Bold introduction text"/>
    <w:basedOn w:val="Normal"/>
    <w:qFormat/>
    <w:rsid w:val="00C831C8"/>
    <w:pPr>
      <w:spacing w:after="240"/>
    </w:pPr>
    <w:rPr>
      <w:b/>
      <w:sz w:val="24"/>
      <w:szCs w:val="24"/>
    </w:rPr>
  </w:style>
  <w:style w:type="paragraph" w:customStyle="1" w:styleId="Bullet">
    <w:name w:val="Bullet"/>
    <w:basedOn w:val="Normal"/>
    <w:link w:val="BulletChar"/>
    <w:rsid w:val="00145146"/>
    <w:pPr>
      <w:numPr>
        <w:numId w:val="1"/>
      </w:numPr>
    </w:pPr>
  </w:style>
  <w:style w:type="character" w:customStyle="1" w:styleId="TabletextindentChar">
    <w:name w:val="Table text indent Char"/>
    <w:basedOn w:val="DefaultParagraphFont"/>
    <w:link w:val="Tabletextindent"/>
    <w:rsid w:val="00145146"/>
    <w:rPr>
      <w:sz w:val="22"/>
    </w:rPr>
  </w:style>
  <w:style w:type="character" w:customStyle="1" w:styleId="BulletChar">
    <w:name w:val="Bullet Char"/>
    <w:basedOn w:val="TabletextindentChar"/>
    <w:link w:val="Bullet"/>
    <w:rsid w:val="00145146"/>
    <w:rPr>
      <w:sz w:val="22"/>
    </w:rPr>
  </w:style>
  <w:style w:type="paragraph" w:customStyle="1" w:styleId="Dash">
    <w:name w:val="Dash"/>
    <w:basedOn w:val="Normal"/>
    <w:link w:val="DashChar"/>
    <w:rsid w:val="00145146"/>
    <w:pPr>
      <w:numPr>
        <w:ilvl w:val="1"/>
        <w:numId w:val="1"/>
      </w:numPr>
    </w:pPr>
  </w:style>
  <w:style w:type="character" w:customStyle="1" w:styleId="DashChar">
    <w:name w:val="Dash Char"/>
    <w:basedOn w:val="TabletextindentChar"/>
    <w:link w:val="Dash"/>
    <w:rsid w:val="00145146"/>
    <w:rPr>
      <w:sz w:val="22"/>
    </w:rPr>
  </w:style>
  <w:style w:type="paragraph" w:customStyle="1" w:styleId="DoubleDot">
    <w:name w:val="Double Dot"/>
    <w:basedOn w:val="Normal"/>
    <w:link w:val="DoubleDotChar"/>
    <w:rsid w:val="00145146"/>
    <w:pPr>
      <w:numPr>
        <w:ilvl w:val="2"/>
        <w:numId w:val="1"/>
      </w:numPr>
    </w:pPr>
  </w:style>
  <w:style w:type="character" w:customStyle="1" w:styleId="DoubleDotChar">
    <w:name w:val="Double Dot Char"/>
    <w:basedOn w:val="TabletextindentChar"/>
    <w:link w:val="DoubleDot"/>
    <w:rsid w:val="00145146"/>
    <w:rPr>
      <w:sz w:val="22"/>
    </w:rPr>
  </w:style>
  <w:style w:type="character" w:customStyle="1" w:styleId="Heading9Char">
    <w:name w:val="Heading 9 Char"/>
    <w:basedOn w:val="DefaultParagraphFont"/>
    <w:link w:val="Heading9"/>
    <w:uiPriority w:val="9"/>
    <w:semiHidden/>
    <w:rsid w:val="008E3FE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8E3FE1"/>
    <w:rPr>
      <w:sz w:val="22"/>
    </w:rPr>
  </w:style>
  <w:style w:type="character" w:customStyle="1" w:styleId="TabletextChar">
    <w:name w:val="Table text Char"/>
    <w:basedOn w:val="DefaultParagraphFont"/>
    <w:link w:val="Tabletext"/>
    <w:rsid w:val="0014005E"/>
    <w:rPr>
      <w:sz w:val="22"/>
    </w:rPr>
  </w:style>
  <w:style w:type="character" w:styleId="CommentReference">
    <w:name w:val="annotation reference"/>
    <w:basedOn w:val="DefaultParagraphFont"/>
    <w:uiPriority w:val="99"/>
    <w:semiHidden/>
    <w:unhideWhenUsed/>
    <w:rsid w:val="001F1307"/>
    <w:rPr>
      <w:sz w:val="16"/>
      <w:szCs w:val="16"/>
    </w:rPr>
  </w:style>
  <w:style w:type="paragraph" w:styleId="CommentText">
    <w:name w:val="annotation text"/>
    <w:basedOn w:val="Normal"/>
    <w:link w:val="CommentTextChar"/>
    <w:uiPriority w:val="99"/>
    <w:semiHidden/>
    <w:unhideWhenUsed/>
    <w:rsid w:val="001F1307"/>
    <w:rPr>
      <w:sz w:val="20"/>
    </w:rPr>
  </w:style>
  <w:style w:type="character" w:customStyle="1" w:styleId="CommentTextChar">
    <w:name w:val="Comment Text Char"/>
    <w:basedOn w:val="DefaultParagraphFont"/>
    <w:link w:val="CommentText"/>
    <w:uiPriority w:val="99"/>
    <w:semiHidden/>
    <w:rsid w:val="001F1307"/>
  </w:style>
  <w:style w:type="paragraph" w:styleId="CommentSubject">
    <w:name w:val="annotation subject"/>
    <w:basedOn w:val="CommentText"/>
    <w:next w:val="CommentText"/>
    <w:link w:val="CommentSubjectChar"/>
    <w:uiPriority w:val="99"/>
    <w:semiHidden/>
    <w:unhideWhenUsed/>
    <w:rsid w:val="001F1307"/>
    <w:rPr>
      <w:b/>
      <w:bCs/>
    </w:rPr>
  </w:style>
  <w:style w:type="character" w:customStyle="1" w:styleId="CommentSubjectChar">
    <w:name w:val="Comment Subject Char"/>
    <w:basedOn w:val="CommentTextChar"/>
    <w:link w:val="CommentSubject"/>
    <w:uiPriority w:val="99"/>
    <w:semiHidden/>
    <w:rsid w:val="001F13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FB"/>
    <w:pPr>
      <w:spacing w:after="120"/>
    </w:pPr>
    <w:rPr>
      <w:sz w:val="22"/>
    </w:rPr>
  </w:style>
  <w:style w:type="paragraph" w:styleId="Heading1">
    <w:name w:val="heading 1"/>
    <w:basedOn w:val="Normal"/>
    <w:next w:val="Normal"/>
    <w:link w:val="Heading1Char"/>
    <w:uiPriority w:val="9"/>
    <w:qFormat/>
    <w:rsid w:val="00D75494"/>
    <w:pPr>
      <w:keepNext/>
      <w:keepLines/>
      <w:spacing w:before="480" w:after="480"/>
      <w:outlineLvl w:val="0"/>
    </w:pPr>
    <w:rPr>
      <w:rFonts w:asciiTheme="majorHAnsi" w:eastAsiaTheme="majorEastAsia" w:hAnsiTheme="majorHAnsi" w:cstheme="majorBidi"/>
      <w:b/>
      <w:bCs/>
      <w:color w:val="16325C" w:themeColor="text2"/>
      <w:sz w:val="40"/>
      <w:szCs w:val="28"/>
    </w:rPr>
  </w:style>
  <w:style w:type="paragraph" w:styleId="Heading9">
    <w:name w:val="heading 9"/>
    <w:basedOn w:val="Normal"/>
    <w:next w:val="Normal"/>
    <w:link w:val="Heading9Char"/>
    <w:uiPriority w:val="9"/>
    <w:semiHidden/>
    <w:unhideWhenUsed/>
    <w:qFormat/>
    <w:rsid w:val="008E3FE1"/>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94"/>
    <w:pPr>
      <w:tabs>
        <w:tab w:val="center" w:pos="4513"/>
        <w:tab w:val="right" w:pos="9026"/>
      </w:tabs>
    </w:pPr>
  </w:style>
  <w:style w:type="character" w:customStyle="1" w:styleId="HeaderChar">
    <w:name w:val="Header Char"/>
    <w:basedOn w:val="DefaultParagraphFont"/>
    <w:link w:val="Header"/>
    <w:uiPriority w:val="99"/>
    <w:rsid w:val="00D75494"/>
  </w:style>
  <w:style w:type="paragraph" w:styleId="Footer">
    <w:name w:val="footer"/>
    <w:basedOn w:val="Normal"/>
    <w:link w:val="FooterChar"/>
    <w:uiPriority w:val="99"/>
    <w:unhideWhenUsed/>
    <w:rsid w:val="005E4C5E"/>
    <w:pPr>
      <w:tabs>
        <w:tab w:val="center" w:pos="4513"/>
        <w:tab w:val="right" w:pos="9026"/>
      </w:tabs>
      <w:jc w:val="right"/>
    </w:pPr>
    <w:rPr>
      <w:color w:val="004A80" w:themeColor="background2"/>
    </w:rPr>
  </w:style>
  <w:style w:type="character" w:customStyle="1" w:styleId="FooterChar">
    <w:name w:val="Footer Char"/>
    <w:basedOn w:val="DefaultParagraphFont"/>
    <w:link w:val="Footer"/>
    <w:uiPriority w:val="99"/>
    <w:rsid w:val="005E4C5E"/>
    <w:rPr>
      <w:color w:val="004A80" w:themeColor="background2"/>
      <w:sz w:val="22"/>
    </w:rPr>
  </w:style>
  <w:style w:type="paragraph" w:styleId="BalloonText">
    <w:name w:val="Balloon Text"/>
    <w:basedOn w:val="Normal"/>
    <w:link w:val="BalloonTextChar"/>
    <w:uiPriority w:val="99"/>
    <w:semiHidden/>
    <w:unhideWhenUsed/>
    <w:rsid w:val="00D75494"/>
    <w:rPr>
      <w:rFonts w:ascii="Tahoma" w:hAnsi="Tahoma" w:cs="Tahoma"/>
      <w:sz w:val="16"/>
      <w:szCs w:val="16"/>
    </w:rPr>
  </w:style>
  <w:style w:type="character" w:customStyle="1" w:styleId="BalloonTextChar">
    <w:name w:val="Balloon Text Char"/>
    <w:basedOn w:val="DefaultParagraphFont"/>
    <w:link w:val="BalloonText"/>
    <w:uiPriority w:val="99"/>
    <w:semiHidden/>
    <w:rsid w:val="00D75494"/>
    <w:rPr>
      <w:rFonts w:ascii="Tahoma" w:hAnsi="Tahoma" w:cs="Tahoma"/>
      <w:sz w:val="16"/>
      <w:szCs w:val="16"/>
    </w:rPr>
  </w:style>
  <w:style w:type="character" w:customStyle="1" w:styleId="Heading1Char">
    <w:name w:val="Heading 1 Char"/>
    <w:basedOn w:val="DefaultParagraphFont"/>
    <w:link w:val="Heading1"/>
    <w:uiPriority w:val="9"/>
    <w:rsid w:val="00D75494"/>
    <w:rPr>
      <w:rFonts w:asciiTheme="majorHAnsi" w:eastAsiaTheme="majorEastAsia" w:hAnsiTheme="majorHAnsi" w:cstheme="majorBidi"/>
      <w:b/>
      <w:bCs/>
      <w:color w:val="16325C" w:themeColor="text2"/>
      <w:sz w:val="40"/>
      <w:szCs w:val="28"/>
    </w:rPr>
  </w:style>
  <w:style w:type="table" w:styleId="TableGrid">
    <w:name w:val="Table Grid"/>
    <w:basedOn w:val="TableNormal"/>
    <w:uiPriority w:val="59"/>
    <w:rsid w:val="00D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257032"/>
    <w:rPr>
      <w:b/>
    </w:rPr>
  </w:style>
  <w:style w:type="paragraph" w:customStyle="1" w:styleId="Tabletextindent">
    <w:name w:val="Table text indent"/>
    <w:basedOn w:val="Normal"/>
    <w:link w:val="TabletextindentChar"/>
    <w:qFormat/>
    <w:rsid w:val="00B6678C"/>
    <w:pPr>
      <w:ind w:left="284"/>
    </w:pPr>
  </w:style>
  <w:style w:type="paragraph" w:customStyle="1" w:styleId="Tabletext">
    <w:name w:val="Table text"/>
    <w:basedOn w:val="Normal"/>
    <w:link w:val="TabletextChar"/>
    <w:qFormat/>
    <w:rsid w:val="0014005E"/>
  </w:style>
  <w:style w:type="paragraph" w:customStyle="1" w:styleId="Tabletextbolditalic">
    <w:name w:val="Table text bold italic"/>
    <w:basedOn w:val="Tabletextbold"/>
    <w:qFormat/>
    <w:rsid w:val="00B6678C"/>
    <w:rPr>
      <w:i/>
    </w:rPr>
  </w:style>
  <w:style w:type="paragraph" w:customStyle="1" w:styleId="Boldintroductiontext">
    <w:name w:val="Bold introduction text"/>
    <w:basedOn w:val="Normal"/>
    <w:qFormat/>
    <w:rsid w:val="00C831C8"/>
    <w:pPr>
      <w:spacing w:after="240"/>
    </w:pPr>
    <w:rPr>
      <w:b/>
      <w:sz w:val="24"/>
      <w:szCs w:val="24"/>
    </w:rPr>
  </w:style>
  <w:style w:type="paragraph" w:customStyle="1" w:styleId="Bullet">
    <w:name w:val="Bullet"/>
    <w:basedOn w:val="Normal"/>
    <w:link w:val="BulletChar"/>
    <w:rsid w:val="00145146"/>
    <w:pPr>
      <w:numPr>
        <w:numId w:val="1"/>
      </w:numPr>
    </w:pPr>
  </w:style>
  <w:style w:type="character" w:customStyle="1" w:styleId="TabletextindentChar">
    <w:name w:val="Table text indent Char"/>
    <w:basedOn w:val="DefaultParagraphFont"/>
    <w:link w:val="Tabletextindent"/>
    <w:rsid w:val="00145146"/>
    <w:rPr>
      <w:sz w:val="22"/>
    </w:rPr>
  </w:style>
  <w:style w:type="character" w:customStyle="1" w:styleId="BulletChar">
    <w:name w:val="Bullet Char"/>
    <w:basedOn w:val="TabletextindentChar"/>
    <w:link w:val="Bullet"/>
    <w:rsid w:val="00145146"/>
    <w:rPr>
      <w:sz w:val="22"/>
    </w:rPr>
  </w:style>
  <w:style w:type="paragraph" w:customStyle="1" w:styleId="Dash">
    <w:name w:val="Dash"/>
    <w:basedOn w:val="Normal"/>
    <w:link w:val="DashChar"/>
    <w:rsid w:val="00145146"/>
    <w:pPr>
      <w:numPr>
        <w:ilvl w:val="1"/>
        <w:numId w:val="1"/>
      </w:numPr>
    </w:pPr>
  </w:style>
  <w:style w:type="character" w:customStyle="1" w:styleId="DashChar">
    <w:name w:val="Dash Char"/>
    <w:basedOn w:val="TabletextindentChar"/>
    <w:link w:val="Dash"/>
    <w:rsid w:val="00145146"/>
    <w:rPr>
      <w:sz w:val="22"/>
    </w:rPr>
  </w:style>
  <w:style w:type="paragraph" w:customStyle="1" w:styleId="DoubleDot">
    <w:name w:val="Double Dot"/>
    <w:basedOn w:val="Normal"/>
    <w:link w:val="DoubleDotChar"/>
    <w:rsid w:val="00145146"/>
    <w:pPr>
      <w:numPr>
        <w:ilvl w:val="2"/>
        <w:numId w:val="1"/>
      </w:numPr>
    </w:pPr>
  </w:style>
  <w:style w:type="character" w:customStyle="1" w:styleId="DoubleDotChar">
    <w:name w:val="Double Dot Char"/>
    <w:basedOn w:val="TabletextindentChar"/>
    <w:link w:val="DoubleDot"/>
    <w:rsid w:val="00145146"/>
    <w:rPr>
      <w:sz w:val="22"/>
    </w:rPr>
  </w:style>
  <w:style w:type="character" w:customStyle="1" w:styleId="Heading9Char">
    <w:name w:val="Heading 9 Char"/>
    <w:basedOn w:val="DefaultParagraphFont"/>
    <w:link w:val="Heading9"/>
    <w:uiPriority w:val="9"/>
    <w:semiHidden/>
    <w:rsid w:val="008E3FE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8E3FE1"/>
    <w:rPr>
      <w:sz w:val="22"/>
    </w:rPr>
  </w:style>
  <w:style w:type="character" w:customStyle="1" w:styleId="TabletextChar">
    <w:name w:val="Table text Char"/>
    <w:basedOn w:val="DefaultParagraphFont"/>
    <w:link w:val="Tabletext"/>
    <w:rsid w:val="0014005E"/>
    <w:rPr>
      <w:sz w:val="22"/>
    </w:rPr>
  </w:style>
  <w:style w:type="character" w:styleId="CommentReference">
    <w:name w:val="annotation reference"/>
    <w:basedOn w:val="DefaultParagraphFont"/>
    <w:uiPriority w:val="99"/>
    <w:semiHidden/>
    <w:unhideWhenUsed/>
    <w:rsid w:val="001F1307"/>
    <w:rPr>
      <w:sz w:val="16"/>
      <w:szCs w:val="16"/>
    </w:rPr>
  </w:style>
  <w:style w:type="paragraph" w:styleId="CommentText">
    <w:name w:val="annotation text"/>
    <w:basedOn w:val="Normal"/>
    <w:link w:val="CommentTextChar"/>
    <w:uiPriority w:val="99"/>
    <w:semiHidden/>
    <w:unhideWhenUsed/>
    <w:rsid w:val="001F1307"/>
    <w:rPr>
      <w:sz w:val="20"/>
    </w:rPr>
  </w:style>
  <w:style w:type="character" w:customStyle="1" w:styleId="CommentTextChar">
    <w:name w:val="Comment Text Char"/>
    <w:basedOn w:val="DefaultParagraphFont"/>
    <w:link w:val="CommentText"/>
    <w:uiPriority w:val="99"/>
    <w:semiHidden/>
    <w:rsid w:val="001F1307"/>
  </w:style>
  <w:style w:type="paragraph" w:styleId="CommentSubject">
    <w:name w:val="annotation subject"/>
    <w:basedOn w:val="CommentText"/>
    <w:next w:val="CommentText"/>
    <w:link w:val="CommentSubjectChar"/>
    <w:uiPriority w:val="99"/>
    <w:semiHidden/>
    <w:unhideWhenUsed/>
    <w:rsid w:val="001F1307"/>
    <w:rPr>
      <w:b/>
      <w:bCs/>
    </w:rPr>
  </w:style>
  <w:style w:type="character" w:customStyle="1" w:styleId="CommentSubjectChar">
    <w:name w:val="Comment Subject Char"/>
    <w:basedOn w:val="CommentTextChar"/>
    <w:link w:val="CommentSubject"/>
    <w:uiPriority w:val="99"/>
    <w:semiHidden/>
    <w:rsid w:val="001F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Consultation%20Cover%20Note.dotx" TargetMode="External"/></Relationships>
</file>

<file path=word/theme/theme1.xml><?xml version="1.0" encoding="utf-8"?>
<a:theme xmlns:a="http://schemas.openxmlformats.org/drawingml/2006/main" name="TSYcorporate">
  <a:themeElements>
    <a:clrScheme name="Corporate">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A9AA2464ED13D438AD1A1CBD4E76613" ma:contentTypeVersion="11944" ma:contentTypeDescription=" " ma:contentTypeScope="" ma:versionID="f76406e9974ff7515a55efac70f1b1d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0dad82dfa830fbdc6e09715423137f7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2018MG-112-1638</_dlc_DocId>
    <_dlc_DocIdUrl xmlns="d4dd4adf-ddb3-46a3-8d7c-fab3fb2a6bc7">
      <Url>http://tweb/sites/mg/fsd/_layouts/15/DocIdRedir.aspx?ID=2018MG-112-1638</Url>
      <Description>2018MG-112-1638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0A5F-885E-47B9-95DB-3CFED924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CA0FA-685F-474E-91A2-B9849B740A63}">
  <ds:schemaRefs>
    <ds:schemaRef ds:uri="http://schemas.microsoft.com/sharepoint/events"/>
  </ds:schemaRefs>
</ds:datastoreItem>
</file>

<file path=customXml/itemProps3.xml><?xml version="1.0" encoding="utf-8"?>
<ds:datastoreItem xmlns:ds="http://schemas.openxmlformats.org/officeDocument/2006/customXml" ds:itemID="{603F0EC4-302B-4E9B-9F4F-AA26938B90E8}">
  <ds:schemaRefs>
    <ds:schemaRef ds:uri="office.server.policy"/>
  </ds:schemaRefs>
</ds:datastoreItem>
</file>

<file path=customXml/itemProps4.xml><?xml version="1.0" encoding="utf-8"?>
<ds:datastoreItem xmlns:ds="http://schemas.openxmlformats.org/officeDocument/2006/customXml" ds:itemID="{98CF2E07-EEC0-4D4A-A1FE-51F09FD7DCE4}">
  <ds:schemaRefs>
    <ds:schemaRef ds:uri="http://schemas.microsoft.com/sharepoint/v3/contenttype/forms"/>
  </ds:schemaRefs>
</ds:datastoreItem>
</file>

<file path=customXml/itemProps5.xml><?xml version="1.0" encoding="utf-8"?>
<ds:datastoreItem xmlns:ds="http://schemas.openxmlformats.org/officeDocument/2006/customXml" ds:itemID="{645B8433-C0B4-4FAC-B29A-7ECD137765E4}">
  <ds:schemaRefs>
    <ds:schemaRef ds:uri="http://schemas.microsoft.com/sharepoint/events"/>
  </ds:schemaRefs>
</ds:datastoreItem>
</file>

<file path=customXml/itemProps6.xml><?xml version="1.0" encoding="utf-8"?>
<ds:datastoreItem xmlns:ds="http://schemas.openxmlformats.org/officeDocument/2006/customXml" ds:itemID="{707EB073-3F1A-4287-B393-A62AA8A4918E}">
  <ds:schemaRefs>
    <ds:schemaRef ds:uri="http://www.w3.org/XML/1998/namespace"/>
    <ds:schemaRef ds:uri="d4dd4adf-ddb3-46a3-8d7c-fab3fb2a6bc7"/>
    <ds:schemaRef ds:uri="http://schemas.microsoft.com/office/2006/documentManagement/types"/>
    <ds:schemaRef ds:uri="http://schemas.microsoft.com/sharepoint/v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sharepoint/v4"/>
    <ds:schemaRef ds:uri="http://purl.org/dc/elements/1.1/"/>
  </ds:schemaRefs>
</ds:datastoreItem>
</file>

<file path=customXml/itemProps7.xml><?xml version="1.0" encoding="utf-8"?>
<ds:datastoreItem xmlns:ds="http://schemas.openxmlformats.org/officeDocument/2006/customXml" ds:itemID="{07EC43C0-33A9-43C1-845E-46389E47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Cover Note.dotx</Template>
  <TotalTime>1749</TotalTime>
  <Pages>9</Pages>
  <Words>3131</Words>
  <Characters>15970</Characters>
  <Application>Microsoft Office Word</Application>
  <DocSecurity>0</DocSecurity>
  <Lines>725</Lines>
  <Paragraphs>313</Paragraphs>
  <ScaleCrop>false</ScaleCrop>
  <HeadingPairs>
    <vt:vector size="2" baseType="variant">
      <vt:variant>
        <vt:lpstr>Title</vt:lpstr>
      </vt:variant>
      <vt:variant>
        <vt:i4>1</vt:i4>
      </vt:variant>
    </vt:vector>
  </HeadingPairs>
  <TitlesOfParts>
    <vt:vector size="1" baseType="lpstr">
      <vt:lpstr>Corporate Collective Investment Vehicle - Cover note</vt:lpstr>
    </vt:vector>
  </TitlesOfParts>
  <Company>Australian Government - The Treasury</Company>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Collective Investment Vehicle - Cover note</dc:title>
  <dc:creator>The Treasury</dc:creator>
  <cp:lastModifiedBy>Hill, Christine</cp:lastModifiedBy>
  <cp:revision>54</cp:revision>
  <dcterms:created xsi:type="dcterms:W3CDTF">2018-05-30T03:19:00Z</dcterms:created>
  <dcterms:modified xsi:type="dcterms:W3CDTF">2018-06-13T00:16:00Z</dcterms:modified>
</cp:coreProperties>
</file>