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516D" w14:textId="77777777" w:rsidR="00B10A3E" w:rsidRPr="00F87C3D" w:rsidRDefault="00B10A3E" w:rsidP="00B10A3E">
      <w:pPr>
        <w:pStyle w:val="PlainText"/>
        <w:spacing w:before="120" w:line="360" w:lineRule="auto"/>
        <w:jc w:val="center"/>
        <w:rPr>
          <w:rFonts w:ascii="Times New Roman" w:hAnsi="Times New Roman"/>
          <w:b/>
          <w:szCs w:val="24"/>
        </w:rPr>
      </w:pPr>
    </w:p>
    <w:p w14:paraId="71CAB66F" w14:textId="77777777" w:rsidR="00B10A3E" w:rsidRPr="00F87C3D" w:rsidRDefault="00B10A3E" w:rsidP="00B10A3E">
      <w:pPr>
        <w:pStyle w:val="PlainText"/>
        <w:spacing w:before="120" w:line="360" w:lineRule="auto"/>
        <w:jc w:val="center"/>
        <w:rPr>
          <w:rFonts w:ascii="Times New Roman" w:hAnsi="Times New Roman"/>
          <w:b/>
          <w:szCs w:val="24"/>
        </w:rPr>
      </w:pPr>
    </w:p>
    <w:p w14:paraId="08C5B9A3" w14:textId="77777777" w:rsidR="00B10A3E" w:rsidRPr="00C76614" w:rsidRDefault="00B10A3E" w:rsidP="00B10A3E">
      <w:pPr>
        <w:pStyle w:val="PlainText"/>
        <w:spacing w:before="120" w:line="360" w:lineRule="auto"/>
        <w:jc w:val="center"/>
        <w:rPr>
          <w:rFonts w:ascii="Times New Roman" w:hAnsi="Times New Roman"/>
          <w:b/>
          <w:caps/>
          <w:szCs w:val="24"/>
        </w:rPr>
      </w:pPr>
    </w:p>
    <w:p w14:paraId="246F58B1" w14:textId="7CAE748F" w:rsidR="00B10A3E" w:rsidRPr="00A410D1" w:rsidRDefault="00580390" w:rsidP="00B10A3E">
      <w:pPr>
        <w:pStyle w:val="PlainText"/>
        <w:spacing w:line="360" w:lineRule="auto"/>
        <w:jc w:val="center"/>
        <w:rPr>
          <w:rFonts w:ascii="Times New Roman" w:hAnsi="Times New Roman"/>
          <w:b/>
          <w:sz w:val="40"/>
        </w:rPr>
      </w:pPr>
      <w:bookmarkStart w:id="0" w:name="_Hlk496189829"/>
      <w:r w:rsidRPr="00A410D1">
        <w:rPr>
          <w:rFonts w:ascii="Times New Roman" w:hAnsi="Times New Roman"/>
          <w:b/>
          <w:sz w:val="40"/>
        </w:rPr>
        <w:t xml:space="preserve">Georgia Power Company’s Application </w:t>
      </w:r>
    </w:p>
    <w:p w14:paraId="781BB82A" w14:textId="4C7FECAE" w:rsidR="00B10A3E" w:rsidRDefault="00580390" w:rsidP="001C6B0C">
      <w:pPr>
        <w:pStyle w:val="PlainText"/>
        <w:spacing w:line="360" w:lineRule="auto"/>
        <w:jc w:val="center"/>
        <w:rPr>
          <w:rFonts w:ascii="Times New Roman" w:hAnsi="Times New Roman"/>
          <w:b/>
          <w:sz w:val="40"/>
        </w:rPr>
      </w:pPr>
      <w:r w:rsidRPr="00A410D1">
        <w:rPr>
          <w:rFonts w:ascii="Times New Roman" w:hAnsi="Times New Roman"/>
          <w:b/>
          <w:sz w:val="40"/>
        </w:rPr>
        <w:t>f</w:t>
      </w:r>
      <w:r>
        <w:rPr>
          <w:rFonts w:ascii="Times New Roman" w:hAnsi="Times New Roman"/>
          <w:b/>
          <w:sz w:val="40"/>
        </w:rPr>
        <w:t>or the Certification of the</w:t>
      </w:r>
      <w:r w:rsidR="001C6B0C">
        <w:rPr>
          <w:rFonts w:ascii="Times New Roman" w:hAnsi="Times New Roman"/>
          <w:b/>
          <w:sz w:val="40"/>
        </w:rPr>
        <w:t xml:space="preserve"> </w:t>
      </w:r>
      <w:r w:rsidR="00532791" w:rsidRPr="00532791">
        <w:rPr>
          <w:rFonts w:ascii="Times New Roman" w:hAnsi="Times New Roman"/>
          <w:b/>
          <w:sz w:val="40"/>
        </w:rPr>
        <w:t>Twiggs County Battery Energy Storage System</w:t>
      </w:r>
      <w:bookmarkEnd w:id="0"/>
    </w:p>
    <w:p w14:paraId="5A7521F6" w14:textId="77777777" w:rsidR="00B10A3E" w:rsidRPr="004F1A74" w:rsidRDefault="00B10A3E" w:rsidP="00B10A3E">
      <w:pPr>
        <w:pStyle w:val="PlainText"/>
        <w:spacing w:line="360" w:lineRule="auto"/>
        <w:jc w:val="center"/>
        <w:rPr>
          <w:rFonts w:ascii="Times New Roman" w:hAnsi="Times New Roman"/>
          <w:b/>
          <w:sz w:val="40"/>
        </w:rPr>
      </w:pPr>
    </w:p>
    <w:p w14:paraId="5AA4BA33" w14:textId="77777777" w:rsidR="00B10A3E" w:rsidRPr="004F1A74" w:rsidRDefault="00B10A3E" w:rsidP="00B10A3E">
      <w:pPr>
        <w:pStyle w:val="PlainText"/>
        <w:spacing w:before="120" w:line="360" w:lineRule="auto"/>
        <w:jc w:val="center"/>
        <w:rPr>
          <w:rFonts w:ascii="Times New Roman" w:hAnsi="Times New Roman"/>
          <w:b/>
          <w:sz w:val="32"/>
          <w:szCs w:val="32"/>
        </w:rPr>
      </w:pPr>
    </w:p>
    <w:p w14:paraId="7C881C94" w14:textId="77777777" w:rsidR="00B10A3E" w:rsidRPr="004F1A74" w:rsidRDefault="00B10A3E" w:rsidP="00B10A3E">
      <w:pPr>
        <w:pStyle w:val="PlainText"/>
        <w:spacing w:before="120" w:line="360" w:lineRule="auto"/>
        <w:jc w:val="center"/>
        <w:rPr>
          <w:rFonts w:ascii="Times New Roman" w:hAnsi="Times New Roman"/>
          <w:b/>
          <w:sz w:val="32"/>
          <w:szCs w:val="32"/>
        </w:rPr>
      </w:pPr>
    </w:p>
    <w:p w14:paraId="0CBD42BE" w14:textId="4B586A37" w:rsidR="00B10A3E" w:rsidRPr="003C2094" w:rsidRDefault="00580390" w:rsidP="00B10A3E">
      <w:pPr>
        <w:pStyle w:val="PlainText"/>
        <w:spacing w:before="120" w:line="360" w:lineRule="auto"/>
        <w:jc w:val="center"/>
        <w:rPr>
          <w:rFonts w:ascii="Times New Roman" w:hAnsi="Times New Roman"/>
          <w:b/>
          <w:sz w:val="32"/>
          <w:szCs w:val="24"/>
        </w:rPr>
        <w:sectPr w:rsidR="00B10A3E" w:rsidRPr="003C2094" w:rsidSect="00B10A3E">
          <w:headerReference w:type="default" r:id="rId8"/>
          <w:footerReference w:type="default" r:id="rId9"/>
          <w:headerReference w:type="first" r:id="rId10"/>
          <w:footerReference w:type="first" r:id="rId11"/>
          <w:pgSz w:w="12240" w:h="15840" w:code="1"/>
          <w:pgMar w:top="1440" w:right="1440" w:bottom="1440" w:left="1440" w:header="576" w:footer="432" w:gutter="0"/>
          <w:pgNumType w:fmt="lowerRoman" w:start="1"/>
          <w:cols w:space="720"/>
          <w:titlePg/>
        </w:sectPr>
      </w:pPr>
      <w:r w:rsidRPr="004F1A74">
        <w:rPr>
          <w:rFonts w:ascii="Times New Roman" w:hAnsi="Times New Roman"/>
          <w:b/>
          <w:sz w:val="32"/>
          <w:szCs w:val="32"/>
        </w:rPr>
        <w:t xml:space="preserve">Docket No. </w:t>
      </w:r>
      <w:r w:rsidR="007E27C2" w:rsidRPr="00123A90">
        <w:rPr>
          <w:rFonts w:ascii="Times New Roman" w:hAnsi="Times New Roman"/>
          <w:b/>
          <w:sz w:val="32"/>
          <w:szCs w:val="24"/>
        </w:rPr>
        <w:t>5</w:t>
      </w:r>
      <w:r w:rsidR="007E27C2">
        <w:rPr>
          <w:rFonts w:ascii="Times New Roman" w:hAnsi="Times New Roman"/>
          <w:b/>
          <w:sz w:val="32"/>
          <w:szCs w:val="24"/>
        </w:rPr>
        <w:t>6258</w:t>
      </w:r>
    </w:p>
    <w:p w14:paraId="53B638EE" w14:textId="77777777" w:rsidR="00B10A3E" w:rsidRPr="007C0C2E" w:rsidRDefault="00580390" w:rsidP="00B10A3E">
      <w:pPr>
        <w:pStyle w:val="PlainText"/>
        <w:spacing w:line="240" w:lineRule="auto"/>
        <w:jc w:val="center"/>
        <w:rPr>
          <w:rFonts w:ascii="Times New Roman" w:hAnsi="Times New Roman"/>
          <w:b/>
          <w:sz w:val="32"/>
          <w:szCs w:val="32"/>
        </w:rPr>
      </w:pPr>
      <w:r w:rsidRPr="007C0C2E">
        <w:rPr>
          <w:rFonts w:ascii="Times New Roman" w:hAnsi="Times New Roman"/>
          <w:b/>
          <w:sz w:val="32"/>
          <w:szCs w:val="32"/>
        </w:rPr>
        <w:lastRenderedPageBreak/>
        <w:t xml:space="preserve">Georgia Power Company’s Application </w:t>
      </w:r>
    </w:p>
    <w:p w14:paraId="2DA50DFB" w14:textId="1AD88A15" w:rsidR="00B10A3E" w:rsidRDefault="00580390" w:rsidP="008434D2">
      <w:pPr>
        <w:pStyle w:val="PlainText"/>
        <w:spacing w:line="240" w:lineRule="auto"/>
        <w:jc w:val="center"/>
        <w:rPr>
          <w:rFonts w:ascii="Times New Roman" w:hAnsi="Times New Roman"/>
          <w:b/>
          <w:sz w:val="32"/>
          <w:szCs w:val="32"/>
        </w:rPr>
      </w:pPr>
      <w:r w:rsidRPr="007C0C2E">
        <w:rPr>
          <w:rFonts w:ascii="Times New Roman" w:hAnsi="Times New Roman"/>
          <w:b/>
          <w:sz w:val="32"/>
          <w:szCs w:val="32"/>
        </w:rPr>
        <w:t xml:space="preserve">for the Certification of the </w:t>
      </w:r>
      <w:r w:rsidR="00532791" w:rsidRPr="00532791">
        <w:rPr>
          <w:rFonts w:ascii="Times New Roman" w:hAnsi="Times New Roman"/>
          <w:b/>
          <w:sz w:val="32"/>
          <w:szCs w:val="32"/>
        </w:rPr>
        <w:t>Twiggs County Battery Energy Storage System</w:t>
      </w:r>
    </w:p>
    <w:p w14:paraId="301631F9" w14:textId="0509A1F3" w:rsidR="00B10A3E" w:rsidRDefault="00580390" w:rsidP="00B10A3E">
      <w:pPr>
        <w:pStyle w:val="PlainText"/>
        <w:spacing w:line="240" w:lineRule="auto"/>
        <w:jc w:val="center"/>
        <w:rPr>
          <w:rFonts w:ascii="Times New Roman" w:hAnsi="Times New Roman"/>
          <w:b/>
          <w:sz w:val="32"/>
          <w:szCs w:val="32"/>
        </w:rPr>
      </w:pPr>
      <w:r>
        <w:rPr>
          <w:rFonts w:ascii="Times New Roman" w:hAnsi="Times New Roman"/>
          <w:b/>
          <w:sz w:val="32"/>
          <w:szCs w:val="32"/>
        </w:rPr>
        <w:t xml:space="preserve">Docket No. </w:t>
      </w:r>
      <w:r w:rsidR="007E27C2">
        <w:rPr>
          <w:rFonts w:ascii="Times New Roman" w:hAnsi="Times New Roman"/>
          <w:b/>
          <w:sz w:val="32"/>
          <w:szCs w:val="32"/>
        </w:rPr>
        <w:t>56258</w:t>
      </w:r>
    </w:p>
    <w:p w14:paraId="5E87E47D" w14:textId="77777777" w:rsidR="00B10A3E" w:rsidRDefault="00B10A3E" w:rsidP="00B10A3E">
      <w:pPr>
        <w:pStyle w:val="PlainText"/>
        <w:spacing w:line="240" w:lineRule="auto"/>
        <w:jc w:val="center"/>
        <w:rPr>
          <w:rFonts w:ascii="Times New Roman" w:hAnsi="Times New Roman"/>
          <w:b/>
          <w:sz w:val="32"/>
          <w:szCs w:val="32"/>
        </w:rPr>
      </w:pPr>
    </w:p>
    <w:p w14:paraId="1E5570BF" w14:textId="77777777" w:rsidR="00B10A3E" w:rsidRDefault="00B10A3E" w:rsidP="00B10A3E">
      <w:pPr>
        <w:pStyle w:val="PlainText"/>
        <w:spacing w:line="240" w:lineRule="auto"/>
        <w:jc w:val="center"/>
        <w:rPr>
          <w:rFonts w:ascii="Times New Roman" w:hAnsi="Times New Roman"/>
          <w:b/>
          <w:sz w:val="32"/>
          <w:szCs w:val="32"/>
        </w:rPr>
      </w:pPr>
    </w:p>
    <w:p w14:paraId="4ED300FD" w14:textId="77777777" w:rsidR="00B10A3E" w:rsidRPr="0098520F" w:rsidRDefault="00B10A3E" w:rsidP="00B10A3E">
      <w:pPr>
        <w:pStyle w:val="PlainText"/>
        <w:spacing w:line="240" w:lineRule="auto"/>
        <w:jc w:val="center"/>
        <w:rPr>
          <w:rFonts w:ascii="Times New Roman" w:hAnsi="Times New Roman"/>
          <w:b/>
          <w:sz w:val="32"/>
          <w:szCs w:val="32"/>
        </w:rPr>
      </w:pPr>
    </w:p>
    <w:p w14:paraId="0FD9CD32" w14:textId="77777777" w:rsidR="00B10A3E" w:rsidRPr="00F87C3D" w:rsidRDefault="00580390" w:rsidP="00B10A3E">
      <w:pPr>
        <w:ind w:left="720"/>
        <w:rPr>
          <w:b/>
          <w:sz w:val="24"/>
          <w:szCs w:val="24"/>
        </w:rPr>
      </w:pPr>
      <w:r w:rsidRPr="00F87C3D">
        <w:rPr>
          <w:b/>
          <w:sz w:val="24"/>
          <w:szCs w:val="24"/>
        </w:rPr>
        <w:t>Appli</w:t>
      </w:r>
      <w:r>
        <w:rPr>
          <w:b/>
          <w:sz w:val="24"/>
          <w:szCs w:val="24"/>
        </w:rPr>
        <w:t>cant name, address and principal</w:t>
      </w:r>
      <w:r w:rsidRPr="00F87C3D">
        <w:rPr>
          <w:b/>
          <w:sz w:val="24"/>
          <w:szCs w:val="24"/>
        </w:rPr>
        <w:t xml:space="preserve"> place of business:</w:t>
      </w:r>
    </w:p>
    <w:p w14:paraId="31A19E21" w14:textId="77777777" w:rsidR="00B10A3E" w:rsidRPr="00F87C3D" w:rsidRDefault="00B10A3E" w:rsidP="00B10A3E">
      <w:pPr>
        <w:ind w:left="360"/>
        <w:rPr>
          <w:sz w:val="24"/>
          <w:szCs w:val="24"/>
        </w:rPr>
      </w:pPr>
    </w:p>
    <w:p w14:paraId="203C1CDA" w14:textId="77777777" w:rsidR="00B10A3E" w:rsidRPr="00F87C3D" w:rsidRDefault="00580390" w:rsidP="00B10A3E">
      <w:pPr>
        <w:ind w:left="1080"/>
        <w:rPr>
          <w:sz w:val="24"/>
          <w:szCs w:val="24"/>
        </w:rPr>
      </w:pPr>
      <w:r w:rsidRPr="00F87C3D">
        <w:rPr>
          <w:sz w:val="24"/>
          <w:szCs w:val="24"/>
        </w:rPr>
        <w:t>Georgia Power Company</w:t>
      </w:r>
    </w:p>
    <w:p w14:paraId="3D2B87E6" w14:textId="77777777" w:rsidR="00B10A3E" w:rsidRPr="00F87C3D" w:rsidRDefault="00580390" w:rsidP="00B10A3E">
      <w:pPr>
        <w:ind w:left="1080"/>
        <w:rPr>
          <w:sz w:val="24"/>
          <w:szCs w:val="24"/>
        </w:rPr>
      </w:pPr>
      <w:r w:rsidRPr="00F87C3D">
        <w:rPr>
          <w:sz w:val="24"/>
          <w:szCs w:val="24"/>
        </w:rPr>
        <w:t>241 Ralph McGill Blvd NE</w:t>
      </w:r>
    </w:p>
    <w:p w14:paraId="4A095EF1" w14:textId="77777777" w:rsidR="00B10A3E" w:rsidRPr="00F87C3D" w:rsidRDefault="00580390" w:rsidP="00B10A3E">
      <w:pPr>
        <w:ind w:left="1080"/>
        <w:rPr>
          <w:sz w:val="24"/>
          <w:szCs w:val="24"/>
        </w:rPr>
      </w:pPr>
      <w:r w:rsidRPr="00F87C3D">
        <w:rPr>
          <w:sz w:val="24"/>
          <w:szCs w:val="24"/>
        </w:rPr>
        <w:t>Atlanta, Georgia</w:t>
      </w:r>
      <w:r>
        <w:rPr>
          <w:sz w:val="24"/>
          <w:szCs w:val="24"/>
        </w:rPr>
        <w:t>,</w:t>
      </w:r>
      <w:r w:rsidRPr="00F87C3D">
        <w:rPr>
          <w:sz w:val="24"/>
          <w:szCs w:val="24"/>
        </w:rPr>
        <w:t xml:space="preserve"> 30308</w:t>
      </w:r>
    </w:p>
    <w:p w14:paraId="648C1BF7" w14:textId="77777777" w:rsidR="00B10A3E" w:rsidRDefault="00B10A3E" w:rsidP="00B10A3E">
      <w:pPr>
        <w:ind w:left="1080"/>
        <w:rPr>
          <w:sz w:val="24"/>
          <w:szCs w:val="24"/>
        </w:rPr>
      </w:pPr>
    </w:p>
    <w:p w14:paraId="6E19B974" w14:textId="77777777" w:rsidR="00B10A3E" w:rsidRPr="00F87C3D" w:rsidRDefault="00B10A3E" w:rsidP="00B10A3E">
      <w:pPr>
        <w:ind w:left="1080"/>
        <w:rPr>
          <w:sz w:val="24"/>
          <w:szCs w:val="24"/>
        </w:rPr>
      </w:pPr>
    </w:p>
    <w:p w14:paraId="6BEC9877" w14:textId="77777777" w:rsidR="00B10A3E" w:rsidRPr="00F87C3D" w:rsidRDefault="00580390" w:rsidP="00B10A3E">
      <w:pPr>
        <w:ind w:left="720"/>
        <w:rPr>
          <w:b/>
          <w:sz w:val="24"/>
          <w:szCs w:val="24"/>
        </w:rPr>
      </w:pPr>
      <w:r w:rsidRPr="00F87C3D">
        <w:rPr>
          <w:b/>
          <w:sz w:val="24"/>
          <w:szCs w:val="24"/>
        </w:rPr>
        <w:t>Authorized person to receive notices or communications with respect to application:</w:t>
      </w:r>
    </w:p>
    <w:p w14:paraId="6EA1FAD9" w14:textId="77777777" w:rsidR="00B10A3E" w:rsidRPr="00F87C3D" w:rsidRDefault="00B10A3E" w:rsidP="00B10A3E">
      <w:pPr>
        <w:rPr>
          <w:sz w:val="24"/>
          <w:szCs w:val="24"/>
        </w:rPr>
      </w:pPr>
    </w:p>
    <w:p w14:paraId="57214D25" w14:textId="73055292" w:rsidR="00B10A3E" w:rsidRPr="00946278" w:rsidRDefault="00060269" w:rsidP="00B10A3E">
      <w:pPr>
        <w:ind w:left="1080"/>
        <w:rPr>
          <w:sz w:val="24"/>
          <w:szCs w:val="24"/>
        </w:rPr>
      </w:pPr>
      <w:r w:rsidRPr="00946278">
        <w:rPr>
          <w:sz w:val="24"/>
          <w:szCs w:val="24"/>
        </w:rPr>
        <w:t>Ty Story</w:t>
      </w:r>
    </w:p>
    <w:p w14:paraId="33995717" w14:textId="77777777" w:rsidR="00B10A3E" w:rsidRPr="00A968B3" w:rsidRDefault="00580390" w:rsidP="00B10A3E">
      <w:pPr>
        <w:ind w:left="1080"/>
        <w:rPr>
          <w:sz w:val="24"/>
          <w:szCs w:val="24"/>
        </w:rPr>
      </w:pPr>
      <w:r w:rsidRPr="00766EAC">
        <w:rPr>
          <w:sz w:val="24"/>
          <w:szCs w:val="24"/>
        </w:rPr>
        <w:t>Regulatory Affairs, BIN 10230</w:t>
      </w:r>
    </w:p>
    <w:p w14:paraId="1CAECE3F" w14:textId="77777777" w:rsidR="00B10A3E" w:rsidRPr="00A968B3" w:rsidRDefault="00580390" w:rsidP="00B10A3E">
      <w:pPr>
        <w:ind w:left="1080"/>
        <w:rPr>
          <w:sz w:val="24"/>
          <w:szCs w:val="24"/>
        </w:rPr>
      </w:pPr>
      <w:r w:rsidRPr="00A968B3">
        <w:rPr>
          <w:sz w:val="24"/>
          <w:szCs w:val="24"/>
        </w:rPr>
        <w:t>Georgia Power Company</w:t>
      </w:r>
    </w:p>
    <w:p w14:paraId="792B05E6" w14:textId="77777777" w:rsidR="00B10A3E" w:rsidRPr="00A968B3" w:rsidRDefault="00580390" w:rsidP="00B10A3E">
      <w:pPr>
        <w:ind w:left="1080"/>
        <w:rPr>
          <w:sz w:val="24"/>
          <w:szCs w:val="24"/>
        </w:rPr>
      </w:pPr>
      <w:r w:rsidRPr="00A968B3">
        <w:rPr>
          <w:sz w:val="24"/>
          <w:szCs w:val="24"/>
        </w:rPr>
        <w:t>241 Ralph McGill Blvd NE</w:t>
      </w:r>
    </w:p>
    <w:p w14:paraId="028E3F8B" w14:textId="77777777" w:rsidR="00B10A3E" w:rsidRPr="00A968B3" w:rsidRDefault="00580390" w:rsidP="00B10A3E">
      <w:pPr>
        <w:ind w:left="1080"/>
        <w:rPr>
          <w:sz w:val="24"/>
          <w:szCs w:val="24"/>
        </w:rPr>
      </w:pPr>
      <w:r w:rsidRPr="00A968B3">
        <w:rPr>
          <w:sz w:val="24"/>
          <w:szCs w:val="24"/>
        </w:rPr>
        <w:t>Atlanta, Georgia</w:t>
      </w:r>
      <w:r>
        <w:rPr>
          <w:sz w:val="24"/>
          <w:szCs w:val="24"/>
        </w:rPr>
        <w:t>,</w:t>
      </w:r>
      <w:r w:rsidRPr="00A968B3">
        <w:rPr>
          <w:sz w:val="24"/>
          <w:szCs w:val="24"/>
        </w:rPr>
        <w:t xml:space="preserve"> 30308</w:t>
      </w:r>
    </w:p>
    <w:p w14:paraId="26287C0F" w14:textId="2E3DA300" w:rsidR="00B10A3E" w:rsidRPr="00A968B3" w:rsidRDefault="00580390" w:rsidP="00B10A3E">
      <w:pPr>
        <w:ind w:left="1080"/>
        <w:rPr>
          <w:sz w:val="24"/>
          <w:szCs w:val="24"/>
        </w:rPr>
      </w:pPr>
      <w:r>
        <w:rPr>
          <w:sz w:val="24"/>
          <w:szCs w:val="24"/>
        </w:rPr>
        <w:t xml:space="preserve">Voice: </w:t>
      </w:r>
      <w:r w:rsidRPr="00A968B3">
        <w:rPr>
          <w:sz w:val="24"/>
          <w:szCs w:val="24"/>
        </w:rPr>
        <w:t>404-506-</w:t>
      </w:r>
      <w:r w:rsidR="00060269">
        <w:rPr>
          <w:sz w:val="24"/>
          <w:szCs w:val="24"/>
        </w:rPr>
        <w:t>2921</w:t>
      </w:r>
    </w:p>
    <w:p w14:paraId="7A2C06A4" w14:textId="0DA30980" w:rsidR="00B10A3E" w:rsidRPr="00F87C3D" w:rsidRDefault="00753276" w:rsidP="00B10A3E">
      <w:pPr>
        <w:ind w:left="1080"/>
        <w:rPr>
          <w:sz w:val="24"/>
          <w:szCs w:val="24"/>
        </w:rPr>
      </w:pPr>
      <w:r>
        <w:rPr>
          <w:sz w:val="24"/>
          <w:szCs w:val="24"/>
        </w:rPr>
        <w:t xml:space="preserve">Email: </w:t>
      </w:r>
      <w:r w:rsidR="00060269">
        <w:rPr>
          <w:sz w:val="24"/>
          <w:szCs w:val="24"/>
        </w:rPr>
        <w:t>tjstory@southernco.com</w:t>
      </w:r>
    </w:p>
    <w:p w14:paraId="0607C575" w14:textId="77777777" w:rsidR="00B10A3E" w:rsidRDefault="00B10A3E" w:rsidP="00B10A3E">
      <w:pPr>
        <w:ind w:left="1080"/>
        <w:rPr>
          <w:sz w:val="24"/>
          <w:szCs w:val="24"/>
        </w:rPr>
      </w:pPr>
    </w:p>
    <w:p w14:paraId="732EC0FD" w14:textId="77777777" w:rsidR="00B10A3E" w:rsidRPr="00F87C3D" w:rsidRDefault="00B10A3E" w:rsidP="00B10A3E">
      <w:pPr>
        <w:ind w:left="1080"/>
        <w:rPr>
          <w:sz w:val="24"/>
          <w:szCs w:val="24"/>
        </w:rPr>
      </w:pPr>
    </w:p>
    <w:p w14:paraId="63AE9F8C" w14:textId="77777777" w:rsidR="00B10A3E" w:rsidRPr="00F87C3D" w:rsidRDefault="00580390" w:rsidP="00B10A3E">
      <w:pPr>
        <w:ind w:left="720"/>
        <w:rPr>
          <w:b/>
          <w:sz w:val="24"/>
          <w:szCs w:val="24"/>
        </w:rPr>
      </w:pPr>
      <w:r w:rsidRPr="00F87C3D">
        <w:rPr>
          <w:b/>
          <w:sz w:val="24"/>
          <w:szCs w:val="24"/>
        </w:rPr>
        <w:t>Location for public inspection:</w:t>
      </w:r>
    </w:p>
    <w:p w14:paraId="3D2B9E98" w14:textId="77777777" w:rsidR="00B10A3E" w:rsidRPr="00F87C3D" w:rsidRDefault="00B10A3E" w:rsidP="00B10A3E">
      <w:pPr>
        <w:rPr>
          <w:sz w:val="24"/>
          <w:szCs w:val="24"/>
        </w:rPr>
      </w:pPr>
    </w:p>
    <w:p w14:paraId="4D6FF3CD" w14:textId="77777777" w:rsidR="00B10A3E" w:rsidRPr="00F87C3D" w:rsidRDefault="00580390" w:rsidP="00B10A3E">
      <w:pPr>
        <w:ind w:left="1080"/>
        <w:rPr>
          <w:sz w:val="24"/>
          <w:szCs w:val="24"/>
        </w:rPr>
      </w:pPr>
      <w:r w:rsidRPr="00F87C3D">
        <w:rPr>
          <w:sz w:val="24"/>
          <w:szCs w:val="24"/>
        </w:rPr>
        <w:t>Georgia Power Company</w:t>
      </w:r>
    </w:p>
    <w:p w14:paraId="5AE8DD5B" w14:textId="77777777" w:rsidR="00B10A3E" w:rsidRPr="00F87C3D" w:rsidRDefault="00580390" w:rsidP="00B10A3E">
      <w:pPr>
        <w:ind w:left="1080"/>
        <w:rPr>
          <w:sz w:val="24"/>
          <w:szCs w:val="24"/>
        </w:rPr>
      </w:pPr>
      <w:r w:rsidRPr="00F87C3D">
        <w:rPr>
          <w:sz w:val="24"/>
          <w:szCs w:val="24"/>
        </w:rPr>
        <w:t>241 Ralph McGill Blvd NE</w:t>
      </w:r>
    </w:p>
    <w:p w14:paraId="14A192C9" w14:textId="0BA1C059" w:rsidR="00B10A3E" w:rsidRPr="00555937" w:rsidRDefault="00580390" w:rsidP="00555937">
      <w:pPr>
        <w:ind w:left="1080"/>
        <w:rPr>
          <w:sz w:val="24"/>
          <w:szCs w:val="24"/>
        </w:rPr>
        <w:sectPr w:rsidR="00B10A3E" w:rsidRPr="00555937" w:rsidSect="00B10A3E">
          <w:footerReference w:type="first" r:id="rId12"/>
          <w:pgSz w:w="12240" w:h="15840" w:code="1"/>
          <w:pgMar w:top="1440" w:right="1440" w:bottom="1440" w:left="1440" w:header="576" w:footer="432" w:gutter="0"/>
          <w:pgNumType w:fmt="lowerRoman" w:start="1"/>
          <w:cols w:space="720"/>
          <w:titlePg/>
        </w:sectPr>
      </w:pPr>
      <w:r w:rsidRPr="00F87C3D">
        <w:rPr>
          <w:sz w:val="24"/>
          <w:szCs w:val="24"/>
        </w:rPr>
        <w:t>Atlanta, Georgia</w:t>
      </w:r>
      <w:r>
        <w:rPr>
          <w:sz w:val="24"/>
          <w:szCs w:val="24"/>
        </w:rPr>
        <w:t>,</w:t>
      </w:r>
      <w:r w:rsidRPr="00F87C3D">
        <w:rPr>
          <w:sz w:val="24"/>
          <w:szCs w:val="24"/>
        </w:rPr>
        <w:t xml:space="preserve"> 30308</w:t>
      </w:r>
    </w:p>
    <w:p w14:paraId="1588E51D" w14:textId="77777777" w:rsidR="00B10A3E" w:rsidRDefault="00B10A3E" w:rsidP="00B10A3E">
      <w:pPr>
        <w:pStyle w:val="PlainText"/>
        <w:spacing w:before="120" w:line="240" w:lineRule="auto"/>
        <w:jc w:val="center"/>
        <w:rPr>
          <w:rFonts w:ascii="Times New Roman" w:hAnsi="Times New Roman"/>
          <w:b/>
          <w:szCs w:val="24"/>
        </w:rPr>
      </w:pPr>
    </w:p>
    <w:p w14:paraId="3FCA56F0" w14:textId="77777777" w:rsidR="00B10A3E" w:rsidRDefault="00B10A3E" w:rsidP="00B10A3E">
      <w:pPr>
        <w:pStyle w:val="PlainText"/>
        <w:spacing w:line="240" w:lineRule="auto"/>
        <w:ind w:left="1440" w:right="1440"/>
        <w:jc w:val="center"/>
        <w:rPr>
          <w:rFonts w:ascii="Times New Roman" w:hAnsi="Times New Roman"/>
          <w:b/>
        </w:rPr>
        <w:sectPr w:rsidR="00B10A3E" w:rsidSect="00B10A3E">
          <w:footerReference w:type="default" r:id="rId13"/>
          <w:footerReference w:type="first" r:id="rId14"/>
          <w:type w:val="continuous"/>
          <w:pgSz w:w="12240" w:h="15840" w:code="1"/>
          <w:pgMar w:top="1440" w:right="1440" w:bottom="1440" w:left="1440" w:header="576" w:footer="720" w:gutter="0"/>
          <w:cols w:space="720"/>
          <w:noEndnote/>
          <w:titlePg/>
        </w:sectPr>
      </w:pPr>
    </w:p>
    <w:p w14:paraId="50760104" w14:textId="77777777" w:rsidR="00B10A3E" w:rsidRPr="001B1057" w:rsidRDefault="00580390" w:rsidP="00B10A3E">
      <w:pPr>
        <w:pStyle w:val="PlainText"/>
        <w:spacing w:line="240" w:lineRule="auto"/>
        <w:ind w:left="1440" w:right="1440"/>
        <w:jc w:val="center"/>
        <w:rPr>
          <w:rFonts w:ascii="Times New Roman" w:hAnsi="Times New Roman"/>
          <w:b/>
        </w:rPr>
      </w:pPr>
      <w:r w:rsidRPr="003C2094">
        <w:rPr>
          <w:rFonts w:ascii="Times New Roman" w:hAnsi="Times New Roman"/>
          <w:b/>
        </w:rPr>
        <w:lastRenderedPageBreak/>
        <w:t>Affidavit and Basis for the A</w:t>
      </w:r>
      <w:r>
        <w:rPr>
          <w:rFonts w:ascii="Times New Roman" w:hAnsi="Times New Roman"/>
          <w:b/>
        </w:rPr>
        <w:t xml:space="preserve">ssertion That Redacted Portions </w:t>
      </w:r>
      <w:r w:rsidRPr="003C2094">
        <w:rPr>
          <w:rFonts w:ascii="Times New Roman" w:hAnsi="Times New Roman"/>
          <w:b/>
        </w:rPr>
        <w:t xml:space="preserve">of </w:t>
      </w:r>
      <w:r w:rsidRPr="001B1057">
        <w:rPr>
          <w:rFonts w:ascii="Times New Roman" w:hAnsi="Times New Roman"/>
          <w:b/>
        </w:rPr>
        <w:t xml:space="preserve">Georgia Power Company’s Application </w:t>
      </w:r>
    </w:p>
    <w:p w14:paraId="5A11C966" w14:textId="6AEAD056" w:rsidR="00B10A3E" w:rsidRPr="003C2094" w:rsidRDefault="00580390" w:rsidP="00B10A3E">
      <w:pPr>
        <w:pStyle w:val="PlainText"/>
        <w:spacing w:line="240" w:lineRule="auto"/>
        <w:ind w:left="1440" w:right="1440"/>
        <w:jc w:val="center"/>
        <w:rPr>
          <w:rFonts w:ascii="Times New Roman" w:hAnsi="Times New Roman"/>
          <w:b/>
        </w:rPr>
      </w:pPr>
      <w:r>
        <w:rPr>
          <w:rFonts w:ascii="Times New Roman" w:hAnsi="Times New Roman"/>
          <w:b/>
        </w:rPr>
        <w:t>F</w:t>
      </w:r>
      <w:r w:rsidRPr="001B1057">
        <w:rPr>
          <w:rFonts w:ascii="Times New Roman" w:hAnsi="Times New Roman"/>
          <w:b/>
        </w:rPr>
        <w:t xml:space="preserve">or the </w:t>
      </w:r>
      <w:bookmarkStart w:id="1" w:name="_Hlk496190147"/>
      <w:r w:rsidRPr="001B1057">
        <w:rPr>
          <w:rFonts w:ascii="Times New Roman" w:hAnsi="Times New Roman"/>
          <w:b/>
        </w:rPr>
        <w:t xml:space="preserve">Certification of the </w:t>
      </w:r>
      <w:bookmarkEnd w:id="1"/>
      <w:r w:rsidR="00532791" w:rsidRPr="00532791">
        <w:rPr>
          <w:rFonts w:ascii="Times New Roman" w:hAnsi="Times New Roman"/>
          <w:b/>
        </w:rPr>
        <w:t xml:space="preserve">Twiggs County Battery Energy Storage System </w:t>
      </w:r>
      <w:r w:rsidRPr="0098520F">
        <w:rPr>
          <w:rFonts w:ascii="Times New Roman" w:hAnsi="Times New Roman"/>
          <w:b/>
        </w:rPr>
        <w:t xml:space="preserve">are </w:t>
      </w:r>
      <w:r>
        <w:rPr>
          <w:rFonts w:ascii="Times New Roman" w:hAnsi="Times New Roman"/>
          <w:b/>
        </w:rPr>
        <w:t xml:space="preserve">Protected as Trade </w:t>
      </w:r>
      <w:r w:rsidRPr="003C2094">
        <w:rPr>
          <w:rFonts w:ascii="Times New Roman" w:hAnsi="Times New Roman"/>
          <w:b/>
        </w:rPr>
        <w:t>Secret</w:t>
      </w:r>
    </w:p>
    <w:p w14:paraId="77682AD0" w14:textId="77777777" w:rsidR="00B10A3E" w:rsidRDefault="00B10A3E" w:rsidP="00B10A3E">
      <w:pPr>
        <w:pStyle w:val="PlainText"/>
        <w:spacing w:before="120" w:line="240" w:lineRule="auto"/>
        <w:ind w:left="1440"/>
        <w:jc w:val="center"/>
        <w:rPr>
          <w:rFonts w:ascii="Times New Roman" w:hAnsi="Times New Roman"/>
          <w:b/>
          <w:sz w:val="22"/>
          <w:szCs w:val="24"/>
        </w:rPr>
      </w:pPr>
    </w:p>
    <w:p w14:paraId="631B9517" w14:textId="31C5E63D" w:rsidR="002E180B" w:rsidRDefault="00580390" w:rsidP="009C7DB9">
      <w:pPr>
        <w:jc w:val="both"/>
        <w:rPr>
          <w:bCs/>
          <w:sz w:val="24"/>
          <w:szCs w:val="24"/>
        </w:rPr>
      </w:pPr>
      <w:r w:rsidRPr="00C82A36">
        <w:t xml:space="preserve"> </w:t>
      </w:r>
      <w:r>
        <w:tab/>
      </w:r>
      <w:r w:rsidR="002E180B" w:rsidRPr="002E180B">
        <w:rPr>
          <w:bCs/>
          <w:sz w:val="24"/>
          <w:szCs w:val="24"/>
        </w:rPr>
        <w:t xml:space="preserve">Georgia Power Company (“Georgia Power” or the “Company”) submits to the Georgia Public Service Commission its Application for Certification of </w:t>
      </w:r>
      <w:r w:rsidR="00DE1350">
        <w:rPr>
          <w:bCs/>
          <w:sz w:val="24"/>
          <w:szCs w:val="24"/>
        </w:rPr>
        <w:t>Twiggs County</w:t>
      </w:r>
      <w:r w:rsidR="002E180B" w:rsidRPr="002E180B">
        <w:rPr>
          <w:bCs/>
          <w:sz w:val="24"/>
          <w:szCs w:val="24"/>
        </w:rPr>
        <w:t xml:space="preserve"> Battery Energy Storage Systems (“BESS”), including </w:t>
      </w:r>
      <w:r w:rsidR="0052647C">
        <w:rPr>
          <w:bCs/>
          <w:sz w:val="24"/>
          <w:szCs w:val="24"/>
        </w:rPr>
        <w:t>four a</w:t>
      </w:r>
      <w:r w:rsidR="0052647C" w:rsidRPr="002E180B">
        <w:rPr>
          <w:bCs/>
          <w:sz w:val="24"/>
          <w:szCs w:val="24"/>
        </w:rPr>
        <w:t>ttachments</w:t>
      </w:r>
      <w:r w:rsidR="002E180B" w:rsidRPr="002E180B">
        <w:rPr>
          <w:bCs/>
          <w:sz w:val="24"/>
          <w:szCs w:val="24"/>
        </w:rPr>
        <w:t>, which contain information and data supporting the proposed project, including</w:t>
      </w:r>
      <w:r w:rsidR="00FE0E2E">
        <w:rPr>
          <w:bCs/>
          <w:sz w:val="24"/>
          <w:szCs w:val="24"/>
        </w:rPr>
        <w:t xml:space="preserve"> </w:t>
      </w:r>
      <w:r w:rsidR="005B675B">
        <w:rPr>
          <w:bCs/>
          <w:sz w:val="24"/>
          <w:szCs w:val="24"/>
        </w:rPr>
        <w:t xml:space="preserve">the PPA </w:t>
      </w:r>
      <w:r w:rsidR="00FE0E2E">
        <w:rPr>
          <w:bCs/>
          <w:sz w:val="24"/>
          <w:szCs w:val="24"/>
        </w:rPr>
        <w:t>Amendment</w:t>
      </w:r>
      <w:r w:rsidR="004B1F3D">
        <w:rPr>
          <w:bCs/>
          <w:sz w:val="24"/>
          <w:szCs w:val="24"/>
        </w:rPr>
        <w:t xml:space="preserve"> (</w:t>
      </w:r>
      <w:r w:rsidR="00086AE9">
        <w:rPr>
          <w:bCs/>
          <w:sz w:val="24"/>
          <w:szCs w:val="24"/>
        </w:rPr>
        <w:t>“</w:t>
      </w:r>
      <w:r w:rsidR="004B1F3D">
        <w:rPr>
          <w:bCs/>
          <w:sz w:val="24"/>
          <w:szCs w:val="24"/>
        </w:rPr>
        <w:t>Amendment 1</w:t>
      </w:r>
      <w:r w:rsidR="00086AE9">
        <w:rPr>
          <w:bCs/>
          <w:sz w:val="24"/>
          <w:szCs w:val="24"/>
        </w:rPr>
        <w:t>”</w:t>
      </w:r>
      <w:r w:rsidR="004B1F3D">
        <w:rPr>
          <w:bCs/>
          <w:sz w:val="24"/>
          <w:szCs w:val="24"/>
        </w:rPr>
        <w:t>)</w:t>
      </w:r>
      <w:r w:rsidR="00FE0E2E">
        <w:rPr>
          <w:bCs/>
          <w:sz w:val="24"/>
          <w:szCs w:val="24"/>
        </w:rPr>
        <w:t xml:space="preserve"> </w:t>
      </w:r>
      <w:r w:rsidR="006F6F7A">
        <w:rPr>
          <w:bCs/>
          <w:sz w:val="24"/>
          <w:szCs w:val="24"/>
        </w:rPr>
        <w:t xml:space="preserve">to </w:t>
      </w:r>
      <w:r w:rsidR="00E043D8">
        <w:rPr>
          <w:bCs/>
          <w:sz w:val="24"/>
          <w:szCs w:val="24"/>
        </w:rPr>
        <w:t>the Twiggs County Solar</w:t>
      </w:r>
      <w:r w:rsidR="00F70D60">
        <w:rPr>
          <w:bCs/>
          <w:sz w:val="24"/>
          <w:szCs w:val="24"/>
        </w:rPr>
        <w:t xml:space="preserve"> </w:t>
      </w:r>
      <w:r w:rsidR="00E25A4B">
        <w:rPr>
          <w:bCs/>
          <w:sz w:val="24"/>
          <w:szCs w:val="24"/>
        </w:rPr>
        <w:t>providing</w:t>
      </w:r>
      <w:r w:rsidR="00F70D60">
        <w:rPr>
          <w:bCs/>
          <w:sz w:val="24"/>
          <w:szCs w:val="24"/>
        </w:rPr>
        <w:t xml:space="preserve"> </w:t>
      </w:r>
      <w:r w:rsidR="002D038E">
        <w:rPr>
          <w:bCs/>
          <w:sz w:val="24"/>
          <w:szCs w:val="24"/>
        </w:rPr>
        <w:t>for the construction and operation of Twiggs County BESS</w:t>
      </w:r>
      <w:r w:rsidR="00755B61">
        <w:rPr>
          <w:bCs/>
          <w:sz w:val="24"/>
          <w:szCs w:val="24"/>
        </w:rPr>
        <w:t>,</w:t>
      </w:r>
      <w:r w:rsidR="002E180B" w:rsidRPr="002E180B">
        <w:rPr>
          <w:bCs/>
          <w:sz w:val="24"/>
          <w:szCs w:val="24"/>
        </w:rPr>
        <w:t xml:space="preserve"> sensitive terms and conditions contained within the Engineering, Procurement, and Construction (“EPC”) Agreement and the Battery and Equipment Supply Agreement (“BESA”), pricing information, resource operational capability data, and development timelines, as well as certain information regarding the Company’s proprietary planning processes, financial data, technology screening assumptions, generic technology and resource cost information, specific resource and technology cost information, economic analyses, including confidential details regarding current and future transmission projects (the “Information”). Certain portions of the Information are trade secrets of Georgia Power and Southern Company and their affiliates and is therefore protected from public disclosure under Commission Rule 515-3-1-.11.</w:t>
      </w:r>
    </w:p>
    <w:p w14:paraId="69D21639" w14:textId="77777777" w:rsidR="009C7DB9" w:rsidRDefault="009C7DB9" w:rsidP="009C7DB9">
      <w:pPr>
        <w:jc w:val="both"/>
        <w:rPr>
          <w:bCs/>
          <w:sz w:val="24"/>
          <w:szCs w:val="24"/>
        </w:rPr>
      </w:pPr>
    </w:p>
    <w:p w14:paraId="395DA19E" w14:textId="0159F305" w:rsidR="009C7DB9" w:rsidRDefault="009C7DB9" w:rsidP="009C7DB9">
      <w:pPr>
        <w:ind w:firstLine="720"/>
        <w:jc w:val="both"/>
        <w:rPr>
          <w:bCs/>
          <w:sz w:val="24"/>
          <w:szCs w:val="24"/>
        </w:rPr>
      </w:pPr>
      <w:r w:rsidRPr="009C7DB9">
        <w:rPr>
          <w:bCs/>
          <w:sz w:val="24"/>
          <w:szCs w:val="24"/>
        </w:rPr>
        <w:t xml:space="preserve">The trade secret portions of the Information derive economic value from not being generally known </w:t>
      </w:r>
      <w:proofErr w:type="gramStart"/>
      <w:r w:rsidRPr="009C7DB9">
        <w:rPr>
          <w:bCs/>
          <w:sz w:val="24"/>
          <w:szCs w:val="24"/>
        </w:rPr>
        <w:t>to, and</w:t>
      </w:r>
      <w:proofErr w:type="gramEnd"/>
      <w:r w:rsidRPr="009C7DB9">
        <w:rPr>
          <w:bCs/>
          <w:sz w:val="24"/>
          <w:szCs w:val="24"/>
        </w:rPr>
        <w:t xml:space="preserve"> not being readily ascertainable by proper means by other persons who can obtain economic value from their disclosure or use. Specifically, the trade secret portions of the Information contained herein include competitively sensitive pricing and operational capability data, including project development timelines where applicable, specific to the resources under contract and proposed to be developed. If the Information were made public, competitors, bidders, and suppliers could use the Information to unfairly manipulate the request for proposals process and competitive market to structure future bids and set an artificial price floor to arbitrarily increase prices to the detriment of the Company and its customers. Public dissemination of the Information would undermine Georgia Power’s ability to negotiate the best price and contract terms and could harm the Company’s ability to secure the best cost bids and resources for the benefit of customers</w:t>
      </w:r>
      <w:r>
        <w:rPr>
          <w:bCs/>
          <w:sz w:val="24"/>
          <w:szCs w:val="24"/>
        </w:rPr>
        <w:t>.</w:t>
      </w:r>
    </w:p>
    <w:p w14:paraId="31338566" w14:textId="77777777" w:rsidR="009C7DB9" w:rsidRDefault="009C7DB9" w:rsidP="009C7DB9">
      <w:pPr>
        <w:ind w:firstLine="720"/>
        <w:jc w:val="both"/>
        <w:rPr>
          <w:bCs/>
          <w:sz w:val="24"/>
          <w:szCs w:val="24"/>
        </w:rPr>
      </w:pPr>
    </w:p>
    <w:p w14:paraId="050141EC" w14:textId="238DAF14" w:rsidR="009C7DB9" w:rsidRDefault="009C7DB9" w:rsidP="009C7DB9">
      <w:pPr>
        <w:ind w:firstLine="720"/>
        <w:jc w:val="both"/>
        <w:rPr>
          <w:bCs/>
          <w:sz w:val="24"/>
          <w:szCs w:val="24"/>
        </w:rPr>
      </w:pPr>
      <w:r w:rsidRPr="009C7DB9">
        <w:rPr>
          <w:bCs/>
          <w:sz w:val="24"/>
          <w:szCs w:val="24"/>
        </w:rPr>
        <w:t xml:space="preserve">The trade secret portions of the Information also contain competitively sensitive cost information related to available technology options, processes and data used by Georgia Power in analyzing resource addition schedules, financial data used in the Company’s resource analyses, and other confidential details including data supporting resource economic evaluations. Public dissemination of the trade secret portions of the Information would allow Georgia Power’s competitors and suppliers to have access to such processes and strategies and thereby gain an unfair competitive advantage in the marketplace. Competitors would obtain an unfair advantage because they are not required to reveal similar information and can utilize such trade secret portions of the Information to manipulate pricing and timing of supply to the disadvantage of Georgia Power. Competitors would also unfairly benefit in having access and insight into the Company’s planning </w:t>
      </w:r>
      <w:r w:rsidRPr="009C7DB9">
        <w:rPr>
          <w:bCs/>
          <w:sz w:val="24"/>
          <w:szCs w:val="24"/>
        </w:rPr>
        <w:lastRenderedPageBreak/>
        <w:t>processes and methodologies. This competitive advantage for the Company’s suppliers and competitors would mean that Georgia Power will potentially pay higher prices to suppliers, ultimately harming Georgia Power and its customers</w:t>
      </w:r>
      <w:r>
        <w:rPr>
          <w:bCs/>
          <w:sz w:val="24"/>
          <w:szCs w:val="24"/>
        </w:rPr>
        <w:t>.</w:t>
      </w:r>
    </w:p>
    <w:p w14:paraId="5CE2175A" w14:textId="77777777" w:rsidR="009C7DB9" w:rsidRDefault="009C7DB9" w:rsidP="009C7DB9">
      <w:pPr>
        <w:ind w:firstLine="720"/>
        <w:jc w:val="both"/>
        <w:rPr>
          <w:bCs/>
          <w:sz w:val="24"/>
          <w:szCs w:val="24"/>
        </w:rPr>
      </w:pPr>
    </w:p>
    <w:p w14:paraId="50B2E05D" w14:textId="77777777" w:rsidR="009C7DB9" w:rsidRPr="009C7DB9" w:rsidRDefault="009C7DB9" w:rsidP="009C7DB9">
      <w:pPr>
        <w:ind w:firstLine="720"/>
        <w:jc w:val="both"/>
        <w:rPr>
          <w:bCs/>
          <w:sz w:val="24"/>
          <w:szCs w:val="24"/>
        </w:rPr>
      </w:pPr>
      <w:r w:rsidRPr="009C7DB9">
        <w:rPr>
          <w:bCs/>
          <w:sz w:val="24"/>
          <w:szCs w:val="24"/>
        </w:rPr>
        <w:t>Additionally, the Information contains competitively sensitive cost information related to the prices Georgia Power has estimated for transmission equipment and specific details related to the Company’s transmission infrastructure. Public dissemination of the Information would allow Georgia Power’s competitors and suppliers to have access to the costs paid by the Company and insight into the Company’s transmission planning process. Access to the Information would also allow competitors to gain specific insight into the Company’s technical analysis regarding planned projects. Competitors would obtain an unfair advantage because they are not required to reveal similar information and can structure the pricing for competing products based on the Information. In the event the Information was released, it is quite likely that suppliers would use the Information to set the floor in establishing their own prices, thus artificially and inefficiently setting a market price that may not be representative of the best cost that the market could offer. Competitors would also unfairly benefit in having access and insight into the Company’s planning processes and methodologies. This competitive advantage for the Company’s suppliers and competitors would mean that Georgia Power will potentially pay higher prices to suppliers, ultimately harming Georgia Power. Finally, the Information includes details concerning Georgia Power's transmission infrastructure that may be used to pin-point vulnerabilities in the transmission system. Such portions of the Information contain Critical Energy Infrastructure Information (“CEII”), the distribution of which is subject to regulation under the Code of Federal Regulations Section 388.113.</w:t>
      </w:r>
    </w:p>
    <w:p w14:paraId="795621E7" w14:textId="77777777" w:rsidR="009C7DB9" w:rsidRPr="009C7DB9" w:rsidRDefault="009C7DB9" w:rsidP="009C7DB9">
      <w:pPr>
        <w:ind w:firstLine="720"/>
        <w:jc w:val="both"/>
        <w:rPr>
          <w:bCs/>
          <w:sz w:val="24"/>
          <w:szCs w:val="24"/>
        </w:rPr>
      </w:pPr>
    </w:p>
    <w:p w14:paraId="62931149" w14:textId="2DAE2A7C" w:rsidR="009C7DB9" w:rsidRDefault="009C7DB9" w:rsidP="009C7DB9">
      <w:pPr>
        <w:ind w:firstLine="720"/>
        <w:jc w:val="both"/>
        <w:rPr>
          <w:bCs/>
          <w:sz w:val="24"/>
          <w:szCs w:val="24"/>
        </w:rPr>
      </w:pPr>
      <w:r w:rsidRPr="009C7DB9">
        <w:rPr>
          <w:bCs/>
          <w:sz w:val="24"/>
          <w:szCs w:val="24"/>
        </w:rPr>
        <w:t>The trade secret portions of the Information are subject to substantial procedures to maintain their secrecy. Only select Georgia Power and Southern Company personnel are granted access to the trade secret portions of the Information. Those personnel receive access only on a “need to know” basis. Parties outside Georgia Power and Southern Company affiliates and their legal counsel who have been granted access to the trade secret portions of the Information, if any, have been required to sign confidentiality agreements</w:t>
      </w:r>
      <w:r>
        <w:rPr>
          <w:bCs/>
          <w:sz w:val="24"/>
          <w:szCs w:val="24"/>
        </w:rPr>
        <w:t>.</w:t>
      </w:r>
    </w:p>
    <w:p w14:paraId="61B7929D" w14:textId="77777777" w:rsidR="00B10A3E" w:rsidRDefault="00B10A3E" w:rsidP="00B10A3E">
      <w:pPr>
        <w:jc w:val="both"/>
        <w:rPr>
          <w:bCs/>
          <w:sz w:val="24"/>
          <w:szCs w:val="24"/>
        </w:rPr>
      </w:pPr>
    </w:p>
    <w:p w14:paraId="21FE4D14" w14:textId="77777777" w:rsidR="009C7DB9" w:rsidRDefault="009C7DB9" w:rsidP="00B10A3E">
      <w:pPr>
        <w:jc w:val="both"/>
        <w:rPr>
          <w:bCs/>
          <w:sz w:val="24"/>
          <w:szCs w:val="24"/>
        </w:rPr>
      </w:pPr>
    </w:p>
    <w:p w14:paraId="2BC2FC09" w14:textId="77777777" w:rsidR="009C7DB9" w:rsidRDefault="009C7DB9" w:rsidP="00B10A3E">
      <w:pPr>
        <w:jc w:val="both"/>
        <w:rPr>
          <w:bCs/>
          <w:sz w:val="24"/>
          <w:szCs w:val="24"/>
        </w:rPr>
      </w:pPr>
    </w:p>
    <w:p w14:paraId="5E4CFE26" w14:textId="77777777" w:rsidR="009C7DB9" w:rsidRDefault="009C7DB9" w:rsidP="00B10A3E">
      <w:pPr>
        <w:jc w:val="both"/>
        <w:rPr>
          <w:bCs/>
          <w:sz w:val="24"/>
          <w:szCs w:val="24"/>
        </w:rPr>
      </w:pPr>
    </w:p>
    <w:p w14:paraId="18B393A1" w14:textId="77777777" w:rsidR="009C7DB9" w:rsidRDefault="009C7DB9" w:rsidP="00B10A3E">
      <w:pPr>
        <w:jc w:val="both"/>
        <w:rPr>
          <w:bCs/>
          <w:sz w:val="24"/>
          <w:szCs w:val="24"/>
        </w:rPr>
      </w:pPr>
    </w:p>
    <w:p w14:paraId="15F0D5D1" w14:textId="77777777" w:rsidR="009C7DB9" w:rsidRDefault="009C7DB9" w:rsidP="00B10A3E">
      <w:pPr>
        <w:jc w:val="both"/>
        <w:rPr>
          <w:bCs/>
          <w:sz w:val="24"/>
          <w:szCs w:val="24"/>
        </w:rPr>
      </w:pPr>
    </w:p>
    <w:p w14:paraId="775DF5FF" w14:textId="77777777" w:rsidR="009C7DB9" w:rsidRDefault="009C7DB9" w:rsidP="00B10A3E">
      <w:pPr>
        <w:jc w:val="both"/>
        <w:rPr>
          <w:bCs/>
          <w:sz w:val="24"/>
          <w:szCs w:val="24"/>
        </w:rPr>
      </w:pPr>
    </w:p>
    <w:p w14:paraId="794C7B05" w14:textId="77777777" w:rsidR="009C7DB9" w:rsidRDefault="009C7DB9" w:rsidP="00B10A3E">
      <w:pPr>
        <w:jc w:val="both"/>
        <w:rPr>
          <w:bCs/>
          <w:sz w:val="24"/>
          <w:szCs w:val="24"/>
        </w:rPr>
      </w:pPr>
    </w:p>
    <w:p w14:paraId="7270843F" w14:textId="77777777" w:rsidR="009C7DB9" w:rsidRDefault="009C7DB9" w:rsidP="00B10A3E">
      <w:pPr>
        <w:jc w:val="both"/>
        <w:rPr>
          <w:bCs/>
          <w:sz w:val="24"/>
          <w:szCs w:val="24"/>
        </w:rPr>
      </w:pPr>
    </w:p>
    <w:p w14:paraId="2EF4133D" w14:textId="77777777" w:rsidR="009C7DB9" w:rsidRDefault="009C7DB9" w:rsidP="00B10A3E">
      <w:pPr>
        <w:jc w:val="both"/>
        <w:rPr>
          <w:bCs/>
          <w:sz w:val="24"/>
          <w:szCs w:val="24"/>
        </w:rPr>
      </w:pPr>
    </w:p>
    <w:p w14:paraId="70E9B3DF" w14:textId="77777777" w:rsidR="009C7DB9" w:rsidRDefault="009C7DB9" w:rsidP="00B10A3E">
      <w:pPr>
        <w:jc w:val="both"/>
        <w:rPr>
          <w:bCs/>
          <w:sz w:val="24"/>
          <w:szCs w:val="24"/>
        </w:rPr>
      </w:pPr>
    </w:p>
    <w:p w14:paraId="6F831FA1" w14:textId="77777777" w:rsidR="009C7DB9" w:rsidRDefault="009C7DB9" w:rsidP="00B10A3E">
      <w:pPr>
        <w:jc w:val="both"/>
        <w:rPr>
          <w:bCs/>
          <w:sz w:val="24"/>
          <w:szCs w:val="24"/>
        </w:rPr>
      </w:pPr>
    </w:p>
    <w:p w14:paraId="779EEA98" w14:textId="77777777" w:rsidR="009C7DB9" w:rsidRDefault="009C7DB9" w:rsidP="00B10A3E">
      <w:pPr>
        <w:jc w:val="both"/>
        <w:rPr>
          <w:b/>
          <w:bCs/>
          <w:sz w:val="24"/>
          <w:szCs w:val="24"/>
        </w:rPr>
      </w:pPr>
    </w:p>
    <w:p w14:paraId="26633273" w14:textId="77777777" w:rsidR="00FA231A" w:rsidRDefault="00FA231A" w:rsidP="00B10A3E">
      <w:pPr>
        <w:jc w:val="both"/>
        <w:rPr>
          <w:b/>
          <w:bCs/>
          <w:sz w:val="24"/>
          <w:szCs w:val="24"/>
        </w:rPr>
      </w:pPr>
    </w:p>
    <w:p w14:paraId="5A806C4C" w14:textId="77777777" w:rsidR="00B10A3E" w:rsidRDefault="00B10A3E" w:rsidP="00B10A3E">
      <w:pPr>
        <w:jc w:val="both"/>
        <w:rPr>
          <w:bCs/>
          <w:sz w:val="24"/>
          <w:szCs w:val="24"/>
        </w:rPr>
      </w:pPr>
    </w:p>
    <w:p w14:paraId="1E86A089" w14:textId="77777777" w:rsidR="004E4F3C" w:rsidRDefault="004E4F3C" w:rsidP="00B10A3E">
      <w:pPr>
        <w:jc w:val="both"/>
        <w:rPr>
          <w:bCs/>
          <w:sz w:val="24"/>
          <w:szCs w:val="24"/>
        </w:rPr>
      </w:pPr>
    </w:p>
    <w:p w14:paraId="0BC78298" w14:textId="7C7A701F" w:rsidR="00B10A3E" w:rsidRPr="00C00C82" w:rsidRDefault="005A1FCE" w:rsidP="00B10A3E">
      <w:pPr>
        <w:autoSpaceDE w:val="0"/>
        <w:autoSpaceDN w:val="0"/>
        <w:adjustRightInd w:val="0"/>
        <w:spacing w:after="240"/>
        <w:jc w:val="both"/>
        <w:rPr>
          <w:sz w:val="24"/>
          <w:szCs w:val="24"/>
        </w:rPr>
      </w:pPr>
      <w:r>
        <w:rPr>
          <w:sz w:val="24"/>
          <w:szCs w:val="24"/>
        </w:rPr>
        <w:lastRenderedPageBreak/>
        <w:tab/>
      </w:r>
      <w:r w:rsidR="00DB78C8" w:rsidRPr="00B713B5">
        <w:rPr>
          <w:sz w:val="24"/>
          <w:szCs w:val="24"/>
        </w:rPr>
        <w:t>Marc Vinson</w:t>
      </w:r>
      <w:r w:rsidR="00580390" w:rsidRPr="00C00C82">
        <w:rPr>
          <w:sz w:val="24"/>
          <w:szCs w:val="24"/>
        </w:rPr>
        <w:t xml:space="preserve">, first being duly sworn, deposes and states that he has reviewed the </w:t>
      </w:r>
      <w:proofErr w:type="gramStart"/>
      <w:r w:rsidR="00580390" w:rsidRPr="00C00C82">
        <w:rPr>
          <w:sz w:val="24"/>
          <w:szCs w:val="24"/>
        </w:rPr>
        <w:t>Application</w:t>
      </w:r>
      <w:proofErr w:type="gramEnd"/>
      <w:r w:rsidR="00580390" w:rsidRPr="00C00C82">
        <w:rPr>
          <w:sz w:val="24"/>
          <w:szCs w:val="24"/>
        </w:rPr>
        <w:t xml:space="preserve"> and all other related documents included in this filing in Docket No. </w:t>
      </w:r>
      <w:r w:rsidR="00A3106E">
        <w:rPr>
          <w:sz w:val="24"/>
          <w:szCs w:val="24"/>
        </w:rPr>
        <w:t>56258</w:t>
      </w:r>
      <w:r w:rsidR="00580390" w:rsidRPr="00C00C82">
        <w:rPr>
          <w:sz w:val="24"/>
          <w:szCs w:val="24"/>
        </w:rPr>
        <w:t>, and that the specific information designated as trade secret constitutes trade secrets in accordance with O.C.G.A. § 10-1-761 (2019).</w:t>
      </w:r>
    </w:p>
    <w:p w14:paraId="7FE9B2AB" w14:textId="77777777" w:rsidR="00B10A3E" w:rsidRPr="00C00C82" w:rsidRDefault="00B10A3E" w:rsidP="00B10A3E">
      <w:pPr>
        <w:autoSpaceDE w:val="0"/>
        <w:autoSpaceDN w:val="0"/>
        <w:adjustRightInd w:val="0"/>
        <w:rPr>
          <w:sz w:val="24"/>
          <w:szCs w:val="24"/>
        </w:rPr>
      </w:pPr>
    </w:p>
    <w:p w14:paraId="437845D4" w14:textId="77777777" w:rsidR="00B10A3E" w:rsidRPr="00C00C82" w:rsidRDefault="00B10A3E" w:rsidP="00B10A3E">
      <w:pPr>
        <w:autoSpaceDE w:val="0"/>
        <w:autoSpaceDN w:val="0"/>
        <w:adjustRightInd w:val="0"/>
        <w:rPr>
          <w:sz w:val="24"/>
          <w:szCs w:val="24"/>
        </w:rPr>
      </w:pPr>
    </w:p>
    <w:p w14:paraId="781BABA8" w14:textId="77777777" w:rsidR="00B10A3E" w:rsidRPr="00C00C82" w:rsidRDefault="00580390" w:rsidP="00B10A3E">
      <w:pPr>
        <w:autoSpaceDE w:val="0"/>
        <w:autoSpaceDN w:val="0"/>
        <w:adjustRightInd w:val="0"/>
        <w:rPr>
          <w:sz w:val="24"/>
          <w:szCs w:val="24"/>
        </w:rPr>
      </w:pPr>
      <w:r w:rsidRPr="00C00C82">
        <w:tab/>
      </w:r>
      <w:r w:rsidRPr="00C00C82">
        <w:tab/>
      </w:r>
      <w:r w:rsidRPr="00C00C82">
        <w:tab/>
      </w:r>
      <w:r w:rsidRPr="00C00C82">
        <w:tab/>
      </w:r>
      <w:r w:rsidRPr="00C00C82">
        <w:tab/>
      </w:r>
      <w:r w:rsidRPr="00C00C82">
        <w:rPr>
          <w:sz w:val="24"/>
          <w:szCs w:val="24"/>
        </w:rPr>
        <w:t>________________________________</w:t>
      </w:r>
    </w:p>
    <w:p w14:paraId="58953D79" w14:textId="2EA080C9" w:rsidR="00B10A3E" w:rsidRPr="005B71B0" w:rsidRDefault="00580390" w:rsidP="00B10A3E">
      <w:pPr>
        <w:autoSpaceDE w:val="0"/>
        <w:autoSpaceDN w:val="0"/>
        <w:adjustRightInd w:val="0"/>
        <w:rPr>
          <w:sz w:val="24"/>
          <w:szCs w:val="24"/>
        </w:rPr>
      </w:pPr>
      <w:r w:rsidRPr="00C00C82">
        <w:rPr>
          <w:sz w:val="24"/>
          <w:szCs w:val="24"/>
        </w:rPr>
        <w:tab/>
      </w:r>
      <w:r w:rsidRPr="00C00C82">
        <w:rPr>
          <w:sz w:val="24"/>
          <w:szCs w:val="24"/>
        </w:rPr>
        <w:tab/>
      </w:r>
      <w:r w:rsidRPr="00C00C82">
        <w:rPr>
          <w:sz w:val="24"/>
          <w:szCs w:val="24"/>
        </w:rPr>
        <w:tab/>
      </w:r>
      <w:r w:rsidRPr="00C00C82">
        <w:rPr>
          <w:sz w:val="24"/>
          <w:szCs w:val="24"/>
        </w:rPr>
        <w:tab/>
      </w:r>
      <w:r w:rsidRPr="00C00C82">
        <w:rPr>
          <w:sz w:val="24"/>
          <w:szCs w:val="24"/>
        </w:rPr>
        <w:tab/>
      </w:r>
      <w:r w:rsidR="00DB78C8" w:rsidRPr="00B713B5">
        <w:rPr>
          <w:sz w:val="24"/>
          <w:szCs w:val="24"/>
        </w:rPr>
        <w:t>Marc Vinson</w:t>
      </w:r>
    </w:p>
    <w:p w14:paraId="70642518" w14:textId="14A76678" w:rsidR="00B10A3E" w:rsidRDefault="00580390" w:rsidP="00B10A3E">
      <w:pPr>
        <w:autoSpaceDE w:val="0"/>
        <w:autoSpaceDN w:val="0"/>
        <w:adjustRightInd w:val="0"/>
        <w:rPr>
          <w:sz w:val="24"/>
          <w:szCs w:val="24"/>
        </w:rPr>
      </w:pPr>
      <w:r w:rsidRPr="005B71B0">
        <w:rPr>
          <w:sz w:val="24"/>
          <w:szCs w:val="24"/>
        </w:rPr>
        <w:tab/>
      </w:r>
      <w:r w:rsidRPr="005B71B0">
        <w:rPr>
          <w:sz w:val="24"/>
          <w:szCs w:val="24"/>
        </w:rPr>
        <w:tab/>
      </w:r>
      <w:r w:rsidRPr="005B71B0">
        <w:rPr>
          <w:sz w:val="24"/>
          <w:szCs w:val="24"/>
        </w:rPr>
        <w:tab/>
      </w:r>
      <w:r w:rsidRPr="005B71B0">
        <w:rPr>
          <w:sz w:val="24"/>
          <w:szCs w:val="24"/>
        </w:rPr>
        <w:tab/>
      </w:r>
      <w:r w:rsidRPr="005B71B0">
        <w:rPr>
          <w:sz w:val="24"/>
          <w:szCs w:val="24"/>
        </w:rPr>
        <w:tab/>
      </w:r>
      <w:r w:rsidRPr="00B713B5">
        <w:rPr>
          <w:sz w:val="24"/>
          <w:szCs w:val="24"/>
        </w:rPr>
        <w:t xml:space="preserve">Renewable </w:t>
      </w:r>
      <w:r w:rsidR="003D4E0F" w:rsidRPr="00B713B5">
        <w:rPr>
          <w:sz w:val="24"/>
          <w:szCs w:val="24"/>
        </w:rPr>
        <w:t xml:space="preserve">Program </w:t>
      </w:r>
      <w:r w:rsidRPr="00B713B5">
        <w:rPr>
          <w:sz w:val="24"/>
          <w:szCs w:val="24"/>
        </w:rPr>
        <w:t>Development</w:t>
      </w:r>
      <w:r w:rsidR="003D4E0F" w:rsidRPr="00B713B5">
        <w:rPr>
          <w:sz w:val="24"/>
          <w:szCs w:val="24"/>
        </w:rPr>
        <w:t xml:space="preserve"> Manager</w:t>
      </w:r>
    </w:p>
    <w:p w14:paraId="4CEFF743" w14:textId="77777777" w:rsidR="00B10A3E" w:rsidRPr="004F1A74" w:rsidRDefault="00580390" w:rsidP="00B10A3E">
      <w:pPr>
        <w:autoSpaceDE w:val="0"/>
        <w:autoSpaceDN w:val="0"/>
        <w:adjustRightInd w:val="0"/>
        <w:ind w:left="2880" w:firstLine="720"/>
        <w:rPr>
          <w:sz w:val="24"/>
          <w:szCs w:val="24"/>
        </w:rPr>
      </w:pPr>
      <w:r w:rsidRPr="004F1A74">
        <w:rPr>
          <w:sz w:val="24"/>
          <w:szCs w:val="24"/>
        </w:rPr>
        <w:t>Georgia Power Company</w:t>
      </w:r>
    </w:p>
    <w:p w14:paraId="2CEDB4C2" w14:textId="77777777" w:rsidR="00B10A3E" w:rsidRPr="004F1A74" w:rsidRDefault="00B10A3E" w:rsidP="00B10A3E">
      <w:pPr>
        <w:autoSpaceDE w:val="0"/>
        <w:autoSpaceDN w:val="0"/>
        <w:adjustRightInd w:val="0"/>
        <w:rPr>
          <w:sz w:val="24"/>
          <w:szCs w:val="24"/>
        </w:rPr>
      </w:pPr>
    </w:p>
    <w:p w14:paraId="363C5423" w14:textId="77777777" w:rsidR="00B10A3E" w:rsidRPr="004F1A74" w:rsidRDefault="00B10A3E" w:rsidP="00B10A3E">
      <w:pPr>
        <w:autoSpaceDE w:val="0"/>
        <w:autoSpaceDN w:val="0"/>
        <w:adjustRightInd w:val="0"/>
        <w:rPr>
          <w:sz w:val="24"/>
          <w:szCs w:val="24"/>
        </w:rPr>
      </w:pPr>
    </w:p>
    <w:p w14:paraId="43749E81" w14:textId="0994137A" w:rsidR="00B10A3E" w:rsidRPr="004F1A74" w:rsidRDefault="00580390" w:rsidP="00B10A3E">
      <w:pPr>
        <w:autoSpaceDE w:val="0"/>
        <w:autoSpaceDN w:val="0"/>
        <w:adjustRightInd w:val="0"/>
        <w:rPr>
          <w:sz w:val="24"/>
          <w:szCs w:val="24"/>
        </w:rPr>
      </w:pPr>
      <w:r w:rsidRPr="004F1A74">
        <w:rPr>
          <w:sz w:val="24"/>
          <w:szCs w:val="24"/>
        </w:rPr>
        <w:tab/>
        <w:t>Subscri</w:t>
      </w:r>
      <w:r>
        <w:rPr>
          <w:sz w:val="24"/>
          <w:szCs w:val="24"/>
        </w:rPr>
        <w:t xml:space="preserve">bed and sworn to before me this </w:t>
      </w:r>
      <w:r w:rsidR="00EE776A">
        <w:rPr>
          <w:sz w:val="24"/>
          <w:szCs w:val="24"/>
        </w:rPr>
        <w:t xml:space="preserve">19th </w:t>
      </w:r>
      <w:r w:rsidRPr="004F1A74">
        <w:rPr>
          <w:sz w:val="24"/>
          <w:szCs w:val="24"/>
        </w:rPr>
        <w:t xml:space="preserve">day of </w:t>
      </w:r>
      <w:proofErr w:type="gramStart"/>
      <w:r w:rsidR="00963156">
        <w:rPr>
          <w:sz w:val="24"/>
          <w:szCs w:val="24"/>
        </w:rPr>
        <w:t>June</w:t>
      </w:r>
      <w:r w:rsidR="005A1FCE" w:rsidRPr="004F1A74">
        <w:rPr>
          <w:sz w:val="24"/>
          <w:szCs w:val="24"/>
        </w:rPr>
        <w:t>,</w:t>
      </w:r>
      <w:proofErr w:type="gramEnd"/>
      <w:r w:rsidR="005A1FCE" w:rsidRPr="004F1A74">
        <w:rPr>
          <w:sz w:val="24"/>
          <w:szCs w:val="24"/>
        </w:rPr>
        <w:t xml:space="preserve"> </w:t>
      </w:r>
      <w:r w:rsidR="00F61D77">
        <w:rPr>
          <w:sz w:val="24"/>
          <w:szCs w:val="24"/>
        </w:rPr>
        <w:t>202</w:t>
      </w:r>
      <w:r w:rsidR="0024529C">
        <w:rPr>
          <w:sz w:val="24"/>
          <w:szCs w:val="24"/>
        </w:rPr>
        <w:t>5</w:t>
      </w:r>
      <w:r w:rsidRPr="004F1A74">
        <w:rPr>
          <w:sz w:val="24"/>
          <w:szCs w:val="24"/>
        </w:rPr>
        <w:t>.</w:t>
      </w:r>
    </w:p>
    <w:p w14:paraId="6BF181E5" w14:textId="77777777" w:rsidR="00B10A3E" w:rsidRPr="004F1A74" w:rsidRDefault="00B10A3E" w:rsidP="00B10A3E">
      <w:pPr>
        <w:autoSpaceDE w:val="0"/>
        <w:autoSpaceDN w:val="0"/>
        <w:adjustRightInd w:val="0"/>
        <w:rPr>
          <w:sz w:val="24"/>
          <w:szCs w:val="24"/>
        </w:rPr>
      </w:pPr>
    </w:p>
    <w:p w14:paraId="2B110F86" w14:textId="77777777" w:rsidR="00B10A3E" w:rsidRPr="004F1A74" w:rsidRDefault="00B10A3E" w:rsidP="00B10A3E">
      <w:pPr>
        <w:autoSpaceDE w:val="0"/>
        <w:autoSpaceDN w:val="0"/>
        <w:adjustRightInd w:val="0"/>
        <w:rPr>
          <w:sz w:val="24"/>
          <w:szCs w:val="24"/>
        </w:rPr>
      </w:pPr>
    </w:p>
    <w:p w14:paraId="488D5FB8" w14:textId="77777777" w:rsidR="00B10A3E" w:rsidRPr="004F1A74" w:rsidRDefault="00B10A3E" w:rsidP="00B10A3E">
      <w:pPr>
        <w:autoSpaceDE w:val="0"/>
        <w:autoSpaceDN w:val="0"/>
        <w:adjustRightInd w:val="0"/>
        <w:rPr>
          <w:sz w:val="24"/>
          <w:szCs w:val="24"/>
        </w:rPr>
      </w:pPr>
    </w:p>
    <w:p w14:paraId="729E0017" w14:textId="77777777" w:rsidR="00B10A3E" w:rsidRPr="004F1A74" w:rsidRDefault="00580390" w:rsidP="00B10A3E">
      <w:pPr>
        <w:autoSpaceDE w:val="0"/>
        <w:autoSpaceDN w:val="0"/>
        <w:adjustRightInd w:val="0"/>
        <w:rPr>
          <w:sz w:val="24"/>
          <w:szCs w:val="24"/>
        </w:rPr>
      </w:pPr>
      <w:r w:rsidRPr="004F1A74">
        <w:rPr>
          <w:sz w:val="24"/>
          <w:szCs w:val="24"/>
        </w:rPr>
        <w:t>____________________</w:t>
      </w:r>
    </w:p>
    <w:p w14:paraId="327661ED" w14:textId="77777777" w:rsidR="00B10A3E" w:rsidRPr="00F22A1A" w:rsidRDefault="00580390" w:rsidP="00B10A3E">
      <w:pPr>
        <w:autoSpaceDE w:val="0"/>
        <w:autoSpaceDN w:val="0"/>
        <w:adjustRightInd w:val="0"/>
        <w:rPr>
          <w:b/>
          <w:bCs/>
          <w:sz w:val="24"/>
          <w:szCs w:val="24"/>
        </w:rPr>
      </w:pPr>
      <w:r w:rsidRPr="004F1A74">
        <w:rPr>
          <w:sz w:val="24"/>
          <w:szCs w:val="24"/>
        </w:rPr>
        <w:t>Notary Public</w:t>
      </w:r>
    </w:p>
    <w:p w14:paraId="02978669" w14:textId="77777777" w:rsidR="00B10A3E" w:rsidRDefault="00B10A3E" w:rsidP="00B10A3E">
      <w:pPr>
        <w:spacing w:line="360" w:lineRule="auto"/>
        <w:jc w:val="both"/>
        <w:rPr>
          <w:b/>
          <w:bCs/>
          <w:sz w:val="24"/>
          <w:szCs w:val="24"/>
        </w:rPr>
        <w:sectPr w:rsidR="00B10A3E" w:rsidSect="00B10A3E">
          <w:pgSz w:w="12240" w:h="15840" w:code="1"/>
          <w:pgMar w:top="1440" w:right="1440" w:bottom="1440" w:left="1440" w:header="576" w:footer="720" w:gutter="0"/>
          <w:pgNumType w:fmt="lowerRoman"/>
          <w:cols w:space="720"/>
          <w:noEndnote/>
          <w:titlePg/>
        </w:sectPr>
      </w:pPr>
    </w:p>
    <w:p w14:paraId="0A0C1E4C" w14:textId="2573FE38" w:rsidR="00B10A3E" w:rsidRPr="00F32E5C" w:rsidRDefault="00580390" w:rsidP="00B10A3E">
      <w:pPr>
        <w:pStyle w:val="PlainText"/>
        <w:spacing w:line="240" w:lineRule="auto"/>
        <w:jc w:val="center"/>
        <w:rPr>
          <w:rFonts w:ascii="Times New Roman" w:hAnsi="Times New Roman"/>
          <w:b/>
          <w:szCs w:val="24"/>
        </w:rPr>
      </w:pPr>
      <w:r w:rsidRPr="00F32E5C">
        <w:rPr>
          <w:rFonts w:ascii="Times New Roman" w:hAnsi="Times New Roman"/>
          <w:b/>
          <w:szCs w:val="24"/>
        </w:rPr>
        <w:lastRenderedPageBreak/>
        <w:fldChar w:fldCharType="begin"/>
      </w:r>
      <w:r w:rsidRPr="00F32E5C">
        <w:rPr>
          <w:rFonts w:ascii="Times New Roman" w:hAnsi="Times New Roman"/>
          <w:b/>
          <w:szCs w:val="24"/>
        </w:rPr>
        <w:instrText xml:space="preserve">  </w:instrText>
      </w:r>
      <w:r w:rsidRPr="00F32E5C">
        <w:rPr>
          <w:rFonts w:ascii="Times New Roman" w:hAnsi="Times New Roman"/>
          <w:b/>
          <w:szCs w:val="24"/>
        </w:rPr>
        <w:fldChar w:fldCharType="end"/>
      </w:r>
      <w:r w:rsidRPr="00F32E5C">
        <w:rPr>
          <w:rFonts w:ascii="Times New Roman" w:hAnsi="Times New Roman"/>
          <w:b/>
          <w:szCs w:val="24"/>
        </w:rPr>
        <w:t xml:space="preserve">Georgia Power Company’s Application for the </w:t>
      </w:r>
      <w:r w:rsidRPr="001B1057">
        <w:rPr>
          <w:rFonts w:ascii="Times New Roman" w:hAnsi="Times New Roman"/>
          <w:b/>
        </w:rPr>
        <w:t xml:space="preserve">Certification of the </w:t>
      </w:r>
      <w:r w:rsidR="00532791" w:rsidRPr="00532791">
        <w:rPr>
          <w:rFonts w:ascii="Times New Roman" w:hAnsi="Times New Roman"/>
          <w:b/>
        </w:rPr>
        <w:t>Twiggs County Battery Energy Storage System</w:t>
      </w:r>
    </w:p>
    <w:p w14:paraId="0DF30D46" w14:textId="77777777" w:rsidR="00B10A3E" w:rsidRPr="00F32E5C" w:rsidRDefault="00B10A3E" w:rsidP="00B10A3E">
      <w:pPr>
        <w:pStyle w:val="PlainText"/>
        <w:spacing w:line="360" w:lineRule="auto"/>
        <w:jc w:val="center"/>
        <w:rPr>
          <w:rFonts w:ascii="Times New Roman" w:hAnsi="Times New Roman"/>
          <w:b/>
          <w:szCs w:val="24"/>
        </w:rPr>
      </w:pPr>
    </w:p>
    <w:p w14:paraId="405101B9" w14:textId="77777777" w:rsidR="00B10A3E" w:rsidRPr="000B6502" w:rsidRDefault="00B10A3E" w:rsidP="00B10A3E">
      <w:pPr>
        <w:pStyle w:val="PlainText"/>
        <w:tabs>
          <w:tab w:val="left" w:pos="720"/>
        </w:tabs>
        <w:spacing w:line="360" w:lineRule="auto"/>
        <w:jc w:val="center"/>
        <w:rPr>
          <w:rFonts w:ascii="Arial" w:hAnsi="Arial" w:cs="Arial"/>
          <w:b/>
          <w:sz w:val="22"/>
        </w:rPr>
      </w:pPr>
    </w:p>
    <w:p w14:paraId="7EBBF5D9" w14:textId="2392335E" w:rsidR="00B10A3E" w:rsidRPr="00F87C3D" w:rsidRDefault="00580390" w:rsidP="00B10A3E">
      <w:pPr>
        <w:pStyle w:val="PlainText"/>
        <w:spacing w:line="360" w:lineRule="auto"/>
        <w:jc w:val="center"/>
        <w:rPr>
          <w:rFonts w:ascii="Times New Roman" w:hAnsi="Times New Roman"/>
          <w:b/>
          <w:szCs w:val="24"/>
        </w:rPr>
      </w:pPr>
      <w:r w:rsidRPr="00F87C3D">
        <w:rPr>
          <w:rFonts w:ascii="Times New Roman" w:hAnsi="Times New Roman"/>
          <w:b/>
          <w:szCs w:val="24"/>
        </w:rPr>
        <w:t xml:space="preserve">Docket No. </w:t>
      </w:r>
      <w:bookmarkStart w:id="2" w:name="_Hlk200571319"/>
      <w:r w:rsidR="00A3106E">
        <w:rPr>
          <w:rFonts w:ascii="Times New Roman" w:hAnsi="Times New Roman"/>
          <w:b/>
          <w:szCs w:val="24"/>
        </w:rPr>
        <w:t>56258</w:t>
      </w:r>
      <w:bookmarkEnd w:id="2"/>
    </w:p>
    <w:p w14:paraId="0BD3940D" w14:textId="77777777" w:rsidR="00B10A3E" w:rsidRPr="00387088" w:rsidRDefault="00580390" w:rsidP="00B10A3E">
      <w:pPr>
        <w:pStyle w:val="PlainText"/>
        <w:spacing w:before="120" w:line="360" w:lineRule="auto"/>
        <w:jc w:val="center"/>
        <w:rPr>
          <w:rFonts w:ascii="Times New Roman" w:hAnsi="Times New Roman"/>
          <w:b/>
          <w:bCs/>
          <w:szCs w:val="24"/>
          <w:u w:val="single"/>
        </w:rPr>
      </w:pPr>
      <w:r w:rsidRPr="008E170B">
        <w:rPr>
          <w:rFonts w:ascii="Times New Roman" w:hAnsi="Times New Roman"/>
          <w:b/>
          <w:bCs/>
          <w:szCs w:val="24"/>
          <w:u w:val="single"/>
        </w:rPr>
        <w:t>TABLE OF CONTENTS</w:t>
      </w:r>
    </w:p>
    <w:bookmarkStart w:id="3" w:name="SWHere"/>
    <w:bookmarkEnd w:id="3"/>
    <w:p w14:paraId="7B219D73" w14:textId="1821C92F" w:rsidR="00FA231A" w:rsidRDefault="00580390">
      <w:pPr>
        <w:pStyle w:val="TOC1"/>
        <w:rPr>
          <w:rFonts w:asciiTheme="minorHAnsi" w:eastAsiaTheme="minorEastAsia" w:hAnsiTheme="minorHAnsi" w:cstheme="minorBidi"/>
          <w:noProof/>
          <w:kern w:val="2"/>
          <w:sz w:val="24"/>
          <w:szCs w:val="24"/>
          <w14:ligatures w14:val="standardContextual"/>
        </w:rPr>
      </w:pPr>
      <w:r w:rsidRPr="00B25DA4">
        <w:rPr>
          <w:highlight w:val="yellow"/>
        </w:rPr>
        <w:fldChar w:fldCharType="begin"/>
      </w:r>
      <w:r w:rsidRPr="00B25DA4">
        <w:rPr>
          <w:highlight w:val="yellow"/>
        </w:rPr>
        <w:instrText xml:space="preserve"> TOC \o "2-3" \h \z \t "Heading 1,1" </w:instrText>
      </w:r>
      <w:r w:rsidRPr="00B25DA4">
        <w:rPr>
          <w:highlight w:val="yellow"/>
        </w:rPr>
        <w:fldChar w:fldCharType="separate"/>
      </w:r>
      <w:hyperlink w:anchor="_Toc197703457" w:history="1">
        <w:r w:rsidR="00FA231A" w:rsidRPr="00015D42">
          <w:rPr>
            <w:rStyle w:val="Hyperlink"/>
            <w:noProof/>
          </w:rPr>
          <w:t>1.</w:t>
        </w:r>
        <w:r w:rsidR="00FA231A">
          <w:rPr>
            <w:rFonts w:asciiTheme="minorHAnsi" w:eastAsiaTheme="minorEastAsia" w:hAnsiTheme="minorHAnsi" w:cstheme="minorBidi"/>
            <w:noProof/>
            <w:kern w:val="2"/>
            <w:sz w:val="24"/>
            <w:szCs w:val="24"/>
            <w14:ligatures w14:val="standardContextual"/>
          </w:rPr>
          <w:tab/>
        </w:r>
        <w:r w:rsidR="00FA231A" w:rsidRPr="00015D42">
          <w:rPr>
            <w:rStyle w:val="Hyperlink"/>
            <w:noProof/>
          </w:rPr>
          <w:t>Executive Summary</w:t>
        </w:r>
        <w:r w:rsidR="00FA231A">
          <w:rPr>
            <w:noProof/>
            <w:webHidden/>
          </w:rPr>
          <w:tab/>
        </w:r>
        <w:r w:rsidR="00FA231A">
          <w:rPr>
            <w:noProof/>
            <w:webHidden/>
          </w:rPr>
          <w:fldChar w:fldCharType="begin"/>
        </w:r>
        <w:r w:rsidR="00FA231A">
          <w:rPr>
            <w:noProof/>
            <w:webHidden/>
          </w:rPr>
          <w:instrText xml:space="preserve"> PAGEREF _Toc197703457 \h </w:instrText>
        </w:r>
        <w:r w:rsidR="00FA231A">
          <w:rPr>
            <w:noProof/>
            <w:webHidden/>
          </w:rPr>
        </w:r>
        <w:r w:rsidR="00FA231A">
          <w:rPr>
            <w:noProof/>
            <w:webHidden/>
          </w:rPr>
          <w:fldChar w:fldCharType="separate"/>
        </w:r>
        <w:r w:rsidR="002D0CBC">
          <w:rPr>
            <w:noProof/>
            <w:webHidden/>
          </w:rPr>
          <w:t>1</w:t>
        </w:r>
        <w:r w:rsidR="00FA231A">
          <w:rPr>
            <w:noProof/>
            <w:webHidden/>
          </w:rPr>
          <w:fldChar w:fldCharType="end"/>
        </w:r>
      </w:hyperlink>
    </w:p>
    <w:p w14:paraId="53A23EC2" w14:textId="0B2DE5E5"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58" w:history="1">
        <w:r w:rsidRPr="00015D42">
          <w:rPr>
            <w:rStyle w:val="Hyperlink"/>
            <w:noProof/>
          </w:rPr>
          <w:t>1.1</w:t>
        </w:r>
        <w:r>
          <w:rPr>
            <w:rFonts w:asciiTheme="minorHAnsi" w:eastAsiaTheme="minorEastAsia" w:hAnsiTheme="minorHAnsi" w:cstheme="minorBidi"/>
            <w:noProof/>
            <w:kern w:val="2"/>
            <w:sz w:val="24"/>
            <w:szCs w:val="24"/>
            <w14:ligatures w14:val="standardContextual"/>
          </w:rPr>
          <w:tab/>
        </w:r>
        <w:r w:rsidRPr="00015D42">
          <w:rPr>
            <w:rStyle w:val="Hyperlink"/>
            <w:noProof/>
          </w:rPr>
          <w:t>Certification of Resources</w:t>
        </w:r>
        <w:r>
          <w:rPr>
            <w:noProof/>
            <w:webHidden/>
          </w:rPr>
          <w:tab/>
        </w:r>
        <w:r>
          <w:rPr>
            <w:noProof/>
            <w:webHidden/>
          </w:rPr>
          <w:fldChar w:fldCharType="begin"/>
        </w:r>
        <w:r>
          <w:rPr>
            <w:noProof/>
            <w:webHidden/>
          </w:rPr>
          <w:instrText xml:space="preserve"> PAGEREF _Toc197703458 \h </w:instrText>
        </w:r>
        <w:r>
          <w:rPr>
            <w:noProof/>
            <w:webHidden/>
          </w:rPr>
        </w:r>
        <w:r>
          <w:rPr>
            <w:noProof/>
            <w:webHidden/>
          </w:rPr>
          <w:fldChar w:fldCharType="separate"/>
        </w:r>
        <w:r w:rsidR="002D0CBC">
          <w:rPr>
            <w:noProof/>
            <w:webHidden/>
          </w:rPr>
          <w:t>1</w:t>
        </w:r>
        <w:r>
          <w:rPr>
            <w:noProof/>
            <w:webHidden/>
          </w:rPr>
          <w:fldChar w:fldCharType="end"/>
        </w:r>
      </w:hyperlink>
    </w:p>
    <w:p w14:paraId="124E8D98" w14:textId="7893C24F"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59" w:history="1">
        <w:r w:rsidRPr="00015D42">
          <w:rPr>
            <w:rStyle w:val="Hyperlink"/>
            <w:noProof/>
          </w:rPr>
          <w:t>1.2</w:t>
        </w:r>
        <w:r>
          <w:rPr>
            <w:rFonts w:asciiTheme="minorHAnsi" w:eastAsiaTheme="minorEastAsia" w:hAnsiTheme="minorHAnsi" w:cstheme="minorBidi"/>
            <w:noProof/>
            <w:kern w:val="2"/>
            <w:sz w:val="24"/>
            <w:szCs w:val="24"/>
            <w14:ligatures w14:val="standardContextual"/>
          </w:rPr>
          <w:tab/>
        </w:r>
        <w:r w:rsidRPr="00015D42">
          <w:rPr>
            <w:rStyle w:val="Hyperlink"/>
            <w:noProof/>
          </w:rPr>
          <w:t>Twiggs County BESS Project</w:t>
        </w:r>
        <w:r>
          <w:rPr>
            <w:noProof/>
            <w:webHidden/>
          </w:rPr>
          <w:tab/>
        </w:r>
        <w:r>
          <w:rPr>
            <w:noProof/>
            <w:webHidden/>
          </w:rPr>
          <w:fldChar w:fldCharType="begin"/>
        </w:r>
        <w:r>
          <w:rPr>
            <w:noProof/>
            <w:webHidden/>
          </w:rPr>
          <w:instrText xml:space="preserve"> PAGEREF _Toc197703459 \h </w:instrText>
        </w:r>
        <w:r>
          <w:rPr>
            <w:noProof/>
            <w:webHidden/>
          </w:rPr>
        </w:r>
        <w:r>
          <w:rPr>
            <w:noProof/>
            <w:webHidden/>
          </w:rPr>
          <w:fldChar w:fldCharType="separate"/>
        </w:r>
        <w:r w:rsidR="002D0CBC">
          <w:rPr>
            <w:noProof/>
            <w:webHidden/>
          </w:rPr>
          <w:t>1</w:t>
        </w:r>
        <w:r>
          <w:rPr>
            <w:noProof/>
            <w:webHidden/>
          </w:rPr>
          <w:fldChar w:fldCharType="end"/>
        </w:r>
      </w:hyperlink>
    </w:p>
    <w:p w14:paraId="6A9AB005" w14:textId="228A076D" w:rsidR="00FA231A" w:rsidRDefault="00FA231A">
      <w:pPr>
        <w:pStyle w:val="TOC1"/>
        <w:rPr>
          <w:rFonts w:asciiTheme="minorHAnsi" w:eastAsiaTheme="minorEastAsia" w:hAnsiTheme="minorHAnsi" w:cstheme="minorBidi"/>
          <w:noProof/>
          <w:kern w:val="2"/>
          <w:sz w:val="24"/>
          <w:szCs w:val="24"/>
          <w14:ligatures w14:val="standardContextual"/>
        </w:rPr>
      </w:pPr>
      <w:hyperlink w:anchor="_Toc197703460" w:history="1">
        <w:r w:rsidRPr="00015D42">
          <w:rPr>
            <w:rStyle w:val="Hyperlink"/>
            <w:noProof/>
          </w:rPr>
          <w:t>2.</w:t>
        </w:r>
        <w:r>
          <w:rPr>
            <w:rFonts w:asciiTheme="minorHAnsi" w:eastAsiaTheme="minorEastAsia" w:hAnsiTheme="minorHAnsi" w:cstheme="minorBidi"/>
            <w:noProof/>
            <w:kern w:val="2"/>
            <w:sz w:val="24"/>
            <w:szCs w:val="24"/>
            <w14:ligatures w14:val="standardContextual"/>
          </w:rPr>
          <w:tab/>
        </w:r>
        <w:r w:rsidRPr="00015D42">
          <w:rPr>
            <w:rStyle w:val="Hyperlink"/>
            <w:noProof/>
          </w:rPr>
          <w:t>Issuance of Winter 27_28 BESS RFP</w:t>
        </w:r>
        <w:r>
          <w:rPr>
            <w:noProof/>
            <w:webHidden/>
          </w:rPr>
          <w:tab/>
        </w:r>
        <w:r>
          <w:rPr>
            <w:noProof/>
            <w:webHidden/>
          </w:rPr>
          <w:fldChar w:fldCharType="begin"/>
        </w:r>
        <w:r>
          <w:rPr>
            <w:noProof/>
            <w:webHidden/>
          </w:rPr>
          <w:instrText xml:space="preserve"> PAGEREF _Toc197703460 \h </w:instrText>
        </w:r>
        <w:r>
          <w:rPr>
            <w:noProof/>
            <w:webHidden/>
          </w:rPr>
        </w:r>
        <w:r>
          <w:rPr>
            <w:noProof/>
            <w:webHidden/>
          </w:rPr>
          <w:fldChar w:fldCharType="separate"/>
        </w:r>
        <w:r w:rsidR="002D0CBC">
          <w:rPr>
            <w:noProof/>
            <w:webHidden/>
          </w:rPr>
          <w:t>2</w:t>
        </w:r>
        <w:r>
          <w:rPr>
            <w:noProof/>
            <w:webHidden/>
          </w:rPr>
          <w:fldChar w:fldCharType="end"/>
        </w:r>
      </w:hyperlink>
    </w:p>
    <w:p w14:paraId="4B5FABAC" w14:textId="0605E5D7" w:rsidR="00FA231A" w:rsidRDefault="00FA231A">
      <w:pPr>
        <w:pStyle w:val="TOC1"/>
        <w:rPr>
          <w:rFonts w:asciiTheme="minorHAnsi" w:eastAsiaTheme="minorEastAsia" w:hAnsiTheme="minorHAnsi" w:cstheme="minorBidi"/>
          <w:noProof/>
          <w:kern w:val="2"/>
          <w:sz w:val="24"/>
          <w:szCs w:val="24"/>
          <w14:ligatures w14:val="standardContextual"/>
        </w:rPr>
      </w:pPr>
      <w:hyperlink w:anchor="_Toc197703461" w:history="1">
        <w:r w:rsidRPr="00015D42">
          <w:rPr>
            <w:rStyle w:val="Hyperlink"/>
            <w:noProof/>
          </w:rPr>
          <w:t>3.</w:t>
        </w:r>
        <w:r>
          <w:rPr>
            <w:rFonts w:asciiTheme="minorHAnsi" w:eastAsiaTheme="minorEastAsia" w:hAnsiTheme="minorHAnsi" w:cstheme="minorBidi"/>
            <w:noProof/>
            <w:kern w:val="2"/>
            <w:sz w:val="24"/>
            <w:szCs w:val="24"/>
            <w14:ligatures w14:val="standardContextual"/>
          </w:rPr>
          <w:tab/>
        </w:r>
        <w:r w:rsidRPr="00015D42">
          <w:rPr>
            <w:rStyle w:val="Hyperlink"/>
            <w:noProof/>
          </w:rPr>
          <w:t>Bid Evaluation</w:t>
        </w:r>
        <w:r>
          <w:rPr>
            <w:noProof/>
            <w:webHidden/>
          </w:rPr>
          <w:tab/>
        </w:r>
        <w:r>
          <w:rPr>
            <w:noProof/>
            <w:webHidden/>
          </w:rPr>
          <w:fldChar w:fldCharType="begin"/>
        </w:r>
        <w:r>
          <w:rPr>
            <w:noProof/>
            <w:webHidden/>
          </w:rPr>
          <w:instrText xml:space="preserve"> PAGEREF _Toc197703461 \h </w:instrText>
        </w:r>
        <w:r>
          <w:rPr>
            <w:noProof/>
            <w:webHidden/>
          </w:rPr>
        </w:r>
        <w:r>
          <w:rPr>
            <w:noProof/>
            <w:webHidden/>
          </w:rPr>
          <w:fldChar w:fldCharType="separate"/>
        </w:r>
        <w:r w:rsidR="002D0CBC">
          <w:rPr>
            <w:noProof/>
            <w:webHidden/>
          </w:rPr>
          <w:t>3</w:t>
        </w:r>
        <w:r>
          <w:rPr>
            <w:noProof/>
            <w:webHidden/>
          </w:rPr>
          <w:fldChar w:fldCharType="end"/>
        </w:r>
      </w:hyperlink>
    </w:p>
    <w:p w14:paraId="3049C8FE" w14:textId="15E5A7D8" w:rsidR="00FA231A" w:rsidRDefault="00FA231A">
      <w:pPr>
        <w:pStyle w:val="TOC1"/>
        <w:rPr>
          <w:rFonts w:asciiTheme="minorHAnsi" w:eastAsiaTheme="minorEastAsia" w:hAnsiTheme="minorHAnsi" w:cstheme="minorBidi"/>
          <w:noProof/>
          <w:kern w:val="2"/>
          <w:sz w:val="24"/>
          <w:szCs w:val="24"/>
          <w14:ligatures w14:val="standardContextual"/>
        </w:rPr>
      </w:pPr>
      <w:hyperlink w:anchor="_Toc197703462" w:history="1">
        <w:r w:rsidRPr="00015D42">
          <w:rPr>
            <w:rStyle w:val="Hyperlink"/>
            <w:noProof/>
          </w:rPr>
          <w:t>4.</w:t>
        </w:r>
        <w:r>
          <w:rPr>
            <w:rFonts w:asciiTheme="minorHAnsi" w:eastAsiaTheme="minorEastAsia" w:hAnsiTheme="minorHAnsi" w:cstheme="minorBidi"/>
            <w:noProof/>
            <w:kern w:val="2"/>
            <w:sz w:val="24"/>
            <w:szCs w:val="24"/>
            <w14:ligatures w14:val="standardContextual"/>
          </w:rPr>
          <w:tab/>
        </w:r>
        <w:r w:rsidRPr="00015D42">
          <w:rPr>
            <w:rStyle w:val="Hyperlink"/>
            <w:noProof/>
          </w:rPr>
          <w:t>Twiggs County BESS (200 MW) Construction Information</w:t>
        </w:r>
        <w:r>
          <w:rPr>
            <w:noProof/>
            <w:webHidden/>
          </w:rPr>
          <w:tab/>
        </w:r>
        <w:r>
          <w:rPr>
            <w:noProof/>
            <w:webHidden/>
          </w:rPr>
          <w:fldChar w:fldCharType="begin"/>
        </w:r>
        <w:r>
          <w:rPr>
            <w:noProof/>
            <w:webHidden/>
          </w:rPr>
          <w:instrText xml:space="preserve"> PAGEREF _Toc197703462 \h </w:instrText>
        </w:r>
        <w:r>
          <w:rPr>
            <w:noProof/>
            <w:webHidden/>
          </w:rPr>
        </w:r>
        <w:r>
          <w:rPr>
            <w:noProof/>
            <w:webHidden/>
          </w:rPr>
          <w:fldChar w:fldCharType="separate"/>
        </w:r>
        <w:r w:rsidR="002D0CBC">
          <w:rPr>
            <w:noProof/>
            <w:webHidden/>
          </w:rPr>
          <w:t>4</w:t>
        </w:r>
        <w:r>
          <w:rPr>
            <w:noProof/>
            <w:webHidden/>
          </w:rPr>
          <w:fldChar w:fldCharType="end"/>
        </w:r>
      </w:hyperlink>
    </w:p>
    <w:p w14:paraId="19B07425" w14:textId="05D05221"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3" w:history="1">
        <w:r w:rsidRPr="00015D42">
          <w:rPr>
            <w:rStyle w:val="Hyperlink"/>
            <w:noProof/>
          </w:rPr>
          <w:t>4.1</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Cost-Benefit Analysis</w:t>
        </w:r>
        <w:r>
          <w:rPr>
            <w:noProof/>
            <w:webHidden/>
          </w:rPr>
          <w:tab/>
        </w:r>
        <w:r>
          <w:rPr>
            <w:noProof/>
            <w:webHidden/>
          </w:rPr>
          <w:fldChar w:fldCharType="begin"/>
        </w:r>
        <w:r>
          <w:rPr>
            <w:noProof/>
            <w:webHidden/>
          </w:rPr>
          <w:instrText xml:space="preserve"> PAGEREF _Toc197703463 \h </w:instrText>
        </w:r>
        <w:r>
          <w:rPr>
            <w:noProof/>
            <w:webHidden/>
          </w:rPr>
        </w:r>
        <w:r>
          <w:rPr>
            <w:noProof/>
            <w:webHidden/>
          </w:rPr>
          <w:fldChar w:fldCharType="separate"/>
        </w:r>
        <w:r w:rsidR="002D0CBC">
          <w:rPr>
            <w:noProof/>
            <w:webHidden/>
          </w:rPr>
          <w:t>4</w:t>
        </w:r>
        <w:r>
          <w:rPr>
            <w:noProof/>
            <w:webHidden/>
          </w:rPr>
          <w:fldChar w:fldCharType="end"/>
        </w:r>
      </w:hyperlink>
    </w:p>
    <w:p w14:paraId="216467F1" w14:textId="179EF6BF"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4" w:history="1">
        <w:r w:rsidRPr="00015D42">
          <w:rPr>
            <w:rStyle w:val="Hyperlink"/>
            <w:noProof/>
          </w:rPr>
          <w:t>4.2</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Site Selection Analysis</w:t>
        </w:r>
        <w:r>
          <w:rPr>
            <w:noProof/>
            <w:webHidden/>
          </w:rPr>
          <w:tab/>
        </w:r>
        <w:r>
          <w:rPr>
            <w:noProof/>
            <w:webHidden/>
          </w:rPr>
          <w:fldChar w:fldCharType="begin"/>
        </w:r>
        <w:r>
          <w:rPr>
            <w:noProof/>
            <w:webHidden/>
          </w:rPr>
          <w:instrText xml:space="preserve"> PAGEREF _Toc197703464 \h </w:instrText>
        </w:r>
        <w:r>
          <w:rPr>
            <w:noProof/>
            <w:webHidden/>
          </w:rPr>
        </w:r>
        <w:r>
          <w:rPr>
            <w:noProof/>
            <w:webHidden/>
          </w:rPr>
          <w:fldChar w:fldCharType="separate"/>
        </w:r>
        <w:r w:rsidR="002D0CBC">
          <w:rPr>
            <w:noProof/>
            <w:webHidden/>
          </w:rPr>
          <w:t>5</w:t>
        </w:r>
        <w:r>
          <w:rPr>
            <w:noProof/>
            <w:webHidden/>
          </w:rPr>
          <w:fldChar w:fldCharType="end"/>
        </w:r>
      </w:hyperlink>
    </w:p>
    <w:p w14:paraId="23F43A61" w14:textId="0C7683B6"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5" w:history="1">
        <w:r w:rsidRPr="00015D42">
          <w:rPr>
            <w:rStyle w:val="Hyperlink"/>
            <w:noProof/>
          </w:rPr>
          <w:t>4.3</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Fuel Use</w:t>
        </w:r>
        <w:r>
          <w:rPr>
            <w:noProof/>
            <w:webHidden/>
          </w:rPr>
          <w:tab/>
        </w:r>
        <w:r>
          <w:rPr>
            <w:noProof/>
            <w:webHidden/>
          </w:rPr>
          <w:fldChar w:fldCharType="begin"/>
        </w:r>
        <w:r>
          <w:rPr>
            <w:noProof/>
            <w:webHidden/>
          </w:rPr>
          <w:instrText xml:space="preserve"> PAGEREF _Toc197703465 \h </w:instrText>
        </w:r>
        <w:r>
          <w:rPr>
            <w:noProof/>
            <w:webHidden/>
          </w:rPr>
        </w:r>
        <w:r>
          <w:rPr>
            <w:noProof/>
            <w:webHidden/>
          </w:rPr>
          <w:fldChar w:fldCharType="separate"/>
        </w:r>
        <w:r w:rsidR="002D0CBC">
          <w:rPr>
            <w:noProof/>
            <w:webHidden/>
          </w:rPr>
          <w:t>5</w:t>
        </w:r>
        <w:r>
          <w:rPr>
            <w:noProof/>
            <w:webHidden/>
          </w:rPr>
          <w:fldChar w:fldCharType="end"/>
        </w:r>
      </w:hyperlink>
    </w:p>
    <w:p w14:paraId="6B706D0F" w14:textId="6CFB4209"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6" w:history="1">
        <w:r w:rsidRPr="00015D42">
          <w:rPr>
            <w:rStyle w:val="Hyperlink"/>
            <w:noProof/>
          </w:rPr>
          <w:t>4.4</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Estimated Annual Costs</w:t>
        </w:r>
        <w:r>
          <w:rPr>
            <w:noProof/>
            <w:webHidden/>
          </w:rPr>
          <w:tab/>
        </w:r>
        <w:r>
          <w:rPr>
            <w:noProof/>
            <w:webHidden/>
          </w:rPr>
          <w:fldChar w:fldCharType="begin"/>
        </w:r>
        <w:r>
          <w:rPr>
            <w:noProof/>
            <w:webHidden/>
          </w:rPr>
          <w:instrText xml:space="preserve"> PAGEREF _Toc197703466 \h </w:instrText>
        </w:r>
        <w:r>
          <w:rPr>
            <w:noProof/>
            <w:webHidden/>
          </w:rPr>
        </w:r>
        <w:r>
          <w:rPr>
            <w:noProof/>
            <w:webHidden/>
          </w:rPr>
          <w:fldChar w:fldCharType="separate"/>
        </w:r>
        <w:r w:rsidR="002D0CBC">
          <w:rPr>
            <w:noProof/>
            <w:webHidden/>
          </w:rPr>
          <w:t>6</w:t>
        </w:r>
        <w:r>
          <w:rPr>
            <w:noProof/>
            <w:webHidden/>
          </w:rPr>
          <w:fldChar w:fldCharType="end"/>
        </w:r>
      </w:hyperlink>
    </w:p>
    <w:p w14:paraId="5314BFC6" w14:textId="5B7E6977"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7" w:history="1">
        <w:r w:rsidRPr="00015D42">
          <w:rPr>
            <w:rStyle w:val="Hyperlink"/>
            <w:noProof/>
          </w:rPr>
          <w:t>4.5</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Estimated Annual Variable Costs and Operational Data</w:t>
        </w:r>
        <w:r>
          <w:rPr>
            <w:noProof/>
            <w:webHidden/>
          </w:rPr>
          <w:tab/>
        </w:r>
        <w:r>
          <w:rPr>
            <w:noProof/>
            <w:webHidden/>
          </w:rPr>
          <w:fldChar w:fldCharType="begin"/>
        </w:r>
        <w:r>
          <w:rPr>
            <w:noProof/>
            <w:webHidden/>
          </w:rPr>
          <w:instrText xml:space="preserve"> PAGEREF _Toc197703467 \h </w:instrText>
        </w:r>
        <w:r>
          <w:rPr>
            <w:noProof/>
            <w:webHidden/>
          </w:rPr>
        </w:r>
        <w:r>
          <w:rPr>
            <w:noProof/>
            <w:webHidden/>
          </w:rPr>
          <w:fldChar w:fldCharType="separate"/>
        </w:r>
        <w:r w:rsidR="002D0CBC">
          <w:rPr>
            <w:noProof/>
            <w:webHidden/>
          </w:rPr>
          <w:t>6</w:t>
        </w:r>
        <w:r>
          <w:rPr>
            <w:noProof/>
            <w:webHidden/>
          </w:rPr>
          <w:fldChar w:fldCharType="end"/>
        </w:r>
      </w:hyperlink>
    </w:p>
    <w:p w14:paraId="5E0DFB59" w14:textId="04B7FF6C"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8" w:history="1">
        <w:r w:rsidRPr="00015D42">
          <w:rPr>
            <w:rStyle w:val="Hyperlink"/>
            <w:noProof/>
          </w:rPr>
          <w:t>4.6</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Rates of Escalation of Cost</w:t>
        </w:r>
        <w:r>
          <w:rPr>
            <w:noProof/>
            <w:webHidden/>
          </w:rPr>
          <w:tab/>
        </w:r>
        <w:r>
          <w:rPr>
            <w:noProof/>
            <w:webHidden/>
          </w:rPr>
          <w:fldChar w:fldCharType="begin"/>
        </w:r>
        <w:r>
          <w:rPr>
            <w:noProof/>
            <w:webHidden/>
          </w:rPr>
          <w:instrText xml:space="preserve"> PAGEREF _Toc197703468 \h </w:instrText>
        </w:r>
        <w:r>
          <w:rPr>
            <w:noProof/>
            <w:webHidden/>
          </w:rPr>
        </w:r>
        <w:r>
          <w:rPr>
            <w:noProof/>
            <w:webHidden/>
          </w:rPr>
          <w:fldChar w:fldCharType="separate"/>
        </w:r>
        <w:r w:rsidR="002D0CBC">
          <w:rPr>
            <w:noProof/>
            <w:webHidden/>
          </w:rPr>
          <w:t>7</w:t>
        </w:r>
        <w:r>
          <w:rPr>
            <w:noProof/>
            <w:webHidden/>
          </w:rPr>
          <w:fldChar w:fldCharType="end"/>
        </w:r>
      </w:hyperlink>
    </w:p>
    <w:p w14:paraId="59707F2A" w14:textId="091ABDBE"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69" w:history="1">
        <w:r w:rsidRPr="00015D42">
          <w:rPr>
            <w:rStyle w:val="Hyperlink"/>
            <w:noProof/>
          </w:rPr>
          <w:t>4.7</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Total Estimated Annual Average Cost per kWh</w:t>
        </w:r>
        <w:r>
          <w:rPr>
            <w:noProof/>
            <w:webHidden/>
          </w:rPr>
          <w:tab/>
        </w:r>
        <w:r>
          <w:rPr>
            <w:noProof/>
            <w:webHidden/>
          </w:rPr>
          <w:fldChar w:fldCharType="begin"/>
        </w:r>
        <w:r>
          <w:rPr>
            <w:noProof/>
            <w:webHidden/>
          </w:rPr>
          <w:instrText xml:space="preserve"> PAGEREF _Toc197703469 \h </w:instrText>
        </w:r>
        <w:r>
          <w:rPr>
            <w:noProof/>
            <w:webHidden/>
          </w:rPr>
        </w:r>
        <w:r>
          <w:rPr>
            <w:noProof/>
            <w:webHidden/>
          </w:rPr>
          <w:fldChar w:fldCharType="separate"/>
        </w:r>
        <w:r w:rsidR="002D0CBC">
          <w:rPr>
            <w:noProof/>
            <w:webHidden/>
          </w:rPr>
          <w:t>7</w:t>
        </w:r>
        <w:r>
          <w:rPr>
            <w:noProof/>
            <w:webHidden/>
          </w:rPr>
          <w:fldChar w:fldCharType="end"/>
        </w:r>
      </w:hyperlink>
    </w:p>
    <w:p w14:paraId="4BCB556F" w14:textId="7E63474E"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0" w:history="1">
        <w:r w:rsidRPr="00015D42">
          <w:rPr>
            <w:rStyle w:val="Hyperlink"/>
            <w:noProof/>
          </w:rPr>
          <w:t>4.8</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Equivalent Availability Factors</w:t>
        </w:r>
        <w:r>
          <w:rPr>
            <w:noProof/>
            <w:webHidden/>
          </w:rPr>
          <w:tab/>
        </w:r>
        <w:r>
          <w:rPr>
            <w:noProof/>
            <w:webHidden/>
          </w:rPr>
          <w:fldChar w:fldCharType="begin"/>
        </w:r>
        <w:r>
          <w:rPr>
            <w:noProof/>
            <w:webHidden/>
          </w:rPr>
          <w:instrText xml:space="preserve"> PAGEREF _Toc197703470 \h </w:instrText>
        </w:r>
        <w:r>
          <w:rPr>
            <w:noProof/>
            <w:webHidden/>
          </w:rPr>
        </w:r>
        <w:r>
          <w:rPr>
            <w:noProof/>
            <w:webHidden/>
          </w:rPr>
          <w:fldChar w:fldCharType="separate"/>
        </w:r>
        <w:r w:rsidR="002D0CBC">
          <w:rPr>
            <w:noProof/>
            <w:webHidden/>
          </w:rPr>
          <w:t>7</w:t>
        </w:r>
        <w:r>
          <w:rPr>
            <w:noProof/>
            <w:webHidden/>
          </w:rPr>
          <w:fldChar w:fldCharType="end"/>
        </w:r>
      </w:hyperlink>
    </w:p>
    <w:p w14:paraId="529961BC" w14:textId="1ABD0FBB"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1" w:history="1">
        <w:r w:rsidRPr="00015D42">
          <w:rPr>
            <w:rStyle w:val="Hyperlink"/>
            <w:noProof/>
          </w:rPr>
          <w:t>4.9</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Capacity Factors and Duty Cycle</w:t>
        </w:r>
        <w:r>
          <w:rPr>
            <w:noProof/>
            <w:webHidden/>
          </w:rPr>
          <w:tab/>
        </w:r>
        <w:r>
          <w:rPr>
            <w:noProof/>
            <w:webHidden/>
          </w:rPr>
          <w:fldChar w:fldCharType="begin"/>
        </w:r>
        <w:r>
          <w:rPr>
            <w:noProof/>
            <w:webHidden/>
          </w:rPr>
          <w:instrText xml:space="preserve"> PAGEREF _Toc197703471 \h </w:instrText>
        </w:r>
        <w:r>
          <w:rPr>
            <w:noProof/>
            <w:webHidden/>
          </w:rPr>
        </w:r>
        <w:r>
          <w:rPr>
            <w:noProof/>
            <w:webHidden/>
          </w:rPr>
          <w:fldChar w:fldCharType="separate"/>
        </w:r>
        <w:r w:rsidR="002D0CBC">
          <w:rPr>
            <w:noProof/>
            <w:webHidden/>
          </w:rPr>
          <w:t>7</w:t>
        </w:r>
        <w:r>
          <w:rPr>
            <w:noProof/>
            <w:webHidden/>
          </w:rPr>
          <w:fldChar w:fldCharType="end"/>
        </w:r>
      </w:hyperlink>
    </w:p>
    <w:p w14:paraId="61473E0A" w14:textId="4A7F4BAF"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2" w:history="1">
        <w:r w:rsidRPr="00015D42">
          <w:rPr>
            <w:rStyle w:val="Hyperlink"/>
            <w:noProof/>
          </w:rPr>
          <w:t>4.10</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Efficiency</w:t>
        </w:r>
        <w:r>
          <w:rPr>
            <w:noProof/>
            <w:webHidden/>
          </w:rPr>
          <w:tab/>
        </w:r>
        <w:r>
          <w:rPr>
            <w:noProof/>
            <w:webHidden/>
          </w:rPr>
          <w:fldChar w:fldCharType="begin"/>
        </w:r>
        <w:r>
          <w:rPr>
            <w:noProof/>
            <w:webHidden/>
          </w:rPr>
          <w:instrText xml:space="preserve"> PAGEREF _Toc197703472 \h </w:instrText>
        </w:r>
        <w:r>
          <w:rPr>
            <w:noProof/>
            <w:webHidden/>
          </w:rPr>
        </w:r>
        <w:r>
          <w:rPr>
            <w:noProof/>
            <w:webHidden/>
          </w:rPr>
          <w:fldChar w:fldCharType="separate"/>
        </w:r>
        <w:r w:rsidR="002D0CBC">
          <w:rPr>
            <w:noProof/>
            <w:webHidden/>
          </w:rPr>
          <w:t>7</w:t>
        </w:r>
        <w:r>
          <w:rPr>
            <w:noProof/>
            <w:webHidden/>
          </w:rPr>
          <w:fldChar w:fldCharType="end"/>
        </w:r>
      </w:hyperlink>
    </w:p>
    <w:p w14:paraId="0523F02F" w14:textId="323520E6"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3" w:history="1">
        <w:r w:rsidRPr="00015D42">
          <w:rPr>
            <w:rStyle w:val="Hyperlink"/>
            <w:noProof/>
          </w:rPr>
          <w:t>4.11</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Unit Lifetime</w:t>
        </w:r>
        <w:r>
          <w:rPr>
            <w:noProof/>
            <w:webHidden/>
          </w:rPr>
          <w:tab/>
        </w:r>
        <w:r>
          <w:rPr>
            <w:noProof/>
            <w:webHidden/>
          </w:rPr>
          <w:fldChar w:fldCharType="begin"/>
        </w:r>
        <w:r>
          <w:rPr>
            <w:noProof/>
            <w:webHidden/>
          </w:rPr>
          <w:instrText xml:space="preserve"> PAGEREF _Toc197703473 \h </w:instrText>
        </w:r>
        <w:r>
          <w:rPr>
            <w:noProof/>
            <w:webHidden/>
          </w:rPr>
        </w:r>
        <w:r>
          <w:rPr>
            <w:noProof/>
            <w:webHidden/>
          </w:rPr>
          <w:fldChar w:fldCharType="separate"/>
        </w:r>
        <w:r w:rsidR="002D0CBC">
          <w:rPr>
            <w:noProof/>
            <w:webHidden/>
          </w:rPr>
          <w:t>7</w:t>
        </w:r>
        <w:r>
          <w:rPr>
            <w:noProof/>
            <w:webHidden/>
          </w:rPr>
          <w:fldChar w:fldCharType="end"/>
        </w:r>
      </w:hyperlink>
    </w:p>
    <w:p w14:paraId="4EC1F9CA" w14:textId="0150136B"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4" w:history="1">
        <w:r w:rsidRPr="00015D42">
          <w:rPr>
            <w:rStyle w:val="Hyperlink"/>
            <w:noProof/>
          </w:rPr>
          <w:t>4.12</w:t>
        </w:r>
        <w:r>
          <w:rPr>
            <w:rFonts w:asciiTheme="minorHAnsi" w:eastAsiaTheme="minorEastAsia" w:hAnsiTheme="minorHAnsi" w:cstheme="minorBidi"/>
            <w:noProof/>
            <w:kern w:val="2"/>
            <w:sz w:val="24"/>
            <w:szCs w:val="24"/>
            <w14:ligatures w14:val="standardContextual"/>
          </w:rPr>
          <w:tab/>
        </w:r>
        <w:r w:rsidRPr="00015D42">
          <w:rPr>
            <w:rStyle w:val="Hyperlink"/>
            <w:noProof/>
          </w:rPr>
          <w:t>Estimated Environmental Impact</w:t>
        </w:r>
        <w:r>
          <w:rPr>
            <w:noProof/>
            <w:webHidden/>
          </w:rPr>
          <w:tab/>
        </w:r>
        <w:r>
          <w:rPr>
            <w:noProof/>
            <w:webHidden/>
          </w:rPr>
          <w:fldChar w:fldCharType="begin"/>
        </w:r>
        <w:r>
          <w:rPr>
            <w:noProof/>
            <w:webHidden/>
          </w:rPr>
          <w:instrText xml:space="preserve"> PAGEREF _Toc197703474 \h </w:instrText>
        </w:r>
        <w:r>
          <w:rPr>
            <w:noProof/>
            <w:webHidden/>
          </w:rPr>
        </w:r>
        <w:r>
          <w:rPr>
            <w:noProof/>
            <w:webHidden/>
          </w:rPr>
          <w:fldChar w:fldCharType="separate"/>
        </w:r>
        <w:r w:rsidR="002D0CBC">
          <w:rPr>
            <w:noProof/>
            <w:webHidden/>
          </w:rPr>
          <w:t>7</w:t>
        </w:r>
        <w:r>
          <w:rPr>
            <w:noProof/>
            <w:webHidden/>
          </w:rPr>
          <w:fldChar w:fldCharType="end"/>
        </w:r>
      </w:hyperlink>
    </w:p>
    <w:p w14:paraId="02989580" w14:textId="08D19C1B"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5" w:history="1">
        <w:r w:rsidRPr="00015D42">
          <w:rPr>
            <w:rStyle w:val="Hyperlink"/>
            <w:noProof/>
          </w:rPr>
          <w:t>4.13</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Lead Time</w:t>
        </w:r>
        <w:r>
          <w:rPr>
            <w:noProof/>
            <w:webHidden/>
          </w:rPr>
          <w:tab/>
        </w:r>
        <w:r>
          <w:rPr>
            <w:noProof/>
            <w:webHidden/>
          </w:rPr>
          <w:fldChar w:fldCharType="begin"/>
        </w:r>
        <w:r>
          <w:rPr>
            <w:noProof/>
            <w:webHidden/>
          </w:rPr>
          <w:instrText xml:space="preserve"> PAGEREF _Toc197703475 \h </w:instrText>
        </w:r>
        <w:r>
          <w:rPr>
            <w:noProof/>
            <w:webHidden/>
          </w:rPr>
        </w:r>
        <w:r>
          <w:rPr>
            <w:noProof/>
            <w:webHidden/>
          </w:rPr>
          <w:fldChar w:fldCharType="separate"/>
        </w:r>
        <w:r w:rsidR="002D0CBC">
          <w:rPr>
            <w:noProof/>
            <w:webHidden/>
          </w:rPr>
          <w:t>8</w:t>
        </w:r>
        <w:r>
          <w:rPr>
            <w:noProof/>
            <w:webHidden/>
          </w:rPr>
          <w:fldChar w:fldCharType="end"/>
        </w:r>
      </w:hyperlink>
    </w:p>
    <w:p w14:paraId="32ABFE2E" w14:textId="7FED02AB"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6" w:history="1">
        <w:r w:rsidRPr="00015D42">
          <w:rPr>
            <w:rStyle w:val="Hyperlink"/>
            <w:noProof/>
          </w:rPr>
          <w:t>4.14</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Potential Socioeconomic Impacts</w:t>
        </w:r>
        <w:r>
          <w:rPr>
            <w:noProof/>
            <w:webHidden/>
          </w:rPr>
          <w:tab/>
        </w:r>
        <w:r>
          <w:rPr>
            <w:noProof/>
            <w:webHidden/>
          </w:rPr>
          <w:fldChar w:fldCharType="begin"/>
        </w:r>
        <w:r>
          <w:rPr>
            <w:noProof/>
            <w:webHidden/>
          </w:rPr>
          <w:instrText xml:space="preserve"> PAGEREF _Toc197703476 \h </w:instrText>
        </w:r>
        <w:r>
          <w:rPr>
            <w:noProof/>
            <w:webHidden/>
          </w:rPr>
        </w:r>
        <w:r>
          <w:rPr>
            <w:noProof/>
            <w:webHidden/>
          </w:rPr>
          <w:fldChar w:fldCharType="separate"/>
        </w:r>
        <w:r w:rsidR="002D0CBC">
          <w:rPr>
            <w:noProof/>
            <w:webHidden/>
          </w:rPr>
          <w:t>8</w:t>
        </w:r>
        <w:r>
          <w:rPr>
            <w:noProof/>
            <w:webHidden/>
          </w:rPr>
          <w:fldChar w:fldCharType="end"/>
        </w:r>
      </w:hyperlink>
    </w:p>
    <w:p w14:paraId="0B430AC6" w14:textId="1B610BB3"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7" w:history="1">
        <w:r w:rsidRPr="00015D42">
          <w:rPr>
            <w:rStyle w:val="Hyperlink"/>
            <w:noProof/>
          </w:rPr>
          <w:t>4.15</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Special Design Feature</w:t>
        </w:r>
        <w:r>
          <w:rPr>
            <w:noProof/>
            <w:webHidden/>
          </w:rPr>
          <w:tab/>
        </w:r>
        <w:r>
          <w:rPr>
            <w:noProof/>
            <w:webHidden/>
          </w:rPr>
          <w:fldChar w:fldCharType="begin"/>
        </w:r>
        <w:r>
          <w:rPr>
            <w:noProof/>
            <w:webHidden/>
          </w:rPr>
          <w:instrText xml:space="preserve"> PAGEREF _Toc197703477 \h </w:instrText>
        </w:r>
        <w:r>
          <w:rPr>
            <w:noProof/>
            <w:webHidden/>
          </w:rPr>
        </w:r>
        <w:r>
          <w:rPr>
            <w:noProof/>
            <w:webHidden/>
          </w:rPr>
          <w:fldChar w:fldCharType="separate"/>
        </w:r>
        <w:r w:rsidR="002D0CBC">
          <w:rPr>
            <w:noProof/>
            <w:webHidden/>
          </w:rPr>
          <w:t>8</w:t>
        </w:r>
        <w:r>
          <w:rPr>
            <w:noProof/>
            <w:webHidden/>
          </w:rPr>
          <w:fldChar w:fldCharType="end"/>
        </w:r>
      </w:hyperlink>
    </w:p>
    <w:p w14:paraId="2601132A" w14:textId="2F519BCE"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8" w:history="1">
        <w:r w:rsidRPr="00015D42">
          <w:rPr>
            <w:rStyle w:val="Hyperlink"/>
            <w:noProof/>
          </w:rPr>
          <w:t>4.16</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Total Cost Estimate</w:t>
        </w:r>
        <w:r>
          <w:rPr>
            <w:noProof/>
            <w:webHidden/>
          </w:rPr>
          <w:tab/>
        </w:r>
        <w:r>
          <w:rPr>
            <w:noProof/>
            <w:webHidden/>
          </w:rPr>
          <w:fldChar w:fldCharType="begin"/>
        </w:r>
        <w:r>
          <w:rPr>
            <w:noProof/>
            <w:webHidden/>
          </w:rPr>
          <w:instrText xml:space="preserve"> PAGEREF _Toc197703478 \h </w:instrText>
        </w:r>
        <w:r>
          <w:rPr>
            <w:noProof/>
            <w:webHidden/>
          </w:rPr>
        </w:r>
        <w:r>
          <w:rPr>
            <w:noProof/>
            <w:webHidden/>
          </w:rPr>
          <w:fldChar w:fldCharType="separate"/>
        </w:r>
        <w:r w:rsidR="002D0CBC">
          <w:rPr>
            <w:noProof/>
            <w:webHidden/>
          </w:rPr>
          <w:t>9</w:t>
        </w:r>
        <w:r>
          <w:rPr>
            <w:noProof/>
            <w:webHidden/>
          </w:rPr>
          <w:fldChar w:fldCharType="end"/>
        </w:r>
      </w:hyperlink>
    </w:p>
    <w:p w14:paraId="124905CE" w14:textId="002E284E"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79" w:history="1">
        <w:r w:rsidRPr="00015D42">
          <w:rPr>
            <w:rStyle w:val="Hyperlink"/>
            <w:noProof/>
          </w:rPr>
          <w:t>4.17</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Major Contracts</w:t>
        </w:r>
        <w:r>
          <w:rPr>
            <w:noProof/>
            <w:webHidden/>
          </w:rPr>
          <w:tab/>
        </w:r>
        <w:r>
          <w:rPr>
            <w:noProof/>
            <w:webHidden/>
          </w:rPr>
          <w:fldChar w:fldCharType="begin"/>
        </w:r>
        <w:r>
          <w:rPr>
            <w:noProof/>
            <w:webHidden/>
          </w:rPr>
          <w:instrText xml:space="preserve"> PAGEREF _Toc197703479 \h </w:instrText>
        </w:r>
        <w:r>
          <w:rPr>
            <w:noProof/>
            <w:webHidden/>
          </w:rPr>
        </w:r>
        <w:r>
          <w:rPr>
            <w:noProof/>
            <w:webHidden/>
          </w:rPr>
          <w:fldChar w:fldCharType="separate"/>
        </w:r>
        <w:r w:rsidR="002D0CBC">
          <w:rPr>
            <w:noProof/>
            <w:webHidden/>
          </w:rPr>
          <w:t>10</w:t>
        </w:r>
        <w:r>
          <w:rPr>
            <w:noProof/>
            <w:webHidden/>
          </w:rPr>
          <w:fldChar w:fldCharType="end"/>
        </w:r>
      </w:hyperlink>
    </w:p>
    <w:p w14:paraId="1670779F" w14:textId="1EEFF9B9"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0" w:history="1">
        <w:r w:rsidRPr="00015D42">
          <w:rPr>
            <w:rStyle w:val="Hyperlink"/>
            <w:noProof/>
            <w:snapToGrid w:val="0"/>
          </w:rPr>
          <w:t>4.18</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Costs Associated with Construction</w:t>
        </w:r>
        <w:r>
          <w:rPr>
            <w:noProof/>
            <w:webHidden/>
          </w:rPr>
          <w:tab/>
        </w:r>
        <w:r>
          <w:rPr>
            <w:noProof/>
            <w:webHidden/>
          </w:rPr>
          <w:fldChar w:fldCharType="begin"/>
        </w:r>
        <w:r>
          <w:rPr>
            <w:noProof/>
            <w:webHidden/>
          </w:rPr>
          <w:instrText xml:space="preserve"> PAGEREF _Toc197703480 \h </w:instrText>
        </w:r>
        <w:r>
          <w:rPr>
            <w:noProof/>
            <w:webHidden/>
          </w:rPr>
        </w:r>
        <w:r>
          <w:rPr>
            <w:noProof/>
            <w:webHidden/>
          </w:rPr>
          <w:fldChar w:fldCharType="separate"/>
        </w:r>
        <w:r w:rsidR="002D0CBC">
          <w:rPr>
            <w:noProof/>
            <w:webHidden/>
          </w:rPr>
          <w:t>11</w:t>
        </w:r>
        <w:r>
          <w:rPr>
            <w:noProof/>
            <w:webHidden/>
          </w:rPr>
          <w:fldChar w:fldCharType="end"/>
        </w:r>
      </w:hyperlink>
    </w:p>
    <w:p w14:paraId="73A9C2AF" w14:textId="3A08459F"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1" w:history="1">
        <w:r w:rsidRPr="00015D42">
          <w:rPr>
            <w:rStyle w:val="Hyperlink"/>
            <w:noProof/>
          </w:rPr>
          <w:t>4.19</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Cost Comparison of Similar Projects</w:t>
        </w:r>
        <w:r>
          <w:rPr>
            <w:noProof/>
            <w:webHidden/>
          </w:rPr>
          <w:tab/>
        </w:r>
        <w:r>
          <w:rPr>
            <w:noProof/>
            <w:webHidden/>
          </w:rPr>
          <w:fldChar w:fldCharType="begin"/>
        </w:r>
        <w:r>
          <w:rPr>
            <w:noProof/>
            <w:webHidden/>
          </w:rPr>
          <w:instrText xml:space="preserve"> PAGEREF _Toc197703481 \h </w:instrText>
        </w:r>
        <w:r>
          <w:rPr>
            <w:noProof/>
            <w:webHidden/>
          </w:rPr>
        </w:r>
        <w:r>
          <w:rPr>
            <w:noProof/>
            <w:webHidden/>
          </w:rPr>
          <w:fldChar w:fldCharType="separate"/>
        </w:r>
        <w:r w:rsidR="002D0CBC">
          <w:rPr>
            <w:noProof/>
            <w:webHidden/>
          </w:rPr>
          <w:t>12</w:t>
        </w:r>
        <w:r>
          <w:rPr>
            <w:noProof/>
            <w:webHidden/>
          </w:rPr>
          <w:fldChar w:fldCharType="end"/>
        </w:r>
      </w:hyperlink>
    </w:p>
    <w:p w14:paraId="529EAF0E" w14:textId="0F492EFC"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2" w:history="1">
        <w:r w:rsidRPr="00015D42">
          <w:rPr>
            <w:rStyle w:val="Hyperlink"/>
            <w:noProof/>
          </w:rPr>
          <w:t>4.20</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Activities and Critical Path Schedules</w:t>
        </w:r>
        <w:r>
          <w:rPr>
            <w:noProof/>
            <w:webHidden/>
          </w:rPr>
          <w:tab/>
        </w:r>
        <w:r>
          <w:rPr>
            <w:noProof/>
            <w:webHidden/>
          </w:rPr>
          <w:fldChar w:fldCharType="begin"/>
        </w:r>
        <w:r>
          <w:rPr>
            <w:noProof/>
            <w:webHidden/>
          </w:rPr>
          <w:instrText xml:space="preserve"> PAGEREF _Toc197703482 \h </w:instrText>
        </w:r>
        <w:r>
          <w:rPr>
            <w:noProof/>
            <w:webHidden/>
          </w:rPr>
        </w:r>
        <w:r>
          <w:rPr>
            <w:noProof/>
            <w:webHidden/>
          </w:rPr>
          <w:fldChar w:fldCharType="separate"/>
        </w:r>
        <w:r w:rsidR="002D0CBC">
          <w:rPr>
            <w:noProof/>
            <w:webHidden/>
          </w:rPr>
          <w:t>12</w:t>
        </w:r>
        <w:r>
          <w:rPr>
            <w:noProof/>
            <w:webHidden/>
          </w:rPr>
          <w:fldChar w:fldCharType="end"/>
        </w:r>
      </w:hyperlink>
    </w:p>
    <w:p w14:paraId="2CAE931D" w14:textId="52361F56"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3" w:history="1">
        <w:r w:rsidRPr="00015D42">
          <w:rPr>
            <w:rStyle w:val="Hyperlink"/>
            <w:noProof/>
          </w:rPr>
          <w:t>4.21</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Lead Times for Major Procurement Items</w:t>
        </w:r>
        <w:r>
          <w:rPr>
            <w:noProof/>
            <w:webHidden/>
          </w:rPr>
          <w:tab/>
        </w:r>
        <w:r>
          <w:rPr>
            <w:noProof/>
            <w:webHidden/>
          </w:rPr>
          <w:fldChar w:fldCharType="begin"/>
        </w:r>
        <w:r>
          <w:rPr>
            <w:noProof/>
            <w:webHidden/>
          </w:rPr>
          <w:instrText xml:space="preserve"> PAGEREF _Toc197703483 \h </w:instrText>
        </w:r>
        <w:r>
          <w:rPr>
            <w:noProof/>
            <w:webHidden/>
          </w:rPr>
        </w:r>
        <w:r>
          <w:rPr>
            <w:noProof/>
            <w:webHidden/>
          </w:rPr>
          <w:fldChar w:fldCharType="separate"/>
        </w:r>
        <w:r w:rsidR="002D0CBC">
          <w:rPr>
            <w:noProof/>
            <w:webHidden/>
          </w:rPr>
          <w:t>12</w:t>
        </w:r>
        <w:r>
          <w:rPr>
            <w:noProof/>
            <w:webHidden/>
          </w:rPr>
          <w:fldChar w:fldCharType="end"/>
        </w:r>
      </w:hyperlink>
    </w:p>
    <w:p w14:paraId="404E9002" w14:textId="67F5B601"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4" w:history="1">
        <w:r w:rsidRPr="00015D42">
          <w:rPr>
            <w:rStyle w:val="Hyperlink"/>
            <w:noProof/>
          </w:rPr>
          <w:t>4.22</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Description of Legal Relationships</w:t>
        </w:r>
        <w:r>
          <w:rPr>
            <w:noProof/>
            <w:webHidden/>
          </w:rPr>
          <w:tab/>
        </w:r>
        <w:r>
          <w:rPr>
            <w:noProof/>
            <w:webHidden/>
          </w:rPr>
          <w:fldChar w:fldCharType="begin"/>
        </w:r>
        <w:r>
          <w:rPr>
            <w:noProof/>
            <w:webHidden/>
          </w:rPr>
          <w:instrText xml:space="preserve"> PAGEREF _Toc197703484 \h </w:instrText>
        </w:r>
        <w:r>
          <w:rPr>
            <w:noProof/>
            <w:webHidden/>
          </w:rPr>
        </w:r>
        <w:r>
          <w:rPr>
            <w:noProof/>
            <w:webHidden/>
          </w:rPr>
          <w:fldChar w:fldCharType="separate"/>
        </w:r>
        <w:r w:rsidR="002D0CBC">
          <w:rPr>
            <w:noProof/>
            <w:webHidden/>
          </w:rPr>
          <w:t>12</w:t>
        </w:r>
        <w:r>
          <w:rPr>
            <w:noProof/>
            <w:webHidden/>
          </w:rPr>
          <w:fldChar w:fldCharType="end"/>
        </w:r>
      </w:hyperlink>
    </w:p>
    <w:p w14:paraId="20F779B7" w14:textId="3358D181"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5" w:history="1">
        <w:r w:rsidRPr="00015D42">
          <w:rPr>
            <w:rStyle w:val="Hyperlink"/>
            <w:noProof/>
          </w:rPr>
          <w:t>4.23</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Other Information</w:t>
        </w:r>
        <w:r>
          <w:rPr>
            <w:noProof/>
            <w:webHidden/>
          </w:rPr>
          <w:tab/>
        </w:r>
        <w:r>
          <w:rPr>
            <w:noProof/>
            <w:webHidden/>
          </w:rPr>
          <w:fldChar w:fldCharType="begin"/>
        </w:r>
        <w:r>
          <w:rPr>
            <w:noProof/>
            <w:webHidden/>
          </w:rPr>
          <w:instrText xml:space="preserve"> PAGEREF _Toc197703485 \h </w:instrText>
        </w:r>
        <w:r>
          <w:rPr>
            <w:noProof/>
            <w:webHidden/>
          </w:rPr>
        </w:r>
        <w:r>
          <w:rPr>
            <w:noProof/>
            <w:webHidden/>
          </w:rPr>
          <w:fldChar w:fldCharType="separate"/>
        </w:r>
        <w:r w:rsidR="002D0CBC">
          <w:rPr>
            <w:noProof/>
            <w:webHidden/>
          </w:rPr>
          <w:t>12</w:t>
        </w:r>
        <w:r>
          <w:rPr>
            <w:noProof/>
            <w:webHidden/>
          </w:rPr>
          <w:fldChar w:fldCharType="end"/>
        </w:r>
      </w:hyperlink>
    </w:p>
    <w:p w14:paraId="510524EA" w14:textId="0BDE5AC9"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6" w:history="1">
        <w:r w:rsidRPr="00015D42">
          <w:rPr>
            <w:rStyle w:val="Hyperlink"/>
            <w:noProof/>
          </w:rPr>
          <w:t>4.24</w:t>
        </w:r>
        <w:r>
          <w:rPr>
            <w:rFonts w:asciiTheme="minorHAnsi" w:eastAsiaTheme="minorEastAsia" w:hAnsiTheme="minorHAnsi" w:cstheme="minorBidi"/>
            <w:noProof/>
            <w:kern w:val="2"/>
            <w:sz w:val="24"/>
            <w:szCs w:val="24"/>
            <w14:ligatures w14:val="standardContextual"/>
          </w:rPr>
          <w:tab/>
        </w:r>
        <w:r w:rsidRPr="00015D42">
          <w:rPr>
            <w:rStyle w:val="Hyperlink"/>
            <w:noProof/>
            <w:snapToGrid w:val="0"/>
          </w:rPr>
          <w:t>Cost Recovery</w:t>
        </w:r>
        <w:r>
          <w:rPr>
            <w:noProof/>
            <w:webHidden/>
          </w:rPr>
          <w:tab/>
        </w:r>
        <w:r>
          <w:rPr>
            <w:noProof/>
            <w:webHidden/>
          </w:rPr>
          <w:fldChar w:fldCharType="begin"/>
        </w:r>
        <w:r>
          <w:rPr>
            <w:noProof/>
            <w:webHidden/>
          </w:rPr>
          <w:instrText xml:space="preserve"> PAGEREF _Toc197703486 \h </w:instrText>
        </w:r>
        <w:r>
          <w:rPr>
            <w:noProof/>
            <w:webHidden/>
          </w:rPr>
        </w:r>
        <w:r>
          <w:rPr>
            <w:noProof/>
            <w:webHidden/>
          </w:rPr>
          <w:fldChar w:fldCharType="separate"/>
        </w:r>
        <w:r w:rsidR="002D0CBC">
          <w:rPr>
            <w:noProof/>
            <w:webHidden/>
          </w:rPr>
          <w:t>12</w:t>
        </w:r>
        <w:r>
          <w:rPr>
            <w:noProof/>
            <w:webHidden/>
          </w:rPr>
          <w:fldChar w:fldCharType="end"/>
        </w:r>
      </w:hyperlink>
    </w:p>
    <w:p w14:paraId="4D661121" w14:textId="75D802AF" w:rsidR="00FA231A" w:rsidRDefault="00FA231A">
      <w:pPr>
        <w:pStyle w:val="TOC1"/>
        <w:rPr>
          <w:rFonts w:asciiTheme="minorHAnsi" w:eastAsiaTheme="minorEastAsia" w:hAnsiTheme="minorHAnsi" w:cstheme="minorBidi"/>
          <w:noProof/>
          <w:kern w:val="2"/>
          <w:sz w:val="24"/>
          <w:szCs w:val="24"/>
          <w14:ligatures w14:val="standardContextual"/>
        </w:rPr>
      </w:pPr>
      <w:hyperlink w:anchor="_Toc197703487" w:history="1">
        <w:r w:rsidRPr="00015D42">
          <w:rPr>
            <w:rStyle w:val="Hyperlink"/>
            <w:noProof/>
          </w:rPr>
          <w:t>5.</w:t>
        </w:r>
        <w:r>
          <w:rPr>
            <w:rFonts w:asciiTheme="minorHAnsi" w:eastAsiaTheme="minorEastAsia" w:hAnsiTheme="minorHAnsi" w:cstheme="minorBidi"/>
            <w:noProof/>
            <w:kern w:val="2"/>
            <w:sz w:val="24"/>
            <w:szCs w:val="24"/>
            <w14:ligatures w14:val="standardContextual"/>
          </w:rPr>
          <w:tab/>
        </w:r>
        <w:r w:rsidRPr="00015D42">
          <w:rPr>
            <w:rStyle w:val="Hyperlink"/>
            <w:noProof/>
          </w:rPr>
          <w:t>Certification Requirements</w:t>
        </w:r>
        <w:r>
          <w:rPr>
            <w:noProof/>
            <w:webHidden/>
          </w:rPr>
          <w:tab/>
        </w:r>
        <w:r>
          <w:rPr>
            <w:noProof/>
            <w:webHidden/>
          </w:rPr>
          <w:fldChar w:fldCharType="begin"/>
        </w:r>
        <w:r>
          <w:rPr>
            <w:noProof/>
            <w:webHidden/>
          </w:rPr>
          <w:instrText xml:space="preserve"> PAGEREF _Toc197703487 \h </w:instrText>
        </w:r>
        <w:r>
          <w:rPr>
            <w:noProof/>
            <w:webHidden/>
          </w:rPr>
        </w:r>
        <w:r>
          <w:rPr>
            <w:noProof/>
            <w:webHidden/>
          </w:rPr>
          <w:fldChar w:fldCharType="separate"/>
        </w:r>
        <w:r w:rsidR="002D0CBC">
          <w:rPr>
            <w:noProof/>
            <w:webHidden/>
          </w:rPr>
          <w:t>12</w:t>
        </w:r>
        <w:r>
          <w:rPr>
            <w:noProof/>
            <w:webHidden/>
          </w:rPr>
          <w:fldChar w:fldCharType="end"/>
        </w:r>
      </w:hyperlink>
    </w:p>
    <w:p w14:paraId="5FABFCF2" w14:textId="4783FB98"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8" w:history="1">
        <w:r w:rsidRPr="00015D42">
          <w:rPr>
            <w:rStyle w:val="Hyperlink"/>
            <w:noProof/>
          </w:rPr>
          <w:t>5.1</w:t>
        </w:r>
        <w:r>
          <w:rPr>
            <w:rFonts w:asciiTheme="minorHAnsi" w:eastAsiaTheme="minorEastAsia" w:hAnsiTheme="minorHAnsi" w:cstheme="minorBidi"/>
            <w:noProof/>
            <w:kern w:val="2"/>
            <w:sz w:val="24"/>
            <w:szCs w:val="24"/>
            <w14:ligatures w14:val="standardContextual"/>
          </w:rPr>
          <w:tab/>
        </w:r>
        <w:r w:rsidRPr="00015D42">
          <w:rPr>
            <w:rStyle w:val="Hyperlink"/>
            <w:noProof/>
          </w:rPr>
          <w:t>2023 IRP Update Impacts</w:t>
        </w:r>
        <w:r>
          <w:rPr>
            <w:noProof/>
            <w:webHidden/>
          </w:rPr>
          <w:tab/>
        </w:r>
        <w:r>
          <w:rPr>
            <w:noProof/>
            <w:webHidden/>
          </w:rPr>
          <w:fldChar w:fldCharType="begin"/>
        </w:r>
        <w:r>
          <w:rPr>
            <w:noProof/>
            <w:webHidden/>
          </w:rPr>
          <w:instrText xml:space="preserve"> PAGEREF _Toc197703488 \h </w:instrText>
        </w:r>
        <w:r>
          <w:rPr>
            <w:noProof/>
            <w:webHidden/>
          </w:rPr>
        </w:r>
        <w:r>
          <w:rPr>
            <w:noProof/>
            <w:webHidden/>
          </w:rPr>
          <w:fldChar w:fldCharType="separate"/>
        </w:r>
        <w:r w:rsidR="002D0CBC">
          <w:rPr>
            <w:noProof/>
            <w:webHidden/>
          </w:rPr>
          <w:t>12</w:t>
        </w:r>
        <w:r>
          <w:rPr>
            <w:noProof/>
            <w:webHidden/>
          </w:rPr>
          <w:fldChar w:fldCharType="end"/>
        </w:r>
      </w:hyperlink>
    </w:p>
    <w:p w14:paraId="6413C793" w14:textId="1C62A64C"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89" w:history="1">
        <w:r w:rsidRPr="00015D42">
          <w:rPr>
            <w:rStyle w:val="Hyperlink"/>
            <w:noProof/>
          </w:rPr>
          <w:t>5.2</w:t>
        </w:r>
        <w:r>
          <w:rPr>
            <w:rFonts w:asciiTheme="minorHAnsi" w:eastAsiaTheme="minorEastAsia" w:hAnsiTheme="minorHAnsi" w:cstheme="minorBidi"/>
            <w:noProof/>
            <w:kern w:val="2"/>
            <w:sz w:val="24"/>
            <w:szCs w:val="24"/>
            <w14:ligatures w14:val="standardContextual"/>
          </w:rPr>
          <w:tab/>
        </w:r>
        <w:r w:rsidRPr="00015D42">
          <w:rPr>
            <w:rStyle w:val="Hyperlink"/>
            <w:noProof/>
          </w:rPr>
          <w:t>Revised Near –Term Action Plan</w:t>
        </w:r>
        <w:r>
          <w:rPr>
            <w:noProof/>
            <w:webHidden/>
          </w:rPr>
          <w:tab/>
        </w:r>
        <w:r>
          <w:rPr>
            <w:noProof/>
            <w:webHidden/>
          </w:rPr>
          <w:fldChar w:fldCharType="begin"/>
        </w:r>
        <w:r>
          <w:rPr>
            <w:noProof/>
            <w:webHidden/>
          </w:rPr>
          <w:instrText xml:space="preserve"> PAGEREF _Toc197703489 \h </w:instrText>
        </w:r>
        <w:r>
          <w:rPr>
            <w:noProof/>
            <w:webHidden/>
          </w:rPr>
        </w:r>
        <w:r>
          <w:rPr>
            <w:noProof/>
            <w:webHidden/>
          </w:rPr>
          <w:fldChar w:fldCharType="separate"/>
        </w:r>
        <w:r w:rsidR="002D0CBC">
          <w:rPr>
            <w:noProof/>
            <w:webHidden/>
          </w:rPr>
          <w:t>13</w:t>
        </w:r>
        <w:r>
          <w:rPr>
            <w:noProof/>
            <w:webHidden/>
          </w:rPr>
          <w:fldChar w:fldCharType="end"/>
        </w:r>
      </w:hyperlink>
    </w:p>
    <w:p w14:paraId="65DC2F50" w14:textId="7FE07BC7" w:rsidR="00FA231A" w:rsidRDefault="00FA231A">
      <w:pPr>
        <w:pStyle w:val="TOC2"/>
        <w:rPr>
          <w:rFonts w:asciiTheme="minorHAnsi" w:eastAsiaTheme="minorEastAsia" w:hAnsiTheme="minorHAnsi" w:cstheme="minorBidi"/>
          <w:noProof/>
          <w:kern w:val="2"/>
          <w:sz w:val="24"/>
          <w:szCs w:val="24"/>
          <w14:ligatures w14:val="standardContextual"/>
        </w:rPr>
      </w:pPr>
      <w:hyperlink w:anchor="_Toc197703490" w:history="1">
        <w:r w:rsidRPr="00015D42">
          <w:rPr>
            <w:rStyle w:val="Hyperlink"/>
            <w:noProof/>
          </w:rPr>
          <w:t>5.3</w:t>
        </w:r>
        <w:r>
          <w:rPr>
            <w:rFonts w:asciiTheme="minorHAnsi" w:eastAsiaTheme="minorEastAsia" w:hAnsiTheme="minorHAnsi" w:cstheme="minorBidi"/>
            <w:noProof/>
            <w:kern w:val="2"/>
            <w:sz w:val="24"/>
            <w:szCs w:val="24"/>
            <w14:ligatures w14:val="standardContextual"/>
          </w:rPr>
          <w:tab/>
        </w:r>
        <w:r w:rsidRPr="00015D42">
          <w:rPr>
            <w:rStyle w:val="Hyperlink"/>
            <w:noProof/>
          </w:rPr>
          <w:t>Proposed Ratemaking Treatment of Costs</w:t>
        </w:r>
        <w:r>
          <w:rPr>
            <w:noProof/>
            <w:webHidden/>
          </w:rPr>
          <w:tab/>
        </w:r>
        <w:r>
          <w:rPr>
            <w:noProof/>
            <w:webHidden/>
          </w:rPr>
          <w:fldChar w:fldCharType="begin"/>
        </w:r>
        <w:r>
          <w:rPr>
            <w:noProof/>
            <w:webHidden/>
          </w:rPr>
          <w:instrText xml:space="preserve"> PAGEREF _Toc197703490 \h </w:instrText>
        </w:r>
        <w:r>
          <w:rPr>
            <w:noProof/>
            <w:webHidden/>
          </w:rPr>
        </w:r>
        <w:r>
          <w:rPr>
            <w:noProof/>
            <w:webHidden/>
          </w:rPr>
          <w:fldChar w:fldCharType="separate"/>
        </w:r>
        <w:r w:rsidR="002D0CBC">
          <w:rPr>
            <w:noProof/>
            <w:webHidden/>
          </w:rPr>
          <w:t>16</w:t>
        </w:r>
        <w:r>
          <w:rPr>
            <w:noProof/>
            <w:webHidden/>
          </w:rPr>
          <w:fldChar w:fldCharType="end"/>
        </w:r>
      </w:hyperlink>
    </w:p>
    <w:p w14:paraId="4B0FF2E4" w14:textId="3DAA22B6" w:rsidR="00FA231A" w:rsidRDefault="00FA231A">
      <w:pPr>
        <w:pStyle w:val="TOC1"/>
        <w:rPr>
          <w:rFonts w:asciiTheme="minorHAnsi" w:eastAsiaTheme="minorEastAsia" w:hAnsiTheme="minorHAnsi" w:cstheme="minorBidi"/>
          <w:noProof/>
          <w:kern w:val="2"/>
          <w:sz w:val="24"/>
          <w:szCs w:val="24"/>
          <w14:ligatures w14:val="standardContextual"/>
        </w:rPr>
      </w:pPr>
      <w:hyperlink w:anchor="_Toc197703491" w:history="1">
        <w:r w:rsidRPr="00015D42">
          <w:rPr>
            <w:rStyle w:val="Hyperlink"/>
            <w:noProof/>
          </w:rPr>
          <w:t>6.</w:t>
        </w:r>
        <w:r>
          <w:rPr>
            <w:rFonts w:asciiTheme="minorHAnsi" w:eastAsiaTheme="minorEastAsia" w:hAnsiTheme="minorHAnsi" w:cstheme="minorBidi"/>
            <w:noProof/>
            <w:kern w:val="2"/>
            <w:sz w:val="24"/>
            <w:szCs w:val="24"/>
            <w14:ligatures w14:val="standardContextual"/>
          </w:rPr>
          <w:tab/>
        </w:r>
        <w:r w:rsidRPr="00015D42">
          <w:rPr>
            <w:rStyle w:val="Hyperlink"/>
            <w:noProof/>
          </w:rPr>
          <w:t>Conclusion</w:t>
        </w:r>
        <w:r>
          <w:rPr>
            <w:noProof/>
            <w:webHidden/>
          </w:rPr>
          <w:tab/>
        </w:r>
        <w:r>
          <w:rPr>
            <w:noProof/>
            <w:webHidden/>
          </w:rPr>
          <w:fldChar w:fldCharType="begin"/>
        </w:r>
        <w:r>
          <w:rPr>
            <w:noProof/>
            <w:webHidden/>
          </w:rPr>
          <w:instrText xml:space="preserve"> PAGEREF _Toc197703491 \h </w:instrText>
        </w:r>
        <w:r>
          <w:rPr>
            <w:noProof/>
            <w:webHidden/>
          </w:rPr>
        </w:r>
        <w:r>
          <w:rPr>
            <w:noProof/>
            <w:webHidden/>
          </w:rPr>
          <w:fldChar w:fldCharType="separate"/>
        </w:r>
        <w:r w:rsidR="002D0CBC">
          <w:rPr>
            <w:noProof/>
            <w:webHidden/>
          </w:rPr>
          <w:t>16</w:t>
        </w:r>
        <w:r>
          <w:rPr>
            <w:noProof/>
            <w:webHidden/>
          </w:rPr>
          <w:fldChar w:fldCharType="end"/>
        </w:r>
      </w:hyperlink>
    </w:p>
    <w:p w14:paraId="2B9E82BF" w14:textId="3DE60512" w:rsidR="00EF4951" w:rsidRDefault="00580390" w:rsidP="00B10A3E">
      <w:pPr>
        <w:spacing w:line="360" w:lineRule="auto"/>
      </w:pPr>
      <w:r w:rsidRPr="00B25DA4">
        <w:rPr>
          <w:highlight w:val="yellow"/>
        </w:rPr>
        <w:fldChar w:fldCharType="end"/>
      </w:r>
      <w:bookmarkStart w:id="4" w:name="mpTableOfContents"/>
    </w:p>
    <w:p w14:paraId="06B4094B" w14:textId="77777777" w:rsidR="00D45981" w:rsidRPr="00370C1C" w:rsidRDefault="00D45981" w:rsidP="00D45981">
      <w:pPr>
        <w:spacing w:line="360" w:lineRule="auto"/>
      </w:pPr>
      <w:r w:rsidRPr="00370C1C">
        <w:t>Appendix A:</w:t>
      </w:r>
      <w:r>
        <w:tab/>
        <w:t>REDACTED</w:t>
      </w:r>
    </w:p>
    <w:p w14:paraId="43D52E61" w14:textId="77777777" w:rsidR="00D45981" w:rsidRPr="00370C1C" w:rsidRDefault="00D45981" w:rsidP="00D45981">
      <w:pPr>
        <w:spacing w:line="360" w:lineRule="auto"/>
      </w:pPr>
      <w:r w:rsidRPr="00370C1C">
        <w:t>Appendix B:</w:t>
      </w:r>
      <w:r w:rsidRPr="00370C1C">
        <w:tab/>
      </w:r>
      <w:r>
        <w:t>REDACTED</w:t>
      </w:r>
    </w:p>
    <w:p w14:paraId="6461188D" w14:textId="77777777" w:rsidR="00D45981" w:rsidRPr="00370C1C" w:rsidRDefault="00D45981" w:rsidP="00D45981">
      <w:pPr>
        <w:spacing w:line="360" w:lineRule="auto"/>
      </w:pPr>
      <w:r w:rsidRPr="00370C1C">
        <w:t>Appendix C:</w:t>
      </w:r>
      <w:r w:rsidRPr="00370C1C">
        <w:tab/>
      </w:r>
      <w:r>
        <w:t>REDACTED</w:t>
      </w:r>
    </w:p>
    <w:p w14:paraId="7BF7C6D7" w14:textId="77777777" w:rsidR="00D45981" w:rsidRPr="0022238F" w:rsidRDefault="00D45981" w:rsidP="00D45981">
      <w:pPr>
        <w:spacing w:line="360" w:lineRule="auto"/>
      </w:pPr>
      <w:r w:rsidRPr="00370C1C">
        <w:t>Appendix D:</w:t>
      </w:r>
      <w:r w:rsidRPr="00370C1C">
        <w:tab/>
      </w:r>
      <w:r>
        <w:t>REDACTED</w:t>
      </w:r>
    </w:p>
    <w:p w14:paraId="69B05692" w14:textId="2E6E655A" w:rsidR="00CC65BD" w:rsidRPr="00671F68" w:rsidRDefault="00CC65BD" w:rsidP="001C47F4">
      <w:pPr>
        <w:spacing w:line="360" w:lineRule="auto"/>
        <w:ind w:firstLine="360"/>
        <w:rPr>
          <w:strike/>
          <w:szCs w:val="24"/>
        </w:rPr>
      </w:pPr>
    </w:p>
    <w:p w14:paraId="4118579A" w14:textId="77777777" w:rsidR="00CC65BD" w:rsidRPr="00910E11" w:rsidRDefault="00CC65BD" w:rsidP="009211A2">
      <w:pPr>
        <w:spacing w:line="360" w:lineRule="auto"/>
        <w:ind w:left="720" w:firstLine="720"/>
      </w:pPr>
    </w:p>
    <w:p w14:paraId="2B031F74" w14:textId="77777777" w:rsidR="00B10A3E" w:rsidRDefault="00B10A3E" w:rsidP="00B10A3E">
      <w:pPr>
        <w:spacing w:line="360" w:lineRule="auto"/>
        <w:ind w:left="720" w:firstLine="720"/>
      </w:pPr>
    </w:p>
    <w:p w14:paraId="31DA65BB" w14:textId="77777777" w:rsidR="00B10A3E" w:rsidRDefault="00B10A3E" w:rsidP="00B10A3E">
      <w:pPr>
        <w:spacing w:line="360" w:lineRule="auto"/>
        <w:ind w:left="720" w:firstLine="720"/>
      </w:pPr>
    </w:p>
    <w:p w14:paraId="227D8071" w14:textId="65E1DC5C" w:rsidR="00B10A3E" w:rsidRDefault="00B10A3E" w:rsidP="00B10A3E">
      <w:pPr>
        <w:spacing w:line="360" w:lineRule="auto"/>
        <w:ind w:left="720" w:firstLine="720"/>
        <w:sectPr w:rsidR="00B10A3E" w:rsidSect="00B10A3E">
          <w:pgSz w:w="12240" w:h="15840" w:code="1"/>
          <w:pgMar w:top="1440" w:right="1440" w:bottom="1440" w:left="1440" w:header="576" w:footer="720" w:gutter="0"/>
          <w:pgNumType w:fmt="lowerRoman"/>
          <w:cols w:space="720"/>
          <w:noEndnote/>
          <w:titlePg/>
        </w:sectPr>
      </w:pPr>
    </w:p>
    <w:bookmarkEnd w:id="4"/>
    <w:p w14:paraId="67F17343" w14:textId="62132524" w:rsidR="00B10A3E" w:rsidRPr="009211A2" w:rsidRDefault="00580390" w:rsidP="009211A2">
      <w:pPr>
        <w:ind w:firstLine="90"/>
        <w:jc w:val="center"/>
        <w:rPr>
          <w:b/>
          <w:sz w:val="24"/>
        </w:rPr>
      </w:pPr>
      <w:r w:rsidRPr="00C43553">
        <w:rPr>
          <w:b/>
          <w:sz w:val="24"/>
        </w:rPr>
        <w:lastRenderedPageBreak/>
        <w:t>Georgia Power Company’s Application for the</w:t>
      </w:r>
      <w:r w:rsidR="00B8123E">
        <w:rPr>
          <w:b/>
          <w:sz w:val="24"/>
        </w:rPr>
        <w:t xml:space="preserve"> </w:t>
      </w:r>
      <w:r w:rsidRPr="009211A2">
        <w:rPr>
          <w:b/>
          <w:sz w:val="24"/>
        </w:rPr>
        <w:t xml:space="preserve">Certification of the </w:t>
      </w:r>
      <w:bookmarkStart w:id="5" w:name="_Hlk197600059"/>
      <w:r w:rsidR="005534E7">
        <w:rPr>
          <w:b/>
          <w:sz w:val="24"/>
        </w:rPr>
        <w:t>Twiggs County Battery Energy Storage System</w:t>
      </w:r>
      <w:bookmarkEnd w:id="5"/>
    </w:p>
    <w:p w14:paraId="34DFC3E8" w14:textId="16F08245" w:rsidR="00B10A3E" w:rsidRPr="007C70C4" w:rsidRDefault="00580390" w:rsidP="00D4372D">
      <w:pPr>
        <w:pStyle w:val="Heading1"/>
        <w:tabs>
          <w:tab w:val="clear" w:pos="360"/>
          <w:tab w:val="num" w:pos="0"/>
        </w:tabs>
        <w:spacing w:before="360" w:after="120" w:line="276" w:lineRule="auto"/>
        <w:ind w:left="720" w:hanging="720"/>
      </w:pPr>
      <w:bookmarkStart w:id="6" w:name="_Hlt9238686"/>
      <w:bookmarkStart w:id="7" w:name="_Toc242591671"/>
      <w:bookmarkStart w:id="8" w:name="_Toc197703457"/>
      <w:bookmarkEnd w:id="6"/>
      <w:r w:rsidRPr="007C70C4">
        <w:t>Executive Summary</w:t>
      </w:r>
      <w:bookmarkEnd w:id="7"/>
      <w:bookmarkEnd w:id="8"/>
    </w:p>
    <w:p w14:paraId="076B6AB6" w14:textId="40563FCB" w:rsidR="00B10A3E" w:rsidRDefault="002F71CC" w:rsidP="00D4372D">
      <w:pPr>
        <w:pStyle w:val="Heading2"/>
        <w:numPr>
          <w:ilvl w:val="0"/>
          <w:numId w:val="0"/>
        </w:numPr>
        <w:tabs>
          <w:tab w:val="num" w:pos="1440"/>
        </w:tabs>
        <w:spacing w:after="120" w:line="276" w:lineRule="auto"/>
        <w:ind w:left="720"/>
      </w:pPr>
      <w:bookmarkStart w:id="9" w:name="_Toc197703458"/>
      <w:r>
        <w:t>Certification of Resources</w:t>
      </w:r>
      <w:bookmarkEnd w:id="9"/>
    </w:p>
    <w:p w14:paraId="33E3DFFE" w14:textId="44A3F9D5" w:rsidR="00796688" w:rsidRDefault="00796688" w:rsidP="00D4372D">
      <w:pPr>
        <w:pStyle w:val="BodyText"/>
        <w:spacing w:line="276" w:lineRule="auto"/>
        <w:rPr>
          <w:rFonts w:ascii="Times New Roman" w:hAnsi="Times New Roman"/>
          <w:szCs w:val="24"/>
        </w:rPr>
      </w:pPr>
      <w:r>
        <w:rPr>
          <w:rFonts w:ascii="Times New Roman" w:hAnsi="Times New Roman"/>
          <w:szCs w:val="24"/>
        </w:rPr>
        <w:t xml:space="preserve">Georgia Power Company (“Georgia Power” or the “Company”) files with the Georgia Public Service Commission (the “Commission”) its Application for the </w:t>
      </w:r>
      <w:r w:rsidRPr="00627061">
        <w:rPr>
          <w:rFonts w:ascii="Times New Roman" w:hAnsi="Times New Roman"/>
          <w:szCs w:val="24"/>
        </w:rPr>
        <w:t>Certification of the</w:t>
      </w:r>
      <w:r w:rsidR="005534E7">
        <w:rPr>
          <w:rFonts w:ascii="Times New Roman" w:hAnsi="Times New Roman"/>
          <w:szCs w:val="24"/>
        </w:rPr>
        <w:t xml:space="preserve"> Twiggs County Battery Energy Storage System (“BESS”) project (“Application”), which has been </w:t>
      </w:r>
      <w:r w:rsidR="000421FE">
        <w:rPr>
          <w:rFonts w:ascii="Times New Roman" w:hAnsi="Times New Roman"/>
          <w:szCs w:val="24"/>
        </w:rPr>
        <w:t xml:space="preserve">selected as the winning submission </w:t>
      </w:r>
      <w:r w:rsidR="005534E7">
        <w:rPr>
          <w:rFonts w:ascii="Times New Roman" w:hAnsi="Times New Roman"/>
          <w:szCs w:val="24"/>
        </w:rPr>
        <w:t xml:space="preserve">pursuant to the </w:t>
      </w:r>
      <w:r w:rsidR="002B3FF8">
        <w:rPr>
          <w:rFonts w:ascii="Times New Roman" w:hAnsi="Times New Roman"/>
          <w:szCs w:val="24"/>
        </w:rPr>
        <w:t xml:space="preserve">Winter </w:t>
      </w:r>
      <w:r w:rsidR="002B3FF8" w:rsidRPr="003862DA">
        <w:rPr>
          <w:rFonts w:ascii="Times New Roman" w:hAnsi="Times New Roman"/>
          <w:szCs w:val="24"/>
        </w:rPr>
        <w:t xml:space="preserve">2027_2028 Battery Energy Storage System </w:t>
      </w:r>
      <w:r>
        <w:rPr>
          <w:rFonts w:ascii="Times New Roman" w:hAnsi="Times New Roman"/>
          <w:szCs w:val="24"/>
        </w:rPr>
        <w:t>Request for Proposal (“</w:t>
      </w:r>
      <w:r w:rsidR="002B3FF8">
        <w:rPr>
          <w:rFonts w:ascii="Times New Roman" w:hAnsi="Times New Roman"/>
          <w:szCs w:val="24"/>
        </w:rPr>
        <w:t>Winter 2</w:t>
      </w:r>
      <w:r w:rsidR="00D61E39">
        <w:rPr>
          <w:rFonts w:ascii="Times New Roman" w:hAnsi="Times New Roman"/>
          <w:szCs w:val="24"/>
        </w:rPr>
        <w:t>7_</w:t>
      </w:r>
      <w:r w:rsidR="002B3FF8">
        <w:rPr>
          <w:rFonts w:ascii="Times New Roman" w:hAnsi="Times New Roman"/>
          <w:szCs w:val="24"/>
        </w:rPr>
        <w:t xml:space="preserve">28 BESS </w:t>
      </w:r>
      <w:r>
        <w:rPr>
          <w:rFonts w:ascii="Times New Roman" w:hAnsi="Times New Roman"/>
          <w:szCs w:val="24"/>
        </w:rPr>
        <w:t>RFP”).</w:t>
      </w:r>
    </w:p>
    <w:p w14:paraId="24582C1B" w14:textId="11F24DBA" w:rsidR="00D04D3F" w:rsidRDefault="00A51F5C" w:rsidP="00D4372D">
      <w:pPr>
        <w:pStyle w:val="BodyText"/>
        <w:spacing w:line="276" w:lineRule="auto"/>
        <w:rPr>
          <w:rFonts w:ascii="Times New Roman" w:hAnsi="Times New Roman"/>
          <w:szCs w:val="24"/>
        </w:rPr>
      </w:pPr>
      <w:r>
        <w:rPr>
          <w:rFonts w:ascii="Times New Roman" w:hAnsi="Times New Roman"/>
          <w:szCs w:val="24"/>
        </w:rPr>
        <w:t xml:space="preserve">The </w:t>
      </w:r>
      <w:r w:rsidRPr="00AB255C">
        <w:rPr>
          <w:rFonts w:ascii="Times New Roman" w:hAnsi="Times New Roman"/>
          <w:szCs w:val="24"/>
        </w:rPr>
        <w:t>Commission</w:t>
      </w:r>
      <w:r>
        <w:rPr>
          <w:rFonts w:ascii="Times New Roman" w:hAnsi="Times New Roman"/>
          <w:szCs w:val="24"/>
        </w:rPr>
        <w:t>’s</w:t>
      </w:r>
      <w:r w:rsidRPr="00AB255C">
        <w:rPr>
          <w:rFonts w:ascii="Times New Roman" w:hAnsi="Times New Roman"/>
          <w:szCs w:val="24"/>
        </w:rPr>
        <w:t xml:space="preserve"> </w:t>
      </w:r>
      <w:r w:rsidR="004F6D9B">
        <w:rPr>
          <w:rFonts w:ascii="Times New Roman" w:hAnsi="Times New Roman"/>
          <w:szCs w:val="24"/>
        </w:rPr>
        <w:t xml:space="preserve">2023 </w:t>
      </w:r>
      <w:r w:rsidR="00B63883">
        <w:rPr>
          <w:rFonts w:ascii="Times New Roman" w:hAnsi="Times New Roman"/>
          <w:szCs w:val="24"/>
        </w:rPr>
        <w:t>Integrated Resource Plan (“</w:t>
      </w:r>
      <w:r w:rsidR="004F6D9B">
        <w:rPr>
          <w:rFonts w:ascii="Times New Roman" w:hAnsi="Times New Roman"/>
          <w:szCs w:val="24"/>
        </w:rPr>
        <w:t>IRP</w:t>
      </w:r>
      <w:r w:rsidR="00B63883">
        <w:rPr>
          <w:rFonts w:ascii="Times New Roman" w:hAnsi="Times New Roman"/>
          <w:szCs w:val="24"/>
        </w:rPr>
        <w:t>”)</w:t>
      </w:r>
      <w:r w:rsidR="004F6D9B">
        <w:rPr>
          <w:rFonts w:ascii="Times New Roman" w:hAnsi="Times New Roman"/>
          <w:szCs w:val="24"/>
        </w:rPr>
        <w:t xml:space="preserve"> Update Final Order in Docket No. 55378</w:t>
      </w:r>
      <w:r w:rsidR="00671F68">
        <w:rPr>
          <w:rFonts w:ascii="Times New Roman" w:hAnsi="Times New Roman"/>
          <w:szCs w:val="24"/>
        </w:rPr>
        <w:t xml:space="preserve"> (“2023 IRP Update Final Order”) amended and approved </w:t>
      </w:r>
      <w:r w:rsidR="00B63883">
        <w:rPr>
          <w:rFonts w:ascii="Times New Roman" w:hAnsi="Times New Roman"/>
          <w:szCs w:val="24"/>
        </w:rPr>
        <w:t xml:space="preserve">a </w:t>
      </w:r>
      <w:r w:rsidR="00671F68">
        <w:rPr>
          <w:rFonts w:ascii="Times New Roman" w:hAnsi="Times New Roman"/>
          <w:szCs w:val="24"/>
        </w:rPr>
        <w:t>Stipulation that require</w:t>
      </w:r>
      <w:r w:rsidR="00B63883">
        <w:rPr>
          <w:rFonts w:ascii="Times New Roman" w:hAnsi="Times New Roman"/>
          <w:szCs w:val="24"/>
        </w:rPr>
        <w:t>d</w:t>
      </w:r>
      <w:r w:rsidR="00671F68">
        <w:rPr>
          <w:rFonts w:ascii="Times New Roman" w:hAnsi="Times New Roman"/>
          <w:szCs w:val="24"/>
        </w:rPr>
        <w:t xml:space="preserve"> </w:t>
      </w:r>
      <w:r w:rsidR="00F13966">
        <w:rPr>
          <w:rFonts w:ascii="Times New Roman" w:hAnsi="Times New Roman"/>
          <w:szCs w:val="24"/>
        </w:rPr>
        <w:t>Georgia Power</w:t>
      </w:r>
      <w:r w:rsidR="00671F68">
        <w:rPr>
          <w:rFonts w:ascii="Times New Roman" w:hAnsi="Times New Roman"/>
          <w:szCs w:val="24"/>
        </w:rPr>
        <w:t xml:space="preserve"> to conduct </w:t>
      </w:r>
      <w:r w:rsidR="00671F68" w:rsidRPr="00671F68">
        <w:rPr>
          <w:rFonts w:ascii="Times New Roman" w:hAnsi="Times New Roman"/>
          <w:szCs w:val="24"/>
        </w:rPr>
        <w:t xml:space="preserve">a </w:t>
      </w:r>
      <w:r w:rsidR="00B63883">
        <w:rPr>
          <w:rFonts w:ascii="Times New Roman" w:hAnsi="Times New Roman"/>
          <w:szCs w:val="24"/>
        </w:rPr>
        <w:t>narrowly tailored RFP on an expedited basis</w:t>
      </w:r>
      <w:r w:rsidR="00671F68" w:rsidRPr="00671F68">
        <w:rPr>
          <w:rFonts w:ascii="Times New Roman" w:hAnsi="Times New Roman"/>
          <w:szCs w:val="24"/>
        </w:rPr>
        <w:t xml:space="preserve"> to </w:t>
      </w:r>
      <w:r w:rsidR="00B63883">
        <w:rPr>
          <w:rFonts w:ascii="Times New Roman" w:hAnsi="Times New Roman"/>
          <w:szCs w:val="24"/>
        </w:rPr>
        <w:t xml:space="preserve">procure </w:t>
      </w:r>
      <w:r w:rsidR="00D04D3F">
        <w:rPr>
          <w:rFonts w:ascii="Times New Roman" w:hAnsi="Times New Roman"/>
          <w:szCs w:val="24"/>
        </w:rPr>
        <w:t>between 300 and</w:t>
      </w:r>
      <w:r w:rsidR="00D04D3F" w:rsidRPr="00671F68">
        <w:rPr>
          <w:rFonts w:ascii="Times New Roman" w:hAnsi="Times New Roman"/>
          <w:szCs w:val="24"/>
        </w:rPr>
        <w:t xml:space="preserve"> </w:t>
      </w:r>
      <w:r w:rsidR="00671F68" w:rsidRPr="00671F68">
        <w:rPr>
          <w:rFonts w:ascii="Times New Roman" w:hAnsi="Times New Roman"/>
          <w:szCs w:val="24"/>
        </w:rPr>
        <w:t>500</w:t>
      </w:r>
      <w:r w:rsidR="00D04D3F">
        <w:rPr>
          <w:rFonts w:ascii="Times New Roman" w:hAnsi="Times New Roman"/>
          <w:szCs w:val="24"/>
        </w:rPr>
        <w:t xml:space="preserve"> megawatts</w:t>
      </w:r>
      <w:r w:rsidR="00671F68">
        <w:rPr>
          <w:rFonts w:ascii="Times New Roman" w:hAnsi="Times New Roman"/>
          <w:szCs w:val="24"/>
        </w:rPr>
        <w:t xml:space="preserve"> </w:t>
      </w:r>
      <w:r w:rsidR="00D04D3F">
        <w:rPr>
          <w:rFonts w:ascii="Times New Roman" w:hAnsi="Times New Roman"/>
          <w:szCs w:val="24"/>
        </w:rPr>
        <w:t>(</w:t>
      </w:r>
      <w:r w:rsidR="00671F68" w:rsidRPr="00671F68">
        <w:rPr>
          <w:rFonts w:ascii="Times New Roman" w:hAnsi="Times New Roman"/>
          <w:szCs w:val="24"/>
        </w:rPr>
        <w:t>MW</w:t>
      </w:r>
      <w:r w:rsidR="00D04D3F">
        <w:rPr>
          <w:rFonts w:ascii="Times New Roman" w:hAnsi="Times New Roman"/>
          <w:szCs w:val="24"/>
        </w:rPr>
        <w:t>)</w:t>
      </w:r>
      <w:r w:rsidR="00671F68" w:rsidRPr="00671F68">
        <w:rPr>
          <w:rFonts w:ascii="Times New Roman" w:hAnsi="Times New Roman"/>
          <w:szCs w:val="24"/>
        </w:rPr>
        <w:t xml:space="preserve"> of BESS </w:t>
      </w:r>
      <w:r w:rsidR="00B63883">
        <w:rPr>
          <w:rFonts w:ascii="Times New Roman" w:hAnsi="Times New Roman"/>
          <w:szCs w:val="24"/>
        </w:rPr>
        <w:t xml:space="preserve">resources to meet </w:t>
      </w:r>
      <w:r w:rsidR="00671F68" w:rsidRPr="00671F68">
        <w:rPr>
          <w:rFonts w:ascii="Times New Roman" w:hAnsi="Times New Roman"/>
          <w:szCs w:val="24"/>
        </w:rPr>
        <w:t>capacity needs identified by</w:t>
      </w:r>
      <w:r w:rsidR="00F13966">
        <w:rPr>
          <w:rFonts w:ascii="Times New Roman" w:hAnsi="Times New Roman"/>
          <w:szCs w:val="24"/>
        </w:rPr>
        <w:t xml:space="preserve"> the Company</w:t>
      </w:r>
      <w:r w:rsidR="00B63883">
        <w:rPr>
          <w:rFonts w:ascii="Times New Roman" w:hAnsi="Times New Roman"/>
          <w:szCs w:val="24"/>
        </w:rPr>
        <w:t xml:space="preserve"> in the Winter of 2027/2028</w:t>
      </w:r>
      <w:r w:rsidR="00D8251B">
        <w:rPr>
          <w:rFonts w:ascii="Times New Roman" w:hAnsi="Times New Roman"/>
          <w:szCs w:val="24"/>
        </w:rPr>
        <w:t>.</w:t>
      </w:r>
      <w:r w:rsidR="00BD6B8C">
        <w:rPr>
          <w:rFonts w:ascii="Times New Roman" w:hAnsi="Times New Roman"/>
          <w:szCs w:val="24"/>
        </w:rPr>
        <w:t xml:space="preserve"> </w:t>
      </w:r>
    </w:p>
    <w:p w14:paraId="5CCC9ECB" w14:textId="1AAD84AD" w:rsidR="00796688" w:rsidRDefault="00D81594" w:rsidP="00D4372D">
      <w:pPr>
        <w:pStyle w:val="BodyText"/>
        <w:spacing w:line="276" w:lineRule="auto"/>
        <w:rPr>
          <w:rFonts w:ascii="Times New Roman" w:hAnsi="Times New Roman"/>
        </w:rPr>
      </w:pPr>
      <w:r w:rsidRPr="2F879669">
        <w:rPr>
          <w:rFonts w:ascii="Times New Roman" w:hAnsi="Times New Roman"/>
        </w:rPr>
        <w:t>The</w:t>
      </w:r>
      <w:r w:rsidR="00FB1534" w:rsidRPr="2F879669">
        <w:rPr>
          <w:rFonts w:ascii="Times New Roman" w:hAnsi="Times New Roman"/>
        </w:rPr>
        <w:t xml:space="preserve"> Company</w:t>
      </w:r>
      <w:r w:rsidR="005701D6" w:rsidRPr="2F879669">
        <w:rPr>
          <w:rFonts w:ascii="Times New Roman" w:hAnsi="Times New Roman"/>
        </w:rPr>
        <w:t xml:space="preserve"> issued the Winter 27_28 BESS RFP </w:t>
      </w:r>
      <w:r w:rsidR="00055D2A" w:rsidRPr="2F879669">
        <w:rPr>
          <w:rFonts w:ascii="Times New Roman" w:hAnsi="Times New Roman"/>
        </w:rPr>
        <w:t>seeking</w:t>
      </w:r>
      <w:r w:rsidR="005701D6" w:rsidRPr="2F879669">
        <w:rPr>
          <w:rFonts w:ascii="Times New Roman" w:hAnsi="Times New Roman"/>
        </w:rPr>
        <w:t xml:space="preserve"> (i)</w:t>
      </w:r>
      <w:r w:rsidR="00B63883" w:rsidRPr="2F879669">
        <w:rPr>
          <w:rFonts w:ascii="Times New Roman" w:hAnsi="Times New Roman"/>
        </w:rPr>
        <w:t> </w:t>
      </w:r>
      <w:r w:rsidR="005701D6" w:rsidRPr="2F879669">
        <w:rPr>
          <w:rFonts w:ascii="Times New Roman" w:hAnsi="Times New Roman"/>
        </w:rPr>
        <w:t xml:space="preserve">Standalone BESS with grid charging capability that has a </w:t>
      </w:r>
      <w:r w:rsidR="4F3C13BC" w:rsidRPr="2F879669">
        <w:rPr>
          <w:rFonts w:ascii="Times New Roman" w:hAnsi="Times New Roman"/>
        </w:rPr>
        <w:t xml:space="preserve">completed or in-progress </w:t>
      </w:r>
      <w:r w:rsidR="005701D6" w:rsidRPr="2F879669">
        <w:rPr>
          <w:rFonts w:ascii="Times New Roman" w:hAnsi="Times New Roman"/>
        </w:rPr>
        <w:t xml:space="preserve">transmission interconnection study and requires minimal transmission improvements (those that can be completed on or before November 30, 2027); and (ii) BESS with Renewable Resource located at an existing or previously certified solar site that has a </w:t>
      </w:r>
      <w:r w:rsidR="00FB1534" w:rsidRPr="2F879669">
        <w:rPr>
          <w:rFonts w:ascii="Times New Roman" w:hAnsi="Times New Roman"/>
        </w:rPr>
        <w:t>Point of Interconnection (“POI”)</w:t>
      </w:r>
      <w:r w:rsidR="005701D6" w:rsidRPr="2F879669">
        <w:rPr>
          <w:rFonts w:ascii="Times New Roman" w:hAnsi="Times New Roman"/>
        </w:rPr>
        <w:t xml:space="preserve"> that allows winter discharging of the BESS</w:t>
      </w:r>
      <w:r w:rsidR="00FB1534" w:rsidRPr="2F879669">
        <w:rPr>
          <w:rFonts w:ascii="Times New Roman" w:hAnsi="Times New Roman"/>
        </w:rPr>
        <w:t>.</w:t>
      </w:r>
      <w:r w:rsidRPr="2F879669">
        <w:rPr>
          <w:rFonts w:ascii="Times New Roman" w:hAnsi="Times New Roman"/>
        </w:rPr>
        <w:t xml:space="preserve"> The Winter 27_28 BESS RFP </w:t>
      </w:r>
      <w:r w:rsidR="00055D2A" w:rsidRPr="2F879669">
        <w:rPr>
          <w:rFonts w:ascii="Times New Roman" w:hAnsi="Times New Roman"/>
        </w:rPr>
        <w:t xml:space="preserve">was overseen </w:t>
      </w:r>
      <w:r w:rsidRPr="2F879669">
        <w:rPr>
          <w:rFonts w:ascii="Times New Roman" w:hAnsi="Times New Roman"/>
        </w:rPr>
        <w:t xml:space="preserve">by the Commission Staff and an Independent </w:t>
      </w:r>
      <w:r w:rsidR="007E4B0B" w:rsidRPr="19077B72">
        <w:rPr>
          <w:rFonts w:ascii="Times New Roman" w:hAnsi="Times New Roman"/>
        </w:rPr>
        <w:t>Evaluat</w:t>
      </w:r>
      <w:r w:rsidR="007E4B0B">
        <w:rPr>
          <w:rFonts w:ascii="Times New Roman" w:hAnsi="Times New Roman"/>
        </w:rPr>
        <w:t>or</w:t>
      </w:r>
      <w:r w:rsidR="007E4B0B" w:rsidRPr="2F879669">
        <w:rPr>
          <w:rFonts w:ascii="Times New Roman" w:hAnsi="Times New Roman"/>
        </w:rPr>
        <w:t xml:space="preserve"> </w:t>
      </w:r>
      <w:r w:rsidRPr="2F879669">
        <w:rPr>
          <w:rFonts w:ascii="Times New Roman" w:hAnsi="Times New Roman"/>
        </w:rPr>
        <w:t xml:space="preserve">(“IE”) </w:t>
      </w:r>
      <w:r w:rsidR="00055D2A" w:rsidRPr="2F879669">
        <w:rPr>
          <w:rFonts w:ascii="Times New Roman" w:hAnsi="Times New Roman"/>
        </w:rPr>
        <w:t>in accordance with</w:t>
      </w:r>
      <w:r w:rsidRPr="2F879669">
        <w:rPr>
          <w:rFonts w:ascii="Times New Roman" w:hAnsi="Times New Roman"/>
        </w:rPr>
        <w:t xml:space="preserve"> </w:t>
      </w:r>
      <w:r w:rsidR="00786E0A" w:rsidRPr="2F879669">
        <w:rPr>
          <w:rFonts w:ascii="Times New Roman" w:hAnsi="Times New Roman"/>
        </w:rPr>
        <w:t>Commission Rule 515-3-4-.04(3) et seq</w:t>
      </w:r>
      <w:r w:rsidR="00580390" w:rsidRPr="2F879669">
        <w:rPr>
          <w:rFonts w:ascii="Times New Roman" w:hAnsi="Times New Roman"/>
        </w:rPr>
        <w:t>.</w:t>
      </w:r>
    </w:p>
    <w:p w14:paraId="700E390F" w14:textId="2A1EE859" w:rsidR="00B10A3E" w:rsidRDefault="00A51F5C" w:rsidP="00D4372D">
      <w:pPr>
        <w:pStyle w:val="BodyText"/>
        <w:spacing w:line="276" w:lineRule="auto"/>
        <w:rPr>
          <w:rFonts w:ascii="Times New Roman" w:hAnsi="Times New Roman"/>
        </w:rPr>
      </w:pPr>
      <w:r w:rsidRPr="761DD902">
        <w:rPr>
          <w:rFonts w:ascii="Times New Roman" w:hAnsi="Times New Roman"/>
        </w:rPr>
        <w:t>Pursuant to O.C.G.A. § 46-3A-4</w:t>
      </w:r>
      <w:r w:rsidRPr="0098520F">
        <w:rPr>
          <w:rFonts w:ascii="Times New Roman" w:hAnsi="Times New Roman"/>
        </w:rPr>
        <w:t>,</w:t>
      </w:r>
      <w:r w:rsidRPr="761DD902">
        <w:rPr>
          <w:rFonts w:ascii="Times New Roman" w:hAnsi="Times New Roman"/>
        </w:rPr>
        <w:t xml:space="preserve"> Georgia Power </w:t>
      </w:r>
      <w:r w:rsidR="00880574" w:rsidRPr="761DD902">
        <w:rPr>
          <w:rFonts w:ascii="Times New Roman" w:hAnsi="Times New Roman"/>
        </w:rPr>
        <w:t xml:space="preserve">now </w:t>
      </w:r>
      <w:r w:rsidRPr="761DD902">
        <w:rPr>
          <w:rFonts w:ascii="Times New Roman" w:hAnsi="Times New Roman"/>
        </w:rPr>
        <w:t>seeks to certify</w:t>
      </w:r>
      <w:r w:rsidR="00E24090" w:rsidRPr="761DD902">
        <w:rPr>
          <w:rFonts w:ascii="Times New Roman" w:hAnsi="Times New Roman"/>
        </w:rPr>
        <w:t xml:space="preserve"> </w:t>
      </w:r>
      <w:r w:rsidR="16DD4BE9" w:rsidRPr="761DD902">
        <w:rPr>
          <w:rFonts w:ascii="Times New Roman" w:hAnsi="Times New Roman"/>
        </w:rPr>
        <w:t>this</w:t>
      </w:r>
      <w:r w:rsidRPr="761DD902">
        <w:rPr>
          <w:rFonts w:ascii="Times New Roman" w:hAnsi="Times New Roman"/>
        </w:rPr>
        <w:t xml:space="preserve"> </w:t>
      </w:r>
      <w:r w:rsidR="00D81594" w:rsidRPr="761DD902">
        <w:rPr>
          <w:rFonts w:ascii="Times New Roman" w:hAnsi="Times New Roman"/>
        </w:rPr>
        <w:t xml:space="preserve">200 </w:t>
      </w:r>
      <w:r w:rsidRPr="761DD902">
        <w:rPr>
          <w:rFonts w:ascii="Times New Roman" w:hAnsi="Times New Roman"/>
        </w:rPr>
        <w:t xml:space="preserve">MW </w:t>
      </w:r>
      <w:r w:rsidR="00DA6D92">
        <w:rPr>
          <w:rFonts w:ascii="Times New Roman" w:hAnsi="Times New Roman"/>
        </w:rPr>
        <w:t xml:space="preserve">Twiggs County </w:t>
      </w:r>
      <w:r w:rsidR="00720F14" w:rsidRPr="761DD902">
        <w:rPr>
          <w:rFonts w:ascii="Times New Roman" w:hAnsi="Times New Roman"/>
        </w:rPr>
        <w:t>BESS</w:t>
      </w:r>
      <w:r w:rsidR="00055D2A" w:rsidRPr="761DD902">
        <w:rPr>
          <w:rFonts w:ascii="Times New Roman" w:hAnsi="Times New Roman"/>
        </w:rPr>
        <w:t xml:space="preserve"> resource</w:t>
      </w:r>
      <w:r w:rsidR="00887671">
        <w:rPr>
          <w:rFonts w:ascii="Times New Roman" w:hAnsi="Times New Roman"/>
        </w:rPr>
        <w:t>, which will be</w:t>
      </w:r>
      <w:r w:rsidR="00720F14" w:rsidRPr="761DD902">
        <w:rPr>
          <w:rFonts w:ascii="Times New Roman" w:hAnsi="Times New Roman"/>
        </w:rPr>
        <w:t xml:space="preserve"> paired with </w:t>
      </w:r>
      <w:r w:rsidR="001D5653">
        <w:rPr>
          <w:rFonts w:ascii="Times New Roman" w:hAnsi="Times New Roman"/>
        </w:rPr>
        <w:t xml:space="preserve">the </w:t>
      </w:r>
      <w:r w:rsidR="008C5B95">
        <w:rPr>
          <w:rFonts w:ascii="Times New Roman" w:hAnsi="Times New Roman"/>
        </w:rPr>
        <w:t xml:space="preserve">existing </w:t>
      </w:r>
      <w:r w:rsidR="0017265E">
        <w:rPr>
          <w:rFonts w:ascii="Times New Roman" w:hAnsi="Times New Roman"/>
        </w:rPr>
        <w:t>Twiggs County S</w:t>
      </w:r>
      <w:r w:rsidR="00720F14" w:rsidRPr="761DD902">
        <w:rPr>
          <w:rFonts w:ascii="Times New Roman" w:hAnsi="Times New Roman"/>
        </w:rPr>
        <w:t>olar</w:t>
      </w:r>
      <w:r w:rsidR="0017265E">
        <w:rPr>
          <w:rFonts w:ascii="Times New Roman" w:hAnsi="Times New Roman"/>
        </w:rPr>
        <w:t xml:space="preserve"> </w:t>
      </w:r>
      <w:r w:rsidR="00CD4BC3">
        <w:rPr>
          <w:rFonts w:ascii="Times New Roman" w:hAnsi="Times New Roman"/>
        </w:rPr>
        <w:t>resource</w:t>
      </w:r>
      <w:r w:rsidR="00580390" w:rsidRPr="761DD902">
        <w:rPr>
          <w:rFonts w:ascii="Times New Roman" w:hAnsi="Times New Roman"/>
        </w:rPr>
        <w:t>.</w:t>
      </w:r>
      <w:r w:rsidR="00796688" w:rsidRPr="761DD902">
        <w:rPr>
          <w:rFonts w:ascii="Times New Roman" w:hAnsi="Times New Roman"/>
        </w:rPr>
        <w:t xml:space="preserve"> Certifying </w:t>
      </w:r>
      <w:r w:rsidR="005E465C" w:rsidRPr="761DD902">
        <w:rPr>
          <w:rFonts w:ascii="Times New Roman" w:hAnsi="Times New Roman"/>
        </w:rPr>
        <w:t>this</w:t>
      </w:r>
      <w:r w:rsidR="00796688" w:rsidRPr="761DD902">
        <w:rPr>
          <w:rFonts w:ascii="Times New Roman" w:hAnsi="Times New Roman"/>
        </w:rPr>
        <w:t xml:space="preserve"> </w:t>
      </w:r>
      <w:r w:rsidR="00720F14" w:rsidRPr="761DD902">
        <w:rPr>
          <w:rFonts w:ascii="Times New Roman" w:hAnsi="Times New Roman"/>
        </w:rPr>
        <w:t>project</w:t>
      </w:r>
      <w:r w:rsidR="00796688" w:rsidRPr="761DD902">
        <w:rPr>
          <w:rFonts w:ascii="Times New Roman" w:hAnsi="Times New Roman"/>
        </w:rPr>
        <w:t xml:space="preserve"> will </w:t>
      </w:r>
      <w:r w:rsidR="003E478D">
        <w:rPr>
          <w:rFonts w:ascii="Times New Roman" w:hAnsi="Times New Roman"/>
        </w:rPr>
        <w:t>help meet</w:t>
      </w:r>
      <w:r w:rsidR="00055D2A" w:rsidRPr="761DD902">
        <w:rPr>
          <w:rFonts w:ascii="Times New Roman" w:hAnsi="Times New Roman"/>
        </w:rPr>
        <w:t xml:space="preserve"> the Company’s capacity needs</w:t>
      </w:r>
      <w:r w:rsidR="006C25BD">
        <w:rPr>
          <w:rFonts w:ascii="Times New Roman" w:hAnsi="Times New Roman"/>
        </w:rPr>
        <w:t xml:space="preserve"> </w:t>
      </w:r>
      <w:r w:rsidR="006C25BD" w:rsidRPr="761DD902">
        <w:rPr>
          <w:rFonts w:ascii="Times New Roman" w:hAnsi="Times New Roman"/>
        </w:rPr>
        <w:t xml:space="preserve">in a </w:t>
      </w:r>
      <w:r w:rsidR="008D08D1" w:rsidRPr="761DD902">
        <w:rPr>
          <w:rFonts w:ascii="Times New Roman" w:hAnsi="Times New Roman"/>
        </w:rPr>
        <w:t>cost</w:t>
      </w:r>
      <w:r w:rsidR="008D08D1">
        <w:rPr>
          <w:rFonts w:ascii="Times New Roman" w:hAnsi="Times New Roman"/>
        </w:rPr>
        <w:t>-</w:t>
      </w:r>
      <w:r w:rsidR="006C25BD" w:rsidRPr="761DD902">
        <w:rPr>
          <w:rFonts w:ascii="Times New Roman" w:hAnsi="Times New Roman"/>
        </w:rPr>
        <w:t>effective and efficient manner</w:t>
      </w:r>
      <w:r w:rsidR="003F4A00">
        <w:rPr>
          <w:rFonts w:ascii="Times New Roman" w:hAnsi="Times New Roman"/>
        </w:rPr>
        <w:t xml:space="preserve">, starting </w:t>
      </w:r>
      <w:r w:rsidR="003F4A00" w:rsidRPr="761DD902">
        <w:rPr>
          <w:rFonts w:ascii="Times New Roman" w:hAnsi="Times New Roman"/>
        </w:rPr>
        <w:t xml:space="preserve">in the Winter of 2027/2028 </w:t>
      </w:r>
      <w:r w:rsidR="00F9762D">
        <w:rPr>
          <w:rFonts w:ascii="Times New Roman" w:hAnsi="Times New Roman"/>
        </w:rPr>
        <w:t>and continuing</w:t>
      </w:r>
      <w:r w:rsidR="002457E9">
        <w:rPr>
          <w:rFonts w:ascii="Times New Roman" w:hAnsi="Times New Roman"/>
        </w:rPr>
        <w:t xml:space="preserve"> for decades to come</w:t>
      </w:r>
      <w:r w:rsidR="00055D2A" w:rsidRPr="761DD902">
        <w:rPr>
          <w:rFonts w:ascii="Times New Roman" w:hAnsi="Times New Roman"/>
        </w:rPr>
        <w:t xml:space="preserve">. </w:t>
      </w:r>
    </w:p>
    <w:p w14:paraId="6CAFF6AC" w14:textId="49108656" w:rsidR="00B10A3E" w:rsidRPr="00A70FEE" w:rsidRDefault="009A3A1A" w:rsidP="00D4372D">
      <w:pPr>
        <w:pStyle w:val="Heading2"/>
        <w:keepNext/>
        <w:tabs>
          <w:tab w:val="clear" w:pos="7362"/>
          <w:tab w:val="num" w:pos="882"/>
        </w:tabs>
        <w:spacing w:after="120" w:line="276" w:lineRule="auto"/>
        <w:ind w:left="0"/>
        <w:rPr>
          <w:b w:val="0"/>
        </w:rPr>
      </w:pPr>
      <w:bookmarkStart w:id="10" w:name="_Toc197703459"/>
      <w:bookmarkStart w:id="11" w:name="_Hlk19888286"/>
      <w:r>
        <w:t>Twiggs County BESS Project</w:t>
      </w:r>
      <w:bookmarkEnd w:id="10"/>
      <w:r w:rsidR="006C1576">
        <w:t xml:space="preserve"> </w:t>
      </w:r>
    </w:p>
    <w:p w14:paraId="520D74C3" w14:textId="6D151282" w:rsidR="00402199" w:rsidRDefault="00580390" w:rsidP="00D4372D">
      <w:pPr>
        <w:pStyle w:val="BodyText"/>
        <w:keepNext/>
        <w:spacing w:line="276" w:lineRule="auto"/>
        <w:rPr>
          <w:rFonts w:ascii="Times New Roman" w:hAnsi="Times New Roman"/>
          <w:szCs w:val="24"/>
        </w:rPr>
      </w:pPr>
      <w:r w:rsidRPr="00997935">
        <w:rPr>
          <w:rFonts w:ascii="Times New Roman" w:hAnsi="Times New Roman"/>
          <w:szCs w:val="24"/>
        </w:rPr>
        <w:t xml:space="preserve">Pursuant to the </w:t>
      </w:r>
      <w:r w:rsidR="009A183F">
        <w:rPr>
          <w:rFonts w:ascii="Times New Roman" w:hAnsi="Times New Roman"/>
          <w:szCs w:val="24"/>
        </w:rPr>
        <w:t>202</w:t>
      </w:r>
      <w:r w:rsidR="003D4E0F">
        <w:rPr>
          <w:rFonts w:ascii="Times New Roman" w:hAnsi="Times New Roman"/>
          <w:szCs w:val="24"/>
        </w:rPr>
        <w:t>3</w:t>
      </w:r>
      <w:r w:rsidR="009A183F">
        <w:rPr>
          <w:rFonts w:ascii="Times New Roman" w:hAnsi="Times New Roman"/>
          <w:szCs w:val="24"/>
        </w:rPr>
        <w:t xml:space="preserve"> IRP </w:t>
      </w:r>
      <w:r w:rsidR="003D4E0F">
        <w:rPr>
          <w:rFonts w:ascii="Times New Roman" w:hAnsi="Times New Roman"/>
          <w:szCs w:val="24"/>
        </w:rPr>
        <w:t xml:space="preserve">Update </w:t>
      </w:r>
      <w:r w:rsidR="009A183F">
        <w:rPr>
          <w:rFonts w:ascii="Times New Roman" w:hAnsi="Times New Roman"/>
          <w:szCs w:val="24"/>
        </w:rPr>
        <w:t>Final Order</w:t>
      </w:r>
      <w:r w:rsidRPr="00997935">
        <w:rPr>
          <w:rFonts w:ascii="Times New Roman" w:hAnsi="Times New Roman"/>
          <w:szCs w:val="24"/>
        </w:rPr>
        <w:t xml:space="preserve">, </w:t>
      </w:r>
      <w:r w:rsidR="00F56839">
        <w:rPr>
          <w:rFonts w:ascii="Times New Roman" w:hAnsi="Times New Roman"/>
          <w:szCs w:val="24"/>
        </w:rPr>
        <w:t xml:space="preserve">on </w:t>
      </w:r>
      <w:bookmarkStart w:id="12" w:name="_Hlk197362941"/>
      <w:r w:rsidR="00D61E39">
        <w:rPr>
          <w:rFonts w:ascii="Times New Roman" w:hAnsi="Times New Roman"/>
          <w:szCs w:val="24"/>
        </w:rPr>
        <w:t>August 9</w:t>
      </w:r>
      <w:r w:rsidR="003D4E0F">
        <w:rPr>
          <w:rFonts w:ascii="Times New Roman" w:hAnsi="Times New Roman"/>
          <w:szCs w:val="24"/>
        </w:rPr>
        <w:t>, 2024</w:t>
      </w:r>
      <w:bookmarkEnd w:id="12"/>
      <w:r w:rsidR="00F56839">
        <w:rPr>
          <w:rFonts w:ascii="Times New Roman" w:hAnsi="Times New Roman"/>
          <w:szCs w:val="24"/>
        </w:rPr>
        <w:t xml:space="preserve">, </w:t>
      </w:r>
      <w:r w:rsidR="00016B96">
        <w:rPr>
          <w:rFonts w:ascii="Times New Roman" w:hAnsi="Times New Roman"/>
          <w:szCs w:val="24"/>
        </w:rPr>
        <w:t xml:space="preserve">Georgia Power issued </w:t>
      </w:r>
      <w:r w:rsidR="00C7318C">
        <w:rPr>
          <w:rFonts w:ascii="Times New Roman" w:hAnsi="Times New Roman"/>
          <w:szCs w:val="24"/>
        </w:rPr>
        <w:t xml:space="preserve">the </w:t>
      </w:r>
      <w:r w:rsidR="003E7483">
        <w:rPr>
          <w:rFonts w:ascii="Times New Roman" w:hAnsi="Times New Roman"/>
          <w:szCs w:val="24"/>
        </w:rPr>
        <w:t>Winter 27_28 BESS RFP</w:t>
      </w:r>
      <w:r w:rsidR="00C7318C">
        <w:rPr>
          <w:rFonts w:ascii="Times New Roman" w:hAnsi="Times New Roman"/>
          <w:szCs w:val="24"/>
        </w:rPr>
        <w:t xml:space="preserve"> </w:t>
      </w:r>
      <w:r w:rsidR="00F56839">
        <w:rPr>
          <w:rFonts w:ascii="Times New Roman" w:hAnsi="Times New Roman"/>
          <w:szCs w:val="24"/>
        </w:rPr>
        <w:t>seeking</w:t>
      </w:r>
      <w:r w:rsidR="00C37BCA">
        <w:rPr>
          <w:rFonts w:ascii="Times New Roman" w:hAnsi="Times New Roman"/>
          <w:szCs w:val="24"/>
        </w:rPr>
        <w:t xml:space="preserve"> </w:t>
      </w:r>
      <w:r w:rsidR="000B7880">
        <w:rPr>
          <w:rFonts w:ascii="Times New Roman" w:hAnsi="Times New Roman"/>
          <w:szCs w:val="24"/>
        </w:rPr>
        <w:t xml:space="preserve">approximately </w:t>
      </w:r>
      <w:r w:rsidR="00402199">
        <w:rPr>
          <w:rFonts w:ascii="Times New Roman" w:hAnsi="Times New Roman"/>
          <w:szCs w:val="24"/>
        </w:rPr>
        <w:t>500</w:t>
      </w:r>
      <w:r w:rsidR="000B7880">
        <w:rPr>
          <w:rFonts w:ascii="Times New Roman" w:hAnsi="Times New Roman"/>
          <w:szCs w:val="24"/>
        </w:rPr>
        <w:t xml:space="preserve"> MW</w:t>
      </w:r>
      <w:r w:rsidR="00717F0C">
        <w:rPr>
          <w:rFonts w:ascii="Times New Roman" w:hAnsi="Times New Roman"/>
          <w:szCs w:val="24"/>
        </w:rPr>
        <w:t xml:space="preserve"> of capacity</w:t>
      </w:r>
      <w:r w:rsidR="000B7880">
        <w:rPr>
          <w:rFonts w:ascii="Times New Roman" w:hAnsi="Times New Roman"/>
          <w:szCs w:val="24"/>
        </w:rPr>
        <w:t xml:space="preserve">, with anticipated in-service dates </w:t>
      </w:r>
      <w:r w:rsidR="00402199">
        <w:rPr>
          <w:rFonts w:ascii="Times New Roman" w:hAnsi="Times New Roman"/>
          <w:szCs w:val="24"/>
        </w:rPr>
        <w:t>on or before November 30, 2027.</w:t>
      </w:r>
    </w:p>
    <w:p w14:paraId="02E37A05" w14:textId="2D1BA37E" w:rsidR="00B10A3E" w:rsidRPr="00285508" w:rsidRDefault="00EA410A" w:rsidP="00D4372D">
      <w:pPr>
        <w:pStyle w:val="BodyText"/>
        <w:tabs>
          <w:tab w:val="left" w:pos="5490"/>
        </w:tabs>
        <w:spacing w:line="276" w:lineRule="auto"/>
        <w:rPr>
          <w:rFonts w:ascii="Times New Roman" w:hAnsi="Times New Roman"/>
        </w:rPr>
      </w:pPr>
      <w:r>
        <w:rPr>
          <w:rFonts w:ascii="Times New Roman" w:hAnsi="Times New Roman"/>
          <w:szCs w:val="24"/>
        </w:rPr>
        <w:t xml:space="preserve">Following the conclusion of the </w:t>
      </w:r>
      <w:r w:rsidR="00402199">
        <w:rPr>
          <w:rFonts w:ascii="Times New Roman" w:hAnsi="Times New Roman"/>
          <w:szCs w:val="24"/>
        </w:rPr>
        <w:t>Winter 27_28 BESS RFP</w:t>
      </w:r>
      <w:r>
        <w:rPr>
          <w:rFonts w:ascii="Times New Roman" w:hAnsi="Times New Roman"/>
          <w:szCs w:val="24"/>
        </w:rPr>
        <w:t>, t</w:t>
      </w:r>
      <w:r w:rsidR="00580390" w:rsidRPr="007827CD">
        <w:rPr>
          <w:rFonts w:ascii="Times New Roman" w:hAnsi="Times New Roman"/>
          <w:szCs w:val="24"/>
        </w:rPr>
        <w:t xml:space="preserve">he Company </w:t>
      </w:r>
      <w:r w:rsidR="0077683F">
        <w:rPr>
          <w:rFonts w:ascii="Times New Roman" w:hAnsi="Times New Roman"/>
          <w:szCs w:val="24"/>
        </w:rPr>
        <w:t>is seeking</w:t>
      </w:r>
      <w:bookmarkEnd w:id="11"/>
      <w:r w:rsidR="0004734F">
        <w:rPr>
          <w:rFonts w:ascii="Times New Roman" w:hAnsi="Times New Roman"/>
          <w:szCs w:val="24"/>
        </w:rPr>
        <w:t xml:space="preserve"> c</w:t>
      </w:r>
      <w:r w:rsidR="00FF7F3C">
        <w:rPr>
          <w:rFonts w:ascii="Times New Roman" w:hAnsi="Times New Roman"/>
          <w:szCs w:val="24"/>
        </w:rPr>
        <w:t>ertification for</w:t>
      </w:r>
      <w:r w:rsidR="00DB736E">
        <w:rPr>
          <w:rFonts w:ascii="Times New Roman" w:hAnsi="Times New Roman"/>
          <w:szCs w:val="24"/>
        </w:rPr>
        <w:t xml:space="preserve"> </w:t>
      </w:r>
      <w:r w:rsidR="00B00FD7">
        <w:rPr>
          <w:rFonts w:ascii="Times New Roman" w:hAnsi="Times New Roman"/>
          <w:szCs w:val="24"/>
        </w:rPr>
        <w:t>a</w:t>
      </w:r>
      <w:r w:rsidR="00C949FD" w:rsidRPr="19077B72">
        <w:rPr>
          <w:rFonts w:ascii="Times New Roman" w:hAnsi="Times New Roman"/>
        </w:rPr>
        <w:t xml:space="preserve"> </w:t>
      </w:r>
      <w:r w:rsidR="00A24D61" w:rsidRPr="19077B72">
        <w:rPr>
          <w:rFonts w:ascii="Times New Roman" w:hAnsi="Times New Roman"/>
        </w:rPr>
        <w:t>200 MW BESS</w:t>
      </w:r>
      <w:r w:rsidR="00FF7F3C">
        <w:rPr>
          <w:rFonts w:ascii="Times New Roman" w:hAnsi="Times New Roman"/>
        </w:rPr>
        <w:t xml:space="preserve"> to be</w:t>
      </w:r>
      <w:r w:rsidR="00A24D61" w:rsidRPr="19077B72">
        <w:rPr>
          <w:rFonts w:ascii="Times New Roman" w:hAnsi="Times New Roman"/>
        </w:rPr>
        <w:t xml:space="preserve"> paired with </w:t>
      </w:r>
      <w:r w:rsidR="00F979D7">
        <w:rPr>
          <w:rFonts w:ascii="Times New Roman" w:hAnsi="Times New Roman"/>
        </w:rPr>
        <w:t>the</w:t>
      </w:r>
      <w:r w:rsidR="006A03C4">
        <w:rPr>
          <w:rFonts w:ascii="Times New Roman" w:hAnsi="Times New Roman"/>
        </w:rPr>
        <w:t xml:space="preserve"> existing</w:t>
      </w:r>
      <w:r w:rsidR="00F979D7">
        <w:rPr>
          <w:rFonts w:ascii="Times New Roman" w:hAnsi="Times New Roman"/>
        </w:rPr>
        <w:t xml:space="preserve"> 200 MW Twiggs County</w:t>
      </w:r>
      <w:r w:rsidR="00344F28">
        <w:rPr>
          <w:rFonts w:ascii="Times New Roman" w:hAnsi="Times New Roman"/>
        </w:rPr>
        <w:t xml:space="preserve"> solar facility</w:t>
      </w:r>
      <w:r w:rsidR="00D056D0" w:rsidRPr="19077B72">
        <w:rPr>
          <w:rFonts w:ascii="Times New Roman" w:hAnsi="Times New Roman"/>
        </w:rPr>
        <w:t xml:space="preserve">. </w:t>
      </w:r>
      <w:r w:rsidR="00580390" w:rsidRPr="19077B72">
        <w:rPr>
          <w:rFonts w:ascii="Times New Roman" w:hAnsi="Times New Roman"/>
        </w:rPr>
        <w:t>The</w:t>
      </w:r>
      <w:r w:rsidR="00F03669" w:rsidRPr="19077B72">
        <w:rPr>
          <w:rFonts w:ascii="Times New Roman" w:hAnsi="Times New Roman"/>
        </w:rPr>
        <w:t xml:space="preserve"> addition of </w:t>
      </w:r>
      <w:r w:rsidR="00432410" w:rsidRPr="19077B72">
        <w:rPr>
          <w:rFonts w:ascii="Times New Roman" w:hAnsi="Times New Roman"/>
        </w:rPr>
        <w:t>this</w:t>
      </w:r>
      <w:r w:rsidR="00580390" w:rsidRPr="19077B72">
        <w:rPr>
          <w:rFonts w:ascii="Times New Roman" w:hAnsi="Times New Roman"/>
        </w:rPr>
        <w:t xml:space="preserve"> new </w:t>
      </w:r>
      <w:r w:rsidR="00055D2A" w:rsidRPr="19077B72">
        <w:rPr>
          <w:rFonts w:ascii="Times New Roman" w:hAnsi="Times New Roman"/>
        </w:rPr>
        <w:t xml:space="preserve">capacity </w:t>
      </w:r>
      <w:r w:rsidR="00580390" w:rsidRPr="19077B72">
        <w:rPr>
          <w:rFonts w:ascii="Times New Roman" w:hAnsi="Times New Roman"/>
        </w:rPr>
        <w:t>resource</w:t>
      </w:r>
      <w:r w:rsidR="00055D2A" w:rsidRPr="19077B72">
        <w:rPr>
          <w:rFonts w:ascii="Times New Roman" w:hAnsi="Times New Roman"/>
        </w:rPr>
        <w:t xml:space="preserve"> will enable the Company to efficiently meet </w:t>
      </w:r>
      <w:r w:rsidR="00055D2A" w:rsidRPr="19077B72">
        <w:rPr>
          <w:rFonts w:ascii="Times New Roman" w:hAnsi="Times New Roman"/>
        </w:rPr>
        <w:lastRenderedPageBreak/>
        <w:t xml:space="preserve">customer capacity needs </w:t>
      </w:r>
      <w:r w:rsidR="00CE71D4">
        <w:rPr>
          <w:rFonts w:ascii="Times New Roman" w:hAnsi="Times New Roman"/>
        </w:rPr>
        <w:t xml:space="preserve">beginning </w:t>
      </w:r>
      <w:r w:rsidR="00055D2A" w:rsidRPr="19077B72">
        <w:rPr>
          <w:rFonts w:ascii="Times New Roman" w:hAnsi="Times New Roman"/>
        </w:rPr>
        <w:t xml:space="preserve">in the Winter of 2027/2028 in a </w:t>
      </w:r>
      <w:r w:rsidR="7A55512B" w:rsidRPr="19077B72">
        <w:rPr>
          <w:rFonts w:ascii="Times New Roman" w:hAnsi="Times New Roman"/>
        </w:rPr>
        <w:t>cost-effective</w:t>
      </w:r>
      <w:r w:rsidR="00055D2A" w:rsidRPr="19077B72">
        <w:rPr>
          <w:rFonts w:ascii="Times New Roman" w:hAnsi="Times New Roman"/>
        </w:rPr>
        <w:t xml:space="preserve"> manner. Further, the addition of a BESS resource at an existing solar site utilizes existing interconnection rights and </w:t>
      </w:r>
      <w:r w:rsidR="00C25807" w:rsidRPr="19077B72">
        <w:rPr>
          <w:rFonts w:ascii="Times New Roman" w:hAnsi="Times New Roman"/>
        </w:rPr>
        <w:t>enhances</w:t>
      </w:r>
      <w:r w:rsidR="00055D2A" w:rsidRPr="19077B72">
        <w:rPr>
          <w:rFonts w:ascii="Times New Roman" w:hAnsi="Times New Roman"/>
        </w:rPr>
        <w:t xml:space="preserve"> the </w:t>
      </w:r>
      <w:r w:rsidR="00C25807" w:rsidRPr="19077B72">
        <w:rPr>
          <w:rFonts w:ascii="Times New Roman" w:hAnsi="Times New Roman"/>
        </w:rPr>
        <w:t>value of existing solar resources on the Company’s system.</w:t>
      </w:r>
      <w:r w:rsidR="00580390" w:rsidRPr="19077B72">
        <w:rPr>
          <w:rFonts w:ascii="Times New Roman" w:hAnsi="Times New Roman"/>
        </w:rPr>
        <w:t xml:space="preserve"> The Company now seeks certification of this </w:t>
      </w:r>
      <w:r w:rsidR="006F2A0A" w:rsidRPr="19077B72">
        <w:rPr>
          <w:rFonts w:ascii="Times New Roman" w:hAnsi="Times New Roman"/>
        </w:rPr>
        <w:t>200</w:t>
      </w:r>
      <w:r w:rsidR="00201FE0" w:rsidRPr="19077B72">
        <w:rPr>
          <w:rFonts w:ascii="Times New Roman" w:hAnsi="Times New Roman"/>
        </w:rPr>
        <w:t xml:space="preserve"> </w:t>
      </w:r>
      <w:r w:rsidR="00480EE0" w:rsidRPr="19077B72">
        <w:rPr>
          <w:rFonts w:ascii="Times New Roman" w:hAnsi="Times New Roman"/>
        </w:rPr>
        <w:t xml:space="preserve">MW </w:t>
      </w:r>
      <w:r w:rsidR="009C44EC" w:rsidRPr="19077B72">
        <w:rPr>
          <w:rFonts w:ascii="Times New Roman" w:hAnsi="Times New Roman"/>
        </w:rPr>
        <w:t>project</w:t>
      </w:r>
      <w:r w:rsidR="003C2AF8" w:rsidRPr="19077B72">
        <w:rPr>
          <w:rFonts w:ascii="Times New Roman" w:hAnsi="Times New Roman"/>
        </w:rPr>
        <w:t>. C</w:t>
      </w:r>
      <w:r w:rsidR="00580390" w:rsidRPr="19077B72">
        <w:rPr>
          <w:rFonts w:ascii="Times New Roman" w:hAnsi="Times New Roman"/>
        </w:rPr>
        <w:t xml:space="preserve">ertification of the addition of </w:t>
      </w:r>
      <w:r w:rsidR="00EC7A28" w:rsidRPr="19077B72">
        <w:rPr>
          <w:rFonts w:ascii="Times New Roman" w:hAnsi="Times New Roman"/>
        </w:rPr>
        <w:t>th</w:t>
      </w:r>
      <w:r w:rsidR="003B7FBE" w:rsidRPr="19077B72">
        <w:rPr>
          <w:rFonts w:ascii="Times New Roman" w:hAnsi="Times New Roman"/>
        </w:rPr>
        <w:t>is</w:t>
      </w:r>
      <w:r w:rsidR="00EC7A28" w:rsidRPr="19077B72">
        <w:rPr>
          <w:rFonts w:ascii="Times New Roman" w:hAnsi="Times New Roman"/>
        </w:rPr>
        <w:t xml:space="preserve"> </w:t>
      </w:r>
      <w:r w:rsidR="00580390" w:rsidRPr="19077B72">
        <w:rPr>
          <w:rFonts w:ascii="Times New Roman" w:hAnsi="Times New Roman"/>
        </w:rPr>
        <w:t>new resource is appropriate under Georgia law and the Commission Rules.</w:t>
      </w:r>
    </w:p>
    <w:p w14:paraId="4C3F11D2" w14:textId="4B914E6F" w:rsidR="005775EE" w:rsidRDefault="00580390" w:rsidP="00D4372D">
      <w:pPr>
        <w:pStyle w:val="Heading1"/>
        <w:keepNext/>
        <w:tabs>
          <w:tab w:val="clear" w:pos="360"/>
          <w:tab w:val="num" w:pos="720"/>
        </w:tabs>
        <w:spacing w:before="120" w:after="120" w:line="276" w:lineRule="auto"/>
        <w:ind w:left="720" w:hanging="720"/>
      </w:pPr>
      <w:bookmarkStart w:id="13" w:name="_Toc197703460"/>
      <w:r w:rsidRPr="00340060">
        <w:t xml:space="preserve">Issuance of </w:t>
      </w:r>
      <w:r w:rsidR="001C0F0D">
        <w:t>Winter 27_28 BESS</w:t>
      </w:r>
      <w:r w:rsidR="005775EE">
        <w:t xml:space="preserve"> RFP</w:t>
      </w:r>
      <w:bookmarkEnd w:id="13"/>
      <w:r w:rsidR="005775EE">
        <w:t xml:space="preserve"> </w:t>
      </w:r>
    </w:p>
    <w:p w14:paraId="03D640BC" w14:textId="49FC3CB0" w:rsidR="001C0F0D" w:rsidRDefault="00C25807" w:rsidP="00D4372D">
      <w:pPr>
        <w:pStyle w:val="BalloonText"/>
        <w:spacing w:after="240" w:line="276" w:lineRule="auto"/>
        <w:ind w:firstLine="720"/>
        <w:jc w:val="both"/>
        <w:rPr>
          <w:rFonts w:ascii="Times New Roman" w:hAnsi="Times New Roman" w:cs="Times New Roman"/>
          <w:sz w:val="24"/>
          <w:szCs w:val="24"/>
        </w:rPr>
      </w:pPr>
      <w:r w:rsidRPr="19077B72">
        <w:rPr>
          <w:rFonts w:ascii="Times New Roman" w:hAnsi="Times New Roman" w:cs="Times New Roman"/>
          <w:sz w:val="24"/>
          <w:szCs w:val="24"/>
        </w:rPr>
        <w:t xml:space="preserve">The BESS project was procured through the Winter 27_28 BESS RFP, which was approved in the 2023 IRP Update Final Order. The Winter 27_28 BESS RFP, approved by the Commission at its August 6, 2024, Administrative Session, sought to procure up to 500 MW, with the final MW target to be determined by the Final </w:t>
      </w:r>
      <w:r w:rsidR="00015402">
        <w:rPr>
          <w:rFonts w:ascii="Times New Roman" w:hAnsi="Times New Roman" w:cs="Times New Roman"/>
          <w:sz w:val="24"/>
          <w:szCs w:val="24"/>
        </w:rPr>
        <w:t>Budget 2025 (“</w:t>
      </w:r>
      <w:r w:rsidRPr="19077B72">
        <w:rPr>
          <w:rFonts w:ascii="Times New Roman" w:hAnsi="Times New Roman" w:cs="Times New Roman"/>
          <w:sz w:val="24"/>
          <w:szCs w:val="24"/>
        </w:rPr>
        <w:t>B2025</w:t>
      </w:r>
      <w:r w:rsidR="00015402">
        <w:rPr>
          <w:rFonts w:ascii="Times New Roman" w:hAnsi="Times New Roman" w:cs="Times New Roman"/>
          <w:sz w:val="24"/>
          <w:szCs w:val="24"/>
        </w:rPr>
        <w:t>”)</w:t>
      </w:r>
      <w:r w:rsidRPr="19077B72">
        <w:rPr>
          <w:rFonts w:ascii="Times New Roman" w:hAnsi="Times New Roman" w:cs="Times New Roman"/>
          <w:sz w:val="24"/>
          <w:szCs w:val="24"/>
        </w:rPr>
        <w:t xml:space="preserve"> Load Forecast and ultimately decided at certification. </w:t>
      </w:r>
      <w:r w:rsidR="001C0F0D" w:rsidRPr="19077B72">
        <w:rPr>
          <w:rFonts w:ascii="Times New Roman" w:hAnsi="Times New Roman" w:cs="Times New Roman"/>
          <w:sz w:val="24"/>
          <w:szCs w:val="24"/>
        </w:rPr>
        <w:t xml:space="preserve">Attachment C to the 2023 IRP Update Final Order set forth the solicitation, product requirements, regulatory accommodations, and schedule for the Winter 27_28 BESS RFP. Specifically, the Winter 27_28 BESS RFP was designed to solicit resources that could achieve commercial operation no later than December 1, 2027, and was limited to those resources that (i) already had an Interconnection Agreement, (ii) were included in the Transitional Serial/Cluster Process, or (iii) qualified for Surplus Interconnection. Only submissions requiring minimal transmission improvements would be considered. </w:t>
      </w:r>
    </w:p>
    <w:p w14:paraId="23677DBA" w14:textId="60E75760" w:rsidR="001C0F0D" w:rsidRDefault="001C0F0D" w:rsidP="00D4372D">
      <w:pPr>
        <w:pStyle w:val="BalloonText"/>
        <w:spacing w:after="240" w:line="276" w:lineRule="auto"/>
        <w:ind w:firstLine="720"/>
        <w:jc w:val="both"/>
        <w:rPr>
          <w:rFonts w:ascii="Times New Roman" w:hAnsi="Times New Roman" w:cs="Times New Roman"/>
          <w:sz w:val="24"/>
          <w:szCs w:val="24"/>
        </w:rPr>
      </w:pPr>
      <w:r w:rsidRPr="2F879669">
        <w:rPr>
          <w:rFonts w:ascii="Times New Roman" w:hAnsi="Times New Roman" w:cs="Times New Roman"/>
          <w:sz w:val="24"/>
          <w:szCs w:val="24"/>
        </w:rPr>
        <w:t xml:space="preserve">Per the terms of the 2023 IRP Update Final Order, eligible resources for this expedited RFP </w:t>
      </w:r>
      <w:r w:rsidR="00C25807" w:rsidRPr="2F879669">
        <w:rPr>
          <w:rFonts w:ascii="Times New Roman" w:hAnsi="Times New Roman" w:cs="Times New Roman"/>
          <w:sz w:val="24"/>
          <w:szCs w:val="24"/>
        </w:rPr>
        <w:t>included four-hour BESS, sized 50 MW or greater</w:t>
      </w:r>
      <w:r w:rsidR="7E6F0855" w:rsidRPr="2F879669">
        <w:rPr>
          <w:rFonts w:ascii="Times New Roman" w:hAnsi="Times New Roman" w:cs="Times New Roman"/>
          <w:sz w:val="24"/>
          <w:szCs w:val="24"/>
        </w:rPr>
        <w:t>,</w:t>
      </w:r>
      <w:r w:rsidR="00C25807" w:rsidRPr="2F879669">
        <w:rPr>
          <w:rFonts w:ascii="Times New Roman" w:hAnsi="Times New Roman" w:cs="Times New Roman"/>
          <w:sz w:val="24"/>
          <w:szCs w:val="24"/>
        </w:rPr>
        <w:t xml:space="preserve"> that were</w:t>
      </w:r>
      <w:r w:rsidRPr="2F879669">
        <w:rPr>
          <w:rFonts w:ascii="Times New Roman" w:hAnsi="Times New Roman" w:cs="Times New Roman"/>
          <w:sz w:val="24"/>
          <w:szCs w:val="24"/>
        </w:rPr>
        <w:t xml:space="preserve"> interconnected to the Southern Company Transmission System, located within the state of Georgia, </w:t>
      </w:r>
      <w:r w:rsidR="00055D2A" w:rsidRPr="2F879669">
        <w:rPr>
          <w:rFonts w:ascii="Times New Roman" w:hAnsi="Times New Roman" w:cs="Times New Roman"/>
          <w:sz w:val="24"/>
          <w:szCs w:val="24"/>
        </w:rPr>
        <w:t xml:space="preserve">and </w:t>
      </w:r>
      <w:r w:rsidRPr="2F879669">
        <w:rPr>
          <w:rFonts w:ascii="Times New Roman" w:hAnsi="Times New Roman" w:cs="Times New Roman"/>
          <w:sz w:val="24"/>
          <w:szCs w:val="24"/>
        </w:rPr>
        <w:t>designed to operate from Automatic Generation Control (“AG</w:t>
      </w:r>
      <w:r w:rsidR="00055D2A" w:rsidRPr="2F879669">
        <w:rPr>
          <w:rFonts w:ascii="Times New Roman" w:hAnsi="Times New Roman" w:cs="Times New Roman"/>
          <w:sz w:val="24"/>
          <w:szCs w:val="24"/>
        </w:rPr>
        <w:t>C</w:t>
      </w:r>
      <w:r w:rsidRPr="2F879669">
        <w:rPr>
          <w:rFonts w:ascii="Times New Roman" w:hAnsi="Times New Roman" w:cs="Times New Roman"/>
          <w:sz w:val="24"/>
          <w:szCs w:val="24"/>
        </w:rPr>
        <w:t>”)</w:t>
      </w:r>
      <w:r w:rsidR="00055D2A" w:rsidRPr="2F879669">
        <w:rPr>
          <w:rFonts w:ascii="Times New Roman" w:hAnsi="Times New Roman" w:cs="Times New Roman"/>
          <w:sz w:val="24"/>
          <w:szCs w:val="24"/>
        </w:rPr>
        <w:t xml:space="preserve">. Eligible BESS resources </w:t>
      </w:r>
      <w:r w:rsidR="00C25807" w:rsidRPr="2F879669">
        <w:rPr>
          <w:rFonts w:ascii="Times New Roman" w:hAnsi="Times New Roman" w:cs="Times New Roman"/>
          <w:sz w:val="24"/>
          <w:szCs w:val="24"/>
        </w:rPr>
        <w:t xml:space="preserve">were limited to (1) </w:t>
      </w:r>
      <w:r w:rsidR="00235D0F">
        <w:rPr>
          <w:rFonts w:ascii="Times New Roman" w:hAnsi="Times New Roman" w:cs="Times New Roman"/>
          <w:sz w:val="24"/>
          <w:szCs w:val="24"/>
        </w:rPr>
        <w:t>n</w:t>
      </w:r>
      <w:r w:rsidR="00235D0F" w:rsidRPr="2F879669">
        <w:rPr>
          <w:rFonts w:ascii="Times New Roman" w:hAnsi="Times New Roman" w:cs="Times New Roman"/>
          <w:sz w:val="24"/>
          <w:szCs w:val="24"/>
        </w:rPr>
        <w:t xml:space="preserve">ew </w:t>
      </w:r>
      <w:r w:rsidR="00C25807" w:rsidRPr="2F879669">
        <w:rPr>
          <w:rFonts w:ascii="Times New Roman" w:hAnsi="Times New Roman" w:cs="Times New Roman"/>
          <w:sz w:val="24"/>
          <w:szCs w:val="24"/>
        </w:rPr>
        <w:t xml:space="preserve">BESS at existing or previously certified solar sites that have points of interconnection (“POI”) to allow winter discharge of the battery either through a Power Purchase Agreement (“PPA”) or through a Build Transfer Agreement (“BTA”), or (2) </w:t>
      </w:r>
      <w:r w:rsidR="00235D0F">
        <w:rPr>
          <w:rFonts w:ascii="Times New Roman" w:hAnsi="Times New Roman" w:cs="Times New Roman"/>
          <w:sz w:val="24"/>
          <w:szCs w:val="24"/>
        </w:rPr>
        <w:t>a</w:t>
      </w:r>
      <w:r w:rsidR="00235D0F" w:rsidRPr="2F879669">
        <w:rPr>
          <w:rFonts w:ascii="Times New Roman" w:hAnsi="Times New Roman" w:cs="Times New Roman"/>
          <w:sz w:val="24"/>
          <w:szCs w:val="24"/>
        </w:rPr>
        <w:t xml:space="preserve">ny </w:t>
      </w:r>
      <w:r w:rsidR="00C25807" w:rsidRPr="2F879669">
        <w:rPr>
          <w:rFonts w:ascii="Times New Roman" w:hAnsi="Times New Roman" w:cs="Times New Roman"/>
          <w:sz w:val="24"/>
          <w:szCs w:val="24"/>
        </w:rPr>
        <w:t>standalone BESS resource with a transmission interconnection study that is completed or is in progress and requires minimal transmission improvements. For BESS paired with solar, only BESS sized between 50% and 100% of the renewable resource located at the same POI would be considered.</w:t>
      </w:r>
    </w:p>
    <w:p w14:paraId="16D4F5A8" w14:textId="34CB9B0C" w:rsidR="00DC4B5B" w:rsidRDefault="00C25807" w:rsidP="00D4372D">
      <w:pPr>
        <w:pStyle w:val="BalloonText"/>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To expedite the solicitation process</w:t>
      </w:r>
      <w:r w:rsidR="00055B73">
        <w:rPr>
          <w:rFonts w:ascii="Times New Roman" w:hAnsi="Times New Roman" w:cs="Times New Roman"/>
          <w:sz w:val="24"/>
          <w:szCs w:val="24"/>
        </w:rPr>
        <w:t>, the Commission approved the use of the current Independent Evaluator</w:t>
      </w:r>
      <w:r w:rsidR="002535CC">
        <w:rPr>
          <w:rFonts w:ascii="Times New Roman" w:hAnsi="Times New Roman" w:cs="Times New Roman"/>
          <w:sz w:val="24"/>
          <w:szCs w:val="24"/>
        </w:rPr>
        <w:t xml:space="preserve"> (“IE”)</w:t>
      </w:r>
      <w:r w:rsidR="00055B73">
        <w:rPr>
          <w:rFonts w:ascii="Times New Roman" w:hAnsi="Times New Roman" w:cs="Times New Roman"/>
          <w:sz w:val="24"/>
          <w:szCs w:val="24"/>
        </w:rPr>
        <w:t xml:space="preserve"> overseeing the 2029-2031 All-Source RFP</w:t>
      </w:r>
      <w:r w:rsidR="00AC0676">
        <w:rPr>
          <w:rFonts w:ascii="Times New Roman" w:hAnsi="Times New Roman" w:cs="Times New Roman"/>
          <w:sz w:val="24"/>
          <w:szCs w:val="24"/>
        </w:rPr>
        <w:t>, Accion Group, LLC, for the Winter 27_28 BESS RFP</w:t>
      </w:r>
      <w:r w:rsidR="00055B73">
        <w:rPr>
          <w:rFonts w:ascii="Times New Roman" w:hAnsi="Times New Roman" w:cs="Times New Roman"/>
          <w:sz w:val="24"/>
          <w:szCs w:val="24"/>
        </w:rPr>
        <w:t xml:space="preserve">. In addition, the Commission reduced the 120-day requirement between sharing draft documents with Commission Staff and issuing the RFP and reduced the six-month requirement between RFP Service Date and Issue Date. Due to the use of the Commission-approved All-Source RFP documents, no comment period was accommodated for the Winter 27_28 BESS RFP. No Bid Refresh process was used either. </w:t>
      </w:r>
    </w:p>
    <w:p w14:paraId="5603B948" w14:textId="2C43CEFD" w:rsidR="00A3241D" w:rsidRDefault="00A06182" w:rsidP="00D4372D">
      <w:pPr>
        <w:pStyle w:val="BalloonText"/>
        <w:spacing w:after="240" w:line="276" w:lineRule="auto"/>
        <w:ind w:firstLine="720"/>
        <w:jc w:val="both"/>
        <w:rPr>
          <w:rFonts w:ascii="Times New Roman" w:hAnsi="Times New Roman" w:cs="Times New Roman"/>
          <w:sz w:val="24"/>
          <w:szCs w:val="24"/>
        </w:rPr>
      </w:pPr>
      <w:r w:rsidRPr="19077B72">
        <w:rPr>
          <w:rFonts w:ascii="Times New Roman" w:hAnsi="Times New Roman" w:cs="Times New Roman"/>
          <w:sz w:val="24"/>
          <w:szCs w:val="24"/>
        </w:rPr>
        <w:t>O</w:t>
      </w:r>
      <w:r w:rsidR="00580390" w:rsidRPr="19077B72">
        <w:rPr>
          <w:rFonts w:ascii="Times New Roman" w:hAnsi="Times New Roman" w:cs="Times New Roman"/>
          <w:sz w:val="24"/>
          <w:szCs w:val="24"/>
        </w:rPr>
        <w:t xml:space="preserve">n </w:t>
      </w:r>
      <w:r w:rsidR="00E66C4C" w:rsidRPr="19077B72">
        <w:rPr>
          <w:rFonts w:ascii="Times New Roman" w:hAnsi="Times New Roman" w:cs="Times New Roman"/>
          <w:sz w:val="24"/>
          <w:szCs w:val="24"/>
        </w:rPr>
        <w:t>July 22</w:t>
      </w:r>
      <w:r w:rsidR="000F0E06" w:rsidRPr="19077B72">
        <w:rPr>
          <w:rFonts w:ascii="Times New Roman" w:hAnsi="Times New Roman" w:cs="Times New Roman"/>
          <w:sz w:val="24"/>
          <w:szCs w:val="24"/>
        </w:rPr>
        <w:t>, 202</w:t>
      </w:r>
      <w:r w:rsidRPr="19077B72">
        <w:rPr>
          <w:rFonts w:ascii="Times New Roman" w:hAnsi="Times New Roman" w:cs="Times New Roman"/>
          <w:sz w:val="24"/>
          <w:szCs w:val="24"/>
        </w:rPr>
        <w:t>4</w:t>
      </w:r>
      <w:r w:rsidR="000F0E06" w:rsidRPr="19077B72">
        <w:rPr>
          <w:rFonts w:ascii="Times New Roman" w:hAnsi="Times New Roman" w:cs="Times New Roman"/>
          <w:sz w:val="24"/>
          <w:szCs w:val="24"/>
        </w:rPr>
        <w:t>,</w:t>
      </w:r>
      <w:r w:rsidR="00580390" w:rsidRPr="19077B72">
        <w:rPr>
          <w:rFonts w:ascii="Times New Roman" w:hAnsi="Times New Roman" w:cs="Times New Roman"/>
          <w:sz w:val="24"/>
          <w:szCs w:val="24"/>
        </w:rPr>
        <w:t xml:space="preserve"> the Company filed the </w:t>
      </w:r>
      <w:r w:rsidR="000F0E06" w:rsidRPr="19077B72">
        <w:rPr>
          <w:rFonts w:ascii="Times New Roman" w:hAnsi="Times New Roman" w:cs="Times New Roman"/>
          <w:sz w:val="24"/>
          <w:szCs w:val="24"/>
        </w:rPr>
        <w:t>final</w:t>
      </w:r>
      <w:r w:rsidR="00580390" w:rsidRPr="19077B72">
        <w:rPr>
          <w:rFonts w:ascii="Times New Roman" w:hAnsi="Times New Roman" w:cs="Times New Roman"/>
          <w:sz w:val="24"/>
          <w:szCs w:val="24"/>
        </w:rPr>
        <w:t xml:space="preserve"> </w:t>
      </w:r>
      <w:r w:rsidR="00055B73" w:rsidRPr="19077B72">
        <w:rPr>
          <w:rFonts w:ascii="Times New Roman" w:hAnsi="Times New Roman" w:cs="Times New Roman"/>
          <w:sz w:val="24"/>
          <w:szCs w:val="24"/>
        </w:rPr>
        <w:t xml:space="preserve">Winter 27_28 BESS </w:t>
      </w:r>
      <w:r w:rsidR="00580390" w:rsidRPr="19077B72">
        <w:rPr>
          <w:rFonts w:ascii="Times New Roman" w:hAnsi="Times New Roman" w:cs="Times New Roman"/>
          <w:sz w:val="24"/>
          <w:szCs w:val="24"/>
        </w:rPr>
        <w:t>RFP Documents</w:t>
      </w:r>
      <w:r w:rsidR="00E66C4C" w:rsidRPr="19077B72">
        <w:rPr>
          <w:rFonts w:ascii="Times New Roman" w:hAnsi="Times New Roman" w:cs="Times New Roman"/>
          <w:sz w:val="24"/>
          <w:szCs w:val="24"/>
        </w:rPr>
        <w:t>, including copies of the pro forma Winter 27_28 BESS PPA and BTA</w:t>
      </w:r>
      <w:r w:rsidR="00580390" w:rsidRPr="19077B72">
        <w:rPr>
          <w:rFonts w:ascii="Times New Roman" w:hAnsi="Times New Roman" w:cs="Times New Roman"/>
          <w:sz w:val="24"/>
          <w:szCs w:val="24"/>
        </w:rPr>
        <w:t>.</w:t>
      </w:r>
      <w:r w:rsidR="00CF3D8D" w:rsidRPr="19077B72">
        <w:rPr>
          <w:rFonts w:ascii="Times New Roman" w:hAnsi="Times New Roman" w:cs="Times New Roman"/>
          <w:sz w:val="24"/>
          <w:szCs w:val="24"/>
        </w:rPr>
        <w:t xml:space="preserve"> The Commission approved the RFP Documents, </w:t>
      </w:r>
      <w:r w:rsidR="0069618D" w:rsidRPr="19077B72">
        <w:rPr>
          <w:rFonts w:ascii="Times New Roman" w:hAnsi="Times New Roman" w:cs="Times New Roman"/>
          <w:sz w:val="24"/>
          <w:szCs w:val="24"/>
        </w:rPr>
        <w:t xml:space="preserve">with minor </w:t>
      </w:r>
      <w:r w:rsidR="00CF3D8D" w:rsidRPr="19077B72">
        <w:rPr>
          <w:rFonts w:ascii="Times New Roman" w:hAnsi="Times New Roman" w:cs="Times New Roman"/>
          <w:sz w:val="24"/>
          <w:szCs w:val="24"/>
        </w:rPr>
        <w:t>modifi</w:t>
      </w:r>
      <w:r w:rsidR="0069618D" w:rsidRPr="19077B72">
        <w:rPr>
          <w:rFonts w:ascii="Times New Roman" w:hAnsi="Times New Roman" w:cs="Times New Roman"/>
          <w:sz w:val="24"/>
          <w:szCs w:val="24"/>
        </w:rPr>
        <w:t>cations</w:t>
      </w:r>
      <w:r w:rsidR="00CF3D8D" w:rsidRPr="19077B72">
        <w:rPr>
          <w:rFonts w:ascii="Times New Roman" w:hAnsi="Times New Roman" w:cs="Times New Roman"/>
          <w:sz w:val="24"/>
          <w:szCs w:val="24"/>
        </w:rPr>
        <w:t xml:space="preserve">, on </w:t>
      </w:r>
      <w:r w:rsidR="00BF0BE6" w:rsidRPr="19077B72">
        <w:rPr>
          <w:rFonts w:ascii="Times New Roman" w:hAnsi="Times New Roman" w:cs="Times New Roman"/>
          <w:sz w:val="24"/>
          <w:szCs w:val="24"/>
        </w:rPr>
        <w:t>August 8, 2024</w:t>
      </w:r>
      <w:r w:rsidR="00CF3D8D" w:rsidRPr="19077B72">
        <w:rPr>
          <w:rFonts w:ascii="Times New Roman" w:hAnsi="Times New Roman" w:cs="Times New Roman"/>
          <w:sz w:val="24"/>
          <w:szCs w:val="24"/>
        </w:rPr>
        <w:t>.</w:t>
      </w:r>
      <w:r w:rsidR="006169B1" w:rsidRPr="19077B72">
        <w:rPr>
          <w:rFonts w:ascii="Times New Roman" w:hAnsi="Times New Roman" w:cs="Times New Roman"/>
          <w:sz w:val="24"/>
          <w:szCs w:val="24"/>
        </w:rPr>
        <w:t xml:space="preserve"> </w:t>
      </w:r>
      <w:r w:rsidR="00C7469C" w:rsidRPr="19077B72">
        <w:rPr>
          <w:rFonts w:ascii="Times New Roman" w:hAnsi="Times New Roman" w:cs="Times New Roman"/>
          <w:sz w:val="24"/>
          <w:szCs w:val="24"/>
        </w:rPr>
        <w:t xml:space="preserve">Georgia Power issued the </w:t>
      </w:r>
      <w:r w:rsidR="00D476D1" w:rsidRPr="19077B72">
        <w:rPr>
          <w:rFonts w:ascii="Times New Roman" w:hAnsi="Times New Roman" w:cs="Times New Roman"/>
          <w:sz w:val="24"/>
          <w:szCs w:val="24"/>
        </w:rPr>
        <w:lastRenderedPageBreak/>
        <w:t xml:space="preserve">Winter 27_28 BESS RFP </w:t>
      </w:r>
      <w:r w:rsidR="00C7469C" w:rsidRPr="19077B72">
        <w:rPr>
          <w:rFonts w:ascii="Times New Roman" w:hAnsi="Times New Roman" w:cs="Times New Roman"/>
          <w:sz w:val="24"/>
          <w:szCs w:val="24"/>
        </w:rPr>
        <w:t>on</w:t>
      </w:r>
      <w:r w:rsidR="00E413D8" w:rsidRPr="19077B72">
        <w:rPr>
          <w:rFonts w:ascii="Times New Roman" w:hAnsi="Times New Roman" w:cs="Times New Roman"/>
          <w:sz w:val="24"/>
          <w:szCs w:val="24"/>
        </w:rPr>
        <w:t xml:space="preserve"> August 9, 2024</w:t>
      </w:r>
      <w:r w:rsidR="0069618D" w:rsidRPr="19077B72">
        <w:rPr>
          <w:rFonts w:ascii="Times New Roman" w:hAnsi="Times New Roman" w:cs="Times New Roman"/>
          <w:sz w:val="24"/>
          <w:szCs w:val="24"/>
        </w:rPr>
        <w:t>. Any</w:t>
      </w:r>
      <w:r w:rsidR="00C7469C" w:rsidRPr="19077B72">
        <w:rPr>
          <w:rFonts w:ascii="Times New Roman" w:hAnsi="Times New Roman" w:cs="Times New Roman"/>
          <w:sz w:val="24"/>
          <w:szCs w:val="24"/>
        </w:rPr>
        <w:t xml:space="preserve"> </w:t>
      </w:r>
      <w:r w:rsidR="00497BCA" w:rsidRPr="19077B72">
        <w:rPr>
          <w:rFonts w:ascii="Times New Roman" w:hAnsi="Times New Roman" w:cs="Times New Roman"/>
          <w:sz w:val="24"/>
          <w:szCs w:val="24"/>
        </w:rPr>
        <w:t>Company-</w:t>
      </w:r>
      <w:r w:rsidR="6BBB4294" w:rsidRPr="19077B72">
        <w:rPr>
          <w:rFonts w:ascii="Times New Roman" w:hAnsi="Times New Roman" w:cs="Times New Roman"/>
          <w:sz w:val="24"/>
          <w:szCs w:val="24"/>
        </w:rPr>
        <w:t>o</w:t>
      </w:r>
      <w:r w:rsidR="00497BCA" w:rsidRPr="19077B72">
        <w:rPr>
          <w:rFonts w:ascii="Times New Roman" w:hAnsi="Times New Roman" w:cs="Times New Roman"/>
          <w:sz w:val="24"/>
          <w:szCs w:val="24"/>
        </w:rPr>
        <w:t xml:space="preserve">wned Proposals </w:t>
      </w:r>
      <w:r w:rsidR="000C5407" w:rsidRPr="19077B72">
        <w:rPr>
          <w:rFonts w:ascii="Times New Roman" w:hAnsi="Times New Roman" w:cs="Times New Roman"/>
          <w:sz w:val="24"/>
          <w:szCs w:val="24"/>
        </w:rPr>
        <w:t xml:space="preserve">were required to </w:t>
      </w:r>
      <w:r w:rsidR="00497BCA" w:rsidRPr="19077B72">
        <w:rPr>
          <w:rFonts w:ascii="Times New Roman" w:hAnsi="Times New Roman" w:cs="Times New Roman"/>
          <w:sz w:val="24"/>
          <w:szCs w:val="24"/>
        </w:rPr>
        <w:t xml:space="preserve">be submitted by September 13, 2024, </w:t>
      </w:r>
      <w:r w:rsidR="000C5407" w:rsidRPr="19077B72">
        <w:rPr>
          <w:rFonts w:ascii="Times New Roman" w:hAnsi="Times New Roman" w:cs="Times New Roman"/>
          <w:sz w:val="24"/>
          <w:szCs w:val="24"/>
        </w:rPr>
        <w:t xml:space="preserve">with </w:t>
      </w:r>
      <w:r w:rsidR="00497BCA" w:rsidRPr="19077B72">
        <w:rPr>
          <w:rFonts w:ascii="Times New Roman" w:hAnsi="Times New Roman" w:cs="Times New Roman"/>
          <w:sz w:val="24"/>
          <w:szCs w:val="24"/>
        </w:rPr>
        <w:t>all other bids submitted by September 16, 2024.</w:t>
      </w:r>
    </w:p>
    <w:p w14:paraId="41C92F80" w14:textId="3BEBE22C" w:rsidR="009F2470" w:rsidRDefault="00952716" w:rsidP="00D4372D">
      <w:pPr>
        <w:pStyle w:val="BalloonText"/>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9F2470" w:rsidRPr="00FA27F9">
        <w:rPr>
          <w:rFonts w:ascii="Times New Roman" w:hAnsi="Times New Roman" w:cs="Times New Roman"/>
          <w:sz w:val="24"/>
          <w:szCs w:val="24"/>
        </w:rPr>
        <w:t xml:space="preserve">uring the August 6, 2024, </w:t>
      </w:r>
      <w:r w:rsidR="009F2470">
        <w:rPr>
          <w:rFonts w:ascii="Times New Roman" w:hAnsi="Times New Roman" w:cs="Times New Roman"/>
          <w:sz w:val="24"/>
          <w:szCs w:val="24"/>
        </w:rPr>
        <w:t>A</w:t>
      </w:r>
      <w:r w:rsidR="009F2470" w:rsidRPr="00FA27F9">
        <w:rPr>
          <w:rFonts w:ascii="Times New Roman" w:hAnsi="Times New Roman" w:cs="Times New Roman"/>
          <w:sz w:val="24"/>
          <w:szCs w:val="24"/>
        </w:rPr>
        <w:t xml:space="preserve">dministrative </w:t>
      </w:r>
      <w:r w:rsidR="009F2470">
        <w:rPr>
          <w:rFonts w:ascii="Times New Roman" w:hAnsi="Times New Roman" w:cs="Times New Roman"/>
          <w:sz w:val="24"/>
          <w:szCs w:val="24"/>
        </w:rPr>
        <w:t>S</w:t>
      </w:r>
      <w:r w:rsidR="009F2470" w:rsidRPr="00FA27F9">
        <w:rPr>
          <w:rFonts w:ascii="Times New Roman" w:hAnsi="Times New Roman" w:cs="Times New Roman"/>
          <w:sz w:val="24"/>
          <w:szCs w:val="24"/>
        </w:rPr>
        <w:t xml:space="preserve">ession of the Commission, the Commission approved: (i) a motion to remove the Netherlands from the list of restricted countries included in the BESS requirements language; and (ii) an amendment to the motion that in the event of any terrorist action, cyber security, or mechanical failure as a result of sourcing equipment from the Netherlands, the supplier of the material or part will be responsible for any and all cost to </w:t>
      </w:r>
      <w:r w:rsidR="009F2470">
        <w:rPr>
          <w:rFonts w:ascii="Times New Roman" w:hAnsi="Times New Roman" w:cs="Times New Roman"/>
          <w:sz w:val="24"/>
          <w:szCs w:val="24"/>
        </w:rPr>
        <w:t>Georgia Power</w:t>
      </w:r>
      <w:r w:rsidR="009F2470" w:rsidRPr="00FA27F9">
        <w:rPr>
          <w:rFonts w:ascii="Times New Roman" w:hAnsi="Times New Roman" w:cs="Times New Roman"/>
          <w:sz w:val="24"/>
          <w:szCs w:val="24"/>
        </w:rPr>
        <w:t xml:space="preserve"> and their customers.</w:t>
      </w:r>
      <w:r w:rsidR="009F2470">
        <w:rPr>
          <w:rFonts w:ascii="Times New Roman" w:hAnsi="Times New Roman" w:cs="Times New Roman"/>
          <w:sz w:val="24"/>
          <w:szCs w:val="24"/>
        </w:rPr>
        <w:t xml:space="preserve"> This language was sought to be changed in the CARES 2023 Utility Scale RFP </w:t>
      </w:r>
      <w:r w:rsidR="00DD6CBC">
        <w:rPr>
          <w:rFonts w:ascii="Times New Roman" w:hAnsi="Times New Roman" w:cs="Times New Roman"/>
          <w:sz w:val="24"/>
          <w:szCs w:val="24"/>
        </w:rPr>
        <w:t>(“CARES 2023 RFP”)</w:t>
      </w:r>
      <w:r w:rsidR="009F2470">
        <w:rPr>
          <w:rFonts w:ascii="Times New Roman" w:hAnsi="Times New Roman" w:cs="Times New Roman"/>
          <w:sz w:val="24"/>
          <w:szCs w:val="24"/>
        </w:rPr>
        <w:t xml:space="preserve"> and all other active and future Company RFPs, including the Winter 27_28 BESS RFP.</w:t>
      </w:r>
      <w:r w:rsidR="009F2470" w:rsidRPr="00FA27F9">
        <w:rPr>
          <w:rFonts w:ascii="Times New Roman" w:hAnsi="Times New Roman" w:cs="Times New Roman"/>
          <w:sz w:val="24"/>
          <w:szCs w:val="24"/>
        </w:rPr>
        <w:t xml:space="preserve"> On September 17, 2024, the Commission approved </w:t>
      </w:r>
      <w:r w:rsidR="009F2470">
        <w:rPr>
          <w:rFonts w:ascii="Times New Roman" w:hAnsi="Times New Roman" w:cs="Times New Roman"/>
          <w:sz w:val="24"/>
          <w:szCs w:val="24"/>
        </w:rPr>
        <w:t>the Company’s</w:t>
      </w:r>
      <w:r w:rsidR="009F2470" w:rsidRPr="00FA27F9">
        <w:rPr>
          <w:rFonts w:ascii="Times New Roman" w:hAnsi="Times New Roman" w:cs="Times New Roman"/>
          <w:sz w:val="24"/>
          <w:szCs w:val="24"/>
        </w:rPr>
        <w:t xml:space="preserve"> Compliance Filing that, among other things, clarified the August 6, 2024 amendment (Item (ii) above) to require that if any cost is caused by a terrorist act, cyber security incident, or mechanical failure that results from any programmable electronic component of a Battery Management System, BESS Controller, or Site Controller sourced from the Netherlands, the counterparty with whom </w:t>
      </w:r>
      <w:r w:rsidR="009F2470">
        <w:rPr>
          <w:rFonts w:ascii="Times New Roman" w:hAnsi="Times New Roman" w:cs="Times New Roman"/>
          <w:sz w:val="24"/>
          <w:szCs w:val="24"/>
        </w:rPr>
        <w:t>Georgia Power</w:t>
      </w:r>
      <w:r w:rsidR="009F2470" w:rsidRPr="00FA27F9">
        <w:rPr>
          <w:rFonts w:ascii="Times New Roman" w:hAnsi="Times New Roman" w:cs="Times New Roman"/>
          <w:sz w:val="24"/>
          <w:szCs w:val="24"/>
        </w:rPr>
        <w:t xml:space="preserve"> is contracting under the applicable RFP will be responsible for all damages allowed under Georgia law to </w:t>
      </w:r>
      <w:r w:rsidR="009F2470">
        <w:rPr>
          <w:rFonts w:ascii="Times New Roman" w:hAnsi="Times New Roman" w:cs="Times New Roman"/>
          <w:sz w:val="24"/>
          <w:szCs w:val="24"/>
        </w:rPr>
        <w:t>the Company</w:t>
      </w:r>
      <w:r w:rsidR="009F2470" w:rsidRPr="00FA27F9">
        <w:rPr>
          <w:rFonts w:ascii="Times New Roman" w:hAnsi="Times New Roman" w:cs="Times New Roman"/>
          <w:sz w:val="24"/>
          <w:szCs w:val="24"/>
        </w:rPr>
        <w:t xml:space="preserve"> or its customers. </w:t>
      </w:r>
      <w:r w:rsidR="009F2470" w:rsidRPr="00786929">
        <w:rPr>
          <w:rFonts w:ascii="Times New Roman" w:hAnsi="Times New Roman" w:cs="Times New Roman"/>
          <w:sz w:val="24"/>
          <w:szCs w:val="24"/>
        </w:rPr>
        <w:t>On August 2</w:t>
      </w:r>
      <w:r w:rsidR="009F2470">
        <w:rPr>
          <w:rFonts w:ascii="Times New Roman" w:hAnsi="Times New Roman" w:cs="Times New Roman"/>
          <w:sz w:val="24"/>
          <w:szCs w:val="24"/>
        </w:rPr>
        <w:t>3</w:t>
      </w:r>
      <w:r w:rsidR="009F2470" w:rsidRPr="00786929">
        <w:rPr>
          <w:rFonts w:ascii="Times New Roman" w:hAnsi="Times New Roman" w:cs="Times New Roman"/>
          <w:sz w:val="24"/>
          <w:szCs w:val="24"/>
        </w:rPr>
        <w:t>, 2024, the Company filed revised RFP Documents. The Commission approved the Company’s compliance filing with modification on September 24, 2024.</w:t>
      </w:r>
    </w:p>
    <w:p w14:paraId="327C4A5F" w14:textId="77777777" w:rsidR="00B10A3E" w:rsidRDefault="00580390" w:rsidP="00D4372D">
      <w:pPr>
        <w:pStyle w:val="Heading1"/>
        <w:tabs>
          <w:tab w:val="clear" w:pos="360"/>
          <w:tab w:val="num" w:pos="720"/>
        </w:tabs>
        <w:spacing w:before="120" w:after="120" w:line="276" w:lineRule="auto"/>
        <w:ind w:left="720" w:hanging="720"/>
      </w:pPr>
      <w:bookmarkStart w:id="14" w:name="_Toc197703461"/>
      <w:r>
        <w:t>Bid Evaluation</w:t>
      </w:r>
      <w:bookmarkEnd w:id="14"/>
    </w:p>
    <w:p w14:paraId="653DFDBE" w14:textId="433A2F5E" w:rsidR="00B10A3E" w:rsidRDefault="009F2470" w:rsidP="00D4372D">
      <w:pPr>
        <w:pStyle w:val="BalloonText"/>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mentioned previously, </w:t>
      </w:r>
      <w:r w:rsidR="00580390">
        <w:rPr>
          <w:rFonts w:ascii="Times New Roman" w:hAnsi="Times New Roman" w:cs="Times New Roman"/>
          <w:sz w:val="24"/>
          <w:szCs w:val="24"/>
        </w:rPr>
        <w:t xml:space="preserve">Georgia Power accepted </w:t>
      </w:r>
      <w:r w:rsidR="002600FA">
        <w:rPr>
          <w:rFonts w:ascii="Times New Roman" w:hAnsi="Times New Roman" w:cs="Times New Roman"/>
          <w:sz w:val="24"/>
          <w:szCs w:val="24"/>
        </w:rPr>
        <w:t xml:space="preserve">submissions </w:t>
      </w:r>
      <w:r w:rsidR="00580390">
        <w:rPr>
          <w:rFonts w:ascii="Times New Roman" w:hAnsi="Times New Roman" w:cs="Times New Roman"/>
          <w:sz w:val="24"/>
          <w:szCs w:val="24"/>
        </w:rPr>
        <w:t xml:space="preserve">through the IE Website from qualified </w:t>
      </w:r>
      <w:r w:rsidR="002600FA">
        <w:rPr>
          <w:rFonts w:ascii="Times New Roman" w:hAnsi="Times New Roman" w:cs="Times New Roman"/>
          <w:sz w:val="24"/>
          <w:szCs w:val="24"/>
        </w:rPr>
        <w:t>RFP participants</w:t>
      </w:r>
      <w:r w:rsidR="002600FA" w:rsidRPr="00301864">
        <w:rPr>
          <w:rFonts w:ascii="Times New Roman" w:hAnsi="Times New Roman" w:cs="Times New Roman"/>
          <w:sz w:val="24"/>
          <w:szCs w:val="24"/>
        </w:rPr>
        <w:t xml:space="preserve"> </w:t>
      </w:r>
      <w:r w:rsidR="00580390" w:rsidRPr="00301864">
        <w:rPr>
          <w:rFonts w:ascii="Times New Roman" w:hAnsi="Times New Roman" w:cs="Times New Roman"/>
          <w:sz w:val="24"/>
          <w:szCs w:val="24"/>
        </w:rPr>
        <w:t xml:space="preserve">from </w:t>
      </w:r>
      <w:r w:rsidR="00DB34C3">
        <w:rPr>
          <w:rFonts w:ascii="Times New Roman" w:hAnsi="Times New Roman" w:cs="Times New Roman"/>
          <w:sz w:val="24"/>
          <w:szCs w:val="24"/>
        </w:rPr>
        <w:t>August 9, 2024</w:t>
      </w:r>
      <w:r w:rsidR="00301864">
        <w:rPr>
          <w:rFonts w:ascii="Times New Roman" w:hAnsi="Times New Roman" w:cs="Times New Roman"/>
          <w:sz w:val="24"/>
          <w:szCs w:val="24"/>
        </w:rPr>
        <w:t>,</w:t>
      </w:r>
      <w:r w:rsidR="00580390" w:rsidRPr="00301864">
        <w:rPr>
          <w:rFonts w:ascii="Times New Roman" w:hAnsi="Times New Roman" w:cs="Times New Roman"/>
          <w:sz w:val="24"/>
          <w:szCs w:val="24"/>
        </w:rPr>
        <w:t xml:space="preserve"> through</w:t>
      </w:r>
      <w:r w:rsidR="00DB34C3">
        <w:rPr>
          <w:rFonts w:ascii="Times New Roman" w:hAnsi="Times New Roman" w:cs="Times New Roman"/>
          <w:sz w:val="24"/>
          <w:szCs w:val="24"/>
        </w:rPr>
        <w:t xml:space="preserve"> September 13, 2024</w:t>
      </w:r>
      <w:r w:rsidR="00DB14DB">
        <w:rPr>
          <w:rFonts w:ascii="Times New Roman" w:hAnsi="Times New Roman" w:cs="Times New Roman"/>
          <w:sz w:val="24"/>
          <w:szCs w:val="24"/>
        </w:rPr>
        <w:t>,</w:t>
      </w:r>
      <w:r w:rsidR="00DB34C3">
        <w:rPr>
          <w:rFonts w:ascii="Times New Roman" w:hAnsi="Times New Roman" w:cs="Times New Roman"/>
          <w:sz w:val="24"/>
          <w:szCs w:val="24"/>
        </w:rPr>
        <w:t xml:space="preserve"> for Company-</w:t>
      </w:r>
      <w:r w:rsidR="00C72C1D">
        <w:rPr>
          <w:rFonts w:ascii="Times New Roman" w:hAnsi="Times New Roman" w:cs="Times New Roman"/>
          <w:sz w:val="24"/>
          <w:szCs w:val="24"/>
        </w:rPr>
        <w:t xml:space="preserve">owned </w:t>
      </w:r>
      <w:r w:rsidR="00DB34C3">
        <w:rPr>
          <w:rFonts w:ascii="Times New Roman" w:hAnsi="Times New Roman" w:cs="Times New Roman"/>
          <w:sz w:val="24"/>
          <w:szCs w:val="24"/>
        </w:rPr>
        <w:t>Proposals</w:t>
      </w:r>
      <w:r w:rsidR="005D2F27">
        <w:rPr>
          <w:rFonts w:ascii="Times New Roman" w:hAnsi="Times New Roman" w:cs="Times New Roman"/>
          <w:sz w:val="24"/>
          <w:szCs w:val="24"/>
        </w:rPr>
        <w:t>,</w:t>
      </w:r>
      <w:r w:rsidR="00DB34C3">
        <w:rPr>
          <w:rFonts w:ascii="Times New Roman" w:hAnsi="Times New Roman" w:cs="Times New Roman"/>
          <w:sz w:val="24"/>
          <w:szCs w:val="24"/>
        </w:rPr>
        <w:t xml:space="preserve"> and September 16, 2024, for all other bids. </w:t>
      </w:r>
      <w:bookmarkStart w:id="15" w:name="_Hlk496856451"/>
      <w:r w:rsidR="00580390">
        <w:rPr>
          <w:rFonts w:ascii="Times New Roman" w:hAnsi="Times New Roman" w:cs="Times New Roman"/>
          <w:sz w:val="24"/>
          <w:szCs w:val="24"/>
        </w:rPr>
        <w:t xml:space="preserve">The Company </w:t>
      </w:r>
      <w:r w:rsidR="00580390" w:rsidRPr="00ED53B5">
        <w:rPr>
          <w:rFonts w:ascii="Times New Roman" w:hAnsi="Times New Roman" w:cs="Times New Roman"/>
          <w:sz w:val="24"/>
          <w:szCs w:val="24"/>
        </w:rPr>
        <w:t xml:space="preserve">received offers for </w:t>
      </w:r>
      <w:r w:rsidR="00592B15" w:rsidRPr="00ED53B5">
        <w:rPr>
          <w:rFonts w:ascii="Times New Roman" w:hAnsi="Times New Roman" w:cs="Times New Roman"/>
          <w:sz w:val="24"/>
          <w:szCs w:val="24"/>
        </w:rPr>
        <w:t>1,380 MW</w:t>
      </w:r>
      <w:r w:rsidR="007D2D32" w:rsidRPr="00ED53B5">
        <w:rPr>
          <w:rFonts w:ascii="Times New Roman" w:hAnsi="Times New Roman" w:cs="Times New Roman"/>
          <w:sz w:val="24"/>
          <w:szCs w:val="24"/>
        </w:rPr>
        <w:t xml:space="preserve"> </w:t>
      </w:r>
      <w:r w:rsidR="00580390" w:rsidRPr="00ED53B5">
        <w:rPr>
          <w:rFonts w:ascii="Times New Roman" w:hAnsi="Times New Roman" w:cs="Times New Roman"/>
          <w:sz w:val="24"/>
          <w:szCs w:val="24"/>
        </w:rPr>
        <w:t xml:space="preserve">through </w:t>
      </w:r>
      <w:r w:rsidR="00E91AAE">
        <w:rPr>
          <w:rFonts w:ascii="Times New Roman" w:hAnsi="Times New Roman" w:cs="Times New Roman"/>
          <w:sz w:val="24"/>
          <w:szCs w:val="24"/>
        </w:rPr>
        <w:t>nine</w:t>
      </w:r>
      <w:r w:rsidR="007D2D32" w:rsidRPr="00ED53B5">
        <w:rPr>
          <w:rFonts w:ascii="Times New Roman" w:hAnsi="Times New Roman" w:cs="Times New Roman"/>
          <w:sz w:val="24"/>
          <w:szCs w:val="24"/>
        </w:rPr>
        <w:t xml:space="preserve"> </w:t>
      </w:r>
      <w:r w:rsidR="00580390" w:rsidRPr="00ED53B5">
        <w:rPr>
          <w:rFonts w:ascii="Times New Roman" w:hAnsi="Times New Roman" w:cs="Times New Roman"/>
          <w:sz w:val="24"/>
          <w:szCs w:val="24"/>
        </w:rPr>
        <w:t>proposals from</w:t>
      </w:r>
      <w:r w:rsidR="004327D9" w:rsidRPr="00ED53B5">
        <w:rPr>
          <w:rFonts w:ascii="Times New Roman" w:hAnsi="Times New Roman" w:cs="Times New Roman"/>
          <w:sz w:val="24"/>
          <w:szCs w:val="24"/>
        </w:rPr>
        <w:t xml:space="preserve"> </w:t>
      </w:r>
      <w:r w:rsidR="00E91AAE">
        <w:rPr>
          <w:rFonts w:ascii="Times New Roman" w:hAnsi="Times New Roman" w:cs="Times New Roman"/>
          <w:sz w:val="24"/>
          <w:szCs w:val="24"/>
        </w:rPr>
        <w:t>four</w:t>
      </w:r>
      <w:r w:rsidR="00580390" w:rsidRPr="00ED53B5">
        <w:rPr>
          <w:rFonts w:ascii="Times New Roman" w:hAnsi="Times New Roman" w:cs="Times New Roman"/>
          <w:sz w:val="24"/>
          <w:szCs w:val="24"/>
        </w:rPr>
        <w:t xml:space="preserve"> unique </w:t>
      </w:r>
      <w:r w:rsidR="00DD6CBC">
        <w:rPr>
          <w:rFonts w:ascii="Times New Roman" w:hAnsi="Times New Roman" w:cs="Times New Roman"/>
          <w:sz w:val="24"/>
          <w:szCs w:val="24"/>
        </w:rPr>
        <w:t>participants</w:t>
      </w:r>
      <w:r w:rsidR="00580390" w:rsidRPr="00ED53B5">
        <w:rPr>
          <w:rFonts w:ascii="Times New Roman" w:hAnsi="Times New Roman" w:cs="Times New Roman"/>
          <w:sz w:val="24"/>
          <w:szCs w:val="24"/>
        </w:rPr>
        <w:t>.</w:t>
      </w:r>
      <w:bookmarkEnd w:id="15"/>
    </w:p>
    <w:p w14:paraId="163C5D0F" w14:textId="42F77FBF" w:rsidR="00B10A3E" w:rsidRDefault="00580390" w:rsidP="00D4372D">
      <w:pPr>
        <w:pStyle w:val="BalloonText"/>
        <w:spacing w:before="240" w:line="276" w:lineRule="auto"/>
        <w:ind w:firstLine="720"/>
        <w:jc w:val="both"/>
        <w:rPr>
          <w:rFonts w:ascii="Times New Roman" w:hAnsi="Times New Roman" w:cs="Times New Roman"/>
          <w:sz w:val="24"/>
          <w:szCs w:val="24"/>
        </w:rPr>
      </w:pPr>
      <w:r w:rsidRPr="00CE15C4">
        <w:rPr>
          <w:rFonts w:ascii="Times New Roman" w:hAnsi="Times New Roman" w:cs="Times New Roman"/>
          <w:sz w:val="24"/>
          <w:szCs w:val="24"/>
        </w:rPr>
        <w:t>Proposals submitted for consideration in the</w:t>
      </w:r>
      <w:r w:rsidR="005D2F27" w:rsidRPr="00CE15C4">
        <w:rPr>
          <w:rFonts w:ascii="Times New Roman" w:hAnsi="Times New Roman" w:cs="Times New Roman"/>
          <w:sz w:val="24"/>
          <w:szCs w:val="24"/>
        </w:rPr>
        <w:t xml:space="preserve"> Winter 27_28 BESS</w:t>
      </w:r>
      <w:r w:rsidRPr="00CE15C4">
        <w:rPr>
          <w:rFonts w:ascii="Times New Roman" w:hAnsi="Times New Roman" w:cs="Times New Roman"/>
          <w:sz w:val="24"/>
          <w:szCs w:val="24"/>
        </w:rPr>
        <w:t xml:space="preserve"> RFP were </w:t>
      </w:r>
      <w:r w:rsidR="3AE724EE" w:rsidRPr="00CE15C4">
        <w:rPr>
          <w:rFonts w:ascii="Times New Roman" w:hAnsi="Times New Roman" w:cs="Times New Roman"/>
          <w:sz w:val="24"/>
          <w:szCs w:val="24"/>
        </w:rPr>
        <w:t>reviewed, evaluated, and ranked by total evaluated cost</w:t>
      </w:r>
      <w:r w:rsidRPr="00CE15C4">
        <w:rPr>
          <w:rFonts w:ascii="Times New Roman" w:hAnsi="Times New Roman" w:cs="Times New Roman"/>
          <w:sz w:val="24"/>
          <w:szCs w:val="24"/>
        </w:rPr>
        <w:t xml:space="preserve">, and the evaluation results were confirmed and approved by the IE and the Commission Staff. </w:t>
      </w:r>
      <w:r w:rsidR="02B4A164" w:rsidRPr="00CE15C4">
        <w:rPr>
          <w:rFonts w:ascii="Times New Roman" w:hAnsi="Times New Roman" w:cs="Times New Roman"/>
          <w:sz w:val="24"/>
          <w:szCs w:val="24"/>
        </w:rPr>
        <w:t>All submissions</w:t>
      </w:r>
      <w:r w:rsidR="0E65276D" w:rsidRPr="00CE15C4">
        <w:rPr>
          <w:rFonts w:ascii="Times New Roman" w:hAnsi="Times New Roman" w:cs="Times New Roman"/>
          <w:sz w:val="24"/>
          <w:szCs w:val="24"/>
        </w:rPr>
        <w:t xml:space="preserve"> </w:t>
      </w:r>
      <w:r w:rsidR="44F47DA0" w:rsidRPr="00CE15C4">
        <w:rPr>
          <w:rFonts w:ascii="Times New Roman" w:hAnsi="Times New Roman" w:cs="Times New Roman"/>
          <w:sz w:val="24"/>
          <w:szCs w:val="24"/>
        </w:rPr>
        <w:t xml:space="preserve">were selected to </w:t>
      </w:r>
      <w:r w:rsidR="2E528F03" w:rsidRPr="00CE15C4">
        <w:rPr>
          <w:rFonts w:ascii="Times New Roman" w:hAnsi="Times New Roman" w:cs="Times New Roman"/>
          <w:sz w:val="24"/>
          <w:szCs w:val="24"/>
        </w:rPr>
        <w:t xml:space="preserve">the </w:t>
      </w:r>
      <w:r w:rsidR="7DFD45C4" w:rsidRPr="00CE15C4">
        <w:rPr>
          <w:rFonts w:ascii="Times New Roman" w:hAnsi="Times New Roman" w:cs="Times New Roman"/>
          <w:sz w:val="24"/>
          <w:szCs w:val="24"/>
        </w:rPr>
        <w:t>Competitive Tier</w:t>
      </w:r>
      <w:r w:rsidR="00B81378" w:rsidRPr="00CE15C4">
        <w:rPr>
          <w:rFonts w:ascii="Times New Roman" w:hAnsi="Times New Roman" w:cs="Times New Roman"/>
          <w:sz w:val="24"/>
          <w:szCs w:val="24"/>
        </w:rPr>
        <w:t>. Five proposals did not post Bid Security</w:t>
      </w:r>
      <w:r w:rsidR="0085200C" w:rsidRPr="00CE15C4">
        <w:rPr>
          <w:rFonts w:ascii="Times New Roman" w:hAnsi="Times New Roman" w:cs="Times New Roman"/>
          <w:sz w:val="24"/>
          <w:szCs w:val="24"/>
        </w:rPr>
        <w:t xml:space="preserve"> by the </w:t>
      </w:r>
      <w:r w:rsidR="00C222DB" w:rsidRPr="00CE15C4">
        <w:rPr>
          <w:rFonts w:ascii="Times New Roman" w:hAnsi="Times New Roman" w:cs="Times New Roman"/>
          <w:sz w:val="24"/>
          <w:szCs w:val="24"/>
        </w:rPr>
        <w:t>required date of November 7, 2024</w:t>
      </w:r>
      <w:r w:rsidR="006E3E24">
        <w:rPr>
          <w:rFonts w:ascii="Times New Roman" w:hAnsi="Times New Roman" w:cs="Times New Roman"/>
          <w:sz w:val="24"/>
          <w:szCs w:val="24"/>
        </w:rPr>
        <w:t>.</w:t>
      </w:r>
      <w:r w:rsidR="7DFD45C4" w:rsidRPr="00CE15C4">
        <w:rPr>
          <w:rFonts w:ascii="Times New Roman" w:hAnsi="Times New Roman" w:cs="Times New Roman"/>
          <w:sz w:val="24"/>
          <w:szCs w:val="24"/>
        </w:rPr>
        <w:t xml:space="preserve"> </w:t>
      </w:r>
      <w:r w:rsidR="00761551">
        <w:rPr>
          <w:rFonts w:ascii="Times New Roman" w:hAnsi="Times New Roman" w:cs="Times New Roman"/>
          <w:sz w:val="24"/>
          <w:szCs w:val="24"/>
        </w:rPr>
        <w:t>Of the remaining four proposals, three were C</w:t>
      </w:r>
      <w:r w:rsidR="008574CF">
        <w:rPr>
          <w:rFonts w:ascii="Times New Roman" w:hAnsi="Times New Roman" w:cs="Times New Roman"/>
          <w:sz w:val="24"/>
          <w:szCs w:val="24"/>
        </w:rPr>
        <w:t xml:space="preserve">ompany-owned </w:t>
      </w:r>
      <w:r w:rsidR="00761551">
        <w:rPr>
          <w:rFonts w:ascii="Times New Roman" w:hAnsi="Times New Roman" w:cs="Times New Roman"/>
          <w:sz w:val="24"/>
          <w:szCs w:val="24"/>
        </w:rPr>
        <w:t>P</w:t>
      </w:r>
      <w:r w:rsidR="008574CF">
        <w:rPr>
          <w:rFonts w:ascii="Times New Roman" w:hAnsi="Times New Roman" w:cs="Times New Roman"/>
          <w:sz w:val="24"/>
          <w:szCs w:val="24"/>
        </w:rPr>
        <w:t>roposal</w:t>
      </w:r>
      <w:r w:rsidR="00761551">
        <w:rPr>
          <w:rFonts w:ascii="Times New Roman" w:hAnsi="Times New Roman" w:cs="Times New Roman"/>
          <w:sz w:val="24"/>
          <w:szCs w:val="24"/>
        </w:rPr>
        <w:t>s</w:t>
      </w:r>
      <w:r w:rsidR="00B346F1">
        <w:rPr>
          <w:rFonts w:ascii="Times New Roman" w:hAnsi="Times New Roman" w:cs="Times New Roman"/>
          <w:sz w:val="24"/>
          <w:szCs w:val="24"/>
        </w:rPr>
        <w:t>,</w:t>
      </w:r>
      <w:r w:rsidR="00761551">
        <w:rPr>
          <w:rFonts w:ascii="Times New Roman" w:hAnsi="Times New Roman" w:cs="Times New Roman"/>
          <w:sz w:val="24"/>
          <w:szCs w:val="24"/>
        </w:rPr>
        <w:t xml:space="preserve"> and one Bidder posted Bid Security by the required date.</w:t>
      </w:r>
      <w:r w:rsidR="0015673B">
        <w:rPr>
          <w:rFonts w:ascii="Times New Roman" w:hAnsi="Times New Roman" w:cs="Times New Roman"/>
          <w:sz w:val="24"/>
          <w:szCs w:val="24"/>
        </w:rPr>
        <w:t xml:space="preserve"> T</w:t>
      </w:r>
      <w:r w:rsidR="007E7B16" w:rsidRPr="00CE15C4">
        <w:rPr>
          <w:rFonts w:ascii="Times New Roman" w:hAnsi="Times New Roman" w:cs="Times New Roman"/>
          <w:sz w:val="24"/>
          <w:szCs w:val="24"/>
        </w:rPr>
        <w:t>he</w:t>
      </w:r>
      <w:r w:rsidR="0015673B">
        <w:rPr>
          <w:rFonts w:ascii="Times New Roman" w:hAnsi="Times New Roman" w:cs="Times New Roman"/>
          <w:sz w:val="24"/>
          <w:szCs w:val="24"/>
        </w:rPr>
        <w:t>se</w:t>
      </w:r>
      <w:r w:rsidR="007E7B16" w:rsidRPr="00CE15C4">
        <w:rPr>
          <w:rFonts w:ascii="Times New Roman" w:hAnsi="Times New Roman" w:cs="Times New Roman"/>
          <w:sz w:val="24"/>
          <w:szCs w:val="24"/>
        </w:rPr>
        <w:t xml:space="preserve"> </w:t>
      </w:r>
      <w:r w:rsidR="00611D0B" w:rsidRPr="00CE15C4">
        <w:rPr>
          <w:rFonts w:ascii="Times New Roman" w:hAnsi="Times New Roman" w:cs="Times New Roman"/>
          <w:sz w:val="24"/>
          <w:szCs w:val="24"/>
        </w:rPr>
        <w:t xml:space="preserve">remaining four </w:t>
      </w:r>
      <w:r w:rsidR="007E7B16" w:rsidRPr="00CE15C4">
        <w:rPr>
          <w:rFonts w:ascii="Times New Roman" w:hAnsi="Times New Roman" w:cs="Times New Roman"/>
          <w:sz w:val="24"/>
          <w:szCs w:val="24"/>
        </w:rPr>
        <w:t>proposals</w:t>
      </w:r>
      <w:r w:rsidR="7DFD45C4" w:rsidRPr="00CE15C4">
        <w:rPr>
          <w:rFonts w:ascii="Times New Roman" w:hAnsi="Times New Roman" w:cs="Times New Roman"/>
          <w:sz w:val="24"/>
          <w:szCs w:val="24"/>
        </w:rPr>
        <w:t xml:space="preserve"> moved</w:t>
      </w:r>
      <w:r w:rsidR="5F52A01D" w:rsidRPr="00CE15C4">
        <w:rPr>
          <w:rFonts w:ascii="Times New Roman" w:hAnsi="Times New Roman" w:cs="Times New Roman"/>
          <w:sz w:val="24"/>
          <w:szCs w:val="24"/>
        </w:rPr>
        <w:t xml:space="preserve"> forward in the evaluation</w:t>
      </w:r>
      <w:r w:rsidR="00F5618F" w:rsidRPr="00CE15C4">
        <w:rPr>
          <w:rFonts w:ascii="Times New Roman" w:hAnsi="Times New Roman" w:cs="Times New Roman"/>
          <w:sz w:val="24"/>
          <w:szCs w:val="24"/>
        </w:rPr>
        <w:t xml:space="preserve"> in the Competitive Tier</w:t>
      </w:r>
      <w:r w:rsidR="5F52A01D" w:rsidRPr="00CE15C4">
        <w:rPr>
          <w:rFonts w:ascii="Times New Roman" w:hAnsi="Times New Roman" w:cs="Times New Roman"/>
          <w:sz w:val="24"/>
          <w:szCs w:val="24"/>
        </w:rPr>
        <w:t>.</w:t>
      </w:r>
    </w:p>
    <w:p w14:paraId="3ED609B7" w14:textId="658D86B2" w:rsidR="0053181B" w:rsidRDefault="00CF656D" w:rsidP="00D4372D">
      <w:pPr>
        <w:pStyle w:val="BalloonText"/>
        <w:spacing w:before="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w:t>
      </w:r>
      <w:r w:rsidR="008833B4">
        <w:rPr>
          <w:rFonts w:ascii="Times New Roman" w:hAnsi="Times New Roman" w:cs="Times New Roman"/>
          <w:sz w:val="24"/>
          <w:szCs w:val="24"/>
        </w:rPr>
        <w:t>Bid</w:t>
      </w:r>
      <w:r>
        <w:rPr>
          <w:rFonts w:ascii="Times New Roman" w:hAnsi="Times New Roman" w:cs="Times New Roman"/>
          <w:sz w:val="24"/>
          <w:szCs w:val="24"/>
        </w:rPr>
        <w:t xml:space="preserve"> was </w:t>
      </w:r>
      <w:r w:rsidR="00E60B6A">
        <w:rPr>
          <w:rFonts w:ascii="Times New Roman" w:hAnsi="Times New Roman" w:cs="Times New Roman"/>
          <w:sz w:val="24"/>
          <w:szCs w:val="24"/>
        </w:rPr>
        <w:t>r</w:t>
      </w:r>
      <w:r w:rsidR="0053181B" w:rsidRPr="0053181B">
        <w:rPr>
          <w:rFonts w:ascii="Times New Roman" w:hAnsi="Times New Roman" w:cs="Times New Roman"/>
          <w:sz w:val="24"/>
          <w:szCs w:val="24"/>
        </w:rPr>
        <w:t xml:space="preserve">eleased </w:t>
      </w:r>
      <w:r w:rsidR="00E60B6A">
        <w:rPr>
          <w:rFonts w:ascii="Times New Roman" w:hAnsi="Times New Roman" w:cs="Times New Roman"/>
          <w:sz w:val="24"/>
          <w:szCs w:val="24"/>
        </w:rPr>
        <w:t>on December 28, 2024,</w:t>
      </w:r>
      <w:r w:rsidR="0053181B" w:rsidRPr="0053181B">
        <w:rPr>
          <w:rFonts w:ascii="Times New Roman" w:hAnsi="Times New Roman" w:cs="Times New Roman"/>
          <w:sz w:val="24"/>
          <w:szCs w:val="24"/>
        </w:rPr>
        <w:t xml:space="preserve"> because it was paired with </w:t>
      </w:r>
      <w:r w:rsidR="005A2189">
        <w:rPr>
          <w:rFonts w:ascii="Times New Roman" w:hAnsi="Times New Roman" w:cs="Times New Roman"/>
          <w:sz w:val="24"/>
          <w:szCs w:val="24"/>
        </w:rPr>
        <w:t xml:space="preserve">a </w:t>
      </w:r>
      <w:r w:rsidR="0053181B" w:rsidRPr="0053181B">
        <w:rPr>
          <w:rFonts w:ascii="Times New Roman" w:hAnsi="Times New Roman" w:cs="Times New Roman"/>
          <w:sz w:val="24"/>
          <w:szCs w:val="24"/>
        </w:rPr>
        <w:t xml:space="preserve">CARES </w:t>
      </w:r>
      <w:r w:rsidR="00666F5B">
        <w:rPr>
          <w:rFonts w:ascii="Times New Roman" w:hAnsi="Times New Roman" w:cs="Times New Roman"/>
          <w:sz w:val="24"/>
          <w:szCs w:val="24"/>
        </w:rPr>
        <w:t>20</w:t>
      </w:r>
      <w:r w:rsidR="0053181B" w:rsidRPr="0053181B">
        <w:rPr>
          <w:rFonts w:ascii="Times New Roman" w:hAnsi="Times New Roman" w:cs="Times New Roman"/>
          <w:sz w:val="24"/>
          <w:szCs w:val="24"/>
        </w:rPr>
        <w:t xml:space="preserve">23 </w:t>
      </w:r>
      <w:r w:rsidR="00DD6CBC">
        <w:rPr>
          <w:rFonts w:ascii="Times New Roman" w:hAnsi="Times New Roman" w:cs="Times New Roman"/>
          <w:sz w:val="24"/>
          <w:szCs w:val="24"/>
        </w:rPr>
        <w:t>RFP</w:t>
      </w:r>
      <w:r w:rsidR="0053181B" w:rsidRPr="0053181B">
        <w:rPr>
          <w:rFonts w:ascii="Times New Roman" w:hAnsi="Times New Roman" w:cs="Times New Roman"/>
          <w:sz w:val="24"/>
          <w:szCs w:val="24"/>
        </w:rPr>
        <w:t xml:space="preserve"> </w:t>
      </w:r>
      <w:r w:rsidR="005A2189">
        <w:rPr>
          <w:rFonts w:ascii="Times New Roman" w:hAnsi="Times New Roman" w:cs="Times New Roman"/>
          <w:sz w:val="24"/>
          <w:szCs w:val="24"/>
        </w:rPr>
        <w:t>B</w:t>
      </w:r>
      <w:r w:rsidR="0053181B" w:rsidRPr="0053181B">
        <w:rPr>
          <w:rFonts w:ascii="Times New Roman" w:hAnsi="Times New Roman" w:cs="Times New Roman"/>
          <w:sz w:val="24"/>
          <w:szCs w:val="24"/>
        </w:rPr>
        <w:t xml:space="preserve">id that had </w:t>
      </w:r>
      <w:r w:rsidR="006806CA">
        <w:rPr>
          <w:rFonts w:ascii="Times New Roman" w:hAnsi="Times New Roman" w:cs="Times New Roman"/>
          <w:sz w:val="24"/>
          <w:szCs w:val="24"/>
        </w:rPr>
        <w:t xml:space="preserve">a </w:t>
      </w:r>
      <w:r w:rsidR="0095427A">
        <w:rPr>
          <w:rFonts w:ascii="Times New Roman" w:hAnsi="Times New Roman" w:cs="Times New Roman"/>
          <w:sz w:val="24"/>
          <w:szCs w:val="24"/>
        </w:rPr>
        <w:t>commercial operation date</w:t>
      </w:r>
      <w:r w:rsidR="0053181B" w:rsidRPr="0053181B">
        <w:rPr>
          <w:rFonts w:ascii="Times New Roman" w:hAnsi="Times New Roman" w:cs="Times New Roman"/>
          <w:sz w:val="24"/>
          <w:szCs w:val="24"/>
        </w:rPr>
        <w:t xml:space="preserve"> extending beyond the </w:t>
      </w:r>
      <w:r w:rsidR="00625135">
        <w:rPr>
          <w:rFonts w:ascii="Times New Roman" w:hAnsi="Times New Roman" w:cs="Times New Roman"/>
          <w:sz w:val="24"/>
          <w:szCs w:val="24"/>
        </w:rPr>
        <w:t xml:space="preserve">Winter </w:t>
      </w:r>
      <w:r w:rsidR="006806CA">
        <w:rPr>
          <w:rFonts w:ascii="Times New Roman" w:hAnsi="Times New Roman" w:cs="Times New Roman"/>
          <w:sz w:val="24"/>
          <w:szCs w:val="24"/>
        </w:rPr>
        <w:t xml:space="preserve">2027_2028 </w:t>
      </w:r>
      <w:r w:rsidR="00625135">
        <w:rPr>
          <w:rFonts w:ascii="Times New Roman" w:hAnsi="Times New Roman" w:cs="Times New Roman"/>
          <w:sz w:val="24"/>
          <w:szCs w:val="24"/>
        </w:rPr>
        <w:t>BESS</w:t>
      </w:r>
      <w:r w:rsidR="0053181B" w:rsidRPr="0053181B">
        <w:rPr>
          <w:rFonts w:ascii="Times New Roman" w:hAnsi="Times New Roman" w:cs="Times New Roman"/>
          <w:sz w:val="24"/>
          <w:szCs w:val="24"/>
        </w:rPr>
        <w:t xml:space="preserve"> </w:t>
      </w:r>
      <w:r w:rsidR="005107D5">
        <w:rPr>
          <w:rFonts w:ascii="Times New Roman" w:hAnsi="Times New Roman" w:cs="Times New Roman"/>
          <w:sz w:val="24"/>
          <w:szCs w:val="24"/>
        </w:rPr>
        <w:t xml:space="preserve">RFP </w:t>
      </w:r>
      <w:r w:rsidR="00F94913">
        <w:rPr>
          <w:rFonts w:ascii="Times New Roman" w:hAnsi="Times New Roman" w:cs="Times New Roman"/>
          <w:sz w:val="24"/>
          <w:szCs w:val="24"/>
        </w:rPr>
        <w:t xml:space="preserve">commercial operation date </w:t>
      </w:r>
      <w:r w:rsidR="0053181B" w:rsidRPr="0053181B">
        <w:rPr>
          <w:rFonts w:ascii="Times New Roman" w:hAnsi="Times New Roman" w:cs="Times New Roman"/>
          <w:sz w:val="24"/>
          <w:szCs w:val="24"/>
        </w:rPr>
        <w:t xml:space="preserve">requirement. </w:t>
      </w:r>
      <w:r w:rsidR="000C3305">
        <w:rPr>
          <w:rFonts w:ascii="Times New Roman" w:hAnsi="Times New Roman" w:cs="Times New Roman"/>
          <w:sz w:val="24"/>
          <w:szCs w:val="24"/>
        </w:rPr>
        <w:t xml:space="preserve">The </w:t>
      </w:r>
      <w:r w:rsidR="0053181B" w:rsidRPr="0053181B">
        <w:rPr>
          <w:rFonts w:ascii="Times New Roman" w:hAnsi="Times New Roman" w:cs="Times New Roman"/>
          <w:sz w:val="24"/>
          <w:szCs w:val="24"/>
        </w:rPr>
        <w:t xml:space="preserve">Bidder intended to grid charge the </w:t>
      </w:r>
      <w:r w:rsidR="004F7AF5">
        <w:rPr>
          <w:rFonts w:ascii="Times New Roman" w:hAnsi="Times New Roman" w:cs="Times New Roman"/>
          <w:sz w:val="24"/>
          <w:szCs w:val="24"/>
        </w:rPr>
        <w:t>BESS</w:t>
      </w:r>
      <w:r w:rsidR="0053181B" w:rsidRPr="0053181B">
        <w:rPr>
          <w:rFonts w:ascii="Times New Roman" w:hAnsi="Times New Roman" w:cs="Times New Roman"/>
          <w:sz w:val="24"/>
          <w:szCs w:val="24"/>
        </w:rPr>
        <w:t xml:space="preserve"> until the </w:t>
      </w:r>
      <w:r w:rsidR="0033285D">
        <w:rPr>
          <w:rFonts w:ascii="Times New Roman" w:hAnsi="Times New Roman" w:cs="Times New Roman"/>
          <w:sz w:val="24"/>
          <w:szCs w:val="24"/>
        </w:rPr>
        <w:t>solar facility</w:t>
      </w:r>
      <w:r w:rsidR="0053181B" w:rsidRPr="0053181B">
        <w:rPr>
          <w:rFonts w:ascii="Times New Roman" w:hAnsi="Times New Roman" w:cs="Times New Roman"/>
          <w:sz w:val="24"/>
          <w:szCs w:val="24"/>
        </w:rPr>
        <w:t xml:space="preserve"> was built</w:t>
      </w:r>
      <w:r w:rsidR="005A3034">
        <w:rPr>
          <w:rFonts w:ascii="Times New Roman" w:hAnsi="Times New Roman" w:cs="Times New Roman"/>
          <w:sz w:val="24"/>
          <w:szCs w:val="24"/>
        </w:rPr>
        <w:t>,</w:t>
      </w:r>
      <w:r w:rsidR="0053181B" w:rsidRPr="0053181B">
        <w:rPr>
          <w:rFonts w:ascii="Times New Roman" w:hAnsi="Times New Roman" w:cs="Times New Roman"/>
          <w:sz w:val="24"/>
          <w:szCs w:val="24"/>
        </w:rPr>
        <w:t xml:space="preserve"> if awarded a contract. G</w:t>
      </w:r>
      <w:r w:rsidR="00744F16">
        <w:rPr>
          <w:rFonts w:ascii="Times New Roman" w:hAnsi="Times New Roman" w:cs="Times New Roman"/>
          <w:sz w:val="24"/>
          <w:szCs w:val="24"/>
        </w:rPr>
        <w:t>eorgia Power</w:t>
      </w:r>
      <w:r w:rsidR="0053181B" w:rsidRPr="0053181B">
        <w:rPr>
          <w:rFonts w:ascii="Times New Roman" w:hAnsi="Times New Roman" w:cs="Times New Roman"/>
          <w:sz w:val="24"/>
          <w:szCs w:val="24"/>
        </w:rPr>
        <w:t xml:space="preserve">’s intent was to charge the </w:t>
      </w:r>
      <w:r w:rsidR="007E110C">
        <w:rPr>
          <w:rFonts w:ascii="Times New Roman" w:hAnsi="Times New Roman" w:cs="Times New Roman"/>
          <w:sz w:val="24"/>
          <w:szCs w:val="24"/>
        </w:rPr>
        <w:t>BESS</w:t>
      </w:r>
      <w:r w:rsidR="0053181B" w:rsidRPr="0053181B">
        <w:rPr>
          <w:rFonts w:ascii="Times New Roman" w:hAnsi="Times New Roman" w:cs="Times New Roman"/>
          <w:sz w:val="24"/>
          <w:szCs w:val="24"/>
        </w:rPr>
        <w:t xml:space="preserve"> </w:t>
      </w:r>
      <w:r w:rsidR="00117C01">
        <w:rPr>
          <w:rFonts w:ascii="Times New Roman" w:hAnsi="Times New Roman" w:cs="Times New Roman"/>
          <w:sz w:val="24"/>
          <w:szCs w:val="24"/>
        </w:rPr>
        <w:t>using</w:t>
      </w:r>
      <w:r w:rsidR="0053181B" w:rsidRPr="0053181B">
        <w:rPr>
          <w:rFonts w:ascii="Times New Roman" w:hAnsi="Times New Roman" w:cs="Times New Roman"/>
          <w:sz w:val="24"/>
          <w:szCs w:val="24"/>
        </w:rPr>
        <w:t xml:space="preserve"> </w:t>
      </w:r>
      <w:r w:rsidR="000513DF">
        <w:rPr>
          <w:rFonts w:ascii="Times New Roman" w:hAnsi="Times New Roman" w:cs="Times New Roman"/>
          <w:sz w:val="24"/>
          <w:szCs w:val="24"/>
        </w:rPr>
        <w:t xml:space="preserve">the </w:t>
      </w:r>
      <w:r w:rsidR="0033285D">
        <w:rPr>
          <w:rFonts w:ascii="Times New Roman" w:hAnsi="Times New Roman" w:cs="Times New Roman"/>
          <w:sz w:val="24"/>
          <w:szCs w:val="24"/>
        </w:rPr>
        <w:t>solar</w:t>
      </w:r>
      <w:r w:rsidR="000513DF">
        <w:rPr>
          <w:rFonts w:ascii="Times New Roman" w:hAnsi="Times New Roman" w:cs="Times New Roman"/>
          <w:sz w:val="24"/>
          <w:szCs w:val="24"/>
        </w:rPr>
        <w:t xml:space="preserve"> </w:t>
      </w:r>
      <w:r w:rsidR="00117C01">
        <w:rPr>
          <w:rFonts w:ascii="Times New Roman" w:hAnsi="Times New Roman" w:cs="Times New Roman"/>
          <w:sz w:val="24"/>
          <w:szCs w:val="24"/>
        </w:rPr>
        <w:t xml:space="preserve">facility </w:t>
      </w:r>
      <w:r w:rsidR="0053181B" w:rsidRPr="0053181B">
        <w:rPr>
          <w:rFonts w:ascii="Times New Roman" w:hAnsi="Times New Roman" w:cs="Times New Roman"/>
          <w:sz w:val="24"/>
          <w:szCs w:val="24"/>
        </w:rPr>
        <w:t xml:space="preserve">during the first few years of operation until the system could accommodate grid charging ability. Adjusting the </w:t>
      </w:r>
      <w:r w:rsidR="0071518E">
        <w:rPr>
          <w:rFonts w:ascii="Times New Roman" w:hAnsi="Times New Roman" w:cs="Times New Roman"/>
          <w:sz w:val="24"/>
          <w:szCs w:val="24"/>
        </w:rPr>
        <w:t>commercial operation date</w:t>
      </w:r>
      <w:r w:rsidR="0053181B" w:rsidRPr="0053181B">
        <w:rPr>
          <w:rFonts w:ascii="Times New Roman" w:hAnsi="Times New Roman" w:cs="Times New Roman"/>
          <w:sz w:val="24"/>
          <w:szCs w:val="24"/>
        </w:rPr>
        <w:t xml:space="preserve"> for the solar project was not </w:t>
      </w:r>
      <w:r w:rsidR="0053181B" w:rsidRPr="0053181B">
        <w:rPr>
          <w:rFonts w:ascii="Times New Roman" w:hAnsi="Times New Roman" w:cs="Times New Roman"/>
          <w:sz w:val="24"/>
          <w:szCs w:val="24"/>
        </w:rPr>
        <w:lastRenderedPageBreak/>
        <w:t xml:space="preserve">considered because the </w:t>
      </w:r>
      <w:r w:rsidR="00C031FA">
        <w:rPr>
          <w:rFonts w:ascii="Times New Roman" w:hAnsi="Times New Roman" w:cs="Times New Roman"/>
          <w:sz w:val="24"/>
          <w:szCs w:val="24"/>
        </w:rPr>
        <w:t>Bid</w:t>
      </w:r>
      <w:r w:rsidR="0053181B" w:rsidRPr="0053181B">
        <w:rPr>
          <w:rFonts w:ascii="Times New Roman" w:hAnsi="Times New Roman" w:cs="Times New Roman"/>
          <w:sz w:val="24"/>
          <w:szCs w:val="24"/>
        </w:rPr>
        <w:t xml:space="preserve"> was released </w:t>
      </w:r>
      <w:r w:rsidR="00C031FA">
        <w:rPr>
          <w:rFonts w:ascii="Times New Roman" w:hAnsi="Times New Roman" w:cs="Times New Roman"/>
          <w:sz w:val="24"/>
          <w:szCs w:val="24"/>
        </w:rPr>
        <w:t xml:space="preserve">from further consideration in </w:t>
      </w:r>
      <w:r w:rsidR="00DD6CBC">
        <w:rPr>
          <w:rFonts w:ascii="Times New Roman" w:hAnsi="Times New Roman" w:cs="Times New Roman"/>
          <w:sz w:val="24"/>
          <w:szCs w:val="24"/>
        </w:rPr>
        <w:t>the</w:t>
      </w:r>
      <w:r w:rsidR="00C031FA">
        <w:rPr>
          <w:rFonts w:ascii="Times New Roman" w:hAnsi="Times New Roman" w:cs="Times New Roman"/>
          <w:sz w:val="24"/>
          <w:szCs w:val="24"/>
        </w:rPr>
        <w:t xml:space="preserve"> CARES 2023 </w:t>
      </w:r>
      <w:r w:rsidR="00DD6CBC">
        <w:rPr>
          <w:rFonts w:ascii="Times New Roman" w:hAnsi="Times New Roman" w:cs="Times New Roman"/>
          <w:sz w:val="24"/>
          <w:szCs w:val="24"/>
        </w:rPr>
        <w:t>RFP</w:t>
      </w:r>
      <w:r w:rsidR="00C031FA">
        <w:rPr>
          <w:rFonts w:ascii="Times New Roman" w:hAnsi="Times New Roman" w:cs="Times New Roman"/>
          <w:sz w:val="24"/>
          <w:szCs w:val="24"/>
        </w:rPr>
        <w:t xml:space="preserve"> </w:t>
      </w:r>
      <w:r w:rsidR="0053181B" w:rsidRPr="0053181B">
        <w:rPr>
          <w:rFonts w:ascii="Times New Roman" w:hAnsi="Times New Roman" w:cs="Times New Roman"/>
          <w:sz w:val="24"/>
          <w:szCs w:val="24"/>
        </w:rPr>
        <w:t xml:space="preserve">due to </w:t>
      </w:r>
      <w:r w:rsidR="00C031FA">
        <w:rPr>
          <w:rFonts w:ascii="Times New Roman" w:hAnsi="Times New Roman" w:cs="Times New Roman"/>
          <w:sz w:val="24"/>
          <w:szCs w:val="24"/>
        </w:rPr>
        <w:t>B</w:t>
      </w:r>
      <w:r w:rsidR="0053181B" w:rsidRPr="0053181B">
        <w:rPr>
          <w:rFonts w:ascii="Times New Roman" w:hAnsi="Times New Roman" w:cs="Times New Roman"/>
          <w:sz w:val="24"/>
          <w:szCs w:val="24"/>
        </w:rPr>
        <w:t>id price.</w:t>
      </w:r>
    </w:p>
    <w:p w14:paraId="2E895850" w14:textId="2A38017E" w:rsidR="00FB75F5" w:rsidRPr="00FB75F5" w:rsidRDefault="00FB75F5" w:rsidP="00D4372D">
      <w:pPr>
        <w:pStyle w:val="BalloonText"/>
        <w:spacing w:before="240" w:line="276" w:lineRule="auto"/>
        <w:ind w:firstLine="720"/>
        <w:jc w:val="both"/>
        <w:rPr>
          <w:rFonts w:ascii="Times New Roman" w:hAnsi="Times New Roman" w:cs="Times New Roman"/>
          <w:sz w:val="24"/>
          <w:szCs w:val="24"/>
        </w:rPr>
      </w:pPr>
      <w:r w:rsidRPr="00FB75F5">
        <w:rPr>
          <w:rFonts w:ascii="Times New Roman" w:hAnsi="Times New Roman" w:cs="Times New Roman"/>
          <w:sz w:val="24"/>
          <w:szCs w:val="24"/>
        </w:rPr>
        <w:t xml:space="preserve">As permitted under Section 1.1.1 of the RFP, Georgia Power, after consultation with Staff and the IE, </w:t>
      </w:r>
      <w:r>
        <w:rPr>
          <w:rFonts w:ascii="Times New Roman" w:hAnsi="Times New Roman" w:cs="Times New Roman"/>
          <w:sz w:val="24"/>
          <w:szCs w:val="24"/>
        </w:rPr>
        <w:t>extended</w:t>
      </w:r>
      <w:r w:rsidRPr="00FB75F5">
        <w:rPr>
          <w:rFonts w:ascii="Times New Roman" w:hAnsi="Times New Roman" w:cs="Times New Roman"/>
          <w:sz w:val="24"/>
          <w:szCs w:val="24"/>
        </w:rPr>
        <w:t xml:space="preserve"> the date for determination and notification of the Short List and Reserve List. </w:t>
      </w:r>
      <w:r>
        <w:rPr>
          <w:rFonts w:ascii="Times New Roman" w:hAnsi="Times New Roman" w:cs="Times New Roman"/>
          <w:sz w:val="24"/>
          <w:szCs w:val="24"/>
        </w:rPr>
        <w:t>The IE</w:t>
      </w:r>
      <w:r w:rsidRPr="00FB75F5">
        <w:rPr>
          <w:rFonts w:ascii="Times New Roman" w:hAnsi="Times New Roman" w:cs="Times New Roman"/>
          <w:sz w:val="24"/>
          <w:szCs w:val="24"/>
        </w:rPr>
        <w:t xml:space="preserve"> anticipated an extension of two weeks to April 24th </w:t>
      </w:r>
      <w:proofErr w:type="gramStart"/>
      <w:r w:rsidRPr="00FB75F5">
        <w:rPr>
          <w:rFonts w:ascii="Times New Roman" w:hAnsi="Times New Roman" w:cs="Times New Roman"/>
          <w:sz w:val="24"/>
          <w:szCs w:val="24"/>
        </w:rPr>
        <w:t>in order to</w:t>
      </w:r>
      <w:proofErr w:type="gramEnd"/>
      <w:r w:rsidRPr="00FB75F5">
        <w:rPr>
          <w:rFonts w:ascii="Times New Roman" w:hAnsi="Times New Roman" w:cs="Times New Roman"/>
          <w:sz w:val="24"/>
          <w:szCs w:val="24"/>
        </w:rPr>
        <w:t xml:space="preserve"> finalize evaluations.</w:t>
      </w:r>
    </w:p>
    <w:p w14:paraId="194B86AB" w14:textId="5E010924" w:rsidR="00A3241D" w:rsidRDefault="00A3241D" w:rsidP="00D4372D">
      <w:pPr>
        <w:pStyle w:val="BalloonText"/>
        <w:spacing w:before="240" w:after="240" w:line="276" w:lineRule="auto"/>
        <w:ind w:firstLine="720"/>
        <w:jc w:val="both"/>
        <w:rPr>
          <w:rFonts w:ascii="Times New Roman" w:hAnsi="Times New Roman" w:cs="Times New Roman"/>
          <w:sz w:val="24"/>
          <w:szCs w:val="24"/>
        </w:rPr>
      </w:pPr>
      <w:r w:rsidRPr="00FB75F5">
        <w:rPr>
          <w:rFonts w:ascii="Times New Roman" w:hAnsi="Times New Roman" w:cs="Times New Roman"/>
          <w:sz w:val="24"/>
          <w:szCs w:val="24"/>
        </w:rPr>
        <w:t xml:space="preserve">On </w:t>
      </w:r>
      <w:r w:rsidR="6B8A19CC" w:rsidRPr="005A381F">
        <w:rPr>
          <w:rFonts w:ascii="Times New Roman" w:hAnsi="Times New Roman" w:cs="Times New Roman"/>
          <w:sz w:val="24"/>
          <w:szCs w:val="24"/>
        </w:rPr>
        <w:t>May 14, 2025</w:t>
      </w:r>
      <w:r w:rsidRPr="00FB75F5">
        <w:rPr>
          <w:rFonts w:ascii="Times New Roman" w:hAnsi="Times New Roman" w:cs="Times New Roman"/>
          <w:sz w:val="24"/>
          <w:szCs w:val="24"/>
        </w:rPr>
        <w:t xml:space="preserve">, Georgia Power completed its evaluation and analysis of </w:t>
      </w:r>
      <w:r w:rsidR="004C04B8">
        <w:rPr>
          <w:rFonts w:ascii="Times New Roman" w:hAnsi="Times New Roman" w:cs="Times New Roman"/>
          <w:sz w:val="24"/>
          <w:szCs w:val="24"/>
        </w:rPr>
        <w:t>C</w:t>
      </w:r>
      <w:r w:rsidRPr="00FB75F5">
        <w:rPr>
          <w:rFonts w:ascii="Times New Roman" w:hAnsi="Times New Roman" w:cs="Times New Roman"/>
          <w:sz w:val="24"/>
          <w:szCs w:val="24"/>
        </w:rPr>
        <w:t xml:space="preserve">ompetitive </w:t>
      </w:r>
      <w:r w:rsidR="004C04B8">
        <w:rPr>
          <w:rFonts w:ascii="Times New Roman" w:hAnsi="Times New Roman" w:cs="Times New Roman"/>
          <w:sz w:val="24"/>
          <w:szCs w:val="24"/>
        </w:rPr>
        <w:t>T</w:t>
      </w:r>
      <w:r w:rsidRPr="00FB75F5">
        <w:rPr>
          <w:rFonts w:ascii="Times New Roman" w:hAnsi="Times New Roman" w:cs="Times New Roman"/>
          <w:sz w:val="24"/>
          <w:szCs w:val="24"/>
        </w:rPr>
        <w:t xml:space="preserve">ier bids and identified a Short List </w:t>
      </w:r>
      <w:r w:rsidR="00B21674">
        <w:rPr>
          <w:rFonts w:ascii="Times New Roman" w:hAnsi="Times New Roman" w:cs="Times New Roman"/>
          <w:sz w:val="24"/>
          <w:szCs w:val="24"/>
        </w:rPr>
        <w:t>consisting of a single</w:t>
      </w:r>
      <w:r w:rsidR="00FB75F5">
        <w:rPr>
          <w:rFonts w:ascii="Times New Roman" w:hAnsi="Times New Roman" w:cs="Times New Roman"/>
          <w:sz w:val="24"/>
          <w:szCs w:val="24"/>
        </w:rPr>
        <w:t xml:space="preserve"> </w:t>
      </w:r>
      <w:r w:rsidRPr="00FB75F5">
        <w:rPr>
          <w:rFonts w:ascii="Times New Roman" w:hAnsi="Times New Roman" w:cs="Times New Roman"/>
          <w:sz w:val="24"/>
          <w:szCs w:val="24"/>
        </w:rPr>
        <w:t xml:space="preserve">winning </w:t>
      </w:r>
      <w:r w:rsidR="00B21674">
        <w:rPr>
          <w:rFonts w:ascii="Times New Roman" w:hAnsi="Times New Roman" w:cs="Times New Roman"/>
          <w:sz w:val="24"/>
          <w:szCs w:val="24"/>
        </w:rPr>
        <w:t>submission</w:t>
      </w:r>
      <w:r w:rsidR="00B21674" w:rsidRPr="00FB75F5">
        <w:rPr>
          <w:rFonts w:ascii="Times New Roman" w:hAnsi="Times New Roman" w:cs="Times New Roman"/>
          <w:sz w:val="24"/>
          <w:szCs w:val="24"/>
        </w:rPr>
        <w:t xml:space="preserve"> </w:t>
      </w:r>
      <w:r w:rsidRPr="00FB75F5">
        <w:rPr>
          <w:rFonts w:ascii="Times New Roman" w:hAnsi="Times New Roman" w:cs="Times New Roman"/>
          <w:sz w:val="24"/>
          <w:szCs w:val="24"/>
        </w:rPr>
        <w:t xml:space="preserve">to </w:t>
      </w:r>
      <w:r w:rsidR="00B21674">
        <w:rPr>
          <w:rFonts w:ascii="Times New Roman" w:hAnsi="Times New Roman" w:cs="Times New Roman"/>
          <w:sz w:val="24"/>
          <w:szCs w:val="24"/>
        </w:rPr>
        <w:t>advance toward certification</w:t>
      </w:r>
      <w:r w:rsidRPr="00FB75F5">
        <w:rPr>
          <w:rFonts w:ascii="Times New Roman" w:hAnsi="Times New Roman" w:cs="Times New Roman"/>
          <w:sz w:val="24"/>
          <w:szCs w:val="24"/>
        </w:rPr>
        <w:t>.</w:t>
      </w:r>
      <w:r w:rsidR="00F503D8" w:rsidRPr="00FB75F5">
        <w:rPr>
          <w:rFonts w:ascii="Times New Roman" w:hAnsi="Times New Roman" w:cs="Times New Roman"/>
          <w:sz w:val="24"/>
          <w:szCs w:val="24"/>
        </w:rPr>
        <w:t xml:space="preserve"> The </w:t>
      </w:r>
      <w:r w:rsidR="00581852">
        <w:rPr>
          <w:rFonts w:ascii="Times New Roman" w:hAnsi="Times New Roman" w:cs="Times New Roman"/>
          <w:sz w:val="24"/>
          <w:szCs w:val="24"/>
        </w:rPr>
        <w:t xml:space="preserve">submission </w:t>
      </w:r>
      <w:r w:rsidR="00F503D8" w:rsidRPr="00FB75F5">
        <w:rPr>
          <w:rFonts w:ascii="Times New Roman" w:hAnsi="Times New Roman" w:cs="Times New Roman"/>
          <w:sz w:val="24"/>
          <w:szCs w:val="24"/>
        </w:rPr>
        <w:t>selected for the Short List w</w:t>
      </w:r>
      <w:r w:rsidR="00FB75F5">
        <w:rPr>
          <w:rFonts w:ascii="Times New Roman" w:hAnsi="Times New Roman" w:cs="Times New Roman"/>
          <w:sz w:val="24"/>
          <w:szCs w:val="24"/>
        </w:rPr>
        <w:t>as</w:t>
      </w:r>
      <w:r w:rsidR="00F503D8" w:rsidRPr="00FB75F5">
        <w:rPr>
          <w:rFonts w:ascii="Times New Roman" w:hAnsi="Times New Roman" w:cs="Times New Roman"/>
          <w:sz w:val="24"/>
          <w:szCs w:val="24"/>
        </w:rPr>
        <w:t xml:space="preserve"> based upon the best value of the portfolio of proposals to the Company’s </w:t>
      </w:r>
      <w:r w:rsidR="00F503D8" w:rsidRPr="00183D9D">
        <w:rPr>
          <w:rFonts w:ascii="Times New Roman" w:hAnsi="Times New Roman" w:cs="Times New Roman"/>
          <w:sz w:val="24"/>
          <w:szCs w:val="24"/>
        </w:rPr>
        <w:t>customers</w:t>
      </w:r>
      <w:r w:rsidR="00B21674">
        <w:rPr>
          <w:rFonts w:ascii="Times New Roman" w:hAnsi="Times New Roman" w:cs="Times New Roman"/>
          <w:sz w:val="24"/>
          <w:szCs w:val="24"/>
        </w:rPr>
        <w:t xml:space="preserve"> and was the only resource that could reasonably achieve the December 1, 2027</w:t>
      </w:r>
      <w:r w:rsidR="00B130CD">
        <w:rPr>
          <w:rFonts w:ascii="Times New Roman" w:hAnsi="Times New Roman" w:cs="Times New Roman"/>
          <w:sz w:val="24"/>
          <w:szCs w:val="24"/>
        </w:rPr>
        <w:t>,</w:t>
      </w:r>
      <w:r w:rsidR="00B21674">
        <w:rPr>
          <w:rFonts w:ascii="Times New Roman" w:hAnsi="Times New Roman" w:cs="Times New Roman"/>
          <w:sz w:val="24"/>
          <w:szCs w:val="24"/>
        </w:rPr>
        <w:t xml:space="preserve"> required commercial operation date without more than minimal transmission improvements</w:t>
      </w:r>
      <w:r w:rsidR="00F503D8" w:rsidRPr="00183D9D">
        <w:rPr>
          <w:rFonts w:ascii="Times New Roman" w:hAnsi="Times New Roman" w:cs="Times New Roman"/>
          <w:sz w:val="24"/>
          <w:szCs w:val="24"/>
        </w:rPr>
        <w:t>.</w:t>
      </w:r>
      <w:r w:rsidR="00F20617">
        <w:rPr>
          <w:rFonts w:ascii="Times New Roman" w:hAnsi="Times New Roman" w:cs="Times New Roman"/>
          <w:sz w:val="24"/>
          <w:szCs w:val="24"/>
        </w:rPr>
        <w:t xml:space="preserve"> </w:t>
      </w:r>
      <w:r w:rsidR="00F503D8" w:rsidRPr="00183D9D">
        <w:rPr>
          <w:rFonts w:ascii="Times New Roman" w:hAnsi="Times New Roman" w:cs="Times New Roman"/>
          <w:sz w:val="24"/>
          <w:szCs w:val="24"/>
        </w:rPr>
        <w:t xml:space="preserve">Throughout the process, the Commission Staff and the IE independently verified the process and steps taken by the Company as the Competitive Tier, Short List, and </w:t>
      </w:r>
      <w:r w:rsidR="00F503D8" w:rsidRPr="008C11BF">
        <w:rPr>
          <w:rFonts w:ascii="Times New Roman" w:hAnsi="Times New Roman" w:cs="Times New Roman"/>
          <w:sz w:val="24"/>
          <w:szCs w:val="24"/>
        </w:rPr>
        <w:t>Reserve List</w:t>
      </w:r>
      <w:r w:rsidR="00F503D8" w:rsidRPr="00183D9D">
        <w:rPr>
          <w:rFonts w:ascii="Times New Roman" w:hAnsi="Times New Roman" w:cs="Times New Roman"/>
          <w:sz w:val="24"/>
          <w:szCs w:val="24"/>
        </w:rPr>
        <w:t xml:space="preserve"> were selected.</w:t>
      </w:r>
      <w:r w:rsidR="00D34326">
        <w:rPr>
          <w:rFonts w:ascii="Times New Roman" w:hAnsi="Times New Roman" w:cs="Times New Roman"/>
          <w:sz w:val="24"/>
          <w:szCs w:val="24"/>
        </w:rPr>
        <w:t xml:space="preserve"> All proposals on the Reserve List were </w:t>
      </w:r>
      <w:r w:rsidR="00092938">
        <w:rPr>
          <w:rFonts w:ascii="Times New Roman" w:hAnsi="Times New Roman" w:cs="Times New Roman"/>
          <w:sz w:val="24"/>
          <w:szCs w:val="24"/>
        </w:rPr>
        <w:t>moved to the Release List on May 22, 2025</w:t>
      </w:r>
      <w:r w:rsidR="002F08B4">
        <w:rPr>
          <w:rFonts w:ascii="Times New Roman" w:hAnsi="Times New Roman" w:cs="Times New Roman"/>
          <w:sz w:val="24"/>
          <w:szCs w:val="24"/>
        </w:rPr>
        <w:t>,</w:t>
      </w:r>
      <w:r w:rsidR="002801B3">
        <w:rPr>
          <w:rFonts w:ascii="Times New Roman" w:hAnsi="Times New Roman" w:cs="Times New Roman"/>
          <w:sz w:val="24"/>
          <w:szCs w:val="24"/>
        </w:rPr>
        <w:t xml:space="preserve"> </w:t>
      </w:r>
      <w:r w:rsidR="0031223C">
        <w:rPr>
          <w:rFonts w:ascii="Times New Roman" w:hAnsi="Times New Roman" w:cs="Times New Roman"/>
          <w:sz w:val="24"/>
          <w:szCs w:val="24"/>
        </w:rPr>
        <w:t xml:space="preserve">due to </w:t>
      </w:r>
      <w:r w:rsidR="000E6945">
        <w:rPr>
          <w:rFonts w:ascii="Times New Roman" w:hAnsi="Times New Roman" w:cs="Times New Roman"/>
          <w:sz w:val="24"/>
          <w:szCs w:val="24"/>
        </w:rPr>
        <w:t xml:space="preserve">their </w:t>
      </w:r>
      <w:r w:rsidR="009D1EC2">
        <w:rPr>
          <w:rFonts w:ascii="Times New Roman" w:hAnsi="Times New Roman" w:cs="Times New Roman"/>
          <w:sz w:val="24"/>
          <w:szCs w:val="24"/>
        </w:rPr>
        <w:t xml:space="preserve">inability to achieve the </w:t>
      </w:r>
      <w:r w:rsidR="005012C5">
        <w:rPr>
          <w:rFonts w:ascii="Times New Roman" w:hAnsi="Times New Roman" w:cs="Times New Roman"/>
          <w:sz w:val="24"/>
          <w:szCs w:val="24"/>
        </w:rPr>
        <w:t>December 1, 2027, required commercial operation date without more than minim</w:t>
      </w:r>
      <w:r w:rsidR="00C32820">
        <w:rPr>
          <w:rFonts w:ascii="Times New Roman" w:hAnsi="Times New Roman" w:cs="Times New Roman"/>
          <w:sz w:val="24"/>
          <w:szCs w:val="24"/>
        </w:rPr>
        <w:t>al transmission improvements</w:t>
      </w:r>
      <w:r w:rsidR="002801B3">
        <w:rPr>
          <w:rFonts w:ascii="Times New Roman" w:hAnsi="Times New Roman" w:cs="Times New Roman"/>
          <w:sz w:val="24"/>
          <w:szCs w:val="24"/>
        </w:rPr>
        <w:t>.</w:t>
      </w:r>
    </w:p>
    <w:p w14:paraId="120DF3F6" w14:textId="0AAD6546" w:rsidR="00B10A3E" w:rsidRDefault="00FA73EF" w:rsidP="00D4372D">
      <w:pPr>
        <w:pStyle w:val="Heading1"/>
        <w:widowControl w:val="0"/>
        <w:tabs>
          <w:tab w:val="clear" w:pos="360"/>
          <w:tab w:val="num" w:pos="720"/>
        </w:tabs>
        <w:spacing w:before="120" w:after="120" w:line="360" w:lineRule="auto"/>
        <w:ind w:left="720" w:hanging="720"/>
      </w:pPr>
      <w:bookmarkStart w:id="16" w:name="_Toc197703462"/>
      <w:r>
        <w:t>Twiggs County BESS (200 MW) Construction Information</w:t>
      </w:r>
      <w:bookmarkEnd w:id="16"/>
    </w:p>
    <w:p w14:paraId="460AFA7E" w14:textId="4AF6B20A" w:rsidR="00FA73EF" w:rsidRPr="00FA73EF" w:rsidRDefault="00FA73EF" w:rsidP="00D4372D">
      <w:pPr>
        <w:pStyle w:val="Heading2"/>
        <w:widowControl w:val="0"/>
        <w:tabs>
          <w:tab w:val="clear" w:pos="7362"/>
          <w:tab w:val="num" w:pos="1440"/>
        </w:tabs>
        <w:spacing w:after="120" w:line="360" w:lineRule="auto"/>
        <w:ind w:left="720" w:firstLine="0"/>
      </w:pPr>
      <w:bookmarkStart w:id="17" w:name="_Toc197703463"/>
      <w:r>
        <w:rPr>
          <w:snapToGrid w:val="0"/>
        </w:rPr>
        <w:t>Cost-</w:t>
      </w:r>
      <w:r w:rsidRPr="00FA73EF">
        <w:rPr>
          <w:snapToGrid w:val="0"/>
        </w:rPr>
        <w:t>Benefit Analysis</w:t>
      </w:r>
      <w:bookmarkEnd w:id="17"/>
    </w:p>
    <w:p w14:paraId="271AB419" w14:textId="62D8C74E" w:rsidR="007065CF" w:rsidRPr="005A381F" w:rsidRDefault="007065CF" w:rsidP="00D4372D">
      <w:pPr>
        <w:widowControl w:val="0"/>
        <w:spacing w:line="276" w:lineRule="auto"/>
        <w:ind w:left="720" w:firstLine="720"/>
        <w:jc w:val="both"/>
        <w:rPr>
          <w:sz w:val="24"/>
          <w:szCs w:val="24"/>
        </w:rPr>
      </w:pPr>
      <w:r w:rsidRPr="005A381F">
        <w:rPr>
          <w:sz w:val="24"/>
          <w:szCs w:val="24"/>
        </w:rPr>
        <w:t xml:space="preserve">The Commission </w:t>
      </w:r>
      <w:r w:rsidR="00276C28">
        <w:rPr>
          <w:sz w:val="24"/>
          <w:szCs w:val="24"/>
        </w:rPr>
        <w:t xml:space="preserve">instructed </w:t>
      </w:r>
      <w:r w:rsidRPr="005A381F">
        <w:rPr>
          <w:sz w:val="24"/>
          <w:szCs w:val="24"/>
        </w:rPr>
        <w:t xml:space="preserve">the Company to </w:t>
      </w:r>
      <w:r w:rsidR="00276C28">
        <w:rPr>
          <w:sz w:val="24"/>
          <w:szCs w:val="24"/>
        </w:rPr>
        <w:t>procure</w:t>
      </w:r>
      <w:r w:rsidRPr="005A381F">
        <w:rPr>
          <w:sz w:val="24"/>
          <w:szCs w:val="24"/>
        </w:rPr>
        <w:t xml:space="preserve"> </w:t>
      </w:r>
      <w:r w:rsidR="00276C28">
        <w:rPr>
          <w:sz w:val="24"/>
          <w:szCs w:val="24"/>
        </w:rPr>
        <w:t xml:space="preserve">approximately </w:t>
      </w:r>
      <w:r w:rsidRPr="005A381F">
        <w:rPr>
          <w:sz w:val="24"/>
          <w:szCs w:val="24"/>
        </w:rPr>
        <w:t xml:space="preserve">300 to 500 MW of BESS resources needed to serve customers during the </w:t>
      </w:r>
      <w:r w:rsidR="00080BDC">
        <w:rPr>
          <w:sz w:val="24"/>
          <w:szCs w:val="24"/>
        </w:rPr>
        <w:t>W</w:t>
      </w:r>
      <w:r w:rsidRPr="005A381F">
        <w:rPr>
          <w:sz w:val="24"/>
          <w:szCs w:val="24"/>
        </w:rPr>
        <w:t>inter of 2027/2028</w:t>
      </w:r>
      <w:r w:rsidR="000277CC">
        <w:rPr>
          <w:sz w:val="24"/>
          <w:szCs w:val="24"/>
        </w:rPr>
        <w:t xml:space="preserve">. The </w:t>
      </w:r>
      <w:r w:rsidR="005E6B00">
        <w:rPr>
          <w:sz w:val="24"/>
          <w:szCs w:val="24"/>
        </w:rPr>
        <w:t>directive involved issuing</w:t>
      </w:r>
      <w:r w:rsidRPr="005A381F">
        <w:rPr>
          <w:sz w:val="24"/>
          <w:szCs w:val="24"/>
        </w:rPr>
        <w:t xml:space="preserve"> a narrowly </w:t>
      </w:r>
      <w:r w:rsidR="005E6B00">
        <w:rPr>
          <w:sz w:val="24"/>
          <w:szCs w:val="24"/>
        </w:rPr>
        <w:t xml:space="preserve">focused </w:t>
      </w:r>
      <w:r w:rsidRPr="005A381F">
        <w:rPr>
          <w:sz w:val="24"/>
          <w:szCs w:val="24"/>
        </w:rPr>
        <w:t xml:space="preserve">RFP with an expedited </w:t>
      </w:r>
      <w:r w:rsidR="00A80EF7">
        <w:rPr>
          <w:sz w:val="24"/>
          <w:szCs w:val="24"/>
        </w:rPr>
        <w:t>timeline</w:t>
      </w:r>
      <w:r w:rsidRPr="005A381F">
        <w:rPr>
          <w:sz w:val="24"/>
          <w:szCs w:val="24"/>
        </w:rPr>
        <w:t xml:space="preserve">. The RFP </w:t>
      </w:r>
      <w:r w:rsidR="00D17C5B">
        <w:rPr>
          <w:sz w:val="24"/>
          <w:szCs w:val="24"/>
        </w:rPr>
        <w:t xml:space="preserve">aimed to secure </w:t>
      </w:r>
      <w:r w:rsidRPr="005A381F">
        <w:rPr>
          <w:sz w:val="24"/>
          <w:szCs w:val="24"/>
        </w:rPr>
        <w:t xml:space="preserve">BESS resources with commercial operation dates no later than December 1, 2027. </w:t>
      </w:r>
      <w:r w:rsidR="00613FFD">
        <w:rPr>
          <w:sz w:val="24"/>
          <w:szCs w:val="24"/>
        </w:rPr>
        <w:t xml:space="preserve">The </w:t>
      </w:r>
      <w:r w:rsidR="001F382D">
        <w:rPr>
          <w:sz w:val="24"/>
          <w:szCs w:val="24"/>
        </w:rPr>
        <w:t>Winter</w:t>
      </w:r>
      <w:r w:rsidR="00F07DF4">
        <w:rPr>
          <w:sz w:val="24"/>
          <w:szCs w:val="24"/>
        </w:rPr>
        <w:t xml:space="preserve"> 27_28 BESS RFP</w:t>
      </w:r>
      <w:r w:rsidR="00613FFD">
        <w:rPr>
          <w:sz w:val="24"/>
          <w:szCs w:val="24"/>
        </w:rPr>
        <w:t xml:space="preserve"> process </w:t>
      </w:r>
      <w:r w:rsidR="00015DA9">
        <w:rPr>
          <w:sz w:val="24"/>
          <w:szCs w:val="24"/>
        </w:rPr>
        <w:t xml:space="preserve">adhered to the solicitation, product requirements, regulatory accommodations, </w:t>
      </w:r>
      <w:r w:rsidR="00865D9C">
        <w:rPr>
          <w:sz w:val="24"/>
          <w:szCs w:val="24"/>
        </w:rPr>
        <w:t xml:space="preserve">and schedule as </w:t>
      </w:r>
      <w:r w:rsidRPr="005A381F">
        <w:rPr>
          <w:sz w:val="24"/>
          <w:szCs w:val="24"/>
        </w:rPr>
        <w:t>authorized by the Commission</w:t>
      </w:r>
      <w:r w:rsidR="00865D9C">
        <w:rPr>
          <w:sz w:val="24"/>
          <w:szCs w:val="24"/>
        </w:rPr>
        <w:t xml:space="preserve">, which </w:t>
      </w:r>
      <w:r w:rsidRPr="005A381F">
        <w:rPr>
          <w:sz w:val="24"/>
          <w:szCs w:val="24"/>
        </w:rPr>
        <w:t>granted waivers f</w:t>
      </w:r>
      <w:r w:rsidR="00CB4F70">
        <w:rPr>
          <w:sz w:val="24"/>
          <w:szCs w:val="24"/>
        </w:rPr>
        <w:t>or specific</w:t>
      </w:r>
      <w:r w:rsidRPr="005A381F">
        <w:rPr>
          <w:sz w:val="24"/>
          <w:szCs w:val="24"/>
        </w:rPr>
        <w:t xml:space="preserve"> Commission Rules</w:t>
      </w:r>
      <w:r w:rsidR="00CB4F70">
        <w:rPr>
          <w:sz w:val="24"/>
          <w:szCs w:val="24"/>
        </w:rPr>
        <w:t xml:space="preserve">: </w:t>
      </w:r>
      <w:r w:rsidRPr="005A381F">
        <w:rPr>
          <w:sz w:val="24"/>
          <w:szCs w:val="24"/>
        </w:rPr>
        <w:t xml:space="preserve">515-3-4-.04(3)(a)(10), 515-3-4-.04(3)(c)(1, 2, 3), 515-3-4-.04(3)(e)(1)(ii, v, vi, vii, ix), and 515-3-4-.04(3)(e)(4)(i, v, vi). </w:t>
      </w:r>
    </w:p>
    <w:p w14:paraId="6C9CE2E3" w14:textId="77777777" w:rsidR="00DC4B06" w:rsidRDefault="00DC4B06" w:rsidP="00D4372D">
      <w:pPr>
        <w:widowControl w:val="0"/>
        <w:spacing w:line="276" w:lineRule="auto"/>
        <w:ind w:left="720"/>
        <w:jc w:val="both"/>
        <w:rPr>
          <w:sz w:val="24"/>
          <w:szCs w:val="24"/>
        </w:rPr>
      </w:pPr>
    </w:p>
    <w:p w14:paraId="76A90670" w14:textId="0B4AD539" w:rsidR="007065CF" w:rsidRPr="006B77D9" w:rsidRDefault="007065CF" w:rsidP="00D4372D">
      <w:pPr>
        <w:spacing w:line="276" w:lineRule="auto"/>
        <w:ind w:left="720" w:firstLine="720"/>
        <w:jc w:val="both"/>
      </w:pPr>
      <w:r w:rsidRPr="005A381F">
        <w:rPr>
          <w:sz w:val="24"/>
          <w:szCs w:val="24"/>
        </w:rPr>
        <w:t xml:space="preserve">The </w:t>
      </w:r>
      <w:r w:rsidR="00DA7E64">
        <w:rPr>
          <w:sz w:val="24"/>
          <w:szCs w:val="24"/>
        </w:rPr>
        <w:t>C</w:t>
      </w:r>
      <w:r w:rsidR="00DA7E64" w:rsidRPr="005A381F">
        <w:rPr>
          <w:sz w:val="24"/>
          <w:szCs w:val="24"/>
        </w:rPr>
        <w:t xml:space="preserve">ompany </w:t>
      </w:r>
      <w:r w:rsidR="00DA7E64">
        <w:rPr>
          <w:sz w:val="24"/>
          <w:szCs w:val="24"/>
        </w:rPr>
        <w:t>conducted</w:t>
      </w:r>
      <w:r w:rsidR="001E109B">
        <w:rPr>
          <w:sz w:val="24"/>
          <w:szCs w:val="24"/>
        </w:rPr>
        <w:t xml:space="preserve"> an in-depth</w:t>
      </w:r>
      <w:r w:rsidR="00C8219A">
        <w:rPr>
          <w:sz w:val="24"/>
          <w:szCs w:val="24"/>
        </w:rPr>
        <w:t xml:space="preserve"> </w:t>
      </w:r>
      <w:r w:rsidRPr="005A381F">
        <w:rPr>
          <w:sz w:val="24"/>
          <w:szCs w:val="24"/>
        </w:rPr>
        <w:t>economic analysis</w:t>
      </w:r>
      <w:r w:rsidR="00C8219A">
        <w:rPr>
          <w:sz w:val="24"/>
          <w:szCs w:val="24"/>
        </w:rPr>
        <w:t>,</w:t>
      </w:r>
      <w:r w:rsidR="00EE3DE0">
        <w:rPr>
          <w:sz w:val="24"/>
          <w:szCs w:val="24"/>
        </w:rPr>
        <w:t xml:space="preserve"> including</w:t>
      </w:r>
      <w:r w:rsidR="00C8219A">
        <w:rPr>
          <w:sz w:val="24"/>
          <w:szCs w:val="24"/>
        </w:rPr>
        <w:t xml:space="preserve"> a</w:t>
      </w:r>
      <w:r w:rsidRPr="005A381F">
        <w:rPr>
          <w:sz w:val="24"/>
          <w:szCs w:val="24"/>
        </w:rPr>
        <w:t xml:space="preserve"> cost-benefit </w:t>
      </w:r>
      <w:r w:rsidR="004204E3">
        <w:rPr>
          <w:sz w:val="24"/>
          <w:szCs w:val="24"/>
        </w:rPr>
        <w:t>evaluation</w:t>
      </w:r>
      <w:r w:rsidR="00EE3DE0">
        <w:rPr>
          <w:sz w:val="24"/>
          <w:szCs w:val="24"/>
        </w:rPr>
        <w:t>,</w:t>
      </w:r>
      <w:r w:rsidR="004204E3">
        <w:rPr>
          <w:sz w:val="24"/>
          <w:szCs w:val="24"/>
        </w:rPr>
        <w:t xml:space="preserve"> </w:t>
      </w:r>
      <w:r w:rsidRPr="005A381F">
        <w:rPr>
          <w:sz w:val="24"/>
          <w:szCs w:val="24"/>
        </w:rPr>
        <w:t xml:space="preserve">for the </w:t>
      </w:r>
      <w:r w:rsidR="00416F61">
        <w:rPr>
          <w:sz w:val="24"/>
          <w:szCs w:val="24"/>
        </w:rPr>
        <w:t>four</w:t>
      </w:r>
      <w:r w:rsidR="00416F61" w:rsidRPr="005A381F">
        <w:rPr>
          <w:sz w:val="24"/>
          <w:szCs w:val="24"/>
        </w:rPr>
        <w:t xml:space="preserve"> </w:t>
      </w:r>
      <w:r w:rsidRPr="005A381F">
        <w:rPr>
          <w:sz w:val="24"/>
          <w:szCs w:val="24"/>
        </w:rPr>
        <w:t>BESS projects that</w:t>
      </w:r>
      <w:r w:rsidR="00B53A64">
        <w:rPr>
          <w:sz w:val="24"/>
          <w:szCs w:val="24"/>
        </w:rPr>
        <w:t xml:space="preserve"> advanced to the </w:t>
      </w:r>
      <w:r w:rsidR="003D1F62">
        <w:rPr>
          <w:sz w:val="24"/>
          <w:szCs w:val="24"/>
        </w:rPr>
        <w:t xml:space="preserve">Competitive Tier </w:t>
      </w:r>
      <w:r w:rsidR="00B53A64">
        <w:rPr>
          <w:sz w:val="24"/>
          <w:szCs w:val="24"/>
        </w:rPr>
        <w:t xml:space="preserve">of the </w:t>
      </w:r>
      <w:r w:rsidRPr="005A381F">
        <w:rPr>
          <w:sz w:val="24"/>
          <w:szCs w:val="24"/>
        </w:rPr>
        <w:t xml:space="preserve">RFP process. The RFP evaluation model </w:t>
      </w:r>
      <w:r w:rsidR="003F4549">
        <w:rPr>
          <w:sz w:val="24"/>
          <w:szCs w:val="24"/>
        </w:rPr>
        <w:t>integrate</w:t>
      </w:r>
      <w:r w:rsidR="00DF0131">
        <w:rPr>
          <w:sz w:val="24"/>
          <w:szCs w:val="24"/>
        </w:rPr>
        <w:t>d</w:t>
      </w:r>
      <w:r w:rsidRPr="005A381F">
        <w:rPr>
          <w:sz w:val="24"/>
          <w:szCs w:val="24"/>
        </w:rPr>
        <w:t xml:space="preserve"> the costs and schedules </w:t>
      </w:r>
      <w:r w:rsidR="0037736A">
        <w:rPr>
          <w:sz w:val="24"/>
          <w:szCs w:val="24"/>
        </w:rPr>
        <w:t xml:space="preserve">outlined in the </w:t>
      </w:r>
      <w:r w:rsidRPr="005A381F">
        <w:rPr>
          <w:sz w:val="24"/>
          <w:szCs w:val="24"/>
        </w:rPr>
        <w:t xml:space="preserve">BESA and </w:t>
      </w:r>
      <w:r w:rsidRPr="005A381F">
        <w:rPr>
          <w:rStyle w:val="normaltextrun"/>
          <w:rFonts w:eastAsiaTheme="minorEastAsia"/>
          <w:sz w:val="24"/>
          <w:szCs w:val="24"/>
        </w:rPr>
        <w:t xml:space="preserve">EPC agreement </w:t>
      </w:r>
      <w:r w:rsidR="00E15FF3">
        <w:rPr>
          <w:rStyle w:val="normaltextrun"/>
          <w:rFonts w:eastAsiaTheme="minorEastAsia"/>
          <w:sz w:val="24"/>
          <w:szCs w:val="24"/>
        </w:rPr>
        <w:t>p</w:t>
      </w:r>
      <w:r w:rsidR="00252D8E">
        <w:rPr>
          <w:rStyle w:val="normaltextrun"/>
          <w:rFonts w:eastAsiaTheme="minorEastAsia"/>
          <w:sz w:val="24"/>
          <w:szCs w:val="24"/>
        </w:rPr>
        <w:t xml:space="preserve">rovided </w:t>
      </w:r>
      <w:r w:rsidR="00392363">
        <w:rPr>
          <w:rStyle w:val="normaltextrun"/>
          <w:rFonts w:eastAsiaTheme="minorEastAsia"/>
          <w:sz w:val="24"/>
          <w:szCs w:val="24"/>
        </w:rPr>
        <w:t>for each proposal</w:t>
      </w:r>
      <w:r w:rsidR="00252D8E">
        <w:rPr>
          <w:rStyle w:val="normaltextrun"/>
          <w:rFonts w:eastAsiaTheme="minorEastAsia"/>
          <w:sz w:val="24"/>
          <w:szCs w:val="24"/>
        </w:rPr>
        <w:t>.</w:t>
      </w:r>
      <w:r w:rsidR="00E13306">
        <w:rPr>
          <w:rStyle w:val="normaltextrun"/>
          <w:rFonts w:eastAsiaTheme="minorEastAsia"/>
          <w:sz w:val="24"/>
          <w:szCs w:val="24"/>
        </w:rPr>
        <w:t xml:space="preserve"> </w:t>
      </w:r>
      <w:r w:rsidR="00D62677">
        <w:rPr>
          <w:rStyle w:val="normaltextrun"/>
          <w:rFonts w:eastAsiaTheme="minorEastAsia"/>
          <w:sz w:val="24"/>
          <w:szCs w:val="24"/>
        </w:rPr>
        <w:t xml:space="preserve">Consistent </w:t>
      </w:r>
      <w:r w:rsidR="005F6FD8">
        <w:rPr>
          <w:rStyle w:val="normaltextrun"/>
          <w:rFonts w:eastAsiaTheme="minorEastAsia"/>
          <w:sz w:val="24"/>
          <w:szCs w:val="24"/>
        </w:rPr>
        <w:t xml:space="preserve">with all </w:t>
      </w:r>
      <w:r w:rsidR="00FE3994">
        <w:rPr>
          <w:rStyle w:val="normaltextrun"/>
          <w:rFonts w:eastAsiaTheme="minorEastAsia"/>
          <w:sz w:val="24"/>
          <w:szCs w:val="24"/>
        </w:rPr>
        <w:t>RFP evaluations</w:t>
      </w:r>
      <w:r w:rsidR="005E3A47">
        <w:rPr>
          <w:rStyle w:val="normaltextrun"/>
          <w:rFonts w:eastAsiaTheme="minorEastAsia"/>
          <w:sz w:val="24"/>
          <w:szCs w:val="24"/>
        </w:rPr>
        <w:t>,</w:t>
      </w:r>
      <w:r w:rsidR="00D43A6F">
        <w:rPr>
          <w:rStyle w:val="normaltextrun"/>
          <w:rFonts w:eastAsiaTheme="minorEastAsia"/>
          <w:sz w:val="24"/>
          <w:szCs w:val="24"/>
        </w:rPr>
        <w:t xml:space="preserve"> </w:t>
      </w:r>
      <w:r w:rsidR="005E3A47">
        <w:rPr>
          <w:rStyle w:val="normaltextrun"/>
          <w:rFonts w:eastAsiaTheme="minorEastAsia"/>
          <w:sz w:val="24"/>
          <w:szCs w:val="24"/>
        </w:rPr>
        <w:t>t</w:t>
      </w:r>
      <w:r w:rsidR="00E13306">
        <w:rPr>
          <w:rStyle w:val="normaltextrun"/>
          <w:rFonts w:eastAsiaTheme="minorEastAsia"/>
          <w:sz w:val="24"/>
          <w:szCs w:val="24"/>
        </w:rPr>
        <w:t xml:space="preserve">he Company </w:t>
      </w:r>
      <w:r w:rsidR="007B2B61">
        <w:rPr>
          <w:rStyle w:val="normaltextrun"/>
          <w:rFonts w:eastAsiaTheme="minorEastAsia"/>
          <w:sz w:val="24"/>
          <w:szCs w:val="24"/>
        </w:rPr>
        <w:t xml:space="preserve">employed </w:t>
      </w:r>
      <w:r w:rsidR="00E13306">
        <w:rPr>
          <w:rStyle w:val="normaltextrun"/>
          <w:rFonts w:eastAsiaTheme="minorEastAsia"/>
          <w:sz w:val="24"/>
          <w:szCs w:val="24"/>
        </w:rPr>
        <w:t xml:space="preserve">a rigorous </w:t>
      </w:r>
      <w:r w:rsidR="009255C7">
        <w:rPr>
          <w:rStyle w:val="normaltextrun"/>
          <w:rFonts w:eastAsiaTheme="minorEastAsia"/>
          <w:sz w:val="24"/>
          <w:szCs w:val="24"/>
        </w:rPr>
        <w:t xml:space="preserve">cost-benefit analysis framework </w:t>
      </w:r>
      <w:r w:rsidR="005100A9">
        <w:rPr>
          <w:rStyle w:val="normaltextrun"/>
          <w:rFonts w:eastAsiaTheme="minorEastAsia"/>
          <w:sz w:val="24"/>
          <w:szCs w:val="24"/>
        </w:rPr>
        <w:t xml:space="preserve">to systematically </w:t>
      </w:r>
      <w:r w:rsidR="001E3A57">
        <w:rPr>
          <w:rStyle w:val="normaltextrun"/>
          <w:rFonts w:eastAsiaTheme="minorEastAsia"/>
          <w:sz w:val="24"/>
          <w:szCs w:val="24"/>
        </w:rPr>
        <w:t xml:space="preserve">assess each </w:t>
      </w:r>
      <w:r w:rsidR="009820F9">
        <w:rPr>
          <w:rStyle w:val="normaltextrun"/>
          <w:rFonts w:eastAsiaTheme="minorEastAsia"/>
          <w:sz w:val="24"/>
          <w:szCs w:val="24"/>
        </w:rPr>
        <w:t>project’s financial and operational impacts by integrating detailed cost projects and implementation timelines.</w:t>
      </w:r>
      <w:r w:rsidR="003807F6">
        <w:rPr>
          <w:rStyle w:val="normaltextrun"/>
          <w:rFonts w:eastAsiaTheme="minorEastAsia"/>
          <w:sz w:val="24"/>
          <w:szCs w:val="24"/>
        </w:rPr>
        <w:t xml:space="preserve"> </w:t>
      </w:r>
      <w:r w:rsidR="007B2B61">
        <w:rPr>
          <w:rStyle w:val="normaltextrun"/>
          <w:rFonts w:eastAsiaTheme="minorEastAsia"/>
          <w:sz w:val="24"/>
          <w:szCs w:val="24"/>
        </w:rPr>
        <w:t xml:space="preserve">This </w:t>
      </w:r>
      <w:r w:rsidR="003807F6">
        <w:rPr>
          <w:rStyle w:val="normaltextrun"/>
          <w:rFonts w:eastAsiaTheme="minorEastAsia"/>
          <w:sz w:val="24"/>
          <w:szCs w:val="24"/>
        </w:rPr>
        <w:t xml:space="preserve">analysis </w:t>
      </w:r>
      <w:r w:rsidR="003C591A">
        <w:rPr>
          <w:rStyle w:val="normaltextrun"/>
          <w:rFonts w:eastAsiaTheme="minorEastAsia"/>
          <w:sz w:val="24"/>
          <w:szCs w:val="24"/>
        </w:rPr>
        <w:t xml:space="preserve">included </w:t>
      </w:r>
      <w:r w:rsidR="003807F6">
        <w:rPr>
          <w:rStyle w:val="normaltextrun"/>
          <w:rFonts w:eastAsiaTheme="minorEastAsia"/>
          <w:sz w:val="24"/>
          <w:szCs w:val="24"/>
        </w:rPr>
        <w:t xml:space="preserve">a comprehensive review of </w:t>
      </w:r>
      <w:r w:rsidR="00854474">
        <w:rPr>
          <w:rStyle w:val="normaltextrun"/>
          <w:rFonts w:eastAsiaTheme="minorEastAsia"/>
          <w:sz w:val="24"/>
          <w:szCs w:val="24"/>
        </w:rPr>
        <w:t xml:space="preserve">direct and indirect costs, anticipated benefits, and potential risks associated with each </w:t>
      </w:r>
      <w:r w:rsidR="00B25476">
        <w:rPr>
          <w:rStyle w:val="normaltextrun"/>
          <w:rFonts w:eastAsiaTheme="minorEastAsia"/>
          <w:sz w:val="24"/>
          <w:szCs w:val="24"/>
        </w:rPr>
        <w:t xml:space="preserve">proposal. By leveraging industry-standard </w:t>
      </w:r>
      <w:r w:rsidR="00402602">
        <w:rPr>
          <w:rStyle w:val="normaltextrun"/>
          <w:rFonts w:eastAsiaTheme="minorEastAsia"/>
          <w:sz w:val="24"/>
          <w:szCs w:val="24"/>
        </w:rPr>
        <w:t xml:space="preserve">and proprietary economic </w:t>
      </w:r>
      <w:r w:rsidR="00402602">
        <w:rPr>
          <w:rStyle w:val="normaltextrun"/>
          <w:rFonts w:eastAsiaTheme="minorEastAsia"/>
          <w:sz w:val="24"/>
          <w:szCs w:val="24"/>
        </w:rPr>
        <w:lastRenderedPageBreak/>
        <w:t>modeling techni</w:t>
      </w:r>
      <w:r w:rsidR="00013894">
        <w:rPr>
          <w:rStyle w:val="normaltextrun"/>
          <w:rFonts w:eastAsiaTheme="minorEastAsia"/>
          <w:sz w:val="24"/>
          <w:szCs w:val="24"/>
        </w:rPr>
        <w:t>ques, the company fore</w:t>
      </w:r>
      <w:r w:rsidR="003B2CEB">
        <w:rPr>
          <w:rStyle w:val="normaltextrun"/>
          <w:rFonts w:eastAsiaTheme="minorEastAsia"/>
          <w:sz w:val="24"/>
          <w:szCs w:val="24"/>
        </w:rPr>
        <w:t>cast</w:t>
      </w:r>
      <w:r w:rsidR="00FC4313">
        <w:rPr>
          <w:rStyle w:val="normaltextrun"/>
          <w:rFonts w:eastAsiaTheme="minorEastAsia"/>
          <w:sz w:val="24"/>
          <w:szCs w:val="24"/>
        </w:rPr>
        <w:t>ed</w:t>
      </w:r>
      <w:r w:rsidR="003B2CEB">
        <w:rPr>
          <w:rStyle w:val="normaltextrun"/>
          <w:rFonts w:eastAsiaTheme="minorEastAsia"/>
          <w:sz w:val="24"/>
          <w:szCs w:val="24"/>
        </w:rPr>
        <w:t xml:space="preserve"> the long-term value and viability of </w:t>
      </w:r>
      <w:r w:rsidR="00C33C67">
        <w:rPr>
          <w:rStyle w:val="normaltextrun"/>
          <w:rFonts w:eastAsiaTheme="minorEastAsia"/>
          <w:sz w:val="24"/>
          <w:szCs w:val="24"/>
        </w:rPr>
        <w:t xml:space="preserve">the </w:t>
      </w:r>
      <w:r w:rsidR="003B567D">
        <w:rPr>
          <w:rStyle w:val="normaltextrun"/>
          <w:rFonts w:eastAsiaTheme="minorEastAsia"/>
          <w:sz w:val="24"/>
          <w:szCs w:val="24"/>
        </w:rPr>
        <w:t>capacity resources</w:t>
      </w:r>
      <w:r w:rsidR="002E296E">
        <w:rPr>
          <w:rStyle w:val="normaltextrun"/>
          <w:rFonts w:eastAsiaTheme="minorEastAsia"/>
          <w:sz w:val="24"/>
          <w:szCs w:val="24"/>
        </w:rPr>
        <w:t>, ensuring informed decision-making and strategic align</w:t>
      </w:r>
      <w:r w:rsidR="00BC246E">
        <w:rPr>
          <w:rStyle w:val="normaltextrun"/>
          <w:rFonts w:eastAsiaTheme="minorEastAsia"/>
          <w:sz w:val="24"/>
          <w:szCs w:val="24"/>
        </w:rPr>
        <w:t>ment</w:t>
      </w:r>
      <w:r w:rsidR="003B567D">
        <w:rPr>
          <w:rStyle w:val="normaltextrun"/>
          <w:rFonts w:eastAsiaTheme="minorEastAsia"/>
          <w:sz w:val="24"/>
          <w:szCs w:val="24"/>
        </w:rPr>
        <w:t>.</w:t>
      </w:r>
      <w:r w:rsidR="003B567D" w:rsidDel="003B567D">
        <w:rPr>
          <w:rStyle w:val="normaltextrun"/>
          <w:rFonts w:eastAsiaTheme="minorEastAsia"/>
          <w:sz w:val="24"/>
          <w:szCs w:val="24"/>
        </w:rPr>
        <w:t xml:space="preserve"> </w:t>
      </w:r>
    </w:p>
    <w:p w14:paraId="59F88C31" w14:textId="5C14CCB2" w:rsidR="00FA73EF" w:rsidRPr="00FA73EF" w:rsidRDefault="00FA73EF" w:rsidP="00FA73EF">
      <w:pPr>
        <w:pStyle w:val="Heading2"/>
        <w:keepNext/>
        <w:tabs>
          <w:tab w:val="clear" w:pos="7362"/>
          <w:tab w:val="num" w:pos="1440"/>
        </w:tabs>
        <w:spacing w:after="120" w:line="360" w:lineRule="auto"/>
        <w:ind w:left="720" w:firstLine="0"/>
      </w:pPr>
      <w:bookmarkStart w:id="18" w:name="_Toc197703464"/>
      <w:r>
        <w:rPr>
          <w:snapToGrid w:val="0"/>
        </w:rPr>
        <w:t xml:space="preserve">Site Selection </w:t>
      </w:r>
      <w:r w:rsidRPr="00FA73EF">
        <w:rPr>
          <w:snapToGrid w:val="0"/>
        </w:rPr>
        <w:t>Analysis</w:t>
      </w:r>
      <w:bookmarkEnd w:id="18"/>
    </w:p>
    <w:p w14:paraId="460A23AB" w14:textId="17717359" w:rsidR="00814A32" w:rsidRPr="00CA6D7F" w:rsidRDefault="00814A32" w:rsidP="00AD04EB">
      <w:pPr>
        <w:spacing w:line="276" w:lineRule="auto"/>
        <w:ind w:left="720" w:firstLine="720"/>
        <w:jc w:val="both"/>
        <w:rPr>
          <w:sz w:val="24"/>
          <w:szCs w:val="24"/>
        </w:rPr>
      </w:pPr>
      <w:r w:rsidRPr="1CF6E198">
        <w:rPr>
          <w:sz w:val="24"/>
          <w:szCs w:val="24"/>
        </w:rPr>
        <w:t xml:space="preserve">The </w:t>
      </w:r>
      <w:r w:rsidR="00F0677E" w:rsidRPr="1CF6E198">
        <w:rPr>
          <w:sz w:val="24"/>
          <w:szCs w:val="24"/>
        </w:rPr>
        <w:t xml:space="preserve">Company-owned </w:t>
      </w:r>
      <w:r w:rsidR="00741FD9" w:rsidRPr="1CF6E198">
        <w:rPr>
          <w:sz w:val="24"/>
          <w:szCs w:val="24"/>
        </w:rPr>
        <w:t xml:space="preserve">Proposal </w:t>
      </w:r>
      <w:r w:rsidR="00F0677E" w:rsidRPr="1CF6E198">
        <w:rPr>
          <w:sz w:val="24"/>
          <w:szCs w:val="24"/>
        </w:rPr>
        <w:t>Team</w:t>
      </w:r>
      <w:r w:rsidRPr="1CF6E198">
        <w:rPr>
          <w:sz w:val="24"/>
          <w:szCs w:val="24"/>
        </w:rPr>
        <w:t xml:space="preserve"> selected the Twiggs County site for its expedited deployment capabilities, primarily attributed to the existing solar facility at this location</w:t>
      </w:r>
      <w:r w:rsidR="21B6B6A6" w:rsidRPr="1CF6E198">
        <w:rPr>
          <w:sz w:val="24"/>
          <w:szCs w:val="24"/>
        </w:rPr>
        <w:t>,</w:t>
      </w:r>
      <w:r w:rsidRPr="1CF6E198">
        <w:rPr>
          <w:sz w:val="24"/>
          <w:szCs w:val="24"/>
        </w:rPr>
        <w:t xml:space="preserve"> which ensures known transmission deliverability. This strategic choice allows the Company to leverage existing infrastructure, thereby eliminating the need for constructing new generator step-up (“GSU”) project-level substations and eliminating potential expenses and long lead time projects associated with interconnection and network upgrades.</w:t>
      </w:r>
    </w:p>
    <w:p w14:paraId="0F6F11C9" w14:textId="5820E641" w:rsidR="00FA73EF" w:rsidRPr="00FA73EF" w:rsidRDefault="00FA73EF" w:rsidP="00FA73EF">
      <w:pPr>
        <w:pStyle w:val="Heading2"/>
        <w:keepNext/>
        <w:tabs>
          <w:tab w:val="clear" w:pos="7362"/>
          <w:tab w:val="num" w:pos="1440"/>
        </w:tabs>
        <w:spacing w:after="120" w:line="360" w:lineRule="auto"/>
        <w:ind w:left="720" w:firstLine="0"/>
      </w:pPr>
      <w:bookmarkStart w:id="19" w:name="_Toc197703465"/>
      <w:r>
        <w:rPr>
          <w:snapToGrid w:val="0"/>
        </w:rPr>
        <w:t>Fuel Use</w:t>
      </w:r>
      <w:bookmarkEnd w:id="19"/>
    </w:p>
    <w:p w14:paraId="05D19B37" w14:textId="77777777" w:rsidR="0090109C" w:rsidRPr="00CA6D7F" w:rsidRDefault="0090109C" w:rsidP="00AD04EB">
      <w:pPr>
        <w:spacing w:line="276" w:lineRule="auto"/>
        <w:ind w:left="720" w:firstLine="720"/>
        <w:jc w:val="both"/>
        <w:rPr>
          <w:sz w:val="24"/>
          <w:szCs w:val="24"/>
        </w:rPr>
      </w:pPr>
      <w:r w:rsidRPr="00CA6D7F">
        <w:rPr>
          <w:sz w:val="24"/>
          <w:szCs w:val="24"/>
        </w:rPr>
        <w:t xml:space="preserve">The Twiggs County solar facility will be the primary fuel source for the Twiggs County BESS facility. The BESS will store the renewable energy during daylight hours and discharge the energy as needed to support grid operations and meet capacity needs. Additionally, the Twiggs County BESS will primarily serve as a cost-effective, dispatchable capacity resource by optimizing energy savings. It will achieve this by shifting the energy from hours with relatively low system marginal cost to hours with relatively high system marginal cost. While it will primarily charge from solar energy, it can also charge from the grid </w:t>
      </w:r>
      <w:r w:rsidRPr="00CA6D7F">
        <w:rPr>
          <w:rStyle w:val="normaltextrun"/>
          <w:color w:val="000000"/>
          <w:sz w:val="24"/>
          <w:szCs w:val="24"/>
          <w:shd w:val="clear" w:color="auto" w:fill="FFFFFF"/>
        </w:rPr>
        <w:t>if constraints are not present</w:t>
      </w:r>
      <w:r w:rsidRPr="00CA6D7F">
        <w:rPr>
          <w:rStyle w:val="normaltextrun"/>
          <w:color w:val="000000" w:themeColor="text1"/>
          <w:sz w:val="24"/>
          <w:szCs w:val="24"/>
        </w:rPr>
        <w:t xml:space="preserve"> on the transmission system</w:t>
      </w:r>
      <w:r w:rsidRPr="00CA6D7F">
        <w:rPr>
          <w:sz w:val="24"/>
          <w:szCs w:val="24"/>
        </w:rPr>
        <w:t>.</w:t>
      </w:r>
    </w:p>
    <w:p w14:paraId="6CF06694" w14:textId="651F7C7D" w:rsidR="00BC5657" w:rsidRPr="00FA73EF" w:rsidRDefault="00BC5657" w:rsidP="00BC5657">
      <w:pPr>
        <w:pStyle w:val="BalloonText"/>
        <w:spacing w:line="360" w:lineRule="auto"/>
        <w:ind w:firstLine="720"/>
        <w:jc w:val="both"/>
        <w:rPr>
          <w:rFonts w:ascii="Times New Roman" w:hAnsi="Times New Roman" w:cs="Times New Roman"/>
          <w:sz w:val="24"/>
          <w:szCs w:val="24"/>
        </w:rPr>
      </w:pPr>
    </w:p>
    <w:p w14:paraId="68836824" w14:textId="15B55CD1" w:rsidR="00FA73EF" w:rsidRPr="00FA73EF" w:rsidRDefault="00FA73EF" w:rsidP="00FA73EF">
      <w:pPr>
        <w:pStyle w:val="Heading2"/>
        <w:keepNext/>
        <w:tabs>
          <w:tab w:val="clear" w:pos="7362"/>
          <w:tab w:val="num" w:pos="1440"/>
        </w:tabs>
        <w:spacing w:after="120" w:line="360" w:lineRule="auto"/>
        <w:ind w:left="720" w:firstLine="0"/>
      </w:pPr>
      <w:bookmarkStart w:id="20" w:name="_Toc197703466"/>
      <w:r>
        <w:rPr>
          <w:snapToGrid w:val="0"/>
        </w:rPr>
        <w:lastRenderedPageBreak/>
        <w:t>Estimated Annual Costs</w:t>
      </w:r>
      <w:bookmarkEnd w:id="20"/>
    </w:p>
    <w:p w14:paraId="4CB47E75" w14:textId="34F8E4EC" w:rsidR="00BD1392" w:rsidRPr="00CA6D7F" w:rsidRDefault="00BD1392" w:rsidP="00AD04EB">
      <w:pPr>
        <w:keepNext/>
        <w:keepLines/>
        <w:spacing w:after="240"/>
        <w:ind w:left="720" w:firstLine="720"/>
        <w:rPr>
          <w:rFonts w:eastAsiaTheme="minorEastAsia"/>
          <w:sz w:val="24"/>
          <w:szCs w:val="24"/>
        </w:rPr>
      </w:pPr>
      <w:r w:rsidRPr="00CA6D7F">
        <w:rPr>
          <w:rFonts w:eastAsiaTheme="minorEastAsia"/>
          <w:sz w:val="24"/>
          <w:szCs w:val="24"/>
        </w:rPr>
        <w:t>Figure 4</w:t>
      </w:r>
      <w:r w:rsidR="006B5EB3">
        <w:rPr>
          <w:rFonts w:eastAsiaTheme="minorEastAsia"/>
          <w:sz w:val="24"/>
          <w:szCs w:val="24"/>
        </w:rPr>
        <w:t>.4</w:t>
      </w:r>
      <w:r w:rsidRPr="00CA6D7F">
        <w:rPr>
          <w:rFonts w:eastAsiaTheme="minorEastAsia"/>
          <w:sz w:val="24"/>
          <w:szCs w:val="24"/>
        </w:rPr>
        <w:t xml:space="preserve"> below includes estimated annual costs. All costs are thousands of dollars in nominal terms.</w:t>
      </w:r>
    </w:p>
    <w:p w14:paraId="61F6FA3F" w14:textId="193C2288" w:rsidR="0067369D" w:rsidRPr="006B77D9" w:rsidRDefault="0067369D" w:rsidP="00D4372D">
      <w:pPr>
        <w:pStyle w:val="Caption"/>
        <w:keepNext/>
        <w:keepLines/>
        <w:rPr>
          <w:rFonts w:ascii="Times New Roman" w:hAnsi="Times New Roman"/>
        </w:rPr>
      </w:pPr>
      <w:r w:rsidRPr="006B77D9">
        <w:rPr>
          <w:rFonts w:ascii="Times New Roman" w:hAnsi="Times New Roman"/>
        </w:rPr>
        <w:t>Figure 4</w:t>
      </w:r>
      <w:r w:rsidR="00926367">
        <w:rPr>
          <w:rFonts w:ascii="Times New Roman" w:hAnsi="Times New Roman"/>
        </w:rPr>
        <w:t>.4</w:t>
      </w:r>
      <w:r w:rsidRPr="006B77D9">
        <w:rPr>
          <w:rFonts w:ascii="Times New Roman" w:hAnsi="Times New Roman"/>
        </w:rPr>
        <w:t xml:space="preserve"> – Twiggs County BESS Estimated Annual Costs</w:t>
      </w:r>
    </w:p>
    <w:tbl>
      <w:tblPr>
        <w:tblW w:w="9220" w:type="dxa"/>
        <w:tblCellMar>
          <w:left w:w="0" w:type="dxa"/>
          <w:right w:w="0" w:type="dxa"/>
        </w:tblCellMar>
        <w:tblLook w:val="04A0" w:firstRow="1" w:lastRow="0" w:firstColumn="1" w:lastColumn="0" w:noHBand="0" w:noVBand="1"/>
      </w:tblPr>
      <w:tblGrid>
        <w:gridCol w:w="960"/>
        <w:gridCol w:w="1180"/>
        <w:gridCol w:w="1180"/>
        <w:gridCol w:w="1180"/>
        <w:gridCol w:w="1180"/>
        <w:gridCol w:w="1180"/>
        <w:gridCol w:w="1180"/>
        <w:gridCol w:w="1180"/>
      </w:tblGrid>
      <w:tr w:rsidR="000009CC" w14:paraId="37D9C248" w14:textId="77777777" w:rsidTr="000009CC">
        <w:trPr>
          <w:trHeight w:val="1830"/>
        </w:trPr>
        <w:tc>
          <w:tcPr>
            <w:tcW w:w="960" w:type="dxa"/>
            <w:tcBorders>
              <w:top w:val="nil"/>
              <w:left w:val="nil"/>
              <w:bottom w:val="single" w:sz="8" w:space="0" w:color="auto"/>
              <w:right w:val="nil"/>
            </w:tcBorders>
            <w:shd w:val="clear" w:color="auto" w:fill="auto"/>
            <w:vAlign w:val="center"/>
            <w:hideMark/>
          </w:tcPr>
          <w:p w14:paraId="5154420C" w14:textId="77777777" w:rsidR="000009CC" w:rsidRDefault="000009CC" w:rsidP="00D4372D">
            <w:pPr>
              <w:keepNext/>
              <w:keepLines/>
              <w:jc w:val="center"/>
            </w:pPr>
            <w:r>
              <w:t>Year</w:t>
            </w:r>
          </w:p>
        </w:tc>
        <w:tc>
          <w:tcPr>
            <w:tcW w:w="1180" w:type="dxa"/>
            <w:tcBorders>
              <w:top w:val="nil"/>
              <w:left w:val="nil"/>
              <w:bottom w:val="single" w:sz="8" w:space="0" w:color="auto"/>
              <w:right w:val="nil"/>
            </w:tcBorders>
            <w:shd w:val="clear" w:color="auto" w:fill="auto"/>
            <w:vAlign w:val="center"/>
            <w:hideMark/>
          </w:tcPr>
          <w:p w14:paraId="2876A080" w14:textId="77777777" w:rsidR="000009CC" w:rsidRDefault="000009CC" w:rsidP="00D4372D">
            <w:pPr>
              <w:keepNext/>
              <w:keepLines/>
              <w:jc w:val="center"/>
            </w:pPr>
            <w:r>
              <w:t>Estimated Annual Depreciation</w:t>
            </w:r>
          </w:p>
        </w:tc>
        <w:tc>
          <w:tcPr>
            <w:tcW w:w="1180" w:type="dxa"/>
            <w:tcBorders>
              <w:top w:val="nil"/>
              <w:left w:val="nil"/>
              <w:bottom w:val="single" w:sz="8" w:space="0" w:color="auto"/>
              <w:right w:val="nil"/>
            </w:tcBorders>
            <w:shd w:val="clear" w:color="auto" w:fill="auto"/>
            <w:vAlign w:val="center"/>
            <w:hideMark/>
          </w:tcPr>
          <w:p w14:paraId="69F815AE" w14:textId="77777777" w:rsidR="000009CC" w:rsidRDefault="000009CC" w:rsidP="00D4372D">
            <w:pPr>
              <w:keepNext/>
              <w:keepLines/>
              <w:jc w:val="center"/>
            </w:pPr>
            <w:r>
              <w:rPr>
                <w:rFonts w:eastAsiaTheme="minorEastAsia"/>
              </w:rPr>
              <w:t>Estimated Annual Debt and Equity Financing Costs on Capital Investment</w:t>
            </w:r>
          </w:p>
        </w:tc>
        <w:tc>
          <w:tcPr>
            <w:tcW w:w="1180" w:type="dxa"/>
            <w:tcBorders>
              <w:top w:val="nil"/>
              <w:left w:val="nil"/>
              <w:bottom w:val="single" w:sz="8" w:space="0" w:color="auto"/>
              <w:right w:val="nil"/>
            </w:tcBorders>
            <w:shd w:val="clear" w:color="auto" w:fill="auto"/>
            <w:vAlign w:val="center"/>
            <w:hideMark/>
          </w:tcPr>
          <w:p w14:paraId="6D64A37A" w14:textId="77777777" w:rsidR="000009CC" w:rsidRDefault="000009CC" w:rsidP="00D4372D">
            <w:pPr>
              <w:keepNext/>
              <w:keepLines/>
              <w:jc w:val="center"/>
            </w:pPr>
            <w:r>
              <w:t>Estimated Annual Income Taxes on Capital Investment</w:t>
            </w:r>
          </w:p>
        </w:tc>
        <w:tc>
          <w:tcPr>
            <w:tcW w:w="1180" w:type="dxa"/>
            <w:tcBorders>
              <w:top w:val="nil"/>
              <w:left w:val="nil"/>
              <w:bottom w:val="single" w:sz="8" w:space="0" w:color="auto"/>
              <w:right w:val="nil"/>
            </w:tcBorders>
            <w:shd w:val="clear" w:color="auto" w:fill="auto"/>
            <w:vAlign w:val="center"/>
            <w:hideMark/>
          </w:tcPr>
          <w:p w14:paraId="48E07568" w14:textId="77777777" w:rsidR="000009CC" w:rsidRDefault="000009CC" w:rsidP="00D4372D">
            <w:pPr>
              <w:keepNext/>
              <w:keepLines/>
              <w:jc w:val="center"/>
            </w:pPr>
            <w:r>
              <w:t>Estimated Fixed O&amp;M</w:t>
            </w:r>
          </w:p>
        </w:tc>
        <w:tc>
          <w:tcPr>
            <w:tcW w:w="1180" w:type="dxa"/>
            <w:tcBorders>
              <w:top w:val="nil"/>
              <w:left w:val="nil"/>
              <w:bottom w:val="single" w:sz="8" w:space="0" w:color="auto"/>
              <w:right w:val="nil"/>
            </w:tcBorders>
            <w:shd w:val="clear" w:color="auto" w:fill="auto"/>
            <w:vAlign w:val="center"/>
            <w:hideMark/>
          </w:tcPr>
          <w:p w14:paraId="6604FACF" w14:textId="77777777" w:rsidR="000009CC" w:rsidRDefault="000009CC" w:rsidP="00D4372D">
            <w:pPr>
              <w:keepNext/>
              <w:keepLines/>
              <w:jc w:val="center"/>
            </w:pPr>
            <w:r>
              <w:t>Estimated Insurance</w:t>
            </w:r>
          </w:p>
        </w:tc>
        <w:tc>
          <w:tcPr>
            <w:tcW w:w="1180" w:type="dxa"/>
            <w:tcBorders>
              <w:top w:val="nil"/>
              <w:left w:val="nil"/>
              <w:bottom w:val="single" w:sz="8" w:space="0" w:color="auto"/>
              <w:right w:val="nil"/>
            </w:tcBorders>
            <w:shd w:val="clear" w:color="auto" w:fill="auto"/>
            <w:vAlign w:val="center"/>
            <w:hideMark/>
          </w:tcPr>
          <w:p w14:paraId="6816C3D8" w14:textId="77777777" w:rsidR="000009CC" w:rsidRDefault="000009CC" w:rsidP="00D4372D">
            <w:pPr>
              <w:keepNext/>
              <w:keepLines/>
              <w:jc w:val="center"/>
            </w:pPr>
            <w:r>
              <w:t>Estimated Property Taxes</w:t>
            </w:r>
          </w:p>
        </w:tc>
        <w:tc>
          <w:tcPr>
            <w:tcW w:w="1180" w:type="dxa"/>
            <w:tcBorders>
              <w:top w:val="nil"/>
              <w:left w:val="nil"/>
              <w:bottom w:val="single" w:sz="8" w:space="0" w:color="auto"/>
              <w:right w:val="nil"/>
            </w:tcBorders>
            <w:shd w:val="clear" w:color="auto" w:fill="auto"/>
            <w:vAlign w:val="center"/>
            <w:hideMark/>
          </w:tcPr>
          <w:p w14:paraId="4C641DD8" w14:textId="77777777" w:rsidR="000009CC" w:rsidRDefault="000009CC" w:rsidP="00D4372D">
            <w:pPr>
              <w:keepNext/>
              <w:keepLines/>
              <w:jc w:val="center"/>
            </w:pPr>
            <w:r>
              <w:t>Estimated Annual Capital Additions</w:t>
            </w:r>
          </w:p>
        </w:tc>
      </w:tr>
      <w:tr w:rsidR="00EE09D3" w14:paraId="7107026D" w14:textId="77777777" w:rsidTr="008B73A6">
        <w:trPr>
          <w:trHeight w:val="260"/>
        </w:trPr>
        <w:tc>
          <w:tcPr>
            <w:tcW w:w="960" w:type="dxa"/>
            <w:tcBorders>
              <w:top w:val="nil"/>
              <w:left w:val="nil"/>
              <w:bottom w:val="nil"/>
              <w:right w:val="nil"/>
            </w:tcBorders>
            <w:shd w:val="clear" w:color="auto" w:fill="auto"/>
            <w:vAlign w:val="center"/>
            <w:hideMark/>
          </w:tcPr>
          <w:p w14:paraId="37FF23B1" w14:textId="77777777" w:rsidR="00EE09D3" w:rsidRDefault="00EE09D3" w:rsidP="00EE09D3">
            <w:pPr>
              <w:keepNext/>
              <w:keepLines/>
              <w:jc w:val="center"/>
            </w:pPr>
            <w:r>
              <w:t>2025</w:t>
            </w:r>
          </w:p>
        </w:tc>
        <w:tc>
          <w:tcPr>
            <w:tcW w:w="1180" w:type="dxa"/>
            <w:tcBorders>
              <w:top w:val="nil"/>
              <w:left w:val="nil"/>
              <w:bottom w:val="nil"/>
              <w:right w:val="nil"/>
            </w:tcBorders>
            <w:shd w:val="clear" w:color="auto" w:fill="auto"/>
            <w:hideMark/>
          </w:tcPr>
          <w:p w14:paraId="5209077B" w14:textId="076ADB2F"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3F70CCC8" w14:textId="4B36B07A"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656CD8FD" w14:textId="11D5EB26"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1BCD54ED" w14:textId="7B36FFFF"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2F3FDAF8" w14:textId="0AF8C765"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3FC031E3" w14:textId="52BF2A15"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4B46AA7B" w14:textId="4022E0FB" w:rsidR="00EE09D3" w:rsidRDefault="00EE09D3" w:rsidP="00EE09D3">
            <w:pPr>
              <w:keepNext/>
              <w:keepLines/>
            </w:pPr>
            <w:r w:rsidRPr="008C23D7">
              <w:t>REDACTED</w:t>
            </w:r>
          </w:p>
        </w:tc>
      </w:tr>
      <w:tr w:rsidR="00EE09D3" w14:paraId="30751EAF" w14:textId="77777777" w:rsidTr="008B73A6">
        <w:trPr>
          <w:trHeight w:val="260"/>
        </w:trPr>
        <w:tc>
          <w:tcPr>
            <w:tcW w:w="960" w:type="dxa"/>
            <w:tcBorders>
              <w:top w:val="nil"/>
              <w:left w:val="nil"/>
              <w:bottom w:val="nil"/>
              <w:right w:val="nil"/>
            </w:tcBorders>
            <w:shd w:val="clear" w:color="auto" w:fill="auto"/>
            <w:vAlign w:val="center"/>
            <w:hideMark/>
          </w:tcPr>
          <w:p w14:paraId="34F51652" w14:textId="77777777" w:rsidR="00EE09D3" w:rsidRDefault="00EE09D3" w:rsidP="00EE09D3">
            <w:pPr>
              <w:keepNext/>
              <w:keepLines/>
              <w:jc w:val="center"/>
            </w:pPr>
            <w:r>
              <w:t>2026</w:t>
            </w:r>
          </w:p>
        </w:tc>
        <w:tc>
          <w:tcPr>
            <w:tcW w:w="1180" w:type="dxa"/>
            <w:tcBorders>
              <w:top w:val="nil"/>
              <w:left w:val="nil"/>
              <w:bottom w:val="nil"/>
              <w:right w:val="nil"/>
            </w:tcBorders>
            <w:shd w:val="clear" w:color="auto" w:fill="auto"/>
            <w:hideMark/>
          </w:tcPr>
          <w:p w14:paraId="3966120B" w14:textId="7A4DB4F2"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1BCF0A10" w14:textId="525FCB41"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70C1C806" w14:textId="71A5DF67"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55238191" w14:textId="2CD5E5F7"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4E2E8D63" w14:textId="59B44374"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6AF2F683" w14:textId="435202B1" w:rsidR="00EE09D3" w:rsidRDefault="00EE09D3" w:rsidP="00EE09D3">
            <w:pPr>
              <w:keepNext/>
              <w:keepLines/>
            </w:pPr>
            <w:r w:rsidRPr="008C23D7">
              <w:t>REDACTED</w:t>
            </w:r>
          </w:p>
        </w:tc>
        <w:tc>
          <w:tcPr>
            <w:tcW w:w="1180" w:type="dxa"/>
            <w:tcBorders>
              <w:top w:val="nil"/>
              <w:left w:val="nil"/>
              <w:bottom w:val="nil"/>
              <w:right w:val="nil"/>
            </w:tcBorders>
            <w:shd w:val="clear" w:color="auto" w:fill="auto"/>
            <w:hideMark/>
          </w:tcPr>
          <w:p w14:paraId="05E800D8" w14:textId="36AEDD41" w:rsidR="00EE09D3" w:rsidRDefault="00EE09D3" w:rsidP="00EE09D3">
            <w:pPr>
              <w:keepNext/>
              <w:keepLines/>
            </w:pPr>
            <w:r w:rsidRPr="008C23D7">
              <w:t>REDACTED</w:t>
            </w:r>
          </w:p>
        </w:tc>
      </w:tr>
      <w:tr w:rsidR="00EE09D3" w14:paraId="3514DA6C" w14:textId="77777777" w:rsidTr="008B73A6">
        <w:trPr>
          <w:trHeight w:val="260"/>
        </w:trPr>
        <w:tc>
          <w:tcPr>
            <w:tcW w:w="960" w:type="dxa"/>
            <w:tcBorders>
              <w:top w:val="nil"/>
              <w:left w:val="nil"/>
              <w:bottom w:val="nil"/>
              <w:right w:val="nil"/>
            </w:tcBorders>
            <w:shd w:val="clear" w:color="auto" w:fill="auto"/>
            <w:vAlign w:val="center"/>
            <w:hideMark/>
          </w:tcPr>
          <w:p w14:paraId="1826EC9A" w14:textId="77777777" w:rsidR="00EE09D3" w:rsidRDefault="00EE09D3" w:rsidP="00EE09D3">
            <w:pPr>
              <w:keepNext/>
              <w:keepLines/>
              <w:jc w:val="center"/>
            </w:pPr>
            <w:r>
              <w:t>2027</w:t>
            </w:r>
          </w:p>
        </w:tc>
        <w:tc>
          <w:tcPr>
            <w:tcW w:w="1180" w:type="dxa"/>
            <w:tcBorders>
              <w:top w:val="nil"/>
              <w:left w:val="nil"/>
              <w:bottom w:val="nil"/>
              <w:right w:val="nil"/>
            </w:tcBorders>
            <w:shd w:val="clear" w:color="auto" w:fill="auto"/>
            <w:hideMark/>
          </w:tcPr>
          <w:p w14:paraId="284F9F4C" w14:textId="7A20F93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19EE7CD" w14:textId="2898C8E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82F5800" w14:textId="3B0F1AC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B4FB823" w14:textId="5966875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C580322" w14:textId="732056A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77D2944" w14:textId="362A20F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7A4B732" w14:textId="38797095" w:rsidR="00EE09D3" w:rsidRPr="00F7449F" w:rsidRDefault="00EE09D3" w:rsidP="00EE09D3">
            <w:pPr>
              <w:keepNext/>
              <w:keepLines/>
              <w:rPr>
                <w:highlight w:val="yellow"/>
              </w:rPr>
            </w:pPr>
            <w:r w:rsidRPr="008C23D7">
              <w:t>REDACTED</w:t>
            </w:r>
          </w:p>
        </w:tc>
      </w:tr>
      <w:tr w:rsidR="00EE09D3" w14:paraId="1609B408" w14:textId="77777777" w:rsidTr="008B73A6">
        <w:trPr>
          <w:trHeight w:val="260"/>
        </w:trPr>
        <w:tc>
          <w:tcPr>
            <w:tcW w:w="960" w:type="dxa"/>
            <w:tcBorders>
              <w:top w:val="nil"/>
              <w:left w:val="nil"/>
              <w:bottom w:val="nil"/>
              <w:right w:val="nil"/>
            </w:tcBorders>
            <w:shd w:val="clear" w:color="auto" w:fill="auto"/>
            <w:vAlign w:val="center"/>
            <w:hideMark/>
          </w:tcPr>
          <w:p w14:paraId="7C0C323B" w14:textId="77777777" w:rsidR="00EE09D3" w:rsidRDefault="00EE09D3" w:rsidP="00EE09D3">
            <w:pPr>
              <w:keepNext/>
              <w:keepLines/>
              <w:jc w:val="center"/>
            </w:pPr>
            <w:r>
              <w:t>2028</w:t>
            </w:r>
          </w:p>
        </w:tc>
        <w:tc>
          <w:tcPr>
            <w:tcW w:w="1180" w:type="dxa"/>
            <w:tcBorders>
              <w:top w:val="nil"/>
              <w:left w:val="nil"/>
              <w:bottom w:val="nil"/>
              <w:right w:val="nil"/>
            </w:tcBorders>
            <w:shd w:val="clear" w:color="auto" w:fill="auto"/>
            <w:hideMark/>
          </w:tcPr>
          <w:p w14:paraId="7AEFE8D5" w14:textId="34186B2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0C426B1" w14:textId="570029D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00D431E" w14:textId="1D43BCC8"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77D4C889" w14:textId="06B3546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91E2C87" w14:textId="0BB565E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59EFB27" w14:textId="095EAA79"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F15E547" w14:textId="3AB0F2CE" w:rsidR="00EE09D3" w:rsidRPr="00F7449F" w:rsidRDefault="00EE09D3" w:rsidP="00EE09D3">
            <w:pPr>
              <w:keepNext/>
              <w:keepLines/>
              <w:rPr>
                <w:highlight w:val="yellow"/>
              </w:rPr>
            </w:pPr>
            <w:r w:rsidRPr="008C23D7">
              <w:t>REDACTED</w:t>
            </w:r>
          </w:p>
        </w:tc>
      </w:tr>
      <w:tr w:rsidR="00EE09D3" w14:paraId="52D04C02" w14:textId="77777777" w:rsidTr="008B73A6">
        <w:trPr>
          <w:trHeight w:val="260"/>
        </w:trPr>
        <w:tc>
          <w:tcPr>
            <w:tcW w:w="960" w:type="dxa"/>
            <w:tcBorders>
              <w:top w:val="nil"/>
              <w:left w:val="nil"/>
              <w:bottom w:val="nil"/>
              <w:right w:val="nil"/>
            </w:tcBorders>
            <w:shd w:val="clear" w:color="auto" w:fill="auto"/>
            <w:vAlign w:val="center"/>
            <w:hideMark/>
          </w:tcPr>
          <w:p w14:paraId="0D4C4537" w14:textId="77777777" w:rsidR="00EE09D3" w:rsidRDefault="00EE09D3" w:rsidP="00EE09D3">
            <w:pPr>
              <w:keepNext/>
              <w:keepLines/>
              <w:jc w:val="center"/>
            </w:pPr>
            <w:r>
              <w:t>2029</w:t>
            </w:r>
          </w:p>
        </w:tc>
        <w:tc>
          <w:tcPr>
            <w:tcW w:w="1180" w:type="dxa"/>
            <w:tcBorders>
              <w:top w:val="nil"/>
              <w:left w:val="nil"/>
              <w:bottom w:val="nil"/>
              <w:right w:val="nil"/>
            </w:tcBorders>
            <w:shd w:val="clear" w:color="auto" w:fill="auto"/>
            <w:hideMark/>
          </w:tcPr>
          <w:p w14:paraId="42080C32" w14:textId="58BC6F8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9C8C35D" w14:textId="483236F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5FBA186" w14:textId="114B488D"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11706A40" w14:textId="71C0B95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0A8C130" w14:textId="746786E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508212A" w14:textId="1E7C46B9"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3ECE9C1" w14:textId="3E43C942" w:rsidR="00EE09D3" w:rsidRPr="00F7449F" w:rsidRDefault="00EE09D3" w:rsidP="00EE09D3">
            <w:pPr>
              <w:keepNext/>
              <w:keepLines/>
              <w:rPr>
                <w:highlight w:val="yellow"/>
              </w:rPr>
            </w:pPr>
            <w:r w:rsidRPr="008C23D7">
              <w:t>REDACTED</w:t>
            </w:r>
          </w:p>
        </w:tc>
      </w:tr>
      <w:tr w:rsidR="00EE09D3" w14:paraId="27468DA0" w14:textId="77777777" w:rsidTr="008B73A6">
        <w:trPr>
          <w:trHeight w:val="260"/>
        </w:trPr>
        <w:tc>
          <w:tcPr>
            <w:tcW w:w="960" w:type="dxa"/>
            <w:tcBorders>
              <w:top w:val="nil"/>
              <w:left w:val="nil"/>
              <w:bottom w:val="nil"/>
              <w:right w:val="nil"/>
            </w:tcBorders>
            <w:shd w:val="clear" w:color="auto" w:fill="auto"/>
            <w:vAlign w:val="center"/>
            <w:hideMark/>
          </w:tcPr>
          <w:p w14:paraId="1C00B9BA" w14:textId="77777777" w:rsidR="00EE09D3" w:rsidRDefault="00EE09D3" w:rsidP="00EE09D3">
            <w:pPr>
              <w:keepNext/>
              <w:keepLines/>
              <w:jc w:val="center"/>
            </w:pPr>
            <w:r>
              <w:t>2030</w:t>
            </w:r>
          </w:p>
        </w:tc>
        <w:tc>
          <w:tcPr>
            <w:tcW w:w="1180" w:type="dxa"/>
            <w:tcBorders>
              <w:top w:val="nil"/>
              <w:left w:val="nil"/>
              <w:bottom w:val="nil"/>
              <w:right w:val="nil"/>
            </w:tcBorders>
            <w:shd w:val="clear" w:color="auto" w:fill="auto"/>
            <w:hideMark/>
          </w:tcPr>
          <w:p w14:paraId="62E1D59B" w14:textId="59A67023"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CCC8EA0" w14:textId="4947AC9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E885882" w14:textId="5B2D5C35"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6FB83888" w14:textId="6EA1569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95DBA49" w14:textId="316546F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BC0462D" w14:textId="62C5F5B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A512D60" w14:textId="39E688E8" w:rsidR="00EE09D3" w:rsidRPr="00F7449F" w:rsidRDefault="00EE09D3" w:rsidP="00EE09D3">
            <w:pPr>
              <w:keepNext/>
              <w:keepLines/>
              <w:rPr>
                <w:highlight w:val="yellow"/>
              </w:rPr>
            </w:pPr>
            <w:r w:rsidRPr="008C23D7">
              <w:t>REDACTED</w:t>
            </w:r>
          </w:p>
        </w:tc>
      </w:tr>
      <w:tr w:rsidR="00EE09D3" w14:paraId="1ADCD3B1" w14:textId="77777777" w:rsidTr="008B73A6">
        <w:trPr>
          <w:trHeight w:val="260"/>
        </w:trPr>
        <w:tc>
          <w:tcPr>
            <w:tcW w:w="960" w:type="dxa"/>
            <w:tcBorders>
              <w:top w:val="nil"/>
              <w:left w:val="nil"/>
              <w:bottom w:val="nil"/>
              <w:right w:val="nil"/>
            </w:tcBorders>
            <w:shd w:val="clear" w:color="auto" w:fill="auto"/>
            <w:vAlign w:val="center"/>
            <w:hideMark/>
          </w:tcPr>
          <w:p w14:paraId="58B3ED1E" w14:textId="77777777" w:rsidR="00EE09D3" w:rsidRDefault="00EE09D3" w:rsidP="00EE09D3">
            <w:pPr>
              <w:keepNext/>
              <w:keepLines/>
              <w:jc w:val="center"/>
            </w:pPr>
            <w:r>
              <w:t>2031</w:t>
            </w:r>
          </w:p>
        </w:tc>
        <w:tc>
          <w:tcPr>
            <w:tcW w:w="1180" w:type="dxa"/>
            <w:tcBorders>
              <w:top w:val="nil"/>
              <w:left w:val="nil"/>
              <w:bottom w:val="nil"/>
              <w:right w:val="nil"/>
            </w:tcBorders>
            <w:shd w:val="clear" w:color="auto" w:fill="auto"/>
            <w:hideMark/>
          </w:tcPr>
          <w:p w14:paraId="099C885F" w14:textId="754C59A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5284A46" w14:textId="2848881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5B64E41" w14:textId="4271210D"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3DE4B987" w14:textId="7769D57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AAE4670" w14:textId="28CD226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AD0FAB9" w14:textId="1E0664C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E2F625A" w14:textId="2C157220" w:rsidR="00EE09D3" w:rsidRPr="00F7449F" w:rsidRDefault="00EE09D3" w:rsidP="00EE09D3">
            <w:pPr>
              <w:keepNext/>
              <w:keepLines/>
              <w:rPr>
                <w:highlight w:val="yellow"/>
              </w:rPr>
            </w:pPr>
            <w:r w:rsidRPr="008C23D7">
              <w:t>REDACTED</w:t>
            </w:r>
          </w:p>
        </w:tc>
      </w:tr>
      <w:tr w:rsidR="00EE09D3" w14:paraId="4AE59C89" w14:textId="77777777" w:rsidTr="008B73A6">
        <w:trPr>
          <w:trHeight w:val="260"/>
        </w:trPr>
        <w:tc>
          <w:tcPr>
            <w:tcW w:w="960" w:type="dxa"/>
            <w:tcBorders>
              <w:top w:val="nil"/>
              <w:left w:val="nil"/>
              <w:bottom w:val="nil"/>
              <w:right w:val="nil"/>
            </w:tcBorders>
            <w:shd w:val="clear" w:color="auto" w:fill="auto"/>
            <w:vAlign w:val="center"/>
            <w:hideMark/>
          </w:tcPr>
          <w:p w14:paraId="24B1DB3C" w14:textId="77777777" w:rsidR="00EE09D3" w:rsidRDefault="00EE09D3" w:rsidP="00EE09D3">
            <w:pPr>
              <w:keepNext/>
              <w:keepLines/>
              <w:jc w:val="center"/>
            </w:pPr>
            <w:r>
              <w:t>2032</w:t>
            </w:r>
          </w:p>
        </w:tc>
        <w:tc>
          <w:tcPr>
            <w:tcW w:w="1180" w:type="dxa"/>
            <w:tcBorders>
              <w:top w:val="nil"/>
              <w:left w:val="nil"/>
              <w:bottom w:val="nil"/>
              <w:right w:val="nil"/>
            </w:tcBorders>
            <w:shd w:val="clear" w:color="auto" w:fill="auto"/>
            <w:hideMark/>
          </w:tcPr>
          <w:p w14:paraId="56344D89" w14:textId="5048925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F8F5836" w14:textId="2CA3D90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937E87C" w14:textId="6FDAF7EA"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60DEA0DB" w14:textId="318DF03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7CDDA28" w14:textId="73FA5B4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F372041" w14:textId="37B9159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0DD0A6B" w14:textId="0EB59D87" w:rsidR="00EE09D3" w:rsidRPr="00F7449F" w:rsidRDefault="00EE09D3" w:rsidP="00EE09D3">
            <w:pPr>
              <w:keepNext/>
              <w:keepLines/>
              <w:rPr>
                <w:highlight w:val="yellow"/>
              </w:rPr>
            </w:pPr>
            <w:r w:rsidRPr="008C23D7">
              <w:t>REDACTED</w:t>
            </w:r>
          </w:p>
        </w:tc>
      </w:tr>
      <w:tr w:rsidR="00EE09D3" w14:paraId="545630B9" w14:textId="77777777" w:rsidTr="008B73A6">
        <w:trPr>
          <w:trHeight w:val="260"/>
        </w:trPr>
        <w:tc>
          <w:tcPr>
            <w:tcW w:w="960" w:type="dxa"/>
            <w:tcBorders>
              <w:top w:val="nil"/>
              <w:left w:val="nil"/>
              <w:bottom w:val="nil"/>
              <w:right w:val="nil"/>
            </w:tcBorders>
            <w:shd w:val="clear" w:color="auto" w:fill="auto"/>
            <w:vAlign w:val="center"/>
            <w:hideMark/>
          </w:tcPr>
          <w:p w14:paraId="65B322A9" w14:textId="77777777" w:rsidR="00EE09D3" w:rsidRDefault="00EE09D3" w:rsidP="00EE09D3">
            <w:pPr>
              <w:keepNext/>
              <w:keepLines/>
              <w:jc w:val="center"/>
            </w:pPr>
            <w:r>
              <w:t>2033</w:t>
            </w:r>
          </w:p>
        </w:tc>
        <w:tc>
          <w:tcPr>
            <w:tcW w:w="1180" w:type="dxa"/>
            <w:tcBorders>
              <w:top w:val="nil"/>
              <w:left w:val="nil"/>
              <w:bottom w:val="nil"/>
              <w:right w:val="nil"/>
            </w:tcBorders>
            <w:shd w:val="clear" w:color="auto" w:fill="auto"/>
            <w:hideMark/>
          </w:tcPr>
          <w:p w14:paraId="2445A701" w14:textId="517B53F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F24A3A3" w14:textId="4D6AA6B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BA6689F" w14:textId="60CB5736"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1A0895BF" w14:textId="32854C3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6658F23" w14:textId="52B56C63"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13107E3" w14:textId="4B104C4D"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1083E99" w14:textId="1DE6BB40" w:rsidR="00EE09D3" w:rsidRPr="00F7449F" w:rsidRDefault="00EE09D3" w:rsidP="00EE09D3">
            <w:pPr>
              <w:keepNext/>
              <w:keepLines/>
              <w:rPr>
                <w:highlight w:val="yellow"/>
              </w:rPr>
            </w:pPr>
            <w:r w:rsidRPr="008C23D7">
              <w:t>REDACTED</w:t>
            </w:r>
          </w:p>
        </w:tc>
      </w:tr>
      <w:tr w:rsidR="00EE09D3" w14:paraId="65075853" w14:textId="77777777" w:rsidTr="008B73A6">
        <w:trPr>
          <w:trHeight w:val="260"/>
        </w:trPr>
        <w:tc>
          <w:tcPr>
            <w:tcW w:w="960" w:type="dxa"/>
            <w:tcBorders>
              <w:top w:val="nil"/>
              <w:left w:val="nil"/>
              <w:bottom w:val="nil"/>
              <w:right w:val="nil"/>
            </w:tcBorders>
            <w:shd w:val="clear" w:color="auto" w:fill="auto"/>
            <w:vAlign w:val="center"/>
            <w:hideMark/>
          </w:tcPr>
          <w:p w14:paraId="09980B71" w14:textId="77777777" w:rsidR="00EE09D3" w:rsidRDefault="00EE09D3" w:rsidP="00EE09D3">
            <w:pPr>
              <w:keepNext/>
              <w:keepLines/>
              <w:jc w:val="center"/>
            </w:pPr>
            <w:r>
              <w:t>2034</w:t>
            </w:r>
          </w:p>
        </w:tc>
        <w:tc>
          <w:tcPr>
            <w:tcW w:w="1180" w:type="dxa"/>
            <w:tcBorders>
              <w:top w:val="nil"/>
              <w:left w:val="nil"/>
              <w:bottom w:val="nil"/>
              <w:right w:val="nil"/>
            </w:tcBorders>
            <w:shd w:val="clear" w:color="auto" w:fill="auto"/>
            <w:hideMark/>
          </w:tcPr>
          <w:p w14:paraId="28FBA68C" w14:textId="39C94D8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931210C" w14:textId="59AB3BD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CCDC18B" w14:textId="15599691"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0C86D8D3" w14:textId="5103243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C38DCA3" w14:textId="06CF1F1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C7525B8" w14:textId="3E5F57B3"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534C8C7" w14:textId="19A058CC" w:rsidR="00EE09D3" w:rsidRPr="00F7449F" w:rsidRDefault="00EE09D3" w:rsidP="00EE09D3">
            <w:pPr>
              <w:keepNext/>
              <w:keepLines/>
              <w:rPr>
                <w:highlight w:val="yellow"/>
              </w:rPr>
            </w:pPr>
            <w:r w:rsidRPr="008C23D7">
              <w:t>REDACTED</w:t>
            </w:r>
          </w:p>
        </w:tc>
      </w:tr>
      <w:tr w:rsidR="00EE09D3" w14:paraId="6BF7BDCA" w14:textId="77777777" w:rsidTr="008B73A6">
        <w:trPr>
          <w:trHeight w:val="260"/>
        </w:trPr>
        <w:tc>
          <w:tcPr>
            <w:tcW w:w="960" w:type="dxa"/>
            <w:tcBorders>
              <w:top w:val="nil"/>
              <w:left w:val="nil"/>
              <w:bottom w:val="nil"/>
              <w:right w:val="nil"/>
            </w:tcBorders>
            <w:shd w:val="clear" w:color="auto" w:fill="auto"/>
            <w:vAlign w:val="center"/>
            <w:hideMark/>
          </w:tcPr>
          <w:p w14:paraId="65D466C7" w14:textId="77777777" w:rsidR="00EE09D3" w:rsidRDefault="00EE09D3" w:rsidP="00EE09D3">
            <w:pPr>
              <w:keepNext/>
              <w:keepLines/>
              <w:jc w:val="center"/>
            </w:pPr>
            <w:r>
              <w:t>2035</w:t>
            </w:r>
          </w:p>
        </w:tc>
        <w:tc>
          <w:tcPr>
            <w:tcW w:w="1180" w:type="dxa"/>
            <w:tcBorders>
              <w:top w:val="nil"/>
              <w:left w:val="nil"/>
              <w:bottom w:val="nil"/>
              <w:right w:val="nil"/>
            </w:tcBorders>
            <w:shd w:val="clear" w:color="auto" w:fill="auto"/>
            <w:hideMark/>
          </w:tcPr>
          <w:p w14:paraId="2077DF73" w14:textId="405EC91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1C3FB9F" w14:textId="5C6D875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698C91F" w14:textId="65C95125"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6E68733D" w14:textId="3814AA0A"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819E837" w14:textId="3547906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4EE65F6" w14:textId="20A0680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8CA825B" w14:textId="0CE84153" w:rsidR="00EE09D3" w:rsidRPr="00F7449F" w:rsidRDefault="00EE09D3" w:rsidP="00EE09D3">
            <w:pPr>
              <w:keepNext/>
              <w:keepLines/>
              <w:rPr>
                <w:highlight w:val="yellow"/>
              </w:rPr>
            </w:pPr>
            <w:r w:rsidRPr="008C23D7">
              <w:t>REDACTED</w:t>
            </w:r>
          </w:p>
        </w:tc>
      </w:tr>
      <w:tr w:rsidR="00EE09D3" w14:paraId="2070729B" w14:textId="77777777" w:rsidTr="008B73A6">
        <w:trPr>
          <w:trHeight w:val="260"/>
        </w:trPr>
        <w:tc>
          <w:tcPr>
            <w:tcW w:w="960" w:type="dxa"/>
            <w:tcBorders>
              <w:top w:val="nil"/>
              <w:left w:val="nil"/>
              <w:bottom w:val="nil"/>
              <w:right w:val="nil"/>
            </w:tcBorders>
            <w:shd w:val="clear" w:color="auto" w:fill="auto"/>
            <w:vAlign w:val="center"/>
            <w:hideMark/>
          </w:tcPr>
          <w:p w14:paraId="1A38DB55" w14:textId="77777777" w:rsidR="00EE09D3" w:rsidRDefault="00EE09D3" w:rsidP="00EE09D3">
            <w:pPr>
              <w:keepNext/>
              <w:keepLines/>
              <w:jc w:val="center"/>
            </w:pPr>
            <w:r>
              <w:t>2036</w:t>
            </w:r>
          </w:p>
        </w:tc>
        <w:tc>
          <w:tcPr>
            <w:tcW w:w="1180" w:type="dxa"/>
            <w:tcBorders>
              <w:top w:val="nil"/>
              <w:left w:val="nil"/>
              <w:bottom w:val="nil"/>
              <w:right w:val="nil"/>
            </w:tcBorders>
            <w:shd w:val="clear" w:color="auto" w:fill="auto"/>
            <w:hideMark/>
          </w:tcPr>
          <w:p w14:paraId="1243038E" w14:textId="30F6F40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FEC107D" w14:textId="7A3F083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E416434" w14:textId="2B3C70CE"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7DADDBBB" w14:textId="2CF6D43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1D381A8" w14:textId="194FBBD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A21D315" w14:textId="3C51C86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EABD0A6" w14:textId="484F2C78" w:rsidR="00EE09D3" w:rsidRPr="00F7449F" w:rsidRDefault="00EE09D3" w:rsidP="00EE09D3">
            <w:pPr>
              <w:keepNext/>
              <w:keepLines/>
              <w:rPr>
                <w:highlight w:val="yellow"/>
              </w:rPr>
            </w:pPr>
            <w:r w:rsidRPr="008C23D7">
              <w:t>REDACTED</w:t>
            </w:r>
          </w:p>
        </w:tc>
      </w:tr>
      <w:tr w:rsidR="00EE09D3" w14:paraId="75529734" w14:textId="77777777" w:rsidTr="008B73A6">
        <w:trPr>
          <w:trHeight w:val="260"/>
        </w:trPr>
        <w:tc>
          <w:tcPr>
            <w:tcW w:w="960" w:type="dxa"/>
            <w:tcBorders>
              <w:top w:val="nil"/>
              <w:left w:val="nil"/>
              <w:bottom w:val="nil"/>
              <w:right w:val="nil"/>
            </w:tcBorders>
            <w:shd w:val="clear" w:color="auto" w:fill="auto"/>
            <w:vAlign w:val="center"/>
            <w:hideMark/>
          </w:tcPr>
          <w:p w14:paraId="14E9795B" w14:textId="77777777" w:rsidR="00EE09D3" w:rsidRDefault="00EE09D3" w:rsidP="00EE09D3">
            <w:pPr>
              <w:keepNext/>
              <w:keepLines/>
              <w:jc w:val="center"/>
            </w:pPr>
            <w:r>
              <w:t>2037</w:t>
            </w:r>
          </w:p>
        </w:tc>
        <w:tc>
          <w:tcPr>
            <w:tcW w:w="1180" w:type="dxa"/>
            <w:tcBorders>
              <w:top w:val="nil"/>
              <w:left w:val="nil"/>
              <w:bottom w:val="nil"/>
              <w:right w:val="nil"/>
            </w:tcBorders>
            <w:shd w:val="clear" w:color="auto" w:fill="auto"/>
            <w:hideMark/>
          </w:tcPr>
          <w:p w14:paraId="5BE151C1" w14:textId="4E24F0F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E0A2DB4" w14:textId="40A538A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788555E" w14:textId="182C0A25"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643FBE1B" w14:textId="72802A6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C6CEC2B" w14:textId="6375E089"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9AD3011" w14:textId="0D27EE6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41A0586" w14:textId="18158FAB" w:rsidR="00EE09D3" w:rsidRPr="00F7449F" w:rsidRDefault="00EE09D3" w:rsidP="00EE09D3">
            <w:pPr>
              <w:keepNext/>
              <w:keepLines/>
              <w:rPr>
                <w:highlight w:val="yellow"/>
              </w:rPr>
            </w:pPr>
            <w:r w:rsidRPr="008C23D7">
              <w:t>REDACTED</w:t>
            </w:r>
          </w:p>
        </w:tc>
      </w:tr>
      <w:tr w:rsidR="00EE09D3" w14:paraId="32B141D5" w14:textId="77777777" w:rsidTr="008B73A6">
        <w:trPr>
          <w:trHeight w:val="260"/>
        </w:trPr>
        <w:tc>
          <w:tcPr>
            <w:tcW w:w="960" w:type="dxa"/>
            <w:tcBorders>
              <w:top w:val="nil"/>
              <w:left w:val="nil"/>
              <w:bottom w:val="nil"/>
              <w:right w:val="nil"/>
            </w:tcBorders>
            <w:shd w:val="clear" w:color="auto" w:fill="auto"/>
            <w:vAlign w:val="center"/>
            <w:hideMark/>
          </w:tcPr>
          <w:p w14:paraId="7C7FA890" w14:textId="77777777" w:rsidR="00EE09D3" w:rsidRDefault="00EE09D3" w:rsidP="00EE09D3">
            <w:pPr>
              <w:keepNext/>
              <w:keepLines/>
              <w:jc w:val="center"/>
            </w:pPr>
            <w:r>
              <w:t>2038</w:t>
            </w:r>
          </w:p>
        </w:tc>
        <w:tc>
          <w:tcPr>
            <w:tcW w:w="1180" w:type="dxa"/>
            <w:tcBorders>
              <w:top w:val="nil"/>
              <w:left w:val="nil"/>
              <w:bottom w:val="nil"/>
              <w:right w:val="nil"/>
            </w:tcBorders>
            <w:shd w:val="clear" w:color="auto" w:fill="auto"/>
            <w:hideMark/>
          </w:tcPr>
          <w:p w14:paraId="4872941F" w14:textId="2C654A0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EA9542F" w14:textId="2323E97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10F70A1" w14:textId="19F4A94E"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7860BD81" w14:textId="1B05DE2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2530928" w14:textId="2D5738A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69310C9" w14:textId="7AB8749D"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2F7ACE9" w14:textId="304C05F1" w:rsidR="00EE09D3" w:rsidRPr="00F7449F" w:rsidRDefault="00EE09D3" w:rsidP="00EE09D3">
            <w:pPr>
              <w:keepNext/>
              <w:keepLines/>
              <w:rPr>
                <w:highlight w:val="yellow"/>
              </w:rPr>
            </w:pPr>
            <w:r w:rsidRPr="008C23D7">
              <w:t>REDACTED</w:t>
            </w:r>
          </w:p>
        </w:tc>
      </w:tr>
      <w:tr w:rsidR="00EE09D3" w14:paraId="775DA925" w14:textId="77777777" w:rsidTr="008B73A6">
        <w:trPr>
          <w:trHeight w:val="260"/>
        </w:trPr>
        <w:tc>
          <w:tcPr>
            <w:tcW w:w="960" w:type="dxa"/>
            <w:tcBorders>
              <w:top w:val="nil"/>
              <w:left w:val="nil"/>
              <w:bottom w:val="nil"/>
              <w:right w:val="nil"/>
            </w:tcBorders>
            <w:shd w:val="clear" w:color="auto" w:fill="auto"/>
            <w:vAlign w:val="center"/>
            <w:hideMark/>
          </w:tcPr>
          <w:p w14:paraId="55376464" w14:textId="77777777" w:rsidR="00EE09D3" w:rsidRDefault="00EE09D3" w:rsidP="00EE09D3">
            <w:pPr>
              <w:keepNext/>
              <w:keepLines/>
              <w:jc w:val="center"/>
            </w:pPr>
            <w:r>
              <w:t>2039</w:t>
            </w:r>
          </w:p>
        </w:tc>
        <w:tc>
          <w:tcPr>
            <w:tcW w:w="1180" w:type="dxa"/>
            <w:tcBorders>
              <w:top w:val="nil"/>
              <w:left w:val="nil"/>
              <w:bottom w:val="nil"/>
              <w:right w:val="nil"/>
            </w:tcBorders>
            <w:shd w:val="clear" w:color="auto" w:fill="auto"/>
            <w:hideMark/>
          </w:tcPr>
          <w:p w14:paraId="49132C44" w14:textId="4F12156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F9601AB" w14:textId="74A2657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8CAFC93" w14:textId="2BC297C9"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5E486C31" w14:textId="6A45C289"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B6B7702" w14:textId="491E696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4C14E17" w14:textId="7535B36D"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6DD6AFA" w14:textId="0319623C" w:rsidR="00EE09D3" w:rsidRPr="00F7449F" w:rsidRDefault="00EE09D3" w:rsidP="00EE09D3">
            <w:pPr>
              <w:keepNext/>
              <w:keepLines/>
              <w:rPr>
                <w:highlight w:val="yellow"/>
              </w:rPr>
            </w:pPr>
            <w:r w:rsidRPr="008C23D7">
              <w:t>REDACTED</w:t>
            </w:r>
          </w:p>
        </w:tc>
      </w:tr>
      <w:tr w:rsidR="00EE09D3" w14:paraId="3F5D09D1" w14:textId="77777777" w:rsidTr="008B73A6">
        <w:trPr>
          <w:trHeight w:val="260"/>
        </w:trPr>
        <w:tc>
          <w:tcPr>
            <w:tcW w:w="960" w:type="dxa"/>
            <w:tcBorders>
              <w:top w:val="nil"/>
              <w:left w:val="nil"/>
              <w:bottom w:val="nil"/>
              <w:right w:val="nil"/>
            </w:tcBorders>
            <w:shd w:val="clear" w:color="auto" w:fill="auto"/>
            <w:vAlign w:val="center"/>
            <w:hideMark/>
          </w:tcPr>
          <w:p w14:paraId="5F2EF6B6" w14:textId="77777777" w:rsidR="00EE09D3" w:rsidRDefault="00EE09D3" w:rsidP="00EE09D3">
            <w:pPr>
              <w:keepNext/>
              <w:keepLines/>
              <w:jc w:val="center"/>
            </w:pPr>
            <w:r>
              <w:t>2040</w:t>
            </w:r>
          </w:p>
        </w:tc>
        <w:tc>
          <w:tcPr>
            <w:tcW w:w="1180" w:type="dxa"/>
            <w:tcBorders>
              <w:top w:val="nil"/>
              <w:left w:val="nil"/>
              <w:bottom w:val="nil"/>
              <w:right w:val="nil"/>
            </w:tcBorders>
            <w:shd w:val="clear" w:color="auto" w:fill="auto"/>
            <w:hideMark/>
          </w:tcPr>
          <w:p w14:paraId="27BB9124" w14:textId="2E76CC0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1BBD091" w14:textId="02B5845D"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D3D373E" w14:textId="07CF3CC1"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307D4D4B" w14:textId="1EE824F3"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20B152E" w14:textId="70754FD9"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E3864E0" w14:textId="0601B5F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4828CB7" w14:textId="72F42035" w:rsidR="00EE09D3" w:rsidRPr="00F7449F" w:rsidRDefault="00EE09D3" w:rsidP="00EE09D3">
            <w:pPr>
              <w:keepNext/>
              <w:keepLines/>
              <w:rPr>
                <w:highlight w:val="yellow"/>
              </w:rPr>
            </w:pPr>
            <w:r w:rsidRPr="008C23D7">
              <w:t>REDACTED</w:t>
            </w:r>
          </w:p>
        </w:tc>
      </w:tr>
      <w:tr w:rsidR="00EE09D3" w14:paraId="7DF8D1A8" w14:textId="77777777" w:rsidTr="008B73A6">
        <w:trPr>
          <w:trHeight w:val="260"/>
        </w:trPr>
        <w:tc>
          <w:tcPr>
            <w:tcW w:w="960" w:type="dxa"/>
            <w:tcBorders>
              <w:top w:val="nil"/>
              <w:left w:val="nil"/>
              <w:bottom w:val="nil"/>
              <w:right w:val="nil"/>
            </w:tcBorders>
            <w:shd w:val="clear" w:color="auto" w:fill="auto"/>
            <w:vAlign w:val="center"/>
            <w:hideMark/>
          </w:tcPr>
          <w:p w14:paraId="6F4E7FBF" w14:textId="77777777" w:rsidR="00EE09D3" w:rsidRDefault="00EE09D3" w:rsidP="00EE09D3">
            <w:pPr>
              <w:keepNext/>
              <w:keepLines/>
              <w:jc w:val="center"/>
            </w:pPr>
            <w:r>
              <w:t>2041</w:t>
            </w:r>
          </w:p>
        </w:tc>
        <w:tc>
          <w:tcPr>
            <w:tcW w:w="1180" w:type="dxa"/>
            <w:tcBorders>
              <w:top w:val="nil"/>
              <w:left w:val="nil"/>
              <w:bottom w:val="nil"/>
              <w:right w:val="nil"/>
            </w:tcBorders>
            <w:shd w:val="clear" w:color="auto" w:fill="auto"/>
            <w:hideMark/>
          </w:tcPr>
          <w:p w14:paraId="3187C703" w14:textId="3D17F1F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0EA850C" w14:textId="0753527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FFEF7B8" w14:textId="0C5CCBD7"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7372504B" w14:textId="4DE1B45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37F303B" w14:textId="13D4EDAE"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169F8F6" w14:textId="7D1F45B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980D1AE" w14:textId="68AADFD2" w:rsidR="00EE09D3" w:rsidRPr="00F7449F" w:rsidRDefault="00EE09D3" w:rsidP="00EE09D3">
            <w:pPr>
              <w:keepNext/>
              <w:keepLines/>
              <w:rPr>
                <w:highlight w:val="yellow"/>
              </w:rPr>
            </w:pPr>
            <w:r w:rsidRPr="008C23D7">
              <w:t>REDACTED</w:t>
            </w:r>
          </w:p>
        </w:tc>
      </w:tr>
      <w:tr w:rsidR="00EE09D3" w14:paraId="255D80A1" w14:textId="77777777" w:rsidTr="008B73A6">
        <w:trPr>
          <w:trHeight w:val="260"/>
        </w:trPr>
        <w:tc>
          <w:tcPr>
            <w:tcW w:w="960" w:type="dxa"/>
            <w:tcBorders>
              <w:top w:val="nil"/>
              <w:left w:val="nil"/>
              <w:bottom w:val="nil"/>
              <w:right w:val="nil"/>
            </w:tcBorders>
            <w:shd w:val="clear" w:color="auto" w:fill="auto"/>
            <w:vAlign w:val="center"/>
            <w:hideMark/>
          </w:tcPr>
          <w:p w14:paraId="4D9004E1" w14:textId="77777777" w:rsidR="00EE09D3" w:rsidRDefault="00EE09D3" w:rsidP="00EE09D3">
            <w:pPr>
              <w:keepNext/>
              <w:keepLines/>
              <w:jc w:val="center"/>
            </w:pPr>
            <w:r>
              <w:t>2042</w:t>
            </w:r>
          </w:p>
        </w:tc>
        <w:tc>
          <w:tcPr>
            <w:tcW w:w="1180" w:type="dxa"/>
            <w:tcBorders>
              <w:top w:val="nil"/>
              <w:left w:val="nil"/>
              <w:bottom w:val="nil"/>
              <w:right w:val="nil"/>
            </w:tcBorders>
            <w:shd w:val="clear" w:color="auto" w:fill="auto"/>
            <w:hideMark/>
          </w:tcPr>
          <w:p w14:paraId="2918067A" w14:textId="3C1F27B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9BD4EE3" w14:textId="16A59B5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E8828C5" w14:textId="52921678"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1890B9ED" w14:textId="5DF5E1B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33980F5" w14:textId="513B5AF2"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014F1E6" w14:textId="36EF1173"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E90D58E" w14:textId="47795E40" w:rsidR="00EE09D3" w:rsidRPr="00F7449F" w:rsidRDefault="00EE09D3" w:rsidP="00EE09D3">
            <w:pPr>
              <w:keepNext/>
              <w:keepLines/>
              <w:rPr>
                <w:highlight w:val="yellow"/>
              </w:rPr>
            </w:pPr>
            <w:r w:rsidRPr="008C23D7">
              <w:t>REDACTED</w:t>
            </w:r>
          </w:p>
        </w:tc>
      </w:tr>
      <w:tr w:rsidR="00EE09D3" w14:paraId="4DAC67DB" w14:textId="77777777" w:rsidTr="008B73A6">
        <w:trPr>
          <w:trHeight w:val="260"/>
        </w:trPr>
        <w:tc>
          <w:tcPr>
            <w:tcW w:w="960" w:type="dxa"/>
            <w:tcBorders>
              <w:top w:val="nil"/>
              <w:left w:val="nil"/>
              <w:bottom w:val="nil"/>
              <w:right w:val="nil"/>
            </w:tcBorders>
            <w:shd w:val="clear" w:color="auto" w:fill="auto"/>
            <w:vAlign w:val="center"/>
            <w:hideMark/>
          </w:tcPr>
          <w:p w14:paraId="0F1C6460" w14:textId="77777777" w:rsidR="00EE09D3" w:rsidRDefault="00EE09D3" w:rsidP="00EE09D3">
            <w:pPr>
              <w:keepNext/>
              <w:keepLines/>
              <w:jc w:val="center"/>
            </w:pPr>
            <w:r>
              <w:t>2043</w:t>
            </w:r>
          </w:p>
        </w:tc>
        <w:tc>
          <w:tcPr>
            <w:tcW w:w="1180" w:type="dxa"/>
            <w:tcBorders>
              <w:top w:val="nil"/>
              <w:left w:val="nil"/>
              <w:bottom w:val="nil"/>
              <w:right w:val="nil"/>
            </w:tcBorders>
            <w:shd w:val="clear" w:color="auto" w:fill="auto"/>
            <w:hideMark/>
          </w:tcPr>
          <w:p w14:paraId="4F438014" w14:textId="57699F1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B956ADC" w14:textId="5C8457F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E3173D4" w14:textId="2549F3AF"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2A357A3D" w14:textId="3BF3C84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09F310D" w14:textId="06CDC01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629B715" w14:textId="3D490F5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9618808" w14:textId="222C9957" w:rsidR="00EE09D3" w:rsidRPr="00F7449F" w:rsidRDefault="00EE09D3" w:rsidP="00EE09D3">
            <w:pPr>
              <w:keepNext/>
              <w:keepLines/>
              <w:rPr>
                <w:highlight w:val="yellow"/>
              </w:rPr>
            </w:pPr>
            <w:r w:rsidRPr="008C23D7">
              <w:t>REDACTED</w:t>
            </w:r>
          </w:p>
        </w:tc>
      </w:tr>
      <w:tr w:rsidR="00EE09D3" w14:paraId="036C5C3F" w14:textId="77777777" w:rsidTr="008B73A6">
        <w:trPr>
          <w:trHeight w:val="260"/>
        </w:trPr>
        <w:tc>
          <w:tcPr>
            <w:tcW w:w="960" w:type="dxa"/>
            <w:tcBorders>
              <w:top w:val="nil"/>
              <w:left w:val="nil"/>
              <w:bottom w:val="nil"/>
              <w:right w:val="nil"/>
            </w:tcBorders>
            <w:shd w:val="clear" w:color="auto" w:fill="auto"/>
            <w:vAlign w:val="center"/>
            <w:hideMark/>
          </w:tcPr>
          <w:p w14:paraId="6A192B4D" w14:textId="77777777" w:rsidR="00EE09D3" w:rsidRDefault="00EE09D3" w:rsidP="00EE09D3">
            <w:pPr>
              <w:keepNext/>
              <w:keepLines/>
              <w:jc w:val="center"/>
            </w:pPr>
            <w:r>
              <w:t>2044</w:t>
            </w:r>
          </w:p>
        </w:tc>
        <w:tc>
          <w:tcPr>
            <w:tcW w:w="1180" w:type="dxa"/>
            <w:tcBorders>
              <w:top w:val="nil"/>
              <w:left w:val="nil"/>
              <w:bottom w:val="nil"/>
              <w:right w:val="nil"/>
            </w:tcBorders>
            <w:shd w:val="clear" w:color="auto" w:fill="auto"/>
            <w:hideMark/>
          </w:tcPr>
          <w:p w14:paraId="629F14A5" w14:textId="104F6248"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BE7D875" w14:textId="24ACE52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867C42A" w14:textId="6DC05268"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1FDD59EC" w14:textId="49CC31DD"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9CF8456" w14:textId="6B965C6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914834C" w14:textId="384077E5"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2FDF352" w14:textId="2FF1EFF9" w:rsidR="00EE09D3" w:rsidRPr="00F7449F" w:rsidRDefault="00EE09D3" w:rsidP="00EE09D3">
            <w:pPr>
              <w:keepNext/>
              <w:keepLines/>
              <w:rPr>
                <w:highlight w:val="yellow"/>
              </w:rPr>
            </w:pPr>
            <w:r w:rsidRPr="008C23D7">
              <w:t>REDACTED</w:t>
            </w:r>
          </w:p>
        </w:tc>
      </w:tr>
      <w:tr w:rsidR="00EE09D3" w14:paraId="3647421C" w14:textId="77777777" w:rsidTr="008B73A6">
        <w:trPr>
          <w:trHeight w:val="260"/>
        </w:trPr>
        <w:tc>
          <w:tcPr>
            <w:tcW w:w="960" w:type="dxa"/>
            <w:tcBorders>
              <w:top w:val="nil"/>
              <w:left w:val="nil"/>
              <w:bottom w:val="nil"/>
              <w:right w:val="nil"/>
            </w:tcBorders>
            <w:shd w:val="clear" w:color="auto" w:fill="auto"/>
            <w:vAlign w:val="center"/>
            <w:hideMark/>
          </w:tcPr>
          <w:p w14:paraId="6F1B8CFD" w14:textId="77777777" w:rsidR="00EE09D3" w:rsidRDefault="00EE09D3" w:rsidP="00EE09D3">
            <w:pPr>
              <w:keepNext/>
              <w:keepLines/>
              <w:jc w:val="center"/>
            </w:pPr>
            <w:r>
              <w:t>2045</w:t>
            </w:r>
          </w:p>
        </w:tc>
        <w:tc>
          <w:tcPr>
            <w:tcW w:w="1180" w:type="dxa"/>
            <w:tcBorders>
              <w:top w:val="nil"/>
              <w:left w:val="nil"/>
              <w:bottom w:val="nil"/>
              <w:right w:val="nil"/>
            </w:tcBorders>
            <w:shd w:val="clear" w:color="auto" w:fill="auto"/>
            <w:hideMark/>
          </w:tcPr>
          <w:p w14:paraId="0EFCB748" w14:textId="787061E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00FF1E4" w14:textId="7F741F2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4EBF7C2A" w14:textId="07AAAA67"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230B23E9" w14:textId="0FA97C1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7D6D7483" w14:textId="3E9C0DE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6B1BC1BE" w14:textId="05984344"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2E4957B" w14:textId="7F9F392D" w:rsidR="00EE09D3" w:rsidRPr="00F7449F" w:rsidRDefault="00EE09D3" w:rsidP="00EE09D3">
            <w:pPr>
              <w:keepNext/>
              <w:keepLines/>
              <w:rPr>
                <w:highlight w:val="yellow"/>
              </w:rPr>
            </w:pPr>
            <w:r w:rsidRPr="008C23D7">
              <w:t>REDACTED</w:t>
            </w:r>
          </w:p>
        </w:tc>
      </w:tr>
      <w:tr w:rsidR="00EE09D3" w14:paraId="7C14CED9" w14:textId="77777777" w:rsidTr="008B73A6">
        <w:trPr>
          <w:trHeight w:val="260"/>
        </w:trPr>
        <w:tc>
          <w:tcPr>
            <w:tcW w:w="960" w:type="dxa"/>
            <w:tcBorders>
              <w:top w:val="nil"/>
              <w:left w:val="nil"/>
              <w:bottom w:val="nil"/>
              <w:right w:val="nil"/>
            </w:tcBorders>
            <w:shd w:val="clear" w:color="auto" w:fill="auto"/>
            <w:vAlign w:val="center"/>
            <w:hideMark/>
          </w:tcPr>
          <w:p w14:paraId="66C00F60" w14:textId="77777777" w:rsidR="00EE09D3" w:rsidRDefault="00EE09D3" w:rsidP="00EE09D3">
            <w:pPr>
              <w:keepNext/>
              <w:keepLines/>
              <w:jc w:val="center"/>
            </w:pPr>
            <w:r>
              <w:t>2046</w:t>
            </w:r>
          </w:p>
        </w:tc>
        <w:tc>
          <w:tcPr>
            <w:tcW w:w="1180" w:type="dxa"/>
            <w:tcBorders>
              <w:top w:val="nil"/>
              <w:left w:val="nil"/>
              <w:bottom w:val="nil"/>
              <w:right w:val="nil"/>
            </w:tcBorders>
            <w:shd w:val="clear" w:color="auto" w:fill="auto"/>
            <w:hideMark/>
          </w:tcPr>
          <w:p w14:paraId="711AC298" w14:textId="1E16DD6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2AA83090" w14:textId="4043094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15BDB28" w14:textId="7D288906"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0BF35504" w14:textId="22BF41D1"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11138DF" w14:textId="047CAE1F"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CBF8240" w14:textId="225D0F9A"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9F4B6C7" w14:textId="298923BA" w:rsidR="00EE09D3" w:rsidRPr="00F7449F" w:rsidRDefault="00EE09D3" w:rsidP="00EE09D3">
            <w:pPr>
              <w:keepNext/>
              <w:keepLines/>
              <w:rPr>
                <w:highlight w:val="yellow"/>
              </w:rPr>
            </w:pPr>
            <w:r w:rsidRPr="008C23D7">
              <w:t>REDACTED</w:t>
            </w:r>
          </w:p>
        </w:tc>
      </w:tr>
      <w:tr w:rsidR="00EE09D3" w14:paraId="09EA6467" w14:textId="77777777" w:rsidTr="008B73A6">
        <w:trPr>
          <w:trHeight w:val="260"/>
        </w:trPr>
        <w:tc>
          <w:tcPr>
            <w:tcW w:w="960" w:type="dxa"/>
            <w:tcBorders>
              <w:top w:val="nil"/>
              <w:left w:val="nil"/>
              <w:bottom w:val="nil"/>
              <w:right w:val="nil"/>
            </w:tcBorders>
            <w:shd w:val="clear" w:color="auto" w:fill="auto"/>
            <w:vAlign w:val="center"/>
            <w:hideMark/>
          </w:tcPr>
          <w:p w14:paraId="455063E0" w14:textId="77777777" w:rsidR="00EE09D3" w:rsidRDefault="00EE09D3" w:rsidP="00EE09D3">
            <w:pPr>
              <w:keepNext/>
              <w:keepLines/>
              <w:jc w:val="center"/>
            </w:pPr>
            <w:r>
              <w:t>2047</w:t>
            </w:r>
          </w:p>
        </w:tc>
        <w:tc>
          <w:tcPr>
            <w:tcW w:w="1180" w:type="dxa"/>
            <w:tcBorders>
              <w:top w:val="nil"/>
              <w:left w:val="nil"/>
              <w:bottom w:val="nil"/>
              <w:right w:val="nil"/>
            </w:tcBorders>
            <w:shd w:val="clear" w:color="auto" w:fill="auto"/>
            <w:hideMark/>
          </w:tcPr>
          <w:p w14:paraId="38146AC2" w14:textId="1E74C326"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02505AEA" w14:textId="3338FEDC"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5FBC6C97" w14:textId="655C21C4" w:rsidR="00EE09D3" w:rsidRPr="00F7449F" w:rsidRDefault="00EE09D3" w:rsidP="00EE09D3">
            <w:pPr>
              <w:keepNext/>
              <w:keepLines/>
              <w:rPr>
                <w:color w:val="FF0000"/>
                <w:highlight w:val="yellow"/>
              </w:rPr>
            </w:pPr>
            <w:r w:rsidRPr="008C23D7">
              <w:t>REDACTED</w:t>
            </w:r>
          </w:p>
        </w:tc>
        <w:tc>
          <w:tcPr>
            <w:tcW w:w="1180" w:type="dxa"/>
            <w:tcBorders>
              <w:top w:val="nil"/>
              <w:left w:val="nil"/>
              <w:bottom w:val="nil"/>
              <w:right w:val="nil"/>
            </w:tcBorders>
            <w:shd w:val="clear" w:color="auto" w:fill="auto"/>
            <w:hideMark/>
          </w:tcPr>
          <w:p w14:paraId="5A9ED5CA" w14:textId="00F8AD50"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A7C9DAC" w14:textId="6978E7F7"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39B9898E" w14:textId="2984937B" w:rsidR="00EE09D3" w:rsidRPr="00F7449F" w:rsidRDefault="00EE09D3" w:rsidP="00EE09D3">
            <w:pPr>
              <w:keepNext/>
              <w:keepLines/>
              <w:rPr>
                <w:highlight w:val="yellow"/>
              </w:rPr>
            </w:pPr>
            <w:r w:rsidRPr="008C23D7">
              <w:t>REDACTED</w:t>
            </w:r>
          </w:p>
        </w:tc>
        <w:tc>
          <w:tcPr>
            <w:tcW w:w="1180" w:type="dxa"/>
            <w:tcBorders>
              <w:top w:val="nil"/>
              <w:left w:val="nil"/>
              <w:bottom w:val="nil"/>
              <w:right w:val="nil"/>
            </w:tcBorders>
            <w:shd w:val="clear" w:color="auto" w:fill="auto"/>
            <w:hideMark/>
          </w:tcPr>
          <w:p w14:paraId="1DDEDDA9" w14:textId="7B1DF21E" w:rsidR="00EE09D3" w:rsidRPr="00F7449F" w:rsidRDefault="00EE09D3" w:rsidP="00EE09D3">
            <w:pPr>
              <w:keepNext/>
              <w:keepLines/>
              <w:rPr>
                <w:highlight w:val="yellow"/>
              </w:rPr>
            </w:pPr>
            <w:r w:rsidRPr="008C23D7">
              <w:t>REDACTED</w:t>
            </w:r>
          </w:p>
        </w:tc>
      </w:tr>
    </w:tbl>
    <w:p w14:paraId="412BA28C" w14:textId="1559C358" w:rsidR="00BC5657" w:rsidRPr="00FA73EF" w:rsidRDefault="000009CC" w:rsidP="00D4372D">
      <w:pPr>
        <w:pStyle w:val="BalloonText"/>
        <w:keepNext/>
        <w:keepLines/>
        <w:spacing w:line="360" w:lineRule="auto"/>
        <w:ind w:firstLine="720"/>
        <w:jc w:val="both"/>
        <w:rPr>
          <w:rFonts w:ascii="Times New Roman" w:hAnsi="Times New Roman" w:cs="Times New Roman"/>
          <w:sz w:val="24"/>
          <w:szCs w:val="24"/>
        </w:rPr>
      </w:pPr>
      <w:r w:rsidRPr="00946278" w:rsidDel="001272CA">
        <w:rPr>
          <w:rFonts w:ascii="Times New Roman" w:hAnsi="Times New Roman" w:cs="Times New Roman"/>
          <w:sz w:val="24"/>
          <w:szCs w:val="24"/>
          <w:highlight w:val="green"/>
        </w:rPr>
        <w:t xml:space="preserve"> </w:t>
      </w:r>
    </w:p>
    <w:p w14:paraId="590679E5" w14:textId="6C102FEA" w:rsidR="00FA73EF" w:rsidRPr="00FA73EF" w:rsidRDefault="00FA73EF" w:rsidP="00FA73EF">
      <w:pPr>
        <w:pStyle w:val="Heading2"/>
        <w:keepNext/>
        <w:tabs>
          <w:tab w:val="clear" w:pos="7362"/>
          <w:tab w:val="num" w:pos="1440"/>
        </w:tabs>
        <w:spacing w:after="120" w:line="360" w:lineRule="auto"/>
        <w:ind w:left="720" w:firstLine="0"/>
      </w:pPr>
      <w:bookmarkStart w:id="21" w:name="_Toc197703467"/>
      <w:r>
        <w:rPr>
          <w:snapToGrid w:val="0"/>
        </w:rPr>
        <w:t>Estimated Annual Variable Costs and Operational Data</w:t>
      </w:r>
      <w:bookmarkEnd w:id="21"/>
    </w:p>
    <w:p w14:paraId="6DD07943" w14:textId="77777777" w:rsidR="00EF050D" w:rsidRPr="00851704" w:rsidRDefault="00EF050D" w:rsidP="00AD04EB">
      <w:pPr>
        <w:spacing w:line="276" w:lineRule="auto"/>
        <w:ind w:left="720" w:firstLine="720"/>
        <w:jc w:val="both"/>
        <w:rPr>
          <w:sz w:val="24"/>
          <w:szCs w:val="24"/>
        </w:rPr>
      </w:pPr>
      <w:r w:rsidRPr="00851704">
        <w:rPr>
          <w:sz w:val="24"/>
          <w:szCs w:val="24"/>
        </w:rPr>
        <w:t>The Twiggs County BESS will serve as a cost-effective, dispatchable capacity resource that will optimize energy savings by shifting the energy from hours with relatively low system marginal cost to hours with a relatively high system marginal cost. The variable costs for the Twiggs County BESS include the cost to charge the battery and losses during charging and discharging. These costs are optimized by charging during low-cost periods and discharging during high-cost periods, although the exact cost to ch</w:t>
      </w:r>
      <w:r w:rsidRPr="00D4372D">
        <w:rPr>
          <w:sz w:val="24"/>
          <w:szCs w:val="24"/>
        </w:rPr>
        <w:t>a</w:t>
      </w:r>
      <w:r w:rsidRPr="00851704">
        <w:rPr>
          <w:sz w:val="24"/>
          <w:szCs w:val="24"/>
        </w:rPr>
        <w:t xml:space="preserve">rge, and benefits of discharge, vary based on market conditions. </w:t>
      </w:r>
    </w:p>
    <w:p w14:paraId="1CCCC177" w14:textId="77777777" w:rsidR="003F66EB" w:rsidRDefault="003F66EB" w:rsidP="003F66EB">
      <w:pPr>
        <w:pStyle w:val="BalloonText"/>
        <w:spacing w:line="276" w:lineRule="auto"/>
        <w:ind w:left="720"/>
        <w:jc w:val="both"/>
        <w:rPr>
          <w:rFonts w:ascii="Times New Roman" w:hAnsi="Times New Roman" w:cs="Times New Roman"/>
          <w:sz w:val="24"/>
          <w:szCs w:val="24"/>
        </w:rPr>
      </w:pPr>
    </w:p>
    <w:p w14:paraId="40D4DCE9" w14:textId="6D852FC2" w:rsidR="00BC5657" w:rsidRPr="00FA73EF" w:rsidRDefault="00EF050D" w:rsidP="00AD04EB">
      <w:pPr>
        <w:pStyle w:val="BalloonText"/>
        <w:spacing w:line="276" w:lineRule="auto"/>
        <w:ind w:left="720" w:firstLine="720"/>
        <w:jc w:val="both"/>
        <w:rPr>
          <w:rFonts w:ascii="Times New Roman" w:hAnsi="Times New Roman" w:cs="Times New Roman"/>
          <w:sz w:val="24"/>
          <w:szCs w:val="24"/>
        </w:rPr>
      </w:pPr>
      <w:r w:rsidRPr="00851704">
        <w:rPr>
          <w:rFonts w:ascii="Times New Roman" w:hAnsi="Times New Roman" w:cs="Times New Roman"/>
          <w:sz w:val="24"/>
          <w:szCs w:val="24"/>
        </w:rPr>
        <w:t xml:space="preserve">In addition, the BESS will fulfill a wider array of system and grid requirements beyond the more commonly recognized benefits of capacity value and energy value. BESS can be instrumental in providing cost-effective essential services for grid reliability, particularly operating reserves, leading to reductions in total system operational costs. As the energy mix evolves, these services and the role of BESS will likely become increasingly important in response to intermittent resource penetration and potential carbon pressure. </w:t>
      </w:r>
    </w:p>
    <w:p w14:paraId="15FB63F8" w14:textId="60F7ED84" w:rsidR="00FA73EF" w:rsidRPr="00FA73EF" w:rsidRDefault="00FA73EF" w:rsidP="00FA73EF">
      <w:pPr>
        <w:pStyle w:val="Heading2"/>
        <w:keepNext/>
        <w:tabs>
          <w:tab w:val="clear" w:pos="7362"/>
          <w:tab w:val="num" w:pos="1440"/>
        </w:tabs>
        <w:spacing w:after="120" w:line="360" w:lineRule="auto"/>
        <w:ind w:left="720" w:firstLine="0"/>
      </w:pPr>
      <w:bookmarkStart w:id="22" w:name="_Toc197703468"/>
      <w:r>
        <w:rPr>
          <w:snapToGrid w:val="0"/>
        </w:rPr>
        <w:t>Rates of Escalation of Cost</w:t>
      </w:r>
      <w:bookmarkEnd w:id="22"/>
    </w:p>
    <w:p w14:paraId="48460259" w14:textId="41D63A0C" w:rsidR="00BC5657" w:rsidRPr="00FA73EF" w:rsidRDefault="00FD71A8" w:rsidP="00AD04EB">
      <w:pPr>
        <w:pStyle w:val="BalloonText"/>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Post in-service capital, insurance, and operation and maintenance (“O&amp;M”) costs</w:t>
      </w:r>
      <w:r w:rsidR="00C25ECC">
        <w:rPr>
          <w:rFonts w:ascii="Times New Roman" w:hAnsi="Times New Roman" w:cs="Times New Roman"/>
          <w:sz w:val="24"/>
          <w:szCs w:val="24"/>
        </w:rPr>
        <w:t xml:space="preserve"> that are fixed are escalated per an assumed inflation rate of </w:t>
      </w:r>
      <w:r w:rsidR="001065E0" w:rsidRPr="001065E0">
        <w:rPr>
          <w:rFonts w:ascii="Times New Roman" w:hAnsi="Times New Roman" w:cs="Times New Roman"/>
          <w:sz w:val="12"/>
          <w:szCs w:val="12"/>
        </w:rPr>
        <w:t>REDACTED</w:t>
      </w:r>
      <w:r w:rsidR="00C25ECC">
        <w:rPr>
          <w:rFonts w:ascii="Times New Roman" w:hAnsi="Times New Roman" w:cs="Times New Roman"/>
          <w:sz w:val="24"/>
          <w:szCs w:val="24"/>
        </w:rPr>
        <w:t xml:space="preserve"> unless otherwise defined in contractual agreements</w:t>
      </w:r>
      <w:r w:rsidR="00883EE4">
        <w:rPr>
          <w:rFonts w:ascii="Times New Roman" w:hAnsi="Times New Roman" w:cs="Times New Roman"/>
          <w:sz w:val="24"/>
          <w:szCs w:val="24"/>
        </w:rPr>
        <w:t>.</w:t>
      </w:r>
      <w:r w:rsidR="008E0A2D">
        <w:rPr>
          <w:rFonts w:ascii="Times New Roman" w:hAnsi="Times New Roman" w:cs="Times New Roman"/>
          <w:sz w:val="24"/>
          <w:szCs w:val="24"/>
        </w:rPr>
        <w:t xml:space="preserve"> </w:t>
      </w:r>
      <w:r w:rsidR="00883EE4">
        <w:rPr>
          <w:rFonts w:ascii="Times New Roman" w:hAnsi="Times New Roman" w:cs="Times New Roman"/>
          <w:sz w:val="24"/>
          <w:szCs w:val="24"/>
        </w:rPr>
        <w:t>The inflation rate is based on a forecast of Gross Domestic Product Implicit Price Deflator (“GDPIPD”).</w:t>
      </w:r>
      <w:r w:rsidR="008E7004" w:rsidRPr="00531A75" w:rsidDel="0078692E">
        <w:rPr>
          <w:rFonts w:ascii="Times New Roman" w:hAnsi="Times New Roman" w:cs="Times New Roman"/>
          <w:sz w:val="24"/>
          <w:szCs w:val="24"/>
        </w:rPr>
        <w:t xml:space="preserve"> </w:t>
      </w:r>
    </w:p>
    <w:p w14:paraId="28074975" w14:textId="3EA1B649" w:rsidR="00FA73EF" w:rsidRPr="00FA73EF" w:rsidRDefault="00FA73EF" w:rsidP="00FA73EF">
      <w:pPr>
        <w:pStyle w:val="Heading2"/>
        <w:keepNext/>
        <w:tabs>
          <w:tab w:val="clear" w:pos="7362"/>
          <w:tab w:val="num" w:pos="1440"/>
        </w:tabs>
        <w:spacing w:after="120" w:line="360" w:lineRule="auto"/>
        <w:ind w:left="720" w:firstLine="0"/>
      </w:pPr>
      <w:bookmarkStart w:id="23" w:name="_Toc197703469"/>
      <w:r>
        <w:rPr>
          <w:snapToGrid w:val="0"/>
        </w:rPr>
        <w:t>Total Estimated Annual Average Cost per kWh</w:t>
      </w:r>
      <w:bookmarkEnd w:id="23"/>
    </w:p>
    <w:p w14:paraId="08C9FEF0" w14:textId="51CA8B94" w:rsidR="00BC5657" w:rsidRPr="00FA73EF" w:rsidRDefault="004255DB" w:rsidP="00AD04EB">
      <w:pPr>
        <w:pStyle w:val="BalloonText"/>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The RFP evaluation process involves a comprehensive analysis that consolidates the costs, operational data, and benefits of each RFP bid submission. Th</w:t>
      </w:r>
      <w:r w:rsidR="007153F6">
        <w:rPr>
          <w:rFonts w:ascii="Times New Roman" w:hAnsi="Times New Roman" w:cs="Times New Roman"/>
          <w:sz w:val="24"/>
          <w:szCs w:val="24"/>
        </w:rPr>
        <w:t>e</w:t>
      </w:r>
      <w:r>
        <w:rPr>
          <w:rFonts w:ascii="Times New Roman" w:hAnsi="Times New Roman" w:cs="Times New Roman"/>
          <w:sz w:val="24"/>
          <w:szCs w:val="24"/>
        </w:rPr>
        <w:t xml:space="preserve"> </w:t>
      </w:r>
      <w:r w:rsidR="007153F6">
        <w:rPr>
          <w:rFonts w:ascii="Times New Roman" w:hAnsi="Times New Roman" w:cs="Times New Roman"/>
          <w:sz w:val="24"/>
          <w:szCs w:val="24"/>
        </w:rPr>
        <w:t xml:space="preserve">process </w:t>
      </w:r>
      <w:r>
        <w:rPr>
          <w:rFonts w:ascii="Times New Roman" w:hAnsi="Times New Roman" w:cs="Times New Roman"/>
          <w:sz w:val="24"/>
          <w:szCs w:val="24"/>
        </w:rPr>
        <w:t xml:space="preserve">calculates the total </w:t>
      </w:r>
      <w:r w:rsidR="00820491">
        <w:rPr>
          <w:rFonts w:ascii="Times New Roman" w:hAnsi="Times New Roman" w:cs="Times New Roman"/>
          <w:sz w:val="24"/>
          <w:szCs w:val="24"/>
        </w:rPr>
        <w:t>net present value (“</w:t>
      </w:r>
      <w:r>
        <w:rPr>
          <w:rFonts w:ascii="Times New Roman" w:hAnsi="Times New Roman" w:cs="Times New Roman"/>
          <w:sz w:val="24"/>
          <w:szCs w:val="24"/>
        </w:rPr>
        <w:t>NPV</w:t>
      </w:r>
      <w:r w:rsidR="00820491">
        <w:rPr>
          <w:rFonts w:ascii="Times New Roman" w:hAnsi="Times New Roman" w:cs="Times New Roman"/>
          <w:sz w:val="24"/>
          <w:szCs w:val="24"/>
        </w:rPr>
        <w:t>”)</w:t>
      </w:r>
      <w:r>
        <w:rPr>
          <w:rFonts w:ascii="Times New Roman" w:hAnsi="Times New Roman" w:cs="Times New Roman"/>
          <w:sz w:val="24"/>
          <w:szCs w:val="24"/>
        </w:rPr>
        <w:t xml:space="preserve"> costs per unit of reliable capacity, which serves as the primary metric for ranking the submissions. Throughout the RFP process, detailed information regarding the analysis was provided to the IE and Commission Staff to ensure transparency and informed decision making.</w:t>
      </w:r>
      <w:r w:rsidRPr="00946278" w:rsidDel="00C14A4F">
        <w:rPr>
          <w:rFonts w:ascii="Times New Roman" w:hAnsi="Times New Roman" w:cs="Times New Roman"/>
          <w:sz w:val="24"/>
          <w:szCs w:val="24"/>
          <w:highlight w:val="green"/>
        </w:rPr>
        <w:t xml:space="preserve"> </w:t>
      </w:r>
    </w:p>
    <w:p w14:paraId="7F2C55CF" w14:textId="003C9CEE" w:rsidR="00FA73EF" w:rsidRPr="00FA73EF" w:rsidRDefault="00FA73EF" w:rsidP="00FA73EF">
      <w:pPr>
        <w:pStyle w:val="Heading2"/>
        <w:keepNext/>
        <w:tabs>
          <w:tab w:val="clear" w:pos="7362"/>
          <w:tab w:val="num" w:pos="1440"/>
        </w:tabs>
        <w:spacing w:after="120" w:line="360" w:lineRule="auto"/>
        <w:ind w:left="720" w:firstLine="0"/>
      </w:pPr>
      <w:bookmarkStart w:id="24" w:name="_Toc197703470"/>
      <w:r>
        <w:rPr>
          <w:snapToGrid w:val="0"/>
        </w:rPr>
        <w:t>Equivalent Availability Factors</w:t>
      </w:r>
      <w:bookmarkEnd w:id="24"/>
    </w:p>
    <w:p w14:paraId="717DF918" w14:textId="5115234E" w:rsidR="00BC5657" w:rsidRPr="00FA73EF" w:rsidRDefault="003A27DD" w:rsidP="005B4C51">
      <w:pPr>
        <w:pStyle w:val="BalloonText"/>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See Total Estimated Annual Average Cost per kWh section </w:t>
      </w:r>
      <w:r w:rsidR="0048561C">
        <w:rPr>
          <w:rFonts w:ascii="Times New Roman" w:hAnsi="Times New Roman" w:cs="Times New Roman"/>
          <w:sz w:val="24"/>
          <w:szCs w:val="24"/>
        </w:rPr>
        <w:t>above</w:t>
      </w:r>
      <w:r w:rsidR="00C80134">
        <w:rPr>
          <w:rFonts w:ascii="Times New Roman" w:hAnsi="Times New Roman" w:cs="Times New Roman"/>
          <w:sz w:val="24"/>
          <w:szCs w:val="24"/>
        </w:rPr>
        <w:t>.</w:t>
      </w:r>
    </w:p>
    <w:p w14:paraId="5EC1BB48" w14:textId="71749531" w:rsidR="00FA73EF" w:rsidRPr="00FA73EF" w:rsidRDefault="00FA73EF" w:rsidP="00FA73EF">
      <w:pPr>
        <w:pStyle w:val="Heading2"/>
        <w:keepNext/>
        <w:tabs>
          <w:tab w:val="clear" w:pos="7362"/>
          <w:tab w:val="num" w:pos="1440"/>
        </w:tabs>
        <w:spacing w:after="120" w:line="360" w:lineRule="auto"/>
        <w:ind w:left="720" w:firstLine="0"/>
      </w:pPr>
      <w:bookmarkStart w:id="25" w:name="_Toc197703471"/>
      <w:r>
        <w:rPr>
          <w:snapToGrid w:val="0"/>
        </w:rPr>
        <w:t>Capacity Factors and Duty Cycle</w:t>
      </w:r>
      <w:bookmarkEnd w:id="25"/>
    </w:p>
    <w:p w14:paraId="41583F37" w14:textId="10A14607" w:rsidR="00BC5657" w:rsidRPr="00FA73EF" w:rsidRDefault="00B51B8C" w:rsidP="005B4C51">
      <w:pPr>
        <w:pStyle w:val="BalloonText"/>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See Total Estimated Annual Average Cost per kWh section above.</w:t>
      </w:r>
      <w:r w:rsidRPr="00946278" w:rsidDel="009D46D5">
        <w:rPr>
          <w:rFonts w:ascii="Times New Roman" w:hAnsi="Times New Roman" w:cs="Times New Roman"/>
          <w:sz w:val="24"/>
          <w:szCs w:val="24"/>
          <w:highlight w:val="green"/>
        </w:rPr>
        <w:t xml:space="preserve"> </w:t>
      </w:r>
    </w:p>
    <w:p w14:paraId="0FC95C5B" w14:textId="55C9D5BA" w:rsidR="00FA73EF" w:rsidRPr="00FA73EF" w:rsidRDefault="00FA73EF" w:rsidP="00FA73EF">
      <w:pPr>
        <w:pStyle w:val="Heading2"/>
        <w:keepNext/>
        <w:tabs>
          <w:tab w:val="clear" w:pos="7362"/>
          <w:tab w:val="num" w:pos="1440"/>
        </w:tabs>
        <w:spacing w:after="120" w:line="360" w:lineRule="auto"/>
        <w:ind w:left="720" w:firstLine="0"/>
      </w:pPr>
      <w:bookmarkStart w:id="26" w:name="_Toc197703472"/>
      <w:r>
        <w:rPr>
          <w:snapToGrid w:val="0"/>
        </w:rPr>
        <w:t>Efficiency</w:t>
      </w:r>
      <w:bookmarkEnd w:id="26"/>
    </w:p>
    <w:p w14:paraId="4622D528" w14:textId="4FC76686" w:rsidR="00BC5657" w:rsidRPr="00FA73EF" w:rsidRDefault="009E21A7" w:rsidP="005B4C51">
      <w:pPr>
        <w:pStyle w:val="BalloonText"/>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Guaranteed Site </w:t>
      </w:r>
      <w:r w:rsidR="00A66775">
        <w:rPr>
          <w:rFonts w:ascii="Times New Roman" w:hAnsi="Times New Roman" w:cs="Times New Roman"/>
          <w:sz w:val="24"/>
          <w:szCs w:val="24"/>
        </w:rPr>
        <w:t>Roundtrip Efficiency (“</w:t>
      </w:r>
      <w:r>
        <w:rPr>
          <w:rFonts w:ascii="Times New Roman" w:hAnsi="Times New Roman" w:cs="Times New Roman"/>
          <w:sz w:val="24"/>
          <w:szCs w:val="24"/>
        </w:rPr>
        <w:t>RTE</w:t>
      </w:r>
      <w:r w:rsidR="00A66775">
        <w:rPr>
          <w:rFonts w:ascii="Times New Roman" w:hAnsi="Times New Roman" w:cs="Times New Roman"/>
          <w:sz w:val="24"/>
          <w:szCs w:val="24"/>
        </w:rPr>
        <w:t>”)</w:t>
      </w:r>
      <w:r>
        <w:rPr>
          <w:rFonts w:ascii="Times New Roman" w:hAnsi="Times New Roman" w:cs="Times New Roman"/>
          <w:sz w:val="24"/>
          <w:szCs w:val="24"/>
        </w:rPr>
        <w:t xml:space="preserve"> through the BESA at commissioning completion is </w:t>
      </w:r>
      <w:r w:rsidR="005A0A32" w:rsidRPr="00681440">
        <w:rPr>
          <w:rFonts w:ascii="Times New Roman" w:hAnsi="Times New Roman" w:cs="Times New Roman"/>
          <w:sz w:val="20"/>
          <w:szCs w:val="20"/>
        </w:rPr>
        <w:t>REDACTED</w:t>
      </w:r>
      <w:r w:rsidR="005A0A32">
        <w:rPr>
          <w:rFonts w:ascii="Times New Roman" w:hAnsi="Times New Roman" w:cs="Times New Roman"/>
          <w:sz w:val="20"/>
          <w:szCs w:val="20"/>
        </w:rPr>
        <w:t>.</w:t>
      </w:r>
    </w:p>
    <w:p w14:paraId="11BA8E12" w14:textId="499ECDF0" w:rsidR="00FA73EF" w:rsidRPr="00FA73EF" w:rsidRDefault="006E71F6" w:rsidP="00FA73EF">
      <w:pPr>
        <w:pStyle w:val="Heading2"/>
        <w:keepNext/>
        <w:tabs>
          <w:tab w:val="clear" w:pos="7362"/>
          <w:tab w:val="num" w:pos="1440"/>
        </w:tabs>
        <w:spacing w:after="120" w:line="360" w:lineRule="auto"/>
        <w:ind w:left="720" w:firstLine="0"/>
      </w:pPr>
      <w:bookmarkStart w:id="27" w:name="_Toc197703473"/>
      <w:r>
        <w:rPr>
          <w:snapToGrid w:val="0"/>
        </w:rPr>
        <w:t>Unit Lifetime</w:t>
      </w:r>
      <w:bookmarkEnd w:id="27"/>
    </w:p>
    <w:p w14:paraId="0AD27017" w14:textId="2F3C657A" w:rsidR="00BC5657" w:rsidRPr="00FA73EF" w:rsidRDefault="005234FF" w:rsidP="00AD04EB">
      <w:pPr>
        <w:pStyle w:val="BalloonText"/>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The</w:t>
      </w:r>
      <w:r w:rsidR="005C5BA6">
        <w:rPr>
          <w:rFonts w:ascii="Times New Roman" w:hAnsi="Times New Roman" w:cs="Times New Roman"/>
          <w:sz w:val="24"/>
          <w:szCs w:val="24"/>
        </w:rPr>
        <w:t xml:space="preserve"> </w:t>
      </w:r>
      <w:r w:rsidR="00056F2E">
        <w:rPr>
          <w:rFonts w:ascii="Times New Roman" w:hAnsi="Times New Roman" w:cs="Times New Roman"/>
          <w:sz w:val="24"/>
          <w:szCs w:val="24"/>
        </w:rPr>
        <w:t>unit lifetime for the BESS is 20 years, and this serves as the basis for both accounting book life and for the engineering design life.</w:t>
      </w:r>
    </w:p>
    <w:p w14:paraId="6BCC8A44" w14:textId="2DD093EC" w:rsidR="006E71F6" w:rsidRPr="00FA73EF" w:rsidRDefault="006E71F6" w:rsidP="006E71F6">
      <w:pPr>
        <w:pStyle w:val="Heading2"/>
        <w:keepNext/>
        <w:tabs>
          <w:tab w:val="clear" w:pos="7362"/>
          <w:tab w:val="num" w:pos="1440"/>
        </w:tabs>
        <w:spacing w:after="120" w:line="360" w:lineRule="auto"/>
        <w:ind w:left="720" w:firstLine="0"/>
      </w:pPr>
      <w:bookmarkStart w:id="28" w:name="_Toc197703474"/>
      <w:r>
        <w:t>Estimated Environmental Impact</w:t>
      </w:r>
      <w:bookmarkEnd w:id="28"/>
    </w:p>
    <w:p w14:paraId="1C97B801" w14:textId="77777777" w:rsidR="000C7BBE" w:rsidRPr="00142682" w:rsidRDefault="000C7BBE" w:rsidP="00D4372D">
      <w:pPr>
        <w:spacing w:after="120" w:line="276" w:lineRule="auto"/>
        <w:ind w:left="720" w:firstLine="720"/>
        <w:jc w:val="both"/>
      </w:pPr>
      <w:r w:rsidRPr="00142682">
        <w:rPr>
          <w:sz w:val="24"/>
          <w:szCs w:val="24"/>
        </w:rPr>
        <w:t xml:space="preserve">Other than impacts associated with land use for the new facility described below, Georgia Power does not anticipate that the BESS facility will have any environmental </w:t>
      </w:r>
      <w:r w:rsidRPr="00142682">
        <w:rPr>
          <w:sz w:val="24"/>
          <w:szCs w:val="24"/>
        </w:rPr>
        <w:lastRenderedPageBreak/>
        <w:t xml:space="preserve">impacts related to the specific emission, production, or usage data categories outlined in GPSC Rule 515-3-4-.07 (2)(a)(3)(xi). </w:t>
      </w:r>
    </w:p>
    <w:p w14:paraId="037AC879" w14:textId="77777777" w:rsidR="000C7BBE" w:rsidRPr="00142682" w:rsidRDefault="000C7BBE" w:rsidP="00D4372D">
      <w:pPr>
        <w:spacing w:after="120" w:line="276" w:lineRule="auto"/>
        <w:ind w:left="720" w:firstLine="720"/>
        <w:jc w:val="both"/>
        <w:rPr>
          <w:sz w:val="24"/>
          <w:szCs w:val="24"/>
        </w:rPr>
      </w:pPr>
      <w:r w:rsidRPr="00142682">
        <w:rPr>
          <w:sz w:val="24"/>
          <w:szCs w:val="24"/>
        </w:rPr>
        <w:t>Georgia Power</w:t>
      </w:r>
      <w:r w:rsidRPr="00142682" w:rsidDel="00763EF0">
        <w:rPr>
          <w:sz w:val="24"/>
          <w:szCs w:val="24"/>
        </w:rPr>
        <w:t xml:space="preserve"> </w:t>
      </w:r>
      <w:r w:rsidRPr="00142682">
        <w:rPr>
          <w:sz w:val="24"/>
          <w:szCs w:val="24"/>
        </w:rPr>
        <w:t xml:space="preserve">has conducted a full suite of environmental assessments and surveys for the Twiggs County BESS site. During site development and operations, some intermittent environmental impacts may occur </w:t>
      </w:r>
      <w:proofErr w:type="gramStart"/>
      <w:r w:rsidRPr="00142682">
        <w:rPr>
          <w:sz w:val="24"/>
          <w:szCs w:val="24"/>
        </w:rPr>
        <w:t>as a result of</w:t>
      </w:r>
      <w:proofErr w:type="gramEnd"/>
      <w:r w:rsidRPr="00142682">
        <w:rPr>
          <w:sz w:val="24"/>
          <w:szCs w:val="24"/>
        </w:rPr>
        <w:t xml:space="preserve"> stormwater runoff due to precipitation. However, these impacts will be regulated by, and in compliance with, applicable state and federal requirements. </w:t>
      </w:r>
    </w:p>
    <w:p w14:paraId="18696FB9" w14:textId="55C6B596" w:rsidR="000C7BBE" w:rsidRPr="00142682" w:rsidRDefault="000C7BBE" w:rsidP="00D4372D">
      <w:pPr>
        <w:spacing w:after="120" w:line="276" w:lineRule="auto"/>
        <w:ind w:left="720" w:firstLine="720"/>
        <w:jc w:val="both"/>
        <w:rPr>
          <w:sz w:val="24"/>
          <w:szCs w:val="24"/>
        </w:rPr>
      </w:pPr>
      <w:r w:rsidRPr="00142682">
        <w:rPr>
          <w:sz w:val="24"/>
          <w:szCs w:val="24"/>
        </w:rPr>
        <w:t xml:space="preserve">During facility operations, no direct air emissions or water usage are expected except as encountered during an emergency or other unplanned event. Some stormwater runoff is expected </w:t>
      </w:r>
      <w:proofErr w:type="gramStart"/>
      <w:r w:rsidRPr="00142682">
        <w:rPr>
          <w:sz w:val="24"/>
          <w:szCs w:val="24"/>
        </w:rPr>
        <w:t>as a result of</w:t>
      </w:r>
      <w:proofErr w:type="gramEnd"/>
      <w:r w:rsidRPr="00142682">
        <w:rPr>
          <w:sz w:val="24"/>
          <w:szCs w:val="24"/>
        </w:rPr>
        <w:t xml:space="preserve"> direct rainfall, but this will be controlled by measures installed during facility construction and maintained for the life of the facility. Some limited solid waste disposal may occur </w:t>
      </w:r>
      <w:proofErr w:type="gramStart"/>
      <w:r w:rsidRPr="00142682">
        <w:rPr>
          <w:sz w:val="24"/>
          <w:szCs w:val="24"/>
        </w:rPr>
        <w:t>as a result of</w:t>
      </w:r>
      <w:proofErr w:type="gramEnd"/>
      <w:r w:rsidRPr="00142682">
        <w:rPr>
          <w:sz w:val="24"/>
          <w:szCs w:val="24"/>
        </w:rPr>
        <w:t xml:space="preserve"> normal operations. Battery recycling is expected as the BESS </w:t>
      </w:r>
      <w:r w:rsidRPr="000C7BBE">
        <w:rPr>
          <w:sz w:val="24"/>
          <w:szCs w:val="24"/>
        </w:rPr>
        <w:t>achieve</w:t>
      </w:r>
      <w:r w:rsidRPr="00142682">
        <w:rPr>
          <w:sz w:val="24"/>
          <w:szCs w:val="24"/>
        </w:rPr>
        <w:t xml:space="preserve"> their expected operational lifespan. Ash, scrubber sludge, high- and low-level nuclear waste will not be produced. Spent nuclear fuel will not be created. Approximately </w:t>
      </w:r>
      <w:r w:rsidR="001718D3">
        <w:rPr>
          <w:sz w:val="24"/>
          <w:szCs w:val="24"/>
        </w:rPr>
        <w:t>1</w:t>
      </w:r>
      <w:r w:rsidR="00B80775">
        <w:rPr>
          <w:sz w:val="24"/>
          <w:szCs w:val="24"/>
        </w:rPr>
        <w:t>5</w:t>
      </w:r>
      <w:r w:rsidRPr="00142682">
        <w:rPr>
          <w:sz w:val="24"/>
          <w:szCs w:val="24"/>
        </w:rPr>
        <w:t xml:space="preserve"> acres of land will be used by this BESS project for the facility footprint, interconnection substation and any associated utility tie line(s), which provides adequate space for future augmentation needs.</w:t>
      </w:r>
    </w:p>
    <w:p w14:paraId="418E4AA5" w14:textId="2D94A23F" w:rsidR="00BC5657" w:rsidRPr="00FA73EF" w:rsidRDefault="000C7BBE" w:rsidP="00D4372D">
      <w:pPr>
        <w:pStyle w:val="BalloonText"/>
        <w:spacing w:after="120" w:line="276" w:lineRule="auto"/>
        <w:ind w:left="720" w:firstLine="720"/>
        <w:jc w:val="both"/>
        <w:rPr>
          <w:rFonts w:ascii="Times New Roman" w:hAnsi="Times New Roman" w:cs="Times New Roman"/>
          <w:sz w:val="24"/>
          <w:szCs w:val="24"/>
        </w:rPr>
      </w:pPr>
      <w:r w:rsidRPr="00142682">
        <w:rPr>
          <w:rFonts w:ascii="Times New Roman" w:hAnsi="Times New Roman" w:cs="Times New Roman"/>
          <w:sz w:val="24"/>
          <w:szCs w:val="24"/>
        </w:rPr>
        <w:t>Required federal, state, and local permitting have been evaluated as provided in the EPC agreement, and applicable requirements will be met at the appropriate times to meet all compliance obligation</w:t>
      </w:r>
      <w:r>
        <w:rPr>
          <w:rFonts w:ascii="Times New Roman" w:hAnsi="Times New Roman" w:cs="Times New Roman"/>
          <w:sz w:val="24"/>
          <w:szCs w:val="24"/>
        </w:rPr>
        <w:t>s.</w:t>
      </w:r>
      <w:r w:rsidRPr="00946278" w:rsidDel="00013D05">
        <w:rPr>
          <w:rFonts w:ascii="Times New Roman" w:hAnsi="Times New Roman" w:cs="Times New Roman"/>
          <w:sz w:val="24"/>
          <w:szCs w:val="24"/>
          <w:highlight w:val="green"/>
        </w:rPr>
        <w:t xml:space="preserve"> </w:t>
      </w:r>
    </w:p>
    <w:p w14:paraId="7EC36533" w14:textId="6887D278" w:rsidR="006E71F6" w:rsidRPr="00FA73EF" w:rsidRDefault="006E71F6" w:rsidP="006E71F6">
      <w:pPr>
        <w:pStyle w:val="Heading2"/>
        <w:keepNext/>
        <w:tabs>
          <w:tab w:val="clear" w:pos="7362"/>
          <w:tab w:val="num" w:pos="1440"/>
        </w:tabs>
        <w:spacing w:after="120" w:line="360" w:lineRule="auto"/>
        <w:ind w:left="720" w:firstLine="0"/>
      </w:pPr>
      <w:bookmarkStart w:id="29" w:name="_Toc197703475"/>
      <w:r>
        <w:rPr>
          <w:snapToGrid w:val="0"/>
        </w:rPr>
        <w:t>Lead Time</w:t>
      </w:r>
      <w:bookmarkEnd w:id="29"/>
    </w:p>
    <w:p w14:paraId="0FB8D9F5" w14:textId="1FD5DC6F" w:rsidR="00BC5657" w:rsidRPr="00FA73EF" w:rsidRDefault="007F65EA" w:rsidP="005B4C51">
      <w:pPr>
        <w:pStyle w:val="BalloonText"/>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Lead times for major procurement items and services, including Medi</w:t>
      </w:r>
      <w:r w:rsidR="003F7EEB">
        <w:rPr>
          <w:rFonts w:ascii="Times New Roman" w:hAnsi="Times New Roman" w:cs="Times New Roman"/>
          <w:sz w:val="24"/>
          <w:szCs w:val="24"/>
        </w:rPr>
        <w:t>um Voltage (“MV”)</w:t>
      </w:r>
      <w:r w:rsidR="00EB0A0F">
        <w:rPr>
          <w:rFonts w:ascii="Times New Roman" w:hAnsi="Times New Roman" w:cs="Times New Roman"/>
          <w:sz w:val="24"/>
          <w:szCs w:val="24"/>
        </w:rPr>
        <w:t xml:space="preserve"> </w:t>
      </w:r>
      <w:r w:rsidR="00DA6C1A">
        <w:rPr>
          <w:rFonts w:ascii="Times New Roman" w:hAnsi="Times New Roman" w:cs="Times New Roman"/>
          <w:sz w:val="24"/>
          <w:szCs w:val="24"/>
        </w:rPr>
        <w:t>S</w:t>
      </w:r>
      <w:r w:rsidR="00EB0A0F">
        <w:rPr>
          <w:rFonts w:ascii="Times New Roman" w:hAnsi="Times New Roman" w:cs="Times New Roman"/>
          <w:sz w:val="24"/>
          <w:szCs w:val="24"/>
        </w:rPr>
        <w:t>wit</w:t>
      </w:r>
      <w:r w:rsidR="00EE443A">
        <w:rPr>
          <w:rFonts w:ascii="Times New Roman" w:hAnsi="Times New Roman" w:cs="Times New Roman"/>
          <w:sz w:val="24"/>
          <w:szCs w:val="24"/>
        </w:rPr>
        <w:t>ch</w:t>
      </w:r>
      <w:r w:rsidR="00EB0A0F">
        <w:rPr>
          <w:rFonts w:ascii="Times New Roman" w:hAnsi="Times New Roman" w:cs="Times New Roman"/>
          <w:sz w:val="24"/>
          <w:szCs w:val="24"/>
        </w:rPr>
        <w:t>gear</w:t>
      </w:r>
      <w:r w:rsidR="00911A0D">
        <w:rPr>
          <w:rFonts w:ascii="Times New Roman" w:hAnsi="Times New Roman" w:cs="Times New Roman"/>
          <w:sz w:val="24"/>
          <w:szCs w:val="24"/>
        </w:rPr>
        <w:t>,</w:t>
      </w:r>
      <w:r w:rsidR="00090412">
        <w:rPr>
          <w:rFonts w:ascii="Times New Roman" w:hAnsi="Times New Roman" w:cs="Times New Roman"/>
          <w:sz w:val="24"/>
          <w:szCs w:val="24"/>
        </w:rPr>
        <w:t xml:space="preserve"> site cont</w:t>
      </w:r>
      <w:r w:rsidR="00292F30">
        <w:rPr>
          <w:rFonts w:ascii="Times New Roman" w:hAnsi="Times New Roman" w:cs="Times New Roman"/>
          <w:sz w:val="24"/>
          <w:szCs w:val="24"/>
        </w:rPr>
        <w:t>rol center</w:t>
      </w:r>
      <w:r w:rsidR="00C47C1F">
        <w:rPr>
          <w:rFonts w:ascii="Times New Roman" w:hAnsi="Times New Roman" w:cs="Times New Roman"/>
          <w:sz w:val="24"/>
          <w:szCs w:val="24"/>
        </w:rPr>
        <w:t xml:space="preserve">, </w:t>
      </w:r>
      <w:r w:rsidR="001E6B6F">
        <w:rPr>
          <w:rFonts w:ascii="Times New Roman" w:hAnsi="Times New Roman" w:cs="Times New Roman"/>
          <w:sz w:val="24"/>
          <w:szCs w:val="24"/>
        </w:rPr>
        <w:t xml:space="preserve">Crowder </w:t>
      </w:r>
      <w:r w:rsidR="001D2DCC">
        <w:rPr>
          <w:rFonts w:ascii="Times New Roman" w:hAnsi="Times New Roman" w:cs="Times New Roman"/>
          <w:sz w:val="24"/>
          <w:szCs w:val="24"/>
        </w:rPr>
        <w:t>transform</w:t>
      </w:r>
      <w:r w:rsidR="00232FCF">
        <w:rPr>
          <w:rFonts w:ascii="Times New Roman" w:hAnsi="Times New Roman" w:cs="Times New Roman"/>
          <w:sz w:val="24"/>
          <w:szCs w:val="24"/>
        </w:rPr>
        <w:t>er</w:t>
      </w:r>
      <w:r w:rsidR="00D24D11" w:rsidRPr="00B077DC">
        <w:rPr>
          <w:rFonts w:ascii="Times New Roman" w:hAnsi="Times New Roman" w:cs="Times New Roman"/>
          <w:sz w:val="24"/>
          <w:szCs w:val="24"/>
        </w:rPr>
        <w:t>,</w:t>
      </w:r>
      <w:r w:rsidR="00B404A7">
        <w:rPr>
          <w:rFonts w:ascii="Times New Roman" w:hAnsi="Times New Roman" w:cs="Times New Roman"/>
          <w:sz w:val="24"/>
          <w:szCs w:val="24"/>
        </w:rPr>
        <w:t xml:space="preserve"> and </w:t>
      </w:r>
      <w:r w:rsidR="00F14067">
        <w:rPr>
          <w:rFonts w:ascii="Times New Roman" w:hAnsi="Times New Roman" w:cs="Times New Roman"/>
          <w:sz w:val="24"/>
          <w:szCs w:val="24"/>
        </w:rPr>
        <w:t>substation equipment</w:t>
      </w:r>
      <w:r w:rsidR="00D24D11" w:rsidRPr="00B077DC">
        <w:rPr>
          <w:rFonts w:ascii="Times New Roman" w:hAnsi="Times New Roman" w:cs="Times New Roman"/>
          <w:sz w:val="24"/>
          <w:szCs w:val="24"/>
        </w:rPr>
        <w:t xml:space="preserve">, the BESS, engineering, and geotechnical work, are detailed in “Attachment </w:t>
      </w:r>
      <w:r w:rsidR="0059679E">
        <w:rPr>
          <w:rFonts w:ascii="Times New Roman" w:hAnsi="Times New Roman" w:cs="Times New Roman"/>
          <w:sz w:val="24"/>
          <w:szCs w:val="24"/>
        </w:rPr>
        <w:t>C</w:t>
      </w:r>
      <w:r w:rsidR="00D24D11" w:rsidRPr="00B077DC">
        <w:rPr>
          <w:rFonts w:ascii="Times New Roman" w:hAnsi="Times New Roman" w:cs="Times New Roman"/>
          <w:sz w:val="24"/>
          <w:szCs w:val="24"/>
        </w:rPr>
        <w:t xml:space="preserve"> – Twiggs County BESS Activities and Critical Path Schedule</w:t>
      </w:r>
      <w:r w:rsidR="0059679E">
        <w:rPr>
          <w:rFonts w:ascii="Times New Roman" w:hAnsi="Times New Roman" w:cs="Times New Roman"/>
          <w:sz w:val="24"/>
          <w:szCs w:val="24"/>
        </w:rPr>
        <w:t xml:space="preserve"> TRADE SECRET</w:t>
      </w:r>
      <w:r w:rsidR="00AF686B">
        <w:rPr>
          <w:rFonts w:ascii="Times New Roman" w:hAnsi="Times New Roman" w:cs="Times New Roman"/>
          <w:sz w:val="24"/>
          <w:szCs w:val="24"/>
        </w:rPr>
        <w:t>.</w:t>
      </w:r>
      <w:r w:rsidR="00D24D11" w:rsidRPr="00B077DC">
        <w:rPr>
          <w:rFonts w:ascii="Times New Roman" w:hAnsi="Times New Roman" w:cs="Times New Roman"/>
          <w:sz w:val="24"/>
          <w:szCs w:val="24"/>
        </w:rPr>
        <w:t>”</w:t>
      </w:r>
    </w:p>
    <w:p w14:paraId="22EAFC10" w14:textId="720CFF12" w:rsidR="006E71F6" w:rsidRPr="00FA73EF" w:rsidRDefault="006E71F6" w:rsidP="006E71F6">
      <w:pPr>
        <w:pStyle w:val="Heading2"/>
        <w:keepNext/>
        <w:tabs>
          <w:tab w:val="clear" w:pos="7362"/>
          <w:tab w:val="num" w:pos="1440"/>
        </w:tabs>
        <w:spacing w:after="120" w:line="360" w:lineRule="auto"/>
        <w:ind w:left="720" w:firstLine="0"/>
      </w:pPr>
      <w:bookmarkStart w:id="30" w:name="_Toc197703476"/>
      <w:r>
        <w:rPr>
          <w:snapToGrid w:val="0"/>
        </w:rPr>
        <w:t>Potential Socioeconomic Impacts</w:t>
      </w:r>
      <w:bookmarkEnd w:id="30"/>
    </w:p>
    <w:p w14:paraId="2BD4BF4A" w14:textId="1188B480" w:rsidR="006E71F6" w:rsidRDefault="00CD6D5A" w:rsidP="00AD04EB">
      <w:pPr>
        <w:pStyle w:val="BalloonText"/>
        <w:spacing w:line="276" w:lineRule="auto"/>
        <w:ind w:left="720" w:firstLine="720"/>
        <w:jc w:val="both"/>
        <w:rPr>
          <w:rFonts w:ascii="Times New Roman" w:hAnsi="Times New Roman" w:cs="Times New Roman"/>
          <w:sz w:val="24"/>
          <w:szCs w:val="24"/>
        </w:rPr>
      </w:pPr>
      <w:r w:rsidRPr="006677EB">
        <w:rPr>
          <w:rFonts w:ascii="Times New Roman" w:eastAsiaTheme="minorEastAsia" w:hAnsi="Times New Roman" w:cs="Times New Roman"/>
          <w:sz w:val="24"/>
          <w:szCs w:val="24"/>
        </w:rPr>
        <w:t xml:space="preserve">Twiggs County BESS will provide additional electric service reliability to </w:t>
      </w:r>
      <w:r w:rsidR="0030723B" w:rsidRPr="006B5E48">
        <w:rPr>
          <w:rFonts w:ascii="Times New Roman" w:hAnsi="Times New Roman" w:cs="Times New Roman"/>
          <w:sz w:val="24"/>
          <w:szCs w:val="24"/>
        </w:rPr>
        <w:t>Georgia and p</w:t>
      </w:r>
      <w:r w:rsidR="00086601" w:rsidRPr="006B5E48">
        <w:rPr>
          <w:rFonts w:ascii="Times New Roman" w:hAnsi="Times New Roman" w:cs="Times New Roman"/>
          <w:sz w:val="24"/>
          <w:szCs w:val="24"/>
        </w:rPr>
        <w:t xml:space="preserve">romote </w:t>
      </w:r>
      <w:r w:rsidR="00821D6F" w:rsidRPr="006B5E48">
        <w:rPr>
          <w:rFonts w:ascii="Times New Roman" w:hAnsi="Times New Roman" w:cs="Times New Roman"/>
          <w:sz w:val="24"/>
          <w:szCs w:val="24"/>
        </w:rPr>
        <w:t xml:space="preserve">additional regional </w:t>
      </w:r>
      <w:r w:rsidR="00130CD3" w:rsidRPr="006B5E48">
        <w:rPr>
          <w:rFonts w:ascii="Times New Roman" w:hAnsi="Times New Roman" w:cs="Times New Roman"/>
          <w:sz w:val="24"/>
          <w:szCs w:val="24"/>
        </w:rPr>
        <w:t>economic growth and long-term tax ba</w:t>
      </w:r>
      <w:r w:rsidR="00821D6F" w:rsidRPr="006B5E48">
        <w:rPr>
          <w:rFonts w:ascii="Times New Roman" w:hAnsi="Times New Roman" w:cs="Times New Roman"/>
          <w:sz w:val="24"/>
          <w:szCs w:val="24"/>
        </w:rPr>
        <w:t>se</w:t>
      </w:r>
      <w:r w:rsidRPr="006677EB">
        <w:rPr>
          <w:rFonts w:ascii="Times New Roman" w:eastAsiaTheme="minorEastAsia" w:hAnsi="Times New Roman" w:cs="Times New Roman"/>
          <w:sz w:val="24"/>
          <w:szCs w:val="24"/>
        </w:rPr>
        <w:t xml:space="preserve">. In addition, and as discussed previously in this </w:t>
      </w:r>
      <w:r w:rsidR="00821D6F" w:rsidRPr="006B5E48">
        <w:rPr>
          <w:rFonts w:ascii="Times New Roman" w:hAnsi="Times New Roman" w:cs="Times New Roman"/>
          <w:sz w:val="24"/>
          <w:szCs w:val="24"/>
        </w:rPr>
        <w:t>a</w:t>
      </w:r>
      <w:r w:rsidRPr="006677EB">
        <w:rPr>
          <w:rFonts w:ascii="Times New Roman" w:eastAsiaTheme="minorEastAsia" w:hAnsi="Times New Roman" w:cs="Times New Roman"/>
          <w:sz w:val="24"/>
          <w:szCs w:val="24"/>
        </w:rPr>
        <w:t>pplication, Twiggs County BESS will support the extraordinary economic growth occurring throughout Georgia. Supporting Georgia’s growth will have both near-term and long-term positive economic impacts on the entire state’s economy and will benefit all Georgia Power customers</w:t>
      </w:r>
      <w:r w:rsidRPr="006677EB">
        <w:rPr>
          <w:rStyle w:val="normaltextrun"/>
          <w:rFonts w:ascii="Times New Roman" w:eastAsiaTheme="minorEastAsia" w:hAnsi="Times New Roman" w:cs="Times New Roman"/>
          <w:sz w:val="24"/>
          <w:szCs w:val="24"/>
        </w:rPr>
        <w:t>.</w:t>
      </w:r>
    </w:p>
    <w:p w14:paraId="40763830" w14:textId="624A54EA" w:rsidR="006E71F6" w:rsidRPr="00FA73EF" w:rsidRDefault="006E71F6" w:rsidP="006E71F6">
      <w:pPr>
        <w:pStyle w:val="Heading2"/>
        <w:keepNext/>
        <w:tabs>
          <w:tab w:val="clear" w:pos="7362"/>
          <w:tab w:val="num" w:pos="1440"/>
        </w:tabs>
        <w:spacing w:after="120" w:line="360" w:lineRule="auto"/>
        <w:ind w:left="720" w:firstLine="0"/>
      </w:pPr>
      <w:bookmarkStart w:id="31" w:name="_Toc197703477"/>
      <w:r>
        <w:rPr>
          <w:snapToGrid w:val="0"/>
        </w:rPr>
        <w:t>Special Design Feature</w:t>
      </w:r>
      <w:bookmarkEnd w:id="31"/>
    </w:p>
    <w:p w14:paraId="6CFB56B9" w14:textId="4F3B6FB5" w:rsidR="00BC5657" w:rsidRDefault="007C5DDB" w:rsidP="00AD04EB">
      <w:pPr>
        <w:pStyle w:val="BalloonText"/>
        <w:spacing w:line="276" w:lineRule="auto"/>
        <w:ind w:left="720" w:firstLine="720"/>
        <w:jc w:val="both"/>
        <w:rPr>
          <w:rStyle w:val="normaltextrun"/>
          <w:rFonts w:ascii="Times New Roman" w:eastAsiaTheme="minorEastAsia" w:hAnsi="Times New Roman" w:cs="Times New Roman"/>
          <w:sz w:val="24"/>
          <w:szCs w:val="24"/>
        </w:rPr>
      </w:pPr>
      <w:r w:rsidRPr="006F2F84">
        <w:rPr>
          <w:rFonts w:ascii="Times New Roman" w:eastAsiaTheme="minorEastAsia" w:hAnsi="Times New Roman" w:cs="Times New Roman"/>
          <w:sz w:val="24"/>
          <w:szCs w:val="24"/>
        </w:rPr>
        <w:t xml:space="preserve">The proposed project will utilize the Tesla Megapack 2 XL, which is a battery storage unit capable of charging and discharging real power and injecting and absorbing reactive power. The system is unique compared to other available BESS in the market </w:t>
      </w:r>
      <w:r w:rsidRPr="006F2F84">
        <w:rPr>
          <w:rFonts w:ascii="Times New Roman" w:eastAsiaTheme="minorEastAsia" w:hAnsi="Times New Roman" w:cs="Times New Roman"/>
          <w:sz w:val="24"/>
          <w:szCs w:val="24"/>
        </w:rPr>
        <w:lastRenderedPageBreak/>
        <w:t xml:space="preserve">because it arrives at site fully integrated and capable of outputting 480V alternating current (“AC”) power. This integration greatly reduces commissioning timelines and allows the Megapack 2 XL thermal system to operate prior to </w:t>
      </w:r>
      <w:proofErr w:type="spellStart"/>
      <w:r w:rsidRPr="006F2F84">
        <w:rPr>
          <w:rFonts w:ascii="Times New Roman" w:eastAsiaTheme="minorEastAsia" w:hAnsi="Times New Roman" w:cs="Times New Roman"/>
          <w:sz w:val="24"/>
          <w:szCs w:val="24"/>
        </w:rPr>
        <w:t>backfeed</w:t>
      </w:r>
      <w:proofErr w:type="spellEnd"/>
      <w:r w:rsidRPr="006F2F84">
        <w:rPr>
          <w:rFonts w:ascii="Times New Roman" w:eastAsiaTheme="minorEastAsia" w:hAnsi="Times New Roman" w:cs="Times New Roman"/>
          <w:sz w:val="24"/>
          <w:szCs w:val="24"/>
        </w:rPr>
        <w:t xml:space="preserve"> being available at the site. The Megapack 2 XL features a modular design for increased energy density and includes multiple inverters per container, making the loss of one inverter negligible to the system’s overall performance. Each 4-hour container possesses a storage capacity of over 3,900 kWh</w:t>
      </w:r>
      <w:r w:rsidRPr="006F2F84">
        <w:rPr>
          <w:rStyle w:val="normaltextrun"/>
          <w:rFonts w:ascii="Times New Roman" w:eastAsiaTheme="minorEastAsia" w:hAnsi="Times New Roman" w:cs="Times New Roman"/>
          <w:sz w:val="24"/>
          <w:szCs w:val="24"/>
        </w:rPr>
        <w:t>.</w:t>
      </w:r>
    </w:p>
    <w:p w14:paraId="47294515" w14:textId="77777777" w:rsidR="00B506A1" w:rsidRPr="00FA73EF" w:rsidRDefault="00B506A1" w:rsidP="00AD04EB">
      <w:pPr>
        <w:pStyle w:val="BalloonText"/>
        <w:spacing w:line="276" w:lineRule="auto"/>
        <w:ind w:left="720" w:firstLine="720"/>
        <w:jc w:val="both"/>
        <w:rPr>
          <w:rFonts w:ascii="Times New Roman" w:hAnsi="Times New Roman" w:cs="Times New Roman"/>
          <w:sz w:val="24"/>
          <w:szCs w:val="24"/>
        </w:rPr>
      </w:pPr>
    </w:p>
    <w:p w14:paraId="58A88DF1" w14:textId="2E5CDE32" w:rsidR="006E71F6" w:rsidRPr="00FA73EF" w:rsidRDefault="006E71F6" w:rsidP="00725BC5">
      <w:pPr>
        <w:pStyle w:val="Heading2"/>
        <w:keepNext/>
        <w:tabs>
          <w:tab w:val="clear" w:pos="7362"/>
          <w:tab w:val="num" w:pos="1440"/>
        </w:tabs>
        <w:spacing w:after="120" w:line="360" w:lineRule="auto"/>
        <w:ind w:left="720" w:firstLine="0"/>
      </w:pPr>
      <w:bookmarkStart w:id="32" w:name="_Toc197703478"/>
      <w:r>
        <w:rPr>
          <w:snapToGrid w:val="0"/>
        </w:rPr>
        <w:t>Total Cost Estimate</w:t>
      </w:r>
      <w:bookmarkEnd w:id="32"/>
    </w:p>
    <w:p w14:paraId="594E8BCA" w14:textId="12303EBC" w:rsidR="008E14CB" w:rsidRDefault="008E14CB" w:rsidP="00AD04EB">
      <w:pPr>
        <w:spacing w:line="276" w:lineRule="auto"/>
        <w:ind w:left="720" w:firstLine="720"/>
        <w:jc w:val="both"/>
        <w:rPr>
          <w:sz w:val="24"/>
          <w:szCs w:val="24"/>
        </w:rPr>
      </w:pPr>
      <w:r w:rsidRPr="006F2F84">
        <w:rPr>
          <w:sz w:val="24"/>
          <w:szCs w:val="24"/>
        </w:rPr>
        <w:t xml:space="preserve">The development of Twiggs County BESS is estimated to cost approximately </w:t>
      </w:r>
      <w:r w:rsidR="00E76A9B" w:rsidRPr="00681440">
        <w:t>REDACTED</w:t>
      </w:r>
      <w:r w:rsidRPr="006F2F84">
        <w:rPr>
          <w:sz w:val="24"/>
          <w:szCs w:val="24"/>
        </w:rPr>
        <w:t xml:space="preserve">, which is the total of the engineering, construction, oversight, and associated procurement cost of </w:t>
      </w:r>
      <w:r w:rsidR="00E76A9B" w:rsidRPr="00681440">
        <w:t>REDACTED</w:t>
      </w:r>
      <w:r w:rsidRPr="006F2F84">
        <w:rPr>
          <w:sz w:val="24"/>
          <w:szCs w:val="24"/>
        </w:rPr>
        <w:t xml:space="preserve">, financing cost of </w:t>
      </w:r>
      <w:r w:rsidR="00E76A9B" w:rsidRPr="00681440">
        <w:t>REDACTED</w:t>
      </w:r>
      <w:r w:rsidRPr="006F2F84">
        <w:rPr>
          <w:sz w:val="24"/>
          <w:szCs w:val="24"/>
        </w:rPr>
        <w:t xml:space="preserve">, and ad valorem taxes of </w:t>
      </w:r>
      <w:r w:rsidR="00E76A9B" w:rsidRPr="00681440">
        <w:t>REDACTED</w:t>
      </w:r>
      <w:r w:rsidR="00B17319">
        <w:rPr>
          <w:sz w:val="24"/>
          <w:szCs w:val="24"/>
        </w:rPr>
        <w:t>.</w:t>
      </w:r>
      <w:r w:rsidRPr="006F2F84">
        <w:rPr>
          <w:sz w:val="24"/>
          <w:szCs w:val="24"/>
        </w:rPr>
        <w:t xml:space="preserve"> Further detail on each of these components is provided in the subsections below.</w:t>
      </w:r>
      <w:bookmarkStart w:id="33" w:name="_Toc157598137"/>
    </w:p>
    <w:p w14:paraId="3555AABC" w14:textId="77777777" w:rsidR="00C70A49" w:rsidRPr="005A3089" w:rsidRDefault="008E14CB" w:rsidP="006F2F84">
      <w:pPr>
        <w:pStyle w:val="Heading3"/>
        <w:keepLines/>
        <w:numPr>
          <w:ilvl w:val="0"/>
          <w:numId w:val="0"/>
        </w:numPr>
        <w:spacing w:line="240" w:lineRule="auto"/>
        <w:ind w:left="720"/>
        <w:rPr>
          <w:rFonts w:eastAsiaTheme="minorEastAsia"/>
          <w:b/>
          <w:bCs/>
          <w:sz w:val="22"/>
          <w:szCs w:val="18"/>
        </w:rPr>
      </w:pPr>
      <w:r w:rsidRPr="005A3089">
        <w:rPr>
          <w:b/>
          <w:bCs/>
          <w:sz w:val="22"/>
          <w:szCs w:val="18"/>
        </w:rPr>
        <w:t>Cost Expenditure Plan</w:t>
      </w:r>
      <w:bookmarkEnd w:id="33"/>
    </w:p>
    <w:p w14:paraId="3283CCC8" w14:textId="77777777" w:rsidR="008E14CB" w:rsidRPr="00C70A49" w:rsidRDefault="008E14CB" w:rsidP="005B4C51">
      <w:pPr>
        <w:spacing w:line="276" w:lineRule="auto"/>
        <w:ind w:left="720" w:firstLine="720"/>
        <w:jc w:val="both"/>
        <w:rPr>
          <w:rStyle w:val="normaltextrun"/>
          <w:rFonts w:eastAsiaTheme="minorEastAsia"/>
          <w:i/>
        </w:rPr>
      </w:pPr>
      <w:r w:rsidRPr="005B4C51">
        <w:rPr>
          <w:sz w:val="24"/>
          <w:szCs w:val="24"/>
        </w:rPr>
        <w:t>Costs shown are in thousands of nominal dollars</w:t>
      </w:r>
      <w:r w:rsidRPr="005B4C51">
        <w:rPr>
          <w:rFonts w:eastAsiaTheme="minorEastAsia"/>
          <w:szCs w:val="24"/>
        </w:rPr>
        <w:t>.</w:t>
      </w:r>
    </w:p>
    <w:p w14:paraId="0553F05F" w14:textId="4AF9AEB0" w:rsidR="008E14CB" w:rsidRPr="006B77D9" w:rsidRDefault="008E14CB" w:rsidP="004F6295">
      <w:pPr>
        <w:pStyle w:val="Caption"/>
        <w:rPr>
          <w:rFonts w:ascii="Times New Roman" w:hAnsi="Times New Roman"/>
        </w:rPr>
      </w:pPr>
      <w:r w:rsidRPr="006B77D9">
        <w:rPr>
          <w:rFonts w:ascii="Times New Roman" w:hAnsi="Times New Roman"/>
        </w:rPr>
        <w:t xml:space="preserve">Figure </w:t>
      </w:r>
      <w:r w:rsidR="008F6948">
        <w:rPr>
          <w:rFonts w:ascii="Times New Roman" w:hAnsi="Times New Roman"/>
        </w:rPr>
        <w:t>4.</w:t>
      </w:r>
      <w:r w:rsidR="00F3142D">
        <w:rPr>
          <w:rFonts w:ascii="Times New Roman" w:hAnsi="Times New Roman"/>
        </w:rPr>
        <w:t>16</w:t>
      </w:r>
      <w:r w:rsidRPr="006B77D9">
        <w:rPr>
          <w:rFonts w:ascii="Times New Roman" w:hAnsi="Times New Roman"/>
        </w:rPr>
        <w:t xml:space="preserve"> – Twiggs County BESS Cost Expenditure Plan</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440"/>
        <w:gridCol w:w="1440"/>
        <w:gridCol w:w="1440"/>
        <w:gridCol w:w="1440"/>
      </w:tblGrid>
      <w:tr w:rsidR="0097500A" w:rsidRPr="006B77D9" w14:paraId="389DB184" w14:textId="77777777" w:rsidTr="00C61B22">
        <w:trPr>
          <w:trHeight w:val="302"/>
          <w:jc w:val="center"/>
        </w:trPr>
        <w:tc>
          <w:tcPr>
            <w:tcW w:w="3134" w:type="dxa"/>
            <w:vAlign w:val="bottom"/>
          </w:tcPr>
          <w:p w14:paraId="00392C94" w14:textId="321BDB10" w:rsidR="0097500A" w:rsidRPr="006B77D9" w:rsidRDefault="0097500A" w:rsidP="0094106C">
            <w:pPr>
              <w:rPr>
                <w:rFonts w:eastAsia="Calibri"/>
                <w:b/>
                <w:color w:val="000000" w:themeColor="text1"/>
              </w:rPr>
            </w:pPr>
            <w:r w:rsidRPr="006B77D9">
              <w:rPr>
                <w:rFonts w:eastAsia="Calibri"/>
                <w:b/>
                <w:color w:val="000000" w:themeColor="text1"/>
              </w:rPr>
              <w:t>Category</w:t>
            </w:r>
          </w:p>
        </w:tc>
        <w:tc>
          <w:tcPr>
            <w:tcW w:w="1440" w:type="dxa"/>
            <w:vAlign w:val="center"/>
          </w:tcPr>
          <w:p w14:paraId="2C6FE8DB" w14:textId="0069A716" w:rsidR="0097500A" w:rsidRPr="006B77D9" w:rsidRDefault="0097500A" w:rsidP="0097500A">
            <w:pPr>
              <w:jc w:val="center"/>
              <w:rPr>
                <w:rFonts w:eastAsia="Calibri"/>
                <w:b/>
                <w:color w:val="000000" w:themeColor="text1"/>
              </w:rPr>
            </w:pPr>
            <w:r w:rsidRPr="006B77D9">
              <w:rPr>
                <w:rFonts w:eastAsia="Calibri"/>
                <w:b/>
                <w:color w:val="000000" w:themeColor="text1"/>
              </w:rPr>
              <w:t>2025</w:t>
            </w:r>
          </w:p>
        </w:tc>
        <w:tc>
          <w:tcPr>
            <w:tcW w:w="1440" w:type="dxa"/>
            <w:vAlign w:val="center"/>
          </w:tcPr>
          <w:p w14:paraId="5C44F126" w14:textId="3B0D7A85" w:rsidR="0097500A" w:rsidRPr="006B77D9" w:rsidRDefault="0097500A" w:rsidP="0097500A">
            <w:pPr>
              <w:jc w:val="center"/>
              <w:rPr>
                <w:rFonts w:eastAsia="Calibri"/>
                <w:b/>
                <w:color w:val="000000" w:themeColor="text1"/>
              </w:rPr>
            </w:pPr>
            <w:r w:rsidRPr="006B77D9">
              <w:rPr>
                <w:rFonts w:eastAsia="Calibri"/>
                <w:b/>
                <w:color w:val="000000" w:themeColor="text1"/>
              </w:rPr>
              <w:t>2026</w:t>
            </w:r>
          </w:p>
        </w:tc>
        <w:tc>
          <w:tcPr>
            <w:tcW w:w="1440" w:type="dxa"/>
            <w:vAlign w:val="center"/>
          </w:tcPr>
          <w:p w14:paraId="5BE433FE" w14:textId="7806138A" w:rsidR="0097500A" w:rsidRPr="006B77D9" w:rsidRDefault="0097500A" w:rsidP="0097500A">
            <w:pPr>
              <w:jc w:val="center"/>
              <w:rPr>
                <w:rFonts w:eastAsia="Calibri"/>
                <w:b/>
                <w:color w:val="000000" w:themeColor="text1"/>
              </w:rPr>
            </w:pPr>
            <w:r w:rsidRPr="006B77D9">
              <w:rPr>
                <w:rFonts w:eastAsia="Calibri"/>
                <w:b/>
                <w:color w:val="000000" w:themeColor="text1"/>
              </w:rPr>
              <w:t>202</w:t>
            </w:r>
            <w:r>
              <w:rPr>
                <w:rFonts w:eastAsia="Calibri"/>
                <w:b/>
                <w:color w:val="000000" w:themeColor="text1"/>
              </w:rPr>
              <w:t>7</w:t>
            </w:r>
          </w:p>
        </w:tc>
        <w:tc>
          <w:tcPr>
            <w:tcW w:w="1440" w:type="dxa"/>
            <w:vAlign w:val="center"/>
          </w:tcPr>
          <w:p w14:paraId="5CAB7468" w14:textId="4C476A76" w:rsidR="0097500A" w:rsidRPr="006B77D9" w:rsidRDefault="0097500A" w:rsidP="0097500A">
            <w:pPr>
              <w:jc w:val="center"/>
              <w:rPr>
                <w:rFonts w:eastAsia="Calibri"/>
                <w:b/>
                <w:color w:val="000000" w:themeColor="text1"/>
              </w:rPr>
            </w:pPr>
            <w:r w:rsidRPr="006B77D9">
              <w:rPr>
                <w:rFonts w:eastAsia="Calibri"/>
                <w:b/>
                <w:color w:val="000000" w:themeColor="text1"/>
              </w:rPr>
              <w:t>Total</w:t>
            </w:r>
          </w:p>
        </w:tc>
      </w:tr>
      <w:tr w:rsidR="00125877" w:rsidRPr="006B77D9" w14:paraId="4A684ACC" w14:textId="77777777" w:rsidTr="007A6867">
        <w:trPr>
          <w:trHeight w:val="302"/>
          <w:jc w:val="center"/>
        </w:trPr>
        <w:tc>
          <w:tcPr>
            <w:tcW w:w="3134" w:type="dxa"/>
            <w:shd w:val="clear" w:color="auto" w:fill="FFFFFF" w:themeFill="background1"/>
            <w:vAlign w:val="bottom"/>
          </w:tcPr>
          <w:p w14:paraId="66C2615E" w14:textId="19CF7D0C" w:rsidR="00125877" w:rsidRPr="006B77D9" w:rsidRDefault="00125877" w:rsidP="00125877">
            <w:pPr>
              <w:rPr>
                <w:rFonts w:eastAsia="Calibri"/>
                <w:color w:val="000000" w:themeColor="text1"/>
              </w:rPr>
            </w:pPr>
            <w:r>
              <w:rPr>
                <w:rFonts w:eastAsia="Calibri"/>
                <w:color w:val="000000" w:themeColor="text1"/>
              </w:rPr>
              <w:t>Land Purchase &amp; Sale Agreement</w:t>
            </w:r>
          </w:p>
        </w:tc>
        <w:tc>
          <w:tcPr>
            <w:tcW w:w="1440" w:type="dxa"/>
          </w:tcPr>
          <w:p w14:paraId="4A1E37A1" w14:textId="324AFD45" w:rsidR="00125877" w:rsidRPr="006B77D9" w:rsidRDefault="00125877" w:rsidP="00125877">
            <w:pPr>
              <w:jc w:val="center"/>
              <w:rPr>
                <w:highlight w:val="yellow"/>
              </w:rPr>
            </w:pPr>
            <w:r w:rsidRPr="00AB1C98">
              <w:t>REDACTED</w:t>
            </w:r>
          </w:p>
        </w:tc>
        <w:tc>
          <w:tcPr>
            <w:tcW w:w="1440" w:type="dxa"/>
          </w:tcPr>
          <w:p w14:paraId="0448E539" w14:textId="580621F8" w:rsidR="00125877" w:rsidRPr="006B77D9" w:rsidRDefault="00125877" w:rsidP="00125877">
            <w:pPr>
              <w:jc w:val="center"/>
              <w:rPr>
                <w:highlight w:val="yellow"/>
              </w:rPr>
            </w:pPr>
            <w:r w:rsidRPr="00AB1C98">
              <w:t>REDACTED</w:t>
            </w:r>
          </w:p>
        </w:tc>
        <w:tc>
          <w:tcPr>
            <w:tcW w:w="1440" w:type="dxa"/>
          </w:tcPr>
          <w:p w14:paraId="7B8E64FD" w14:textId="070BBFD4" w:rsidR="00125877" w:rsidRPr="006B77D9" w:rsidRDefault="00125877" w:rsidP="00125877">
            <w:pPr>
              <w:jc w:val="center"/>
              <w:rPr>
                <w:highlight w:val="yellow"/>
              </w:rPr>
            </w:pPr>
            <w:r w:rsidRPr="00AB1C98">
              <w:t>REDACTED</w:t>
            </w:r>
          </w:p>
        </w:tc>
        <w:tc>
          <w:tcPr>
            <w:tcW w:w="1440" w:type="dxa"/>
          </w:tcPr>
          <w:p w14:paraId="20C54156" w14:textId="3CA8513C" w:rsidR="00125877" w:rsidRPr="006B77D9" w:rsidRDefault="00125877" w:rsidP="00125877">
            <w:pPr>
              <w:jc w:val="center"/>
              <w:rPr>
                <w:highlight w:val="yellow"/>
              </w:rPr>
            </w:pPr>
            <w:r w:rsidRPr="00AB1C98">
              <w:t>REDACTED</w:t>
            </w:r>
          </w:p>
        </w:tc>
      </w:tr>
      <w:tr w:rsidR="00125877" w:rsidRPr="006B77D9" w14:paraId="761A2066" w14:textId="77777777" w:rsidTr="007A6867">
        <w:trPr>
          <w:trHeight w:val="302"/>
          <w:jc w:val="center"/>
        </w:trPr>
        <w:tc>
          <w:tcPr>
            <w:tcW w:w="3134" w:type="dxa"/>
            <w:shd w:val="clear" w:color="auto" w:fill="FFFFFF" w:themeFill="background1"/>
            <w:vAlign w:val="bottom"/>
          </w:tcPr>
          <w:p w14:paraId="14AFF8D6" w14:textId="6ACC12B9" w:rsidR="00125877" w:rsidRPr="006B77D9" w:rsidRDefault="00125877" w:rsidP="00125877">
            <w:pPr>
              <w:rPr>
                <w:rFonts w:eastAsia="Calibri"/>
                <w:color w:val="000000" w:themeColor="text1"/>
              </w:rPr>
            </w:pPr>
            <w:r w:rsidRPr="006B77D9">
              <w:rPr>
                <w:rFonts w:eastAsia="Calibri"/>
                <w:color w:val="000000" w:themeColor="text1"/>
              </w:rPr>
              <w:t>Planning</w:t>
            </w:r>
          </w:p>
        </w:tc>
        <w:tc>
          <w:tcPr>
            <w:tcW w:w="1440" w:type="dxa"/>
          </w:tcPr>
          <w:p w14:paraId="3DE9E217" w14:textId="7D7D2C72" w:rsidR="00125877" w:rsidRPr="006B77D9" w:rsidRDefault="00125877" w:rsidP="00125877">
            <w:pPr>
              <w:jc w:val="center"/>
              <w:rPr>
                <w:rFonts w:eastAsia="Calibri"/>
                <w:color w:val="000000" w:themeColor="text1"/>
                <w:highlight w:val="yellow"/>
              </w:rPr>
            </w:pPr>
            <w:r w:rsidRPr="00AB1C98">
              <w:t>REDACTED</w:t>
            </w:r>
          </w:p>
        </w:tc>
        <w:tc>
          <w:tcPr>
            <w:tcW w:w="1440" w:type="dxa"/>
          </w:tcPr>
          <w:p w14:paraId="5093569C" w14:textId="2BE657E5" w:rsidR="00125877" w:rsidRPr="006B77D9" w:rsidRDefault="00125877" w:rsidP="00125877">
            <w:pPr>
              <w:jc w:val="center"/>
              <w:rPr>
                <w:rFonts w:eastAsia="Calibri"/>
                <w:color w:val="000000" w:themeColor="text1"/>
                <w:highlight w:val="yellow"/>
              </w:rPr>
            </w:pPr>
            <w:r w:rsidRPr="00AB1C98">
              <w:t>REDACTED</w:t>
            </w:r>
          </w:p>
        </w:tc>
        <w:tc>
          <w:tcPr>
            <w:tcW w:w="1440" w:type="dxa"/>
          </w:tcPr>
          <w:p w14:paraId="3F6E78BC" w14:textId="47E35300" w:rsidR="00125877" w:rsidRPr="006B77D9" w:rsidRDefault="00125877" w:rsidP="00125877">
            <w:pPr>
              <w:jc w:val="center"/>
              <w:rPr>
                <w:rFonts w:eastAsia="Calibri"/>
                <w:color w:val="000000" w:themeColor="text1"/>
                <w:highlight w:val="yellow"/>
              </w:rPr>
            </w:pPr>
            <w:r w:rsidRPr="00AB1C98">
              <w:t>REDACTED</w:t>
            </w:r>
          </w:p>
        </w:tc>
        <w:tc>
          <w:tcPr>
            <w:tcW w:w="1440" w:type="dxa"/>
          </w:tcPr>
          <w:p w14:paraId="0C1AAAE1" w14:textId="7FD99694" w:rsidR="00125877" w:rsidRPr="006B77D9" w:rsidRDefault="00125877" w:rsidP="00125877">
            <w:pPr>
              <w:jc w:val="center"/>
              <w:rPr>
                <w:rFonts w:eastAsia="Calibri"/>
                <w:color w:val="000000" w:themeColor="text1"/>
                <w:highlight w:val="yellow"/>
              </w:rPr>
            </w:pPr>
            <w:r w:rsidRPr="00AB1C98">
              <w:t>REDACTED</w:t>
            </w:r>
          </w:p>
        </w:tc>
      </w:tr>
      <w:tr w:rsidR="00125877" w:rsidRPr="006B77D9" w14:paraId="1A759F93" w14:textId="77777777" w:rsidTr="007A6867">
        <w:trPr>
          <w:trHeight w:val="302"/>
          <w:jc w:val="center"/>
        </w:trPr>
        <w:tc>
          <w:tcPr>
            <w:tcW w:w="3134" w:type="dxa"/>
            <w:vAlign w:val="bottom"/>
          </w:tcPr>
          <w:p w14:paraId="6359DEC4" w14:textId="31F7333A" w:rsidR="00125877" w:rsidRPr="006B77D9" w:rsidRDefault="00125877" w:rsidP="00125877">
            <w:pPr>
              <w:rPr>
                <w:rFonts w:eastAsia="Calibri"/>
                <w:color w:val="000000" w:themeColor="text1"/>
              </w:rPr>
            </w:pPr>
            <w:r w:rsidRPr="006B77D9">
              <w:rPr>
                <w:rFonts w:eastAsia="Calibri"/>
                <w:color w:val="000000" w:themeColor="text1"/>
              </w:rPr>
              <w:t>Licensing</w:t>
            </w:r>
          </w:p>
        </w:tc>
        <w:tc>
          <w:tcPr>
            <w:tcW w:w="1440" w:type="dxa"/>
          </w:tcPr>
          <w:p w14:paraId="09C3ECD5" w14:textId="2FDCEFB2" w:rsidR="00125877" w:rsidRPr="006B77D9" w:rsidRDefault="00125877" w:rsidP="00125877">
            <w:pPr>
              <w:jc w:val="center"/>
              <w:rPr>
                <w:rFonts w:eastAsia="Calibri"/>
                <w:color w:val="000000" w:themeColor="text1"/>
                <w:highlight w:val="yellow"/>
              </w:rPr>
            </w:pPr>
            <w:r w:rsidRPr="00AB1C98">
              <w:t>REDACTED</w:t>
            </w:r>
          </w:p>
        </w:tc>
        <w:tc>
          <w:tcPr>
            <w:tcW w:w="1440" w:type="dxa"/>
          </w:tcPr>
          <w:p w14:paraId="3C6162DF" w14:textId="65F0A8E5" w:rsidR="00125877" w:rsidRPr="006B77D9" w:rsidRDefault="00125877" w:rsidP="00125877">
            <w:pPr>
              <w:jc w:val="center"/>
              <w:rPr>
                <w:rFonts w:eastAsia="Calibri"/>
                <w:color w:val="000000" w:themeColor="text1"/>
                <w:highlight w:val="yellow"/>
              </w:rPr>
            </w:pPr>
            <w:r w:rsidRPr="00AB1C98">
              <w:t>REDACTED</w:t>
            </w:r>
          </w:p>
        </w:tc>
        <w:tc>
          <w:tcPr>
            <w:tcW w:w="1440" w:type="dxa"/>
          </w:tcPr>
          <w:p w14:paraId="7F1AE764" w14:textId="084FDB1C" w:rsidR="00125877" w:rsidRPr="006B77D9" w:rsidRDefault="00125877" w:rsidP="00125877">
            <w:pPr>
              <w:jc w:val="center"/>
              <w:rPr>
                <w:rFonts w:eastAsia="Calibri"/>
                <w:color w:val="000000" w:themeColor="text1"/>
                <w:highlight w:val="yellow"/>
              </w:rPr>
            </w:pPr>
            <w:r w:rsidRPr="00AB1C98">
              <w:t>REDACTED</w:t>
            </w:r>
          </w:p>
        </w:tc>
        <w:tc>
          <w:tcPr>
            <w:tcW w:w="1440" w:type="dxa"/>
          </w:tcPr>
          <w:p w14:paraId="462BD420" w14:textId="1D2572E6" w:rsidR="00125877" w:rsidRPr="006B77D9" w:rsidRDefault="00125877" w:rsidP="00125877">
            <w:pPr>
              <w:jc w:val="center"/>
              <w:rPr>
                <w:rFonts w:eastAsia="Calibri"/>
                <w:color w:val="000000" w:themeColor="text1"/>
                <w:highlight w:val="yellow"/>
              </w:rPr>
            </w:pPr>
            <w:r w:rsidRPr="00AB1C98">
              <w:t>REDACTED</w:t>
            </w:r>
          </w:p>
        </w:tc>
      </w:tr>
      <w:tr w:rsidR="00125877" w:rsidRPr="006B77D9" w14:paraId="4321307A" w14:textId="77777777" w:rsidTr="007A6867">
        <w:trPr>
          <w:trHeight w:val="302"/>
          <w:jc w:val="center"/>
        </w:trPr>
        <w:tc>
          <w:tcPr>
            <w:tcW w:w="3134" w:type="dxa"/>
            <w:vAlign w:val="bottom"/>
          </w:tcPr>
          <w:p w14:paraId="2D779CFA" w14:textId="737500D3" w:rsidR="00125877" w:rsidRPr="006B77D9" w:rsidRDefault="00125877" w:rsidP="00125877">
            <w:pPr>
              <w:rPr>
                <w:rFonts w:eastAsia="Calibri"/>
                <w:color w:val="000000" w:themeColor="text1"/>
              </w:rPr>
            </w:pPr>
            <w:r w:rsidRPr="006B77D9">
              <w:rPr>
                <w:rFonts w:eastAsia="Calibri"/>
                <w:color w:val="000000" w:themeColor="text1"/>
              </w:rPr>
              <w:t>EPC Contract</w:t>
            </w:r>
          </w:p>
        </w:tc>
        <w:tc>
          <w:tcPr>
            <w:tcW w:w="1440" w:type="dxa"/>
          </w:tcPr>
          <w:p w14:paraId="60CDDCBD" w14:textId="54930657"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549A2829" w14:textId="0A29C499"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39037D25" w14:textId="54DC3CA1"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55E4BC85" w14:textId="12007BA0" w:rsidR="00125877" w:rsidRPr="006B77D9" w:rsidDel="009A1C83" w:rsidRDefault="00125877" w:rsidP="00125877">
            <w:pPr>
              <w:jc w:val="center"/>
              <w:rPr>
                <w:rFonts w:eastAsia="Calibri"/>
                <w:color w:val="000000" w:themeColor="text1"/>
                <w:highlight w:val="yellow"/>
              </w:rPr>
            </w:pPr>
            <w:r w:rsidRPr="00AB1C98">
              <w:t>REDACTED</w:t>
            </w:r>
          </w:p>
        </w:tc>
      </w:tr>
      <w:tr w:rsidR="00125877" w:rsidRPr="006B77D9" w14:paraId="33268ABE" w14:textId="77777777" w:rsidTr="007A6867">
        <w:trPr>
          <w:trHeight w:val="302"/>
          <w:jc w:val="center"/>
        </w:trPr>
        <w:tc>
          <w:tcPr>
            <w:tcW w:w="3134" w:type="dxa"/>
            <w:vAlign w:val="bottom"/>
          </w:tcPr>
          <w:p w14:paraId="6B4DA351" w14:textId="6AAD86CD" w:rsidR="00125877" w:rsidRPr="006B77D9" w:rsidRDefault="00125877" w:rsidP="00125877">
            <w:pPr>
              <w:rPr>
                <w:rFonts w:eastAsia="Calibri"/>
                <w:color w:val="000000" w:themeColor="text1"/>
              </w:rPr>
            </w:pPr>
            <w:r w:rsidRPr="006B77D9">
              <w:rPr>
                <w:rFonts w:eastAsia="Calibri"/>
                <w:color w:val="000000" w:themeColor="text1"/>
              </w:rPr>
              <w:t>BESA Contract</w:t>
            </w:r>
          </w:p>
        </w:tc>
        <w:tc>
          <w:tcPr>
            <w:tcW w:w="1440" w:type="dxa"/>
          </w:tcPr>
          <w:p w14:paraId="1C7F42F4" w14:textId="3B371001"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59384D1A" w14:textId="4E7965B5"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5FF2BCB4" w14:textId="717F5A53" w:rsidR="00125877" w:rsidRPr="006B77D9" w:rsidDel="009A1C83" w:rsidRDefault="00125877" w:rsidP="00125877">
            <w:pPr>
              <w:jc w:val="center"/>
              <w:rPr>
                <w:rFonts w:eastAsia="Calibri"/>
                <w:color w:val="000000" w:themeColor="text1"/>
                <w:highlight w:val="yellow"/>
              </w:rPr>
            </w:pPr>
            <w:r w:rsidRPr="00AB1C98">
              <w:t>REDACTED</w:t>
            </w:r>
          </w:p>
        </w:tc>
        <w:tc>
          <w:tcPr>
            <w:tcW w:w="1440" w:type="dxa"/>
          </w:tcPr>
          <w:p w14:paraId="7E3E328F" w14:textId="29B3845F" w:rsidR="00125877" w:rsidRPr="006B77D9" w:rsidDel="009A1C83" w:rsidRDefault="00125877" w:rsidP="00125877">
            <w:pPr>
              <w:jc w:val="center"/>
              <w:rPr>
                <w:rFonts w:eastAsia="Calibri"/>
                <w:color w:val="000000" w:themeColor="text1"/>
                <w:highlight w:val="yellow"/>
              </w:rPr>
            </w:pPr>
            <w:r w:rsidRPr="00AB1C98">
              <w:t>REDACTED</w:t>
            </w:r>
          </w:p>
        </w:tc>
      </w:tr>
      <w:tr w:rsidR="00125877" w:rsidRPr="006B77D9" w14:paraId="16F83869" w14:textId="77777777" w:rsidTr="007A6867">
        <w:trPr>
          <w:trHeight w:val="302"/>
          <w:jc w:val="center"/>
        </w:trPr>
        <w:tc>
          <w:tcPr>
            <w:tcW w:w="3134" w:type="dxa"/>
            <w:vAlign w:val="bottom"/>
          </w:tcPr>
          <w:p w14:paraId="68A558FD" w14:textId="1E1952E5" w:rsidR="00125877" w:rsidRPr="006B77D9" w:rsidRDefault="00125877" w:rsidP="00125877">
            <w:pPr>
              <w:rPr>
                <w:rFonts w:eastAsia="Calibri"/>
                <w:color w:val="000000" w:themeColor="text1"/>
              </w:rPr>
            </w:pPr>
            <w:r w:rsidRPr="006B77D9">
              <w:rPr>
                <w:rFonts w:eastAsia="Calibri"/>
                <w:color w:val="000000" w:themeColor="text1"/>
              </w:rPr>
              <w:t>Engineering/Design &amp; Construction</w:t>
            </w:r>
          </w:p>
        </w:tc>
        <w:tc>
          <w:tcPr>
            <w:tcW w:w="1440" w:type="dxa"/>
          </w:tcPr>
          <w:p w14:paraId="2A53C411" w14:textId="71F30B65" w:rsidR="00125877" w:rsidRPr="006B77D9" w:rsidRDefault="00125877" w:rsidP="00125877">
            <w:pPr>
              <w:jc w:val="center"/>
              <w:rPr>
                <w:rFonts w:eastAsia="Calibri"/>
                <w:color w:val="000000" w:themeColor="text1"/>
                <w:highlight w:val="yellow"/>
              </w:rPr>
            </w:pPr>
            <w:r w:rsidRPr="00AB1C98">
              <w:t>REDACTED</w:t>
            </w:r>
          </w:p>
        </w:tc>
        <w:tc>
          <w:tcPr>
            <w:tcW w:w="1440" w:type="dxa"/>
          </w:tcPr>
          <w:p w14:paraId="6A959810" w14:textId="7DA8F019" w:rsidR="00125877" w:rsidRPr="006B77D9" w:rsidRDefault="00125877" w:rsidP="00125877">
            <w:pPr>
              <w:jc w:val="center"/>
              <w:rPr>
                <w:rFonts w:eastAsia="Calibri"/>
                <w:color w:val="000000" w:themeColor="text1"/>
                <w:highlight w:val="yellow"/>
              </w:rPr>
            </w:pPr>
            <w:r w:rsidRPr="00AB1C98">
              <w:t>REDACTED</w:t>
            </w:r>
          </w:p>
        </w:tc>
        <w:tc>
          <w:tcPr>
            <w:tcW w:w="1440" w:type="dxa"/>
          </w:tcPr>
          <w:p w14:paraId="07F7A07E" w14:textId="7F1AB4D3" w:rsidR="00125877" w:rsidRPr="006B77D9" w:rsidRDefault="00125877" w:rsidP="00125877">
            <w:pPr>
              <w:jc w:val="center"/>
              <w:rPr>
                <w:rFonts w:eastAsia="Calibri"/>
                <w:color w:val="000000" w:themeColor="text1"/>
                <w:highlight w:val="yellow"/>
              </w:rPr>
            </w:pPr>
            <w:r w:rsidRPr="00AB1C98">
              <w:t>REDACTED</w:t>
            </w:r>
          </w:p>
        </w:tc>
        <w:tc>
          <w:tcPr>
            <w:tcW w:w="1440" w:type="dxa"/>
          </w:tcPr>
          <w:p w14:paraId="41D4ACDC" w14:textId="391AED35" w:rsidR="00125877" w:rsidRPr="006B77D9" w:rsidRDefault="00125877" w:rsidP="00125877">
            <w:pPr>
              <w:jc w:val="center"/>
              <w:rPr>
                <w:rFonts w:eastAsia="Calibri"/>
                <w:color w:val="000000" w:themeColor="text1"/>
                <w:highlight w:val="yellow"/>
              </w:rPr>
            </w:pPr>
            <w:r w:rsidRPr="00AB1C98">
              <w:t>REDACTED</w:t>
            </w:r>
          </w:p>
        </w:tc>
      </w:tr>
      <w:tr w:rsidR="00125877" w:rsidRPr="006B77D9" w14:paraId="6D762444" w14:textId="77777777" w:rsidTr="007A6867">
        <w:trPr>
          <w:trHeight w:val="302"/>
          <w:jc w:val="center"/>
        </w:trPr>
        <w:tc>
          <w:tcPr>
            <w:tcW w:w="3134" w:type="dxa"/>
            <w:vAlign w:val="bottom"/>
          </w:tcPr>
          <w:p w14:paraId="4B98C85F" w14:textId="4C8DEEA9" w:rsidR="00125877" w:rsidRPr="006B77D9" w:rsidRDefault="00125877" w:rsidP="00125877">
            <w:pPr>
              <w:rPr>
                <w:rFonts w:eastAsia="Calibri"/>
                <w:color w:val="000000" w:themeColor="text1"/>
              </w:rPr>
            </w:pPr>
            <w:r w:rsidRPr="006B77D9">
              <w:rPr>
                <w:rFonts w:eastAsia="Calibri"/>
                <w:color w:val="000000" w:themeColor="text1"/>
              </w:rPr>
              <w:t>Start-Up</w:t>
            </w:r>
          </w:p>
        </w:tc>
        <w:tc>
          <w:tcPr>
            <w:tcW w:w="1440" w:type="dxa"/>
          </w:tcPr>
          <w:p w14:paraId="3F4BAF24" w14:textId="3D85BE97" w:rsidR="00125877" w:rsidRPr="006B77D9" w:rsidRDefault="00125877" w:rsidP="00125877">
            <w:pPr>
              <w:jc w:val="center"/>
              <w:rPr>
                <w:rFonts w:eastAsia="Calibri"/>
                <w:color w:val="000000" w:themeColor="text1"/>
                <w:highlight w:val="yellow"/>
              </w:rPr>
            </w:pPr>
            <w:r w:rsidRPr="00AB1C98">
              <w:t>REDACTED</w:t>
            </w:r>
          </w:p>
        </w:tc>
        <w:tc>
          <w:tcPr>
            <w:tcW w:w="1440" w:type="dxa"/>
          </w:tcPr>
          <w:p w14:paraId="558ACE9F" w14:textId="5D16EF64" w:rsidR="00125877" w:rsidRPr="006B77D9" w:rsidRDefault="00125877" w:rsidP="00125877">
            <w:pPr>
              <w:jc w:val="center"/>
              <w:rPr>
                <w:rFonts w:eastAsia="Calibri"/>
                <w:color w:val="000000" w:themeColor="text1"/>
                <w:highlight w:val="yellow"/>
              </w:rPr>
            </w:pPr>
            <w:r w:rsidRPr="00AB1C98">
              <w:t>REDACTED</w:t>
            </w:r>
          </w:p>
        </w:tc>
        <w:tc>
          <w:tcPr>
            <w:tcW w:w="1440" w:type="dxa"/>
          </w:tcPr>
          <w:p w14:paraId="49257BBC" w14:textId="67454DA7" w:rsidR="00125877" w:rsidRPr="006B77D9" w:rsidRDefault="00125877" w:rsidP="00125877">
            <w:pPr>
              <w:jc w:val="center"/>
              <w:rPr>
                <w:rFonts w:eastAsia="Calibri"/>
                <w:color w:val="000000" w:themeColor="text1"/>
                <w:highlight w:val="yellow"/>
              </w:rPr>
            </w:pPr>
            <w:r w:rsidRPr="00AB1C98">
              <w:t>REDACTED</w:t>
            </w:r>
          </w:p>
        </w:tc>
        <w:tc>
          <w:tcPr>
            <w:tcW w:w="1440" w:type="dxa"/>
          </w:tcPr>
          <w:p w14:paraId="3E08AA32" w14:textId="1189E225" w:rsidR="00125877" w:rsidRPr="006B77D9" w:rsidRDefault="00125877" w:rsidP="00125877">
            <w:pPr>
              <w:jc w:val="center"/>
              <w:rPr>
                <w:rFonts w:eastAsia="Calibri"/>
                <w:color w:val="000000" w:themeColor="text1"/>
                <w:highlight w:val="yellow"/>
              </w:rPr>
            </w:pPr>
            <w:r w:rsidRPr="00AB1C98">
              <w:t>REDACTED</w:t>
            </w:r>
          </w:p>
        </w:tc>
      </w:tr>
      <w:tr w:rsidR="00125877" w:rsidRPr="006B77D9" w14:paraId="04BFEEBF" w14:textId="77777777" w:rsidTr="007A6867">
        <w:trPr>
          <w:trHeight w:val="302"/>
          <w:jc w:val="center"/>
        </w:trPr>
        <w:tc>
          <w:tcPr>
            <w:tcW w:w="3134" w:type="dxa"/>
            <w:vAlign w:val="bottom"/>
          </w:tcPr>
          <w:p w14:paraId="685A3851" w14:textId="7C09B091" w:rsidR="00125877" w:rsidRPr="006B77D9" w:rsidRDefault="00125877" w:rsidP="00125877">
            <w:pPr>
              <w:rPr>
                <w:rFonts w:eastAsia="Calibri"/>
                <w:color w:val="000000" w:themeColor="text1"/>
              </w:rPr>
            </w:pPr>
            <w:r w:rsidRPr="006B77D9">
              <w:rPr>
                <w:rFonts w:eastAsia="Calibri"/>
                <w:color w:val="000000" w:themeColor="text1"/>
              </w:rPr>
              <w:t>Transmission</w:t>
            </w:r>
          </w:p>
        </w:tc>
        <w:tc>
          <w:tcPr>
            <w:tcW w:w="1440" w:type="dxa"/>
          </w:tcPr>
          <w:p w14:paraId="682F5FC1" w14:textId="09691317" w:rsidR="00125877" w:rsidRPr="006B77D9" w:rsidRDefault="00125877" w:rsidP="00125877">
            <w:pPr>
              <w:jc w:val="center"/>
              <w:rPr>
                <w:rFonts w:eastAsia="Calibri"/>
                <w:color w:val="000000" w:themeColor="text1"/>
                <w:highlight w:val="yellow"/>
              </w:rPr>
            </w:pPr>
            <w:r w:rsidRPr="00AB1C98">
              <w:t>REDACTED</w:t>
            </w:r>
          </w:p>
        </w:tc>
        <w:tc>
          <w:tcPr>
            <w:tcW w:w="1440" w:type="dxa"/>
          </w:tcPr>
          <w:p w14:paraId="7C795144" w14:textId="6BA810F5" w:rsidR="00125877" w:rsidRPr="006B77D9" w:rsidRDefault="00125877" w:rsidP="00125877">
            <w:pPr>
              <w:jc w:val="center"/>
              <w:rPr>
                <w:rFonts w:eastAsia="Calibri"/>
                <w:color w:val="000000" w:themeColor="text1"/>
                <w:highlight w:val="yellow"/>
              </w:rPr>
            </w:pPr>
            <w:r w:rsidRPr="00AB1C98">
              <w:t>REDACTED</w:t>
            </w:r>
          </w:p>
        </w:tc>
        <w:tc>
          <w:tcPr>
            <w:tcW w:w="1440" w:type="dxa"/>
          </w:tcPr>
          <w:p w14:paraId="552F9BF5" w14:textId="4D059820" w:rsidR="00125877" w:rsidRPr="006B77D9" w:rsidRDefault="00125877" w:rsidP="00125877">
            <w:pPr>
              <w:jc w:val="center"/>
              <w:rPr>
                <w:rFonts w:eastAsia="Calibri"/>
                <w:color w:val="000000" w:themeColor="text1"/>
                <w:highlight w:val="yellow"/>
              </w:rPr>
            </w:pPr>
            <w:r w:rsidRPr="00AB1C98">
              <w:t>REDACTED</w:t>
            </w:r>
          </w:p>
        </w:tc>
        <w:tc>
          <w:tcPr>
            <w:tcW w:w="1440" w:type="dxa"/>
          </w:tcPr>
          <w:p w14:paraId="1E7EE265" w14:textId="55B95A30" w:rsidR="00125877" w:rsidRPr="006B77D9" w:rsidRDefault="00125877" w:rsidP="00125877">
            <w:pPr>
              <w:jc w:val="center"/>
              <w:rPr>
                <w:rFonts w:eastAsia="Calibri"/>
                <w:color w:val="000000" w:themeColor="text1"/>
                <w:highlight w:val="yellow"/>
              </w:rPr>
            </w:pPr>
            <w:r w:rsidRPr="00AB1C98">
              <w:t>REDACTED</w:t>
            </w:r>
          </w:p>
        </w:tc>
      </w:tr>
      <w:tr w:rsidR="00125877" w:rsidRPr="006B77D9" w14:paraId="7D812982" w14:textId="77777777" w:rsidTr="007A6867">
        <w:trPr>
          <w:trHeight w:val="302"/>
          <w:jc w:val="center"/>
        </w:trPr>
        <w:tc>
          <w:tcPr>
            <w:tcW w:w="3134" w:type="dxa"/>
            <w:vAlign w:val="bottom"/>
          </w:tcPr>
          <w:p w14:paraId="5236D5C0" w14:textId="1AC7AF74" w:rsidR="00125877" w:rsidRPr="006B77D9" w:rsidRDefault="00125877" w:rsidP="00125877">
            <w:pPr>
              <w:rPr>
                <w:rFonts w:eastAsia="Calibri"/>
                <w:color w:val="000000" w:themeColor="text1"/>
              </w:rPr>
            </w:pPr>
            <w:r w:rsidRPr="006B77D9">
              <w:rPr>
                <w:rFonts w:eastAsia="Calibri"/>
                <w:color w:val="000000" w:themeColor="text1"/>
              </w:rPr>
              <w:t>Contingency</w:t>
            </w:r>
          </w:p>
        </w:tc>
        <w:tc>
          <w:tcPr>
            <w:tcW w:w="1440" w:type="dxa"/>
          </w:tcPr>
          <w:p w14:paraId="1CB301B7" w14:textId="770110B7" w:rsidR="00125877" w:rsidRPr="006B77D9" w:rsidRDefault="00125877" w:rsidP="00125877">
            <w:pPr>
              <w:jc w:val="center"/>
              <w:rPr>
                <w:rFonts w:eastAsia="Calibri"/>
                <w:color w:val="000000" w:themeColor="text1"/>
                <w:highlight w:val="yellow"/>
              </w:rPr>
            </w:pPr>
            <w:r w:rsidRPr="00AB1C98">
              <w:t>REDACTED</w:t>
            </w:r>
          </w:p>
        </w:tc>
        <w:tc>
          <w:tcPr>
            <w:tcW w:w="1440" w:type="dxa"/>
          </w:tcPr>
          <w:p w14:paraId="1A559097" w14:textId="63642401" w:rsidR="00125877" w:rsidRPr="006B77D9" w:rsidRDefault="00125877" w:rsidP="00125877">
            <w:pPr>
              <w:jc w:val="center"/>
              <w:rPr>
                <w:rFonts w:eastAsia="Calibri"/>
                <w:color w:val="000000" w:themeColor="text1"/>
                <w:highlight w:val="yellow"/>
              </w:rPr>
            </w:pPr>
            <w:r w:rsidRPr="00AB1C98">
              <w:t>REDACTED</w:t>
            </w:r>
          </w:p>
        </w:tc>
        <w:tc>
          <w:tcPr>
            <w:tcW w:w="1440" w:type="dxa"/>
          </w:tcPr>
          <w:p w14:paraId="5F98B2CA" w14:textId="134E3CA3" w:rsidR="00125877" w:rsidRPr="006B77D9" w:rsidRDefault="00125877" w:rsidP="00125877">
            <w:pPr>
              <w:jc w:val="center"/>
              <w:rPr>
                <w:rFonts w:eastAsia="Calibri"/>
                <w:color w:val="000000" w:themeColor="text1"/>
                <w:highlight w:val="yellow"/>
              </w:rPr>
            </w:pPr>
            <w:r w:rsidRPr="00AB1C98">
              <w:t>REDACTED</w:t>
            </w:r>
          </w:p>
        </w:tc>
        <w:tc>
          <w:tcPr>
            <w:tcW w:w="1440" w:type="dxa"/>
          </w:tcPr>
          <w:p w14:paraId="000FE998" w14:textId="38B00ACF" w:rsidR="00125877" w:rsidRPr="006B77D9" w:rsidRDefault="00125877" w:rsidP="00125877">
            <w:pPr>
              <w:jc w:val="center"/>
              <w:rPr>
                <w:rFonts w:eastAsia="Calibri"/>
                <w:color w:val="000000" w:themeColor="text1"/>
                <w:highlight w:val="yellow"/>
              </w:rPr>
            </w:pPr>
            <w:r w:rsidRPr="00AB1C98">
              <w:t>REDACTED</w:t>
            </w:r>
          </w:p>
        </w:tc>
      </w:tr>
      <w:tr w:rsidR="00125877" w:rsidRPr="006B77D9" w14:paraId="5F420963" w14:textId="77777777" w:rsidTr="007A6867">
        <w:trPr>
          <w:trHeight w:val="302"/>
          <w:jc w:val="center"/>
        </w:trPr>
        <w:tc>
          <w:tcPr>
            <w:tcW w:w="3134" w:type="dxa"/>
            <w:vAlign w:val="bottom"/>
          </w:tcPr>
          <w:p w14:paraId="5F225065" w14:textId="79A2A385" w:rsidR="00125877" w:rsidRPr="006B77D9" w:rsidRDefault="00125877" w:rsidP="00125877">
            <w:pPr>
              <w:rPr>
                <w:rFonts w:eastAsia="Calibri"/>
                <w:color w:val="000000" w:themeColor="text1"/>
              </w:rPr>
            </w:pPr>
            <w:r w:rsidRPr="006B77D9">
              <w:rPr>
                <w:rFonts w:eastAsia="Calibri"/>
                <w:b/>
                <w:color w:val="000000" w:themeColor="text1"/>
              </w:rPr>
              <w:t>Total</w:t>
            </w:r>
          </w:p>
        </w:tc>
        <w:tc>
          <w:tcPr>
            <w:tcW w:w="1440" w:type="dxa"/>
          </w:tcPr>
          <w:p w14:paraId="42731705" w14:textId="1F7B8ECE" w:rsidR="00125877" w:rsidRPr="006B77D9" w:rsidRDefault="00125877" w:rsidP="00125877">
            <w:pPr>
              <w:jc w:val="center"/>
              <w:rPr>
                <w:rFonts w:eastAsia="Calibri"/>
                <w:b/>
                <w:color w:val="000000" w:themeColor="text1"/>
                <w:highlight w:val="yellow"/>
              </w:rPr>
            </w:pPr>
            <w:r w:rsidRPr="00AB1C98">
              <w:t>REDACTED</w:t>
            </w:r>
          </w:p>
        </w:tc>
        <w:tc>
          <w:tcPr>
            <w:tcW w:w="1440" w:type="dxa"/>
          </w:tcPr>
          <w:p w14:paraId="5446FCF9" w14:textId="31D976DD" w:rsidR="00125877" w:rsidRPr="006B77D9" w:rsidRDefault="00125877" w:rsidP="00125877">
            <w:pPr>
              <w:jc w:val="center"/>
              <w:rPr>
                <w:rFonts w:eastAsia="Calibri"/>
                <w:b/>
                <w:color w:val="000000" w:themeColor="text1"/>
                <w:highlight w:val="yellow"/>
              </w:rPr>
            </w:pPr>
            <w:r w:rsidRPr="00AB1C98">
              <w:t>REDACTED</w:t>
            </w:r>
          </w:p>
        </w:tc>
        <w:tc>
          <w:tcPr>
            <w:tcW w:w="1440" w:type="dxa"/>
          </w:tcPr>
          <w:p w14:paraId="4263B459" w14:textId="29033523" w:rsidR="00125877" w:rsidRPr="006B77D9" w:rsidRDefault="00125877" w:rsidP="00125877">
            <w:pPr>
              <w:jc w:val="center"/>
              <w:rPr>
                <w:rFonts w:eastAsia="Calibri"/>
                <w:b/>
                <w:color w:val="000000" w:themeColor="text1"/>
                <w:highlight w:val="yellow"/>
              </w:rPr>
            </w:pPr>
            <w:r w:rsidRPr="00AB1C98">
              <w:t>REDACTED</w:t>
            </w:r>
          </w:p>
        </w:tc>
        <w:tc>
          <w:tcPr>
            <w:tcW w:w="1440" w:type="dxa"/>
          </w:tcPr>
          <w:p w14:paraId="060A96A6" w14:textId="6ABE04CE" w:rsidR="00125877" w:rsidRPr="006B77D9" w:rsidRDefault="00125877" w:rsidP="00125877">
            <w:pPr>
              <w:jc w:val="center"/>
              <w:rPr>
                <w:rFonts w:eastAsia="Calibri"/>
                <w:b/>
                <w:color w:val="000000" w:themeColor="text1"/>
                <w:highlight w:val="yellow"/>
              </w:rPr>
            </w:pPr>
            <w:r w:rsidRPr="00AB1C98">
              <w:t>REDACTED</w:t>
            </w:r>
          </w:p>
        </w:tc>
      </w:tr>
    </w:tbl>
    <w:p w14:paraId="036F05D1" w14:textId="77777777" w:rsidR="008E14CB" w:rsidRPr="006B77D9" w:rsidRDefault="008E14CB" w:rsidP="003A11C9">
      <w:pPr>
        <w:pStyle w:val="ListParagraph"/>
        <w:ind w:left="0"/>
        <w:jc w:val="center"/>
        <w:rPr>
          <w:rFonts w:ascii="Times New Roman" w:hAnsi="Times New Roman"/>
          <w:color w:val="000000" w:themeColor="text1"/>
        </w:rPr>
      </w:pPr>
    </w:p>
    <w:p w14:paraId="553ED726" w14:textId="77777777" w:rsidR="008E14CB" w:rsidRPr="006B77D9" w:rsidRDefault="008E14CB" w:rsidP="003A11C9">
      <w:pPr>
        <w:pStyle w:val="ListParagraph"/>
        <w:spacing w:after="360"/>
        <w:ind w:left="360"/>
        <w:rPr>
          <w:rFonts w:ascii="Times New Roman" w:hAnsi="Times New Roman"/>
          <w:color w:val="000000" w:themeColor="text1"/>
        </w:rPr>
      </w:pPr>
      <w:r w:rsidRPr="006B77D9">
        <w:rPr>
          <w:rFonts w:ascii="Times New Roman" w:hAnsi="Times New Roman"/>
          <w:color w:val="000000" w:themeColor="text1"/>
        </w:rPr>
        <w:t>Descriptions of each category are provided below:</w:t>
      </w:r>
    </w:p>
    <w:p w14:paraId="7CF91340" w14:textId="3A61167C" w:rsidR="008226EE" w:rsidRPr="003A11C9" w:rsidRDefault="00411AC1">
      <w:pPr>
        <w:pStyle w:val="ListParagraph"/>
        <w:numPr>
          <w:ilvl w:val="0"/>
          <w:numId w:val="39"/>
        </w:numPr>
        <w:spacing w:after="160" w:line="259" w:lineRule="auto"/>
        <w:ind w:left="1080"/>
        <w:jc w:val="both"/>
        <w:rPr>
          <w:rFonts w:ascii="Times New Roman" w:hAnsi="Times New Roman"/>
        </w:rPr>
      </w:pPr>
      <w:r>
        <w:rPr>
          <w:rFonts w:ascii="Times New Roman" w:hAnsi="Times New Roman"/>
          <w:u w:val="single"/>
        </w:rPr>
        <w:t>Land Purchase &amp; Sale A</w:t>
      </w:r>
      <w:r w:rsidR="008226EE">
        <w:rPr>
          <w:rFonts w:ascii="Times New Roman" w:hAnsi="Times New Roman"/>
          <w:u w:val="single"/>
        </w:rPr>
        <w:t>greement</w:t>
      </w:r>
      <w:r w:rsidR="008226EE" w:rsidRPr="006B77D9">
        <w:rPr>
          <w:rFonts w:ascii="Times New Roman" w:hAnsi="Times New Roman"/>
        </w:rPr>
        <w:t xml:space="preserve"> –</w:t>
      </w:r>
      <w:r w:rsidR="008226EE">
        <w:rPr>
          <w:rFonts w:ascii="Times New Roman" w:hAnsi="Times New Roman"/>
        </w:rPr>
        <w:t xml:space="preserve"> </w:t>
      </w:r>
      <w:r w:rsidR="008C01C3">
        <w:rPr>
          <w:rFonts w:ascii="Times New Roman" w:hAnsi="Times New Roman"/>
        </w:rPr>
        <w:t xml:space="preserve">includes all spend for certified amount </w:t>
      </w:r>
    </w:p>
    <w:p w14:paraId="710E11A6" w14:textId="672E57C6"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Planning</w:t>
      </w:r>
      <w:r w:rsidRPr="006B77D9">
        <w:rPr>
          <w:rFonts w:ascii="Times New Roman" w:hAnsi="Times New Roman"/>
        </w:rPr>
        <w:t xml:space="preserve"> – Preliminary studies and investigation (“PSI”) and environmental support.</w:t>
      </w:r>
      <w:r w:rsidR="00AC11AB">
        <w:rPr>
          <w:rFonts w:ascii="Times New Roman" w:hAnsi="Times New Roman"/>
        </w:rPr>
        <w:t xml:space="preserve"> </w:t>
      </w:r>
      <w:r w:rsidR="00A30A73">
        <w:rPr>
          <w:rFonts w:ascii="Times New Roman" w:hAnsi="Times New Roman"/>
        </w:rPr>
        <w:t xml:space="preserve">The budget for </w:t>
      </w:r>
      <w:r w:rsidR="002858E7">
        <w:rPr>
          <w:rFonts w:ascii="Times New Roman" w:hAnsi="Times New Roman"/>
        </w:rPr>
        <w:t>p</w:t>
      </w:r>
      <w:r w:rsidR="00AC11AB">
        <w:rPr>
          <w:rFonts w:ascii="Times New Roman" w:hAnsi="Times New Roman"/>
        </w:rPr>
        <w:t>lanning 2025</w:t>
      </w:r>
      <w:r w:rsidR="009B3DAA">
        <w:rPr>
          <w:rFonts w:ascii="Times New Roman" w:hAnsi="Times New Roman"/>
        </w:rPr>
        <w:t xml:space="preserve"> </w:t>
      </w:r>
      <w:r w:rsidR="00396DCD">
        <w:rPr>
          <w:rFonts w:ascii="Times New Roman" w:hAnsi="Times New Roman"/>
        </w:rPr>
        <w:t xml:space="preserve">includes </w:t>
      </w:r>
      <w:r w:rsidR="002858E7">
        <w:rPr>
          <w:rFonts w:ascii="Times New Roman" w:hAnsi="Times New Roman"/>
        </w:rPr>
        <w:t xml:space="preserve">funds that were originally spent </w:t>
      </w:r>
      <w:r w:rsidR="00333D9B">
        <w:rPr>
          <w:rFonts w:ascii="Times New Roman" w:hAnsi="Times New Roman"/>
        </w:rPr>
        <w:t xml:space="preserve">in </w:t>
      </w:r>
      <w:r w:rsidR="00396DCD">
        <w:rPr>
          <w:rFonts w:ascii="Times New Roman" w:hAnsi="Times New Roman"/>
        </w:rPr>
        <w:t>2024</w:t>
      </w:r>
      <w:r w:rsidR="00333D9B">
        <w:rPr>
          <w:rFonts w:ascii="Times New Roman" w:hAnsi="Times New Roman"/>
        </w:rPr>
        <w:t>.</w:t>
      </w:r>
      <w:r w:rsidR="00396DCD">
        <w:rPr>
          <w:rFonts w:ascii="Times New Roman" w:hAnsi="Times New Roman"/>
        </w:rPr>
        <w:t xml:space="preserve"> </w:t>
      </w:r>
    </w:p>
    <w:p w14:paraId="43C805A4" w14:textId="77777777"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Licensing</w:t>
      </w:r>
      <w:r w:rsidRPr="006B77D9">
        <w:rPr>
          <w:rFonts w:ascii="Times New Roman" w:hAnsi="Times New Roman"/>
        </w:rPr>
        <w:t xml:space="preserve"> – Not applicable.</w:t>
      </w:r>
    </w:p>
    <w:p w14:paraId="6B8D33A0" w14:textId="7407B71D"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EPC Contract</w:t>
      </w:r>
      <w:r w:rsidRPr="006B77D9">
        <w:rPr>
          <w:rFonts w:ascii="Times New Roman" w:hAnsi="Times New Roman"/>
        </w:rPr>
        <w:t xml:space="preserve"> – EPC contract costs.</w:t>
      </w:r>
      <w:r w:rsidR="006F729D">
        <w:rPr>
          <w:rFonts w:ascii="Times New Roman" w:hAnsi="Times New Roman"/>
        </w:rPr>
        <w:t xml:space="preserve"> </w:t>
      </w:r>
    </w:p>
    <w:p w14:paraId="2302732B" w14:textId="77777777"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 xml:space="preserve">BESA Contract </w:t>
      </w:r>
      <w:r w:rsidRPr="006B77D9">
        <w:rPr>
          <w:rFonts w:ascii="Times New Roman" w:hAnsi="Times New Roman"/>
        </w:rPr>
        <w:t xml:space="preserve">– BESA contract cost. </w:t>
      </w:r>
    </w:p>
    <w:p w14:paraId="3008FDC8" w14:textId="14C4C46C"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Engineering/Design &amp; Construction</w:t>
      </w:r>
      <w:r w:rsidRPr="006B77D9">
        <w:rPr>
          <w:rFonts w:ascii="Times New Roman" w:hAnsi="Times New Roman"/>
        </w:rPr>
        <w:t xml:space="preserve"> – Internal technical engineering and services, interconnection, process safety management (“PSM”), vendor quality, construction power, information technology (“IT”), onsite security, pre-commercial operation labor and supplies, </w:t>
      </w:r>
      <w:r w:rsidRPr="006B77D9">
        <w:rPr>
          <w:rFonts w:ascii="Times New Roman" w:hAnsi="Times New Roman"/>
        </w:rPr>
        <w:lastRenderedPageBreak/>
        <w:t xml:space="preserve">supply chain support, project controls, legal, builder’s risk insurance, site controller, Prevailing Wage and Apprenticeship (“PWA”) review, distribution, and asset management. </w:t>
      </w:r>
      <w:r w:rsidR="001B33C3">
        <w:rPr>
          <w:rFonts w:ascii="Times New Roman" w:hAnsi="Times New Roman"/>
        </w:rPr>
        <w:t xml:space="preserve">The budget for E/D &amp; C 2027 </w:t>
      </w:r>
      <w:r w:rsidR="009B3DAA">
        <w:rPr>
          <w:rFonts w:ascii="Times New Roman" w:hAnsi="Times New Roman"/>
        </w:rPr>
        <w:t>includes</w:t>
      </w:r>
      <w:r w:rsidR="00FB5A17">
        <w:rPr>
          <w:rFonts w:ascii="Times New Roman" w:hAnsi="Times New Roman"/>
        </w:rPr>
        <w:t xml:space="preserve"> 2028 spend</w:t>
      </w:r>
      <w:r w:rsidR="00143D94">
        <w:rPr>
          <w:rFonts w:ascii="Times New Roman" w:hAnsi="Times New Roman"/>
        </w:rPr>
        <w:t>.</w:t>
      </w:r>
    </w:p>
    <w:p w14:paraId="63FCAE3B" w14:textId="55B14C04"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Start-Up</w:t>
      </w:r>
      <w:r w:rsidRPr="006B77D9">
        <w:rPr>
          <w:rFonts w:ascii="Times New Roman" w:hAnsi="Times New Roman"/>
        </w:rPr>
        <w:t xml:space="preserve"> – Test energy and BESA provider support.</w:t>
      </w:r>
      <w:r w:rsidR="00143D94">
        <w:rPr>
          <w:rFonts w:ascii="Times New Roman" w:hAnsi="Times New Roman"/>
        </w:rPr>
        <w:t xml:space="preserve"> </w:t>
      </w:r>
    </w:p>
    <w:p w14:paraId="6FB4FFB2" w14:textId="77777777"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 xml:space="preserve">Transmission </w:t>
      </w:r>
      <w:r w:rsidRPr="006B77D9">
        <w:rPr>
          <w:rFonts w:ascii="Times New Roman" w:hAnsi="Times New Roman"/>
        </w:rPr>
        <w:t>– Design and construction of project level substation and generation tie-line to Twiggs County interconnection substation.</w:t>
      </w:r>
    </w:p>
    <w:p w14:paraId="0DC24FF2" w14:textId="0DD40B82" w:rsidR="008E14CB" w:rsidRPr="006B77D9" w:rsidRDefault="008E14CB" w:rsidP="003A11C9">
      <w:pPr>
        <w:pStyle w:val="ListParagraph"/>
        <w:numPr>
          <w:ilvl w:val="0"/>
          <w:numId w:val="39"/>
        </w:numPr>
        <w:spacing w:after="160" w:line="259" w:lineRule="auto"/>
        <w:ind w:left="1080"/>
        <w:jc w:val="both"/>
        <w:rPr>
          <w:rFonts w:ascii="Times New Roman" w:hAnsi="Times New Roman"/>
        </w:rPr>
      </w:pPr>
      <w:r w:rsidRPr="006B77D9">
        <w:rPr>
          <w:rFonts w:ascii="Times New Roman" w:hAnsi="Times New Roman"/>
          <w:u w:val="single"/>
        </w:rPr>
        <w:t>Contingency</w:t>
      </w:r>
      <w:r w:rsidRPr="006B77D9">
        <w:rPr>
          <w:rFonts w:ascii="Times New Roman" w:hAnsi="Times New Roman"/>
        </w:rPr>
        <w:t xml:space="preserve"> – Contingency.</w:t>
      </w:r>
      <w:r w:rsidR="005A5803">
        <w:rPr>
          <w:rFonts w:ascii="Times New Roman" w:hAnsi="Times New Roman"/>
        </w:rPr>
        <w:t xml:space="preserve"> The budget for 2025 </w:t>
      </w:r>
      <w:r w:rsidR="003F593E">
        <w:rPr>
          <w:rFonts w:ascii="Times New Roman" w:hAnsi="Times New Roman"/>
        </w:rPr>
        <w:t>includes contingency spend for 2024</w:t>
      </w:r>
      <w:r w:rsidR="00CA61BE">
        <w:rPr>
          <w:rFonts w:ascii="Times New Roman" w:hAnsi="Times New Roman"/>
        </w:rPr>
        <w:t>.</w:t>
      </w:r>
    </w:p>
    <w:p w14:paraId="3BC50007" w14:textId="6ECB986D" w:rsidR="006E71F6" w:rsidRPr="00FA73EF" w:rsidRDefault="006E71F6" w:rsidP="006E71F6">
      <w:pPr>
        <w:pStyle w:val="Heading2"/>
        <w:keepNext/>
        <w:tabs>
          <w:tab w:val="clear" w:pos="7362"/>
          <w:tab w:val="num" w:pos="1440"/>
        </w:tabs>
        <w:spacing w:after="120" w:line="360" w:lineRule="auto"/>
        <w:ind w:left="720" w:firstLine="0"/>
      </w:pPr>
      <w:bookmarkStart w:id="34" w:name="_Toc197703479"/>
      <w:r>
        <w:rPr>
          <w:snapToGrid w:val="0"/>
        </w:rPr>
        <w:t>Major Contracts</w:t>
      </w:r>
      <w:bookmarkEnd w:id="34"/>
    </w:p>
    <w:p w14:paraId="0E0735D5" w14:textId="7313AE94" w:rsidR="006B5ECA" w:rsidRPr="00500E03" w:rsidRDefault="006B5ECA" w:rsidP="00AD04EB">
      <w:pPr>
        <w:spacing w:line="276" w:lineRule="auto"/>
        <w:ind w:left="720" w:firstLine="720"/>
        <w:jc w:val="both"/>
        <w:rPr>
          <w:sz w:val="24"/>
          <w:szCs w:val="24"/>
        </w:rPr>
      </w:pPr>
      <w:r w:rsidRPr="00500E03">
        <w:rPr>
          <w:sz w:val="24"/>
          <w:szCs w:val="24"/>
        </w:rPr>
        <w:t>The Company will directly purchase the battery systems from Tesla under a BESA, with the EPC contractor responsible for the engineering, design, procurement of balance of system components, civil grading, and on-site equipment installation.</w:t>
      </w:r>
    </w:p>
    <w:p w14:paraId="25E87270" w14:textId="77777777" w:rsidR="006B5ECA" w:rsidRDefault="006B5ECA" w:rsidP="007C6563">
      <w:pPr>
        <w:spacing w:line="276" w:lineRule="auto"/>
        <w:ind w:left="720" w:firstLine="720"/>
        <w:rPr>
          <w:i/>
          <w:iCs/>
          <w:sz w:val="24"/>
          <w:szCs w:val="24"/>
          <w:highlight w:val="green"/>
        </w:rPr>
      </w:pPr>
    </w:p>
    <w:p w14:paraId="7E305FAE" w14:textId="4E336CF9" w:rsidR="006A2680" w:rsidRPr="007C6563" w:rsidRDefault="006E71F6" w:rsidP="006A2680">
      <w:pPr>
        <w:spacing w:line="360" w:lineRule="auto"/>
        <w:ind w:left="720" w:firstLine="720"/>
        <w:rPr>
          <w:i/>
          <w:iCs/>
          <w:sz w:val="24"/>
          <w:szCs w:val="24"/>
        </w:rPr>
      </w:pPr>
      <w:r w:rsidRPr="007C6563">
        <w:rPr>
          <w:i/>
          <w:iCs/>
          <w:sz w:val="24"/>
          <w:szCs w:val="24"/>
        </w:rPr>
        <w:t>Engineering, Procurement, and Construction</w:t>
      </w:r>
    </w:p>
    <w:p w14:paraId="40070CA5" w14:textId="0D26F6EE" w:rsidR="003B3584" w:rsidRPr="006D52A5" w:rsidRDefault="00E5242D" w:rsidP="00D4372D">
      <w:pPr>
        <w:spacing w:after="120" w:line="276" w:lineRule="auto"/>
        <w:ind w:left="720" w:firstLine="720"/>
        <w:jc w:val="both"/>
        <w:rPr>
          <w:rFonts w:eastAsia="Calibri"/>
          <w:color w:val="000000" w:themeColor="text1"/>
          <w:sz w:val="24"/>
          <w:szCs w:val="24"/>
        </w:rPr>
      </w:pPr>
      <w:r>
        <w:rPr>
          <w:sz w:val="24"/>
          <w:szCs w:val="24"/>
        </w:rPr>
        <w:t>O</w:t>
      </w:r>
      <w:r w:rsidR="003B3584" w:rsidRPr="006D52A5">
        <w:rPr>
          <w:sz w:val="24"/>
          <w:szCs w:val="24"/>
        </w:rPr>
        <w:t xml:space="preserve">n </w:t>
      </w:r>
      <w:r w:rsidR="00C3621B" w:rsidRPr="006D52A5">
        <w:rPr>
          <w:sz w:val="24"/>
          <w:szCs w:val="24"/>
        </w:rPr>
        <w:t>April</w:t>
      </w:r>
      <w:r w:rsidR="003B3584" w:rsidRPr="006D52A5">
        <w:rPr>
          <w:sz w:val="24"/>
          <w:szCs w:val="24"/>
        </w:rPr>
        <w:t xml:space="preserve"> </w:t>
      </w:r>
      <w:r w:rsidRPr="006D52A5">
        <w:rPr>
          <w:sz w:val="24"/>
          <w:szCs w:val="24"/>
        </w:rPr>
        <w:t xml:space="preserve">21, </w:t>
      </w:r>
      <w:r w:rsidR="003B3584" w:rsidRPr="006D52A5">
        <w:rPr>
          <w:sz w:val="24"/>
          <w:szCs w:val="24"/>
        </w:rPr>
        <w:t>202</w:t>
      </w:r>
      <w:r w:rsidR="00C3621B" w:rsidRPr="00E5242D">
        <w:rPr>
          <w:sz w:val="24"/>
          <w:szCs w:val="24"/>
        </w:rPr>
        <w:t>5</w:t>
      </w:r>
      <w:r w:rsidR="003B3584" w:rsidRPr="006D52A5">
        <w:rPr>
          <w:sz w:val="24"/>
          <w:szCs w:val="24"/>
        </w:rPr>
        <w:t xml:space="preserve">, the Company entered into an EPC Agreement with </w:t>
      </w:r>
      <w:r w:rsidR="001C6506">
        <w:rPr>
          <w:sz w:val="24"/>
          <w:szCs w:val="24"/>
        </w:rPr>
        <w:t>Crowder Industrial Construction</w:t>
      </w:r>
      <w:r w:rsidR="005607FA">
        <w:rPr>
          <w:sz w:val="24"/>
          <w:szCs w:val="24"/>
        </w:rPr>
        <w:t>, LLC. (“Crowder”)</w:t>
      </w:r>
      <w:r w:rsidR="003B3584" w:rsidRPr="006D52A5">
        <w:rPr>
          <w:sz w:val="24"/>
          <w:szCs w:val="24"/>
        </w:rPr>
        <w:t xml:space="preserve">. This agreement was executed based on information learned through a comprehensive Supply Chain RFP process. </w:t>
      </w:r>
      <w:r w:rsidR="001C6506">
        <w:rPr>
          <w:sz w:val="24"/>
          <w:szCs w:val="24"/>
        </w:rPr>
        <w:t xml:space="preserve">Crowder </w:t>
      </w:r>
      <w:r w:rsidR="003B3584" w:rsidRPr="006D52A5">
        <w:rPr>
          <w:sz w:val="24"/>
          <w:szCs w:val="24"/>
        </w:rPr>
        <w:t>will bring extensive experience in the engineering and construction of BESS.</w:t>
      </w:r>
      <w:r w:rsidR="003B3584" w:rsidRPr="006D52A5">
        <w:rPr>
          <w:rFonts w:eastAsia="Calibri"/>
          <w:color w:val="000000" w:themeColor="text1"/>
          <w:sz w:val="24"/>
          <w:szCs w:val="24"/>
        </w:rPr>
        <w:t xml:space="preserve"> </w:t>
      </w:r>
    </w:p>
    <w:p w14:paraId="16023540" w14:textId="115EDAA5" w:rsidR="006A2680" w:rsidRDefault="003B3584" w:rsidP="00D4372D">
      <w:pPr>
        <w:spacing w:after="120" w:line="276" w:lineRule="auto"/>
        <w:ind w:left="720" w:firstLine="720"/>
        <w:jc w:val="both"/>
        <w:rPr>
          <w:rFonts w:eastAsia="Calibri"/>
          <w:color w:val="000000" w:themeColor="text1"/>
          <w:sz w:val="24"/>
          <w:szCs w:val="24"/>
        </w:rPr>
      </w:pPr>
      <w:r w:rsidRPr="006D52A5">
        <w:rPr>
          <w:rFonts w:eastAsia="Calibri"/>
          <w:color w:val="000000" w:themeColor="text1"/>
          <w:sz w:val="24"/>
          <w:szCs w:val="24"/>
        </w:rPr>
        <w:t xml:space="preserve">As the appointed EPC contractor, </w:t>
      </w:r>
      <w:r w:rsidR="001C6506">
        <w:rPr>
          <w:rFonts w:eastAsia="Calibri"/>
          <w:color w:val="000000" w:themeColor="text1"/>
          <w:sz w:val="24"/>
          <w:szCs w:val="24"/>
        </w:rPr>
        <w:t xml:space="preserve">Crowder </w:t>
      </w:r>
      <w:r w:rsidRPr="006D52A5">
        <w:rPr>
          <w:rFonts w:eastAsia="Calibri"/>
          <w:color w:val="000000" w:themeColor="text1"/>
          <w:sz w:val="24"/>
          <w:szCs w:val="24"/>
        </w:rPr>
        <w:t xml:space="preserve">is tasked with the engineering, procurement, and construction services necessary for the design and installation of the BESS at the Twiggs County site. Under the terms of the EPC Agreement, </w:t>
      </w:r>
      <w:r w:rsidR="001C6506">
        <w:rPr>
          <w:rFonts w:eastAsia="Calibri"/>
          <w:color w:val="000000" w:themeColor="text1"/>
          <w:sz w:val="24"/>
          <w:szCs w:val="24"/>
        </w:rPr>
        <w:t xml:space="preserve">Crowder </w:t>
      </w:r>
      <w:r w:rsidRPr="006D52A5">
        <w:rPr>
          <w:rFonts w:eastAsia="Calibri"/>
          <w:color w:val="000000" w:themeColor="text1"/>
          <w:sz w:val="24"/>
          <w:szCs w:val="24"/>
        </w:rPr>
        <w:t>will deliver all services for a fixed price, adhering to a detailed scope of work and specifications for Twiggs County BESS.</w:t>
      </w:r>
      <w:r w:rsidR="00511F10">
        <w:rPr>
          <w:rFonts w:eastAsia="Calibri"/>
          <w:color w:val="000000" w:themeColor="text1"/>
          <w:sz w:val="24"/>
          <w:szCs w:val="24"/>
        </w:rPr>
        <w:t xml:space="preserve"> </w:t>
      </w:r>
      <w:r w:rsidRPr="006D52A5">
        <w:rPr>
          <w:rFonts w:eastAsia="Calibri"/>
          <w:color w:val="000000" w:themeColor="text1"/>
          <w:sz w:val="24"/>
          <w:szCs w:val="24"/>
        </w:rPr>
        <w:t xml:space="preserve">The executed EPC Agreement between Georgia Power Company and </w:t>
      </w:r>
      <w:r w:rsidR="001C6506">
        <w:rPr>
          <w:rFonts w:eastAsia="Calibri"/>
          <w:color w:val="000000" w:themeColor="text1"/>
          <w:sz w:val="24"/>
          <w:szCs w:val="24"/>
        </w:rPr>
        <w:t xml:space="preserve">Crowder </w:t>
      </w:r>
      <w:r w:rsidRPr="006D52A5">
        <w:rPr>
          <w:rFonts w:eastAsia="Calibri"/>
          <w:color w:val="000000" w:themeColor="text1"/>
          <w:sz w:val="24"/>
          <w:szCs w:val="24"/>
        </w:rPr>
        <w:t>is included in Appendix</w:t>
      </w:r>
      <w:r w:rsidR="00854CB8">
        <w:rPr>
          <w:rFonts w:eastAsia="Calibri"/>
          <w:color w:val="000000" w:themeColor="text1"/>
          <w:sz w:val="24"/>
          <w:szCs w:val="24"/>
        </w:rPr>
        <w:t xml:space="preserve"> A</w:t>
      </w:r>
      <w:r w:rsidRPr="006D52A5">
        <w:rPr>
          <w:rFonts w:eastAsia="Calibri"/>
          <w:color w:val="000000" w:themeColor="text1"/>
          <w:sz w:val="24"/>
          <w:szCs w:val="24"/>
        </w:rPr>
        <w:t xml:space="preserve"> to this Application.</w:t>
      </w:r>
    </w:p>
    <w:p w14:paraId="53E82E48" w14:textId="77777777" w:rsidR="00BC0BB8" w:rsidRPr="00946278" w:rsidRDefault="00BC0BB8" w:rsidP="00BC0BB8">
      <w:pPr>
        <w:spacing w:line="276" w:lineRule="auto"/>
        <w:ind w:left="720"/>
        <w:rPr>
          <w:sz w:val="24"/>
          <w:szCs w:val="24"/>
          <w:highlight w:val="green"/>
        </w:rPr>
      </w:pPr>
    </w:p>
    <w:p w14:paraId="1FAC13B0" w14:textId="7FEC578F" w:rsidR="003C57B7" w:rsidRPr="00821A12" w:rsidRDefault="006E71F6" w:rsidP="006A2680">
      <w:pPr>
        <w:spacing w:line="360" w:lineRule="auto"/>
        <w:ind w:left="720" w:firstLine="720"/>
        <w:rPr>
          <w:i/>
          <w:iCs/>
          <w:sz w:val="24"/>
          <w:szCs w:val="24"/>
        </w:rPr>
      </w:pPr>
      <w:r w:rsidRPr="007C6563">
        <w:rPr>
          <w:i/>
          <w:iCs/>
          <w:sz w:val="24"/>
          <w:szCs w:val="24"/>
        </w:rPr>
        <w:t>Battery and Equipment Supply Agreement</w:t>
      </w:r>
    </w:p>
    <w:p w14:paraId="1FEDA4EA" w14:textId="53DCF84C" w:rsidR="00A33462" w:rsidRPr="005C4BBB" w:rsidRDefault="00C6297D" w:rsidP="00D4372D">
      <w:pPr>
        <w:spacing w:after="120" w:line="276" w:lineRule="auto"/>
        <w:ind w:left="720" w:firstLine="720"/>
        <w:jc w:val="both"/>
        <w:rPr>
          <w:sz w:val="24"/>
          <w:szCs w:val="24"/>
        </w:rPr>
      </w:pPr>
      <w:r>
        <w:rPr>
          <w:sz w:val="24"/>
          <w:szCs w:val="24"/>
        </w:rPr>
        <w:t>O</w:t>
      </w:r>
      <w:r w:rsidR="00A33462" w:rsidRPr="005C4BBB">
        <w:rPr>
          <w:sz w:val="24"/>
          <w:szCs w:val="24"/>
        </w:rPr>
        <w:t xml:space="preserve">n </w:t>
      </w:r>
      <w:r w:rsidRPr="005C4BBB">
        <w:rPr>
          <w:sz w:val="24"/>
          <w:szCs w:val="24"/>
        </w:rPr>
        <w:t>January 30,</w:t>
      </w:r>
      <w:r w:rsidR="00A33462" w:rsidRPr="005C4BBB">
        <w:rPr>
          <w:sz w:val="24"/>
          <w:szCs w:val="24"/>
        </w:rPr>
        <w:t xml:space="preserve"> 202</w:t>
      </w:r>
      <w:r w:rsidR="009A5B92" w:rsidRPr="00F51D0A">
        <w:rPr>
          <w:sz w:val="24"/>
          <w:szCs w:val="24"/>
        </w:rPr>
        <w:t>5</w:t>
      </w:r>
      <w:r w:rsidR="00A33462" w:rsidRPr="005C4BBB">
        <w:rPr>
          <w:sz w:val="24"/>
          <w:szCs w:val="24"/>
        </w:rPr>
        <w:t xml:space="preserve">, the Company finalized a BESA with Tesla for the procurement of an integrated battery energy storage system, the Megapack 2 XL, for deployment at Twiggs County BESS. This agreement was executed following a comprehensive Supply Chain RFP process. Manufactured at Tesla's </w:t>
      </w:r>
      <w:proofErr w:type="spellStart"/>
      <w:r w:rsidR="00A33462" w:rsidRPr="005C4BBB">
        <w:rPr>
          <w:sz w:val="24"/>
          <w:szCs w:val="24"/>
        </w:rPr>
        <w:t>Megafactory</w:t>
      </w:r>
      <w:proofErr w:type="spellEnd"/>
      <w:r w:rsidR="00A33462" w:rsidRPr="005C4BBB">
        <w:rPr>
          <w:sz w:val="24"/>
          <w:szCs w:val="24"/>
        </w:rPr>
        <w:t xml:space="preserve"> in Lathrop, CA, the basic storage component in the Tesla Megapack 2 XL is the lithium-iron phosphate (“LFP”) battery cell. These cells are assembled into battery modules and integrated into the Megapack units. Megapack’s modular design allows for easy scalability, connecting multiple units to meet project requirements. </w:t>
      </w:r>
      <w:r w:rsidR="00A33462" w:rsidRPr="005C4BBB">
        <w:rPr>
          <w:rStyle w:val="normaltextrun"/>
          <w:rFonts w:eastAsiaTheme="minorEastAsia"/>
          <w:sz w:val="24"/>
          <w:szCs w:val="24"/>
        </w:rPr>
        <w:t xml:space="preserve">Each unit can store over 3.9 MWh of energy. </w:t>
      </w:r>
      <w:r w:rsidR="00A33462" w:rsidRPr="005C4BBB" w:rsidDel="00801886">
        <w:rPr>
          <w:sz w:val="24"/>
          <w:szCs w:val="24"/>
        </w:rPr>
        <w:t xml:space="preserve">The system arrives on-site fully integrated with initial testing completed, ready to deliver </w:t>
      </w:r>
      <w:r w:rsidR="00A33462" w:rsidRPr="005C4BBB">
        <w:rPr>
          <w:sz w:val="24"/>
          <w:szCs w:val="24"/>
        </w:rPr>
        <w:t>alternating current (“AC”) electrical output.</w:t>
      </w:r>
      <w:r w:rsidR="00A33462" w:rsidRPr="005C4BBB" w:rsidDel="00801886">
        <w:rPr>
          <w:sz w:val="24"/>
          <w:szCs w:val="24"/>
        </w:rPr>
        <w:t xml:space="preserve"> </w:t>
      </w:r>
    </w:p>
    <w:p w14:paraId="7ADC6884" w14:textId="77777777" w:rsidR="00A33462" w:rsidRPr="005C4BBB" w:rsidRDefault="00A33462" w:rsidP="00D4372D">
      <w:pPr>
        <w:spacing w:after="120" w:line="276" w:lineRule="auto"/>
        <w:ind w:left="720" w:firstLine="720"/>
        <w:jc w:val="both"/>
        <w:rPr>
          <w:sz w:val="24"/>
          <w:szCs w:val="24"/>
        </w:rPr>
      </w:pPr>
      <w:r w:rsidRPr="005C4BBB">
        <w:rPr>
          <w:sz w:val="24"/>
          <w:szCs w:val="24"/>
        </w:rPr>
        <w:t xml:space="preserve">Safety is crucial in the Megapack design. Each unit undergoes rigorous testing to ensure safe operation. Tesla’s advanced Battery Management System (“BMS”) monitors and regulates temperature, voltage, and state-of-charge, ensuring optimal performance. </w:t>
      </w:r>
      <w:r w:rsidRPr="005C4BBB">
        <w:rPr>
          <w:sz w:val="24"/>
          <w:szCs w:val="24"/>
        </w:rPr>
        <w:lastRenderedPageBreak/>
        <w:t xml:space="preserve">Tesla’s technology is well-proven and reliable with grid-scale batteries operational in over 65 countries. </w:t>
      </w:r>
    </w:p>
    <w:p w14:paraId="74A2830A" w14:textId="77777777" w:rsidR="00A33462" w:rsidRPr="005C4BBB" w:rsidRDefault="00A33462" w:rsidP="00D4372D">
      <w:pPr>
        <w:spacing w:after="120" w:line="276" w:lineRule="auto"/>
        <w:ind w:left="720" w:firstLine="720"/>
        <w:jc w:val="both"/>
        <w:rPr>
          <w:rFonts w:eastAsia="Calibri"/>
          <w:color w:val="000000" w:themeColor="text1"/>
          <w:sz w:val="24"/>
          <w:szCs w:val="24"/>
        </w:rPr>
      </w:pPr>
      <w:r w:rsidRPr="005C4BBB">
        <w:rPr>
          <w:rFonts w:eastAsia="Calibri"/>
          <w:color w:val="000000" w:themeColor="text1"/>
          <w:sz w:val="24"/>
          <w:szCs w:val="24"/>
        </w:rPr>
        <w:t xml:space="preserve">The agreement includes a warranty that safeguards against equipment defects and guarantees against energy capacity degradation. </w:t>
      </w:r>
      <w:r w:rsidRPr="005C4BBB">
        <w:rPr>
          <w:rFonts w:eastAsia="Calibri"/>
          <w:sz w:val="24"/>
          <w:szCs w:val="24"/>
        </w:rPr>
        <w:t>In addition to the BESA, the Company will enter into a Long-Term Commitments Agreement (“LTCA”), which will provide an enhanced guaranteed energy retention capacity curve, as well as a Site RTE guarantee for each year of operation.</w:t>
      </w:r>
    </w:p>
    <w:p w14:paraId="67411FAC" w14:textId="58C0DC15" w:rsidR="006A2680" w:rsidRPr="006A2680" w:rsidRDefault="00A33462" w:rsidP="00D4372D">
      <w:pPr>
        <w:spacing w:after="120" w:line="276" w:lineRule="auto"/>
        <w:ind w:left="720" w:firstLine="720"/>
        <w:jc w:val="both"/>
        <w:rPr>
          <w:sz w:val="24"/>
          <w:szCs w:val="24"/>
        </w:rPr>
      </w:pPr>
      <w:r w:rsidRPr="005C4BBB">
        <w:rPr>
          <w:rFonts w:eastAsia="Calibri"/>
          <w:color w:val="000000" w:themeColor="text1"/>
          <w:sz w:val="24"/>
          <w:szCs w:val="24"/>
        </w:rPr>
        <w:t xml:space="preserve">The executed BESA between Georgia Power Company and Tesla is included in Appendix </w:t>
      </w:r>
      <w:r w:rsidR="00C14A59">
        <w:rPr>
          <w:rFonts w:eastAsia="Calibri"/>
          <w:color w:val="000000" w:themeColor="text1"/>
          <w:sz w:val="24"/>
          <w:szCs w:val="24"/>
        </w:rPr>
        <w:t xml:space="preserve">B </w:t>
      </w:r>
      <w:r w:rsidR="00B37100">
        <w:rPr>
          <w:rFonts w:eastAsia="Calibri"/>
          <w:color w:val="000000" w:themeColor="text1"/>
          <w:sz w:val="24"/>
          <w:szCs w:val="24"/>
        </w:rPr>
        <w:t xml:space="preserve">of </w:t>
      </w:r>
      <w:r w:rsidRPr="005C4BBB">
        <w:rPr>
          <w:rFonts w:eastAsia="Calibri"/>
          <w:color w:val="000000" w:themeColor="text1"/>
          <w:sz w:val="24"/>
          <w:szCs w:val="24"/>
        </w:rPr>
        <w:t>this Application.</w:t>
      </w:r>
    </w:p>
    <w:p w14:paraId="3CA51A26" w14:textId="13398679" w:rsidR="006E71F6" w:rsidRDefault="006E71F6" w:rsidP="006E71F6">
      <w:pPr>
        <w:pStyle w:val="Heading2"/>
        <w:keepNext/>
        <w:tabs>
          <w:tab w:val="clear" w:pos="7362"/>
          <w:tab w:val="num" w:pos="1440"/>
        </w:tabs>
        <w:spacing w:after="120" w:line="360" w:lineRule="auto"/>
        <w:ind w:left="720" w:firstLine="0"/>
        <w:rPr>
          <w:snapToGrid w:val="0"/>
        </w:rPr>
      </w:pPr>
      <w:bookmarkStart w:id="35" w:name="_Toc197703480"/>
      <w:r>
        <w:rPr>
          <w:snapToGrid w:val="0"/>
        </w:rPr>
        <w:t>Costs Associated with Construction</w:t>
      </w:r>
      <w:bookmarkEnd w:id="35"/>
    </w:p>
    <w:p w14:paraId="124A96C5" w14:textId="72768AC9" w:rsidR="0004720D" w:rsidRPr="005F47AD" w:rsidRDefault="0004720D" w:rsidP="007C6563">
      <w:pPr>
        <w:ind w:left="720" w:firstLine="720"/>
        <w:jc w:val="both"/>
        <w:rPr>
          <w:sz w:val="24"/>
          <w:szCs w:val="24"/>
        </w:rPr>
      </w:pPr>
      <w:r w:rsidRPr="005F47AD">
        <w:rPr>
          <w:rStyle w:val="normaltextrun"/>
          <w:rFonts w:eastAsiaTheme="minorEastAsia"/>
          <w:sz w:val="24"/>
          <w:szCs w:val="24"/>
        </w:rPr>
        <w:t xml:space="preserve">All construction costs are included in Figure </w:t>
      </w:r>
      <w:r w:rsidR="00B30276">
        <w:rPr>
          <w:rStyle w:val="normaltextrun"/>
          <w:rFonts w:eastAsiaTheme="minorEastAsia"/>
          <w:sz w:val="24"/>
          <w:szCs w:val="24"/>
        </w:rPr>
        <w:t>4.16</w:t>
      </w:r>
      <w:r w:rsidRPr="005F47AD">
        <w:rPr>
          <w:rStyle w:val="normaltextrun"/>
          <w:rFonts w:eastAsiaTheme="minorEastAsia"/>
          <w:sz w:val="24"/>
          <w:szCs w:val="24"/>
        </w:rPr>
        <w:t xml:space="preserve"> found in the above section titled </w:t>
      </w:r>
      <w:r w:rsidRPr="00BC3097">
        <w:rPr>
          <w:rStyle w:val="normaltextrun"/>
          <w:rFonts w:eastAsiaTheme="minorEastAsia"/>
          <w:sz w:val="24"/>
          <w:szCs w:val="24"/>
        </w:rPr>
        <w:t>“</w:t>
      </w:r>
      <w:r w:rsidR="00551E50" w:rsidRPr="00BC3097">
        <w:rPr>
          <w:sz w:val="24"/>
          <w:szCs w:val="24"/>
        </w:rPr>
        <w:t xml:space="preserve">Twiggs County BESS </w:t>
      </w:r>
      <w:r w:rsidR="00551E50" w:rsidRPr="00BC3097">
        <w:rPr>
          <w:rFonts w:eastAsiaTheme="minorEastAsia"/>
          <w:sz w:val="24"/>
          <w:szCs w:val="24"/>
        </w:rPr>
        <w:t>Cost Expenditure Plan</w:t>
      </w:r>
      <w:r w:rsidRPr="00BC3097">
        <w:rPr>
          <w:rStyle w:val="normaltextrun"/>
          <w:rFonts w:eastAsiaTheme="minorEastAsia"/>
          <w:sz w:val="24"/>
          <w:szCs w:val="24"/>
        </w:rPr>
        <w:t>.”</w:t>
      </w:r>
    </w:p>
    <w:p w14:paraId="6D98C6B9" w14:textId="77777777" w:rsidR="0004720D" w:rsidRDefault="0004720D" w:rsidP="007C6563">
      <w:pPr>
        <w:spacing w:line="360" w:lineRule="auto"/>
        <w:ind w:left="720" w:firstLine="720"/>
        <w:jc w:val="both"/>
        <w:rPr>
          <w:i/>
          <w:iCs/>
          <w:sz w:val="24"/>
          <w:szCs w:val="24"/>
          <w:highlight w:val="green"/>
        </w:rPr>
      </w:pPr>
    </w:p>
    <w:p w14:paraId="108B5B2B" w14:textId="3DCC9C66" w:rsidR="006A2680" w:rsidRPr="00551E50" w:rsidRDefault="006A2680" w:rsidP="007C6563">
      <w:pPr>
        <w:spacing w:line="360" w:lineRule="auto"/>
        <w:ind w:left="720" w:firstLine="720"/>
        <w:jc w:val="both"/>
        <w:rPr>
          <w:i/>
          <w:iCs/>
          <w:sz w:val="24"/>
          <w:szCs w:val="24"/>
        </w:rPr>
      </w:pPr>
      <w:r w:rsidRPr="00551E50">
        <w:rPr>
          <w:i/>
          <w:iCs/>
          <w:sz w:val="24"/>
          <w:szCs w:val="24"/>
        </w:rPr>
        <w:t>AFUDC, Ad Valorem, and Sales Tax</w:t>
      </w:r>
    </w:p>
    <w:p w14:paraId="57F2300A" w14:textId="3A7F34E9" w:rsidR="00A3629D" w:rsidRDefault="00A3629D" w:rsidP="00AD04EB">
      <w:pPr>
        <w:widowControl w:val="0"/>
        <w:spacing w:line="276" w:lineRule="auto"/>
        <w:ind w:left="720" w:firstLine="720"/>
        <w:jc w:val="both"/>
        <w:rPr>
          <w:rFonts w:eastAsiaTheme="minorEastAsia"/>
          <w:sz w:val="24"/>
          <w:szCs w:val="24"/>
        </w:rPr>
      </w:pPr>
      <w:r w:rsidRPr="005F47AD">
        <w:rPr>
          <w:rFonts w:eastAsiaTheme="minorEastAsia"/>
          <w:sz w:val="24"/>
          <w:szCs w:val="24"/>
        </w:rPr>
        <w:t>Pre-commercial operation allowance for funds used during construction (“AFUDC”), ad valorem, and sales tax costs are shown in thousands of nominal dollars in the table below. Sales tax costs are estimated as zero for the BESA and EPC purchases due to applicable sales and use tax exemptions. An estimate of sales tax for items that are not exempt from sales and use tax, such real property materials and fixtures, is not available.</w:t>
      </w:r>
    </w:p>
    <w:p w14:paraId="4DA81A45" w14:textId="77777777" w:rsidR="00027056" w:rsidRPr="005F47AD" w:rsidRDefault="00027056" w:rsidP="005F47AD">
      <w:pPr>
        <w:widowControl w:val="0"/>
        <w:spacing w:line="276" w:lineRule="auto"/>
        <w:ind w:left="720"/>
        <w:jc w:val="both"/>
        <w:rPr>
          <w:rFonts w:eastAsiaTheme="minorEastAsia"/>
          <w:sz w:val="24"/>
          <w:szCs w:val="24"/>
        </w:rPr>
      </w:pPr>
    </w:p>
    <w:p w14:paraId="0129CA9A" w14:textId="4E63F8DC" w:rsidR="00A3629D" w:rsidRPr="006B77D9" w:rsidRDefault="00A3629D" w:rsidP="00A3629D">
      <w:pPr>
        <w:pStyle w:val="Caption"/>
        <w:rPr>
          <w:rFonts w:ascii="Times New Roman" w:eastAsiaTheme="minorEastAsia" w:hAnsi="Times New Roman"/>
        </w:rPr>
      </w:pPr>
      <w:r w:rsidRPr="006B77D9">
        <w:rPr>
          <w:rFonts w:ascii="Times New Roman" w:hAnsi="Times New Roman"/>
        </w:rPr>
        <w:t xml:space="preserve">Figure </w:t>
      </w:r>
      <w:r w:rsidR="00046EBD">
        <w:rPr>
          <w:rFonts w:ascii="Times New Roman" w:hAnsi="Times New Roman"/>
        </w:rPr>
        <w:t>4.18</w:t>
      </w:r>
      <w:r w:rsidRPr="006B77D9">
        <w:rPr>
          <w:rFonts w:ascii="Times New Roman" w:hAnsi="Times New Roman"/>
        </w:rPr>
        <w:t xml:space="preserve"> – Twiggs County BESS AFUDC, Ad Valorem, and Sales Tax Estimates</w:t>
      </w:r>
    </w:p>
    <w:tbl>
      <w:tblPr>
        <w:tblStyle w:val="TableGrid"/>
        <w:tblW w:w="6835" w:type="dxa"/>
        <w:jc w:val="center"/>
        <w:tblLayout w:type="fixed"/>
        <w:tblLook w:val="01E0" w:firstRow="1" w:lastRow="1" w:firstColumn="1" w:lastColumn="1" w:noHBand="0" w:noVBand="0"/>
      </w:tblPr>
      <w:tblGrid>
        <w:gridCol w:w="1705"/>
        <w:gridCol w:w="1710"/>
        <w:gridCol w:w="1710"/>
        <w:gridCol w:w="1710"/>
      </w:tblGrid>
      <w:tr w:rsidR="00A3629D" w:rsidRPr="006B77D9" w14:paraId="70518AF7" w14:textId="77777777" w:rsidTr="00C61B22">
        <w:trPr>
          <w:trHeight w:val="275"/>
          <w:jc w:val="center"/>
        </w:trPr>
        <w:tc>
          <w:tcPr>
            <w:tcW w:w="1705" w:type="dxa"/>
            <w:vAlign w:val="center"/>
          </w:tcPr>
          <w:p w14:paraId="3B4E16B1" w14:textId="77777777" w:rsidR="00A3629D" w:rsidRPr="006B77D9" w:rsidRDefault="00A3629D" w:rsidP="00C61B22">
            <w:pPr>
              <w:rPr>
                <w:b/>
                <w:bCs/>
              </w:rPr>
            </w:pPr>
          </w:p>
        </w:tc>
        <w:tc>
          <w:tcPr>
            <w:tcW w:w="1710" w:type="dxa"/>
            <w:vAlign w:val="center"/>
          </w:tcPr>
          <w:p w14:paraId="3DC9463D" w14:textId="77777777" w:rsidR="00A3629D" w:rsidRPr="006B77D9" w:rsidRDefault="00A3629D" w:rsidP="00C61B22">
            <w:pPr>
              <w:jc w:val="center"/>
              <w:rPr>
                <w:b/>
                <w:bCs/>
              </w:rPr>
            </w:pPr>
            <w:r w:rsidRPr="006B77D9">
              <w:rPr>
                <w:b/>
                <w:bCs/>
              </w:rPr>
              <w:t>AFUDC</w:t>
            </w:r>
          </w:p>
        </w:tc>
        <w:tc>
          <w:tcPr>
            <w:tcW w:w="1710" w:type="dxa"/>
            <w:vAlign w:val="bottom"/>
          </w:tcPr>
          <w:p w14:paraId="6D987177" w14:textId="77777777" w:rsidR="00A3629D" w:rsidRPr="006B77D9" w:rsidRDefault="00A3629D" w:rsidP="00C61B22">
            <w:pPr>
              <w:jc w:val="center"/>
              <w:rPr>
                <w:b/>
                <w:bCs/>
              </w:rPr>
            </w:pPr>
            <w:r w:rsidRPr="006B77D9">
              <w:rPr>
                <w:b/>
                <w:bCs/>
              </w:rPr>
              <w:t>Ad Valorem</w:t>
            </w:r>
          </w:p>
        </w:tc>
        <w:tc>
          <w:tcPr>
            <w:tcW w:w="1710" w:type="dxa"/>
            <w:vAlign w:val="center"/>
          </w:tcPr>
          <w:p w14:paraId="0C45E43C" w14:textId="77777777" w:rsidR="00A3629D" w:rsidRPr="006B77D9" w:rsidRDefault="00A3629D" w:rsidP="00C61B22">
            <w:pPr>
              <w:jc w:val="center"/>
              <w:rPr>
                <w:b/>
                <w:bCs/>
              </w:rPr>
            </w:pPr>
            <w:r w:rsidRPr="006B77D9">
              <w:rPr>
                <w:b/>
                <w:bCs/>
              </w:rPr>
              <w:t>Sales Tax</w:t>
            </w:r>
          </w:p>
        </w:tc>
      </w:tr>
      <w:tr w:rsidR="00F40940" w:rsidRPr="006B77D9" w14:paraId="1AAEB467" w14:textId="77777777" w:rsidTr="008924FD">
        <w:trPr>
          <w:trHeight w:val="275"/>
          <w:jc w:val="center"/>
        </w:trPr>
        <w:tc>
          <w:tcPr>
            <w:tcW w:w="1705" w:type="dxa"/>
            <w:vAlign w:val="center"/>
          </w:tcPr>
          <w:p w14:paraId="034D1647" w14:textId="6CA85C2F" w:rsidR="00F40940" w:rsidRPr="006B77D9" w:rsidRDefault="00F40940" w:rsidP="00F40940">
            <w:pPr>
              <w:jc w:val="center"/>
              <w:rPr>
                <w:bCs/>
              </w:rPr>
            </w:pPr>
            <w:r w:rsidRPr="006B77D9">
              <w:rPr>
                <w:bCs/>
              </w:rPr>
              <w:t>202</w:t>
            </w:r>
            <w:r>
              <w:rPr>
                <w:bCs/>
              </w:rPr>
              <w:t>5</w:t>
            </w:r>
          </w:p>
        </w:tc>
        <w:tc>
          <w:tcPr>
            <w:tcW w:w="1710" w:type="dxa"/>
          </w:tcPr>
          <w:p w14:paraId="3F5C4EAD" w14:textId="016744F9" w:rsidR="00F40940" w:rsidRPr="006B77D9" w:rsidRDefault="00F40940" w:rsidP="00F40940">
            <w:pPr>
              <w:jc w:val="center"/>
              <w:rPr>
                <w:rFonts w:eastAsia="Arial"/>
                <w:highlight w:val="yellow"/>
              </w:rPr>
            </w:pPr>
            <w:r w:rsidRPr="00086C9E">
              <w:t>REDACTED</w:t>
            </w:r>
          </w:p>
        </w:tc>
        <w:tc>
          <w:tcPr>
            <w:tcW w:w="1710" w:type="dxa"/>
          </w:tcPr>
          <w:p w14:paraId="5343151F" w14:textId="763880E6" w:rsidR="00F40940" w:rsidRPr="006B77D9" w:rsidRDefault="00F40940" w:rsidP="00F40940">
            <w:pPr>
              <w:jc w:val="center"/>
              <w:rPr>
                <w:rFonts w:eastAsia="Arial"/>
                <w:highlight w:val="yellow"/>
              </w:rPr>
            </w:pPr>
            <w:r w:rsidRPr="00086C9E">
              <w:t>REDACTED</w:t>
            </w:r>
          </w:p>
        </w:tc>
        <w:tc>
          <w:tcPr>
            <w:tcW w:w="1710" w:type="dxa"/>
            <w:shd w:val="clear" w:color="auto" w:fill="auto"/>
          </w:tcPr>
          <w:p w14:paraId="4F8E21AC" w14:textId="43643BFE" w:rsidR="00F40940" w:rsidRPr="004B509A" w:rsidRDefault="00F40940" w:rsidP="00F40940">
            <w:pPr>
              <w:jc w:val="center"/>
              <w:rPr>
                <w:highlight w:val="yellow"/>
              </w:rPr>
            </w:pPr>
            <w:r w:rsidRPr="00086C9E">
              <w:t>REDACTED</w:t>
            </w:r>
          </w:p>
        </w:tc>
      </w:tr>
      <w:tr w:rsidR="00F40940" w:rsidRPr="006B77D9" w14:paraId="68FF0E07" w14:textId="77777777" w:rsidTr="008924FD">
        <w:trPr>
          <w:trHeight w:val="275"/>
          <w:jc w:val="center"/>
        </w:trPr>
        <w:tc>
          <w:tcPr>
            <w:tcW w:w="1705" w:type="dxa"/>
            <w:vAlign w:val="center"/>
          </w:tcPr>
          <w:p w14:paraId="3B4BA2FE" w14:textId="2FC59F1E" w:rsidR="00F40940" w:rsidRPr="006B77D9" w:rsidRDefault="00F40940" w:rsidP="00F40940">
            <w:pPr>
              <w:jc w:val="center"/>
            </w:pPr>
            <w:r w:rsidRPr="006B77D9">
              <w:t>202</w:t>
            </w:r>
            <w:r>
              <w:t>6</w:t>
            </w:r>
          </w:p>
        </w:tc>
        <w:tc>
          <w:tcPr>
            <w:tcW w:w="1710" w:type="dxa"/>
          </w:tcPr>
          <w:p w14:paraId="5FB8C05D" w14:textId="7E498425" w:rsidR="00F40940" w:rsidRPr="006B77D9" w:rsidRDefault="00F40940" w:rsidP="00F40940">
            <w:pPr>
              <w:jc w:val="center"/>
              <w:rPr>
                <w:rFonts w:eastAsia="Arial"/>
                <w:highlight w:val="yellow"/>
              </w:rPr>
            </w:pPr>
            <w:r w:rsidRPr="00086C9E">
              <w:t>REDACTED</w:t>
            </w:r>
          </w:p>
        </w:tc>
        <w:tc>
          <w:tcPr>
            <w:tcW w:w="1710" w:type="dxa"/>
          </w:tcPr>
          <w:p w14:paraId="4DB8A4AC" w14:textId="0D176005" w:rsidR="00F40940" w:rsidRPr="006B77D9" w:rsidRDefault="00F40940" w:rsidP="00F40940">
            <w:pPr>
              <w:jc w:val="center"/>
              <w:rPr>
                <w:rFonts w:eastAsia="Arial"/>
                <w:highlight w:val="yellow"/>
              </w:rPr>
            </w:pPr>
            <w:r w:rsidRPr="00086C9E">
              <w:t>REDACTED</w:t>
            </w:r>
          </w:p>
        </w:tc>
        <w:tc>
          <w:tcPr>
            <w:tcW w:w="1710" w:type="dxa"/>
            <w:shd w:val="clear" w:color="auto" w:fill="auto"/>
          </w:tcPr>
          <w:p w14:paraId="3F92421C" w14:textId="79EC5AF0" w:rsidR="00F40940" w:rsidRPr="004B509A" w:rsidRDefault="00F40940" w:rsidP="00F40940">
            <w:pPr>
              <w:jc w:val="center"/>
              <w:rPr>
                <w:highlight w:val="yellow"/>
              </w:rPr>
            </w:pPr>
            <w:r w:rsidRPr="00086C9E">
              <w:t>REDACTED</w:t>
            </w:r>
          </w:p>
        </w:tc>
      </w:tr>
      <w:tr w:rsidR="00F40940" w:rsidRPr="006B77D9" w14:paraId="75A6B0C5" w14:textId="77777777" w:rsidTr="008924FD">
        <w:trPr>
          <w:trHeight w:val="275"/>
          <w:jc w:val="center"/>
        </w:trPr>
        <w:tc>
          <w:tcPr>
            <w:tcW w:w="1705" w:type="dxa"/>
            <w:vAlign w:val="center"/>
          </w:tcPr>
          <w:p w14:paraId="1BCA04ED" w14:textId="707FB5F0" w:rsidR="00F40940" w:rsidRPr="006B77D9" w:rsidRDefault="00F40940" w:rsidP="00F40940">
            <w:pPr>
              <w:jc w:val="center"/>
            </w:pPr>
            <w:r w:rsidRPr="006B77D9">
              <w:t>202</w:t>
            </w:r>
            <w:r>
              <w:t>7</w:t>
            </w:r>
          </w:p>
        </w:tc>
        <w:tc>
          <w:tcPr>
            <w:tcW w:w="1710" w:type="dxa"/>
          </w:tcPr>
          <w:p w14:paraId="302BBE88" w14:textId="1D099F2C" w:rsidR="00F40940" w:rsidRPr="006B77D9" w:rsidRDefault="00F40940" w:rsidP="00F40940">
            <w:pPr>
              <w:jc w:val="center"/>
              <w:rPr>
                <w:rFonts w:eastAsia="Arial"/>
                <w:highlight w:val="yellow"/>
              </w:rPr>
            </w:pPr>
            <w:r w:rsidRPr="00086C9E">
              <w:t>REDACTED</w:t>
            </w:r>
          </w:p>
        </w:tc>
        <w:tc>
          <w:tcPr>
            <w:tcW w:w="1710" w:type="dxa"/>
          </w:tcPr>
          <w:p w14:paraId="1939375C" w14:textId="1A5512BE" w:rsidR="00F40940" w:rsidRPr="006B77D9" w:rsidRDefault="00F40940" w:rsidP="00F40940">
            <w:pPr>
              <w:jc w:val="center"/>
              <w:rPr>
                <w:rFonts w:eastAsia="Arial"/>
                <w:highlight w:val="yellow"/>
              </w:rPr>
            </w:pPr>
            <w:r w:rsidRPr="00086C9E">
              <w:t>REDACTED</w:t>
            </w:r>
          </w:p>
        </w:tc>
        <w:tc>
          <w:tcPr>
            <w:tcW w:w="1710" w:type="dxa"/>
            <w:shd w:val="clear" w:color="auto" w:fill="auto"/>
          </w:tcPr>
          <w:p w14:paraId="430D70A1" w14:textId="1C63D7CE" w:rsidR="00F40940" w:rsidRPr="004B509A" w:rsidRDefault="00F40940" w:rsidP="00F40940">
            <w:pPr>
              <w:jc w:val="center"/>
              <w:rPr>
                <w:highlight w:val="yellow"/>
              </w:rPr>
            </w:pPr>
            <w:r w:rsidRPr="00086C9E">
              <w:t>REDACTED</w:t>
            </w:r>
          </w:p>
        </w:tc>
      </w:tr>
      <w:tr w:rsidR="00F40940" w:rsidRPr="006B77D9" w14:paraId="192FCEBA" w14:textId="77777777" w:rsidTr="00C61B22">
        <w:trPr>
          <w:trHeight w:val="275"/>
          <w:jc w:val="center"/>
        </w:trPr>
        <w:tc>
          <w:tcPr>
            <w:tcW w:w="1705" w:type="dxa"/>
            <w:vAlign w:val="center"/>
          </w:tcPr>
          <w:p w14:paraId="16D85F11" w14:textId="77777777" w:rsidR="00F40940" w:rsidRPr="006B77D9" w:rsidRDefault="00F40940" w:rsidP="00F40940">
            <w:pPr>
              <w:jc w:val="center"/>
              <w:rPr>
                <w:b/>
                <w:bCs/>
              </w:rPr>
            </w:pPr>
            <w:r w:rsidRPr="006B77D9">
              <w:rPr>
                <w:b/>
                <w:bCs/>
              </w:rPr>
              <w:t>Total</w:t>
            </w:r>
          </w:p>
        </w:tc>
        <w:tc>
          <w:tcPr>
            <w:tcW w:w="1710" w:type="dxa"/>
            <w:shd w:val="clear" w:color="auto" w:fill="auto"/>
          </w:tcPr>
          <w:p w14:paraId="05C3DF6E" w14:textId="57CEA40B" w:rsidR="00F40940" w:rsidRPr="006B77D9" w:rsidRDefault="00F40940" w:rsidP="00F40940">
            <w:pPr>
              <w:jc w:val="center"/>
              <w:rPr>
                <w:b/>
                <w:bCs/>
                <w:highlight w:val="yellow"/>
              </w:rPr>
            </w:pPr>
            <w:r w:rsidRPr="00086C9E">
              <w:t>REDACTED</w:t>
            </w:r>
          </w:p>
        </w:tc>
        <w:tc>
          <w:tcPr>
            <w:tcW w:w="1710" w:type="dxa"/>
            <w:shd w:val="clear" w:color="auto" w:fill="auto"/>
          </w:tcPr>
          <w:p w14:paraId="465F20AE" w14:textId="031EAB39" w:rsidR="00F40940" w:rsidRPr="006B77D9" w:rsidRDefault="00F40940" w:rsidP="00F40940">
            <w:pPr>
              <w:jc w:val="center"/>
              <w:rPr>
                <w:b/>
                <w:bCs/>
                <w:highlight w:val="yellow"/>
              </w:rPr>
            </w:pPr>
            <w:r w:rsidRPr="00086C9E">
              <w:t>REDACTED</w:t>
            </w:r>
          </w:p>
        </w:tc>
        <w:tc>
          <w:tcPr>
            <w:tcW w:w="1710" w:type="dxa"/>
            <w:shd w:val="clear" w:color="auto" w:fill="auto"/>
          </w:tcPr>
          <w:p w14:paraId="4A758302" w14:textId="5E9FFABA" w:rsidR="00F40940" w:rsidRPr="004B509A" w:rsidRDefault="00F40940" w:rsidP="00F40940">
            <w:pPr>
              <w:jc w:val="center"/>
              <w:rPr>
                <w:b/>
                <w:bCs/>
                <w:highlight w:val="yellow"/>
              </w:rPr>
            </w:pPr>
            <w:r w:rsidRPr="00086C9E">
              <w:t>REDACTED</w:t>
            </w:r>
          </w:p>
        </w:tc>
      </w:tr>
    </w:tbl>
    <w:p w14:paraId="669EE594" w14:textId="1BB67DC4" w:rsidR="006A2680" w:rsidRDefault="006A2680" w:rsidP="006A2680">
      <w:pPr>
        <w:spacing w:line="360" w:lineRule="auto"/>
        <w:ind w:left="720" w:firstLine="720"/>
        <w:rPr>
          <w:sz w:val="24"/>
          <w:szCs w:val="24"/>
          <w:highlight w:val="green"/>
        </w:rPr>
      </w:pPr>
    </w:p>
    <w:p w14:paraId="68F94A1D" w14:textId="460EA989" w:rsidR="006A2680" w:rsidRPr="00BC3097" w:rsidRDefault="006A2680" w:rsidP="005B4C51">
      <w:pPr>
        <w:spacing w:line="360" w:lineRule="auto"/>
        <w:ind w:left="720" w:firstLine="720"/>
        <w:jc w:val="both"/>
        <w:rPr>
          <w:i/>
          <w:iCs/>
          <w:sz w:val="24"/>
          <w:szCs w:val="24"/>
        </w:rPr>
      </w:pPr>
      <w:r w:rsidRPr="00BC3097">
        <w:rPr>
          <w:i/>
          <w:iCs/>
          <w:sz w:val="24"/>
          <w:szCs w:val="24"/>
        </w:rPr>
        <w:t>Estimated Annual Capital Additions</w:t>
      </w:r>
    </w:p>
    <w:p w14:paraId="5C13ABEE" w14:textId="3DA1FF88" w:rsidR="007C5B34" w:rsidRDefault="00452A5D" w:rsidP="00D4372D">
      <w:pPr>
        <w:spacing w:line="276" w:lineRule="auto"/>
        <w:ind w:left="720" w:firstLine="720"/>
        <w:jc w:val="both"/>
        <w:rPr>
          <w:rStyle w:val="normaltextrun"/>
          <w:rFonts w:eastAsiaTheme="minorEastAsia"/>
          <w:sz w:val="24"/>
          <w:szCs w:val="24"/>
        </w:rPr>
      </w:pPr>
      <w:r w:rsidRPr="005F47AD">
        <w:rPr>
          <w:rStyle w:val="normaltextrun"/>
          <w:rFonts w:eastAsiaTheme="minorEastAsia"/>
          <w:sz w:val="24"/>
          <w:szCs w:val="24"/>
        </w:rPr>
        <w:t>Estimated annual capital additions over the life of the resource are included in Figure 4</w:t>
      </w:r>
      <w:r w:rsidR="00EE4DF9">
        <w:rPr>
          <w:rStyle w:val="normaltextrun"/>
          <w:rFonts w:eastAsiaTheme="minorEastAsia"/>
          <w:sz w:val="24"/>
          <w:szCs w:val="24"/>
        </w:rPr>
        <w:t>.</w:t>
      </w:r>
      <w:r w:rsidR="009C30D3">
        <w:rPr>
          <w:rStyle w:val="normaltextrun"/>
          <w:rFonts w:eastAsiaTheme="minorEastAsia"/>
          <w:sz w:val="24"/>
          <w:szCs w:val="24"/>
        </w:rPr>
        <w:t>4</w:t>
      </w:r>
      <w:r w:rsidR="009C30D3" w:rsidRPr="005F47AD">
        <w:rPr>
          <w:rStyle w:val="normaltextrun"/>
          <w:rFonts w:eastAsiaTheme="minorEastAsia"/>
          <w:sz w:val="24"/>
          <w:szCs w:val="24"/>
        </w:rPr>
        <w:t xml:space="preserve"> </w:t>
      </w:r>
      <w:r w:rsidRPr="005F47AD">
        <w:rPr>
          <w:rStyle w:val="normaltextrun"/>
          <w:rFonts w:eastAsiaTheme="minorEastAsia"/>
          <w:sz w:val="24"/>
          <w:szCs w:val="24"/>
        </w:rPr>
        <w:t>found in the above section titled “</w:t>
      </w:r>
      <w:r w:rsidR="009C30D3" w:rsidRPr="00BC3097">
        <w:rPr>
          <w:sz w:val="24"/>
          <w:szCs w:val="24"/>
        </w:rPr>
        <w:t>Twiggs County BESS Estimated Annual Costs</w:t>
      </w:r>
      <w:r w:rsidRPr="005F47AD">
        <w:rPr>
          <w:rStyle w:val="normaltextrun"/>
          <w:rFonts w:eastAsiaTheme="minorEastAsia"/>
          <w:sz w:val="24"/>
          <w:szCs w:val="24"/>
        </w:rPr>
        <w:t>.”</w:t>
      </w:r>
    </w:p>
    <w:p w14:paraId="71BD7A81" w14:textId="77777777" w:rsidR="00027056" w:rsidRDefault="00027056" w:rsidP="005B4C51">
      <w:pPr>
        <w:spacing w:line="276" w:lineRule="auto"/>
        <w:ind w:left="1440"/>
        <w:jc w:val="both"/>
        <w:rPr>
          <w:i/>
          <w:iCs/>
          <w:sz w:val="24"/>
          <w:szCs w:val="24"/>
          <w:highlight w:val="green"/>
        </w:rPr>
      </w:pPr>
    </w:p>
    <w:p w14:paraId="5DC3A38A" w14:textId="74B22835" w:rsidR="006A2680" w:rsidRPr="003344A0" w:rsidRDefault="006A2680" w:rsidP="005B4C51">
      <w:pPr>
        <w:spacing w:line="276" w:lineRule="auto"/>
        <w:ind w:left="1440"/>
        <w:jc w:val="both"/>
        <w:rPr>
          <w:i/>
          <w:iCs/>
          <w:sz w:val="24"/>
          <w:szCs w:val="24"/>
        </w:rPr>
      </w:pPr>
      <w:r w:rsidRPr="003344A0">
        <w:rPr>
          <w:i/>
          <w:iCs/>
          <w:sz w:val="24"/>
          <w:szCs w:val="24"/>
        </w:rPr>
        <w:t>Decommissioning/Dismantlement Costs</w:t>
      </w:r>
    </w:p>
    <w:p w14:paraId="0753D41E" w14:textId="592DF886" w:rsidR="006A2680" w:rsidRDefault="003C4FC7" w:rsidP="00D4372D">
      <w:pPr>
        <w:spacing w:line="276" w:lineRule="auto"/>
        <w:ind w:left="720" w:firstLine="720"/>
        <w:jc w:val="both"/>
        <w:rPr>
          <w:rStyle w:val="normaltextrun"/>
          <w:rFonts w:eastAsiaTheme="minorEastAsia"/>
          <w:sz w:val="24"/>
          <w:szCs w:val="24"/>
        </w:rPr>
      </w:pPr>
      <w:r w:rsidRPr="007C5B34">
        <w:rPr>
          <w:rStyle w:val="normaltextrun"/>
          <w:rFonts w:eastAsiaTheme="minorEastAsia"/>
          <w:sz w:val="24"/>
          <w:szCs w:val="24"/>
        </w:rPr>
        <w:t xml:space="preserve">Estimated decommissioning and dismantlement costs assumed for the BESS resource are </w:t>
      </w:r>
      <w:r w:rsidR="00F40940" w:rsidRPr="00681440">
        <w:t>REDACTED</w:t>
      </w:r>
      <w:r w:rsidRPr="007C5B34">
        <w:rPr>
          <w:rStyle w:val="normaltextrun"/>
          <w:rFonts w:eastAsiaTheme="minorEastAsia"/>
          <w:sz w:val="24"/>
          <w:szCs w:val="24"/>
        </w:rPr>
        <w:t>. This value represents an estimated cost at the end of the life of the BESS.</w:t>
      </w:r>
    </w:p>
    <w:p w14:paraId="236418F6" w14:textId="77777777" w:rsidR="00027056" w:rsidRPr="003C4FC7" w:rsidRDefault="00027056" w:rsidP="005B4C51">
      <w:pPr>
        <w:spacing w:line="276" w:lineRule="auto"/>
        <w:ind w:left="1440"/>
        <w:jc w:val="both"/>
        <w:rPr>
          <w:sz w:val="24"/>
          <w:szCs w:val="24"/>
          <w:highlight w:val="green"/>
        </w:rPr>
      </w:pPr>
    </w:p>
    <w:p w14:paraId="4BCE8D0F" w14:textId="367F0E4A" w:rsidR="006A2680" w:rsidRPr="00821A12" w:rsidRDefault="006A2680" w:rsidP="005B4C51">
      <w:pPr>
        <w:spacing w:line="360" w:lineRule="auto"/>
        <w:ind w:left="720" w:firstLine="720"/>
        <w:jc w:val="both"/>
        <w:rPr>
          <w:i/>
          <w:iCs/>
          <w:sz w:val="24"/>
          <w:szCs w:val="24"/>
        </w:rPr>
      </w:pPr>
      <w:r w:rsidRPr="003873C0">
        <w:rPr>
          <w:i/>
          <w:iCs/>
          <w:sz w:val="24"/>
          <w:szCs w:val="24"/>
        </w:rPr>
        <w:lastRenderedPageBreak/>
        <w:t>Cost of Dedicated Transmission and Distribution Facilities</w:t>
      </w:r>
    </w:p>
    <w:p w14:paraId="547F653C" w14:textId="00BF1DD8" w:rsidR="00C1696D" w:rsidRPr="00D328D2" w:rsidRDefault="00D328D2" w:rsidP="00D4372D">
      <w:pPr>
        <w:spacing w:line="276" w:lineRule="auto"/>
        <w:ind w:left="720" w:firstLine="720"/>
        <w:jc w:val="both"/>
        <w:rPr>
          <w:sz w:val="24"/>
          <w:szCs w:val="24"/>
        </w:rPr>
      </w:pPr>
      <w:r w:rsidRPr="00027056">
        <w:rPr>
          <w:rFonts w:eastAsiaTheme="minorEastAsia"/>
          <w:sz w:val="24"/>
          <w:szCs w:val="24"/>
        </w:rPr>
        <w:t xml:space="preserve">A cost comparison of projects similar by type, design, and capacity </w:t>
      </w:r>
      <w:r w:rsidR="000B31F3">
        <w:rPr>
          <w:rFonts w:eastAsiaTheme="minorEastAsia"/>
          <w:sz w:val="24"/>
          <w:szCs w:val="24"/>
        </w:rPr>
        <w:t xml:space="preserve">was </w:t>
      </w:r>
      <w:r w:rsidRPr="00027056">
        <w:rPr>
          <w:rFonts w:eastAsiaTheme="minorEastAsia"/>
          <w:sz w:val="24"/>
          <w:szCs w:val="24"/>
        </w:rPr>
        <w:t xml:space="preserve">completed in the </w:t>
      </w:r>
      <w:r w:rsidR="00730E46">
        <w:rPr>
          <w:rFonts w:eastAsiaTheme="minorEastAsia"/>
          <w:sz w:val="24"/>
          <w:szCs w:val="24"/>
        </w:rPr>
        <w:t xml:space="preserve">RFP evaluation </w:t>
      </w:r>
      <w:r w:rsidR="00276B4C">
        <w:rPr>
          <w:rFonts w:eastAsiaTheme="minorEastAsia"/>
          <w:sz w:val="24"/>
          <w:szCs w:val="24"/>
        </w:rPr>
        <w:t>process</w:t>
      </w:r>
      <w:r w:rsidR="003873C0">
        <w:rPr>
          <w:rFonts w:eastAsiaTheme="minorEastAsia"/>
          <w:sz w:val="24"/>
          <w:szCs w:val="24"/>
        </w:rPr>
        <w:t>.</w:t>
      </w:r>
    </w:p>
    <w:p w14:paraId="2F66A1B1" w14:textId="66F03DA4" w:rsidR="006E71F6" w:rsidRPr="006111B1" w:rsidRDefault="00EB78F8" w:rsidP="005B4C51">
      <w:pPr>
        <w:pStyle w:val="Heading2"/>
        <w:keepNext/>
        <w:tabs>
          <w:tab w:val="clear" w:pos="7362"/>
          <w:tab w:val="num" w:pos="1440"/>
        </w:tabs>
        <w:spacing w:after="120" w:line="360" w:lineRule="auto"/>
        <w:ind w:left="720" w:firstLine="0"/>
        <w:jc w:val="both"/>
        <w:rPr>
          <w:snapToGrid w:val="0"/>
        </w:rPr>
      </w:pPr>
      <w:bookmarkStart w:id="36" w:name="_Toc197703481"/>
      <w:r>
        <w:rPr>
          <w:snapToGrid w:val="0"/>
        </w:rPr>
        <w:t>Cost Comparison of Similar Projects</w:t>
      </w:r>
      <w:bookmarkEnd w:id="36"/>
    </w:p>
    <w:p w14:paraId="0F55CA7C" w14:textId="732DA7A1" w:rsidR="006E71F6" w:rsidRPr="00FA73EF" w:rsidRDefault="00A678E2" w:rsidP="00AD04EB">
      <w:pPr>
        <w:pStyle w:val="BalloonText"/>
        <w:spacing w:line="276" w:lineRule="auto"/>
        <w:ind w:left="720" w:firstLine="720"/>
        <w:jc w:val="both"/>
        <w:rPr>
          <w:rFonts w:ascii="Times New Roman" w:hAnsi="Times New Roman" w:cs="Times New Roman"/>
          <w:sz w:val="24"/>
          <w:szCs w:val="24"/>
        </w:rPr>
      </w:pPr>
      <w:bookmarkStart w:id="37" w:name="_Hlk197597663"/>
      <w:r w:rsidRPr="0042391B">
        <w:rPr>
          <w:rFonts w:ascii="Times New Roman" w:eastAsiaTheme="minorEastAsia" w:hAnsi="Times New Roman" w:cs="Times New Roman"/>
          <w:sz w:val="24"/>
          <w:szCs w:val="24"/>
        </w:rPr>
        <w:t xml:space="preserve">A cost comparison of projects similar by type, design, and capacity </w:t>
      </w:r>
      <w:r w:rsidR="000F5E25">
        <w:rPr>
          <w:rFonts w:ascii="Times New Roman" w:eastAsiaTheme="minorEastAsia" w:hAnsi="Times New Roman" w:cs="Times New Roman"/>
          <w:sz w:val="24"/>
          <w:szCs w:val="24"/>
        </w:rPr>
        <w:t xml:space="preserve">was </w:t>
      </w:r>
      <w:r w:rsidRPr="0042391B">
        <w:rPr>
          <w:rFonts w:ascii="Times New Roman" w:eastAsiaTheme="minorEastAsia" w:hAnsi="Times New Roman" w:cs="Times New Roman"/>
          <w:sz w:val="24"/>
          <w:szCs w:val="24"/>
        </w:rPr>
        <w:t xml:space="preserve">completed in the </w:t>
      </w:r>
      <w:r w:rsidR="000F5E25">
        <w:rPr>
          <w:rFonts w:ascii="Times New Roman" w:eastAsiaTheme="minorEastAsia" w:hAnsi="Times New Roman" w:cs="Times New Roman"/>
          <w:sz w:val="24"/>
          <w:szCs w:val="24"/>
        </w:rPr>
        <w:t>RFP process</w:t>
      </w:r>
      <w:r w:rsidR="000E7FCE">
        <w:rPr>
          <w:rFonts w:ascii="Times New Roman" w:eastAsiaTheme="minorEastAsia" w:hAnsi="Times New Roman" w:cs="Times New Roman"/>
          <w:sz w:val="24"/>
          <w:szCs w:val="24"/>
        </w:rPr>
        <w:t>.</w:t>
      </w:r>
    </w:p>
    <w:p w14:paraId="29612735" w14:textId="1BB5F56E" w:rsidR="00EB78F8" w:rsidRPr="00FA73EF" w:rsidRDefault="00EB78F8" w:rsidP="005B4C51">
      <w:pPr>
        <w:pStyle w:val="Heading2"/>
        <w:keepNext/>
        <w:tabs>
          <w:tab w:val="clear" w:pos="7362"/>
          <w:tab w:val="num" w:pos="1440"/>
        </w:tabs>
        <w:spacing w:after="120" w:line="360" w:lineRule="auto"/>
        <w:ind w:left="720" w:firstLine="0"/>
        <w:jc w:val="both"/>
      </w:pPr>
      <w:bookmarkStart w:id="38" w:name="_Toc197703482"/>
      <w:bookmarkEnd w:id="37"/>
      <w:r>
        <w:rPr>
          <w:snapToGrid w:val="0"/>
        </w:rPr>
        <w:t>Activities and Critical Path Schedules</w:t>
      </w:r>
      <w:bookmarkEnd w:id="38"/>
    </w:p>
    <w:p w14:paraId="0F29D2CE" w14:textId="0940F60A" w:rsidR="00EB78F8" w:rsidRPr="00FA73EF" w:rsidRDefault="00820287" w:rsidP="00AD04EB">
      <w:pPr>
        <w:pStyle w:val="BalloonText"/>
        <w:spacing w:line="276" w:lineRule="auto"/>
        <w:ind w:left="720" w:firstLine="720"/>
        <w:jc w:val="both"/>
        <w:rPr>
          <w:rFonts w:ascii="Times New Roman" w:hAnsi="Times New Roman" w:cs="Times New Roman"/>
          <w:sz w:val="24"/>
          <w:szCs w:val="24"/>
        </w:rPr>
      </w:pPr>
      <w:r w:rsidRPr="0042391B">
        <w:rPr>
          <w:rFonts w:ascii="Times New Roman" w:eastAsia="Calibri" w:hAnsi="Times New Roman" w:cs="Times New Roman"/>
          <w:color w:val="000000" w:themeColor="text1"/>
          <w:sz w:val="24"/>
          <w:szCs w:val="24"/>
        </w:rPr>
        <w:t xml:space="preserve">“Attachment </w:t>
      </w:r>
      <w:r w:rsidR="000E7FCE">
        <w:rPr>
          <w:rFonts w:ascii="Times New Roman" w:eastAsia="Calibri" w:hAnsi="Times New Roman" w:cs="Times New Roman"/>
          <w:color w:val="000000" w:themeColor="text1"/>
          <w:sz w:val="24"/>
          <w:szCs w:val="24"/>
        </w:rPr>
        <w:t>C</w:t>
      </w:r>
      <w:r w:rsidRPr="0042391B">
        <w:rPr>
          <w:rFonts w:ascii="Times New Roman" w:eastAsia="Calibri" w:hAnsi="Times New Roman" w:cs="Times New Roman"/>
          <w:color w:val="000000" w:themeColor="text1"/>
          <w:sz w:val="24"/>
          <w:szCs w:val="24"/>
        </w:rPr>
        <w:t xml:space="preserve"> – Twiggs County BESS Activities and Critical Path Schedule</w:t>
      </w:r>
      <w:r w:rsidR="002604BB">
        <w:rPr>
          <w:rFonts w:ascii="Times New Roman" w:eastAsia="Calibri" w:hAnsi="Times New Roman" w:cs="Times New Roman"/>
          <w:color w:val="000000" w:themeColor="text1"/>
          <w:sz w:val="24"/>
          <w:szCs w:val="24"/>
        </w:rPr>
        <w:t xml:space="preserve"> TRADE SEC</w:t>
      </w:r>
      <w:r w:rsidR="00E617F7">
        <w:rPr>
          <w:rFonts w:ascii="Times New Roman" w:eastAsia="Calibri" w:hAnsi="Times New Roman" w:cs="Times New Roman"/>
          <w:color w:val="000000" w:themeColor="text1"/>
          <w:sz w:val="24"/>
          <w:szCs w:val="24"/>
        </w:rPr>
        <w:t>RET</w:t>
      </w:r>
      <w:r w:rsidRPr="0042391B">
        <w:rPr>
          <w:rFonts w:ascii="Times New Roman" w:eastAsia="Calibri" w:hAnsi="Times New Roman" w:cs="Times New Roman"/>
          <w:color w:val="000000" w:themeColor="text1"/>
          <w:sz w:val="24"/>
          <w:szCs w:val="24"/>
        </w:rPr>
        <w:t>” details the activities and critical path schedule.</w:t>
      </w:r>
    </w:p>
    <w:p w14:paraId="4EA23A91" w14:textId="7E2F10D6" w:rsidR="00EB78F8" w:rsidRPr="00FA73EF" w:rsidRDefault="00EB78F8" w:rsidP="005B4C51">
      <w:pPr>
        <w:pStyle w:val="Heading2"/>
        <w:keepNext/>
        <w:tabs>
          <w:tab w:val="clear" w:pos="7362"/>
          <w:tab w:val="num" w:pos="1440"/>
        </w:tabs>
        <w:spacing w:after="120" w:line="360" w:lineRule="auto"/>
        <w:ind w:left="720" w:firstLine="0"/>
        <w:jc w:val="both"/>
      </w:pPr>
      <w:bookmarkStart w:id="39" w:name="_Toc197703483"/>
      <w:r>
        <w:rPr>
          <w:snapToGrid w:val="0"/>
        </w:rPr>
        <w:t>Lead Times for Major Procurement Items</w:t>
      </w:r>
      <w:bookmarkEnd w:id="39"/>
    </w:p>
    <w:p w14:paraId="40ADA17F" w14:textId="77BF75A8" w:rsidR="00EB78F8" w:rsidRPr="00FA73EF" w:rsidRDefault="001E3795" w:rsidP="00AD04EB">
      <w:pPr>
        <w:pStyle w:val="BalloonText"/>
        <w:spacing w:line="276" w:lineRule="auto"/>
        <w:ind w:left="720" w:firstLine="720"/>
        <w:jc w:val="both"/>
        <w:rPr>
          <w:rFonts w:ascii="Times New Roman" w:hAnsi="Times New Roman" w:cs="Times New Roman"/>
          <w:sz w:val="24"/>
          <w:szCs w:val="24"/>
        </w:rPr>
      </w:pPr>
      <w:r w:rsidRPr="00C24009">
        <w:rPr>
          <w:rFonts w:ascii="Times New Roman" w:eastAsiaTheme="minorEastAsia" w:hAnsi="Times New Roman" w:cs="Times New Roman"/>
          <w:sz w:val="24"/>
          <w:szCs w:val="24"/>
        </w:rPr>
        <w:t xml:space="preserve">See </w:t>
      </w:r>
      <w:r w:rsidR="00736461">
        <w:rPr>
          <w:rFonts w:ascii="Times New Roman" w:eastAsiaTheme="minorEastAsia" w:hAnsi="Times New Roman" w:cs="Times New Roman"/>
          <w:sz w:val="24"/>
          <w:szCs w:val="24"/>
        </w:rPr>
        <w:t xml:space="preserve">Section 4.13, </w:t>
      </w:r>
      <w:r w:rsidRPr="00C24009">
        <w:rPr>
          <w:rFonts w:ascii="Times New Roman" w:eastAsiaTheme="minorEastAsia" w:hAnsi="Times New Roman" w:cs="Times New Roman"/>
          <w:sz w:val="24"/>
          <w:szCs w:val="24"/>
        </w:rPr>
        <w:t>“Lead Time</w:t>
      </w:r>
      <w:r w:rsidR="00736461">
        <w:rPr>
          <w:rFonts w:ascii="Times New Roman" w:eastAsiaTheme="minorEastAsia" w:hAnsi="Times New Roman" w:cs="Times New Roman"/>
          <w:sz w:val="24"/>
          <w:szCs w:val="24"/>
        </w:rPr>
        <w:t>,</w:t>
      </w:r>
      <w:r w:rsidRPr="00C24009">
        <w:rPr>
          <w:rFonts w:ascii="Times New Roman" w:eastAsiaTheme="minorEastAsia" w:hAnsi="Times New Roman" w:cs="Times New Roman"/>
          <w:sz w:val="24"/>
          <w:szCs w:val="24"/>
        </w:rPr>
        <w:t>” above for applicable information on lead times for major procurement items.</w:t>
      </w:r>
    </w:p>
    <w:p w14:paraId="557B9E98" w14:textId="2DE25E2A" w:rsidR="00EB78F8" w:rsidRPr="00FA73EF" w:rsidRDefault="00EB78F8" w:rsidP="005B4C51">
      <w:pPr>
        <w:pStyle w:val="Heading2"/>
        <w:keepNext/>
        <w:tabs>
          <w:tab w:val="clear" w:pos="7362"/>
          <w:tab w:val="num" w:pos="1440"/>
        </w:tabs>
        <w:spacing w:after="120" w:line="360" w:lineRule="auto"/>
        <w:ind w:left="720" w:firstLine="0"/>
        <w:jc w:val="both"/>
      </w:pPr>
      <w:bookmarkStart w:id="40" w:name="_Toc197703484"/>
      <w:r>
        <w:rPr>
          <w:snapToGrid w:val="0"/>
        </w:rPr>
        <w:t>Description of Legal Relationships</w:t>
      </w:r>
      <w:bookmarkEnd w:id="40"/>
    </w:p>
    <w:p w14:paraId="027FFEBF" w14:textId="228F050F" w:rsidR="00EB78F8" w:rsidRPr="00FA73EF" w:rsidRDefault="001F25EF" w:rsidP="005B4C51">
      <w:pPr>
        <w:spacing w:line="276" w:lineRule="auto"/>
        <w:ind w:left="720" w:firstLine="720"/>
        <w:jc w:val="both"/>
        <w:rPr>
          <w:sz w:val="24"/>
          <w:szCs w:val="24"/>
        </w:rPr>
      </w:pPr>
      <w:r w:rsidRPr="006111B1">
        <w:rPr>
          <w:rFonts w:eastAsiaTheme="minorEastAsia"/>
          <w:sz w:val="24"/>
          <w:szCs w:val="24"/>
        </w:rPr>
        <w:t>There have been previous contractual relations wherein one or more suppliers involved in this project furnished equipment and/or services to one or more affiliates of the Southern Company.</w:t>
      </w:r>
      <w:r w:rsidR="00F40024">
        <w:rPr>
          <w:rFonts w:eastAsiaTheme="minorEastAsia"/>
          <w:sz w:val="24"/>
          <w:szCs w:val="24"/>
        </w:rPr>
        <w:t xml:space="preserve"> </w:t>
      </w:r>
      <w:r w:rsidR="003F09DE" w:rsidRPr="004C1AF1">
        <w:rPr>
          <w:rFonts w:eastAsiaTheme="minorEastAsia"/>
          <w:sz w:val="24"/>
          <w:szCs w:val="24"/>
        </w:rPr>
        <w:t>Amendment</w:t>
      </w:r>
      <w:r w:rsidR="000B61E2">
        <w:rPr>
          <w:rFonts w:eastAsiaTheme="minorEastAsia"/>
          <w:sz w:val="24"/>
          <w:szCs w:val="24"/>
        </w:rPr>
        <w:t xml:space="preserve"> 1</w:t>
      </w:r>
      <w:r w:rsidR="003F09DE" w:rsidRPr="004C1AF1">
        <w:rPr>
          <w:rFonts w:eastAsiaTheme="minorEastAsia"/>
          <w:sz w:val="24"/>
          <w:szCs w:val="24"/>
        </w:rPr>
        <w:t xml:space="preserve"> </w:t>
      </w:r>
      <w:r w:rsidR="0041538B">
        <w:rPr>
          <w:rFonts w:eastAsiaTheme="minorEastAsia"/>
          <w:sz w:val="24"/>
          <w:szCs w:val="24"/>
        </w:rPr>
        <w:t xml:space="preserve">was </w:t>
      </w:r>
      <w:r w:rsidR="003F09DE" w:rsidRPr="004C1AF1">
        <w:rPr>
          <w:rFonts w:eastAsiaTheme="minorEastAsia"/>
          <w:sz w:val="24"/>
          <w:szCs w:val="24"/>
        </w:rPr>
        <w:t xml:space="preserve">established to amend the </w:t>
      </w:r>
      <w:r w:rsidR="00A12C19">
        <w:rPr>
          <w:rFonts w:eastAsiaTheme="minorEastAsia"/>
          <w:sz w:val="24"/>
          <w:szCs w:val="24"/>
        </w:rPr>
        <w:t xml:space="preserve">existing </w:t>
      </w:r>
      <w:r w:rsidR="003F09DE" w:rsidRPr="004C1AF1">
        <w:rPr>
          <w:rFonts w:eastAsiaTheme="minorEastAsia"/>
          <w:sz w:val="24"/>
          <w:szCs w:val="24"/>
        </w:rPr>
        <w:t xml:space="preserve">Twiggs County </w:t>
      </w:r>
      <w:r w:rsidR="00C94974" w:rsidRPr="004C1AF1">
        <w:rPr>
          <w:rFonts w:eastAsiaTheme="minorEastAsia"/>
          <w:sz w:val="24"/>
          <w:szCs w:val="24"/>
        </w:rPr>
        <w:t>Solar PPA</w:t>
      </w:r>
      <w:r w:rsidR="003F09DE" w:rsidRPr="004C1AF1">
        <w:rPr>
          <w:rFonts w:eastAsiaTheme="minorEastAsia"/>
          <w:sz w:val="24"/>
          <w:szCs w:val="24"/>
        </w:rPr>
        <w:t xml:space="preserve"> to incorporate the installation and operation of a Twiggs County BESS at the</w:t>
      </w:r>
      <w:r w:rsidR="00CA4ED6">
        <w:rPr>
          <w:rFonts w:eastAsiaTheme="minorEastAsia"/>
          <w:sz w:val="24"/>
          <w:szCs w:val="24"/>
        </w:rPr>
        <w:t xml:space="preserve"> point </w:t>
      </w:r>
      <w:r w:rsidR="00832A38">
        <w:rPr>
          <w:rFonts w:eastAsiaTheme="minorEastAsia"/>
          <w:sz w:val="24"/>
          <w:szCs w:val="24"/>
        </w:rPr>
        <w:t xml:space="preserve">of </w:t>
      </w:r>
      <w:r w:rsidR="00832A38" w:rsidRPr="004C1AF1">
        <w:rPr>
          <w:rFonts w:eastAsiaTheme="minorEastAsia"/>
          <w:sz w:val="24"/>
          <w:szCs w:val="24"/>
        </w:rPr>
        <w:t>existing</w:t>
      </w:r>
      <w:r w:rsidR="003F09DE" w:rsidRPr="004C1AF1">
        <w:rPr>
          <w:rFonts w:eastAsiaTheme="minorEastAsia"/>
          <w:sz w:val="24"/>
          <w:szCs w:val="24"/>
        </w:rPr>
        <w:t xml:space="preserve"> solar facility.</w:t>
      </w:r>
      <w:r w:rsidR="002604BB">
        <w:rPr>
          <w:rFonts w:eastAsiaTheme="minorEastAsia"/>
          <w:sz w:val="24"/>
          <w:szCs w:val="24"/>
        </w:rPr>
        <w:t xml:space="preserve"> </w:t>
      </w:r>
      <w:r w:rsidRPr="006111B1">
        <w:rPr>
          <w:rFonts w:eastAsiaTheme="minorEastAsia"/>
          <w:sz w:val="24"/>
          <w:szCs w:val="24"/>
        </w:rPr>
        <w:t>Other than these supply and services agreements, no other legal or contractual relations exist among the parties.</w:t>
      </w:r>
      <w:r w:rsidR="00BF1172">
        <w:rPr>
          <w:rFonts w:eastAsiaTheme="minorEastAsia"/>
          <w:sz w:val="24"/>
          <w:szCs w:val="24"/>
        </w:rPr>
        <w:t xml:space="preserve"> </w:t>
      </w:r>
    </w:p>
    <w:p w14:paraId="7F776760" w14:textId="36E4118E" w:rsidR="00EB78F8" w:rsidRPr="00FA73EF" w:rsidRDefault="00EB78F8" w:rsidP="005B4C51">
      <w:pPr>
        <w:pStyle w:val="Heading2"/>
        <w:keepNext/>
        <w:tabs>
          <w:tab w:val="clear" w:pos="7362"/>
          <w:tab w:val="num" w:pos="1440"/>
        </w:tabs>
        <w:spacing w:after="120" w:line="360" w:lineRule="auto"/>
        <w:ind w:left="720" w:firstLine="0"/>
        <w:jc w:val="both"/>
      </w:pPr>
      <w:bookmarkStart w:id="41" w:name="_Toc197703485"/>
      <w:r>
        <w:rPr>
          <w:snapToGrid w:val="0"/>
        </w:rPr>
        <w:t>Other Information</w:t>
      </w:r>
      <w:bookmarkEnd w:id="41"/>
    </w:p>
    <w:p w14:paraId="22C5D54F" w14:textId="49DBCDCB" w:rsidR="00EB78F8" w:rsidRPr="00FA73EF" w:rsidRDefault="00264DC5" w:rsidP="00EB78F8">
      <w:pPr>
        <w:pStyle w:val="BalloonText"/>
        <w:spacing w:line="360" w:lineRule="auto"/>
        <w:ind w:firstLine="720"/>
        <w:jc w:val="both"/>
        <w:rPr>
          <w:rFonts w:ascii="Times New Roman" w:hAnsi="Times New Roman" w:cs="Times New Roman"/>
          <w:sz w:val="24"/>
          <w:szCs w:val="24"/>
        </w:rPr>
      </w:pPr>
      <w:r w:rsidRPr="00C1696D">
        <w:rPr>
          <w:rFonts w:ascii="Times New Roman" w:hAnsi="Times New Roman" w:cs="Times New Roman"/>
          <w:sz w:val="24"/>
          <w:szCs w:val="24"/>
        </w:rPr>
        <w:t xml:space="preserve">The Company has no additional information to include </w:t>
      </w:r>
      <w:proofErr w:type="gramStart"/>
      <w:r w:rsidRPr="00C1696D">
        <w:rPr>
          <w:rFonts w:ascii="Times New Roman" w:hAnsi="Times New Roman" w:cs="Times New Roman"/>
          <w:sz w:val="24"/>
          <w:szCs w:val="24"/>
        </w:rPr>
        <w:t>at this time</w:t>
      </w:r>
      <w:proofErr w:type="gramEnd"/>
      <w:r w:rsidRPr="00C1696D">
        <w:rPr>
          <w:rFonts w:ascii="Times New Roman" w:hAnsi="Times New Roman" w:cs="Times New Roman"/>
          <w:sz w:val="24"/>
          <w:szCs w:val="24"/>
        </w:rPr>
        <w:t>.</w:t>
      </w:r>
    </w:p>
    <w:p w14:paraId="219D7FFB" w14:textId="478A7520" w:rsidR="00EB78F8" w:rsidRPr="00FA73EF" w:rsidRDefault="00EB78F8" w:rsidP="005B4C51">
      <w:pPr>
        <w:pStyle w:val="Heading2"/>
        <w:keepNext/>
        <w:tabs>
          <w:tab w:val="clear" w:pos="7362"/>
          <w:tab w:val="num" w:pos="1440"/>
        </w:tabs>
        <w:spacing w:after="120" w:line="360" w:lineRule="auto"/>
        <w:ind w:left="720" w:firstLine="0"/>
        <w:jc w:val="both"/>
      </w:pPr>
      <w:bookmarkStart w:id="42" w:name="_Toc197703486"/>
      <w:bookmarkStart w:id="43" w:name="_Hlk197594326"/>
      <w:r>
        <w:rPr>
          <w:snapToGrid w:val="0"/>
        </w:rPr>
        <w:t>Cost Recovery</w:t>
      </w:r>
      <w:bookmarkEnd w:id="42"/>
    </w:p>
    <w:p w14:paraId="32438B90" w14:textId="7FAD123F" w:rsidR="00EB78F8" w:rsidRPr="00FA73EF" w:rsidRDefault="00A86629" w:rsidP="00AD04EB">
      <w:pPr>
        <w:pStyle w:val="BalloonText"/>
        <w:spacing w:line="276" w:lineRule="auto"/>
        <w:ind w:left="720" w:firstLine="720"/>
        <w:jc w:val="both"/>
        <w:rPr>
          <w:rFonts w:ascii="Times New Roman" w:hAnsi="Times New Roman" w:cs="Times New Roman"/>
          <w:sz w:val="24"/>
          <w:szCs w:val="24"/>
        </w:rPr>
      </w:pPr>
      <w:r w:rsidRPr="00C1696D">
        <w:rPr>
          <w:rFonts w:ascii="Times New Roman" w:eastAsiaTheme="minorEastAsia" w:hAnsi="Times New Roman" w:cs="Times New Roman"/>
          <w:sz w:val="24"/>
          <w:szCs w:val="24"/>
        </w:rPr>
        <w:t>Georgia Power proposes to recover the costs associated with the construction of the Twiggs County BESS</w:t>
      </w:r>
      <w:r w:rsidRPr="00C1696D">
        <w:rPr>
          <w:rFonts w:ascii="Times New Roman" w:hAnsi="Times New Roman" w:cs="Times New Roman"/>
          <w:sz w:val="24"/>
          <w:szCs w:val="24"/>
        </w:rPr>
        <w:t xml:space="preserve"> in rate base and will reflect the operating expenses associated with the units in its retail cost of service</w:t>
      </w:r>
      <w:r w:rsidRPr="00C1696D">
        <w:rPr>
          <w:rFonts w:ascii="Times New Roman" w:eastAsiaTheme="minorEastAsia" w:hAnsi="Times New Roman" w:cs="Times New Roman"/>
          <w:sz w:val="24"/>
          <w:szCs w:val="24"/>
        </w:rPr>
        <w:t>. Regulatory treatment for these units will be consistent with the current treatment of Georgia Power’s existing owned retail generation facilities</w:t>
      </w:r>
      <w:r>
        <w:rPr>
          <w:rFonts w:ascii="Times New Roman" w:eastAsiaTheme="minorEastAsia" w:hAnsi="Times New Roman" w:cs="Times New Roman"/>
          <w:sz w:val="24"/>
          <w:szCs w:val="24"/>
        </w:rPr>
        <w:t>.</w:t>
      </w:r>
    </w:p>
    <w:p w14:paraId="08E74D39" w14:textId="1C9F17D2" w:rsidR="00B10A3E" w:rsidRPr="007C70C4" w:rsidRDefault="00580390" w:rsidP="00D4372D">
      <w:pPr>
        <w:pStyle w:val="Heading1"/>
        <w:keepNext/>
        <w:tabs>
          <w:tab w:val="clear" w:pos="360"/>
          <w:tab w:val="num" w:pos="720"/>
        </w:tabs>
        <w:spacing w:after="120" w:line="360" w:lineRule="auto"/>
        <w:ind w:left="720" w:hanging="720"/>
      </w:pPr>
      <w:bookmarkStart w:id="44" w:name="_Toc371316828"/>
      <w:bookmarkStart w:id="45" w:name="_Toc197703487"/>
      <w:bookmarkEnd w:id="43"/>
      <w:r w:rsidRPr="007C70C4">
        <w:t>Certification Requirements</w:t>
      </w:r>
      <w:bookmarkEnd w:id="44"/>
      <w:bookmarkEnd w:id="45"/>
    </w:p>
    <w:p w14:paraId="2C8A2DE5" w14:textId="30CF47C5" w:rsidR="00B10A3E" w:rsidRPr="004F1C9B" w:rsidRDefault="005775EE" w:rsidP="00C15423">
      <w:pPr>
        <w:pStyle w:val="Heading2"/>
        <w:keepNext/>
        <w:tabs>
          <w:tab w:val="clear" w:pos="7362"/>
          <w:tab w:val="num" w:pos="1440"/>
        </w:tabs>
        <w:spacing w:after="120" w:line="360" w:lineRule="auto"/>
        <w:ind w:left="720" w:firstLine="0"/>
      </w:pPr>
      <w:bookmarkStart w:id="46" w:name="_Toc197703488"/>
      <w:r>
        <w:t>20</w:t>
      </w:r>
      <w:r w:rsidR="002F700A">
        <w:t>2</w:t>
      </w:r>
      <w:r w:rsidR="00EF5080">
        <w:t>3</w:t>
      </w:r>
      <w:r>
        <w:t xml:space="preserve"> IRP</w:t>
      </w:r>
      <w:r w:rsidR="00EF5080">
        <w:t xml:space="preserve"> Update</w:t>
      </w:r>
      <w:r>
        <w:t xml:space="preserve"> Impacts</w:t>
      </w:r>
      <w:bookmarkEnd w:id="46"/>
      <w:r>
        <w:t xml:space="preserve"> </w:t>
      </w:r>
    </w:p>
    <w:p w14:paraId="4C0F67C8" w14:textId="0A6E9AA8" w:rsidR="00B10A3E" w:rsidRDefault="00580390" w:rsidP="00D4372D">
      <w:pPr>
        <w:spacing w:after="120" w:line="276" w:lineRule="auto"/>
        <w:ind w:left="720" w:firstLine="720"/>
        <w:jc w:val="both"/>
        <w:rPr>
          <w:sz w:val="24"/>
        </w:rPr>
      </w:pPr>
      <w:r w:rsidRPr="46F4547B">
        <w:rPr>
          <w:sz w:val="24"/>
          <w:szCs w:val="24"/>
        </w:rPr>
        <w:t xml:space="preserve">Georgia Power sought </w:t>
      </w:r>
      <w:r w:rsidR="00B21674" w:rsidRPr="46F4547B">
        <w:rPr>
          <w:sz w:val="24"/>
          <w:szCs w:val="24"/>
        </w:rPr>
        <w:t xml:space="preserve">up to </w:t>
      </w:r>
      <w:r w:rsidR="00EF5080" w:rsidRPr="46F4547B">
        <w:rPr>
          <w:sz w:val="24"/>
          <w:szCs w:val="24"/>
        </w:rPr>
        <w:t>500</w:t>
      </w:r>
      <w:r w:rsidR="00942C97" w:rsidRPr="46F4547B">
        <w:rPr>
          <w:sz w:val="24"/>
          <w:szCs w:val="24"/>
        </w:rPr>
        <w:t xml:space="preserve"> </w:t>
      </w:r>
      <w:r w:rsidRPr="46F4547B">
        <w:rPr>
          <w:sz w:val="24"/>
          <w:szCs w:val="24"/>
        </w:rPr>
        <w:t xml:space="preserve">MW </w:t>
      </w:r>
      <w:r w:rsidR="005E56C2" w:rsidRPr="46F4547B">
        <w:rPr>
          <w:sz w:val="24"/>
          <w:szCs w:val="24"/>
        </w:rPr>
        <w:t xml:space="preserve">of </w:t>
      </w:r>
      <w:r w:rsidR="009D4D34" w:rsidRPr="46F4547B">
        <w:rPr>
          <w:sz w:val="24"/>
          <w:szCs w:val="24"/>
        </w:rPr>
        <w:t>BESS</w:t>
      </w:r>
      <w:r w:rsidR="005E56C2" w:rsidRPr="46F4547B">
        <w:rPr>
          <w:sz w:val="24"/>
          <w:szCs w:val="24"/>
        </w:rPr>
        <w:t xml:space="preserve"> resources </w:t>
      </w:r>
      <w:r w:rsidRPr="46F4547B">
        <w:rPr>
          <w:sz w:val="24"/>
          <w:szCs w:val="24"/>
        </w:rPr>
        <w:t xml:space="preserve">through the </w:t>
      </w:r>
      <w:r w:rsidR="00EF5080" w:rsidRPr="46F4547B">
        <w:rPr>
          <w:sz w:val="24"/>
          <w:szCs w:val="24"/>
        </w:rPr>
        <w:t>Winter 27_28 BESS RFP</w:t>
      </w:r>
      <w:r w:rsidRPr="46F4547B">
        <w:rPr>
          <w:sz w:val="24"/>
          <w:szCs w:val="24"/>
        </w:rPr>
        <w:t xml:space="preserve"> </w:t>
      </w:r>
      <w:r w:rsidR="009C7A1C" w:rsidRPr="46F4547B">
        <w:rPr>
          <w:sz w:val="24"/>
          <w:szCs w:val="24"/>
        </w:rPr>
        <w:t>as approved in the</w:t>
      </w:r>
      <w:r w:rsidRPr="46F4547B">
        <w:rPr>
          <w:sz w:val="24"/>
          <w:szCs w:val="24"/>
        </w:rPr>
        <w:t xml:space="preserve"> </w:t>
      </w:r>
      <w:r w:rsidR="0026574D" w:rsidRPr="46F4547B">
        <w:rPr>
          <w:sz w:val="24"/>
          <w:szCs w:val="24"/>
        </w:rPr>
        <w:t>20</w:t>
      </w:r>
      <w:r w:rsidR="00942C97" w:rsidRPr="46F4547B">
        <w:rPr>
          <w:sz w:val="24"/>
          <w:szCs w:val="24"/>
        </w:rPr>
        <w:t>2</w:t>
      </w:r>
      <w:r w:rsidR="00EF5080" w:rsidRPr="46F4547B">
        <w:rPr>
          <w:sz w:val="24"/>
          <w:szCs w:val="24"/>
        </w:rPr>
        <w:t>3</w:t>
      </w:r>
      <w:r w:rsidR="0026574D" w:rsidRPr="46F4547B">
        <w:rPr>
          <w:sz w:val="24"/>
          <w:szCs w:val="24"/>
        </w:rPr>
        <w:t xml:space="preserve"> </w:t>
      </w:r>
      <w:r w:rsidRPr="46F4547B">
        <w:rPr>
          <w:sz w:val="24"/>
          <w:szCs w:val="24"/>
        </w:rPr>
        <w:t>IRP</w:t>
      </w:r>
      <w:r w:rsidR="00EF5080" w:rsidRPr="46F4547B">
        <w:rPr>
          <w:sz w:val="24"/>
          <w:szCs w:val="24"/>
        </w:rPr>
        <w:t xml:space="preserve"> Update</w:t>
      </w:r>
      <w:r w:rsidRPr="46F4547B">
        <w:rPr>
          <w:sz w:val="24"/>
          <w:szCs w:val="24"/>
        </w:rPr>
        <w:t xml:space="preserve"> Final Order. The </w:t>
      </w:r>
      <w:r w:rsidR="005E56C2" w:rsidRPr="46F4547B">
        <w:rPr>
          <w:sz w:val="24"/>
          <w:szCs w:val="24"/>
        </w:rPr>
        <w:t xml:space="preserve">Company’s evaluation </w:t>
      </w:r>
      <w:r w:rsidRPr="46F4547B">
        <w:rPr>
          <w:sz w:val="24"/>
          <w:szCs w:val="24"/>
        </w:rPr>
        <w:t xml:space="preserve">of </w:t>
      </w:r>
      <w:r w:rsidR="005E56C2" w:rsidRPr="46F4547B">
        <w:rPr>
          <w:sz w:val="24"/>
          <w:szCs w:val="24"/>
        </w:rPr>
        <w:t xml:space="preserve">the submissions in the </w:t>
      </w:r>
      <w:r w:rsidR="00EF5080" w:rsidRPr="46F4547B">
        <w:rPr>
          <w:sz w:val="24"/>
          <w:szCs w:val="24"/>
        </w:rPr>
        <w:t>Winter 27_28 BESS RFP</w:t>
      </w:r>
      <w:r w:rsidRPr="46F4547B">
        <w:rPr>
          <w:sz w:val="24"/>
          <w:szCs w:val="24"/>
        </w:rPr>
        <w:t xml:space="preserve"> resulted in </w:t>
      </w:r>
      <w:r w:rsidR="00736461">
        <w:rPr>
          <w:sz w:val="24"/>
          <w:szCs w:val="24"/>
        </w:rPr>
        <w:t xml:space="preserve">the selection of </w:t>
      </w:r>
      <w:r w:rsidRPr="46F4547B">
        <w:rPr>
          <w:sz w:val="24"/>
          <w:szCs w:val="24"/>
        </w:rPr>
        <w:t xml:space="preserve">a </w:t>
      </w:r>
      <w:r w:rsidR="009C7A1C" w:rsidRPr="46F4547B">
        <w:rPr>
          <w:sz w:val="24"/>
          <w:szCs w:val="24"/>
        </w:rPr>
        <w:t xml:space="preserve">single </w:t>
      </w:r>
      <w:r w:rsidR="00EF5080" w:rsidRPr="46F4547B">
        <w:rPr>
          <w:sz w:val="24"/>
          <w:szCs w:val="24"/>
        </w:rPr>
        <w:t>200</w:t>
      </w:r>
      <w:r w:rsidR="00CC1667" w:rsidRPr="46F4547B">
        <w:rPr>
          <w:sz w:val="24"/>
          <w:szCs w:val="24"/>
        </w:rPr>
        <w:t xml:space="preserve"> </w:t>
      </w:r>
      <w:r w:rsidRPr="46F4547B">
        <w:rPr>
          <w:sz w:val="24"/>
          <w:szCs w:val="24"/>
        </w:rPr>
        <w:lastRenderedPageBreak/>
        <w:t xml:space="preserve">MW </w:t>
      </w:r>
      <w:r w:rsidR="009C7A1C" w:rsidRPr="46F4547B">
        <w:rPr>
          <w:sz w:val="24"/>
          <w:szCs w:val="24"/>
        </w:rPr>
        <w:t xml:space="preserve">BESS resource </w:t>
      </w:r>
      <w:r w:rsidRPr="46F4547B">
        <w:rPr>
          <w:sz w:val="24"/>
          <w:szCs w:val="24"/>
        </w:rPr>
        <w:t xml:space="preserve">and utilized input data and assumptions consistent with the </w:t>
      </w:r>
      <w:r w:rsidRPr="00961221">
        <w:rPr>
          <w:sz w:val="24"/>
          <w:szCs w:val="24"/>
        </w:rPr>
        <w:t xml:space="preserve">Budget </w:t>
      </w:r>
      <w:r w:rsidR="009C7A1C" w:rsidRPr="00961221">
        <w:rPr>
          <w:sz w:val="24"/>
          <w:szCs w:val="24"/>
        </w:rPr>
        <w:t>202</w:t>
      </w:r>
      <w:r w:rsidR="0027334A" w:rsidRPr="00961221">
        <w:rPr>
          <w:sz w:val="24"/>
          <w:szCs w:val="24"/>
        </w:rPr>
        <w:t>4</w:t>
      </w:r>
      <w:r w:rsidR="009C7A1C" w:rsidRPr="00961221">
        <w:rPr>
          <w:sz w:val="24"/>
          <w:szCs w:val="24"/>
        </w:rPr>
        <w:t xml:space="preserve"> </w:t>
      </w:r>
      <w:r w:rsidRPr="46F4547B">
        <w:rPr>
          <w:sz w:val="24"/>
          <w:szCs w:val="24"/>
        </w:rPr>
        <w:t xml:space="preserve">planning assumptions. By selecting </w:t>
      </w:r>
      <w:r w:rsidR="00532791" w:rsidRPr="46F4547B">
        <w:rPr>
          <w:sz w:val="24"/>
          <w:szCs w:val="24"/>
        </w:rPr>
        <w:t>this project</w:t>
      </w:r>
      <w:r w:rsidRPr="46F4547B">
        <w:rPr>
          <w:sz w:val="24"/>
          <w:szCs w:val="24"/>
        </w:rPr>
        <w:t>, Georgia Power is maximizing the value customers will receive based on the characteristics of the bids the competitive market delivered into the RFP.</w:t>
      </w:r>
    </w:p>
    <w:p w14:paraId="060D4956" w14:textId="0610D165" w:rsidR="00B10A3E" w:rsidRDefault="00580390" w:rsidP="00D4372D">
      <w:pPr>
        <w:spacing w:after="120" w:line="276" w:lineRule="auto"/>
        <w:ind w:left="720" w:firstLine="720"/>
        <w:jc w:val="both"/>
        <w:rPr>
          <w:sz w:val="24"/>
        </w:rPr>
      </w:pPr>
      <w:r>
        <w:rPr>
          <w:sz w:val="24"/>
        </w:rPr>
        <w:t xml:space="preserve">The </w:t>
      </w:r>
      <w:r w:rsidR="003351B3">
        <w:rPr>
          <w:sz w:val="24"/>
        </w:rPr>
        <w:t xml:space="preserve">2025 </w:t>
      </w:r>
      <w:r>
        <w:rPr>
          <w:sz w:val="24"/>
        </w:rPr>
        <w:t xml:space="preserve">IRP was </w:t>
      </w:r>
      <w:r w:rsidR="003351B3">
        <w:rPr>
          <w:sz w:val="24"/>
        </w:rPr>
        <w:t>filed on January 31, 2025</w:t>
      </w:r>
      <w:r w:rsidR="00EF5080">
        <w:rPr>
          <w:sz w:val="24"/>
        </w:rPr>
        <w:t>,</w:t>
      </w:r>
      <w:r w:rsidR="003351B3">
        <w:rPr>
          <w:sz w:val="24"/>
        </w:rPr>
        <w:t xml:space="preserve"> in Docket No. 56002, which reflects the </w:t>
      </w:r>
      <w:r>
        <w:rPr>
          <w:sz w:val="24"/>
        </w:rPr>
        <w:t>Company’s</w:t>
      </w:r>
      <w:r w:rsidR="003351B3">
        <w:rPr>
          <w:sz w:val="24"/>
        </w:rPr>
        <w:t xml:space="preserve"> updated</w:t>
      </w:r>
      <w:r>
        <w:rPr>
          <w:sz w:val="24"/>
        </w:rPr>
        <w:t xml:space="preserve"> generation</w:t>
      </w:r>
      <w:r w:rsidR="009C7A1C">
        <w:rPr>
          <w:sz w:val="24"/>
        </w:rPr>
        <w:t xml:space="preserve"> portfolio and capacity</w:t>
      </w:r>
      <w:r>
        <w:rPr>
          <w:sz w:val="24"/>
        </w:rPr>
        <w:t xml:space="preserve"> needs</w:t>
      </w:r>
      <w:r w:rsidR="003351B3">
        <w:rPr>
          <w:sz w:val="24"/>
        </w:rPr>
        <w:t>. The Capacity Needs as identified in the Company’s 2025 IRP</w:t>
      </w:r>
      <w:r w:rsidR="00BF5FCC">
        <w:rPr>
          <w:sz w:val="24"/>
        </w:rPr>
        <w:t xml:space="preserve">, </w:t>
      </w:r>
      <w:r w:rsidR="00A57192">
        <w:rPr>
          <w:sz w:val="24"/>
        </w:rPr>
        <w:t>consistent with the February 2025 Load and Energy Forecast filed on June 9, 2025</w:t>
      </w:r>
      <w:r w:rsidR="00BF5FCC">
        <w:rPr>
          <w:sz w:val="24"/>
        </w:rPr>
        <w:t xml:space="preserve">, </w:t>
      </w:r>
      <w:r w:rsidR="009A45A4">
        <w:rPr>
          <w:sz w:val="24"/>
        </w:rPr>
        <w:t xml:space="preserve">and as revised to include </w:t>
      </w:r>
      <w:r w:rsidR="00E21298">
        <w:rPr>
          <w:sz w:val="24"/>
        </w:rPr>
        <w:t>the CARES 2023 PP</w:t>
      </w:r>
      <w:r w:rsidR="000E0C9F">
        <w:rPr>
          <w:sz w:val="24"/>
        </w:rPr>
        <w:t>As</w:t>
      </w:r>
      <w:r w:rsidR="003B35AD">
        <w:rPr>
          <w:sz w:val="24"/>
        </w:rPr>
        <w:t xml:space="preserve"> and </w:t>
      </w:r>
      <w:r w:rsidR="00924FE9">
        <w:rPr>
          <w:sz w:val="24"/>
        </w:rPr>
        <w:t>the Twiggs County BESS facility,</w:t>
      </w:r>
      <w:r>
        <w:rPr>
          <w:sz w:val="24"/>
        </w:rPr>
        <w:t xml:space="preserve"> </w:t>
      </w:r>
      <w:r w:rsidR="00343B99">
        <w:rPr>
          <w:sz w:val="24"/>
        </w:rPr>
        <w:t xml:space="preserve">are </w:t>
      </w:r>
      <w:r>
        <w:rPr>
          <w:sz w:val="24"/>
        </w:rPr>
        <w:t xml:space="preserve">provided </w:t>
      </w:r>
      <w:r w:rsidR="00DB1E29">
        <w:rPr>
          <w:sz w:val="24"/>
        </w:rPr>
        <w:t xml:space="preserve">in Section </w:t>
      </w:r>
      <w:r w:rsidR="00D82F01">
        <w:rPr>
          <w:sz w:val="24"/>
        </w:rPr>
        <w:t>5</w:t>
      </w:r>
      <w:r w:rsidR="00DB1E29">
        <w:rPr>
          <w:sz w:val="24"/>
        </w:rPr>
        <w:t>.2 below.</w:t>
      </w:r>
    </w:p>
    <w:p w14:paraId="46C32E60" w14:textId="77777777" w:rsidR="00B10A3E" w:rsidRDefault="00580390" w:rsidP="00D4372D">
      <w:pPr>
        <w:pStyle w:val="Heading2"/>
        <w:keepNext/>
        <w:tabs>
          <w:tab w:val="clear" w:pos="7362"/>
          <w:tab w:val="num" w:pos="1440"/>
        </w:tabs>
        <w:spacing w:after="120" w:line="276" w:lineRule="auto"/>
        <w:ind w:left="720" w:firstLine="0"/>
      </w:pPr>
      <w:bookmarkStart w:id="47" w:name="_Toc197703489"/>
      <w:r>
        <w:t>Revised Near –Term Action Plan</w:t>
      </w:r>
      <w:bookmarkEnd w:id="47"/>
    </w:p>
    <w:p w14:paraId="7941271D" w14:textId="4C17E9B4" w:rsidR="00B10A3E" w:rsidRDefault="00860D03" w:rsidP="00D4372D">
      <w:pPr>
        <w:pStyle w:val="BodyText"/>
        <w:spacing w:line="276" w:lineRule="auto"/>
        <w:ind w:left="720"/>
        <w:rPr>
          <w:rFonts w:ascii="Times New Roman" w:hAnsi="Times New Roman"/>
        </w:rPr>
      </w:pPr>
      <w:r>
        <w:rPr>
          <w:rFonts w:ascii="Times New Roman" w:hAnsi="Times New Roman"/>
        </w:rPr>
        <w:t xml:space="preserve">Tables </w:t>
      </w:r>
      <w:r w:rsidR="002C495C" w:rsidRPr="00DB757C">
        <w:rPr>
          <w:rFonts w:ascii="Times New Roman" w:hAnsi="Times New Roman"/>
        </w:rPr>
        <w:t>5.2</w:t>
      </w:r>
      <w:r w:rsidR="00552970" w:rsidRPr="00DB757C">
        <w:rPr>
          <w:rFonts w:ascii="Times New Roman" w:hAnsi="Times New Roman"/>
        </w:rPr>
        <w:t>.1</w:t>
      </w:r>
      <w:r w:rsidR="00580390" w:rsidRPr="00DB757C">
        <w:rPr>
          <w:rFonts w:ascii="Times New Roman" w:hAnsi="Times New Roman"/>
        </w:rPr>
        <w:t xml:space="preserve"> </w:t>
      </w:r>
      <w:r w:rsidR="00AE20D6" w:rsidRPr="00DB757C">
        <w:rPr>
          <w:rFonts w:ascii="Times New Roman" w:hAnsi="Times New Roman"/>
        </w:rPr>
        <w:t xml:space="preserve">and </w:t>
      </w:r>
      <w:r w:rsidR="006526BD" w:rsidRPr="00DB757C">
        <w:rPr>
          <w:rFonts w:ascii="Times New Roman" w:hAnsi="Times New Roman"/>
        </w:rPr>
        <w:t>5.2.2</w:t>
      </w:r>
      <w:r w:rsidR="00AE20D6" w:rsidRPr="00DB757C">
        <w:rPr>
          <w:rFonts w:ascii="Times New Roman" w:hAnsi="Times New Roman"/>
        </w:rPr>
        <w:t xml:space="preserve"> </w:t>
      </w:r>
      <w:r w:rsidR="00580390" w:rsidRPr="00DB757C">
        <w:rPr>
          <w:rFonts w:ascii="Times New Roman" w:hAnsi="Times New Roman"/>
        </w:rPr>
        <w:t xml:space="preserve">below </w:t>
      </w:r>
      <w:r w:rsidR="00433955" w:rsidRPr="00DB757C">
        <w:rPr>
          <w:rFonts w:ascii="Times New Roman" w:hAnsi="Times New Roman"/>
        </w:rPr>
        <w:t xml:space="preserve">represent </w:t>
      </w:r>
      <w:r w:rsidR="003A38C8" w:rsidRPr="00DB757C">
        <w:rPr>
          <w:rFonts w:ascii="Times New Roman" w:hAnsi="Times New Roman"/>
        </w:rPr>
        <w:t>Geor</w:t>
      </w:r>
      <w:r w:rsidR="00593363" w:rsidRPr="00DB757C">
        <w:rPr>
          <w:rFonts w:ascii="Times New Roman" w:hAnsi="Times New Roman"/>
        </w:rPr>
        <w:t>gia Power</w:t>
      </w:r>
      <w:r w:rsidR="007D3643" w:rsidRPr="00DB757C">
        <w:rPr>
          <w:rFonts w:ascii="Times New Roman" w:hAnsi="Times New Roman"/>
        </w:rPr>
        <w:t xml:space="preserve">’s </w:t>
      </w:r>
      <w:r w:rsidR="005A7F2A" w:rsidRPr="00DB757C">
        <w:rPr>
          <w:rFonts w:ascii="Times New Roman" w:hAnsi="Times New Roman"/>
        </w:rPr>
        <w:t xml:space="preserve">projected </w:t>
      </w:r>
      <w:r w:rsidR="00E1210F" w:rsidRPr="00DB757C">
        <w:rPr>
          <w:rFonts w:ascii="Times New Roman" w:hAnsi="Times New Roman"/>
        </w:rPr>
        <w:t xml:space="preserve">summer and winter </w:t>
      </w:r>
      <w:r w:rsidR="001E58E5" w:rsidRPr="00DB757C">
        <w:rPr>
          <w:rFonts w:ascii="Times New Roman" w:hAnsi="Times New Roman"/>
        </w:rPr>
        <w:t xml:space="preserve">capacity needs </w:t>
      </w:r>
      <w:r w:rsidR="004810AC">
        <w:rPr>
          <w:rFonts w:ascii="Times New Roman" w:hAnsi="Times New Roman"/>
        </w:rPr>
        <w:t>for</w:t>
      </w:r>
      <w:r w:rsidR="004810AC" w:rsidRPr="00DB757C">
        <w:rPr>
          <w:rFonts w:ascii="Times New Roman" w:hAnsi="Times New Roman"/>
        </w:rPr>
        <w:t xml:space="preserve"> </w:t>
      </w:r>
      <w:r w:rsidR="001E58E5" w:rsidRPr="00DB757C">
        <w:rPr>
          <w:rFonts w:ascii="Times New Roman" w:hAnsi="Times New Roman"/>
        </w:rPr>
        <w:t>202</w:t>
      </w:r>
      <w:r w:rsidR="005575C6" w:rsidRPr="00DB757C">
        <w:rPr>
          <w:rFonts w:ascii="Times New Roman" w:hAnsi="Times New Roman"/>
        </w:rPr>
        <w:t xml:space="preserve">5-2044. </w:t>
      </w:r>
      <w:r w:rsidR="0041276F" w:rsidRPr="00DB757C">
        <w:rPr>
          <w:rFonts w:ascii="Times New Roman" w:hAnsi="Times New Roman"/>
        </w:rPr>
        <w:t xml:space="preserve">The tables are based </w:t>
      </w:r>
      <w:r w:rsidR="00ED166C" w:rsidRPr="00DB757C">
        <w:rPr>
          <w:rFonts w:ascii="Times New Roman" w:hAnsi="Times New Roman"/>
        </w:rPr>
        <w:t xml:space="preserve">on the same information </w:t>
      </w:r>
      <w:r w:rsidR="006D0C28" w:rsidRPr="00DB757C">
        <w:rPr>
          <w:rFonts w:ascii="Times New Roman" w:hAnsi="Times New Roman"/>
        </w:rPr>
        <w:t>as Table</w:t>
      </w:r>
      <w:r w:rsidR="000E1455" w:rsidRPr="00DB757C">
        <w:rPr>
          <w:rFonts w:ascii="Times New Roman" w:hAnsi="Times New Roman"/>
        </w:rPr>
        <w:t xml:space="preserve"> 8.1B from the </w:t>
      </w:r>
      <w:r w:rsidR="00E60745" w:rsidRPr="00DB757C">
        <w:rPr>
          <w:rFonts w:ascii="Times New Roman" w:hAnsi="Times New Roman"/>
        </w:rPr>
        <w:t xml:space="preserve">2025 </w:t>
      </w:r>
      <w:r w:rsidR="00580390" w:rsidRPr="00DB757C">
        <w:rPr>
          <w:rFonts w:ascii="Times New Roman" w:hAnsi="Times New Roman"/>
        </w:rPr>
        <w:t xml:space="preserve">IRP Main Document </w:t>
      </w:r>
      <w:r w:rsidR="00CB030C" w:rsidRPr="00DB757C">
        <w:rPr>
          <w:rFonts w:ascii="Times New Roman" w:hAnsi="Times New Roman"/>
        </w:rPr>
        <w:t xml:space="preserve">in </w:t>
      </w:r>
      <w:r w:rsidR="00D51743" w:rsidRPr="00DB757C">
        <w:rPr>
          <w:rFonts w:ascii="Times New Roman" w:hAnsi="Times New Roman"/>
        </w:rPr>
        <w:t xml:space="preserve">Docket </w:t>
      </w:r>
      <w:r w:rsidR="00E57F22" w:rsidRPr="00DB757C">
        <w:rPr>
          <w:rFonts w:ascii="Times New Roman" w:hAnsi="Times New Roman"/>
        </w:rPr>
        <w:t xml:space="preserve">No. </w:t>
      </w:r>
      <w:r w:rsidR="00713DB5" w:rsidRPr="00DB757C">
        <w:rPr>
          <w:rFonts w:ascii="Times New Roman" w:hAnsi="Times New Roman"/>
        </w:rPr>
        <w:t xml:space="preserve">56002 </w:t>
      </w:r>
      <w:r w:rsidR="00057FAF" w:rsidRPr="00DB757C">
        <w:rPr>
          <w:rFonts w:ascii="Times New Roman" w:hAnsi="Times New Roman"/>
        </w:rPr>
        <w:t>but are updated to incorporate</w:t>
      </w:r>
      <w:r w:rsidR="0036795E" w:rsidRPr="00DB757C">
        <w:rPr>
          <w:rFonts w:ascii="Times New Roman" w:hAnsi="Times New Roman"/>
        </w:rPr>
        <w:t xml:space="preserve"> (</w:t>
      </w:r>
      <w:r w:rsidR="006B7D9A" w:rsidRPr="00DB757C">
        <w:rPr>
          <w:rFonts w:ascii="Times New Roman" w:hAnsi="Times New Roman"/>
        </w:rPr>
        <w:t>i)</w:t>
      </w:r>
      <w:r w:rsidR="002A11C0" w:rsidRPr="00DB757C">
        <w:rPr>
          <w:rFonts w:ascii="Times New Roman" w:hAnsi="Times New Roman"/>
        </w:rPr>
        <w:t xml:space="preserve"> the results of the Expedited Winter</w:t>
      </w:r>
      <w:r w:rsidR="007342DC">
        <w:rPr>
          <w:rFonts w:ascii="Times New Roman" w:hAnsi="Times New Roman"/>
        </w:rPr>
        <w:t xml:space="preserve"> 27</w:t>
      </w:r>
      <w:r w:rsidR="00697805">
        <w:rPr>
          <w:rFonts w:ascii="Times New Roman" w:hAnsi="Times New Roman"/>
        </w:rPr>
        <w:t xml:space="preserve">_28 </w:t>
      </w:r>
      <w:r w:rsidR="002A11C0" w:rsidRPr="00DB757C">
        <w:rPr>
          <w:rFonts w:ascii="Times New Roman" w:hAnsi="Times New Roman"/>
        </w:rPr>
        <w:t>BESS RFP, (ii)</w:t>
      </w:r>
      <w:r w:rsidR="006B7D9A" w:rsidRPr="00DB757C">
        <w:rPr>
          <w:rFonts w:ascii="Times New Roman" w:hAnsi="Times New Roman"/>
        </w:rPr>
        <w:t xml:space="preserve"> the results of the </w:t>
      </w:r>
      <w:r w:rsidR="00C3191F" w:rsidRPr="00DB757C">
        <w:rPr>
          <w:rFonts w:ascii="Times New Roman" w:hAnsi="Times New Roman"/>
        </w:rPr>
        <w:t>CARES 2023 US RFP</w:t>
      </w:r>
      <w:r w:rsidR="00736F1D" w:rsidRPr="00DB757C">
        <w:rPr>
          <w:rFonts w:ascii="Times New Roman" w:hAnsi="Times New Roman"/>
        </w:rPr>
        <w:t xml:space="preserve">, </w:t>
      </w:r>
      <w:r w:rsidR="004635AB">
        <w:rPr>
          <w:rFonts w:ascii="Times New Roman" w:hAnsi="Times New Roman"/>
        </w:rPr>
        <w:t xml:space="preserve">and </w:t>
      </w:r>
      <w:r w:rsidR="00B256FD" w:rsidRPr="00DB757C">
        <w:rPr>
          <w:rFonts w:ascii="Times New Roman" w:hAnsi="Times New Roman"/>
        </w:rPr>
        <w:t>(</w:t>
      </w:r>
      <w:r w:rsidR="00D740CE" w:rsidRPr="00DB757C">
        <w:rPr>
          <w:rFonts w:ascii="Times New Roman" w:hAnsi="Times New Roman"/>
        </w:rPr>
        <w:t>i</w:t>
      </w:r>
      <w:r w:rsidR="005E2975" w:rsidRPr="00DB757C">
        <w:rPr>
          <w:rFonts w:ascii="Times New Roman" w:hAnsi="Times New Roman"/>
        </w:rPr>
        <w:t>i</w:t>
      </w:r>
      <w:r w:rsidR="00D740CE" w:rsidRPr="00DB757C">
        <w:rPr>
          <w:rFonts w:ascii="Times New Roman" w:hAnsi="Times New Roman"/>
        </w:rPr>
        <w:t>i) the Company</w:t>
      </w:r>
      <w:r w:rsidR="00A239BE" w:rsidRPr="00DB757C">
        <w:rPr>
          <w:rFonts w:ascii="Times New Roman" w:hAnsi="Times New Roman"/>
        </w:rPr>
        <w:t xml:space="preserve">’s </w:t>
      </w:r>
      <w:r w:rsidR="006F35EA" w:rsidRPr="00DB757C">
        <w:rPr>
          <w:rFonts w:ascii="Times New Roman" w:hAnsi="Times New Roman"/>
        </w:rPr>
        <w:t>February</w:t>
      </w:r>
      <w:r w:rsidR="002318E6" w:rsidRPr="00DB757C">
        <w:rPr>
          <w:rFonts w:ascii="Times New Roman" w:hAnsi="Times New Roman"/>
        </w:rPr>
        <w:t xml:space="preserve"> 2025 </w:t>
      </w:r>
      <w:r w:rsidR="00003F5E">
        <w:rPr>
          <w:rFonts w:ascii="Times New Roman" w:hAnsi="Times New Roman"/>
        </w:rPr>
        <w:t>L</w:t>
      </w:r>
      <w:r w:rsidR="00003F5E" w:rsidRPr="00DB757C">
        <w:rPr>
          <w:rFonts w:ascii="Times New Roman" w:hAnsi="Times New Roman"/>
        </w:rPr>
        <w:t xml:space="preserve">oad </w:t>
      </w:r>
      <w:r w:rsidR="00003F5E">
        <w:rPr>
          <w:rFonts w:ascii="Times New Roman" w:hAnsi="Times New Roman"/>
        </w:rPr>
        <w:t>and Energy Fo</w:t>
      </w:r>
      <w:r w:rsidR="001C7C08" w:rsidRPr="00DB757C">
        <w:rPr>
          <w:rFonts w:ascii="Times New Roman" w:hAnsi="Times New Roman"/>
        </w:rPr>
        <w:t>recast</w:t>
      </w:r>
      <w:r w:rsidR="0027521C" w:rsidRPr="00DB757C">
        <w:rPr>
          <w:rFonts w:ascii="Times New Roman" w:hAnsi="Times New Roman"/>
        </w:rPr>
        <w:t xml:space="preserve">, </w:t>
      </w:r>
      <w:r w:rsidR="006E7BEF" w:rsidRPr="00DB757C">
        <w:rPr>
          <w:rFonts w:ascii="Times New Roman" w:hAnsi="Times New Roman"/>
        </w:rPr>
        <w:t xml:space="preserve">which </w:t>
      </w:r>
      <w:r w:rsidR="005038B4">
        <w:rPr>
          <w:rFonts w:ascii="Times New Roman" w:hAnsi="Times New Roman"/>
        </w:rPr>
        <w:t>was</w:t>
      </w:r>
      <w:r w:rsidR="006E7BEF" w:rsidRPr="00DB757C">
        <w:rPr>
          <w:rFonts w:ascii="Times New Roman" w:hAnsi="Times New Roman"/>
        </w:rPr>
        <w:t xml:space="preserve"> provided with Georgia Power</w:t>
      </w:r>
      <w:r w:rsidR="00006080" w:rsidRPr="00DB757C">
        <w:rPr>
          <w:rFonts w:ascii="Times New Roman" w:hAnsi="Times New Roman"/>
        </w:rPr>
        <w:t xml:space="preserve">’s </w:t>
      </w:r>
      <w:r w:rsidR="00FD53D1" w:rsidRPr="00DB757C">
        <w:rPr>
          <w:rFonts w:ascii="Times New Roman" w:hAnsi="Times New Roman"/>
        </w:rPr>
        <w:t>2025 I</w:t>
      </w:r>
      <w:r w:rsidR="00E90480" w:rsidRPr="00DB757C">
        <w:rPr>
          <w:rFonts w:ascii="Times New Roman" w:hAnsi="Times New Roman"/>
        </w:rPr>
        <w:t xml:space="preserve">RP Rebuttal Testimony on June </w:t>
      </w:r>
      <w:r w:rsidR="00807538" w:rsidRPr="00DB757C">
        <w:rPr>
          <w:rFonts w:ascii="Times New Roman" w:hAnsi="Times New Roman"/>
        </w:rPr>
        <w:t>9, 2025</w:t>
      </w:r>
      <w:r w:rsidR="00807538" w:rsidRPr="00F80EF7">
        <w:rPr>
          <w:rFonts w:ascii="Times New Roman" w:hAnsi="Times New Roman"/>
        </w:rPr>
        <w:t>.</w:t>
      </w:r>
      <w:r w:rsidR="007D01AC">
        <w:rPr>
          <w:rFonts w:ascii="Times New Roman" w:hAnsi="Times New Roman"/>
          <w:highlight w:val="green"/>
        </w:rPr>
        <w:t xml:space="preserve"> </w:t>
      </w:r>
    </w:p>
    <w:p w14:paraId="1A96447C" w14:textId="651BCB27" w:rsidR="006F1BC3" w:rsidRDefault="006F1BC3" w:rsidP="00D4372D">
      <w:pPr>
        <w:spacing w:line="276" w:lineRule="auto"/>
        <w:rPr>
          <w:sz w:val="24"/>
        </w:rPr>
      </w:pPr>
      <w:r>
        <w:br w:type="page"/>
      </w:r>
    </w:p>
    <w:p w14:paraId="764D8CE1" w14:textId="77777777" w:rsidR="00825A51" w:rsidRDefault="00825A51" w:rsidP="001C47F4">
      <w:pPr>
        <w:pStyle w:val="BodyText"/>
        <w:rPr>
          <w:rFonts w:ascii="Times New Roman" w:hAnsi="Times New Roman"/>
        </w:rPr>
      </w:pPr>
    </w:p>
    <w:tbl>
      <w:tblPr>
        <w:tblW w:w="10420" w:type="dxa"/>
        <w:jc w:val="center"/>
        <w:tblLook w:val="04A0" w:firstRow="1" w:lastRow="0" w:firstColumn="1" w:lastColumn="0" w:noHBand="0" w:noVBand="1"/>
      </w:tblPr>
      <w:tblGrid>
        <w:gridCol w:w="1060"/>
        <w:gridCol w:w="1320"/>
        <w:gridCol w:w="1260"/>
        <w:gridCol w:w="1260"/>
        <w:gridCol w:w="1460"/>
        <w:gridCol w:w="1360"/>
        <w:gridCol w:w="1460"/>
        <w:gridCol w:w="1240"/>
      </w:tblGrid>
      <w:tr w:rsidR="00EB069D" w:rsidRPr="00EB069D" w14:paraId="1095B38B" w14:textId="77777777" w:rsidTr="000C5740">
        <w:trPr>
          <w:trHeight w:val="730"/>
          <w:jc w:val="center"/>
        </w:trPr>
        <w:tc>
          <w:tcPr>
            <w:tcW w:w="10420" w:type="dxa"/>
            <w:gridSpan w:val="8"/>
            <w:tcBorders>
              <w:top w:val="single" w:sz="4" w:space="0" w:color="auto"/>
              <w:left w:val="single" w:sz="4" w:space="0" w:color="auto"/>
              <w:bottom w:val="nil"/>
              <w:right w:val="single" w:sz="4" w:space="0" w:color="auto"/>
            </w:tcBorders>
            <w:shd w:val="clear" w:color="000000" w:fill="FBE2D5"/>
            <w:vAlign w:val="center"/>
            <w:hideMark/>
          </w:tcPr>
          <w:p w14:paraId="007E83DF" w14:textId="2571627B" w:rsidR="00EB069D" w:rsidRPr="00283E62" w:rsidRDefault="00EB069D" w:rsidP="00EB069D">
            <w:pPr>
              <w:jc w:val="center"/>
              <w:rPr>
                <w:b/>
                <w:sz w:val="22"/>
                <w:szCs w:val="22"/>
              </w:rPr>
            </w:pPr>
            <w:r w:rsidRPr="00283E62">
              <w:rPr>
                <w:b/>
                <w:sz w:val="22"/>
                <w:szCs w:val="22"/>
              </w:rPr>
              <w:t xml:space="preserve">Table </w:t>
            </w:r>
            <w:r w:rsidR="00C02CF4" w:rsidRPr="00283E62">
              <w:rPr>
                <w:b/>
                <w:sz w:val="22"/>
                <w:szCs w:val="22"/>
              </w:rPr>
              <w:t>5.2.1 –</w:t>
            </w:r>
            <w:r w:rsidRPr="00283E62">
              <w:rPr>
                <w:b/>
                <w:sz w:val="22"/>
                <w:szCs w:val="22"/>
              </w:rPr>
              <w:t xml:space="preserve"> Georgia Power Projected Summer Capacity Need (MW)</w:t>
            </w:r>
          </w:p>
        </w:tc>
      </w:tr>
      <w:tr w:rsidR="00EB069D" w:rsidRPr="00EB069D" w14:paraId="4536F633" w14:textId="77777777" w:rsidTr="000C5740">
        <w:trPr>
          <w:trHeight w:val="1100"/>
          <w:jc w:val="center"/>
        </w:trPr>
        <w:tc>
          <w:tcPr>
            <w:tcW w:w="1060" w:type="dxa"/>
            <w:tcBorders>
              <w:top w:val="single" w:sz="4" w:space="0" w:color="auto"/>
              <w:left w:val="single" w:sz="4" w:space="0" w:color="auto"/>
              <w:bottom w:val="nil"/>
              <w:right w:val="single" w:sz="4" w:space="0" w:color="auto"/>
            </w:tcBorders>
            <w:shd w:val="clear" w:color="000000" w:fill="FFFFFF"/>
            <w:vAlign w:val="center"/>
            <w:hideMark/>
          </w:tcPr>
          <w:p w14:paraId="5A159172" w14:textId="77777777" w:rsidR="00EB069D" w:rsidRPr="00283E62" w:rsidRDefault="00EB069D" w:rsidP="00EB069D">
            <w:pPr>
              <w:jc w:val="center"/>
              <w:rPr>
                <w:sz w:val="22"/>
                <w:szCs w:val="22"/>
              </w:rPr>
            </w:pPr>
            <w:r w:rsidRPr="00283E62">
              <w:rPr>
                <w:sz w:val="22"/>
                <w:szCs w:val="22"/>
              </w:rPr>
              <w:t>Year</w:t>
            </w:r>
          </w:p>
        </w:tc>
        <w:tc>
          <w:tcPr>
            <w:tcW w:w="1320" w:type="dxa"/>
            <w:tcBorders>
              <w:top w:val="single" w:sz="4" w:space="0" w:color="auto"/>
              <w:left w:val="nil"/>
              <w:bottom w:val="nil"/>
              <w:right w:val="single" w:sz="4" w:space="0" w:color="auto"/>
            </w:tcBorders>
            <w:shd w:val="clear" w:color="000000" w:fill="FFFFFF"/>
            <w:vAlign w:val="center"/>
            <w:hideMark/>
          </w:tcPr>
          <w:p w14:paraId="08799F5E" w14:textId="77777777" w:rsidR="00EB069D" w:rsidRPr="00283E62" w:rsidRDefault="00EB069D" w:rsidP="00EB069D">
            <w:pPr>
              <w:jc w:val="center"/>
              <w:rPr>
                <w:sz w:val="22"/>
                <w:szCs w:val="22"/>
              </w:rPr>
            </w:pPr>
            <w:r w:rsidRPr="00283E62">
              <w:rPr>
                <w:sz w:val="22"/>
                <w:szCs w:val="22"/>
              </w:rPr>
              <w:t>Peak Demand</w:t>
            </w:r>
          </w:p>
        </w:tc>
        <w:tc>
          <w:tcPr>
            <w:tcW w:w="1260" w:type="dxa"/>
            <w:tcBorders>
              <w:top w:val="single" w:sz="4" w:space="0" w:color="auto"/>
              <w:left w:val="nil"/>
              <w:bottom w:val="nil"/>
              <w:right w:val="single" w:sz="4" w:space="0" w:color="auto"/>
            </w:tcBorders>
            <w:shd w:val="clear" w:color="000000" w:fill="FFFFFF"/>
            <w:vAlign w:val="center"/>
            <w:hideMark/>
          </w:tcPr>
          <w:p w14:paraId="3CE385F5" w14:textId="77777777" w:rsidR="00EB069D" w:rsidRPr="00283E62" w:rsidRDefault="00EB069D" w:rsidP="00EB069D">
            <w:pPr>
              <w:jc w:val="center"/>
              <w:rPr>
                <w:sz w:val="22"/>
                <w:szCs w:val="22"/>
              </w:rPr>
            </w:pPr>
            <w:r w:rsidRPr="00283E62">
              <w:rPr>
                <w:sz w:val="22"/>
                <w:szCs w:val="22"/>
              </w:rPr>
              <w:t>Owned Generating Capacity</w:t>
            </w:r>
          </w:p>
        </w:tc>
        <w:tc>
          <w:tcPr>
            <w:tcW w:w="1260" w:type="dxa"/>
            <w:tcBorders>
              <w:top w:val="single" w:sz="4" w:space="0" w:color="auto"/>
              <w:left w:val="nil"/>
              <w:bottom w:val="nil"/>
              <w:right w:val="single" w:sz="4" w:space="0" w:color="auto"/>
            </w:tcBorders>
            <w:shd w:val="clear" w:color="000000" w:fill="FFFFFF"/>
            <w:vAlign w:val="center"/>
            <w:hideMark/>
          </w:tcPr>
          <w:p w14:paraId="7F96D34E" w14:textId="77777777" w:rsidR="00EB069D" w:rsidRPr="00283E62" w:rsidRDefault="00EB069D" w:rsidP="00EB069D">
            <w:pPr>
              <w:jc w:val="center"/>
              <w:rPr>
                <w:sz w:val="22"/>
                <w:szCs w:val="22"/>
              </w:rPr>
            </w:pPr>
            <w:r w:rsidRPr="00283E62">
              <w:rPr>
                <w:sz w:val="22"/>
                <w:szCs w:val="22"/>
              </w:rPr>
              <w:t>Purchased Generating Capacity</w:t>
            </w:r>
          </w:p>
        </w:tc>
        <w:tc>
          <w:tcPr>
            <w:tcW w:w="1460" w:type="dxa"/>
            <w:tcBorders>
              <w:top w:val="single" w:sz="4" w:space="0" w:color="auto"/>
              <w:left w:val="nil"/>
              <w:bottom w:val="nil"/>
              <w:right w:val="single" w:sz="4" w:space="0" w:color="auto"/>
            </w:tcBorders>
            <w:shd w:val="clear" w:color="000000" w:fill="FFFFFF"/>
            <w:vAlign w:val="center"/>
            <w:hideMark/>
          </w:tcPr>
          <w:p w14:paraId="5835463B" w14:textId="77777777" w:rsidR="00EB069D" w:rsidRPr="00283E62" w:rsidRDefault="00EB069D" w:rsidP="00EB069D">
            <w:pPr>
              <w:jc w:val="center"/>
              <w:rPr>
                <w:sz w:val="22"/>
                <w:szCs w:val="22"/>
              </w:rPr>
            </w:pPr>
            <w:r w:rsidRPr="00283E62">
              <w:rPr>
                <w:sz w:val="22"/>
                <w:szCs w:val="22"/>
              </w:rPr>
              <w:t>Dispatchable DSOs</w:t>
            </w:r>
          </w:p>
        </w:tc>
        <w:tc>
          <w:tcPr>
            <w:tcW w:w="1360" w:type="dxa"/>
            <w:tcBorders>
              <w:top w:val="single" w:sz="4" w:space="0" w:color="auto"/>
              <w:left w:val="nil"/>
              <w:bottom w:val="nil"/>
              <w:right w:val="single" w:sz="4" w:space="0" w:color="auto"/>
            </w:tcBorders>
            <w:shd w:val="clear" w:color="000000" w:fill="FFFFFF"/>
            <w:vAlign w:val="center"/>
            <w:hideMark/>
          </w:tcPr>
          <w:p w14:paraId="0ED418AF" w14:textId="77777777" w:rsidR="00EB069D" w:rsidRPr="00283E62" w:rsidRDefault="00EB069D" w:rsidP="00EB069D">
            <w:pPr>
              <w:jc w:val="center"/>
              <w:rPr>
                <w:sz w:val="22"/>
                <w:szCs w:val="22"/>
              </w:rPr>
            </w:pPr>
            <w:r w:rsidRPr="00283E62">
              <w:rPr>
                <w:sz w:val="22"/>
                <w:szCs w:val="22"/>
              </w:rPr>
              <w:t>Total Capacity</w:t>
            </w:r>
          </w:p>
        </w:tc>
        <w:tc>
          <w:tcPr>
            <w:tcW w:w="1460" w:type="dxa"/>
            <w:tcBorders>
              <w:top w:val="single" w:sz="4" w:space="0" w:color="auto"/>
              <w:left w:val="nil"/>
              <w:bottom w:val="nil"/>
              <w:right w:val="single" w:sz="4" w:space="0" w:color="auto"/>
            </w:tcBorders>
            <w:shd w:val="clear" w:color="000000" w:fill="FFFFFF"/>
            <w:vAlign w:val="center"/>
            <w:hideMark/>
          </w:tcPr>
          <w:p w14:paraId="79C39D7B" w14:textId="77777777" w:rsidR="00EB069D" w:rsidRPr="00283E62" w:rsidRDefault="00EB069D" w:rsidP="00EB069D">
            <w:pPr>
              <w:jc w:val="center"/>
              <w:rPr>
                <w:sz w:val="22"/>
                <w:szCs w:val="22"/>
              </w:rPr>
            </w:pPr>
            <w:r w:rsidRPr="00283E62">
              <w:rPr>
                <w:sz w:val="22"/>
                <w:szCs w:val="22"/>
              </w:rPr>
              <w:t>Capacity Required to Meet GPC Target</w:t>
            </w:r>
          </w:p>
        </w:tc>
        <w:tc>
          <w:tcPr>
            <w:tcW w:w="1240" w:type="dxa"/>
            <w:tcBorders>
              <w:top w:val="single" w:sz="4" w:space="0" w:color="auto"/>
              <w:left w:val="nil"/>
              <w:bottom w:val="nil"/>
              <w:right w:val="single" w:sz="4" w:space="0" w:color="auto"/>
            </w:tcBorders>
            <w:shd w:val="clear" w:color="000000" w:fill="FFFFFF"/>
            <w:vAlign w:val="center"/>
            <w:hideMark/>
          </w:tcPr>
          <w:p w14:paraId="607D6274" w14:textId="77777777" w:rsidR="00EB069D" w:rsidRPr="00283E62" w:rsidRDefault="00EB069D" w:rsidP="00EB069D">
            <w:pPr>
              <w:jc w:val="center"/>
              <w:rPr>
                <w:sz w:val="22"/>
                <w:szCs w:val="22"/>
              </w:rPr>
            </w:pPr>
            <w:r w:rsidRPr="00283E62">
              <w:rPr>
                <w:sz w:val="22"/>
                <w:szCs w:val="22"/>
              </w:rPr>
              <w:t>GPC Reserve Margin</w:t>
            </w:r>
          </w:p>
        </w:tc>
      </w:tr>
      <w:tr w:rsidR="00EB069D" w:rsidRPr="00EB069D" w14:paraId="543F3C5D" w14:textId="77777777" w:rsidTr="000C5740">
        <w:trPr>
          <w:trHeight w:val="290"/>
          <w:jc w:val="center"/>
        </w:trPr>
        <w:tc>
          <w:tcPr>
            <w:tcW w:w="1060" w:type="dxa"/>
            <w:tcBorders>
              <w:top w:val="nil"/>
              <w:left w:val="single" w:sz="4" w:space="0" w:color="auto"/>
              <w:bottom w:val="nil"/>
              <w:right w:val="single" w:sz="4" w:space="0" w:color="auto"/>
            </w:tcBorders>
            <w:shd w:val="clear" w:color="000000" w:fill="FFFFFF"/>
            <w:vAlign w:val="center"/>
            <w:hideMark/>
          </w:tcPr>
          <w:p w14:paraId="688FD83E" w14:textId="77777777" w:rsidR="00EB069D" w:rsidRPr="00283E62" w:rsidRDefault="00EB069D" w:rsidP="00EB069D">
            <w:pPr>
              <w:jc w:val="center"/>
            </w:pPr>
            <w:r w:rsidRPr="00283E62">
              <w:t> </w:t>
            </w:r>
          </w:p>
        </w:tc>
        <w:tc>
          <w:tcPr>
            <w:tcW w:w="1320" w:type="dxa"/>
            <w:tcBorders>
              <w:top w:val="nil"/>
              <w:left w:val="nil"/>
              <w:bottom w:val="nil"/>
              <w:right w:val="single" w:sz="4" w:space="0" w:color="auto"/>
            </w:tcBorders>
            <w:shd w:val="clear" w:color="000000" w:fill="FFFFFF"/>
            <w:hideMark/>
          </w:tcPr>
          <w:p w14:paraId="7167BAEE" w14:textId="77777777" w:rsidR="00EB069D" w:rsidRPr="00283E62" w:rsidRDefault="00EB069D" w:rsidP="00EB069D">
            <w:pPr>
              <w:jc w:val="center"/>
            </w:pPr>
            <w:r w:rsidRPr="00283E62">
              <w:t>(MW)</w:t>
            </w:r>
          </w:p>
        </w:tc>
        <w:tc>
          <w:tcPr>
            <w:tcW w:w="1260" w:type="dxa"/>
            <w:tcBorders>
              <w:top w:val="nil"/>
              <w:left w:val="nil"/>
              <w:bottom w:val="nil"/>
              <w:right w:val="single" w:sz="4" w:space="0" w:color="auto"/>
            </w:tcBorders>
            <w:shd w:val="clear" w:color="000000" w:fill="FFFFFF"/>
            <w:hideMark/>
          </w:tcPr>
          <w:p w14:paraId="337B38B1" w14:textId="77777777" w:rsidR="00EB069D" w:rsidRPr="00283E62" w:rsidRDefault="00EB069D" w:rsidP="00EB069D">
            <w:pPr>
              <w:jc w:val="center"/>
            </w:pPr>
            <w:r w:rsidRPr="00283E62">
              <w:t>(MW)</w:t>
            </w:r>
          </w:p>
        </w:tc>
        <w:tc>
          <w:tcPr>
            <w:tcW w:w="1260" w:type="dxa"/>
            <w:tcBorders>
              <w:top w:val="nil"/>
              <w:left w:val="nil"/>
              <w:bottom w:val="nil"/>
              <w:right w:val="single" w:sz="4" w:space="0" w:color="auto"/>
            </w:tcBorders>
            <w:shd w:val="clear" w:color="000000" w:fill="FFFFFF"/>
            <w:hideMark/>
          </w:tcPr>
          <w:p w14:paraId="193ABE70" w14:textId="77777777" w:rsidR="00EB069D" w:rsidRPr="00283E62" w:rsidRDefault="00EB069D" w:rsidP="00EB069D">
            <w:pPr>
              <w:jc w:val="center"/>
            </w:pPr>
            <w:r w:rsidRPr="00283E62">
              <w:t>(MW)</w:t>
            </w:r>
          </w:p>
        </w:tc>
        <w:tc>
          <w:tcPr>
            <w:tcW w:w="1460" w:type="dxa"/>
            <w:tcBorders>
              <w:top w:val="nil"/>
              <w:left w:val="nil"/>
              <w:bottom w:val="nil"/>
              <w:right w:val="single" w:sz="4" w:space="0" w:color="auto"/>
            </w:tcBorders>
            <w:shd w:val="clear" w:color="000000" w:fill="FFFFFF"/>
            <w:hideMark/>
          </w:tcPr>
          <w:p w14:paraId="7DA883E2" w14:textId="77777777" w:rsidR="00EB069D" w:rsidRPr="00283E62" w:rsidRDefault="00EB069D" w:rsidP="00EB069D">
            <w:pPr>
              <w:jc w:val="center"/>
            </w:pPr>
            <w:r w:rsidRPr="00283E62">
              <w:t>(MW)</w:t>
            </w:r>
          </w:p>
        </w:tc>
        <w:tc>
          <w:tcPr>
            <w:tcW w:w="1360" w:type="dxa"/>
            <w:tcBorders>
              <w:top w:val="nil"/>
              <w:left w:val="nil"/>
              <w:bottom w:val="nil"/>
              <w:right w:val="single" w:sz="4" w:space="0" w:color="auto"/>
            </w:tcBorders>
            <w:shd w:val="clear" w:color="000000" w:fill="FFFFFF"/>
            <w:hideMark/>
          </w:tcPr>
          <w:p w14:paraId="44D873F5" w14:textId="77777777" w:rsidR="00EB069D" w:rsidRPr="00283E62" w:rsidRDefault="00EB069D" w:rsidP="00EB069D">
            <w:pPr>
              <w:jc w:val="center"/>
            </w:pPr>
            <w:r w:rsidRPr="00283E62">
              <w:t>(MW)</w:t>
            </w:r>
          </w:p>
        </w:tc>
        <w:tc>
          <w:tcPr>
            <w:tcW w:w="1460" w:type="dxa"/>
            <w:tcBorders>
              <w:top w:val="nil"/>
              <w:left w:val="nil"/>
              <w:bottom w:val="nil"/>
              <w:right w:val="single" w:sz="4" w:space="0" w:color="auto"/>
            </w:tcBorders>
            <w:shd w:val="clear" w:color="000000" w:fill="FFFFFF"/>
            <w:hideMark/>
          </w:tcPr>
          <w:p w14:paraId="3EE54569" w14:textId="77777777" w:rsidR="00EB069D" w:rsidRPr="00283E62" w:rsidRDefault="00EB069D" w:rsidP="00EB069D">
            <w:pPr>
              <w:jc w:val="center"/>
            </w:pPr>
            <w:r w:rsidRPr="00283E62">
              <w:t>(MW)</w:t>
            </w:r>
          </w:p>
        </w:tc>
        <w:tc>
          <w:tcPr>
            <w:tcW w:w="1240" w:type="dxa"/>
            <w:tcBorders>
              <w:top w:val="nil"/>
              <w:left w:val="nil"/>
              <w:bottom w:val="nil"/>
              <w:right w:val="single" w:sz="4" w:space="0" w:color="auto"/>
            </w:tcBorders>
            <w:shd w:val="clear" w:color="000000" w:fill="FFFFFF"/>
            <w:hideMark/>
          </w:tcPr>
          <w:p w14:paraId="7CA4AAF4" w14:textId="77777777" w:rsidR="00EB069D" w:rsidRPr="00283E62" w:rsidRDefault="00EB069D" w:rsidP="00EB069D">
            <w:pPr>
              <w:jc w:val="center"/>
            </w:pPr>
            <w:r w:rsidRPr="00283E62">
              <w:t>(%)</w:t>
            </w:r>
          </w:p>
        </w:tc>
      </w:tr>
      <w:tr w:rsidR="00EB069D" w:rsidRPr="00EB069D" w14:paraId="464B4F52" w14:textId="77777777" w:rsidTr="000C5740">
        <w:trPr>
          <w:trHeight w:val="290"/>
          <w:jc w:val="center"/>
        </w:trPr>
        <w:tc>
          <w:tcPr>
            <w:tcW w:w="1060" w:type="dxa"/>
            <w:tcBorders>
              <w:top w:val="nil"/>
              <w:left w:val="single" w:sz="4" w:space="0" w:color="auto"/>
              <w:bottom w:val="single" w:sz="4" w:space="0" w:color="auto"/>
              <w:right w:val="single" w:sz="4" w:space="0" w:color="auto"/>
            </w:tcBorders>
            <w:shd w:val="clear" w:color="000000" w:fill="FFFFFF"/>
            <w:vAlign w:val="center"/>
            <w:hideMark/>
          </w:tcPr>
          <w:p w14:paraId="18FBA104" w14:textId="77777777" w:rsidR="00EB069D" w:rsidRPr="00283E62" w:rsidRDefault="00EB069D" w:rsidP="00EB069D">
            <w:pPr>
              <w:jc w:val="center"/>
            </w:pPr>
            <w:r w:rsidRPr="00283E62">
              <w:t> </w:t>
            </w:r>
          </w:p>
        </w:tc>
        <w:tc>
          <w:tcPr>
            <w:tcW w:w="1320" w:type="dxa"/>
            <w:tcBorders>
              <w:top w:val="nil"/>
              <w:left w:val="nil"/>
              <w:bottom w:val="single" w:sz="4" w:space="0" w:color="auto"/>
              <w:right w:val="single" w:sz="4" w:space="0" w:color="auto"/>
            </w:tcBorders>
            <w:shd w:val="clear" w:color="000000" w:fill="FFFFFF"/>
            <w:noWrap/>
            <w:vAlign w:val="bottom"/>
            <w:hideMark/>
          </w:tcPr>
          <w:p w14:paraId="085CD925" w14:textId="77777777" w:rsidR="00EB069D" w:rsidRPr="00283E62" w:rsidRDefault="00EB069D" w:rsidP="00EB069D">
            <w:pPr>
              <w:jc w:val="center"/>
            </w:pPr>
            <w:r w:rsidRPr="00283E62">
              <w:t>(A)</w:t>
            </w:r>
          </w:p>
        </w:tc>
        <w:tc>
          <w:tcPr>
            <w:tcW w:w="1260" w:type="dxa"/>
            <w:tcBorders>
              <w:top w:val="nil"/>
              <w:left w:val="nil"/>
              <w:bottom w:val="single" w:sz="4" w:space="0" w:color="auto"/>
              <w:right w:val="single" w:sz="4" w:space="0" w:color="auto"/>
            </w:tcBorders>
            <w:shd w:val="clear" w:color="000000" w:fill="FFFFFF"/>
            <w:noWrap/>
            <w:vAlign w:val="bottom"/>
            <w:hideMark/>
          </w:tcPr>
          <w:p w14:paraId="6D0306E1" w14:textId="77777777" w:rsidR="00EB069D" w:rsidRPr="00283E62" w:rsidRDefault="00EB069D" w:rsidP="00EB069D">
            <w:pPr>
              <w:jc w:val="center"/>
            </w:pPr>
            <w:r w:rsidRPr="00283E62">
              <w:t>(B)</w:t>
            </w:r>
          </w:p>
        </w:tc>
        <w:tc>
          <w:tcPr>
            <w:tcW w:w="1260" w:type="dxa"/>
            <w:tcBorders>
              <w:top w:val="nil"/>
              <w:left w:val="nil"/>
              <w:bottom w:val="single" w:sz="4" w:space="0" w:color="auto"/>
              <w:right w:val="single" w:sz="4" w:space="0" w:color="auto"/>
            </w:tcBorders>
            <w:shd w:val="clear" w:color="000000" w:fill="FFFFFF"/>
            <w:noWrap/>
            <w:vAlign w:val="bottom"/>
            <w:hideMark/>
          </w:tcPr>
          <w:p w14:paraId="282BC68C" w14:textId="77777777" w:rsidR="00EB069D" w:rsidRPr="00283E62" w:rsidRDefault="00EB069D" w:rsidP="00EB069D">
            <w:pPr>
              <w:jc w:val="center"/>
            </w:pPr>
            <w:r w:rsidRPr="00283E62">
              <w:t>(</w:t>
            </w:r>
            <w:proofErr w:type="gramStart"/>
            <w:r w:rsidRPr="00283E62">
              <w:t>B,C</w:t>
            </w:r>
            <w:proofErr w:type="gramEnd"/>
            <w:r w:rsidRPr="00283E62">
              <w:t>)</w:t>
            </w:r>
          </w:p>
        </w:tc>
        <w:tc>
          <w:tcPr>
            <w:tcW w:w="1460" w:type="dxa"/>
            <w:tcBorders>
              <w:top w:val="nil"/>
              <w:left w:val="nil"/>
              <w:bottom w:val="single" w:sz="4" w:space="0" w:color="auto"/>
              <w:right w:val="single" w:sz="4" w:space="0" w:color="auto"/>
            </w:tcBorders>
            <w:shd w:val="clear" w:color="000000" w:fill="FFFFFF"/>
            <w:noWrap/>
            <w:vAlign w:val="bottom"/>
            <w:hideMark/>
          </w:tcPr>
          <w:p w14:paraId="326CB669" w14:textId="77777777" w:rsidR="00EB069D" w:rsidRPr="00283E62" w:rsidRDefault="00EB069D" w:rsidP="00EB069D">
            <w:pPr>
              <w:jc w:val="center"/>
            </w:pPr>
            <w:r w:rsidRPr="00283E62">
              <w:t>(B)</w:t>
            </w:r>
          </w:p>
        </w:tc>
        <w:tc>
          <w:tcPr>
            <w:tcW w:w="1360" w:type="dxa"/>
            <w:tcBorders>
              <w:top w:val="nil"/>
              <w:left w:val="nil"/>
              <w:bottom w:val="single" w:sz="4" w:space="0" w:color="auto"/>
              <w:right w:val="single" w:sz="4" w:space="0" w:color="auto"/>
            </w:tcBorders>
            <w:shd w:val="clear" w:color="000000" w:fill="FFFFFF"/>
            <w:noWrap/>
            <w:vAlign w:val="bottom"/>
            <w:hideMark/>
          </w:tcPr>
          <w:p w14:paraId="0F9EB3E9" w14:textId="77777777" w:rsidR="00EB069D" w:rsidRPr="00283E62" w:rsidRDefault="00EB069D" w:rsidP="00EB069D">
            <w:pPr>
              <w:jc w:val="center"/>
            </w:pPr>
            <w:r w:rsidRPr="00283E62">
              <w:t>(B)</w:t>
            </w:r>
          </w:p>
        </w:tc>
        <w:tc>
          <w:tcPr>
            <w:tcW w:w="1460" w:type="dxa"/>
            <w:tcBorders>
              <w:top w:val="nil"/>
              <w:left w:val="nil"/>
              <w:bottom w:val="single" w:sz="4" w:space="0" w:color="auto"/>
              <w:right w:val="single" w:sz="4" w:space="0" w:color="auto"/>
            </w:tcBorders>
            <w:shd w:val="clear" w:color="000000" w:fill="FFFFFF"/>
            <w:noWrap/>
            <w:vAlign w:val="bottom"/>
            <w:hideMark/>
          </w:tcPr>
          <w:p w14:paraId="5668BC59" w14:textId="77777777" w:rsidR="00EB069D" w:rsidRPr="00283E62" w:rsidRDefault="00EB069D" w:rsidP="00EB069D">
            <w:pPr>
              <w:jc w:val="center"/>
            </w:pPr>
            <w:r w:rsidRPr="00283E62">
              <w:t> </w:t>
            </w:r>
          </w:p>
        </w:tc>
        <w:tc>
          <w:tcPr>
            <w:tcW w:w="1240" w:type="dxa"/>
            <w:tcBorders>
              <w:top w:val="nil"/>
              <w:left w:val="nil"/>
              <w:bottom w:val="single" w:sz="4" w:space="0" w:color="auto"/>
              <w:right w:val="single" w:sz="4" w:space="0" w:color="auto"/>
            </w:tcBorders>
            <w:shd w:val="clear" w:color="000000" w:fill="FFFFFF"/>
            <w:noWrap/>
            <w:vAlign w:val="bottom"/>
            <w:hideMark/>
          </w:tcPr>
          <w:p w14:paraId="0B0E7FD9" w14:textId="77777777" w:rsidR="00EB069D" w:rsidRPr="00283E62" w:rsidRDefault="00EB069D" w:rsidP="00EB069D">
            <w:pPr>
              <w:jc w:val="center"/>
            </w:pPr>
            <w:r w:rsidRPr="00283E62">
              <w:t>(D)</w:t>
            </w:r>
          </w:p>
        </w:tc>
      </w:tr>
      <w:tr w:rsidR="009D5153" w:rsidRPr="00EB069D" w14:paraId="5B06DD8D"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22ECC10" w14:textId="3A431B37" w:rsidR="009D5153" w:rsidRPr="00283E62" w:rsidRDefault="009D5153" w:rsidP="009D5153">
            <w:pPr>
              <w:jc w:val="center"/>
            </w:pPr>
            <w:r w:rsidRPr="00283E62">
              <w:t>2025</w:t>
            </w:r>
          </w:p>
        </w:tc>
        <w:tc>
          <w:tcPr>
            <w:tcW w:w="1320" w:type="dxa"/>
            <w:tcBorders>
              <w:top w:val="nil"/>
              <w:left w:val="nil"/>
              <w:bottom w:val="single" w:sz="4" w:space="0" w:color="auto"/>
              <w:right w:val="single" w:sz="4" w:space="0" w:color="auto"/>
            </w:tcBorders>
            <w:shd w:val="clear" w:color="000000" w:fill="FFFFFF"/>
            <w:noWrap/>
            <w:vAlign w:val="bottom"/>
            <w:hideMark/>
          </w:tcPr>
          <w:p w14:paraId="68576265" w14:textId="0F6E6D50" w:rsidR="009D5153" w:rsidRPr="00283E62" w:rsidRDefault="009D5153" w:rsidP="009D5153">
            <w:pPr>
              <w:jc w:val="center"/>
            </w:pPr>
            <w:r w:rsidRPr="00283E62">
              <w:t>17,716</w:t>
            </w:r>
          </w:p>
        </w:tc>
        <w:tc>
          <w:tcPr>
            <w:tcW w:w="1260" w:type="dxa"/>
            <w:tcBorders>
              <w:top w:val="nil"/>
              <w:left w:val="nil"/>
              <w:bottom w:val="single" w:sz="4" w:space="0" w:color="auto"/>
              <w:right w:val="single" w:sz="4" w:space="0" w:color="auto"/>
            </w:tcBorders>
            <w:shd w:val="clear" w:color="000000" w:fill="FFFFFF"/>
            <w:noWrap/>
            <w:vAlign w:val="bottom"/>
            <w:hideMark/>
          </w:tcPr>
          <w:p w14:paraId="7B669BB2" w14:textId="1A645F58" w:rsidR="009D5153" w:rsidRPr="00283E62" w:rsidRDefault="009D5153" w:rsidP="009D5153">
            <w:pPr>
              <w:jc w:val="center"/>
            </w:pPr>
            <w:r w:rsidRPr="00283E62">
              <w:t>13,868</w:t>
            </w:r>
          </w:p>
        </w:tc>
        <w:tc>
          <w:tcPr>
            <w:tcW w:w="1260" w:type="dxa"/>
            <w:tcBorders>
              <w:top w:val="nil"/>
              <w:left w:val="nil"/>
              <w:bottom w:val="single" w:sz="4" w:space="0" w:color="auto"/>
              <w:right w:val="single" w:sz="4" w:space="0" w:color="auto"/>
            </w:tcBorders>
            <w:shd w:val="clear" w:color="000000" w:fill="FFFFFF"/>
            <w:noWrap/>
            <w:vAlign w:val="bottom"/>
            <w:hideMark/>
          </w:tcPr>
          <w:p w14:paraId="2A700828" w14:textId="17AA7F2C" w:rsidR="009D5153" w:rsidRPr="00283E62" w:rsidRDefault="009D5153" w:rsidP="009D5153">
            <w:pPr>
              <w:jc w:val="center"/>
            </w:pPr>
            <w:r w:rsidRPr="00283E62">
              <w:t>7,410</w:t>
            </w:r>
          </w:p>
        </w:tc>
        <w:tc>
          <w:tcPr>
            <w:tcW w:w="1460" w:type="dxa"/>
            <w:tcBorders>
              <w:top w:val="nil"/>
              <w:left w:val="nil"/>
              <w:bottom w:val="single" w:sz="4" w:space="0" w:color="auto"/>
              <w:right w:val="single" w:sz="4" w:space="0" w:color="auto"/>
            </w:tcBorders>
            <w:shd w:val="clear" w:color="000000" w:fill="FFFFFF"/>
            <w:noWrap/>
            <w:vAlign w:val="bottom"/>
            <w:hideMark/>
          </w:tcPr>
          <w:p w14:paraId="26F5B030" w14:textId="02DD8A6A" w:rsidR="009D5153" w:rsidRPr="00283E62" w:rsidRDefault="009D5153" w:rsidP="009D5153">
            <w:pPr>
              <w:jc w:val="center"/>
            </w:pPr>
            <w:r w:rsidRPr="00283E62">
              <w:t>729</w:t>
            </w:r>
          </w:p>
        </w:tc>
        <w:tc>
          <w:tcPr>
            <w:tcW w:w="1360" w:type="dxa"/>
            <w:tcBorders>
              <w:top w:val="nil"/>
              <w:left w:val="nil"/>
              <w:bottom w:val="single" w:sz="4" w:space="0" w:color="auto"/>
              <w:right w:val="single" w:sz="4" w:space="0" w:color="auto"/>
            </w:tcBorders>
            <w:shd w:val="clear" w:color="000000" w:fill="FFFFFF"/>
            <w:noWrap/>
            <w:vAlign w:val="bottom"/>
            <w:hideMark/>
          </w:tcPr>
          <w:p w14:paraId="3A74EA1E" w14:textId="0813A64E" w:rsidR="009D5153" w:rsidRPr="00283E62" w:rsidRDefault="009D5153" w:rsidP="009D5153">
            <w:pPr>
              <w:jc w:val="center"/>
            </w:pPr>
            <w:r w:rsidRPr="00283E62">
              <w:t>22,007</w:t>
            </w:r>
          </w:p>
        </w:tc>
        <w:tc>
          <w:tcPr>
            <w:tcW w:w="1460" w:type="dxa"/>
            <w:tcBorders>
              <w:top w:val="nil"/>
              <w:left w:val="nil"/>
              <w:bottom w:val="single" w:sz="4" w:space="0" w:color="auto"/>
              <w:right w:val="single" w:sz="4" w:space="0" w:color="auto"/>
            </w:tcBorders>
            <w:shd w:val="clear" w:color="000000" w:fill="FFFFFF"/>
            <w:noWrap/>
            <w:vAlign w:val="bottom"/>
            <w:hideMark/>
          </w:tcPr>
          <w:p w14:paraId="32466215" w14:textId="74DFAEBD" w:rsidR="009D5153" w:rsidRPr="00283E62" w:rsidRDefault="009D5153" w:rsidP="009D5153">
            <w:pPr>
              <w:jc w:val="center"/>
            </w:pPr>
            <w:r w:rsidRPr="00283E62">
              <w:t>(999)</w:t>
            </w:r>
          </w:p>
        </w:tc>
        <w:tc>
          <w:tcPr>
            <w:tcW w:w="1240" w:type="dxa"/>
            <w:tcBorders>
              <w:top w:val="nil"/>
              <w:left w:val="nil"/>
              <w:bottom w:val="single" w:sz="4" w:space="0" w:color="auto"/>
              <w:right w:val="single" w:sz="4" w:space="0" w:color="auto"/>
            </w:tcBorders>
            <w:shd w:val="clear" w:color="000000" w:fill="FFFFFF"/>
            <w:noWrap/>
            <w:vAlign w:val="bottom"/>
            <w:hideMark/>
          </w:tcPr>
          <w:p w14:paraId="512D89A8" w14:textId="443F8688" w:rsidR="009D5153" w:rsidRPr="00283E62" w:rsidRDefault="009D5153" w:rsidP="009D5153">
            <w:pPr>
              <w:jc w:val="center"/>
            </w:pPr>
            <w:r w:rsidRPr="00283E62">
              <w:t>24%</w:t>
            </w:r>
          </w:p>
        </w:tc>
      </w:tr>
      <w:tr w:rsidR="009D5153" w:rsidRPr="00EB069D" w14:paraId="0F92A022"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16E5D2A" w14:textId="7D5D11F8" w:rsidR="009D5153" w:rsidRPr="00283E62" w:rsidRDefault="009D5153" w:rsidP="009D5153">
            <w:pPr>
              <w:jc w:val="center"/>
            </w:pPr>
            <w:r w:rsidRPr="00283E62">
              <w:t>2026</w:t>
            </w:r>
          </w:p>
        </w:tc>
        <w:tc>
          <w:tcPr>
            <w:tcW w:w="1320" w:type="dxa"/>
            <w:tcBorders>
              <w:top w:val="nil"/>
              <w:left w:val="nil"/>
              <w:bottom w:val="single" w:sz="4" w:space="0" w:color="auto"/>
              <w:right w:val="single" w:sz="4" w:space="0" w:color="auto"/>
            </w:tcBorders>
            <w:shd w:val="clear" w:color="000000" w:fill="FFFFFF"/>
            <w:noWrap/>
            <w:vAlign w:val="bottom"/>
            <w:hideMark/>
          </w:tcPr>
          <w:p w14:paraId="71F8E028" w14:textId="5418E01A" w:rsidR="009D5153" w:rsidRPr="00283E62" w:rsidRDefault="009D5153" w:rsidP="009D5153">
            <w:pPr>
              <w:jc w:val="center"/>
            </w:pPr>
            <w:r w:rsidRPr="00283E62">
              <w:t>18,480</w:t>
            </w:r>
          </w:p>
        </w:tc>
        <w:tc>
          <w:tcPr>
            <w:tcW w:w="1260" w:type="dxa"/>
            <w:tcBorders>
              <w:top w:val="nil"/>
              <w:left w:val="nil"/>
              <w:bottom w:val="single" w:sz="4" w:space="0" w:color="auto"/>
              <w:right w:val="single" w:sz="4" w:space="0" w:color="auto"/>
            </w:tcBorders>
            <w:shd w:val="clear" w:color="000000" w:fill="FFFFFF"/>
            <w:noWrap/>
            <w:vAlign w:val="bottom"/>
            <w:hideMark/>
          </w:tcPr>
          <w:p w14:paraId="73BC5ECE" w14:textId="595A3756" w:rsidR="009D5153" w:rsidRPr="00283E62" w:rsidRDefault="009D5153" w:rsidP="009D5153">
            <w:pPr>
              <w:jc w:val="center"/>
            </w:pPr>
            <w:r w:rsidRPr="00283E62">
              <w:t>14,708</w:t>
            </w:r>
          </w:p>
        </w:tc>
        <w:tc>
          <w:tcPr>
            <w:tcW w:w="1260" w:type="dxa"/>
            <w:tcBorders>
              <w:top w:val="nil"/>
              <w:left w:val="nil"/>
              <w:bottom w:val="single" w:sz="4" w:space="0" w:color="auto"/>
              <w:right w:val="single" w:sz="4" w:space="0" w:color="auto"/>
            </w:tcBorders>
            <w:shd w:val="clear" w:color="000000" w:fill="FFFFFF"/>
            <w:noWrap/>
            <w:vAlign w:val="bottom"/>
            <w:hideMark/>
          </w:tcPr>
          <w:p w14:paraId="1C8E03D8" w14:textId="7509BBAD" w:rsidR="009D5153" w:rsidRPr="00283E62" w:rsidRDefault="009D5153" w:rsidP="009D5153">
            <w:pPr>
              <w:jc w:val="center"/>
            </w:pPr>
            <w:r w:rsidRPr="00283E62">
              <w:t>7,522</w:t>
            </w:r>
          </w:p>
        </w:tc>
        <w:tc>
          <w:tcPr>
            <w:tcW w:w="1460" w:type="dxa"/>
            <w:tcBorders>
              <w:top w:val="nil"/>
              <w:left w:val="nil"/>
              <w:bottom w:val="single" w:sz="4" w:space="0" w:color="auto"/>
              <w:right w:val="single" w:sz="4" w:space="0" w:color="auto"/>
            </w:tcBorders>
            <w:shd w:val="clear" w:color="000000" w:fill="FFFFFF"/>
            <w:noWrap/>
            <w:vAlign w:val="bottom"/>
            <w:hideMark/>
          </w:tcPr>
          <w:p w14:paraId="0F362474" w14:textId="1171C919" w:rsidR="009D5153" w:rsidRPr="00283E62" w:rsidRDefault="009D5153" w:rsidP="009D5153">
            <w:pPr>
              <w:jc w:val="center"/>
            </w:pPr>
            <w:r w:rsidRPr="00283E62">
              <w:t>735</w:t>
            </w:r>
          </w:p>
        </w:tc>
        <w:tc>
          <w:tcPr>
            <w:tcW w:w="1360" w:type="dxa"/>
            <w:tcBorders>
              <w:top w:val="nil"/>
              <w:left w:val="nil"/>
              <w:bottom w:val="single" w:sz="4" w:space="0" w:color="auto"/>
              <w:right w:val="single" w:sz="4" w:space="0" w:color="auto"/>
            </w:tcBorders>
            <w:shd w:val="clear" w:color="000000" w:fill="FFFFFF"/>
            <w:noWrap/>
            <w:vAlign w:val="bottom"/>
            <w:hideMark/>
          </w:tcPr>
          <w:p w14:paraId="2B212559" w14:textId="553C7143" w:rsidR="009D5153" w:rsidRPr="00283E62" w:rsidRDefault="009D5153" w:rsidP="009D5153">
            <w:pPr>
              <w:jc w:val="center"/>
            </w:pPr>
            <w:r w:rsidRPr="00283E62">
              <w:t>22,965</w:t>
            </w:r>
          </w:p>
        </w:tc>
        <w:tc>
          <w:tcPr>
            <w:tcW w:w="1460" w:type="dxa"/>
            <w:tcBorders>
              <w:top w:val="nil"/>
              <w:left w:val="nil"/>
              <w:bottom w:val="single" w:sz="4" w:space="0" w:color="auto"/>
              <w:right w:val="single" w:sz="4" w:space="0" w:color="auto"/>
            </w:tcBorders>
            <w:shd w:val="clear" w:color="000000" w:fill="FFFFFF"/>
            <w:noWrap/>
            <w:vAlign w:val="bottom"/>
            <w:hideMark/>
          </w:tcPr>
          <w:p w14:paraId="31A28B71" w14:textId="0AD2057D" w:rsidR="009D5153" w:rsidRPr="00283E62" w:rsidRDefault="009D5153" w:rsidP="009D5153">
            <w:pPr>
              <w:jc w:val="center"/>
            </w:pPr>
            <w:r w:rsidRPr="00283E62">
              <w:t>(1,053)</w:t>
            </w:r>
          </w:p>
        </w:tc>
        <w:tc>
          <w:tcPr>
            <w:tcW w:w="1240" w:type="dxa"/>
            <w:tcBorders>
              <w:top w:val="nil"/>
              <w:left w:val="nil"/>
              <w:bottom w:val="single" w:sz="4" w:space="0" w:color="auto"/>
              <w:right w:val="single" w:sz="4" w:space="0" w:color="auto"/>
            </w:tcBorders>
            <w:shd w:val="clear" w:color="000000" w:fill="FFFFFF"/>
            <w:noWrap/>
            <w:vAlign w:val="bottom"/>
            <w:hideMark/>
          </w:tcPr>
          <w:p w14:paraId="43CC4C29" w14:textId="36294056" w:rsidR="009D5153" w:rsidRPr="00283E62" w:rsidRDefault="009D5153" w:rsidP="009D5153">
            <w:pPr>
              <w:jc w:val="center"/>
            </w:pPr>
            <w:r w:rsidRPr="00283E62">
              <w:t>24%</w:t>
            </w:r>
          </w:p>
        </w:tc>
      </w:tr>
      <w:tr w:rsidR="00482488" w:rsidRPr="00EB069D" w14:paraId="0019DC13"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15E6A9" w14:textId="2F2D7C2B" w:rsidR="00482488" w:rsidRPr="00283E62" w:rsidRDefault="00482488" w:rsidP="00482488">
            <w:pPr>
              <w:jc w:val="center"/>
            </w:pPr>
            <w:r w:rsidRPr="00283E62">
              <w:t>2027</w:t>
            </w:r>
          </w:p>
        </w:tc>
        <w:tc>
          <w:tcPr>
            <w:tcW w:w="1320" w:type="dxa"/>
            <w:tcBorders>
              <w:top w:val="nil"/>
              <w:left w:val="nil"/>
              <w:bottom w:val="single" w:sz="4" w:space="0" w:color="auto"/>
              <w:right w:val="single" w:sz="4" w:space="0" w:color="auto"/>
            </w:tcBorders>
            <w:shd w:val="clear" w:color="000000" w:fill="FFFFFF"/>
            <w:noWrap/>
            <w:vAlign w:val="bottom"/>
            <w:hideMark/>
          </w:tcPr>
          <w:p w14:paraId="6E3E9E9C" w14:textId="35C64D4E" w:rsidR="00482488" w:rsidRPr="00283E62" w:rsidRDefault="00482488" w:rsidP="00482488">
            <w:pPr>
              <w:jc w:val="center"/>
            </w:pPr>
            <w:r w:rsidRPr="00283E62">
              <w:t>19,971</w:t>
            </w:r>
          </w:p>
        </w:tc>
        <w:tc>
          <w:tcPr>
            <w:tcW w:w="1260" w:type="dxa"/>
            <w:tcBorders>
              <w:top w:val="nil"/>
              <w:left w:val="nil"/>
              <w:bottom w:val="single" w:sz="4" w:space="0" w:color="auto"/>
              <w:right w:val="single" w:sz="4" w:space="0" w:color="auto"/>
            </w:tcBorders>
            <w:shd w:val="clear" w:color="000000" w:fill="FFFFFF"/>
            <w:noWrap/>
            <w:vAlign w:val="bottom"/>
            <w:hideMark/>
          </w:tcPr>
          <w:p w14:paraId="7357AFDE" w14:textId="6459BEB0" w:rsidR="00482488" w:rsidRPr="00283E62" w:rsidRDefault="00482488" w:rsidP="00482488">
            <w:pPr>
              <w:jc w:val="center"/>
            </w:pPr>
            <w:r w:rsidRPr="00283E62">
              <w:t>16,0</w:t>
            </w:r>
            <w:r w:rsidR="007C0579" w:rsidRPr="00283E62">
              <w:t>2</w:t>
            </w:r>
            <w:r w:rsidR="00246951" w:rsidRPr="00283E62">
              <w:t>8</w:t>
            </w:r>
          </w:p>
        </w:tc>
        <w:tc>
          <w:tcPr>
            <w:tcW w:w="1260" w:type="dxa"/>
            <w:tcBorders>
              <w:top w:val="nil"/>
              <w:left w:val="nil"/>
              <w:bottom w:val="single" w:sz="4" w:space="0" w:color="auto"/>
              <w:right w:val="single" w:sz="4" w:space="0" w:color="auto"/>
            </w:tcBorders>
            <w:shd w:val="clear" w:color="000000" w:fill="FFFFFF"/>
            <w:noWrap/>
            <w:vAlign w:val="bottom"/>
            <w:hideMark/>
          </w:tcPr>
          <w:p w14:paraId="0602D8C1" w14:textId="29DCE8D5" w:rsidR="00482488" w:rsidRPr="00283E62" w:rsidRDefault="00482488" w:rsidP="00482488">
            <w:pPr>
              <w:jc w:val="center"/>
            </w:pPr>
            <w:r w:rsidRPr="00283E62">
              <w:t>7,522</w:t>
            </w:r>
          </w:p>
        </w:tc>
        <w:tc>
          <w:tcPr>
            <w:tcW w:w="1460" w:type="dxa"/>
            <w:tcBorders>
              <w:top w:val="nil"/>
              <w:left w:val="nil"/>
              <w:bottom w:val="single" w:sz="4" w:space="0" w:color="auto"/>
              <w:right w:val="single" w:sz="4" w:space="0" w:color="auto"/>
            </w:tcBorders>
            <w:shd w:val="clear" w:color="000000" w:fill="FFFFFF"/>
            <w:noWrap/>
            <w:vAlign w:val="bottom"/>
            <w:hideMark/>
          </w:tcPr>
          <w:p w14:paraId="36421664" w14:textId="1ADCF9BD" w:rsidR="00482488" w:rsidRPr="00283E62" w:rsidRDefault="00482488" w:rsidP="00482488">
            <w:pPr>
              <w:jc w:val="center"/>
            </w:pPr>
            <w:r w:rsidRPr="00283E62">
              <w:t>739</w:t>
            </w:r>
          </w:p>
        </w:tc>
        <w:tc>
          <w:tcPr>
            <w:tcW w:w="1360" w:type="dxa"/>
            <w:tcBorders>
              <w:top w:val="nil"/>
              <w:left w:val="nil"/>
              <w:bottom w:val="single" w:sz="4" w:space="0" w:color="auto"/>
              <w:right w:val="single" w:sz="4" w:space="0" w:color="auto"/>
            </w:tcBorders>
            <w:shd w:val="clear" w:color="000000" w:fill="FFFFFF"/>
            <w:noWrap/>
            <w:vAlign w:val="bottom"/>
            <w:hideMark/>
          </w:tcPr>
          <w:p w14:paraId="2061CF99" w14:textId="61F5502F" w:rsidR="00482488" w:rsidRPr="00283E62" w:rsidRDefault="00482488" w:rsidP="00482488">
            <w:pPr>
              <w:jc w:val="center"/>
            </w:pPr>
            <w:r w:rsidRPr="00283E62">
              <w:t>24,2</w:t>
            </w:r>
            <w:r w:rsidR="00746527" w:rsidRPr="00283E62">
              <w:t>90</w:t>
            </w:r>
          </w:p>
        </w:tc>
        <w:tc>
          <w:tcPr>
            <w:tcW w:w="1460" w:type="dxa"/>
            <w:tcBorders>
              <w:top w:val="nil"/>
              <w:left w:val="nil"/>
              <w:bottom w:val="single" w:sz="4" w:space="0" w:color="auto"/>
              <w:right w:val="single" w:sz="4" w:space="0" w:color="auto"/>
            </w:tcBorders>
            <w:shd w:val="clear" w:color="000000" w:fill="FFFFFF"/>
            <w:noWrap/>
            <w:vAlign w:val="bottom"/>
            <w:hideMark/>
          </w:tcPr>
          <w:p w14:paraId="6365EF2E" w14:textId="1B120AA5" w:rsidR="00482488" w:rsidRPr="00283E62" w:rsidRDefault="00482488" w:rsidP="00482488">
            <w:pPr>
              <w:jc w:val="center"/>
            </w:pPr>
            <w:r w:rsidRPr="00283E62">
              <w:t>(</w:t>
            </w:r>
            <w:r w:rsidR="00CF6731" w:rsidRPr="00283E62">
              <w:t>609</w:t>
            </w:r>
            <w:r w:rsidRPr="00283E62">
              <w:t>)</w:t>
            </w:r>
          </w:p>
        </w:tc>
        <w:tc>
          <w:tcPr>
            <w:tcW w:w="1240" w:type="dxa"/>
            <w:tcBorders>
              <w:top w:val="nil"/>
              <w:left w:val="nil"/>
              <w:bottom w:val="single" w:sz="4" w:space="0" w:color="auto"/>
              <w:right w:val="single" w:sz="4" w:space="0" w:color="auto"/>
            </w:tcBorders>
            <w:shd w:val="clear" w:color="000000" w:fill="FFFFFF"/>
            <w:noWrap/>
            <w:vAlign w:val="bottom"/>
            <w:hideMark/>
          </w:tcPr>
          <w:p w14:paraId="5895A64E" w14:textId="3A78C8FA" w:rsidR="00482488" w:rsidRPr="00283E62" w:rsidRDefault="00482488" w:rsidP="00482488">
            <w:pPr>
              <w:jc w:val="center"/>
            </w:pPr>
            <w:r w:rsidRPr="00283E62">
              <w:t>22%</w:t>
            </w:r>
          </w:p>
        </w:tc>
      </w:tr>
      <w:tr w:rsidR="009D5153" w:rsidRPr="00EB069D" w14:paraId="55832E5F"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B1C814B" w14:textId="7E8A59AF" w:rsidR="009D5153" w:rsidRPr="00283E62" w:rsidRDefault="009D5153" w:rsidP="009D5153">
            <w:pPr>
              <w:jc w:val="center"/>
            </w:pPr>
            <w:r w:rsidRPr="00283E62">
              <w:t>2028</w:t>
            </w:r>
          </w:p>
        </w:tc>
        <w:tc>
          <w:tcPr>
            <w:tcW w:w="1320" w:type="dxa"/>
            <w:tcBorders>
              <w:top w:val="nil"/>
              <w:left w:val="nil"/>
              <w:bottom w:val="single" w:sz="4" w:space="0" w:color="auto"/>
              <w:right w:val="single" w:sz="4" w:space="0" w:color="auto"/>
            </w:tcBorders>
            <w:shd w:val="clear" w:color="000000" w:fill="FFFFFF"/>
            <w:noWrap/>
            <w:vAlign w:val="bottom"/>
            <w:hideMark/>
          </w:tcPr>
          <w:p w14:paraId="0F990386" w14:textId="2189DBEA" w:rsidR="009D5153" w:rsidRPr="00283E62" w:rsidRDefault="009D5153" w:rsidP="009D5153">
            <w:pPr>
              <w:jc w:val="center"/>
            </w:pPr>
            <w:r w:rsidRPr="00283E62">
              <w:t>21,981</w:t>
            </w:r>
          </w:p>
        </w:tc>
        <w:tc>
          <w:tcPr>
            <w:tcW w:w="1260" w:type="dxa"/>
            <w:tcBorders>
              <w:top w:val="nil"/>
              <w:left w:val="nil"/>
              <w:bottom w:val="single" w:sz="4" w:space="0" w:color="auto"/>
              <w:right w:val="single" w:sz="4" w:space="0" w:color="auto"/>
            </w:tcBorders>
            <w:shd w:val="clear" w:color="000000" w:fill="FFFFFF"/>
            <w:noWrap/>
            <w:vAlign w:val="bottom"/>
            <w:hideMark/>
          </w:tcPr>
          <w:p w14:paraId="7C28F4BB" w14:textId="40C6768D" w:rsidR="009D5153" w:rsidRPr="00283E62" w:rsidRDefault="009D5153" w:rsidP="009D5153">
            <w:pPr>
              <w:jc w:val="center"/>
            </w:pPr>
            <w:r w:rsidRPr="00283E62">
              <w:t>16,801</w:t>
            </w:r>
          </w:p>
        </w:tc>
        <w:tc>
          <w:tcPr>
            <w:tcW w:w="1260" w:type="dxa"/>
            <w:tcBorders>
              <w:top w:val="nil"/>
              <w:left w:val="nil"/>
              <w:bottom w:val="single" w:sz="4" w:space="0" w:color="auto"/>
              <w:right w:val="single" w:sz="4" w:space="0" w:color="auto"/>
            </w:tcBorders>
            <w:shd w:val="clear" w:color="000000" w:fill="FFFFFF"/>
            <w:noWrap/>
            <w:vAlign w:val="bottom"/>
            <w:hideMark/>
          </w:tcPr>
          <w:p w14:paraId="4A41ADF5" w14:textId="18BED132" w:rsidR="009D5153" w:rsidRPr="00283E62" w:rsidRDefault="009D5153" w:rsidP="009D5153">
            <w:pPr>
              <w:jc w:val="center"/>
            </w:pPr>
            <w:r w:rsidRPr="00283E62">
              <w:t>7,446</w:t>
            </w:r>
          </w:p>
        </w:tc>
        <w:tc>
          <w:tcPr>
            <w:tcW w:w="1460" w:type="dxa"/>
            <w:tcBorders>
              <w:top w:val="nil"/>
              <w:left w:val="nil"/>
              <w:bottom w:val="single" w:sz="4" w:space="0" w:color="auto"/>
              <w:right w:val="single" w:sz="4" w:space="0" w:color="auto"/>
            </w:tcBorders>
            <w:shd w:val="clear" w:color="000000" w:fill="FFFFFF"/>
            <w:noWrap/>
            <w:vAlign w:val="bottom"/>
            <w:hideMark/>
          </w:tcPr>
          <w:p w14:paraId="54BB6BF1" w14:textId="6B6C3A10" w:rsidR="009D5153" w:rsidRPr="00283E62" w:rsidRDefault="009D5153" w:rsidP="009D5153">
            <w:pPr>
              <w:jc w:val="center"/>
            </w:pPr>
            <w:r w:rsidRPr="00283E62">
              <w:t>739</w:t>
            </w:r>
          </w:p>
        </w:tc>
        <w:tc>
          <w:tcPr>
            <w:tcW w:w="1360" w:type="dxa"/>
            <w:tcBorders>
              <w:top w:val="nil"/>
              <w:left w:val="nil"/>
              <w:bottom w:val="single" w:sz="4" w:space="0" w:color="auto"/>
              <w:right w:val="single" w:sz="4" w:space="0" w:color="auto"/>
            </w:tcBorders>
            <w:shd w:val="clear" w:color="000000" w:fill="FFFFFF"/>
            <w:noWrap/>
            <w:vAlign w:val="bottom"/>
            <w:hideMark/>
          </w:tcPr>
          <w:p w14:paraId="3528D185" w14:textId="31FC5BEB" w:rsidR="009D5153" w:rsidRPr="00283E62" w:rsidRDefault="009D5153" w:rsidP="009D5153">
            <w:pPr>
              <w:jc w:val="center"/>
            </w:pPr>
            <w:r w:rsidRPr="00283E62">
              <w:t>24,986</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AB467" w14:textId="395F139F" w:rsidR="009D5153" w:rsidRPr="00697C0E" w:rsidRDefault="009D5153" w:rsidP="009D5153">
            <w:pPr>
              <w:jc w:val="center"/>
              <w:rPr>
                <w:color w:val="FF0000"/>
              </w:rPr>
            </w:pPr>
            <w:r w:rsidRPr="00697C0E">
              <w:rPr>
                <w:color w:val="FF0000"/>
              </w:rPr>
              <w:t xml:space="preserve">1,190 </w:t>
            </w:r>
          </w:p>
        </w:tc>
        <w:tc>
          <w:tcPr>
            <w:tcW w:w="1240" w:type="dxa"/>
            <w:tcBorders>
              <w:top w:val="nil"/>
              <w:left w:val="nil"/>
              <w:bottom w:val="single" w:sz="4" w:space="0" w:color="auto"/>
              <w:right w:val="single" w:sz="4" w:space="0" w:color="auto"/>
            </w:tcBorders>
            <w:shd w:val="clear" w:color="000000" w:fill="FFFFFF"/>
            <w:noWrap/>
            <w:vAlign w:val="bottom"/>
            <w:hideMark/>
          </w:tcPr>
          <w:p w14:paraId="21E7D280" w14:textId="0F809F05" w:rsidR="009D5153" w:rsidRPr="00283E62" w:rsidRDefault="009D5153" w:rsidP="009D5153">
            <w:pPr>
              <w:jc w:val="center"/>
            </w:pPr>
            <w:r w:rsidRPr="00283E62">
              <w:t>14%</w:t>
            </w:r>
          </w:p>
        </w:tc>
      </w:tr>
      <w:tr w:rsidR="009D5153" w:rsidRPr="00EB069D" w14:paraId="5C976D5D"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96E35B" w14:textId="041F1428" w:rsidR="009D5153" w:rsidRPr="00283E62" w:rsidRDefault="009D5153" w:rsidP="009D5153">
            <w:pPr>
              <w:jc w:val="center"/>
            </w:pPr>
            <w:r w:rsidRPr="00283E62">
              <w:t>2029</w:t>
            </w:r>
          </w:p>
        </w:tc>
        <w:tc>
          <w:tcPr>
            <w:tcW w:w="1320" w:type="dxa"/>
            <w:tcBorders>
              <w:top w:val="nil"/>
              <w:left w:val="nil"/>
              <w:bottom w:val="single" w:sz="4" w:space="0" w:color="auto"/>
              <w:right w:val="single" w:sz="4" w:space="0" w:color="auto"/>
            </w:tcBorders>
            <w:shd w:val="clear" w:color="000000" w:fill="FFFFFF"/>
            <w:noWrap/>
            <w:vAlign w:val="bottom"/>
            <w:hideMark/>
          </w:tcPr>
          <w:p w14:paraId="4B9CE2AA" w14:textId="546137A4" w:rsidR="009D5153" w:rsidRPr="00283E62" w:rsidRDefault="009D5153" w:rsidP="009D5153">
            <w:pPr>
              <w:jc w:val="center"/>
            </w:pPr>
            <w:r w:rsidRPr="00283E62">
              <w:t>24,373</w:t>
            </w:r>
          </w:p>
        </w:tc>
        <w:tc>
          <w:tcPr>
            <w:tcW w:w="1260" w:type="dxa"/>
            <w:tcBorders>
              <w:top w:val="nil"/>
              <w:left w:val="nil"/>
              <w:bottom w:val="single" w:sz="4" w:space="0" w:color="auto"/>
              <w:right w:val="single" w:sz="4" w:space="0" w:color="auto"/>
            </w:tcBorders>
            <w:shd w:val="clear" w:color="000000" w:fill="FFFFFF"/>
            <w:noWrap/>
            <w:vAlign w:val="bottom"/>
            <w:hideMark/>
          </w:tcPr>
          <w:p w14:paraId="5CB06DF8" w14:textId="30A06A97" w:rsidR="009D5153" w:rsidRPr="00283E62" w:rsidRDefault="009D5153" w:rsidP="009D5153">
            <w:pPr>
              <w:jc w:val="center"/>
            </w:pPr>
            <w:r w:rsidRPr="00283E62">
              <w:t>16,802</w:t>
            </w:r>
          </w:p>
        </w:tc>
        <w:tc>
          <w:tcPr>
            <w:tcW w:w="1260" w:type="dxa"/>
            <w:tcBorders>
              <w:top w:val="nil"/>
              <w:left w:val="nil"/>
              <w:bottom w:val="single" w:sz="4" w:space="0" w:color="auto"/>
              <w:right w:val="single" w:sz="4" w:space="0" w:color="auto"/>
            </w:tcBorders>
            <w:shd w:val="clear" w:color="000000" w:fill="FFFFFF"/>
            <w:noWrap/>
            <w:vAlign w:val="bottom"/>
            <w:hideMark/>
          </w:tcPr>
          <w:p w14:paraId="7777B79B" w14:textId="1525FECC" w:rsidR="009D5153" w:rsidRPr="00283E62" w:rsidRDefault="009D5153" w:rsidP="009D5153">
            <w:pPr>
              <w:jc w:val="center"/>
            </w:pPr>
            <w:r w:rsidRPr="00283E62">
              <w:t>6,981</w:t>
            </w:r>
          </w:p>
        </w:tc>
        <w:tc>
          <w:tcPr>
            <w:tcW w:w="1460" w:type="dxa"/>
            <w:tcBorders>
              <w:top w:val="nil"/>
              <w:left w:val="nil"/>
              <w:bottom w:val="single" w:sz="4" w:space="0" w:color="auto"/>
              <w:right w:val="single" w:sz="4" w:space="0" w:color="auto"/>
            </w:tcBorders>
            <w:shd w:val="clear" w:color="000000" w:fill="FFFFFF"/>
            <w:noWrap/>
            <w:vAlign w:val="bottom"/>
            <w:hideMark/>
          </w:tcPr>
          <w:p w14:paraId="46CBA075" w14:textId="6DAC86B6" w:rsidR="009D5153" w:rsidRPr="00283E62" w:rsidRDefault="009D5153" w:rsidP="009D5153">
            <w:pPr>
              <w:jc w:val="center"/>
            </w:pPr>
            <w:r w:rsidRPr="00283E62">
              <w:t>742</w:t>
            </w:r>
          </w:p>
        </w:tc>
        <w:tc>
          <w:tcPr>
            <w:tcW w:w="1360" w:type="dxa"/>
            <w:tcBorders>
              <w:top w:val="nil"/>
              <w:left w:val="nil"/>
              <w:bottom w:val="single" w:sz="4" w:space="0" w:color="auto"/>
              <w:right w:val="single" w:sz="4" w:space="0" w:color="auto"/>
            </w:tcBorders>
            <w:shd w:val="clear" w:color="000000" w:fill="FFFFFF"/>
            <w:noWrap/>
            <w:vAlign w:val="bottom"/>
            <w:hideMark/>
          </w:tcPr>
          <w:p w14:paraId="0CD778C1" w14:textId="0EB8F393" w:rsidR="009D5153" w:rsidRPr="00283E62" w:rsidRDefault="009D5153" w:rsidP="009D5153">
            <w:pPr>
              <w:jc w:val="center"/>
            </w:pPr>
            <w:r w:rsidRPr="00283E62">
              <w:t>24,525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404C32" w14:textId="686500D4" w:rsidR="009D5153" w:rsidRPr="00697C0E" w:rsidRDefault="009D5153" w:rsidP="009D5153">
            <w:pPr>
              <w:jc w:val="center"/>
              <w:rPr>
                <w:color w:val="FF0000"/>
              </w:rPr>
            </w:pPr>
            <w:r w:rsidRPr="00697C0E">
              <w:rPr>
                <w:color w:val="FF0000"/>
              </w:rPr>
              <w:t xml:space="preserve">4,500 </w:t>
            </w:r>
          </w:p>
        </w:tc>
        <w:tc>
          <w:tcPr>
            <w:tcW w:w="1240" w:type="dxa"/>
            <w:tcBorders>
              <w:top w:val="nil"/>
              <w:left w:val="nil"/>
              <w:bottom w:val="single" w:sz="4" w:space="0" w:color="auto"/>
              <w:right w:val="single" w:sz="4" w:space="0" w:color="auto"/>
            </w:tcBorders>
            <w:shd w:val="clear" w:color="000000" w:fill="FFFFFF"/>
            <w:noWrap/>
            <w:vAlign w:val="bottom"/>
            <w:hideMark/>
          </w:tcPr>
          <w:p w14:paraId="5AB7E9F6" w14:textId="05DDA839" w:rsidR="009D5153" w:rsidRPr="00283E62" w:rsidRDefault="009D5153" w:rsidP="009D5153">
            <w:pPr>
              <w:jc w:val="center"/>
            </w:pPr>
            <w:r w:rsidRPr="00283E62">
              <w:t>1%</w:t>
            </w:r>
          </w:p>
        </w:tc>
      </w:tr>
      <w:tr w:rsidR="009D5153" w:rsidRPr="00EB069D" w14:paraId="416D9B4B"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84B7150" w14:textId="32295E34" w:rsidR="009D5153" w:rsidRPr="00283E62" w:rsidRDefault="009D5153" w:rsidP="009D5153">
            <w:pPr>
              <w:jc w:val="center"/>
            </w:pPr>
            <w:r w:rsidRPr="00283E62">
              <w:t>2030</w:t>
            </w:r>
          </w:p>
        </w:tc>
        <w:tc>
          <w:tcPr>
            <w:tcW w:w="1320" w:type="dxa"/>
            <w:tcBorders>
              <w:top w:val="nil"/>
              <w:left w:val="nil"/>
              <w:bottom w:val="single" w:sz="4" w:space="0" w:color="auto"/>
              <w:right w:val="single" w:sz="4" w:space="0" w:color="auto"/>
            </w:tcBorders>
            <w:shd w:val="clear" w:color="000000" w:fill="FFFFFF"/>
            <w:noWrap/>
            <w:vAlign w:val="bottom"/>
            <w:hideMark/>
          </w:tcPr>
          <w:p w14:paraId="4146CC73" w14:textId="238B5911" w:rsidR="009D5153" w:rsidRPr="00283E62" w:rsidRDefault="009D5153" w:rsidP="009D5153">
            <w:pPr>
              <w:jc w:val="center"/>
            </w:pPr>
            <w:r w:rsidRPr="00283E62">
              <w:t>25,934</w:t>
            </w:r>
          </w:p>
        </w:tc>
        <w:tc>
          <w:tcPr>
            <w:tcW w:w="1260" w:type="dxa"/>
            <w:tcBorders>
              <w:top w:val="nil"/>
              <w:left w:val="nil"/>
              <w:bottom w:val="single" w:sz="4" w:space="0" w:color="auto"/>
              <w:right w:val="single" w:sz="4" w:space="0" w:color="auto"/>
            </w:tcBorders>
            <w:shd w:val="clear" w:color="000000" w:fill="FFFFFF"/>
            <w:noWrap/>
            <w:vAlign w:val="bottom"/>
            <w:hideMark/>
          </w:tcPr>
          <w:p w14:paraId="541E2F11" w14:textId="33E4AA28" w:rsidR="009D5153" w:rsidRPr="00283E62" w:rsidRDefault="009D5153" w:rsidP="009D5153">
            <w:pPr>
              <w:jc w:val="center"/>
            </w:pPr>
            <w:r w:rsidRPr="00283E62">
              <w:t>16,808</w:t>
            </w:r>
          </w:p>
        </w:tc>
        <w:tc>
          <w:tcPr>
            <w:tcW w:w="1260" w:type="dxa"/>
            <w:tcBorders>
              <w:top w:val="nil"/>
              <w:left w:val="nil"/>
              <w:bottom w:val="single" w:sz="4" w:space="0" w:color="auto"/>
              <w:right w:val="single" w:sz="4" w:space="0" w:color="auto"/>
            </w:tcBorders>
            <w:shd w:val="clear" w:color="000000" w:fill="FFFFFF"/>
            <w:noWrap/>
            <w:vAlign w:val="bottom"/>
            <w:hideMark/>
          </w:tcPr>
          <w:p w14:paraId="25009078" w14:textId="1E2F212D" w:rsidR="009D5153" w:rsidRPr="00283E62" w:rsidRDefault="009D5153" w:rsidP="009D5153">
            <w:pPr>
              <w:jc w:val="center"/>
            </w:pPr>
            <w:r w:rsidRPr="00283E62">
              <w:t>5,</w:t>
            </w:r>
            <w:r w:rsidR="008F076D" w:rsidRPr="00283E62">
              <w:t>322</w:t>
            </w:r>
          </w:p>
        </w:tc>
        <w:tc>
          <w:tcPr>
            <w:tcW w:w="1460" w:type="dxa"/>
            <w:tcBorders>
              <w:top w:val="nil"/>
              <w:left w:val="nil"/>
              <w:bottom w:val="single" w:sz="4" w:space="0" w:color="auto"/>
              <w:right w:val="single" w:sz="4" w:space="0" w:color="auto"/>
            </w:tcBorders>
            <w:shd w:val="clear" w:color="000000" w:fill="FFFFFF"/>
            <w:noWrap/>
            <w:vAlign w:val="bottom"/>
            <w:hideMark/>
          </w:tcPr>
          <w:p w14:paraId="21B317A6" w14:textId="2296459E" w:rsidR="009D5153" w:rsidRPr="00283E62" w:rsidRDefault="009D5153" w:rsidP="009D5153">
            <w:pPr>
              <w:jc w:val="center"/>
            </w:pPr>
            <w:r w:rsidRPr="00283E62">
              <w:t>746</w:t>
            </w:r>
          </w:p>
        </w:tc>
        <w:tc>
          <w:tcPr>
            <w:tcW w:w="1360" w:type="dxa"/>
            <w:tcBorders>
              <w:top w:val="nil"/>
              <w:left w:val="nil"/>
              <w:bottom w:val="single" w:sz="4" w:space="0" w:color="auto"/>
              <w:right w:val="single" w:sz="4" w:space="0" w:color="auto"/>
            </w:tcBorders>
            <w:shd w:val="clear" w:color="000000" w:fill="FFFFFF"/>
            <w:noWrap/>
            <w:vAlign w:val="bottom"/>
            <w:hideMark/>
          </w:tcPr>
          <w:p w14:paraId="6E9EFCCA" w14:textId="11188EE5" w:rsidR="009D5153" w:rsidRPr="00283E62" w:rsidRDefault="009D5153" w:rsidP="009D5153">
            <w:pPr>
              <w:jc w:val="center"/>
            </w:pPr>
            <w:r w:rsidRPr="00283E62">
              <w:t>22,</w:t>
            </w:r>
            <w:r w:rsidR="00943012" w:rsidRPr="00283E62">
              <w:t>875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4C824" w14:textId="762EAEF8" w:rsidR="009D5153" w:rsidRPr="00697C0E" w:rsidRDefault="009D5153" w:rsidP="009D5153">
            <w:pPr>
              <w:jc w:val="center"/>
              <w:rPr>
                <w:color w:val="FF0000"/>
              </w:rPr>
            </w:pPr>
            <w:r w:rsidRPr="00697C0E">
              <w:rPr>
                <w:color w:val="FF0000"/>
              </w:rPr>
              <w:t>8,</w:t>
            </w:r>
            <w:r w:rsidR="00CF6731" w:rsidRPr="00697C0E">
              <w:rPr>
                <w:color w:val="FF0000"/>
              </w:rPr>
              <w:t>009</w:t>
            </w:r>
            <w:r w:rsidRPr="00697C0E">
              <w:rPr>
                <w:color w:val="FF0000"/>
              </w:rPr>
              <w:t xml:space="preserve"> </w:t>
            </w:r>
          </w:p>
        </w:tc>
        <w:tc>
          <w:tcPr>
            <w:tcW w:w="1240" w:type="dxa"/>
            <w:tcBorders>
              <w:top w:val="nil"/>
              <w:left w:val="nil"/>
              <w:bottom w:val="single" w:sz="4" w:space="0" w:color="auto"/>
              <w:right w:val="single" w:sz="4" w:space="0" w:color="auto"/>
            </w:tcBorders>
            <w:shd w:val="clear" w:color="000000" w:fill="FFFFFF"/>
            <w:noWrap/>
            <w:vAlign w:val="bottom"/>
            <w:hideMark/>
          </w:tcPr>
          <w:p w14:paraId="238F0989" w14:textId="77FB60BE" w:rsidR="009D5153" w:rsidRPr="00283E62" w:rsidRDefault="009D5153" w:rsidP="009D5153">
            <w:pPr>
              <w:jc w:val="center"/>
            </w:pPr>
            <w:r w:rsidRPr="00283E62">
              <w:t>-</w:t>
            </w:r>
            <w:r w:rsidR="001109D7" w:rsidRPr="00283E62">
              <w:t>1</w:t>
            </w:r>
            <w:r w:rsidR="00B838CC" w:rsidRPr="00283E62">
              <w:t>2</w:t>
            </w:r>
            <w:r w:rsidRPr="00283E62">
              <w:t>%</w:t>
            </w:r>
          </w:p>
        </w:tc>
      </w:tr>
      <w:tr w:rsidR="009D5153" w:rsidRPr="00EB069D" w14:paraId="5CE4BB7D"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4EB73E0" w14:textId="04455C6D" w:rsidR="009D5153" w:rsidRPr="00283E62" w:rsidRDefault="009D5153" w:rsidP="009D5153">
            <w:pPr>
              <w:jc w:val="center"/>
            </w:pPr>
            <w:r w:rsidRPr="00283E62">
              <w:t>2031</w:t>
            </w:r>
          </w:p>
        </w:tc>
        <w:tc>
          <w:tcPr>
            <w:tcW w:w="1320" w:type="dxa"/>
            <w:tcBorders>
              <w:top w:val="nil"/>
              <w:left w:val="nil"/>
              <w:bottom w:val="single" w:sz="4" w:space="0" w:color="auto"/>
              <w:right w:val="single" w:sz="4" w:space="0" w:color="auto"/>
            </w:tcBorders>
            <w:shd w:val="clear" w:color="000000" w:fill="FFFFFF"/>
            <w:noWrap/>
            <w:vAlign w:val="bottom"/>
            <w:hideMark/>
          </w:tcPr>
          <w:p w14:paraId="77C913DD" w14:textId="40F968B3" w:rsidR="009D5153" w:rsidRPr="00283E62" w:rsidRDefault="009D5153" w:rsidP="009D5153">
            <w:pPr>
              <w:jc w:val="center"/>
            </w:pPr>
            <w:r w:rsidRPr="00283E62">
              <w:t>27,081</w:t>
            </w:r>
          </w:p>
        </w:tc>
        <w:tc>
          <w:tcPr>
            <w:tcW w:w="1260" w:type="dxa"/>
            <w:tcBorders>
              <w:top w:val="nil"/>
              <w:left w:val="nil"/>
              <w:bottom w:val="single" w:sz="4" w:space="0" w:color="auto"/>
              <w:right w:val="single" w:sz="4" w:space="0" w:color="auto"/>
            </w:tcBorders>
            <w:shd w:val="clear" w:color="000000" w:fill="FFFFFF"/>
            <w:noWrap/>
            <w:vAlign w:val="bottom"/>
            <w:hideMark/>
          </w:tcPr>
          <w:p w14:paraId="780C0E07" w14:textId="3B3278B0" w:rsidR="009D5153" w:rsidRPr="00283E62" w:rsidRDefault="009D5153" w:rsidP="009D5153">
            <w:pPr>
              <w:jc w:val="center"/>
            </w:pPr>
            <w:r w:rsidRPr="00283E62">
              <w:t>16,728</w:t>
            </w:r>
          </w:p>
        </w:tc>
        <w:tc>
          <w:tcPr>
            <w:tcW w:w="1260" w:type="dxa"/>
            <w:tcBorders>
              <w:top w:val="nil"/>
              <w:left w:val="nil"/>
              <w:bottom w:val="single" w:sz="4" w:space="0" w:color="auto"/>
              <w:right w:val="single" w:sz="4" w:space="0" w:color="auto"/>
            </w:tcBorders>
            <w:shd w:val="clear" w:color="000000" w:fill="FFFFFF"/>
            <w:noWrap/>
            <w:vAlign w:val="bottom"/>
            <w:hideMark/>
          </w:tcPr>
          <w:p w14:paraId="01830F6B" w14:textId="1A4CD3BA" w:rsidR="009D5153" w:rsidRPr="00283E62" w:rsidRDefault="009D5153" w:rsidP="009D5153">
            <w:pPr>
              <w:jc w:val="center"/>
            </w:pPr>
            <w:r w:rsidRPr="00283E62">
              <w:t>5,535</w:t>
            </w:r>
          </w:p>
        </w:tc>
        <w:tc>
          <w:tcPr>
            <w:tcW w:w="1460" w:type="dxa"/>
            <w:tcBorders>
              <w:top w:val="nil"/>
              <w:left w:val="nil"/>
              <w:bottom w:val="single" w:sz="4" w:space="0" w:color="auto"/>
              <w:right w:val="single" w:sz="4" w:space="0" w:color="auto"/>
            </w:tcBorders>
            <w:shd w:val="clear" w:color="000000" w:fill="FFFFFF"/>
            <w:noWrap/>
            <w:vAlign w:val="bottom"/>
            <w:hideMark/>
          </w:tcPr>
          <w:p w14:paraId="1BF32C81" w14:textId="10634D9B" w:rsidR="009D5153" w:rsidRPr="00283E62" w:rsidRDefault="009D5153" w:rsidP="009D5153">
            <w:pPr>
              <w:jc w:val="center"/>
            </w:pPr>
            <w:r w:rsidRPr="00283E62">
              <w:t>751</w:t>
            </w:r>
          </w:p>
        </w:tc>
        <w:tc>
          <w:tcPr>
            <w:tcW w:w="1360" w:type="dxa"/>
            <w:tcBorders>
              <w:top w:val="nil"/>
              <w:left w:val="nil"/>
              <w:bottom w:val="single" w:sz="4" w:space="0" w:color="auto"/>
              <w:right w:val="single" w:sz="4" w:space="0" w:color="auto"/>
            </w:tcBorders>
            <w:shd w:val="clear" w:color="000000" w:fill="FFFFFF"/>
            <w:noWrap/>
            <w:vAlign w:val="bottom"/>
            <w:hideMark/>
          </w:tcPr>
          <w:p w14:paraId="5AFEFFEB" w14:textId="4CA4EE47" w:rsidR="009D5153" w:rsidRPr="00283E62" w:rsidRDefault="009D5153" w:rsidP="009D5153">
            <w:pPr>
              <w:jc w:val="center"/>
            </w:pPr>
            <w:r w:rsidRPr="00283E62">
              <w:t>23,015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CC26A" w14:textId="6E55F1C2" w:rsidR="009D5153" w:rsidRPr="00697C0E" w:rsidRDefault="009D5153" w:rsidP="009D5153">
            <w:pPr>
              <w:jc w:val="center"/>
              <w:rPr>
                <w:color w:val="FF0000"/>
              </w:rPr>
            </w:pPr>
            <w:r w:rsidRPr="00697C0E">
              <w:rPr>
                <w:color w:val="FF0000"/>
              </w:rPr>
              <w:t xml:space="preserve">9,235 </w:t>
            </w:r>
          </w:p>
        </w:tc>
        <w:tc>
          <w:tcPr>
            <w:tcW w:w="1240" w:type="dxa"/>
            <w:tcBorders>
              <w:top w:val="nil"/>
              <w:left w:val="nil"/>
              <w:bottom w:val="single" w:sz="4" w:space="0" w:color="auto"/>
              <w:right w:val="single" w:sz="4" w:space="0" w:color="auto"/>
            </w:tcBorders>
            <w:shd w:val="clear" w:color="000000" w:fill="FFFFFF"/>
            <w:noWrap/>
            <w:vAlign w:val="bottom"/>
            <w:hideMark/>
          </w:tcPr>
          <w:p w14:paraId="15AB04D2" w14:textId="722882C1" w:rsidR="009D5153" w:rsidRPr="00283E62" w:rsidRDefault="009D5153" w:rsidP="009D5153">
            <w:pPr>
              <w:jc w:val="center"/>
            </w:pPr>
            <w:r w:rsidRPr="00283E62">
              <w:t>-15%</w:t>
            </w:r>
          </w:p>
        </w:tc>
      </w:tr>
      <w:tr w:rsidR="009D5153" w:rsidRPr="00EB069D" w14:paraId="0182C519"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DF98406" w14:textId="2A688FB1" w:rsidR="009D5153" w:rsidRPr="00283E62" w:rsidRDefault="009D5153" w:rsidP="009D5153">
            <w:pPr>
              <w:jc w:val="center"/>
            </w:pPr>
            <w:r w:rsidRPr="00283E62">
              <w:t>2032</w:t>
            </w:r>
          </w:p>
        </w:tc>
        <w:tc>
          <w:tcPr>
            <w:tcW w:w="1320" w:type="dxa"/>
            <w:tcBorders>
              <w:top w:val="nil"/>
              <w:left w:val="nil"/>
              <w:bottom w:val="single" w:sz="4" w:space="0" w:color="auto"/>
              <w:right w:val="single" w:sz="4" w:space="0" w:color="auto"/>
            </w:tcBorders>
            <w:shd w:val="clear" w:color="000000" w:fill="FFFFFF"/>
            <w:noWrap/>
            <w:vAlign w:val="bottom"/>
            <w:hideMark/>
          </w:tcPr>
          <w:p w14:paraId="784ABD4F" w14:textId="172D19E1" w:rsidR="009D5153" w:rsidRPr="00283E62" w:rsidRDefault="009D5153" w:rsidP="009D5153">
            <w:pPr>
              <w:jc w:val="center"/>
            </w:pPr>
            <w:r w:rsidRPr="00283E62">
              <w:t>27,789</w:t>
            </w:r>
          </w:p>
        </w:tc>
        <w:tc>
          <w:tcPr>
            <w:tcW w:w="1260" w:type="dxa"/>
            <w:tcBorders>
              <w:top w:val="nil"/>
              <w:left w:val="nil"/>
              <w:bottom w:val="single" w:sz="4" w:space="0" w:color="auto"/>
              <w:right w:val="single" w:sz="4" w:space="0" w:color="auto"/>
            </w:tcBorders>
            <w:shd w:val="clear" w:color="000000" w:fill="FFFFFF"/>
            <w:noWrap/>
            <w:vAlign w:val="bottom"/>
            <w:hideMark/>
          </w:tcPr>
          <w:p w14:paraId="664D6573" w14:textId="384698A4" w:rsidR="009D5153" w:rsidRPr="00283E62" w:rsidRDefault="009D5153" w:rsidP="009D5153">
            <w:pPr>
              <w:jc w:val="center"/>
            </w:pPr>
            <w:r w:rsidRPr="00283E62">
              <w:t>16,728</w:t>
            </w:r>
          </w:p>
        </w:tc>
        <w:tc>
          <w:tcPr>
            <w:tcW w:w="1260" w:type="dxa"/>
            <w:tcBorders>
              <w:top w:val="nil"/>
              <w:left w:val="nil"/>
              <w:bottom w:val="single" w:sz="4" w:space="0" w:color="auto"/>
              <w:right w:val="single" w:sz="4" w:space="0" w:color="auto"/>
            </w:tcBorders>
            <w:shd w:val="clear" w:color="000000" w:fill="FFFFFF"/>
            <w:noWrap/>
            <w:vAlign w:val="bottom"/>
            <w:hideMark/>
          </w:tcPr>
          <w:p w14:paraId="4239E064" w14:textId="075AA57F" w:rsidR="009D5153" w:rsidRPr="00283E62" w:rsidRDefault="009D5153" w:rsidP="009D5153">
            <w:pPr>
              <w:jc w:val="center"/>
            </w:pPr>
            <w:r w:rsidRPr="00283E62">
              <w:t>5,535</w:t>
            </w:r>
          </w:p>
        </w:tc>
        <w:tc>
          <w:tcPr>
            <w:tcW w:w="1460" w:type="dxa"/>
            <w:tcBorders>
              <w:top w:val="nil"/>
              <w:left w:val="nil"/>
              <w:bottom w:val="single" w:sz="4" w:space="0" w:color="auto"/>
              <w:right w:val="single" w:sz="4" w:space="0" w:color="auto"/>
            </w:tcBorders>
            <w:shd w:val="clear" w:color="000000" w:fill="FFFFFF"/>
            <w:noWrap/>
            <w:vAlign w:val="bottom"/>
            <w:hideMark/>
          </w:tcPr>
          <w:p w14:paraId="41624095" w14:textId="3B8BAB6A" w:rsidR="009D5153" w:rsidRPr="00283E62" w:rsidRDefault="009D5153" w:rsidP="009D5153">
            <w:pPr>
              <w:jc w:val="center"/>
            </w:pPr>
            <w:r w:rsidRPr="00283E62">
              <w:t>754</w:t>
            </w:r>
          </w:p>
        </w:tc>
        <w:tc>
          <w:tcPr>
            <w:tcW w:w="1360" w:type="dxa"/>
            <w:tcBorders>
              <w:top w:val="nil"/>
              <w:left w:val="nil"/>
              <w:bottom w:val="single" w:sz="4" w:space="0" w:color="auto"/>
              <w:right w:val="single" w:sz="4" w:space="0" w:color="auto"/>
            </w:tcBorders>
            <w:shd w:val="clear" w:color="000000" w:fill="FFFFFF"/>
            <w:noWrap/>
            <w:vAlign w:val="bottom"/>
            <w:hideMark/>
          </w:tcPr>
          <w:p w14:paraId="71546F50" w14:textId="783BD6C6" w:rsidR="009D5153" w:rsidRPr="00283E62" w:rsidRDefault="009D5153" w:rsidP="009D5153">
            <w:pPr>
              <w:jc w:val="center"/>
            </w:pPr>
            <w:r w:rsidRPr="00283E62">
              <w:t>23,018</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3F5270" w14:textId="2AAB5EE5" w:rsidR="009D5153" w:rsidRPr="00697C0E" w:rsidRDefault="009D5153" w:rsidP="009D5153">
            <w:pPr>
              <w:jc w:val="center"/>
              <w:rPr>
                <w:color w:val="FF0000"/>
              </w:rPr>
            </w:pPr>
            <w:r w:rsidRPr="00697C0E">
              <w:rPr>
                <w:color w:val="FF0000"/>
              </w:rPr>
              <w:t xml:space="preserve">10,075 </w:t>
            </w:r>
          </w:p>
        </w:tc>
        <w:tc>
          <w:tcPr>
            <w:tcW w:w="1240" w:type="dxa"/>
            <w:tcBorders>
              <w:top w:val="nil"/>
              <w:left w:val="nil"/>
              <w:bottom w:val="single" w:sz="4" w:space="0" w:color="auto"/>
              <w:right w:val="single" w:sz="4" w:space="0" w:color="auto"/>
            </w:tcBorders>
            <w:shd w:val="clear" w:color="000000" w:fill="FFFFFF"/>
            <w:noWrap/>
            <w:vAlign w:val="bottom"/>
            <w:hideMark/>
          </w:tcPr>
          <w:p w14:paraId="4B4A6EA0" w14:textId="0B643F80" w:rsidR="009D5153" w:rsidRPr="00283E62" w:rsidRDefault="009D5153" w:rsidP="009D5153">
            <w:pPr>
              <w:jc w:val="center"/>
            </w:pPr>
            <w:r w:rsidRPr="00283E62">
              <w:t>-17%</w:t>
            </w:r>
          </w:p>
        </w:tc>
      </w:tr>
      <w:tr w:rsidR="009D5153" w:rsidRPr="00EB069D" w14:paraId="67947B67"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0D002D0" w14:textId="69FF7963" w:rsidR="009D5153" w:rsidRPr="00283E62" w:rsidRDefault="009D5153" w:rsidP="009D5153">
            <w:pPr>
              <w:jc w:val="center"/>
            </w:pPr>
            <w:r w:rsidRPr="00283E62">
              <w:t>2033</w:t>
            </w:r>
          </w:p>
        </w:tc>
        <w:tc>
          <w:tcPr>
            <w:tcW w:w="1320" w:type="dxa"/>
            <w:tcBorders>
              <w:top w:val="nil"/>
              <w:left w:val="nil"/>
              <w:bottom w:val="single" w:sz="4" w:space="0" w:color="auto"/>
              <w:right w:val="single" w:sz="4" w:space="0" w:color="auto"/>
            </w:tcBorders>
            <w:shd w:val="clear" w:color="000000" w:fill="FFFFFF"/>
            <w:noWrap/>
            <w:vAlign w:val="bottom"/>
            <w:hideMark/>
          </w:tcPr>
          <w:p w14:paraId="170897EB" w14:textId="1FE4CFD8" w:rsidR="009D5153" w:rsidRPr="00283E62" w:rsidRDefault="009D5153" w:rsidP="009D5153">
            <w:pPr>
              <w:jc w:val="center"/>
            </w:pPr>
            <w:r w:rsidRPr="00283E62">
              <w:t>28,289</w:t>
            </w:r>
          </w:p>
        </w:tc>
        <w:tc>
          <w:tcPr>
            <w:tcW w:w="1260" w:type="dxa"/>
            <w:tcBorders>
              <w:top w:val="nil"/>
              <w:left w:val="nil"/>
              <w:bottom w:val="single" w:sz="4" w:space="0" w:color="auto"/>
              <w:right w:val="single" w:sz="4" w:space="0" w:color="auto"/>
            </w:tcBorders>
            <w:shd w:val="clear" w:color="000000" w:fill="FFFFFF"/>
            <w:noWrap/>
            <w:vAlign w:val="bottom"/>
            <w:hideMark/>
          </w:tcPr>
          <w:p w14:paraId="3FB8D3BF" w14:textId="280649BE" w:rsidR="009D5153" w:rsidRPr="00283E62" w:rsidRDefault="009D5153" w:rsidP="009D5153">
            <w:pPr>
              <w:jc w:val="center"/>
            </w:pPr>
            <w:r w:rsidRPr="00283E62">
              <w:t>16,728</w:t>
            </w:r>
          </w:p>
        </w:tc>
        <w:tc>
          <w:tcPr>
            <w:tcW w:w="1260" w:type="dxa"/>
            <w:tcBorders>
              <w:top w:val="nil"/>
              <w:left w:val="nil"/>
              <w:bottom w:val="single" w:sz="4" w:space="0" w:color="auto"/>
              <w:right w:val="single" w:sz="4" w:space="0" w:color="auto"/>
            </w:tcBorders>
            <w:shd w:val="clear" w:color="000000" w:fill="FFFFFF"/>
            <w:noWrap/>
            <w:vAlign w:val="bottom"/>
            <w:hideMark/>
          </w:tcPr>
          <w:p w14:paraId="30A01F84" w14:textId="1447C150" w:rsidR="009D5153" w:rsidRPr="00283E62" w:rsidRDefault="009D5153" w:rsidP="009D5153">
            <w:pPr>
              <w:jc w:val="center"/>
            </w:pPr>
            <w:r w:rsidRPr="00283E62">
              <w:t>5,480</w:t>
            </w:r>
          </w:p>
        </w:tc>
        <w:tc>
          <w:tcPr>
            <w:tcW w:w="1460" w:type="dxa"/>
            <w:tcBorders>
              <w:top w:val="nil"/>
              <w:left w:val="nil"/>
              <w:bottom w:val="single" w:sz="4" w:space="0" w:color="auto"/>
              <w:right w:val="single" w:sz="4" w:space="0" w:color="auto"/>
            </w:tcBorders>
            <w:shd w:val="clear" w:color="000000" w:fill="FFFFFF"/>
            <w:noWrap/>
            <w:vAlign w:val="bottom"/>
            <w:hideMark/>
          </w:tcPr>
          <w:p w14:paraId="09E5D3F0" w14:textId="1FCFD1E3" w:rsidR="009D5153" w:rsidRPr="00283E62" w:rsidRDefault="009D5153" w:rsidP="009D5153">
            <w:pPr>
              <w:jc w:val="center"/>
            </w:pPr>
            <w:r w:rsidRPr="00283E62">
              <w:t>759</w:t>
            </w:r>
          </w:p>
        </w:tc>
        <w:tc>
          <w:tcPr>
            <w:tcW w:w="1360" w:type="dxa"/>
            <w:tcBorders>
              <w:top w:val="nil"/>
              <w:left w:val="nil"/>
              <w:bottom w:val="single" w:sz="4" w:space="0" w:color="auto"/>
              <w:right w:val="single" w:sz="4" w:space="0" w:color="auto"/>
            </w:tcBorders>
            <w:shd w:val="clear" w:color="000000" w:fill="FFFFFF"/>
            <w:noWrap/>
            <w:vAlign w:val="bottom"/>
            <w:hideMark/>
          </w:tcPr>
          <w:p w14:paraId="51004E84" w14:textId="02B3B14F" w:rsidR="009D5153" w:rsidRPr="00283E62" w:rsidRDefault="009D5153" w:rsidP="009D5153">
            <w:pPr>
              <w:jc w:val="center"/>
            </w:pPr>
            <w:r w:rsidRPr="00283E62">
              <w:t>22,966</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D0FDDD" w14:textId="42A5CDE2" w:rsidR="009D5153" w:rsidRPr="00697C0E" w:rsidRDefault="009D5153" w:rsidP="009D5153">
            <w:pPr>
              <w:jc w:val="center"/>
              <w:rPr>
                <w:color w:val="FF0000"/>
              </w:rPr>
            </w:pPr>
            <w:r w:rsidRPr="00697C0E">
              <w:rPr>
                <w:color w:val="FF0000"/>
              </w:rPr>
              <w:t xml:space="preserve">10,722 </w:t>
            </w:r>
          </w:p>
        </w:tc>
        <w:tc>
          <w:tcPr>
            <w:tcW w:w="1240" w:type="dxa"/>
            <w:tcBorders>
              <w:top w:val="nil"/>
              <w:left w:val="nil"/>
              <w:bottom w:val="single" w:sz="4" w:space="0" w:color="auto"/>
              <w:right w:val="single" w:sz="4" w:space="0" w:color="auto"/>
            </w:tcBorders>
            <w:shd w:val="clear" w:color="000000" w:fill="FFFFFF"/>
            <w:noWrap/>
            <w:vAlign w:val="bottom"/>
            <w:hideMark/>
          </w:tcPr>
          <w:p w14:paraId="53A7CDF1" w14:textId="6DD83B0E" w:rsidR="009D5153" w:rsidRPr="00283E62" w:rsidRDefault="009D5153" w:rsidP="009D5153">
            <w:pPr>
              <w:jc w:val="center"/>
            </w:pPr>
            <w:r w:rsidRPr="00283E62">
              <w:t>-19%</w:t>
            </w:r>
          </w:p>
        </w:tc>
      </w:tr>
      <w:tr w:rsidR="009D5153" w:rsidRPr="00EB069D" w14:paraId="5ED6FF8A"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64F0AFD" w14:textId="0AF7078F" w:rsidR="009D5153" w:rsidRPr="00283E62" w:rsidRDefault="009D5153" w:rsidP="009D5153">
            <w:pPr>
              <w:jc w:val="center"/>
            </w:pPr>
            <w:r w:rsidRPr="00283E62">
              <w:t>2034</w:t>
            </w:r>
          </w:p>
        </w:tc>
        <w:tc>
          <w:tcPr>
            <w:tcW w:w="1320" w:type="dxa"/>
            <w:tcBorders>
              <w:top w:val="nil"/>
              <w:left w:val="nil"/>
              <w:bottom w:val="single" w:sz="4" w:space="0" w:color="auto"/>
              <w:right w:val="single" w:sz="4" w:space="0" w:color="auto"/>
            </w:tcBorders>
            <w:shd w:val="clear" w:color="000000" w:fill="FFFFFF"/>
            <w:noWrap/>
            <w:vAlign w:val="bottom"/>
            <w:hideMark/>
          </w:tcPr>
          <w:p w14:paraId="61656D51" w14:textId="1B5E84C5" w:rsidR="009D5153" w:rsidRPr="00283E62" w:rsidRDefault="009D5153" w:rsidP="009D5153">
            <w:pPr>
              <w:jc w:val="center"/>
            </w:pPr>
            <w:r w:rsidRPr="00283E62">
              <w:t>28,588</w:t>
            </w:r>
          </w:p>
        </w:tc>
        <w:tc>
          <w:tcPr>
            <w:tcW w:w="1260" w:type="dxa"/>
            <w:tcBorders>
              <w:top w:val="nil"/>
              <w:left w:val="nil"/>
              <w:bottom w:val="single" w:sz="4" w:space="0" w:color="auto"/>
              <w:right w:val="single" w:sz="4" w:space="0" w:color="auto"/>
            </w:tcBorders>
            <w:shd w:val="clear" w:color="000000" w:fill="FFFFFF"/>
            <w:noWrap/>
            <w:vAlign w:val="bottom"/>
            <w:hideMark/>
          </w:tcPr>
          <w:p w14:paraId="0B1F9B5D" w14:textId="141836A3" w:rsidR="009D5153" w:rsidRPr="00283E62" w:rsidRDefault="009D5153" w:rsidP="009D5153">
            <w:pPr>
              <w:jc w:val="center"/>
            </w:pPr>
            <w:r w:rsidRPr="00283E62">
              <w:t>16,728</w:t>
            </w:r>
          </w:p>
        </w:tc>
        <w:tc>
          <w:tcPr>
            <w:tcW w:w="1260" w:type="dxa"/>
            <w:tcBorders>
              <w:top w:val="nil"/>
              <w:left w:val="nil"/>
              <w:bottom w:val="single" w:sz="4" w:space="0" w:color="auto"/>
              <w:right w:val="single" w:sz="4" w:space="0" w:color="auto"/>
            </w:tcBorders>
            <w:shd w:val="clear" w:color="000000" w:fill="FFFFFF"/>
            <w:noWrap/>
            <w:vAlign w:val="bottom"/>
            <w:hideMark/>
          </w:tcPr>
          <w:p w14:paraId="5697F794" w14:textId="7FF4C01C" w:rsidR="009D5153" w:rsidRPr="00283E62" w:rsidRDefault="009D5153" w:rsidP="009D5153">
            <w:pPr>
              <w:jc w:val="center"/>
            </w:pPr>
            <w:r w:rsidRPr="00283E62">
              <w:t>5,465</w:t>
            </w:r>
          </w:p>
        </w:tc>
        <w:tc>
          <w:tcPr>
            <w:tcW w:w="1460" w:type="dxa"/>
            <w:tcBorders>
              <w:top w:val="nil"/>
              <w:left w:val="nil"/>
              <w:bottom w:val="single" w:sz="4" w:space="0" w:color="auto"/>
              <w:right w:val="single" w:sz="4" w:space="0" w:color="auto"/>
            </w:tcBorders>
            <w:shd w:val="clear" w:color="000000" w:fill="FFFFFF"/>
            <w:noWrap/>
            <w:vAlign w:val="bottom"/>
            <w:hideMark/>
          </w:tcPr>
          <w:p w14:paraId="1F01DCD5" w14:textId="6B7AFB83" w:rsidR="009D5153" w:rsidRPr="00283E62" w:rsidRDefault="009D5153" w:rsidP="009D5153">
            <w:pPr>
              <w:jc w:val="center"/>
            </w:pPr>
            <w:r w:rsidRPr="00283E62">
              <w:t>763</w:t>
            </w:r>
          </w:p>
        </w:tc>
        <w:tc>
          <w:tcPr>
            <w:tcW w:w="1360" w:type="dxa"/>
            <w:tcBorders>
              <w:top w:val="nil"/>
              <w:left w:val="nil"/>
              <w:bottom w:val="single" w:sz="4" w:space="0" w:color="auto"/>
              <w:right w:val="single" w:sz="4" w:space="0" w:color="auto"/>
            </w:tcBorders>
            <w:shd w:val="clear" w:color="000000" w:fill="FFFFFF"/>
            <w:noWrap/>
            <w:vAlign w:val="bottom"/>
            <w:hideMark/>
          </w:tcPr>
          <w:p w14:paraId="258198B8" w14:textId="680FCED8" w:rsidR="009D5153" w:rsidRPr="00283E62" w:rsidRDefault="009D5153" w:rsidP="009D5153">
            <w:pPr>
              <w:jc w:val="center"/>
            </w:pPr>
            <w:r w:rsidRPr="00283E62">
              <w:t>22,956</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CC8D4D" w14:textId="417F10DB" w:rsidR="009D5153" w:rsidRPr="00697C0E" w:rsidRDefault="009D5153" w:rsidP="009D5153">
            <w:pPr>
              <w:jc w:val="center"/>
              <w:rPr>
                <w:color w:val="FF0000"/>
              </w:rPr>
            </w:pPr>
            <w:r w:rsidRPr="00697C0E">
              <w:rPr>
                <w:color w:val="FF0000"/>
              </w:rPr>
              <w:t xml:space="preserve">11,088 </w:t>
            </w:r>
          </w:p>
        </w:tc>
        <w:tc>
          <w:tcPr>
            <w:tcW w:w="1240" w:type="dxa"/>
            <w:tcBorders>
              <w:top w:val="nil"/>
              <w:left w:val="nil"/>
              <w:bottom w:val="single" w:sz="4" w:space="0" w:color="auto"/>
              <w:right w:val="single" w:sz="4" w:space="0" w:color="auto"/>
            </w:tcBorders>
            <w:shd w:val="clear" w:color="000000" w:fill="FFFFFF"/>
            <w:noWrap/>
            <w:vAlign w:val="bottom"/>
            <w:hideMark/>
          </w:tcPr>
          <w:p w14:paraId="7D55C798" w14:textId="42B679F9" w:rsidR="009D5153" w:rsidRPr="00283E62" w:rsidRDefault="009D5153" w:rsidP="009D5153">
            <w:pPr>
              <w:jc w:val="center"/>
            </w:pPr>
            <w:r w:rsidRPr="00283E62">
              <w:t>-20%</w:t>
            </w:r>
          </w:p>
        </w:tc>
      </w:tr>
      <w:tr w:rsidR="009D5153" w:rsidRPr="00EB069D" w14:paraId="19E27196"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9162B91" w14:textId="28800666" w:rsidR="009D5153" w:rsidRPr="00283E62" w:rsidRDefault="009D5153" w:rsidP="009D5153">
            <w:pPr>
              <w:jc w:val="center"/>
            </w:pPr>
            <w:r w:rsidRPr="00283E62">
              <w:t>2035</w:t>
            </w:r>
          </w:p>
        </w:tc>
        <w:tc>
          <w:tcPr>
            <w:tcW w:w="1320" w:type="dxa"/>
            <w:tcBorders>
              <w:top w:val="nil"/>
              <w:left w:val="nil"/>
              <w:bottom w:val="single" w:sz="4" w:space="0" w:color="auto"/>
              <w:right w:val="single" w:sz="4" w:space="0" w:color="auto"/>
            </w:tcBorders>
            <w:shd w:val="clear" w:color="000000" w:fill="FFFFFF"/>
            <w:noWrap/>
            <w:vAlign w:val="bottom"/>
            <w:hideMark/>
          </w:tcPr>
          <w:p w14:paraId="62926318" w14:textId="6D722C2E" w:rsidR="009D5153" w:rsidRPr="00283E62" w:rsidRDefault="009D5153" w:rsidP="009D5153">
            <w:pPr>
              <w:jc w:val="center"/>
            </w:pPr>
            <w:r w:rsidRPr="00283E62">
              <w:t>28,778</w:t>
            </w:r>
          </w:p>
        </w:tc>
        <w:tc>
          <w:tcPr>
            <w:tcW w:w="1260" w:type="dxa"/>
            <w:tcBorders>
              <w:top w:val="nil"/>
              <w:left w:val="nil"/>
              <w:bottom w:val="single" w:sz="4" w:space="0" w:color="auto"/>
              <w:right w:val="single" w:sz="4" w:space="0" w:color="auto"/>
            </w:tcBorders>
            <w:shd w:val="clear" w:color="000000" w:fill="FFFFFF"/>
            <w:noWrap/>
            <w:vAlign w:val="bottom"/>
            <w:hideMark/>
          </w:tcPr>
          <w:p w14:paraId="24F06EA8" w14:textId="5015E209" w:rsidR="009D5153" w:rsidRPr="00283E62" w:rsidRDefault="009D5153" w:rsidP="009D5153">
            <w:pPr>
              <w:jc w:val="center"/>
            </w:pPr>
            <w:r w:rsidRPr="00283E62">
              <w:t>16,260</w:t>
            </w:r>
          </w:p>
        </w:tc>
        <w:tc>
          <w:tcPr>
            <w:tcW w:w="1260" w:type="dxa"/>
            <w:tcBorders>
              <w:top w:val="nil"/>
              <w:left w:val="nil"/>
              <w:bottom w:val="single" w:sz="4" w:space="0" w:color="auto"/>
              <w:right w:val="single" w:sz="4" w:space="0" w:color="auto"/>
            </w:tcBorders>
            <w:shd w:val="clear" w:color="000000" w:fill="FFFFFF"/>
            <w:noWrap/>
            <w:vAlign w:val="bottom"/>
            <w:hideMark/>
          </w:tcPr>
          <w:p w14:paraId="36D1DBD4" w14:textId="728D60E3" w:rsidR="009D5153" w:rsidRPr="00283E62" w:rsidRDefault="009D5153" w:rsidP="009D5153">
            <w:pPr>
              <w:jc w:val="center"/>
            </w:pPr>
            <w:r w:rsidRPr="00283E62">
              <w:t>3,748</w:t>
            </w:r>
          </w:p>
        </w:tc>
        <w:tc>
          <w:tcPr>
            <w:tcW w:w="1460" w:type="dxa"/>
            <w:tcBorders>
              <w:top w:val="nil"/>
              <w:left w:val="nil"/>
              <w:bottom w:val="single" w:sz="4" w:space="0" w:color="auto"/>
              <w:right w:val="single" w:sz="4" w:space="0" w:color="auto"/>
            </w:tcBorders>
            <w:shd w:val="clear" w:color="000000" w:fill="FFFFFF"/>
            <w:noWrap/>
            <w:vAlign w:val="bottom"/>
            <w:hideMark/>
          </w:tcPr>
          <w:p w14:paraId="2BEB21B8" w14:textId="34CADAB4" w:rsidR="009D5153" w:rsidRPr="00283E62" w:rsidRDefault="009D5153" w:rsidP="009D5153">
            <w:pPr>
              <w:jc w:val="center"/>
            </w:pPr>
            <w:r w:rsidRPr="00283E62">
              <w:t>766</w:t>
            </w:r>
          </w:p>
        </w:tc>
        <w:tc>
          <w:tcPr>
            <w:tcW w:w="1360" w:type="dxa"/>
            <w:tcBorders>
              <w:top w:val="nil"/>
              <w:left w:val="nil"/>
              <w:bottom w:val="single" w:sz="4" w:space="0" w:color="auto"/>
              <w:right w:val="single" w:sz="4" w:space="0" w:color="auto"/>
            </w:tcBorders>
            <w:shd w:val="clear" w:color="000000" w:fill="FFFFFF"/>
            <w:noWrap/>
            <w:vAlign w:val="bottom"/>
            <w:hideMark/>
          </w:tcPr>
          <w:p w14:paraId="7679512E" w14:textId="6534F724" w:rsidR="009D5153" w:rsidRPr="00283E62" w:rsidRDefault="009D5153" w:rsidP="009D5153">
            <w:pPr>
              <w:jc w:val="center"/>
            </w:pPr>
            <w:r w:rsidRPr="00283E62">
              <w:t>20,775</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C3A8A" w14:textId="3BFA126B" w:rsidR="009D5153" w:rsidRPr="00697C0E" w:rsidRDefault="009D5153" w:rsidP="009D5153">
            <w:pPr>
              <w:jc w:val="center"/>
              <w:rPr>
                <w:color w:val="FF0000"/>
              </w:rPr>
            </w:pPr>
            <w:r w:rsidRPr="00697C0E">
              <w:rPr>
                <w:color w:val="FF0000"/>
              </w:rPr>
              <w:t xml:space="preserve">13,496 </w:t>
            </w:r>
          </w:p>
        </w:tc>
        <w:tc>
          <w:tcPr>
            <w:tcW w:w="1240" w:type="dxa"/>
            <w:tcBorders>
              <w:top w:val="nil"/>
              <w:left w:val="nil"/>
              <w:bottom w:val="single" w:sz="4" w:space="0" w:color="auto"/>
              <w:right w:val="single" w:sz="4" w:space="0" w:color="auto"/>
            </w:tcBorders>
            <w:shd w:val="clear" w:color="000000" w:fill="FFFFFF"/>
            <w:noWrap/>
            <w:vAlign w:val="bottom"/>
            <w:hideMark/>
          </w:tcPr>
          <w:p w14:paraId="66CE781A" w14:textId="03A173C2" w:rsidR="009D5153" w:rsidRPr="00283E62" w:rsidRDefault="009D5153" w:rsidP="009D5153">
            <w:pPr>
              <w:jc w:val="center"/>
            </w:pPr>
            <w:r w:rsidRPr="00283E62">
              <w:t>-28%</w:t>
            </w:r>
          </w:p>
        </w:tc>
      </w:tr>
      <w:tr w:rsidR="009D5153" w:rsidRPr="00EB069D" w14:paraId="4A98EC79"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F2C4FCD" w14:textId="7010797A" w:rsidR="009D5153" w:rsidRPr="00283E62" w:rsidRDefault="009D5153" w:rsidP="009D5153">
            <w:pPr>
              <w:jc w:val="center"/>
            </w:pPr>
            <w:r w:rsidRPr="00283E62">
              <w:t>2036</w:t>
            </w:r>
          </w:p>
        </w:tc>
        <w:tc>
          <w:tcPr>
            <w:tcW w:w="1320" w:type="dxa"/>
            <w:tcBorders>
              <w:top w:val="nil"/>
              <w:left w:val="nil"/>
              <w:bottom w:val="single" w:sz="4" w:space="0" w:color="auto"/>
              <w:right w:val="single" w:sz="4" w:space="0" w:color="auto"/>
            </w:tcBorders>
            <w:shd w:val="clear" w:color="000000" w:fill="FFFFFF"/>
            <w:noWrap/>
            <w:vAlign w:val="bottom"/>
            <w:hideMark/>
          </w:tcPr>
          <w:p w14:paraId="01FE29D1" w14:textId="63E287A1" w:rsidR="009D5153" w:rsidRPr="00283E62" w:rsidRDefault="009D5153" w:rsidP="009D5153">
            <w:pPr>
              <w:jc w:val="center"/>
            </w:pPr>
            <w:r w:rsidRPr="00283E62">
              <w:t>28,918</w:t>
            </w:r>
          </w:p>
        </w:tc>
        <w:tc>
          <w:tcPr>
            <w:tcW w:w="1260" w:type="dxa"/>
            <w:tcBorders>
              <w:top w:val="nil"/>
              <w:left w:val="nil"/>
              <w:bottom w:val="single" w:sz="4" w:space="0" w:color="auto"/>
              <w:right w:val="single" w:sz="4" w:space="0" w:color="auto"/>
            </w:tcBorders>
            <w:shd w:val="clear" w:color="000000" w:fill="FFFFFF"/>
            <w:noWrap/>
            <w:vAlign w:val="bottom"/>
            <w:hideMark/>
          </w:tcPr>
          <w:p w14:paraId="0E96EF33" w14:textId="047A2780" w:rsidR="009D5153" w:rsidRPr="00283E62" w:rsidRDefault="009D5153" w:rsidP="009D5153">
            <w:pPr>
              <w:jc w:val="center"/>
            </w:pPr>
            <w:r w:rsidRPr="00283E62">
              <w:t>12,416</w:t>
            </w:r>
          </w:p>
        </w:tc>
        <w:tc>
          <w:tcPr>
            <w:tcW w:w="1260" w:type="dxa"/>
            <w:tcBorders>
              <w:top w:val="nil"/>
              <w:left w:val="nil"/>
              <w:bottom w:val="single" w:sz="4" w:space="0" w:color="auto"/>
              <w:right w:val="single" w:sz="4" w:space="0" w:color="auto"/>
            </w:tcBorders>
            <w:shd w:val="clear" w:color="000000" w:fill="FFFFFF"/>
            <w:noWrap/>
            <w:vAlign w:val="bottom"/>
            <w:hideMark/>
          </w:tcPr>
          <w:p w14:paraId="4F633AD1" w14:textId="5D49FE37" w:rsidR="009D5153" w:rsidRPr="00283E62" w:rsidRDefault="009D5153" w:rsidP="009D5153">
            <w:pPr>
              <w:jc w:val="center"/>
            </w:pPr>
            <w:r w:rsidRPr="00283E62">
              <w:t>3,620</w:t>
            </w:r>
          </w:p>
        </w:tc>
        <w:tc>
          <w:tcPr>
            <w:tcW w:w="1460" w:type="dxa"/>
            <w:tcBorders>
              <w:top w:val="nil"/>
              <w:left w:val="nil"/>
              <w:bottom w:val="single" w:sz="4" w:space="0" w:color="auto"/>
              <w:right w:val="single" w:sz="4" w:space="0" w:color="auto"/>
            </w:tcBorders>
            <w:shd w:val="clear" w:color="000000" w:fill="FFFFFF"/>
            <w:noWrap/>
            <w:vAlign w:val="bottom"/>
            <w:hideMark/>
          </w:tcPr>
          <w:p w14:paraId="2CD432C0" w14:textId="7AAA5DF7" w:rsidR="009D5153" w:rsidRPr="00283E62" w:rsidRDefault="009D5153" w:rsidP="009D5153">
            <w:pPr>
              <w:jc w:val="center"/>
            </w:pPr>
            <w:r w:rsidRPr="00283E62">
              <w:t>770</w:t>
            </w:r>
          </w:p>
        </w:tc>
        <w:tc>
          <w:tcPr>
            <w:tcW w:w="1360" w:type="dxa"/>
            <w:tcBorders>
              <w:top w:val="nil"/>
              <w:left w:val="nil"/>
              <w:bottom w:val="single" w:sz="4" w:space="0" w:color="auto"/>
              <w:right w:val="single" w:sz="4" w:space="0" w:color="auto"/>
            </w:tcBorders>
            <w:shd w:val="clear" w:color="000000" w:fill="FFFFFF"/>
            <w:noWrap/>
            <w:vAlign w:val="bottom"/>
            <w:hideMark/>
          </w:tcPr>
          <w:p w14:paraId="63ABCCE2" w14:textId="74E3D2B3" w:rsidR="009D5153" w:rsidRPr="00283E62" w:rsidRDefault="009D5153" w:rsidP="009D5153">
            <w:pPr>
              <w:jc w:val="center"/>
            </w:pPr>
            <w:r w:rsidRPr="00283E62">
              <w:t>16,806</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FF1D6" w14:textId="63171489" w:rsidR="009D5153" w:rsidRPr="00697C0E" w:rsidRDefault="009D5153" w:rsidP="009D5153">
            <w:pPr>
              <w:jc w:val="center"/>
              <w:rPr>
                <w:color w:val="FF0000"/>
              </w:rPr>
            </w:pPr>
            <w:r w:rsidRPr="00697C0E">
              <w:rPr>
                <w:color w:val="FF0000"/>
              </w:rPr>
              <w:t xml:space="preserve">17,630 </w:t>
            </w:r>
          </w:p>
        </w:tc>
        <w:tc>
          <w:tcPr>
            <w:tcW w:w="1240" w:type="dxa"/>
            <w:tcBorders>
              <w:top w:val="nil"/>
              <w:left w:val="nil"/>
              <w:bottom w:val="single" w:sz="4" w:space="0" w:color="auto"/>
              <w:right w:val="single" w:sz="4" w:space="0" w:color="auto"/>
            </w:tcBorders>
            <w:shd w:val="clear" w:color="000000" w:fill="FFFFFF"/>
            <w:noWrap/>
            <w:vAlign w:val="bottom"/>
            <w:hideMark/>
          </w:tcPr>
          <w:p w14:paraId="3A4D829F" w14:textId="077BC130" w:rsidR="009D5153" w:rsidRPr="00283E62" w:rsidRDefault="009D5153" w:rsidP="009D5153">
            <w:pPr>
              <w:jc w:val="center"/>
            </w:pPr>
            <w:r w:rsidRPr="00283E62">
              <w:t>-42%</w:t>
            </w:r>
          </w:p>
        </w:tc>
      </w:tr>
      <w:tr w:rsidR="009D5153" w:rsidRPr="00EB069D" w14:paraId="7389D5B7"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B4A835" w14:textId="1411E5C7" w:rsidR="009D5153" w:rsidRPr="00283E62" w:rsidRDefault="009D5153" w:rsidP="009D5153">
            <w:pPr>
              <w:jc w:val="center"/>
            </w:pPr>
            <w:r w:rsidRPr="00283E62">
              <w:t>2037</w:t>
            </w:r>
          </w:p>
        </w:tc>
        <w:tc>
          <w:tcPr>
            <w:tcW w:w="1320" w:type="dxa"/>
            <w:tcBorders>
              <w:top w:val="nil"/>
              <w:left w:val="nil"/>
              <w:bottom w:val="single" w:sz="4" w:space="0" w:color="auto"/>
              <w:right w:val="single" w:sz="4" w:space="0" w:color="auto"/>
            </w:tcBorders>
            <w:shd w:val="clear" w:color="000000" w:fill="FFFFFF"/>
            <w:noWrap/>
            <w:vAlign w:val="bottom"/>
            <w:hideMark/>
          </w:tcPr>
          <w:p w14:paraId="18A5F9AF" w14:textId="31AEF3C1" w:rsidR="009D5153" w:rsidRPr="00283E62" w:rsidRDefault="009D5153" w:rsidP="009D5153">
            <w:pPr>
              <w:jc w:val="center"/>
            </w:pPr>
            <w:r w:rsidRPr="00283E62">
              <w:t>29,188</w:t>
            </w:r>
          </w:p>
        </w:tc>
        <w:tc>
          <w:tcPr>
            <w:tcW w:w="1260" w:type="dxa"/>
            <w:tcBorders>
              <w:top w:val="nil"/>
              <w:left w:val="nil"/>
              <w:bottom w:val="single" w:sz="4" w:space="0" w:color="auto"/>
              <w:right w:val="single" w:sz="4" w:space="0" w:color="auto"/>
            </w:tcBorders>
            <w:shd w:val="clear" w:color="000000" w:fill="FFFFFF"/>
            <w:noWrap/>
            <w:vAlign w:val="bottom"/>
            <w:hideMark/>
          </w:tcPr>
          <w:p w14:paraId="32686ECA" w14:textId="1FC9F820" w:rsidR="009D5153" w:rsidRPr="00283E62" w:rsidRDefault="009D5153" w:rsidP="009D5153">
            <w:pPr>
              <w:jc w:val="center"/>
            </w:pPr>
            <w:r w:rsidRPr="00283E62">
              <w:t>12,416</w:t>
            </w:r>
          </w:p>
        </w:tc>
        <w:tc>
          <w:tcPr>
            <w:tcW w:w="1260" w:type="dxa"/>
            <w:tcBorders>
              <w:top w:val="nil"/>
              <w:left w:val="nil"/>
              <w:bottom w:val="single" w:sz="4" w:space="0" w:color="auto"/>
              <w:right w:val="single" w:sz="4" w:space="0" w:color="auto"/>
            </w:tcBorders>
            <w:shd w:val="clear" w:color="000000" w:fill="FFFFFF"/>
            <w:noWrap/>
            <w:vAlign w:val="bottom"/>
            <w:hideMark/>
          </w:tcPr>
          <w:p w14:paraId="6B6F0868" w14:textId="2240A244" w:rsidR="009D5153" w:rsidRPr="00283E62" w:rsidRDefault="009D5153" w:rsidP="009D5153">
            <w:pPr>
              <w:jc w:val="center"/>
            </w:pPr>
            <w:r w:rsidRPr="00283E62">
              <w:t>3,461</w:t>
            </w:r>
          </w:p>
        </w:tc>
        <w:tc>
          <w:tcPr>
            <w:tcW w:w="1460" w:type="dxa"/>
            <w:tcBorders>
              <w:top w:val="nil"/>
              <w:left w:val="nil"/>
              <w:bottom w:val="single" w:sz="4" w:space="0" w:color="auto"/>
              <w:right w:val="single" w:sz="4" w:space="0" w:color="auto"/>
            </w:tcBorders>
            <w:shd w:val="clear" w:color="000000" w:fill="FFFFFF"/>
            <w:noWrap/>
            <w:vAlign w:val="bottom"/>
            <w:hideMark/>
          </w:tcPr>
          <w:p w14:paraId="1DA2737F" w14:textId="249DDED9" w:rsidR="009D5153" w:rsidRPr="00283E62" w:rsidRDefault="009D5153" w:rsidP="009D5153">
            <w:pPr>
              <w:jc w:val="center"/>
            </w:pPr>
            <w:r w:rsidRPr="00283E62">
              <w:t>777</w:t>
            </w:r>
          </w:p>
        </w:tc>
        <w:tc>
          <w:tcPr>
            <w:tcW w:w="1360" w:type="dxa"/>
            <w:tcBorders>
              <w:top w:val="nil"/>
              <w:left w:val="nil"/>
              <w:bottom w:val="single" w:sz="4" w:space="0" w:color="auto"/>
              <w:right w:val="single" w:sz="4" w:space="0" w:color="auto"/>
            </w:tcBorders>
            <w:shd w:val="clear" w:color="000000" w:fill="FFFFFF"/>
            <w:noWrap/>
            <w:vAlign w:val="bottom"/>
            <w:hideMark/>
          </w:tcPr>
          <w:p w14:paraId="7C359065" w14:textId="577B03FF" w:rsidR="009D5153" w:rsidRPr="00283E62" w:rsidRDefault="009D5153" w:rsidP="009D5153">
            <w:pPr>
              <w:jc w:val="center"/>
            </w:pPr>
            <w:r w:rsidRPr="00283E62">
              <w:t>16,654</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17AEA" w14:textId="25552D52" w:rsidR="009D5153" w:rsidRPr="00697C0E" w:rsidRDefault="009D5153" w:rsidP="009D5153">
            <w:pPr>
              <w:jc w:val="center"/>
              <w:rPr>
                <w:color w:val="FF0000"/>
              </w:rPr>
            </w:pPr>
            <w:r w:rsidRPr="00697C0E">
              <w:rPr>
                <w:color w:val="FF0000"/>
              </w:rPr>
              <w:t xml:space="preserve">18,104 </w:t>
            </w:r>
          </w:p>
        </w:tc>
        <w:tc>
          <w:tcPr>
            <w:tcW w:w="1240" w:type="dxa"/>
            <w:tcBorders>
              <w:top w:val="nil"/>
              <w:left w:val="nil"/>
              <w:bottom w:val="single" w:sz="4" w:space="0" w:color="auto"/>
              <w:right w:val="single" w:sz="4" w:space="0" w:color="auto"/>
            </w:tcBorders>
            <w:shd w:val="clear" w:color="000000" w:fill="FFFFFF"/>
            <w:noWrap/>
            <w:vAlign w:val="bottom"/>
            <w:hideMark/>
          </w:tcPr>
          <w:p w14:paraId="24051F2D" w14:textId="4FB87AE7" w:rsidR="009D5153" w:rsidRPr="00283E62" w:rsidRDefault="009D5153" w:rsidP="009D5153">
            <w:pPr>
              <w:jc w:val="center"/>
            </w:pPr>
            <w:r w:rsidRPr="00283E62">
              <w:t>-43%</w:t>
            </w:r>
          </w:p>
        </w:tc>
      </w:tr>
      <w:tr w:rsidR="009D5153" w:rsidRPr="00EB069D" w14:paraId="099DD9BE"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9D8BB8E" w14:textId="57CF684C" w:rsidR="009D5153" w:rsidRPr="00283E62" w:rsidRDefault="009D5153" w:rsidP="009D5153">
            <w:pPr>
              <w:jc w:val="center"/>
            </w:pPr>
            <w:r w:rsidRPr="00283E62">
              <w:t>2038</w:t>
            </w:r>
          </w:p>
        </w:tc>
        <w:tc>
          <w:tcPr>
            <w:tcW w:w="1320" w:type="dxa"/>
            <w:tcBorders>
              <w:top w:val="nil"/>
              <w:left w:val="nil"/>
              <w:bottom w:val="single" w:sz="4" w:space="0" w:color="auto"/>
              <w:right w:val="single" w:sz="4" w:space="0" w:color="auto"/>
            </w:tcBorders>
            <w:shd w:val="clear" w:color="000000" w:fill="FFFFFF"/>
            <w:noWrap/>
            <w:vAlign w:val="bottom"/>
            <w:hideMark/>
          </w:tcPr>
          <w:p w14:paraId="5A9FE39E" w14:textId="734FE122" w:rsidR="009D5153" w:rsidRPr="00283E62" w:rsidRDefault="009D5153" w:rsidP="009D5153">
            <w:pPr>
              <w:jc w:val="center"/>
            </w:pPr>
            <w:r w:rsidRPr="00283E62">
              <w:t>29,385</w:t>
            </w:r>
          </w:p>
        </w:tc>
        <w:tc>
          <w:tcPr>
            <w:tcW w:w="1260" w:type="dxa"/>
            <w:tcBorders>
              <w:top w:val="nil"/>
              <w:left w:val="nil"/>
              <w:bottom w:val="single" w:sz="4" w:space="0" w:color="auto"/>
              <w:right w:val="single" w:sz="4" w:space="0" w:color="auto"/>
            </w:tcBorders>
            <w:shd w:val="clear" w:color="000000" w:fill="FFFFFF"/>
            <w:noWrap/>
            <w:vAlign w:val="bottom"/>
            <w:hideMark/>
          </w:tcPr>
          <w:p w14:paraId="42EC049B" w14:textId="5A7CC0CC" w:rsidR="009D5153" w:rsidRPr="00283E62" w:rsidRDefault="009D5153" w:rsidP="009D5153">
            <w:pPr>
              <w:jc w:val="center"/>
            </w:pPr>
            <w:r w:rsidRPr="00283E62">
              <w:t>12,416</w:t>
            </w:r>
          </w:p>
        </w:tc>
        <w:tc>
          <w:tcPr>
            <w:tcW w:w="1260" w:type="dxa"/>
            <w:tcBorders>
              <w:top w:val="nil"/>
              <w:left w:val="nil"/>
              <w:bottom w:val="single" w:sz="4" w:space="0" w:color="auto"/>
              <w:right w:val="single" w:sz="4" w:space="0" w:color="auto"/>
            </w:tcBorders>
            <w:shd w:val="clear" w:color="000000" w:fill="FFFFFF"/>
            <w:noWrap/>
            <w:vAlign w:val="bottom"/>
            <w:hideMark/>
          </w:tcPr>
          <w:p w14:paraId="737990D6" w14:textId="7EFD3E3A" w:rsidR="009D5153" w:rsidRPr="00283E62" w:rsidRDefault="009D5153" w:rsidP="009D5153">
            <w:pPr>
              <w:jc w:val="center"/>
            </w:pPr>
            <w:r w:rsidRPr="00283E62">
              <w:t>3,237</w:t>
            </w:r>
          </w:p>
        </w:tc>
        <w:tc>
          <w:tcPr>
            <w:tcW w:w="1460" w:type="dxa"/>
            <w:tcBorders>
              <w:top w:val="nil"/>
              <w:left w:val="nil"/>
              <w:bottom w:val="single" w:sz="4" w:space="0" w:color="auto"/>
              <w:right w:val="single" w:sz="4" w:space="0" w:color="auto"/>
            </w:tcBorders>
            <w:shd w:val="clear" w:color="000000" w:fill="FFFFFF"/>
            <w:noWrap/>
            <w:vAlign w:val="bottom"/>
            <w:hideMark/>
          </w:tcPr>
          <w:p w14:paraId="19B65C7A" w14:textId="54493B65" w:rsidR="009D5153" w:rsidRPr="00283E62" w:rsidRDefault="009D5153" w:rsidP="009D5153">
            <w:pPr>
              <w:jc w:val="center"/>
            </w:pPr>
            <w:r w:rsidRPr="00283E62">
              <w:t>783</w:t>
            </w:r>
          </w:p>
        </w:tc>
        <w:tc>
          <w:tcPr>
            <w:tcW w:w="1360" w:type="dxa"/>
            <w:tcBorders>
              <w:top w:val="nil"/>
              <w:left w:val="nil"/>
              <w:bottom w:val="single" w:sz="4" w:space="0" w:color="auto"/>
              <w:right w:val="single" w:sz="4" w:space="0" w:color="auto"/>
            </w:tcBorders>
            <w:shd w:val="clear" w:color="000000" w:fill="FFFFFF"/>
            <w:noWrap/>
            <w:vAlign w:val="bottom"/>
            <w:hideMark/>
          </w:tcPr>
          <w:p w14:paraId="04067C2E" w14:textId="18786324" w:rsidR="009D5153" w:rsidRPr="00283E62" w:rsidRDefault="009D5153" w:rsidP="009D5153">
            <w:pPr>
              <w:jc w:val="center"/>
            </w:pPr>
            <w:r w:rsidRPr="00283E62">
              <w:t>16,436</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6AB9C" w14:textId="5D802090" w:rsidR="009D5153" w:rsidRPr="00697C0E" w:rsidRDefault="009D5153" w:rsidP="009D5153">
            <w:pPr>
              <w:jc w:val="center"/>
              <w:rPr>
                <w:color w:val="FF0000"/>
              </w:rPr>
            </w:pPr>
            <w:r w:rsidRPr="00697C0E">
              <w:rPr>
                <w:color w:val="FF0000"/>
              </w:rPr>
              <w:t xml:space="preserve">18,558 </w:t>
            </w:r>
          </w:p>
        </w:tc>
        <w:tc>
          <w:tcPr>
            <w:tcW w:w="1240" w:type="dxa"/>
            <w:tcBorders>
              <w:top w:val="nil"/>
              <w:left w:val="nil"/>
              <w:bottom w:val="single" w:sz="4" w:space="0" w:color="auto"/>
              <w:right w:val="single" w:sz="4" w:space="0" w:color="auto"/>
            </w:tcBorders>
            <w:shd w:val="clear" w:color="000000" w:fill="FFFFFF"/>
            <w:noWrap/>
            <w:vAlign w:val="bottom"/>
            <w:hideMark/>
          </w:tcPr>
          <w:p w14:paraId="51822A4E" w14:textId="176E0EE7" w:rsidR="009D5153" w:rsidRPr="00283E62" w:rsidRDefault="009D5153" w:rsidP="009D5153">
            <w:pPr>
              <w:jc w:val="center"/>
            </w:pPr>
            <w:r w:rsidRPr="00283E62">
              <w:t>-44%</w:t>
            </w:r>
          </w:p>
        </w:tc>
      </w:tr>
      <w:tr w:rsidR="009D5153" w:rsidRPr="00EB069D" w14:paraId="5BC8A0E6"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7B6F49E" w14:textId="73DA45A6" w:rsidR="009D5153" w:rsidRPr="00283E62" w:rsidRDefault="009D5153" w:rsidP="009D5153">
            <w:pPr>
              <w:jc w:val="center"/>
            </w:pPr>
            <w:r w:rsidRPr="00283E62">
              <w:t>2039</w:t>
            </w:r>
          </w:p>
        </w:tc>
        <w:tc>
          <w:tcPr>
            <w:tcW w:w="1320" w:type="dxa"/>
            <w:tcBorders>
              <w:top w:val="nil"/>
              <w:left w:val="nil"/>
              <w:bottom w:val="single" w:sz="4" w:space="0" w:color="auto"/>
              <w:right w:val="single" w:sz="4" w:space="0" w:color="auto"/>
            </w:tcBorders>
            <w:shd w:val="clear" w:color="000000" w:fill="FFFFFF"/>
            <w:noWrap/>
            <w:vAlign w:val="bottom"/>
            <w:hideMark/>
          </w:tcPr>
          <w:p w14:paraId="10D2F36B" w14:textId="743E7E8B" w:rsidR="009D5153" w:rsidRPr="00283E62" w:rsidRDefault="009D5153" w:rsidP="009D5153">
            <w:pPr>
              <w:jc w:val="center"/>
            </w:pPr>
            <w:r w:rsidRPr="00283E62">
              <w:t>29,638</w:t>
            </w:r>
          </w:p>
        </w:tc>
        <w:tc>
          <w:tcPr>
            <w:tcW w:w="1260" w:type="dxa"/>
            <w:tcBorders>
              <w:top w:val="nil"/>
              <w:left w:val="nil"/>
              <w:bottom w:val="single" w:sz="4" w:space="0" w:color="auto"/>
              <w:right w:val="single" w:sz="4" w:space="0" w:color="auto"/>
            </w:tcBorders>
            <w:shd w:val="clear" w:color="000000" w:fill="FFFFFF"/>
            <w:noWrap/>
            <w:vAlign w:val="bottom"/>
            <w:hideMark/>
          </w:tcPr>
          <w:p w14:paraId="07D1152F" w14:textId="1C899767"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7B266039" w14:textId="65821C76" w:rsidR="009D5153" w:rsidRPr="00283E62" w:rsidRDefault="009D5153" w:rsidP="009D5153">
            <w:pPr>
              <w:jc w:val="center"/>
            </w:pPr>
            <w:r w:rsidRPr="00283E62">
              <w:t>3,237</w:t>
            </w:r>
          </w:p>
        </w:tc>
        <w:tc>
          <w:tcPr>
            <w:tcW w:w="1460" w:type="dxa"/>
            <w:tcBorders>
              <w:top w:val="nil"/>
              <w:left w:val="nil"/>
              <w:bottom w:val="single" w:sz="4" w:space="0" w:color="auto"/>
              <w:right w:val="single" w:sz="4" w:space="0" w:color="auto"/>
            </w:tcBorders>
            <w:shd w:val="clear" w:color="000000" w:fill="FFFFFF"/>
            <w:noWrap/>
            <w:vAlign w:val="bottom"/>
            <w:hideMark/>
          </w:tcPr>
          <w:p w14:paraId="0A4654BC" w14:textId="4B8AD719" w:rsidR="009D5153" w:rsidRPr="00283E62" w:rsidRDefault="009D5153" w:rsidP="009D5153">
            <w:pPr>
              <w:jc w:val="center"/>
            </w:pPr>
            <w:r w:rsidRPr="00283E62">
              <w:t>789</w:t>
            </w:r>
          </w:p>
        </w:tc>
        <w:tc>
          <w:tcPr>
            <w:tcW w:w="1360" w:type="dxa"/>
            <w:tcBorders>
              <w:top w:val="nil"/>
              <w:left w:val="nil"/>
              <w:bottom w:val="single" w:sz="4" w:space="0" w:color="auto"/>
              <w:right w:val="single" w:sz="4" w:space="0" w:color="auto"/>
            </w:tcBorders>
            <w:shd w:val="clear" w:color="000000" w:fill="FFFFFF"/>
            <w:noWrap/>
            <w:vAlign w:val="bottom"/>
            <w:hideMark/>
          </w:tcPr>
          <w:p w14:paraId="472D64AC" w14:textId="286ABA11" w:rsidR="009D5153" w:rsidRPr="00283E62" w:rsidRDefault="009D5153" w:rsidP="009D5153">
            <w:pPr>
              <w:jc w:val="center"/>
            </w:pPr>
            <w:r w:rsidRPr="00283E62">
              <w:t>15,794</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BF30D" w14:textId="2170EBCE" w:rsidR="009D5153" w:rsidRPr="00697C0E" w:rsidRDefault="009D5153" w:rsidP="009D5153">
            <w:pPr>
              <w:jc w:val="center"/>
              <w:rPr>
                <w:color w:val="FF0000"/>
              </w:rPr>
            </w:pPr>
            <w:r w:rsidRPr="00697C0E">
              <w:rPr>
                <w:color w:val="FF0000"/>
              </w:rPr>
              <w:t xml:space="preserve">19,501 </w:t>
            </w:r>
          </w:p>
        </w:tc>
        <w:tc>
          <w:tcPr>
            <w:tcW w:w="1240" w:type="dxa"/>
            <w:tcBorders>
              <w:top w:val="nil"/>
              <w:left w:val="nil"/>
              <w:bottom w:val="single" w:sz="4" w:space="0" w:color="auto"/>
              <w:right w:val="single" w:sz="4" w:space="0" w:color="auto"/>
            </w:tcBorders>
            <w:shd w:val="clear" w:color="000000" w:fill="FFFFFF"/>
            <w:noWrap/>
            <w:vAlign w:val="bottom"/>
            <w:hideMark/>
          </w:tcPr>
          <w:p w14:paraId="35280806" w14:textId="0412F836" w:rsidR="009D5153" w:rsidRPr="00283E62" w:rsidRDefault="009D5153" w:rsidP="009D5153">
            <w:pPr>
              <w:jc w:val="center"/>
            </w:pPr>
            <w:r w:rsidRPr="00283E62">
              <w:t>-47%</w:t>
            </w:r>
          </w:p>
        </w:tc>
      </w:tr>
      <w:tr w:rsidR="009D5153" w:rsidRPr="00EB069D" w14:paraId="2D4175F4"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D185C6" w14:textId="693FF9CE" w:rsidR="009D5153" w:rsidRPr="00283E62" w:rsidRDefault="009D5153" w:rsidP="009D5153">
            <w:pPr>
              <w:jc w:val="center"/>
            </w:pPr>
            <w:r w:rsidRPr="00283E62">
              <w:t>2040</w:t>
            </w:r>
          </w:p>
        </w:tc>
        <w:tc>
          <w:tcPr>
            <w:tcW w:w="1320" w:type="dxa"/>
            <w:tcBorders>
              <w:top w:val="nil"/>
              <w:left w:val="nil"/>
              <w:bottom w:val="single" w:sz="4" w:space="0" w:color="auto"/>
              <w:right w:val="single" w:sz="4" w:space="0" w:color="auto"/>
            </w:tcBorders>
            <w:shd w:val="clear" w:color="000000" w:fill="FFFFFF"/>
            <w:noWrap/>
            <w:vAlign w:val="bottom"/>
            <w:hideMark/>
          </w:tcPr>
          <w:p w14:paraId="1305DE31" w14:textId="66C8CFD6" w:rsidR="009D5153" w:rsidRPr="00283E62" w:rsidRDefault="009D5153" w:rsidP="009D5153">
            <w:pPr>
              <w:jc w:val="center"/>
            </w:pPr>
            <w:r w:rsidRPr="00283E62">
              <w:t>29,795</w:t>
            </w:r>
          </w:p>
        </w:tc>
        <w:tc>
          <w:tcPr>
            <w:tcW w:w="1260" w:type="dxa"/>
            <w:tcBorders>
              <w:top w:val="nil"/>
              <w:left w:val="nil"/>
              <w:bottom w:val="single" w:sz="4" w:space="0" w:color="auto"/>
              <w:right w:val="single" w:sz="4" w:space="0" w:color="auto"/>
            </w:tcBorders>
            <w:shd w:val="clear" w:color="000000" w:fill="FFFFFF"/>
            <w:noWrap/>
            <w:vAlign w:val="bottom"/>
            <w:hideMark/>
          </w:tcPr>
          <w:p w14:paraId="6329A86F" w14:textId="40DA22A1"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502F91B9" w14:textId="0B6F44D2" w:rsidR="009D5153" w:rsidRPr="00283E62" w:rsidRDefault="009D5153" w:rsidP="009D5153">
            <w:pPr>
              <w:jc w:val="center"/>
            </w:pPr>
            <w:r w:rsidRPr="00283E62">
              <w:t>2,928</w:t>
            </w:r>
          </w:p>
        </w:tc>
        <w:tc>
          <w:tcPr>
            <w:tcW w:w="1460" w:type="dxa"/>
            <w:tcBorders>
              <w:top w:val="nil"/>
              <w:left w:val="nil"/>
              <w:bottom w:val="single" w:sz="4" w:space="0" w:color="auto"/>
              <w:right w:val="single" w:sz="4" w:space="0" w:color="auto"/>
            </w:tcBorders>
            <w:shd w:val="clear" w:color="000000" w:fill="FFFFFF"/>
            <w:noWrap/>
            <w:vAlign w:val="bottom"/>
            <w:hideMark/>
          </w:tcPr>
          <w:p w14:paraId="4BF65985" w14:textId="46AFE6F5" w:rsidR="009D5153" w:rsidRPr="00283E62" w:rsidRDefault="009D5153" w:rsidP="009D5153">
            <w:pPr>
              <w:jc w:val="center"/>
            </w:pPr>
            <w:r w:rsidRPr="00283E62">
              <w:t>803</w:t>
            </w:r>
          </w:p>
        </w:tc>
        <w:tc>
          <w:tcPr>
            <w:tcW w:w="1360" w:type="dxa"/>
            <w:tcBorders>
              <w:top w:val="nil"/>
              <w:left w:val="nil"/>
              <w:bottom w:val="single" w:sz="4" w:space="0" w:color="auto"/>
              <w:right w:val="single" w:sz="4" w:space="0" w:color="auto"/>
            </w:tcBorders>
            <w:shd w:val="clear" w:color="000000" w:fill="FFFFFF"/>
            <w:noWrap/>
            <w:vAlign w:val="bottom"/>
            <w:hideMark/>
          </w:tcPr>
          <w:p w14:paraId="44D5320F" w14:textId="653C2775" w:rsidR="009D5153" w:rsidRPr="00283E62" w:rsidRDefault="009D5153" w:rsidP="009D5153">
            <w:pPr>
              <w:jc w:val="center"/>
            </w:pPr>
            <w:r w:rsidRPr="00283E62">
              <w:t>15,498</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E551F" w14:textId="4FC2A744" w:rsidR="009D5153" w:rsidRPr="00697C0E" w:rsidRDefault="009D5153" w:rsidP="009D5153">
            <w:pPr>
              <w:jc w:val="center"/>
              <w:rPr>
                <w:color w:val="FF0000"/>
              </w:rPr>
            </w:pPr>
            <w:r w:rsidRPr="00697C0E">
              <w:rPr>
                <w:color w:val="FF0000"/>
              </w:rPr>
              <w:t xml:space="preserve">19,983 </w:t>
            </w:r>
          </w:p>
        </w:tc>
        <w:tc>
          <w:tcPr>
            <w:tcW w:w="1240" w:type="dxa"/>
            <w:tcBorders>
              <w:top w:val="nil"/>
              <w:left w:val="nil"/>
              <w:bottom w:val="single" w:sz="4" w:space="0" w:color="auto"/>
              <w:right w:val="single" w:sz="4" w:space="0" w:color="auto"/>
            </w:tcBorders>
            <w:shd w:val="clear" w:color="000000" w:fill="FFFFFF"/>
            <w:noWrap/>
            <w:vAlign w:val="bottom"/>
            <w:hideMark/>
          </w:tcPr>
          <w:p w14:paraId="6F4460C6" w14:textId="7997CDE4" w:rsidR="009D5153" w:rsidRPr="00283E62" w:rsidRDefault="009D5153" w:rsidP="009D5153">
            <w:pPr>
              <w:jc w:val="center"/>
            </w:pPr>
            <w:r w:rsidRPr="00283E62">
              <w:t>-48%</w:t>
            </w:r>
          </w:p>
        </w:tc>
      </w:tr>
      <w:tr w:rsidR="009D5153" w:rsidRPr="00EB069D" w14:paraId="4DE8AD43"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356EC61" w14:textId="5BCA012A" w:rsidR="009D5153" w:rsidRPr="00283E62" w:rsidRDefault="009D5153" w:rsidP="009D5153">
            <w:pPr>
              <w:jc w:val="center"/>
            </w:pPr>
            <w:r w:rsidRPr="00283E62">
              <w:t>2041</w:t>
            </w:r>
          </w:p>
        </w:tc>
        <w:tc>
          <w:tcPr>
            <w:tcW w:w="1320" w:type="dxa"/>
            <w:tcBorders>
              <w:top w:val="nil"/>
              <w:left w:val="nil"/>
              <w:bottom w:val="single" w:sz="4" w:space="0" w:color="auto"/>
              <w:right w:val="single" w:sz="4" w:space="0" w:color="auto"/>
            </w:tcBorders>
            <w:shd w:val="clear" w:color="000000" w:fill="FFFFFF"/>
            <w:noWrap/>
            <w:vAlign w:val="bottom"/>
            <w:hideMark/>
          </w:tcPr>
          <w:p w14:paraId="78B71DCD" w14:textId="4FC29D23" w:rsidR="009D5153" w:rsidRPr="00283E62" w:rsidRDefault="009D5153" w:rsidP="009D5153">
            <w:pPr>
              <w:jc w:val="center"/>
            </w:pPr>
            <w:r w:rsidRPr="00283E62">
              <w:t>30,150</w:t>
            </w:r>
          </w:p>
        </w:tc>
        <w:tc>
          <w:tcPr>
            <w:tcW w:w="1260" w:type="dxa"/>
            <w:tcBorders>
              <w:top w:val="nil"/>
              <w:left w:val="nil"/>
              <w:bottom w:val="single" w:sz="4" w:space="0" w:color="auto"/>
              <w:right w:val="single" w:sz="4" w:space="0" w:color="auto"/>
            </w:tcBorders>
            <w:shd w:val="clear" w:color="000000" w:fill="FFFFFF"/>
            <w:noWrap/>
            <w:vAlign w:val="bottom"/>
            <w:hideMark/>
          </w:tcPr>
          <w:p w14:paraId="23FF3623" w14:textId="7813248C"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10CCAF84" w14:textId="116E1117" w:rsidR="009D5153" w:rsidRPr="00283E62" w:rsidRDefault="009D5153" w:rsidP="009D5153">
            <w:pPr>
              <w:jc w:val="center"/>
            </w:pPr>
            <w:r w:rsidRPr="00283E62">
              <w:t>2,876</w:t>
            </w:r>
          </w:p>
        </w:tc>
        <w:tc>
          <w:tcPr>
            <w:tcW w:w="1460" w:type="dxa"/>
            <w:tcBorders>
              <w:top w:val="nil"/>
              <w:left w:val="nil"/>
              <w:bottom w:val="single" w:sz="4" w:space="0" w:color="auto"/>
              <w:right w:val="single" w:sz="4" w:space="0" w:color="auto"/>
            </w:tcBorders>
            <w:shd w:val="clear" w:color="000000" w:fill="FFFFFF"/>
            <w:noWrap/>
            <w:vAlign w:val="bottom"/>
            <w:hideMark/>
          </w:tcPr>
          <w:p w14:paraId="1776036B" w14:textId="46924724" w:rsidR="009D5153" w:rsidRPr="00283E62" w:rsidRDefault="009D5153" w:rsidP="009D5153">
            <w:pPr>
              <w:jc w:val="center"/>
            </w:pPr>
            <w:r w:rsidRPr="00283E62">
              <w:t>813</w:t>
            </w:r>
          </w:p>
        </w:tc>
        <w:tc>
          <w:tcPr>
            <w:tcW w:w="1360" w:type="dxa"/>
            <w:tcBorders>
              <w:top w:val="nil"/>
              <w:left w:val="nil"/>
              <w:bottom w:val="single" w:sz="4" w:space="0" w:color="auto"/>
              <w:right w:val="single" w:sz="4" w:space="0" w:color="auto"/>
            </w:tcBorders>
            <w:shd w:val="clear" w:color="000000" w:fill="FFFFFF"/>
            <w:noWrap/>
            <w:vAlign w:val="bottom"/>
            <w:hideMark/>
          </w:tcPr>
          <w:p w14:paraId="256DD6A5" w14:textId="74C01B39" w:rsidR="009D5153" w:rsidRPr="00283E62" w:rsidRDefault="009D5153" w:rsidP="009D5153">
            <w:pPr>
              <w:jc w:val="center"/>
            </w:pPr>
            <w:r w:rsidRPr="00283E62">
              <w:t>15,457</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04951" w14:textId="08E1502C" w:rsidR="009D5153" w:rsidRPr="00697C0E" w:rsidRDefault="009D5153" w:rsidP="009D5153">
            <w:pPr>
              <w:jc w:val="center"/>
              <w:rPr>
                <w:color w:val="FF0000"/>
              </w:rPr>
            </w:pPr>
            <w:r w:rsidRPr="00697C0E">
              <w:rPr>
                <w:color w:val="FF0000"/>
              </w:rPr>
              <w:t xml:space="preserve">20,448 </w:t>
            </w:r>
          </w:p>
        </w:tc>
        <w:tc>
          <w:tcPr>
            <w:tcW w:w="1240" w:type="dxa"/>
            <w:tcBorders>
              <w:top w:val="nil"/>
              <w:left w:val="nil"/>
              <w:bottom w:val="single" w:sz="4" w:space="0" w:color="auto"/>
              <w:right w:val="single" w:sz="4" w:space="0" w:color="auto"/>
            </w:tcBorders>
            <w:shd w:val="clear" w:color="000000" w:fill="FFFFFF"/>
            <w:noWrap/>
            <w:vAlign w:val="bottom"/>
            <w:hideMark/>
          </w:tcPr>
          <w:p w14:paraId="2E9965F1" w14:textId="46CD6234" w:rsidR="009D5153" w:rsidRPr="00283E62" w:rsidRDefault="009D5153" w:rsidP="009D5153">
            <w:pPr>
              <w:jc w:val="center"/>
            </w:pPr>
            <w:r w:rsidRPr="00283E62">
              <w:t>-49%</w:t>
            </w:r>
          </w:p>
        </w:tc>
      </w:tr>
      <w:tr w:rsidR="009D5153" w:rsidRPr="00EB069D" w14:paraId="51D8006D"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4BC498" w14:textId="064104DB" w:rsidR="009D5153" w:rsidRPr="00283E62" w:rsidRDefault="009D5153" w:rsidP="009D5153">
            <w:pPr>
              <w:jc w:val="center"/>
            </w:pPr>
            <w:r w:rsidRPr="00283E62">
              <w:t>2042</w:t>
            </w:r>
          </w:p>
        </w:tc>
        <w:tc>
          <w:tcPr>
            <w:tcW w:w="1320" w:type="dxa"/>
            <w:tcBorders>
              <w:top w:val="nil"/>
              <w:left w:val="nil"/>
              <w:bottom w:val="single" w:sz="4" w:space="0" w:color="auto"/>
              <w:right w:val="single" w:sz="4" w:space="0" w:color="auto"/>
            </w:tcBorders>
            <w:shd w:val="clear" w:color="000000" w:fill="FFFFFF"/>
            <w:noWrap/>
            <w:vAlign w:val="bottom"/>
            <w:hideMark/>
          </w:tcPr>
          <w:p w14:paraId="5FC1F294" w14:textId="503D43E6" w:rsidR="009D5153" w:rsidRPr="00283E62" w:rsidRDefault="009D5153" w:rsidP="009D5153">
            <w:pPr>
              <w:jc w:val="center"/>
            </w:pPr>
            <w:r w:rsidRPr="00283E62">
              <w:t>30,542</w:t>
            </w:r>
          </w:p>
        </w:tc>
        <w:tc>
          <w:tcPr>
            <w:tcW w:w="1260" w:type="dxa"/>
            <w:tcBorders>
              <w:top w:val="nil"/>
              <w:left w:val="nil"/>
              <w:bottom w:val="single" w:sz="4" w:space="0" w:color="auto"/>
              <w:right w:val="single" w:sz="4" w:space="0" w:color="auto"/>
            </w:tcBorders>
            <w:shd w:val="clear" w:color="000000" w:fill="FFFFFF"/>
            <w:noWrap/>
            <w:vAlign w:val="bottom"/>
            <w:hideMark/>
          </w:tcPr>
          <w:p w14:paraId="2E83FF3E" w14:textId="5962B4AE"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18E3C172" w14:textId="3ABA6728" w:rsidR="009D5153" w:rsidRPr="00283E62" w:rsidRDefault="009D5153" w:rsidP="009D5153">
            <w:pPr>
              <w:jc w:val="center"/>
            </w:pPr>
            <w:r w:rsidRPr="00283E62">
              <w:t>2,866</w:t>
            </w:r>
          </w:p>
        </w:tc>
        <w:tc>
          <w:tcPr>
            <w:tcW w:w="1460" w:type="dxa"/>
            <w:tcBorders>
              <w:top w:val="nil"/>
              <w:left w:val="nil"/>
              <w:bottom w:val="single" w:sz="4" w:space="0" w:color="auto"/>
              <w:right w:val="single" w:sz="4" w:space="0" w:color="auto"/>
            </w:tcBorders>
            <w:shd w:val="clear" w:color="000000" w:fill="FFFFFF"/>
            <w:noWrap/>
            <w:vAlign w:val="bottom"/>
            <w:hideMark/>
          </w:tcPr>
          <w:p w14:paraId="7480F6AC" w14:textId="1C142B3F" w:rsidR="009D5153" w:rsidRPr="00283E62" w:rsidRDefault="009D5153" w:rsidP="009D5153">
            <w:pPr>
              <w:jc w:val="center"/>
            </w:pPr>
            <w:r w:rsidRPr="00283E62">
              <w:t>824</w:t>
            </w:r>
          </w:p>
        </w:tc>
        <w:tc>
          <w:tcPr>
            <w:tcW w:w="1360" w:type="dxa"/>
            <w:tcBorders>
              <w:top w:val="nil"/>
              <w:left w:val="nil"/>
              <w:bottom w:val="single" w:sz="4" w:space="0" w:color="auto"/>
              <w:right w:val="single" w:sz="4" w:space="0" w:color="auto"/>
            </w:tcBorders>
            <w:shd w:val="clear" w:color="000000" w:fill="FFFFFF"/>
            <w:noWrap/>
            <w:vAlign w:val="bottom"/>
            <w:hideMark/>
          </w:tcPr>
          <w:p w14:paraId="12841089" w14:textId="4CCBCED3" w:rsidR="009D5153" w:rsidRPr="00283E62" w:rsidRDefault="009D5153" w:rsidP="009D5153">
            <w:pPr>
              <w:jc w:val="center"/>
            </w:pPr>
            <w:r w:rsidRPr="00283E62">
              <w:t>15,458</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B088C" w14:textId="41CA64AC" w:rsidR="009D5153" w:rsidRPr="00697C0E" w:rsidRDefault="009D5153" w:rsidP="009D5153">
            <w:pPr>
              <w:jc w:val="center"/>
              <w:rPr>
                <w:color w:val="FF0000"/>
              </w:rPr>
            </w:pPr>
            <w:r w:rsidRPr="00697C0E">
              <w:rPr>
                <w:color w:val="FF0000"/>
              </w:rPr>
              <w:t xml:space="preserve">20,913 </w:t>
            </w:r>
          </w:p>
        </w:tc>
        <w:tc>
          <w:tcPr>
            <w:tcW w:w="1240" w:type="dxa"/>
            <w:tcBorders>
              <w:top w:val="nil"/>
              <w:left w:val="nil"/>
              <w:bottom w:val="single" w:sz="4" w:space="0" w:color="auto"/>
              <w:right w:val="single" w:sz="4" w:space="0" w:color="auto"/>
            </w:tcBorders>
            <w:shd w:val="clear" w:color="000000" w:fill="FFFFFF"/>
            <w:noWrap/>
            <w:vAlign w:val="bottom"/>
            <w:hideMark/>
          </w:tcPr>
          <w:p w14:paraId="5E03C636" w14:textId="0C84E32B" w:rsidR="009D5153" w:rsidRPr="00283E62" w:rsidRDefault="009D5153" w:rsidP="009D5153">
            <w:pPr>
              <w:jc w:val="center"/>
            </w:pPr>
            <w:r w:rsidRPr="00283E62">
              <w:t>-49%</w:t>
            </w:r>
          </w:p>
        </w:tc>
      </w:tr>
      <w:tr w:rsidR="009D5153" w:rsidRPr="00EB069D" w14:paraId="24A78024"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6952445" w14:textId="1C71537F" w:rsidR="009D5153" w:rsidRPr="00283E62" w:rsidRDefault="009D5153" w:rsidP="009D5153">
            <w:pPr>
              <w:jc w:val="center"/>
            </w:pPr>
            <w:r w:rsidRPr="00283E62">
              <w:t>2043</w:t>
            </w:r>
          </w:p>
        </w:tc>
        <w:tc>
          <w:tcPr>
            <w:tcW w:w="1320" w:type="dxa"/>
            <w:tcBorders>
              <w:top w:val="nil"/>
              <w:left w:val="nil"/>
              <w:bottom w:val="single" w:sz="4" w:space="0" w:color="auto"/>
              <w:right w:val="single" w:sz="4" w:space="0" w:color="auto"/>
            </w:tcBorders>
            <w:shd w:val="clear" w:color="000000" w:fill="FFFFFF"/>
            <w:noWrap/>
            <w:vAlign w:val="bottom"/>
            <w:hideMark/>
          </w:tcPr>
          <w:p w14:paraId="029D60A2" w14:textId="610BA370" w:rsidR="009D5153" w:rsidRPr="00283E62" w:rsidRDefault="009D5153" w:rsidP="009D5153">
            <w:pPr>
              <w:jc w:val="center"/>
            </w:pPr>
            <w:r w:rsidRPr="00283E62">
              <w:t>30,946</w:t>
            </w:r>
          </w:p>
        </w:tc>
        <w:tc>
          <w:tcPr>
            <w:tcW w:w="1260" w:type="dxa"/>
            <w:tcBorders>
              <w:top w:val="nil"/>
              <w:left w:val="nil"/>
              <w:bottom w:val="single" w:sz="4" w:space="0" w:color="auto"/>
              <w:right w:val="single" w:sz="4" w:space="0" w:color="auto"/>
            </w:tcBorders>
            <w:shd w:val="clear" w:color="000000" w:fill="FFFFFF"/>
            <w:noWrap/>
            <w:vAlign w:val="bottom"/>
            <w:hideMark/>
          </w:tcPr>
          <w:p w14:paraId="6A90DA1A" w14:textId="1689F015"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520BFA94" w14:textId="44CC1ACA" w:rsidR="009D5153" w:rsidRPr="00283E62" w:rsidRDefault="009D5153" w:rsidP="009D5153">
            <w:pPr>
              <w:jc w:val="center"/>
            </w:pPr>
            <w:r w:rsidRPr="00283E62">
              <w:t>2,861</w:t>
            </w:r>
          </w:p>
        </w:tc>
        <w:tc>
          <w:tcPr>
            <w:tcW w:w="1460" w:type="dxa"/>
            <w:tcBorders>
              <w:top w:val="nil"/>
              <w:left w:val="nil"/>
              <w:bottom w:val="single" w:sz="4" w:space="0" w:color="auto"/>
              <w:right w:val="single" w:sz="4" w:space="0" w:color="auto"/>
            </w:tcBorders>
            <w:shd w:val="clear" w:color="000000" w:fill="FFFFFF"/>
            <w:noWrap/>
            <w:vAlign w:val="bottom"/>
            <w:hideMark/>
          </w:tcPr>
          <w:p w14:paraId="3098D629" w14:textId="652C83F5" w:rsidR="009D5153" w:rsidRPr="00283E62" w:rsidRDefault="009D5153" w:rsidP="009D5153">
            <w:pPr>
              <w:jc w:val="center"/>
            </w:pPr>
            <w:r w:rsidRPr="00283E62">
              <w:t>835</w:t>
            </w:r>
          </w:p>
        </w:tc>
        <w:tc>
          <w:tcPr>
            <w:tcW w:w="1360" w:type="dxa"/>
            <w:tcBorders>
              <w:top w:val="nil"/>
              <w:left w:val="nil"/>
              <w:bottom w:val="single" w:sz="4" w:space="0" w:color="auto"/>
              <w:right w:val="single" w:sz="4" w:space="0" w:color="auto"/>
            </w:tcBorders>
            <w:shd w:val="clear" w:color="000000" w:fill="FFFFFF"/>
            <w:noWrap/>
            <w:vAlign w:val="bottom"/>
            <w:hideMark/>
          </w:tcPr>
          <w:p w14:paraId="725CA6ED" w14:textId="77CF4044" w:rsidR="009D5153" w:rsidRPr="00283E62" w:rsidRDefault="009D5153" w:rsidP="009D5153">
            <w:pPr>
              <w:jc w:val="center"/>
            </w:pPr>
            <w:r w:rsidRPr="00283E62">
              <w:t>15,464</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7CCF9A" w14:textId="64E170FA" w:rsidR="009D5153" w:rsidRPr="00697C0E" w:rsidRDefault="009D5153" w:rsidP="009D5153">
            <w:pPr>
              <w:jc w:val="center"/>
              <w:rPr>
                <w:color w:val="FF0000"/>
              </w:rPr>
            </w:pPr>
            <w:r w:rsidRPr="00697C0E">
              <w:rPr>
                <w:color w:val="FF0000"/>
              </w:rPr>
              <w:t xml:space="preserve">21,388 </w:t>
            </w:r>
          </w:p>
        </w:tc>
        <w:tc>
          <w:tcPr>
            <w:tcW w:w="1240" w:type="dxa"/>
            <w:tcBorders>
              <w:top w:val="nil"/>
              <w:left w:val="nil"/>
              <w:bottom w:val="single" w:sz="4" w:space="0" w:color="auto"/>
              <w:right w:val="single" w:sz="4" w:space="0" w:color="auto"/>
            </w:tcBorders>
            <w:shd w:val="clear" w:color="000000" w:fill="FFFFFF"/>
            <w:noWrap/>
            <w:vAlign w:val="bottom"/>
            <w:hideMark/>
          </w:tcPr>
          <w:p w14:paraId="3A352A60" w14:textId="37B825D3" w:rsidR="009D5153" w:rsidRPr="00283E62" w:rsidRDefault="009D5153" w:rsidP="009D5153">
            <w:pPr>
              <w:jc w:val="center"/>
            </w:pPr>
            <w:r w:rsidRPr="00283E62">
              <w:t>-50%</w:t>
            </w:r>
          </w:p>
        </w:tc>
      </w:tr>
      <w:tr w:rsidR="009D5153" w:rsidRPr="00EB069D" w14:paraId="6A910910" w14:textId="77777777" w:rsidTr="00283E6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8EBA1B2" w14:textId="40554315" w:rsidR="009D5153" w:rsidRPr="00283E62" w:rsidRDefault="009D5153" w:rsidP="009D5153">
            <w:pPr>
              <w:jc w:val="center"/>
            </w:pPr>
            <w:r w:rsidRPr="00283E62">
              <w:t>2044</w:t>
            </w:r>
          </w:p>
        </w:tc>
        <w:tc>
          <w:tcPr>
            <w:tcW w:w="1320" w:type="dxa"/>
            <w:tcBorders>
              <w:top w:val="nil"/>
              <w:left w:val="nil"/>
              <w:bottom w:val="single" w:sz="4" w:space="0" w:color="auto"/>
              <w:right w:val="single" w:sz="4" w:space="0" w:color="auto"/>
            </w:tcBorders>
            <w:shd w:val="clear" w:color="000000" w:fill="FFFFFF"/>
            <w:noWrap/>
            <w:vAlign w:val="bottom"/>
            <w:hideMark/>
          </w:tcPr>
          <w:p w14:paraId="12A7017C" w14:textId="2E8FE4EC" w:rsidR="009D5153" w:rsidRPr="00283E62" w:rsidRDefault="009D5153" w:rsidP="009D5153">
            <w:pPr>
              <w:jc w:val="center"/>
            </w:pPr>
            <w:r w:rsidRPr="00283E62">
              <w:t>31,419</w:t>
            </w:r>
          </w:p>
        </w:tc>
        <w:tc>
          <w:tcPr>
            <w:tcW w:w="1260" w:type="dxa"/>
            <w:tcBorders>
              <w:top w:val="nil"/>
              <w:left w:val="nil"/>
              <w:bottom w:val="single" w:sz="4" w:space="0" w:color="auto"/>
              <w:right w:val="single" w:sz="4" w:space="0" w:color="auto"/>
            </w:tcBorders>
            <w:shd w:val="clear" w:color="000000" w:fill="FFFFFF"/>
            <w:noWrap/>
            <w:vAlign w:val="bottom"/>
            <w:hideMark/>
          </w:tcPr>
          <w:p w14:paraId="2BF0A107" w14:textId="614E0055" w:rsidR="009D5153" w:rsidRPr="00283E62" w:rsidRDefault="009D5153" w:rsidP="009D5153">
            <w:pPr>
              <w:jc w:val="center"/>
            </w:pPr>
            <w:r w:rsidRPr="00283E62">
              <w:t>11,768</w:t>
            </w:r>
          </w:p>
        </w:tc>
        <w:tc>
          <w:tcPr>
            <w:tcW w:w="1260" w:type="dxa"/>
            <w:tcBorders>
              <w:top w:val="nil"/>
              <w:left w:val="nil"/>
              <w:bottom w:val="single" w:sz="4" w:space="0" w:color="auto"/>
              <w:right w:val="single" w:sz="4" w:space="0" w:color="auto"/>
            </w:tcBorders>
            <w:shd w:val="clear" w:color="000000" w:fill="FFFFFF"/>
            <w:noWrap/>
            <w:vAlign w:val="bottom"/>
            <w:hideMark/>
          </w:tcPr>
          <w:p w14:paraId="495E5F1C" w14:textId="086FAB7A" w:rsidR="009D5153" w:rsidRPr="00283E62" w:rsidRDefault="009D5153" w:rsidP="009D5153">
            <w:pPr>
              <w:jc w:val="center"/>
            </w:pPr>
            <w:r w:rsidRPr="00283E62">
              <w:t>2,858</w:t>
            </w:r>
          </w:p>
        </w:tc>
        <w:tc>
          <w:tcPr>
            <w:tcW w:w="1460" w:type="dxa"/>
            <w:tcBorders>
              <w:top w:val="nil"/>
              <w:left w:val="nil"/>
              <w:bottom w:val="single" w:sz="4" w:space="0" w:color="auto"/>
              <w:right w:val="single" w:sz="4" w:space="0" w:color="auto"/>
            </w:tcBorders>
            <w:shd w:val="clear" w:color="000000" w:fill="FFFFFF"/>
            <w:noWrap/>
            <w:vAlign w:val="bottom"/>
            <w:hideMark/>
          </w:tcPr>
          <w:p w14:paraId="44739FA5" w14:textId="3F121EB1" w:rsidR="009D5153" w:rsidRPr="00283E62" w:rsidRDefault="009D5153" w:rsidP="009D5153">
            <w:pPr>
              <w:jc w:val="center"/>
            </w:pPr>
            <w:r w:rsidRPr="00283E62">
              <w:t>846</w:t>
            </w:r>
          </w:p>
        </w:tc>
        <w:tc>
          <w:tcPr>
            <w:tcW w:w="1360" w:type="dxa"/>
            <w:tcBorders>
              <w:top w:val="nil"/>
              <w:left w:val="nil"/>
              <w:bottom w:val="single" w:sz="4" w:space="0" w:color="auto"/>
              <w:right w:val="single" w:sz="4" w:space="0" w:color="auto"/>
            </w:tcBorders>
            <w:shd w:val="clear" w:color="000000" w:fill="FFFFFF"/>
            <w:noWrap/>
            <w:vAlign w:val="bottom"/>
            <w:hideMark/>
          </w:tcPr>
          <w:p w14:paraId="22C05B0E" w14:textId="35304F0F" w:rsidR="009D5153" w:rsidRPr="00283E62" w:rsidRDefault="009D5153" w:rsidP="009D5153">
            <w:pPr>
              <w:jc w:val="center"/>
            </w:pPr>
            <w:r w:rsidRPr="00283E62">
              <w:t>15,472</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1E0F5" w14:textId="1955B55D" w:rsidR="009D5153" w:rsidRPr="00697C0E" w:rsidRDefault="009D5153" w:rsidP="009D5153">
            <w:pPr>
              <w:jc w:val="center"/>
              <w:rPr>
                <w:color w:val="FF0000"/>
              </w:rPr>
            </w:pPr>
            <w:r w:rsidRPr="00697C0E">
              <w:rPr>
                <w:color w:val="FF0000"/>
              </w:rPr>
              <w:t xml:space="preserve">21,943 </w:t>
            </w:r>
          </w:p>
        </w:tc>
        <w:tc>
          <w:tcPr>
            <w:tcW w:w="1240" w:type="dxa"/>
            <w:tcBorders>
              <w:top w:val="nil"/>
              <w:left w:val="nil"/>
              <w:bottom w:val="single" w:sz="4" w:space="0" w:color="auto"/>
              <w:right w:val="single" w:sz="4" w:space="0" w:color="auto"/>
            </w:tcBorders>
            <w:shd w:val="clear" w:color="000000" w:fill="FFFFFF"/>
            <w:noWrap/>
            <w:vAlign w:val="bottom"/>
            <w:hideMark/>
          </w:tcPr>
          <w:p w14:paraId="53CFEBAC" w14:textId="081B6C22" w:rsidR="009D5153" w:rsidRPr="00283E62" w:rsidRDefault="009D5153" w:rsidP="009D5153">
            <w:pPr>
              <w:jc w:val="center"/>
            </w:pPr>
            <w:r w:rsidRPr="00283E62">
              <w:t>-51%</w:t>
            </w:r>
          </w:p>
        </w:tc>
      </w:tr>
      <w:tr w:rsidR="00EB069D" w:rsidRPr="00EB069D" w14:paraId="2BDC11D4" w14:textId="77777777" w:rsidTr="000C5740">
        <w:trPr>
          <w:trHeight w:val="2220"/>
          <w:jc w:val="center"/>
        </w:trPr>
        <w:tc>
          <w:tcPr>
            <w:tcW w:w="10420" w:type="dxa"/>
            <w:gridSpan w:val="8"/>
            <w:tcBorders>
              <w:top w:val="nil"/>
              <w:left w:val="nil"/>
              <w:bottom w:val="nil"/>
              <w:right w:val="nil"/>
            </w:tcBorders>
            <w:shd w:val="clear" w:color="000000" w:fill="FFFFFF"/>
            <w:vAlign w:val="center"/>
            <w:hideMark/>
          </w:tcPr>
          <w:p w14:paraId="59159403" w14:textId="4088B226" w:rsidR="00EB069D" w:rsidRPr="00283E62" w:rsidRDefault="00EB069D" w:rsidP="00283E62">
            <w:pPr>
              <w:rPr>
                <w:sz w:val="22"/>
                <w:szCs w:val="22"/>
              </w:rPr>
            </w:pPr>
            <w:r w:rsidRPr="00283E62">
              <w:rPr>
                <w:b/>
                <w:sz w:val="22"/>
                <w:szCs w:val="22"/>
              </w:rPr>
              <w:t>Notes</w:t>
            </w:r>
            <w:r w:rsidRPr="00283E62">
              <w:rPr>
                <w:sz w:val="22"/>
                <w:szCs w:val="22"/>
              </w:rPr>
              <w:br/>
              <w:t>(A) Territorial Load requirements less non-dispatchable demand-side options (“DSOs”).</w:t>
            </w:r>
            <w:r w:rsidRPr="00283E62">
              <w:rPr>
                <w:sz w:val="22"/>
                <w:szCs w:val="22"/>
              </w:rPr>
              <w:br/>
              <w:t>(B) Values reflect effective load carrying capability (“ELCC”).</w:t>
            </w:r>
            <w:r w:rsidRPr="00283E62">
              <w:rPr>
                <w:sz w:val="22"/>
                <w:szCs w:val="22"/>
              </w:rPr>
              <w:br/>
              <w:t>(C) Includes territorial and imported power purchases.</w:t>
            </w:r>
            <w:r w:rsidRPr="00283E62">
              <w:rPr>
                <w:sz w:val="22"/>
                <w:szCs w:val="22"/>
              </w:rPr>
              <w:br/>
              <w:t>(D) Does not consider planning reserve sharing. Reflects GPC's Target Reserve Margin resulting from a System Target Reserve Margin of 19.50% (2025-2027) and 20% (2028 and beyond).</w:t>
            </w:r>
          </w:p>
        </w:tc>
      </w:tr>
    </w:tbl>
    <w:p w14:paraId="67818D25" w14:textId="523036BF" w:rsidR="006F1BC3" w:rsidRDefault="006F1BC3" w:rsidP="001C47F4">
      <w:pPr>
        <w:pStyle w:val="BodyText"/>
        <w:rPr>
          <w:rFonts w:ascii="Times New Roman" w:hAnsi="Times New Roman"/>
        </w:rPr>
      </w:pPr>
    </w:p>
    <w:p w14:paraId="1EB12637" w14:textId="77777777" w:rsidR="006F1BC3" w:rsidRDefault="006F1BC3">
      <w:pPr>
        <w:rPr>
          <w:sz w:val="24"/>
        </w:rPr>
      </w:pPr>
      <w:r>
        <w:br w:type="page"/>
      </w:r>
    </w:p>
    <w:p w14:paraId="1D94027D" w14:textId="77777777" w:rsidR="00DF7E0E" w:rsidRDefault="00DF7E0E" w:rsidP="001C47F4">
      <w:pPr>
        <w:pStyle w:val="BodyText"/>
        <w:rPr>
          <w:rFonts w:ascii="Times New Roman" w:hAnsi="Times New Roman"/>
        </w:rPr>
      </w:pPr>
    </w:p>
    <w:tbl>
      <w:tblPr>
        <w:tblW w:w="10666" w:type="dxa"/>
        <w:jc w:val="center"/>
        <w:tblLook w:val="04A0" w:firstRow="1" w:lastRow="0" w:firstColumn="1" w:lastColumn="0" w:noHBand="0" w:noVBand="1"/>
      </w:tblPr>
      <w:tblGrid>
        <w:gridCol w:w="1215"/>
        <w:gridCol w:w="1177"/>
        <w:gridCol w:w="1260"/>
        <w:gridCol w:w="1260"/>
        <w:gridCol w:w="1460"/>
        <w:gridCol w:w="1360"/>
        <w:gridCol w:w="1694"/>
        <w:gridCol w:w="1240"/>
      </w:tblGrid>
      <w:tr w:rsidR="00F425B3" w:rsidRPr="00F425B3" w14:paraId="696C9846" w14:textId="77777777" w:rsidTr="01947ABA">
        <w:trPr>
          <w:trHeight w:val="730"/>
          <w:jc w:val="center"/>
        </w:trPr>
        <w:tc>
          <w:tcPr>
            <w:tcW w:w="10666" w:type="dxa"/>
            <w:gridSpan w:val="8"/>
            <w:tcBorders>
              <w:top w:val="single" w:sz="4" w:space="0" w:color="auto"/>
              <w:left w:val="single" w:sz="4" w:space="0" w:color="auto"/>
              <w:bottom w:val="nil"/>
              <w:right w:val="single" w:sz="4" w:space="0" w:color="auto"/>
            </w:tcBorders>
            <w:shd w:val="clear" w:color="auto" w:fill="CAEDFB"/>
            <w:vAlign w:val="center"/>
            <w:hideMark/>
          </w:tcPr>
          <w:p w14:paraId="4FFAF3ED" w14:textId="77777777" w:rsidR="00F425B3" w:rsidRPr="006F1BC3" w:rsidRDefault="00F425B3" w:rsidP="00F425B3">
            <w:pPr>
              <w:jc w:val="center"/>
              <w:rPr>
                <w:b/>
                <w:sz w:val="22"/>
                <w:szCs w:val="22"/>
              </w:rPr>
            </w:pPr>
            <w:r w:rsidRPr="006F1BC3">
              <w:rPr>
                <w:b/>
                <w:sz w:val="22"/>
                <w:szCs w:val="22"/>
              </w:rPr>
              <w:t>Table 5.2.2 – Georgia Power Projected Winter Capacity Need (MW)</w:t>
            </w:r>
          </w:p>
        </w:tc>
      </w:tr>
      <w:tr w:rsidR="00F425B3" w:rsidRPr="00F425B3" w14:paraId="4784E5B8" w14:textId="77777777" w:rsidTr="01947ABA">
        <w:trPr>
          <w:trHeight w:val="1100"/>
          <w:jc w:val="center"/>
        </w:trPr>
        <w:tc>
          <w:tcPr>
            <w:tcW w:w="1215" w:type="dxa"/>
            <w:tcBorders>
              <w:top w:val="single" w:sz="4" w:space="0" w:color="auto"/>
              <w:left w:val="single" w:sz="4" w:space="0" w:color="auto"/>
              <w:bottom w:val="nil"/>
              <w:right w:val="single" w:sz="4" w:space="0" w:color="auto"/>
            </w:tcBorders>
            <w:shd w:val="clear" w:color="auto" w:fill="FFFFFF" w:themeFill="background1"/>
            <w:vAlign w:val="center"/>
            <w:hideMark/>
          </w:tcPr>
          <w:p w14:paraId="061A92B8" w14:textId="77777777" w:rsidR="00F425B3" w:rsidRPr="006F1BC3" w:rsidRDefault="00F425B3" w:rsidP="00F425B3">
            <w:pPr>
              <w:jc w:val="center"/>
              <w:rPr>
                <w:sz w:val="22"/>
                <w:szCs w:val="22"/>
              </w:rPr>
            </w:pPr>
            <w:r w:rsidRPr="006F1BC3">
              <w:rPr>
                <w:sz w:val="22"/>
                <w:szCs w:val="22"/>
              </w:rPr>
              <w:t>Year</w:t>
            </w:r>
          </w:p>
        </w:tc>
        <w:tc>
          <w:tcPr>
            <w:tcW w:w="1177" w:type="dxa"/>
            <w:tcBorders>
              <w:top w:val="single" w:sz="4" w:space="0" w:color="auto"/>
              <w:left w:val="nil"/>
              <w:bottom w:val="nil"/>
              <w:right w:val="single" w:sz="4" w:space="0" w:color="auto"/>
            </w:tcBorders>
            <w:shd w:val="clear" w:color="auto" w:fill="FFFFFF" w:themeFill="background1"/>
            <w:vAlign w:val="center"/>
            <w:hideMark/>
          </w:tcPr>
          <w:p w14:paraId="447B55CA" w14:textId="77777777" w:rsidR="00F425B3" w:rsidRPr="006F1BC3" w:rsidRDefault="00F425B3" w:rsidP="00F425B3">
            <w:pPr>
              <w:jc w:val="center"/>
              <w:rPr>
                <w:sz w:val="22"/>
                <w:szCs w:val="22"/>
              </w:rPr>
            </w:pPr>
            <w:r w:rsidRPr="006F1BC3">
              <w:rPr>
                <w:sz w:val="22"/>
                <w:szCs w:val="22"/>
              </w:rPr>
              <w:t>Peak Demand</w:t>
            </w:r>
          </w:p>
        </w:tc>
        <w:tc>
          <w:tcPr>
            <w:tcW w:w="1260" w:type="dxa"/>
            <w:tcBorders>
              <w:top w:val="single" w:sz="4" w:space="0" w:color="auto"/>
              <w:left w:val="nil"/>
              <w:bottom w:val="nil"/>
              <w:right w:val="single" w:sz="4" w:space="0" w:color="auto"/>
            </w:tcBorders>
            <w:shd w:val="clear" w:color="auto" w:fill="FFFFFF" w:themeFill="background1"/>
            <w:vAlign w:val="center"/>
            <w:hideMark/>
          </w:tcPr>
          <w:p w14:paraId="4A970205" w14:textId="77777777" w:rsidR="00F425B3" w:rsidRPr="006F1BC3" w:rsidRDefault="00F425B3" w:rsidP="00F425B3">
            <w:pPr>
              <w:jc w:val="center"/>
              <w:rPr>
                <w:sz w:val="22"/>
                <w:szCs w:val="22"/>
              </w:rPr>
            </w:pPr>
            <w:r w:rsidRPr="006F1BC3">
              <w:rPr>
                <w:sz w:val="22"/>
                <w:szCs w:val="22"/>
              </w:rPr>
              <w:t>Owned Generating Capacity</w:t>
            </w:r>
          </w:p>
        </w:tc>
        <w:tc>
          <w:tcPr>
            <w:tcW w:w="1260" w:type="dxa"/>
            <w:tcBorders>
              <w:top w:val="single" w:sz="4" w:space="0" w:color="auto"/>
              <w:left w:val="nil"/>
              <w:bottom w:val="nil"/>
              <w:right w:val="single" w:sz="4" w:space="0" w:color="auto"/>
            </w:tcBorders>
            <w:shd w:val="clear" w:color="auto" w:fill="FFFFFF" w:themeFill="background1"/>
            <w:vAlign w:val="center"/>
            <w:hideMark/>
          </w:tcPr>
          <w:p w14:paraId="1E355947" w14:textId="77777777" w:rsidR="00F425B3" w:rsidRPr="006F1BC3" w:rsidRDefault="00F425B3" w:rsidP="00F425B3">
            <w:pPr>
              <w:jc w:val="center"/>
              <w:rPr>
                <w:sz w:val="22"/>
                <w:szCs w:val="22"/>
              </w:rPr>
            </w:pPr>
            <w:r w:rsidRPr="006F1BC3">
              <w:rPr>
                <w:sz w:val="22"/>
                <w:szCs w:val="22"/>
              </w:rPr>
              <w:t>Purchased Generating Capacity</w:t>
            </w:r>
          </w:p>
        </w:tc>
        <w:tc>
          <w:tcPr>
            <w:tcW w:w="1460" w:type="dxa"/>
            <w:tcBorders>
              <w:top w:val="single" w:sz="4" w:space="0" w:color="auto"/>
              <w:left w:val="nil"/>
              <w:bottom w:val="nil"/>
              <w:right w:val="single" w:sz="4" w:space="0" w:color="auto"/>
            </w:tcBorders>
            <w:shd w:val="clear" w:color="auto" w:fill="FFFFFF" w:themeFill="background1"/>
            <w:vAlign w:val="center"/>
            <w:hideMark/>
          </w:tcPr>
          <w:p w14:paraId="7FAEBC00" w14:textId="77777777" w:rsidR="00F425B3" w:rsidRPr="006F1BC3" w:rsidRDefault="00F425B3" w:rsidP="00F425B3">
            <w:pPr>
              <w:jc w:val="center"/>
              <w:rPr>
                <w:sz w:val="22"/>
                <w:szCs w:val="22"/>
              </w:rPr>
            </w:pPr>
            <w:r w:rsidRPr="006F1BC3">
              <w:rPr>
                <w:sz w:val="22"/>
                <w:szCs w:val="22"/>
              </w:rPr>
              <w:t>Dispatchable DSOs</w:t>
            </w:r>
          </w:p>
        </w:tc>
        <w:tc>
          <w:tcPr>
            <w:tcW w:w="1360" w:type="dxa"/>
            <w:tcBorders>
              <w:top w:val="single" w:sz="4" w:space="0" w:color="auto"/>
              <w:left w:val="nil"/>
              <w:bottom w:val="nil"/>
              <w:right w:val="single" w:sz="4" w:space="0" w:color="auto"/>
            </w:tcBorders>
            <w:shd w:val="clear" w:color="auto" w:fill="FFFFFF" w:themeFill="background1"/>
            <w:vAlign w:val="center"/>
            <w:hideMark/>
          </w:tcPr>
          <w:p w14:paraId="6D6F4994" w14:textId="77777777" w:rsidR="00F425B3" w:rsidRPr="006F1BC3" w:rsidRDefault="00F425B3" w:rsidP="00F425B3">
            <w:pPr>
              <w:jc w:val="center"/>
              <w:rPr>
                <w:sz w:val="22"/>
                <w:szCs w:val="22"/>
              </w:rPr>
            </w:pPr>
            <w:r w:rsidRPr="006F1BC3">
              <w:rPr>
                <w:sz w:val="22"/>
                <w:szCs w:val="22"/>
              </w:rPr>
              <w:t>Total Capacity</w:t>
            </w:r>
          </w:p>
        </w:tc>
        <w:tc>
          <w:tcPr>
            <w:tcW w:w="1694" w:type="dxa"/>
            <w:tcBorders>
              <w:top w:val="single" w:sz="4" w:space="0" w:color="auto"/>
              <w:left w:val="nil"/>
              <w:bottom w:val="nil"/>
              <w:right w:val="single" w:sz="4" w:space="0" w:color="auto"/>
            </w:tcBorders>
            <w:shd w:val="clear" w:color="auto" w:fill="FFFFFF" w:themeFill="background1"/>
            <w:vAlign w:val="center"/>
            <w:hideMark/>
          </w:tcPr>
          <w:p w14:paraId="61669D16" w14:textId="77777777" w:rsidR="00F425B3" w:rsidRPr="006F1BC3" w:rsidRDefault="00F425B3" w:rsidP="00F425B3">
            <w:pPr>
              <w:jc w:val="center"/>
              <w:rPr>
                <w:sz w:val="22"/>
                <w:szCs w:val="22"/>
              </w:rPr>
            </w:pPr>
            <w:r w:rsidRPr="006F1BC3">
              <w:rPr>
                <w:sz w:val="22"/>
                <w:szCs w:val="22"/>
              </w:rPr>
              <w:t>Capacity Required to Meet GPC Target</w:t>
            </w:r>
          </w:p>
        </w:tc>
        <w:tc>
          <w:tcPr>
            <w:tcW w:w="1240" w:type="dxa"/>
            <w:tcBorders>
              <w:top w:val="single" w:sz="4" w:space="0" w:color="auto"/>
              <w:left w:val="nil"/>
              <w:bottom w:val="nil"/>
              <w:right w:val="single" w:sz="4" w:space="0" w:color="auto"/>
            </w:tcBorders>
            <w:shd w:val="clear" w:color="auto" w:fill="FFFFFF" w:themeFill="background1"/>
            <w:vAlign w:val="center"/>
            <w:hideMark/>
          </w:tcPr>
          <w:p w14:paraId="38A54B9B" w14:textId="77777777" w:rsidR="00F425B3" w:rsidRPr="006F1BC3" w:rsidRDefault="00F425B3" w:rsidP="00F425B3">
            <w:pPr>
              <w:jc w:val="center"/>
              <w:rPr>
                <w:sz w:val="22"/>
                <w:szCs w:val="22"/>
              </w:rPr>
            </w:pPr>
            <w:r w:rsidRPr="006F1BC3">
              <w:rPr>
                <w:sz w:val="22"/>
                <w:szCs w:val="22"/>
              </w:rPr>
              <w:t>GPC Reserve Margin</w:t>
            </w:r>
          </w:p>
        </w:tc>
      </w:tr>
      <w:tr w:rsidR="00F425B3" w:rsidRPr="00F425B3" w14:paraId="49AD637A" w14:textId="77777777" w:rsidTr="01947ABA">
        <w:trPr>
          <w:trHeight w:val="290"/>
          <w:jc w:val="center"/>
        </w:trPr>
        <w:tc>
          <w:tcPr>
            <w:tcW w:w="1215" w:type="dxa"/>
            <w:tcBorders>
              <w:top w:val="nil"/>
              <w:left w:val="single" w:sz="4" w:space="0" w:color="auto"/>
              <w:bottom w:val="nil"/>
              <w:right w:val="single" w:sz="4" w:space="0" w:color="auto"/>
            </w:tcBorders>
            <w:shd w:val="clear" w:color="auto" w:fill="FFFFFF" w:themeFill="background1"/>
            <w:vAlign w:val="center"/>
            <w:hideMark/>
          </w:tcPr>
          <w:p w14:paraId="46A36920" w14:textId="77777777" w:rsidR="00F425B3" w:rsidRPr="006F1BC3" w:rsidRDefault="00F425B3" w:rsidP="00F425B3">
            <w:pPr>
              <w:jc w:val="center"/>
            </w:pPr>
            <w:r w:rsidRPr="006F1BC3">
              <w:t> </w:t>
            </w:r>
          </w:p>
        </w:tc>
        <w:tc>
          <w:tcPr>
            <w:tcW w:w="1177" w:type="dxa"/>
            <w:tcBorders>
              <w:top w:val="nil"/>
              <w:left w:val="nil"/>
              <w:bottom w:val="nil"/>
              <w:right w:val="single" w:sz="4" w:space="0" w:color="auto"/>
            </w:tcBorders>
            <w:shd w:val="clear" w:color="auto" w:fill="FFFFFF" w:themeFill="background1"/>
            <w:hideMark/>
          </w:tcPr>
          <w:p w14:paraId="0604DBA0" w14:textId="77777777" w:rsidR="00F425B3" w:rsidRPr="006F1BC3" w:rsidRDefault="00F425B3" w:rsidP="00F425B3">
            <w:pPr>
              <w:jc w:val="center"/>
            </w:pPr>
            <w:r w:rsidRPr="006F1BC3">
              <w:t>(MW)</w:t>
            </w:r>
          </w:p>
        </w:tc>
        <w:tc>
          <w:tcPr>
            <w:tcW w:w="1260" w:type="dxa"/>
            <w:tcBorders>
              <w:top w:val="nil"/>
              <w:left w:val="nil"/>
              <w:bottom w:val="nil"/>
              <w:right w:val="single" w:sz="4" w:space="0" w:color="auto"/>
            </w:tcBorders>
            <w:shd w:val="clear" w:color="auto" w:fill="FFFFFF" w:themeFill="background1"/>
            <w:hideMark/>
          </w:tcPr>
          <w:p w14:paraId="036A4B4A" w14:textId="77777777" w:rsidR="00F425B3" w:rsidRPr="006F1BC3" w:rsidRDefault="00F425B3" w:rsidP="00F425B3">
            <w:pPr>
              <w:jc w:val="center"/>
            </w:pPr>
            <w:r w:rsidRPr="006F1BC3">
              <w:t>(MW)</w:t>
            </w:r>
          </w:p>
        </w:tc>
        <w:tc>
          <w:tcPr>
            <w:tcW w:w="1260" w:type="dxa"/>
            <w:tcBorders>
              <w:top w:val="nil"/>
              <w:left w:val="nil"/>
              <w:bottom w:val="nil"/>
              <w:right w:val="single" w:sz="4" w:space="0" w:color="auto"/>
            </w:tcBorders>
            <w:shd w:val="clear" w:color="auto" w:fill="FFFFFF" w:themeFill="background1"/>
            <w:hideMark/>
          </w:tcPr>
          <w:p w14:paraId="1FD71846" w14:textId="77777777" w:rsidR="00F425B3" w:rsidRPr="006F1BC3" w:rsidRDefault="00F425B3" w:rsidP="00F425B3">
            <w:pPr>
              <w:jc w:val="center"/>
            </w:pPr>
            <w:r w:rsidRPr="006F1BC3">
              <w:t>(MW)</w:t>
            </w:r>
          </w:p>
        </w:tc>
        <w:tc>
          <w:tcPr>
            <w:tcW w:w="1460" w:type="dxa"/>
            <w:tcBorders>
              <w:top w:val="nil"/>
              <w:left w:val="nil"/>
              <w:bottom w:val="nil"/>
              <w:right w:val="single" w:sz="4" w:space="0" w:color="auto"/>
            </w:tcBorders>
            <w:shd w:val="clear" w:color="auto" w:fill="FFFFFF" w:themeFill="background1"/>
            <w:hideMark/>
          </w:tcPr>
          <w:p w14:paraId="19CAE65C" w14:textId="77777777" w:rsidR="00F425B3" w:rsidRPr="006F1BC3" w:rsidRDefault="00F425B3" w:rsidP="00F425B3">
            <w:pPr>
              <w:jc w:val="center"/>
            </w:pPr>
            <w:r w:rsidRPr="006F1BC3">
              <w:t>(MW)</w:t>
            </w:r>
          </w:p>
        </w:tc>
        <w:tc>
          <w:tcPr>
            <w:tcW w:w="1360" w:type="dxa"/>
            <w:tcBorders>
              <w:top w:val="nil"/>
              <w:left w:val="nil"/>
              <w:bottom w:val="nil"/>
              <w:right w:val="single" w:sz="4" w:space="0" w:color="auto"/>
            </w:tcBorders>
            <w:shd w:val="clear" w:color="auto" w:fill="FFFFFF" w:themeFill="background1"/>
            <w:hideMark/>
          </w:tcPr>
          <w:p w14:paraId="17F4225A" w14:textId="77777777" w:rsidR="00F425B3" w:rsidRPr="006F1BC3" w:rsidRDefault="00F425B3" w:rsidP="00F425B3">
            <w:pPr>
              <w:jc w:val="center"/>
            </w:pPr>
            <w:r w:rsidRPr="006F1BC3">
              <w:t>(MW)</w:t>
            </w:r>
          </w:p>
        </w:tc>
        <w:tc>
          <w:tcPr>
            <w:tcW w:w="1694" w:type="dxa"/>
            <w:tcBorders>
              <w:top w:val="nil"/>
              <w:left w:val="nil"/>
              <w:bottom w:val="nil"/>
              <w:right w:val="single" w:sz="4" w:space="0" w:color="auto"/>
            </w:tcBorders>
            <w:shd w:val="clear" w:color="auto" w:fill="FFFFFF" w:themeFill="background1"/>
            <w:hideMark/>
          </w:tcPr>
          <w:p w14:paraId="0BD6A2C0" w14:textId="77777777" w:rsidR="00F425B3" w:rsidRPr="006F1BC3" w:rsidRDefault="00F425B3" w:rsidP="00F425B3">
            <w:pPr>
              <w:jc w:val="center"/>
            </w:pPr>
            <w:r w:rsidRPr="006F1BC3">
              <w:t>(MW)</w:t>
            </w:r>
          </w:p>
        </w:tc>
        <w:tc>
          <w:tcPr>
            <w:tcW w:w="1240" w:type="dxa"/>
            <w:tcBorders>
              <w:top w:val="nil"/>
              <w:left w:val="nil"/>
              <w:bottom w:val="nil"/>
              <w:right w:val="single" w:sz="4" w:space="0" w:color="auto"/>
            </w:tcBorders>
            <w:shd w:val="clear" w:color="auto" w:fill="FFFFFF" w:themeFill="background1"/>
            <w:hideMark/>
          </w:tcPr>
          <w:p w14:paraId="442E613D" w14:textId="77777777" w:rsidR="00F425B3" w:rsidRPr="006F1BC3" w:rsidRDefault="00F425B3" w:rsidP="00F425B3">
            <w:pPr>
              <w:jc w:val="center"/>
            </w:pPr>
            <w:r w:rsidRPr="006F1BC3">
              <w:t>(%)</w:t>
            </w:r>
          </w:p>
        </w:tc>
      </w:tr>
      <w:tr w:rsidR="00F425B3" w:rsidRPr="00F425B3" w14:paraId="4F9B3F84" w14:textId="77777777" w:rsidTr="01947ABA">
        <w:trPr>
          <w:trHeight w:val="29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14:paraId="595B10F7" w14:textId="77777777" w:rsidR="00F425B3" w:rsidRPr="006F1BC3" w:rsidRDefault="00F425B3" w:rsidP="00F425B3">
            <w:pPr>
              <w:jc w:val="center"/>
            </w:pPr>
            <w:r w:rsidRPr="006F1BC3">
              <w:t> </w:t>
            </w:r>
          </w:p>
        </w:tc>
        <w:tc>
          <w:tcPr>
            <w:tcW w:w="1177" w:type="dxa"/>
            <w:tcBorders>
              <w:top w:val="nil"/>
              <w:left w:val="nil"/>
              <w:bottom w:val="single" w:sz="4" w:space="0" w:color="auto"/>
              <w:right w:val="single" w:sz="4" w:space="0" w:color="auto"/>
            </w:tcBorders>
            <w:shd w:val="clear" w:color="auto" w:fill="FFFFFF" w:themeFill="background1"/>
            <w:noWrap/>
            <w:vAlign w:val="bottom"/>
            <w:hideMark/>
          </w:tcPr>
          <w:p w14:paraId="15A6C1A7" w14:textId="77777777" w:rsidR="00F425B3" w:rsidRPr="006F1BC3" w:rsidRDefault="00F425B3" w:rsidP="00F425B3">
            <w:pPr>
              <w:jc w:val="center"/>
            </w:pPr>
            <w:r w:rsidRPr="006F1BC3">
              <w:t>(A)</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395FE90D" w14:textId="77777777" w:rsidR="00F425B3" w:rsidRPr="006F1BC3" w:rsidRDefault="00F425B3" w:rsidP="00F425B3">
            <w:pPr>
              <w:jc w:val="center"/>
            </w:pPr>
            <w:r w:rsidRPr="006F1BC3">
              <w:t>(B)</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2F7C7935" w14:textId="77777777" w:rsidR="00F425B3" w:rsidRPr="006F1BC3" w:rsidRDefault="00F425B3" w:rsidP="00F425B3">
            <w:pPr>
              <w:jc w:val="center"/>
            </w:pPr>
            <w:r w:rsidRPr="006F1BC3">
              <w:t>(</w:t>
            </w:r>
            <w:proofErr w:type="gramStart"/>
            <w:r w:rsidRPr="006F1BC3">
              <w:t>B,C</w:t>
            </w:r>
            <w:proofErr w:type="gramEnd"/>
            <w:r w:rsidRPr="006F1BC3">
              <w:t>)</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5542A5CB" w14:textId="77777777" w:rsidR="00F425B3" w:rsidRPr="006F1BC3" w:rsidRDefault="00F425B3" w:rsidP="00F425B3">
            <w:pPr>
              <w:jc w:val="center"/>
            </w:pPr>
            <w:r w:rsidRPr="006F1BC3">
              <w:t>(B)</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8DF37C8" w14:textId="77777777" w:rsidR="00F425B3" w:rsidRPr="006F1BC3" w:rsidRDefault="00F425B3" w:rsidP="00F425B3">
            <w:pPr>
              <w:jc w:val="center"/>
            </w:pPr>
            <w:r w:rsidRPr="006F1BC3">
              <w:t>(B)</w:t>
            </w:r>
          </w:p>
        </w:tc>
        <w:tc>
          <w:tcPr>
            <w:tcW w:w="1694" w:type="dxa"/>
            <w:tcBorders>
              <w:top w:val="nil"/>
              <w:left w:val="nil"/>
              <w:bottom w:val="single" w:sz="4" w:space="0" w:color="auto"/>
              <w:right w:val="single" w:sz="4" w:space="0" w:color="auto"/>
            </w:tcBorders>
            <w:shd w:val="clear" w:color="auto" w:fill="FFFFFF" w:themeFill="background1"/>
            <w:noWrap/>
            <w:vAlign w:val="bottom"/>
            <w:hideMark/>
          </w:tcPr>
          <w:p w14:paraId="266BE819" w14:textId="77777777" w:rsidR="00F425B3" w:rsidRPr="006F1BC3" w:rsidRDefault="00F425B3" w:rsidP="00F425B3">
            <w:pPr>
              <w:jc w:val="center"/>
            </w:pPr>
            <w:r w:rsidRPr="006F1BC3">
              <w:t>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14B3C50D" w14:textId="77777777" w:rsidR="00F425B3" w:rsidRPr="006F1BC3" w:rsidRDefault="00F425B3" w:rsidP="00F425B3">
            <w:pPr>
              <w:jc w:val="center"/>
            </w:pPr>
            <w:r w:rsidRPr="006F1BC3">
              <w:t>(D)</w:t>
            </w:r>
          </w:p>
        </w:tc>
      </w:tr>
      <w:tr w:rsidR="00984CE2" w:rsidRPr="00F425B3" w14:paraId="317453A0"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1E082D9" w14:textId="75786C60" w:rsidR="00984CE2" w:rsidRPr="006F1BC3" w:rsidRDefault="00984CE2" w:rsidP="00984CE2">
            <w:pPr>
              <w:jc w:val="center"/>
            </w:pPr>
            <w:r w:rsidRPr="006F1BC3">
              <w:t>2024/2025</w:t>
            </w:r>
          </w:p>
        </w:tc>
        <w:tc>
          <w:tcPr>
            <w:tcW w:w="1177" w:type="dxa"/>
            <w:tcBorders>
              <w:top w:val="nil"/>
              <w:left w:val="nil"/>
              <w:bottom w:val="single" w:sz="4" w:space="0" w:color="auto"/>
              <w:right w:val="single" w:sz="4" w:space="0" w:color="auto"/>
            </w:tcBorders>
            <w:shd w:val="clear" w:color="auto" w:fill="auto"/>
            <w:noWrap/>
            <w:vAlign w:val="bottom"/>
            <w:hideMark/>
          </w:tcPr>
          <w:p w14:paraId="6D0874C7" w14:textId="0C742A3C" w:rsidR="00984CE2" w:rsidRPr="006F1BC3" w:rsidRDefault="00984CE2" w:rsidP="00984CE2">
            <w:pPr>
              <w:jc w:val="center"/>
            </w:pPr>
            <w:r w:rsidRPr="006F1BC3">
              <w:t>16,236</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7874EE1A" w14:textId="5F84FBAA" w:rsidR="00984CE2" w:rsidRPr="006F1BC3" w:rsidRDefault="00984CE2" w:rsidP="00984CE2">
            <w:pPr>
              <w:jc w:val="center"/>
            </w:pPr>
            <w:r w:rsidRPr="006F1BC3">
              <w:t>14,306</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38DF465E" w14:textId="0BB7879F" w:rsidR="00984CE2" w:rsidRPr="006F1BC3" w:rsidRDefault="00984CE2" w:rsidP="00984CE2">
            <w:pPr>
              <w:jc w:val="center"/>
            </w:pPr>
            <w:r w:rsidRPr="006F1BC3">
              <w:t>5,913</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689B65C7" w14:textId="1ADA9097" w:rsidR="00984CE2" w:rsidRPr="006F1BC3" w:rsidRDefault="00984CE2" w:rsidP="00984CE2">
            <w:pPr>
              <w:jc w:val="center"/>
            </w:pPr>
            <w:r w:rsidRPr="006F1BC3">
              <w:t>649</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2C9C7722" w14:textId="4DE9C2AD" w:rsidR="00984CE2" w:rsidRPr="006F1BC3" w:rsidRDefault="00984CE2" w:rsidP="00984CE2">
            <w:pPr>
              <w:jc w:val="center"/>
            </w:pPr>
            <w:r w:rsidRPr="006F1BC3">
              <w:t>20,868</w:t>
            </w:r>
          </w:p>
        </w:tc>
        <w:tc>
          <w:tcPr>
            <w:tcW w:w="1694" w:type="dxa"/>
            <w:tcBorders>
              <w:top w:val="nil"/>
              <w:left w:val="nil"/>
              <w:bottom w:val="single" w:sz="4" w:space="0" w:color="auto"/>
              <w:right w:val="single" w:sz="4" w:space="0" w:color="auto"/>
            </w:tcBorders>
            <w:shd w:val="clear" w:color="auto" w:fill="FFFFFF" w:themeFill="background1"/>
            <w:noWrap/>
            <w:vAlign w:val="bottom"/>
            <w:hideMark/>
          </w:tcPr>
          <w:p w14:paraId="09932627" w14:textId="1BDE4E2D" w:rsidR="00984CE2" w:rsidRPr="006F1BC3" w:rsidRDefault="00984CE2" w:rsidP="00984CE2">
            <w:pPr>
              <w:jc w:val="center"/>
            </w:pPr>
            <w:r w:rsidRPr="006F1BC3">
              <w:t>(637)</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6D2B4EA0" w14:textId="3A69DA55" w:rsidR="00984CE2" w:rsidRPr="006F1BC3" w:rsidRDefault="00984CE2" w:rsidP="00984CE2">
            <w:pPr>
              <w:jc w:val="center"/>
            </w:pPr>
            <w:r w:rsidRPr="006F1BC3">
              <w:t>29%</w:t>
            </w:r>
          </w:p>
        </w:tc>
      </w:tr>
      <w:tr w:rsidR="00984CE2" w:rsidRPr="00F425B3" w14:paraId="68E84C30"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56B8F292" w14:textId="23349B2B" w:rsidR="00984CE2" w:rsidRPr="006F1BC3" w:rsidRDefault="00984CE2" w:rsidP="00984CE2">
            <w:pPr>
              <w:jc w:val="center"/>
            </w:pPr>
            <w:r w:rsidRPr="006F1BC3">
              <w:t>2025/2026</w:t>
            </w:r>
          </w:p>
        </w:tc>
        <w:tc>
          <w:tcPr>
            <w:tcW w:w="1177" w:type="dxa"/>
            <w:tcBorders>
              <w:top w:val="nil"/>
              <w:left w:val="nil"/>
              <w:bottom w:val="single" w:sz="4" w:space="0" w:color="auto"/>
              <w:right w:val="single" w:sz="4" w:space="0" w:color="auto"/>
            </w:tcBorders>
            <w:shd w:val="clear" w:color="auto" w:fill="auto"/>
            <w:noWrap/>
            <w:vAlign w:val="bottom"/>
            <w:hideMark/>
          </w:tcPr>
          <w:p w14:paraId="103EB5E4" w14:textId="09E9BB62" w:rsidR="00984CE2" w:rsidRPr="006F1BC3" w:rsidRDefault="00984CE2" w:rsidP="00984CE2">
            <w:pPr>
              <w:jc w:val="center"/>
            </w:pPr>
            <w:r w:rsidRPr="006F1BC3">
              <w:t>16,750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0D4A00D" w14:textId="66C66389" w:rsidR="00984CE2" w:rsidRPr="006F1BC3" w:rsidRDefault="00984CE2" w:rsidP="00984CE2">
            <w:pPr>
              <w:jc w:val="center"/>
            </w:pPr>
            <w:r w:rsidRPr="006F1BC3">
              <w:t>15,164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80D03B8" w14:textId="63E55CCD" w:rsidR="00984CE2" w:rsidRPr="006F1BC3" w:rsidRDefault="00984CE2" w:rsidP="00984CE2">
            <w:pPr>
              <w:jc w:val="center"/>
            </w:pPr>
            <w:r w:rsidRPr="006F1BC3">
              <w:t>6,012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76545A05" w14:textId="71262319" w:rsidR="00984CE2" w:rsidRPr="006F1BC3" w:rsidRDefault="00984CE2" w:rsidP="00984CE2">
            <w:pPr>
              <w:jc w:val="center"/>
            </w:pPr>
            <w:r w:rsidRPr="006F1BC3">
              <w:t>652</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1D0E6A27" w14:textId="5F1D753C" w:rsidR="00984CE2" w:rsidRPr="006F1BC3" w:rsidRDefault="00984CE2" w:rsidP="00984CE2">
            <w:pPr>
              <w:jc w:val="center"/>
            </w:pPr>
            <w:r w:rsidRPr="006F1BC3">
              <w:t>21,829</w:t>
            </w:r>
          </w:p>
        </w:tc>
        <w:tc>
          <w:tcPr>
            <w:tcW w:w="1694" w:type="dxa"/>
            <w:tcBorders>
              <w:top w:val="nil"/>
              <w:left w:val="nil"/>
              <w:bottom w:val="single" w:sz="4" w:space="0" w:color="auto"/>
              <w:right w:val="single" w:sz="4" w:space="0" w:color="auto"/>
            </w:tcBorders>
            <w:shd w:val="clear" w:color="auto" w:fill="FFFFFF" w:themeFill="background1"/>
            <w:noWrap/>
            <w:vAlign w:val="bottom"/>
            <w:hideMark/>
          </w:tcPr>
          <w:p w14:paraId="4D0B2938" w14:textId="2FFD1495" w:rsidR="00984CE2" w:rsidRPr="006F1BC3" w:rsidRDefault="00984CE2" w:rsidP="00984CE2">
            <w:pPr>
              <w:jc w:val="center"/>
            </w:pPr>
            <w:r w:rsidRPr="006F1BC3">
              <w:t>(95</w:t>
            </w:r>
            <w:r w:rsidR="009436F2" w:rsidRPr="006F1BC3">
              <w:t>7</w:t>
            </w:r>
            <w:r w:rsidRPr="006F1BC3">
              <w:t>)</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40391506" w14:textId="69EA6697" w:rsidR="00984CE2" w:rsidRPr="006F1BC3" w:rsidRDefault="00984CE2" w:rsidP="00984CE2">
            <w:pPr>
              <w:jc w:val="center"/>
            </w:pPr>
            <w:r w:rsidRPr="006F1BC3">
              <w:t>30%</w:t>
            </w:r>
          </w:p>
        </w:tc>
      </w:tr>
      <w:tr w:rsidR="00660D12" w:rsidRPr="00F425B3" w14:paraId="0D4425D8"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2BFB271" w14:textId="2C01CBA0" w:rsidR="00660D12" w:rsidRPr="006F1BC3" w:rsidRDefault="00660D12" w:rsidP="00660D12">
            <w:pPr>
              <w:jc w:val="center"/>
            </w:pPr>
            <w:r w:rsidRPr="006F1BC3">
              <w:t>2026/2027</w:t>
            </w:r>
          </w:p>
        </w:tc>
        <w:tc>
          <w:tcPr>
            <w:tcW w:w="1177" w:type="dxa"/>
            <w:tcBorders>
              <w:top w:val="nil"/>
              <w:left w:val="nil"/>
              <w:bottom w:val="single" w:sz="4" w:space="0" w:color="auto"/>
              <w:right w:val="single" w:sz="4" w:space="0" w:color="auto"/>
            </w:tcBorders>
            <w:shd w:val="clear" w:color="auto" w:fill="auto"/>
            <w:noWrap/>
            <w:vAlign w:val="bottom"/>
            <w:hideMark/>
          </w:tcPr>
          <w:p w14:paraId="7F2D6D31" w14:textId="797C4657" w:rsidR="00660D12" w:rsidRPr="006F1BC3" w:rsidRDefault="00660D12" w:rsidP="00660D12">
            <w:pPr>
              <w:jc w:val="center"/>
            </w:pPr>
            <w:r w:rsidRPr="006F1BC3">
              <w:t>17,808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CC2F055" w14:textId="2FA36F58" w:rsidR="00660D12" w:rsidRPr="006F1BC3" w:rsidRDefault="00660D12" w:rsidP="00660D12">
            <w:pPr>
              <w:jc w:val="center"/>
            </w:pPr>
            <w:r w:rsidRPr="006F1BC3">
              <w:t>16,545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8AA65A" w14:textId="2BF340A3" w:rsidR="00660D12" w:rsidRPr="006F1BC3" w:rsidRDefault="00660D12" w:rsidP="00660D12">
            <w:pPr>
              <w:jc w:val="center"/>
            </w:pPr>
            <w:r w:rsidRPr="006F1BC3">
              <w:t>6,242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3B1C8A63" w14:textId="2E037380" w:rsidR="00660D12" w:rsidRPr="006F1BC3" w:rsidRDefault="00660D12" w:rsidP="00660D12">
            <w:pPr>
              <w:jc w:val="center"/>
            </w:pPr>
            <w:r w:rsidRPr="006F1BC3">
              <w:t>656</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50F5BA93" w14:textId="5572B783" w:rsidR="00660D12" w:rsidRPr="006F1BC3" w:rsidRDefault="00660D12" w:rsidP="00660D12">
            <w:pPr>
              <w:jc w:val="center"/>
            </w:pPr>
            <w:r w:rsidRPr="006F1BC3">
              <w:t>23,443</w:t>
            </w:r>
          </w:p>
        </w:tc>
        <w:tc>
          <w:tcPr>
            <w:tcW w:w="1694" w:type="dxa"/>
            <w:tcBorders>
              <w:top w:val="nil"/>
              <w:left w:val="nil"/>
              <w:bottom w:val="single" w:sz="4" w:space="0" w:color="auto"/>
              <w:right w:val="single" w:sz="4" w:space="0" w:color="auto"/>
            </w:tcBorders>
            <w:shd w:val="clear" w:color="auto" w:fill="FFFFFF" w:themeFill="background1"/>
            <w:noWrap/>
            <w:vAlign w:val="bottom"/>
            <w:hideMark/>
          </w:tcPr>
          <w:p w14:paraId="7E038598" w14:textId="1B0B5460" w:rsidR="00660D12" w:rsidRPr="006F1BC3" w:rsidRDefault="00660D12" w:rsidP="00660D12">
            <w:pPr>
              <w:jc w:val="center"/>
            </w:pPr>
            <w:r w:rsidRPr="006F1BC3">
              <w:t>(1,25</w:t>
            </w:r>
            <w:r w:rsidR="00363ADB" w:rsidRPr="006F1BC3">
              <w:t>3</w:t>
            </w:r>
            <w:r w:rsidRPr="006F1BC3">
              <w:t>)</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68292382" w14:textId="197E09F4" w:rsidR="00660D12" w:rsidRPr="006F1BC3" w:rsidRDefault="00660D12" w:rsidP="00660D12">
            <w:pPr>
              <w:jc w:val="center"/>
            </w:pPr>
            <w:r w:rsidRPr="006F1BC3">
              <w:t>32%</w:t>
            </w:r>
          </w:p>
        </w:tc>
      </w:tr>
      <w:tr w:rsidR="00984CE2" w:rsidRPr="00F425B3" w14:paraId="1CBD5A96"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A6C8D5D" w14:textId="1A8DDFF5" w:rsidR="00984CE2" w:rsidRPr="006F1BC3" w:rsidRDefault="00984CE2" w:rsidP="00984CE2">
            <w:pPr>
              <w:jc w:val="center"/>
            </w:pPr>
            <w:r w:rsidRPr="006F1BC3">
              <w:t>2027/2028</w:t>
            </w:r>
          </w:p>
        </w:tc>
        <w:tc>
          <w:tcPr>
            <w:tcW w:w="1177" w:type="dxa"/>
            <w:tcBorders>
              <w:top w:val="nil"/>
              <w:left w:val="nil"/>
              <w:bottom w:val="single" w:sz="4" w:space="0" w:color="auto"/>
              <w:right w:val="single" w:sz="4" w:space="0" w:color="auto"/>
            </w:tcBorders>
            <w:shd w:val="clear" w:color="auto" w:fill="auto"/>
            <w:noWrap/>
            <w:vAlign w:val="bottom"/>
            <w:hideMark/>
          </w:tcPr>
          <w:p w14:paraId="0177DD9D" w14:textId="406AC7E9" w:rsidR="00984CE2" w:rsidRPr="006F1BC3" w:rsidRDefault="00984CE2" w:rsidP="00984CE2">
            <w:pPr>
              <w:jc w:val="center"/>
            </w:pPr>
            <w:r w:rsidRPr="006F1BC3">
              <w:t>19,501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E7D85AE" w14:textId="5B84013F" w:rsidR="00984CE2" w:rsidRPr="006F1BC3" w:rsidRDefault="00984CE2" w:rsidP="00984CE2">
            <w:pPr>
              <w:jc w:val="center"/>
            </w:pPr>
            <w:r w:rsidRPr="006F1BC3">
              <w:t>16,981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07E6683" w14:textId="7230B24A" w:rsidR="00984CE2" w:rsidRPr="006F1BC3" w:rsidRDefault="00984CE2" w:rsidP="00984CE2">
            <w:pPr>
              <w:jc w:val="center"/>
            </w:pPr>
            <w:r w:rsidRPr="006F1BC3">
              <w:t>6,503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6C2F902C" w14:textId="5134AA02" w:rsidR="00984CE2" w:rsidRPr="006F1BC3" w:rsidRDefault="00984CE2" w:rsidP="00984CE2">
            <w:pPr>
              <w:jc w:val="center"/>
            </w:pPr>
            <w:r w:rsidRPr="006F1BC3">
              <w:t>656</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7BAC6FE" w14:textId="6C6AE292" w:rsidR="00984CE2" w:rsidRPr="006F1BC3" w:rsidRDefault="00984CE2" w:rsidP="00984CE2">
            <w:pPr>
              <w:jc w:val="center"/>
            </w:pPr>
            <w:r w:rsidRPr="006F1BC3">
              <w:t>24,140</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70E466" w14:textId="5B82DEB1" w:rsidR="00984CE2" w:rsidRPr="00F425B3" w:rsidRDefault="00984CE2" w:rsidP="00984CE2">
            <w:pPr>
              <w:jc w:val="center"/>
              <w:rPr>
                <w:color w:val="FF0000"/>
              </w:rPr>
            </w:pPr>
            <w:r>
              <w:rPr>
                <w:color w:val="FF0000"/>
              </w:rPr>
              <w:t xml:space="preserve">262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2CF70D13" w14:textId="46A61C9E" w:rsidR="00984CE2" w:rsidRPr="006F1BC3" w:rsidRDefault="00984CE2" w:rsidP="00984CE2">
            <w:pPr>
              <w:jc w:val="center"/>
            </w:pPr>
            <w:r w:rsidRPr="006F1BC3">
              <w:t>24%</w:t>
            </w:r>
          </w:p>
        </w:tc>
      </w:tr>
      <w:tr w:rsidR="00984CE2" w:rsidRPr="00F425B3" w14:paraId="58A0D794"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748E750" w14:textId="1ECC94D8" w:rsidR="00984CE2" w:rsidRPr="006F1BC3" w:rsidRDefault="00984CE2" w:rsidP="00984CE2">
            <w:pPr>
              <w:jc w:val="center"/>
            </w:pPr>
            <w:r w:rsidRPr="006F1BC3">
              <w:t>2028/2029</w:t>
            </w:r>
          </w:p>
        </w:tc>
        <w:tc>
          <w:tcPr>
            <w:tcW w:w="1177" w:type="dxa"/>
            <w:tcBorders>
              <w:top w:val="nil"/>
              <w:left w:val="nil"/>
              <w:bottom w:val="single" w:sz="4" w:space="0" w:color="auto"/>
              <w:right w:val="single" w:sz="4" w:space="0" w:color="auto"/>
            </w:tcBorders>
            <w:shd w:val="clear" w:color="auto" w:fill="auto"/>
            <w:noWrap/>
            <w:vAlign w:val="bottom"/>
            <w:hideMark/>
          </w:tcPr>
          <w:p w14:paraId="32DEB218" w14:textId="6DA4BDF3" w:rsidR="00984CE2" w:rsidRPr="006F1BC3" w:rsidRDefault="00984CE2" w:rsidP="00984CE2">
            <w:pPr>
              <w:jc w:val="center"/>
            </w:pPr>
            <w:r w:rsidRPr="006F1BC3">
              <w:t>21,696</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46307E1" w14:textId="64180A56" w:rsidR="00984CE2" w:rsidRPr="006F1BC3" w:rsidRDefault="00984CE2" w:rsidP="00984CE2">
            <w:pPr>
              <w:jc w:val="center"/>
            </w:pPr>
            <w:r w:rsidRPr="006F1BC3">
              <w:t>17,452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6320F52" w14:textId="09517736" w:rsidR="00984CE2" w:rsidRPr="006F1BC3" w:rsidRDefault="00984CE2" w:rsidP="00984CE2">
            <w:pPr>
              <w:jc w:val="center"/>
            </w:pPr>
            <w:r w:rsidRPr="006F1BC3">
              <w:t>5,723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49826254" w14:textId="155710A9" w:rsidR="00984CE2" w:rsidRPr="006F1BC3" w:rsidRDefault="00984CE2" w:rsidP="00984CE2">
            <w:pPr>
              <w:jc w:val="center"/>
            </w:pPr>
            <w:r w:rsidRPr="006F1BC3">
              <w:t>659</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2A030A6E" w14:textId="4826E628" w:rsidR="00984CE2" w:rsidRPr="006F1BC3" w:rsidRDefault="00984CE2" w:rsidP="00984CE2">
            <w:pPr>
              <w:jc w:val="center"/>
            </w:pPr>
            <w:r w:rsidRPr="006F1BC3">
              <w:t>23,834</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B3F69A" w14:textId="1758604E" w:rsidR="00984CE2" w:rsidRPr="00F425B3" w:rsidRDefault="00984CE2" w:rsidP="00984CE2">
            <w:pPr>
              <w:jc w:val="center"/>
              <w:rPr>
                <w:color w:val="FF0000"/>
              </w:rPr>
            </w:pPr>
            <w:r>
              <w:rPr>
                <w:color w:val="FF0000"/>
              </w:rPr>
              <w:t xml:space="preserve">3,315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00084738" w14:textId="347346A9" w:rsidR="00984CE2" w:rsidRPr="006F1BC3" w:rsidRDefault="00984CE2" w:rsidP="00984CE2">
            <w:pPr>
              <w:jc w:val="center"/>
            </w:pPr>
            <w:r w:rsidRPr="006F1BC3">
              <w:t>10%</w:t>
            </w:r>
          </w:p>
        </w:tc>
      </w:tr>
      <w:tr w:rsidR="00984CE2" w:rsidRPr="00F425B3" w14:paraId="62814FCC"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D7B375D" w14:textId="729A3DD4" w:rsidR="00984CE2" w:rsidRPr="006F1BC3" w:rsidRDefault="00984CE2" w:rsidP="00984CE2">
            <w:pPr>
              <w:jc w:val="center"/>
            </w:pPr>
            <w:r w:rsidRPr="006F1BC3">
              <w:t>2029/2030</w:t>
            </w:r>
          </w:p>
        </w:tc>
        <w:tc>
          <w:tcPr>
            <w:tcW w:w="1177" w:type="dxa"/>
            <w:tcBorders>
              <w:top w:val="nil"/>
              <w:left w:val="nil"/>
              <w:bottom w:val="single" w:sz="4" w:space="0" w:color="auto"/>
              <w:right w:val="single" w:sz="4" w:space="0" w:color="auto"/>
            </w:tcBorders>
            <w:shd w:val="clear" w:color="auto" w:fill="auto"/>
            <w:noWrap/>
            <w:vAlign w:val="bottom"/>
            <w:hideMark/>
          </w:tcPr>
          <w:p w14:paraId="6B07AFCB" w14:textId="456A8F52" w:rsidR="00984CE2" w:rsidRPr="006F1BC3" w:rsidRDefault="00984CE2" w:rsidP="00984CE2">
            <w:pPr>
              <w:jc w:val="center"/>
            </w:pPr>
            <w:r w:rsidRPr="006F1BC3">
              <w:t>23,517</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0EFE3C0" w14:textId="24091309" w:rsidR="00984CE2" w:rsidRPr="006F1BC3" w:rsidRDefault="00984CE2" w:rsidP="00984CE2">
            <w:pPr>
              <w:jc w:val="center"/>
            </w:pPr>
            <w:r w:rsidRPr="006F1BC3">
              <w:t>17,453</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E0110E5" w14:textId="1CB09BDA" w:rsidR="00984CE2" w:rsidRPr="006F1BC3" w:rsidRDefault="00984CE2" w:rsidP="00984CE2">
            <w:pPr>
              <w:jc w:val="center"/>
            </w:pPr>
            <w:r w:rsidRPr="006F1BC3">
              <w:t>5,</w:t>
            </w:r>
            <w:r w:rsidR="002E0EBF" w:rsidRPr="006F1BC3">
              <w:t>758</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79F1FA5A" w14:textId="30975389" w:rsidR="00984CE2" w:rsidRPr="006F1BC3" w:rsidRDefault="00984CE2" w:rsidP="00984CE2">
            <w:pPr>
              <w:jc w:val="center"/>
            </w:pPr>
            <w:r w:rsidRPr="006F1BC3">
              <w:t>661</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531E54BE" w14:textId="3E57BDC8" w:rsidR="00984CE2" w:rsidRPr="006F1BC3" w:rsidRDefault="00984CE2" w:rsidP="00984CE2">
            <w:pPr>
              <w:jc w:val="center"/>
            </w:pPr>
            <w:r w:rsidRPr="006F1BC3">
              <w:t>23,</w:t>
            </w:r>
            <w:r w:rsidR="001B6C31" w:rsidRPr="006F1BC3">
              <w:t>873</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A5D537" w14:textId="4718755A" w:rsidR="00984CE2" w:rsidRPr="00F425B3" w:rsidRDefault="00984CE2" w:rsidP="00984CE2">
            <w:pPr>
              <w:jc w:val="center"/>
              <w:rPr>
                <w:color w:val="FF0000"/>
              </w:rPr>
            </w:pPr>
            <w:r>
              <w:rPr>
                <w:color w:val="FF0000"/>
              </w:rPr>
              <w:t>5,5</w:t>
            </w:r>
            <w:r w:rsidR="00363ADB">
              <w:rPr>
                <w:color w:val="FF0000"/>
              </w:rPr>
              <w:t>55</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6DF170CD" w14:textId="15A5988D" w:rsidR="00984CE2" w:rsidRPr="006F1BC3" w:rsidRDefault="00984CE2" w:rsidP="00984CE2">
            <w:pPr>
              <w:jc w:val="center"/>
            </w:pPr>
            <w:r w:rsidRPr="006F1BC3">
              <w:t>2%</w:t>
            </w:r>
          </w:p>
        </w:tc>
      </w:tr>
      <w:tr w:rsidR="00984CE2" w:rsidRPr="00F425B3" w14:paraId="3AF3E11C"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5DF3189" w14:textId="643E7DB0" w:rsidR="00984CE2" w:rsidRPr="006F1BC3" w:rsidRDefault="00984CE2" w:rsidP="00984CE2">
            <w:pPr>
              <w:jc w:val="center"/>
            </w:pPr>
            <w:r w:rsidRPr="006F1BC3">
              <w:t>2030/2031</w:t>
            </w:r>
          </w:p>
        </w:tc>
        <w:tc>
          <w:tcPr>
            <w:tcW w:w="1177" w:type="dxa"/>
            <w:tcBorders>
              <w:top w:val="nil"/>
              <w:left w:val="nil"/>
              <w:bottom w:val="single" w:sz="4" w:space="0" w:color="auto"/>
              <w:right w:val="single" w:sz="4" w:space="0" w:color="auto"/>
            </w:tcBorders>
            <w:shd w:val="clear" w:color="auto" w:fill="auto"/>
            <w:noWrap/>
            <w:vAlign w:val="bottom"/>
            <w:hideMark/>
          </w:tcPr>
          <w:p w14:paraId="2E7C01E1" w14:textId="0CDA068F" w:rsidR="00984CE2" w:rsidRPr="006F1BC3" w:rsidRDefault="00984CE2" w:rsidP="00984CE2">
            <w:pPr>
              <w:jc w:val="center"/>
            </w:pPr>
            <w:r w:rsidRPr="006F1BC3">
              <w:t>24,769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660D58D" w14:textId="233A4B4E" w:rsidR="00984CE2" w:rsidRPr="006F1BC3" w:rsidRDefault="00984CE2" w:rsidP="00984CE2">
            <w:pPr>
              <w:jc w:val="center"/>
            </w:pPr>
            <w:r w:rsidRPr="006F1BC3">
              <w:t>17,398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BED60A2" w14:textId="0E67C163" w:rsidR="00984CE2" w:rsidRPr="006F1BC3" w:rsidRDefault="00984CE2" w:rsidP="00984CE2">
            <w:pPr>
              <w:jc w:val="center"/>
            </w:pPr>
            <w:r w:rsidRPr="006F1BC3">
              <w:t>3,769</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4CA0FB98" w14:textId="3D72A278" w:rsidR="00984CE2" w:rsidRPr="006F1BC3" w:rsidRDefault="00984CE2" w:rsidP="00984CE2">
            <w:pPr>
              <w:jc w:val="center"/>
            </w:pPr>
            <w:r w:rsidRPr="006F1BC3">
              <w:t>665</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56E0E0C4" w14:textId="71CFB593" w:rsidR="00984CE2" w:rsidRPr="006F1BC3" w:rsidRDefault="00984CE2" w:rsidP="00984CE2">
            <w:pPr>
              <w:jc w:val="center"/>
            </w:pPr>
            <w:r w:rsidRPr="006F1BC3">
              <w:t>21,832</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1BA449" w14:textId="4875BC64" w:rsidR="00984CE2" w:rsidRPr="00F425B3" w:rsidRDefault="00984CE2" w:rsidP="00984CE2">
            <w:pPr>
              <w:jc w:val="center"/>
              <w:rPr>
                <w:color w:val="FF0000"/>
              </w:rPr>
            </w:pPr>
            <w:r>
              <w:rPr>
                <w:color w:val="FF0000"/>
              </w:rPr>
              <w:t xml:space="preserve">9,162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1B7A3946" w14:textId="67C9290F" w:rsidR="00984CE2" w:rsidRPr="006F1BC3" w:rsidRDefault="00984CE2" w:rsidP="00984CE2">
            <w:pPr>
              <w:jc w:val="center"/>
            </w:pPr>
            <w:r w:rsidRPr="006F1BC3">
              <w:t>-12%</w:t>
            </w:r>
          </w:p>
        </w:tc>
      </w:tr>
      <w:tr w:rsidR="00984CE2" w:rsidRPr="00F425B3" w14:paraId="47BC3888"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90FCF3B" w14:textId="371C3E7C" w:rsidR="00984CE2" w:rsidRPr="006F1BC3" w:rsidRDefault="00984CE2" w:rsidP="00984CE2">
            <w:pPr>
              <w:jc w:val="center"/>
            </w:pPr>
            <w:r w:rsidRPr="006F1BC3">
              <w:t>2031/2032</w:t>
            </w:r>
          </w:p>
        </w:tc>
        <w:tc>
          <w:tcPr>
            <w:tcW w:w="1177" w:type="dxa"/>
            <w:tcBorders>
              <w:top w:val="nil"/>
              <w:left w:val="nil"/>
              <w:bottom w:val="single" w:sz="4" w:space="0" w:color="auto"/>
              <w:right w:val="single" w:sz="4" w:space="0" w:color="auto"/>
            </w:tcBorders>
            <w:shd w:val="clear" w:color="auto" w:fill="auto"/>
            <w:noWrap/>
            <w:vAlign w:val="bottom"/>
            <w:hideMark/>
          </w:tcPr>
          <w:p w14:paraId="2E8DDF07" w14:textId="2B391166" w:rsidR="00984CE2" w:rsidRPr="006F1BC3" w:rsidRDefault="00984CE2" w:rsidP="00984CE2">
            <w:pPr>
              <w:jc w:val="center"/>
            </w:pPr>
            <w:r w:rsidRPr="006F1BC3">
              <w:t>25,590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3B1EC28" w14:textId="475D2D94" w:rsidR="00984CE2" w:rsidRPr="006F1BC3" w:rsidRDefault="00984CE2" w:rsidP="00984CE2">
            <w:pPr>
              <w:jc w:val="center"/>
            </w:pPr>
            <w:r w:rsidRPr="006F1BC3">
              <w:t>17,374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BBD817D" w14:textId="5CAA5118" w:rsidR="00984CE2" w:rsidRPr="006F1BC3" w:rsidRDefault="00984CE2" w:rsidP="00984CE2">
            <w:pPr>
              <w:jc w:val="center"/>
            </w:pPr>
            <w:r w:rsidRPr="006F1BC3">
              <w:t>3,769</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201D72C7" w14:textId="0CF5E6C1" w:rsidR="00984CE2" w:rsidRPr="006F1BC3" w:rsidRDefault="00984CE2" w:rsidP="00984CE2">
            <w:pPr>
              <w:jc w:val="center"/>
            </w:pPr>
            <w:r w:rsidRPr="006F1BC3">
              <w:t>667</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24C8F205" w14:textId="50A23635" w:rsidR="00984CE2" w:rsidRPr="006F1BC3" w:rsidRDefault="00984CE2" w:rsidP="00984CE2">
            <w:pPr>
              <w:jc w:val="center"/>
            </w:pPr>
            <w:r w:rsidRPr="006F1BC3">
              <w:t>21,810</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F9665C" w14:textId="7A065CA7" w:rsidR="00984CE2" w:rsidRPr="00F425B3" w:rsidRDefault="00984CE2" w:rsidP="00984CE2">
            <w:pPr>
              <w:jc w:val="center"/>
              <w:rPr>
                <w:color w:val="FF0000"/>
              </w:rPr>
            </w:pPr>
            <w:r>
              <w:rPr>
                <w:color w:val="FF0000"/>
              </w:rPr>
              <w:t xml:space="preserve">10,212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39D8A845" w14:textId="611D64DB" w:rsidR="00984CE2" w:rsidRPr="006F1BC3" w:rsidRDefault="00984CE2" w:rsidP="00984CE2">
            <w:pPr>
              <w:jc w:val="center"/>
            </w:pPr>
            <w:r w:rsidRPr="006F1BC3">
              <w:t>-15%</w:t>
            </w:r>
          </w:p>
        </w:tc>
      </w:tr>
      <w:tr w:rsidR="00984CE2" w:rsidRPr="00F425B3" w14:paraId="2C242777"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AD18E9A" w14:textId="3CFE9273" w:rsidR="00984CE2" w:rsidRPr="006F1BC3" w:rsidRDefault="00984CE2" w:rsidP="00984CE2">
            <w:pPr>
              <w:jc w:val="center"/>
            </w:pPr>
            <w:r w:rsidRPr="006F1BC3">
              <w:t>2032/2033</w:t>
            </w:r>
          </w:p>
        </w:tc>
        <w:tc>
          <w:tcPr>
            <w:tcW w:w="1177" w:type="dxa"/>
            <w:tcBorders>
              <w:top w:val="nil"/>
              <w:left w:val="nil"/>
              <w:bottom w:val="single" w:sz="4" w:space="0" w:color="auto"/>
              <w:right w:val="single" w:sz="4" w:space="0" w:color="auto"/>
            </w:tcBorders>
            <w:shd w:val="clear" w:color="auto" w:fill="auto"/>
            <w:noWrap/>
            <w:vAlign w:val="bottom"/>
            <w:hideMark/>
          </w:tcPr>
          <w:p w14:paraId="74587193" w14:textId="3FB31EDE" w:rsidR="00984CE2" w:rsidRPr="006F1BC3" w:rsidRDefault="00984CE2" w:rsidP="00984CE2">
            <w:pPr>
              <w:jc w:val="center"/>
            </w:pPr>
            <w:r w:rsidRPr="006F1BC3">
              <w:t>26,160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00A071F" w14:textId="55B40769" w:rsidR="00984CE2" w:rsidRPr="006F1BC3" w:rsidRDefault="00984CE2" w:rsidP="00984CE2">
            <w:pPr>
              <w:jc w:val="center"/>
            </w:pPr>
            <w:r w:rsidRPr="006F1BC3">
              <w:t>17,374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BBFE756" w14:textId="768D1C09" w:rsidR="00984CE2" w:rsidRPr="006F1BC3" w:rsidRDefault="00984CE2" w:rsidP="00984CE2">
            <w:pPr>
              <w:jc w:val="center"/>
            </w:pPr>
            <w:r w:rsidRPr="006F1BC3">
              <w:t>3,714</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2C1A9521" w14:textId="1E797DC2" w:rsidR="00984CE2" w:rsidRPr="006F1BC3" w:rsidRDefault="00984CE2" w:rsidP="00984CE2">
            <w:pPr>
              <w:jc w:val="center"/>
            </w:pPr>
            <w:r w:rsidRPr="006F1BC3">
              <w:t>670</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12D7CDA9" w14:textId="35DA31F3" w:rsidR="00984CE2" w:rsidRPr="006F1BC3" w:rsidRDefault="00984CE2" w:rsidP="00984CE2">
            <w:pPr>
              <w:jc w:val="center"/>
            </w:pPr>
            <w:r w:rsidRPr="006F1BC3">
              <w:t>21,758</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F9887C" w14:textId="105AD36B" w:rsidR="00984CE2" w:rsidRPr="00F425B3" w:rsidRDefault="00984CE2" w:rsidP="00984CE2">
            <w:pPr>
              <w:jc w:val="center"/>
              <w:rPr>
                <w:color w:val="FF0000"/>
              </w:rPr>
            </w:pPr>
            <w:r>
              <w:rPr>
                <w:color w:val="FF0000"/>
              </w:rPr>
              <w:t>10,97</w:t>
            </w:r>
            <w:r w:rsidR="00363ADB">
              <w:rPr>
                <w:color w:val="FF0000"/>
              </w:rPr>
              <w:t>8</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2EF5F0D0" w14:textId="39DA1A14" w:rsidR="00984CE2" w:rsidRPr="006F1BC3" w:rsidRDefault="00984CE2" w:rsidP="00984CE2">
            <w:pPr>
              <w:jc w:val="center"/>
            </w:pPr>
            <w:r w:rsidRPr="006F1BC3">
              <w:t>-17%</w:t>
            </w:r>
          </w:p>
        </w:tc>
      </w:tr>
      <w:tr w:rsidR="00984CE2" w:rsidRPr="00F425B3" w14:paraId="1A71A64D"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20ADA26" w14:textId="52C511B5" w:rsidR="00984CE2" w:rsidRPr="006F1BC3" w:rsidRDefault="00984CE2" w:rsidP="00984CE2">
            <w:pPr>
              <w:jc w:val="center"/>
            </w:pPr>
            <w:r w:rsidRPr="006F1BC3">
              <w:t>2033/2034</w:t>
            </w:r>
          </w:p>
        </w:tc>
        <w:tc>
          <w:tcPr>
            <w:tcW w:w="1177" w:type="dxa"/>
            <w:tcBorders>
              <w:top w:val="nil"/>
              <w:left w:val="nil"/>
              <w:bottom w:val="single" w:sz="4" w:space="0" w:color="auto"/>
              <w:right w:val="single" w:sz="4" w:space="0" w:color="auto"/>
            </w:tcBorders>
            <w:shd w:val="clear" w:color="auto" w:fill="auto"/>
            <w:noWrap/>
            <w:vAlign w:val="bottom"/>
            <w:hideMark/>
          </w:tcPr>
          <w:p w14:paraId="755F9614" w14:textId="7F274E79" w:rsidR="00984CE2" w:rsidRPr="006F1BC3" w:rsidRDefault="00984CE2" w:rsidP="00984CE2">
            <w:pPr>
              <w:jc w:val="center"/>
            </w:pPr>
            <w:r w:rsidRPr="006F1BC3">
              <w:t>26,436</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F0D78E6" w14:textId="21FA76AA" w:rsidR="00984CE2" w:rsidRPr="006F1BC3" w:rsidRDefault="00984CE2" w:rsidP="00984CE2">
            <w:pPr>
              <w:jc w:val="center"/>
            </w:pPr>
            <w:r w:rsidRPr="006F1BC3">
              <w:t>17,374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2E3F53B" w14:textId="20A7113B" w:rsidR="00984CE2" w:rsidRPr="006F1BC3" w:rsidRDefault="00984CE2" w:rsidP="00984CE2">
            <w:pPr>
              <w:jc w:val="center"/>
            </w:pPr>
            <w:r w:rsidRPr="006F1BC3">
              <w:t>3,710</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2E43C502" w14:textId="444CC41F" w:rsidR="00984CE2" w:rsidRPr="006F1BC3" w:rsidRDefault="00984CE2" w:rsidP="00984CE2">
            <w:pPr>
              <w:jc w:val="center"/>
            </w:pPr>
            <w:r w:rsidRPr="006F1BC3">
              <w:t>673</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8E998D8" w14:textId="500CC23C" w:rsidR="00984CE2" w:rsidRPr="006F1BC3" w:rsidRDefault="00984CE2" w:rsidP="00984CE2">
            <w:pPr>
              <w:jc w:val="center"/>
            </w:pPr>
            <w:r w:rsidRPr="006F1BC3">
              <w:t>21,757</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997C5F" w14:textId="076D5B8F" w:rsidR="00984CE2" w:rsidRPr="00F425B3" w:rsidRDefault="00984CE2" w:rsidP="00984CE2">
            <w:pPr>
              <w:jc w:val="center"/>
              <w:rPr>
                <w:color w:val="FF0000"/>
              </w:rPr>
            </w:pPr>
            <w:r>
              <w:rPr>
                <w:color w:val="FF0000"/>
              </w:rPr>
              <w:t>11,32</w:t>
            </w:r>
            <w:r w:rsidR="00363ADB">
              <w:rPr>
                <w:color w:val="FF0000"/>
              </w:rPr>
              <w:t>4</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7F45238C" w14:textId="35FCEC34" w:rsidR="00984CE2" w:rsidRPr="006F1BC3" w:rsidRDefault="00984CE2" w:rsidP="00984CE2">
            <w:pPr>
              <w:jc w:val="center"/>
            </w:pPr>
            <w:r w:rsidRPr="006F1BC3">
              <w:t>-18%</w:t>
            </w:r>
          </w:p>
        </w:tc>
      </w:tr>
      <w:tr w:rsidR="00984CE2" w:rsidRPr="00F425B3" w14:paraId="0EFC0B52"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50595F1" w14:textId="206BE15A" w:rsidR="00984CE2" w:rsidRPr="006F1BC3" w:rsidRDefault="00984CE2" w:rsidP="00984CE2">
            <w:pPr>
              <w:jc w:val="center"/>
            </w:pPr>
            <w:r w:rsidRPr="006F1BC3">
              <w:t>2034/2035</w:t>
            </w:r>
          </w:p>
        </w:tc>
        <w:tc>
          <w:tcPr>
            <w:tcW w:w="1177" w:type="dxa"/>
            <w:tcBorders>
              <w:top w:val="nil"/>
              <w:left w:val="nil"/>
              <w:bottom w:val="single" w:sz="4" w:space="0" w:color="auto"/>
              <w:right w:val="single" w:sz="4" w:space="0" w:color="auto"/>
            </w:tcBorders>
            <w:shd w:val="clear" w:color="auto" w:fill="auto"/>
            <w:noWrap/>
            <w:vAlign w:val="bottom"/>
            <w:hideMark/>
          </w:tcPr>
          <w:p w14:paraId="1255FA59" w14:textId="42FE5411" w:rsidR="00984CE2" w:rsidRPr="006F1BC3" w:rsidRDefault="00984CE2" w:rsidP="00984CE2">
            <w:pPr>
              <w:jc w:val="center"/>
            </w:pPr>
            <w:r w:rsidRPr="006F1BC3">
              <w:t>26,623</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771D9DD" w14:textId="31EBED76" w:rsidR="00984CE2" w:rsidRPr="006F1BC3" w:rsidRDefault="00984CE2" w:rsidP="00984CE2">
            <w:pPr>
              <w:jc w:val="center"/>
            </w:pPr>
            <w:r w:rsidRPr="006F1BC3">
              <w:t>16,904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5BFA93C" w14:textId="4301A72D" w:rsidR="00984CE2" w:rsidRPr="006F1BC3" w:rsidRDefault="00984CE2" w:rsidP="00984CE2">
            <w:pPr>
              <w:jc w:val="center"/>
            </w:pPr>
            <w:r w:rsidRPr="006F1BC3">
              <w:t>2,393</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14CC343F" w14:textId="317744FC" w:rsidR="00984CE2" w:rsidRPr="006F1BC3" w:rsidRDefault="00984CE2" w:rsidP="00984CE2">
            <w:pPr>
              <w:jc w:val="center"/>
            </w:pPr>
            <w:r w:rsidRPr="006F1BC3">
              <w:t>675</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8FD195E" w14:textId="479E5701" w:rsidR="00984CE2" w:rsidRPr="006F1BC3" w:rsidRDefault="00984CE2" w:rsidP="00984CE2">
            <w:pPr>
              <w:jc w:val="center"/>
            </w:pPr>
            <w:r w:rsidRPr="006F1BC3">
              <w:t>19,972</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C32C1A" w14:textId="095E2C75" w:rsidR="00984CE2" w:rsidRPr="00F425B3" w:rsidRDefault="00984CE2" w:rsidP="00984CE2">
            <w:pPr>
              <w:jc w:val="center"/>
              <w:rPr>
                <w:color w:val="FF0000"/>
              </w:rPr>
            </w:pPr>
            <w:r>
              <w:rPr>
                <w:color w:val="FF0000"/>
              </w:rPr>
              <w:t>13,34</w:t>
            </w:r>
            <w:r w:rsidR="00363ADB">
              <w:rPr>
                <w:color w:val="FF0000"/>
              </w:rPr>
              <w:t>2</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7A7FAC25" w14:textId="69B69067" w:rsidR="00984CE2" w:rsidRPr="006F1BC3" w:rsidRDefault="00984CE2" w:rsidP="00984CE2">
            <w:pPr>
              <w:jc w:val="center"/>
            </w:pPr>
            <w:r w:rsidRPr="006F1BC3">
              <w:t>-25%</w:t>
            </w:r>
          </w:p>
        </w:tc>
      </w:tr>
      <w:tr w:rsidR="00984CE2" w:rsidRPr="00F425B3" w14:paraId="43CD8BB8"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64AF046" w14:textId="639BBF7B" w:rsidR="00984CE2" w:rsidRPr="006F1BC3" w:rsidRDefault="00984CE2" w:rsidP="00984CE2">
            <w:pPr>
              <w:jc w:val="center"/>
            </w:pPr>
            <w:r w:rsidRPr="006F1BC3">
              <w:t>2035/2036</w:t>
            </w:r>
          </w:p>
        </w:tc>
        <w:tc>
          <w:tcPr>
            <w:tcW w:w="1177" w:type="dxa"/>
            <w:tcBorders>
              <w:top w:val="nil"/>
              <w:left w:val="nil"/>
              <w:bottom w:val="single" w:sz="4" w:space="0" w:color="auto"/>
              <w:right w:val="single" w:sz="4" w:space="0" w:color="auto"/>
            </w:tcBorders>
            <w:shd w:val="clear" w:color="auto" w:fill="auto"/>
            <w:noWrap/>
            <w:vAlign w:val="bottom"/>
            <w:hideMark/>
          </w:tcPr>
          <w:p w14:paraId="33F0A311" w14:textId="1BCEA9BE" w:rsidR="00984CE2" w:rsidRPr="006F1BC3" w:rsidRDefault="00984CE2" w:rsidP="00984CE2">
            <w:pPr>
              <w:jc w:val="center"/>
            </w:pPr>
            <w:r w:rsidRPr="006F1BC3">
              <w:t>26,706</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1ACA3E9" w14:textId="6252AE32" w:rsidR="00984CE2" w:rsidRPr="006F1BC3" w:rsidRDefault="00984CE2" w:rsidP="00984CE2">
            <w:pPr>
              <w:jc w:val="center"/>
            </w:pPr>
            <w:r w:rsidRPr="006F1BC3">
              <w:t>12,939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718E83A" w14:textId="18F19BA5" w:rsidR="00984CE2" w:rsidRPr="006F1BC3" w:rsidRDefault="00984CE2" w:rsidP="00984CE2">
            <w:pPr>
              <w:jc w:val="center"/>
            </w:pPr>
            <w:r w:rsidRPr="006F1BC3">
              <w:t>1,812</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2191D6F5" w14:textId="07ECB680" w:rsidR="00984CE2" w:rsidRPr="006F1BC3" w:rsidRDefault="00984CE2" w:rsidP="00984CE2">
            <w:pPr>
              <w:jc w:val="center"/>
            </w:pPr>
            <w:r w:rsidRPr="006F1BC3">
              <w:t>676</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2F03F54" w14:textId="1F2210C3" w:rsidR="00984CE2" w:rsidRPr="006F1BC3" w:rsidRDefault="00984CE2" w:rsidP="00984CE2">
            <w:pPr>
              <w:jc w:val="center"/>
            </w:pPr>
            <w:r w:rsidRPr="006F1BC3">
              <w:t>15,427</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BA80EA" w14:textId="7CDC3E1F" w:rsidR="00984CE2" w:rsidRPr="00F425B3" w:rsidRDefault="00984CE2" w:rsidP="00984CE2">
            <w:pPr>
              <w:jc w:val="center"/>
              <w:rPr>
                <w:color w:val="FF0000"/>
              </w:rPr>
            </w:pPr>
            <w:r>
              <w:rPr>
                <w:color w:val="FF0000"/>
              </w:rPr>
              <w:t>17,99</w:t>
            </w:r>
            <w:r w:rsidR="00636BE3">
              <w:rPr>
                <w:color w:val="FF0000"/>
              </w:rPr>
              <w:t>2</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5EF04D2C" w14:textId="3CA4C1AC" w:rsidR="00984CE2" w:rsidRPr="006F1BC3" w:rsidRDefault="00984CE2" w:rsidP="00984CE2">
            <w:pPr>
              <w:jc w:val="center"/>
            </w:pPr>
            <w:r w:rsidRPr="006F1BC3">
              <w:t>-42%</w:t>
            </w:r>
          </w:p>
        </w:tc>
      </w:tr>
      <w:tr w:rsidR="00984CE2" w:rsidRPr="00F425B3" w14:paraId="6F156A68"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F75D98D" w14:textId="37F4F829" w:rsidR="00984CE2" w:rsidRPr="006F1BC3" w:rsidRDefault="00984CE2" w:rsidP="00984CE2">
            <w:pPr>
              <w:jc w:val="center"/>
            </w:pPr>
            <w:r w:rsidRPr="006F1BC3">
              <w:t>2036/2037</w:t>
            </w:r>
          </w:p>
        </w:tc>
        <w:tc>
          <w:tcPr>
            <w:tcW w:w="1177" w:type="dxa"/>
            <w:tcBorders>
              <w:top w:val="nil"/>
              <w:left w:val="nil"/>
              <w:bottom w:val="single" w:sz="4" w:space="0" w:color="auto"/>
              <w:right w:val="single" w:sz="4" w:space="0" w:color="auto"/>
            </w:tcBorders>
            <w:shd w:val="clear" w:color="auto" w:fill="auto"/>
            <w:noWrap/>
            <w:vAlign w:val="bottom"/>
            <w:hideMark/>
          </w:tcPr>
          <w:p w14:paraId="2727C98B" w14:textId="17A6B8FB" w:rsidR="00984CE2" w:rsidRPr="006F1BC3" w:rsidRDefault="00984CE2" w:rsidP="00984CE2">
            <w:pPr>
              <w:jc w:val="center"/>
            </w:pPr>
            <w:r w:rsidRPr="006F1BC3">
              <w:t>26,923</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C6BB2BC" w14:textId="72133253" w:rsidR="00984CE2" w:rsidRPr="006F1BC3" w:rsidRDefault="00984CE2" w:rsidP="00984CE2">
            <w:pPr>
              <w:jc w:val="center"/>
            </w:pPr>
            <w:r w:rsidRPr="006F1BC3">
              <w:t>12,939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AB4BCF4" w14:textId="657E7C62" w:rsidR="00984CE2" w:rsidRPr="006F1BC3" w:rsidRDefault="00984CE2" w:rsidP="00984CE2">
            <w:pPr>
              <w:jc w:val="center"/>
            </w:pPr>
            <w:r w:rsidRPr="006F1BC3">
              <w:t>1,745</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52C18A45" w14:textId="40769A89" w:rsidR="00984CE2" w:rsidRPr="006F1BC3" w:rsidRDefault="00984CE2" w:rsidP="00984CE2">
            <w:pPr>
              <w:jc w:val="center"/>
            </w:pPr>
            <w:r w:rsidRPr="006F1BC3">
              <w:t>681</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65E26AA8" w14:textId="211358EE" w:rsidR="00984CE2" w:rsidRPr="006F1BC3" w:rsidRDefault="00984CE2" w:rsidP="00984CE2">
            <w:pPr>
              <w:jc w:val="center"/>
            </w:pPr>
            <w:r w:rsidRPr="006F1BC3">
              <w:t>15,365</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296F5" w14:textId="7E477028" w:rsidR="00984CE2" w:rsidRPr="00F425B3" w:rsidRDefault="00984CE2" w:rsidP="00984CE2">
            <w:pPr>
              <w:jc w:val="center"/>
              <w:rPr>
                <w:color w:val="FF0000"/>
              </w:rPr>
            </w:pPr>
            <w:r>
              <w:rPr>
                <w:color w:val="FF0000"/>
              </w:rPr>
              <w:t xml:space="preserve">18,325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5C060C5E" w14:textId="15A6BC99" w:rsidR="00984CE2" w:rsidRPr="006F1BC3" w:rsidRDefault="00984CE2" w:rsidP="00984CE2">
            <w:pPr>
              <w:jc w:val="center"/>
            </w:pPr>
            <w:r w:rsidRPr="006F1BC3">
              <w:t>-43%</w:t>
            </w:r>
          </w:p>
        </w:tc>
      </w:tr>
      <w:tr w:rsidR="00984CE2" w:rsidRPr="00F425B3" w14:paraId="05D7F03B"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3A00614" w14:textId="0512B9A6" w:rsidR="00984CE2" w:rsidRPr="006F1BC3" w:rsidRDefault="00984CE2" w:rsidP="00984CE2">
            <w:pPr>
              <w:jc w:val="center"/>
            </w:pPr>
            <w:r w:rsidRPr="006F1BC3">
              <w:t>2037/2038</w:t>
            </w:r>
          </w:p>
        </w:tc>
        <w:tc>
          <w:tcPr>
            <w:tcW w:w="1177" w:type="dxa"/>
            <w:tcBorders>
              <w:top w:val="nil"/>
              <w:left w:val="nil"/>
              <w:bottom w:val="single" w:sz="4" w:space="0" w:color="auto"/>
              <w:right w:val="single" w:sz="4" w:space="0" w:color="auto"/>
            </w:tcBorders>
            <w:shd w:val="clear" w:color="auto" w:fill="auto"/>
            <w:noWrap/>
            <w:vAlign w:val="bottom"/>
            <w:hideMark/>
          </w:tcPr>
          <w:p w14:paraId="4D15EF21" w14:textId="389DFC0B" w:rsidR="00984CE2" w:rsidRPr="006F1BC3" w:rsidRDefault="00984CE2" w:rsidP="00984CE2">
            <w:pPr>
              <w:jc w:val="center"/>
            </w:pPr>
            <w:r w:rsidRPr="006F1BC3">
              <w:t>27,170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D8391DD" w14:textId="1FDB1042" w:rsidR="00984CE2" w:rsidRPr="006F1BC3" w:rsidRDefault="00984CE2" w:rsidP="00984CE2">
            <w:pPr>
              <w:jc w:val="center"/>
            </w:pPr>
            <w:r w:rsidRPr="006F1BC3">
              <w:t>12,939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B7FB310" w14:textId="320B7AC9" w:rsidR="00984CE2" w:rsidRPr="006F1BC3" w:rsidRDefault="00984CE2" w:rsidP="00984CE2">
            <w:pPr>
              <w:jc w:val="center"/>
            </w:pPr>
            <w:r w:rsidRPr="006F1BC3">
              <w:t>1,395</w:t>
            </w:r>
          </w:p>
        </w:tc>
        <w:tc>
          <w:tcPr>
            <w:tcW w:w="1460" w:type="dxa"/>
            <w:tcBorders>
              <w:top w:val="nil"/>
              <w:left w:val="nil"/>
              <w:bottom w:val="single" w:sz="4" w:space="0" w:color="auto"/>
              <w:right w:val="single" w:sz="4" w:space="0" w:color="auto"/>
            </w:tcBorders>
            <w:shd w:val="clear" w:color="auto" w:fill="FFFFFF" w:themeFill="background1"/>
            <w:noWrap/>
            <w:vAlign w:val="center"/>
            <w:hideMark/>
          </w:tcPr>
          <w:p w14:paraId="0D05363F" w14:textId="7D723D71" w:rsidR="00984CE2" w:rsidRPr="006F1BC3" w:rsidRDefault="00984CE2" w:rsidP="00984CE2">
            <w:pPr>
              <w:jc w:val="center"/>
            </w:pPr>
            <w:r w:rsidRPr="006F1BC3">
              <w:t>703</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1BFEC2AA" w14:textId="22AC22BF" w:rsidR="00984CE2" w:rsidRPr="006F1BC3" w:rsidRDefault="00984CE2" w:rsidP="00984CE2">
            <w:pPr>
              <w:jc w:val="center"/>
            </w:pPr>
            <w:r w:rsidRPr="006F1BC3">
              <w:t>15,037</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7EBAF1" w14:textId="28481F41" w:rsidR="00984CE2" w:rsidRPr="00F425B3" w:rsidRDefault="00984CE2" w:rsidP="00984CE2">
            <w:pPr>
              <w:jc w:val="center"/>
              <w:rPr>
                <w:color w:val="FF0000"/>
              </w:rPr>
            </w:pPr>
            <w:r>
              <w:rPr>
                <w:color w:val="FF0000"/>
              </w:rPr>
              <w:t>18,96</w:t>
            </w:r>
            <w:r w:rsidR="00636BE3">
              <w:rPr>
                <w:color w:val="FF0000"/>
              </w:rPr>
              <w:t>3</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73D67874" w14:textId="48DF5D79" w:rsidR="00984CE2" w:rsidRPr="006F1BC3" w:rsidRDefault="00984CE2" w:rsidP="00984CE2">
            <w:pPr>
              <w:jc w:val="center"/>
            </w:pPr>
            <w:r w:rsidRPr="006F1BC3">
              <w:t>-45%</w:t>
            </w:r>
          </w:p>
        </w:tc>
      </w:tr>
      <w:tr w:rsidR="00984CE2" w:rsidRPr="00F425B3" w14:paraId="781708F6"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4827C519" w14:textId="2D077C35" w:rsidR="00984CE2" w:rsidRPr="006F1BC3" w:rsidRDefault="00984CE2" w:rsidP="00984CE2">
            <w:pPr>
              <w:jc w:val="center"/>
            </w:pPr>
            <w:r w:rsidRPr="006F1BC3">
              <w:t>2038/2039</w:t>
            </w:r>
          </w:p>
        </w:tc>
        <w:tc>
          <w:tcPr>
            <w:tcW w:w="1177" w:type="dxa"/>
            <w:tcBorders>
              <w:top w:val="nil"/>
              <w:left w:val="nil"/>
              <w:bottom w:val="single" w:sz="4" w:space="0" w:color="auto"/>
              <w:right w:val="single" w:sz="4" w:space="0" w:color="auto"/>
            </w:tcBorders>
            <w:shd w:val="clear" w:color="auto" w:fill="auto"/>
            <w:noWrap/>
            <w:vAlign w:val="bottom"/>
            <w:hideMark/>
          </w:tcPr>
          <w:p w14:paraId="38C13CBB" w14:textId="3C11C326" w:rsidR="00984CE2" w:rsidRPr="006F1BC3" w:rsidRDefault="00984CE2" w:rsidP="00984CE2">
            <w:pPr>
              <w:jc w:val="center"/>
            </w:pPr>
            <w:r w:rsidRPr="006F1BC3">
              <w:t>27,548</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684393F1" w14:textId="10785AA1"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038F85BB" w14:textId="74399373" w:rsidR="00984CE2" w:rsidRPr="006F1BC3" w:rsidRDefault="00984CE2" w:rsidP="00984CE2">
            <w:pPr>
              <w:jc w:val="center"/>
            </w:pPr>
            <w:r w:rsidRPr="006F1BC3">
              <w:t>1,395</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340A101B" w14:textId="5FDA8F1F" w:rsidR="00984CE2" w:rsidRPr="006F1BC3" w:rsidRDefault="00984CE2" w:rsidP="00984CE2">
            <w:pPr>
              <w:jc w:val="center"/>
            </w:pPr>
            <w:r w:rsidRPr="006F1BC3">
              <w:t>711</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0118A5FE" w14:textId="5EB18B46" w:rsidR="00984CE2" w:rsidRPr="006F1BC3" w:rsidRDefault="00984CE2" w:rsidP="00984CE2">
            <w:pPr>
              <w:jc w:val="center"/>
            </w:pPr>
            <w:r w:rsidRPr="006F1BC3">
              <w:t>14,397</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A4AE02" w14:textId="5C38F5AA" w:rsidR="00984CE2" w:rsidRPr="00F425B3" w:rsidRDefault="00984CE2" w:rsidP="00984CE2">
            <w:pPr>
              <w:jc w:val="center"/>
              <w:rPr>
                <w:color w:val="FF0000"/>
              </w:rPr>
            </w:pPr>
            <w:r>
              <w:rPr>
                <w:color w:val="FF0000"/>
              </w:rPr>
              <w:t xml:space="preserve">20,076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2DB44710" w14:textId="1035508E" w:rsidR="00984CE2" w:rsidRPr="006F1BC3" w:rsidRDefault="00984CE2" w:rsidP="00984CE2">
            <w:pPr>
              <w:jc w:val="center"/>
            </w:pPr>
            <w:r w:rsidRPr="006F1BC3">
              <w:t>-48%</w:t>
            </w:r>
          </w:p>
        </w:tc>
      </w:tr>
      <w:tr w:rsidR="00984CE2" w:rsidRPr="00F425B3" w14:paraId="0E1E57C0"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6BFCD40" w14:textId="018FF394" w:rsidR="00984CE2" w:rsidRPr="006F1BC3" w:rsidRDefault="00984CE2" w:rsidP="00984CE2">
            <w:pPr>
              <w:jc w:val="center"/>
            </w:pPr>
            <w:r w:rsidRPr="006F1BC3">
              <w:t>2039/2040</w:t>
            </w:r>
          </w:p>
        </w:tc>
        <w:tc>
          <w:tcPr>
            <w:tcW w:w="1177" w:type="dxa"/>
            <w:tcBorders>
              <w:top w:val="nil"/>
              <w:left w:val="nil"/>
              <w:bottom w:val="single" w:sz="4" w:space="0" w:color="auto"/>
              <w:right w:val="single" w:sz="4" w:space="0" w:color="auto"/>
            </w:tcBorders>
            <w:shd w:val="clear" w:color="auto" w:fill="auto"/>
            <w:noWrap/>
            <w:vAlign w:val="bottom"/>
            <w:hideMark/>
          </w:tcPr>
          <w:p w14:paraId="2731E67F" w14:textId="68600A3C" w:rsidR="00984CE2" w:rsidRPr="006F1BC3" w:rsidRDefault="00984CE2" w:rsidP="00984CE2">
            <w:pPr>
              <w:jc w:val="center"/>
            </w:pPr>
            <w:r w:rsidRPr="006F1BC3">
              <w:t>27,851</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40644C3C" w14:textId="477597E8"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62CD792E" w14:textId="05517FA5" w:rsidR="00984CE2" w:rsidRPr="006F1BC3" w:rsidRDefault="00984CE2" w:rsidP="00984CE2">
            <w:pPr>
              <w:jc w:val="center"/>
            </w:pPr>
            <w:r w:rsidRPr="006F1BC3">
              <w:t>1,035</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7FAEBC50" w14:textId="229A80AF" w:rsidR="00984CE2" w:rsidRPr="006F1BC3" w:rsidRDefault="00984CE2" w:rsidP="00984CE2">
            <w:pPr>
              <w:jc w:val="center"/>
            </w:pPr>
            <w:r w:rsidRPr="006F1BC3">
              <w:t>720</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6D7B4AC3" w14:textId="1C4785B4" w:rsidR="00984CE2" w:rsidRPr="006F1BC3" w:rsidRDefault="00984CE2" w:rsidP="00984CE2">
            <w:pPr>
              <w:jc w:val="center"/>
            </w:pPr>
            <w:r w:rsidRPr="006F1BC3">
              <w:t>14,045</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F004DD" w14:textId="71E3BAFB" w:rsidR="00984CE2" w:rsidRPr="00F425B3" w:rsidRDefault="00984CE2" w:rsidP="00984CE2">
            <w:pPr>
              <w:jc w:val="center"/>
              <w:rPr>
                <w:color w:val="FF0000"/>
              </w:rPr>
            </w:pPr>
            <w:r>
              <w:rPr>
                <w:color w:val="FF0000"/>
              </w:rPr>
              <w:t>20,80</w:t>
            </w:r>
            <w:r w:rsidR="00A01EF6">
              <w:rPr>
                <w:color w:val="FF0000"/>
              </w:rPr>
              <w:t>6</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6BF76D05" w14:textId="1B9CDB1D" w:rsidR="00984CE2" w:rsidRPr="006F1BC3" w:rsidRDefault="00984CE2" w:rsidP="00984CE2">
            <w:pPr>
              <w:jc w:val="center"/>
            </w:pPr>
            <w:r w:rsidRPr="006F1BC3">
              <w:t>-50%</w:t>
            </w:r>
          </w:p>
        </w:tc>
      </w:tr>
      <w:tr w:rsidR="00984CE2" w:rsidRPr="00F425B3" w14:paraId="1AE2FBA2"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D1908D6" w14:textId="336D7444" w:rsidR="00984CE2" w:rsidRPr="006F1BC3" w:rsidRDefault="00984CE2" w:rsidP="00984CE2">
            <w:pPr>
              <w:jc w:val="center"/>
            </w:pPr>
            <w:r w:rsidRPr="006F1BC3">
              <w:t>2040/2041</w:t>
            </w:r>
          </w:p>
        </w:tc>
        <w:tc>
          <w:tcPr>
            <w:tcW w:w="1177" w:type="dxa"/>
            <w:tcBorders>
              <w:top w:val="nil"/>
              <w:left w:val="nil"/>
              <w:bottom w:val="single" w:sz="4" w:space="0" w:color="auto"/>
              <w:right w:val="single" w:sz="4" w:space="0" w:color="auto"/>
            </w:tcBorders>
            <w:shd w:val="clear" w:color="auto" w:fill="auto"/>
            <w:noWrap/>
            <w:vAlign w:val="bottom"/>
            <w:hideMark/>
          </w:tcPr>
          <w:p w14:paraId="0474DA67" w14:textId="6B8E97B6" w:rsidR="00984CE2" w:rsidRPr="006F1BC3" w:rsidRDefault="00984CE2" w:rsidP="00984CE2">
            <w:pPr>
              <w:jc w:val="center"/>
            </w:pPr>
            <w:r w:rsidRPr="006F1BC3">
              <w:t>28,222</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11EB6109" w14:textId="585F1973"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0DF651EA" w14:textId="53604630" w:rsidR="00984CE2" w:rsidRPr="006F1BC3" w:rsidRDefault="00984CE2" w:rsidP="00984CE2">
            <w:pPr>
              <w:jc w:val="center"/>
            </w:pPr>
            <w:r w:rsidRPr="006F1BC3">
              <w:t>1,015</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3DB147F6" w14:textId="2F71917B" w:rsidR="00984CE2" w:rsidRPr="006F1BC3" w:rsidRDefault="00984CE2" w:rsidP="00984CE2">
            <w:pPr>
              <w:jc w:val="center"/>
            </w:pPr>
            <w:r w:rsidRPr="006F1BC3">
              <w:t>728</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55228CEC" w14:textId="32E6E0B2" w:rsidR="00984CE2" w:rsidRPr="006F1BC3" w:rsidRDefault="00984CE2" w:rsidP="00984CE2">
            <w:pPr>
              <w:jc w:val="center"/>
            </w:pPr>
            <w:r w:rsidRPr="006F1BC3">
              <w:t>14,033</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50A6F" w14:textId="48891C21" w:rsidR="00984CE2" w:rsidRPr="00F425B3" w:rsidRDefault="00984CE2" w:rsidP="00984CE2">
            <w:pPr>
              <w:jc w:val="center"/>
              <w:rPr>
                <w:color w:val="FF0000"/>
              </w:rPr>
            </w:pPr>
            <w:r>
              <w:rPr>
                <w:color w:val="FF0000"/>
              </w:rPr>
              <w:t>21,28</w:t>
            </w:r>
            <w:r w:rsidR="00A01EF6">
              <w:rPr>
                <w:color w:val="FF0000"/>
              </w:rPr>
              <w:t>3</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6FEE0FD9" w14:textId="5CF2437B" w:rsidR="00984CE2" w:rsidRPr="006F1BC3" w:rsidRDefault="00984CE2" w:rsidP="00984CE2">
            <w:pPr>
              <w:jc w:val="center"/>
            </w:pPr>
            <w:r w:rsidRPr="006F1BC3">
              <w:t>-50%</w:t>
            </w:r>
          </w:p>
        </w:tc>
      </w:tr>
      <w:tr w:rsidR="00984CE2" w:rsidRPr="00F425B3" w14:paraId="5C534898"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0DC3CD0" w14:textId="5B0D119E" w:rsidR="00984CE2" w:rsidRPr="006F1BC3" w:rsidRDefault="00984CE2" w:rsidP="00984CE2">
            <w:pPr>
              <w:jc w:val="center"/>
            </w:pPr>
            <w:r w:rsidRPr="006F1BC3">
              <w:t>2041/2042</w:t>
            </w:r>
          </w:p>
        </w:tc>
        <w:tc>
          <w:tcPr>
            <w:tcW w:w="1177" w:type="dxa"/>
            <w:tcBorders>
              <w:top w:val="nil"/>
              <w:left w:val="nil"/>
              <w:bottom w:val="single" w:sz="4" w:space="0" w:color="auto"/>
              <w:right w:val="single" w:sz="4" w:space="0" w:color="auto"/>
            </w:tcBorders>
            <w:shd w:val="clear" w:color="auto" w:fill="auto"/>
            <w:noWrap/>
            <w:vAlign w:val="bottom"/>
            <w:hideMark/>
          </w:tcPr>
          <w:p w14:paraId="6C15AB8F" w14:textId="55139ED9" w:rsidR="00984CE2" w:rsidRPr="006F1BC3" w:rsidRDefault="00984CE2" w:rsidP="00984CE2">
            <w:pPr>
              <w:jc w:val="center"/>
            </w:pPr>
            <w:r w:rsidRPr="006F1BC3">
              <w:t>28,605</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16638F67" w14:textId="6CC1CA83"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04811F0A" w14:textId="61830211" w:rsidR="00984CE2" w:rsidRPr="006F1BC3" w:rsidRDefault="00984CE2" w:rsidP="00984CE2">
            <w:pPr>
              <w:jc w:val="center"/>
            </w:pPr>
            <w:r w:rsidRPr="006F1BC3">
              <w:t>1,012</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68907415" w14:textId="79F33764" w:rsidR="00984CE2" w:rsidRPr="006F1BC3" w:rsidRDefault="00984CE2" w:rsidP="00984CE2">
            <w:pPr>
              <w:jc w:val="center"/>
            </w:pPr>
            <w:r w:rsidRPr="006F1BC3">
              <w:t>737</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08C24557" w14:textId="02A0E2C8" w:rsidR="00984CE2" w:rsidRPr="006F1BC3" w:rsidRDefault="00984CE2" w:rsidP="00984CE2">
            <w:pPr>
              <w:jc w:val="center"/>
            </w:pPr>
            <w:r w:rsidRPr="006F1BC3">
              <w:t>14,040</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EAC9D0" w14:textId="7128B20C" w:rsidR="00984CE2" w:rsidRPr="00F425B3" w:rsidRDefault="00984CE2" w:rsidP="00984CE2">
            <w:pPr>
              <w:jc w:val="center"/>
              <w:rPr>
                <w:color w:val="FF0000"/>
              </w:rPr>
            </w:pPr>
            <w:r>
              <w:rPr>
                <w:color w:val="FF0000"/>
              </w:rPr>
              <w:t xml:space="preserve">21,755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0D4CF4AD" w14:textId="41437AAF" w:rsidR="00984CE2" w:rsidRPr="006F1BC3" w:rsidRDefault="00984CE2" w:rsidP="00984CE2">
            <w:pPr>
              <w:jc w:val="center"/>
            </w:pPr>
            <w:r w:rsidRPr="006F1BC3">
              <w:t>-51%</w:t>
            </w:r>
          </w:p>
        </w:tc>
      </w:tr>
      <w:tr w:rsidR="00984CE2" w:rsidRPr="00F425B3" w14:paraId="31545CFC"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214CE75" w14:textId="23AF9A7E" w:rsidR="00984CE2" w:rsidRPr="006F1BC3" w:rsidRDefault="00984CE2" w:rsidP="00984CE2">
            <w:pPr>
              <w:jc w:val="center"/>
            </w:pPr>
            <w:r w:rsidRPr="006F1BC3">
              <w:t>2042/2043</w:t>
            </w:r>
          </w:p>
        </w:tc>
        <w:tc>
          <w:tcPr>
            <w:tcW w:w="1177" w:type="dxa"/>
            <w:tcBorders>
              <w:top w:val="nil"/>
              <w:left w:val="nil"/>
              <w:bottom w:val="single" w:sz="4" w:space="0" w:color="auto"/>
              <w:right w:val="single" w:sz="4" w:space="0" w:color="auto"/>
            </w:tcBorders>
            <w:shd w:val="clear" w:color="auto" w:fill="auto"/>
            <w:noWrap/>
            <w:vAlign w:val="bottom"/>
            <w:hideMark/>
          </w:tcPr>
          <w:p w14:paraId="73410CCF" w14:textId="54C673F3" w:rsidR="00984CE2" w:rsidRPr="006F1BC3" w:rsidRDefault="00984CE2" w:rsidP="00984CE2">
            <w:pPr>
              <w:jc w:val="center"/>
            </w:pPr>
            <w:r w:rsidRPr="006F1BC3">
              <w:t>29,028</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219544C9" w14:textId="5C5B0C17"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767C867E" w14:textId="2BEBADE4" w:rsidR="00984CE2" w:rsidRPr="006F1BC3" w:rsidRDefault="00984CE2" w:rsidP="00984CE2">
            <w:pPr>
              <w:jc w:val="center"/>
            </w:pPr>
            <w:r w:rsidRPr="006F1BC3">
              <w:t>1,010</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224087D0" w14:textId="0B7ACE03" w:rsidR="00984CE2" w:rsidRPr="006F1BC3" w:rsidRDefault="00984CE2" w:rsidP="00984CE2">
            <w:pPr>
              <w:jc w:val="center"/>
            </w:pPr>
            <w:r w:rsidRPr="006F1BC3">
              <w:t>748</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20A6E9BE" w14:textId="013DF5D4" w:rsidR="00984CE2" w:rsidRPr="006F1BC3" w:rsidRDefault="00984CE2" w:rsidP="00984CE2">
            <w:pPr>
              <w:jc w:val="center"/>
            </w:pPr>
            <w:r w:rsidRPr="006F1BC3">
              <w:t>14,048</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61D3D3" w14:textId="410C63FD" w:rsidR="00984CE2" w:rsidRPr="00F425B3" w:rsidRDefault="00984CE2" w:rsidP="00984CE2">
            <w:pPr>
              <w:jc w:val="center"/>
              <w:rPr>
                <w:color w:val="FF0000"/>
              </w:rPr>
            </w:pPr>
            <w:r>
              <w:rPr>
                <w:color w:val="FF0000"/>
              </w:rPr>
              <w:t xml:space="preserve">22,276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4A08092A" w14:textId="1364AD91" w:rsidR="00984CE2" w:rsidRPr="006F1BC3" w:rsidRDefault="00984CE2" w:rsidP="00984CE2">
            <w:pPr>
              <w:jc w:val="center"/>
            </w:pPr>
            <w:r w:rsidRPr="006F1BC3">
              <w:t>-52%</w:t>
            </w:r>
          </w:p>
        </w:tc>
      </w:tr>
      <w:tr w:rsidR="00984CE2" w:rsidRPr="00F425B3" w14:paraId="047CCDA7" w14:textId="77777777" w:rsidTr="01947ABA">
        <w:trPr>
          <w:trHeight w:val="20"/>
          <w:jc w:val="center"/>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C800964" w14:textId="5683B2E2" w:rsidR="00984CE2" w:rsidRPr="006F1BC3" w:rsidRDefault="00984CE2" w:rsidP="00984CE2">
            <w:pPr>
              <w:jc w:val="center"/>
            </w:pPr>
            <w:r w:rsidRPr="006F1BC3">
              <w:t>2043/2044</w:t>
            </w:r>
          </w:p>
        </w:tc>
        <w:tc>
          <w:tcPr>
            <w:tcW w:w="1177" w:type="dxa"/>
            <w:tcBorders>
              <w:top w:val="nil"/>
              <w:left w:val="nil"/>
              <w:bottom w:val="single" w:sz="4" w:space="0" w:color="auto"/>
              <w:right w:val="single" w:sz="4" w:space="0" w:color="auto"/>
            </w:tcBorders>
            <w:shd w:val="clear" w:color="auto" w:fill="auto"/>
            <w:noWrap/>
            <w:vAlign w:val="bottom"/>
            <w:hideMark/>
          </w:tcPr>
          <w:p w14:paraId="26F4ECA3" w14:textId="18634BA6" w:rsidR="00984CE2" w:rsidRPr="006F1BC3" w:rsidRDefault="00984CE2" w:rsidP="00984CE2">
            <w:pPr>
              <w:jc w:val="center"/>
            </w:pPr>
            <w:r w:rsidRPr="006F1BC3">
              <w:t>29,446</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1D27029B" w14:textId="3459ED15" w:rsidR="00984CE2" w:rsidRPr="006F1BC3" w:rsidRDefault="00984CE2" w:rsidP="00984CE2">
            <w:pPr>
              <w:jc w:val="center"/>
            </w:pPr>
            <w:r w:rsidRPr="006F1BC3">
              <w:t>12,290</w:t>
            </w:r>
          </w:p>
        </w:tc>
        <w:tc>
          <w:tcPr>
            <w:tcW w:w="1260" w:type="dxa"/>
            <w:tcBorders>
              <w:top w:val="nil"/>
              <w:left w:val="nil"/>
              <w:bottom w:val="single" w:sz="4" w:space="0" w:color="auto"/>
              <w:right w:val="single" w:sz="4" w:space="0" w:color="auto"/>
            </w:tcBorders>
            <w:shd w:val="clear" w:color="auto" w:fill="FFFFFF" w:themeFill="background1"/>
            <w:noWrap/>
            <w:vAlign w:val="bottom"/>
            <w:hideMark/>
          </w:tcPr>
          <w:p w14:paraId="7C9BC288" w14:textId="78E906EE" w:rsidR="00984CE2" w:rsidRPr="006F1BC3" w:rsidRDefault="00984CE2" w:rsidP="00984CE2">
            <w:pPr>
              <w:jc w:val="center"/>
            </w:pPr>
            <w:r w:rsidRPr="006F1BC3">
              <w:t>1,010</w:t>
            </w:r>
          </w:p>
        </w:tc>
        <w:tc>
          <w:tcPr>
            <w:tcW w:w="1460" w:type="dxa"/>
            <w:tcBorders>
              <w:top w:val="nil"/>
              <w:left w:val="nil"/>
              <w:bottom w:val="single" w:sz="4" w:space="0" w:color="auto"/>
              <w:right w:val="single" w:sz="4" w:space="0" w:color="auto"/>
            </w:tcBorders>
            <w:shd w:val="clear" w:color="auto" w:fill="FFFFFF" w:themeFill="background1"/>
            <w:noWrap/>
            <w:vAlign w:val="bottom"/>
            <w:hideMark/>
          </w:tcPr>
          <w:p w14:paraId="7E82CD85" w14:textId="1EBBE388" w:rsidR="00984CE2" w:rsidRPr="006F1BC3" w:rsidRDefault="00984CE2" w:rsidP="00984CE2">
            <w:pPr>
              <w:jc w:val="center"/>
            </w:pPr>
            <w:r w:rsidRPr="006F1BC3">
              <w:t>758</w:t>
            </w:r>
          </w:p>
        </w:tc>
        <w:tc>
          <w:tcPr>
            <w:tcW w:w="1360" w:type="dxa"/>
            <w:tcBorders>
              <w:top w:val="nil"/>
              <w:left w:val="nil"/>
              <w:bottom w:val="single" w:sz="4" w:space="0" w:color="auto"/>
              <w:right w:val="single" w:sz="4" w:space="0" w:color="auto"/>
            </w:tcBorders>
            <w:shd w:val="clear" w:color="auto" w:fill="FFFFFF" w:themeFill="background1"/>
            <w:noWrap/>
            <w:vAlign w:val="bottom"/>
            <w:hideMark/>
          </w:tcPr>
          <w:p w14:paraId="7B1359BB" w14:textId="291490AE" w:rsidR="00984CE2" w:rsidRPr="006F1BC3" w:rsidRDefault="00984CE2" w:rsidP="00984CE2">
            <w:pPr>
              <w:jc w:val="center"/>
            </w:pPr>
            <w:r w:rsidRPr="006F1BC3">
              <w:t>14,058</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6642DC" w14:textId="4F08FC06" w:rsidR="00984CE2" w:rsidRPr="00F425B3" w:rsidRDefault="00984CE2" w:rsidP="00984CE2">
            <w:pPr>
              <w:jc w:val="center"/>
              <w:rPr>
                <w:color w:val="FF0000"/>
              </w:rPr>
            </w:pPr>
            <w:r>
              <w:rPr>
                <w:color w:val="FF0000"/>
              </w:rPr>
              <w:t>22,7</w:t>
            </w:r>
            <w:r w:rsidR="00A01EF6">
              <w:rPr>
                <w:color w:val="FF0000"/>
              </w:rPr>
              <w:t>90</w:t>
            </w:r>
            <w:r>
              <w:rPr>
                <w:color w:val="FF0000"/>
              </w:rPr>
              <w:t xml:space="preserve"> </w:t>
            </w:r>
          </w:p>
        </w:tc>
        <w:tc>
          <w:tcPr>
            <w:tcW w:w="1240" w:type="dxa"/>
            <w:tcBorders>
              <w:top w:val="nil"/>
              <w:left w:val="nil"/>
              <w:bottom w:val="single" w:sz="4" w:space="0" w:color="auto"/>
              <w:right w:val="single" w:sz="4" w:space="0" w:color="auto"/>
            </w:tcBorders>
            <w:shd w:val="clear" w:color="auto" w:fill="FFFFFF" w:themeFill="background1"/>
            <w:noWrap/>
            <w:vAlign w:val="bottom"/>
            <w:hideMark/>
          </w:tcPr>
          <w:p w14:paraId="5E1FC95D" w14:textId="1B74B453" w:rsidR="00984CE2" w:rsidRPr="006F1BC3" w:rsidRDefault="00984CE2" w:rsidP="00984CE2">
            <w:pPr>
              <w:jc w:val="center"/>
            </w:pPr>
            <w:r w:rsidRPr="006F1BC3">
              <w:t>-52%</w:t>
            </w:r>
          </w:p>
        </w:tc>
      </w:tr>
      <w:tr w:rsidR="00F425B3" w:rsidRPr="00F425B3" w14:paraId="302B87EC" w14:textId="77777777" w:rsidTr="01947ABA">
        <w:trPr>
          <w:trHeight w:val="2220"/>
          <w:jc w:val="center"/>
        </w:trPr>
        <w:tc>
          <w:tcPr>
            <w:tcW w:w="10666" w:type="dxa"/>
            <w:gridSpan w:val="8"/>
            <w:tcBorders>
              <w:top w:val="nil"/>
              <w:left w:val="nil"/>
              <w:bottom w:val="nil"/>
              <w:right w:val="nil"/>
            </w:tcBorders>
            <w:shd w:val="clear" w:color="auto" w:fill="FFFFFF" w:themeFill="background1"/>
            <w:vAlign w:val="center"/>
            <w:hideMark/>
          </w:tcPr>
          <w:p w14:paraId="42EA437A" w14:textId="2D69D035" w:rsidR="00F425B3" w:rsidRPr="006F1BC3" w:rsidRDefault="00F425B3" w:rsidP="006F1BC3">
            <w:pPr>
              <w:rPr>
                <w:sz w:val="22"/>
                <w:szCs w:val="22"/>
              </w:rPr>
            </w:pPr>
            <w:r w:rsidRPr="006F1BC3">
              <w:rPr>
                <w:b/>
                <w:sz w:val="22"/>
                <w:szCs w:val="22"/>
              </w:rPr>
              <w:t>Notes</w:t>
            </w:r>
            <w:r w:rsidRPr="006F1BC3">
              <w:rPr>
                <w:sz w:val="22"/>
                <w:szCs w:val="22"/>
              </w:rPr>
              <w:br/>
              <w:t>(A) Territorial Load requirements less non-dispatchable DSOs.</w:t>
            </w:r>
            <w:r w:rsidRPr="006F1BC3">
              <w:rPr>
                <w:sz w:val="22"/>
                <w:szCs w:val="22"/>
              </w:rPr>
              <w:br/>
              <w:t>(B) Values reflect ELCC.</w:t>
            </w:r>
            <w:r w:rsidRPr="006F1BC3">
              <w:rPr>
                <w:sz w:val="22"/>
                <w:szCs w:val="22"/>
              </w:rPr>
              <w:br/>
              <w:t xml:space="preserve">(C) Includes territorial and imported power purchases. </w:t>
            </w:r>
            <w:r w:rsidRPr="006F1BC3">
              <w:rPr>
                <w:sz w:val="22"/>
                <w:szCs w:val="22"/>
              </w:rPr>
              <w:br/>
              <w:t>(D) Does not consider planning reserve sharing. Reflects GPC's Target Reserve Margin resulting from a System Target Reserve Margin of 25.50% (2025-2027) and 26% (2028 and beyond).</w:t>
            </w:r>
          </w:p>
        </w:tc>
      </w:tr>
    </w:tbl>
    <w:p w14:paraId="3FC568C1" w14:textId="77777777" w:rsidR="00F425B3" w:rsidRPr="00B622DC" w:rsidRDefault="00F425B3" w:rsidP="001C47F4">
      <w:pPr>
        <w:pStyle w:val="BodyText"/>
        <w:rPr>
          <w:rFonts w:ascii="Times New Roman" w:hAnsi="Times New Roman"/>
        </w:rPr>
      </w:pPr>
    </w:p>
    <w:p w14:paraId="2E0B7EA0" w14:textId="1A4866B7" w:rsidR="00DB1E29" w:rsidRDefault="00DB1E29" w:rsidP="001333B8">
      <w:pPr>
        <w:pStyle w:val="BodyText"/>
        <w:ind w:left="720" w:firstLine="0"/>
        <w:jc w:val="left"/>
        <w:rPr>
          <w:noProof/>
        </w:rPr>
      </w:pPr>
    </w:p>
    <w:p w14:paraId="51231FE0" w14:textId="66993094" w:rsidR="00AE20D6" w:rsidRDefault="00AE20D6" w:rsidP="001333B8">
      <w:pPr>
        <w:pStyle w:val="BodyText"/>
        <w:ind w:left="720" w:firstLine="0"/>
        <w:jc w:val="center"/>
        <w:rPr>
          <w:noProof/>
        </w:rPr>
      </w:pPr>
    </w:p>
    <w:p w14:paraId="6B3672DE" w14:textId="77777777" w:rsidR="00B10A3E" w:rsidRDefault="00580390" w:rsidP="00D4372D">
      <w:pPr>
        <w:pStyle w:val="Heading2"/>
        <w:keepNext/>
        <w:tabs>
          <w:tab w:val="clear" w:pos="7362"/>
          <w:tab w:val="num" w:pos="1440"/>
        </w:tabs>
        <w:spacing w:after="120" w:line="276" w:lineRule="auto"/>
        <w:ind w:left="720" w:firstLine="0"/>
      </w:pPr>
      <w:bookmarkStart w:id="48" w:name="_Toc197703490"/>
      <w:r w:rsidRPr="00C25FF3">
        <w:lastRenderedPageBreak/>
        <w:t>Proposed Ratemaking Treatment of Costs</w:t>
      </w:r>
      <w:bookmarkEnd w:id="48"/>
    </w:p>
    <w:p w14:paraId="22E1B1ED" w14:textId="78EA5450" w:rsidR="00B10A3E" w:rsidRPr="00C52A5F" w:rsidRDefault="00580390" w:rsidP="00D4372D">
      <w:pPr>
        <w:pStyle w:val="BodyText"/>
        <w:spacing w:line="276" w:lineRule="auto"/>
        <w:ind w:left="720"/>
        <w:rPr>
          <w:rFonts w:ascii="Times New Roman" w:hAnsi="Times New Roman"/>
        </w:rPr>
      </w:pPr>
      <w:r w:rsidRPr="002C0223">
        <w:rPr>
          <w:rFonts w:ascii="Times New Roman" w:hAnsi="Times New Roman"/>
        </w:rPr>
        <w:t xml:space="preserve">The </w:t>
      </w:r>
      <w:r w:rsidR="002644D3" w:rsidRPr="002C0223">
        <w:rPr>
          <w:rFonts w:ascii="Times New Roman" w:hAnsi="Times New Roman"/>
        </w:rPr>
        <w:t>20</w:t>
      </w:r>
      <w:r w:rsidR="002C0223" w:rsidRPr="002C0223">
        <w:rPr>
          <w:rFonts w:ascii="Times New Roman" w:hAnsi="Times New Roman"/>
        </w:rPr>
        <w:t>2</w:t>
      </w:r>
      <w:r w:rsidR="001A25C7">
        <w:rPr>
          <w:rFonts w:ascii="Times New Roman" w:hAnsi="Times New Roman"/>
        </w:rPr>
        <w:t>3</w:t>
      </w:r>
      <w:r w:rsidR="002644D3" w:rsidRPr="002C0223">
        <w:rPr>
          <w:rFonts w:ascii="Times New Roman" w:hAnsi="Times New Roman"/>
        </w:rPr>
        <w:t xml:space="preserve"> </w:t>
      </w:r>
      <w:r w:rsidRPr="002C0223">
        <w:rPr>
          <w:rFonts w:ascii="Times New Roman" w:hAnsi="Times New Roman"/>
        </w:rPr>
        <w:t>IRP</w:t>
      </w:r>
      <w:r w:rsidR="001A25C7">
        <w:rPr>
          <w:rFonts w:ascii="Times New Roman" w:hAnsi="Times New Roman"/>
        </w:rPr>
        <w:t xml:space="preserve"> Update</w:t>
      </w:r>
      <w:r w:rsidRPr="002C0223">
        <w:rPr>
          <w:rFonts w:ascii="Times New Roman" w:hAnsi="Times New Roman"/>
        </w:rPr>
        <w:t xml:space="preserve"> Final Order approved</w:t>
      </w:r>
      <w:r w:rsidRPr="00C52A5F">
        <w:rPr>
          <w:rFonts w:ascii="Times New Roman" w:hAnsi="Times New Roman"/>
        </w:rPr>
        <w:t xml:space="preserve"> the Stipulation that set forth a supply-side plan and included the </w:t>
      </w:r>
      <w:r>
        <w:rPr>
          <w:rFonts w:ascii="Times New Roman" w:hAnsi="Times New Roman"/>
        </w:rPr>
        <w:t xml:space="preserve">creation of the </w:t>
      </w:r>
      <w:r w:rsidR="001A25C7" w:rsidRPr="001A25C7">
        <w:rPr>
          <w:rFonts w:ascii="Times New Roman" w:hAnsi="Times New Roman"/>
        </w:rPr>
        <w:t>Winter 27_28 BESS RFP</w:t>
      </w:r>
      <w:r>
        <w:rPr>
          <w:rFonts w:ascii="Times New Roman" w:hAnsi="Times New Roman"/>
        </w:rPr>
        <w:t xml:space="preserve">. </w:t>
      </w:r>
      <w:r w:rsidR="005F215E">
        <w:rPr>
          <w:rFonts w:ascii="Times New Roman" w:eastAsiaTheme="minorEastAsia" w:hAnsi="Times New Roman"/>
        </w:rPr>
        <w:t xml:space="preserve">See Section 4.24 </w:t>
      </w:r>
      <w:r w:rsidR="00E51894" w:rsidRPr="6F2105F7">
        <w:rPr>
          <w:rFonts w:ascii="Times New Roman" w:eastAsiaTheme="minorEastAsia" w:hAnsi="Times New Roman"/>
        </w:rPr>
        <w:t>above for applicable information on cost recovery.</w:t>
      </w:r>
      <w:r>
        <w:rPr>
          <w:rFonts w:ascii="Times New Roman" w:hAnsi="Times New Roman"/>
        </w:rPr>
        <w:t xml:space="preserve"> </w:t>
      </w:r>
    </w:p>
    <w:p w14:paraId="378301DE" w14:textId="77777777" w:rsidR="00B10A3E" w:rsidRPr="007C70C4" w:rsidRDefault="00580390" w:rsidP="00D4372D">
      <w:pPr>
        <w:pStyle w:val="Heading1"/>
        <w:keepNext/>
        <w:tabs>
          <w:tab w:val="clear" w:pos="360"/>
          <w:tab w:val="left" w:pos="720"/>
        </w:tabs>
        <w:spacing w:before="120" w:after="120" w:line="276" w:lineRule="auto"/>
      </w:pPr>
      <w:bookmarkStart w:id="49" w:name="_Toc197703491"/>
      <w:r>
        <w:t>Conclusion</w:t>
      </w:r>
      <w:bookmarkEnd w:id="49"/>
    </w:p>
    <w:p w14:paraId="4F7311CB" w14:textId="3AE012AB" w:rsidR="007D0E6F" w:rsidRDefault="007D0E6F" w:rsidP="00D4372D">
      <w:pPr>
        <w:keepNext/>
        <w:spacing w:after="120" w:line="276" w:lineRule="auto"/>
        <w:ind w:left="720" w:firstLine="720"/>
        <w:jc w:val="both"/>
        <w:rPr>
          <w:sz w:val="24"/>
          <w:szCs w:val="24"/>
        </w:rPr>
      </w:pPr>
      <w:r w:rsidRPr="007D0E6F">
        <w:rPr>
          <w:sz w:val="24"/>
          <w:szCs w:val="24"/>
        </w:rPr>
        <w:t>In the 2023 IRP Update Final Order, the Commission concluded that “the Stipulation is a well-reasoned</w:t>
      </w:r>
      <w:r>
        <w:rPr>
          <w:sz w:val="24"/>
          <w:szCs w:val="24"/>
        </w:rPr>
        <w:t xml:space="preserve"> </w:t>
      </w:r>
      <w:r w:rsidRPr="007D0E6F">
        <w:rPr>
          <w:sz w:val="24"/>
          <w:szCs w:val="24"/>
        </w:rPr>
        <w:t>and balanced resolution of the Company’s 2023 IRP Update that will provide significant benefits to</w:t>
      </w:r>
      <w:r>
        <w:rPr>
          <w:sz w:val="24"/>
          <w:szCs w:val="24"/>
        </w:rPr>
        <w:t xml:space="preserve"> </w:t>
      </w:r>
      <w:r w:rsidRPr="007D0E6F">
        <w:rPr>
          <w:sz w:val="24"/>
          <w:szCs w:val="24"/>
        </w:rPr>
        <w:t>Georgia Power’s customers, [including] customer protections, the assurance of downward pressure on</w:t>
      </w:r>
      <w:r>
        <w:rPr>
          <w:sz w:val="24"/>
          <w:szCs w:val="24"/>
        </w:rPr>
        <w:t xml:space="preserve"> </w:t>
      </w:r>
      <w:r w:rsidRPr="007D0E6F">
        <w:rPr>
          <w:sz w:val="24"/>
          <w:szCs w:val="24"/>
        </w:rPr>
        <w:t>customer rates, and the continued resiliency and reliability of the Company’s electric system.”</w:t>
      </w:r>
      <w:r>
        <w:rPr>
          <w:rStyle w:val="FootnoteReference"/>
          <w:szCs w:val="24"/>
        </w:rPr>
        <w:footnoteReference w:id="2"/>
      </w:r>
      <w:r w:rsidRPr="007D0E6F">
        <w:rPr>
          <w:sz w:val="24"/>
          <w:szCs w:val="24"/>
        </w:rPr>
        <w:t xml:space="preserve"> Consistent</w:t>
      </w:r>
      <w:r>
        <w:rPr>
          <w:sz w:val="24"/>
          <w:szCs w:val="24"/>
        </w:rPr>
        <w:t xml:space="preserve"> </w:t>
      </w:r>
      <w:r w:rsidRPr="007D0E6F">
        <w:rPr>
          <w:sz w:val="24"/>
          <w:szCs w:val="24"/>
        </w:rPr>
        <w:t>with the 2023 IRP Update Final Order, Georgia Power submits this application to request the expedited</w:t>
      </w:r>
      <w:r>
        <w:rPr>
          <w:sz w:val="24"/>
          <w:szCs w:val="24"/>
        </w:rPr>
        <w:t xml:space="preserve"> </w:t>
      </w:r>
      <w:r w:rsidRPr="007D0E6F">
        <w:rPr>
          <w:sz w:val="24"/>
          <w:szCs w:val="24"/>
        </w:rPr>
        <w:t>certification of</w:t>
      </w:r>
      <w:r>
        <w:rPr>
          <w:sz w:val="24"/>
          <w:szCs w:val="24"/>
        </w:rPr>
        <w:t xml:space="preserve"> a</w:t>
      </w:r>
      <w:r w:rsidRPr="007D0E6F">
        <w:rPr>
          <w:sz w:val="24"/>
          <w:szCs w:val="24"/>
        </w:rPr>
        <w:t xml:space="preserve"> </w:t>
      </w:r>
      <w:r>
        <w:rPr>
          <w:sz w:val="24"/>
          <w:szCs w:val="24"/>
        </w:rPr>
        <w:t>200</w:t>
      </w:r>
      <w:r w:rsidRPr="007D0E6F">
        <w:rPr>
          <w:sz w:val="24"/>
          <w:szCs w:val="24"/>
        </w:rPr>
        <w:t xml:space="preserve"> MW Company-owned BESS </w:t>
      </w:r>
      <w:r w:rsidR="00364CD3">
        <w:rPr>
          <w:sz w:val="24"/>
          <w:szCs w:val="24"/>
        </w:rPr>
        <w:t>resource</w:t>
      </w:r>
      <w:r w:rsidR="00364CD3" w:rsidRPr="007D0E6F">
        <w:rPr>
          <w:sz w:val="24"/>
          <w:szCs w:val="24"/>
        </w:rPr>
        <w:t xml:space="preserve"> </w:t>
      </w:r>
      <w:r w:rsidRPr="007D0E6F">
        <w:rPr>
          <w:sz w:val="24"/>
          <w:szCs w:val="24"/>
        </w:rPr>
        <w:t>at</w:t>
      </w:r>
      <w:r>
        <w:rPr>
          <w:sz w:val="24"/>
          <w:szCs w:val="24"/>
        </w:rPr>
        <w:t xml:space="preserve"> Twiggs County</w:t>
      </w:r>
      <w:r w:rsidRPr="007D0E6F">
        <w:rPr>
          <w:sz w:val="24"/>
          <w:szCs w:val="24"/>
        </w:rPr>
        <w:t>.</w:t>
      </w:r>
    </w:p>
    <w:p w14:paraId="37EB7D23" w14:textId="28C82E2F" w:rsidR="00B10A3E" w:rsidRDefault="00580390" w:rsidP="00D4372D">
      <w:pPr>
        <w:keepNext/>
        <w:spacing w:after="120" w:line="276" w:lineRule="auto"/>
        <w:ind w:left="720" w:firstLine="720"/>
        <w:jc w:val="both"/>
        <w:rPr>
          <w:sz w:val="24"/>
          <w:szCs w:val="24"/>
        </w:rPr>
      </w:pPr>
      <w:r w:rsidRPr="00F56A8B">
        <w:rPr>
          <w:sz w:val="24"/>
          <w:szCs w:val="24"/>
        </w:rPr>
        <w:t>The</w:t>
      </w:r>
      <w:r w:rsidR="00E66E3C">
        <w:rPr>
          <w:sz w:val="24"/>
          <w:szCs w:val="24"/>
        </w:rPr>
        <w:t xml:space="preserve"> 200 MW BESS </w:t>
      </w:r>
      <w:r w:rsidR="00364CD3">
        <w:rPr>
          <w:sz w:val="24"/>
          <w:szCs w:val="24"/>
        </w:rPr>
        <w:t xml:space="preserve">resource </w:t>
      </w:r>
      <w:r w:rsidR="00E66E3C">
        <w:rPr>
          <w:sz w:val="24"/>
          <w:szCs w:val="24"/>
        </w:rPr>
        <w:t>was</w:t>
      </w:r>
      <w:r>
        <w:rPr>
          <w:sz w:val="24"/>
          <w:szCs w:val="24"/>
        </w:rPr>
        <w:t xml:space="preserve"> selected as the best cost offer in the</w:t>
      </w:r>
      <w:r w:rsidR="00920B61">
        <w:rPr>
          <w:sz w:val="24"/>
          <w:szCs w:val="24"/>
        </w:rPr>
        <w:t xml:space="preserve"> </w:t>
      </w:r>
      <w:r w:rsidR="009646E5" w:rsidRPr="009646E5">
        <w:rPr>
          <w:sz w:val="24"/>
          <w:szCs w:val="24"/>
        </w:rPr>
        <w:t>Winter 27_28 BESS RFP</w:t>
      </w:r>
      <w:r w:rsidR="00364CD3">
        <w:rPr>
          <w:sz w:val="24"/>
          <w:szCs w:val="24"/>
        </w:rPr>
        <w:t xml:space="preserve"> that could meet the expedited commercial operation date sought in the RFP</w:t>
      </w:r>
      <w:r w:rsidRPr="009D5061">
        <w:rPr>
          <w:sz w:val="24"/>
          <w:szCs w:val="24"/>
        </w:rPr>
        <w:t>.</w:t>
      </w:r>
      <w:r>
        <w:rPr>
          <w:sz w:val="24"/>
          <w:szCs w:val="24"/>
        </w:rPr>
        <w:t xml:space="preserve"> </w:t>
      </w:r>
      <w:r w:rsidR="00C06E43">
        <w:rPr>
          <w:sz w:val="24"/>
          <w:szCs w:val="24"/>
        </w:rPr>
        <w:t>H</w:t>
      </w:r>
      <w:r w:rsidR="004863DC">
        <w:rPr>
          <w:sz w:val="24"/>
          <w:szCs w:val="24"/>
        </w:rPr>
        <w:t>owever</w:t>
      </w:r>
      <w:r w:rsidR="007E208F">
        <w:rPr>
          <w:sz w:val="24"/>
          <w:szCs w:val="24"/>
        </w:rPr>
        <w:t>,</w:t>
      </w:r>
      <w:r w:rsidR="004863DC">
        <w:rPr>
          <w:sz w:val="24"/>
          <w:szCs w:val="24"/>
        </w:rPr>
        <w:t xml:space="preserve"> capacity needs </w:t>
      </w:r>
      <w:proofErr w:type="gramStart"/>
      <w:r w:rsidR="004863DC">
        <w:rPr>
          <w:sz w:val="24"/>
          <w:szCs w:val="24"/>
        </w:rPr>
        <w:t>still remain</w:t>
      </w:r>
      <w:proofErr w:type="gramEnd"/>
      <w:r w:rsidR="004863DC">
        <w:rPr>
          <w:sz w:val="24"/>
          <w:szCs w:val="24"/>
        </w:rPr>
        <w:t xml:space="preserve"> based on the 2025 IRP</w:t>
      </w:r>
      <w:r w:rsidRPr="009D5061">
        <w:rPr>
          <w:sz w:val="24"/>
          <w:szCs w:val="24"/>
        </w:rPr>
        <w:t>.</w:t>
      </w:r>
      <w:r>
        <w:rPr>
          <w:sz w:val="24"/>
          <w:szCs w:val="24"/>
        </w:rPr>
        <w:t xml:space="preserve"> </w:t>
      </w:r>
      <w:r w:rsidR="004863DC">
        <w:rPr>
          <w:sz w:val="24"/>
          <w:szCs w:val="24"/>
        </w:rPr>
        <w:t>The Company is investigating additional resource options to meet additional customer needs in the Winter of 2027/2028 and will bring any such resources to the Commission for certification</w:t>
      </w:r>
      <w:r w:rsidR="005079CC">
        <w:rPr>
          <w:sz w:val="24"/>
          <w:szCs w:val="24"/>
        </w:rPr>
        <w:t xml:space="preserve"> at such time as they have been secured and are available for a certification filing.</w:t>
      </w:r>
      <w:r>
        <w:rPr>
          <w:sz w:val="24"/>
          <w:szCs w:val="24"/>
        </w:rPr>
        <w:t xml:space="preserve"> </w:t>
      </w:r>
      <w:r w:rsidR="009F47FC">
        <w:rPr>
          <w:sz w:val="24"/>
          <w:szCs w:val="24"/>
        </w:rPr>
        <w:t xml:space="preserve">Georgia Power conducted the </w:t>
      </w:r>
      <w:r>
        <w:rPr>
          <w:sz w:val="24"/>
          <w:szCs w:val="24"/>
        </w:rPr>
        <w:t xml:space="preserve">RFP process </w:t>
      </w:r>
      <w:r w:rsidR="003B7D39">
        <w:rPr>
          <w:sz w:val="24"/>
          <w:szCs w:val="24"/>
        </w:rPr>
        <w:t xml:space="preserve">in accordance with the Commission’s </w:t>
      </w:r>
      <w:r w:rsidR="00364CD3">
        <w:rPr>
          <w:sz w:val="24"/>
          <w:szCs w:val="24"/>
        </w:rPr>
        <w:t xml:space="preserve">2023 IRP Update Final Order and </w:t>
      </w:r>
      <w:r w:rsidR="003B7D39">
        <w:rPr>
          <w:sz w:val="24"/>
          <w:szCs w:val="24"/>
        </w:rPr>
        <w:t>RFP rules</w:t>
      </w:r>
      <w:r w:rsidR="00364CD3">
        <w:rPr>
          <w:sz w:val="24"/>
          <w:szCs w:val="24"/>
        </w:rPr>
        <w:t xml:space="preserve"> (to the extent not altered or waived by the 2023 IRP Update Final Order)</w:t>
      </w:r>
      <w:r w:rsidR="003B7D39">
        <w:rPr>
          <w:sz w:val="24"/>
          <w:szCs w:val="24"/>
        </w:rPr>
        <w:t xml:space="preserve">, which </w:t>
      </w:r>
      <w:r>
        <w:rPr>
          <w:sz w:val="24"/>
          <w:szCs w:val="24"/>
        </w:rPr>
        <w:t xml:space="preserve">ensured fair and equal treatment of all bidders. The IE and Commission Staff were involved throughout </w:t>
      </w:r>
      <w:r w:rsidRPr="00EC2BA2">
        <w:rPr>
          <w:sz w:val="24"/>
          <w:szCs w:val="24"/>
        </w:rPr>
        <w:t>the process</w:t>
      </w:r>
      <w:r w:rsidR="00EC2BA2" w:rsidRPr="00EC2BA2">
        <w:rPr>
          <w:sz w:val="24"/>
          <w:szCs w:val="24"/>
        </w:rPr>
        <w:t>—</w:t>
      </w:r>
      <w:r w:rsidRPr="00EC2BA2">
        <w:rPr>
          <w:sz w:val="24"/>
          <w:szCs w:val="24"/>
        </w:rPr>
        <w:t>from the</w:t>
      </w:r>
      <w:r>
        <w:rPr>
          <w:sz w:val="24"/>
          <w:szCs w:val="24"/>
        </w:rPr>
        <w:t xml:space="preserve"> development of the RFP Documents through the evaluation of bids</w:t>
      </w:r>
      <w:r w:rsidR="00EE5187">
        <w:rPr>
          <w:sz w:val="24"/>
          <w:szCs w:val="24"/>
        </w:rPr>
        <w:t xml:space="preserve"> and</w:t>
      </w:r>
      <w:r>
        <w:rPr>
          <w:sz w:val="24"/>
          <w:szCs w:val="24"/>
        </w:rPr>
        <w:t xml:space="preserve"> selection of the Competitive Tier and Short List. The use of the IE Website for questions and comments regarding this RFP further ensured that the process was not only fair and equitable, but also transparent to all participants. The evaluation process involved a thorough analysis of all the proposals submitted for consideration into </w:t>
      </w:r>
      <w:r w:rsidR="0088372F">
        <w:rPr>
          <w:sz w:val="24"/>
          <w:szCs w:val="24"/>
        </w:rPr>
        <w:t>this</w:t>
      </w:r>
      <w:r w:rsidR="009646E5" w:rsidRPr="009646E5">
        <w:t xml:space="preserve"> </w:t>
      </w:r>
      <w:r w:rsidR="009646E5" w:rsidRPr="009646E5">
        <w:rPr>
          <w:sz w:val="24"/>
          <w:szCs w:val="24"/>
        </w:rPr>
        <w:t>Winter 27_28 BESS RFP</w:t>
      </w:r>
      <w:r>
        <w:rPr>
          <w:sz w:val="24"/>
          <w:szCs w:val="24"/>
        </w:rPr>
        <w:t xml:space="preserve">. </w:t>
      </w:r>
      <w:r w:rsidR="0088372F">
        <w:rPr>
          <w:sz w:val="24"/>
          <w:szCs w:val="24"/>
        </w:rPr>
        <w:t>In sum, t</w:t>
      </w:r>
      <w:r>
        <w:rPr>
          <w:sz w:val="24"/>
          <w:szCs w:val="24"/>
        </w:rPr>
        <w:t xml:space="preserve">he </w:t>
      </w:r>
      <w:r w:rsidR="009646E5">
        <w:rPr>
          <w:sz w:val="24"/>
          <w:szCs w:val="24"/>
        </w:rPr>
        <w:t>project</w:t>
      </w:r>
      <w:r>
        <w:rPr>
          <w:sz w:val="24"/>
          <w:szCs w:val="24"/>
        </w:rPr>
        <w:t xml:space="preserve"> selected for certification represent</w:t>
      </w:r>
      <w:r w:rsidR="009646E5">
        <w:rPr>
          <w:sz w:val="24"/>
          <w:szCs w:val="24"/>
        </w:rPr>
        <w:t>s</w:t>
      </w:r>
      <w:r>
        <w:rPr>
          <w:sz w:val="24"/>
          <w:szCs w:val="24"/>
        </w:rPr>
        <w:t xml:space="preserve"> the best cost proposal for meeting </w:t>
      </w:r>
      <w:r w:rsidRPr="00EC2BA2">
        <w:rPr>
          <w:sz w:val="24"/>
          <w:szCs w:val="24"/>
        </w:rPr>
        <w:t>the</w:t>
      </w:r>
      <w:r w:rsidR="005E4DBC">
        <w:rPr>
          <w:sz w:val="24"/>
          <w:szCs w:val="24"/>
        </w:rPr>
        <w:t xml:space="preserve"> expedited and narrowly tailored</w:t>
      </w:r>
      <w:r w:rsidR="00EC2BA2" w:rsidRPr="00EC2BA2">
        <w:rPr>
          <w:sz w:val="24"/>
          <w:szCs w:val="24"/>
        </w:rPr>
        <w:t xml:space="preserve"> </w:t>
      </w:r>
      <w:r w:rsidR="009646E5" w:rsidRPr="009646E5">
        <w:rPr>
          <w:sz w:val="24"/>
          <w:szCs w:val="24"/>
        </w:rPr>
        <w:t xml:space="preserve">Winter 27_28 BESS RFP </w:t>
      </w:r>
      <w:r>
        <w:rPr>
          <w:sz w:val="24"/>
          <w:szCs w:val="24"/>
        </w:rPr>
        <w:t>target identified by the Commission.</w:t>
      </w:r>
    </w:p>
    <w:p w14:paraId="2533E49D" w14:textId="21A6DFB2" w:rsidR="00B10A3E" w:rsidRPr="00F51E36" w:rsidRDefault="00800DFB" w:rsidP="00D4372D">
      <w:pPr>
        <w:spacing w:after="120" w:line="276" w:lineRule="auto"/>
        <w:ind w:left="720" w:firstLine="720"/>
        <w:jc w:val="both"/>
        <w:rPr>
          <w:b/>
          <w:bCs/>
          <w:sz w:val="24"/>
          <w:szCs w:val="24"/>
        </w:rPr>
        <w:sectPr w:rsidR="00B10A3E" w:rsidRPr="00F51E36" w:rsidSect="00C50231">
          <w:footerReference w:type="first" r:id="rId15"/>
          <w:pgSz w:w="12240" w:h="15840" w:code="1"/>
          <w:pgMar w:top="1440" w:right="1440" w:bottom="1440" w:left="1440" w:header="576" w:footer="720" w:gutter="0"/>
          <w:pgNumType w:start="1"/>
          <w:cols w:space="720"/>
          <w:noEndnote/>
          <w:titlePg/>
        </w:sectPr>
      </w:pPr>
      <w:r w:rsidRPr="009211A2">
        <w:rPr>
          <w:sz w:val="24"/>
          <w:szCs w:val="24"/>
        </w:rPr>
        <w:t xml:space="preserve">For all </w:t>
      </w:r>
      <w:r w:rsidR="002D43BF" w:rsidRPr="009211A2">
        <w:rPr>
          <w:sz w:val="24"/>
          <w:szCs w:val="24"/>
        </w:rPr>
        <w:t>the</w:t>
      </w:r>
      <w:r w:rsidR="00580390" w:rsidRPr="009211A2">
        <w:rPr>
          <w:sz w:val="24"/>
          <w:szCs w:val="24"/>
        </w:rPr>
        <w:t xml:space="preserve"> foregoing reasons</w:t>
      </w:r>
      <w:r w:rsidR="002D43BF" w:rsidRPr="009211A2">
        <w:rPr>
          <w:sz w:val="24"/>
          <w:szCs w:val="24"/>
        </w:rPr>
        <w:t xml:space="preserve"> discussed in detail above</w:t>
      </w:r>
      <w:r w:rsidR="00580390" w:rsidRPr="009211A2">
        <w:rPr>
          <w:sz w:val="24"/>
          <w:szCs w:val="24"/>
        </w:rPr>
        <w:t xml:space="preserve">, to ensure cost-effective electric service to its customers and the continued diversification of energy resources in its portfolio, and consistent with the Commission’s </w:t>
      </w:r>
      <w:r w:rsidR="00580390" w:rsidRPr="00A35CC1">
        <w:rPr>
          <w:sz w:val="24"/>
          <w:szCs w:val="24"/>
        </w:rPr>
        <w:t xml:space="preserve">findings in the </w:t>
      </w:r>
      <w:r w:rsidR="007C6D65" w:rsidRPr="00A35CC1">
        <w:rPr>
          <w:sz w:val="24"/>
          <w:szCs w:val="24"/>
        </w:rPr>
        <w:t>20</w:t>
      </w:r>
      <w:r w:rsidR="00D11063" w:rsidRPr="00A35CC1">
        <w:rPr>
          <w:sz w:val="24"/>
          <w:szCs w:val="24"/>
        </w:rPr>
        <w:t>2</w:t>
      </w:r>
      <w:r w:rsidR="00FE74A3">
        <w:rPr>
          <w:sz w:val="24"/>
          <w:szCs w:val="24"/>
        </w:rPr>
        <w:t>3</w:t>
      </w:r>
      <w:r w:rsidR="007C6D65" w:rsidRPr="00A35CC1">
        <w:rPr>
          <w:sz w:val="24"/>
          <w:szCs w:val="24"/>
        </w:rPr>
        <w:t xml:space="preserve"> </w:t>
      </w:r>
      <w:r w:rsidR="00580390" w:rsidRPr="00A35CC1">
        <w:rPr>
          <w:sz w:val="24"/>
          <w:szCs w:val="24"/>
        </w:rPr>
        <w:t>IRP</w:t>
      </w:r>
      <w:r w:rsidR="00FE74A3">
        <w:rPr>
          <w:sz w:val="24"/>
          <w:szCs w:val="24"/>
        </w:rPr>
        <w:t xml:space="preserve"> Update</w:t>
      </w:r>
      <w:r w:rsidR="00580390" w:rsidRPr="00A35CC1">
        <w:rPr>
          <w:sz w:val="24"/>
          <w:szCs w:val="24"/>
        </w:rPr>
        <w:t xml:space="preserve"> </w:t>
      </w:r>
      <w:r w:rsidR="005168CD">
        <w:rPr>
          <w:sz w:val="24"/>
          <w:szCs w:val="24"/>
        </w:rPr>
        <w:t xml:space="preserve">Final </w:t>
      </w:r>
      <w:r w:rsidR="00580390" w:rsidRPr="00A35CC1">
        <w:rPr>
          <w:sz w:val="24"/>
          <w:szCs w:val="24"/>
        </w:rPr>
        <w:t>Order</w:t>
      </w:r>
      <w:r w:rsidR="00BF1FCA" w:rsidRPr="00C868EE">
        <w:rPr>
          <w:sz w:val="24"/>
          <w:szCs w:val="24"/>
        </w:rPr>
        <w:t>,</w:t>
      </w:r>
      <w:r w:rsidR="00BF1FCA" w:rsidRPr="009211A2">
        <w:rPr>
          <w:sz w:val="24"/>
          <w:szCs w:val="24"/>
        </w:rPr>
        <w:t xml:space="preserve"> </w:t>
      </w:r>
      <w:r w:rsidR="00580390" w:rsidRPr="009211A2">
        <w:rPr>
          <w:sz w:val="24"/>
          <w:szCs w:val="24"/>
        </w:rPr>
        <w:t>the Company requests the Commission grant a certificate of public convenience and necessity for the</w:t>
      </w:r>
      <w:r w:rsidR="00220F60">
        <w:rPr>
          <w:sz w:val="24"/>
          <w:szCs w:val="24"/>
        </w:rPr>
        <w:t xml:space="preserve"> </w:t>
      </w:r>
      <w:r w:rsidR="001A29DA">
        <w:rPr>
          <w:sz w:val="24"/>
          <w:szCs w:val="24"/>
        </w:rPr>
        <w:t>Company-Owned Proposal</w:t>
      </w:r>
      <w:r w:rsidR="00220F60">
        <w:rPr>
          <w:sz w:val="24"/>
          <w:szCs w:val="24"/>
        </w:rPr>
        <w:t xml:space="preserve"> BESS</w:t>
      </w:r>
      <w:r w:rsidR="001A29DA">
        <w:rPr>
          <w:sz w:val="24"/>
          <w:szCs w:val="24"/>
        </w:rPr>
        <w:t xml:space="preserve"> project</w:t>
      </w:r>
      <w:r w:rsidR="008B0880">
        <w:rPr>
          <w:sz w:val="24"/>
          <w:szCs w:val="24"/>
        </w:rPr>
        <w:t xml:space="preserve"> and ratemaking treatment of the Winter 27_28 BESS RFP project costs</w:t>
      </w:r>
      <w:r w:rsidR="00F51E36" w:rsidRPr="009211A2">
        <w:rPr>
          <w:sz w:val="24"/>
          <w:szCs w:val="24"/>
        </w:rPr>
        <w:t>.</w:t>
      </w:r>
      <w:r w:rsidR="007C6D65" w:rsidRPr="009211A2">
        <w:rPr>
          <w:sz w:val="24"/>
          <w:szCs w:val="24"/>
        </w:rPr>
        <w:t xml:space="preserve"> </w:t>
      </w:r>
    </w:p>
    <w:p w14:paraId="52D63180" w14:textId="77777777" w:rsidR="00B10A3E" w:rsidRPr="008A4590" w:rsidRDefault="00580390" w:rsidP="00B10A3E">
      <w:pPr>
        <w:spacing w:line="360" w:lineRule="auto"/>
        <w:jc w:val="center"/>
        <w:rPr>
          <w:b/>
          <w:sz w:val="28"/>
          <w:szCs w:val="28"/>
        </w:rPr>
      </w:pPr>
      <w:r w:rsidRPr="008A4590">
        <w:rPr>
          <w:b/>
          <w:sz w:val="28"/>
          <w:szCs w:val="28"/>
        </w:rPr>
        <w:lastRenderedPageBreak/>
        <w:t>APPENDIX A</w:t>
      </w:r>
    </w:p>
    <w:p w14:paraId="7E35ECDD" w14:textId="77777777" w:rsidR="00B10A3E" w:rsidRPr="008A4590" w:rsidRDefault="00B10A3E" w:rsidP="00B10A3E">
      <w:pPr>
        <w:spacing w:line="360" w:lineRule="auto"/>
        <w:jc w:val="center"/>
        <w:rPr>
          <w:b/>
          <w:sz w:val="28"/>
          <w:szCs w:val="28"/>
        </w:rPr>
      </w:pPr>
    </w:p>
    <w:p w14:paraId="75CCD3AB" w14:textId="63FD7EEC" w:rsidR="00B10A3E" w:rsidRPr="008A4590" w:rsidRDefault="00296094" w:rsidP="00B10A3E">
      <w:pPr>
        <w:spacing w:line="360" w:lineRule="auto"/>
        <w:jc w:val="center"/>
        <w:rPr>
          <w:b/>
          <w:sz w:val="28"/>
          <w:szCs w:val="28"/>
        </w:rPr>
      </w:pPr>
      <w:r>
        <w:rPr>
          <w:b/>
          <w:sz w:val="28"/>
          <w:szCs w:val="28"/>
        </w:rPr>
        <w:t xml:space="preserve">TWIGGS COUNTY </w:t>
      </w:r>
      <w:r w:rsidR="0031057F">
        <w:rPr>
          <w:b/>
          <w:sz w:val="28"/>
          <w:szCs w:val="28"/>
        </w:rPr>
        <w:t>BESS</w:t>
      </w:r>
      <w:r w:rsidR="003B1078">
        <w:rPr>
          <w:b/>
          <w:sz w:val="28"/>
          <w:szCs w:val="28"/>
        </w:rPr>
        <w:t xml:space="preserve"> –</w:t>
      </w:r>
      <w:r w:rsidR="0031057F">
        <w:rPr>
          <w:b/>
          <w:sz w:val="28"/>
          <w:szCs w:val="28"/>
        </w:rPr>
        <w:t>E</w:t>
      </w:r>
      <w:r w:rsidR="008972C5">
        <w:rPr>
          <w:b/>
          <w:sz w:val="28"/>
          <w:szCs w:val="28"/>
        </w:rPr>
        <w:t>ngineering</w:t>
      </w:r>
      <w:r w:rsidR="0031057F">
        <w:rPr>
          <w:b/>
          <w:sz w:val="28"/>
          <w:szCs w:val="28"/>
        </w:rPr>
        <w:t>, P</w:t>
      </w:r>
      <w:r w:rsidR="008972C5">
        <w:rPr>
          <w:b/>
          <w:sz w:val="28"/>
          <w:szCs w:val="28"/>
        </w:rPr>
        <w:t>rocurement</w:t>
      </w:r>
      <w:r w:rsidR="007E62E2">
        <w:rPr>
          <w:b/>
          <w:sz w:val="28"/>
          <w:szCs w:val="28"/>
        </w:rPr>
        <w:t xml:space="preserve">, and </w:t>
      </w:r>
      <w:r w:rsidR="007C2373">
        <w:rPr>
          <w:b/>
          <w:sz w:val="28"/>
          <w:szCs w:val="28"/>
        </w:rPr>
        <w:t>C</w:t>
      </w:r>
      <w:r w:rsidR="008972C5">
        <w:rPr>
          <w:b/>
          <w:sz w:val="28"/>
          <w:szCs w:val="28"/>
        </w:rPr>
        <w:t>onstruction Agreement</w:t>
      </w:r>
      <w:r w:rsidR="003B1078">
        <w:rPr>
          <w:b/>
          <w:sz w:val="28"/>
          <w:szCs w:val="28"/>
        </w:rPr>
        <w:t xml:space="preserve"> (EPC)</w:t>
      </w:r>
      <w:r w:rsidR="008972C5">
        <w:rPr>
          <w:b/>
          <w:sz w:val="28"/>
          <w:szCs w:val="28"/>
        </w:rPr>
        <w:t xml:space="preserve"> – </w:t>
      </w:r>
      <w:r w:rsidR="009C793C">
        <w:rPr>
          <w:b/>
          <w:sz w:val="28"/>
          <w:szCs w:val="28"/>
        </w:rPr>
        <w:t>REDACTED</w:t>
      </w:r>
    </w:p>
    <w:p w14:paraId="4DE12ADA" w14:textId="77777777" w:rsidR="00B10A3E" w:rsidRDefault="00580390" w:rsidP="00B10A3E">
      <w:pPr>
        <w:spacing w:line="360" w:lineRule="auto"/>
        <w:rPr>
          <w:b/>
          <w:sz w:val="32"/>
          <w:szCs w:val="32"/>
        </w:rPr>
      </w:pPr>
      <w:r w:rsidRPr="0030312D">
        <w:rPr>
          <w:b/>
          <w:sz w:val="32"/>
          <w:szCs w:val="32"/>
        </w:rPr>
        <w:t xml:space="preserve"> </w:t>
      </w:r>
    </w:p>
    <w:p w14:paraId="21E2A0CA" w14:textId="77777777" w:rsidR="005E4DBC" w:rsidRDefault="005E4DBC" w:rsidP="00B10A3E">
      <w:pPr>
        <w:spacing w:line="360" w:lineRule="auto"/>
        <w:rPr>
          <w:b/>
          <w:sz w:val="32"/>
          <w:szCs w:val="32"/>
        </w:rPr>
      </w:pPr>
    </w:p>
    <w:p w14:paraId="6F41EE22" w14:textId="77777777" w:rsidR="005E4DBC" w:rsidRDefault="005E4DBC" w:rsidP="00B10A3E">
      <w:pPr>
        <w:spacing w:line="360" w:lineRule="auto"/>
        <w:rPr>
          <w:b/>
          <w:sz w:val="32"/>
          <w:szCs w:val="32"/>
        </w:rPr>
      </w:pPr>
    </w:p>
    <w:p w14:paraId="07ABA943" w14:textId="77777777" w:rsidR="005E4DBC" w:rsidRDefault="005E4DBC" w:rsidP="00B10A3E">
      <w:pPr>
        <w:spacing w:line="360" w:lineRule="auto"/>
        <w:rPr>
          <w:b/>
          <w:sz w:val="32"/>
          <w:szCs w:val="32"/>
        </w:rPr>
      </w:pPr>
    </w:p>
    <w:p w14:paraId="5C3E21B5" w14:textId="77777777" w:rsidR="005E4DBC" w:rsidRDefault="005E4DBC" w:rsidP="00B10A3E">
      <w:pPr>
        <w:spacing w:line="360" w:lineRule="auto"/>
        <w:rPr>
          <w:b/>
          <w:sz w:val="32"/>
          <w:szCs w:val="32"/>
        </w:rPr>
      </w:pPr>
    </w:p>
    <w:p w14:paraId="5FE50CAD" w14:textId="77777777" w:rsidR="005E4DBC" w:rsidRDefault="005E4DBC" w:rsidP="00B10A3E">
      <w:pPr>
        <w:spacing w:line="360" w:lineRule="auto"/>
        <w:rPr>
          <w:b/>
          <w:sz w:val="32"/>
          <w:szCs w:val="32"/>
        </w:rPr>
      </w:pPr>
    </w:p>
    <w:p w14:paraId="6F51AE6E" w14:textId="77777777" w:rsidR="005E4DBC" w:rsidRDefault="005E4DBC" w:rsidP="00B10A3E">
      <w:pPr>
        <w:spacing w:line="360" w:lineRule="auto"/>
        <w:rPr>
          <w:b/>
          <w:sz w:val="32"/>
          <w:szCs w:val="32"/>
        </w:rPr>
      </w:pPr>
    </w:p>
    <w:p w14:paraId="0BB99972" w14:textId="77777777" w:rsidR="005E4DBC" w:rsidRDefault="005E4DBC" w:rsidP="00B10A3E">
      <w:pPr>
        <w:spacing w:line="360" w:lineRule="auto"/>
        <w:rPr>
          <w:b/>
          <w:sz w:val="32"/>
          <w:szCs w:val="32"/>
        </w:rPr>
      </w:pPr>
    </w:p>
    <w:p w14:paraId="2A0C2E3C" w14:textId="77777777" w:rsidR="005E4DBC" w:rsidRDefault="005E4DBC" w:rsidP="00B10A3E">
      <w:pPr>
        <w:spacing w:line="360" w:lineRule="auto"/>
        <w:rPr>
          <w:b/>
          <w:sz w:val="32"/>
          <w:szCs w:val="32"/>
        </w:rPr>
        <w:sectPr w:rsidR="005E4DBC" w:rsidSect="00B10A3E">
          <w:footerReference w:type="default" r:id="rId16"/>
          <w:footerReference w:type="first" r:id="rId17"/>
          <w:pgSz w:w="12240" w:h="15840" w:code="1"/>
          <w:pgMar w:top="1440" w:right="1440" w:bottom="1440" w:left="1440" w:header="576" w:footer="720" w:gutter="0"/>
          <w:cols w:space="720"/>
          <w:noEndnote/>
          <w:titlePg/>
        </w:sectPr>
      </w:pPr>
    </w:p>
    <w:p w14:paraId="642A8581" w14:textId="0CF45070" w:rsidR="005E4DBC" w:rsidRDefault="005E4DBC" w:rsidP="00946278">
      <w:pPr>
        <w:spacing w:line="360" w:lineRule="auto"/>
        <w:jc w:val="center"/>
        <w:rPr>
          <w:b/>
          <w:sz w:val="32"/>
          <w:szCs w:val="32"/>
        </w:rPr>
      </w:pPr>
      <w:r>
        <w:rPr>
          <w:b/>
          <w:sz w:val="32"/>
          <w:szCs w:val="32"/>
        </w:rPr>
        <w:lastRenderedPageBreak/>
        <w:t>APPENDIX B</w:t>
      </w:r>
    </w:p>
    <w:p w14:paraId="2B1FE3EB" w14:textId="77777777" w:rsidR="005E4DBC" w:rsidRDefault="005E4DBC" w:rsidP="00946278">
      <w:pPr>
        <w:spacing w:line="360" w:lineRule="auto"/>
        <w:jc w:val="center"/>
        <w:rPr>
          <w:b/>
          <w:sz w:val="32"/>
          <w:szCs w:val="32"/>
        </w:rPr>
      </w:pPr>
    </w:p>
    <w:p w14:paraId="22D7E838" w14:textId="5179D0F1" w:rsidR="000D1ADA" w:rsidRPr="008A4590" w:rsidRDefault="000D1ADA" w:rsidP="000D1ADA">
      <w:pPr>
        <w:spacing w:line="360" w:lineRule="auto"/>
        <w:jc w:val="center"/>
        <w:rPr>
          <w:b/>
          <w:sz w:val="28"/>
          <w:szCs w:val="28"/>
        </w:rPr>
      </w:pPr>
      <w:r>
        <w:rPr>
          <w:b/>
          <w:sz w:val="28"/>
          <w:szCs w:val="28"/>
        </w:rPr>
        <w:t>TWIGGS COUNTY BESS</w:t>
      </w:r>
      <w:r w:rsidR="0024569B">
        <w:rPr>
          <w:b/>
          <w:sz w:val="28"/>
          <w:szCs w:val="28"/>
        </w:rPr>
        <w:t xml:space="preserve"> – </w:t>
      </w:r>
      <w:r w:rsidR="00C373C4">
        <w:rPr>
          <w:b/>
          <w:sz w:val="28"/>
          <w:szCs w:val="28"/>
        </w:rPr>
        <w:t>Battery and Equipment Supply</w:t>
      </w:r>
      <w:r>
        <w:rPr>
          <w:b/>
          <w:sz w:val="28"/>
          <w:szCs w:val="28"/>
        </w:rPr>
        <w:t xml:space="preserve"> Agreement</w:t>
      </w:r>
      <w:r w:rsidR="0024569B">
        <w:rPr>
          <w:b/>
          <w:sz w:val="28"/>
          <w:szCs w:val="28"/>
        </w:rPr>
        <w:t xml:space="preserve"> (BESA)</w:t>
      </w:r>
      <w:r>
        <w:rPr>
          <w:b/>
          <w:sz w:val="28"/>
          <w:szCs w:val="28"/>
        </w:rPr>
        <w:t xml:space="preserve"> – </w:t>
      </w:r>
      <w:r w:rsidR="009C793C">
        <w:rPr>
          <w:b/>
          <w:sz w:val="28"/>
          <w:szCs w:val="28"/>
        </w:rPr>
        <w:t>REDACTED</w:t>
      </w:r>
    </w:p>
    <w:p w14:paraId="72EA331E" w14:textId="402B6219" w:rsidR="00666BC3" w:rsidRDefault="00666BC3" w:rsidP="00946278">
      <w:pPr>
        <w:spacing w:line="360" w:lineRule="auto"/>
        <w:jc w:val="center"/>
        <w:rPr>
          <w:b/>
          <w:sz w:val="32"/>
          <w:szCs w:val="32"/>
        </w:rPr>
      </w:pPr>
    </w:p>
    <w:p w14:paraId="3338D3BE" w14:textId="77777777" w:rsidR="00666BC3" w:rsidRDefault="00666BC3">
      <w:pPr>
        <w:rPr>
          <w:b/>
          <w:sz w:val="32"/>
          <w:szCs w:val="32"/>
        </w:rPr>
      </w:pPr>
      <w:r>
        <w:rPr>
          <w:b/>
          <w:sz w:val="32"/>
          <w:szCs w:val="32"/>
        </w:rPr>
        <w:br w:type="page"/>
      </w:r>
    </w:p>
    <w:p w14:paraId="7767B8C7" w14:textId="0979D8DB" w:rsidR="00666BC3" w:rsidRDefault="00666BC3" w:rsidP="00666BC3">
      <w:pPr>
        <w:spacing w:line="360" w:lineRule="auto"/>
        <w:jc w:val="center"/>
        <w:rPr>
          <w:b/>
          <w:sz w:val="32"/>
          <w:szCs w:val="32"/>
        </w:rPr>
      </w:pPr>
      <w:r>
        <w:rPr>
          <w:b/>
          <w:sz w:val="32"/>
          <w:szCs w:val="32"/>
        </w:rPr>
        <w:lastRenderedPageBreak/>
        <w:t>APPENDIX C</w:t>
      </w:r>
    </w:p>
    <w:p w14:paraId="6128A506" w14:textId="77777777" w:rsidR="00666BC3" w:rsidRDefault="00666BC3" w:rsidP="00666BC3">
      <w:pPr>
        <w:spacing w:line="360" w:lineRule="auto"/>
        <w:jc w:val="center"/>
        <w:rPr>
          <w:b/>
          <w:sz w:val="32"/>
          <w:szCs w:val="32"/>
        </w:rPr>
      </w:pPr>
    </w:p>
    <w:p w14:paraId="40817F74" w14:textId="041A96F4" w:rsidR="00C373C4" w:rsidRPr="008A4590" w:rsidRDefault="00C373C4" w:rsidP="00C373C4">
      <w:pPr>
        <w:spacing w:line="360" w:lineRule="auto"/>
        <w:jc w:val="center"/>
        <w:rPr>
          <w:b/>
          <w:sz w:val="28"/>
          <w:szCs w:val="28"/>
        </w:rPr>
      </w:pPr>
      <w:r>
        <w:rPr>
          <w:b/>
          <w:sz w:val="28"/>
          <w:szCs w:val="28"/>
        </w:rPr>
        <w:t>TWIGGS COUNTY BESS</w:t>
      </w:r>
      <w:r w:rsidR="0024569B">
        <w:rPr>
          <w:b/>
          <w:sz w:val="28"/>
          <w:szCs w:val="28"/>
        </w:rPr>
        <w:t xml:space="preserve"> – </w:t>
      </w:r>
      <w:r>
        <w:rPr>
          <w:b/>
          <w:sz w:val="28"/>
          <w:szCs w:val="28"/>
        </w:rPr>
        <w:t>Activities and Critical</w:t>
      </w:r>
      <w:r w:rsidR="008E472E">
        <w:rPr>
          <w:b/>
          <w:sz w:val="28"/>
          <w:szCs w:val="28"/>
        </w:rPr>
        <w:t xml:space="preserve"> Path Schedule</w:t>
      </w:r>
      <w:r>
        <w:rPr>
          <w:b/>
          <w:sz w:val="28"/>
          <w:szCs w:val="28"/>
        </w:rPr>
        <w:t xml:space="preserve"> – </w:t>
      </w:r>
      <w:r w:rsidR="009C793C">
        <w:rPr>
          <w:b/>
          <w:sz w:val="28"/>
          <w:szCs w:val="28"/>
        </w:rPr>
        <w:t>REDACTED</w:t>
      </w:r>
    </w:p>
    <w:p w14:paraId="6F4FC566" w14:textId="07E03C99" w:rsidR="00666BC3" w:rsidRPr="0030312D" w:rsidRDefault="00666BC3" w:rsidP="00666BC3">
      <w:pPr>
        <w:spacing w:line="360" w:lineRule="auto"/>
        <w:jc w:val="center"/>
        <w:rPr>
          <w:b/>
          <w:sz w:val="32"/>
          <w:szCs w:val="32"/>
        </w:rPr>
      </w:pPr>
    </w:p>
    <w:p w14:paraId="6254BB4F" w14:textId="77777777" w:rsidR="00666BC3" w:rsidRPr="006531C0" w:rsidRDefault="00666BC3" w:rsidP="00666BC3">
      <w:pPr>
        <w:spacing w:line="360" w:lineRule="auto"/>
        <w:rPr>
          <w:szCs w:val="32"/>
        </w:rPr>
      </w:pPr>
    </w:p>
    <w:p w14:paraId="2F0D789A" w14:textId="77777777" w:rsidR="005E4DBC" w:rsidRPr="0030312D" w:rsidRDefault="005E4DBC" w:rsidP="00946278">
      <w:pPr>
        <w:spacing w:line="360" w:lineRule="auto"/>
        <w:jc w:val="center"/>
        <w:rPr>
          <w:b/>
          <w:sz w:val="32"/>
          <w:szCs w:val="32"/>
        </w:rPr>
      </w:pPr>
    </w:p>
    <w:p w14:paraId="5235BE0B" w14:textId="765EBDDC" w:rsidR="00911593" w:rsidRDefault="00911593">
      <w:pPr>
        <w:rPr>
          <w:szCs w:val="32"/>
        </w:rPr>
      </w:pPr>
      <w:r>
        <w:rPr>
          <w:szCs w:val="32"/>
        </w:rPr>
        <w:br w:type="page"/>
      </w:r>
    </w:p>
    <w:p w14:paraId="7D0430D5" w14:textId="44151806" w:rsidR="00445C8D" w:rsidRDefault="00445C8D" w:rsidP="00445C8D">
      <w:pPr>
        <w:spacing w:line="360" w:lineRule="auto"/>
        <w:jc w:val="center"/>
        <w:rPr>
          <w:b/>
          <w:sz w:val="32"/>
          <w:szCs w:val="32"/>
        </w:rPr>
      </w:pPr>
      <w:r>
        <w:rPr>
          <w:b/>
          <w:sz w:val="32"/>
          <w:szCs w:val="32"/>
        </w:rPr>
        <w:lastRenderedPageBreak/>
        <w:t>APPENDIX D</w:t>
      </w:r>
    </w:p>
    <w:p w14:paraId="24D25AD5" w14:textId="77777777" w:rsidR="00445C8D" w:rsidRDefault="00445C8D" w:rsidP="00445C8D">
      <w:pPr>
        <w:spacing w:line="360" w:lineRule="auto"/>
        <w:jc w:val="center"/>
        <w:rPr>
          <w:b/>
          <w:sz w:val="32"/>
          <w:szCs w:val="32"/>
        </w:rPr>
      </w:pPr>
    </w:p>
    <w:p w14:paraId="2587B6FD" w14:textId="3F076EE8" w:rsidR="005A5A64" w:rsidRPr="008A4590" w:rsidRDefault="005A5A64" w:rsidP="005A5A64">
      <w:pPr>
        <w:spacing w:line="360" w:lineRule="auto"/>
        <w:jc w:val="center"/>
        <w:rPr>
          <w:b/>
          <w:sz w:val="28"/>
          <w:szCs w:val="28"/>
        </w:rPr>
      </w:pPr>
      <w:r>
        <w:rPr>
          <w:b/>
          <w:sz w:val="28"/>
          <w:szCs w:val="28"/>
        </w:rPr>
        <w:t xml:space="preserve">TWIGGS COUNTY BESS </w:t>
      </w:r>
      <w:r w:rsidR="00B15CC2">
        <w:rPr>
          <w:b/>
          <w:sz w:val="28"/>
          <w:szCs w:val="28"/>
        </w:rPr>
        <w:t>Project – Tw</w:t>
      </w:r>
      <w:r w:rsidR="00193DA0">
        <w:rPr>
          <w:b/>
          <w:sz w:val="28"/>
          <w:szCs w:val="28"/>
        </w:rPr>
        <w:t xml:space="preserve">iggs County Solar </w:t>
      </w:r>
      <w:r w:rsidR="00B15CC2">
        <w:rPr>
          <w:b/>
          <w:sz w:val="28"/>
          <w:szCs w:val="28"/>
        </w:rPr>
        <w:t xml:space="preserve">PPA </w:t>
      </w:r>
      <w:r w:rsidR="00193DA0">
        <w:rPr>
          <w:b/>
          <w:sz w:val="28"/>
          <w:szCs w:val="28"/>
        </w:rPr>
        <w:t>Amendment</w:t>
      </w:r>
      <w:r>
        <w:rPr>
          <w:b/>
          <w:sz w:val="28"/>
          <w:szCs w:val="28"/>
        </w:rPr>
        <w:t xml:space="preserve"> </w:t>
      </w:r>
      <w:r w:rsidR="008B42C1">
        <w:rPr>
          <w:b/>
          <w:sz w:val="28"/>
          <w:szCs w:val="28"/>
        </w:rPr>
        <w:t>(Amendment 1)</w:t>
      </w:r>
      <w:r w:rsidR="00415D44">
        <w:rPr>
          <w:b/>
          <w:sz w:val="28"/>
          <w:szCs w:val="28"/>
        </w:rPr>
        <w:t xml:space="preserve"> </w:t>
      </w:r>
      <w:r>
        <w:rPr>
          <w:b/>
          <w:sz w:val="28"/>
          <w:szCs w:val="28"/>
        </w:rPr>
        <w:t xml:space="preserve">– </w:t>
      </w:r>
      <w:r w:rsidR="007B5BAC">
        <w:rPr>
          <w:b/>
          <w:sz w:val="28"/>
          <w:szCs w:val="28"/>
        </w:rPr>
        <w:t>REDACTED</w:t>
      </w:r>
    </w:p>
    <w:p w14:paraId="34F3762C" w14:textId="2C3F00B3" w:rsidR="00445C8D" w:rsidRPr="0030312D" w:rsidRDefault="00445C8D" w:rsidP="00445C8D">
      <w:pPr>
        <w:spacing w:line="360" w:lineRule="auto"/>
        <w:jc w:val="center"/>
        <w:rPr>
          <w:b/>
          <w:sz w:val="32"/>
          <w:szCs w:val="32"/>
        </w:rPr>
      </w:pPr>
    </w:p>
    <w:p w14:paraId="2BA68B8C" w14:textId="77777777" w:rsidR="00B10A3E" w:rsidRPr="006531C0" w:rsidRDefault="00B10A3E" w:rsidP="00B10A3E">
      <w:pPr>
        <w:spacing w:line="360" w:lineRule="auto"/>
        <w:rPr>
          <w:szCs w:val="32"/>
        </w:rPr>
      </w:pPr>
    </w:p>
    <w:sectPr w:rsidR="00B10A3E" w:rsidRPr="006531C0" w:rsidSect="00B10A3E">
      <w:pgSz w:w="12240" w:h="15840" w:code="1"/>
      <w:pgMar w:top="1440" w:right="1440" w:bottom="1440" w:left="1440" w:header="57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EF046" w14:textId="77777777" w:rsidR="00761011" w:rsidRDefault="00761011">
      <w:r>
        <w:separator/>
      </w:r>
    </w:p>
  </w:endnote>
  <w:endnote w:type="continuationSeparator" w:id="0">
    <w:p w14:paraId="3E04DDCF" w14:textId="77777777" w:rsidR="00761011" w:rsidRDefault="00761011">
      <w:r>
        <w:continuationSeparator/>
      </w:r>
    </w:p>
  </w:endnote>
  <w:endnote w:type="continuationNotice" w:id="1">
    <w:p w14:paraId="2A2F6C81" w14:textId="77777777" w:rsidR="00761011" w:rsidRDefault="0076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5295" w14:textId="77777777" w:rsidR="00C82EE3" w:rsidRDefault="00C82EE3">
    <w:pPr>
      <w:pStyle w:val="Footer"/>
    </w:pPr>
  </w:p>
  <w:p w14:paraId="777E9734" w14:textId="77777777" w:rsidR="009D68F8" w:rsidRDefault="009D68F8" w:rsidP="00C8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7C30" w14:textId="77777777" w:rsidR="00C82EE3" w:rsidRDefault="00C82EE3">
    <w:pPr>
      <w:pStyle w:val="Footer"/>
    </w:pPr>
  </w:p>
  <w:p w14:paraId="087E5837" w14:textId="77777777" w:rsidR="009D68F8" w:rsidRDefault="009D68F8" w:rsidP="00C82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2BC8" w14:textId="77777777" w:rsidR="00C82EE3" w:rsidRDefault="00421F4B">
    <w:pPr>
      <w:pStyle w:val="Footer"/>
      <w:jc w:val="center"/>
      <w:rPr>
        <w:rFonts w:ascii="Times New Roman" w:hAnsi="Times New Roman"/>
        <w:noProof/>
      </w:rPr>
    </w:pPr>
    <w:r w:rsidRPr="00AF3C12">
      <w:rPr>
        <w:rFonts w:ascii="Times New Roman" w:hAnsi="Times New Roman"/>
      </w:rPr>
      <w:fldChar w:fldCharType="begin"/>
    </w:r>
    <w:r w:rsidRPr="00AF3C12">
      <w:rPr>
        <w:rFonts w:ascii="Times New Roman" w:hAnsi="Times New Roman"/>
      </w:rPr>
      <w:instrText xml:space="preserve"> PAGE   \* MERGEFORMAT </w:instrText>
    </w:r>
    <w:r w:rsidRPr="00AF3C12">
      <w:rPr>
        <w:rFonts w:ascii="Times New Roman" w:hAnsi="Times New Roman"/>
      </w:rPr>
      <w:fldChar w:fldCharType="separate"/>
    </w:r>
    <w:r>
      <w:rPr>
        <w:rFonts w:ascii="Times New Roman" w:hAnsi="Times New Roman"/>
        <w:noProof/>
      </w:rPr>
      <w:t>i</w:t>
    </w:r>
    <w:r w:rsidRPr="00AF3C12">
      <w:rPr>
        <w:rFonts w:ascii="Times New Roman" w:hAnsi="Times New Roman"/>
        <w:noProof/>
      </w:rPr>
      <w:fldChar w:fldCharType="end"/>
    </w:r>
  </w:p>
  <w:p w14:paraId="68A5201C" w14:textId="77777777" w:rsidR="009D68F8" w:rsidRDefault="009D68F8" w:rsidP="00C82EE3">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44CD" w14:textId="77777777" w:rsidR="009D68F8" w:rsidRDefault="00421F4B" w:rsidP="00027D12">
    <w:pPr>
      <w:pStyle w:val="Footer"/>
      <w:jc w:val="center"/>
      <w:rPr>
        <w:rFonts w:ascii="Times New Roman" w:hAnsi="Times New Roman"/>
        <w:noProof/>
      </w:rPr>
    </w:pPr>
    <w:r w:rsidRPr="00311056">
      <w:rPr>
        <w:rFonts w:ascii="Times New Roman" w:hAnsi="Times New Roman"/>
      </w:rPr>
      <w:fldChar w:fldCharType="begin"/>
    </w:r>
    <w:r w:rsidRPr="00311056">
      <w:rPr>
        <w:rFonts w:ascii="Times New Roman" w:hAnsi="Times New Roman"/>
      </w:rPr>
      <w:instrText xml:space="preserve"> PAGE   \* MERGEFORMAT </w:instrText>
    </w:r>
    <w:r w:rsidRPr="00311056">
      <w:rPr>
        <w:rFonts w:ascii="Times New Roman" w:hAnsi="Times New Roman"/>
      </w:rPr>
      <w:fldChar w:fldCharType="separate"/>
    </w:r>
    <w:r>
      <w:rPr>
        <w:rFonts w:ascii="Times New Roman" w:hAnsi="Times New Roman"/>
        <w:noProof/>
      </w:rPr>
      <w:t>12</w:t>
    </w:r>
    <w:r w:rsidRPr="00311056">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BF73" w14:textId="77777777" w:rsidR="00C82EE3" w:rsidRDefault="00421F4B" w:rsidP="00B10A3E">
    <w:pPr>
      <w:pStyle w:val="Footer"/>
      <w:spacing w:before="360"/>
      <w:jc w:val="center"/>
      <w:rPr>
        <w:rFonts w:ascii="Times New Roman" w:hAnsi="Times New Roman"/>
        <w:noProof/>
      </w:rPr>
    </w:pPr>
    <w:r w:rsidRPr="00AF3C12">
      <w:rPr>
        <w:rFonts w:ascii="Times New Roman" w:hAnsi="Times New Roman"/>
      </w:rPr>
      <w:fldChar w:fldCharType="begin"/>
    </w:r>
    <w:r w:rsidRPr="00AF3C12">
      <w:rPr>
        <w:rFonts w:ascii="Times New Roman" w:hAnsi="Times New Roman"/>
      </w:rPr>
      <w:instrText xml:space="preserve"> PAGE   \* MERGEFORMAT </w:instrText>
    </w:r>
    <w:r w:rsidRPr="00AF3C12">
      <w:rPr>
        <w:rFonts w:ascii="Times New Roman" w:hAnsi="Times New Roman"/>
      </w:rPr>
      <w:fldChar w:fldCharType="separate"/>
    </w:r>
    <w:r>
      <w:rPr>
        <w:rFonts w:ascii="Times New Roman" w:hAnsi="Times New Roman"/>
        <w:noProof/>
      </w:rPr>
      <w:t>1</w:t>
    </w:r>
    <w:r w:rsidRPr="00AF3C12">
      <w:rPr>
        <w:rFonts w:ascii="Times New Roman" w:hAnsi="Times New Roman"/>
        <w:noProof/>
      </w:rPr>
      <w:fldChar w:fldCharType="end"/>
    </w:r>
  </w:p>
  <w:p w14:paraId="38A58871" w14:textId="77777777" w:rsidR="009D68F8" w:rsidRDefault="009D68F8" w:rsidP="00C82EE3">
    <w:pPr>
      <w:pStyle w:val="Footer"/>
      <w:spacing w:before="360"/>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42BB" w14:textId="77777777" w:rsidR="00C50231" w:rsidRDefault="00C50231" w:rsidP="00B10A3E">
    <w:pPr>
      <w:pStyle w:val="Footer"/>
      <w:spacing w:before="360"/>
      <w:jc w:val="center"/>
      <w:rPr>
        <w:rFonts w:ascii="Times New Roman" w:hAnsi="Times New Roman"/>
        <w:noProof/>
      </w:rPr>
    </w:pPr>
    <w:r w:rsidRPr="00AF3C12">
      <w:rPr>
        <w:rFonts w:ascii="Times New Roman" w:hAnsi="Times New Roman"/>
      </w:rPr>
      <w:fldChar w:fldCharType="begin"/>
    </w:r>
    <w:r w:rsidRPr="00AF3C12">
      <w:rPr>
        <w:rFonts w:ascii="Times New Roman" w:hAnsi="Times New Roman"/>
      </w:rPr>
      <w:instrText xml:space="preserve"> PAGE   \* MERGEFORMAT </w:instrText>
    </w:r>
    <w:r w:rsidRPr="00AF3C12">
      <w:rPr>
        <w:rFonts w:ascii="Times New Roman" w:hAnsi="Times New Roman"/>
      </w:rPr>
      <w:fldChar w:fldCharType="separate"/>
    </w:r>
    <w:r>
      <w:rPr>
        <w:rFonts w:ascii="Times New Roman" w:hAnsi="Times New Roman"/>
        <w:noProof/>
      </w:rPr>
      <w:t>1</w:t>
    </w:r>
    <w:r w:rsidRPr="00AF3C12">
      <w:rPr>
        <w:rFonts w:ascii="Times New Roman" w:hAnsi="Times New Roman"/>
        <w:noProof/>
      </w:rPr>
      <w:fldChar w:fldCharType="end"/>
    </w:r>
  </w:p>
  <w:p w14:paraId="0D728E41" w14:textId="77777777" w:rsidR="009D68F8" w:rsidRDefault="009D68F8" w:rsidP="00C82EE3">
    <w:pPr>
      <w:pStyle w:val="Footer"/>
      <w:spacing w:before="360"/>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2A15" w14:textId="77777777" w:rsidR="00C82EE3" w:rsidRDefault="00C82EE3" w:rsidP="004C2B1B">
    <w:pPr>
      <w:pStyle w:val="Footer"/>
    </w:pPr>
  </w:p>
  <w:p w14:paraId="5C19533D" w14:textId="77777777" w:rsidR="009D68F8" w:rsidRDefault="009D68F8" w:rsidP="00C82E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C448" w14:textId="77777777" w:rsidR="00C82EE3" w:rsidRDefault="00C82EE3" w:rsidP="004C2B1B">
    <w:pPr>
      <w:pStyle w:val="Footer"/>
    </w:pPr>
  </w:p>
  <w:p w14:paraId="6B9AAA4A" w14:textId="77777777" w:rsidR="009D68F8" w:rsidRDefault="009D68F8" w:rsidP="00C8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D2B7" w14:textId="77777777" w:rsidR="00761011" w:rsidRDefault="00761011">
      <w:r>
        <w:separator/>
      </w:r>
    </w:p>
  </w:footnote>
  <w:footnote w:type="continuationSeparator" w:id="0">
    <w:p w14:paraId="70325699" w14:textId="77777777" w:rsidR="00761011" w:rsidRDefault="00761011">
      <w:r>
        <w:continuationSeparator/>
      </w:r>
    </w:p>
  </w:footnote>
  <w:footnote w:type="continuationNotice" w:id="1">
    <w:p w14:paraId="33F71765" w14:textId="77777777" w:rsidR="00761011" w:rsidRDefault="00761011"/>
  </w:footnote>
  <w:footnote w:id="2">
    <w:p w14:paraId="4BC29D35" w14:textId="61FD845F" w:rsidR="007D0E6F" w:rsidRPr="007D0E6F" w:rsidRDefault="007D0E6F">
      <w:pPr>
        <w:pStyle w:val="FootnoteText"/>
        <w:rPr>
          <w:rFonts w:ascii="Times New Roman" w:hAnsi="Times New Roman"/>
        </w:rPr>
      </w:pPr>
      <w:r w:rsidRPr="007D0E6F">
        <w:rPr>
          <w:rStyle w:val="FootnoteReference"/>
          <w:rFonts w:ascii="Times New Roman" w:hAnsi="Times New Roman"/>
        </w:rPr>
        <w:footnoteRef/>
      </w:r>
      <w:r w:rsidRPr="007D0E6F">
        <w:rPr>
          <w:rFonts w:ascii="Times New Roman" w:hAnsi="Times New Roman"/>
        </w:rPr>
        <w:t xml:space="preserve"> </w:t>
      </w:r>
      <w:r w:rsidRPr="007D0E6F">
        <w:rPr>
          <w:rFonts w:ascii="Times New Roman" w:hAnsi="Times New Roman"/>
          <w:lang w:val="x-none"/>
        </w:rPr>
        <w:t>2023 IRP Update Final Order at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7A61" w14:textId="53FC2D8B" w:rsidR="00421F4B" w:rsidRPr="009B0C2F" w:rsidRDefault="00AC1A5B" w:rsidP="00B10A3E">
    <w:pPr>
      <w:pStyle w:val="Header"/>
      <w:spacing w:line="240" w:lineRule="auto"/>
      <w:jc w:val="center"/>
      <w:rPr>
        <w:rFonts w:ascii="Arial" w:hAnsi="Arial" w:cs="Arial"/>
      </w:rPr>
    </w:pPr>
    <w:r w:rsidRPr="009B0C2F">
      <w:rPr>
        <w:rFonts w:ascii="Times New Roman" w:hAnsi="Times New Roman"/>
        <w:b/>
        <w:sz w:val="28"/>
        <w:szCs w:val="28"/>
      </w:rPr>
      <w:t>PUBLIC DISCLOSURE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90D8" w14:textId="582E7618" w:rsidR="00421F4B" w:rsidRPr="00AC1A5B" w:rsidRDefault="00AC1A5B" w:rsidP="00BE6769">
    <w:pPr>
      <w:pStyle w:val="Header"/>
      <w:spacing w:line="240" w:lineRule="auto"/>
      <w:jc w:val="center"/>
    </w:pPr>
    <w:r w:rsidRPr="00AC1A5B">
      <w:rPr>
        <w:rFonts w:ascii="Times New Roman" w:hAnsi="Times New Roman"/>
        <w:b/>
        <w:sz w:val="28"/>
        <w:szCs w:val="28"/>
      </w:rPr>
      <w:t>PUBLIC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B05A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6668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4E61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407C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565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E15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99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9CA7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B4CA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8C2C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3635C"/>
    <w:multiLevelType w:val="hybridMultilevel"/>
    <w:tmpl w:val="36C0AE16"/>
    <w:lvl w:ilvl="0" w:tplc="77404B4C">
      <w:start w:val="1"/>
      <w:numFmt w:val="decimal"/>
      <w:lvlText w:val="(%1)"/>
      <w:lvlJc w:val="left"/>
      <w:pPr>
        <w:ind w:left="1440" w:hanging="360"/>
      </w:pPr>
      <w:rPr>
        <w:rFonts w:hint="default"/>
      </w:rPr>
    </w:lvl>
    <w:lvl w:ilvl="1" w:tplc="2744CE8C" w:tentative="1">
      <w:start w:val="1"/>
      <w:numFmt w:val="lowerLetter"/>
      <w:lvlText w:val="%2."/>
      <w:lvlJc w:val="left"/>
      <w:pPr>
        <w:ind w:left="2160" w:hanging="360"/>
      </w:pPr>
    </w:lvl>
    <w:lvl w:ilvl="2" w:tplc="52CA9588" w:tentative="1">
      <w:start w:val="1"/>
      <w:numFmt w:val="lowerRoman"/>
      <w:lvlText w:val="%3."/>
      <w:lvlJc w:val="right"/>
      <w:pPr>
        <w:ind w:left="2880" w:hanging="180"/>
      </w:pPr>
    </w:lvl>
    <w:lvl w:ilvl="3" w:tplc="EC68F312" w:tentative="1">
      <w:start w:val="1"/>
      <w:numFmt w:val="decimal"/>
      <w:lvlText w:val="%4."/>
      <w:lvlJc w:val="left"/>
      <w:pPr>
        <w:ind w:left="3600" w:hanging="360"/>
      </w:pPr>
    </w:lvl>
    <w:lvl w:ilvl="4" w:tplc="A5C063CA" w:tentative="1">
      <w:start w:val="1"/>
      <w:numFmt w:val="lowerLetter"/>
      <w:lvlText w:val="%5."/>
      <w:lvlJc w:val="left"/>
      <w:pPr>
        <w:ind w:left="4320" w:hanging="360"/>
      </w:pPr>
    </w:lvl>
    <w:lvl w:ilvl="5" w:tplc="C6205D52" w:tentative="1">
      <w:start w:val="1"/>
      <w:numFmt w:val="lowerRoman"/>
      <w:lvlText w:val="%6."/>
      <w:lvlJc w:val="right"/>
      <w:pPr>
        <w:ind w:left="5040" w:hanging="180"/>
      </w:pPr>
    </w:lvl>
    <w:lvl w:ilvl="6" w:tplc="70861DFE" w:tentative="1">
      <w:start w:val="1"/>
      <w:numFmt w:val="decimal"/>
      <w:lvlText w:val="%7."/>
      <w:lvlJc w:val="left"/>
      <w:pPr>
        <w:ind w:left="5760" w:hanging="360"/>
      </w:pPr>
    </w:lvl>
    <w:lvl w:ilvl="7" w:tplc="F38A9D6A" w:tentative="1">
      <w:start w:val="1"/>
      <w:numFmt w:val="lowerLetter"/>
      <w:lvlText w:val="%8."/>
      <w:lvlJc w:val="left"/>
      <w:pPr>
        <w:ind w:left="6480" w:hanging="360"/>
      </w:pPr>
    </w:lvl>
    <w:lvl w:ilvl="8" w:tplc="5DFADC38" w:tentative="1">
      <w:start w:val="1"/>
      <w:numFmt w:val="lowerRoman"/>
      <w:lvlText w:val="%9."/>
      <w:lvlJc w:val="right"/>
      <w:pPr>
        <w:ind w:left="7200" w:hanging="180"/>
      </w:pPr>
    </w:lvl>
  </w:abstractNum>
  <w:abstractNum w:abstractNumId="11" w15:restartNumberingAfterBreak="0">
    <w:nsid w:val="0E311120"/>
    <w:multiLevelType w:val="hybridMultilevel"/>
    <w:tmpl w:val="60F4C61C"/>
    <w:lvl w:ilvl="0" w:tplc="F3A6AE00">
      <w:start w:val="1"/>
      <w:numFmt w:val="decimal"/>
      <w:lvlText w:val="%1."/>
      <w:lvlJc w:val="left"/>
      <w:pPr>
        <w:ind w:left="2160" w:hanging="360"/>
      </w:pPr>
    </w:lvl>
    <w:lvl w:ilvl="1" w:tplc="AAF04BDA" w:tentative="1">
      <w:start w:val="1"/>
      <w:numFmt w:val="lowerLetter"/>
      <w:lvlText w:val="%2."/>
      <w:lvlJc w:val="left"/>
      <w:pPr>
        <w:ind w:left="2880" w:hanging="360"/>
      </w:pPr>
    </w:lvl>
    <w:lvl w:ilvl="2" w:tplc="6186BBCA" w:tentative="1">
      <w:start w:val="1"/>
      <w:numFmt w:val="lowerRoman"/>
      <w:lvlText w:val="%3."/>
      <w:lvlJc w:val="right"/>
      <w:pPr>
        <w:ind w:left="3600" w:hanging="180"/>
      </w:pPr>
    </w:lvl>
    <w:lvl w:ilvl="3" w:tplc="D2A808B4" w:tentative="1">
      <w:start w:val="1"/>
      <w:numFmt w:val="decimal"/>
      <w:lvlText w:val="%4."/>
      <w:lvlJc w:val="left"/>
      <w:pPr>
        <w:ind w:left="4320" w:hanging="360"/>
      </w:pPr>
    </w:lvl>
    <w:lvl w:ilvl="4" w:tplc="219243B4" w:tentative="1">
      <w:start w:val="1"/>
      <w:numFmt w:val="lowerLetter"/>
      <w:lvlText w:val="%5."/>
      <w:lvlJc w:val="left"/>
      <w:pPr>
        <w:ind w:left="5040" w:hanging="360"/>
      </w:pPr>
    </w:lvl>
    <w:lvl w:ilvl="5" w:tplc="C0B67B06" w:tentative="1">
      <w:start w:val="1"/>
      <w:numFmt w:val="lowerRoman"/>
      <w:lvlText w:val="%6."/>
      <w:lvlJc w:val="right"/>
      <w:pPr>
        <w:ind w:left="5760" w:hanging="180"/>
      </w:pPr>
    </w:lvl>
    <w:lvl w:ilvl="6" w:tplc="F7FE710C" w:tentative="1">
      <w:start w:val="1"/>
      <w:numFmt w:val="decimal"/>
      <w:lvlText w:val="%7."/>
      <w:lvlJc w:val="left"/>
      <w:pPr>
        <w:ind w:left="6480" w:hanging="360"/>
      </w:pPr>
    </w:lvl>
    <w:lvl w:ilvl="7" w:tplc="3440C712" w:tentative="1">
      <w:start w:val="1"/>
      <w:numFmt w:val="lowerLetter"/>
      <w:lvlText w:val="%8."/>
      <w:lvlJc w:val="left"/>
      <w:pPr>
        <w:ind w:left="7200" w:hanging="360"/>
      </w:pPr>
    </w:lvl>
    <w:lvl w:ilvl="8" w:tplc="9FFAE594" w:tentative="1">
      <w:start w:val="1"/>
      <w:numFmt w:val="lowerRoman"/>
      <w:lvlText w:val="%9."/>
      <w:lvlJc w:val="right"/>
      <w:pPr>
        <w:ind w:left="7920" w:hanging="180"/>
      </w:pPr>
    </w:lvl>
  </w:abstractNum>
  <w:abstractNum w:abstractNumId="12" w15:restartNumberingAfterBreak="0">
    <w:nsid w:val="163D4574"/>
    <w:multiLevelType w:val="hybridMultilevel"/>
    <w:tmpl w:val="36C0AE16"/>
    <w:lvl w:ilvl="0" w:tplc="7570C3D8">
      <w:start w:val="1"/>
      <w:numFmt w:val="decimal"/>
      <w:lvlText w:val="(%1)"/>
      <w:lvlJc w:val="left"/>
      <w:pPr>
        <w:ind w:left="1440" w:hanging="360"/>
      </w:pPr>
      <w:rPr>
        <w:rFonts w:hint="default"/>
      </w:rPr>
    </w:lvl>
    <w:lvl w:ilvl="1" w:tplc="D9F63D92" w:tentative="1">
      <w:start w:val="1"/>
      <w:numFmt w:val="lowerLetter"/>
      <w:lvlText w:val="%2."/>
      <w:lvlJc w:val="left"/>
      <w:pPr>
        <w:ind w:left="2160" w:hanging="360"/>
      </w:pPr>
    </w:lvl>
    <w:lvl w:ilvl="2" w:tplc="70D2B4C0" w:tentative="1">
      <w:start w:val="1"/>
      <w:numFmt w:val="lowerRoman"/>
      <w:lvlText w:val="%3."/>
      <w:lvlJc w:val="right"/>
      <w:pPr>
        <w:ind w:left="2880" w:hanging="180"/>
      </w:pPr>
    </w:lvl>
    <w:lvl w:ilvl="3" w:tplc="AC0CE7AC" w:tentative="1">
      <w:start w:val="1"/>
      <w:numFmt w:val="decimal"/>
      <w:lvlText w:val="%4."/>
      <w:lvlJc w:val="left"/>
      <w:pPr>
        <w:ind w:left="3600" w:hanging="360"/>
      </w:pPr>
    </w:lvl>
    <w:lvl w:ilvl="4" w:tplc="50344346" w:tentative="1">
      <w:start w:val="1"/>
      <w:numFmt w:val="lowerLetter"/>
      <w:lvlText w:val="%5."/>
      <w:lvlJc w:val="left"/>
      <w:pPr>
        <w:ind w:left="4320" w:hanging="360"/>
      </w:pPr>
    </w:lvl>
    <w:lvl w:ilvl="5" w:tplc="64F46D0C" w:tentative="1">
      <w:start w:val="1"/>
      <w:numFmt w:val="lowerRoman"/>
      <w:lvlText w:val="%6."/>
      <w:lvlJc w:val="right"/>
      <w:pPr>
        <w:ind w:left="5040" w:hanging="180"/>
      </w:pPr>
    </w:lvl>
    <w:lvl w:ilvl="6" w:tplc="D26C36CC" w:tentative="1">
      <w:start w:val="1"/>
      <w:numFmt w:val="decimal"/>
      <w:lvlText w:val="%7."/>
      <w:lvlJc w:val="left"/>
      <w:pPr>
        <w:ind w:left="5760" w:hanging="360"/>
      </w:pPr>
    </w:lvl>
    <w:lvl w:ilvl="7" w:tplc="917000C2" w:tentative="1">
      <w:start w:val="1"/>
      <w:numFmt w:val="lowerLetter"/>
      <w:lvlText w:val="%8."/>
      <w:lvlJc w:val="left"/>
      <w:pPr>
        <w:ind w:left="6480" w:hanging="360"/>
      </w:pPr>
    </w:lvl>
    <w:lvl w:ilvl="8" w:tplc="8D2EBECA" w:tentative="1">
      <w:start w:val="1"/>
      <w:numFmt w:val="lowerRoman"/>
      <w:lvlText w:val="%9."/>
      <w:lvlJc w:val="right"/>
      <w:pPr>
        <w:ind w:left="7200" w:hanging="180"/>
      </w:pPr>
    </w:lvl>
  </w:abstractNum>
  <w:abstractNum w:abstractNumId="13" w15:restartNumberingAfterBreak="0">
    <w:nsid w:val="2363331D"/>
    <w:multiLevelType w:val="hybridMultilevel"/>
    <w:tmpl w:val="7A86C200"/>
    <w:lvl w:ilvl="0" w:tplc="16B0DEA8">
      <w:start w:val="1"/>
      <w:numFmt w:val="decimal"/>
      <w:lvlText w:val="(%1)"/>
      <w:lvlJc w:val="left"/>
      <w:pPr>
        <w:ind w:left="1800" w:hanging="360"/>
      </w:pPr>
      <w:rPr>
        <w:rFonts w:hint="default"/>
      </w:rPr>
    </w:lvl>
    <w:lvl w:ilvl="1" w:tplc="781A010C" w:tentative="1">
      <w:start w:val="1"/>
      <w:numFmt w:val="lowerLetter"/>
      <w:lvlText w:val="%2."/>
      <w:lvlJc w:val="left"/>
      <w:pPr>
        <w:ind w:left="2520" w:hanging="360"/>
      </w:pPr>
    </w:lvl>
    <w:lvl w:ilvl="2" w:tplc="9F4EE70A" w:tentative="1">
      <w:start w:val="1"/>
      <w:numFmt w:val="lowerRoman"/>
      <w:lvlText w:val="%3."/>
      <w:lvlJc w:val="right"/>
      <w:pPr>
        <w:ind w:left="3240" w:hanging="180"/>
      </w:pPr>
    </w:lvl>
    <w:lvl w:ilvl="3" w:tplc="15362D30" w:tentative="1">
      <w:start w:val="1"/>
      <w:numFmt w:val="decimal"/>
      <w:lvlText w:val="%4."/>
      <w:lvlJc w:val="left"/>
      <w:pPr>
        <w:ind w:left="3960" w:hanging="360"/>
      </w:pPr>
    </w:lvl>
    <w:lvl w:ilvl="4" w:tplc="14708920" w:tentative="1">
      <w:start w:val="1"/>
      <w:numFmt w:val="lowerLetter"/>
      <w:lvlText w:val="%5."/>
      <w:lvlJc w:val="left"/>
      <w:pPr>
        <w:ind w:left="4680" w:hanging="360"/>
      </w:pPr>
    </w:lvl>
    <w:lvl w:ilvl="5" w:tplc="3556A632" w:tentative="1">
      <w:start w:val="1"/>
      <w:numFmt w:val="lowerRoman"/>
      <w:lvlText w:val="%6."/>
      <w:lvlJc w:val="right"/>
      <w:pPr>
        <w:ind w:left="5400" w:hanging="180"/>
      </w:pPr>
    </w:lvl>
    <w:lvl w:ilvl="6" w:tplc="46861024" w:tentative="1">
      <w:start w:val="1"/>
      <w:numFmt w:val="decimal"/>
      <w:lvlText w:val="%7."/>
      <w:lvlJc w:val="left"/>
      <w:pPr>
        <w:ind w:left="6120" w:hanging="360"/>
      </w:pPr>
    </w:lvl>
    <w:lvl w:ilvl="7" w:tplc="B802BEEE" w:tentative="1">
      <w:start w:val="1"/>
      <w:numFmt w:val="lowerLetter"/>
      <w:lvlText w:val="%8."/>
      <w:lvlJc w:val="left"/>
      <w:pPr>
        <w:ind w:left="6840" w:hanging="360"/>
      </w:pPr>
    </w:lvl>
    <w:lvl w:ilvl="8" w:tplc="36F6F4AE" w:tentative="1">
      <w:start w:val="1"/>
      <w:numFmt w:val="lowerRoman"/>
      <w:lvlText w:val="%9."/>
      <w:lvlJc w:val="right"/>
      <w:pPr>
        <w:ind w:left="7560" w:hanging="180"/>
      </w:pPr>
    </w:lvl>
  </w:abstractNum>
  <w:abstractNum w:abstractNumId="14" w15:restartNumberingAfterBreak="0">
    <w:nsid w:val="257E7E32"/>
    <w:multiLevelType w:val="hybridMultilevel"/>
    <w:tmpl w:val="390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05BE0"/>
    <w:multiLevelType w:val="hybridMultilevel"/>
    <w:tmpl w:val="BEFA1382"/>
    <w:lvl w:ilvl="0" w:tplc="D060B218">
      <w:start w:val="1"/>
      <w:numFmt w:val="bullet"/>
      <w:lvlText w:val=""/>
      <w:lvlJc w:val="left"/>
      <w:pPr>
        <w:tabs>
          <w:tab w:val="num" w:pos="720"/>
        </w:tabs>
        <w:ind w:left="1440" w:hanging="1440"/>
      </w:pPr>
      <w:rPr>
        <w:rFonts w:ascii="Symbol" w:hAnsi="Symbol" w:hint="default"/>
      </w:rPr>
    </w:lvl>
    <w:lvl w:ilvl="1" w:tplc="EB6E77EC">
      <w:start w:val="1"/>
      <w:numFmt w:val="bullet"/>
      <w:lvlText w:val="o"/>
      <w:lvlJc w:val="left"/>
      <w:pPr>
        <w:tabs>
          <w:tab w:val="num" w:pos="1440"/>
        </w:tabs>
        <w:ind w:left="1440" w:hanging="360"/>
      </w:pPr>
      <w:rPr>
        <w:rFonts w:ascii="Courier New" w:hAnsi="Courier New" w:cs="Courier New" w:hint="default"/>
      </w:rPr>
    </w:lvl>
    <w:lvl w:ilvl="2" w:tplc="0DF26BB6" w:tentative="1">
      <w:start w:val="1"/>
      <w:numFmt w:val="bullet"/>
      <w:lvlText w:val=""/>
      <w:lvlJc w:val="left"/>
      <w:pPr>
        <w:tabs>
          <w:tab w:val="num" w:pos="2160"/>
        </w:tabs>
        <w:ind w:left="2160" w:hanging="360"/>
      </w:pPr>
      <w:rPr>
        <w:rFonts w:ascii="Wingdings" w:hAnsi="Wingdings" w:hint="default"/>
      </w:rPr>
    </w:lvl>
    <w:lvl w:ilvl="3" w:tplc="BAE68F3E" w:tentative="1">
      <w:start w:val="1"/>
      <w:numFmt w:val="bullet"/>
      <w:lvlText w:val=""/>
      <w:lvlJc w:val="left"/>
      <w:pPr>
        <w:tabs>
          <w:tab w:val="num" w:pos="2880"/>
        </w:tabs>
        <w:ind w:left="2880" w:hanging="360"/>
      </w:pPr>
      <w:rPr>
        <w:rFonts w:ascii="Symbol" w:hAnsi="Symbol" w:hint="default"/>
      </w:rPr>
    </w:lvl>
    <w:lvl w:ilvl="4" w:tplc="B198B424" w:tentative="1">
      <w:start w:val="1"/>
      <w:numFmt w:val="bullet"/>
      <w:lvlText w:val="o"/>
      <w:lvlJc w:val="left"/>
      <w:pPr>
        <w:tabs>
          <w:tab w:val="num" w:pos="3600"/>
        </w:tabs>
        <w:ind w:left="3600" w:hanging="360"/>
      </w:pPr>
      <w:rPr>
        <w:rFonts w:ascii="Courier New" w:hAnsi="Courier New" w:cs="Courier New" w:hint="default"/>
      </w:rPr>
    </w:lvl>
    <w:lvl w:ilvl="5" w:tplc="7CCC1200" w:tentative="1">
      <w:start w:val="1"/>
      <w:numFmt w:val="bullet"/>
      <w:lvlText w:val=""/>
      <w:lvlJc w:val="left"/>
      <w:pPr>
        <w:tabs>
          <w:tab w:val="num" w:pos="4320"/>
        </w:tabs>
        <w:ind w:left="4320" w:hanging="360"/>
      </w:pPr>
      <w:rPr>
        <w:rFonts w:ascii="Wingdings" w:hAnsi="Wingdings" w:hint="default"/>
      </w:rPr>
    </w:lvl>
    <w:lvl w:ilvl="6" w:tplc="F558F84C" w:tentative="1">
      <w:start w:val="1"/>
      <w:numFmt w:val="bullet"/>
      <w:lvlText w:val=""/>
      <w:lvlJc w:val="left"/>
      <w:pPr>
        <w:tabs>
          <w:tab w:val="num" w:pos="5040"/>
        </w:tabs>
        <w:ind w:left="5040" w:hanging="360"/>
      </w:pPr>
      <w:rPr>
        <w:rFonts w:ascii="Symbol" w:hAnsi="Symbol" w:hint="default"/>
      </w:rPr>
    </w:lvl>
    <w:lvl w:ilvl="7" w:tplc="0CD6B03C" w:tentative="1">
      <w:start w:val="1"/>
      <w:numFmt w:val="bullet"/>
      <w:lvlText w:val="o"/>
      <w:lvlJc w:val="left"/>
      <w:pPr>
        <w:tabs>
          <w:tab w:val="num" w:pos="5760"/>
        </w:tabs>
        <w:ind w:left="5760" w:hanging="360"/>
      </w:pPr>
      <w:rPr>
        <w:rFonts w:ascii="Courier New" w:hAnsi="Courier New" w:cs="Courier New" w:hint="default"/>
      </w:rPr>
    </w:lvl>
    <w:lvl w:ilvl="8" w:tplc="898A147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312E4"/>
    <w:multiLevelType w:val="hybridMultilevel"/>
    <w:tmpl w:val="4B020228"/>
    <w:lvl w:ilvl="0" w:tplc="AFEC77A6">
      <w:start w:val="1"/>
      <w:numFmt w:val="upperLetter"/>
      <w:lvlText w:val="%1."/>
      <w:lvlJc w:val="left"/>
      <w:pPr>
        <w:ind w:left="3960" w:hanging="360"/>
      </w:pPr>
      <w:rPr>
        <w:rFonts w:hint="default"/>
      </w:rPr>
    </w:lvl>
    <w:lvl w:ilvl="1" w:tplc="BD9C9E60" w:tentative="1">
      <w:start w:val="1"/>
      <w:numFmt w:val="lowerLetter"/>
      <w:lvlText w:val="%2."/>
      <w:lvlJc w:val="left"/>
      <w:pPr>
        <w:ind w:left="4680" w:hanging="360"/>
      </w:pPr>
    </w:lvl>
    <w:lvl w:ilvl="2" w:tplc="3E3CE8E2" w:tentative="1">
      <w:start w:val="1"/>
      <w:numFmt w:val="lowerRoman"/>
      <w:lvlText w:val="%3."/>
      <w:lvlJc w:val="right"/>
      <w:pPr>
        <w:ind w:left="5400" w:hanging="180"/>
      </w:pPr>
    </w:lvl>
    <w:lvl w:ilvl="3" w:tplc="BFAE1E8E" w:tentative="1">
      <w:start w:val="1"/>
      <w:numFmt w:val="decimal"/>
      <w:lvlText w:val="%4."/>
      <w:lvlJc w:val="left"/>
      <w:pPr>
        <w:ind w:left="6120" w:hanging="360"/>
      </w:pPr>
    </w:lvl>
    <w:lvl w:ilvl="4" w:tplc="A28EA206" w:tentative="1">
      <w:start w:val="1"/>
      <w:numFmt w:val="lowerLetter"/>
      <w:lvlText w:val="%5."/>
      <w:lvlJc w:val="left"/>
      <w:pPr>
        <w:ind w:left="6840" w:hanging="360"/>
      </w:pPr>
    </w:lvl>
    <w:lvl w:ilvl="5" w:tplc="67EAFBD6" w:tentative="1">
      <w:start w:val="1"/>
      <w:numFmt w:val="lowerRoman"/>
      <w:lvlText w:val="%6."/>
      <w:lvlJc w:val="right"/>
      <w:pPr>
        <w:ind w:left="7560" w:hanging="180"/>
      </w:pPr>
    </w:lvl>
    <w:lvl w:ilvl="6" w:tplc="FB5A74A4" w:tentative="1">
      <w:start w:val="1"/>
      <w:numFmt w:val="decimal"/>
      <w:lvlText w:val="%7."/>
      <w:lvlJc w:val="left"/>
      <w:pPr>
        <w:ind w:left="8280" w:hanging="360"/>
      </w:pPr>
    </w:lvl>
    <w:lvl w:ilvl="7" w:tplc="2D3EF668" w:tentative="1">
      <w:start w:val="1"/>
      <w:numFmt w:val="lowerLetter"/>
      <w:lvlText w:val="%8."/>
      <w:lvlJc w:val="left"/>
      <w:pPr>
        <w:ind w:left="9000" w:hanging="360"/>
      </w:pPr>
    </w:lvl>
    <w:lvl w:ilvl="8" w:tplc="B178D4B0" w:tentative="1">
      <w:start w:val="1"/>
      <w:numFmt w:val="lowerRoman"/>
      <w:lvlText w:val="%9."/>
      <w:lvlJc w:val="right"/>
      <w:pPr>
        <w:ind w:left="9720" w:hanging="180"/>
      </w:pPr>
    </w:lvl>
  </w:abstractNum>
  <w:abstractNum w:abstractNumId="17" w15:restartNumberingAfterBreak="0">
    <w:nsid w:val="369C4FBF"/>
    <w:multiLevelType w:val="hybridMultilevel"/>
    <w:tmpl w:val="21286C70"/>
    <w:lvl w:ilvl="0" w:tplc="89FE52BE">
      <w:start w:val="1"/>
      <w:numFmt w:val="decimal"/>
      <w:lvlText w:val="%1."/>
      <w:lvlJc w:val="left"/>
      <w:pPr>
        <w:ind w:left="1494" w:hanging="360"/>
      </w:pPr>
    </w:lvl>
    <w:lvl w:ilvl="1" w:tplc="CDC47724" w:tentative="1">
      <w:start w:val="1"/>
      <w:numFmt w:val="lowerLetter"/>
      <w:lvlText w:val="%2."/>
      <w:lvlJc w:val="left"/>
      <w:pPr>
        <w:ind w:left="2214" w:hanging="360"/>
      </w:pPr>
    </w:lvl>
    <w:lvl w:ilvl="2" w:tplc="020032EA" w:tentative="1">
      <w:start w:val="1"/>
      <w:numFmt w:val="lowerRoman"/>
      <w:lvlText w:val="%3."/>
      <w:lvlJc w:val="right"/>
      <w:pPr>
        <w:ind w:left="2934" w:hanging="180"/>
      </w:pPr>
    </w:lvl>
    <w:lvl w:ilvl="3" w:tplc="97A0642C" w:tentative="1">
      <w:start w:val="1"/>
      <w:numFmt w:val="decimal"/>
      <w:lvlText w:val="%4."/>
      <w:lvlJc w:val="left"/>
      <w:pPr>
        <w:ind w:left="3654" w:hanging="360"/>
      </w:pPr>
    </w:lvl>
    <w:lvl w:ilvl="4" w:tplc="5B9E42FE" w:tentative="1">
      <w:start w:val="1"/>
      <w:numFmt w:val="lowerLetter"/>
      <w:lvlText w:val="%5."/>
      <w:lvlJc w:val="left"/>
      <w:pPr>
        <w:ind w:left="4374" w:hanging="360"/>
      </w:pPr>
    </w:lvl>
    <w:lvl w:ilvl="5" w:tplc="9C3E9574" w:tentative="1">
      <w:start w:val="1"/>
      <w:numFmt w:val="lowerRoman"/>
      <w:lvlText w:val="%6."/>
      <w:lvlJc w:val="right"/>
      <w:pPr>
        <w:ind w:left="5094" w:hanging="180"/>
      </w:pPr>
    </w:lvl>
    <w:lvl w:ilvl="6" w:tplc="EB280D36" w:tentative="1">
      <w:start w:val="1"/>
      <w:numFmt w:val="decimal"/>
      <w:lvlText w:val="%7."/>
      <w:lvlJc w:val="left"/>
      <w:pPr>
        <w:ind w:left="5814" w:hanging="360"/>
      </w:pPr>
    </w:lvl>
    <w:lvl w:ilvl="7" w:tplc="36304738" w:tentative="1">
      <w:start w:val="1"/>
      <w:numFmt w:val="lowerLetter"/>
      <w:lvlText w:val="%8."/>
      <w:lvlJc w:val="left"/>
      <w:pPr>
        <w:ind w:left="6534" w:hanging="360"/>
      </w:pPr>
    </w:lvl>
    <w:lvl w:ilvl="8" w:tplc="9E0A7D52" w:tentative="1">
      <w:start w:val="1"/>
      <w:numFmt w:val="lowerRoman"/>
      <w:lvlText w:val="%9."/>
      <w:lvlJc w:val="right"/>
      <w:pPr>
        <w:ind w:left="7254" w:hanging="180"/>
      </w:pPr>
    </w:lvl>
  </w:abstractNum>
  <w:abstractNum w:abstractNumId="18" w15:restartNumberingAfterBreak="0">
    <w:nsid w:val="38F266E2"/>
    <w:multiLevelType w:val="hybridMultilevel"/>
    <w:tmpl w:val="984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23EEC"/>
    <w:multiLevelType w:val="hybridMultilevel"/>
    <w:tmpl w:val="F0E6725E"/>
    <w:lvl w:ilvl="0" w:tplc="84D66BDA">
      <w:start w:val="1"/>
      <w:numFmt w:val="bullet"/>
      <w:lvlText w:val=""/>
      <w:lvlJc w:val="left"/>
      <w:pPr>
        <w:ind w:left="720" w:hanging="360"/>
      </w:pPr>
      <w:rPr>
        <w:rFonts w:ascii="Symbol" w:hAnsi="Symbol" w:hint="default"/>
      </w:rPr>
    </w:lvl>
    <w:lvl w:ilvl="1" w:tplc="FA0EA364" w:tentative="1">
      <w:start w:val="1"/>
      <w:numFmt w:val="bullet"/>
      <w:lvlText w:val="o"/>
      <w:lvlJc w:val="left"/>
      <w:pPr>
        <w:ind w:left="1440" w:hanging="360"/>
      </w:pPr>
      <w:rPr>
        <w:rFonts w:ascii="Courier New" w:hAnsi="Courier New" w:cs="Courier New" w:hint="default"/>
      </w:rPr>
    </w:lvl>
    <w:lvl w:ilvl="2" w:tplc="C1AEDE56" w:tentative="1">
      <w:start w:val="1"/>
      <w:numFmt w:val="bullet"/>
      <w:lvlText w:val=""/>
      <w:lvlJc w:val="left"/>
      <w:pPr>
        <w:ind w:left="2160" w:hanging="360"/>
      </w:pPr>
      <w:rPr>
        <w:rFonts w:ascii="Wingdings" w:hAnsi="Wingdings" w:hint="default"/>
      </w:rPr>
    </w:lvl>
    <w:lvl w:ilvl="3" w:tplc="37C4BB7A" w:tentative="1">
      <w:start w:val="1"/>
      <w:numFmt w:val="bullet"/>
      <w:lvlText w:val=""/>
      <w:lvlJc w:val="left"/>
      <w:pPr>
        <w:ind w:left="2880" w:hanging="360"/>
      </w:pPr>
      <w:rPr>
        <w:rFonts w:ascii="Symbol" w:hAnsi="Symbol" w:hint="default"/>
      </w:rPr>
    </w:lvl>
    <w:lvl w:ilvl="4" w:tplc="D8D4C73C" w:tentative="1">
      <w:start w:val="1"/>
      <w:numFmt w:val="bullet"/>
      <w:lvlText w:val="o"/>
      <w:lvlJc w:val="left"/>
      <w:pPr>
        <w:ind w:left="3600" w:hanging="360"/>
      </w:pPr>
      <w:rPr>
        <w:rFonts w:ascii="Courier New" w:hAnsi="Courier New" w:cs="Courier New" w:hint="default"/>
      </w:rPr>
    </w:lvl>
    <w:lvl w:ilvl="5" w:tplc="D43223E0" w:tentative="1">
      <w:start w:val="1"/>
      <w:numFmt w:val="bullet"/>
      <w:lvlText w:val=""/>
      <w:lvlJc w:val="left"/>
      <w:pPr>
        <w:ind w:left="4320" w:hanging="360"/>
      </w:pPr>
      <w:rPr>
        <w:rFonts w:ascii="Wingdings" w:hAnsi="Wingdings" w:hint="default"/>
      </w:rPr>
    </w:lvl>
    <w:lvl w:ilvl="6" w:tplc="B9F2FED6" w:tentative="1">
      <w:start w:val="1"/>
      <w:numFmt w:val="bullet"/>
      <w:lvlText w:val=""/>
      <w:lvlJc w:val="left"/>
      <w:pPr>
        <w:ind w:left="5040" w:hanging="360"/>
      </w:pPr>
      <w:rPr>
        <w:rFonts w:ascii="Symbol" w:hAnsi="Symbol" w:hint="default"/>
      </w:rPr>
    </w:lvl>
    <w:lvl w:ilvl="7" w:tplc="F0DE0BE0" w:tentative="1">
      <w:start w:val="1"/>
      <w:numFmt w:val="bullet"/>
      <w:lvlText w:val="o"/>
      <w:lvlJc w:val="left"/>
      <w:pPr>
        <w:ind w:left="5760" w:hanging="360"/>
      </w:pPr>
      <w:rPr>
        <w:rFonts w:ascii="Courier New" w:hAnsi="Courier New" w:cs="Courier New" w:hint="default"/>
      </w:rPr>
    </w:lvl>
    <w:lvl w:ilvl="8" w:tplc="0E680234" w:tentative="1">
      <w:start w:val="1"/>
      <w:numFmt w:val="bullet"/>
      <w:lvlText w:val=""/>
      <w:lvlJc w:val="left"/>
      <w:pPr>
        <w:ind w:left="6480" w:hanging="360"/>
      </w:pPr>
      <w:rPr>
        <w:rFonts w:ascii="Wingdings" w:hAnsi="Wingdings" w:hint="default"/>
      </w:rPr>
    </w:lvl>
  </w:abstractNum>
  <w:abstractNum w:abstractNumId="20" w15:restartNumberingAfterBreak="0">
    <w:nsid w:val="4C4A7BE4"/>
    <w:multiLevelType w:val="hybridMultilevel"/>
    <w:tmpl w:val="4DFE6780"/>
    <w:lvl w:ilvl="0" w:tplc="348C454C">
      <w:start w:val="1"/>
      <w:numFmt w:val="bullet"/>
      <w:lvlText w:val=""/>
      <w:lvlJc w:val="left"/>
      <w:pPr>
        <w:ind w:left="720" w:hanging="360"/>
      </w:pPr>
      <w:rPr>
        <w:rFonts w:ascii="Symbol" w:hAnsi="Symbol"/>
      </w:rPr>
    </w:lvl>
    <w:lvl w:ilvl="1" w:tplc="D60C3F6A">
      <w:start w:val="1"/>
      <w:numFmt w:val="bullet"/>
      <w:lvlText w:val=""/>
      <w:lvlJc w:val="left"/>
      <w:pPr>
        <w:ind w:left="720" w:hanging="360"/>
      </w:pPr>
      <w:rPr>
        <w:rFonts w:ascii="Symbol" w:hAnsi="Symbol"/>
      </w:rPr>
    </w:lvl>
    <w:lvl w:ilvl="2" w:tplc="4B14B986">
      <w:start w:val="1"/>
      <w:numFmt w:val="bullet"/>
      <w:lvlText w:val=""/>
      <w:lvlJc w:val="left"/>
      <w:pPr>
        <w:ind w:left="720" w:hanging="360"/>
      </w:pPr>
      <w:rPr>
        <w:rFonts w:ascii="Symbol" w:hAnsi="Symbol"/>
      </w:rPr>
    </w:lvl>
    <w:lvl w:ilvl="3" w:tplc="DE5886D0">
      <w:start w:val="1"/>
      <w:numFmt w:val="bullet"/>
      <w:lvlText w:val=""/>
      <w:lvlJc w:val="left"/>
      <w:pPr>
        <w:ind w:left="720" w:hanging="360"/>
      </w:pPr>
      <w:rPr>
        <w:rFonts w:ascii="Symbol" w:hAnsi="Symbol"/>
      </w:rPr>
    </w:lvl>
    <w:lvl w:ilvl="4" w:tplc="6838A634">
      <w:start w:val="1"/>
      <w:numFmt w:val="bullet"/>
      <w:lvlText w:val=""/>
      <w:lvlJc w:val="left"/>
      <w:pPr>
        <w:ind w:left="720" w:hanging="360"/>
      </w:pPr>
      <w:rPr>
        <w:rFonts w:ascii="Symbol" w:hAnsi="Symbol"/>
      </w:rPr>
    </w:lvl>
    <w:lvl w:ilvl="5" w:tplc="BCD030D8">
      <w:start w:val="1"/>
      <w:numFmt w:val="bullet"/>
      <w:lvlText w:val=""/>
      <w:lvlJc w:val="left"/>
      <w:pPr>
        <w:ind w:left="720" w:hanging="360"/>
      </w:pPr>
      <w:rPr>
        <w:rFonts w:ascii="Symbol" w:hAnsi="Symbol"/>
      </w:rPr>
    </w:lvl>
    <w:lvl w:ilvl="6" w:tplc="3246F26C">
      <w:start w:val="1"/>
      <w:numFmt w:val="bullet"/>
      <w:lvlText w:val=""/>
      <w:lvlJc w:val="left"/>
      <w:pPr>
        <w:ind w:left="720" w:hanging="360"/>
      </w:pPr>
      <w:rPr>
        <w:rFonts w:ascii="Symbol" w:hAnsi="Symbol"/>
      </w:rPr>
    </w:lvl>
    <w:lvl w:ilvl="7" w:tplc="A170CE98">
      <w:start w:val="1"/>
      <w:numFmt w:val="bullet"/>
      <w:lvlText w:val=""/>
      <w:lvlJc w:val="left"/>
      <w:pPr>
        <w:ind w:left="720" w:hanging="360"/>
      </w:pPr>
      <w:rPr>
        <w:rFonts w:ascii="Symbol" w:hAnsi="Symbol"/>
      </w:rPr>
    </w:lvl>
    <w:lvl w:ilvl="8" w:tplc="213C46D2">
      <w:start w:val="1"/>
      <w:numFmt w:val="bullet"/>
      <w:lvlText w:val=""/>
      <w:lvlJc w:val="left"/>
      <w:pPr>
        <w:ind w:left="720" w:hanging="360"/>
      </w:pPr>
      <w:rPr>
        <w:rFonts w:ascii="Symbol" w:hAnsi="Symbol"/>
      </w:rPr>
    </w:lvl>
  </w:abstractNum>
  <w:abstractNum w:abstractNumId="21" w15:restartNumberingAfterBreak="0">
    <w:nsid w:val="542F5CF8"/>
    <w:multiLevelType w:val="hybridMultilevel"/>
    <w:tmpl w:val="2D14B7F6"/>
    <w:lvl w:ilvl="0" w:tplc="3BE4E632">
      <w:start w:val="1"/>
      <w:numFmt w:val="decimal"/>
      <w:lvlText w:val="%1."/>
      <w:lvlJc w:val="left"/>
      <w:pPr>
        <w:tabs>
          <w:tab w:val="num" w:pos="1080"/>
        </w:tabs>
        <w:ind w:left="108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BD68AEE2">
      <w:start w:val="1"/>
      <w:numFmt w:val="lowerLetter"/>
      <w:lvlText w:val="%2."/>
      <w:lvlJc w:val="left"/>
      <w:pPr>
        <w:tabs>
          <w:tab w:val="num" w:pos="1440"/>
        </w:tabs>
        <w:ind w:left="1440" w:hanging="360"/>
      </w:pPr>
    </w:lvl>
    <w:lvl w:ilvl="2" w:tplc="873A3B1E" w:tentative="1">
      <w:start w:val="1"/>
      <w:numFmt w:val="lowerRoman"/>
      <w:lvlText w:val="%3."/>
      <w:lvlJc w:val="right"/>
      <w:pPr>
        <w:tabs>
          <w:tab w:val="num" w:pos="2160"/>
        </w:tabs>
        <w:ind w:left="2160" w:hanging="180"/>
      </w:pPr>
    </w:lvl>
    <w:lvl w:ilvl="3" w:tplc="3EA81A9C" w:tentative="1">
      <w:start w:val="1"/>
      <w:numFmt w:val="decimal"/>
      <w:lvlText w:val="%4."/>
      <w:lvlJc w:val="left"/>
      <w:pPr>
        <w:tabs>
          <w:tab w:val="num" w:pos="2880"/>
        </w:tabs>
        <w:ind w:left="2880" w:hanging="360"/>
      </w:pPr>
    </w:lvl>
    <w:lvl w:ilvl="4" w:tplc="1E2A864C" w:tentative="1">
      <w:start w:val="1"/>
      <w:numFmt w:val="lowerLetter"/>
      <w:lvlText w:val="%5."/>
      <w:lvlJc w:val="left"/>
      <w:pPr>
        <w:tabs>
          <w:tab w:val="num" w:pos="3600"/>
        </w:tabs>
        <w:ind w:left="3600" w:hanging="360"/>
      </w:pPr>
    </w:lvl>
    <w:lvl w:ilvl="5" w:tplc="8286D908" w:tentative="1">
      <w:start w:val="1"/>
      <w:numFmt w:val="lowerRoman"/>
      <w:lvlText w:val="%6."/>
      <w:lvlJc w:val="right"/>
      <w:pPr>
        <w:tabs>
          <w:tab w:val="num" w:pos="4320"/>
        </w:tabs>
        <w:ind w:left="4320" w:hanging="180"/>
      </w:pPr>
    </w:lvl>
    <w:lvl w:ilvl="6" w:tplc="C814205E" w:tentative="1">
      <w:start w:val="1"/>
      <w:numFmt w:val="decimal"/>
      <w:lvlText w:val="%7."/>
      <w:lvlJc w:val="left"/>
      <w:pPr>
        <w:tabs>
          <w:tab w:val="num" w:pos="5040"/>
        </w:tabs>
        <w:ind w:left="5040" w:hanging="360"/>
      </w:pPr>
    </w:lvl>
    <w:lvl w:ilvl="7" w:tplc="232EE452" w:tentative="1">
      <w:start w:val="1"/>
      <w:numFmt w:val="lowerLetter"/>
      <w:lvlText w:val="%8."/>
      <w:lvlJc w:val="left"/>
      <w:pPr>
        <w:tabs>
          <w:tab w:val="num" w:pos="5760"/>
        </w:tabs>
        <w:ind w:left="5760" w:hanging="360"/>
      </w:pPr>
    </w:lvl>
    <w:lvl w:ilvl="8" w:tplc="BB541412" w:tentative="1">
      <w:start w:val="1"/>
      <w:numFmt w:val="lowerRoman"/>
      <w:lvlText w:val="%9."/>
      <w:lvlJc w:val="right"/>
      <w:pPr>
        <w:tabs>
          <w:tab w:val="num" w:pos="6480"/>
        </w:tabs>
        <w:ind w:left="6480" w:hanging="180"/>
      </w:pPr>
    </w:lvl>
  </w:abstractNum>
  <w:abstractNum w:abstractNumId="22" w15:restartNumberingAfterBreak="0">
    <w:nsid w:val="64E02468"/>
    <w:multiLevelType w:val="hybridMultilevel"/>
    <w:tmpl w:val="8CBC70EC"/>
    <w:lvl w:ilvl="0" w:tplc="2B1E8D20">
      <w:start w:val="1"/>
      <w:numFmt w:val="decimal"/>
      <w:lvlText w:val="%1."/>
      <w:lvlJc w:val="left"/>
      <w:pPr>
        <w:ind w:left="720" w:hanging="360"/>
      </w:pPr>
    </w:lvl>
    <w:lvl w:ilvl="1" w:tplc="8A0ED8CA">
      <w:start w:val="1"/>
      <w:numFmt w:val="lowerLetter"/>
      <w:lvlText w:val="%2."/>
      <w:lvlJc w:val="left"/>
      <w:pPr>
        <w:ind w:left="1440" w:hanging="360"/>
      </w:pPr>
    </w:lvl>
    <w:lvl w:ilvl="2" w:tplc="4BC41D6A">
      <w:start w:val="1"/>
      <w:numFmt w:val="lowerRoman"/>
      <w:lvlText w:val="%3."/>
      <w:lvlJc w:val="right"/>
      <w:pPr>
        <w:ind w:left="2160" w:hanging="180"/>
      </w:pPr>
    </w:lvl>
    <w:lvl w:ilvl="3" w:tplc="CF56A9EE">
      <w:start w:val="1"/>
      <w:numFmt w:val="decimal"/>
      <w:lvlText w:val="%4."/>
      <w:lvlJc w:val="left"/>
      <w:pPr>
        <w:ind w:left="2880" w:hanging="360"/>
      </w:pPr>
    </w:lvl>
    <w:lvl w:ilvl="4" w:tplc="AF9432B6">
      <w:start w:val="1"/>
      <w:numFmt w:val="lowerLetter"/>
      <w:lvlText w:val="%5."/>
      <w:lvlJc w:val="left"/>
      <w:pPr>
        <w:ind w:left="3600" w:hanging="360"/>
      </w:pPr>
    </w:lvl>
    <w:lvl w:ilvl="5" w:tplc="C3C4AB84">
      <w:start w:val="10"/>
      <w:numFmt w:val="bullet"/>
      <w:lvlText w:val="-"/>
      <w:lvlJc w:val="left"/>
      <w:pPr>
        <w:ind w:left="4500" w:hanging="360"/>
      </w:pPr>
      <w:rPr>
        <w:rFonts w:ascii="Calibri" w:eastAsia="Calibri" w:hAnsi="Calibri" w:cs="Calibri" w:hint="default"/>
      </w:rPr>
    </w:lvl>
    <w:lvl w:ilvl="6" w:tplc="718EF8AE" w:tentative="1">
      <w:start w:val="1"/>
      <w:numFmt w:val="decimal"/>
      <w:lvlText w:val="%7."/>
      <w:lvlJc w:val="left"/>
      <w:pPr>
        <w:ind w:left="5040" w:hanging="360"/>
      </w:pPr>
    </w:lvl>
    <w:lvl w:ilvl="7" w:tplc="B964A820" w:tentative="1">
      <w:start w:val="1"/>
      <w:numFmt w:val="lowerLetter"/>
      <w:lvlText w:val="%8."/>
      <w:lvlJc w:val="left"/>
      <w:pPr>
        <w:ind w:left="5760" w:hanging="360"/>
      </w:pPr>
    </w:lvl>
    <w:lvl w:ilvl="8" w:tplc="7608A3C6" w:tentative="1">
      <w:start w:val="1"/>
      <w:numFmt w:val="lowerRoman"/>
      <w:lvlText w:val="%9."/>
      <w:lvlJc w:val="right"/>
      <w:pPr>
        <w:ind w:left="6480" w:hanging="180"/>
      </w:pPr>
    </w:lvl>
  </w:abstractNum>
  <w:abstractNum w:abstractNumId="23" w15:restartNumberingAfterBreak="0">
    <w:nsid w:val="76ED2F31"/>
    <w:multiLevelType w:val="multilevel"/>
    <w:tmpl w:val="FA868682"/>
    <w:lvl w:ilvl="0">
      <w:start w:val="1"/>
      <w:numFmt w:val="decimal"/>
      <w:pStyle w:val="Heading1"/>
      <w:lvlText w:val="%1."/>
      <w:lvlJc w:val="left"/>
      <w:pPr>
        <w:tabs>
          <w:tab w:val="num" w:pos="360"/>
        </w:tabs>
        <w:ind w:left="0" w:firstLine="0"/>
      </w:pPr>
      <w:rPr>
        <w:rFonts w:ascii="Times New Roman" w:hAnsi="Times New Roman" w:cs="Times New Roman" w:hint="default"/>
        <w:b/>
        <w:i w:val="0"/>
        <w:caps w:val="0"/>
        <w:small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7362"/>
        </w:tabs>
        <w:ind w:left="6480" w:firstLine="720"/>
      </w:pPr>
      <w:rPr>
        <w:rFonts w:ascii="Times New Roman" w:hAnsi="Times New Roman" w:cs="Times New Roman" w:hint="default"/>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224"/>
        </w:tabs>
        <w:ind w:left="0" w:firstLine="144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normal text)" w:hAnsi="(normal text)"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E945A32"/>
    <w:multiLevelType w:val="hybridMultilevel"/>
    <w:tmpl w:val="3E385062"/>
    <w:lvl w:ilvl="0" w:tplc="89C6F13A">
      <w:start w:val="1"/>
      <w:numFmt w:val="decimal"/>
      <w:lvlText w:val="%1."/>
      <w:lvlJc w:val="left"/>
      <w:pPr>
        <w:ind w:left="720" w:hanging="360"/>
      </w:pPr>
    </w:lvl>
    <w:lvl w:ilvl="1" w:tplc="BD32C256" w:tentative="1">
      <w:start w:val="1"/>
      <w:numFmt w:val="lowerLetter"/>
      <w:lvlText w:val="%2."/>
      <w:lvlJc w:val="left"/>
      <w:pPr>
        <w:ind w:left="1440" w:hanging="360"/>
      </w:pPr>
    </w:lvl>
    <w:lvl w:ilvl="2" w:tplc="16A03E32" w:tentative="1">
      <w:start w:val="1"/>
      <w:numFmt w:val="lowerRoman"/>
      <w:lvlText w:val="%3."/>
      <w:lvlJc w:val="right"/>
      <w:pPr>
        <w:ind w:left="2160" w:hanging="180"/>
      </w:pPr>
    </w:lvl>
    <w:lvl w:ilvl="3" w:tplc="873A6130" w:tentative="1">
      <w:start w:val="1"/>
      <w:numFmt w:val="decimal"/>
      <w:lvlText w:val="%4."/>
      <w:lvlJc w:val="left"/>
      <w:pPr>
        <w:ind w:left="2880" w:hanging="360"/>
      </w:pPr>
    </w:lvl>
    <w:lvl w:ilvl="4" w:tplc="C7DE4638" w:tentative="1">
      <w:start w:val="1"/>
      <w:numFmt w:val="lowerLetter"/>
      <w:lvlText w:val="%5."/>
      <w:lvlJc w:val="left"/>
      <w:pPr>
        <w:ind w:left="3600" w:hanging="360"/>
      </w:pPr>
    </w:lvl>
    <w:lvl w:ilvl="5" w:tplc="3A16A5AC" w:tentative="1">
      <w:start w:val="1"/>
      <w:numFmt w:val="lowerRoman"/>
      <w:lvlText w:val="%6."/>
      <w:lvlJc w:val="right"/>
      <w:pPr>
        <w:ind w:left="4320" w:hanging="180"/>
      </w:pPr>
    </w:lvl>
    <w:lvl w:ilvl="6" w:tplc="3030F450" w:tentative="1">
      <w:start w:val="1"/>
      <w:numFmt w:val="decimal"/>
      <w:lvlText w:val="%7."/>
      <w:lvlJc w:val="left"/>
      <w:pPr>
        <w:ind w:left="5040" w:hanging="360"/>
      </w:pPr>
    </w:lvl>
    <w:lvl w:ilvl="7" w:tplc="358E16D0" w:tentative="1">
      <w:start w:val="1"/>
      <w:numFmt w:val="lowerLetter"/>
      <w:lvlText w:val="%8."/>
      <w:lvlJc w:val="left"/>
      <w:pPr>
        <w:ind w:left="5760" w:hanging="360"/>
      </w:pPr>
    </w:lvl>
    <w:lvl w:ilvl="8" w:tplc="75302DB2" w:tentative="1">
      <w:start w:val="1"/>
      <w:numFmt w:val="lowerRoman"/>
      <w:lvlText w:val="%9."/>
      <w:lvlJc w:val="right"/>
      <w:pPr>
        <w:ind w:left="6480" w:hanging="180"/>
      </w:pPr>
    </w:lvl>
  </w:abstractNum>
  <w:abstractNum w:abstractNumId="25" w15:restartNumberingAfterBreak="0">
    <w:nsid w:val="7FC44590"/>
    <w:multiLevelType w:val="hybridMultilevel"/>
    <w:tmpl w:val="1C821340"/>
    <w:lvl w:ilvl="0" w:tplc="472613E4">
      <w:start w:val="1"/>
      <w:numFmt w:val="upperLetter"/>
      <w:lvlText w:val="%1."/>
      <w:lvlJc w:val="left"/>
      <w:pPr>
        <w:ind w:left="720" w:hanging="360"/>
      </w:pPr>
      <w:rPr>
        <w:rFonts w:hint="default"/>
      </w:rPr>
    </w:lvl>
    <w:lvl w:ilvl="1" w:tplc="6B3AF15A" w:tentative="1">
      <w:start w:val="1"/>
      <w:numFmt w:val="lowerLetter"/>
      <w:lvlText w:val="%2."/>
      <w:lvlJc w:val="left"/>
      <w:pPr>
        <w:ind w:left="1440" w:hanging="360"/>
      </w:pPr>
    </w:lvl>
    <w:lvl w:ilvl="2" w:tplc="B088FAA0" w:tentative="1">
      <w:start w:val="1"/>
      <w:numFmt w:val="lowerRoman"/>
      <w:lvlText w:val="%3."/>
      <w:lvlJc w:val="right"/>
      <w:pPr>
        <w:ind w:left="2160" w:hanging="180"/>
      </w:pPr>
    </w:lvl>
    <w:lvl w:ilvl="3" w:tplc="781660B6" w:tentative="1">
      <w:start w:val="1"/>
      <w:numFmt w:val="decimal"/>
      <w:lvlText w:val="%4."/>
      <w:lvlJc w:val="left"/>
      <w:pPr>
        <w:ind w:left="2880" w:hanging="360"/>
      </w:pPr>
    </w:lvl>
    <w:lvl w:ilvl="4" w:tplc="986602E8" w:tentative="1">
      <w:start w:val="1"/>
      <w:numFmt w:val="lowerLetter"/>
      <w:lvlText w:val="%5."/>
      <w:lvlJc w:val="left"/>
      <w:pPr>
        <w:ind w:left="3600" w:hanging="360"/>
      </w:pPr>
    </w:lvl>
    <w:lvl w:ilvl="5" w:tplc="C31A2E78" w:tentative="1">
      <w:start w:val="1"/>
      <w:numFmt w:val="lowerRoman"/>
      <w:lvlText w:val="%6."/>
      <w:lvlJc w:val="right"/>
      <w:pPr>
        <w:ind w:left="4320" w:hanging="180"/>
      </w:pPr>
    </w:lvl>
    <w:lvl w:ilvl="6" w:tplc="2A08C094" w:tentative="1">
      <w:start w:val="1"/>
      <w:numFmt w:val="decimal"/>
      <w:lvlText w:val="%7."/>
      <w:lvlJc w:val="left"/>
      <w:pPr>
        <w:ind w:left="5040" w:hanging="360"/>
      </w:pPr>
    </w:lvl>
    <w:lvl w:ilvl="7" w:tplc="A6627348" w:tentative="1">
      <w:start w:val="1"/>
      <w:numFmt w:val="lowerLetter"/>
      <w:lvlText w:val="%8."/>
      <w:lvlJc w:val="left"/>
      <w:pPr>
        <w:ind w:left="5760" w:hanging="360"/>
      </w:pPr>
    </w:lvl>
    <w:lvl w:ilvl="8" w:tplc="EA263AB0" w:tentative="1">
      <w:start w:val="1"/>
      <w:numFmt w:val="lowerRoman"/>
      <w:lvlText w:val="%9."/>
      <w:lvlJc w:val="right"/>
      <w:pPr>
        <w:ind w:left="6480" w:hanging="180"/>
      </w:pPr>
    </w:lvl>
  </w:abstractNum>
  <w:num w:numId="1" w16cid:durableId="2054304857">
    <w:abstractNumId w:val="9"/>
  </w:num>
  <w:num w:numId="2" w16cid:durableId="1330325098">
    <w:abstractNumId w:val="7"/>
  </w:num>
  <w:num w:numId="3" w16cid:durableId="151219921">
    <w:abstractNumId w:val="6"/>
  </w:num>
  <w:num w:numId="4" w16cid:durableId="1938783184">
    <w:abstractNumId w:val="5"/>
  </w:num>
  <w:num w:numId="5" w16cid:durableId="476604306">
    <w:abstractNumId w:val="4"/>
  </w:num>
  <w:num w:numId="6" w16cid:durableId="1784111815">
    <w:abstractNumId w:val="8"/>
  </w:num>
  <w:num w:numId="7" w16cid:durableId="1460149388">
    <w:abstractNumId w:val="3"/>
  </w:num>
  <w:num w:numId="8" w16cid:durableId="383876014">
    <w:abstractNumId w:val="2"/>
  </w:num>
  <w:num w:numId="9" w16cid:durableId="784159004">
    <w:abstractNumId w:val="1"/>
  </w:num>
  <w:num w:numId="10" w16cid:durableId="1212813347">
    <w:abstractNumId w:val="0"/>
  </w:num>
  <w:num w:numId="11" w16cid:durableId="407044940">
    <w:abstractNumId w:val="21"/>
  </w:num>
  <w:num w:numId="12" w16cid:durableId="23597924">
    <w:abstractNumId w:val="23"/>
  </w:num>
  <w:num w:numId="13" w16cid:durableId="1330791713">
    <w:abstractNumId w:val="15"/>
  </w:num>
  <w:num w:numId="14" w16cid:durableId="2046565889">
    <w:abstractNumId w:val="23"/>
  </w:num>
  <w:num w:numId="15" w16cid:durableId="1943218615">
    <w:abstractNumId w:val="23"/>
  </w:num>
  <w:num w:numId="16" w16cid:durableId="1544361562">
    <w:abstractNumId w:val="23"/>
  </w:num>
  <w:num w:numId="17" w16cid:durableId="1091043891">
    <w:abstractNumId w:val="23"/>
  </w:num>
  <w:num w:numId="18" w16cid:durableId="583800096">
    <w:abstractNumId w:val="23"/>
  </w:num>
  <w:num w:numId="19" w16cid:durableId="1753745118">
    <w:abstractNumId w:val="23"/>
  </w:num>
  <w:num w:numId="20" w16cid:durableId="746028222">
    <w:abstractNumId w:val="23"/>
  </w:num>
  <w:num w:numId="21" w16cid:durableId="815295109">
    <w:abstractNumId w:val="12"/>
  </w:num>
  <w:num w:numId="22" w16cid:durableId="675615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3453826">
    <w:abstractNumId w:val="22"/>
  </w:num>
  <w:num w:numId="24" w16cid:durableId="834759614">
    <w:abstractNumId w:val="24"/>
  </w:num>
  <w:num w:numId="25" w16cid:durableId="1425540358">
    <w:abstractNumId w:val="19"/>
  </w:num>
  <w:num w:numId="26" w16cid:durableId="375928352">
    <w:abstractNumId w:val="23"/>
  </w:num>
  <w:num w:numId="27" w16cid:durableId="607086411">
    <w:abstractNumId w:val="23"/>
  </w:num>
  <w:num w:numId="28" w16cid:durableId="1579947594">
    <w:abstractNumId w:val="23"/>
  </w:num>
  <w:num w:numId="29" w16cid:durableId="377823153">
    <w:abstractNumId w:val="11"/>
  </w:num>
  <w:num w:numId="30" w16cid:durableId="966398740">
    <w:abstractNumId w:val="13"/>
  </w:num>
  <w:num w:numId="31" w16cid:durableId="1583641412">
    <w:abstractNumId w:val="23"/>
  </w:num>
  <w:num w:numId="32" w16cid:durableId="650254562">
    <w:abstractNumId w:val="10"/>
  </w:num>
  <w:num w:numId="33" w16cid:durableId="961304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6605376">
    <w:abstractNumId w:val="25"/>
  </w:num>
  <w:num w:numId="35" w16cid:durableId="140772178">
    <w:abstractNumId w:val="16"/>
  </w:num>
  <w:num w:numId="36" w16cid:durableId="505093311">
    <w:abstractNumId w:val="17"/>
  </w:num>
  <w:num w:numId="37" w16cid:durableId="868031849">
    <w:abstractNumId w:val="23"/>
  </w:num>
  <w:num w:numId="38" w16cid:durableId="652216376">
    <w:abstractNumId w:val="20"/>
  </w:num>
  <w:num w:numId="39" w16cid:durableId="1600329132">
    <w:abstractNumId w:val="14"/>
  </w:num>
  <w:num w:numId="40" w16cid:durableId="2061900575">
    <w:abstractNumId w:val="18"/>
  </w:num>
  <w:num w:numId="41" w16cid:durableId="10922403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85TrailerVersion" w:val="0"/>
    <w:docVar w:name="DocStamp_1_OptionalControlValues" w:val="Library|&amp;Library|0|%l|Version|&amp;Version|0|%v|ClientMatter|&amp;Client/Matter|0|%cm"/>
    <w:docVar w:name="MPDocID" w:val="114561793"/>
    <w:docVar w:name="MPDocIDTemplate" w:val="%l| %n|v%v| %c|.%m"/>
    <w:docVar w:name="MPDocIDTemplateDefault" w:val="%l| %n|v%v| %c|.%m"/>
    <w:docVar w:name="NewDocStampType" w:val="7"/>
    <w:docVar w:name="zzmpLegacyTrailerRemovedNew" w:val="True"/>
    <w:docVar w:name="zzmpTrailerDateFormat" w:val="0"/>
  </w:docVars>
  <w:rsids>
    <w:rsidRoot w:val="00D87EC3"/>
    <w:rsid w:val="000009CC"/>
    <w:rsid w:val="000015B9"/>
    <w:rsid w:val="000031B2"/>
    <w:rsid w:val="00003E19"/>
    <w:rsid w:val="00003F47"/>
    <w:rsid w:val="00003F5E"/>
    <w:rsid w:val="000043A5"/>
    <w:rsid w:val="000047FB"/>
    <w:rsid w:val="00004CB3"/>
    <w:rsid w:val="00006080"/>
    <w:rsid w:val="0000694E"/>
    <w:rsid w:val="000111BC"/>
    <w:rsid w:val="0001128C"/>
    <w:rsid w:val="00012B28"/>
    <w:rsid w:val="00013609"/>
    <w:rsid w:val="00013894"/>
    <w:rsid w:val="00013D05"/>
    <w:rsid w:val="00014AFD"/>
    <w:rsid w:val="00015402"/>
    <w:rsid w:val="00015DA9"/>
    <w:rsid w:val="00016B96"/>
    <w:rsid w:val="0001720B"/>
    <w:rsid w:val="0001762E"/>
    <w:rsid w:val="00020F07"/>
    <w:rsid w:val="0002156A"/>
    <w:rsid w:val="000226E9"/>
    <w:rsid w:val="0002366C"/>
    <w:rsid w:val="000259DF"/>
    <w:rsid w:val="0002672B"/>
    <w:rsid w:val="00027056"/>
    <w:rsid w:val="000277CC"/>
    <w:rsid w:val="00027D12"/>
    <w:rsid w:val="0003178B"/>
    <w:rsid w:val="00032795"/>
    <w:rsid w:val="000346AA"/>
    <w:rsid w:val="00034E97"/>
    <w:rsid w:val="00035E08"/>
    <w:rsid w:val="00036550"/>
    <w:rsid w:val="00037273"/>
    <w:rsid w:val="00037D59"/>
    <w:rsid w:val="000421F6"/>
    <w:rsid w:val="000421FE"/>
    <w:rsid w:val="000423D3"/>
    <w:rsid w:val="00042694"/>
    <w:rsid w:val="000426DD"/>
    <w:rsid w:val="000433F0"/>
    <w:rsid w:val="00045061"/>
    <w:rsid w:val="00045378"/>
    <w:rsid w:val="00045B14"/>
    <w:rsid w:val="00046EBD"/>
    <w:rsid w:val="00046F3F"/>
    <w:rsid w:val="0004720D"/>
    <w:rsid w:val="0004734F"/>
    <w:rsid w:val="0005042E"/>
    <w:rsid w:val="00050D22"/>
    <w:rsid w:val="00051034"/>
    <w:rsid w:val="000513DF"/>
    <w:rsid w:val="00052521"/>
    <w:rsid w:val="000528A9"/>
    <w:rsid w:val="00052971"/>
    <w:rsid w:val="00052DBB"/>
    <w:rsid w:val="00053B76"/>
    <w:rsid w:val="000550DC"/>
    <w:rsid w:val="00055B73"/>
    <w:rsid w:val="00055D2A"/>
    <w:rsid w:val="00056F2E"/>
    <w:rsid w:val="00057847"/>
    <w:rsid w:val="00057A4A"/>
    <w:rsid w:val="00057FAF"/>
    <w:rsid w:val="000601BD"/>
    <w:rsid w:val="00060269"/>
    <w:rsid w:val="000617FE"/>
    <w:rsid w:val="00061B89"/>
    <w:rsid w:val="000634D7"/>
    <w:rsid w:val="00064262"/>
    <w:rsid w:val="00065AE7"/>
    <w:rsid w:val="00065BD1"/>
    <w:rsid w:val="000667F3"/>
    <w:rsid w:val="00066851"/>
    <w:rsid w:val="0007118F"/>
    <w:rsid w:val="00072D12"/>
    <w:rsid w:val="00072DED"/>
    <w:rsid w:val="00073035"/>
    <w:rsid w:val="00074448"/>
    <w:rsid w:val="000744A6"/>
    <w:rsid w:val="00074853"/>
    <w:rsid w:val="000756A0"/>
    <w:rsid w:val="000762D1"/>
    <w:rsid w:val="00080486"/>
    <w:rsid w:val="00080BDC"/>
    <w:rsid w:val="000817C1"/>
    <w:rsid w:val="00082E57"/>
    <w:rsid w:val="000833DF"/>
    <w:rsid w:val="00083671"/>
    <w:rsid w:val="00083C3E"/>
    <w:rsid w:val="00083D8F"/>
    <w:rsid w:val="000846A2"/>
    <w:rsid w:val="000849D2"/>
    <w:rsid w:val="00086601"/>
    <w:rsid w:val="00086AE9"/>
    <w:rsid w:val="000873EF"/>
    <w:rsid w:val="00090412"/>
    <w:rsid w:val="00091B1A"/>
    <w:rsid w:val="000928BF"/>
    <w:rsid w:val="00092938"/>
    <w:rsid w:val="000975BA"/>
    <w:rsid w:val="00097A0F"/>
    <w:rsid w:val="000A0257"/>
    <w:rsid w:val="000A069A"/>
    <w:rsid w:val="000A1126"/>
    <w:rsid w:val="000A1E47"/>
    <w:rsid w:val="000A2CA6"/>
    <w:rsid w:val="000A2EEA"/>
    <w:rsid w:val="000A39EF"/>
    <w:rsid w:val="000A40F7"/>
    <w:rsid w:val="000A4B03"/>
    <w:rsid w:val="000A4CD0"/>
    <w:rsid w:val="000A4EE8"/>
    <w:rsid w:val="000A5095"/>
    <w:rsid w:val="000A54B1"/>
    <w:rsid w:val="000A6A2E"/>
    <w:rsid w:val="000A6BB4"/>
    <w:rsid w:val="000B1868"/>
    <w:rsid w:val="000B1C3C"/>
    <w:rsid w:val="000B2228"/>
    <w:rsid w:val="000B30DC"/>
    <w:rsid w:val="000B31F3"/>
    <w:rsid w:val="000B3A51"/>
    <w:rsid w:val="000B428D"/>
    <w:rsid w:val="000B5292"/>
    <w:rsid w:val="000B61E2"/>
    <w:rsid w:val="000B6ACF"/>
    <w:rsid w:val="000B7880"/>
    <w:rsid w:val="000C24A7"/>
    <w:rsid w:val="000C3305"/>
    <w:rsid w:val="000C35B7"/>
    <w:rsid w:val="000C4FC7"/>
    <w:rsid w:val="000C53DC"/>
    <w:rsid w:val="000C5407"/>
    <w:rsid w:val="000C5740"/>
    <w:rsid w:val="000C6F2A"/>
    <w:rsid w:val="000C7445"/>
    <w:rsid w:val="000C775C"/>
    <w:rsid w:val="000C77C6"/>
    <w:rsid w:val="000C7BBE"/>
    <w:rsid w:val="000D015A"/>
    <w:rsid w:val="000D0E71"/>
    <w:rsid w:val="000D1ADA"/>
    <w:rsid w:val="000D3094"/>
    <w:rsid w:val="000D31A8"/>
    <w:rsid w:val="000D328C"/>
    <w:rsid w:val="000D3353"/>
    <w:rsid w:val="000D3413"/>
    <w:rsid w:val="000D361A"/>
    <w:rsid w:val="000D3904"/>
    <w:rsid w:val="000D475E"/>
    <w:rsid w:val="000D4F62"/>
    <w:rsid w:val="000D5790"/>
    <w:rsid w:val="000E0C9F"/>
    <w:rsid w:val="000E0FD0"/>
    <w:rsid w:val="000E1018"/>
    <w:rsid w:val="000E1455"/>
    <w:rsid w:val="000E34CB"/>
    <w:rsid w:val="000E374B"/>
    <w:rsid w:val="000E3A4E"/>
    <w:rsid w:val="000E47BA"/>
    <w:rsid w:val="000E6945"/>
    <w:rsid w:val="000E7FCE"/>
    <w:rsid w:val="000F07A4"/>
    <w:rsid w:val="000F0E06"/>
    <w:rsid w:val="000F1900"/>
    <w:rsid w:val="000F4580"/>
    <w:rsid w:val="000F4613"/>
    <w:rsid w:val="000F5E25"/>
    <w:rsid w:val="000F7369"/>
    <w:rsid w:val="000F7A99"/>
    <w:rsid w:val="001005E0"/>
    <w:rsid w:val="001012B5"/>
    <w:rsid w:val="001018E4"/>
    <w:rsid w:val="0010252B"/>
    <w:rsid w:val="00102921"/>
    <w:rsid w:val="001065E0"/>
    <w:rsid w:val="00107BD7"/>
    <w:rsid w:val="001109D7"/>
    <w:rsid w:val="00110AC0"/>
    <w:rsid w:val="00110CBE"/>
    <w:rsid w:val="001124DC"/>
    <w:rsid w:val="00113A5C"/>
    <w:rsid w:val="001144C1"/>
    <w:rsid w:val="00115F12"/>
    <w:rsid w:val="00116573"/>
    <w:rsid w:val="00117C01"/>
    <w:rsid w:val="00121BC2"/>
    <w:rsid w:val="0012240D"/>
    <w:rsid w:val="001226FC"/>
    <w:rsid w:val="00122A5B"/>
    <w:rsid w:val="00123A90"/>
    <w:rsid w:val="00123FBD"/>
    <w:rsid w:val="00124D13"/>
    <w:rsid w:val="00124DB2"/>
    <w:rsid w:val="00125877"/>
    <w:rsid w:val="00125F24"/>
    <w:rsid w:val="0012615F"/>
    <w:rsid w:val="00126825"/>
    <w:rsid w:val="001272CA"/>
    <w:rsid w:val="001276C8"/>
    <w:rsid w:val="00130CD3"/>
    <w:rsid w:val="00132E98"/>
    <w:rsid w:val="001333B8"/>
    <w:rsid w:val="00133A47"/>
    <w:rsid w:val="00134C0C"/>
    <w:rsid w:val="00136212"/>
    <w:rsid w:val="0013739E"/>
    <w:rsid w:val="0014081A"/>
    <w:rsid w:val="00141622"/>
    <w:rsid w:val="0014224D"/>
    <w:rsid w:val="001423BC"/>
    <w:rsid w:val="00142682"/>
    <w:rsid w:val="001432C3"/>
    <w:rsid w:val="001437CA"/>
    <w:rsid w:val="001439B9"/>
    <w:rsid w:val="00143D94"/>
    <w:rsid w:val="001444E3"/>
    <w:rsid w:val="0014623F"/>
    <w:rsid w:val="001464D0"/>
    <w:rsid w:val="0015028C"/>
    <w:rsid w:val="001510B5"/>
    <w:rsid w:val="001511EC"/>
    <w:rsid w:val="001517B9"/>
    <w:rsid w:val="001531CD"/>
    <w:rsid w:val="00153786"/>
    <w:rsid w:val="00154BE3"/>
    <w:rsid w:val="0015543D"/>
    <w:rsid w:val="0015673B"/>
    <w:rsid w:val="001577DC"/>
    <w:rsid w:val="00157BA0"/>
    <w:rsid w:val="001612CA"/>
    <w:rsid w:val="001618A2"/>
    <w:rsid w:val="0016247C"/>
    <w:rsid w:val="0016444C"/>
    <w:rsid w:val="0016458B"/>
    <w:rsid w:val="0016473C"/>
    <w:rsid w:val="001675C2"/>
    <w:rsid w:val="00167B11"/>
    <w:rsid w:val="00170CA8"/>
    <w:rsid w:val="001718D3"/>
    <w:rsid w:val="0017265E"/>
    <w:rsid w:val="00172E0B"/>
    <w:rsid w:val="00173435"/>
    <w:rsid w:val="00173CB4"/>
    <w:rsid w:val="001742F2"/>
    <w:rsid w:val="00175525"/>
    <w:rsid w:val="00176064"/>
    <w:rsid w:val="001764CC"/>
    <w:rsid w:val="00176FC4"/>
    <w:rsid w:val="00180860"/>
    <w:rsid w:val="00180E1D"/>
    <w:rsid w:val="00180E2A"/>
    <w:rsid w:val="0018245D"/>
    <w:rsid w:val="00183707"/>
    <w:rsid w:val="0018383E"/>
    <w:rsid w:val="00183D9D"/>
    <w:rsid w:val="0018560A"/>
    <w:rsid w:val="00185876"/>
    <w:rsid w:val="001859B1"/>
    <w:rsid w:val="00186845"/>
    <w:rsid w:val="0018685A"/>
    <w:rsid w:val="0018714A"/>
    <w:rsid w:val="00187166"/>
    <w:rsid w:val="001908F1"/>
    <w:rsid w:val="001924FA"/>
    <w:rsid w:val="00193458"/>
    <w:rsid w:val="00193DA0"/>
    <w:rsid w:val="00194C1B"/>
    <w:rsid w:val="00195437"/>
    <w:rsid w:val="00196D7E"/>
    <w:rsid w:val="00197800"/>
    <w:rsid w:val="001A02FE"/>
    <w:rsid w:val="001A1921"/>
    <w:rsid w:val="001A25C7"/>
    <w:rsid w:val="001A29DA"/>
    <w:rsid w:val="001A2D86"/>
    <w:rsid w:val="001A479E"/>
    <w:rsid w:val="001A4955"/>
    <w:rsid w:val="001A52D8"/>
    <w:rsid w:val="001A5ECF"/>
    <w:rsid w:val="001A6C0D"/>
    <w:rsid w:val="001A7129"/>
    <w:rsid w:val="001A7E9F"/>
    <w:rsid w:val="001B18E1"/>
    <w:rsid w:val="001B18E9"/>
    <w:rsid w:val="001B33C3"/>
    <w:rsid w:val="001B4BF7"/>
    <w:rsid w:val="001B5B70"/>
    <w:rsid w:val="001B6A6C"/>
    <w:rsid w:val="001B6C31"/>
    <w:rsid w:val="001C0C97"/>
    <w:rsid w:val="001C0F0D"/>
    <w:rsid w:val="001C188C"/>
    <w:rsid w:val="001C2082"/>
    <w:rsid w:val="001C269C"/>
    <w:rsid w:val="001C328B"/>
    <w:rsid w:val="001C47F4"/>
    <w:rsid w:val="001C5F18"/>
    <w:rsid w:val="001C6506"/>
    <w:rsid w:val="001C6B0C"/>
    <w:rsid w:val="001C7C08"/>
    <w:rsid w:val="001D126B"/>
    <w:rsid w:val="001D2DCC"/>
    <w:rsid w:val="001D2EDD"/>
    <w:rsid w:val="001D55A6"/>
    <w:rsid w:val="001D5653"/>
    <w:rsid w:val="001D61C6"/>
    <w:rsid w:val="001D7B5F"/>
    <w:rsid w:val="001D7BA9"/>
    <w:rsid w:val="001E109B"/>
    <w:rsid w:val="001E1617"/>
    <w:rsid w:val="001E1700"/>
    <w:rsid w:val="001E3795"/>
    <w:rsid w:val="001E3A57"/>
    <w:rsid w:val="001E4C52"/>
    <w:rsid w:val="001E58E5"/>
    <w:rsid w:val="001E5A63"/>
    <w:rsid w:val="001E6A06"/>
    <w:rsid w:val="001E6B6F"/>
    <w:rsid w:val="001E6EB1"/>
    <w:rsid w:val="001E75D6"/>
    <w:rsid w:val="001F02F3"/>
    <w:rsid w:val="001F103D"/>
    <w:rsid w:val="001F25EF"/>
    <w:rsid w:val="001F382D"/>
    <w:rsid w:val="001F3D69"/>
    <w:rsid w:val="001F5BB7"/>
    <w:rsid w:val="002002DF"/>
    <w:rsid w:val="00201AE1"/>
    <w:rsid w:val="00201FE0"/>
    <w:rsid w:val="00204734"/>
    <w:rsid w:val="002056FE"/>
    <w:rsid w:val="00205AA3"/>
    <w:rsid w:val="0020615C"/>
    <w:rsid w:val="0020634C"/>
    <w:rsid w:val="002064D3"/>
    <w:rsid w:val="0020725F"/>
    <w:rsid w:val="00210818"/>
    <w:rsid w:val="00211386"/>
    <w:rsid w:val="00212730"/>
    <w:rsid w:val="002134E1"/>
    <w:rsid w:val="00214983"/>
    <w:rsid w:val="00214C41"/>
    <w:rsid w:val="00214C9A"/>
    <w:rsid w:val="00216B98"/>
    <w:rsid w:val="00217C4A"/>
    <w:rsid w:val="00220281"/>
    <w:rsid w:val="00220E3E"/>
    <w:rsid w:val="00220F60"/>
    <w:rsid w:val="002211EA"/>
    <w:rsid w:val="0022148D"/>
    <w:rsid w:val="00221C22"/>
    <w:rsid w:val="00221ED9"/>
    <w:rsid w:val="0022238F"/>
    <w:rsid w:val="00222B98"/>
    <w:rsid w:val="002233C5"/>
    <w:rsid w:val="00224C51"/>
    <w:rsid w:val="00224DD2"/>
    <w:rsid w:val="00225F01"/>
    <w:rsid w:val="00226BE9"/>
    <w:rsid w:val="00227545"/>
    <w:rsid w:val="00227986"/>
    <w:rsid w:val="002318E6"/>
    <w:rsid w:val="00232FCF"/>
    <w:rsid w:val="00233DFE"/>
    <w:rsid w:val="002346DB"/>
    <w:rsid w:val="00235D0F"/>
    <w:rsid w:val="00240DA2"/>
    <w:rsid w:val="002413D5"/>
    <w:rsid w:val="002423FB"/>
    <w:rsid w:val="002427C6"/>
    <w:rsid w:val="00242E1A"/>
    <w:rsid w:val="00243651"/>
    <w:rsid w:val="0024437F"/>
    <w:rsid w:val="0024529C"/>
    <w:rsid w:val="0024569B"/>
    <w:rsid w:val="002457E9"/>
    <w:rsid w:val="00246633"/>
    <w:rsid w:val="00246951"/>
    <w:rsid w:val="00250224"/>
    <w:rsid w:val="00250345"/>
    <w:rsid w:val="00250666"/>
    <w:rsid w:val="0025103D"/>
    <w:rsid w:val="00251699"/>
    <w:rsid w:val="002524AF"/>
    <w:rsid w:val="00252C64"/>
    <w:rsid w:val="00252D8E"/>
    <w:rsid w:val="002535CC"/>
    <w:rsid w:val="002552F6"/>
    <w:rsid w:val="0025549D"/>
    <w:rsid w:val="00255CC0"/>
    <w:rsid w:val="002568D5"/>
    <w:rsid w:val="00257323"/>
    <w:rsid w:val="002600FA"/>
    <w:rsid w:val="002604BB"/>
    <w:rsid w:val="00263477"/>
    <w:rsid w:val="00264200"/>
    <w:rsid w:val="002644D3"/>
    <w:rsid w:val="002645E9"/>
    <w:rsid w:val="00264ADF"/>
    <w:rsid w:val="00264DC5"/>
    <w:rsid w:val="0026574D"/>
    <w:rsid w:val="002666FF"/>
    <w:rsid w:val="00270631"/>
    <w:rsid w:val="00271FCC"/>
    <w:rsid w:val="00272F72"/>
    <w:rsid w:val="00273135"/>
    <w:rsid w:val="0027334A"/>
    <w:rsid w:val="00273A3E"/>
    <w:rsid w:val="00273DBF"/>
    <w:rsid w:val="00273E21"/>
    <w:rsid w:val="00274BAF"/>
    <w:rsid w:val="0027521C"/>
    <w:rsid w:val="00276827"/>
    <w:rsid w:val="00276B4C"/>
    <w:rsid w:val="00276C28"/>
    <w:rsid w:val="00276D90"/>
    <w:rsid w:val="002801B3"/>
    <w:rsid w:val="0028061A"/>
    <w:rsid w:val="00281069"/>
    <w:rsid w:val="00281BE0"/>
    <w:rsid w:val="00281DA0"/>
    <w:rsid w:val="002821F1"/>
    <w:rsid w:val="00283CAD"/>
    <w:rsid w:val="00283E62"/>
    <w:rsid w:val="002843B3"/>
    <w:rsid w:val="00284579"/>
    <w:rsid w:val="00284784"/>
    <w:rsid w:val="002858E7"/>
    <w:rsid w:val="00286DF9"/>
    <w:rsid w:val="00287250"/>
    <w:rsid w:val="0029074B"/>
    <w:rsid w:val="00291ECE"/>
    <w:rsid w:val="00292F30"/>
    <w:rsid w:val="002932FF"/>
    <w:rsid w:val="00294969"/>
    <w:rsid w:val="0029584B"/>
    <w:rsid w:val="00295E1D"/>
    <w:rsid w:val="00296094"/>
    <w:rsid w:val="002972C5"/>
    <w:rsid w:val="00297372"/>
    <w:rsid w:val="00297D16"/>
    <w:rsid w:val="002A088A"/>
    <w:rsid w:val="002A11C0"/>
    <w:rsid w:val="002A174F"/>
    <w:rsid w:val="002A1A04"/>
    <w:rsid w:val="002A1A8A"/>
    <w:rsid w:val="002A267B"/>
    <w:rsid w:val="002A285D"/>
    <w:rsid w:val="002A33BF"/>
    <w:rsid w:val="002A35EA"/>
    <w:rsid w:val="002A4735"/>
    <w:rsid w:val="002A57BC"/>
    <w:rsid w:val="002A5BAE"/>
    <w:rsid w:val="002A634F"/>
    <w:rsid w:val="002A6778"/>
    <w:rsid w:val="002A7E52"/>
    <w:rsid w:val="002B0382"/>
    <w:rsid w:val="002B1C14"/>
    <w:rsid w:val="002B1EE8"/>
    <w:rsid w:val="002B21E9"/>
    <w:rsid w:val="002B28E6"/>
    <w:rsid w:val="002B3FF8"/>
    <w:rsid w:val="002B6744"/>
    <w:rsid w:val="002C0223"/>
    <w:rsid w:val="002C0243"/>
    <w:rsid w:val="002C08A5"/>
    <w:rsid w:val="002C1279"/>
    <w:rsid w:val="002C23FE"/>
    <w:rsid w:val="002C268A"/>
    <w:rsid w:val="002C3137"/>
    <w:rsid w:val="002C34EB"/>
    <w:rsid w:val="002C42B7"/>
    <w:rsid w:val="002C495C"/>
    <w:rsid w:val="002C5577"/>
    <w:rsid w:val="002D038E"/>
    <w:rsid w:val="002D0CBC"/>
    <w:rsid w:val="002D22D5"/>
    <w:rsid w:val="002D3FA9"/>
    <w:rsid w:val="002D43BF"/>
    <w:rsid w:val="002D4DFE"/>
    <w:rsid w:val="002D6828"/>
    <w:rsid w:val="002D6A48"/>
    <w:rsid w:val="002E0EBF"/>
    <w:rsid w:val="002E110A"/>
    <w:rsid w:val="002E180B"/>
    <w:rsid w:val="002E2295"/>
    <w:rsid w:val="002E296E"/>
    <w:rsid w:val="002E2CAE"/>
    <w:rsid w:val="002E2D71"/>
    <w:rsid w:val="002E2EB6"/>
    <w:rsid w:val="002E33F2"/>
    <w:rsid w:val="002E4074"/>
    <w:rsid w:val="002E433C"/>
    <w:rsid w:val="002E47DE"/>
    <w:rsid w:val="002E5240"/>
    <w:rsid w:val="002E540F"/>
    <w:rsid w:val="002F08B4"/>
    <w:rsid w:val="002F1228"/>
    <w:rsid w:val="002F12F4"/>
    <w:rsid w:val="002F1597"/>
    <w:rsid w:val="002F1F6E"/>
    <w:rsid w:val="002F2685"/>
    <w:rsid w:val="002F3455"/>
    <w:rsid w:val="002F36B5"/>
    <w:rsid w:val="002F3755"/>
    <w:rsid w:val="002F38A0"/>
    <w:rsid w:val="002F5114"/>
    <w:rsid w:val="002F51F1"/>
    <w:rsid w:val="002F5665"/>
    <w:rsid w:val="002F6963"/>
    <w:rsid w:val="002F6FF2"/>
    <w:rsid w:val="002F700A"/>
    <w:rsid w:val="002F71CC"/>
    <w:rsid w:val="00301864"/>
    <w:rsid w:val="00301BDC"/>
    <w:rsid w:val="00302029"/>
    <w:rsid w:val="00303F13"/>
    <w:rsid w:val="003044D0"/>
    <w:rsid w:val="00304B5E"/>
    <w:rsid w:val="00304C5B"/>
    <w:rsid w:val="00305CB6"/>
    <w:rsid w:val="00306509"/>
    <w:rsid w:val="0030723B"/>
    <w:rsid w:val="003079BD"/>
    <w:rsid w:val="00307AE1"/>
    <w:rsid w:val="0031057F"/>
    <w:rsid w:val="0031198D"/>
    <w:rsid w:val="00311B37"/>
    <w:rsid w:val="0031223C"/>
    <w:rsid w:val="0031283C"/>
    <w:rsid w:val="003128DA"/>
    <w:rsid w:val="00313E6F"/>
    <w:rsid w:val="003160BB"/>
    <w:rsid w:val="00316E9E"/>
    <w:rsid w:val="00320341"/>
    <w:rsid w:val="0032085C"/>
    <w:rsid w:val="00321304"/>
    <w:rsid w:val="003226DD"/>
    <w:rsid w:val="00322E3F"/>
    <w:rsid w:val="00324C27"/>
    <w:rsid w:val="00325A7D"/>
    <w:rsid w:val="00325EB7"/>
    <w:rsid w:val="0032610F"/>
    <w:rsid w:val="00326515"/>
    <w:rsid w:val="0032696B"/>
    <w:rsid w:val="00326CCD"/>
    <w:rsid w:val="003300EE"/>
    <w:rsid w:val="00330E85"/>
    <w:rsid w:val="0033120A"/>
    <w:rsid w:val="00332008"/>
    <w:rsid w:val="0033285D"/>
    <w:rsid w:val="00332A54"/>
    <w:rsid w:val="00332A6C"/>
    <w:rsid w:val="003332C0"/>
    <w:rsid w:val="003333E7"/>
    <w:rsid w:val="0033391D"/>
    <w:rsid w:val="00333D9B"/>
    <w:rsid w:val="003344A0"/>
    <w:rsid w:val="003351B3"/>
    <w:rsid w:val="00335D8D"/>
    <w:rsid w:val="00335F29"/>
    <w:rsid w:val="00335FF7"/>
    <w:rsid w:val="003404C9"/>
    <w:rsid w:val="00341DFC"/>
    <w:rsid w:val="0034245F"/>
    <w:rsid w:val="003428BA"/>
    <w:rsid w:val="00342CB3"/>
    <w:rsid w:val="00343B99"/>
    <w:rsid w:val="003444C9"/>
    <w:rsid w:val="00344B00"/>
    <w:rsid w:val="00344F28"/>
    <w:rsid w:val="00345B4D"/>
    <w:rsid w:val="00345D99"/>
    <w:rsid w:val="0035133A"/>
    <w:rsid w:val="003515E3"/>
    <w:rsid w:val="0035226E"/>
    <w:rsid w:val="0035264A"/>
    <w:rsid w:val="00353C0A"/>
    <w:rsid w:val="003544CB"/>
    <w:rsid w:val="00354AE6"/>
    <w:rsid w:val="003554EB"/>
    <w:rsid w:val="003556DD"/>
    <w:rsid w:val="0035656B"/>
    <w:rsid w:val="00356EB5"/>
    <w:rsid w:val="00357A53"/>
    <w:rsid w:val="00360D61"/>
    <w:rsid w:val="0036124A"/>
    <w:rsid w:val="003618C9"/>
    <w:rsid w:val="00363192"/>
    <w:rsid w:val="003632C4"/>
    <w:rsid w:val="00363ADB"/>
    <w:rsid w:val="00364CD3"/>
    <w:rsid w:val="00365074"/>
    <w:rsid w:val="0036547D"/>
    <w:rsid w:val="00366679"/>
    <w:rsid w:val="0036795E"/>
    <w:rsid w:val="00367D49"/>
    <w:rsid w:val="003702D6"/>
    <w:rsid w:val="00370C1C"/>
    <w:rsid w:val="00371205"/>
    <w:rsid w:val="003721B5"/>
    <w:rsid w:val="0037243B"/>
    <w:rsid w:val="003729B8"/>
    <w:rsid w:val="00372DBD"/>
    <w:rsid w:val="0037375C"/>
    <w:rsid w:val="00373C7B"/>
    <w:rsid w:val="00373F7D"/>
    <w:rsid w:val="00374CD1"/>
    <w:rsid w:val="0037588F"/>
    <w:rsid w:val="003758BE"/>
    <w:rsid w:val="00375A24"/>
    <w:rsid w:val="00375C35"/>
    <w:rsid w:val="00376AFE"/>
    <w:rsid w:val="00376C4D"/>
    <w:rsid w:val="0037736A"/>
    <w:rsid w:val="00380214"/>
    <w:rsid w:val="0038054E"/>
    <w:rsid w:val="0038076A"/>
    <w:rsid w:val="003807F6"/>
    <w:rsid w:val="00382765"/>
    <w:rsid w:val="00383282"/>
    <w:rsid w:val="003838DF"/>
    <w:rsid w:val="00383B1E"/>
    <w:rsid w:val="0038425E"/>
    <w:rsid w:val="00385052"/>
    <w:rsid w:val="003862DA"/>
    <w:rsid w:val="003873C0"/>
    <w:rsid w:val="00387A9A"/>
    <w:rsid w:val="0039000D"/>
    <w:rsid w:val="00390F63"/>
    <w:rsid w:val="003914BC"/>
    <w:rsid w:val="00392363"/>
    <w:rsid w:val="00392ADC"/>
    <w:rsid w:val="0039311C"/>
    <w:rsid w:val="00395850"/>
    <w:rsid w:val="0039585A"/>
    <w:rsid w:val="00396B10"/>
    <w:rsid w:val="00396DBC"/>
    <w:rsid w:val="00396DCD"/>
    <w:rsid w:val="003A0A03"/>
    <w:rsid w:val="003A11C9"/>
    <w:rsid w:val="003A1952"/>
    <w:rsid w:val="003A24BE"/>
    <w:rsid w:val="003A2783"/>
    <w:rsid w:val="003A27DD"/>
    <w:rsid w:val="003A38C8"/>
    <w:rsid w:val="003A458D"/>
    <w:rsid w:val="003A52C2"/>
    <w:rsid w:val="003A5A91"/>
    <w:rsid w:val="003A63EF"/>
    <w:rsid w:val="003A6540"/>
    <w:rsid w:val="003B012F"/>
    <w:rsid w:val="003B07D2"/>
    <w:rsid w:val="003B1078"/>
    <w:rsid w:val="003B2688"/>
    <w:rsid w:val="003B26DB"/>
    <w:rsid w:val="003B2CEB"/>
    <w:rsid w:val="003B3584"/>
    <w:rsid w:val="003B35AD"/>
    <w:rsid w:val="003B375E"/>
    <w:rsid w:val="003B567D"/>
    <w:rsid w:val="003B5701"/>
    <w:rsid w:val="003B588A"/>
    <w:rsid w:val="003B7D39"/>
    <w:rsid w:val="003B7F7F"/>
    <w:rsid w:val="003B7FBE"/>
    <w:rsid w:val="003C1AFE"/>
    <w:rsid w:val="003C25A8"/>
    <w:rsid w:val="003C26EC"/>
    <w:rsid w:val="003C272F"/>
    <w:rsid w:val="003C2AF8"/>
    <w:rsid w:val="003C2CBE"/>
    <w:rsid w:val="003C4FC7"/>
    <w:rsid w:val="003C57B3"/>
    <w:rsid w:val="003C57B7"/>
    <w:rsid w:val="003C591A"/>
    <w:rsid w:val="003C7398"/>
    <w:rsid w:val="003C7FFB"/>
    <w:rsid w:val="003D13CE"/>
    <w:rsid w:val="003D1DF1"/>
    <w:rsid w:val="003D1F62"/>
    <w:rsid w:val="003D243C"/>
    <w:rsid w:val="003D2676"/>
    <w:rsid w:val="003D2C37"/>
    <w:rsid w:val="003D4E0F"/>
    <w:rsid w:val="003D608F"/>
    <w:rsid w:val="003D62F5"/>
    <w:rsid w:val="003D7099"/>
    <w:rsid w:val="003D7610"/>
    <w:rsid w:val="003E3036"/>
    <w:rsid w:val="003E478D"/>
    <w:rsid w:val="003E4DD7"/>
    <w:rsid w:val="003E56F8"/>
    <w:rsid w:val="003E5D1C"/>
    <w:rsid w:val="003E5FCE"/>
    <w:rsid w:val="003E7483"/>
    <w:rsid w:val="003F09DE"/>
    <w:rsid w:val="003F169D"/>
    <w:rsid w:val="003F4549"/>
    <w:rsid w:val="003F4A00"/>
    <w:rsid w:val="003F4E06"/>
    <w:rsid w:val="003F5226"/>
    <w:rsid w:val="003F58FE"/>
    <w:rsid w:val="003F593E"/>
    <w:rsid w:val="003F66EB"/>
    <w:rsid w:val="003F7EEB"/>
    <w:rsid w:val="0040034B"/>
    <w:rsid w:val="004018FD"/>
    <w:rsid w:val="00402199"/>
    <w:rsid w:val="00402602"/>
    <w:rsid w:val="00402FB5"/>
    <w:rsid w:val="0040383E"/>
    <w:rsid w:val="00403BCF"/>
    <w:rsid w:val="00403F4C"/>
    <w:rsid w:val="00404E89"/>
    <w:rsid w:val="0041190A"/>
    <w:rsid w:val="00411AC1"/>
    <w:rsid w:val="00411BFB"/>
    <w:rsid w:val="0041276F"/>
    <w:rsid w:val="004128CB"/>
    <w:rsid w:val="00414CD5"/>
    <w:rsid w:val="00414D4D"/>
    <w:rsid w:val="0041538B"/>
    <w:rsid w:val="004157D2"/>
    <w:rsid w:val="00415D44"/>
    <w:rsid w:val="00416F61"/>
    <w:rsid w:val="00417309"/>
    <w:rsid w:val="00417817"/>
    <w:rsid w:val="0042031A"/>
    <w:rsid w:val="004204E3"/>
    <w:rsid w:val="00421F4B"/>
    <w:rsid w:val="004227A9"/>
    <w:rsid w:val="004235D7"/>
    <w:rsid w:val="0042391B"/>
    <w:rsid w:val="004255DB"/>
    <w:rsid w:val="00425CE8"/>
    <w:rsid w:val="00426496"/>
    <w:rsid w:val="004266F6"/>
    <w:rsid w:val="00427467"/>
    <w:rsid w:val="00431128"/>
    <w:rsid w:val="00432410"/>
    <w:rsid w:val="004327D9"/>
    <w:rsid w:val="004331BC"/>
    <w:rsid w:val="0043326C"/>
    <w:rsid w:val="00433955"/>
    <w:rsid w:val="0043448D"/>
    <w:rsid w:val="00434B49"/>
    <w:rsid w:val="0043627A"/>
    <w:rsid w:val="00436FB1"/>
    <w:rsid w:val="00437E4B"/>
    <w:rsid w:val="00437FDE"/>
    <w:rsid w:val="00441553"/>
    <w:rsid w:val="00441C47"/>
    <w:rsid w:val="00442C9E"/>
    <w:rsid w:val="004434D3"/>
    <w:rsid w:val="00443B36"/>
    <w:rsid w:val="00445048"/>
    <w:rsid w:val="0044558D"/>
    <w:rsid w:val="00445C8D"/>
    <w:rsid w:val="004473C3"/>
    <w:rsid w:val="0044758D"/>
    <w:rsid w:val="0044765C"/>
    <w:rsid w:val="0044788B"/>
    <w:rsid w:val="00447F51"/>
    <w:rsid w:val="004509CA"/>
    <w:rsid w:val="0045145A"/>
    <w:rsid w:val="00451867"/>
    <w:rsid w:val="00451B50"/>
    <w:rsid w:val="00451BB2"/>
    <w:rsid w:val="00451D23"/>
    <w:rsid w:val="00452071"/>
    <w:rsid w:val="00452A5D"/>
    <w:rsid w:val="00452E24"/>
    <w:rsid w:val="00452E75"/>
    <w:rsid w:val="004539D8"/>
    <w:rsid w:val="00454C56"/>
    <w:rsid w:val="004557E7"/>
    <w:rsid w:val="00455CD5"/>
    <w:rsid w:val="004568E2"/>
    <w:rsid w:val="00456BCC"/>
    <w:rsid w:val="00456BD3"/>
    <w:rsid w:val="00457344"/>
    <w:rsid w:val="00457AEB"/>
    <w:rsid w:val="0046121B"/>
    <w:rsid w:val="00461BE4"/>
    <w:rsid w:val="004621A4"/>
    <w:rsid w:val="004621D1"/>
    <w:rsid w:val="0046241D"/>
    <w:rsid w:val="0046322C"/>
    <w:rsid w:val="004635AB"/>
    <w:rsid w:val="00463BB1"/>
    <w:rsid w:val="00464737"/>
    <w:rsid w:val="00464789"/>
    <w:rsid w:val="00464929"/>
    <w:rsid w:val="004666D3"/>
    <w:rsid w:val="0046701A"/>
    <w:rsid w:val="00467935"/>
    <w:rsid w:val="00467EF9"/>
    <w:rsid w:val="00470885"/>
    <w:rsid w:val="0047106C"/>
    <w:rsid w:val="00471426"/>
    <w:rsid w:val="00472562"/>
    <w:rsid w:val="004729D6"/>
    <w:rsid w:val="004738B5"/>
    <w:rsid w:val="004743D6"/>
    <w:rsid w:val="00474FDB"/>
    <w:rsid w:val="00475205"/>
    <w:rsid w:val="00475AE7"/>
    <w:rsid w:val="00475BEA"/>
    <w:rsid w:val="0047614F"/>
    <w:rsid w:val="00476564"/>
    <w:rsid w:val="00480EE0"/>
    <w:rsid w:val="004810AC"/>
    <w:rsid w:val="00481BE0"/>
    <w:rsid w:val="00482488"/>
    <w:rsid w:val="00483232"/>
    <w:rsid w:val="0048371C"/>
    <w:rsid w:val="00484079"/>
    <w:rsid w:val="0048561C"/>
    <w:rsid w:val="00485718"/>
    <w:rsid w:val="004862B1"/>
    <w:rsid w:val="004863DC"/>
    <w:rsid w:val="00486436"/>
    <w:rsid w:val="004878E8"/>
    <w:rsid w:val="004925CF"/>
    <w:rsid w:val="00493626"/>
    <w:rsid w:val="00494F35"/>
    <w:rsid w:val="00496564"/>
    <w:rsid w:val="00496F72"/>
    <w:rsid w:val="00497BCA"/>
    <w:rsid w:val="004A06DD"/>
    <w:rsid w:val="004A1388"/>
    <w:rsid w:val="004A22FE"/>
    <w:rsid w:val="004A3D21"/>
    <w:rsid w:val="004A4613"/>
    <w:rsid w:val="004A56E8"/>
    <w:rsid w:val="004A5754"/>
    <w:rsid w:val="004A635E"/>
    <w:rsid w:val="004B05D7"/>
    <w:rsid w:val="004B0DEB"/>
    <w:rsid w:val="004B1F3D"/>
    <w:rsid w:val="004B1FEC"/>
    <w:rsid w:val="004B4201"/>
    <w:rsid w:val="004B4473"/>
    <w:rsid w:val="004B4D0F"/>
    <w:rsid w:val="004B504A"/>
    <w:rsid w:val="004B509A"/>
    <w:rsid w:val="004B7EB3"/>
    <w:rsid w:val="004C0164"/>
    <w:rsid w:val="004C021D"/>
    <w:rsid w:val="004C04B8"/>
    <w:rsid w:val="004C12F4"/>
    <w:rsid w:val="004C1E5F"/>
    <w:rsid w:val="004C20B1"/>
    <w:rsid w:val="004C2B1B"/>
    <w:rsid w:val="004C3277"/>
    <w:rsid w:val="004C3F83"/>
    <w:rsid w:val="004C43FB"/>
    <w:rsid w:val="004C4699"/>
    <w:rsid w:val="004C70AE"/>
    <w:rsid w:val="004D02D3"/>
    <w:rsid w:val="004D081D"/>
    <w:rsid w:val="004D12F5"/>
    <w:rsid w:val="004D3FC2"/>
    <w:rsid w:val="004D4E1B"/>
    <w:rsid w:val="004D4FC6"/>
    <w:rsid w:val="004D7389"/>
    <w:rsid w:val="004D743A"/>
    <w:rsid w:val="004D766C"/>
    <w:rsid w:val="004E0BD6"/>
    <w:rsid w:val="004E18C4"/>
    <w:rsid w:val="004E25FD"/>
    <w:rsid w:val="004E36CC"/>
    <w:rsid w:val="004E3DB4"/>
    <w:rsid w:val="004E4365"/>
    <w:rsid w:val="004E4F3C"/>
    <w:rsid w:val="004E5589"/>
    <w:rsid w:val="004E5C3F"/>
    <w:rsid w:val="004E5D9E"/>
    <w:rsid w:val="004E63CD"/>
    <w:rsid w:val="004E6F00"/>
    <w:rsid w:val="004F0044"/>
    <w:rsid w:val="004F094B"/>
    <w:rsid w:val="004F0999"/>
    <w:rsid w:val="004F0DA0"/>
    <w:rsid w:val="004F12C5"/>
    <w:rsid w:val="004F193C"/>
    <w:rsid w:val="004F1A14"/>
    <w:rsid w:val="004F2A28"/>
    <w:rsid w:val="004F3139"/>
    <w:rsid w:val="004F3FD0"/>
    <w:rsid w:val="004F6295"/>
    <w:rsid w:val="004F6D9B"/>
    <w:rsid w:val="004F6D9D"/>
    <w:rsid w:val="004F6EEB"/>
    <w:rsid w:val="004F7AF5"/>
    <w:rsid w:val="0050006B"/>
    <w:rsid w:val="00500E03"/>
    <w:rsid w:val="005012C5"/>
    <w:rsid w:val="00501508"/>
    <w:rsid w:val="005017D9"/>
    <w:rsid w:val="005020F1"/>
    <w:rsid w:val="00503883"/>
    <w:rsid w:val="005038B4"/>
    <w:rsid w:val="00503927"/>
    <w:rsid w:val="005077AA"/>
    <w:rsid w:val="005079CC"/>
    <w:rsid w:val="00507E35"/>
    <w:rsid w:val="00507E54"/>
    <w:rsid w:val="005100A9"/>
    <w:rsid w:val="005107D5"/>
    <w:rsid w:val="00510CAD"/>
    <w:rsid w:val="005112A3"/>
    <w:rsid w:val="00511F10"/>
    <w:rsid w:val="005121CB"/>
    <w:rsid w:val="005123A5"/>
    <w:rsid w:val="00512C12"/>
    <w:rsid w:val="00513903"/>
    <w:rsid w:val="00515CDF"/>
    <w:rsid w:val="005168CD"/>
    <w:rsid w:val="00520D5C"/>
    <w:rsid w:val="00521E34"/>
    <w:rsid w:val="005234FF"/>
    <w:rsid w:val="005249EA"/>
    <w:rsid w:val="00525659"/>
    <w:rsid w:val="0052647C"/>
    <w:rsid w:val="0053095C"/>
    <w:rsid w:val="0053098F"/>
    <w:rsid w:val="0053181B"/>
    <w:rsid w:val="00531A75"/>
    <w:rsid w:val="00532791"/>
    <w:rsid w:val="00535621"/>
    <w:rsid w:val="00536848"/>
    <w:rsid w:val="00540A7C"/>
    <w:rsid w:val="0054332C"/>
    <w:rsid w:val="005442EA"/>
    <w:rsid w:val="0054525C"/>
    <w:rsid w:val="00545729"/>
    <w:rsid w:val="00546C20"/>
    <w:rsid w:val="0055150C"/>
    <w:rsid w:val="00551E50"/>
    <w:rsid w:val="00552970"/>
    <w:rsid w:val="005534E7"/>
    <w:rsid w:val="00555937"/>
    <w:rsid w:val="00556E68"/>
    <w:rsid w:val="005573E9"/>
    <w:rsid w:val="005575C6"/>
    <w:rsid w:val="00557AAA"/>
    <w:rsid w:val="00557E5F"/>
    <w:rsid w:val="005607FA"/>
    <w:rsid w:val="00561081"/>
    <w:rsid w:val="00561935"/>
    <w:rsid w:val="00561D94"/>
    <w:rsid w:val="0056202C"/>
    <w:rsid w:val="00562770"/>
    <w:rsid w:val="00564AB9"/>
    <w:rsid w:val="00564E3B"/>
    <w:rsid w:val="00566B73"/>
    <w:rsid w:val="005678FC"/>
    <w:rsid w:val="00567E2C"/>
    <w:rsid w:val="005701D6"/>
    <w:rsid w:val="00570BEF"/>
    <w:rsid w:val="00571232"/>
    <w:rsid w:val="005713B1"/>
    <w:rsid w:val="00571CBE"/>
    <w:rsid w:val="00571E02"/>
    <w:rsid w:val="0057247E"/>
    <w:rsid w:val="00572D5F"/>
    <w:rsid w:val="00573A1F"/>
    <w:rsid w:val="00573E61"/>
    <w:rsid w:val="0057584C"/>
    <w:rsid w:val="005764D2"/>
    <w:rsid w:val="005775EE"/>
    <w:rsid w:val="00577CF9"/>
    <w:rsid w:val="00577EC4"/>
    <w:rsid w:val="0058030D"/>
    <w:rsid w:val="00580390"/>
    <w:rsid w:val="00581409"/>
    <w:rsid w:val="00581852"/>
    <w:rsid w:val="0058235F"/>
    <w:rsid w:val="005828B8"/>
    <w:rsid w:val="00582C2D"/>
    <w:rsid w:val="00583936"/>
    <w:rsid w:val="005844D2"/>
    <w:rsid w:val="005851BD"/>
    <w:rsid w:val="005871BA"/>
    <w:rsid w:val="0059220B"/>
    <w:rsid w:val="00592B15"/>
    <w:rsid w:val="00593363"/>
    <w:rsid w:val="00594AE3"/>
    <w:rsid w:val="005954E5"/>
    <w:rsid w:val="00596062"/>
    <w:rsid w:val="005961AD"/>
    <w:rsid w:val="005963AC"/>
    <w:rsid w:val="0059674F"/>
    <w:rsid w:val="0059679E"/>
    <w:rsid w:val="005A0A32"/>
    <w:rsid w:val="005A0B27"/>
    <w:rsid w:val="005A1FCE"/>
    <w:rsid w:val="005A20C8"/>
    <w:rsid w:val="005A2176"/>
    <w:rsid w:val="005A2189"/>
    <w:rsid w:val="005A3034"/>
    <w:rsid w:val="005A3089"/>
    <w:rsid w:val="005A37F6"/>
    <w:rsid w:val="005A381F"/>
    <w:rsid w:val="005A5803"/>
    <w:rsid w:val="005A5A64"/>
    <w:rsid w:val="005A629C"/>
    <w:rsid w:val="005A6372"/>
    <w:rsid w:val="005A6A48"/>
    <w:rsid w:val="005A79F4"/>
    <w:rsid w:val="005A7F2A"/>
    <w:rsid w:val="005A7F6B"/>
    <w:rsid w:val="005B0CE5"/>
    <w:rsid w:val="005B0DA2"/>
    <w:rsid w:val="005B3408"/>
    <w:rsid w:val="005B391D"/>
    <w:rsid w:val="005B4C51"/>
    <w:rsid w:val="005B675B"/>
    <w:rsid w:val="005B6815"/>
    <w:rsid w:val="005B6B98"/>
    <w:rsid w:val="005B6D4B"/>
    <w:rsid w:val="005B71B0"/>
    <w:rsid w:val="005C08F3"/>
    <w:rsid w:val="005C1897"/>
    <w:rsid w:val="005C1B8F"/>
    <w:rsid w:val="005C1CEC"/>
    <w:rsid w:val="005C2552"/>
    <w:rsid w:val="005C347D"/>
    <w:rsid w:val="005C4BBB"/>
    <w:rsid w:val="005C5BA6"/>
    <w:rsid w:val="005C6988"/>
    <w:rsid w:val="005C795A"/>
    <w:rsid w:val="005C7A31"/>
    <w:rsid w:val="005D01C8"/>
    <w:rsid w:val="005D0CD9"/>
    <w:rsid w:val="005D1632"/>
    <w:rsid w:val="005D2074"/>
    <w:rsid w:val="005D2CE1"/>
    <w:rsid w:val="005D2F27"/>
    <w:rsid w:val="005D335F"/>
    <w:rsid w:val="005D3A4C"/>
    <w:rsid w:val="005D3C15"/>
    <w:rsid w:val="005D3F8A"/>
    <w:rsid w:val="005D3FD5"/>
    <w:rsid w:val="005D47D8"/>
    <w:rsid w:val="005D47DE"/>
    <w:rsid w:val="005D48EB"/>
    <w:rsid w:val="005D5E15"/>
    <w:rsid w:val="005D6D54"/>
    <w:rsid w:val="005D7283"/>
    <w:rsid w:val="005D79AE"/>
    <w:rsid w:val="005D7AB2"/>
    <w:rsid w:val="005E21B9"/>
    <w:rsid w:val="005E2975"/>
    <w:rsid w:val="005E307D"/>
    <w:rsid w:val="005E3A47"/>
    <w:rsid w:val="005E465C"/>
    <w:rsid w:val="005E4DBC"/>
    <w:rsid w:val="005E5591"/>
    <w:rsid w:val="005E56C2"/>
    <w:rsid w:val="005E5D60"/>
    <w:rsid w:val="005E5D8F"/>
    <w:rsid w:val="005E5F74"/>
    <w:rsid w:val="005E6B00"/>
    <w:rsid w:val="005E6C65"/>
    <w:rsid w:val="005F086F"/>
    <w:rsid w:val="005F129A"/>
    <w:rsid w:val="005F1E43"/>
    <w:rsid w:val="005F215E"/>
    <w:rsid w:val="005F2C09"/>
    <w:rsid w:val="005F2DAC"/>
    <w:rsid w:val="005F43D6"/>
    <w:rsid w:val="005F47AD"/>
    <w:rsid w:val="005F6431"/>
    <w:rsid w:val="005F6FD8"/>
    <w:rsid w:val="006009FC"/>
    <w:rsid w:val="00602736"/>
    <w:rsid w:val="00602756"/>
    <w:rsid w:val="00603469"/>
    <w:rsid w:val="00603534"/>
    <w:rsid w:val="0060422B"/>
    <w:rsid w:val="00605E1B"/>
    <w:rsid w:val="006069B3"/>
    <w:rsid w:val="00607CB1"/>
    <w:rsid w:val="00607DA1"/>
    <w:rsid w:val="006111B1"/>
    <w:rsid w:val="00611D0B"/>
    <w:rsid w:val="006136A0"/>
    <w:rsid w:val="00613F73"/>
    <w:rsid w:val="00613FFD"/>
    <w:rsid w:val="00614EDA"/>
    <w:rsid w:val="00615570"/>
    <w:rsid w:val="0061560E"/>
    <w:rsid w:val="006167F4"/>
    <w:rsid w:val="006169B1"/>
    <w:rsid w:val="00616E5E"/>
    <w:rsid w:val="006171E6"/>
    <w:rsid w:val="00620C54"/>
    <w:rsid w:val="00621738"/>
    <w:rsid w:val="0062190C"/>
    <w:rsid w:val="00622040"/>
    <w:rsid w:val="0062262C"/>
    <w:rsid w:val="006240D8"/>
    <w:rsid w:val="00624BE1"/>
    <w:rsid w:val="00625135"/>
    <w:rsid w:val="00627E46"/>
    <w:rsid w:val="00630503"/>
    <w:rsid w:val="006320D0"/>
    <w:rsid w:val="0063240C"/>
    <w:rsid w:val="00633104"/>
    <w:rsid w:val="00633D88"/>
    <w:rsid w:val="0063519A"/>
    <w:rsid w:val="0063579A"/>
    <w:rsid w:val="00636BE3"/>
    <w:rsid w:val="00637EF8"/>
    <w:rsid w:val="00640CAF"/>
    <w:rsid w:val="00642924"/>
    <w:rsid w:val="0064326F"/>
    <w:rsid w:val="00645382"/>
    <w:rsid w:val="0064614A"/>
    <w:rsid w:val="00646F54"/>
    <w:rsid w:val="00650C26"/>
    <w:rsid w:val="00651356"/>
    <w:rsid w:val="00651691"/>
    <w:rsid w:val="006526BD"/>
    <w:rsid w:val="00652921"/>
    <w:rsid w:val="0065314F"/>
    <w:rsid w:val="00653589"/>
    <w:rsid w:val="00653715"/>
    <w:rsid w:val="006537AD"/>
    <w:rsid w:val="00653C18"/>
    <w:rsid w:val="00655FAE"/>
    <w:rsid w:val="006575E1"/>
    <w:rsid w:val="00660731"/>
    <w:rsid w:val="0066085C"/>
    <w:rsid w:val="00660922"/>
    <w:rsid w:val="00660D12"/>
    <w:rsid w:val="00660D37"/>
    <w:rsid w:val="0066128A"/>
    <w:rsid w:val="0066178F"/>
    <w:rsid w:val="00661A1C"/>
    <w:rsid w:val="006628D7"/>
    <w:rsid w:val="0066341B"/>
    <w:rsid w:val="00664305"/>
    <w:rsid w:val="0066441D"/>
    <w:rsid w:val="00666BC3"/>
    <w:rsid w:val="00666F5B"/>
    <w:rsid w:val="006674F2"/>
    <w:rsid w:val="006677EB"/>
    <w:rsid w:val="00667E33"/>
    <w:rsid w:val="00670712"/>
    <w:rsid w:val="00670A19"/>
    <w:rsid w:val="00670E58"/>
    <w:rsid w:val="00671F68"/>
    <w:rsid w:val="00672A00"/>
    <w:rsid w:val="006735B2"/>
    <w:rsid w:val="0067369D"/>
    <w:rsid w:val="0067371F"/>
    <w:rsid w:val="00673D31"/>
    <w:rsid w:val="006745DD"/>
    <w:rsid w:val="00675371"/>
    <w:rsid w:val="0067549B"/>
    <w:rsid w:val="00675747"/>
    <w:rsid w:val="0067773B"/>
    <w:rsid w:val="006806CA"/>
    <w:rsid w:val="006808DE"/>
    <w:rsid w:val="0068154C"/>
    <w:rsid w:val="00682800"/>
    <w:rsid w:val="00682A87"/>
    <w:rsid w:val="006830C4"/>
    <w:rsid w:val="0068330C"/>
    <w:rsid w:val="00683981"/>
    <w:rsid w:val="00684B6B"/>
    <w:rsid w:val="0068559D"/>
    <w:rsid w:val="00685BD0"/>
    <w:rsid w:val="00685F1A"/>
    <w:rsid w:val="00686054"/>
    <w:rsid w:val="006869E6"/>
    <w:rsid w:val="00690DA5"/>
    <w:rsid w:val="00691A49"/>
    <w:rsid w:val="00692576"/>
    <w:rsid w:val="00692836"/>
    <w:rsid w:val="00692C6F"/>
    <w:rsid w:val="00693205"/>
    <w:rsid w:val="006937A4"/>
    <w:rsid w:val="0069500B"/>
    <w:rsid w:val="006954A1"/>
    <w:rsid w:val="0069618D"/>
    <w:rsid w:val="006962A8"/>
    <w:rsid w:val="00696ABF"/>
    <w:rsid w:val="006974D3"/>
    <w:rsid w:val="00697805"/>
    <w:rsid w:val="00697B2A"/>
    <w:rsid w:val="00697C0E"/>
    <w:rsid w:val="006A03C4"/>
    <w:rsid w:val="006A0730"/>
    <w:rsid w:val="006A0EB4"/>
    <w:rsid w:val="006A2680"/>
    <w:rsid w:val="006A33C4"/>
    <w:rsid w:val="006A5745"/>
    <w:rsid w:val="006A7C40"/>
    <w:rsid w:val="006B0B84"/>
    <w:rsid w:val="006B0ECC"/>
    <w:rsid w:val="006B1B24"/>
    <w:rsid w:val="006B3776"/>
    <w:rsid w:val="006B3CD3"/>
    <w:rsid w:val="006B3EEA"/>
    <w:rsid w:val="006B5389"/>
    <w:rsid w:val="006B56D1"/>
    <w:rsid w:val="006B5CEA"/>
    <w:rsid w:val="006B5E48"/>
    <w:rsid w:val="006B5EB3"/>
    <w:rsid w:val="006B5ECA"/>
    <w:rsid w:val="006B7729"/>
    <w:rsid w:val="006B7D9A"/>
    <w:rsid w:val="006B7E62"/>
    <w:rsid w:val="006B7F51"/>
    <w:rsid w:val="006C0B51"/>
    <w:rsid w:val="006C1441"/>
    <w:rsid w:val="006C1576"/>
    <w:rsid w:val="006C1BDC"/>
    <w:rsid w:val="006C1C14"/>
    <w:rsid w:val="006C25BD"/>
    <w:rsid w:val="006C31F3"/>
    <w:rsid w:val="006C3D13"/>
    <w:rsid w:val="006C4002"/>
    <w:rsid w:val="006C4B0C"/>
    <w:rsid w:val="006C4EF2"/>
    <w:rsid w:val="006C5716"/>
    <w:rsid w:val="006C6C9F"/>
    <w:rsid w:val="006D0568"/>
    <w:rsid w:val="006D0AD3"/>
    <w:rsid w:val="006D0C28"/>
    <w:rsid w:val="006D0EE2"/>
    <w:rsid w:val="006D257A"/>
    <w:rsid w:val="006D291F"/>
    <w:rsid w:val="006D3764"/>
    <w:rsid w:val="006D4802"/>
    <w:rsid w:val="006D4E19"/>
    <w:rsid w:val="006D52A5"/>
    <w:rsid w:val="006D57E9"/>
    <w:rsid w:val="006D5883"/>
    <w:rsid w:val="006D6597"/>
    <w:rsid w:val="006D6BC8"/>
    <w:rsid w:val="006D6DF8"/>
    <w:rsid w:val="006D6E53"/>
    <w:rsid w:val="006D79E8"/>
    <w:rsid w:val="006D7D2B"/>
    <w:rsid w:val="006E16E8"/>
    <w:rsid w:val="006E18AF"/>
    <w:rsid w:val="006E22C7"/>
    <w:rsid w:val="006E2AAC"/>
    <w:rsid w:val="006E3E24"/>
    <w:rsid w:val="006E4190"/>
    <w:rsid w:val="006E5462"/>
    <w:rsid w:val="006E6159"/>
    <w:rsid w:val="006E71F6"/>
    <w:rsid w:val="006E77E0"/>
    <w:rsid w:val="006E7BEF"/>
    <w:rsid w:val="006F1BC3"/>
    <w:rsid w:val="006F2A0A"/>
    <w:rsid w:val="006F2B41"/>
    <w:rsid w:val="006F2F84"/>
    <w:rsid w:val="006F35EA"/>
    <w:rsid w:val="006F36C0"/>
    <w:rsid w:val="006F4576"/>
    <w:rsid w:val="006F47C9"/>
    <w:rsid w:val="006F48BD"/>
    <w:rsid w:val="006F686A"/>
    <w:rsid w:val="006F6F7A"/>
    <w:rsid w:val="006F6FFD"/>
    <w:rsid w:val="006F729D"/>
    <w:rsid w:val="006F7B44"/>
    <w:rsid w:val="0070121B"/>
    <w:rsid w:val="00702C03"/>
    <w:rsid w:val="0070369F"/>
    <w:rsid w:val="007038B4"/>
    <w:rsid w:val="00704B76"/>
    <w:rsid w:val="007065CF"/>
    <w:rsid w:val="0070661B"/>
    <w:rsid w:val="00707AFC"/>
    <w:rsid w:val="007109A7"/>
    <w:rsid w:val="00712F58"/>
    <w:rsid w:val="00713DB5"/>
    <w:rsid w:val="0071518E"/>
    <w:rsid w:val="007153F6"/>
    <w:rsid w:val="0071572A"/>
    <w:rsid w:val="00717BE5"/>
    <w:rsid w:val="00717D9D"/>
    <w:rsid w:val="00717F0C"/>
    <w:rsid w:val="00720730"/>
    <w:rsid w:val="007207D6"/>
    <w:rsid w:val="00720A32"/>
    <w:rsid w:val="00720B34"/>
    <w:rsid w:val="00720F14"/>
    <w:rsid w:val="00722CD0"/>
    <w:rsid w:val="0072417C"/>
    <w:rsid w:val="007246D9"/>
    <w:rsid w:val="00725BC5"/>
    <w:rsid w:val="0073079B"/>
    <w:rsid w:val="00730E46"/>
    <w:rsid w:val="00730E6D"/>
    <w:rsid w:val="00731628"/>
    <w:rsid w:val="007318D9"/>
    <w:rsid w:val="0073192E"/>
    <w:rsid w:val="00731A9F"/>
    <w:rsid w:val="00732DED"/>
    <w:rsid w:val="00733576"/>
    <w:rsid w:val="007342DC"/>
    <w:rsid w:val="007343B1"/>
    <w:rsid w:val="0073445F"/>
    <w:rsid w:val="00734853"/>
    <w:rsid w:val="007348FF"/>
    <w:rsid w:val="00734A4F"/>
    <w:rsid w:val="00735C44"/>
    <w:rsid w:val="00736461"/>
    <w:rsid w:val="00736F1D"/>
    <w:rsid w:val="0074037E"/>
    <w:rsid w:val="00741FD9"/>
    <w:rsid w:val="00742D9B"/>
    <w:rsid w:val="00742E33"/>
    <w:rsid w:val="00742EB2"/>
    <w:rsid w:val="00743002"/>
    <w:rsid w:val="00743069"/>
    <w:rsid w:val="00744F16"/>
    <w:rsid w:val="00745494"/>
    <w:rsid w:val="007458CC"/>
    <w:rsid w:val="00745E65"/>
    <w:rsid w:val="00745FC9"/>
    <w:rsid w:val="00746527"/>
    <w:rsid w:val="00750268"/>
    <w:rsid w:val="00751CD5"/>
    <w:rsid w:val="0075294C"/>
    <w:rsid w:val="00753276"/>
    <w:rsid w:val="00753B2A"/>
    <w:rsid w:val="00754EF3"/>
    <w:rsid w:val="007552E4"/>
    <w:rsid w:val="00755B61"/>
    <w:rsid w:val="007575E8"/>
    <w:rsid w:val="00760202"/>
    <w:rsid w:val="00761011"/>
    <w:rsid w:val="007611A1"/>
    <w:rsid w:val="00761551"/>
    <w:rsid w:val="00761FEE"/>
    <w:rsid w:val="00762889"/>
    <w:rsid w:val="007636E8"/>
    <w:rsid w:val="00763791"/>
    <w:rsid w:val="00764A8F"/>
    <w:rsid w:val="00765F31"/>
    <w:rsid w:val="00766EAC"/>
    <w:rsid w:val="00766F14"/>
    <w:rsid w:val="00767D8A"/>
    <w:rsid w:val="00770216"/>
    <w:rsid w:val="007715BA"/>
    <w:rsid w:val="0077373C"/>
    <w:rsid w:val="00773DD0"/>
    <w:rsid w:val="00774029"/>
    <w:rsid w:val="00774784"/>
    <w:rsid w:val="007748D6"/>
    <w:rsid w:val="00774B02"/>
    <w:rsid w:val="0077675A"/>
    <w:rsid w:val="0077683F"/>
    <w:rsid w:val="00777486"/>
    <w:rsid w:val="0077770C"/>
    <w:rsid w:val="007827CD"/>
    <w:rsid w:val="00784BA8"/>
    <w:rsid w:val="007852E6"/>
    <w:rsid w:val="00786929"/>
    <w:rsid w:val="0078692E"/>
    <w:rsid w:val="00786E0A"/>
    <w:rsid w:val="00787A24"/>
    <w:rsid w:val="00787BD8"/>
    <w:rsid w:val="00790356"/>
    <w:rsid w:val="0079132C"/>
    <w:rsid w:val="007914CF"/>
    <w:rsid w:val="00793033"/>
    <w:rsid w:val="00793109"/>
    <w:rsid w:val="007932A3"/>
    <w:rsid w:val="0079353F"/>
    <w:rsid w:val="00793613"/>
    <w:rsid w:val="007944C5"/>
    <w:rsid w:val="00795983"/>
    <w:rsid w:val="00795BF2"/>
    <w:rsid w:val="0079605C"/>
    <w:rsid w:val="00796688"/>
    <w:rsid w:val="007967EF"/>
    <w:rsid w:val="00796D65"/>
    <w:rsid w:val="00796EE7"/>
    <w:rsid w:val="00797897"/>
    <w:rsid w:val="007A064B"/>
    <w:rsid w:val="007A11B6"/>
    <w:rsid w:val="007A1258"/>
    <w:rsid w:val="007A22E0"/>
    <w:rsid w:val="007A383C"/>
    <w:rsid w:val="007A3CB0"/>
    <w:rsid w:val="007A4281"/>
    <w:rsid w:val="007A464C"/>
    <w:rsid w:val="007A4D92"/>
    <w:rsid w:val="007A4E93"/>
    <w:rsid w:val="007A5082"/>
    <w:rsid w:val="007A6A7A"/>
    <w:rsid w:val="007A72B6"/>
    <w:rsid w:val="007B0BEC"/>
    <w:rsid w:val="007B2638"/>
    <w:rsid w:val="007B2B61"/>
    <w:rsid w:val="007B2FB3"/>
    <w:rsid w:val="007B312B"/>
    <w:rsid w:val="007B5BAC"/>
    <w:rsid w:val="007B6AEF"/>
    <w:rsid w:val="007B7694"/>
    <w:rsid w:val="007B7D29"/>
    <w:rsid w:val="007B7DD6"/>
    <w:rsid w:val="007C004C"/>
    <w:rsid w:val="007C0579"/>
    <w:rsid w:val="007C0D20"/>
    <w:rsid w:val="007C1598"/>
    <w:rsid w:val="007C1F02"/>
    <w:rsid w:val="007C21FF"/>
    <w:rsid w:val="007C2373"/>
    <w:rsid w:val="007C2E3F"/>
    <w:rsid w:val="007C30FD"/>
    <w:rsid w:val="007C344A"/>
    <w:rsid w:val="007C34E0"/>
    <w:rsid w:val="007C3559"/>
    <w:rsid w:val="007C3855"/>
    <w:rsid w:val="007C41D0"/>
    <w:rsid w:val="007C46ED"/>
    <w:rsid w:val="007C5298"/>
    <w:rsid w:val="007C5B34"/>
    <w:rsid w:val="007C5DDB"/>
    <w:rsid w:val="007C6409"/>
    <w:rsid w:val="007C6563"/>
    <w:rsid w:val="007C68B3"/>
    <w:rsid w:val="007C6D65"/>
    <w:rsid w:val="007D01AC"/>
    <w:rsid w:val="007D0E6F"/>
    <w:rsid w:val="007D2D0C"/>
    <w:rsid w:val="007D2D32"/>
    <w:rsid w:val="007D3643"/>
    <w:rsid w:val="007D3886"/>
    <w:rsid w:val="007D3CAC"/>
    <w:rsid w:val="007D572E"/>
    <w:rsid w:val="007D5FEB"/>
    <w:rsid w:val="007D611E"/>
    <w:rsid w:val="007D65F1"/>
    <w:rsid w:val="007D74FC"/>
    <w:rsid w:val="007D777E"/>
    <w:rsid w:val="007D7E99"/>
    <w:rsid w:val="007E0702"/>
    <w:rsid w:val="007E0A5D"/>
    <w:rsid w:val="007E110C"/>
    <w:rsid w:val="007E208F"/>
    <w:rsid w:val="007E2176"/>
    <w:rsid w:val="007E21AB"/>
    <w:rsid w:val="007E2222"/>
    <w:rsid w:val="007E27C2"/>
    <w:rsid w:val="007E3093"/>
    <w:rsid w:val="007E4B0B"/>
    <w:rsid w:val="007E62E2"/>
    <w:rsid w:val="007E6572"/>
    <w:rsid w:val="007E7654"/>
    <w:rsid w:val="007E796A"/>
    <w:rsid w:val="007E7ACA"/>
    <w:rsid w:val="007E7B16"/>
    <w:rsid w:val="007F07C4"/>
    <w:rsid w:val="007F0A37"/>
    <w:rsid w:val="007F1399"/>
    <w:rsid w:val="007F16FB"/>
    <w:rsid w:val="007F293B"/>
    <w:rsid w:val="007F356D"/>
    <w:rsid w:val="007F3A51"/>
    <w:rsid w:val="007F55BC"/>
    <w:rsid w:val="007F5D59"/>
    <w:rsid w:val="007F65EA"/>
    <w:rsid w:val="007F74A8"/>
    <w:rsid w:val="00800DFB"/>
    <w:rsid w:val="008010B5"/>
    <w:rsid w:val="00802208"/>
    <w:rsid w:val="008025D2"/>
    <w:rsid w:val="00802F3E"/>
    <w:rsid w:val="00802F95"/>
    <w:rsid w:val="0080383C"/>
    <w:rsid w:val="00804FE7"/>
    <w:rsid w:val="008068AB"/>
    <w:rsid w:val="00807538"/>
    <w:rsid w:val="00810B89"/>
    <w:rsid w:val="00810F13"/>
    <w:rsid w:val="00811607"/>
    <w:rsid w:val="00811E9F"/>
    <w:rsid w:val="0081204F"/>
    <w:rsid w:val="00812EF6"/>
    <w:rsid w:val="008139DB"/>
    <w:rsid w:val="00814A32"/>
    <w:rsid w:val="008151F9"/>
    <w:rsid w:val="00816870"/>
    <w:rsid w:val="008168D2"/>
    <w:rsid w:val="00816A9B"/>
    <w:rsid w:val="00816E7C"/>
    <w:rsid w:val="00817FCB"/>
    <w:rsid w:val="00820287"/>
    <w:rsid w:val="00820491"/>
    <w:rsid w:val="00821A12"/>
    <w:rsid w:val="00821D6F"/>
    <w:rsid w:val="008226EE"/>
    <w:rsid w:val="00824CA7"/>
    <w:rsid w:val="0082590B"/>
    <w:rsid w:val="00825A51"/>
    <w:rsid w:val="00825FE0"/>
    <w:rsid w:val="008260B1"/>
    <w:rsid w:val="00826999"/>
    <w:rsid w:val="00830061"/>
    <w:rsid w:val="00830E74"/>
    <w:rsid w:val="0083165D"/>
    <w:rsid w:val="00831D8C"/>
    <w:rsid w:val="00832A38"/>
    <w:rsid w:val="00832AF7"/>
    <w:rsid w:val="008340EC"/>
    <w:rsid w:val="008343CE"/>
    <w:rsid w:val="00834723"/>
    <w:rsid w:val="00834A85"/>
    <w:rsid w:val="00834D34"/>
    <w:rsid w:val="00836B83"/>
    <w:rsid w:val="00836FAF"/>
    <w:rsid w:val="00837212"/>
    <w:rsid w:val="00837320"/>
    <w:rsid w:val="008401EC"/>
    <w:rsid w:val="00840DC9"/>
    <w:rsid w:val="00842233"/>
    <w:rsid w:val="00842479"/>
    <w:rsid w:val="00842E47"/>
    <w:rsid w:val="008434D2"/>
    <w:rsid w:val="008475A1"/>
    <w:rsid w:val="00850BC2"/>
    <w:rsid w:val="00850D8A"/>
    <w:rsid w:val="00851704"/>
    <w:rsid w:val="0085200C"/>
    <w:rsid w:val="0085255A"/>
    <w:rsid w:val="00854474"/>
    <w:rsid w:val="00854CB8"/>
    <w:rsid w:val="00856856"/>
    <w:rsid w:val="00857195"/>
    <w:rsid w:val="008574CF"/>
    <w:rsid w:val="00857A5C"/>
    <w:rsid w:val="00857D0B"/>
    <w:rsid w:val="008605D3"/>
    <w:rsid w:val="00860D03"/>
    <w:rsid w:val="008621F8"/>
    <w:rsid w:val="00862C45"/>
    <w:rsid w:val="008637D2"/>
    <w:rsid w:val="00863AD6"/>
    <w:rsid w:val="0086464F"/>
    <w:rsid w:val="00864B76"/>
    <w:rsid w:val="00864EB0"/>
    <w:rsid w:val="0086519A"/>
    <w:rsid w:val="00865D9C"/>
    <w:rsid w:val="00867614"/>
    <w:rsid w:val="00867895"/>
    <w:rsid w:val="00867A8A"/>
    <w:rsid w:val="008718B1"/>
    <w:rsid w:val="008751C9"/>
    <w:rsid w:val="0087588E"/>
    <w:rsid w:val="00876485"/>
    <w:rsid w:val="0087702D"/>
    <w:rsid w:val="00880574"/>
    <w:rsid w:val="008817AE"/>
    <w:rsid w:val="008822BC"/>
    <w:rsid w:val="008823E1"/>
    <w:rsid w:val="0088243A"/>
    <w:rsid w:val="00882C30"/>
    <w:rsid w:val="0088317D"/>
    <w:rsid w:val="008833B4"/>
    <w:rsid w:val="0088372F"/>
    <w:rsid w:val="00883EE4"/>
    <w:rsid w:val="0088407E"/>
    <w:rsid w:val="00887671"/>
    <w:rsid w:val="00890049"/>
    <w:rsid w:val="008904DD"/>
    <w:rsid w:val="0089053B"/>
    <w:rsid w:val="00890ADE"/>
    <w:rsid w:val="00891206"/>
    <w:rsid w:val="00891395"/>
    <w:rsid w:val="00892111"/>
    <w:rsid w:val="008936DE"/>
    <w:rsid w:val="00894DD7"/>
    <w:rsid w:val="00896293"/>
    <w:rsid w:val="008962CC"/>
    <w:rsid w:val="00896E8C"/>
    <w:rsid w:val="008972C5"/>
    <w:rsid w:val="008A21E3"/>
    <w:rsid w:val="008A2977"/>
    <w:rsid w:val="008A3D4B"/>
    <w:rsid w:val="008A5A44"/>
    <w:rsid w:val="008A7B7F"/>
    <w:rsid w:val="008B0880"/>
    <w:rsid w:val="008B1E5A"/>
    <w:rsid w:val="008B1EFF"/>
    <w:rsid w:val="008B292E"/>
    <w:rsid w:val="008B3D47"/>
    <w:rsid w:val="008B42C1"/>
    <w:rsid w:val="008B4CFE"/>
    <w:rsid w:val="008B6AC0"/>
    <w:rsid w:val="008B6EFC"/>
    <w:rsid w:val="008C01C3"/>
    <w:rsid w:val="008C0615"/>
    <w:rsid w:val="008C09DC"/>
    <w:rsid w:val="008C0FBC"/>
    <w:rsid w:val="008C11BF"/>
    <w:rsid w:val="008C3076"/>
    <w:rsid w:val="008C549C"/>
    <w:rsid w:val="008C5B95"/>
    <w:rsid w:val="008C5CDC"/>
    <w:rsid w:val="008D08D1"/>
    <w:rsid w:val="008D2A87"/>
    <w:rsid w:val="008D34D6"/>
    <w:rsid w:val="008D36B2"/>
    <w:rsid w:val="008D3C87"/>
    <w:rsid w:val="008D46F9"/>
    <w:rsid w:val="008D47B6"/>
    <w:rsid w:val="008E0675"/>
    <w:rsid w:val="008E0A2D"/>
    <w:rsid w:val="008E129D"/>
    <w:rsid w:val="008E14CB"/>
    <w:rsid w:val="008E16CC"/>
    <w:rsid w:val="008E24E3"/>
    <w:rsid w:val="008E258D"/>
    <w:rsid w:val="008E2EAA"/>
    <w:rsid w:val="008E3514"/>
    <w:rsid w:val="008E472E"/>
    <w:rsid w:val="008E4C78"/>
    <w:rsid w:val="008E53AC"/>
    <w:rsid w:val="008E6B48"/>
    <w:rsid w:val="008E6BD6"/>
    <w:rsid w:val="008E6CD1"/>
    <w:rsid w:val="008E6FDD"/>
    <w:rsid w:val="008E7004"/>
    <w:rsid w:val="008E7435"/>
    <w:rsid w:val="008E7581"/>
    <w:rsid w:val="008E7B88"/>
    <w:rsid w:val="008F076D"/>
    <w:rsid w:val="008F0946"/>
    <w:rsid w:val="008F2863"/>
    <w:rsid w:val="008F2924"/>
    <w:rsid w:val="008F2F40"/>
    <w:rsid w:val="008F47A4"/>
    <w:rsid w:val="008F6669"/>
    <w:rsid w:val="008F6948"/>
    <w:rsid w:val="0090046A"/>
    <w:rsid w:val="00900D2B"/>
    <w:rsid w:val="0090104D"/>
    <w:rsid w:val="0090109C"/>
    <w:rsid w:val="009013BC"/>
    <w:rsid w:val="00901889"/>
    <w:rsid w:val="00904F52"/>
    <w:rsid w:val="009073B8"/>
    <w:rsid w:val="00910E11"/>
    <w:rsid w:val="00911593"/>
    <w:rsid w:val="00911A0D"/>
    <w:rsid w:val="00911FEB"/>
    <w:rsid w:val="009121B5"/>
    <w:rsid w:val="0091539E"/>
    <w:rsid w:val="00920843"/>
    <w:rsid w:val="00920B61"/>
    <w:rsid w:val="009211A2"/>
    <w:rsid w:val="00921BFB"/>
    <w:rsid w:val="009222E3"/>
    <w:rsid w:val="00923F30"/>
    <w:rsid w:val="00923F56"/>
    <w:rsid w:val="009246AF"/>
    <w:rsid w:val="00924FE9"/>
    <w:rsid w:val="009255C7"/>
    <w:rsid w:val="009261B1"/>
    <w:rsid w:val="009262B9"/>
    <w:rsid w:val="00926367"/>
    <w:rsid w:val="00927452"/>
    <w:rsid w:val="00930148"/>
    <w:rsid w:val="00931952"/>
    <w:rsid w:val="00931B64"/>
    <w:rsid w:val="00932AF9"/>
    <w:rsid w:val="0093365D"/>
    <w:rsid w:val="009339C5"/>
    <w:rsid w:val="0093564C"/>
    <w:rsid w:val="0093683C"/>
    <w:rsid w:val="009372DD"/>
    <w:rsid w:val="0094024E"/>
    <w:rsid w:val="00940BFA"/>
    <w:rsid w:val="00940EA9"/>
    <w:rsid w:val="00941014"/>
    <w:rsid w:val="0094106C"/>
    <w:rsid w:val="00941DCE"/>
    <w:rsid w:val="00941E0F"/>
    <w:rsid w:val="00942A4B"/>
    <w:rsid w:val="00942C97"/>
    <w:rsid w:val="00943012"/>
    <w:rsid w:val="009432CA"/>
    <w:rsid w:val="009436F2"/>
    <w:rsid w:val="00943785"/>
    <w:rsid w:val="0094419A"/>
    <w:rsid w:val="00944338"/>
    <w:rsid w:val="0094522F"/>
    <w:rsid w:val="00945363"/>
    <w:rsid w:val="0094544A"/>
    <w:rsid w:val="00945FC0"/>
    <w:rsid w:val="00946278"/>
    <w:rsid w:val="00946820"/>
    <w:rsid w:val="00946E28"/>
    <w:rsid w:val="0094747D"/>
    <w:rsid w:val="00947ACD"/>
    <w:rsid w:val="00950E9A"/>
    <w:rsid w:val="00950F70"/>
    <w:rsid w:val="009523D3"/>
    <w:rsid w:val="00952716"/>
    <w:rsid w:val="0095427A"/>
    <w:rsid w:val="00954BA8"/>
    <w:rsid w:val="00955AA7"/>
    <w:rsid w:val="009564C2"/>
    <w:rsid w:val="00956E71"/>
    <w:rsid w:val="00956F1B"/>
    <w:rsid w:val="00957114"/>
    <w:rsid w:val="00957BEC"/>
    <w:rsid w:val="00961221"/>
    <w:rsid w:val="00961AB5"/>
    <w:rsid w:val="0096237F"/>
    <w:rsid w:val="009628B5"/>
    <w:rsid w:val="00962E02"/>
    <w:rsid w:val="00962F35"/>
    <w:rsid w:val="00963156"/>
    <w:rsid w:val="00963174"/>
    <w:rsid w:val="009638CE"/>
    <w:rsid w:val="009646CD"/>
    <w:rsid w:val="009646E5"/>
    <w:rsid w:val="009646F8"/>
    <w:rsid w:val="00964BA0"/>
    <w:rsid w:val="0096690E"/>
    <w:rsid w:val="00966E09"/>
    <w:rsid w:val="009671E3"/>
    <w:rsid w:val="00970DED"/>
    <w:rsid w:val="00972233"/>
    <w:rsid w:val="00972331"/>
    <w:rsid w:val="0097500A"/>
    <w:rsid w:val="009750CE"/>
    <w:rsid w:val="0097510F"/>
    <w:rsid w:val="00975321"/>
    <w:rsid w:val="00975EA0"/>
    <w:rsid w:val="00976739"/>
    <w:rsid w:val="00976D1D"/>
    <w:rsid w:val="00977456"/>
    <w:rsid w:val="00980611"/>
    <w:rsid w:val="00980DD3"/>
    <w:rsid w:val="009820F9"/>
    <w:rsid w:val="00982DF3"/>
    <w:rsid w:val="00983065"/>
    <w:rsid w:val="00984109"/>
    <w:rsid w:val="0098435F"/>
    <w:rsid w:val="00984CE2"/>
    <w:rsid w:val="009850D1"/>
    <w:rsid w:val="00985A89"/>
    <w:rsid w:val="00985D8C"/>
    <w:rsid w:val="00985DD3"/>
    <w:rsid w:val="00987F44"/>
    <w:rsid w:val="00991CDC"/>
    <w:rsid w:val="009929F0"/>
    <w:rsid w:val="00992F1F"/>
    <w:rsid w:val="00993015"/>
    <w:rsid w:val="0099345E"/>
    <w:rsid w:val="00993A6F"/>
    <w:rsid w:val="00993C99"/>
    <w:rsid w:val="009954B7"/>
    <w:rsid w:val="009957C5"/>
    <w:rsid w:val="00995CDB"/>
    <w:rsid w:val="00995E68"/>
    <w:rsid w:val="00996859"/>
    <w:rsid w:val="00996F44"/>
    <w:rsid w:val="00997508"/>
    <w:rsid w:val="00997C30"/>
    <w:rsid w:val="009A0387"/>
    <w:rsid w:val="009A1310"/>
    <w:rsid w:val="009A1802"/>
    <w:rsid w:val="009A183F"/>
    <w:rsid w:val="009A3730"/>
    <w:rsid w:val="009A3A1A"/>
    <w:rsid w:val="009A45A4"/>
    <w:rsid w:val="009A48DF"/>
    <w:rsid w:val="009A5B92"/>
    <w:rsid w:val="009A7DC5"/>
    <w:rsid w:val="009B0785"/>
    <w:rsid w:val="009B0A3A"/>
    <w:rsid w:val="009B0C2F"/>
    <w:rsid w:val="009B11B4"/>
    <w:rsid w:val="009B147B"/>
    <w:rsid w:val="009B1D3E"/>
    <w:rsid w:val="009B2DAF"/>
    <w:rsid w:val="009B2F80"/>
    <w:rsid w:val="009B3DAA"/>
    <w:rsid w:val="009B45EC"/>
    <w:rsid w:val="009B4D68"/>
    <w:rsid w:val="009B6DC3"/>
    <w:rsid w:val="009B7E29"/>
    <w:rsid w:val="009C0303"/>
    <w:rsid w:val="009C0A14"/>
    <w:rsid w:val="009C1E68"/>
    <w:rsid w:val="009C2FED"/>
    <w:rsid w:val="009C30D3"/>
    <w:rsid w:val="009C3ED2"/>
    <w:rsid w:val="009C426E"/>
    <w:rsid w:val="009C44EC"/>
    <w:rsid w:val="009C4AC0"/>
    <w:rsid w:val="009C4E18"/>
    <w:rsid w:val="009C55D9"/>
    <w:rsid w:val="009C69C6"/>
    <w:rsid w:val="009C7565"/>
    <w:rsid w:val="009C793C"/>
    <w:rsid w:val="009C7A1C"/>
    <w:rsid w:val="009C7DB9"/>
    <w:rsid w:val="009D02A3"/>
    <w:rsid w:val="009D165B"/>
    <w:rsid w:val="009D19AF"/>
    <w:rsid w:val="009D1EC2"/>
    <w:rsid w:val="009D2049"/>
    <w:rsid w:val="009D2C59"/>
    <w:rsid w:val="009D2E15"/>
    <w:rsid w:val="009D46D5"/>
    <w:rsid w:val="009D4D34"/>
    <w:rsid w:val="009D4F6D"/>
    <w:rsid w:val="009D5061"/>
    <w:rsid w:val="009D5153"/>
    <w:rsid w:val="009D5ECC"/>
    <w:rsid w:val="009D60FB"/>
    <w:rsid w:val="009D68F8"/>
    <w:rsid w:val="009E087C"/>
    <w:rsid w:val="009E20D4"/>
    <w:rsid w:val="009E21A7"/>
    <w:rsid w:val="009E244B"/>
    <w:rsid w:val="009E45A3"/>
    <w:rsid w:val="009E5191"/>
    <w:rsid w:val="009E570D"/>
    <w:rsid w:val="009E6A90"/>
    <w:rsid w:val="009E7E16"/>
    <w:rsid w:val="009F0835"/>
    <w:rsid w:val="009F0CDA"/>
    <w:rsid w:val="009F21C7"/>
    <w:rsid w:val="009F2470"/>
    <w:rsid w:val="009F3F95"/>
    <w:rsid w:val="009F47FC"/>
    <w:rsid w:val="009F5AAA"/>
    <w:rsid w:val="009F6055"/>
    <w:rsid w:val="009F6FF1"/>
    <w:rsid w:val="009F7831"/>
    <w:rsid w:val="009F7E98"/>
    <w:rsid w:val="00A00D56"/>
    <w:rsid w:val="00A01EF6"/>
    <w:rsid w:val="00A01F57"/>
    <w:rsid w:val="00A035EE"/>
    <w:rsid w:val="00A03D7C"/>
    <w:rsid w:val="00A04832"/>
    <w:rsid w:val="00A060B9"/>
    <w:rsid w:val="00A06182"/>
    <w:rsid w:val="00A06317"/>
    <w:rsid w:val="00A06AB5"/>
    <w:rsid w:val="00A06B8D"/>
    <w:rsid w:val="00A06CE1"/>
    <w:rsid w:val="00A07013"/>
    <w:rsid w:val="00A0725A"/>
    <w:rsid w:val="00A10AD2"/>
    <w:rsid w:val="00A11EB2"/>
    <w:rsid w:val="00A12856"/>
    <w:rsid w:val="00A12A4F"/>
    <w:rsid w:val="00A12C19"/>
    <w:rsid w:val="00A13B1C"/>
    <w:rsid w:val="00A14091"/>
    <w:rsid w:val="00A170DE"/>
    <w:rsid w:val="00A1740A"/>
    <w:rsid w:val="00A20744"/>
    <w:rsid w:val="00A209A9"/>
    <w:rsid w:val="00A22995"/>
    <w:rsid w:val="00A239BE"/>
    <w:rsid w:val="00A24D61"/>
    <w:rsid w:val="00A259EF"/>
    <w:rsid w:val="00A2666F"/>
    <w:rsid w:val="00A30A73"/>
    <w:rsid w:val="00A3106E"/>
    <w:rsid w:val="00A31F56"/>
    <w:rsid w:val="00A3241D"/>
    <w:rsid w:val="00A32DF8"/>
    <w:rsid w:val="00A33462"/>
    <w:rsid w:val="00A34A7C"/>
    <w:rsid w:val="00A35CC1"/>
    <w:rsid w:val="00A3629D"/>
    <w:rsid w:val="00A36CB0"/>
    <w:rsid w:val="00A37238"/>
    <w:rsid w:val="00A40A60"/>
    <w:rsid w:val="00A42460"/>
    <w:rsid w:val="00A434B2"/>
    <w:rsid w:val="00A43E3B"/>
    <w:rsid w:val="00A43EFB"/>
    <w:rsid w:val="00A45576"/>
    <w:rsid w:val="00A457ED"/>
    <w:rsid w:val="00A45861"/>
    <w:rsid w:val="00A45944"/>
    <w:rsid w:val="00A45C6A"/>
    <w:rsid w:val="00A47F2B"/>
    <w:rsid w:val="00A51103"/>
    <w:rsid w:val="00A51CF3"/>
    <w:rsid w:val="00A51D40"/>
    <w:rsid w:val="00A51F5C"/>
    <w:rsid w:val="00A5267E"/>
    <w:rsid w:val="00A5424B"/>
    <w:rsid w:val="00A5527C"/>
    <w:rsid w:val="00A56290"/>
    <w:rsid w:val="00A56EAE"/>
    <w:rsid w:val="00A57192"/>
    <w:rsid w:val="00A579DF"/>
    <w:rsid w:val="00A60833"/>
    <w:rsid w:val="00A6338C"/>
    <w:rsid w:val="00A66775"/>
    <w:rsid w:val="00A6767F"/>
    <w:rsid w:val="00A678E2"/>
    <w:rsid w:val="00A71433"/>
    <w:rsid w:val="00A71439"/>
    <w:rsid w:val="00A716F9"/>
    <w:rsid w:val="00A71847"/>
    <w:rsid w:val="00A738B3"/>
    <w:rsid w:val="00A75112"/>
    <w:rsid w:val="00A7552F"/>
    <w:rsid w:val="00A7688D"/>
    <w:rsid w:val="00A7693A"/>
    <w:rsid w:val="00A80EF7"/>
    <w:rsid w:val="00A81F4F"/>
    <w:rsid w:val="00A828C9"/>
    <w:rsid w:val="00A82C0E"/>
    <w:rsid w:val="00A82CC2"/>
    <w:rsid w:val="00A83214"/>
    <w:rsid w:val="00A838E5"/>
    <w:rsid w:val="00A84BC9"/>
    <w:rsid w:val="00A859B9"/>
    <w:rsid w:val="00A86148"/>
    <w:rsid w:val="00A86629"/>
    <w:rsid w:val="00A871E6"/>
    <w:rsid w:val="00A9001E"/>
    <w:rsid w:val="00A9091C"/>
    <w:rsid w:val="00A924AC"/>
    <w:rsid w:val="00A93180"/>
    <w:rsid w:val="00A93D87"/>
    <w:rsid w:val="00A9449E"/>
    <w:rsid w:val="00A97892"/>
    <w:rsid w:val="00AA09C8"/>
    <w:rsid w:val="00AA2534"/>
    <w:rsid w:val="00AA2D2A"/>
    <w:rsid w:val="00AA2DCF"/>
    <w:rsid w:val="00AA3A6F"/>
    <w:rsid w:val="00AA57B7"/>
    <w:rsid w:val="00AA6473"/>
    <w:rsid w:val="00AA701C"/>
    <w:rsid w:val="00AA7B38"/>
    <w:rsid w:val="00AA7CA8"/>
    <w:rsid w:val="00AB02FF"/>
    <w:rsid w:val="00AB0429"/>
    <w:rsid w:val="00AB13AF"/>
    <w:rsid w:val="00AB1967"/>
    <w:rsid w:val="00AB1A23"/>
    <w:rsid w:val="00AB52FD"/>
    <w:rsid w:val="00AB5F5C"/>
    <w:rsid w:val="00AB5F5E"/>
    <w:rsid w:val="00AB7739"/>
    <w:rsid w:val="00AB7811"/>
    <w:rsid w:val="00AC0676"/>
    <w:rsid w:val="00AC06F9"/>
    <w:rsid w:val="00AC11AB"/>
    <w:rsid w:val="00AC1A5B"/>
    <w:rsid w:val="00AC4187"/>
    <w:rsid w:val="00AC441C"/>
    <w:rsid w:val="00AC4635"/>
    <w:rsid w:val="00AD0346"/>
    <w:rsid w:val="00AD04EB"/>
    <w:rsid w:val="00AD1843"/>
    <w:rsid w:val="00AD258A"/>
    <w:rsid w:val="00AD25B5"/>
    <w:rsid w:val="00AD2B82"/>
    <w:rsid w:val="00AD5240"/>
    <w:rsid w:val="00AD6228"/>
    <w:rsid w:val="00AE0C44"/>
    <w:rsid w:val="00AE1D9E"/>
    <w:rsid w:val="00AE20D6"/>
    <w:rsid w:val="00AE3248"/>
    <w:rsid w:val="00AE3C97"/>
    <w:rsid w:val="00AE45D9"/>
    <w:rsid w:val="00AE4B75"/>
    <w:rsid w:val="00AE5301"/>
    <w:rsid w:val="00AE7612"/>
    <w:rsid w:val="00AF00B6"/>
    <w:rsid w:val="00AF035C"/>
    <w:rsid w:val="00AF07FF"/>
    <w:rsid w:val="00AF0FFF"/>
    <w:rsid w:val="00AF1339"/>
    <w:rsid w:val="00AF18DD"/>
    <w:rsid w:val="00AF2389"/>
    <w:rsid w:val="00AF25C0"/>
    <w:rsid w:val="00AF273D"/>
    <w:rsid w:val="00AF2C52"/>
    <w:rsid w:val="00AF3BED"/>
    <w:rsid w:val="00AF4849"/>
    <w:rsid w:val="00AF686B"/>
    <w:rsid w:val="00AF6F9E"/>
    <w:rsid w:val="00AF70C1"/>
    <w:rsid w:val="00AF76D7"/>
    <w:rsid w:val="00B001EF"/>
    <w:rsid w:val="00B00269"/>
    <w:rsid w:val="00B00FD7"/>
    <w:rsid w:val="00B01325"/>
    <w:rsid w:val="00B027BE"/>
    <w:rsid w:val="00B0530A"/>
    <w:rsid w:val="00B05AA2"/>
    <w:rsid w:val="00B077DC"/>
    <w:rsid w:val="00B07AC1"/>
    <w:rsid w:val="00B07C8C"/>
    <w:rsid w:val="00B10972"/>
    <w:rsid w:val="00B10A3E"/>
    <w:rsid w:val="00B11AA7"/>
    <w:rsid w:val="00B12CE0"/>
    <w:rsid w:val="00B13041"/>
    <w:rsid w:val="00B130CD"/>
    <w:rsid w:val="00B134FF"/>
    <w:rsid w:val="00B14B30"/>
    <w:rsid w:val="00B14CAB"/>
    <w:rsid w:val="00B15104"/>
    <w:rsid w:val="00B15CC2"/>
    <w:rsid w:val="00B15EA5"/>
    <w:rsid w:val="00B16393"/>
    <w:rsid w:val="00B170DC"/>
    <w:rsid w:val="00B17319"/>
    <w:rsid w:val="00B17892"/>
    <w:rsid w:val="00B17ABF"/>
    <w:rsid w:val="00B21674"/>
    <w:rsid w:val="00B218CA"/>
    <w:rsid w:val="00B21A87"/>
    <w:rsid w:val="00B21BE7"/>
    <w:rsid w:val="00B226F4"/>
    <w:rsid w:val="00B2277D"/>
    <w:rsid w:val="00B23184"/>
    <w:rsid w:val="00B23227"/>
    <w:rsid w:val="00B23321"/>
    <w:rsid w:val="00B23384"/>
    <w:rsid w:val="00B237D6"/>
    <w:rsid w:val="00B24D19"/>
    <w:rsid w:val="00B25476"/>
    <w:rsid w:val="00B256FD"/>
    <w:rsid w:val="00B25DA4"/>
    <w:rsid w:val="00B25EFC"/>
    <w:rsid w:val="00B30276"/>
    <w:rsid w:val="00B30A8A"/>
    <w:rsid w:val="00B30E0A"/>
    <w:rsid w:val="00B31374"/>
    <w:rsid w:val="00B31822"/>
    <w:rsid w:val="00B321A2"/>
    <w:rsid w:val="00B32E87"/>
    <w:rsid w:val="00B3422E"/>
    <w:rsid w:val="00B346F1"/>
    <w:rsid w:val="00B34EB6"/>
    <w:rsid w:val="00B35E81"/>
    <w:rsid w:val="00B37100"/>
    <w:rsid w:val="00B372E7"/>
    <w:rsid w:val="00B3761C"/>
    <w:rsid w:val="00B37841"/>
    <w:rsid w:val="00B404A7"/>
    <w:rsid w:val="00B4121C"/>
    <w:rsid w:val="00B42429"/>
    <w:rsid w:val="00B426AD"/>
    <w:rsid w:val="00B42868"/>
    <w:rsid w:val="00B42C20"/>
    <w:rsid w:val="00B42F0F"/>
    <w:rsid w:val="00B438AE"/>
    <w:rsid w:val="00B43F24"/>
    <w:rsid w:val="00B4478A"/>
    <w:rsid w:val="00B457BA"/>
    <w:rsid w:val="00B457CB"/>
    <w:rsid w:val="00B45E1D"/>
    <w:rsid w:val="00B47BEB"/>
    <w:rsid w:val="00B506A1"/>
    <w:rsid w:val="00B50A39"/>
    <w:rsid w:val="00B51B8C"/>
    <w:rsid w:val="00B51CA9"/>
    <w:rsid w:val="00B53A64"/>
    <w:rsid w:val="00B54142"/>
    <w:rsid w:val="00B5481E"/>
    <w:rsid w:val="00B55ACE"/>
    <w:rsid w:val="00B5789F"/>
    <w:rsid w:val="00B61011"/>
    <w:rsid w:val="00B6118F"/>
    <w:rsid w:val="00B61C7F"/>
    <w:rsid w:val="00B621D5"/>
    <w:rsid w:val="00B622DC"/>
    <w:rsid w:val="00B63883"/>
    <w:rsid w:val="00B64BAC"/>
    <w:rsid w:val="00B64BC6"/>
    <w:rsid w:val="00B6514A"/>
    <w:rsid w:val="00B6526D"/>
    <w:rsid w:val="00B6562A"/>
    <w:rsid w:val="00B66BFB"/>
    <w:rsid w:val="00B67B05"/>
    <w:rsid w:val="00B70E43"/>
    <w:rsid w:val="00B713B5"/>
    <w:rsid w:val="00B71480"/>
    <w:rsid w:val="00B715CE"/>
    <w:rsid w:val="00B7216C"/>
    <w:rsid w:val="00B72E25"/>
    <w:rsid w:val="00B7586C"/>
    <w:rsid w:val="00B75C01"/>
    <w:rsid w:val="00B75DAC"/>
    <w:rsid w:val="00B76CB6"/>
    <w:rsid w:val="00B773E6"/>
    <w:rsid w:val="00B80775"/>
    <w:rsid w:val="00B8123E"/>
    <w:rsid w:val="00B812AE"/>
    <w:rsid w:val="00B81378"/>
    <w:rsid w:val="00B8173D"/>
    <w:rsid w:val="00B82377"/>
    <w:rsid w:val="00B83144"/>
    <w:rsid w:val="00B838CC"/>
    <w:rsid w:val="00B83E9E"/>
    <w:rsid w:val="00B85922"/>
    <w:rsid w:val="00B86509"/>
    <w:rsid w:val="00B86AF4"/>
    <w:rsid w:val="00B87EB7"/>
    <w:rsid w:val="00B90852"/>
    <w:rsid w:val="00B90C89"/>
    <w:rsid w:val="00B921E8"/>
    <w:rsid w:val="00B9239C"/>
    <w:rsid w:val="00B92891"/>
    <w:rsid w:val="00B92E60"/>
    <w:rsid w:val="00B93016"/>
    <w:rsid w:val="00B9381F"/>
    <w:rsid w:val="00B93F60"/>
    <w:rsid w:val="00B94116"/>
    <w:rsid w:val="00B94CD1"/>
    <w:rsid w:val="00B95336"/>
    <w:rsid w:val="00B953F5"/>
    <w:rsid w:val="00B95D36"/>
    <w:rsid w:val="00B9771F"/>
    <w:rsid w:val="00B97BA4"/>
    <w:rsid w:val="00BA0379"/>
    <w:rsid w:val="00BA049F"/>
    <w:rsid w:val="00BA108A"/>
    <w:rsid w:val="00BA280C"/>
    <w:rsid w:val="00BA377F"/>
    <w:rsid w:val="00BA3D34"/>
    <w:rsid w:val="00BA5788"/>
    <w:rsid w:val="00BA588D"/>
    <w:rsid w:val="00BA593B"/>
    <w:rsid w:val="00BA5FF2"/>
    <w:rsid w:val="00BA704F"/>
    <w:rsid w:val="00BB0B54"/>
    <w:rsid w:val="00BB29E5"/>
    <w:rsid w:val="00BB4007"/>
    <w:rsid w:val="00BB4099"/>
    <w:rsid w:val="00BB4125"/>
    <w:rsid w:val="00BB4A76"/>
    <w:rsid w:val="00BB4C13"/>
    <w:rsid w:val="00BB6518"/>
    <w:rsid w:val="00BB7F27"/>
    <w:rsid w:val="00BC0245"/>
    <w:rsid w:val="00BC03AD"/>
    <w:rsid w:val="00BC0BB8"/>
    <w:rsid w:val="00BC2063"/>
    <w:rsid w:val="00BC246E"/>
    <w:rsid w:val="00BC3097"/>
    <w:rsid w:val="00BC3353"/>
    <w:rsid w:val="00BC4184"/>
    <w:rsid w:val="00BC4789"/>
    <w:rsid w:val="00BC4F18"/>
    <w:rsid w:val="00BC5136"/>
    <w:rsid w:val="00BC5657"/>
    <w:rsid w:val="00BC6232"/>
    <w:rsid w:val="00BC6DBE"/>
    <w:rsid w:val="00BC7785"/>
    <w:rsid w:val="00BC77DC"/>
    <w:rsid w:val="00BD1392"/>
    <w:rsid w:val="00BD1BAD"/>
    <w:rsid w:val="00BD1FC0"/>
    <w:rsid w:val="00BD2761"/>
    <w:rsid w:val="00BD3C50"/>
    <w:rsid w:val="00BD3E7D"/>
    <w:rsid w:val="00BD409B"/>
    <w:rsid w:val="00BD5923"/>
    <w:rsid w:val="00BD6B8C"/>
    <w:rsid w:val="00BD7DDE"/>
    <w:rsid w:val="00BE0A1F"/>
    <w:rsid w:val="00BE32D3"/>
    <w:rsid w:val="00BE40EE"/>
    <w:rsid w:val="00BE4C9C"/>
    <w:rsid w:val="00BE6769"/>
    <w:rsid w:val="00BF0444"/>
    <w:rsid w:val="00BF0BE6"/>
    <w:rsid w:val="00BF1172"/>
    <w:rsid w:val="00BF156E"/>
    <w:rsid w:val="00BF1A20"/>
    <w:rsid w:val="00BF1FB4"/>
    <w:rsid w:val="00BF1FCA"/>
    <w:rsid w:val="00BF24B8"/>
    <w:rsid w:val="00BF4698"/>
    <w:rsid w:val="00BF4752"/>
    <w:rsid w:val="00BF5FCC"/>
    <w:rsid w:val="00BF6294"/>
    <w:rsid w:val="00BF7448"/>
    <w:rsid w:val="00C00282"/>
    <w:rsid w:val="00C00C82"/>
    <w:rsid w:val="00C011CA"/>
    <w:rsid w:val="00C01449"/>
    <w:rsid w:val="00C02306"/>
    <w:rsid w:val="00C02CF4"/>
    <w:rsid w:val="00C03001"/>
    <w:rsid w:val="00C031FA"/>
    <w:rsid w:val="00C0453F"/>
    <w:rsid w:val="00C048D8"/>
    <w:rsid w:val="00C049FC"/>
    <w:rsid w:val="00C04CA3"/>
    <w:rsid w:val="00C0514E"/>
    <w:rsid w:val="00C06E43"/>
    <w:rsid w:val="00C07701"/>
    <w:rsid w:val="00C07C99"/>
    <w:rsid w:val="00C07F6D"/>
    <w:rsid w:val="00C101BB"/>
    <w:rsid w:val="00C13C21"/>
    <w:rsid w:val="00C13E03"/>
    <w:rsid w:val="00C14A3A"/>
    <w:rsid w:val="00C14A4F"/>
    <w:rsid w:val="00C14A59"/>
    <w:rsid w:val="00C15423"/>
    <w:rsid w:val="00C16044"/>
    <w:rsid w:val="00C167B6"/>
    <w:rsid w:val="00C1696D"/>
    <w:rsid w:val="00C16A94"/>
    <w:rsid w:val="00C16B00"/>
    <w:rsid w:val="00C17246"/>
    <w:rsid w:val="00C173B4"/>
    <w:rsid w:val="00C20D50"/>
    <w:rsid w:val="00C222DB"/>
    <w:rsid w:val="00C22F31"/>
    <w:rsid w:val="00C23456"/>
    <w:rsid w:val="00C24009"/>
    <w:rsid w:val="00C24E33"/>
    <w:rsid w:val="00C25807"/>
    <w:rsid w:val="00C25E82"/>
    <w:rsid w:val="00C25ECC"/>
    <w:rsid w:val="00C3191F"/>
    <w:rsid w:val="00C31D87"/>
    <w:rsid w:val="00C32820"/>
    <w:rsid w:val="00C32C7D"/>
    <w:rsid w:val="00C32EAE"/>
    <w:rsid w:val="00C331E0"/>
    <w:rsid w:val="00C33C67"/>
    <w:rsid w:val="00C34050"/>
    <w:rsid w:val="00C35729"/>
    <w:rsid w:val="00C3621B"/>
    <w:rsid w:val="00C373C4"/>
    <w:rsid w:val="00C37BCA"/>
    <w:rsid w:val="00C40883"/>
    <w:rsid w:val="00C4176F"/>
    <w:rsid w:val="00C42424"/>
    <w:rsid w:val="00C4584F"/>
    <w:rsid w:val="00C46F99"/>
    <w:rsid w:val="00C4768F"/>
    <w:rsid w:val="00C479C3"/>
    <w:rsid w:val="00C47C1F"/>
    <w:rsid w:val="00C50193"/>
    <w:rsid w:val="00C50231"/>
    <w:rsid w:val="00C50734"/>
    <w:rsid w:val="00C51A71"/>
    <w:rsid w:val="00C529E8"/>
    <w:rsid w:val="00C53677"/>
    <w:rsid w:val="00C53760"/>
    <w:rsid w:val="00C53E0E"/>
    <w:rsid w:val="00C544A9"/>
    <w:rsid w:val="00C5464C"/>
    <w:rsid w:val="00C55560"/>
    <w:rsid w:val="00C55591"/>
    <w:rsid w:val="00C55C60"/>
    <w:rsid w:val="00C55C80"/>
    <w:rsid w:val="00C565C0"/>
    <w:rsid w:val="00C57C85"/>
    <w:rsid w:val="00C61457"/>
    <w:rsid w:val="00C61A5E"/>
    <w:rsid w:val="00C61B22"/>
    <w:rsid w:val="00C6297D"/>
    <w:rsid w:val="00C62F24"/>
    <w:rsid w:val="00C63AA5"/>
    <w:rsid w:val="00C646F4"/>
    <w:rsid w:val="00C64ECD"/>
    <w:rsid w:val="00C65754"/>
    <w:rsid w:val="00C65F7D"/>
    <w:rsid w:val="00C6656C"/>
    <w:rsid w:val="00C67216"/>
    <w:rsid w:val="00C6769A"/>
    <w:rsid w:val="00C67854"/>
    <w:rsid w:val="00C70A49"/>
    <w:rsid w:val="00C70F85"/>
    <w:rsid w:val="00C710A5"/>
    <w:rsid w:val="00C7114E"/>
    <w:rsid w:val="00C7117F"/>
    <w:rsid w:val="00C72C1D"/>
    <w:rsid w:val="00C7318C"/>
    <w:rsid w:val="00C738EF"/>
    <w:rsid w:val="00C74059"/>
    <w:rsid w:val="00C7469C"/>
    <w:rsid w:val="00C75C92"/>
    <w:rsid w:val="00C76526"/>
    <w:rsid w:val="00C80134"/>
    <w:rsid w:val="00C812CF"/>
    <w:rsid w:val="00C8219A"/>
    <w:rsid w:val="00C82EE3"/>
    <w:rsid w:val="00C82EF2"/>
    <w:rsid w:val="00C82F7A"/>
    <w:rsid w:val="00C85352"/>
    <w:rsid w:val="00C86436"/>
    <w:rsid w:val="00C868EE"/>
    <w:rsid w:val="00C8733F"/>
    <w:rsid w:val="00C90CA9"/>
    <w:rsid w:val="00C9292B"/>
    <w:rsid w:val="00C930EE"/>
    <w:rsid w:val="00C9323B"/>
    <w:rsid w:val="00C934B2"/>
    <w:rsid w:val="00C93962"/>
    <w:rsid w:val="00C93A26"/>
    <w:rsid w:val="00C94974"/>
    <w:rsid w:val="00C949FD"/>
    <w:rsid w:val="00C95C73"/>
    <w:rsid w:val="00C95FFE"/>
    <w:rsid w:val="00CA1E0A"/>
    <w:rsid w:val="00CA3417"/>
    <w:rsid w:val="00CA3CFE"/>
    <w:rsid w:val="00CA40D9"/>
    <w:rsid w:val="00CA4ED6"/>
    <w:rsid w:val="00CA5095"/>
    <w:rsid w:val="00CA509D"/>
    <w:rsid w:val="00CA567F"/>
    <w:rsid w:val="00CA56CB"/>
    <w:rsid w:val="00CA61BE"/>
    <w:rsid w:val="00CA6D7F"/>
    <w:rsid w:val="00CA7143"/>
    <w:rsid w:val="00CA7DFA"/>
    <w:rsid w:val="00CB030C"/>
    <w:rsid w:val="00CB1228"/>
    <w:rsid w:val="00CB2556"/>
    <w:rsid w:val="00CB2950"/>
    <w:rsid w:val="00CB2D06"/>
    <w:rsid w:val="00CB43BB"/>
    <w:rsid w:val="00CB474B"/>
    <w:rsid w:val="00CB4D62"/>
    <w:rsid w:val="00CB4F70"/>
    <w:rsid w:val="00CB5123"/>
    <w:rsid w:val="00CB564C"/>
    <w:rsid w:val="00CC1667"/>
    <w:rsid w:val="00CC264A"/>
    <w:rsid w:val="00CC3368"/>
    <w:rsid w:val="00CC3964"/>
    <w:rsid w:val="00CC398E"/>
    <w:rsid w:val="00CC40A0"/>
    <w:rsid w:val="00CC4121"/>
    <w:rsid w:val="00CC57EA"/>
    <w:rsid w:val="00CC65BD"/>
    <w:rsid w:val="00CC6877"/>
    <w:rsid w:val="00CD0BA7"/>
    <w:rsid w:val="00CD15E9"/>
    <w:rsid w:val="00CD1836"/>
    <w:rsid w:val="00CD2411"/>
    <w:rsid w:val="00CD2522"/>
    <w:rsid w:val="00CD2AB2"/>
    <w:rsid w:val="00CD343D"/>
    <w:rsid w:val="00CD3AF5"/>
    <w:rsid w:val="00CD41A6"/>
    <w:rsid w:val="00CD4BC3"/>
    <w:rsid w:val="00CD5B5A"/>
    <w:rsid w:val="00CD618E"/>
    <w:rsid w:val="00CD692F"/>
    <w:rsid w:val="00CD6938"/>
    <w:rsid w:val="00CD6D5A"/>
    <w:rsid w:val="00CD7262"/>
    <w:rsid w:val="00CD76BD"/>
    <w:rsid w:val="00CD7C36"/>
    <w:rsid w:val="00CE1393"/>
    <w:rsid w:val="00CE149B"/>
    <w:rsid w:val="00CE15C4"/>
    <w:rsid w:val="00CE1611"/>
    <w:rsid w:val="00CE1935"/>
    <w:rsid w:val="00CE248E"/>
    <w:rsid w:val="00CE3FF6"/>
    <w:rsid w:val="00CE4271"/>
    <w:rsid w:val="00CE4A02"/>
    <w:rsid w:val="00CE5D77"/>
    <w:rsid w:val="00CE6325"/>
    <w:rsid w:val="00CE71D4"/>
    <w:rsid w:val="00CF090D"/>
    <w:rsid w:val="00CF33F0"/>
    <w:rsid w:val="00CF3D8D"/>
    <w:rsid w:val="00CF4C9D"/>
    <w:rsid w:val="00CF53A4"/>
    <w:rsid w:val="00CF585C"/>
    <w:rsid w:val="00CF656D"/>
    <w:rsid w:val="00CF6700"/>
    <w:rsid w:val="00CF6731"/>
    <w:rsid w:val="00CF76EE"/>
    <w:rsid w:val="00CF7DF9"/>
    <w:rsid w:val="00D00073"/>
    <w:rsid w:val="00D00255"/>
    <w:rsid w:val="00D0037F"/>
    <w:rsid w:val="00D01803"/>
    <w:rsid w:val="00D03DA4"/>
    <w:rsid w:val="00D04202"/>
    <w:rsid w:val="00D04D3F"/>
    <w:rsid w:val="00D051D1"/>
    <w:rsid w:val="00D055E0"/>
    <w:rsid w:val="00D056D0"/>
    <w:rsid w:val="00D05969"/>
    <w:rsid w:val="00D071B9"/>
    <w:rsid w:val="00D071C4"/>
    <w:rsid w:val="00D11063"/>
    <w:rsid w:val="00D11705"/>
    <w:rsid w:val="00D1254B"/>
    <w:rsid w:val="00D15408"/>
    <w:rsid w:val="00D15AF7"/>
    <w:rsid w:val="00D167A1"/>
    <w:rsid w:val="00D1689C"/>
    <w:rsid w:val="00D179C7"/>
    <w:rsid w:val="00D17C5B"/>
    <w:rsid w:val="00D20090"/>
    <w:rsid w:val="00D2172C"/>
    <w:rsid w:val="00D225EB"/>
    <w:rsid w:val="00D24D11"/>
    <w:rsid w:val="00D251CD"/>
    <w:rsid w:val="00D27C6C"/>
    <w:rsid w:val="00D31186"/>
    <w:rsid w:val="00D328D2"/>
    <w:rsid w:val="00D32B31"/>
    <w:rsid w:val="00D33331"/>
    <w:rsid w:val="00D33AC6"/>
    <w:rsid w:val="00D34326"/>
    <w:rsid w:val="00D34476"/>
    <w:rsid w:val="00D36DDC"/>
    <w:rsid w:val="00D378B4"/>
    <w:rsid w:val="00D40E2A"/>
    <w:rsid w:val="00D42930"/>
    <w:rsid w:val="00D43122"/>
    <w:rsid w:val="00D4372D"/>
    <w:rsid w:val="00D43A6F"/>
    <w:rsid w:val="00D440E5"/>
    <w:rsid w:val="00D449F3"/>
    <w:rsid w:val="00D44FC2"/>
    <w:rsid w:val="00D45981"/>
    <w:rsid w:val="00D45A9E"/>
    <w:rsid w:val="00D476D1"/>
    <w:rsid w:val="00D50C70"/>
    <w:rsid w:val="00D51743"/>
    <w:rsid w:val="00D51972"/>
    <w:rsid w:val="00D51D3E"/>
    <w:rsid w:val="00D5263B"/>
    <w:rsid w:val="00D5339C"/>
    <w:rsid w:val="00D53B7E"/>
    <w:rsid w:val="00D5539F"/>
    <w:rsid w:val="00D56B50"/>
    <w:rsid w:val="00D5727F"/>
    <w:rsid w:val="00D57349"/>
    <w:rsid w:val="00D57472"/>
    <w:rsid w:val="00D57887"/>
    <w:rsid w:val="00D605E6"/>
    <w:rsid w:val="00D61E39"/>
    <w:rsid w:val="00D62677"/>
    <w:rsid w:val="00D63B11"/>
    <w:rsid w:val="00D63CC1"/>
    <w:rsid w:val="00D64317"/>
    <w:rsid w:val="00D64B52"/>
    <w:rsid w:val="00D64BB8"/>
    <w:rsid w:val="00D663E1"/>
    <w:rsid w:val="00D66EAE"/>
    <w:rsid w:val="00D67FF2"/>
    <w:rsid w:val="00D706E8"/>
    <w:rsid w:val="00D707CA"/>
    <w:rsid w:val="00D70FEA"/>
    <w:rsid w:val="00D72D3D"/>
    <w:rsid w:val="00D738FD"/>
    <w:rsid w:val="00D740CE"/>
    <w:rsid w:val="00D745BD"/>
    <w:rsid w:val="00D76660"/>
    <w:rsid w:val="00D800A3"/>
    <w:rsid w:val="00D804C2"/>
    <w:rsid w:val="00D80A1B"/>
    <w:rsid w:val="00D81594"/>
    <w:rsid w:val="00D816C6"/>
    <w:rsid w:val="00D81E20"/>
    <w:rsid w:val="00D82062"/>
    <w:rsid w:val="00D8251B"/>
    <w:rsid w:val="00D8290A"/>
    <w:rsid w:val="00D82F01"/>
    <w:rsid w:val="00D82F77"/>
    <w:rsid w:val="00D8372C"/>
    <w:rsid w:val="00D83D7F"/>
    <w:rsid w:val="00D85172"/>
    <w:rsid w:val="00D857AE"/>
    <w:rsid w:val="00D86115"/>
    <w:rsid w:val="00D86C99"/>
    <w:rsid w:val="00D87013"/>
    <w:rsid w:val="00D87EC3"/>
    <w:rsid w:val="00D87F41"/>
    <w:rsid w:val="00D90205"/>
    <w:rsid w:val="00D903F8"/>
    <w:rsid w:val="00D92188"/>
    <w:rsid w:val="00D932FD"/>
    <w:rsid w:val="00D9397C"/>
    <w:rsid w:val="00D93DED"/>
    <w:rsid w:val="00D95DAB"/>
    <w:rsid w:val="00D97D8A"/>
    <w:rsid w:val="00DA084C"/>
    <w:rsid w:val="00DA0A8F"/>
    <w:rsid w:val="00DA0D9C"/>
    <w:rsid w:val="00DA1523"/>
    <w:rsid w:val="00DA1F07"/>
    <w:rsid w:val="00DA21BF"/>
    <w:rsid w:val="00DA27E5"/>
    <w:rsid w:val="00DA2AB8"/>
    <w:rsid w:val="00DA31BE"/>
    <w:rsid w:val="00DA36D1"/>
    <w:rsid w:val="00DA3DDD"/>
    <w:rsid w:val="00DA4757"/>
    <w:rsid w:val="00DA4EF6"/>
    <w:rsid w:val="00DA516A"/>
    <w:rsid w:val="00DA62C1"/>
    <w:rsid w:val="00DA630A"/>
    <w:rsid w:val="00DA6483"/>
    <w:rsid w:val="00DA67FA"/>
    <w:rsid w:val="00DA6812"/>
    <w:rsid w:val="00DA6C1A"/>
    <w:rsid w:val="00DA6D92"/>
    <w:rsid w:val="00DA7960"/>
    <w:rsid w:val="00DA7E02"/>
    <w:rsid w:val="00DA7E64"/>
    <w:rsid w:val="00DB14DB"/>
    <w:rsid w:val="00DB1A1E"/>
    <w:rsid w:val="00DB1E29"/>
    <w:rsid w:val="00DB34C3"/>
    <w:rsid w:val="00DB3B66"/>
    <w:rsid w:val="00DB6593"/>
    <w:rsid w:val="00DB6711"/>
    <w:rsid w:val="00DB6768"/>
    <w:rsid w:val="00DB736E"/>
    <w:rsid w:val="00DB73FD"/>
    <w:rsid w:val="00DB757C"/>
    <w:rsid w:val="00DB7806"/>
    <w:rsid w:val="00DB78C8"/>
    <w:rsid w:val="00DC0175"/>
    <w:rsid w:val="00DC0D9D"/>
    <w:rsid w:val="00DC23F2"/>
    <w:rsid w:val="00DC27ED"/>
    <w:rsid w:val="00DC2EFC"/>
    <w:rsid w:val="00DC3E3B"/>
    <w:rsid w:val="00DC4B06"/>
    <w:rsid w:val="00DC4B5B"/>
    <w:rsid w:val="00DC6830"/>
    <w:rsid w:val="00DC72F3"/>
    <w:rsid w:val="00DD088B"/>
    <w:rsid w:val="00DD3C59"/>
    <w:rsid w:val="00DD514D"/>
    <w:rsid w:val="00DD58CC"/>
    <w:rsid w:val="00DD6CBC"/>
    <w:rsid w:val="00DD7D98"/>
    <w:rsid w:val="00DD7FEF"/>
    <w:rsid w:val="00DE075F"/>
    <w:rsid w:val="00DE1350"/>
    <w:rsid w:val="00DE15E9"/>
    <w:rsid w:val="00DE1D6A"/>
    <w:rsid w:val="00DE2D95"/>
    <w:rsid w:val="00DE38DF"/>
    <w:rsid w:val="00DE5893"/>
    <w:rsid w:val="00DE6695"/>
    <w:rsid w:val="00DE6B8A"/>
    <w:rsid w:val="00DE73B6"/>
    <w:rsid w:val="00DF0131"/>
    <w:rsid w:val="00DF148E"/>
    <w:rsid w:val="00DF18B3"/>
    <w:rsid w:val="00DF2303"/>
    <w:rsid w:val="00DF44F7"/>
    <w:rsid w:val="00DF5017"/>
    <w:rsid w:val="00DF5BAA"/>
    <w:rsid w:val="00DF6440"/>
    <w:rsid w:val="00DF766E"/>
    <w:rsid w:val="00DF7E0E"/>
    <w:rsid w:val="00E00BDE"/>
    <w:rsid w:val="00E02D53"/>
    <w:rsid w:val="00E03919"/>
    <w:rsid w:val="00E03C50"/>
    <w:rsid w:val="00E03EE7"/>
    <w:rsid w:val="00E041E7"/>
    <w:rsid w:val="00E043D8"/>
    <w:rsid w:val="00E0472F"/>
    <w:rsid w:val="00E048D0"/>
    <w:rsid w:val="00E0644D"/>
    <w:rsid w:val="00E07730"/>
    <w:rsid w:val="00E109C1"/>
    <w:rsid w:val="00E11608"/>
    <w:rsid w:val="00E11978"/>
    <w:rsid w:val="00E11C1F"/>
    <w:rsid w:val="00E12060"/>
    <w:rsid w:val="00E1210F"/>
    <w:rsid w:val="00E13298"/>
    <w:rsid w:val="00E13306"/>
    <w:rsid w:val="00E13B89"/>
    <w:rsid w:val="00E14199"/>
    <w:rsid w:val="00E15D0A"/>
    <w:rsid w:val="00E15EA5"/>
    <w:rsid w:val="00E15F55"/>
    <w:rsid w:val="00E15FF3"/>
    <w:rsid w:val="00E17862"/>
    <w:rsid w:val="00E21298"/>
    <w:rsid w:val="00E21B8C"/>
    <w:rsid w:val="00E227EA"/>
    <w:rsid w:val="00E22945"/>
    <w:rsid w:val="00E232F4"/>
    <w:rsid w:val="00E23C99"/>
    <w:rsid w:val="00E24090"/>
    <w:rsid w:val="00E248B0"/>
    <w:rsid w:val="00E25759"/>
    <w:rsid w:val="00E25A4B"/>
    <w:rsid w:val="00E30512"/>
    <w:rsid w:val="00E30F44"/>
    <w:rsid w:val="00E32DA2"/>
    <w:rsid w:val="00E32EC8"/>
    <w:rsid w:val="00E32F06"/>
    <w:rsid w:val="00E33B55"/>
    <w:rsid w:val="00E34AD9"/>
    <w:rsid w:val="00E3516D"/>
    <w:rsid w:val="00E3655C"/>
    <w:rsid w:val="00E36DBF"/>
    <w:rsid w:val="00E413D6"/>
    <w:rsid w:val="00E413D8"/>
    <w:rsid w:val="00E418C3"/>
    <w:rsid w:val="00E41915"/>
    <w:rsid w:val="00E42FEB"/>
    <w:rsid w:val="00E4333D"/>
    <w:rsid w:val="00E43C1B"/>
    <w:rsid w:val="00E4409F"/>
    <w:rsid w:val="00E46EF0"/>
    <w:rsid w:val="00E477FC"/>
    <w:rsid w:val="00E47E78"/>
    <w:rsid w:val="00E50015"/>
    <w:rsid w:val="00E51894"/>
    <w:rsid w:val="00E5242D"/>
    <w:rsid w:val="00E5302E"/>
    <w:rsid w:val="00E53E1B"/>
    <w:rsid w:val="00E54C75"/>
    <w:rsid w:val="00E54D26"/>
    <w:rsid w:val="00E5541B"/>
    <w:rsid w:val="00E557EB"/>
    <w:rsid w:val="00E571FE"/>
    <w:rsid w:val="00E57878"/>
    <w:rsid w:val="00E57F22"/>
    <w:rsid w:val="00E601DE"/>
    <w:rsid w:val="00E60745"/>
    <w:rsid w:val="00E60B6A"/>
    <w:rsid w:val="00E617F7"/>
    <w:rsid w:val="00E63074"/>
    <w:rsid w:val="00E63266"/>
    <w:rsid w:val="00E64C22"/>
    <w:rsid w:val="00E64C6D"/>
    <w:rsid w:val="00E64E60"/>
    <w:rsid w:val="00E65C27"/>
    <w:rsid w:val="00E66C4C"/>
    <w:rsid w:val="00E66E3C"/>
    <w:rsid w:val="00E70307"/>
    <w:rsid w:val="00E7078D"/>
    <w:rsid w:val="00E71B35"/>
    <w:rsid w:val="00E71C59"/>
    <w:rsid w:val="00E73097"/>
    <w:rsid w:val="00E74DD3"/>
    <w:rsid w:val="00E75584"/>
    <w:rsid w:val="00E7617F"/>
    <w:rsid w:val="00E76A9B"/>
    <w:rsid w:val="00E776A2"/>
    <w:rsid w:val="00E7EA98"/>
    <w:rsid w:val="00E8111D"/>
    <w:rsid w:val="00E81CA1"/>
    <w:rsid w:val="00E81E6D"/>
    <w:rsid w:val="00E830A2"/>
    <w:rsid w:val="00E83815"/>
    <w:rsid w:val="00E84D18"/>
    <w:rsid w:val="00E8532F"/>
    <w:rsid w:val="00E87286"/>
    <w:rsid w:val="00E900CD"/>
    <w:rsid w:val="00E9032C"/>
    <w:rsid w:val="00E90480"/>
    <w:rsid w:val="00E91AAE"/>
    <w:rsid w:val="00E9205A"/>
    <w:rsid w:val="00E92127"/>
    <w:rsid w:val="00E943DE"/>
    <w:rsid w:val="00E947B9"/>
    <w:rsid w:val="00E94C18"/>
    <w:rsid w:val="00E95A66"/>
    <w:rsid w:val="00E969E7"/>
    <w:rsid w:val="00E9798D"/>
    <w:rsid w:val="00EA0E02"/>
    <w:rsid w:val="00EA144C"/>
    <w:rsid w:val="00EA1494"/>
    <w:rsid w:val="00EA2020"/>
    <w:rsid w:val="00EA22BD"/>
    <w:rsid w:val="00EA410A"/>
    <w:rsid w:val="00EA45EA"/>
    <w:rsid w:val="00EA5705"/>
    <w:rsid w:val="00EB069D"/>
    <w:rsid w:val="00EB0A0F"/>
    <w:rsid w:val="00EB18B1"/>
    <w:rsid w:val="00EB238E"/>
    <w:rsid w:val="00EB242B"/>
    <w:rsid w:val="00EB253A"/>
    <w:rsid w:val="00EB336F"/>
    <w:rsid w:val="00EB4F64"/>
    <w:rsid w:val="00EB59ED"/>
    <w:rsid w:val="00EB5F65"/>
    <w:rsid w:val="00EB628D"/>
    <w:rsid w:val="00EB6340"/>
    <w:rsid w:val="00EB66F4"/>
    <w:rsid w:val="00EB6894"/>
    <w:rsid w:val="00EB78F8"/>
    <w:rsid w:val="00EC0BD5"/>
    <w:rsid w:val="00EC0E98"/>
    <w:rsid w:val="00EC1600"/>
    <w:rsid w:val="00EC19C4"/>
    <w:rsid w:val="00EC259E"/>
    <w:rsid w:val="00EC2753"/>
    <w:rsid w:val="00EC2BA2"/>
    <w:rsid w:val="00EC6304"/>
    <w:rsid w:val="00EC69C7"/>
    <w:rsid w:val="00EC7A28"/>
    <w:rsid w:val="00EC7E0E"/>
    <w:rsid w:val="00ED10FA"/>
    <w:rsid w:val="00ED166C"/>
    <w:rsid w:val="00ED196B"/>
    <w:rsid w:val="00ED3D19"/>
    <w:rsid w:val="00ED4E9E"/>
    <w:rsid w:val="00ED4EA9"/>
    <w:rsid w:val="00ED5223"/>
    <w:rsid w:val="00ED53B5"/>
    <w:rsid w:val="00ED5B40"/>
    <w:rsid w:val="00ED62B5"/>
    <w:rsid w:val="00ED6936"/>
    <w:rsid w:val="00ED6968"/>
    <w:rsid w:val="00ED6FC2"/>
    <w:rsid w:val="00ED7B37"/>
    <w:rsid w:val="00EE09D3"/>
    <w:rsid w:val="00EE0CF7"/>
    <w:rsid w:val="00EE20A4"/>
    <w:rsid w:val="00EE3D09"/>
    <w:rsid w:val="00EE3DE0"/>
    <w:rsid w:val="00EE4207"/>
    <w:rsid w:val="00EE443A"/>
    <w:rsid w:val="00EE4A0F"/>
    <w:rsid w:val="00EE4DF9"/>
    <w:rsid w:val="00EE5187"/>
    <w:rsid w:val="00EE5A9E"/>
    <w:rsid w:val="00EE620F"/>
    <w:rsid w:val="00EE69CE"/>
    <w:rsid w:val="00EE6E3F"/>
    <w:rsid w:val="00EE6F7A"/>
    <w:rsid w:val="00EE776A"/>
    <w:rsid w:val="00EE7CC7"/>
    <w:rsid w:val="00EF050D"/>
    <w:rsid w:val="00EF1BC0"/>
    <w:rsid w:val="00EF1D21"/>
    <w:rsid w:val="00EF256A"/>
    <w:rsid w:val="00EF3ED4"/>
    <w:rsid w:val="00EF4951"/>
    <w:rsid w:val="00EF5080"/>
    <w:rsid w:val="00EF5771"/>
    <w:rsid w:val="00EF5856"/>
    <w:rsid w:val="00EF6ACA"/>
    <w:rsid w:val="00EF7E9F"/>
    <w:rsid w:val="00F016E2"/>
    <w:rsid w:val="00F02C40"/>
    <w:rsid w:val="00F0337D"/>
    <w:rsid w:val="00F03669"/>
    <w:rsid w:val="00F045E7"/>
    <w:rsid w:val="00F055B7"/>
    <w:rsid w:val="00F057E4"/>
    <w:rsid w:val="00F06629"/>
    <w:rsid w:val="00F0677E"/>
    <w:rsid w:val="00F06D61"/>
    <w:rsid w:val="00F06DAE"/>
    <w:rsid w:val="00F07B04"/>
    <w:rsid w:val="00F07DF4"/>
    <w:rsid w:val="00F103D8"/>
    <w:rsid w:val="00F10E35"/>
    <w:rsid w:val="00F1113E"/>
    <w:rsid w:val="00F118BC"/>
    <w:rsid w:val="00F12A09"/>
    <w:rsid w:val="00F13966"/>
    <w:rsid w:val="00F14067"/>
    <w:rsid w:val="00F14435"/>
    <w:rsid w:val="00F14700"/>
    <w:rsid w:val="00F14A6F"/>
    <w:rsid w:val="00F163E8"/>
    <w:rsid w:val="00F17D5F"/>
    <w:rsid w:val="00F20617"/>
    <w:rsid w:val="00F2061F"/>
    <w:rsid w:val="00F20DDA"/>
    <w:rsid w:val="00F21058"/>
    <w:rsid w:val="00F213DF"/>
    <w:rsid w:val="00F22DEA"/>
    <w:rsid w:val="00F24DC6"/>
    <w:rsid w:val="00F2523D"/>
    <w:rsid w:val="00F26C3C"/>
    <w:rsid w:val="00F270C9"/>
    <w:rsid w:val="00F27310"/>
    <w:rsid w:val="00F278EB"/>
    <w:rsid w:val="00F3039F"/>
    <w:rsid w:val="00F313CB"/>
    <w:rsid w:val="00F3142D"/>
    <w:rsid w:val="00F32D5F"/>
    <w:rsid w:val="00F3637A"/>
    <w:rsid w:val="00F375D2"/>
    <w:rsid w:val="00F40024"/>
    <w:rsid w:val="00F40940"/>
    <w:rsid w:val="00F41DF4"/>
    <w:rsid w:val="00F41E7C"/>
    <w:rsid w:val="00F41F13"/>
    <w:rsid w:val="00F41F20"/>
    <w:rsid w:val="00F425B3"/>
    <w:rsid w:val="00F42710"/>
    <w:rsid w:val="00F43FB7"/>
    <w:rsid w:val="00F45339"/>
    <w:rsid w:val="00F45AEF"/>
    <w:rsid w:val="00F474B5"/>
    <w:rsid w:val="00F4773E"/>
    <w:rsid w:val="00F47754"/>
    <w:rsid w:val="00F47D44"/>
    <w:rsid w:val="00F500A6"/>
    <w:rsid w:val="00F5013F"/>
    <w:rsid w:val="00F503D8"/>
    <w:rsid w:val="00F504F7"/>
    <w:rsid w:val="00F5143B"/>
    <w:rsid w:val="00F514A3"/>
    <w:rsid w:val="00F51D0A"/>
    <w:rsid w:val="00F51E36"/>
    <w:rsid w:val="00F52301"/>
    <w:rsid w:val="00F53564"/>
    <w:rsid w:val="00F5364F"/>
    <w:rsid w:val="00F5383B"/>
    <w:rsid w:val="00F542B5"/>
    <w:rsid w:val="00F5519C"/>
    <w:rsid w:val="00F5618F"/>
    <w:rsid w:val="00F56839"/>
    <w:rsid w:val="00F57072"/>
    <w:rsid w:val="00F61D77"/>
    <w:rsid w:val="00F622AD"/>
    <w:rsid w:val="00F622C0"/>
    <w:rsid w:val="00F62D41"/>
    <w:rsid w:val="00F63D5C"/>
    <w:rsid w:val="00F640E6"/>
    <w:rsid w:val="00F64E83"/>
    <w:rsid w:val="00F67461"/>
    <w:rsid w:val="00F67754"/>
    <w:rsid w:val="00F70D60"/>
    <w:rsid w:val="00F71C43"/>
    <w:rsid w:val="00F71D58"/>
    <w:rsid w:val="00F72B56"/>
    <w:rsid w:val="00F7449F"/>
    <w:rsid w:val="00F74DE5"/>
    <w:rsid w:val="00F7595F"/>
    <w:rsid w:val="00F75CCB"/>
    <w:rsid w:val="00F76A91"/>
    <w:rsid w:val="00F80EF7"/>
    <w:rsid w:val="00F812C7"/>
    <w:rsid w:val="00F8186B"/>
    <w:rsid w:val="00F82948"/>
    <w:rsid w:val="00F847C9"/>
    <w:rsid w:val="00F8550D"/>
    <w:rsid w:val="00F877E3"/>
    <w:rsid w:val="00F90FF9"/>
    <w:rsid w:val="00F92B16"/>
    <w:rsid w:val="00F92B43"/>
    <w:rsid w:val="00F92BF1"/>
    <w:rsid w:val="00F9488D"/>
    <w:rsid w:val="00F94913"/>
    <w:rsid w:val="00F94AD4"/>
    <w:rsid w:val="00F94B5E"/>
    <w:rsid w:val="00F963D4"/>
    <w:rsid w:val="00F9762D"/>
    <w:rsid w:val="00F97672"/>
    <w:rsid w:val="00F979D7"/>
    <w:rsid w:val="00F97A75"/>
    <w:rsid w:val="00FA0ACD"/>
    <w:rsid w:val="00FA2055"/>
    <w:rsid w:val="00FA231A"/>
    <w:rsid w:val="00FA27F9"/>
    <w:rsid w:val="00FA28D0"/>
    <w:rsid w:val="00FA3110"/>
    <w:rsid w:val="00FA3144"/>
    <w:rsid w:val="00FA36B5"/>
    <w:rsid w:val="00FA4DEF"/>
    <w:rsid w:val="00FA5064"/>
    <w:rsid w:val="00FA73EF"/>
    <w:rsid w:val="00FA7F9E"/>
    <w:rsid w:val="00FB09D0"/>
    <w:rsid w:val="00FB10D1"/>
    <w:rsid w:val="00FB1534"/>
    <w:rsid w:val="00FB2791"/>
    <w:rsid w:val="00FB2BE1"/>
    <w:rsid w:val="00FB3D5B"/>
    <w:rsid w:val="00FB5603"/>
    <w:rsid w:val="00FB5A17"/>
    <w:rsid w:val="00FB6535"/>
    <w:rsid w:val="00FB75F5"/>
    <w:rsid w:val="00FB78AD"/>
    <w:rsid w:val="00FB7AC4"/>
    <w:rsid w:val="00FC0038"/>
    <w:rsid w:val="00FC0560"/>
    <w:rsid w:val="00FC0B34"/>
    <w:rsid w:val="00FC0B78"/>
    <w:rsid w:val="00FC1CCC"/>
    <w:rsid w:val="00FC32C3"/>
    <w:rsid w:val="00FC3F25"/>
    <w:rsid w:val="00FC4313"/>
    <w:rsid w:val="00FC587F"/>
    <w:rsid w:val="00FC616A"/>
    <w:rsid w:val="00FC68C0"/>
    <w:rsid w:val="00FC6F54"/>
    <w:rsid w:val="00FC705B"/>
    <w:rsid w:val="00FD076C"/>
    <w:rsid w:val="00FD0FEC"/>
    <w:rsid w:val="00FD2118"/>
    <w:rsid w:val="00FD3A97"/>
    <w:rsid w:val="00FD3E25"/>
    <w:rsid w:val="00FD40DD"/>
    <w:rsid w:val="00FD42CA"/>
    <w:rsid w:val="00FD53D1"/>
    <w:rsid w:val="00FD5A72"/>
    <w:rsid w:val="00FD6C3C"/>
    <w:rsid w:val="00FD6C8E"/>
    <w:rsid w:val="00FD6E1E"/>
    <w:rsid w:val="00FD70B6"/>
    <w:rsid w:val="00FD71A8"/>
    <w:rsid w:val="00FD7551"/>
    <w:rsid w:val="00FE0E2E"/>
    <w:rsid w:val="00FE109C"/>
    <w:rsid w:val="00FE1F45"/>
    <w:rsid w:val="00FE2141"/>
    <w:rsid w:val="00FE32B0"/>
    <w:rsid w:val="00FE3840"/>
    <w:rsid w:val="00FE3994"/>
    <w:rsid w:val="00FE3CA8"/>
    <w:rsid w:val="00FE3D63"/>
    <w:rsid w:val="00FE51B8"/>
    <w:rsid w:val="00FE5288"/>
    <w:rsid w:val="00FE5B4F"/>
    <w:rsid w:val="00FE70ED"/>
    <w:rsid w:val="00FE74A3"/>
    <w:rsid w:val="00FF0145"/>
    <w:rsid w:val="00FF2D46"/>
    <w:rsid w:val="00FF37AB"/>
    <w:rsid w:val="00FF3FBE"/>
    <w:rsid w:val="00FF440F"/>
    <w:rsid w:val="00FF4479"/>
    <w:rsid w:val="00FF452A"/>
    <w:rsid w:val="00FF4BC0"/>
    <w:rsid w:val="00FF6520"/>
    <w:rsid w:val="00FF6E0E"/>
    <w:rsid w:val="00FF7399"/>
    <w:rsid w:val="00FF78DB"/>
    <w:rsid w:val="00FF7F3C"/>
    <w:rsid w:val="00FF7F82"/>
    <w:rsid w:val="01947ABA"/>
    <w:rsid w:val="02B4A164"/>
    <w:rsid w:val="03178684"/>
    <w:rsid w:val="03E38D5A"/>
    <w:rsid w:val="0422920E"/>
    <w:rsid w:val="06ACB815"/>
    <w:rsid w:val="08BDFF41"/>
    <w:rsid w:val="0E65276D"/>
    <w:rsid w:val="102DDB94"/>
    <w:rsid w:val="13F944DE"/>
    <w:rsid w:val="16DD4BE9"/>
    <w:rsid w:val="19077B72"/>
    <w:rsid w:val="194F18F0"/>
    <w:rsid w:val="19E92F3E"/>
    <w:rsid w:val="1BE154AC"/>
    <w:rsid w:val="1CF6E198"/>
    <w:rsid w:val="1E488F53"/>
    <w:rsid w:val="1F84A0D5"/>
    <w:rsid w:val="20D43CBD"/>
    <w:rsid w:val="21358410"/>
    <w:rsid w:val="21B6B6A6"/>
    <w:rsid w:val="21CC9638"/>
    <w:rsid w:val="2280A529"/>
    <w:rsid w:val="22B4DA67"/>
    <w:rsid w:val="26F36350"/>
    <w:rsid w:val="2705AF8A"/>
    <w:rsid w:val="27184C03"/>
    <w:rsid w:val="28744A83"/>
    <w:rsid w:val="2887F59E"/>
    <w:rsid w:val="29EB1AA5"/>
    <w:rsid w:val="2CEAA863"/>
    <w:rsid w:val="2D75B909"/>
    <w:rsid w:val="2E528F03"/>
    <w:rsid w:val="2E7D6DD1"/>
    <w:rsid w:val="2F72165E"/>
    <w:rsid w:val="2F879669"/>
    <w:rsid w:val="309AEE73"/>
    <w:rsid w:val="324EFF97"/>
    <w:rsid w:val="32CA819F"/>
    <w:rsid w:val="33B9F494"/>
    <w:rsid w:val="34D81004"/>
    <w:rsid w:val="359144BF"/>
    <w:rsid w:val="3594A083"/>
    <w:rsid w:val="3869ABB9"/>
    <w:rsid w:val="39624EAB"/>
    <w:rsid w:val="398A3CD3"/>
    <w:rsid w:val="3A8E3752"/>
    <w:rsid w:val="3AE724EE"/>
    <w:rsid w:val="3B1B6362"/>
    <w:rsid w:val="3CB27462"/>
    <w:rsid w:val="3DF5E4DC"/>
    <w:rsid w:val="3EAF8E13"/>
    <w:rsid w:val="3ECE6708"/>
    <w:rsid w:val="40750CFD"/>
    <w:rsid w:val="4162FC69"/>
    <w:rsid w:val="425F9490"/>
    <w:rsid w:val="42A246ED"/>
    <w:rsid w:val="44F47DA0"/>
    <w:rsid w:val="4546A39D"/>
    <w:rsid w:val="454DBB7D"/>
    <w:rsid w:val="4572A3A3"/>
    <w:rsid w:val="46F4547B"/>
    <w:rsid w:val="47684302"/>
    <w:rsid w:val="497DFD9B"/>
    <w:rsid w:val="4B8AA0B8"/>
    <w:rsid w:val="4C54B2DD"/>
    <w:rsid w:val="4EEF91E4"/>
    <w:rsid w:val="4F3C13BC"/>
    <w:rsid w:val="50B49500"/>
    <w:rsid w:val="50DFD014"/>
    <w:rsid w:val="52D1093E"/>
    <w:rsid w:val="5B75ACDE"/>
    <w:rsid w:val="5C67BEDC"/>
    <w:rsid w:val="5C9E4B3A"/>
    <w:rsid w:val="5D9392F0"/>
    <w:rsid w:val="5DC850B2"/>
    <w:rsid w:val="5DF989F9"/>
    <w:rsid w:val="5F52A01D"/>
    <w:rsid w:val="608C5CA7"/>
    <w:rsid w:val="63BD639A"/>
    <w:rsid w:val="64B9385C"/>
    <w:rsid w:val="65F15919"/>
    <w:rsid w:val="6B405142"/>
    <w:rsid w:val="6B8A19CC"/>
    <w:rsid w:val="6BBB4294"/>
    <w:rsid w:val="6DBD220E"/>
    <w:rsid w:val="6F2105F7"/>
    <w:rsid w:val="714AF859"/>
    <w:rsid w:val="74395460"/>
    <w:rsid w:val="761DD902"/>
    <w:rsid w:val="767206DE"/>
    <w:rsid w:val="7939A23B"/>
    <w:rsid w:val="79450020"/>
    <w:rsid w:val="794FE681"/>
    <w:rsid w:val="7A55512B"/>
    <w:rsid w:val="7BBE7423"/>
    <w:rsid w:val="7CC965AF"/>
    <w:rsid w:val="7DFD45C4"/>
    <w:rsid w:val="7E24BA3E"/>
    <w:rsid w:val="7E2680BA"/>
    <w:rsid w:val="7E6F0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5A5A64"/>
  </w:style>
  <w:style w:type="paragraph" w:styleId="Heading1">
    <w:name w:val="heading 1"/>
    <w:basedOn w:val="Normal"/>
    <w:next w:val="BalloonText"/>
    <w:uiPriority w:val="9"/>
    <w:qFormat/>
    <w:rsid w:val="007E3943"/>
    <w:pPr>
      <w:numPr>
        <w:numId w:val="12"/>
      </w:numPr>
      <w:spacing w:before="240" w:line="480" w:lineRule="auto"/>
      <w:outlineLvl w:val="0"/>
    </w:pPr>
    <w:rPr>
      <w:b/>
      <w:sz w:val="24"/>
      <w:szCs w:val="24"/>
      <w:u w:val="single"/>
    </w:rPr>
  </w:style>
  <w:style w:type="paragraph" w:styleId="Heading2">
    <w:name w:val="heading 2"/>
    <w:basedOn w:val="Normal"/>
    <w:next w:val="BodyText"/>
    <w:link w:val="Heading2Char"/>
    <w:uiPriority w:val="9"/>
    <w:qFormat/>
    <w:rsid w:val="007E3943"/>
    <w:pPr>
      <w:numPr>
        <w:ilvl w:val="1"/>
        <w:numId w:val="12"/>
      </w:numPr>
      <w:spacing w:before="120" w:line="480" w:lineRule="auto"/>
      <w:outlineLvl w:val="1"/>
    </w:pPr>
    <w:rPr>
      <w:b/>
      <w:sz w:val="24"/>
      <w:szCs w:val="24"/>
    </w:rPr>
  </w:style>
  <w:style w:type="paragraph" w:styleId="Heading3">
    <w:name w:val="heading 3"/>
    <w:basedOn w:val="Normal"/>
    <w:next w:val="BodyText"/>
    <w:link w:val="Heading3Char"/>
    <w:uiPriority w:val="9"/>
    <w:qFormat/>
    <w:rsid w:val="003C57B7"/>
    <w:pPr>
      <w:keepNext/>
      <w:numPr>
        <w:ilvl w:val="2"/>
        <w:numId w:val="12"/>
      </w:numPr>
      <w:spacing w:before="240" w:after="60" w:line="480" w:lineRule="auto"/>
      <w:outlineLvl w:val="2"/>
    </w:pPr>
    <w:rPr>
      <w:i/>
      <w:sz w:val="24"/>
    </w:rPr>
  </w:style>
  <w:style w:type="paragraph" w:styleId="Heading4">
    <w:name w:val="heading 4"/>
    <w:basedOn w:val="Normal"/>
    <w:next w:val="BodyText"/>
    <w:uiPriority w:val="9"/>
    <w:qFormat/>
    <w:rsid w:val="007E3943"/>
    <w:pPr>
      <w:keepNext/>
      <w:numPr>
        <w:ilvl w:val="3"/>
        <w:numId w:val="12"/>
      </w:numPr>
      <w:spacing w:line="480" w:lineRule="auto"/>
      <w:jc w:val="center"/>
      <w:outlineLvl w:val="3"/>
    </w:pPr>
    <w:rPr>
      <w:b/>
      <w:sz w:val="24"/>
    </w:rPr>
  </w:style>
  <w:style w:type="paragraph" w:styleId="Heading5">
    <w:name w:val="heading 5"/>
    <w:basedOn w:val="Normal"/>
    <w:next w:val="BodyText"/>
    <w:uiPriority w:val="9"/>
    <w:qFormat/>
    <w:rsid w:val="007E3943"/>
    <w:pPr>
      <w:keepNext/>
      <w:numPr>
        <w:ilvl w:val="4"/>
        <w:numId w:val="12"/>
      </w:numPr>
      <w:outlineLvl w:val="4"/>
    </w:pPr>
    <w:rPr>
      <w:b/>
      <w:sz w:val="24"/>
    </w:rPr>
  </w:style>
  <w:style w:type="paragraph" w:styleId="Heading6">
    <w:name w:val="heading 6"/>
    <w:basedOn w:val="Normal"/>
    <w:next w:val="BodyText"/>
    <w:uiPriority w:val="9"/>
    <w:qFormat/>
    <w:rsid w:val="007E3943"/>
    <w:pPr>
      <w:keepNext/>
      <w:numPr>
        <w:ilvl w:val="5"/>
        <w:numId w:val="12"/>
      </w:numPr>
      <w:jc w:val="center"/>
      <w:outlineLvl w:val="5"/>
    </w:pPr>
    <w:rPr>
      <w:b/>
      <w:sz w:val="24"/>
    </w:rPr>
  </w:style>
  <w:style w:type="paragraph" w:styleId="Heading7">
    <w:name w:val="heading 7"/>
    <w:basedOn w:val="Normal"/>
    <w:next w:val="BodyText"/>
    <w:uiPriority w:val="9"/>
    <w:qFormat/>
    <w:rsid w:val="007E3943"/>
    <w:pPr>
      <w:keepNext/>
      <w:numPr>
        <w:ilvl w:val="6"/>
        <w:numId w:val="12"/>
      </w:numPr>
      <w:outlineLvl w:val="6"/>
    </w:pPr>
    <w:rPr>
      <w:b/>
      <w:sz w:val="24"/>
    </w:rPr>
  </w:style>
  <w:style w:type="paragraph" w:styleId="Heading8">
    <w:name w:val="heading 8"/>
    <w:basedOn w:val="Normal"/>
    <w:next w:val="BodyText"/>
    <w:uiPriority w:val="9"/>
    <w:qFormat/>
    <w:rsid w:val="007E3943"/>
    <w:pPr>
      <w:keepNext/>
      <w:numPr>
        <w:ilvl w:val="7"/>
        <w:numId w:val="12"/>
      </w:numPr>
      <w:outlineLvl w:val="7"/>
    </w:pPr>
    <w:rPr>
      <w:b/>
      <w:snapToGrid w:val="0"/>
      <w:color w:val="000000"/>
      <w:sz w:val="24"/>
    </w:rPr>
  </w:style>
  <w:style w:type="paragraph" w:styleId="Heading9">
    <w:name w:val="heading 9"/>
    <w:basedOn w:val="Normal"/>
    <w:next w:val="BodyText"/>
    <w:uiPriority w:val="9"/>
    <w:qFormat/>
    <w:rsid w:val="007E3943"/>
    <w:pPr>
      <w:keepNext/>
      <w:numPr>
        <w:ilvl w:val="8"/>
        <w:numId w:val="1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060F3"/>
    <w:pPr>
      <w:spacing w:line="480" w:lineRule="auto"/>
    </w:pPr>
    <w:rPr>
      <w:rFonts w:ascii="Courier New" w:hAnsi="Courier New"/>
      <w:sz w:val="24"/>
    </w:rPr>
  </w:style>
  <w:style w:type="paragraph" w:styleId="BodyText">
    <w:name w:val="Body Text"/>
    <w:basedOn w:val="BlockText"/>
    <w:link w:val="BodyTextChar"/>
    <w:uiPriority w:val="99"/>
    <w:rsid w:val="00FD33CB"/>
    <w:pPr>
      <w:spacing w:line="360" w:lineRule="auto"/>
      <w:ind w:left="0" w:right="0" w:firstLine="720"/>
      <w:jc w:val="both"/>
    </w:pPr>
    <w:rPr>
      <w:rFonts w:ascii="Arial" w:hAnsi="Arial"/>
      <w:sz w:val="24"/>
    </w:rPr>
  </w:style>
  <w:style w:type="paragraph" w:styleId="BlockText">
    <w:name w:val="Block Text"/>
    <w:basedOn w:val="Normal"/>
    <w:link w:val="BlockTextChar"/>
    <w:rsid w:val="00F060F3"/>
    <w:pPr>
      <w:spacing w:after="120"/>
      <w:ind w:left="1440" w:right="1440"/>
    </w:pPr>
  </w:style>
  <w:style w:type="paragraph" w:styleId="FootnoteText">
    <w:name w:val="footnote text"/>
    <w:basedOn w:val="Normal"/>
    <w:link w:val="FootnoteTextChar"/>
    <w:semiHidden/>
    <w:rsid w:val="00F060F3"/>
    <w:rPr>
      <w:rFonts w:ascii="Arial" w:hAnsi="Arial"/>
    </w:rPr>
  </w:style>
  <w:style w:type="character" w:styleId="Hyperlink">
    <w:name w:val="Hyperlink"/>
    <w:uiPriority w:val="99"/>
    <w:rsid w:val="00F060F3"/>
    <w:rPr>
      <w:color w:val="0000FF"/>
      <w:u w:val="single"/>
    </w:rPr>
  </w:style>
  <w:style w:type="paragraph" w:styleId="Header">
    <w:name w:val="header"/>
    <w:basedOn w:val="Normal"/>
    <w:rsid w:val="00F060F3"/>
    <w:pPr>
      <w:tabs>
        <w:tab w:val="center" w:pos="4320"/>
        <w:tab w:val="right" w:pos="8640"/>
      </w:tabs>
      <w:spacing w:line="480" w:lineRule="auto"/>
    </w:pPr>
    <w:rPr>
      <w:rFonts w:ascii="Courier" w:hAnsi="Courier"/>
      <w:sz w:val="24"/>
    </w:rPr>
  </w:style>
  <w:style w:type="paragraph" w:styleId="TOC1">
    <w:name w:val="toc 1"/>
    <w:aliases w:val="TOC Aerial"/>
    <w:basedOn w:val="Normal"/>
    <w:next w:val="Normal"/>
    <w:autoRedefine/>
    <w:uiPriority w:val="39"/>
    <w:rsid w:val="00B25DA4"/>
    <w:pPr>
      <w:keepLines/>
      <w:tabs>
        <w:tab w:val="left" w:pos="1440"/>
        <w:tab w:val="right" w:leader="dot" w:pos="9288"/>
      </w:tabs>
      <w:spacing w:after="120"/>
      <w:ind w:left="720" w:right="720" w:hanging="720"/>
    </w:pPr>
  </w:style>
  <w:style w:type="paragraph" w:styleId="TOC2">
    <w:name w:val="toc 2"/>
    <w:aliases w:val="Aerial"/>
    <w:basedOn w:val="Normal"/>
    <w:next w:val="Normal"/>
    <w:autoRedefine/>
    <w:uiPriority w:val="39"/>
    <w:rsid w:val="00421F4B"/>
    <w:pPr>
      <w:keepLines/>
      <w:tabs>
        <w:tab w:val="left" w:pos="720"/>
        <w:tab w:val="left" w:pos="1440"/>
        <w:tab w:val="right" w:leader="dot" w:pos="9288"/>
      </w:tabs>
      <w:spacing w:after="120"/>
      <w:ind w:left="720" w:right="720"/>
    </w:pPr>
  </w:style>
  <w:style w:type="paragraph" w:styleId="TOC3">
    <w:name w:val="toc 3"/>
    <w:basedOn w:val="Normal"/>
    <w:next w:val="Normal"/>
    <w:autoRedefine/>
    <w:uiPriority w:val="39"/>
    <w:rsid w:val="00FA6F1A"/>
    <w:pPr>
      <w:keepLines/>
      <w:tabs>
        <w:tab w:val="left" w:pos="2160"/>
        <w:tab w:val="right" w:leader="dot" w:pos="9288"/>
      </w:tabs>
      <w:spacing w:after="120"/>
      <w:ind w:left="1440" w:right="720" w:hanging="720"/>
    </w:pPr>
  </w:style>
  <w:style w:type="paragraph" w:styleId="BodyText3">
    <w:name w:val="Body Text 3"/>
    <w:basedOn w:val="Normal"/>
    <w:rsid w:val="00962A51"/>
    <w:pPr>
      <w:tabs>
        <w:tab w:val="left" w:pos="900"/>
      </w:tabs>
      <w:spacing w:after="120" w:line="360" w:lineRule="auto"/>
      <w:jc w:val="both"/>
    </w:pPr>
    <w:rPr>
      <w:rFonts w:ascii="Arial" w:hAnsi="Arial"/>
      <w:sz w:val="24"/>
    </w:rPr>
  </w:style>
  <w:style w:type="character" w:styleId="FootnoteReference">
    <w:name w:val="footnote reference"/>
    <w:semiHidden/>
    <w:rsid w:val="00F060F3"/>
    <w:rPr>
      <w:position w:val="6"/>
      <w:sz w:val="16"/>
    </w:rPr>
  </w:style>
  <w:style w:type="paragraph" w:styleId="NormalIndent">
    <w:name w:val="Normal Indent"/>
    <w:basedOn w:val="Normal"/>
    <w:rsid w:val="00F060F3"/>
    <w:pPr>
      <w:ind w:left="720"/>
    </w:pPr>
    <w:rPr>
      <w:rFonts w:ascii="Arial" w:hAnsi="Arial"/>
      <w:sz w:val="24"/>
    </w:rPr>
  </w:style>
  <w:style w:type="paragraph" w:styleId="BodyText2">
    <w:name w:val="Body Text 2"/>
    <w:basedOn w:val="Normal"/>
    <w:rsid w:val="00F060F3"/>
    <w:pPr>
      <w:jc w:val="both"/>
    </w:pPr>
    <w:rPr>
      <w:sz w:val="24"/>
    </w:rPr>
  </w:style>
  <w:style w:type="paragraph" w:styleId="Footer">
    <w:name w:val="footer"/>
    <w:basedOn w:val="Normal"/>
    <w:link w:val="FooterChar"/>
    <w:uiPriority w:val="99"/>
    <w:rsid w:val="00F060F3"/>
    <w:pPr>
      <w:tabs>
        <w:tab w:val="center" w:pos="4320"/>
        <w:tab w:val="right" w:pos="8640"/>
      </w:tabs>
      <w:spacing w:line="480" w:lineRule="auto"/>
    </w:pPr>
    <w:rPr>
      <w:rFonts w:ascii="Courier" w:hAnsi="Courier"/>
      <w:sz w:val="24"/>
    </w:rPr>
  </w:style>
  <w:style w:type="character" w:styleId="PageNumber">
    <w:name w:val="page number"/>
    <w:basedOn w:val="DefaultParagraphFont"/>
    <w:rsid w:val="00F060F3"/>
  </w:style>
  <w:style w:type="paragraph" w:styleId="DocumentMap">
    <w:name w:val="Document Map"/>
    <w:basedOn w:val="Normal"/>
    <w:semiHidden/>
    <w:rsid w:val="00F060F3"/>
    <w:pPr>
      <w:shd w:val="clear" w:color="auto" w:fill="000080"/>
    </w:pPr>
    <w:rPr>
      <w:rFonts w:ascii="Tahoma" w:hAnsi="Tahoma"/>
    </w:rPr>
  </w:style>
  <w:style w:type="paragraph" w:styleId="EndnoteText">
    <w:name w:val="endnote text"/>
    <w:basedOn w:val="Normal"/>
    <w:semiHidden/>
    <w:rsid w:val="00F060F3"/>
    <w:pPr>
      <w:widowControl w:val="0"/>
    </w:pPr>
    <w:rPr>
      <w:rFonts w:ascii="Courier New" w:hAnsi="Courier New"/>
      <w:sz w:val="24"/>
    </w:rPr>
  </w:style>
  <w:style w:type="paragraph" w:styleId="TOC4">
    <w:name w:val="toc 4"/>
    <w:basedOn w:val="Normal"/>
    <w:next w:val="Normal"/>
    <w:autoRedefine/>
    <w:semiHidden/>
    <w:rsid w:val="00F060F3"/>
    <w:pPr>
      <w:keepLines/>
      <w:tabs>
        <w:tab w:val="right" w:leader="dot" w:pos="9288"/>
      </w:tabs>
      <w:spacing w:after="120"/>
      <w:ind w:left="2880" w:right="720" w:hanging="720"/>
    </w:pPr>
  </w:style>
  <w:style w:type="paragraph" w:styleId="TOC5">
    <w:name w:val="toc 5"/>
    <w:basedOn w:val="Normal"/>
    <w:next w:val="Normal"/>
    <w:autoRedefine/>
    <w:semiHidden/>
    <w:rsid w:val="00F060F3"/>
    <w:pPr>
      <w:keepLines/>
      <w:tabs>
        <w:tab w:val="right" w:leader="dot" w:pos="9288"/>
      </w:tabs>
      <w:spacing w:after="120"/>
      <w:ind w:left="3600" w:right="720" w:hanging="720"/>
    </w:pPr>
  </w:style>
  <w:style w:type="paragraph" w:styleId="TOC6">
    <w:name w:val="toc 6"/>
    <w:basedOn w:val="Normal"/>
    <w:next w:val="Normal"/>
    <w:autoRedefine/>
    <w:semiHidden/>
    <w:rsid w:val="00F060F3"/>
    <w:pPr>
      <w:keepLines/>
      <w:tabs>
        <w:tab w:val="right" w:leader="dot" w:pos="9288"/>
      </w:tabs>
      <w:spacing w:after="120"/>
      <w:ind w:left="4320" w:right="720" w:hanging="720"/>
    </w:pPr>
  </w:style>
  <w:style w:type="paragraph" w:styleId="TOC7">
    <w:name w:val="toc 7"/>
    <w:basedOn w:val="Normal"/>
    <w:next w:val="Normal"/>
    <w:autoRedefine/>
    <w:semiHidden/>
    <w:rsid w:val="00F060F3"/>
    <w:pPr>
      <w:keepLines/>
      <w:tabs>
        <w:tab w:val="right" w:leader="dot" w:pos="9288"/>
      </w:tabs>
      <w:spacing w:after="120"/>
      <w:ind w:left="5040" w:right="720" w:hanging="720"/>
    </w:pPr>
  </w:style>
  <w:style w:type="paragraph" w:styleId="TOC8">
    <w:name w:val="toc 8"/>
    <w:basedOn w:val="Normal"/>
    <w:next w:val="Normal"/>
    <w:autoRedefine/>
    <w:semiHidden/>
    <w:rsid w:val="00F060F3"/>
    <w:pPr>
      <w:keepLines/>
      <w:tabs>
        <w:tab w:val="right" w:leader="dot" w:pos="9288"/>
      </w:tabs>
      <w:spacing w:after="120"/>
      <w:ind w:left="5760" w:right="720" w:hanging="720"/>
    </w:pPr>
  </w:style>
  <w:style w:type="paragraph" w:styleId="TOC9">
    <w:name w:val="toc 9"/>
    <w:basedOn w:val="Normal"/>
    <w:next w:val="Normal"/>
    <w:autoRedefine/>
    <w:semiHidden/>
    <w:rsid w:val="00F060F3"/>
    <w:pPr>
      <w:keepLines/>
      <w:tabs>
        <w:tab w:val="right" w:leader="dot" w:pos="9288"/>
      </w:tabs>
      <w:spacing w:after="120"/>
      <w:ind w:left="6480" w:right="720" w:hanging="720"/>
    </w:pPr>
  </w:style>
  <w:style w:type="paragraph" w:styleId="BodyTextIndent">
    <w:name w:val="Body Text Indent"/>
    <w:basedOn w:val="Normal"/>
    <w:rsid w:val="00F060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720"/>
    </w:pPr>
  </w:style>
  <w:style w:type="paragraph" w:customStyle="1" w:styleId="Title2">
    <w:name w:val="Title 2"/>
    <w:basedOn w:val="Normal"/>
    <w:next w:val="Normal"/>
    <w:rsid w:val="00F060F3"/>
    <w:rPr>
      <w:rFonts w:ascii="Arial" w:hAnsi="Arial"/>
      <w:b/>
      <w:sz w:val="24"/>
    </w:rPr>
  </w:style>
  <w:style w:type="paragraph" w:customStyle="1" w:styleId="Title22">
    <w:name w:val="Title 22"/>
    <w:basedOn w:val="Normal"/>
    <w:next w:val="Normal"/>
    <w:rsid w:val="00F060F3"/>
    <w:rPr>
      <w:rFonts w:ascii="Arial" w:hAnsi="Arial"/>
      <w:b/>
      <w:sz w:val="24"/>
    </w:rPr>
  </w:style>
  <w:style w:type="paragraph" w:customStyle="1" w:styleId="Norm2">
    <w:name w:val="Norm 2"/>
    <w:basedOn w:val="Normal"/>
    <w:next w:val="Normal"/>
    <w:rsid w:val="00F060F3"/>
    <w:pPr>
      <w:jc w:val="center"/>
    </w:pPr>
    <w:rPr>
      <w:rFonts w:ascii="Arial" w:hAnsi="Arial"/>
      <w:sz w:val="24"/>
    </w:rPr>
  </w:style>
  <w:style w:type="paragraph" w:customStyle="1" w:styleId="ChartTitle">
    <w:name w:val="Chart Title"/>
    <w:basedOn w:val="Normal"/>
    <w:next w:val="Normal"/>
    <w:rsid w:val="00F060F3"/>
    <w:pPr>
      <w:jc w:val="center"/>
    </w:pPr>
    <w:rPr>
      <w:rFonts w:ascii="Arial" w:hAnsi="Arial"/>
      <w:b/>
      <w:sz w:val="24"/>
    </w:rPr>
  </w:style>
  <w:style w:type="paragraph" w:styleId="ListBullet">
    <w:name w:val="List Bullet"/>
    <w:basedOn w:val="Normal"/>
    <w:autoRedefine/>
    <w:rsid w:val="00F060F3"/>
    <w:pPr>
      <w:numPr>
        <w:numId w:val="1"/>
      </w:numPr>
    </w:pPr>
    <w:rPr>
      <w:b/>
      <w:sz w:val="24"/>
    </w:rPr>
  </w:style>
  <w:style w:type="paragraph" w:styleId="ListBullet2">
    <w:name w:val="List Bullet 2"/>
    <w:basedOn w:val="Normal"/>
    <w:autoRedefine/>
    <w:rsid w:val="00F060F3"/>
    <w:pPr>
      <w:numPr>
        <w:numId w:val="2"/>
      </w:numPr>
    </w:pPr>
    <w:rPr>
      <w:b/>
      <w:sz w:val="24"/>
    </w:rPr>
  </w:style>
  <w:style w:type="paragraph" w:styleId="ListBullet3">
    <w:name w:val="List Bullet 3"/>
    <w:basedOn w:val="Normal"/>
    <w:autoRedefine/>
    <w:rsid w:val="00F060F3"/>
    <w:pPr>
      <w:numPr>
        <w:numId w:val="3"/>
      </w:numPr>
    </w:pPr>
    <w:rPr>
      <w:b/>
      <w:sz w:val="24"/>
    </w:rPr>
  </w:style>
  <w:style w:type="paragraph" w:styleId="ListBullet4">
    <w:name w:val="List Bullet 4"/>
    <w:basedOn w:val="Normal"/>
    <w:autoRedefine/>
    <w:rsid w:val="00F060F3"/>
    <w:pPr>
      <w:numPr>
        <w:numId w:val="4"/>
      </w:numPr>
    </w:pPr>
    <w:rPr>
      <w:b/>
      <w:sz w:val="24"/>
    </w:rPr>
  </w:style>
  <w:style w:type="paragraph" w:styleId="ListBullet5">
    <w:name w:val="List Bullet 5"/>
    <w:basedOn w:val="Normal"/>
    <w:autoRedefine/>
    <w:rsid w:val="00F060F3"/>
    <w:pPr>
      <w:numPr>
        <w:numId w:val="5"/>
      </w:numPr>
    </w:pPr>
    <w:rPr>
      <w:b/>
      <w:sz w:val="24"/>
    </w:rPr>
  </w:style>
  <w:style w:type="paragraph" w:styleId="ListNumber">
    <w:name w:val="List Number"/>
    <w:basedOn w:val="Normal"/>
    <w:rsid w:val="00F060F3"/>
    <w:pPr>
      <w:numPr>
        <w:numId w:val="6"/>
      </w:numPr>
    </w:pPr>
    <w:rPr>
      <w:b/>
      <w:sz w:val="24"/>
    </w:rPr>
  </w:style>
  <w:style w:type="paragraph" w:styleId="ListNumber2">
    <w:name w:val="List Number 2"/>
    <w:basedOn w:val="Normal"/>
    <w:rsid w:val="00F060F3"/>
    <w:pPr>
      <w:numPr>
        <w:numId w:val="7"/>
      </w:numPr>
    </w:pPr>
    <w:rPr>
      <w:b/>
      <w:sz w:val="24"/>
    </w:rPr>
  </w:style>
  <w:style w:type="paragraph" w:styleId="ListNumber3">
    <w:name w:val="List Number 3"/>
    <w:basedOn w:val="Normal"/>
    <w:rsid w:val="00F060F3"/>
    <w:pPr>
      <w:numPr>
        <w:numId w:val="8"/>
      </w:numPr>
    </w:pPr>
    <w:rPr>
      <w:b/>
      <w:sz w:val="24"/>
    </w:rPr>
  </w:style>
  <w:style w:type="paragraph" w:styleId="ListNumber4">
    <w:name w:val="List Number 4"/>
    <w:basedOn w:val="Normal"/>
    <w:rsid w:val="00F060F3"/>
    <w:pPr>
      <w:numPr>
        <w:numId w:val="9"/>
      </w:numPr>
    </w:pPr>
    <w:rPr>
      <w:b/>
      <w:sz w:val="24"/>
    </w:rPr>
  </w:style>
  <w:style w:type="paragraph" w:styleId="ListNumber5">
    <w:name w:val="List Number 5"/>
    <w:basedOn w:val="Normal"/>
    <w:rsid w:val="00F060F3"/>
    <w:pPr>
      <w:numPr>
        <w:numId w:val="10"/>
      </w:numPr>
    </w:pPr>
    <w:rPr>
      <w:b/>
      <w:sz w:val="24"/>
    </w:rPr>
  </w:style>
  <w:style w:type="paragraph" w:styleId="Title">
    <w:name w:val="Title"/>
    <w:basedOn w:val="Normal"/>
    <w:link w:val="TitleChar"/>
    <w:qFormat/>
    <w:rsid w:val="00F060F3"/>
    <w:pPr>
      <w:spacing w:before="240" w:after="60"/>
      <w:jc w:val="center"/>
      <w:outlineLvl w:val="0"/>
    </w:pPr>
    <w:rPr>
      <w:rFonts w:ascii="Arial" w:hAnsi="Arial"/>
      <w:b/>
      <w:kern w:val="28"/>
      <w:sz w:val="32"/>
    </w:rPr>
  </w:style>
  <w:style w:type="paragraph" w:styleId="Caption">
    <w:name w:val="caption"/>
    <w:basedOn w:val="Normal"/>
    <w:next w:val="Normal"/>
    <w:uiPriority w:val="35"/>
    <w:qFormat/>
    <w:rsid w:val="00F060F3"/>
    <w:pPr>
      <w:spacing w:before="120" w:after="120"/>
      <w:jc w:val="center"/>
    </w:pPr>
    <w:rPr>
      <w:rFonts w:ascii="Arial" w:hAnsi="Arial"/>
      <w:b/>
      <w:sz w:val="24"/>
    </w:rPr>
  </w:style>
  <w:style w:type="paragraph" w:styleId="Subtitle">
    <w:name w:val="Subtitle"/>
    <w:basedOn w:val="Normal"/>
    <w:qFormat/>
    <w:rsid w:val="00FD33CB"/>
    <w:pPr>
      <w:spacing w:after="240"/>
      <w:jc w:val="center"/>
    </w:pPr>
    <w:rPr>
      <w:rFonts w:ascii="Arial" w:hAnsi="Arial"/>
      <w:b/>
      <w:sz w:val="24"/>
      <w:szCs w:val="24"/>
    </w:rPr>
  </w:style>
  <w:style w:type="paragraph" w:styleId="EnvelopeReturn">
    <w:name w:val="envelope return"/>
    <w:basedOn w:val="Normal"/>
    <w:rsid w:val="00F060F3"/>
    <w:rPr>
      <w:rFonts w:ascii="Arial" w:hAnsi="Arial"/>
      <w:sz w:val="24"/>
    </w:rPr>
  </w:style>
  <w:style w:type="paragraph" w:customStyle="1" w:styleId="TableHead">
    <w:name w:val="TableHead"/>
    <w:basedOn w:val="Normal"/>
    <w:rsid w:val="00F060F3"/>
    <w:pPr>
      <w:spacing w:before="240" w:after="240"/>
      <w:jc w:val="center"/>
    </w:pPr>
    <w:rPr>
      <w:sz w:val="24"/>
    </w:rPr>
  </w:style>
  <w:style w:type="paragraph" w:styleId="BodyTextFirstIndent">
    <w:name w:val="Body Text First Indent"/>
    <w:basedOn w:val="BodyText"/>
    <w:rsid w:val="00F060F3"/>
    <w:pPr>
      <w:spacing w:line="240" w:lineRule="auto"/>
      <w:ind w:firstLine="210"/>
    </w:pPr>
    <w:rPr>
      <w:rFonts w:ascii="Times New Roman" w:hAnsi="Times New Roman"/>
      <w:sz w:val="20"/>
    </w:rPr>
  </w:style>
  <w:style w:type="paragraph" w:styleId="BodyTextFirstIndent2">
    <w:name w:val="Body Text First Indent 2"/>
    <w:basedOn w:val="BodyTextIndent"/>
    <w:rsid w:val="00F060F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after="120"/>
      <w:ind w:left="360" w:firstLine="210"/>
    </w:pPr>
  </w:style>
  <w:style w:type="paragraph" w:styleId="BodyTextIndent2">
    <w:name w:val="Body Text Indent 2"/>
    <w:basedOn w:val="Normal"/>
    <w:rsid w:val="00F060F3"/>
    <w:pPr>
      <w:spacing w:after="120" w:line="480" w:lineRule="auto"/>
      <w:ind w:left="360"/>
    </w:pPr>
  </w:style>
  <w:style w:type="paragraph" w:styleId="BodyTextIndent3">
    <w:name w:val="Body Text Indent 3"/>
    <w:basedOn w:val="Normal"/>
    <w:rsid w:val="00F060F3"/>
    <w:pPr>
      <w:spacing w:after="120"/>
      <w:ind w:left="360"/>
    </w:pPr>
    <w:rPr>
      <w:sz w:val="16"/>
    </w:rPr>
  </w:style>
  <w:style w:type="paragraph" w:styleId="Closing">
    <w:name w:val="Closing"/>
    <w:basedOn w:val="Normal"/>
    <w:rsid w:val="00F060F3"/>
    <w:pPr>
      <w:ind w:left="4320"/>
    </w:pPr>
  </w:style>
  <w:style w:type="paragraph" w:styleId="CommentText">
    <w:name w:val="annotation text"/>
    <w:basedOn w:val="Normal"/>
    <w:link w:val="CommentTextChar"/>
    <w:uiPriority w:val="99"/>
    <w:semiHidden/>
    <w:rsid w:val="00F060F3"/>
  </w:style>
  <w:style w:type="paragraph" w:styleId="Date">
    <w:name w:val="Date"/>
    <w:basedOn w:val="Normal"/>
    <w:next w:val="Normal"/>
    <w:rsid w:val="00F060F3"/>
  </w:style>
  <w:style w:type="paragraph" w:styleId="EnvelopeAddress">
    <w:name w:val="envelope address"/>
    <w:basedOn w:val="Normal"/>
    <w:rsid w:val="00F060F3"/>
    <w:pPr>
      <w:framePr w:w="7920" w:h="1980" w:hRule="exact" w:hSpace="180" w:wrap="auto" w:hAnchor="page" w:xAlign="center" w:yAlign="bottom"/>
      <w:ind w:left="2880"/>
    </w:pPr>
    <w:rPr>
      <w:rFonts w:ascii="Arial" w:hAnsi="Arial"/>
      <w:sz w:val="24"/>
    </w:rPr>
  </w:style>
  <w:style w:type="paragraph" w:styleId="Index1">
    <w:name w:val="index 1"/>
    <w:basedOn w:val="Normal"/>
    <w:next w:val="Normal"/>
    <w:autoRedefine/>
    <w:semiHidden/>
    <w:rsid w:val="00F060F3"/>
    <w:pPr>
      <w:ind w:left="200" w:hanging="200"/>
    </w:pPr>
  </w:style>
  <w:style w:type="paragraph" w:styleId="Index2">
    <w:name w:val="index 2"/>
    <w:basedOn w:val="Normal"/>
    <w:next w:val="Normal"/>
    <w:autoRedefine/>
    <w:semiHidden/>
    <w:rsid w:val="00F060F3"/>
    <w:pPr>
      <w:ind w:left="400" w:hanging="200"/>
    </w:pPr>
  </w:style>
  <w:style w:type="paragraph" w:styleId="Index3">
    <w:name w:val="index 3"/>
    <w:basedOn w:val="Normal"/>
    <w:next w:val="Normal"/>
    <w:autoRedefine/>
    <w:semiHidden/>
    <w:rsid w:val="00F060F3"/>
    <w:pPr>
      <w:ind w:left="600" w:hanging="200"/>
    </w:pPr>
  </w:style>
  <w:style w:type="paragraph" w:styleId="Index4">
    <w:name w:val="index 4"/>
    <w:basedOn w:val="Normal"/>
    <w:next w:val="Normal"/>
    <w:autoRedefine/>
    <w:semiHidden/>
    <w:rsid w:val="00F060F3"/>
    <w:pPr>
      <w:ind w:left="800" w:hanging="200"/>
    </w:pPr>
  </w:style>
  <w:style w:type="paragraph" w:styleId="Index5">
    <w:name w:val="index 5"/>
    <w:basedOn w:val="Normal"/>
    <w:next w:val="Normal"/>
    <w:autoRedefine/>
    <w:semiHidden/>
    <w:rsid w:val="00F060F3"/>
    <w:pPr>
      <w:ind w:left="1000" w:hanging="200"/>
    </w:pPr>
  </w:style>
  <w:style w:type="paragraph" w:styleId="Index6">
    <w:name w:val="index 6"/>
    <w:basedOn w:val="Normal"/>
    <w:next w:val="Normal"/>
    <w:autoRedefine/>
    <w:semiHidden/>
    <w:rsid w:val="00F060F3"/>
    <w:pPr>
      <w:ind w:left="1200" w:hanging="200"/>
    </w:pPr>
  </w:style>
  <w:style w:type="paragraph" w:styleId="Index7">
    <w:name w:val="index 7"/>
    <w:basedOn w:val="Normal"/>
    <w:next w:val="Normal"/>
    <w:autoRedefine/>
    <w:semiHidden/>
    <w:rsid w:val="00F060F3"/>
    <w:pPr>
      <w:ind w:left="1400" w:hanging="200"/>
    </w:pPr>
  </w:style>
  <w:style w:type="paragraph" w:styleId="Index8">
    <w:name w:val="index 8"/>
    <w:basedOn w:val="Normal"/>
    <w:next w:val="Normal"/>
    <w:autoRedefine/>
    <w:semiHidden/>
    <w:rsid w:val="00F060F3"/>
    <w:pPr>
      <w:ind w:left="1600" w:hanging="200"/>
    </w:pPr>
  </w:style>
  <w:style w:type="paragraph" w:styleId="Index9">
    <w:name w:val="index 9"/>
    <w:basedOn w:val="Normal"/>
    <w:next w:val="Normal"/>
    <w:autoRedefine/>
    <w:semiHidden/>
    <w:rsid w:val="00F060F3"/>
    <w:pPr>
      <w:ind w:left="1800" w:hanging="200"/>
    </w:pPr>
  </w:style>
  <w:style w:type="paragraph" w:styleId="IndexHeading">
    <w:name w:val="index heading"/>
    <w:basedOn w:val="Normal"/>
    <w:next w:val="Index1"/>
    <w:semiHidden/>
    <w:rsid w:val="00F060F3"/>
    <w:rPr>
      <w:rFonts w:ascii="Arial" w:hAnsi="Arial"/>
      <w:b/>
    </w:rPr>
  </w:style>
  <w:style w:type="paragraph" w:styleId="List">
    <w:name w:val="List"/>
    <w:basedOn w:val="Normal"/>
    <w:rsid w:val="00F060F3"/>
    <w:pPr>
      <w:ind w:left="360" w:hanging="360"/>
    </w:pPr>
  </w:style>
  <w:style w:type="paragraph" w:styleId="List2">
    <w:name w:val="List 2"/>
    <w:basedOn w:val="Normal"/>
    <w:rsid w:val="00F060F3"/>
    <w:pPr>
      <w:ind w:left="720" w:hanging="360"/>
    </w:pPr>
  </w:style>
  <w:style w:type="paragraph" w:styleId="List3">
    <w:name w:val="List 3"/>
    <w:basedOn w:val="Normal"/>
    <w:rsid w:val="00F060F3"/>
    <w:pPr>
      <w:ind w:left="1080" w:hanging="360"/>
    </w:pPr>
  </w:style>
  <w:style w:type="paragraph" w:styleId="List4">
    <w:name w:val="List 4"/>
    <w:basedOn w:val="Normal"/>
    <w:rsid w:val="00F060F3"/>
    <w:pPr>
      <w:ind w:left="1440" w:hanging="360"/>
    </w:pPr>
  </w:style>
  <w:style w:type="paragraph" w:styleId="List5">
    <w:name w:val="List 5"/>
    <w:basedOn w:val="Normal"/>
    <w:rsid w:val="00F060F3"/>
    <w:pPr>
      <w:ind w:left="1800" w:hanging="360"/>
    </w:pPr>
  </w:style>
  <w:style w:type="paragraph" w:styleId="ListContinue">
    <w:name w:val="List Continue"/>
    <w:basedOn w:val="Normal"/>
    <w:rsid w:val="00F060F3"/>
    <w:pPr>
      <w:spacing w:after="120"/>
      <w:ind w:left="360"/>
    </w:pPr>
  </w:style>
  <w:style w:type="paragraph" w:styleId="ListContinue2">
    <w:name w:val="List Continue 2"/>
    <w:basedOn w:val="Normal"/>
    <w:rsid w:val="00F060F3"/>
    <w:pPr>
      <w:spacing w:after="120"/>
      <w:ind w:left="720"/>
    </w:pPr>
  </w:style>
  <w:style w:type="paragraph" w:styleId="ListContinue3">
    <w:name w:val="List Continue 3"/>
    <w:basedOn w:val="Normal"/>
    <w:rsid w:val="00F060F3"/>
    <w:pPr>
      <w:spacing w:after="120"/>
      <w:ind w:left="1080"/>
    </w:pPr>
  </w:style>
  <w:style w:type="paragraph" w:styleId="ListContinue4">
    <w:name w:val="List Continue 4"/>
    <w:basedOn w:val="Normal"/>
    <w:rsid w:val="00F060F3"/>
    <w:pPr>
      <w:spacing w:after="120"/>
      <w:ind w:left="1440"/>
    </w:pPr>
  </w:style>
  <w:style w:type="paragraph" w:styleId="ListContinue5">
    <w:name w:val="List Continue 5"/>
    <w:basedOn w:val="Normal"/>
    <w:rsid w:val="00F060F3"/>
    <w:pPr>
      <w:spacing w:after="120"/>
      <w:ind w:left="1800"/>
    </w:pPr>
  </w:style>
  <w:style w:type="paragraph" w:styleId="MacroText">
    <w:name w:val="macro"/>
    <w:semiHidden/>
    <w:rsid w:val="00F060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F060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NoteHeading1">
    <w:name w:val="Note Heading1"/>
    <w:basedOn w:val="Normal"/>
    <w:next w:val="Normal"/>
    <w:rsid w:val="00F060F3"/>
  </w:style>
  <w:style w:type="paragraph" w:styleId="Salutation">
    <w:name w:val="Salutation"/>
    <w:basedOn w:val="Normal"/>
    <w:next w:val="Normal"/>
    <w:rsid w:val="00F060F3"/>
  </w:style>
  <w:style w:type="paragraph" w:styleId="Signature">
    <w:name w:val="Signature"/>
    <w:basedOn w:val="Normal"/>
    <w:rsid w:val="00F060F3"/>
    <w:pPr>
      <w:ind w:left="4320"/>
    </w:pPr>
  </w:style>
  <w:style w:type="paragraph" w:styleId="TableofAuthorities">
    <w:name w:val="table of authorities"/>
    <w:basedOn w:val="Normal"/>
    <w:next w:val="Normal"/>
    <w:semiHidden/>
    <w:rsid w:val="00F060F3"/>
    <w:pPr>
      <w:ind w:left="200" w:hanging="200"/>
    </w:pPr>
  </w:style>
  <w:style w:type="paragraph" w:styleId="TableofFigures">
    <w:name w:val="table of figures"/>
    <w:basedOn w:val="Normal"/>
    <w:next w:val="Normal"/>
    <w:semiHidden/>
    <w:rsid w:val="00F060F3"/>
    <w:pPr>
      <w:ind w:left="400" w:hanging="400"/>
    </w:pPr>
  </w:style>
  <w:style w:type="paragraph" w:styleId="TOAHeading">
    <w:name w:val="toa heading"/>
    <w:basedOn w:val="Normal"/>
    <w:next w:val="Normal"/>
    <w:semiHidden/>
    <w:rsid w:val="00F060F3"/>
    <w:pPr>
      <w:spacing w:before="120"/>
    </w:pPr>
    <w:rPr>
      <w:rFonts w:ascii="Arial" w:hAnsi="Arial"/>
      <w:b/>
      <w:sz w:val="24"/>
    </w:rPr>
  </w:style>
  <w:style w:type="paragraph" w:styleId="BalloonText">
    <w:name w:val="Balloon Text"/>
    <w:basedOn w:val="Normal"/>
    <w:link w:val="BalloonTextChar"/>
    <w:rsid w:val="00334E4F"/>
    <w:rPr>
      <w:rFonts w:ascii="Tahoma" w:hAnsi="Tahoma" w:cs="Tahoma"/>
      <w:sz w:val="16"/>
      <w:szCs w:val="16"/>
    </w:rPr>
  </w:style>
  <w:style w:type="character" w:styleId="CommentReference">
    <w:name w:val="annotation reference"/>
    <w:uiPriority w:val="99"/>
    <w:semiHidden/>
    <w:rsid w:val="003F73DE"/>
    <w:rPr>
      <w:sz w:val="16"/>
      <w:szCs w:val="16"/>
    </w:rPr>
  </w:style>
  <w:style w:type="paragraph" w:styleId="CommentSubject">
    <w:name w:val="annotation subject"/>
    <w:basedOn w:val="CommentText"/>
    <w:next w:val="CommentText"/>
    <w:semiHidden/>
    <w:rsid w:val="003F73DE"/>
    <w:rPr>
      <w:b/>
      <w:bCs/>
    </w:rPr>
  </w:style>
  <w:style w:type="table" w:customStyle="1" w:styleId="TableTitle">
    <w:name w:val="Table Title"/>
    <w:basedOn w:val="TableNormal"/>
    <w:rsid w:val="0064004F"/>
    <w:tblPr/>
  </w:style>
  <w:style w:type="paragraph" w:customStyle="1" w:styleId="StylePlainTextArialUnderlineJustifiedLinespacing15">
    <w:name w:val="Style Plain Text + Arial Underline Justified Line spacing:  1.5 ..."/>
    <w:basedOn w:val="PlainText"/>
    <w:rsid w:val="00BA3C9B"/>
    <w:pPr>
      <w:spacing w:after="120" w:line="360" w:lineRule="auto"/>
      <w:jc w:val="both"/>
    </w:pPr>
    <w:rPr>
      <w:rFonts w:ascii="Arial" w:hAnsi="Arial"/>
      <w:u w:val="single"/>
    </w:rPr>
  </w:style>
  <w:style w:type="paragraph" w:customStyle="1" w:styleId="StyleBodyTextBold">
    <w:name w:val="Style Body Text + Bold"/>
    <w:basedOn w:val="BodyText"/>
    <w:link w:val="StyleBodyTextBoldChar"/>
    <w:rsid w:val="00721B6A"/>
    <w:pPr>
      <w:adjustRightInd w:val="0"/>
    </w:pPr>
    <w:rPr>
      <w:b/>
      <w:bCs/>
    </w:rPr>
  </w:style>
  <w:style w:type="character" w:customStyle="1" w:styleId="BlockTextChar">
    <w:name w:val="Block Text Char"/>
    <w:link w:val="BlockText"/>
    <w:rsid w:val="00061C5F"/>
    <w:rPr>
      <w:lang w:val="en-US" w:eastAsia="en-US" w:bidi="ar-SA"/>
    </w:rPr>
  </w:style>
  <w:style w:type="character" w:customStyle="1" w:styleId="BodyTextChar">
    <w:name w:val="Body Text Char"/>
    <w:link w:val="BodyText"/>
    <w:uiPriority w:val="99"/>
    <w:rsid w:val="00061C5F"/>
    <w:rPr>
      <w:rFonts w:ascii="Arial" w:hAnsi="Arial"/>
      <w:sz w:val="24"/>
      <w:lang w:val="en-US" w:eastAsia="en-US" w:bidi="ar-SA"/>
    </w:rPr>
  </w:style>
  <w:style w:type="character" w:customStyle="1" w:styleId="StyleBodyTextBoldChar">
    <w:name w:val="Style Body Text + Bold Char"/>
    <w:link w:val="StyleBodyTextBold"/>
    <w:rsid w:val="00721B6A"/>
    <w:rPr>
      <w:rFonts w:ascii="Arial" w:hAnsi="Arial"/>
      <w:b/>
      <w:bCs/>
      <w:sz w:val="24"/>
      <w:lang w:val="en-US" w:eastAsia="en-US" w:bidi="ar-SA"/>
    </w:rPr>
  </w:style>
  <w:style w:type="character" w:customStyle="1" w:styleId="Char2">
    <w:name w:val="Char2"/>
    <w:rsid w:val="00257126"/>
    <w:rPr>
      <w:rFonts w:ascii="Arial" w:hAnsi="Arial"/>
      <w:sz w:val="24"/>
      <w:lang w:val="en-US" w:eastAsia="en-US" w:bidi="ar-SA"/>
    </w:rPr>
  </w:style>
  <w:style w:type="table" w:styleId="TableGrid">
    <w:name w:val="Table Grid"/>
    <w:basedOn w:val="TableNormal"/>
    <w:rsid w:val="00E2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87C3D"/>
    <w:rPr>
      <w:b/>
      <w:sz w:val="24"/>
      <w:szCs w:val="24"/>
    </w:rPr>
  </w:style>
  <w:style w:type="paragraph" w:customStyle="1" w:styleId="Style1">
    <w:name w:val="Style1"/>
    <w:basedOn w:val="TOC1"/>
    <w:rsid w:val="00387088"/>
    <w:pPr>
      <w:tabs>
        <w:tab w:val="right" w:pos="10080"/>
      </w:tabs>
    </w:pPr>
  </w:style>
  <w:style w:type="table" w:styleId="TableClassic1">
    <w:name w:val="Table Classic 1"/>
    <w:basedOn w:val="TableNormal"/>
    <w:rsid w:val="006F6A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alendarText">
    <w:name w:val="Table Calendar Text"/>
    <w:basedOn w:val="Normal"/>
    <w:rsid w:val="00F03FD2"/>
    <w:pPr>
      <w:autoSpaceDE w:val="0"/>
      <w:autoSpaceDN w:val="0"/>
      <w:adjustRightInd w:val="0"/>
      <w:spacing w:before="40" w:after="40"/>
      <w:jc w:val="center"/>
    </w:pPr>
    <w:rPr>
      <w:rFonts w:eastAsia="MS Mincho"/>
      <w:sz w:val="24"/>
      <w:szCs w:val="24"/>
      <w:lang w:eastAsia="zh-CN"/>
    </w:rPr>
  </w:style>
  <w:style w:type="paragraph" w:styleId="ListParagraph">
    <w:name w:val="List Paragraph"/>
    <w:basedOn w:val="Normal"/>
    <w:link w:val="ListParagraphChar"/>
    <w:uiPriority w:val="34"/>
    <w:qFormat/>
    <w:rsid w:val="0014310C"/>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E725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25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B8042C"/>
  </w:style>
  <w:style w:type="character" w:customStyle="1" w:styleId="PlainTextChar">
    <w:name w:val="Plain Text Char"/>
    <w:link w:val="PlainText"/>
    <w:rsid w:val="003C2094"/>
    <w:rPr>
      <w:rFonts w:ascii="Courier New" w:hAnsi="Courier New"/>
      <w:sz w:val="24"/>
    </w:rPr>
  </w:style>
  <w:style w:type="character" w:customStyle="1" w:styleId="FootnoteTextChar">
    <w:name w:val="Footnote Text Char"/>
    <w:link w:val="FootnoteText"/>
    <w:semiHidden/>
    <w:locked/>
    <w:rsid w:val="00BF55C6"/>
    <w:rPr>
      <w:rFonts w:ascii="Arial" w:hAnsi="Arial"/>
    </w:rPr>
  </w:style>
  <w:style w:type="character" w:customStyle="1" w:styleId="FooterChar">
    <w:name w:val="Footer Char"/>
    <w:link w:val="Footer"/>
    <w:uiPriority w:val="99"/>
    <w:rsid w:val="005D0CEA"/>
    <w:rPr>
      <w:rFonts w:ascii="Courier" w:hAnsi="Courier"/>
      <w:sz w:val="24"/>
    </w:rPr>
  </w:style>
  <w:style w:type="paragraph" w:styleId="Revision">
    <w:name w:val="Revision"/>
    <w:hidden/>
    <w:uiPriority w:val="99"/>
    <w:semiHidden/>
    <w:rsid w:val="007F258A"/>
  </w:style>
  <w:style w:type="character" w:customStyle="1" w:styleId="TitleChar">
    <w:name w:val="Title Char"/>
    <w:link w:val="Title"/>
    <w:rsid w:val="00E16CDB"/>
    <w:rPr>
      <w:rFonts w:ascii="Arial" w:hAnsi="Arial"/>
      <w:b/>
      <w:kern w:val="28"/>
      <w:sz w:val="32"/>
    </w:rPr>
  </w:style>
  <w:style w:type="character" w:customStyle="1" w:styleId="Heading3Char">
    <w:name w:val="Heading 3 Char"/>
    <w:link w:val="Heading3"/>
    <w:uiPriority w:val="9"/>
    <w:rsid w:val="003C57B7"/>
    <w:rPr>
      <w:i/>
      <w:sz w:val="24"/>
    </w:rPr>
  </w:style>
  <w:style w:type="character" w:customStyle="1" w:styleId="zzmpTrailerItem">
    <w:name w:val="zzmpTrailerItem"/>
    <w:basedOn w:val="DefaultParagraphFont"/>
    <w:rsid w:val="00F2061F"/>
    <w:rPr>
      <w:rFonts w:ascii="Times New Roman" w:hAnsi="Times New Roman" w:cs="Times New Roman"/>
      <w:dstrike w:val="0"/>
      <w:noProof/>
      <w:color w:val="auto"/>
      <w:spacing w:val="0"/>
      <w:position w:val="0"/>
      <w:sz w:val="16"/>
      <w:szCs w:val="16"/>
      <w:u w:val="none"/>
      <w:effect w:val="none"/>
      <w:vertAlign w:val="baseline"/>
    </w:rPr>
  </w:style>
  <w:style w:type="character" w:styleId="UnresolvedMention">
    <w:name w:val="Unresolved Mention"/>
    <w:basedOn w:val="DefaultParagraphFont"/>
    <w:uiPriority w:val="99"/>
    <w:rsid w:val="00503927"/>
    <w:rPr>
      <w:color w:val="605E5C"/>
      <w:shd w:val="clear" w:color="auto" w:fill="E1DFDD"/>
    </w:rPr>
  </w:style>
  <w:style w:type="character" w:customStyle="1" w:styleId="BalloonTextChar">
    <w:name w:val="Balloon Text Char"/>
    <w:basedOn w:val="DefaultParagraphFont"/>
    <w:link w:val="BalloonText"/>
    <w:rsid w:val="00BC5657"/>
    <w:rPr>
      <w:rFonts w:ascii="Tahoma" w:hAnsi="Tahoma" w:cs="Tahoma"/>
      <w:sz w:val="16"/>
      <w:szCs w:val="16"/>
    </w:rPr>
  </w:style>
  <w:style w:type="character" w:styleId="Mention">
    <w:name w:val="Mention"/>
    <w:basedOn w:val="DefaultParagraphFont"/>
    <w:uiPriority w:val="99"/>
    <w:rsid w:val="00621738"/>
    <w:rPr>
      <w:color w:val="2B579A"/>
      <w:shd w:val="clear" w:color="auto" w:fill="E1DFDD"/>
    </w:rPr>
  </w:style>
  <w:style w:type="character" w:customStyle="1" w:styleId="normaltextrun">
    <w:name w:val="normaltextrun"/>
    <w:basedOn w:val="DefaultParagraphFont"/>
    <w:rsid w:val="0090109C"/>
  </w:style>
  <w:style w:type="character" w:customStyle="1" w:styleId="ListParagraphChar">
    <w:name w:val="List Paragraph Char"/>
    <w:link w:val="ListParagraph"/>
    <w:uiPriority w:val="34"/>
    <w:rsid w:val="008E14C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2428">
      <w:bodyDiv w:val="1"/>
      <w:marLeft w:val="0"/>
      <w:marRight w:val="0"/>
      <w:marTop w:val="0"/>
      <w:marBottom w:val="0"/>
      <w:divBdr>
        <w:top w:val="none" w:sz="0" w:space="0" w:color="auto"/>
        <w:left w:val="none" w:sz="0" w:space="0" w:color="auto"/>
        <w:bottom w:val="none" w:sz="0" w:space="0" w:color="auto"/>
        <w:right w:val="none" w:sz="0" w:space="0" w:color="auto"/>
      </w:divBdr>
    </w:div>
    <w:div w:id="380331084">
      <w:bodyDiv w:val="1"/>
      <w:marLeft w:val="0"/>
      <w:marRight w:val="0"/>
      <w:marTop w:val="0"/>
      <w:marBottom w:val="0"/>
      <w:divBdr>
        <w:top w:val="none" w:sz="0" w:space="0" w:color="auto"/>
        <w:left w:val="none" w:sz="0" w:space="0" w:color="auto"/>
        <w:bottom w:val="none" w:sz="0" w:space="0" w:color="auto"/>
        <w:right w:val="none" w:sz="0" w:space="0" w:color="auto"/>
      </w:divBdr>
    </w:div>
    <w:div w:id="625551070">
      <w:bodyDiv w:val="1"/>
      <w:marLeft w:val="0"/>
      <w:marRight w:val="0"/>
      <w:marTop w:val="0"/>
      <w:marBottom w:val="0"/>
      <w:divBdr>
        <w:top w:val="none" w:sz="0" w:space="0" w:color="auto"/>
        <w:left w:val="none" w:sz="0" w:space="0" w:color="auto"/>
        <w:bottom w:val="none" w:sz="0" w:space="0" w:color="auto"/>
        <w:right w:val="none" w:sz="0" w:space="0" w:color="auto"/>
      </w:divBdr>
    </w:div>
    <w:div w:id="662586659">
      <w:bodyDiv w:val="1"/>
      <w:marLeft w:val="0"/>
      <w:marRight w:val="0"/>
      <w:marTop w:val="0"/>
      <w:marBottom w:val="0"/>
      <w:divBdr>
        <w:top w:val="none" w:sz="0" w:space="0" w:color="auto"/>
        <w:left w:val="none" w:sz="0" w:space="0" w:color="auto"/>
        <w:bottom w:val="none" w:sz="0" w:space="0" w:color="auto"/>
        <w:right w:val="none" w:sz="0" w:space="0" w:color="auto"/>
      </w:divBdr>
    </w:div>
    <w:div w:id="773551556">
      <w:bodyDiv w:val="1"/>
      <w:marLeft w:val="0"/>
      <w:marRight w:val="0"/>
      <w:marTop w:val="0"/>
      <w:marBottom w:val="0"/>
      <w:divBdr>
        <w:top w:val="none" w:sz="0" w:space="0" w:color="auto"/>
        <w:left w:val="none" w:sz="0" w:space="0" w:color="auto"/>
        <w:bottom w:val="none" w:sz="0" w:space="0" w:color="auto"/>
        <w:right w:val="none" w:sz="0" w:space="0" w:color="auto"/>
      </w:divBdr>
    </w:div>
    <w:div w:id="1230270481">
      <w:bodyDiv w:val="1"/>
      <w:marLeft w:val="0"/>
      <w:marRight w:val="0"/>
      <w:marTop w:val="0"/>
      <w:marBottom w:val="0"/>
      <w:divBdr>
        <w:top w:val="none" w:sz="0" w:space="0" w:color="auto"/>
        <w:left w:val="none" w:sz="0" w:space="0" w:color="auto"/>
        <w:bottom w:val="none" w:sz="0" w:space="0" w:color="auto"/>
        <w:right w:val="none" w:sz="0" w:space="0" w:color="auto"/>
      </w:divBdr>
    </w:div>
    <w:div w:id="1401750164">
      <w:bodyDiv w:val="1"/>
      <w:marLeft w:val="0"/>
      <w:marRight w:val="0"/>
      <w:marTop w:val="0"/>
      <w:marBottom w:val="0"/>
      <w:divBdr>
        <w:top w:val="none" w:sz="0" w:space="0" w:color="auto"/>
        <w:left w:val="none" w:sz="0" w:space="0" w:color="auto"/>
        <w:bottom w:val="none" w:sz="0" w:space="0" w:color="auto"/>
        <w:right w:val="none" w:sz="0" w:space="0" w:color="auto"/>
      </w:divBdr>
    </w:div>
    <w:div w:id="1420832183">
      <w:bodyDiv w:val="1"/>
      <w:marLeft w:val="0"/>
      <w:marRight w:val="0"/>
      <w:marTop w:val="0"/>
      <w:marBottom w:val="0"/>
      <w:divBdr>
        <w:top w:val="none" w:sz="0" w:space="0" w:color="auto"/>
        <w:left w:val="none" w:sz="0" w:space="0" w:color="auto"/>
        <w:bottom w:val="none" w:sz="0" w:space="0" w:color="auto"/>
        <w:right w:val="none" w:sz="0" w:space="0" w:color="auto"/>
      </w:divBdr>
    </w:div>
    <w:div w:id="1623725963">
      <w:bodyDiv w:val="1"/>
      <w:marLeft w:val="0"/>
      <w:marRight w:val="0"/>
      <w:marTop w:val="0"/>
      <w:marBottom w:val="0"/>
      <w:divBdr>
        <w:top w:val="none" w:sz="0" w:space="0" w:color="auto"/>
        <w:left w:val="none" w:sz="0" w:space="0" w:color="auto"/>
        <w:bottom w:val="none" w:sz="0" w:space="0" w:color="auto"/>
        <w:right w:val="none" w:sz="0" w:space="0" w:color="auto"/>
      </w:divBdr>
    </w:div>
    <w:div w:id="1712849600">
      <w:bodyDiv w:val="1"/>
      <w:marLeft w:val="0"/>
      <w:marRight w:val="0"/>
      <w:marTop w:val="0"/>
      <w:marBottom w:val="0"/>
      <w:divBdr>
        <w:top w:val="none" w:sz="0" w:space="0" w:color="auto"/>
        <w:left w:val="none" w:sz="0" w:space="0" w:color="auto"/>
        <w:bottom w:val="none" w:sz="0" w:space="0" w:color="auto"/>
        <w:right w:val="none" w:sz="0" w:space="0" w:color="auto"/>
      </w:divBdr>
    </w:div>
    <w:div w:id="1905525496">
      <w:bodyDiv w:val="1"/>
      <w:marLeft w:val="0"/>
      <w:marRight w:val="0"/>
      <w:marTop w:val="0"/>
      <w:marBottom w:val="0"/>
      <w:divBdr>
        <w:top w:val="none" w:sz="0" w:space="0" w:color="auto"/>
        <w:left w:val="none" w:sz="0" w:space="0" w:color="auto"/>
        <w:bottom w:val="none" w:sz="0" w:space="0" w:color="auto"/>
        <w:right w:val="none" w:sz="0" w:space="0" w:color="auto"/>
      </w:divBdr>
    </w:div>
    <w:div w:id="206532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1B985-83E1-400A-B368-037A9396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7115</Words>
  <Characters>40558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2025-06-20T00:19:00Z</dcterms:created>
  <dcterms:modified xsi:type="dcterms:W3CDTF">2025-06-20T00:19:00Z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MSIP_Label_ed3826ce-7c18-471d-9596-93de5bae332e_Enabled">
    <vt:lpwstr>true</vt:lpwstr>
  </property>
  <property fmtid="{D5CDD505-2E9C-101B-9397-08002B2CF9AE}" pid="4" name="MSIP_Label_ed3826ce-7c18-471d-9596-93de5bae332e_SetDate">
    <vt:lpwstr>2025-06-20T00:19:45Z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2a93491e-98a2-4091-85c2-da503f268f44</vt:lpwstr>
  </property>
  <property fmtid="{D5CDD505-2E9C-101B-9397-08002B2CF9AE}" pid="9" name="MSIP_Label_ed3826ce-7c18-471d-9596-93de5bae332e_ContentBits">
    <vt:lpwstr>0</vt:lpwstr>
  </property>
  <property fmtid="{D5CDD505-2E9C-101B-9397-08002B2CF9AE}" pid="10" name="MSIP_Label_ed3826ce-7c18-471d-9596-93de5bae332e_Tag">
    <vt:lpwstr>10, 3, 0, 1</vt:lpwstr>
  </property>
</Properties>
</file>