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352D3" w14:textId="3875989A" w:rsidR="0073419C" w:rsidRDefault="0073419C" w:rsidP="0073419C">
      <w:pPr>
        <w:shd w:val="clear" w:color="auto" w:fill="FFFFFF"/>
        <w:spacing w:after="0" w:line="240" w:lineRule="auto"/>
        <w:jc w:val="both"/>
        <w:rPr>
          <w:rFonts w:ascii="Segoe UI" w:eastAsia="Times New Roman" w:hAnsi="Segoe UI" w:cs="Segoe UI"/>
          <w:kern w:val="0"/>
          <w:lang w:eastAsia="es-ES"/>
          <w14:ligatures w14:val="none"/>
        </w:rPr>
      </w:pPr>
      <w:hyperlink r:id="rId5" w:history="1">
        <w:r w:rsidRPr="00026FD8">
          <w:rPr>
            <w:rStyle w:val="Hipervnculo"/>
            <w:rFonts w:ascii="Segoe UI" w:eastAsia="Times New Roman" w:hAnsi="Segoe UI" w:cs="Segoe UI"/>
            <w:kern w:val="0"/>
            <w:lang w:eastAsia="es-ES"/>
            <w14:ligatures w14:val="none"/>
          </w:rPr>
          <w:t>https://www.laprovincia.es/canarias/2026/07/23/tsjc-condena-servicio-canario-salud-132727099.html</w:t>
        </w:r>
      </w:hyperlink>
    </w:p>
    <w:p w14:paraId="2DBD33EC" w14:textId="77777777" w:rsidR="0073419C" w:rsidRDefault="0073419C" w:rsidP="0073419C">
      <w:pPr>
        <w:shd w:val="clear" w:color="auto" w:fill="FFFFFF"/>
        <w:spacing w:after="0" w:line="240" w:lineRule="auto"/>
        <w:jc w:val="both"/>
        <w:rPr>
          <w:rFonts w:ascii="Segoe UI" w:eastAsia="Times New Roman" w:hAnsi="Segoe UI" w:cs="Segoe UI"/>
          <w:kern w:val="0"/>
          <w:lang w:eastAsia="es-ES"/>
          <w14:ligatures w14:val="none"/>
        </w:rPr>
      </w:pPr>
    </w:p>
    <w:p w14:paraId="5281860B" w14:textId="1FB69E4A" w:rsidR="0073419C" w:rsidRPr="0073419C" w:rsidRDefault="0073419C" w:rsidP="0073419C">
      <w:pPr>
        <w:shd w:val="clear" w:color="auto" w:fill="FFFFFF"/>
        <w:spacing w:after="0" w:line="240" w:lineRule="auto"/>
        <w:jc w:val="both"/>
        <w:rPr>
          <w:rFonts w:ascii="Segoe UI" w:eastAsia="Times New Roman" w:hAnsi="Segoe UI" w:cs="Segoe UI"/>
          <w:kern w:val="0"/>
          <w:lang w:eastAsia="es-ES"/>
          <w14:ligatures w14:val="none"/>
        </w:rPr>
      </w:pPr>
      <w:hyperlink r:id="rId6" w:tooltip="La Provincia" w:history="1">
        <w:r w:rsidRPr="0073419C">
          <w:rPr>
            <w:rFonts w:ascii="Segoe UI" w:eastAsia="Times New Roman" w:hAnsi="Segoe UI" w:cs="Segoe UI"/>
            <w:b/>
            <w:bCs/>
            <w:color w:val="111111"/>
            <w:kern w:val="0"/>
            <w:bdr w:val="none" w:sz="0" w:space="0" w:color="auto" w:frame="1"/>
            <w:lang w:eastAsia="es-ES"/>
            <w14:ligatures w14:val="none"/>
          </w:rPr>
          <w:t>la provincia</w:t>
        </w:r>
      </w:hyperlink>
    </w:p>
    <w:p w14:paraId="2EC1F661" w14:textId="77777777" w:rsidR="0073419C" w:rsidRPr="0073419C" w:rsidRDefault="0073419C" w:rsidP="0073419C">
      <w:pPr>
        <w:shd w:val="clear" w:color="auto" w:fill="FFFFFF"/>
        <w:spacing w:after="0" w:line="240" w:lineRule="auto"/>
        <w:jc w:val="both"/>
        <w:rPr>
          <w:rFonts w:ascii="Segoe UI" w:eastAsia="Times New Roman" w:hAnsi="Segoe UI" w:cs="Segoe UI"/>
          <w:color w:val="111111"/>
          <w:kern w:val="0"/>
          <w:sz w:val="27"/>
          <w:szCs w:val="27"/>
          <w:lang w:eastAsia="es-ES"/>
          <w14:ligatures w14:val="none"/>
        </w:rPr>
      </w:pPr>
      <w:r w:rsidRPr="0073419C">
        <w:rPr>
          <w:rFonts w:ascii="Segoe UI" w:eastAsia="Times New Roman" w:hAnsi="Segoe UI" w:cs="Segoe UI"/>
          <w:color w:val="111111"/>
          <w:kern w:val="0"/>
          <w:sz w:val="27"/>
          <w:szCs w:val="27"/>
          <w:bdr w:val="none" w:sz="0" w:space="0" w:color="auto" w:frame="1"/>
          <w:lang w:eastAsia="es-ES"/>
          <w14:ligatures w14:val="none"/>
        </w:rPr>
        <w:t>El TSJC condena al Servicio Canario de la Salud a pagar más de 745.000 euros por la muerte de una enfermera</w:t>
      </w:r>
    </w:p>
    <w:p w14:paraId="3E99C9A9" w14:textId="77777777" w:rsidR="0073419C" w:rsidRDefault="0073419C" w:rsidP="0073419C">
      <w:pPr>
        <w:shd w:val="clear" w:color="auto" w:fill="FFFFFF"/>
        <w:spacing w:after="0" w:line="240" w:lineRule="auto"/>
        <w:jc w:val="both"/>
        <w:rPr>
          <w:rFonts w:ascii="Segoe UI Emoji" w:eastAsia="Times New Roman" w:hAnsi="Segoe UI Emoji" w:cs="Segoe UI Emoji"/>
          <w:b/>
          <w:bCs/>
          <w:caps/>
          <w:color w:val="FFFFFF"/>
          <w:kern w:val="0"/>
          <w:sz w:val="27"/>
          <w:szCs w:val="27"/>
          <w:shd w:val="clear" w:color="auto" w:fill="FD3700"/>
          <w:lang w:eastAsia="es-ES"/>
          <w14:ligatures w14:val="none"/>
        </w:rPr>
      </w:pPr>
    </w:p>
    <w:p w14:paraId="295F46B3" w14:textId="77777777" w:rsidR="0073419C" w:rsidRPr="0073419C" w:rsidRDefault="0073419C" w:rsidP="0073419C">
      <w:pPr>
        <w:shd w:val="clear" w:color="auto" w:fill="FFFFFF"/>
        <w:spacing w:after="0" w:line="240" w:lineRule="auto"/>
        <w:jc w:val="both"/>
        <w:outlineLvl w:val="0"/>
        <w:rPr>
          <w:rFonts w:ascii="Segoe UI" w:eastAsia="Times New Roman" w:hAnsi="Segoe UI" w:cs="Segoe UI"/>
          <w:b/>
          <w:bCs/>
          <w:color w:val="111111"/>
          <w:kern w:val="36"/>
          <w:sz w:val="48"/>
          <w:szCs w:val="48"/>
          <w:lang w:eastAsia="es-ES"/>
          <w14:ligatures w14:val="none"/>
        </w:rPr>
      </w:pPr>
      <w:r w:rsidRPr="0073419C">
        <w:rPr>
          <w:rFonts w:ascii="Segoe UI" w:eastAsia="Times New Roman" w:hAnsi="Segoe UI" w:cs="Segoe UI"/>
          <w:b/>
          <w:bCs/>
          <w:color w:val="111111"/>
          <w:kern w:val="36"/>
          <w:sz w:val="48"/>
          <w:szCs w:val="48"/>
          <w:lang w:eastAsia="es-ES"/>
          <w14:ligatures w14:val="none"/>
        </w:rPr>
        <w:t>El TSJC condena al Servicio Canario de la Salud a pagar más de 745.000 euros por la muerte de una enfermera</w:t>
      </w:r>
    </w:p>
    <w:p w14:paraId="472808BC" w14:textId="77777777" w:rsidR="0073419C" w:rsidRDefault="0073419C" w:rsidP="0073419C">
      <w:pPr>
        <w:shd w:val="clear" w:color="auto" w:fill="FFFFFF"/>
        <w:spacing w:before="100" w:beforeAutospacing="1" w:after="100" w:afterAutospacing="1" w:line="240" w:lineRule="auto"/>
        <w:jc w:val="both"/>
        <w:outlineLvl w:val="1"/>
        <w:rPr>
          <w:rFonts w:ascii="Segoe UI" w:eastAsia="Times New Roman" w:hAnsi="Segoe UI" w:cs="Segoe UI"/>
          <w:color w:val="666666"/>
          <w:kern w:val="0"/>
          <w:sz w:val="36"/>
          <w:szCs w:val="36"/>
          <w:lang w:eastAsia="es-ES"/>
          <w14:ligatures w14:val="none"/>
        </w:rPr>
      </w:pPr>
      <w:r w:rsidRPr="0073419C">
        <w:rPr>
          <w:rFonts w:ascii="Segoe UI" w:eastAsia="Times New Roman" w:hAnsi="Segoe UI" w:cs="Segoe UI"/>
          <w:color w:val="666666"/>
          <w:kern w:val="0"/>
          <w:sz w:val="36"/>
          <w:szCs w:val="36"/>
          <w:lang w:eastAsia="es-ES"/>
          <w14:ligatures w14:val="none"/>
        </w:rPr>
        <w:t>El Tribunal Superior de Justicia de Canarias confirma la condena al Servicio Canario de la Salud por una actuación sanitaria deficiente que provocó el fallecimiento de la profesional</w:t>
      </w:r>
    </w:p>
    <w:p w14:paraId="65E3E79D" w14:textId="77777777" w:rsidR="0073419C" w:rsidRPr="0073419C" w:rsidRDefault="0073419C" w:rsidP="0073419C">
      <w:pPr>
        <w:shd w:val="clear" w:color="auto" w:fill="FFFFFF"/>
        <w:spacing w:after="0" w:line="240" w:lineRule="auto"/>
        <w:jc w:val="both"/>
        <w:rPr>
          <w:rFonts w:ascii="Segoe UI" w:eastAsia="Times New Roman" w:hAnsi="Segoe UI" w:cs="Segoe UI"/>
          <w:color w:val="111111"/>
          <w:kern w:val="0"/>
          <w:sz w:val="27"/>
          <w:szCs w:val="27"/>
          <w:lang w:eastAsia="es-ES"/>
          <w14:ligatures w14:val="none"/>
        </w:rPr>
      </w:pPr>
      <w:r w:rsidRPr="0073419C">
        <w:rPr>
          <w:rFonts w:ascii="Segoe UI" w:eastAsia="Times New Roman" w:hAnsi="Segoe UI" w:cs="Segoe UI"/>
          <w:noProof/>
          <w:color w:val="111111"/>
          <w:kern w:val="0"/>
          <w:sz w:val="27"/>
          <w:szCs w:val="27"/>
          <w:lang w:eastAsia="es-ES"/>
          <w14:ligatures w14:val="none"/>
        </w:rPr>
        <w:lastRenderedPageBreak/>
        <w:drawing>
          <wp:inline distT="0" distB="0" distL="0" distR="0" wp14:anchorId="1D9AB207" wp14:editId="52AC7D46">
            <wp:extent cx="11430000" cy="6429375"/>
            <wp:effectExtent l="0" t="0" r="0" b="9525"/>
            <wp:docPr id="7" name="Imagen 4" descr="Imagen aérea del Hospital Dr. Negrín de Las Palmas de Gran Can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n aérea del Hospital Dr. Negrín de Las Palmas de Gran Canari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0" cy="6429375"/>
                    </a:xfrm>
                    <a:prstGeom prst="rect">
                      <a:avLst/>
                    </a:prstGeom>
                    <a:noFill/>
                    <a:ln>
                      <a:noFill/>
                    </a:ln>
                  </pic:spPr>
                </pic:pic>
              </a:graphicData>
            </a:graphic>
          </wp:inline>
        </w:drawing>
      </w:r>
    </w:p>
    <w:p w14:paraId="733971A3" w14:textId="77777777" w:rsidR="0073419C" w:rsidRPr="0073419C" w:rsidRDefault="0073419C" w:rsidP="0073419C">
      <w:pPr>
        <w:shd w:val="clear" w:color="auto" w:fill="FFFFFF"/>
        <w:spacing w:after="0" w:line="240" w:lineRule="auto"/>
        <w:jc w:val="both"/>
        <w:rPr>
          <w:rFonts w:ascii="Segoe UI" w:eastAsia="Times New Roman" w:hAnsi="Segoe UI" w:cs="Segoe UI"/>
          <w:color w:val="666666"/>
          <w:kern w:val="0"/>
          <w:sz w:val="27"/>
          <w:szCs w:val="27"/>
          <w:lang w:eastAsia="es-ES"/>
          <w14:ligatures w14:val="none"/>
        </w:rPr>
      </w:pPr>
      <w:r w:rsidRPr="0073419C">
        <w:rPr>
          <w:rFonts w:ascii="Segoe UI" w:eastAsia="Times New Roman" w:hAnsi="Segoe UI" w:cs="Segoe UI"/>
          <w:color w:val="666666"/>
          <w:kern w:val="0"/>
          <w:sz w:val="27"/>
          <w:szCs w:val="27"/>
          <w:lang w:eastAsia="es-ES"/>
          <w14:ligatures w14:val="none"/>
        </w:rPr>
        <w:t>Imagen aérea del Hospital Dr. Negrín de Las Palmas de Gran Canaria. </w:t>
      </w:r>
      <w:r w:rsidRPr="0073419C">
        <w:rPr>
          <w:rFonts w:ascii="Segoe UI" w:eastAsia="Times New Roman" w:hAnsi="Segoe UI" w:cs="Segoe UI"/>
          <w:b/>
          <w:bCs/>
          <w:caps/>
          <w:color w:val="666666"/>
          <w:kern w:val="0"/>
          <w:sz w:val="27"/>
          <w:szCs w:val="27"/>
          <w:lang w:eastAsia="es-ES"/>
          <w14:ligatures w14:val="none"/>
        </w:rPr>
        <w:t>/ LP/DLP</w:t>
      </w:r>
    </w:p>
    <w:p w14:paraId="61765CFC" w14:textId="77777777" w:rsidR="0073419C" w:rsidRPr="0073419C" w:rsidRDefault="0073419C" w:rsidP="0073419C">
      <w:pPr>
        <w:shd w:val="clear" w:color="auto" w:fill="FFFFFF"/>
        <w:spacing w:before="100" w:beforeAutospacing="1" w:after="100" w:afterAutospacing="1" w:line="240" w:lineRule="auto"/>
        <w:jc w:val="both"/>
        <w:rPr>
          <w:rFonts w:ascii="Segoe UI" w:eastAsia="Times New Roman" w:hAnsi="Segoe UI" w:cs="Segoe UI"/>
          <w:b/>
          <w:bCs/>
          <w:color w:val="004884"/>
          <w:kern w:val="0"/>
          <w:sz w:val="27"/>
          <w:szCs w:val="27"/>
          <w:lang w:eastAsia="es-ES"/>
          <w14:ligatures w14:val="none"/>
        </w:rPr>
      </w:pPr>
      <w:hyperlink r:id="rId8" w:tgtFrame="_self" w:tooltip="Briseida Viera" w:history="1">
        <w:r w:rsidRPr="0073419C">
          <w:rPr>
            <w:rFonts w:ascii="Segoe UI" w:eastAsia="Times New Roman" w:hAnsi="Segoe UI" w:cs="Segoe UI"/>
            <w:b/>
            <w:bCs/>
            <w:color w:val="004884"/>
            <w:kern w:val="0"/>
            <w:sz w:val="27"/>
            <w:szCs w:val="27"/>
            <w:bdr w:val="none" w:sz="0" w:space="0" w:color="auto" w:frame="1"/>
            <w:lang w:eastAsia="es-ES"/>
            <w14:ligatures w14:val="none"/>
          </w:rPr>
          <w:t>Briseida Viera</w:t>
        </w:r>
      </w:hyperlink>
    </w:p>
    <w:p w14:paraId="14DA1634" w14:textId="77777777" w:rsidR="0073419C" w:rsidRPr="0073419C" w:rsidRDefault="0073419C" w:rsidP="0073419C">
      <w:pPr>
        <w:shd w:val="clear" w:color="auto" w:fill="FFFFFF"/>
        <w:spacing w:after="0" w:line="240" w:lineRule="auto"/>
        <w:jc w:val="both"/>
        <w:rPr>
          <w:rFonts w:ascii="Segoe UI" w:eastAsia="Times New Roman" w:hAnsi="Segoe UI" w:cs="Segoe UI"/>
          <w:color w:val="666666"/>
          <w:kern w:val="0"/>
          <w:sz w:val="27"/>
          <w:szCs w:val="27"/>
          <w:lang w:eastAsia="es-ES"/>
          <w14:ligatures w14:val="none"/>
        </w:rPr>
      </w:pPr>
      <w:r w:rsidRPr="0073419C">
        <w:rPr>
          <w:rFonts w:ascii="Segoe UI" w:eastAsia="Times New Roman" w:hAnsi="Segoe UI" w:cs="Segoe UI"/>
          <w:color w:val="666666"/>
          <w:kern w:val="0"/>
          <w:sz w:val="27"/>
          <w:szCs w:val="27"/>
          <w:lang w:eastAsia="es-ES"/>
          <w14:ligatures w14:val="none"/>
        </w:rPr>
        <w:t>23 JUL 2026 11:04</w:t>
      </w:r>
    </w:p>
    <w:p w14:paraId="0D927686" w14:textId="77777777" w:rsidR="0073419C" w:rsidRPr="0073419C" w:rsidRDefault="0073419C" w:rsidP="0073419C">
      <w:pPr>
        <w:shd w:val="clear" w:color="auto" w:fill="FFFFFF"/>
        <w:spacing w:after="100" w:afterAutospacing="1" w:line="240" w:lineRule="auto"/>
        <w:jc w:val="both"/>
        <w:rPr>
          <w:rFonts w:ascii="Segoe UI" w:eastAsia="Times New Roman" w:hAnsi="Segoe UI" w:cs="Segoe UI"/>
          <w:color w:val="111111"/>
          <w:kern w:val="0"/>
          <w:sz w:val="27"/>
          <w:szCs w:val="27"/>
          <w:lang w:eastAsia="es-ES"/>
          <w14:ligatures w14:val="none"/>
        </w:rPr>
      </w:pPr>
      <w:r w:rsidRPr="0073419C">
        <w:rPr>
          <w:rFonts w:ascii="Segoe UI" w:eastAsia="Times New Roman" w:hAnsi="Segoe UI" w:cs="Segoe UI"/>
          <w:color w:val="111111"/>
          <w:kern w:val="0"/>
          <w:sz w:val="27"/>
          <w:szCs w:val="27"/>
          <w:lang w:eastAsia="es-ES"/>
          <w14:ligatures w14:val="none"/>
        </w:rPr>
        <w:t>El </w:t>
      </w:r>
      <w:hyperlink r:id="rId9" w:tgtFrame="_blank" w:history="1">
        <w:r w:rsidRPr="0073419C">
          <w:rPr>
            <w:rFonts w:ascii="Segoe UI" w:eastAsia="Times New Roman" w:hAnsi="Segoe UI" w:cs="Segoe UI"/>
            <w:b/>
            <w:bCs/>
            <w:color w:val="004884"/>
            <w:kern w:val="0"/>
            <w:sz w:val="27"/>
            <w:szCs w:val="27"/>
            <w:bdr w:val="none" w:sz="0" w:space="0" w:color="auto" w:frame="1"/>
            <w:lang w:eastAsia="es-ES"/>
            <w14:ligatures w14:val="none"/>
          </w:rPr>
          <w:t>Tribunal Superior de Justicia de Canarias</w:t>
        </w:r>
      </w:hyperlink>
      <w:r w:rsidRPr="0073419C">
        <w:rPr>
          <w:rFonts w:ascii="Segoe UI" w:eastAsia="Times New Roman" w:hAnsi="Segoe UI" w:cs="Segoe UI"/>
          <w:b/>
          <w:bCs/>
          <w:color w:val="111111"/>
          <w:kern w:val="0"/>
          <w:sz w:val="27"/>
          <w:szCs w:val="27"/>
          <w:lang w:eastAsia="es-ES"/>
          <w14:ligatures w14:val="none"/>
        </w:rPr>
        <w:t> (TSJC)</w:t>
      </w:r>
      <w:r w:rsidRPr="0073419C">
        <w:rPr>
          <w:rFonts w:ascii="Segoe UI" w:eastAsia="Times New Roman" w:hAnsi="Segoe UI" w:cs="Segoe UI"/>
          <w:color w:val="111111"/>
          <w:kern w:val="0"/>
          <w:sz w:val="27"/>
          <w:szCs w:val="27"/>
          <w:lang w:eastAsia="es-ES"/>
          <w14:ligatures w14:val="none"/>
        </w:rPr>
        <w:t> confirma la condena al </w:t>
      </w:r>
      <w:r w:rsidRPr="0073419C">
        <w:rPr>
          <w:rFonts w:ascii="Segoe UI" w:eastAsia="Times New Roman" w:hAnsi="Segoe UI" w:cs="Segoe UI"/>
          <w:b/>
          <w:bCs/>
          <w:color w:val="111111"/>
          <w:kern w:val="0"/>
          <w:sz w:val="27"/>
          <w:szCs w:val="27"/>
          <w:lang w:eastAsia="es-ES"/>
          <w14:ligatures w14:val="none"/>
        </w:rPr>
        <w:t>Servicio Canario de la Salud (SCS)</w:t>
      </w:r>
      <w:r w:rsidRPr="0073419C">
        <w:rPr>
          <w:rFonts w:ascii="Segoe UI" w:eastAsia="Times New Roman" w:hAnsi="Segoe UI" w:cs="Segoe UI"/>
          <w:color w:val="111111"/>
          <w:kern w:val="0"/>
          <w:sz w:val="27"/>
          <w:szCs w:val="27"/>
          <w:lang w:eastAsia="es-ES"/>
          <w14:ligatures w14:val="none"/>
        </w:rPr>
        <w:t> por la muerte de una enfermera de </w:t>
      </w:r>
      <w:r w:rsidRPr="0073419C">
        <w:rPr>
          <w:rFonts w:ascii="Segoe UI" w:eastAsia="Times New Roman" w:hAnsi="Segoe UI" w:cs="Segoe UI"/>
          <w:b/>
          <w:bCs/>
          <w:color w:val="111111"/>
          <w:kern w:val="0"/>
          <w:sz w:val="27"/>
          <w:szCs w:val="27"/>
          <w:lang w:eastAsia="es-ES"/>
          <w14:ligatures w14:val="none"/>
        </w:rPr>
        <w:t>51 años</w:t>
      </w:r>
      <w:r w:rsidRPr="0073419C">
        <w:rPr>
          <w:rFonts w:ascii="Segoe UI" w:eastAsia="Times New Roman" w:hAnsi="Segoe UI" w:cs="Segoe UI"/>
          <w:color w:val="111111"/>
          <w:kern w:val="0"/>
          <w:sz w:val="27"/>
          <w:szCs w:val="27"/>
          <w:lang w:eastAsia="es-ES"/>
          <w14:ligatures w14:val="none"/>
        </w:rPr>
        <w:t> y ratifica el derecho de su familia a recibir una indemnización superior a </w:t>
      </w:r>
      <w:r w:rsidRPr="0073419C">
        <w:rPr>
          <w:rFonts w:ascii="Segoe UI" w:eastAsia="Times New Roman" w:hAnsi="Segoe UI" w:cs="Segoe UI"/>
          <w:b/>
          <w:bCs/>
          <w:color w:val="111111"/>
          <w:kern w:val="0"/>
          <w:sz w:val="27"/>
          <w:szCs w:val="27"/>
          <w:lang w:eastAsia="es-ES"/>
          <w14:ligatures w14:val="none"/>
        </w:rPr>
        <w:t>745.000 euros</w:t>
      </w:r>
      <w:r w:rsidRPr="0073419C">
        <w:rPr>
          <w:rFonts w:ascii="Segoe UI" w:eastAsia="Times New Roman" w:hAnsi="Segoe UI" w:cs="Segoe UI"/>
          <w:color w:val="111111"/>
          <w:kern w:val="0"/>
          <w:sz w:val="27"/>
          <w:szCs w:val="27"/>
          <w:lang w:eastAsia="es-ES"/>
          <w14:ligatures w14:val="none"/>
        </w:rPr>
        <w:t xml:space="preserve">, una cantidad que incluye la </w:t>
      </w:r>
      <w:r w:rsidRPr="0073419C">
        <w:rPr>
          <w:rFonts w:ascii="Segoe UI" w:eastAsia="Times New Roman" w:hAnsi="Segoe UI" w:cs="Segoe UI"/>
          <w:color w:val="111111"/>
          <w:kern w:val="0"/>
          <w:sz w:val="27"/>
          <w:szCs w:val="27"/>
          <w:lang w:eastAsia="es-ES"/>
          <w14:ligatures w14:val="none"/>
        </w:rPr>
        <w:lastRenderedPageBreak/>
        <w:t>compensación principal, los intereses legales y otros conceptos derivados del procedimiento judicial.</w:t>
      </w:r>
    </w:p>
    <w:p w14:paraId="46D9BDE8" w14:textId="77777777" w:rsidR="0073419C" w:rsidRPr="0073419C" w:rsidRDefault="0073419C" w:rsidP="0073419C">
      <w:pPr>
        <w:shd w:val="clear" w:color="auto" w:fill="FFFFFF"/>
        <w:spacing w:before="100" w:beforeAutospacing="1" w:after="100" w:afterAutospacing="1" w:line="240" w:lineRule="auto"/>
        <w:jc w:val="both"/>
        <w:rPr>
          <w:rFonts w:ascii="Segoe UI" w:eastAsia="Times New Roman" w:hAnsi="Segoe UI" w:cs="Segoe UI"/>
          <w:color w:val="111111"/>
          <w:kern w:val="0"/>
          <w:sz w:val="27"/>
          <w:szCs w:val="27"/>
          <w:lang w:eastAsia="es-ES"/>
          <w14:ligatures w14:val="none"/>
        </w:rPr>
      </w:pPr>
      <w:r w:rsidRPr="0073419C">
        <w:rPr>
          <w:rFonts w:ascii="Segoe UI" w:eastAsia="Times New Roman" w:hAnsi="Segoe UI" w:cs="Segoe UI"/>
          <w:color w:val="111111"/>
          <w:kern w:val="0"/>
          <w:sz w:val="27"/>
          <w:szCs w:val="27"/>
          <w:lang w:eastAsia="es-ES"/>
          <w14:ligatures w14:val="none"/>
        </w:rPr>
        <w:t>La resolución, que adquiere firmeza el </w:t>
      </w:r>
      <w:r w:rsidRPr="0073419C">
        <w:rPr>
          <w:rFonts w:ascii="Segoe UI" w:eastAsia="Times New Roman" w:hAnsi="Segoe UI" w:cs="Segoe UI"/>
          <w:b/>
          <w:bCs/>
          <w:color w:val="111111"/>
          <w:kern w:val="0"/>
          <w:sz w:val="27"/>
          <w:szCs w:val="27"/>
          <w:lang w:eastAsia="es-ES"/>
          <w14:ligatures w14:val="none"/>
        </w:rPr>
        <w:t>15 de julio de 2026</w:t>
      </w:r>
      <w:r w:rsidRPr="0073419C">
        <w:rPr>
          <w:rFonts w:ascii="Segoe UI" w:eastAsia="Times New Roman" w:hAnsi="Segoe UI" w:cs="Segoe UI"/>
          <w:color w:val="111111"/>
          <w:kern w:val="0"/>
          <w:sz w:val="27"/>
          <w:szCs w:val="27"/>
          <w:lang w:eastAsia="es-ES"/>
          <w14:ligatures w14:val="none"/>
        </w:rPr>
        <w:t>, respalda la sentencia dictada por el Tribunal de Instancia de </w:t>
      </w:r>
      <w:r w:rsidRPr="0073419C">
        <w:rPr>
          <w:rFonts w:ascii="Segoe UI" w:eastAsia="Times New Roman" w:hAnsi="Segoe UI" w:cs="Segoe UI"/>
          <w:b/>
          <w:bCs/>
          <w:color w:val="111111"/>
          <w:kern w:val="0"/>
          <w:sz w:val="27"/>
          <w:szCs w:val="27"/>
          <w:lang w:eastAsia="es-ES"/>
          <w14:ligatures w14:val="none"/>
        </w:rPr>
        <w:t>Las Palmas de Gran Canaria</w:t>
      </w:r>
      <w:r w:rsidRPr="0073419C">
        <w:rPr>
          <w:rFonts w:ascii="Segoe UI" w:eastAsia="Times New Roman" w:hAnsi="Segoe UI" w:cs="Segoe UI"/>
          <w:color w:val="111111"/>
          <w:kern w:val="0"/>
          <w:sz w:val="27"/>
          <w:szCs w:val="27"/>
          <w:lang w:eastAsia="es-ES"/>
          <w14:ligatures w14:val="none"/>
        </w:rPr>
        <w:t>, que determinó la existencia de una actuación sanitaria deficiente y aplicó la doctrina jurídica del “</w:t>
      </w:r>
      <w:r w:rsidRPr="0073419C">
        <w:rPr>
          <w:rFonts w:ascii="Segoe UI" w:eastAsia="Times New Roman" w:hAnsi="Segoe UI" w:cs="Segoe UI"/>
          <w:b/>
          <w:bCs/>
          <w:color w:val="111111"/>
          <w:kern w:val="0"/>
          <w:sz w:val="27"/>
          <w:szCs w:val="27"/>
          <w:lang w:eastAsia="es-ES"/>
          <w14:ligatures w14:val="none"/>
        </w:rPr>
        <w:t>daño desproporcionado</w:t>
      </w:r>
      <w:r w:rsidRPr="0073419C">
        <w:rPr>
          <w:rFonts w:ascii="Segoe UI" w:eastAsia="Times New Roman" w:hAnsi="Segoe UI" w:cs="Segoe UI"/>
          <w:color w:val="111111"/>
          <w:kern w:val="0"/>
          <w:sz w:val="27"/>
          <w:szCs w:val="27"/>
          <w:lang w:eastAsia="es-ES"/>
          <w14:ligatures w14:val="none"/>
        </w:rPr>
        <w:t>”.</w:t>
      </w:r>
    </w:p>
    <w:p w14:paraId="2A575535" w14:textId="77777777" w:rsidR="0073419C" w:rsidRPr="0073419C" w:rsidRDefault="0073419C" w:rsidP="0073419C">
      <w:pPr>
        <w:shd w:val="clear" w:color="auto" w:fill="FFFFFF"/>
        <w:spacing w:after="0" w:line="240" w:lineRule="auto"/>
        <w:jc w:val="both"/>
        <w:outlineLvl w:val="2"/>
        <w:rPr>
          <w:rFonts w:ascii="Segoe UI" w:eastAsia="Times New Roman" w:hAnsi="Segoe UI" w:cs="Segoe UI"/>
          <w:b/>
          <w:bCs/>
          <w:color w:val="111111"/>
          <w:kern w:val="0"/>
          <w:sz w:val="27"/>
          <w:szCs w:val="27"/>
          <w:lang w:eastAsia="es-ES"/>
          <w14:ligatures w14:val="none"/>
        </w:rPr>
      </w:pPr>
      <w:r w:rsidRPr="0073419C">
        <w:rPr>
          <w:rFonts w:ascii="Segoe UI" w:eastAsia="Times New Roman" w:hAnsi="Segoe UI" w:cs="Segoe UI"/>
          <w:b/>
          <w:bCs/>
          <w:color w:val="111111"/>
          <w:kern w:val="0"/>
          <w:sz w:val="27"/>
          <w:szCs w:val="27"/>
          <w:lang w:eastAsia="es-ES"/>
          <w14:ligatures w14:val="none"/>
        </w:rPr>
        <w:t>Fallecimiento tras una insuficiencia respiratoria durante el ingreso de la paciente</w:t>
      </w:r>
    </w:p>
    <w:p w14:paraId="736CA99E" w14:textId="77777777" w:rsidR="0073419C" w:rsidRPr="0073419C" w:rsidRDefault="0073419C" w:rsidP="0073419C">
      <w:pPr>
        <w:shd w:val="clear" w:color="auto" w:fill="FFFFFF"/>
        <w:spacing w:before="100" w:beforeAutospacing="1" w:after="100" w:afterAutospacing="1" w:line="240" w:lineRule="auto"/>
        <w:jc w:val="both"/>
        <w:rPr>
          <w:rFonts w:ascii="Segoe UI" w:eastAsia="Times New Roman" w:hAnsi="Segoe UI" w:cs="Segoe UI"/>
          <w:color w:val="111111"/>
          <w:kern w:val="0"/>
          <w:sz w:val="27"/>
          <w:szCs w:val="27"/>
          <w:lang w:eastAsia="es-ES"/>
          <w14:ligatures w14:val="none"/>
        </w:rPr>
      </w:pPr>
      <w:r w:rsidRPr="0073419C">
        <w:rPr>
          <w:rFonts w:ascii="Segoe UI" w:eastAsia="Times New Roman" w:hAnsi="Segoe UI" w:cs="Segoe UI"/>
          <w:color w:val="111111"/>
          <w:kern w:val="0"/>
          <w:sz w:val="27"/>
          <w:szCs w:val="27"/>
          <w:lang w:eastAsia="es-ES"/>
          <w14:ligatures w14:val="none"/>
        </w:rPr>
        <w:t>Según la resolución judicial, la paciente fallece por una insuficiencia respiratoria asociada a la acumulación de más de </w:t>
      </w:r>
      <w:r w:rsidRPr="0073419C">
        <w:rPr>
          <w:rFonts w:ascii="Segoe UI" w:eastAsia="Times New Roman" w:hAnsi="Segoe UI" w:cs="Segoe UI"/>
          <w:b/>
          <w:bCs/>
          <w:color w:val="111111"/>
          <w:kern w:val="0"/>
          <w:sz w:val="27"/>
          <w:szCs w:val="27"/>
          <w:lang w:eastAsia="es-ES"/>
          <w14:ligatures w14:val="none"/>
        </w:rPr>
        <w:t>cuatro litros de líquido en las cavidades pleurales</w:t>
      </w:r>
      <w:r w:rsidRPr="0073419C">
        <w:rPr>
          <w:rFonts w:ascii="Segoe UI" w:eastAsia="Times New Roman" w:hAnsi="Segoe UI" w:cs="Segoe UI"/>
          <w:color w:val="111111"/>
          <w:kern w:val="0"/>
          <w:sz w:val="27"/>
          <w:szCs w:val="27"/>
          <w:lang w:eastAsia="es-ES"/>
          <w14:ligatures w14:val="none"/>
        </w:rPr>
        <w:t>. El TSJC considera que el resultado se aparta de forma “notoria, grosera y ostensible” de la evolución esperable en un procedimiento asistencial ordinario.</w:t>
      </w:r>
    </w:p>
    <w:p w14:paraId="2AB40AA9" w14:textId="77777777" w:rsidR="0073419C" w:rsidRPr="0073419C" w:rsidRDefault="0073419C" w:rsidP="0073419C">
      <w:pPr>
        <w:shd w:val="clear" w:color="auto" w:fill="FFFFFF"/>
        <w:spacing w:before="100" w:beforeAutospacing="1" w:after="100" w:afterAutospacing="1" w:line="240" w:lineRule="auto"/>
        <w:jc w:val="both"/>
        <w:rPr>
          <w:rFonts w:ascii="Segoe UI" w:eastAsia="Times New Roman" w:hAnsi="Segoe UI" w:cs="Segoe UI"/>
          <w:color w:val="111111"/>
          <w:kern w:val="0"/>
          <w:sz w:val="27"/>
          <w:szCs w:val="27"/>
          <w:lang w:eastAsia="es-ES"/>
          <w14:ligatures w14:val="none"/>
        </w:rPr>
      </w:pPr>
      <w:r w:rsidRPr="0073419C">
        <w:rPr>
          <w:rFonts w:ascii="Segoe UI" w:eastAsia="Times New Roman" w:hAnsi="Segoe UI" w:cs="Segoe UI"/>
          <w:color w:val="111111"/>
          <w:kern w:val="0"/>
          <w:sz w:val="27"/>
          <w:szCs w:val="27"/>
          <w:lang w:eastAsia="es-ES"/>
          <w14:ligatures w14:val="none"/>
        </w:rPr>
        <w:t>El tribunal señala que la Administración sanitaria no aporta una explicación suficiente sobre las causas del desenlace y mantiene que no supera la carga de justificar el origen del daño. La sentencia recoge que el caso presenta circunstancias excepcionales sin una explicación cierta por parte del servicio médico.</w:t>
      </w:r>
    </w:p>
    <w:p w14:paraId="5809BD66" w14:textId="77777777" w:rsidR="0073419C" w:rsidRPr="0073419C" w:rsidRDefault="0073419C" w:rsidP="0073419C">
      <w:pPr>
        <w:shd w:val="clear" w:color="auto" w:fill="FFFFFF"/>
        <w:spacing w:after="0" w:line="240" w:lineRule="auto"/>
        <w:jc w:val="both"/>
        <w:outlineLvl w:val="2"/>
        <w:rPr>
          <w:rFonts w:ascii="Segoe UI" w:eastAsia="Times New Roman" w:hAnsi="Segoe UI" w:cs="Segoe UI"/>
          <w:b/>
          <w:bCs/>
          <w:color w:val="111111"/>
          <w:kern w:val="0"/>
          <w:sz w:val="27"/>
          <w:szCs w:val="27"/>
          <w:lang w:eastAsia="es-ES"/>
          <w14:ligatures w14:val="none"/>
        </w:rPr>
      </w:pPr>
      <w:r w:rsidRPr="0073419C">
        <w:rPr>
          <w:rFonts w:ascii="Segoe UI" w:eastAsia="Times New Roman" w:hAnsi="Segoe UI" w:cs="Segoe UI"/>
          <w:b/>
          <w:bCs/>
          <w:color w:val="111111"/>
          <w:kern w:val="0"/>
          <w:sz w:val="27"/>
          <w:szCs w:val="27"/>
          <w:lang w:eastAsia="es-ES"/>
          <w14:ligatures w14:val="none"/>
        </w:rPr>
        <w:t>Un procedimiento quirúrgico en 2022 derivó en una lesión</w:t>
      </w:r>
    </w:p>
    <w:p w14:paraId="08B3E141" w14:textId="77777777" w:rsidR="0073419C" w:rsidRPr="0073419C" w:rsidRDefault="0073419C" w:rsidP="0073419C">
      <w:pPr>
        <w:shd w:val="clear" w:color="auto" w:fill="FFFFFF"/>
        <w:spacing w:before="100" w:beforeAutospacing="1" w:after="100" w:afterAutospacing="1" w:line="240" w:lineRule="auto"/>
        <w:jc w:val="both"/>
        <w:rPr>
          <w:rFonts w:ascii="Segoe UI" w:eastAsia="Times New Roman" w:hAnsi="Segoe UI" w:cs="Segoe UI"/>
          <w:color w:val="111111"/>
          <w:kern w:val="0"/>
          <w:sz w:val="27"/>
          <w:szCs w:val="27"/>
          <w:lang w:eastAsia="es-ES"/>
          <w14:ligatures w14:val="none"/>
        </w:rPr>
      </w:pPr>
      <w:r w:rsidRPr="0073419C">
        <w:rPr>
          <w:rFonts w:ascii="Segoe UI" w:eastAsia="Times New Roman" w:hAnsi="Segoe UI" w:cs="Segoe UI"/>
          <w:color w:val="111111"/>
          <w:kern w:val="0"/>
          <w:sz w:val="27"/>
          <w:szCs w:val="27"/>
          <w:lang w:eastAsia="es-ES"/>
          <w14:ligatures w14:val="none"/>
        </w:rPr>
        <w:t>La fallecida, trabajadora del </w:t>
      </w:r>
      <w:r w:rsidRPr="0073419C">
        <w:rPr>
          <w:rFonts w:ascii="Segoe UI" w:eastAsia="Times New Roman" w:hAnsi="Segoe UI" w:cs="Segoe UI"/>
          <w:b/>
          <w:bCs/>
          <w:color w:val="111111"/>
          <w:kern w:val="0"/>
          <w:sz w:val="27"/>
          <w:szCs w:val="27"/>
          <w:lang w:eastAsia="es-ES"/>
          <w14:ligatures w14:val="none"/>
        </w:rPr>
        <w:t>Hospital Universitario de Gran Canaria Dr. Negrín</w:t>
      </w:r>
      <w:r w:rsidRPr="0073419C">
        <w:rPr>
          <w:rFonts w:ascii="Segoe UI" w:eastAsia="Times New Roman" w:hAnsi="Segoe UI" w:cs="Segoe UI"/>
          <w:color w:val="111111"/>
          <w:kern w:val="0"/>
          <w:sz w:val="27"/>
          <w:szCs w:val="27"/>
          <w:lang w:eastAsia="es-ES"/>
          <w14:ligatures w14:val="none"/>
        </w:rPr>
        <w:t>, recibe una intervención quirúrgica en </w:t>
      </w:r>
      <w:r w:rsidRPr="0073419C">
        <w:rPr>
          <w:rFonts w:ascii="Segoe UI" w:eastAsia="Times New Roman" w:hAnsi="Segoe UI" w:cs="Segoe UI"/>
          <w:b/>
          <w:bCs/>
          <w:color w:val="111111"/>
          <w:kern w:val="0"/>
          <w:sz w:val="27"/>
          <w:szCs w:val="27"/>
          <w:lang w:eastAsia="es-ES"/>
          <w14:ligatures w14:val="none"/>
        </w:rPr>
        <w:t>enero de 2022</w:t>
      </w:r>
      <w:r w:rsidRPr="0073419C">
        <w:rPr>
          <w:rFonts w:ascii="Segoe UI" w:eastAsia="Times New Roman" w:hAnsi="Segoe UI" w:cs="Segoe UI"/>
          <w:color w:val="111111"/>
          <w:kern w:val="0"/>
          <w:sz w:val="27"/>
          <w:szCs w:val="27"/>
          <w:lang w:eastAsia="es-ES"/>
          <w14:ligatures w14:val="none"/>
        </w:rPr>
        <w:t> por una enfermedad de Crohn. Como parte del tratamiento, los médicos colocan un catéter venoso central de inserción periférica (</w:t>
      </w:r>
      <w:r w:rsidRPr="0073419C">
        <w:rPr>
          <w:rFonts w:ascii="Segoe UI" w:eastAsia="Times New Roman" w:hAnsi="Segoe UI" w:cs="Segoe UI"/>
          <w:b/>
          <w:bCs/>
          <w:color w:val="111111"/>
          <w:kern w:val="0"/>
          <w:sz w:val="27"/>
          <w:szCs w:val="27"/>
          <w:lang w:eastAsia="es-ES"/>
          <w14:ligatures w14:val="none"/>
        </w:rPr>
        <w:t>PICC</w:t>
      </w:r>
      <w:r w:rsidRPr="0073419C">
        <w:rPr>
          <w:rFonts w:ascii="Segoe UI" w:eastAsia="Times New Roman" w:hAnsi="Segoe UI" w:cs="Segoe UI"/>
          <w:color w:val="111111"/>
          <w:kern w:val="0"/>
          <w:sz w:val="27"/>
          <w:szCs w:val="27"/>
          <w:lang w:eastAsia="es-ES"/>
          <w14:ligatures w14:val="none"/>
        </w:rPr>
        <w:t>) para administrar nutrición parenteral.</w:t>
      </w:r>
    </w:p>
    <w:p w14:paraId="77D51D01" w14:textId="77777777" w:rsidR="0073419C" w:rsidRPr="0073419C" w:rsidRDefault="0073419C" w:rsidP="0073419C">
      <w:pPr>
        <w:shd w:val="clear" w:color="auto" w:fill="FFFFFF"/>
        <w:spacing w:before="100" w:beforeAutospacing="1" w:after="100" w:afterAutospacing="1" w:line="240" w:lineRule="auto"/>
        <w:jc w:val="both"/>
        <w:rPr>
          <w:rFonts w:ascii="Segoe UI" w:eastAsia="Times New Roman" w:hAnsi="Segoe UI" w:cs="Segoe UI"/>
          <w:color w:val="111111"/>
          <w:kern w:val="0"/>
          <w:sz w:val="27"/>
          <w:szCs w:val="27"/>
          <w:lang w:eastAsia="es-ES"/>
          <w14:ligatures w14:val="none"/>
        </w:rPr>
      </w:pPr>
      <w:r w:rsidRPr="0073419C">
        <w:rPr>
          <w:rFonts w:ascii="Segoe UI" w:eastAsia="Times New Roman" w:hAnsi="Segoe UI" w:cs="Segoe UI"/>
          <w:color w:val="111111"/>
          <w:kern w:val="0"/>
          <w:sz w:val="27"/>
          <w:szCs w:val="27"/>
          <w:lang w:eastAsia="es-ES"/>
          <w14:ligatures w14:val="none"/>
        </w:rPr>
        <w:t>La tesis aceptada por los tribunales sostiene que este dispositivo provoca una lesión que permite la acumulación del líquido administrado en las cavidades pleurales, según la interpretación recogida en la sentencia.</w:t>
      </w:r>
    </w:p>
    <w:p w14:paraId="45C69783" w14:textId="77777777" w:rsidR="0073419C" w:rsidRPr="0073419C" w:rsidRDefault="0073419C" w:rsidP="0073419C">
      <w:pPr>
        <w:shd w:val="clear" w:color="auto" w:fill="FFFFFF"/>
        <w:spacing w:after="0" w:line="240" w:lineRule="auto"/>
        <w:jc w:val="both"/>
        <w:outlineLvl w:val="2"/>
        <w:rPr>
          <w:rFonts w:ascii="Segoe UI" w:eastAsia="Times New Roman" w:hAnsi="Segoe UI" w:cs="Segoe UI"/>
          <w:b/>
          <w:bCs/>
          <w:color w:val="111111"/>
          <w:kern w:val="0"/>
          <w:sz w:val="27"/>
          <w:szCs w:val="27"/>
          <w:lang w:eastAsia="es-ES"/>
          <w14:ligatures w14:val="none"/>
        </w:rPr>
      </w:pPr>
      <w:r w:rsidRPr="0073419C">
        <w:rPr>
          <w:rFonts w:ascii="Segoe UI" w:eastAsia="Times New Roman" w:hAnsi="Segoe UI" w:cs="Segoe UI"/>
          <w:b/>
          <w:bCs/>
          <w:color w:val="111111"/>
          <w:kern w:val="0"/>
          <w:sz w:val="27"/>
          <w:szCs w:val="27"/>
          <w:lang w:eastAsia="es-ES"/>
          <w14:ligatures w14:val="none"/>
        </w:rPr>
        <w:t>Señales de alarma durante la hospitalización de la enfermera</w:t>
      </w:r>
    </w:p>
    <w:p w14:paraId="6EAF6902" w14:textId="77777777" w:rsidR="0073419C" w:rsidRPr="0073419C" w:rsidRDefault="0073419C" w:rsidP="0073419C">
      <w:pPr>
        <w:shd w:val="clear" w:color="auto" w:fill="FFFFFF"/>
        <w:spacing w:before="100" w:beforeAutospacing="1" w:after="100" w:afterAutospacing="1" w:line="240" w:lineRule="auto"/>
        <w:jc w:val="both"/>
        <w:rPr>
          <w:rFonts w:ascii="Segoe UI" w:eastAsia="Times New Roman" w:hAnsi="Segoe UI" w:cs="Segoe UI"/>
          <w:color w:val="111111"/>
          <w:kern w:val="0"/>
          <w:sz w:val="27"/>
          <w:szCs w:val="27"/>
          <w:lang w:eastAsia="es-ES"/>
          <w14:ligatures w14:val="none"/>
        </w:rPr>
      </w:pPr>
      <w:r w:rsidRPr="0073419C">
        <w:rPr>
          <w:rFonts w:ascii="Segoe UI" w:eastAsia="Times New Roman" w:hAnsi="Segoe UI" w:cs="Segoe UI"/>
          <w:color w:val="111111"/>
          <w:kern w:val="0"/>
          <w:sz w:val="27"/>
          <w:szCs w:val="27"/>
          <w:lang w:eastAsia="es-ES"/>
          <w14:ligatures w14:val="none"/>
        </w:rPr>
        <w:t xml:space="preserve">La resolución judicial considera relevantes varios indicios previos al fallecimiento, entre ellos la falta de reflujo del catéter, las quejas </w:t>
      </w:r>
      <w:r w:rsidRPr="0073419C">
        <w:rPr>
          <w:rFonts w:ascii="Segoe UI" w:eastAsia="Times New Roman" w:hAnsi="Segoe UI" w:cs="Segoe UI"/>
          <w:color w:val="111111"/>
          <w:kern w:val="0"/>
          <w:sz w:val="27"/>
          <w:szCs w:val="27"/>
          <w:lang w:eastAsia="es-ES"/>
          <w14:ligatures w14:val="none"/>
        </w:rPr>
        <w:lastRenderedPageBreak/>
        <w:t>reiteradas de dificultad respiratoria expresadas por la paciente y la ausencia de determinadas pruebas diagnósticas que, según la prueba pericial, podían detectar la acumulación de líquido.</w:t>
      </w:r>
    </w:p>
    <w:p w14:paraId="5A5C6B8F" w14:textId="77777777" w:rsidR="0073419C" w:rsidRPr="0073419C" w:rsidRDefault="0073419C" w:rsidP="0073419C">
      <w:pPr>
        <w:shd w:val="clear" w:color="auto" w:fill="FFFFFF"/>
        <w:spacing w:before="100" w:beforeAutospacing="1" w:after="100" w:afterAutospacing="1" w:line="240" w:lineRule="auto"/>
        <w:jc w:val="both"/>
        <w:rPr>
          <w:rFonts w:ascii="Segoe UI" w:eastAsia="Times New Roman" w:hAnsi="Segoe UI" w:cs="Segoe UI"/>
          <w:color w:val="111111"/>
          <w:kern w:val="0"/>
          <w:sz w:val="27"/>
          <w:szCs w:val="27"/>
          <w:lang w:eastAsia="es-ES"/>
          <w14:ligatures w14:val="none"/>
        </w:rPr>
      </w:pPr>
      <w:r w:rsidRPr="0073419C">
        <w:rPr>
          <w:rFonts w:ascii="Segoe UI" w:eastAsia="Times New Roman" w:hAnsi="Segoe UI" w:cs="Segoe UI"/>
          <w:color w:val="111111"/>
          <w:kern w:val="0"/>
          <w:sz w:val="27"/>
          <w:szCs w:val="27"/>
          <w:lang w:eastAsia="es-ES"/>
          <w14:ligatures w14:val="none"/>
        </w:rPr>
        <w:t>El TSJC también destaca que el </w:t>
      </w:r>
      <w:r w:rsidRPr="0073419C">
        <w:rPr>
          <w:rFonts w:ascii="Segoe UI" w:eastAsia="Times New Roman" w:hAnsi="Segoe UI" w:cs="Segoe UI"/>
          <w:b/>
          <w:bCs/>
          <w:color w:val="111111"/>
          <w:kern w:val="0"/>
          <w:sz w:val="27"/>
          <w:szCs w:val="27"/>
          <w:lang w:eastAsia="es-ES"/>
          <w14:ligatures w14:val="none"/>
        </w:rPr>
        <w:t>Servicio Canario de la Salud</w:t>
      </w:r>
      <w:r w:rsidRPr="0073419C">
        <w:rPr>
          <w:rFonts w:ascii="Segoe UI" w:eastAsia="Times New Roman" w:hAnsi="Segoe UI" w:cs="Segoe UI"/>
          <w:color w:val="111111"/>
          <w:kern w:val="0"/>
          <w:sz w:val="27"/>
          <w:szCs w:val="27"/>
          <w:lang w:eastAsia="es-ES"/>
          <w14:ligatures w14:val="none"/>
        </w:rPr>
        <w:t> no presenta durante el procedimiento una explicación científica alternativa con suficiente solidez para justificar la acumulación de más de cuatro litros de líquido en las cavidades pleurales en un periodo corto de tiempo.</w:t>
      </w:r>
    </w:p>
    <w:p w14:paraId="26973447" w14:textId="77777777" w:rsidR="0073419C" w:rsidRPr="0073419C" w:rsidRDefault="0073419C" w:rsidP="0073419C">
      <w:pPr>
        <w:shd w:val="clear" w:color="auto" w:fill="FFFFFF"/>
        <w:spacing w:after="0" w:line="240" w:lineRule="auto"/>
        <w:jc w:val="both"/>
        <w:outlineLvl w:val="2"/>
        <w:rPr>
          <w:rFonts w:ascii="Segoe UI" w:eastAsia="Times New Roman" w:hAnsi="Segoe UI" w:cs="Segoe UI"/>
          <w:b/>
          <w:bCs/>
          <w:color w:val="111111"/>
          <w:kern w:val="0"/>
          <w:sz w:val="27"/>
          <w:szCs w:val="27"/>
          <w:lang w:eastAsia="es-ES"/>
          <w14:ligatures w14:val="none"/>
        </w:rPr>
      </w:pPr>
      <w:r w:rsidRPr="0073419C">
        <w:rPr>
          <w:rFonts w:ascii="Segoe UI" w:eastAsia="Times New Roman" w:hAnsi="Segoe UI" w:cs="Segoe UI"/>
          <w:b/>
          <w:bCs/>
          <w:color w:val="111111"/>
          <w:kern w:val="0"/>
          <w:sz w:val="27"/>
          <w:szCs w:val="27"/>
          <w:lang w:eastAsia="es-ES"/>
          <w14:ligatures w14:val="none"/>
        </w:rPr>
        <w:t>Indemnización principal de 659.387 euros</w:t>
      </w:r>
    </w:p>
    <w:p w14:paraId="11BD4DC7" w14:textId="77777777" w:rsidR="0073419C" w:rsidRPr="0073419C" w:rsidRDefault="0073419C" w:rsidP="0073419C">
      <w:pPr>
        <w:shd w:val="clear" w:color="auto" w:fill="FFFFFF"/>
        <w:spacing w:before="100" w:beforeAutospacing="1" w:after="100" w:afterAutospacing="1" w:line="240" w:lineRule="auto"/>
        <w:jc w:val="both"/>
        <w:rPr>
          <w:rFonts w:ascii="Segoe UI" w:eastAsia="Times New Roman" w:hAnsi="Segoe UI" w:cs="Segoe UI"/>
          <w:color w:val="111111"/>
          <w:kern w:val="0"/>
          <w:sz w:val="27"/>
          <w:szCs w:val="27"/>
          <w:lang w:eastAsia="es-ES"/>
          <w14:ligatures w14:val="none"/>
        </w:rPr>
      </w:pPr>
      <w:r w:rsidRPr="0073419C">
        <w:rPr>
          <w:rFonts w:ascii="Segoe UI" w:eastAsia="Times New Roman" w:hAnsi="Segoe UI" w:cs="Segoe UI"/>
          <w:color w:val="111111"/>
          <w:kern w:val="0"/>
          <w:sz w:val="27"/>
          <w:szCs w:val="27"/>
          <w:lang w:eastAsia="es-ES"/>
          <w14:ligatures w14:val="none"/>
        </w:rPr>
        <w:t>La sentencia confirma una indemnización principal de </w:t>
      </w:r>
      <w:r w:rsidRPr="0073419C">
        <w:rPr>
          <w:rFonts w:ascii="Segoe UI" w:eastAsia="Times New Roman" w:hAnsi="Segoe UI" w:cs="Segoe UI"/>
          <w:b/>
          <w:bCs/>
          <w:color w:val="111111"/>
          <w:kern w:val="0"/>
          <w:sz w:val="27"/>
          <w:szCs w:val="27"/>
          <w:lang w:eastAsia="es-ES"/>
          <w14:ligatures w14:val="none"/>
        </w:rPr>
        <w:t>659.387 euros</w:t>
      </w:r>
      <w:r w:rsidRPr="0073419C">
        <w:rPr>
          <w:rFonts w:ascii="Segoe UI" w:eastAsia="Times New Roman" w:hAnsi="Segoe UI" w:cs="Segoe UI"/>
          <w:color w:val="111111"/>
          <w:kern w:val="0"/>
          <w:sz w:val="27"/>
          <w:szCs w:val="27"/>
          <w:lang w:eastAsia="es-ES"/>
          <w14:ligatures w14:val="none"/>
        </w:rPr>
        <w:t>, a la que se suman los intereses legales generados desde la reclamación administrativa presentada por la familia el </w:t>
      </w:r>
      <w:r w:rsidRPr="0073419C">
        <w:rPr>
          <w:rFonts w:ascii="Segoe UI" w:eastAsia="Times New Roman" w:hAnsi="Segoe UI" w:cs="Segoe UI"/>
          <w:b/>
          <w:bCs/>
          <w:color w:val="111111"/>
          <w:kern w:val="0"/>
          <w:sz w:val="27"/>
          <w:szCs w:val="27"/>
          <w:lang w:eastAsia="es-ES"/>
          <w14:ligatures w14:val="none"/>
        </w:rPr>
        <w:t>18 de enero de 2023</w:t>
      </w:r>
      <w:r w:rsidRPr="0073419C">
        <w:rPr>
          <w:rFonts w:ascii="Segoe UI" w:eastAsia="Times New Roman" w:hAnsi="Segoe UI" w:cs="Segoe UI"/>
          <w:color w:val="111111"/>
          <w:kern w:val="0"/>
          <w:sz w:val="27"/>
          <w:szCs w:val="27"/>
          <w:lang w:eastAsia="es-ES"/>
          <w14:ligatures w14:val="none"/>
        </w:rPr>
        <w:t>. El importe final supera los </w:t>
      </w:r>
      <w:r w:rsidRPr="0073419C">
        <w:rPr>
          <w:rFonts w:ascii="Segoe UI" w:eastAsia="Times New Roman" w:hAnsi="Segoe UI" w:cs="Segoe UI"/>
          <w:b/>
          <w:bCs/>
          <w:color w:val="111111"/>
          <w:kern w:val="0"/>
          <w:sz w:val="27"/>
          <w:szCs w:val="27"/>
          <w:lang w:eastAsia="es-ES"/>
          <w14:ligatures w14:val="none"/>
        </w:rPr>
        <w:t>745.000 euros</w:t>
      </w:r>
      <w:r w:rsidRPr="0073419C">
        <w:rPr>
          <w:rFonts w:ascii="Segoe UI" w:eastAsia="Times New Roman" w:hAnsi="Segoe UI" w:cs="Segoe UI"/>
          <w:color w:val="111111"/>
          <w:kern w:val="0"/>
          <w:sz w:val="27"/>
          <w:szCs w:val="27"/>
          <w:lang w:eastAsia="es-ES"/>
          <w14:ligatures w14:val="none"/>
        </w:rPr>
        <w:t>.</w:t>
      </w:r>
    </w:p>
    <w:p w14:paraId="26FA4140" w14:textId="5059A0C0" w:rsidR="0073419C" w:rsidRPr="0073419C" w:rsidRDefault="0073419C" w:rsidP="0073419C">
      <w:pPr>
        <w:pBdr>
          <w:bottom w:val="single" w:sz="2" w:space="0" w:color="CCCCCC"/>
        </w:pBdr>
        <w:shd w:val="clear" w:color="auto" w:fill="FFFFFF"/>
        <w:spacing w:after="0" w:line="240" w:lineRule="auto"/>
        <w:jc w:val="both"/>
        <w:rPr>
          <w:rFonts w:ascii="Segoe UI" w:eastAsia="Times New Roman" w:hAnsi="Segoe UI" w:cs="Segoe UI"/>
          <w:color w:val="111111"/>
          <w:kern w:val="0"/>
          <w:sz w:val="27"/>
          <w:szCs w:val="27"/>
          <w:lang w:eastAsia="es-ES"/>
          <w14:ligatures w14:val="none"/>
        </w:rPr>
      </w:pPr>
    </w:p>
    <w:p w14:paraId="69A5EDA5" w14:textId="77777777" w:rsidR="0073419C" w:rsidRPr="0073419C" w:rsidRDefault="0073419C" w:rsidP="0073419C">
      <w:pPr>
        <w:shd w:val="clear" w:color="auto" w:fill="FFFFFF"/>
        <w:spacing w:before="100" w:beforeAutospacing="1" w:after="100" w:afterAutospacing="1" w:line="240" w:lineRule="auto"/>
        <w:jc w:val="both"/>
        <w:rPr>
          <w:rFonts w:ascii="Segoe UI" w:eastAsia="Times New Roman" w:hAnsi="Segoe UI" w:cs="Segoe UI"/>
          <w:color w:val="111111"/>
          <w:kern w:val="0"/>
          <w:sz w:val="27"/>
          <w:szCs w:val="27"/>
          <w:lang w:eastAsia="es-ES"/>
          <w14:ligatures w14:val="none"/>
        </w:rPr>
      </w:pPr>
      <w:r w:rsidRPr="0073419C">
        <w:rPr>
          <w:rFonts w:ascii="Segoe UI" w:eastAsia="Times New Roman" w:hAnsi="Segoe UI" w:cs="Segoe UI"/>
          <w:color w:val="111111"/>
          <w:kern w:val="0"/>
          <w:sz w:val="27"/>
          <w:szCs w:val="27"/>
          <w:lang w:eastAsia="es-ES"/>
          <w14:ligatures w14:val="none"/>
        </w:rPr>
        <w:t>La resolución fue comunicada por el despacho </w:t>
      </w:r>
      <w:r w:rsidRPr="0073419C">
        <w:rPr>
          <w:rFonts w:ascii="Segoe UI" w:eastAsia="Times New Roman" w:hAnsi="Segoe UI" w:cs="Segoe UI"/>
          <w:b/>
          <w:bCs/>
          <w:color w:val="111111"/>
          <w:kern w:val="0"/>
          <w:sz w:val="27"/>
          <w:szCs w:val="27"/>
          <w:lang w:eastAsia="es-ES"/>
          <w14:ligatures w14:val="none"/>
        </w:rPr>
        <w:t>Henríquez y Carnero Abogados</w:t>
      </w:r>
      <w:r w:rsidRPr="0073419C">
        <w:rPr>
          <w:rFonts w:ascii="Segoe UI" w:eastAsia="Times New Roman" w:hAnsi="Segoe UI" w:cs="Segoe UI"/>
          <w:color w:val="111111"/>
          <w:kern w:val="0"/>
          <w:sz w:val="27"/>
          <w:szCs w:val="27"/>
          <w:lang w:eastAsia="es-ES"/>
          <w14:ligatures w14:val="none"/>
        </w:rPr>
        <w:t>, que representa a la familia. El abogado </w:t>
      </w:r>
      <w:r w:rsidRPr="0073419C">
        <w:rPr>
          <w:rFonts w:ascii="Segoe UI" w:eastAsia="Times New Roman" w:hAnsi="Segoe UI" w:cs="Segoe UI"/>
          <w:b/>
          <w:bCs/>
          <w:color w:val="111111"/>
          <w:kern w:val="0"/>
          <w:sz w:val="27"/>
          <w:szCs w:val="27"/>
          <w:lang w:eastAsia="es-ES"/>
          <w14:ligatures w14:val="none"/>
        </w:rPr>
        <w:t>Octavio L. Henríquez Portillo</w:t>
      </w:r>
      <w:r w:rsidRPr="0073419C">
        <w:rPr>
          <w:rFonts w:ascii="Segoe UI" w:eastAsia="Times New Roman" w:hAnsi="Segoe UI" w:cs="Segoe UI"/>
          <w:color w:val="111111"/>
          <w:kern w:val="0"/>
          <w:sz w:val="27"/>
          <w:szCs w:val="27"/>
          <w:lang w:eastAsia="es-ES"/>
          <w14:ligatures w14:val="none"/>
        </w:rPr>
        <w:t> considera que el fallo tiene relevancia en materia de responsabilidad patrimonial sanitaria y afirma que la sentencia recuerda la importancia de aplicar los protocolos asistenciales y atender los signos de alarma durante la atención a los pacientes.</w:t>
      </w:r>
    </w:p>
    <w:p w14:paraId="30378564" w14:textId="77777777" w:rsidR="00604709" w:rsidRDefault="00604709" w:rsidP="0073419C">
      <w:pPr>
        <w:jc w:val="both"/>
      </w:pPr>
    </w:p>
    <w:sectPr w:rsidR="0060470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0153"/>
    <w:multiLevelType w:val="multilevel"/>
    <w:tmpl w:val="13F2A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CC7F10"/>
    <w:multiLevelType w:val="multilevel"/>
    <w:tmpl w:val="DDD82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6A105C"/>
    <w:multiLevelType w:val="multilevel"/>
    <w:tmpl w:val="7CB47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702710"/>
    <w:multiLevelType w:val="multilevel"/>
    <w:tmpl w:val="8D626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1673308">
    <w:abstractNumId w:val="3"/>
  </w:num>
  <w:num w:numId="2" w16cid:durableId="1542666644">
    <w:abstractNumId w:val="0"/>
  </w:num>
  <w:num w:numId="3" w16cid:durableId="1512917375">
    <w:abstractNumId w:val="1"/>
  </w:num>
  <w:num w:numId="4" w16cid:durableId="1779384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19C"/>
    <w:rsid w:val="002B6C91"/>
    <w:rsid w:val="00604709"/>
    <w:rsid w:val="0073419C"/>
    <w:rsid w:val="007455CC"/>
    <w:rsid w:val="007D70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51355"/>
  <w15:chartTrackingRefBased/>
  <w15:docId w15:val="{D3732A06-43A7-451A-9BB4-D87E19E6D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341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341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3419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3419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3419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3419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3419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3419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3419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3419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3419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3419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3419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3419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3419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3419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3419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3419C"/>
    <w:rPr>
      <w:rFonts w:eastAsiaTheme="majorEastAsia" w:cstheme="majorBidi"/>
      <w:color w:val="272727" w:themeColor="text1" w:themeTint="D8"/>
    </w:rPr>
  </w:style>
  <w:style w:type="paragraph" w:styleId="Ttulo">
    <w:name w:val="Title"/>
    <w:basedOn w:val="Normal"/>
    <w:next w:val="Normal"/>
    <w:link w:val="TtuloCar"/>
    <w:uiPriority w:val="10"/>
    <w:qFormat/>
    <w:rsid w:val="007341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3419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3419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3419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3419C"/>
    <w:pPr>
      <w:spacing w:before="160"/>
      <w:jc w:val="center"/>
    </w:pPr>
    <w:rPr>
      <w:i/>
      <w:iCs/>
      <w:color w:val="404040" w:themeColor="text1" w:themeTint="BF"/>
    </w:rPr>
  </w:style>
  <w:style w:type="character" w:customStyle="1" w:styleId="CitaCar">
    <w:name w:val="Cita Car"/>
    <w:basedOn w:val="Fuentedeprrafopredeter"/>
    <w:link w:val="Cita"/>
    <w:uiPriority w:val="29"/>
    <w:rsid w:val="0073419C"/>
    <w:rPr>
      <w:i/>
      <w:iCs/>
      <w:color w:val="404040" w:themeColor="text1" w:themeTint="BF"/>
    </w:rPr>
  </w:style>
  <w:style w:type="paragraph" w:styleId="Prrafodelista">
    <w:name w:val="List Paragraph"/>
    <w:basedOn w:val="Normal"/>
    <w:uiPriority w:val="34"/>
    <w:qFormat/>
    <w:rsid w:val="0073419C"/>
    <w:pPr>
      <w:ind w:left="720"/>
      <w:contextualSpacing/>
    </w:pPr>
  </w:style>
  <w:style w:type="character" w:styleId="nfasisintenso">
    <w:name w:val="Intense Emphasis"/>
    <w:basedOn w:val="Fuentedeprrafopredeter"/>
    <w:uiPriority w:val="21"/>
    <w:qFormat/>
    <w:rsid w:val="0073419C"/>
    <w:rPr>
      <w:i/>
      <w:iCs/>
      <w:color w:val="0F4761" w:themeColor="accent1" w:themeShade="BF"/>
    </w:rPr>
  </w:style>
  <w:style w:type="paragraph" w:styleId="Citadestacada">
    <w:name w:val="Intense Quote"/>
    <w:basedOn w:val="Normal"/>
    <w:next w:val="Normal"/>
    <w:link w:val="CitadestacadaCar"/>
    <w:uiPriority w:val="30"/>
    <w:qFormat/>
    <w:rsid w:val="007341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3419C"/>
    <w:rPr>
      <w:i/>
      <w:iCs/>
      <w:color w:val="0F4761" w:themeColor="accent1" w:themeShade="BF"/>
    </w:rPr>
  </w:style>
  <w:style w:type="character" w:styleId="Referenciaintensa">
    <w:name w:val="Intense Reference"/>
    <w:basedOn w:val="Fuentedeprrafopredeter"/>
    <w:uiPriority w:val="32"/>
    <w:qFormat/>
    <w:rsid w:val="0073419C"/>
    <w:rPr>
      <w:b/>
      <w:bCs/>
      <w:smallCaps/>
      <w:color w:val="0F4761" w:themeColor="accent1" w:themeShade="BF"/>
      <w:spacing w:val="5"/>
    </w:rPr>
  </w:style>
  <w:style w:type="character" w:styleId="Hipervnculo">
    <w:name w:val="Hyperlink"/>
    <w:basedOn w:val="Fuentedeprrafopredeter"/>
    <w:uiPriority w:val="99"/>
    <w:unhideWhenUsed/>
    <w:rsid w:val="0073419C"/>
    <w:rPr>
      <w:color w:val="467886" w:themeColor="hyperlink"/>
      <w:u w:val="single"/>
    </w:rPr>
  </w:style>
  <w:style w:type="character" w:styleId="Mencinsinresolver">
    <w:name w:val="Unresolved Mention"/>
    <w:basedOn w:val="Fuentedeprrafopredeter"/>
    <w:uiPriority w:val="99"/>
    <w:semiHidden/>
    <w:unhideWhenUsed/>
    <w:rsid w:val="007341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provincia.es/autores/briseida-viera.html"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aprovincia.es/" TargetMode="External"/><Relationship Id="rId11" Type="http://schemas.openxmlformats.org/officeDocument/2006/relationships/theme" Target="theme/theme1.xml"/><Relationship Id="rId5" Type="http://schemas.openxmlformats.org/officeDocument/2006/relationships/hyperlink" Target="https://www.laprovincia.es/canarias/2026/07/23/tsjc-condena-servicio-canario-salud-132727099.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aprovincia.es/canarias/2026/07/13/scs-enfermeros-canarias-sistema-sanitario-132412700.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668</Words>
  <Characters>3676</Characters>
  <Application>Microsoft Office Word</Application>
  <DocSecurity>0</DocSecurity>
  <Lines>30</Lines>
  <Paragraphs>8</Paragraphs>
  <ScaleCrop>false</ScaleCrop>
  <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Octavio L Henriquez Portillo</dc:creator>
  <cp:keywords/>
  <dc:description/>
  <cp:lastModifiedBy>Octavio L Henriquez Portillo</cp:lastModifiedBy>
  <cp:revision>2</cp:revision>
  <dcterms:created xsi:type="dcterms:W3CDTF">2026-07-23T10:34:00Z</dcterms:created>
  <dcterms:modified xsi:type="dcterms:W3CDTF">2026-07-23T10:37:00Z</dcterms:modified>
</cp:coreProperties>
</file>