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CC3E" w14:textId="77777777" w:rsidR="00507451" w:rsidRPr="00C54E83" w:rsidRDefault="00507451" w:rsidP="00EA5641">
      <w:pPr>
        <w:rPr>
          <w:sz w:val="16"/>
          <w:szCs w:val="16"/>
        </w:rPr>
      </w:pPr>
    </w:p>
    <w:p w14:paraId="26EF40CD" w14:textId="2DD4460E" w:rsidR="00EA5641" w:rsidRPr="00354BBA" w:rsidRDefault="007F32F9" w:rsidP="00354BBA">
      <w:pPr>
        <w:jc w:val="center"/>
        <w:rPr>
          <w:b/>
        </w:rPr>
      </w:pPr>
      <w:r>
        <w:rPr>
          <w:b/>
        </w:rPr>
        <w:t>POLU</w:t>
      </w:r>
      <w:r w:rsidR="00EA5641">
        <w:rPr>
          <w:b/>
        </w:rPr>
        <w:t>GODIŠNJI IZVJEŠTAJ O IZVRŠENJU FINANCIJSKOG PLANA ZA 202</w:t>
      </w:r>
      <w:r>
        <w:rPr>
          <w:b/>
        </w:rPr>
        <w:t>5</w:t>
      </w:r>
      <w:r w:rsidR="00EA5641">
        <w:rPr>
          <w:b/>
        </w:rPr>
        <w:t>. GODINU</w:t>
      </w:r>
    </w:p>
    <w:p w14:paraId="56C871C1" w14:textId="77777777" w:rsidR="00354BBA" w:rsidRDefault="00354BBA" w:rsidP="00EC19C1"/>
    <w:p w14:paraId="4E129122" w14:textId="2682F455" w:rsidR="00EC19C1" w:rsidRPr="000628F3" w:rsidRDefault="00EC19C1" w:rsidP="00C407B5">
      <w:pPr>
        <w:jc w:val="both"/>
        <w:rPr>
          <w:b/>
          <w:bCs/>
        </w:rPr>
      </w:pPr>
      <w:r w:rsidRPr="000628F3">
        <w:rPr>
          <w:b/>
          <w:bCs/>
        </w:rPr>
        <w:t xml:space="preserve">III. OBRAZLOŽENJE </w:t>
      </w:r>
      <w:r w:rsidR="00C407B5">
        <w:rPr>
          <w:b/>
          <w:bCs/>
        </w:rPr>
        <w:t>POLU</w:t>
      </w:r>
      <w:r w:rsidRPr="000628F3">
        <w:rPr>
          <w:b/>
          <w:bCs/>
        </w:rPr>
        <w:t>GODIŠNJEG IZVJEŠTAJA O IZVRŠENJU FINANCIJSKOG PLANA</w:t>
      </w:r>
    </w:p>
    <w:p w14:paraId="3956A735" w14:textId="77777777" w:rsidR="00EC19C1" w:rsidRPr="000628F3" w:rsidRDefault="00EC19C1" w:rsidP="005356B5">
      <w:pPr>
        <w:jc w:val="both"/>
      </w:pPr>
    </w:p>
    <w:p w14:paraId="4C597EA2" w14:textId="77777777" w:rsidR="00EC19C1" w:rsidRPr="000628F3" w:rsidRDefault="00EC19C1" w:rsidP="005356B5">
      <w:pPr>
        <w:numPr>
          <w:ilvl w:val="0"/>
          <w:numId w:val="1"/>
        </w:numPr>
        <w:jc w:val="both"/>
      </w:pPr>
      <w:r w:rsidRPr="000628F3">
        <w:t>OBRAZLOŽENJE OPĆEG DIJELA</w:t>
      </w:r>
    </w:p>
    <w:p w14:paraId="205BF9A6" w14:textId="77777777" w:rsidR="00EC19C1" w:rsidRPr="00FC36EC" w:rsidRDefault="00EC19C1" w:rsidP="005356B5">
      <w:pPr>
        <w:ind w:left="360"/>
        <w:jc w:val="both"/>
        <w:rPr>
          <w:color w:val="EE0000"/>
        </w:rPr>
      </w:pPr>
    </w:p>
    <w:p w14:paraId="03852542" w14:textId="77777777" w:rsidR="00EC19C1" w:rsidRPr="00532D54" w:rsidRDefault="00EC19C1" w:rsidP="005356B5">
      <w:pPr>
        <w:numPr>
          <w:ilvl w:val="1"/>
          <w:numId w:val="1"/>
        </w:numPr>
        <w:jc w:val="both"/>
      </w:pPr>
      <w:r w:rsidRPr="00532D54">
        <w:t>Obrazloženje ostvarenja prihoda i rashoda, primitaka i izdataka</w:t>
      </w:r>
    </w:p>
    <w:p w14:paraId="25F30130" w14:textId="77777777" w:rsidR="00EC19C1" w:rsidRPr="00FC36EC" w:rsidRDefault="00EC19C1" w:rsidP="005356B5">
      <w:pPr>
        <w:jc w:val="both"/>
        <w:rPr>
          <w:color w:val="EE0000"/>
        </w:rPr>
      </w:pPr>
    </w:p>
    <w:p w14:paraId="7681485B" w14:textId="77777777" w:rsidR="00EC19C1" w:rsidRPr="00532D54" w:rsidRDefault="00EC19C1" w:rsidP="005356B5">
      <w:pPr>
        <w:jc w:val="both"/>
        <w:rPr>
          <w:u w:val="single"/>
        </w:rPr>
      </w:pPr>
      <w:r w:rsidRPr="00532D54">
        <w:rPr>
          <w:u w:val="single"/>
        </w:rPr>
        <w:t>Prihodi i rashodi prema ekonomskoj klasifikaciji</w:t>
      </w:r>
    </w:p>
    <w:p w14:paraId="58C1B48E" w14:textId="061E84BB" w:rsidR="00EC19C1" w:rsidRPr="00532D54" w:rsidRDefault="00EC19C1" w:rsidP="005356B5">
      <w:pPr>
        <w:jc w:val="both"/>
      </w:pPr>
      <w:r w:rsidRPr="00532D54">
        <w:t>Planirani prihodi poslovanja u 202</w:t>
      </w:r>
      <w:r w:rsidR="00532D54" w:rsidRPr="00532D54">
        <w:t>5</w:t>
      </w:r>
      <w:r w:rsidRPr="00532D54">
        <w:t xml:space="preserve">. godini su </w:t>
      </w:r>
      <w:r w:rsidR="001C7AEA" w:rsidRPr="00532D54">
        <w:t>3</w:t>
      </w:r>
      <w:r w:rsidRPr="00532D54">
        <w:t>.</w:t>
      </w:r>
      <w:r w:rsidR="00532D54" w:rsidRPr="00532D54">
        <w:t>939.838,00</w:t>
      </w:r>
      <w:r w:rsidRPr="00532D54">
        <w:t xml:space="preserve"> eura, a </w:t>
      </w:r>
      <w:r w:rsidR="00532D54" w:rsidRPr="00532D54">
        <w:t xml:space="preserve">u prvom polugodištu </w:t>
      </w:r>
      <w:r w:rsidR="00967892" w:rsidRPr="00532D54">
        <w:t>ostvareno je</w:t>
      </w:r>
      <w:r w:rsidRPr="00532D54">
        <w:t xml:space="preserve"> </w:t>
      </w:r>
      <w:r w:rsidR="00532D54" w:rsidRPr="00532D54">
        <w:t>58</w:t>
      </w:r>
      <w:r w:rsidR="00967892" w:rsidRPr="00532D54">
        <w:t>,</w:t>
      </w:r>
      <w:r w:rsidR="001C7AEA" w:rsidRPr="00532D54">
        <w:t>7</w:t>
      </w:r>
      <w:r w:rsidR="00532D54" w:rsidRPr="00532D54">
        <w:t>6</w:t>
      </w:r>
      <w:r w:rsidRPr="00532D54">
        <w:t xml:space="preserve">% godišnjeg plana odnosno </w:t>
      </w:r>
      <w:r w:rsidR="00532D54" w:rsidRPr="00532D54">
        <w:t>2.315.079,26</w:t>
      </w:r>
      <w:r w:rsidRPr="00532D54">
        <w:t xml:space="preserve"> eura. U odnosu na isto razdoblje prošle godine, prihodi bilježe rast od </w:t>
      </w:r>
      <w:r w:rsidR="00532D54" w:rsidRPr="00532D54">
        <w:t>19</w:t>
      </w:r>
      <w:r w:rsidR="00967892" w:rsidRPr="00532D54">
        <w:t>,</w:t>
      </w:r>
      <w:r w:rsidR="00532D54" w:rsidRPr="00532D54">
        <w:t>33</w:t>
      </w:r>
      <w:r w:rsidRPr="00532D54">
        <w:t>%.</w:t>
      </w:r>
    </w:p>
    <w:p w14:paraId="1A38A233" w14:textId="77777777" w:rsidR="00EC19C1" w:rsidRPr="00FC36EC" w:rsidRDefault="00EC19C1" w:rsidP="005356B5">
      <w:pPr>
        <w:jc w:val="both"/>
        <w:rPr>
          <w:color w:val="EE0000"/>
        </w:rPr>
      </w:pPr>
    </w:p>
    <w:p w14:paraId="09B3469D" w14:textId="613EF866" w:rsidR="00EC19C1" w:rsidRPr="00FA4F97" w:rsidRDefault="00EC19C1" w:rsidP="005356B5">
      <w:pPr>
        <w:jc w:val="both"/>
      </w:pPr>
      <w:r w:rsidRPr="00FA4F97">
        <w:t xml:space="preserve">Ukupni rashodi prema </w:t>
      </w:r>
      <w:r w:rsidR="00564AC5" w:rsidRPr="00FA4F97">
        <w:t>izvornom</w:t>
      </w:r>
      <w:r w:rsidRPr="00FA4F97">
        <w:t xml:space="preserve"> planu iznose </w:t>
      </w:r>
      <w:r w:rsidR="00FA4F97" w:rsidRPr="00FA4F97">
        <w:t>3</w:t>
      </w:r>
      <w:r w:rsidR="00FA4F97">
        <w:t>.</w:t>
      </w:r>
      <w:r w:rsidR="00FA4F97" w:rsidRPr="00FA4F97">
        <w:t>934.424,00</w:t>
      </w:r>
      <w:r w:rsidRPr="00FA4F97">
        <w:t xml:space="preserve"> eura, a izvršenje na </w:t>
      </w:r>
      <w:r w:rsidR="00FA4F97" w:rsidRPr="00FA4F97">
        <w:t>polu</w:t>
      </w:r>
      <w:r w:rsidRPr="00FA4F97">
        <w:t xml:space="preserve">godišnjoj razini je </w:t>
      </w:r>
      <w:r w:rsidR="00FA4F97" w:rsidRPr="00FA4F97">
        <w:t>68,80</w:t>
      </w:r>
      <w:r w:rsidRPr="00FA4F97">
        <w:t xml:space="preserve">%. Rashodi poslovanja ostvareni su u postotku od </w:t>
      </w:r>
      <w:r w:rsidR="00FA4F97" w:rsidRPr="00FA4F97">
        <w:t>68,54</w:t>
      </w:r>
      <w:r w:rsidRPr="00FA4F97">
        <w:t xml:space="preserve">%, a u odnosu na isto razdoblje prošle godine bilježe rast od </w:t>
      </w:r>
      <w:r w:rsidR="00FA4F97" w:rsidRPr="00FA4F97">
        <w:t>39,13</w:t>
      </w:r>
      <w:r w:rsidRPr="00FA4F97">
        <w:t xml:space="preserve">%. Rashodi za nabavu nefinancijske imovine su ostvareni u iznosu </w:t>
      </w:r>
      <w:r w:rsidR="00FA4F97" w:rsidRPr="00FA4F97">
        <w:t>11.953,77</w:t>
      </w:r>
      <w:r w:rsidRPr="00FA4F97">
        <w:t xml:space="preserve"> eura.</w:t>
      </w:r>
    </w:p>
    <w:p w14:paraId="3DA89E79" w14:textId="77777777" w:rsidR="00EC19C1" w:rsidRPr="00FC36EC" w:rsidRDefault="00EC19C1" w:rsidP="005356B5">
      <w:pPr>
        <w:jc w:val="both"/>
        <w:rPr>
          <w:color w:val="EE0000"/>
        </w:rPr>
      </w:pPr>
    </w:p>
    <w:p w14:paraId="08D44C98" w14:textId="5B31DAA0" w:rsidR="00EC19C1" w:rsidRPr="0079122D" w:rsidRDefault="00EC19C1" w:rsidP="005356B5">
      <w:pPr>
        <w:jc w:val="both"/>
      </w:pPr>
      <w:r w:rsidRPr="0079122D">
        <w:t xml:space="preserve">Unutar kategorije rashoda poslovanja, rashodi za zaposlene su izvršeni u iznosu </w:t>
      </w:r>
      <w:r w:rsidR="00FA4F97" w:rsidRPr="0079122D">
        <w:t>2.304.389,65</w:t>
      </w:r>
      <w:r w:rsidR="00564AC5" w:rsidRPr="0079122D">
        <w:t xml:space="preserve"> </w:t>
      </w:r>
      <w:r w:rsidRPr="0079122D">
        <w:t>eura</w:t>
      </w:r>
      <w:r w:rsidR="00B423A0" w:rsidRPr="0079122D">
        <w:t xml:space="preserve"> što je povećanje od </w:t>
      </w:r>
      <w:r w:rsidR="00FA4F97" w:rsidRPr="0079122D">
        <w:t>44,06</w:t>
      </w:r>
      <w:r w:rsidR="00B423A0" w:rsidRPr="0079122D">
        <w:t>% u odnosu na prošlu godinu</w:t>
      </w:r>
      <w:r w:rsidRPr="0079122D">
        <w:t>.</w:t>
      </w:r>
      <w:r w:rsidR="00FA4F97" w:rsidRPr="0079122D">
        <w:t xml:space="preserve"> Razlog povećanja je Uredba o nazivima radnih mjesta, uvjetima za raspored i koeficijentima za obračun plaće u javnim službama, povećanje osnovice za obračun plaće te veći broj zaposlenih. </w:t>
      </w:r>
      <w:r w:rsidRPr="0079122D">
        <w:t xml:space="preserve">Izvršenje materijalnih rashoda je ostvareno u iznosu </w:t>
      </w:r>
      <w:r w:rsidR="00FA4F97" w:rsidRPr="0079122D">
        <w:t>364.048,94</w:t>
      </w:r>
      <w:r w:rsidR="00B423A0" w:rsidRPr="0079122D">
        <w:t xml:space="preserve"> </w:t>
      </w:r>
      <w:r w:rsidRPr="0079122D">
        <w:t xml:space="preserve">eura </w:t>
      </w:r>
      <w:r w:rsidR="00967892" w:rsidRPr="0079122D">
        <w:t xml:space="preserve">što predstavlja povećanje od </w:t>
      </w:r>
      <w:r w:rsidR="00FA4F97" w:rsidRPr="0079122D">
        <w:t>14,58</w:t>
      </w:r>
      <w:r w:rsidR="00967892" w:rsidRPr="0079122D">
        <w:t>% u odnosu na prošlu godinu</w:t>
      </w:r>
      <w:r w:rsidR="00FA4F97" w:rsidRPr="0079122D">
        <w:t>, a 45,56 % u odnosu na izvorni plan</w:t>
      </w:r>
      <w:r w:rsidR="00967892" w:rsidRPr="0079122D">
        <w:t>.</w:t>
      </w:r>
      <w:r w:rsidRPr="0079122D">
        <w:t xml:space="preserve"> Financijski su rashodi ostvareni u iznosu </w:t>
      </w:r>
      <w:r w:rsidR="00551CEA" w:rsidRPr="0079122D">
        <w:t>442,20</w:t>
      </w:r>
      <w:r w:rsidRPr="0079122D">
        <w:t xml:space="preserve"> eura</w:t>
      </w:r>
      <w:r w:rsidR="00551CEA" w:rsidRPr="0079122D">
        <w:t xml:space="preserve"> (izvršenje je 29,48%)</w:t>
      </w:r>
      <w:r w:rsidRPr="0079122D">
        <w:t xml:space="preserve">, a naknade građanima i kućanstvima iz proračuna u iznosu </w:t>
      </w:r>
      <w:r w:rsidR="00551CEA" w:rsidRPr="0079122D">
        <w:t>24.508,47</w:t>
      </w:r>
      <w:r w:rsidR="00B423A0" w:rsidRPr="0079122D">
        <w:t xml:space="preserve"> </w:t>
      </w:r>
      <w:r w:rsidRPr="0079122D">
        <w:t xml:space="preserve">eura odnosno </w:t>
      </w:r>
      <w:r w:rsidR="00B423A0" w:rsidRPr="0079122D">
        <w:t xml:space="preserve">povećani su za </w:t>
      </w:r>
      <w:r w:rsidR="0079122D" w:rsidRPr="0079122D">
        <w:t>36,29</w:t>
      </w:r>
      <w:r w:rsidRPr="0079122D">
        <w:t>%</w:t>
      </w:r>
      <w:r w:rsidR="0079122D" w:rsidRPr="0079122D">
        <w:t xml:space="preserve">, a izvršeni 64,50%. Razlog je veći broj korisnika kao i promjena Zakona o socijalnoj skrbi i povećanje iznosa džeparca korisnicima. </w:t>
      </w:r>
    </w:p>
    <w:p w14:paraId="538B2561" w14:textId="77777777" w:rsidR="00EC19C1" w:rsidRPr="00FC36EC" w:rsidRDefault="00EC19C1" w:rsidP="005356B5">
      <w:pPr>
        <w:jc w:val="both"/>
        <w:rPr>
          <w:color w:val="EE0000"/>
        </w:rPr>
      </w:pPr>
    </w:p>
    <w:p w14:paraId="1C25E2FE" w14:textId="0952444A" w:rsidR="00EC19C1" w:rsidRPr="0079122D" w:rsidRDefault="00EC19C1" w:rsidP="005356B5">
      <w:pPr>
        <w:jc w:val="both"/>
      </w:pPr>
      <w:r w:rsidRPr="0079122D">
        <w:t xml:space="preserve">U </w:t>
      </w:r>
      <w:r w:rsidR="0079122D" w:rsidRPr="0079122D">
        <w:t xml:space="preserve">prvoj polovici </w:t>
      </w:r>
      <w:r w:rsidRPr="0079122D">
        <w:t>202</w:t>
      </w:r>
      <w:r w:rsidR="0079122D" w:rsidRPr="0079122D">
        <w:t>5</w:t>
      </w:r>
      <w:r w:rsidRPr="0079122D">
        <w:t xml:space="preserve">. godine ostvareno je ukupno </w:t>
      </w:r>
      <w:r w:rsidR="0079122D" w:rsidRPr="0079122D">
        <w:t>11.953,77</w:t>
      </w:r>
      <w:r w:rsidRPr="0079122D">
        <w:t xml:space="preserve"> eura rashoda za nabavu nefinancijske imovine, a navedeno se odnosi na </w:t>
      </w:r>
      <w:r w:rsidR="00D83368" w:rsidRPr="0079122D">
        <w:t xml:space="preserve">rashode za nabavu proizvedene dug. </w:t>
      </w:r>
      <w:r w:rsidR="0079122D" w:rsidRPr="0079122D">
        <w:t>i</w:t>
      </w:r>
      <w:r w:rsidR="00D83368" w:rsidRPr="0079122D">
        <w:t>movine</w:t>
      </w:r>
      <w:r w:rsidR="0079122D" w:rsidRPr="0079122D">
        <w:t>, a sva se nabavljena imovina odnosi na namještaj i opremu za korisnike</w:t>
      </w:r>
      <w:r w:rsidR="0019164F">
        <w:t xml:space="preserve"> iz donacijskih sredstava</w:t>
      </w:r>
      <w:r w:rsidR="0079122D" w:rsidRPr="0079122D">
        <w:t>.</w:t>
      </w:r>
    </w:p>
    <w:p w14:paraId="7481DB33" w14:textId="77777777" w:rsidR="00EC19C1" w:rsidRPr="0079122D" w:rsidRDefault="00EC19C1" w:rsidP="005356B5">
      <w:pPr>
        <w:jc w:val="both"/>
      </w:pPr>
    </w:p>
    <w:p w14:paraId="34C324D2" w14:textId="77777777" w:rsidR="00EC19C1" w:rsidRPr="0090468C" w:rsidRDefault="00EC19C1" w:rsidP="005356B5">
      <w:pPr>
        <w:jc w:val="both"/>
        <w:rPr>
          <w:u w:val="single"/>
        </w:rPr>
      </w:pPr>
      <w:r w:rsidRPr="0090468C">
        <w:rPr>
          <w:u w:val="single"/>
        </w:rPr>
        <w:t>Prihodi i rashodi prema izvorima financiranja</w:t>
      </w:r>
    </w:p>
    <w:p w14:paraId="1A86A6EE" w14:textId="77777777" w:rsidR="00FB648A" w:rsidRDefault="00FB648A" w:rsidP="005356B5">
      <w:pPr>
        <w:jc w:val="both"/>
      </w:pPr>
      <w:r>
        <w:t>Prihodi i rashodi su izvršeni kroz pet različitih izvora financiranja.</w:t>
      </w:r>
    </w:p>
    <w:p w14:paraId="40A8BE6B" w14:textId="77777777" w:rsidR="00FB648A" w:rsidRDefault="00FB648A" w:rsidP="005356B5">
      <w:pPr>
        <w:jc w:val="both"/>
      </w:pPr>
    </w:p>
    <w:p w14:paraId="7AD06841" w14:textId="0CAFCFDD" w:rsidR="00FB648A" w:rsidRPr="00FB648A" w:rsidRDefault="00FB648A" w:rsidP="00FB648A">
      <w:pPr>
        <w:pStyle w:val="Odlomakpopisa"/>
        <w:numPr>
          <w:ilvl w:val="0"/>
          <w:numId w:val="4"/>
        </w:numPr>
        <w:jc w:val="both"/>
        <w:rPr>
          <w:sz w:val="16"/>
          <w:szCs w:val="16"/>
        </w:rPr>
      </w:pPr>
      <w:r>
        <w:t>IF 11 – Opći prihodi i primici se odnose na prihode i rashode koji se planiraju i izvršavaju iz Državnog proračuna, a odobreni su od strane Ministarstva rada, mirovinskoga sustava, obitelji i socijalne politike. Izvršenje ovog dijela prihoda u odnosu na izvorni plan je 50,82%</w:t>
      </w:r>
      <w:r w:rsidR="00DC177E">
        <w:t>, a rashoda 58,78%.</w:t>
      </w:r>
    </w:p>
    <w:p w14:paraId="651C0DE6" w14:textId="24DC9E58" w:rsidR="00FB648A" w:rsidRPr="00DC177E" w:rsidRDefault="00FB648A" w:rsidP="00FB648A">
      <w:pPr>
        <w:pStyle w:val="Odlomakpopisa"/>
        <w:numPr>
          <w:ilvl w:val="0"/>
          <w:numId w:val="4"/>
        </w:numPr>
        <w:jc w:val="both"/>
        <w:rPr>
          <w:sz w:val="16"/>
          <w:szCs w:val="16"/>
        </w:rPr>
      </w:pPr>
      <w:r>
        <w:t xml:space="preserve">IF 43 – Prihodi za posebne namjene odnose se na prihode kojima korisnici dijelom participiraju u financiranju pruženih usluga. Ostvareni prihodi po ovom izvoru financiranja se uplaćuju u Državni proračun, a </w:t>
      </w:r>
      <w:r w:rsidR="00DC177E">
        <w:t xml:space="preserve">sukladno planu prihoda, planiraju se i </w:t>
      </w:r>
      <w:r w:rsidR="00DC177E">
        <w:lastRenderedPageBreak/>
        <w:t>izvršavaju i rashodi. Prihodi su u prvom polugodištu ostvareni 95,36%, a rashodi 68,50%.</w:t>
      </w:r>
    </w:p>
    <w:p w14:paraId="01CD0CCB" w14:textId="295541D9" w:rsidR="00DC177E" w:rsidRPr="00DC177E" w:rsidRDefault="00DC177E" w:rsidP="00FB648A">
      <w:pPr>
        <w:pStyle w:val="Odlomakpopisa"/>
        <w:numPr>
          <w:ilvl w:val="0"/>
          <w:numId w:val="4"/>
        </w:numPr>
        <w:jc w:val="both"/>
        <w:rPr>
          <w:sz w:val="16"/>
          <w:szCs w:val="16"/>
        </w:rPr>
      </w:pPr>
      <w:r>
        <w:t xml:space="preserve">IF 52 – Ostale pomoći se odnose na sredstva HZZ – a kojima se financiraju plaće pripravnika. Prihod se ostvari jednokratno, a rashod kroz 12 mjeseci. Nadalje, na ovom se izvoru financiranja evidentiraju prihodi i rashodi Grada Osijeka odnosno Osnovne škole za </w:t>
      </w:r>
      <w:r w:rsidRPr="00CE209E">
        <w:t>sufinanciranje troškova prijevoza, prehrane i posebnih nastavnih sredstava i pomagala za djecu s teškoćama u razvoju u osnovnim i srednjim školama.</w:t>
      </w:r>
      <w:r>
        <w:t xml:space="preserve"> Budući da imamo jednog takvog korisnika kojega se svakodnevno vozi u školu, temeljem Odluke ministra znanosti i obrazovanja, škola nam sufinancira ove troškove. Izvršenje prihoda u odnosu na izvorni plan 0,96% (razlog je ukidanje mjere pripravništva), a rashoda 53,50%.</w:t>
      </w:r>
    </w:p>
    <w:p w14:paraId="2E120857" w14:textId="77777777" w:rsidR="00231DF9" w:rsidRPr="00231DF9" w:rsidRDefault="00DC177E" w:rsidP="00E46E1E">
      <w:pPr>
        <w:pStyle w:val="Odlomakpopisa"/>
        <w:numPr>
          <w:ilvl w:val="0"/>
          <w:numId w:val="4"/>
        </w:numPr>
        <w:jc w:val="both"/>
        <w:rPr>
          <w:sz w:val="16"/>
          <w:szCs w:val="16"/>
        </w:rPr>
      </w:pPr>
      <w:r>
        <w:t xml:space="preserve">IF 581 – Mehanizam za oporavak i otpornost su sredstva </w:t>
      </w:r>
      <w:r w:rsidR="00231DF9">
        <w:t xml:space="preserve">EU u okviru instrumenata „EU Nove generacije“. Program se provodi u razdoblju 2021. – 2026. </w:t>
      </w:r>
      <w:r w:rsidR="00231DF9" w:rsidRPr="00231DF9">
        <w:t>Jedan od glavnih ciljeva Nacionalnog plana oporavka i otpornosti jest otvaranje novih radnih mjesta</w:t>
      </w:r>
      <w:r w:rsidR="00231DF9">
        <w:t xml:space="preserve">, pa se tako kroz ovaj izvor financiraju plaće 19 djelatnika. Financijska sredstva planira nadležno Ministarstvo, a izvršavaju ih proračunski korisnici. </w:t>
      </w:r>
    </w:p>
    <w:p w14:paraId="40C90B74" w14:textId="0554CE8E" w:rsidR="00231DF9" w:rsidRPr="00231DF9" w:rsidRDefault="00231DF9" w:rsidP="00E46E1E">
      <w:pPr>
        <w:pStyle w:val="Odlomakpopisa"/>
        <w:numPr>
          <w:ilvl w:val="0"/>
          <w:numId w:val="4"/>
        </w:numPr>
        <w:jc w:val="both"/>
        <w:rPr>
          <w:sz w:val="16"/>
          <w:szCs w:val="16"/>
        </w:rPr>
      </w:pPr>
      <w:r>
        <w:t xml:space="preserve">IF 61 – Donacije </w:t>
      </w:r>
      <w:r w:rsidR="0019164F">
        <w:t xml:space="preserve">su sredstva pravnih i fizičkih osoba namijenjena korisnicima. Planiraju se sukladno prethodno ostvarenim prihodima i rashodima, a izvršavaju se sukladno potrebama korisnika, a za rashode koji nisu planirani kroz druge izvore financiranja, a sve sukladno aktima ustanove. Neiskorištena sredstva iz prethodnih razdoblja se prenose u iduća razdoblja. </w:t>
      </w:r>
      <w:r w:rsidR="00E72D0F">
        <w:t xml:space="preserve">Izvršenje je veće od planiranoga zbog potreba korisnika.  </w:t>
      </w:r>
      <w:r>
        <w:t xml:space="preserve"> </w:t>
      </w:r>
    </w:p>
    <w:p w14:paraId="54D437C0" w14:textId="77777777" w:rsidR="00231DF9" w:rsidRDefault="00231DF9" w:rsidP="00231DF9">
      <w:pPr>
        <w:ind w:left="360"/>
        <w:jc w:val="both"/>
      </w:pPr>
    </w:p>
    <w:p w14:paraId="4BC6B362" w14:textId="536E9844" w:rsidR="0090468C" w:rsidRDefault="00EC19C1" w:rsidP="00E72D0F">
      <w:pPr>
        <w:jc w:val="both"/>
      </w:pPr>
      <w:r w:rsidRPr="0090468C">
        <w:t xml:space="preserve">Od ukupno ostvarenih prihoda u </w:t>
      </w:r>
      <w:r w:rsidR="007A7B49" w:rsidRPr="0090468C">
        <w:t xml:space="preserve">prvom polugodištu </w:t>
      </w:r>
      <w:r w:rsidRPr="0090468C">
        <w:t>202</w:t>
      </w:r>
      <w:r w:rsidR="007A7B49" w:rsidRPr="0090468C">
        <w:t>5</w:t>
      </w:r>
      <w:r w:rsidRPr="0090468C">
        <w:t>. godin</w:t>
      </w:r>
      <w:r w:rsidR="00C17FED" w:rsidRPr="0090468C">
        <w:t>i</w:t>
      </w:r>
      <w:r w:rsidRPr="0090468C">
        <w:t>, najveći je dio ostvaren iz izvora financiranja Opći prihodi i primici (IF 11)</w:t>
      </w:r>
      <w:r w:rsidR="00D83368" w:rsidRPr="0090468C">
        <w:t xml:space="preserve"> </w:t>
      </w:r>
      <w:r w:rsidR="007A7B49" w:rsidRPr="0090468C">
        <w:t>1.965.595,29</w:t>
      </w:r>
      <w:r w:rsidR="00D83368" w:rsidRPr="0090468C">
        <w:t xml:space="preserve"> </w:t>
      </w:r>
      <w:r w:rsidRPr="0090468C">
        <w:t>eura</w:t>
      </w:r>
      <w:r w:rsidR="007A7B49" w:rsidRPr="0090468C">
        <w:t xml:space="preserve">. Kroz ostale </w:t>
      </w:r>
      <w:r w:rsidRPr="0090468C">
        <w:t>izvor</w:t>
      </w:r>
      <w:r w:rsidR="007A7B49" w:rsidRPr="0090468C">
        <w:t>e</w:t>
      </w:r>
      <w:r w:rsidRPr="0090468C">
        <w:t xml:space="preserve"> financiranja Prihodi za posebne namjene (IF 43) ostvareno</w:t>
      </w:r>
      <w:r w:rsidR="00D83368" w:rsidRPr="0090468C">
        <w:t xml:space="preserve"> je </w:t>
      </w:r>
      <w:r w:rsidR="007A7B49" w:rsidRPr="0090468C">
        <w:t>1.585,26</w:t>
      </w:r>
      <w:r w:rsidR="00D83368" w:rsidRPr="00231DF9">
        <w:rPr>
          <w:sz w:val="16"/>
          <w:szCs w:val="16"/>
        </w:rPr>
        <w:t xml:space="preserve"> </w:t>
      </w:r>
      <w:r w:rsidRPr="0090468C">
        <w:t>eura, Ostale pomoći (IF 52)</w:t>
      </w:r>
      <w:r w:rsidR="00D83368" w:rsidRPr="0090468C">
        <w:t xml:space="preserve"> </w:t>
      </w:r>
      <w:r w:rsidR="0090468C" w:rsidRPr="0090468C">
        <w:t>504,56</w:t>
      </w:r>
      <w:r w:rsidR="00D83368" w:rsidRPr="0090468C">
        <w:t xml:space="preserve"> </w:t>
      </w:r>
      <w:r w:rsidRPr="0090468C">
        <w:t xml:space="preserve">eura, </w:t>
      </w:r>
      <w:r w:rsidR="0090468C" w:rsidRPr="0090468C">
        <w:t xml:space="preserve">Mehanizam za oporavak i otpornost (IF 581) 335.742,06 eura, </w:t>
      </w:r>
      <w:r w:rsidRPr="0090468C">
        <w:t>a kroz Donacije (IF 61)</w:t>
      </w:r>
      <w:r w:rsidR="00D83368" w:rsidRPr="0090468C">
        <w:t xml:space="preserve"> </w:t>
      </w:r>
      <w:r w:rsidR="0090468C" w:rsidRPr="0090468C">
        <w:t>11.652,09</w:t>
      </w:r>
      <w:r w:rsidR="00D83368" w:rsidRPr="0090468C">
        <w:t xml:space="preserve"> </w:t>
      </w:r>
      <w:r w:rsidRPr="0090468C">
        <w:t>eura.</w:t>
      </w:r>
    </w:p>
    <w:p w14:paraId="2BB6A45A" w14:textId="77777777" w:rsidR="00E72D0F" w:rsidRPr="00231DF9" w:rsidRDefault="00E72D0F" w:rsidP="00E72D0F">
      <w:pPr>
        <w:jc w:val="both"/>
        <w:rPr>
          <w:sz w:val="16"/>
          <w:szCs w:val="16"/>
        </w:rPr>
      </w:pPr>
    </w:p>
    <w:p w14:paraId="3535FDE7" w14:textId="60983F71" w:rsidR="00EC19C1" w:rsidRPr="00E72D0F" w:rsidRDefault="00EC19C1" w:rsidP="005356B5">
      <w:pPr>
        <w:jc w:val="both"/>
        <w:rPr>
          <w:sz w:val="16"/>
          <w:szCs w:val="16"/>
        </w:rPr>
      </w:pPr>
      <w:r w:rsidRPr="00E72D0F">
        <w:t>Rashodi su ostvareni u sličnim omjerima kao i prihodi</w:t>
      </w:r>
      <w:r w:rsidR="003B2A05" w:rsidRPr="00E72D0F">
        <w:t xml:space="preserve"> te prate rast u odnosu na prethodno razdoblje</w:t>
      </w:r>
      <w:r w:rsidRPr="00E72D0F">
        <w:t>:</w:t>
      </w:r>
    </w:p>
    <w:p w14:paraId="735A5CEF" w14:textId="530FA14E" w:rsidR="00EC19C1" w:rsidRPr="00E72D0F" w:rsidRDefault="00EC19C1" w:rsidP="005356B5">
      <w:pPr>
        <w:pStyle w:val="Odlomakpopisa"/>
        <w:numPr>
          <w:ilvl w:val="0"/>
          <w:numId w:val="2"/>
        </w:numPr>
        <w:jc w:val="both"/>
        <w:rPr>
          <w:sz w:val="16"/>
          <w:szCs w:val="16"/>
        </w:rPr>
      </w:pPr>
      <w:r w:rsidRPr="00E72D0F">
        <w:t>Opći prihodi i primici (IF 11) –</w:t>
      </w:r>
      <w:r w:rsidR="003B2A05" w:rsidRPr="00E72D0F">
        <w:t xml:space="preserve"> </w:t>
      </w:r>
      <w:r w:rsidR="00E72D0F" w:rsidRPr="00E72D0F">
        <w:t>2.273.392,71</w:t>
      </w:r>
      <w:r w:rsidR="003B2A05" w:rsidRPr="00E72D0F">
        <w:t xml:space="preserve"> </w:t>
      </w:r>
      <w:r w:rsidRPr="00E72D0F">
        <w:t>eura</w:t>
      </w:r>
    </w:p>
    <w:p w14:paraId="6CAC2ABE" w14:textId="3270328F" w:rsidR="00EC19C1" w:rsidRPr="00E72D0F" w:rsidRDefault="00EC19C1" w:rsidP="005356B5">
      <w:pPr>
        <w:numPr>
          <w:ilvl w:val="0"/>
          <w:numId w:val="2"/>
        </w:numPr>
        <w:jc w:val="both"/>
      </w:pPr>
      <w:r w:rsidRPr="00E72D0F">
        <w:t xml:space="preserve">Prihodi za posebne namjene (IF 43) – </w:t>
      </w:r>
      <w:r w:rsidR="00E72D0F" w:rsidRPr="00E72D0F">
        <w:t>1.369,99</w:t>
      </w:r>
      <w:r w:rsidRPr="00E72D0F">
        <w:t xml:space="preserve"> eura </w:t>
      </w:r>
    </w:p>
    <w:p w14:paraId="23F0A6D9" w14:textId="35D2B431" w:rsidR="00EC19C1" w:rsidRPr="00E72D0F" w:rsidRDefault="00EC19C1" w:rsidP="005356B5">
      <w:pPr>
        <w:numPr>
          <w:ilvl w:val="0"/>
          <w:numId w:val="2"/>
        </w:numPr>
        <w:jc w:val="both"/>
      </w:pPr>
      <w:r w:rsidRPr="00E72D0F">
        <w:t xml:space="preserve">Ostale pomoći (IF 52) – </w:t>
      </w:r>
      <w:r w:rsidR="00E72D0F" w:rsidRPr="00E72D0F">
        <w:t>24816,41</w:t>
      </w:r>
      <w:r w:rsidRPr="00E72D0F">
        <w:t xml:space="preserve"> eura </w:t>
      </w:r>
    </w:p>
    <w:p w14:paraId="0AF28A56" w14:textId="0E5D5DB4" w:rsidR="00E72D0F" w:rsidRPr="00E72D0F" w:rsidRDefault="00E72D0F" w:rsidP="005356B5">
      <w:pPr>
        <w:numPr>
          <w:ilvl w:val="0"/>
          <w:numId w:val="2"/>
        </w:numPr>
        <w:jc w:val="both"/>
      </w:pPr>
      <w:r w:rsidRPr="00E72D0F">
        <w:t>Mehanizam za oporavak i otpornost (IF 581) – 386.321,14 eura</w:t>
      </w:r>
    </w:p>
    <w:p w14:paraId="623D94FE" w14:textId="33EDC066" w:rsidR="00EC19C1" w:rsidRDefault="00EC19C1" w:rsidP="005356B5">
      <w:pPr>
        <w:numPr>
          <w:ilvl w:val="0"/>
          <w:numId w:val="2"/>
        </w:numPr>
        <w:jc w:val="both"/>
      </w:pPr>
      <w:r w:rsidRPr="00E72D0F">
        <w:t xml:space="preserve">Donacije (IF 61) – </w:t>
      </w:r>
      <w:r w:rsidR="00E72D0F" w:rsidRPr="00E72D0F">
        <w:t>20.812,77</w:t>
      </w:r>
      <w:r w:rsidRPr="00E72D0F">
        <w:t xml:space="preserve"> eura </w:t>
      </w:r>
    </w:p>
    <w:p w14:paraId="687EF97C" w14:textId="77777777" w:rsidR="0041663D" w:rsidRDefault="0041663D" w:rsidP="0041663D">
      <w:pPr>
        <w:jc w:val="both"/>
      </w:pPr>
    </w:p>
    <w:p w14:paraId="12153779" w14:textId="77777777" w:rsidR="0041663D" w:rsidRDefault="0041663D" w:rsidP="0041663D">
      <w:pPr>
        <w:jc w:val="both"/>
        <w:rPr>
          <w:u w:val="single"/>
        </w:rPr>
      </w:pPr>
      <w:r>
        <w:rPr>
          <w:u w:val="single"/>
        </w:rPr>
        <w:t>Rashodi prema funkcijskoj klasifikaciji</w:t>
      </w:r>
    </w:p>
    <w:p w14:paraId="52FDD407" w14:textId="2508698F" w:rsidR="0041663D" w:rsidRDefault="0041663D" w:rsidP="0041663D">
      <w:pPr>
        <w:jc w:val="both"/>
      </w:pPr>
      <w:r w:rsidRPr="00154831">
        <w:t xml:space="preserve">Svi rashodi su izvršeni u okviru </w:t>
      </w:r>
      <w:r>
        <w:t xml:space="preserve">razreda </w:t>
      </w:r>
      <w:r w:rsidRPr="00154831">
        <w:t>funkcije socijalna zaštita</w:t>
      </w:r>
      <w:r>
        <w:t xml:space="preserve"> (10), osim dijela koji se odnosi na plaće zaposlenika financirane iz Mehanizma za oporavak i otpornost. Raspoređeni su prema sljedećim skupinama:</w:t>
      </w:r>
    </w:p>
    <w:p w14:paraId="6EBBFDC9" w14:textId="1AA320E2" w:rsidR="0041663D" w:rsidRDefault="0041663D" w:rsidP="0041663D">
      <w:pPr>
        <w:numPr>
          <w:ilvl w:val="0"/>
          <w:numId w:val="2"/>
        </w:numPr>
        <w:jc w:val="both"/>
      </w:pPr>
      <w:r>
        <w:t>104 Obitelj i djeca u iznosu 2.320.391,88 eura</w:t>
      </w:r>
    </w:p>
    <w:p w14:paraId="5DC50F93" w14:textId="6570D8B1" w:rsidR="0041663D" w:rsidRDefault="0041663D" w:rsidP="0041663D">
      <w:pPr>
        <w:numPr>
          <w:ilvl w:val="0"/>
          <w:numId w:val="2"/>
        </w:numPr>
        <w:jc w:val="both"/>
      </w:pPr>
      <w:r>
        <w:t xml:space="preserve">109 </w:t>
      </w:r>
      <w:r w:rsidRPr="00154831">
        <w:t>Aktivnosti socijalne zaštite koje nisu drugdje svrstane</w:t>
      </w:r>
      <w:r>
        <w:t xml:space="preserve"> u iznosu 386.321,14 eura</w:t>
      </w:r>
    </w:p>
    <w:p w14:paraId="320F5AA5" w14:textId="77777777" w:rsidR="0041663D" w:rsidRDefault="0041663D" w:rsidP="0041663D">
      <w:pPr>
        <w:jc w:val="both"/>
      </w:pPr>
    </w:p>
    <w:p w14:paraId="51223012" w14:textId="77777777" w:rsidR="00507451" w:rsidRPr="00E72D0F" w:rsidRDefault="00507451" w:rsidP="0041663D">
      <w:pPr>
        <w:jc w:val="both"/>
      </w:pPr>
    </w:p>
    <w:p w14:paraId="12256679" w14:textId="7403393A" w:rsidR="00EC19C1" w:rsidRPr="00C96DA3" w:rsidRDefault="00C96DA3" w:rsidP="00C96DA3">
      <w:pPr>
        <w:pStyle w:val="Odlomakpopisa"/>
        <w:numPr>
          <w:ilvl w:val="1"/>
          <w:numId w:val="1"/>
        </w:numPr>
        <w:jc w:val="both"/>
      </w:pPr>
      <w:r w:rsidRPr="00C96DA3">
        <w:lastRenderedPageBreak/>
        <w:t>Obrazloženje računa financiranja prema ekonomskoj klasifikaciji i izvorima financiranja</w:t>
      </w:r>
    </w:p>
    <w:p w14:paraId="008E9E61" w14:textId="77777777" w:rsidR="00507451" w:rsidRDefault="00507451" w:rsidP="00507451">
      <w:pPr>
        <w:jc w:val="both"/>
      </w:pPr>
    </w:p>
    <w:p w14:paraId="6F7C6C08" w14:textId="279B0153" w:rsidR="00C96DA3" w:rsidRPr="00C96DA3" w:rsidRDefault="00C96DA3" w:rsidP="00507451">
      <w:pPr>
        <w:jc w:val="both"/>
      </w:pPr>
      <w:r w:rsidRPr="00C96DA3">
        <w:t xml:space="preserve">U promatranom razdoblju nije bilo primitaka od financijske imovine i zaduživanja kao ni izdataka za financijsku imovinu i otplate zajmova. </w:t>
      </w:r>
    </w:p>
    <w:p w14:paraId="002B2910" w14:textId="77777777" w:rsidR="00C96DA3" w:rsidRPr="00C96DA3" w:rsidRDefault="00C96DA3" w:rsidP="00C96DA3">
      <w:pPr>
        <w:ind w:left="360"/>
        <w:jc w:val="both"/>
        <w:rPr>
          <w:color w:val="EE0000"/>
        </w:rPr>
      </w:pPr>
    </w:p>
    <w:p w14:paraId="3FD8FAF6" w14:textId="77777777" w:rsidR="00EC19C1" w:rsidRPr="00C96DA3" w:rsidRDefault="00EC19C1" w:rsidP="005356B5">
      <w:pPr>
        <w:numPr>
          <w:ilvl w:val="1"/>
          <w:numId w:val="1"/>
        </w:numPr>
        <w:jc w:val="both"/>
      </w:pPr>
      <w:r w:rsidRPr="00C96DA3">
        <w:t>Obrazloženje ostvarenog prijenosa sredstava iz prethodne godine i prijenosa sredstava u sljedeće razdoblje.</w:t>
      </w:r>
    </w:p>
    <w:p w14:paraId="02208264" w14:textId="77777777" w:rsidR="00EC19C1" w:rsidRPr="00C96DA3" w:rsidRDefault="00EC19C1" w:rsidP="005356B5">
      <w:pPr>
        <w:ind w:left="360"/>
        <w:jc w:val="both"/>
      </w:pPr>
    </w:p>
    <w:p w14:paraId="3465AB94" w14:textId="28A5F2BD" w:rsidR="003B2A05" w:rsidRPr="00C96DA3" w:rsidRDefault="003B2A05" w:rsidP="007A10DE">
      <w:pPr>
        <w:jc w:val="both"/>
      </w:pPr>
      <w:r w:rsidRPr="00C96DA3">
        <w:t>Izvorni</w:t>
      </w:r>
      <w:r w:rsidR="00EC19C1" w:rsidRPr="00C96DA3">
        <w:t xml:space="preserve"> plan za 202</w:t>
      </w:r>
      <w:r w:rsidR="00C96DA3" w:rsidRPr="00C96DA3">
        <w:t>5</w:t>
      </w:r>
      <w:r w:rsidR="00EC19C1" w:rsidRPr="00C96DA3">
        <w:t>. godinu na stavci prijenosa sredstava iz prethodne godine je</w:t>
      </w:r>
      <w:r w:rsidRPr="00C96DA3">
        <w:t xml:space="preserve"> planiran u iznosu </w:t>
      </w:r>
      <w:r w:rsidR="00C96DA3" w:rsidRPr="00C96DA3">
        <w:t>155.721,00</w:t>
      </w:r>
      <w:r w:rsidRPr="00C96DA3">
        <w:t xml:space="preserve"> eura, a izvršenje je veće za </w:t>
      </w:r>
      <w:r w:rsidR="00C96DA3" w:rsidRPr="00C96DA3">
        <w:t>2</w:t>
      </w:r>
      <w:r w:rsidRPr="00C96DA3">
        <w:t>,</w:t>
      </w:r>
      <w:r w:rsidR="00C96DA3" w:rsidRPr="00C96DA3">
        <w:t>32</w:t>
      </w:r>
      <w:r w:rsidRPr="00C96DA3">
        <w:t xml:space="preserve">%, odnosno iznosi </w:t>
      </w:r>
      <w:r w:rsidR="00C96DA3" w:rsidRPr="00C96DA3">
        <w:t>155.328,78</w:t>
      </w:r>
      <w:r w:rsidRPr="00C96DA3">
        <w:t xml:space="preserve"> eura. Navedeno je manjim dijelom</w:t>
      </w:r>
      <w:r w:rsidR="00EC19C1" w:rsidRPr="00C96DA3">
        <w:t xml:space="preserve"> utrošen</w:t>
      </w:r>
      <w:r w:rsidRPr="00C96DA3">
        <w:t>o</w:t>
      </w:r>
      <w:r w:rsidR="00EC19C1" w:rsidRPr="00C96DA3">
        <w:t xml:space="preserve"> na donacije, a ostatak</w:t>
      </w:r>
      <w:r w:rsidRPr="00C96DA3">
        <w:t>, uvećan za višak prihoda poslovanja ostvaren</w:t>
      </w:r>
      <w:r w:rsidR="00C96DA3" w:rsidRPr="00C96DA3">
        <w:t xml:space="preserve"> kroz prethodne godine i u prvoj polovici</w:t>
      </w:r>
      <w:r w:rsidRPr="00C96DA3">
        <w:t xml:space="preserve"> </w:t>
      </w:r>
      <w:r w:rsidR="00C96DA3" w:rsidRPr="00C96DA3">
        <w:t>2025</w:t>
      </w:r>
      <w:r w:rsidRPr="00C96DA3">
        <w:t>. godin</w:t>
      </w:r>
      <w:r w:rsidR="00C96DA3" w:rsidRPr="00C96DA3">
        <w:t>e</w:t>
      </w:r>
      <w:r w:rsidRPr="00C96DA3">
        <w:t>,</w:t>
      </w:r>
      <w:r w:rsidR="00EC19C1" w:rsidRPr="00C96DA3">
        <w:t xml:space="preserve"> će biti utrošen u narednom razdoblju</w:t>
      </w:r>
      <w:r w:rsidRPr="00C96DA3">
        <w:t xml:space="preserve">, a koristit će se sukladno Pravilniku o mjerilima i načinu korištenja nenamjenskih donacija i vlastitih prihoda. </w:t>
      </w:r>
      <w:r w:rsidR="00F240A1">
        <w:t xml:space="preserve">U promatranom je razdoblju ostvaren manjak u iznosu 232.304,98 eura zbog zakonskih promjena u načinu evidentiranja rashoda sukladno Pravilniku o proračunskom računovodstvu, a koje se odnose na promjene u evidentiranju plaća zaposlenika. </w:t>
      </w:r>
    </w:p>
    <w:p w14:paraId="3B2FC471" w14:textId="77777777" w:rsidR="00EC19C1" w:rsidRPr="00FC36EC" w:rsidRDefault="00EC19C1" w:rsidP="007A10DE">
      <w:pPr>
        <w:jc w:val="both"/>
        <w:rPr>
          <w:color w:val="EE0000"/>
        </w:rPr>
      </w:pPr>
    </w:p>
    <w:p w14:paraId="328FE630" w14:textId="77777777" w:rsidR="00EC19C1" w:rsidRPr="00924450" w:rsidRDefault="00EC19C1" w:rsidP="005356B5">
      <w:pPr>
        <w:numPr>
          <w:ilvl w:val="0"/>
          <w:numId w:val="1"/>
        </w:numPr>
        <w:jc w:val="both"/>
      </w:pPr>
      <w:r w:rsidRPr="00924450">
        <w:t>OBRAZLOŽENJE POSEBNOG DIJELA</w:t>
      </w:r>
    </w:p>
    <w:p w14:paraId="557E8FAF" w14:textId="77777777" w:rsidR="00EC19C1" w:rsidRPr="00924450" w:rsidRDefault="00EC19C1" w:rsidP="005356B5">
      <w:pPr>
        <w:jc w:val="both"/>
      </w:pPr>
    </w:p>
    <w:p w14:paraId="7E12103A" w14:textId="12F0BC04" w:rsidR="00706B30" w:rsidRPr="00924450" w:rsidRDefault="00706B30" w:rsidP="00194498">
      <w:pPr>
        <w:jc w:val="both"/>
      </w:pPr>
      <w:r w:rsidRPr="00924450">
        <w:t xml:space="preserve">Aktivnosti </w:t>
      </w:r>
      <w:r w:rsidR="00EC19C1" w:rsidRPr="00924450">
        <w:t>se provode kroz program P4002 Skrb za socijalno osjetljive osobe</w:t>
      </w:r>
      <w:r w:rsidRPr="00924450">
        <w:t xml:space="preserve"> i P4003 Podizanje kvalitete i dostupnosti socijalne skrbi, </w:t>
      </w:r>
      <w:r w:rsidR="00EC19C1" w:rsidRPr="00924450">
        <w:t xml:space="preserve">a u </w:t>
      </w:r>
      <w:r w:rsidR="00924450" w:rsidRPr="00924450">
        <w:t xml:space="preserve">prvoj polovici </w:t>
      </w:r>
      <w:r w:rsidR="00EC19C1" w:rsidRPr="00924450">
        <w:t>202</w:t>
      </w:r>
      <w:r w:rsidR="00924450" w:rsidRPr="00924450">
        <w:t>5</w:t>
      </w:r>
      <w:r w:rsidR="00EC19C1" w:rsidRPr="00924450">
        <w:t>. godin</w:t>
      </w:r>
      <w:r w:rsidRPr="00924450">
        <w:t>i</w:t>
      </w:r>
      <w:r w:rsidR="00EC19C1" w:rsidRPr="00924450">
        <w:t xml:space="preserve"> su ostvarene </w:t>
      </w:r>
      <w:r w:rsidR="00924450" w:rsidRPr="00924450">
        <w:t xml:space="preserve">samo kroz program P4002 </w:t>
      </w:r>
      <w:r w:rsidR="00EC19C1" w:rsidRPr="00924450">
        <w:t>u iznosu</w:t>
      </w:r>
      <w:r w:rsidR="00924450" w:rsidRPr="00924450">
        <w:t xml:space="preserve"> 2.706.713,02, što je izvršenje 68,80% u odnosu na izvorni plan.</w:t>
      </w:r>
    </w:p>
    <w:p w14:paraId="6C643BC1" w14:textId="77777777" w:rsidR="00194498" w:rsidRPr="00C407B5" w:rsidRDefault="00194498" w:rsidP="00194498">
      <w:pPr>
        <w:jc w:val="both"/>
      </w:pPr>
    </w:p>
    <w:p w14:paraId="51DF2146" w14:textId="77777777" w:rsidR="00194498" w:rsidRPr="00C407B5" w:rsidRDefault="00194498" w:rsidP="00194498">
      <w:pPr>
        <w:jc w:val="both"/>
      </w:pPr>
    </w:p>
    <w:p w14:paraId="4390BFB5" w14:textId="4558E724" w:rsidR="00E0389E" w:rsidRPr="00C407B5" w:rsidRDefault="00E0389E" w:rsidP="00194498">
      <w:pPr>
        <w:pStyle w:val="Odlomakpopisa"/>
        <w:ind w:left="0"/>
        <w:jc w:val="both"/>
        <w:rPr>
          <w:b/>
          <w:bCs/>
        </w:rPr>
      </w:pPr>
      <w:r w:rsidRPr="00C407B5">
        <w:rPr>
          <w:b/>
          <w:bCs/>
        </w:rPr>
        <w:t xml:space="preserve">IV. POSEBNI IZVJEŠTAJI U POLUGODIŠNJEM IZVJEŠTAJU O IZVRŠENJU </w:t>
      </w:r>
      <w:r w:rsidR="00D723CE" w:rsidRPr="00C407B5">
        <w:rPr>
          <w:b/>
          <w:bCs/>
        </w:rPr>
        <w:t>FINANCIJSKOG PLANA</w:t>
      </w:r>
    </w:p>
    <w:p w14:paraId="2317679C" w14:textId="77777777" w:rsidR="00E0389E" w:rsidRPr="00C407B5" w:rsidRDefault="00E0389E" w:rsidP="00194498">
      <w:pPr>
        <w:jc w:val="both"/>
      </w:pPr>
    </w:p>
    <w:p w14:paraId="0DEDBFB1" w14:textId="40821BCB" w:rsidR="00C407B5" w:rsidRPr="00C407B5" w:rsidRDefault="00C407B5" w:rsidP="00194498">
      <w:pPr>
        <w:jc w:val="both"/>
      </w:pPr>
      <w:r w:rsidRPr="00C407B5">
        <w:t>Posebni izvještaj iz članka 46. stavka 1. Pravilnika u polugodišnjem izvještaju o izvršenju financijskog plana proračunskog i izvanproračunskog korisnika je izvještaj o zaduživanju na domaćem i stranom tržištu novca i kapitala.</w:t>
      </w:r>
    </w:p>
    <w:p w14:paraId="403AE423" w14:textId="77777777" w:rsidR="00C407B5" w:rsidRPr="00C407B5" w:rsidRDefault="00C407B5" w:rsidP="00194498">
      <w:pPr>
        <w:jc w:val="both"/>
      </w:pPr>
    </w:p>
    <w:p w14:paraId="07F70E4E" w14:textId="0D06D09B" w:rsidR="00194498" w:rsidRPr="00C407B5" w:rsidRDefault="00E0389E" w:rsidP="00194498">
      <w:pPr>
        <w:jc w:val="both"/>
      </w:pPr>
      <w:r w:rsidRPr="00C407B5">
        <w:t xml:space="preserve">U </w:t>
      </w:r>
      <w:r w:rsidR="00C407B5" w:rsidRPr="00C407B5">
        <w:t xml:space="preserve">prvom polugodištu </w:t>
      </w:r>
      <w:r w:rsidRPr="00C407B5">
        <w:t>202</w:t>
      </w:r>
      <w:r w:rsidR="00C407B5" w:rsidRPr="00C407B5">
        <w:t>5</w:t>
      </w:r>
      <w:r w:rsidRPr="00C407B5">
        <w:t>. godine Centar nije ima</w:t>
      </w:r>
      <w:r w:rsidR="00194498" w:rsidRPr="00C407B5">
        <w:t>o</w:t>
      </w:r>
      <w:r w:rsidRPr="00C407B5">
        <w:t xml:space="preserve"> zaduživanja na domaćem i stranom tržištu novca i kapitala. </w:t>
      </w:r>
    </w:p>
    <w:p w14:paraId="4FBA9270" w14:textId="77777777" w:rsidR="00E0389E" w:rsidRPr="002F0422" w:rsidRDefault="00E0389E" w:rsidP="00194498">
      <w:pPr>
        <w:jc w:val="both"/>
      </w:pPr>
    </w:p>
    <w:p w14:paraId="50AC2098" w14:textId="77FB9113" w:rsidR="00C407B5" w:rsidRPr="002F0422" w:rsidRDefault="00C407B5" w:rsidP="00C407B5">
      <w:pPr>
        <w:outlineLvl w:val="0"/>
      </w:pPr>
      <w:r w:rsidRPr="002F0422">
        <w:t xml:space="preserve">KLASA: </w:t>
      </w:r>
      <w:r w:rsidR="002F0422" w:rsidRPr="002F0422">
        <w:rPr>
          <w:bCs/>
          <w:iCs/>
        </w:rPr>
        <w:t>400-02/25-01/2</w:t>
      </w:r>
    </w:p>
    <w:p w14:paraId="766B495F" w14:textId="11D3A12E" w:rsidR="00C407B5" w:rsidRPr="002F0422" w:rsidRDefault="00C407B5" w:rsidP="00C407B5">
      <w:r w:rsidRPr="002F0422">
        <w:t xml:space="preserve">URBROJ: </w:t>
      </w:r>
      <w:r w:rsidR="002F0422" w:rsidRPr="002F0422">
        <w:t>2158-101-02/01-25-1</w:t>
      </w:r>
    </w:p>
    <w:p w14:paraId="0CEABFC5" w14:textId="1FBD6AD5" w:rsidR="00C407B5" w:rsidRPr="002F0422" w:rsidRDefault="00C407B5" w:rsidP="00C407B5">
      <w:r w:rsidRPr="002F0422">
        <w:t xml:space="preserve">Osijek, </w:t>
      </w:r>
      <w:r w:rsidR="002F0422" w:rsidRPr="002F0422">
        <w:t>17</w:t>
      </w:r>
      <w:r w:rsidRPr="002F0422">
        <w:t>.0</w:t>
      </w:r>
      <w:r w:rsidR="002F0422" w:rsidRPr="002F0422">
        <w:t>7</w:t>
      </w:r>
      <w:r w:rsidRPr="002F0422">
        <w:t xml:space="preserve">.2025. </w:t>
      </w:r>
    </w:p>
    <w:p w14:paraId="1088EC9E" w14:textId="77777777" w:rsidR="00EC19C1" w:rsidRDefault="00EC19C1" w:rsidP="00EC19C1">
      <w:pPr>
        <w:rPr>
          <w:color w:val="EE0000"/>
        </w:rPr>
      </w:pPr>
    </w:p>
    <w:p w14:paraId="77CAA9F0" w14:textId="77777777" w:rsidR="002F0422" w:rsidRDefault="002F0422" w:rsidP="00EC19C1">
      <w:pPr>
        <w:rPr>
          <w:color w:val="EE0000"/>
        </w:rPr>
      </w:pPr>
    </w:p>
    <w:p w14:paraId="6FEA18D3" w14:textId="6A282C45" w:rsidR="00EC19C1" w:rsidRPr="00C54E83" w:rsidRDefault="002F0422" w:rsidP="002F0422">
      <w:r w:rsidRPr="00C54E83">
        <w:t>Voditeljica računovodstva:</w:t>
      </w:r>
      <w:r w:rsidRPr="00C54E83">
        <w:tab/>
      </w:r>
      <w:r w:rsidRPr="00C54E83">
        <w:tab/>
      </w:r>
      <w:r w:rsidRPr="00C54E83">
        <w:tab/>
      </w:r>
      <w:r w:rsidRPr="00C54E83">
        <w:tab/>
      </w:r>
      <w:r w:rsidRPr="00C54E83">
        <w:tab/>
      </w:r>
      <w:r w:rsidRPr="00C54E83">
        <w:tab/>
      </w:r>
      <w:r w:rsidR="001C7AEA" w:rsidRPr="00C54E83">
        <w:t xml:space="preserve">V.D. </w:t>
      </w:r>
      <w:r w:rsidR="00EC19C1" w:rsidRPr="00C54E83">
        <w:t>RAVNATELJ</w:t>
      </w:r>
      <w:r w:rsidR="001C7AEA" w:rsidRPr="00C54E83">
        <w:t>A</w:t>
      </w:r>
      <w:r w:rsidR="00EC19C1" w:rsidRPr="00C54E83">
        <w:t>:</w:t>
      </w:r>
    </w:p>
    <w:p w14:paraId="02C75609" w14:textId="77777777" w:rsidR="00EC19C1" w:rsidRPr="00C54E83" w:rsidRDefault="00EC19C1" w:rsidP="00EC19C1">
      <w:pPr>
        <w:ind w:left="3540" w:firstLine="708"/>
      </w:pPr>
    </w:p>
    <w:p w14:paraId="5B03ABCE" w14:textId="4BBA9859" w:rsidR="000D6495" w:rsidRDefault="002F0422">
      <w:r w:rsidRPr="00C54E83">
        <w:t xml:space="preserve">Dragana Škugor, </w:t>
      </w:r>
      <w:proofErr w:type="spellStart"/>
      <w:r w:rsidRPr="00C54E83">
        <w:t>mag.oec</w:t>
      </w:r>
      <w:proofErr w:type="spellEnd"/>
      <w:r w:rsidRPr="00C54E83">
        <w:t xml:space="preserve">. </w:t>
      </w:r>
      <w:r w:rsidR="001C7AEA" w:rsidRPr="00FC36EC">
        <w:rPr>
          <w:color w:val="EE0000"/>
        </w:rPr>
        <w:tab/>
      </w:r>
      <w:r w:rsidR="001C7AEA" w:rsidRPr="00FC36EC">
        <w:rPr>
          <w:color w:val="EE0000"/>
        </w:rPr>
        <w:tab/>
      </w:r>
      <w:r w:rsidR="001C7AEA" w:rsidRPr="00FC36EC">
        <w:rPr>
          <w:color w:val="EE0000"/>
        </w:rPr>
        <w:tab/>
      </w:r>
      <w:r w:rsidR="001C7AEA" w:rsidRPr="00FC36EC">
        <w:rPr>
          <w:color w:val="EE0000"/>
        </w:rPr>
        <w:tab/>
      </w:r>
      <w:r w:rsidR="001C7AEA" w:rsidRPr="00FC36EC">
        <w:rPr>
          <w:color w:val="EE0000"/>
        </w:rPr>
        <w:tab/>
      </w:r>
      <w:r w:rsidR="001C7AEA">
        <w:tab/>
        <w:t xml:space="preserve">dr.sc. </w:t>
      </w:r>
      <w:proofErr w:type="spellStart"/>
      <w:r w:rsidR="001C7AEA">
        <w:t>Lorna</w:t>
      </w:r>
      <w:proofErr w:type="spellEnd"/>
      <w:r w:rsidR="001C7AEA">
        <w:t xml:space="preserve"> </w:t>
      </w:r>
      <w:proofErr w:type="spellStart"/>
      <w:r w:rsidR="001C7AEA">
        <w:t>Rajle</w:t>
      </w:r>
      <w:proofErr w:type="spellEnd"/>
    </w:p>
    <w:sectPr w:rsidR="000D6495" w:rsidSect="005356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0703" w14:textId="77777777" w:rsidR="00BC7C07" w:rsidRDefault="00BC7C07">
      <w:r>
        <w:separator/>
      </w:r>
    </w:p>
  </w:endnote>
  <w:endnote w:type="continuationSeparator" w:id="0">
    <w:p w14:paraId="1EE71E5E" w14:textId="77777777" w:rsidR="00BC7C07" w:rsidRDefault="00B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4773" w14:textId="77777777" w:rsidR="00354BBA" w:rsidRDefault="00354BB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Pr="00F5366D">
      <w:rPr>
        <w:noProof/>
        <w:lang w:val="hr-HR"/>
      </w:rPr>
      <w:t>2</w:t>
    </w:r>
    <w:r>
      <w:fldChar w:fldCharType="end"/>
    </w:r>
  </w:p>
  <w:p w14:paraId="26FCC5A5" w14:textId="77777777" w:rsidR="00354BBA" w:rsidRDefault="00354B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BE6D" w14:textId="77777777" w:rsidR="00BC7C07" w:rsidRDefault="00BC7C07">
      <w:r>
        <w:separator/>
      </w:r>
    </w:p>
  </w:footnote>
  <w:footnote w:type="continuationSeparator" w:id="0">
    <w:p w14:paraId="7B902E61" w14:textId="77777777" w:rsidR="00BC7C07" w:rsidRDefault="00BC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A6" w14:textId="460CDC92" w:rsidR="00354BBA" w:rsidRPr="006E1C08" w:rsidRDefault="00EC19C1" w:rsidP="00EF3A5F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b/>
        <w:noProof/>
        <w:color w:val="00B050"/>
        <w:sz w:val="28"/>
        <w:szCs w:val="28"/>
      </w:rPr>
      <w:drawing>
        <wp:anchor distT="0" distB="0" distL="114300" distR="114300" simplePos="0" relativeHeight="251659264" behindDoc="0" locked="0" layoutInCell="1" allowOverlap="1" wp14:anchorId="06D5E108" wp14:editId="5AC155FE">
          <wp:simplePos x="0" y="0"/>
          <wp:positionH relativeFrom="column">
            <wp:posOffset>-223520</wp:posOffset>
          </wp:positionH>
          <wp:positionV relativeFrom="paragraph">
            <wp:posOffset>-6985</wp:posOffset>
          </wp:positionV>
          <wp:extent cx="1000125" cy="914400"/>
          <wp:effectExtent l="0" t="0" r="9525" b="0"/>
          <wp:wrapNone/>
          <wp:docPr id="13021087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BBA" w:rsidRPr="006E1C08">
      <w:rPr>
        <w:b/>
        <w:color w:val="00B050"/>
        <w:sz w:val="28"/>
        <w:szCs w:val="28"/>
      </w:rPr>
      <w:t>Centar za pružanje usluga u zajednici Klasje Osijek</w:t>
    </w:r>
  </w:p>
  <w:p w14:paraId="246D8BBB" w14:textId="10A78D61" w:rsidR="00354BBA" w:rsidRPr="006E1C08" w:rsidRDefault="00354BBA" w:rsidP="00EF3A5F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031/373-688</w:t>
    </w:r>
  </w:p>
  <w:p w14:paraId="19964E37" w14:textId="77777777" w:rsidR="00354BBA" w:rsidRPr="006E1C08" w:rsidRDefault="00354BBA" w:rsidP="00EF3A5F">
    <w:pPr>
      <w:tabs>
        <w:tab w:val="center" w:pos="4536"/>
        <w:tab w:val="right" w:pos="9072"/>
      </w:tabs>
    </w:pPr>
  </w:p>
  <w:p w14:paraId="3643602F" w14:textId="77777777" w:rsidR="00354BBA" w:rsidRPr="006E1C08" w:rsidRDefault="00354BBA" w:rsidP="00EF3A5F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51CDBA7F" w14:textId="77777777" w:rsidR="00354BBA" w:rsidRPr="006E1C08" w:rsidRDefault="00354BBA" w:rsidP="00EF3A5F">
    <w:pPr>
      <w:tabs>
        <w:tab w:val="center" w:pos="4536"/>
        <w:tab w:val="right" w:pos="9072"/>
      </w:tabs>
    </w:pPr>
    <w:r w:rsidRPr="006E1C08">
      <w:t xml:space="preserve">                            </w:t>
    </w:r>
  </w:p>
  <w:p w14:paraId="5C7888A8" w14:textId="77777777" w:rsidR="00354BBA" w:rsidRPr="006E1C08" w:rsidRDefault="00354BBA" w:rsidP="00EF3A5F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14:paraId="171F6BCD" w14:textId="77777777" w:rsidR="00354BBA" w:rsidRDefault="00354BB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40EF"/>
    <w:multiLevelType w:val="hybridMultilevel"/>
    <w:tmpl w:val="C17C3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1027"/>
    <w:multiLevelType w:val="multilevel"/>
    <w:tmpl w:val="49944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221F89"/>
    <w:multiLevelType w:val="hybridMultilevel"/>
    <w:tmpl w:val="57B65E5C"/>
    <w:lvl w:ilvl="0" w:tplc="42B4424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927B6"/>
    <w:multiLevelType w:val="hybridMultilevel"/>
    <w:tmpl w:val="A5A41C70"/>
    <w:lvl w:ilvl="0" w:tplc="5CAA6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75062565">
    <w:abstractNumId w:val="1"/>
  </w:num>
  <w:num w:numId="2" w16cid:durableId="265617939">
    <w:abstractNumId w:val="3"/>
  </w:num>
  <w:num w:numId="3" w16cid:durableId="109250983">
    <w:abstractNumId w:val="2"/>
  </w:num>
  <w:num w:numId="4" w16cid:durableId="122788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C1"/>
    <w:rsid w:val="00034628"/>
    <w:rsid w:val="000628F3"/>
    <w:rsid w:val="00095338"/>
    <w:rsid w:val="000D6495"/>
    <w:rsid w:val="000E0076"/>
    <w:rsid w:val="0019164F"/>
    <w:rsid w:val="00194498"/>
    <w:rsid w:val="001A67F0"/>
    <w:rsid w:val="001C7AEA"/>
    <w:rsid w:val="00231DF9"/>
    <w:rsid w:val="002F0422"/>
    <w:rsid w:val="00354BBA"/>
    <w:rsid w:val="003B2A05"/>
    <w:rsid w:val="003D6217"/>
    <w:rsid w:val="00410A29"/>
    <w:rsid w:val="0041663D"/>
    <w:rsid w:val="004648B8"/>
    <w:rsid w:val="00507451"/>
    <w:rsid w:val="00532D54"/>
    <w:rsid w:val="005333E9"/>
    <w:rsid w:val="005356B5"/>
    <w:rsid w:val="00551CEA"/>
    <w:rsid w:val="00553858"/>
    <w:rsid w:val="00564AC5"/>
    <w:rsid w:val="00624661"/>
    <w:rsid w:val="006A028F"/>
    <w:rsid w:val="006F1770"/>
    <w:rsid w:val="00706B30"/>
    <w:rsid w:val="00707658"/>
    <w:rsid w:val="0079122D"/>
    <w:rsid w:val="007A10DE"/>
    <w:rsid w:val="007A7B49"/>
    <w:rsid w:val="007E79CB"/>
    <w:rsid w:val="007F32F9"/>
    <w:rsid w:val="008B3501"/>
    <w:rsid w:val="0090468C"/>
    <w:rsid w:val="00924450"/>
    <w:rsid w:val="00967892"/>
    <w:rsid w:val="00AA264A"/>
    <w:rsid w:val="00B2098F"/>
    <w:rsid w:val="00B423A0"/>
    <w:rsid w:val="00B46772"/>
    <w:rsid w:val="00BC7C07"/>
    <w:rsid w:val="00C17FED"/>
    <w:rsid w:val="00C407B5"/>
    <w:rsid w:val="00C54E83"/>
    <w:rsid w:val="00C96DA3"/>
    <w:rsid w:val="00D3594B"/>
    <w:rsid w:val="00D723CE"/>
    <w:rsid w:val="00D83368"/>
    <w:rsid w:val="00DC177E"/>
    <w:rsid w:val="00DF59D3"/>
    <w:rsid w:val="00DF6C2A"/>
    <w:rsid w:val="00E0389E"/>
    <w:rsid w:val="00E72D0F"/>
    <w:rsid w:val="00EA5138"/>
    <w:rsid w:val="00EA5641"/>
    <w:rsid w:val="00EC19C1"/>
    <w:rsid w:val="00F240A1"/>
    <w:rsid w:val="00FA4F97"/>
    <w:rsid w:val="00FB648A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1CEBA"/>
  <w15:chartTrackingRefBased/>
  <w15:docId w15:val="{5135A1BF-5344-4A4B-83AE-67C0ED83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4F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C19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EC19C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C19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EC19C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AA264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A264A"/>
    <w:rPr>
      <w:color w:val="954F72"/>
      <w:u w:val="single"/>
    </w:rPr>
  </w:style>
  <w:style w:type="paragraph" w:customStyle="1" w:styleId="msonormal0">
    <w:name w:val="msonormal"/>
    <w:basedOn w:val="Normal"/>
    <w:rsid w:val="00AA264A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AA264A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Normal"/>
    <w:rsid w:val="00AA264A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2CC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3">
    <w:name w:val="xl73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2CC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74">
    <w:name w:val="xl74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2CC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75">
    <w:name w:val="xl75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2CC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76">
    <w:name w:val="xl76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BFBFBF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77">
    <w:name w:val="xl77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BFBFBF"/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78">
    <w:name w:val="xl78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79">
    <w:name w:val="xl79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83">
    <w:name w:val="xl83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84">
    <w:name w:val="xl84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95">
    <w:name w:val="xl95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99">
    <w:name w:val="xl99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0">
    <w:name w:val="xl100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01">
    <w:name w:val="xl101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BFBFBF"/>
      <w:spacing w:before="100" w:beforeAutospacing="1" w:after="100" w:afterAutospacing="1"/>
      <w:jc w:val="right"/>
      <w:textAlignment w:val="center"/>
    </w:pPr>
    <w:rPr>
      <w:b/>
      <w:bCs/>
      <w:color w:val="FF0000"/>
      <w:sz w:val="16"/>
      <w:szCs w:val="16"/>
    </w:rPr>
  </w:style>
  <w:style w:type="paragraph" w:customStyle="1" w:styleId="xl105">
    <w:name w:val="xl105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2CC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2CC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BFBFBF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109">
    <w:name w:val="xl109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BFBFBF"/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110">
    <w:name w:val="xl110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22">
    <w:name w:val="xl122"/>
    <w:basedOn w:val="Normal"/>
    <w:rsid w:val="00AA264A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30">
    <w:name w:val="xl130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31">
    <w:name w:val="xl131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DEBF7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40">
    <w:name w:val="xl140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D9D9D9"/>
      <w:spacing w:before="100" w:beforeAutospacing="1" w:after="100" w:afterAutospacing="1"/>
      <w:jc w:val="right"/>
      <w:textAlignment w:val="center"/>
    </w:pPr>
    <w:rPr>
      <w:b/>
      <w:bCs/>
      <w:i/>
      <w:iCs/>
      <w:color w:val="FF0000"/>
      <w:sz w:val="16"/>
      <w:szCs w:val="16"/>
    </w:rPr>
  </w:style>
  <w:style w:type="paragraph" w:customStyle="1" w:styleId="xl141">
    <w:name w:val="xl141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42">
    <w:name w:val="xl142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FFFFFF" w:fill="D9D9D9"/>
      <w:spacing w:before="100" w:beforeAutospacing="1" w:after="100" w:afterAutospacing="1"/>
      <w:jc w:val="right"/>
      <w:textAlignment w:val="center"/>
    </w:pPr>
    <w:rPr>
      <w:b/>
      <w:bCs/>
      <w:color w:val="FF0000"/>
      <w:sz w:val="16"/>
      <w:szCs w:val="16"/>
    </w:rPr>
  </w:style>
  <w:style w:type="paragraph" w:customStyle="1" w:styleId="xl143">
    <w:name w:val="xl143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FF0000"/>
      <w:sz w:val="16"/>
      <w:szCs w:val="16"/>
    </w:rPr>
  </w:style>
  <w:style w:type="paragraph" w:customStyle="1" w:styleId="xl144">
    <w:name w:val="xl144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45">
    <w:name w:val="xl145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i/>
      <w:iCs/>
      <w:color w:val="FF0000"/>
      <w:sz w:val="16"/>
      <w:szCs w:val="16"/>
    </w:rPr>
  </w:style>
  <w:style w:type="paragraph" w:customStyle="1" w:styleId="xl146">
    <w:name w:val="xl146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47">
    <w:name w:val="xl147"/>
    <w:basedOn w:val="Normal"/>
    <w:rsid w:val="00AA264A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48">
    <w:name w:val="xl148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49">
    <w:name w:val="xl149"/>
    <w:basedOn w:val="Normal"/>
    <w:rsid w:val="00AA264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al"/>
    <w:rsid w:val="00AA26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al"/>
    <w:rsid w:val="00AA26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Normal"/>
    <w:rsid w:val="00AA264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styleId="Odlomakpopisa">
    <w:name w:val="List Paragraph"/>
    <w:basedOn w:val="Normal"/>
    <w:uiPriority w:val="34"/>
    <w:qFormat/>
    <w:rsid w:val="00706B3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FA4F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CC94-4A03-4E84-8EEC-BAC5389E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Škugor</dc:creator>
  <cp:keywords/>
  <dc:description/>
  <cp:lastModifiedBy>Dragana Škugor</cp:lastModifiedBy>
  <cp:revision>12</cp:revision>
  <dcterms:created xsi:type="dcterms:W3CDTF">2025-07-15T12:33:00Z</dcterms:created>
  <dcterms:modified xsi:type="dcterms:W3CDTF">2025-07-17T11:57:00Z</dcterms:modified>
</cp:coreProperties>
</file>