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eGrid"/>
        <w:tblpPr w:leftFromText="180" w:rightFromText="180" w:vertAnchor="text" w:horzAnchor="margin" w:tblpX="114" w:tblpY="428"/>
        <w:tblW w:w="1017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FFFFF" w:themeFill="background1"/>
        <w:tblLook w:val="04A0"/>
      </w:tblPr>
      <w:tblGrid>
        <w:gridCol w:w="10173"/>
      </w:tblGrid>
      <w:tr w:rsidR="002D59A8" w:rsidTr="003C4847">
        <w:trPr>
          <w:cnfStyle w:val="100000000000"/>
          <w:cantSplit/>
          <w:trHeight w:val="575"/>
          <w:tblHeader/>
        </w:trPr>
        <w:tc>
          <w:tcPr>
            <w:tcW w:w="10173" w:type="dxa"/>
            <w:vAlign w:val="center"/>
          </w:tcPr>
          <w:p w:rsidR="002D59A8" w:rsidRDefault="002D59A8" w:rsidP="002D59A8">
            <w:pPr>
              <w:jc w:val="center"/>
              <w:rPr>
                <w:b/>
                <w:color w:val="000000" w:themeColor="text1"/>
                <w:sz w:val="32"/>
                <w:lang w:val="en-US"/>
              </w:rPr>
            </w:pPr>
            <w:bookmarkStart w:id="0" w:name="_NWLG’s_ToRs"/>
            <w:bookmarkEnd w:id="0"/>
            <w:r w:rsidRPr="002D59A8">
              <w:rPr>
                <w:b/>
                <w:color w:val="000000" w:themeColor="text1"/>
                <w:sz w:val="32"/>
                <w:lang w:val="en-US"/>
              </w:rPr>
              <w:t>T</w:t>
            </w:r>
            <w:r w:rsidR="00662B98">
              <w:rPr>
                <w:b/>
                <w:color w:val="000000" w:themeColor="text1"/>
                <w:sz w:val="32"/>
                <w:lang w:val="en-US"/>
              </w:rPr>
              <w:t>ool</w:t>
            </w:r>
            <w:r w:rsidR="003E2B65">
              <w:rPr>
                <w:b/>
                <w:color w:val="000000" w:themeColor="text1"/>
                <w:sz w:val="32"/>
                <w:lang w:val="en-US"/>
              </w:rPr>
              <w:t xml:space="preserve"> 12</w:t>
            </w:r>
            <w:r w:rsidRPr="002D59A8">
              <w:rPr>
                <w:b/>
                <w:color w:val="000000" w:themeColor="text1"/>
                <w:sz w:val="32"/>
                <w:lang w:val="en-US"/>
              </w:rPr>
              <w:t xml:space="preserve">: </w:t>
            </w:r>
            <w:r w:rsidR="00662B98">
              <w:rPr>
                <w:b/>
                <w:color w:val="000000" w:themeColor="text1"/>
                <w:sz w:val="32"/>
                <w:lang w:val="en-US"/>
              </w:rPr>
              <w:t>Consultancy ToR for establishing NLWGs</w:t>
            </w:r>
          </w:p>
          <w:p w:rsidR="00662B98" w:rsidRPr="002D59A8" w:rsidRDefault="00662B98" w:rsidP="002D59A8">
            <w:pPr>
              <w:jc w:val="center"/>
              <w:rPr>
                <w:b/>
                <w:color w:val="000000" w:themeColor="text1"/>
                <w:sz w:val="24"/>
                <w:lang w:val="en-US"/>
              </w:rPr>
            </w:pPr>
          </w:p>
        </w:tc>
      </w:tr>
      <w:tr w:rsidR="002D59A8" w:rsidRPr="00F4591D" w:rsidTr="00845986">
        <w:tc>
          <w:tcPr>
            <w:tcW w:w="10173" w:type="dxa"/>
            <w:shd w:val="clear" w:color="auto" w:fill="FFFFFF" w:themeFill="background1"/>
          </w:tcPr>
          <w:p w:rsidR="00662B98" w:rsidRDefault="00662B98" w:rsidP="00662B98">
            <w:pPr>
              <w:pStyle w:val="Heading4"/>
              <w:numPr>
                <w:ilvl w:val="0"/>
                <w:numId w:val="11"/>
              </w:numPr>
              <w:outlineLvl w:val="3"/>
              <w:rPr>
                <w:lang w:val="en-GB"/>
              </w:rPr>
            </w:pPr>
            <w:r>
              <w:rPr>
                <w:lang w:val="en-GB"/>
              </w:rPr>
              <w:t>Background to the assignment</w:t>
            </w:r>
          </w:p>
          <w:p w:rsidR="00662B98" w:rsidRDefault="00662B98" w:rsidP="00662B98">
            <w:pPr>
              <w:rPr>
                <w:rFonts w:cs="Arial"/>
                <w:lang w:val="en-GB"/>
              </w:rPr>
            </w:pPr>
            <w:r>
              <w:rPr>
                <w:rFonts w:cs="Arial"/>
                <w:lang w:val="en-GB"/>
              </w:rPr>
              <w:t xml:space="preserve">National logistics working groups (NLWGs) have been demonstrably instrumental in improving the performance of supply chain management at the national level. NLWGs are defined as “leadership groups” and may take different forms and names. They aim to improve coordination among partners and the implementation of national immunization supply chain priorities. These working groups are part of the Ministry of Health’s process to strengthen immunization supply chains with the objective of achieving continuous improvement in vaccine efficacy, availabilityand supply chain efficiency. In order to support </w:t>
            </w:r>
            <w:r>
              <w:rPr>
                <w:rFonts w:cs="Arial"/>
                <w:i/>
                <w:color w:val="808080" w:themeColor="background1" w:themeShade="80"/>
                <w:lang w:val="en-GB"/>
              </w:rPr>
              <w:t>Country name</w:t>
            </w:r>
            <w:r>
              <w:rPr>
                <w:rFonts w:cs="Arial"/>
                <w:lang w:val="en-GB"/>
              </w:rPr>
              <w:t>to have a functional national logistics working group in place, it is ne</w:t>
            </w:r>
            <w:r w:rsidR="00761357">
              <w:rPr>
                <w:rFonts w:cs="Arial"/>
                <w:lang w:val="en-GB"/>
              </w:rPr>
              <w:t>cessary</w:t>
            </w:r>
            <w:r>
              <w:rPr>
                <w:rFonts w:cs="Arial"/>
                <w:lang w:val="en-GB"/>
              </w:rPr>
              <w:t xml:space="preserve"> to understand the status of the NLWG and implement priority activity to establish it.</w:t>
            </w:r>
          </w:p>
          <w:p w:rsidR="00662B98" w:rsidRDefault="00662B98" w:rsidP="00662B98">
            <w:pPr>
              <w:pStyle w:val="Heading4"/>
              <w:numPr>
                <w:ilvl w:val="0"/>
                <w:numId w:val="11"/>
              </w:numPr>
              <w:outlineLvl w:val="3"/>
              <w:rPr>
                <w:lang w:val="en-GB"/>
              </w:rPr>
            </w:pPr>
            <w:r>
              <w:rPr>
                <w:lang w:val="en-GB"/>
              </w:rPr>
              <w:t xml:space="preserve"> Description of the assignment </w:t>
            </w:r>
          </w:p>
          <w:p w:rsidR="00662B98" w:rsidRDefault="00662B98" w:rsidP="00662B98">
            <w:pPr>
              <w:pStyle w:val="ListParagraph"/>
              <w:numPr>
                <w:ilvl w:val="1"/>
                <w:numId w:val="12"/>
              </w:numPr>
              <w:rPr>
                <w:rFonts w:cs="Arial"/>
                <w:b/>
                <w:lang w:val="en-GB"/>
              </w:rPr>
            </w:pPr>
            <w:r>
              <w:rPr>
                <w:rFonts w:cs="Arial"/>
                <w:b/>
                <w:lang w:val="en-GB"/>
              </w:rPr>
              <w:t>Purpose</w:t>
            </w:r>
          </w:p>
          <w:p w:rsidR="00662B98" w:rsidRDefault="00662B98" w:rsidP="00662B98">
            <w:pPr>
              <w:rPr>
                <w:rFonts w:cs="Arial"/>
                <w:lang w:val="en-GB"/>
              </w:rPr>
            </w:pPr>
            <w:r>
              <w:rPr>
                <w:rFonts w:cs="Arial"/>
                <w:lang w:val="en-GB"/>
              </w:rPr>
              <w:t xml:space="preserve">The purpose of this consultancy is to provide technical support to </w:t>
            </w:r>
            <w:r>
              <w:rPr>
                <w:rFonts w:cs="Arial"/>
                <w:i/>
                <w:color w:val="808080" w:themeColor="background1" w:themeShade="80"/>
                <w:lang w:val="en-GB"/>
              </w:rPr>
              <w:t>Country name</w:t>
            </w:r>
            <w:r w:rsidRPr="00531694">
              <w:rPr>
                <w:rFonts w:cs="Arial"/>
                <w:lang w:val="en-GB"/>
              </w:rPr>
              <w:t xml:space="preserve">in </w:t>
            </w:r>
            <w:r w:rsidRPr="00531694">
              <w:rPr>
                <w:b/>
              </w:rPr>
              <w:t>establishing a</w:t>
            </w:r>
            <w:r w:rsidR="00761357">
              <w:rPr>
                <w:b/>
              </w:rPr>
              <w:t>n</w:t>
            </w:r>
            <w:r w:rsidRPr="00531694">
              <w:rPr>
                <w:b/>
              </w:rPr>
              <w:t xml:space="preserve"> NLWG</w:t>
            </w:r>
            <w:r>
              <w:rPr>
                <w:rFonts w:cs="Arial"/>
                <w:lang w:val="en-GB"/>
              </w:rPr>
              <w:t xml:space="preserve">. This work will be </w:t>
            </w:r>
            <w:r w:rsidR="00761357">
              <w:rPr>
                <w:rFonts w:cs="Arial"/>
                <w:lang w:val="en-GB"/>
              </w:rPr>
              <w:t>carri</w:t>
            </w:r>
            <w:r>
              <w:rPr>
                <w:rFonts w:cs="Arial"/>
                <w:lang w:val="en-GB"/>
              </w:rPr>
              <w:t>ed</w:t>
            </w:r>
            <w:r w:rsidR="00761357">
              <w:rPr>
                <w:rFonts w:cs="Arial"/>
                <w:lang w:val="en-GB"/>
              </w:rPr>
              <w:t xml:space="preserve"> out</w:t>
            </w:r>
            <w:r>
              <w:rPr>
                <w:rFonts w:cs="Arial"/>
                <w:lang w:val="en-GB"/>
              </w:rPr>
              <w:t xml:space="preserve"> in close collaboration and coordination with the Ministry of Health, UNICEF</w:t>
            </w:r>
            <w:r w:rsidR="00761357">
              <w:rPr>
                <w:rFonts w:cs="Arial"/>
                <w:lang w:val="en-GB"/>
              </w:rPr>
              <w:t xml:space="preserve"> and WHO Country Offices, as well as </w:t>
            </w:r>
            <w:r>
              <w:rPr>
                <w:rFonts w:cs="Arial"/>
                <w:lang w:val="en-GB"/>
              </w:rPr>
              <w:t>other immunization partners.</w:t>
            </w:r>
            <w:bookmarkStart w:id="1" w:name="_GoBack"/>
            <w:bookmarkEnd w:id="1"/>
          </w:p>
          <w:p w:rsidR="00662B98" w:rsidRDefault="00662B98" w:rsidP="00662B98">
            <w:pPr>
              <w:pStyle w:val="ListParagraph"/>
              <w:numPr>
                <w:ilvl w:val="1"/>
                <w:numId w:val="12"/>
              </w:numPr>
              <w:rPr>
                <w:rFonts w:cs="Arial"/>
                <w:b/>
                <w:lang w:val="en-GB"/>
              </w:rPr>
            </w:pPr>
            <w:r>
              <w:rPr>
                <w:rFonts w:cs="Arial"/>
                <w:b/>
                <w:lang w:val="en-GB"/>
              </w:rPr>
              <w:t>Overall objective</w:t>
            </w:r>
          </w:p>
          <w:p w:rsidR="00662B98" w:rsidRDefault="00662B98" w:rsidP="00662B98">
            <w:pPr>
              <w:rPr>
                <w:rFonts w:cs="Arial"/>
                <w:lang w:val="en-GB"/>
              </w:rPr>
            </w:pPr>
            <w:r>
              <w:rPr>
                <w:rFonts w:cs="Arial"/>
                <w:lang w:val="en-GB"/>
              </w:rPr>
              <w:t xml:space="preserve">In order to support </w:t>
            </w:r>
            <w:r>
              <w:rPr>
                <w:rFonts w:cs="Arial"/>
                <w:i/>
                <w:color w:val="808080" w:themeColor="background1" w:themeShade="80"/>
                <w:lang w:val="en-GB"/>
              </w:rPr>
              <w:t>&lt;Country&gt;</w:t>
            </w:r>
            <w:r>
              <w:rPr>
                <w:rFonts w:cs="Arial"/>
                <w:lang w:val="en-GB"/>
              </w:rPr>
              <w:t>in establishing a</w:t>
            </w:r>
            <w:r w:rsidR="00761357">
              <w:rPr>
                <w:rFonts w:cs="Arial"/>
                <w:lang w:val="en-GB"/>
              </w:rPr>
              <w:t>n</w:t>
            </w:r>
            <w:r>
              <w:rPr>
                <w:rFonts w:cs="Arial"/>
                <w:lang w:val="en-GB"/>
              </w:rPr>
              <w:t xml:space="preserve"> NLWG, the objective of the assignment is to: </w:t>
            </w:r>
          </w:p>
          <w:p w:rsidR="00761357" w:rsidRPr="00B96358" w:rsidRDefault="00761357" w:rsidP="00761357">
            <w:pPr>
              <w:pStyle w:val="ListParagraph"/>
              <w:numPr>
                <w:ilvl w:val="0"/>
                <w:numId w:val="13"/>
              </w:numPr>
              <w:spacing w:before="0"/>
              <w:contextualSpacing w:val="0"/>
              <w:rPr>
                <w:rFonts w:cs="Arial"/>
                <w:lang w:val="en-GB"/>
              </w:rPr>
            </w:pPr>
            <w:r>
              <w:rPr>
                <w:rFonts w:cs="Arial"/>
                <w:lang w:val="en-GB" w:eastAsia="zh-HK"/>
              </w:rPr>
              <w:t>P</w:t>
            </w:r>
            <w:r w:rsidRPr="00B96358">
              <w:rPr>
                <w:rFonts w:cs="Arial"/>
                <w:lang w:val="en-GB"/>
              </w:rPr>
              <w:t xml:space="preserve">rovide guidance on </w:t>
            </w:r>
            <w:r>
              <w:rPr>
                <w:rFonts w:cs="Arial"/>
                <w:lang w:val="en-GB" w:eastAsia="zh-HK"/>
              </w:rPr>
              <w:t xml:space="preserve">the </w:t>
            </w:r>
            <w:r w:rsidRPr="00B96358">
              <w:rPr>
                <w:rFonts w:cs="Arial"/>
                <w:lang w:val="en-GB"/>
              </w:rPr>
              <w:t>process and requirement</w:t>
            </w:r>
            <w:r>
              <w:rPr>
                <w:rFonts w:cs="Arial"/>
                <w:lang w:val="en-GB" w:eastAsia="zh-HK"/>
              </w:rPr>
              <w:t>s</w:t>
            </w:r>
            <w:r w:rsidRPr="00B96358">
              <w:rPr>
                <w:rFonts w:cs="Arial"/>
                <w:lang w:val="en-GB"/>
              </w:rPr>
              <w:t xml:space="preserve"> </w:t>
            </w:r>
            <w:r>
              <w:rPr>
                <w:rFonts w:cs="Arial"/>
                <w:lang w:val="en-GB" w:eastAsia="zh-HK"/>
              </w:rPr>
              <w:t>of</w:t>
            </w:r>
            <w:r w:rsidRPr="00B96358">
              <w:rPr>
                <w:rFonts w:cs="Arial"/>
                <w:lang w:val="en-GB"/>
              </w:rPr>
              <w:t xml:space="preserve"> creat</w:t>
            </w:r>
            <w:r>
              <w:rPr>
                <w:rFonts w:cs="Arial"/>
                <w:lang w:val="en-GB" w:eastAsia="zh-HK"/>
              </w:rPr>
              <w:t>ing</w:t>
            </w:r>
            <w:r w:rsidRPr="00B96358">
              <w:rPr>
                <w:rFonts w:cs="Arial"/>
                <w:lang w:val="en-GB"/>
              </w:rPr>
              <w:t xml:space="preserve"> a</w:t>
            </w:r>
            <w:r>
              <w:rPr>
                <w:rFonts w:cs="Arial"/>
                <w:lang w:val="en-GB" w:eastAsia="zh-HK"/>
              </w:rPr>
              <w:t>n</w:t>
            </w:r>
            <w:r w:rsidRPr="00B96358">
              <w:rPr>
                <w:rFonts w:cs="Arial"/>
                <w:lang w:val="en-GB"/>
              </w:rPr>
              <w:t xml:space="preserve"> NLWG, including </w:t>
            </w:r>
            <w:r>
              <w:rPr>
                <w:rFonts w:cs="Arial"/>
                <w:lang w:val="en-GB" w:eastAsia="zh-HK"/>
              </w:rPr>
              <w:t xml:space="preserve">the </w:t>
            </w:r>
            <w:r w:rsidRPr="00B96358">
              <w:rPr>
                <w:rFonts w:cs="Arial"/>
                <w:lang w:val="en-GB"/>
              </w:rPr>
              <w:t>legal framework and governance</w:t>
            </w:r>
          </w:p>
          <w:p w:rsidR="00761357" w:rsidRPr="00B96358" w:rsidRDefault="00761357" w:rsidP="00761357">
            <w:pPr>
              <w:pStyle w:val="ListParagraph"/>
              <w:numPr>
                <w:ilvl w:val="0"/>
                <w:numId w:val="13"/>
              </w:numPr>
              <w:spacing w:before="0"/>
              <w:contextualSpacing w:val="0"/>
              <w:rPr>
                <w:rFonts w:cs="Arial"/>
                <w:lang w:val="en-GB"/>
              </w:rPr>
            </w:pPr>
            <w:r>
              <w:rPr>
                <w:rFonts w:cs="Arial"/>
                <w:lang w:val="en-GB" w:eastAsia="zh-HK"/>
              </w:rPr>
              <w:t>Help</w:t>
            </w:r>
            <w:r w:rsidRPr="00B96358">
              <w:rPr>
                <w:rFonts w:cs="Arial"/>
                <w:lang w:val="en-GB"/>
              </w:rPr>
              <w:t xml:space="preserve"> defin</w:t>
            </w:r>
            <w:r>
              <w:rPr>
                <w:rFonts w:cs="Arial"/>
                <w:lang w:val="en-GB" w:eastAsia="zh-HK"/>
              </w:rPr>
              <w:t>e</w:t>
            </w:r>
            <w:r w:rsidRPr="00B96358">
              <w:rPr>
                <w:rFonts w:cs="Arial"/>
                <w:lang w:val="en-GB"/>
              </w:rPr>
              <w:t xml:space="preserve"> the </w:t>
            </w:r>
            <w:r w:rsidRPr="00B96358">
              <w:rPr>
                <w:rFonts w:cs="Arial"/>
                <w:i/>
                <w:color w:val="808080"/>
                <w:lang w:val="en-GB"/>
              </w:rPr>
              <w:t>&lt;Country name&gt;</w:t>
            </w:r>
            <w:r>
              <w:rPr>
                <w:rFonts w:cs="Arial"/>
                <w:i/>
                <w:color w:val="808080"/>
                <w:lang w:val="en-GB" w:eastAsia="zh-HK"/>
              </w:rPr>
              <w:t xml:space="preserve"> </w:t>
            </w:r>
            <w:r w:rsidRPr="00B96358">
              <w:rPr>
                <w:rFonts w:cs="Arial"/>
                <w:lang w:val="en-GB"/>
              </w:rPr>
              <w:t>NLWG’s mandates, strategic and operational framework, governance</w:t>
            </w:r>
            <w:r>
              <w:rPr>
                <w:rFonts w:cs="Arial"/>
                <w:lang w:val="en-GB" w:eastAsia="zh-HK"/>
              </w:rPr>
              <w:t xml:space="preserve">, </w:t>
            </w:r>
            <w:r w:rsidRPr="00B96358">
              <w:rPr>
                <w:rFonts w:cs="Arial"/>
                <w:lang w:val="en-GB"/>
              </w:rPr>
              <w:t>and memberships.</w:t>
            </w:r>
          </w:p>
          <w:p w:rsidR="00761357" w:rsidRPr="00761357" w:rsidRDefault="00761357" w:rsidP="00761357">
            <w:pPr>
              <w:pStyle w:val="ListParagraph"/>
              <w:numPr>
                <w:ilvl w:val="0"/>
                <w:numId w:val="13"/>
              </w:numPr>
              <w:spacing w:before="0"/>
              <w:contextualSpacing w:val="0"/>
              <w:rPr>
                <w:rFonts w:cs="Arial"/>
                <w:lang w:val="en-GB"/>
              </w:rPr>
            </w:pPr>
            <w:r>
              <w:rPr>
                <w:rFonts w:cs="Arial"/>
                <w:lang w:val="en-GB" w:eastAsia="zh-HK"/>
              </w:rPr>
              <w:t xml:space="preserve">Provide advice </w:t>
            </w:r>
            <w:r w:rsidRPr="00B96358">
              <w:rPr>
                <w:rFonts w:cs="Arial"/>
                <w:lang w:val="en-GB"/>
              </w:rPr>
              <w:t>on NLWG’s monitoring and evaluation</w:t>
            </w:r>
          </w:p>
          <w:p w:rsidR="00662B98" w:rsidRDefault="00662B98" w:rsidP="00662B98">
            <w:pPr>
              <w:pStyle w:val="ListParagraph"/>
              <w:spacing w:before="0"/>
              <w:rPr>
                <w:rFonts w:cs="Arial"/>
                <w:lang w:val="en-GB"/>
              </w:rPr>
            </w:pPr>
          </w:p>
          <w:p w:rsidR="00662B98" w:rsidRDefault="00662B98" w:rsidP="00662B98">
            <w:pPr>
              <w:pStyle w:val="ListParagraph"/>
              <w:numPr>
                <w:ilvl w:val="1"/>
                <w:numId w:val="12"/>
              </w:numPr>
              <w:ind w:left="1434" w:hanging="357"/>
              <w:rPr>
                <w:rFonts w:cs="Arial"/>
                <w:b/>
                <w:lang w:val="en-GB"/>
              </w:rPr>
            </w:pPr>
            <w:r>
              <w:rPr>
                <w:rFonts w:cs="Arial"/>
                <w:b/>
                <w:lang w:val="en-GB"/>
              </w:rPr>
              <w:t>Results</w:t>
            </w:r>
          </w:p>
          <w:p w:rsidR="00662B98" w:rsidRDefault="00662B98" w:rsidP="00662B98">
            <w:pPr>
              <w:pStyle w:val="ListParagraph"/>
              <w:numPr>
                <w:ilvl w:val="0"/>
                <w:numId w:val="14"/>
              </w:numPr>
              <w:spacing w:before="0"/>
              <w:rPr>
                <w:rFonts w:cs="Arial"/>
                <w:lang w:val="en-GB"/>
              </w:rPr>
            </w:pPr>
            <w:r>
              <w:rPr>
                <w:rFonts w:cs="Arial"/>
                <w:lang w:val="en-GB"/>
              </w:rPr>
              <w:t>NLWG’s legal or administrative status</w:t>
            </w:r>
          </w:p>
          <w:p w:rsidR="00662B98" w:rsidRDefault="00662B98" w:rsidP="00662B98">
            <w:pPr>
              <w:pStyle w:val="ListParagraph"/>
              <w:numPr>
                <w:ilvl w:val="0"/>
                <w:numId w:val="14"/>
              </w:numPr>
              <w:spacing w:before="0"/>
              <w:rPr>
                <w:rFonts w:cs="Arial"/>
                <w:lang w:val="en-GB"/>
              </w:rPr>
            </w:pPr>
            <w:r>
              <w:rPr>
                <w:rFonts w:cs="Arial"/>
                <w:lang w:val="en-GB"/>
              </w:rPr>
              <w:t>Terms of Reference (ToR)</w:t>
            </w:r>
          </w:p>
          <w:p w:rsidR="00662B98" w:rsidRDefault="00662B98" w:rsidP="00662B98">
            <w:pPr>
              <w:pStyle w:val="ListParagraph"/>
              <w:numPr>
                <w:ilvl w:val="0"/>
                <w:numId w:val="14"/>
              </w:numPr>
              <w:spacing w:before="0"/>
              <w:rPr>
                <w:rFonts w:cs="Arial"/>
                <w:lang w:val="en-GB"/>
              </w:rPr>
            </w:pPr>
            <w:r>
              <w:rPr>
                <w:rFonts w:cs="Arial"/>
                <w:lang w:val="en-GB"/>
              </w:rPr>
              <w:t>Standard Operations Procedure (SoP)</w:t>
            </w:r>
          </w:p>
          <w:p w:rsidR="00662B98" w:rsidRPr="00891D62" w:rsidRDefault="00662B98" w:rsidP="00891D62">
            <w:pPr>
              <w:pStyle w:val="ListParagraph"/>
              <w:numPr>
                <w:ilvl w:val="0"/>
                <w:numId w:val="14"/>
              </w:numPr>
              <w:spacing w:before="0"/>
              <w:rPr>
                <w:rFonts w:cs="Arial"/>
                <w:lang w:val="en-GB"/>
              </w:rPr>
            </w:pPr>
            <w:r>
              <w:rPr>
                <w:rFonts w:cs="Arial"/>
                <w:lang w:val="en-GB"/>
              </w:rPr>
              <w:t>A monitoring and evaluation plan</w:t>
            </w:r>
          </w:p>
          <w:p w:rsidR="00662B98" w:rsidRDefault="00662B98" w:rsidP="00662B98">
            <w:pPr>
              <w:pStyle w:val="Heading4"/>
              <w:numPr>
                <w:ilvl w:val="0"/>
                <w:numId w:val="11"/>
              </w:numPr>
              <w:outlineLvl w:val="3"/>
              <w:rPr>
                <w:lang w:val="en-GB"/>
              </w:rPr>
            </w:pPr>
            <w:r>
              <w:rPr>
                <w:lang w:val="en-GB"/>
              </w:rPr>
              <w:t>Duration</w:t>
            </w:r>
          </w:p>
          <w:p w:rsidR="00662B98" w:rsidRDefault="00662B98" w:rsidP="00662B98">
            <w:pPr>
              <w:spacing w:before="0"/>
              <w:rPr>
                <w:rFonts w:cs="Arial"/>
                <w:lang w:val="en-GB"/>
              </w:rPr>
            </w:pPr>
            <w:r>
              <w:rPr>
                <w:rFonts w:cs="Arial"/>
                <w:lang w:val="en-GB"/>
              </w:rPr>
              <w:t xml:space="preserve">The start and end dates will vary according to each consultancy based on specific country needs but a </w:t>
            </w:r>
            <w:r w:rsidR="00761357">
              <w:rPr>
                <w:rFonts w:cs="Arial"/>
                <w:lang w:val="en-GB"/>
              </w:rPr>
              <w:t xml:space="preserve">standard </w:t>
            </w:r>
            <w:r>
              <w:rPr>
                <w:rFonts w:cs="Arial"/>
                <w:lang w:val="en-GB"/>
              </w:rPr>
              <w:t xml:space="preserve">expected commitment </w:t>
            </w:r>
            <w:r w:rsidR="00761357">
              <w:rPr>
                <w:rFonts w:cs="Arial"/>
                <w:lang w:val="en-GB"/>
              </w:rPr>
              <w:t>is</w:t>
            </w:r>
            <w:r>
              <w:rPr>
                <w:rFonts w:cs="Arial"/>
                <w:lang w:val="en-GB"/>
              </w:rPr>
              <w:t xml:space="preserve"> </w:t>
            </w:r>
            <w:r>
              <w:rPr>
                <w:rFonts w:cs="Arial"/>
                <w:i/>
                <w:color w:val="808080" w:themeColor="background1" w:themeShade="80"/>
                <w:lang w:val="en-GB"/>
              </w:rPr>
              <w:t>&lt;indicate number&gt;</w:t>
            </w:r>
            <w:r>
              <w:rPr>
                <w:rFonts w:cs="Arial"/>
                <w:lang w:val="en-GB"/>
              </w:rPr>
              <w:t xml:space="preserve"> months which involves a combination of field-based and home-based work (</w:t>
            </w:r>
            <w:r w:rsidR="00761357">
              <w:rPr>
                <w:rFonts w:cs="Arial"/>
                <w:lang w:val="en-GB"/>
              </w:rPr>
              <w:t>depending on the actual needs).</w:t>
            </w:r>
          </w:p>
          <w:p w:rsidR="00662B98" w:rsidRDefault="00662B98" w:rsidP="00662B98">
            <w:pPr>
              <w:pStyle w:val="Heading4"/>
              <w:numPr>
                <w:ilvl w:val="0"/>
                <w:numId w:val="11"/>
              </w:numPr>
              <w:outlineLvl w:val="3"/>
              <w:rPr>
                <w:lang w:val="en-GB"/>
              </w:rPr>
            </w:pPr>
            <w:r>
              <w:rPr>
                <w:lang w:val="en-GB"/>
              </w:rPr>
              <w:t>Logistics and timing</w:t>
            </w:r>
          </w:p>
          <w:p w:rsidR="00662B98" w:rsidRDefault="00662B98" w:rsidP="00662B98">
            <w:pPr>
              <w:autoSpaceDE w:val="0"/>
              <w:autoSpaceDN w:val="0"/>
              <w:adjustRightInd w:val="0"/>
              <w:spacing w:before="0"/>
              <w:jc w:val="left"/>
              <w:rPr>
                <w:rFonts w:cs="Arial"/>
                <w:lang w:val="en-GB"/>
              </w:rPr>
            </w:pPr>
            <w:r>
              <w:rPr>
                <w:rFonts w:cs="Arial"/>
                <w:lang w:val="en-GB"/>
              </w:rPr>
              <w:t xml:space="preserve">The operational base for the work will be in </w:t>
            </w:r>
            <w:r>
              <w:rPr>
                <w:rFonts w:cs="Arial"/>
                <w:i/>
                <w:color w:val="808080" w:themeColor="background1" w:themeShade="80"/>
                <w:lang w:val="en-GB"/>
              </w:rPr>
              <w:t>&lt;indicate location(s)&gt;</w:t>
            </w:r>
          </w:p>
          <w:p w:rsidR="00662B98" w:rsidRDefault="00662B98" w:rsidP="00891D62">
            <w:pPr>
              <w:autoSpaceDE w:val="0"/>
              <w:autoSpaceDN w:val="0"/>
              <w:adjustRightInd w:val="0"/>
              <w:spacing w:before="0" w:after="1100"/>
              <w:jc w:val="left"/>
              <w:rPr>
                <w:rFonts w:cs="Arial"/>
                <w:b/>
                <w:lang w:val="en-GB"/>
              </w:rPr>
            </w:pPr>
            <w:r>
              <w:rPr>
                <w:rFonts w:cs="Arial"/>
                <w:lang w:val="en-GB"/>
              </w:rPr>
              <w:t xml:space="preserve">The intended commencement date is </w:t>
            </w:r>
            <w:r>
              <w:rPr>
                <w:rFonts w:cs="Arial"/>
                <w:color w:val="808080" w:themeColor="background1" w:themeShade="80"/>
                <w:lang w:val="en-GB"/>
              </w:rPr>
              <w:t>&lt;date&gt;</w:t>
            </w:r>
            <w:r>
              <w:rPr>
                <w:rFonts w:cs="Arial"/>
                <w:lang w:val="en-GB"/>
              </w:rPr>
              <w:t xml:space="preserve">and the period of implementation of the contract will be </w:t>
            </w:r>
            <w:r>
              <w:rPr>
                <w:rFonts w:cs="Arial"/>
                <w:color w:val="808080" w:themeColor="background1" w:themeShade="80"/>
                <w:lang w:val="en-GB"/>
              </w:rPr>
              <w:t>&lt; number &gt;</w:t>
            </w:r>
            <w:r w:rsidR="00761357">
              <w:rPr>
                <w:rFonts w:cs="Arial"/>
                <w:color w:val="808080" w:themeColor="background1" w:themeShade="80"/>
                <w:lang w:val="en-GB"/>
              </w:rPr>
              <w:t xml:space="preserve"> </w:t>
            </w:r>
            <w:r>
              <w:rPr>
                <w:rFonts w:cs="Arial"/>
                <w:lang w:val="en-GB"/>
              </w:rPr>
              <w:t xml:space="preserve">months from this date. </w:t>
            </w:r>
          </w:p>
          <w:p w:rsidR="00662B98" w:rsidRDefault="00662B98" w:rsidP="00662B98">
            <w:pPr>
              <w:pStyle w:val="Heading4"/>
              <w:numPr>
                <w:ilvl w:val="0"/>
                <w:numId w:val="11"/>
              </w:numPr>
              <w:outlineLvl w:val="3"/>
              <w:rPr>
                <w:lang w:val="en-GB"/>
              </w:rPr>
            </w:pPr>
            <w:r>
              <w:rPr>
                <w:lang w:val="en-GB"/>
              </w:rPr>
              <w:t>Key competences, technical background and experience required</w:t>
            </w:r>
          </w:p>
          <w:p w:rsidR="00662B98" w:rsidRDefault="00891D62" w:rsidP="00761357">
            <w:pPr>
              <w:keepNext/>
              <w:autoSpaceDE w:val="0"/>
              <w:autoSpaceDN w:val="0"/>
              <w:adjustRightInd w:val="0"/>
              <w:spacing w:before="0"/>
              <w:jc w:val="left"/>
              <w:rPr>
                <w:rFonts w:cs="Arial"/>
                <w:lang w:val="en-GB"/>
              </w:rPr>
            </w:pPr>
            <w:r>
              <w:rPr>
                <w:rFonts w:cs="Arial"/>
                <w:lang w:val="en-GB"/>
              </w:rPr>
              <w:t>S</w:t>
            </w:r>
            <w:r w:rsidR="00662B98">
              <w:rPr>
                <w:rFonts w:cs="Arial"/>
                <w:lang w:val="en-GB"/>
              </w:rPr>
              <w:t xml:space="preserve">uccessful candidates shall meet the following minimum requirements: </w:t>
            </w:r>
            <w:r w:rsidR="00662B98">
              <w:rPr>
                <w:rFonts w:cs="Arial"/>
                <w:lang w:val="en-GB"/>
              </w:rPr>
              <w:br/>
            </w:r>
          </w:p>
          <w:p w:rsidR="00662B98" w:rsidRDefault="00662B98" w:rsidP="00662B98">
            <w:pPr>
              <w:pStyle w:val="Paragraph"/>
              <w:ind w:left="360"/>
              <w:rPr>
                <w:rFonts w:ascii="Arial" w:hAnsi="Arial" w:cs="Arial"/>
                <w:b/>
                <w:i/>
                <w:sz w:val="22"/>
                <w:szCs w:val="22"/>
                <w:lang w:val="en-GB"/>
              </w:rPr>
            </w:pPr>
            <w:r>
              <w:rPr>
                <w:rFonts w:ascii="Arial" w:hAnsi="Arial" w:cs="Arial"/>
                <w:b/>
                <w:i/>
                <w:sz w:val="22"/>
                <w:szCs w:val="22"/>
                <w:lang w:val="en-GB"/>
              </w:rPr>
              <w:t>Competencies</w:t>
            </w:r>
          </w:p>
          <w:p w:rsidR="00662B98" w:rsidRDefault="00662B98" w:rsidP="00662B98">
            <w:pPr>
              <w:pStyle w:val="ListParagraph"/>
              <w:numPr>
                <w:ilvl w:val="0"/>
                <w:numId w:val="13"/>
              </w:numPr>
              <w:spacing w:before="0"/>
              <w:rPr>
                <w:rFonts w:cs="Arial"/>
                <w:lang w:val="en-GB"/>
              </w:rPr>
            </w:pPr>
            <w:r>
              <w:rPr>
                <w:rFonts w:cs="Arial"/>
                <w:lang w:val="en-GB"/>
              </w:rPr>
              <w:t>Strong analytical, oral and written communication skills</w:t>
            </w:r>
          </w:p>
          <w:p w:rsidR="00662B98" w:rsidRDefault="00662B98" w:rsidP="00662B98">
            <w:pPr>
              <w:pStyle w:val="ListParagraph"/>
              <w:numPr>
                <w:ilvl w:val="0"/>
                <w:numId w:val="13"/>
              </w:numPr>
              <w:spacing w:before="0"/>
              <w:rPr>
                <w:rFonts w:cs="Arial"/>
                <w:lang w:val="en-GB"/>
              </w:rPr>
            </w:pPr>
            <w:r>
              <w:rPr>
                <w:rFonts w:cs="Arial"/>
                <w:lang w:val="en-GB"/>
              </w:rPr>
              <w:t>Proven track record in building and influencing complex multi-stakeholder partnerships</w:t>
            </w:r>
          </w:p>
          <w:p w:rsidR="00662B98" w:rsidRDefault="00662B98" w:rsidP="00662B98">
            <w:pPr>
              <w:pStyle w:val="ListParagraph"/>
              <w:numPr>
                <w:ilvl w:val="0"/>
                <w:numId w:val="13"/>
              </w:numPr>
              <w:spacing w:before="0"/>
              <w:rPr>
                <w:rFonts w:cs="Arial"/>
                <w:lang w:val="en-GB"/>
              </w:rPr>
            </w:pPr>
            <w:r>
              <w:rPr>
                <w:rFonts w:cs="Arial"/>
                <w:lang w:val="en-GB"/>
              </w:rPr>
              <w:t xml:space="preserve">Proven track record in project management with </w:t>
            </w:r>
            <w:r w:rsidR="000A152B">
              <w:rPr>
                <w:rFonts w:cs="Arial"/>
                <w:lang w:val="en-GB"/>
              </w:rPr>
              <w:t>an</w:t>
            </w:r>
            <w:r>
              <w:rPr>
                <w:rFonts w:cs="Arial"/>
                <w:lang w:val="en-GB"/>
              </w:rPr>
              <w:t xml:space="preserve"> emphasis on assessments/evaluations</w:t>
            </w:r>
          </w:p>
          <w:p w:rsidR="00662B98" w:rsidRDefault="00662B98" w:rsidP="00662B98">
            <w:pPr>
              <w:pStyle w:val="ListParagraph"/>
              <w:numPr>
                <w:ilvl w:val="0"/>
                <w:numId w:val="13"/>
              </w:numPr>
              <w:spacing w:before="0"/>
              <w:rPr>
                <w:rFonts w:cs="Arial"/>
                <w:lang w:val="en-GB"/>
              </w:rPr>
            </w:pPr>
            <w:r>
              <w:rPr>
                <w:rFonts w:cs="Arial"/>
                <w:lang w:val="en-GB"/>
              </w:rPr>
              <w:t>Self-starter with ability to plan and execute projects in a timely manner</w:t>
            </w:r>
          </w:p>
          <w:p w:rsidR="00662B98" w:rsidRDefault="00662B98" w:rsidP="00662B98">
            <w:pPr>
              <w:pStyle w:val="ListParagraph"/>
              <w:numPr>
                <w:ilvl w:val="0"/>
                <w:numId w:val="13"/>
              </w:numPr>
              <w:spacing w:before="0"/>
              <w:rPr>
                <w:rFonts w:cs="Arial"/>
                <w:lang w:val="en-GB"/>
              </w:rPr>
            </w:pPr>
            <w:r>
              <w:rPr>
                <w:rFonts w:cs="Arial"/>
                <w:lang w:val="en-GB"/>
              </w:rPr>
              <w:t>Demonstrated ability to work in a multi-cultural environment</w:t>
            </w:r>
          </w:p>
          <w:p w:rsidR="00662B98" w:rsidRDefault="00662B98" w:rsidP="00662B98">
            <w:pPr>
              <w:pStyle w:val="Paragraph"/>
              <w:ind w:left="360"/>
              <w:rPr>
                <w:rFonts w:ascii="Arial" w:hAnsi="Arial" w:cs="Arial"/>
                <w:b/>
                <w:i/>
                <w:sz w:val="22"/>
                <w:szCs w:val="22"/>
                <w:lang w:val="en-GB"/>
              </w:rPr>
            </w:pPr>
          </w:p>
          <w:p w:rsidR="00662B98" w:rsidRDefault="00662B98" w:rsidP="00662B98">
            <w:pPr>
              <w:pStyle w:val="Paragraph"/>
              <w:ind w:left="360"/>
              <w:rPr>
                <w:rFonts w:ascii="Arial" w:hAnsi="Arial" w:cs="Arial"/>
                <w:b/>
                <w:i/>
                <w:sz w:val="22"/>
                <w:szCs w:val="22"/>
                <w:lang w:val="en-GB"/>
              </w:rPr>
            </w:pPr>
            <w:r>
              <w:rPr>
                <w:rFonts w:ascii="Arial" w:hAnsi="Arial" w:cs="Arial"/>
                <w:b/>
                <w:i/>
                <w:sz w:val="22"/>
                <w:szCs w:val="22"/>
                <w:lang w:val="en-GB"/>
              </w:rPr>
              <w:t>Technical skills and knowledge</w:t>
            </w:r>
          </w:p>
          <w:p w:rsidR="00662B98" w:rsidRDefault="00662B98" w:rsidP="00662B98">
            <w:pPr>
              <w:pStyle w:val="ListParagraph"/>
              <w:numPr>
                <w:ilvl w:val="0"/>
                <w:numId w:val="13"/>
              </w:numPr>
              <w:spacing w:before="0"/>
              <w:rPr>
                <w:rFonts w:cs="Arial"/>
                <w:lang w:val="en-GB"/>
              </w:rPr>
            </w:pPr>
            <w:r>
              <w:rPr>
                <w:rFonts w:cs="Arial"/>
                <w:lang w:val="en-GB"/>
              </w:rPr>
              <w:t>Advanced level education in public administration, policy, monitoring and evaluation, health, engineering, supply chain management, or related field</w:t>
            </w:r>
          </w:p>
          <w:p w:rsidR="00662B98" w:rsidRDefault="00662B98" w:rsidP="00662B98">
            <w:pPr>
              <w:pStyle w:val="ListParagraph"/>
              <w:numPr>
                <w:ilvl w:val="0"/>
                <w:numId w:val="13"/>
              </w:numPr>
              <w:spacing w:before="0"/>
              <w:rPr>
                <w:rFonts w:cs="Arial"/>
                <w:lang w:val="en-GB"/>
              </w:rPr>
            </w:pPr>
            <w:r>
              <w:rPr>
                <w:rFonts w:cs="Arial"/>
                <w:lang w:val="en-GB"/>
              </w:rPr>
              <w:t>Familiarity with WHO-recommended vaccine management practices an advantage</w:t>
            </w:r>
          </w:p>
          <w:p w:rsidR="00662B98" w:rsidRDefault="00662B98" w:rsidP="00662B98">
            <w:pPr>
              <w:pStyle w:val="ListParagraph"/>
              <w:numPr>
                <w:ilvl w:val="0"/>
                <w:numId w:val="13"/>
              </w:numPr>
              <w:spacing w:before="0"/>
              <w:rPr>
                <w:rFonts w:cs="Arial"/>
                <w:lang w:val="en-GB"/>
              </w:rPr>
            </w:pPr>
            <w:r>
              <w:rPr>
                <w:rFonts w:cs="Arial"/>
                <w:lang w:val="en-GB"/>
              </w:rPr>
              <w:t>Proficiency in the use of the Microsoft Office applications including Excel, Word and PowerPoint</w:t>
            </w:r>
          </w:p>
          <w:p w:rsidR="00662B98" w:rsidRDefault="00662B98" w:rsidP="00662B98">
            <w:pPr>
              <w:ind w:left="360"/>
              <w:rPr>
                <w:rFonts w:cs="Arial"/>
                <w:b/>
                <w:i/>
                <w:lang w:val="en-GB"/>
              </w:rPr>
            </w:pPr>
            <w:r>
              <w:rPr>
                <w:rFonts w:cs="Arial"/>
                <w:b/>
                <w:i/>
                <w:lang w:val="en-GB"/>
              </w:rPr>
              <w:t>Work experience</w:t>
            </w:r>
          </w:p>
          <w:p w:rsidR="00662B98" w:rsidRDefault="00662B98" w:rsidP="00662B98">
            <w:pPr>
              <w:pStyle w:val="Paragraph"/>
              <w:ind w:left="360"/>
              <w:rPr>
                <w:rFonts w:ascii="Arial" w:hAnsi="Arial" w:cs="Arial"/>
                <w:b/>
                <w:i/>
                <w:sz w:val="22"/>
                <w:szCs w:val="22"/>
                <w:lang w:val="en-GB"/>
              </w:rPr>
            </w:pPr>
            <w:r>
              <w:rPr>
                <w:rFonts w:ascii="Arial" w:hAnsi="Arial" w:cs="Arial"/>
                <w:b/>
                <w:i/>
                <w:sz w:val="22"/>
                <w:szCs w:val="22"/>
                <w:lang w:val="en-GB"/>
              </w:rPr>
              <w:t>Languages</w:t>
            </w:r>
          </w:p>
          <w:p w:rsidR="00662B98" w:rsidRDefault="00662B98" w:rsidP="00662B98">
            <w:pPr>
              <w:pStyle w:val="ListParagraph"/>
              <w:numPr>
                <w:ilvl w:val="0"/>
                <w:numId w:val="13"/>
              </w:numPr>
              <w:spacing w:before="0"/>
              <w:rPr>
                <w:rFonts w:cs="Arial"/>
                <w:color w:val="808080" w:themeColor="background1" w:themeShade="80"/>
                <w:lang w:val="en-GB"/>
              </w:rPr>
            </w:pPr>
            <w:r>
              <w:rPr>
                <w:rFonts w:cs="Arial"/>
                <w:lang w:val="en-GB"/>
              </w:rPr>
              <w:t xml:space="preserve">Written and spoken fluency in </w:t>
            </w:r>
            <w:r>
              <w:rPr>
                <w:rFonts w:cs="Arial"/>
                <w:color w:val="808080" w:themeColor="background1" w:themeShade="80"/>
                <w:lang w:val="en-GB"/>
              </w:rPr>
              <w:t>&lt;English/French&gt;</w:t>
            </w:r>
          </w:p>
          <w:p w:rsidR="00662B98" w:rsidRDefault="00662B98" w:rsidP="00662B98">
            <w:pPr>
              <w:pStyle w:val="ListParagraph"/>
              <w:numPr>
                <w:ilvl w:val="0"/>
                <w:numId w:val="13"/>
              </w:numPr>
              <w:spacing w:before="0"/>
              <w:rPr>
                <w:rFonts w:cs="Arial"/>
                <w:lang w:val="en-GB"/>
              </w:rPr>
            </w:pPr>
            <w:r>
              <w:rPr>
                <w:rFonts w:cs="Arial"/>
                <w:lang w:val="en-GB"/>
              </w:rPr>
              <w:t>Proficiency in a local language of the country of assignment an advantage</w:t>
            </w:r>
          </w:p>
          <w:p w:rsidR="00662B98" w:rsidRDefault="00662B98" w:rsidP="00662B98">
            <w:pPr>
              <w:pStyle w:val="Heading4"/>
              <w:numPr>
                <w:ilvl w:val="0"/>
                <w:numId w:val="11"/>
              </w:numPr>
              <w:outlineLvl w:val="3"/>
              <w:rPr>
                <w:lang w:val="en-GB"/>
              </w:rPr>
            </w:pPr>
            <w:r>
              <w:rPr>
                <w:lang w:val="en-GB"/>
              </w:rPr>
              <w:t>How to Apply</w:t>
            </w:r>
          </w:p>
          <w:p w:rsidR="00662B98" w:rsidRDefault="00662B98" w:rsidP="00662B98">
            <w:pPr>
              <w:autoSpaceDE w:val="0"/>
              <w:autoSpaceDN w:val="0"/>
              <w:adjustRightInd w:val="0"/>
              <w:spacing w:before="0"/>
              <w:jc w:val="left"/>
              <w:rPr>
                <w:rFonts w:cs="Arial"/>
                <w:lang w:val="en-GB"/>
              </w:rPr>
            </w:pPr>
            <w:r>
              <w:rPr>
                <w:rFonts w:cs="Arial"/>
                <w:lang w:val="en-GB"/>
              </w:rPr>
              <w:t xml:space="preserve">Qualified candidates are requested to submit their expression of interest (EOI) The EOI should be accompanied by a cover letter and CV to </w:t>
            </w:r>
            <w:r>
              <w:rPr>
                <w:rFonts w:cs="Arial"/>
                <w:color w:val="808080" w:themeColor="background1" w:themeShade="80"/>
                <w:lang w:val="en-GB"/>
              </w:rPr>
              <w:t>&lt;email address&gt;</w:t>
            </w:r>
            <w:r>
              <w:rPr>
                <w:rFonts w:cs="Arial"/>
                <w:lang w:val="en-GB"/>
              </w:rPr>
              <w:t xml:space="preserve"> with subject line “NLWG” by </w:t>
            </w:r>
            <w:r>
              <w:rPr>
                <w:rFonts w:cs="Arial"/>
                <w:color w:val="808080" w:themeColor="background1" w:themeShade="80"/>
                <w:lang w:val="en-GB"/>
              </w:rPr>
              <w:t>&lt;deadline&gt;</w:t>
            </w:r>
            <w:r>
              <w:rPr>
                <w:rFonts w:cs="Arial"/>
                <w:lang w:val="en-GB"/>
              </w:rPr>
              <w:t xml:space="preserve">. </w:t>
            </w:r>
          </w:p>
          <w:p w:rsidR="003C4847" w:rsidRPr="00891D62" w:rsidRDefault="00662B98" w:rsidP="00891D62">
            <w:pPr>
              <w:autoSpaceDE w:val="0"/>
              <w:autoSpaceDN w:val="0"/>
              <w:adjustRightInd w:val="0"/>
              <w:spacing w:before="0"/>
              <w:jc w:val="left"/>
              <w:rPr>
                <w:rFonts w:cs="Arial"/>
                <w:lang w:val="en-GB"/>
              </w:rPr>
            </w:pPr>
            <w:r>
              <w:rPr>
                <w:rFonts w:cs="Arial"/>
                <w:lang w:val="en-GB"/>
              </w:rPr>
              <w:t>Please indicate your interest, availability and daily/monthly rate to undertake the terms of reference above.  Applications submitted without a daily/monthly rate will not be considered.</w:t>
            </w:r>
          </w:p>
        </w:tc>
      </w:tr>
      <w:tr w:rsidR="003C4847" w:rsidRPr="00F4591D" w:rsidTr="00845986">
        <w:tc>
          <w:tcPr>
            <w:tcW w:w="10173" w:type="dxa"/>
            <w:shd w:val="clear" w:color="auto" w:fill="FFFFFF" w:themeFill="background1"/>
          </w:tcPr>
          <w:p w:rsidR="003C4847" w:rsidRPr="00A81AED" w:rsidRDefault="003C4847" w:rsidP="00761357">
            <w:pPr>
              <w:spacing w:beforeLines="40"/>
              <w:rPr>
                <w:lang w:val="en-US"/>
              </w:rPr>
            </w:pPr>
          </w:p>
        </w:tc>
      </w:tr>
    </w:tbl>
    <w:p w:rsidR="00565541" w:rsidRPr="00161A93" w:rsidRDefault="000A152B" w:rsidP="004E628C">
      <w:pPr>
        <w:spacing w:before="0"/>
        <w:jc w:val="left"/>
        <w:rPr>
          <w:rFonts w:eastAsiaTheme="majorEastAsia" w:cs="Arial"/>
          <w:b/>
          <w:bCs/>
          <w:color w:val="4F81BD" w:themeColor="accent1"/>
          <w:lang w:val="en-US"/>
        </w:rPr>
      </w:pPr>
    </w:p>
    <w:sectPr w:rsidR="00565541" w:rsidRPr="00161A93" w:rsidSect="00161A93">
      <w:headerReference w:type="even" r:id="rId7"/>
      <w:headerReference w:type="default" r:id="rId8"/>
      <w:footerReference w:type="even" r:id="rId9"/>
      <w:footerReference w:type="default" r:id="rId10"/>
      <w:headerReference w:type="first" r:id="rId11"/>
      <w:footerReference w:type="first" r:id="rId12"/>
      <w:pgSz w:w="12240" w:h="15840"/>
      <w:pgMar w:top="851" w:right="1077" w:bottom="1440"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9A8" w:rsidRDefault="002D59A8" w:rsidP="002D59A8">
      <w:pPr>
        <w:spacing w:before="0" w:after="0" w:line="240" w:lineRule="auto"/>
      </w:pPr>
      <w:r>
        <w:separator/>
      </w:r>
    </w:p>
  </w:endnote>
  <w:endnote w:type="continuationSeparator" w:id="1">
    <w:p w:rsidR="002D59A8" w:rsidRDefault="002D59A8" w:rsidP="002D59A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CC" w:rsidRDefault="00EE3D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CC" w:rsidRPr="006B763F" w:rsidRDefault="006B763F">
    <w:pPr>
      <w:pStyle w:val="Footer"/>
      <w:rPr>
        <w:sz w:val="24"/>
        <w:szCs w:val="24"/>
        <w:lang w:val="en-US"/>
      </w:rPr>
    </w:pPr>
    <w:r w:rsidRPr="00987410">
      <w:rPr>
        <w:sz w:val="24"/>
        <w:szCs w:val="24"/>
        <w:lang w:val="en-US"/>
      </w:rPr>
      <w:t>Guidance Document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CC" w:rsidRDefault="00EE3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9A8" w:rsidRDefault="002D59A8" w:rsidP="002D59A8">
      <w:pPr>
        <w:spacing w:before="0" w:after="0" w:line="240" w:lineRule="auto"/>
      </w:pPr>
      <w:r>
        <w:separator/>
      </w:r>
    </w:p>
  </w:footnote>
  <w:footnote w:type="continuationSeparator" w:id="1">
    <w:p w:rsidR="002D59A8" w:rsidRDefault="002D59A8" w:rsidP="002D59A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CC" w:rsidRDefault="00EE3D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A8" w:rsidRPr="002D59A8" w:rsidRDefault="002D59A8" w:rsidP="002D59A8">
    <w:pPr>
      <w:pStyle w:val="Heading2"/>
      <w:numPr>
        <w:ilvl w:val="0"/>
        <w:numId w:val="0"/>
      </w:numPr>
      <w:jc w:val="right"/>
      <w:rPr>
        <w:i/>
        <w:sz w:val="20"/>
        <w:szCs w:val="20"/>
      </w:rPr>
    </w:pPr>
    <w:bookmarkStart w:id="2" w:name="_Toc451946117"/>
    <w:r w:rsidRPr="00E53572">
      <w:rPr>
        <w:i/>
        <w:sz w:val="20"/>
        <w:szCs w:val="20"/>
      </w:rPr>
      <w:t>Templates for establishing a</w:t>
    </w:r>
    <w:r w:rsidR="00793037">
      <w:rPr>
        <w:i/>
        <w:sz w:val="20"/>
        <w:szCs w:val="20"/>
      </w:rPr>
      <w:t>n</w:t>
    </w:r>
    <w:r w:rsidRPr="00E53572">
      <w:rPr>
        <w:i/>
        <w:sz w:val="20"/>
        <w:szCs w:val="20"/>
      </w:rPr>
      <w:t xml:space="preserve"> NLWG</w:t>
    </w:r>
    <w:bookmarkEnd w:id="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CC" w:rsidRDefault="00EE3D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A5C"/>
    <w:multiLevelType w:val="hybridMultilevel"/>
    <w:tmpl w:val="82AEB6B2"/>
    <w:lvl w:ilvl="0" w:tplc="F75668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F77466"/>
    <w:multiLevelType w:val="multilevel"/>
    <w:tmpl w:val="8EAAA894"/>
    <w:lvl w:ilvl="0">
      <w:start w:val="1"/>
      <w:numFmt w:val="decimal"/>
      <w:lvlText w:val="%1."/>
      <w:lvlJc w:val="left"/>
      <w:pPr>
        <w:ind w:left="1776" w:firstLine="1416"/>
      </w:pPr>
    </w:lvl>
    <w:lvl w:ilvl="1">
      <w:start w:val="1"/>
      <w:numFmt w:val="bullet"/>
      <w:lvlText w:val="−"/>
      <w:lvlJc w:val="left"/>
      <w:pPr>
        <w:ind w:left="2148" w:firstLine="1788"/>
      </w:pPr>
      <w:rPr>
        <w:rFonts w:ascii="Arial" w:eastAsia="Arial" w:hAnsi="Arial" w:cs="Arial"/>
      </w:r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2">
    <w:nsid w:val="29183F71"/>
    <w:multiLevelType w:val="hybridMultilevel"/>
    <w:tmpl w:val="3CFE3B90"/>
    <w:lvl w:ilvl="0" w:tplc="448651E0">
      <w:start w:val="1"/>
      <w:numFmt w:val="bullet"/>
      <w:lvlText w:val=""/>
      <w:lvlJc w:val="left"/>
      <w:pPr>
        <w:ind w:left="1428"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08F1A47"/>
    <w:multiLevelType w:val="hybridMultilevel"/>
    <w:tmpl w:val="852EB126"/>
    <w:lvl w:ilvl="0" w:tplc="9A5ADE20">
      <w:start w:val="1"/>
      <w:numFmt w:val="decimal"/>
      <w:pStyle w:val="Heading3-Tool"/>
      <w:lvlText w:val="Tool %1."/>
      <w:lvlJc w:val="left"/>
      <w:pPr>
        <w:ind w:left="153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320109D"/>
    <w:multiLevelType w:val="hybridMultilevel"/>
    <w:tmpl w:val="E85C94B4"/>
    <w:lvl w:ilvl="0" w:tplc="62C0EB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4833180E"/>
    <w:multiLevelType w:val="multilevel"/>
    <w:tmpl w:val="A73AE3DC"/>
    <w:lvl w:ilvl="0">
      <w:start w:val="1"/>
      <w:numFmt w:val="bullet"/>
      <w:lvlText w:val=""/>
      <w:lvlJc w:val="left"/>
      <w:pPr>
        <w:ind w:left="720" w:firstLine="360"/>
      </w:pPr>
      <w:rPr>
        <w:rFonts w:ascii="Wingdings 2" w:hAnsi="Wingdings 2" w:hint="default"/>
        <w:sz w:val="20"/>
      </w:rPr>
    </w:lvl>
    <w:lvl w:ilvl="1">
      <w:start w:val="1"/>
      <w:numFmt w:val="decimal"/>
      <w:lvlText w:val="●.%2"/>
      <w:lvlJc w:val="left"/>
      <w:pPr>
        <w:ind w:left="1065" w:firstLine="360"/>
      </w:pPr>
    </w:lvl>
    <w:lvl w:ilvl="2">
      <w:start w:val="1"/>
      <w:numFmt w:val="decimal"/>
      <w:lvlText w:val="●.%2.%3"/>
      <w:lvlJc w:val="left"/>
      <w:pPr>
        <w:ind w:left="1080" w:firstLine="360"/>
      </w:pPr>
    </w:lvl>
    <w:lvl w:ilvl="3">
      <w:start w:val="1"/>
      <w:numFmt w:val="decimal"/>
      <w:lvlText w:val="●.%2.%3.%4"/>
      <w:lvlJc w:val="left"/>
      <w:pPr>
        <w:ind w:left="1080" w:firstLine="360"/>
      </w:pPr>
    </w:lvl>
    <w:lvl w:ilvl="4">
      <w:start w:val="1"/>
      <w:numFmt w:val="decimal"/>
      <w:lvlText w:val="●.%2.%3.%4.%5"/>
      <w:lvlJc w:val="left"/>
      <w:pPr>
        <w:ind w:left="1440" w:firstLine="360"/>
      </w:pPr>
    </w:lvl>
    <w:lvl w:ilvl="5">
      <w:start w:val="1"/>
      <w:numFmt w:val="decimal"/>
      <w:lvlText w:val="●.%2.%3.%4.%5.%6"/>
      <w:lvlJc w:val="left"/>
      <w:pPr>
        <w:ind w:left="1440" w:firstLine="360"/>
      </w:pPr>
    </w:lvl>
    <w:lvl w:ilvl="6">
      <w:start w:val="1"/>
      <w:numFmt w:val="decimal"/>
      <w:lvlText w:val="●.%2.%3.%4.%5.%6.%7"/>
      <w:lvlJc w:val="left"/>
      <w:pPr>
        <w:ind w:left="1800" w:firstLine="360"/>
      </w:pPr>
    </w:lvl>
    <w:lvl w:ilvl="7">
      <w:start w:val="1"/>
      <w:numFmt w:val="decimal"/>
      <w:lvlText w:val="●.%2.%3.%4.%5.%6.%7.%8"/>
      <w:lvlJc w:val="left"/>
      <w:pPr>
        <w:ind w:left="1800" w:firstLine="360"/>
      </w:pPr>
    </w:lvl>
    <w:lvl w:ilvl="8">
      <w:start w:val="1"/>
      <w:numFmt w:val="decimal"/>
      <w:lvlText w:val="●.%2.%3.%4.%5.%6.%7.%8.%9"/>
      <w:lvlJc w:val="left"/>
      <w:pPr>
        <w:ind w:left="1800" w:firstLine="360"/>
      </w:pPr>
    </w:lvl>
  </w:abstractNum>
  <w:abstractNum w:abstractNumId="6">
    <w:nsid w:val="4CF9394F"/>
    <w:multiLevelType w:val="hybridMultilevel"/>
    <w:tmpl w:val="A39C2A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1C06FB3"/>
    <w:multiLevelType w:val="multilevel"/>
    <w:tmpl w:val="D6EA8CCC"/>
    <w:lvl w:ilvl="0">
      <w:start w:val="1"/>
      <w:numFmt w:val="decimal"/>
      <w:lvlText w:val="%1."/>
      <w:lvlJc w:val="left"/>
      <w:pPr>
        <w:ind w:left="2484" w:firstLine="2124"/>
      </w:pPr>
    </w:lvl>
    <w:lvl w:ilvl="1">
      <w:start w:val="1"/>
      <w:numFmt w:val="decimal"/>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8">
    <w:nsid w:val="5391298E"/>
    <w:multiLevelType w:val="multilevel"/>
    <w:tmpl w:val="2C88DAFC"/>
    <w:lvl w:ilvl="0">
      <w:start w:val="1"/>
      <w:numFmt w:val="decimal"/>
      <w:lvlText w:val="2.%1"/>
      <w:lvlJc w:val="left"/>
      <w:pPr>
        <w:ind w:left="432" w:hanging="216"/>
      </w:pPr>
      <w:rPr>
        <w:rFonts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Heading2"/>
      <w:lvlText w:val="%2"/>
      <w:lvlJc w:val="left"/>
      <w:pPr>
        <w:ind w:left="432" w:hanging="216"/>
      </w:pPr>
      <w:rPr>
        <w:rFonts w:hint="default"/>
      </w:rPr>
    </w:lvl>
    <w:lvl w:ilvl="2">
      <w:start w:val="1"/>
      <w:numFmt w:val="lowerRoman"/>
      <w:lvlText w:val="%3."/>
      <w:lvlJc w:val="right"/>
      <w:pPr>
        <w:ind w:left="432" w:hanging="216"/>
      </w:pPr>
      <w:rPr>
        <w:rFonts w:hint="default"/>
      </w:rPr>
    </w:lvl>
    <w:lvl w:ilvl="3">
      <w:start w:val="1"/>
      <w:numFmt w:val="decimal"/>
      <w:lvlText w:val="%4."/>
      <w:lvlJc w:val="left"/>
      <w:pPr>
        <w:ind w:left="432" w:hanging="216"/>
      </w:pPr>
      <w:rPr>
        <w:rFonts w:hint="default"/>
      </w:rPr>
    </w:lvl>
    <w:lvl w:ilvl="4">
      <w:start w:val="1"/>
      <w:numFmt w:val="lowerLetter"/>
      <w:lvlText w:val="%5."/>
      <w:lvlJc w:val="left"/>
      <w:pPr>
        <w:ind w:left="432" w:hanging="216"/>
      </w:pPr>
      <w:rPr>
        <w:rFonts w:hint="default"/>
      </w:rPr>
    </w:lvl>
    <w:lvl w:ilvl="5">
      <w:start w:val="1"/>
      <w:numFmt w:val="lowerRoman"/>
      <w:lvlText w:val="%6."/>
      <w:lvlJc w:val="right"/>
      <w:pPr>
        <w:ind w:left="432" w:hanging="216"/>
      </w:pPr>
      <w:rPr>
        <w:rFonts w:hint="default"/>
      </w:rPr>
    </w:lvl>
    <w:lvl w:ilvl="6">
      <w:start w:val="1"/>
      <w:numFmt w:val="decimal"/>
      <w:lvlText w:val="%7."/>
      <w:lvlJc w:val="left"/>
      <w:pPr>
        <w:ind w:left="432" w:hanging="216"/>
      </w:pPr>
      <w:rPr>
        <w:rFonts w:hint="default"/>
      </w:rPr>
    </w:lvl>
    <w:lvl w:ilvl="7">
      <w:start w:val="1"/>
      <w:numFmt w:val="lowerLetter"/>
      <w:lvlText w:val="%8."/>
      <w:lvlJc w:val="left"/>
      <w:pPr>
        <w:ind w:left="432" w:hanging="216"/>
      </w:pPr>
      <w:rPr>
        <w:rFonts w:hint="default"/>
      </w:rPr>
    </w:lvl>
    <w:lvl w:ilvl="8">
      <w:start w:val="1"/>
      <w:numFmt w:val="lowerRoman"/>
      <w:lvlText w:val="%9."/>
      <w:lvlJc w:val="right"/>
      <w:pPr>
        <w:ind w:left="432" w:hanging="216"/>
      </w:pPr>
      <w:rPr>
        <w:rFonts w:hint="default"/>
      </w:rPr>
    </w:lvl>
  </w:abstractNum>
  <w:abstractNum w:abstractNumId="9">
    <w:nsid w:val="54627A4E"/>
    <w:multiLevelType w:val="hybridMultilevel"/>
    <w:tmpl w:val="E85C94B4"/>
    <w:lvl w:ilvl="0" w:tplc="62C0EB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6A6E420E"/>
    <w:multiLevelType w:val="multilevel"/>
    <w:tmpl w:val="B4444598"/>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1">
    <w:nsid w:val="7AD168A1"/>
    <w:multiLevelType w:val="multilevel"/>
    <w:tmpl w:val="EA1E4754"/>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8"/>
  </w:num>
  <w:num w:numId="9">
    <w:abstractNumId w:val="8"/>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10"/>
  <w:displayHorizontalDrawingGridEvery w:val="2"/>
  <w:displayVerticalDrawingGridEvery w:val="2"/>
  <w:characterSpacingControl w:val="doNotCompress"/>
  <w:hdrShapeDefaults>
    <o:shapedefaults v:ext="edit" spidmax="10241">
      <o:colormru v:ext="edit" colors="#c9f,#fcf"/>
      <o:colormenu v:ext="edit" fillcolor="none [3212]"/>
    </o:shapedefaults>
  </w:hdrShapeDefaults>
  <w:footnotePr>
    <w:footnote w:id="0"/>
    <w:footnote w:id="1"/>
  </w:footnotePr>
  <w:endnotePr>
    <w:endnote w:id="0"/>
    <w:endnote w:id="1"/>
  </w:endnotePr>
  <w:compat/>
  <w:rsids>
    <w:rsidRoot w:val="00161A93"/>
    <w:rsid w:val="00020C76"/>
    <w:rsid w:val="000222A6"/>
    <w:rsid w:val="000A152B"/>
    <w:rsid w:val="00151DF8"/>
    <w:rsid w:val="00161A93"/>
    <w:rsid w:val="00232F23"/>
    <w:rsid w:val="002366D3"/>
    <w:rsid w:val="002D59A8"/>
    <w:rsid w:val="003C4847"/>
    <w:rsid w:val="003C543E"/>
    <w:rsid w:val="003E2B65"/>
    <w:rsid w:val="00432378"/>
    <w:rsid w:val="004E628C"/>
    <w:rsid w:val="00531694"/>
    <w:rsid w:val="00662B98"/>
    <w:rsid w:val="00666923"/>
    <w:rsid w:val="00687007"/>
    <w:rsid w:val="006B763F"/>
    <w:rsid w:val="006E7E15"/>
    <w:rsid w:val="00723500"/>
    <w:rsid w:val="00761357"/>
    <w:rsid w:val="0079165B"/>
    <w:rsid w:val="00793037"/>
    <w:rsid w:val="00807785"/>
    <w:rsid w:val="008130A0"/>
    <w:rsid w:val="0084597B"/>
    <w:rsid w:val="00845986"/>
    <w:rsid w:val="00891D62"/>
    <w:rsid w:val="008F6641"/>
    <w:rsid w:val="0096581F"/>
    <w:rsid w:val="00983169"/>
    <w:rsid w:val="00A10E8D"/>
    <w:rsid w:val="00A5366E"/>
    <w:rsid w:val="00A861E4"/>
    <w:rsid w:val="00AB04E5"/>
    <w:rsid w:val="00B22E3A"/>
    <w:rsid w:val="00BD41EC"/>
    <w:rsid w:val="00C664BA"/>
    <w:rsid w:val="00CC7BAA"/>
    <w:rsid w:val="00D21D33"/>
    <w:rsid w:val="00DF23F6"/>
    <w:rsid w:val="00E74E9C"/>
    <w:rsid w:val="00EE3D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c9f,#fcf"/>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93"/>
    <w:pPr>
      <w:spacing w:before="120"/>
      <w:jc w:val="both"/>
    </w:pPr>
    <w:rPr>
      <w:rFonts w:ascii="Arial" w:hAnsi="Arial"/>
      <w:lang w:val="fr-FR"/>
    </w:rPr>
  </w:style>
  <w:style w:type="paragraph" w:styleId="Heading2">
    <w:name w:val="heading 2"/>
    <w:basedOn w:val="Normal"/>
    <w:next w:val="Normal"/>
    <w:link w:val="Heading2Char"/>
    <w:uiPriority w:val="9"/>
    <w:unhideWhenUsed/>
    <w:qFormat/>
    <w:rsid w:val="00161A93"/>
    <w:pPr>
      <w:keepNext/>
      <w:keepLines/>
      <w:numPr>
        <w:ilvl w:val="1"/>
        <w:numId w:val="8"/>
      </w:numPr>
      <w:spacing w:before="240" w:after="240"/>
      <w:jc w:val="left"/>
      <w:outlineLvl w:val="1"/>
    </w:pPr>
    <w:rPr>
      <w:rFonts w:eastAsiaTheme="majorEastAsia" w:cstheme="majorBidi"/>
      <w:b/>
      <w:bCs/>
      <w:color w:val="0099FF"/>
      <w:sz w:val="24"/>
      <w:szCs w:val="26"/>
      <w:lang w:val="en-US"/>
    </w:rPr>
  </w:style>
  <w:style w:type="paragraph" w:styleId="Heading3">
    <w:name w:val="heading 3"/>
    <w:basedOn w:val="Normal"/>
    <w:next w:val="Normal"/>
    <w:link w:val="Heading3Char"/>
    <w:uiPriority w:val="9"/>
    <w:semiHidden/>
    <w:unhideWhenUsed/>
    <w:qFormat/>
    <w:rsid w:val="00161A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1A93"/>
    <w:pPr>
      <w:keepNext/>
      <w:keepLines/>
      <w:numPr>
        <w:numId w:val="7"/>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E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tblPr/>
      <w:tcPr>
        <w:shd w:val="clear" w:color="auto" w:fill="FFFFFF" w:themeFill="background1"/>
      </w:tcPr>
    </w:tblStylePr>
  </w:style>
  <w:style w:type="character" w:customStyle="1" w:styleId="Heading2Char">
    <w:name w:val="Heading 2 Char"/>
    <w:basedOn w:val="DefaultParagraphFont"/>
    <w:link w:val="Heading2"/>
    <w:uiPriority w:val="9"/>
    <w:rsid w:val="00161A93"/>
    <w:rPr>
      <w:rFonts w:ascii="Arial" w:eastAsiaTheme="majorEastAsia" w:hAnsi="Arial" w:cstheme="majorBidi"/>
      <w:b/>
      <w:bCs/>
      <w:color w:val="0099FF"/>
      <w:sz w:val="24"/>
      <w:szCs w:val="26"/>
    </w:rPr>
  </w:style>
  <w:style w:type="character" w:customStyle="1" w:styleId="Heading4Char">
    <w:name w:val="Heading 4 Char"/>
    <w:basedOn w:val="DefaultParagraphFont"/>
    <w:link w:val="Heading4"/>
    <w:uiPriority w:val="9"/>
    <w:rsid w:val="00161A93"/>
    <w:rPr>
      <w:rFonts w:asciiTheme="majorHAnsi" w:eastAsiaTheme="majorEastAsia" w:hAnsiTheme="majorHAnsi" w:cstheme="majorBidi"/>
      <w:b/>
      <w:bCs/>
      <w:i/>
      <w:iCs/>
      <w:color w:val="4F81BD" w:themeColor="accent1"/>
      <w:lang w:val="fr-FR"/>
    </w:rPr>
  </w:style>
  <w:style w:type="paragraph" w:styleId="ListParagraph">
    <w:name w:val="List Paragraph"/>
    <w:basedOn w:val="Normal"/>
    <w:link w:val="ListParagraphChar"/>
    <w:uiPriority w:val="99"/>
    <w:qFormat/>
    <w:rsid w:val="00161A93"/>
    <w:pPr>
      <w:ind w:left="720"/>
      <w:contextualSpacing/>
    </w:pPr>
  </w:style>
  <w:style w:type="character" w:customStyle="1" w:styleId="ListParagraphChar">
    <w:name w:val="List Paragraph Char"/>
    <w:link w:val="ListParagraph"/>
    <w:uiPriority w:val="99"/>
    <w:rsid w:val="00161A93"/>
    <w:rPr>
      <w:rFonts w:ascii="Arial" w:hAnsi="Arial"/>
      <w:lang w:val="fr-FR"/>
    </w:rPr>
  </w:style>
  <w:style w:type="paragraph" w:customStyle="1" w:styleId="Heading3-Tool">
    <w:name w:val="Heading 3- Tool"/>
    <w:basedOn w:val="Heading3"/>
    <w:link w:val="Heading3-ToolChar"/>
    <w:qFormat/>
    <w:rsid w:val="00161A93"/>
    <w:pPr>
      <w:numPr>
        <w:numId w:val="6"/>
      </w:numPr>
      <w:spacing w:before="240" w:after="240"/>
    </w:pPr>
    <w:rPr>
      <w:rFonts w:ascii="Arial" w:hAnsi="Arial"/>
      <w:color w:val="0070C0"/>
    </w:rPr>
  </w:style>
  <w:style w:type="character" w:customStyle="1" w:styleId="Heading3-ToolChar">
    <w:name w:val="Heading 3- Tool Char"/>
    <w:basedOn w:val="Heading3Char"/>
    <w:link w:val="Heading3-Tool"/>
    <w:rsid w:val="00161A93"/>
    <w:rPr>
      <w:rFonts w:ascii="Arial" w:eastAsiaTheme="majorEastAsia" w:hAnsi="Arial" w:cstheme="majorBidi"/>
      <w:b/>
      <w:bCs/>
      <w:color w:val="0070C0"/>
      <w:lang w:val="fr-FR"/>
    </w:rPr>
  </w:style>
  <w:style w:type="character" w:customStyle="1" w:styleId="Heading3Char">
    <w:name w:val="Heading 3 Char"/>
    <w:basedOn w:val="DefaultParagraphFont"/>
    <w:link w:val="Heading3"/>
    <w:uiPriority w:val="9"/>
    <w:semiHidden/>
    <w:rsid w:val="00161A93"/>
    <w:rPr>
      <w:rFonts w:asciiTheme="majorHAnsi" w:eastAsiaTheme="majorEastAsia" w:hAnsiTheme="majorHAnsi" w:cstheme="majorBidi"/>
      <w:b/>
      <w:bCs/>
      <w:color w:val="4F81BD" w:themeColor="accent1"/>
      <w:lang w:val="fr-FR"/>
    </w:rPr>
  </w:style>
  <w:style w:type="paragraph" w:styleId="Header">
    <w:name w:val="header"/>
    <w:basedOn w:val="Normal"/>
    <w:link w:val="HeaderChar"/>
    <w:uiPriority w:val="99"/>
    <w:semiHidden/>
    <w:unhideWhenUsed/>
    <w:rsid w:val="002D59A8"/>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D59A8"/>
    <w:rPr>
      <w:rFonts w:ascii="Arial" w:hAnsi="Arial"/>
      <w:lang w:val="fr-FR"/>
    </w:rPr>
  </w:style>
  <w:style w:type="paragraph" w:styleId="Footer">
    <w:name w:val="footer"/>
    <w:basedOn w:val="Normal"/>
    <w:link w:val="FooterChar"/>
    <w:uiPriority w:val="99"/>
    <w:unhideWhenUsed/>
    <w:rsid w:val="002D59A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D59A8"/>
    <w:rPr>
      <w:rFonts w:ascii="Arial" w:hAnsi="Arial"/>
      <w:lang w:val="fr-FR"/>
    </w:rPr>
  </w:style>
  <w:style w:type="paragraph" w:styleId="BalloonText">
    <w:name w:val="Balloon Text"/>
    <w:basedOn w:val="Normal"/>
    <w:link w:val="BalloonTextChar"/>
    <w:uiPriority w:val="99"/>
    <w:semiHidden/>
    <w:unhideWhenUsed/>
    <w:rsid w:val="0098316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169"/>
    <w:rPr>
      <w:rFonts w:ascii="Segoe UI" w:hAnsi="Segoe UI" w:cs="Segoe UI"/>
      <w:sz w:val="18"/>
      <w:szCs w:val="18"/>
      <w:lang w:val="fr-FR"/>
    </w:rPr>
  </w:style>
  <w:style w:type="character" w:styleId="Hyperlink">
    <w:name w:val="Hyperlink"/>
    <w:basedOn w:val="DefaultParagraphFont"/>
    <w:uiPriority w:val="99"/>
    <w:unhideWhenUsed/>
    <w:rsid w:val="00662B98"/>
    <w:rPr>
      <w:color w:val="0000FF" w:themeColor="hyperlink"/>
      <w:u w:val="single"/>
    </w:rPr>
  </w:style>
  <w:style w:type="paragraph" w:customStyle="1" w:styleId="Paragraph">
    <w:name w:val="* Paragraph"/>
    <w:aliases w:val="left-aligned1"/>
    <w:uiPriority w:val="99"/>
    <w:rsid w:val="00662B98"/>
    <w:pPr>
      <w:widowControl w:val="0"/>
      <w:autoSpaceDE w:val="0"/>
      <w:autoSpaceDN w:val="0"/>
      <w:adjustRightInd w:val="0"/>
      <w:spacing w:after="0" w:line="240" w:lineRule="atLeast"/>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21258207">
      <w:bodyDiv w:val="1"/>
      <w:marLeft w:val="0"/>
      <w:marRight w:val="0"/>
      <w:marTop w:val="0"/>
      <w:marBottom w:val="0"/>
      <w:divBdr>
        <w:top w:val="none" w:sz="0" w:space="0" w:color="auto"/>
        <w:left w:val="none" w:sz="0" w:space="0" w:color="auto"/>
        <w:bottom w:val="none" w:sz="0" w:space="0" w:color="auto"/>
        <w:right w:val="none" w:sz="0" w:space="0" w:color="auto"/>
      </w:divBdr>
    </w:div>
    <w:div w:id="21024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11</cp:revision>
  <cp:lastPrinted>2016-08-23T03:46:00Z</cp:lastPrinted>
  <dcterms:created xsi:type="dcterms:W3CDTF">2016-09-27T09:38:00Z</dcterms:created>
  <dcterms:modified xsi:type="dcterms:W3CDTF">2017-01-06T02:19:00Z</dcterms:modified>
</cp:coreProperties>
</file>