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80C4" w14:textId="292E02D9" w:rsidR="00DE5F8A" w:rsidRPr="007674DF" w:rsidRDefault="00DE5F8A" w:rsidP="16B5A9DA">
      <w:pPr>
        <w:rPr>
          <w:b/>
        </w:rPr>
      </w:pPr>
    </w:p>
    <w:p w14:paraId="489C02A7" w14:textId="77777777" w:rsidR="00DE5F8A" w:rsidRDefault="00DE5F8A" w:rsidP="16B5A9DA">
      <w:pPr>
        <w:rPr>
          <w:b/>
          <w:bCs/>
        </w:rPr>
      </w:pPr>
    </w:p>
    <w:p w14:paraId="7AB93375" w14:textId="5402F218" w:rsidR="35ADDD24" w:rsidRDefault="35ADDD24" w:rsidP="16B5A9DA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CD8917" wp14:editId="1EA42CD7">
            <wp:simplePos x="0" y="0"/>
            <wp:positionH relativeFrom="column">
              <wp:posOffset>-92208</wp:posOffset>
            </wp:positionH>
            <wp:positionV relativeFrom="page">
              <wp:posOffset>545566</wp:posOffset>
            </wp:positionV>
            <wp:extent cx="3195955" cy="861060"/>
            <wp:effectExtent l="0" t="0" r="4445" b="0"/>
            <wp:wrapNone/>
            <wp:docPr id="1824906817" name="Picture 1824906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298" w:rsidRPr="39DCB0E7">
        <w:rPr>
          <w:rFonts w:cs="Arial"/>
          <w:color w:val="000000"/>
        </w:rPr>
        <w:t>POST TITLE:</w:t>
      </w:r>
      <w:r w:rsidR="00EA7298">
        <w:rPr>
          <w:rFonts w:cs="Arial"/>
          <w:color w:val="000000"/>
        </w:rPr>
        <w:tab/>
      </w:r>
      <w:r w:rsidR="00EA7298">
        <w:rPr>
          <w:rFonts w:cs="Arial"/>
          <w:color w:val="000000"/>
        </w:rPr>
        <w:tab/>
      </w:r>
      <w:r w:rsidR="00913EB2">
        <w:t>Community Chef</w:t>
      </w:r>
    </w:p>
    <w:p w14:paraId="09CE1FE1" w14:textId="327C06F9" w:rsidR="00EA7298" w:rsidRDefault="00EA7298">
      <w:pPr>
        <w:rPr>
          <w:b/>
        </w:rPr>
      </w:pPr>
      <w:r>
        <w:rPr>
          <w:rFonts w:cs="Arial"/>
          <w:color w:val="000000"/>
        </w:rPr>
        <w:t xml:space="preserve">LOCATION:       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316D1D">
        <w:t xml:space="preserve">The Bank, </w:t>
      </w:r>
      <w:r>
        <w:t xml:space="preserve">84 Main Street, </w:t>
      </w:r>
      <w:r w:rsidRPr="00316D1D">
        <w:t xml:space="preserve">Neilston </w:t>
      </w:r>
      <w:r>
        <w:t>G78 3EA</w:t>
      </w:r>
      <w:r w:rsidRPr="00945B58">
        <w:rPr>
          <w:b/>
        </w:rPr>
        <w:t xml:space="preserve"> </w:t>
      </w:r>
    </w:p>
    <w:p w14:paraId="1944D211" w14:textId="100E554B" w:rsidR="00EA7298" w:rsidRDefault="00EA7298" w:rsidP="00EA7298">
      <w:r w:rsidRPr="00EA7298">
        <w:rPr>
          <w:bCs/>
        </w:rPr>
        <w:t>RESPONSIBLE TO</w:t>
      </w:r>
      <w:r>
        <w:t xml:space="preserve">; </w:t>
      </w:r>
      <w:r>
        <w:tab/>
        <w:t xml:space="preserve">GET Local Lead Officer </w:t>
      </w:r>
    </w:p>
    <w:p w14:paraId="0DBE7B89" w14:textId="6D143992" w:rsidR="00EA7298" w:rsidRDefault="00EA7298" w:rsidP="00EA7298">
      <w:pPr>
        <w:ind w:left="2160" w:hanging="2160"/>
      </w:pPr>
      <w:r w:rsidRPr="00EA7298">
        <w:t>HOURS;</w:t>
      </w:r>
      <w:r>
        <w:t xml:space="preserve"> </w:t>
      </w:r>
      <w:r>
        <w:tab/>
      </w:r>
      <w:r w:rsidR="00913EB2">
        <w:t>15 hours per week, with some flexible working</w:t>
      </w:r>
    </w:p>
    <w:p w14:paraId="20B3222D" w14:textId="3B70572E" w:rsidR="003E0F60" w:rsidRDefault="00913EB2" w:rsidP="00EA7298">
      <w:pPr>
        <w:ind w:left="2160" w:hanging="2160"/>
      </w:pPr>
      <w:r>
        <w:t>SALARY</w:t>
      </w:r>
      <w:r w:rsidR="00EA7298" w:rsidRPr="00EA7298">
        <w:t>;</w:t>
      </w:r>
      <w:r w:rsidR="003E0F60">
        <w:t xml:space="preserve"> </w:t>
      </w:r>
      <w:r w:rsidR="00EA7298">
        <w:tab/>
      </w:r>
      <w:r w:rsidR="006C16C2">
        <w:t>£9,547 (full time equivalent £22,</w:t>
      </w:r>
      <w:r w:rsidR="004041F8">
        <w:t>276</w:t>
      </w:r>
      <w:r>
        <w:t>)</w:t>
      </w:r>
    </w:p>
    <w:p w14:paraId="5777645E" w14:textId="507C0454" w:rsidR="00913EB2" w:rsidRPr="00416E93" w:rsidRDefault="00416E93" w:rsidP="00913EB2">
      <w:pPr>
        <w:rPr>
          <w:rFonts w:cs="Calibri"/>
          <w:color w:val="000000"/>
        </w:rPr>
      </w:pPr>
      <w:r w:rsidRPr="00416E93">
        <w:rPr>
          <w:rFonts w:cs="Calibri"/>
          <w:color w:val="000000"/>
        </w:rPr>
        <w:t>CONTRACT</w:t>
      </w:r>
      <w:r w:rsidR="00913EB2" w:rsidRPr="00416E93">
        <w:rPr>
          <w:rFonts w:cs="Calibri"/>
          <w:color w:val="000000"/>
        </w:rPr>
        <w:t xml:space="preserve">:  </w:t>
      </w:r>
      <w:r w:rsidR="00913EB2" w:rsidRPr="00416E93">
        <w:rPr>
          <w:rFonts w:cs="Calibri"/>
          <w:color w:val="000000"/>
        </w:rPr>
        <w:tab/>
      </w:r>
      <w:r w:rsidRPr="00416E93">
        <w:rPr>
          <w:rFonts w:cs="Calibri"/>
          <w:color w:val="000000"/>
        </w:rPr>
        <w:tab/>
      </w:r>
      <w:r w:rsidR="00913EB2" w:rsidRPr="00416E93">
        <w:rPr>
          <w:rFonts w:cs="Calibri"/>
          <w:color w:val="000000"/>
        </w:rPr>
        <w:t xml:space="preserve">Fixed term, to end March 2020 </w:t>
      </w:r>
    </w:p>
    <w:p w14:paraId="6950EC60" w14:textId="77777777" w:rsidR="00416E93" w:rsidRDefault="00416E93" w:rsidP="00EA7298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lang w:eastAsia="en-GB"/>
        </w:rPr>
      </w:pPr>
    </w:p>
    <w:p w14:paraId="781B0133" w14:textId="389939F3" w:rsidR="00EA7298" w:rsidRPr="00B05055" w:rsidRDefault="00EA7298" w:rsidP="00EA7298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lang w:eastAsia="en-GB"/>
        </w:rPr>
      </w:pPr>
      <w:r w:rsidRPr="00B05055">
        <w:rPr>
          <w:rFonts w:ascii="Calibri" w:eastAsia="Times New Roman" w:hAnsi="Calibri" w:cs="Calibri"/>
          <w:b/>
          <w:lang w:eastAsia="en-GB"/>
        </w:rPr>
        <w:t xml:space="preserve">OVERALL PURPOSE OF ROLE:  </w:t>
      </w:r>
    </w:p>
    <w:p w14:paraId="40A22F9C" w14:textId="77777777" w:rsidR="00416E93" w:rsidRDefault="00416E93" w:rsidP="00EA7298">
      <w:pPr>
        <w:rPr>
          <w:rFonts w:ascii="Calibri" w:eastAsia="Calibri" w:hAnsi="Calibri" w:cs="Calibri"/>
          <w:b/>
          <w:bCs/>
        </w:rPr>
      </w:pPr>
    </w:p>
    <w:p w14:paraId="39B8B52D" w14:textId="1B8461A1" w:rsidR="00EA7298" w:rsidRDefault="00EA7298" w:rsidP="00EA7298">
      <w:r w:rsidRPr="39DCB0E7">
        <w:rPr>
          <w:rFonts w:ascii="Calibri" w:eastAsia="Calibri" w:hAnsi="Calibri" w:cs="Calibri"/>
          <w:b/>
          <w:bCs/>
        </w:rPr>
        <w:t>Role description:</w:t>
      </w:r>
    </w:p>
    <w:p w14:paraId="58436DA2" w14:textId="080BAEF1" w:rsidR="00416E93" w:rsidRPr="00373828" w:rsidRDefault="00416E93" w:rsidP="00416E93">
      <w:pPr>
        <w:spacing w:after="200" w:line="276" w:lineRule="auto"/>
        <w:rPr>
          <w:rFonts w:cs="Calibri"/>
          <w:b/>
          <w:color w:val="000000"/>
          <w:sz w:val="24"/>
          <w:szCs w:val="24"/>
        </w:rPr>
      </w:pPr>
      <w:r w:rsidRPr="00373828">
        <w:rPr>
          <w:rFonts w:cs="Calibri"/>
          <w:color w:val="000000"/>
          <w:sz w:val="24"/>
          <w:szCs w:val="24"/>
        </w:rPr>
        <w:t>To assist Neilston Development Trust in the delivery of the CCF ‘GET Local</w:t>
      </w:r>
      <w:proofErr w:type="gramStart"/>
      <w:r w:rsidRPr="00373828">
        <w:rPr>
          <w:rFonts w:cs="Calibri"/>
          <w:color w:val="000000"/>
          <w:sz w:val="24"/>
          <w:szCs w:val="24"/>
        </w:rPr>
        <w:t>’  initiative</w:t>
      </w:r>
      <w:proofErr w:type="gramEnd"/>
      <w:r w:rsidRPr="00373828">
        <w:rPr>
          <w:rFonts w:cs="Calibri"/>
          <w:color w:val="000000"/>
          <w:sz w:val="24"/>
          <w:szCs w:val="24"/>
        </w:rPr>
        <w:t xml:space="preserve"> through the provision of quality  food, focusing on local produce, and the delivery of cooking classes and workshops for audiences consisting of local residents, schoolchildren and community groups</w:t>
      </w:r>
      <w:r w:rsidR="00046E86">
        <w:rPr>
          <w:rFonts w:cs="Calibri"/>
          <w:color w:val="000000"/>
          <w:sz w:val="24"/>
          <w:szCs w:val="24"/>
        </w:rPr>
        <w:t>.</w:t>
      </w:r>
      <w:r w:rsidRPr="00373828">
        <w:rPr>
          <w:rFonts w:cs="Calibri"/>
          <w:color w:val="000000"/>
          <w:sz w:val="24"/>
          <w:szCs w:val="24"/>
        </w:rPr>
        <w:t xml:space="preserve">  </w:t>
      </w:r>
    </w:p>
    <w:p w14:paraId="4ACE35E5" w14:textId="2788CDDA" w:rsidR="002C2D52" w:rsidRPr="00EA7298" w:rsidRDefault="00EA7298">
      <w:pPr>
        <w:rPr>
          <w:b/>
        </w:rPr>
      </w:pPr>
      <w:r w:rsidRPr="00EA7298">
        <w:rPr>
          <w:b/>
        </w:rPr>
        <w:t>Key tasks</w:t>
      </w:r>
    </w:p>
    <w:p w14:paraId="0107E90E" w14:textId="511EB722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Developing menus which demonstrate the potential of locally grown and sourced foodstuffs to provide tasty, affordable and easily prepared meals and snacks.</w:t>
      </w:r>
    </w:p>
    <w:p w14:paraId="27846ECB" w14:textId="621CFB24" w:rsidR="00416E93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To develop, lead and deliver cooking classes which build on</w:t>
      </w:r>
      <w:r>
        <w:rPr>
          <w:rFonts w:eastAsia="Times New Roman" w:cs="Calibri"/>
          <w:color w:val="000000"/>
          <w:sz w:val="24"/>
          <w:szCs w:val="24"/>
        </w:rPr>
        <w:t xml:space="preserve"> the</w:t>
      </w:r>
      <w:r w:rsidR="009C77F8">
        <w:rPr>
          <w:rFonts w:eastAsia="Times New Roman" w:cs="Calibri"/>
          <w:color w:val="000000"/>
          <w:sz w:val="24"/>
          <w:szCs w:val="24"/>
        </w:rPr>
        <w:t>se</w:t>
      </w:r>
      <w:r>
        <w:rPr>
          <w:rFonts w:eastAsia="Times New Roman" w:cs="Calibri"/>
          <w:color w:val="000000"/>
          <w:sz w:val="24"/>
          <w:szCs w:val="24"/>
        </w:rPr>
        <w:t xml:space="preserve"> me</w:t>
      </w:r>
      <w:r w:rsidR="00C343B7">
        <w:rPr>
          <w:rFonts w:eastAsia="Times New Roman" w:cs="Calibri"/>
          <w:color w:val="000000"/>
          <w:sz w:val="24"/>
          <w:szCs w:val="24"/>
        </w:rPr>
        <w:t>nus, while also offering skills development for those taking part in the classes, building confidence and competence around the theme of cooking</w:t>
      </w:r>
      <w:r w:rsidR="009C77F8">
        <w:rPr>
          <w:rFonts w:eastAsia="Times New Roman" w:cs="Calibri"/>
          <w:color w:val="000000"/>
          <w:sz w:val="24"/>
          <w:szCs w:val="24"/>
        </w:rPr>
        <w:t>.</w:t>
      </w:r>
    </w:p>
    <w:p w14:paraId="0CDB6C7F" w14:textId="145886C4" w:rsidR="00C343B7" w:rsidRPr="00373828" w:rsidRDefault="00C343B7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To develop, lead and deliver bespoke classes which are tailored to the needs of specific groups within the community.</w:t>
      </w:r>
    </w:p>
    <w:p w14:paraId="1E9B17C6" w14:textId="77777777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Collaborating with other members of the GET Local team to ensure optimal integration of the food growing agenda.</w:t>
      </w:r>
    </w:p>
    <w:p w14:paraId="3EEBC47C" w14:textId="4A6BB1AE" w:rsidR="00416E93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 xml:space="preserve">Ensuring high standards of hygiene and compliance with health and safety procedures (EHO) and ISO 9001 2000 (site record book and associated documentation) </w:t>
      </w:r>
    </w:p>
    <w:p w14:paraId="208C364E" w14:textId="1FEF8F93" w:rsidR="00416E93" w:rsidRDefault="00416E93" w:rsidP="00416E93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5ADD394F" w14:textId="77777777" w:rsidR="00416E93" w:rsidRPr="00373828" w:rsidRDefault="00416E93" w:rsidP="00416E93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Other duties</w:t>
      </w:r>
    </w:p>
    <w:p w14:paraId="73EC7858" w14:textId="77777777" w:rsidR="00416E93" w:rsidRPr="00373828" w:rsidRDefault="00416E93" w:rsidP="00416E93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7466FADB" w14:textId="77777777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Supervising all work associated with the provision of food, including menu planning, portion control, food preparation and cooking. This will involve the supervision of sessional staff.</w:t>
      </w:r>
    </w:p>
    <w:p w14:paraId="2DB28A10" w14:textId="77777777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Demonstrate good practice by minimising food waste through careful planning and ensuring composting of food scraps and peelings</w:t>
      </w:r>
      <w:r>
        <w:rPr>
          <w:rFonts w:eastAsia="Times New Roman" w:cs="Calibri"/>
          <w:color w:val="000000"/>
          <w:sz w:val="24"/>
          <w:szCs w:val="24"/>
        </w:rPr>
        <w:t>, and</w:t>
      </w:r>
      <w:r w:rsidRPr="00F615C2">
        <w:rPr>
          <w:rFonts w:eastAsia="Times New Roman" w:cs="Calibri"/>
          <w:color w:val="000000"/>
          <w:sz w:val="24"/>
          <w:szCs w:val="24"/>
        </w:rPr>
        <w:t xml:space="preserve"> </w:t>
      </w:r>
      <w:r w:rsidRPr="00373828">
        <w:rPr>
          <w:rFonts w:eastAsia="Times New Roman" w:cs="Calibri"/>
          <w:color w:val="000000"/>
          <w:sz w:val="24"/>
          <w:szCs w:val="24"/>
        </w:rPr>
        <w:t>through having regard to</w:t>
      </w:r>
      <w:r>
        <w:rPr>
          <w:rFonts w:eastAsia="Times New Roman" w:cs="Calibri"/>
          <w:color w:val="000000"/>
          <w:sz w:val="24"/>
          <w:szCs w:val="24"/>
        </w:rPr>
        <w:t xml:space="preserve"> energy conservation in cooking and</w:t>
      </w:r>
      <w:r w:rsidRPr="00373828">
        <w:rPr>
          <w:rFonts w:eastAsia="Times New Roman" w:cs="Calibri"/>
          <w:color w:val="000000"/>
          <w:sz w:val="24"/>
          <w:szCs w:val="24"/>
        </w:rPr>
        <w:t xml:space="preserve"> food storage</w:t>
      </w:r>
    </w:p>
    <w:p w14:paraId="35674DDF" w14:textId="77777777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Minimising the use of plastics, paper and harmful detergents in the cooking classes</w:t>
      </w:r>
    </w:p>
    <w:p w14:paraId="5723377B" w14:textId="77777777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 xml:space="preserve">Overseeing and mentoring all volunteers and residents participating in workshops </w:t>
      </w:r>
    </w:p>
    <w:p w14:paraId="2A96675B" w14:textId="77777777" w:rsidR="009C77F8" w:rsidRPr="00373828" w:rsidRDefault="009C77F8" w:rsidP="009C77F8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lastRenderedPageBreak/>
        <w:t xml:space="preserve">Undertaking training in food and climate change issues and courses provided by CCF and others. </w:t>
      </w:r>
    </w:p>
    <w:p w14:paraId="7D1450DB" w14:textId="77777777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 xml:space="preserve">Ordering and procuring </w:t>
      </w:r>
      <w:r>
        <w:rPr>
          <w:rFonts w:eastAsia="Times New Roman" w:cs="Calibri"/>
          <w:color w:val="000000"/>
          <w:sz w:val="24"/>
          <w:szCs w:val="24"/>
        </w:rPr>
        <w:t>supplies</w:t>
      </w:r>
      <w:r w:rsidRPr="00373828">
        <w:rPr>
          <w:rFonts w:eastAsia="Times New Roman" w:cs="Calibri"/>
          <w:color w:val="000000"/>
          <w:sz w:val="24"/>
          <w:szCs w:val="24"/>
        </w:rPr>
        <w:t xml:space="preserve"> linked to delivering the low carbon /healthy eating element of the initiative </w:t>
      </w:r>
    </w:p>
    <w:p w14:paraId="2C871FA0" w14:textId="77777777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Undertaking all administrative tasks appropriate to the post.</w:t>
      </w:r>
    </w:p>
    <w:p w14:paraId="56D5014F" w14:textId="77777777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Where appropriate, wearing a uniform or protective clothing.</w:t>
      </w:r>
    </w:p>
    <w:p w14:paraId="44A018C7" w14:textId="77777777" w:rsidR="00416E93" w:rsidRPr="00373828" w:rsidRDefault="00416E93" w:rsidP="00416E93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73828">
        <w:rPr>
          <w:rFonts w:eastAsia="Times New Roman" w:cs="Calibri"/>
          <w:color w:val="000000"/>
          <w:sz w:val="24"/>
          <w:szCs w:val="24"/>
        </w:rPr>
        <w:t>Other duties as required by the NDT board</w:t>
      </w:r>
    </w:p>
    <w:p w14:paraId="4463CDB9" w14:textId="4342F724" w:rsidR="00416E93" w:rsidRDefault="00416E93" w:rsidP="00416E93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7B1004A1" w14:textId="77777777" w:rsidR="00046E86" w:rsidRPr="00373828" w:rsidRDefault="00046E86" w:rsidP="00416E93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0DA79740" w14:textId="77777777" w:rsidR="00416E93" w:rsidRPr="00373828" w:rsidRDefault="00416E93" w:rsidP="00416E93">
      <w:pPr>
        <w:rPr>
          <w:rFonts w:cs="Calibri"/>
          <w:b/>
          <w:color w:val="000000"/>
          <w:sz w:val="24"/>
          <w:szCs w:val="24"/>
        </w:rPr>
      </w:pPr>
      <w:r w:rsidRPr="00373828">
        <w:rPr>
          <w:rFonts w:cs="Calibri"/>
          <w:b/>
          <w:color w:val="000000"/>
          <w:sz w:val="24"/>
          <w:szCs w:val="24"/>
        </w:rPr>
        <w:t>Person Specification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843"/>
        <w:gridCol w:w="1843"/>
      </w:tblGrid>
      <w:tr w:rsidR="00416E93" w:rsidRPr="00373828" w14:paraId="424D9049" w14:textId="77777777" w:rsidTr="002C3CC8">
        <w:tc>
          <w:tcPr>
            <w:tcW w:w="5778" w:type="dxa"/>
          </w:tcPr>
          <w:p w14:paraId="71622619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Competence</w:t>
            </w:r>
          </w:p>
          <w:p w14:paraId="5D5C8198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40E48F71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 xml:space="preserve">Essential </w:t>
            </w:r>
          </w:p>
        </w:tc>
        <w:tc>
          <w:tcPr>
            <w:tcW w:w="1843" w:type="dxa"/>
          </w:tcPr>
          <w:p w14:paraId="1B5FB91F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Desirable</w:t>
            </w:r>
          </w:p>
        </w:tc>
      </w:tr>
      <w:tr w:rsidR="00416E93" w:rsidRPr="00373828" w14:paraId="2449DBCC" w14:textId="77777777" w:rsidTr="002C3CC8">
        <w:tc>
          <w:tcPr>
            <w:tcW w:w="5778" w:type="dxa"/>
          </w:tcPr>
          <w:p w14:paraId="34A518F0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Qualifications</w:t>
            </w:r>
          </w:p>
          <w:p w14:paraId="3CBA6F8D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57564F2F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2528AB8C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16E93" w:rsidRPr="00373828" w14:paraId="2406A691" w14:textId="77777777" w:rsidTr="002C3CC8">
        <w:tc>
          <w:tcPr>
            <w:tcW w:w="5778" w:type="dxa"/>
          </w:tcPr>
          <w:p w14:paraId="4081F4F4" w14:textId="77777777" w:rsidR="00416E93" w:rsidRPr="00373828" w:rsidRDefault="00416E93" w:rsidP="00416E93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Recognised certification in Catering &amp; Food hygiene</w:t>
            </w:r>
          </w:p>
          <w:p w14:paraId="549F184B" w14:textId="77777777" w:rsidR="00416E93" w:rsidRPr="00373828" w:rsidRDefault="00416E93" w:rsidP="002C3CC8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7673E569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843" w:type="dxa"/>
          </w:tcPr>
          <w:p w14:paraId="5734EA20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16E93" w:rsidRPr="00373828" w14:paraId="39F9CF6C" w14:textId="77777777" w:rsidTr="002C3CC8">
        <w:tc>
          <w:tcPr>
            <w:tcW w:w="5778" w:type="dxa"/>
          </w:tcPr>
          <w:p w14:paraId="2E30D375" w14:textId="77777777" w:rsidR="00416E93" w:rsidRPr="00373828" w:rsidRDefault="00416E93" w:rsidP="00416E93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Good knowledge of national food policies, ‘Good Food Nation, public health and climate –related issues</w:t>
            </w:r>
          </w:p>
        </w:tc>
        <w:tc>
          <w:tcPr>
            <w:tcW w:w="1843" w:type="dxa"/>
          </w:tcPr>
          <w:p w14:paraId="222CED9F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30A4B67E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416E93" w:rsidRPr="00373828" w14:paraId="308AB8B1" w14:textId="77777777" w:rsidTr="002C3CC8">
        <w:tc>
          <w:tcPr>
            <w:tcW w:w="5778" w:type="dxa"/>
          </w:tcPr>
          <w:p w14:paraId="3F973F4C" w14:textId="77777777" w:rsidR="00416E93" w:rsidRPr="00373828" w:rsidRDefault="00416E93" w:rsidP="00416E93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Good Knowledge of Food &amp; Catering sector and specifically healthy eating and local produce choices </w:t>
            </w:r>
          </w:p>
        </w:tc>
        <w:tc>
          <w:tcPr>
            <w:tcW w:w="1843" w:type="dxa"/>
          </w:tcPr>
          <w:p w14:paraId="28641104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843" w:type="dxa"/>
          </w:tcPr>
          <w:p w14:paraId="21ED8818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16E93" w:rsidRPr="00373828" w14:paraId="4E0D2DAE" w14:textId="77777777" w:rsidTr="002C3CC8">
        <w:tc>
          <w:tcPr>
            <w:tcW w:w="5778" w:type="dxa"/>
          </w:tcPr>
          <w:p w14:paraId="54DC2C13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 xml:space="preserve">Skills, abilities and experience </w:t>
            </w:r>
          </w:p>
          <w:p w14:paraId="1D93C393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48C29CBE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6D0403A8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16E93" w:rsidRPr="00373828" w14:paraId="30988E05" w14:textId="77777777" w:rsidTr="002C3CC8">
        <w:tc>
          <w:tcPr>
            <w:tcW w:w="5778" w:type="dxa"/>
          </w:tcPr>
          <w:p w14:paraId="6A9E4A8B" w14:textId="77777777" w:rsidR="00416E93" w:rsidRPr="00373828" w:rsidRDefault="00416E93" w:rsidP="00416E93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Minimum 24 months previous experience in a community-facing food environment</w:t>
            </w:r>
          </w:p>
        </w:tc>
        <w:tc>
          <w:tcPr>
            <w:tcW w:w="1843" w:type="dxa"/>
          </w:tcPr>
          <w:p w14:paraId="559EAAA2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4304F785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416E93" w:rsidRPr="00373828" w14:paraId="23B676DC" w14:textId="77777777" w:rsidTr="002C3CC8">
        <w:tc>
          <w:tcPr>
            <w:tcW w:w="5778" w:type="dxa"/>
          </w:tcPr>
          <w:p w14:paraId="678D3473" w14:textId="77777777" w:rsidR="00416E93" w:rsidRPr="00373828" w:rsidRDefault="00416E93" w:rsidP="00416E93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Excellence in communication with non-specialist audiences</w:t>
            </w:r>
          </w:p>
        </w:tc>
        <w:tc>
          <w:tcPr>
            <w:tcW w:w="1843" w:type="dxa"/>
          </w:tcPr>
          <w:p w14:paraId="2F22096D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843" w:type="dxa"/>
          </w:tcPr>
          <w:p w14:paraId="47D078C8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16E93" w:rsidRPr="00373828" w14:paraId="6A252943" w14:textId="77777777" w:rsidTr="002C3CC8">
        <w:tc>
          <w:tcPr>
            <w:tcW w:w="5778" w:type="dxa"/>
          </w:tcPr>
          <w:p w14:paraId="29FAA679" w14:textId="77777777" w:rsidR="00416E93" w:rsidRPr="00373828" w:rsidRDefault="00416E93" w:rsidP="00416E93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Competence in using Microsoft Word, Excel and Access office software packages, email and the Internet</w:t>
            </w:r>
          </w:p>
        </w:tc>
        <w:tc>
          <w:tcPr>
            <w:tcW w:w="1843" w:type="dxa"/>
          </w:tcPr>
          <w:p w14:paraId="0FD12D8D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66CD3989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416E93" w:rsidRPr="00373828" w14:paraId="68A602EF" w14:textId="77777777" w:rsidTr="002C3CC8">
        <w:tc>
          <w:tcPr>
            <w:tcW w:w="5778" w:type="dxa"/>
          </w:tcPr>
          <w:p w14:paraId="2EACF025" w14:textId="77777777" w:rsidR="00416E93" w:rsidRPr="00373828" w:rsidRDefault="00416E93" w:rsidP="00416E93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Proven ability in project monitoring and </w:t>
            </w:r>
            <w:proofErr w:type="gramStart"/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reporting  systems</w:t>
            </w:r>
            <w:proofErr w:type="gramEnd"/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</w:tcPr>
          <w:p w14:paraId="3B857822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0A5E8F24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416E93" w:rsidRPr="00373828" w14:paraId="6D092044" w14:textId="77777777" w:rsidTr="002C3CC8">
        <w:tc>
          <w:tcPr>
            <w:tcW w:w="5778" w:type="dxa"/>
          </w:tcPr>
          <w:p w14:paraId="43CB8721" w14:textId="77777777" w:rsidR="00416E93" w:rsidRPr="00373828" w:rsidRDefault="00416E93" w:rsidP="00416E93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Excellent organisational skills and the ability to prioritise work effectively in an environment that can sometimes be pressurised</w:t>
            </w:r>
          </w:p>
        </w:tc>
        <w:tc>
          <w:tcPr>
            <w:tcW w:w="1843" w:type="dxa"/>
          </w:tcPr>
          <w:p w14:paraId="720BE3F0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843" w:type="dxa"/>
          </w:tcPr>
          <w:p w14:paraId="4D345E0E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16E93" w:rsidRPr="00373828" w14:paraId="237B755A" w14:textId="77777777" w:rsidTr="002C3CC8">
        <w:tc>
          <w:tcPr>
            <w:tcW w:w="5778" w:type="dxa"/>
          </w:tcPr>
          <w:p w14:paraId="1227C119" w14:textId="77777777" w:rsidR="00416E93" w:rsidRPr="00373828" w:rsidRDefault="00416E93" w:rsidP="00416E93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Experience of using electronic databases to input purchase and </w:t>
            </w:r>
            <w:proofErr w:type="gramStart"/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stock based</w:t>
            </w:r>
            <w:proofErr w:type="gramEnd"/>
            <w:r w:rsidRPr="003738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information</w:t>
            </w:r>
          </w:p>
        </w:tc>
        <w:tc>
          <w:tcPr>
            <w:tcW w:w="1843" w:type="dxa"/>
          </w:tcPr>
          <w:p w14:paraId="1A27A13E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 w:rsidRPr="00373828"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843" w:type="dxa"/>
          </w:tcPr>
          <w:p w14:paraId="7D619419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16E93" w:rsidRPr="00373828" w14:paraId="620CB1DD" w14:textId="77777777" w:rsidTr="002C3CC8">
        <w:tc>
          <w:tcPr>
            <w:tcW w:w="5778" w:type="dxa"/>
            <w:tcBorders>
              <w:bottom w:val="single" w:sz="4" w:space="0" w:color="auto"/>
            </w:tcBorders>
          </w:tcPr>
          <w:p w14:paraId="5251B152" w14:textId="39E4E417" w:rsidR="00416E93" w:rsidRPr="00046E86" w:rsidRDefault="00046E86" w:rsidP="00046E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Satisfactory Disclosure Scotland check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0C7666" w14:textId="4B55E02A" w:rsidR="00416E93" w:rsidRPr="00373828" w:rsidRDefault="009F2697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26F834" w14:textId="77777777" w:rsidR="00416E93" w:rsidRPr="00373828" w:rsidRDefault="00416E93" w:rsidP="002C3CC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F8FAABF" w14:textId="77777777" w:rsidR="00FD40AB" w:rsidRDefault="00FD40AB" w:rsidP="00EF41EF"/>
    <w:p w14:paraId="2C2235E4" w14:textId="2DEB0F4D" w:rsidR="5FC788AB" w:rsidRPr="007F3B44" w:rsidRDefault="5FC788AB" w:rsidP="5FC788AB">
      <w:pPr>
        <w:rPr>
          <w:b/>
        </w:rPr>
      </w:pPr>
      <w:r w:rsidRPr="007F3B44">
        <w:rPr>
          <w:b/>
        </w:rPr>
        <w:t>How to apply</w:t>
      </w:r>
    </w:p>
    <w:p w14:paraId="060AFBD1" w14:textId="051DED42" w:rsidR="5FC788AB" w:rsidRDefault="5FC788AB" w:rsidP="5FC788AB">
      <w:r>
        <w:t>Applications by CV and covering letter</w:t>
      </w:r>
      <w:r w:rsidR="003977EA">
        <w:t xml:space="preserve">, by </w:t>
      </w:r>
      <w:r w:rsidR="00413F49">
        <w:t>6</w:t>
      </w:r>
      <w:r w:rsidR="00413F49" w:rsidRPr="00413F49">
        <w:rPr>
          <w:vertAlign w:val="superscript"/>
        </w:rPr>
        <w:t>th</w:t>
      </w:r>
      <w:r w:rsidR="00413F49">
        <w:t xml:space="preserve"> May</w:t>
      </w:r>
      <w:bookmarkStart w:id="0" w:name="_GoBack"/>
      <w:bookmarkEnd w:id="0"/>
      <w:r w:rsidR="00F6596F">
        <w:t xml:space="preserve"> </w:t>
      </w:r>
      <w:r w:rsidR="00FD40AB">
        <w:t>2019</w:t>
      </w:r>
      <w:r>
        <w:t xml:space="preserve"> to;</w:t>
      </w:r>
    </w:p>
    <w:p w14:paraId="1523BF64" w14:textId="02D41C7D" w:rsidR="5FC788AB" w:rsidRDefault="00C8179D" w:rsidP="5FC788AB">
      <w:hyperlink r:id="rId11">
        <w:r w:rsidR="5FC788AB" w:rsidRPr="5FC788AB">
          <w:rPr>
            <w:rStyle w:val="Hyperlink"/>
          </w:rPr>
          <w:t>charlie.cairns@neilstontrust.co.uk</w:t>
        </w:r>
      </w:hyperlink>
    </w:p>
    <w:p w14:paraId="0A0919EC" w14:textId="40944FDA" w:rsidR="5FC788AB" w:rsidRDefault="5FC788AB" w:rsidP="5FC788AB"/>
    <w:sectPr w:rsidR="5FC788A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9E3B0" w14:textId="77777777" w:rsidR="00C8179D" w:rsidRDefault="00C8179D">
      <w:pPr>
        <w:spacing w:after="0" w:line="240" w:lineRule="auto"/>
      </w:pPr>
      <w:r>
        <w:separator/>
      </w:r>
    </w:p>
  </w:endnote>
  <w:endnote w:type="continuationSeparator" w:id="0">
    <w:p w14:paraId="31329C3E" w14:textId="77777777" w:rsidR="00C8179D" w:rsidRDefault="00C8179D">
      <w:pPr>
        <w:spacing w:after="0" w:line="240" w:lineRule="auto"/>
      </w:pPr>
      <w:r>
        <w:continuationSeparator/>
      </w:r>
    </w:p>
  </w:endnote>
  <w:endnote w:type="continuationNotice" w:id="1">
    <w:p w14:paraId="1C9D1A83" w14:textId="77777777" w:rsidR="00C8179D" w:rsidRDefault="00C81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C83CB" w14:textId="0C0A2998" w:rsidR="00FA5475" w:rsidRDefault="00FA5475" w:rsidP="589DD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A06FA" w14:textId="77777777" w:rsidR="00C8179D" w:rsidRDefault="00C8179D">
      <w:pPr>
        <w:spacing w:after="0" w:line="240" w:lineRule="auto"/>
      </w:pPr>
      <w:r>
        <w:separator/>
      </w:r>
    </w:p>
  </w:footnote>
  <w:footnote w:type="continuationSeparator" w:id="0">
    <w:p w14:paraId="05AE5CEF" w14:textId="77777777" w:rsidR="00C8179D" w:rsidRDefault="00C8179D">
      <w:pPr>
        <w:spacing w:after="0" w:line="240" w:lineRule="auto"/>
      </w:pPr>
      <w:r>
        <w:continuationSeparator/>
      </w:r>
    </w:p>
  </w:footnote>
  <w:footnote w:type="continuationNotice" w:id="1">
    <w:p w14:paraId="030E6C8E" w14:textId="77777777" w:rsidR="00C8179D" w:rsidRDefault="00C817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6EF"/>
    <w:multiLevelType w:val="hybridMultilevel"/>
    <w:tmpl w:val="B8B460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E87D4F"/>
    <w:multiLevelType w:val="hybridMultilevel"/>
    <w:tmpl w:val="29DE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2E82"/>
    <w:multiLevelType w:val="hybridMultilevel"/>
    <w:tmpl w:val="128278DC"/>
    <w:lvl w:ilvl="0" w:tplc="FA461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C1353B"/>
    <w:multiLevelType w:val="hybridMultilevel"/>
    <w:tmpl w:val="C226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229E"/>
    <w:multiLevelType w:val="hybridMultilevel"/>
    <w:tmpl w:val="84C0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F409A"/>
    <w:multiLevelType w:val="hybridMultilevel"/>
    <w:tmpl w:val="0D2CD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12"/>
    <w:rsid w:val="000202AE"/>
    <w:rsid w:val="000366FD"/>
    <w:rsid w:val="00046E86"/>
    <w:rsid w:val="000472AD"/>
    <w:rsid w:val="000E6D4C"/>
    <w:rsid w:val="000F5355"/>
    <w:rsid w:val="001346E8"/>
    <w:rsid w:val="001A2640"/>
    <w:rsid w:val="001F2C99"/>
    <w:rsid w:val="00201305"/>
    <w:rsid w:val="00204412"/>
    <w:rsid w:val="002152DC"/>
    <w:rsid w:val="002C2D52"/>
    <w:rsid w:val="0030089A"/>
    <w:rsid w:val="00360660"/>
    <w:rsid w:val="003977EA"/>
    <w:rsid w:val="003E0F60"/>
    <w:rsid w:val="004041F8"/>
    <w:rsid w:val="00413F49"/>
    <w:rsid w:val="00416E93"/>
    <w:rsid w:val="00440C4D"/>
    <w:rsid w:val="00512976"/>
    <w:rsid w:val="00551F36"/>
    <w:rsid w:val="00554C0D"/>
    <w:rsid w:val="005B7BFF"/>
    <w:rsid w:val="00636616"/>
    <w:rsid w:val="00654CA0"/>
    <w:rsid w:val="00657574"/>
    <w:rsid w:val="006A1E5E"/>
    <w:rsid w:val="006C16C2"/>
    <w:rsid w:val="007674DF"/>
    <w:rsid w:val="007B609C"/>
    <w:rsid w:val="007D578A"/>
    <w:rsid w:val="007E6644"/>
    <w:rsid w:val="007F3B44"/>
    <w:rsid w:val="008664B0"/>
    <w:rsid w:val="008D3F4E"/>
    <w:rsid w:val="00913EB2"/>
    <w:rsid w:val="00922684"/>
    <w:rsid w:val="00942653"/>
    <w:rsid w:val="00945B58"/>
    <w:rsid w:val="009527FF"/>
    <w:rsid w:val="00970316"/>
    <w:rsid w:val="00971420"/>
    <w:rsid w:val="009C77F8"/>
    <w:rsid w:val="009F2697"/>
    <w:rsid w:val="00A023C3"/>
    <w:rsid w:val="00A0525B"/>
    <w:rsid w:val="00A349D1"/>
    <w:rsid w:val="00A573D4"/>
    <w:rsid w:val="00AC63C3"/>
    <w:rsid w:val="00BC211C"/>
    <w:rsid w:val="00C172EB"/>
    <w:rsid w:val="00C343B7"/>
    <w:rsid w:val="00C8179D"/>
    <w:rsid w:val="00C968AF"/>
    <w:rsid w:val="00CF298A"/>
    <w:rsid w:val="00D440F3"/>
    <w:rsid w:val="00D57063"/>
    <w:rsid w:val="00D848AC"/>
    <w:rsid w:val="00DE5F8A"/>
    <w:rsid w:val="00E03EC7"/>
    <w:rsid w:val="00E248B4"/>
    <w:rsid w:val="00EA7298"/>
    <w:rsid w:val="00EF41EF"/>
    <w:rsid w:val="00F6596F"/>
    <w:rsid w:val="00F7021A"/>
    <w:rsid w:val="00F97237"/>
    <w:rsid w:val="00FA5475"/>
    <w:rsid w:val="00FD40AB"/>
    <w:rsid w:val="0192A47E"/>
    <w:rsid w:val="036AF0BB"/>
    <w:rsid w:val="141C0A82"/>
    <w:rsid w:val="16B5A9DA"/>
    <w:rsid w:val="29315158"/>
    <w:rsid w:val="35ADDD24"/>
    <w:rsid w:val="589DD370"/>
    <w:rsid w:val="5FC78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13B06"/>
  <w15:chartTrackingRefBased/>
  <w15:docId w15:val="{12988B81-AC6C-425F-969C-25F34E7D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D440F3"/>
  </w:style>
  <w:style w:type="character" w:customStyle="1" w:styleId="eop">
    <w:name w:val="eop"/>
    <w:basedOn w:val="DefaultParagraphFont"/>
    <w:rsid w:val="00D440F3"/>
  </w:style>
  <w:style w:type="character" w:customStyle="1" w:styleId="spellingerror">
    <w:name w:val="spellingerror"/>
    <w:basedOn w:val="DefaultParagraphFont"/>
    <w:rsid w:val="00D4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ie.cairns@neilstontrust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01E868F204C4CAA0BAB29312D54D6" ma:contentTypeVersion="5" ma:contentTypeDescription="Create a new document." ma:contentTypeScope="" ma:versionID="94f6d9a9664d5279c54655828c709815">
  <xsd:schema xmlns:xsd="http://www.w3.org/2001/XMLSchema" xmlns:xs="http://www.w3.org/2001/XMLSchema" xmlns:p="http://schemas.microsoft.com/office/2006/metadata/properties" xmlns:ns2="a4514ac8-7492-4bc1-87b1-a18208a03744" targetNamespace="http://schemas.microsoft.com/office/2006/metadata/properties" ma:root="true" ma:fieldsID="8569a5ef8643d5e0d6861207864d5afb" ns2:_="">
    <xsd:import namespace="a4514ac8-7492-4bc1-87b1-a18208a03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4ac8-7492-4bc1-87b1-a18208a03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966E9-806C-4094-B44B-69A293A44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F15B0-1F58-4B6A-98BB-0B65AE9F9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C0DDD-9D5E-4D15-8C83-8AFAE1F0F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4ac8-7492-4bc1-87b1-a18208a03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Cairns</dc:creator>
  <cp:keywords/>
  <dc:description/>
  <cp:lastModifiedBy>Eve Short</cp:lastModifiedBy>
  <cp:revision>2</cp:revision>
  <dcterms:created xsi:type="dcterms:W3CDTF">2019-04-10T10:46:00Z</dcterms:created>
  <dcterms:modified xsi:type="dcterms:W3CDTF">2019-04-10T10:46:00Z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0x0101004A501E868F204C4CAA0BAB29312D54D6</vt:lpwstr>
  </property>
  <property fmtid="{D5CDD505-2E9C-101B-9397-08002B2CF9AE}" pid="3" name="Order">
    <vt:r8>35400</vt:r8>
  </property>
</Properties>
</file>