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34" w:rsidRDefault="002858D9">
      <w:r>
        <w:t xml:space="preserve">Driver </w:t>
      </w:r>
      <w:r w:rsidR="00714C7E">
        <w:t>Person Specification</w:t>
      </w:r>
    </w:p>
    <w:p w:rsidR="00714C7E" w:rsidRDefault="00714C7E" w:rsidP="00714C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14C7E" w:rsidRDefault="00714C7E" w:rsidP="00714C7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alibri" w:hAnsi="Calibri" w:cs="Calibri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4662"/>
        <w:gridCol w:w="5544"/>
      </w:tblGrid>
      <w:tr w:rsidR="00B514DE" w:rsidTr="00B514DE">
        <w:tc>
          <w:tcPr>
            <w:tcW w:w="4662" w:type="dxa"/>
          </w:tcPr>
          <w:p w:rsidR="00B514DE" w:rsidRP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B514DE">
              <w:rPr>
                <w:rFonts w:ascii="Calibri" w:hAnsi="Calibri" w:cs="Calibri"/>
                <w:b/>
              </w:rPr>
              <w:t>Qualifications</w:t>
            </w:r>
          </w:p>
        </w:tc>
        <w:tc>
          <w:tcPr>
            <w:tcW w:w="5544" w:type="dxa"/>
          </w:tcPr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514DE" w:rsidTr="00B514DE">
        <w:tc>
          <w:tcPr>
            <w:tcW w:w="4662" w:type="dxa"/>
          </w:tcPr>
          <w:p w:rsidR="00B514DE" w:rsidRDefault="002858D9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Full driving licence which allows the driving of minibuses</w:t>
            </w:r>
          </w:p>
        </w:tc>
        <w:tc>
          <w:tcPr>
            <w:tcW w:w="5544" w:type="dxa"/>
          </w:tcPr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514DE" w:rsidTr="00B514DE">
        <w:tc>
          <w:tcPr>
            <w:tcW w:w="4662" w:type="dxa"/>
          </w:tcPr>
          <w:p w:rsidR="00B514DE" w:rsidRP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B514DE">
              <w:rPr>
                <w:rFonts w:ascii="Calibri" w:hAnsi="Calibri" w:cs="Calibri"/>
                <w:b/>
              </w:rPr>
              <w:t>Experience</w:t>
            </w:r>
          </w:p>
        </w:tc>
        <w:tc>
          <w:tcPr>
            <w:tcW w:w="5544" w:type="dxa"/>
          </w:tcPr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514DE" w:rsidTr="00B514DE">
        <w:tc>
          <w:tcPr>
            <w:tcW w:w="4662" w:type="dxa"/>
          </w:tcPr>
          <w:p w:rsidR="00B514DE" w:rsidRDefault="002858D9" w:rsidP="002858D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Excellent interpersonal skills</w:t>
            </w:r>
          </w:p>
        </w:tc>
        <w:tc>
          <w:tcPr>
            <w:tcW w:w="5544" w:type="dxa"/>
          </w:tcPr>
          <w:p w:rsidR="00B514DE" w:rsidRDefault="002858D9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Experience of engaging with a wide range of people</w:t>
            </w:r>
          </w:p>
        </w:tc>
      </w:tr>
      <w:tr w:rsidR="00B514DE" w:rsidTr="00B514DE">
        <w:tc>
          <w:tcPr>
            <w:tcW w:w="4662" w:type="dxa"/>
          </w:tcPr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Risk Management</w:t>
            </w:r>
          </w:p>
        </w:tc>
        <w:tc>
          <w:tcPr>
            <w:tcW w:w="5544" w:type="dxa"/>
          </w:tcPr>
          <w:p w:rsidR="00B514DE" w:rsidRDefault="00B514DE" w:rsidP="00B514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Experience of assessing risk </w:t>
            </w:r>
            <w:r w:rsidR="002858D9">
              <w:rPr>
                <w:rFonts w:ascii="Calibri" w:hAnsi="Calibri" w:cs="Calibri"/>
              </w:rPr>
              <w:t>e.g. road conditions</w:t>
            </w:r>
          </w:p>
        </w:tc>
      </w:tr>
      <w:tr w:rsidR="00B514DE" w:rsidTr="00B514DE">
        <w:tc>
          <w:tcPr>
            <w:tcW w:w="4662" w:type="dxa"/>
          </w:tcPr>
          <w:p w:rsidR="00B514DE" w:rsidRP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B514DE">
              <w:rPr>
                <w:rFonts w:ascii="Calibri" w:hAnsi="Calibri" w:cs="Calibri"/>
                <w:b/>
              </w:rPr>
              <w:t>Knowledge</w:t>
            </w:r>
          </w:p>
        </w:tc>
        <w:tc>
          <w:tcPr>
            <w:tcW w:w="5544" w:type="dxa"/>
          </w:tcPr>
          <w:p w:rsidR="00B514DE" w:rsidRDefault="00B514DE" w:rsidP="00B514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514DE" w:rsidTr="00B514DE">
        <w:tc>
          <w:tcPr>
            <w:tcW w:w="4662" w:type="dxa"/>
          </w:tcPr>
          <w:p w:rsidR="00B514DE" w:rsidRP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Desirable</w:t>
            </w:r>
          </w:p>
        </w:tc>
        <w:tc>
          <w:tcPr>
            <w:tcW w:w="5544" w:type="dxa"/>
          </w:tcPr>
          <w:p w:rsidR="00B514DE" w:rsidRDefault="00B514DE" w:rsidP="00B514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514DE" w:rsidTr="00B514DE">
        <w:tc>
          <w:tcPr>
            <w:tcW w:w="4662" w:type="dxa"/>
          </w:tcPr>
          <w:p w:rsidR="00B514DE" w:rsidRDefault="002858D9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Knowledge of the North Lanarkshire area</w:t>
            </w:r>
          </w:p>
        </w:tc>
        <w:tc>
          <w:tcPr>
            <w:tcW w:w="5544" w:type="dxa"/>
          </w:tcPr>
          <w:p w:rsidR="00B514DE" w:rsidRDefault="002858D9" w:rsidP="00B514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Confident in directions and route setting</w:t>
            </w:r>
          </w:p>
        </w:tc>
      </w:tr>
      <w:tr w:rsidR="00B514DE" w:rsidTr="00B514DE">
        <w:tc>
          <w:tcPr>
            <w:tcW w:w="4662" w:type="dxa"/>
          </w:tcPr>
          <w:p w:rsidR="00B514DE" w:rsidRP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Competencies</w:t>
            </w:r>
          </w:p>
        </w:tc>
        <w:tc>
          <w:tcPr>
            <w:tcW w:w="5544" w:type="dxa"/>
          </w:tcPr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514DE" w:rsidTr="00B514DE">
        <w:tc>
          <w:tcPr>
            <w:tcW w:w="4662" w:type="dxa"/>
          </w:tcPr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Planning and organising</w:t>
            </w:r>
          </w:p>
        </w:tc>
        <w:tc>
          <w:tcPr>
            <w:tcW w:w="5544" w:type="dxa"/>
          </w:tcPr>
          <w:p w:rsidR="00B514DE" w:rsidRPr="00E94C32" w:rsidRDefault="002858D9" w:rsidP="00741B4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Establish routes and able to alter arrangements to fit circumstances</w:t>
            </w:r>
          </w:p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514DE" w:rsidTr="00B514DE">
        <w:tc>
          <w:tcPr>
            <w:tcW w:w="4662" w:type="dxa"/>
          </w:tcPr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Judgement skills</w:t>
            </w:r>
          </w:p>
        </w:tc>
        <w:tc>
          <w:tcPr>
            <w:tcW w:w="5544" w:type="dxa"/>
          </w:tcPr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Ability to make decisions, analyse information and determine priorities</w:t>
            </w:r>
          </w:p>
        </w:tc>
      </w:tr>
      <w:tr w:rsidR="00B514DE" w:rsidTr="00B514DE">
        <w:tc>
          <w:tcPr>
            <w:tcW w:w="4662" w:type="dxa"/>
          </w:tcPr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Flexibility</w:t>
            </w:r>
          </w:p>
        </w:tc>
        <w:tc>
          <w:tcPr>
            <w:tcW w:w="5544" w:type="dxa"/>
          </w:tcPr>
          <w:p w:rsidR="00B514DE" w:rsidRDefault="00B514DE" w:rsidP="002858D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Ability to adapt to situations appropriately. </w:t>
            </w:r>
          </w:p>
        </w:tc>
      </w:tr>
      <w:tr w:rsidR="00B514DE" w:rsidTr="00B514DE">
        <w:tc>
          <w:tcPr>
            <w:tcW w:w="4662" w:type="dxa"/>
          </w:tcPr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Communication</w:t>
            </w:r>
          </w:p>
        </w:tc>
        <w:tc>
          <w:tcPr>
            <w:tcW w:w="5544" w:type="dxa"/>
          </w:tcPr>
          <w:p w:rsidR="00B514DE" w:rsidRDefault="00B514DE" w:rsidP="002858D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Demonstrates clear communication </w:t>
            </w:r>
            <w:r w:rsidR="002858D9">
              <w:rPr>
                <w:rFonts w:ascii="Calibri" w:hAnsi="Calibri" w:cs="Calibri"/>
              </w:rPr>
              <w:t>skills</w:t>
            </w:r>
          </w:p>
        </w:tc>
      </w:tr>
      <w:tr w:rsidR="00B514DE" w:rsidTr="00B514DE">
        <w:tc>
          <w:tcPr>
            <w:tcW w:w="4662" w:type="dxa"/>
          </w:tcPr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Teamwork</w:t>
            </w:r>
          </w:p>
        </w:tc>
        <w:tc>
          <w:tcPr>
            <w:tcW w:w="5544" w:type="dxa"/>
          </w:tcPr>
          <w:p w:rsidR="00B514DE" w:rsidRDefault="00B514DE" w:rsidP="009231A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Works with others to achieve common goals and standards</w:t>
            </w:r>
          </w:p>
        </w:tc>
      </w:tr>
    </w:tbl>
    <w:p w:rsidR="00714C7E" w:rsidRDefault="00714C7E" w:rsidP="00714C7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alibri" w:hAnsi="Calibri" w:cs="Calibri"/>
        </w:rPr>
      </w:pPr>
    </w:p>
    <w:p w:rsidR="0090138E" w:rsidRPr="00B3425B" w:rsidRDefault="00B514DE" w:rsidP="00B514DE">
      <w:pPr>
        <w:pStyle w:val="Normal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</w:t>
      </w:r>
      <w:r w:rsidR="0090138E" w:rsidRPr="00B3425B">
        <w:rPr>
          <w:rFonts w:asciiTheme="minorHAnsi" w:hAnsiTheme="minorHAnsi" w:cstheme="minorHAnsi"/>
          <w:color w:val="000000"/>
        </w:rPr>
        <w:t xml:space="preserve">he above list of responsibilities is not exhaustive and the jobholder may be required to undertake other duties commensurate with the level of the role, as reasonably requested by </w:t>
      </w:r>
      <w:r w:rsidR="009231A0">
        <w:rPr>
          <w:rFonts w:asciiTheme="minorHAnsi" w:hAnsiTheme="minorHAnsi" w:cstheme="minorHAnsi"/>
          <w:color w:val="000000"/>
        </w:rPr>
        <w:t>the line manager.</w:t>
      </w:r>
      <w:bookmarkStart w:id="0" w:name="_GoBack"/>
      <w:bookmarkEnd w:id="0"/>
    </w:p>
    <w:p w:rsidR="00714C7E" w:rsidRDefault="00714C7E"/>
    <w:sectPr w:rsidR="00714C7E" w:rsidSect="00B514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7E"/>
    <w:rsid w:val="002858D9"/>
    <w:rsid w:val="00530BC3"/>
    <w:rsid w:val="006D2EF6"/>
    <w:rsid w:val="00714C7E"/>
    <w:rsid w:val="00741B49"/>
    <w:rsid w:val="00820F1D"/>
    <w:rsid w:val="0090138E"/>
    <w:rsid w:val="009231A0"/>
    <w:rsid w:val="00B3425B"/>
    <w:rsid w:val="00B514DE"/>
    <w:rsid w:val="00D73A34"/>
    <w:rsid w:val="00ED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E0021"/>
  <w15:chartTrackingRefBased/>
  <w15:docId w15:val="{019146CD-2DA7-40A4-BD8D-EA7BFE57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1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6D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1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Innes</dc:creator>
  <cp:keywords/>
  <dc:description/>
  <cp:lastModifiedBy>Ann Innes</cp:lastModifiedBy>
  <cp:revision>3</cp:revision>
  <dcterms:created xsi:type="dcterms:W3CDTF">2021-12-10T11:37:00Z</dcterms:created>
  <dcterms:modified xsi:type="dcterms:W3CDTF">2021-12-10T12:07:00Z</dcterms:modified>
</cp:coreProperties>
</file>