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C7E" w:rsidRDefault="005F12F3" w:rsidP="00714C7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noProof/>
          <w:sz w:val="40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0BCA5E09" wp14:editId="6D863178">
            <wp:simplePos x="0" y="0"/>
            <wp:positionH relativeFrom="margin">
              <wp:posOffset>4222750</wp:posOffset>
            </wp:positionH>
            <wp:positionV relativeFrom="paragraph">
              <wp:posOffset>-819150</wp:posOffset>
            </wp:positionV>
            <wp:extent cx="1895475" cy="11051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0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C7E" w:rsidRDefault="00714C7E" w:rsidP="00714C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</w:p>
    <w:p w:rsidR="005F12F3" w:rsidRPr="005F12F3" w:rsidRDefault="005F12F3" w:rsidP="005F12F3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sz w:val="32"/>
          <w:szCs w:val="32"/>
        </w:rPr>
      </w:pPr>
    </w:p>
    <w:p w:rsidR="005F12F3" w:rsidRDefault="005F12F3" w:rsidP="00714C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4662"/>
        <w:gridCol w:w="5544"/>
      </w:tblGrid>
      <w:tr w:rsidR="005F12F3" w:rsidRPr="005F12F3" w:rsidTr="00B514DE">
        <w:tc>
          <w:tcPr>
            <w:tcW w:w="4662" w:type="dxa"/>
          </w:tcPr>
          <w:p w:rsidR="005F12F3" w:rsidRPr="005F12F3" w:rsidRDefault="005F12F3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z w:val="32"/>
                <w:szCs w:val="32"/>
              </w:rPr>
              <w:t>CEO Person Specification</w:t>
            </w:r>
          </w:p>
        </w:tc>
        <w:tc>
          <w:tcPr>
            <w:tcW w:w="5544" w:type="dxa"/>
          </w:tcPr>
          <w:p w:rsidR="005F12F3" w:rsidRPr="005F12F3" w:rsidRDefault="005F12F3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Qualifications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  <w:bookmarkStart w:id="0" w:name="_GoBack"/>
            <w:bookmarkEnd w:id="0"/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Relevant professional/ managerial qualifications or manageme</w:t>
            </w:r>
            <w:r w:rsidR="000562AC">
              <w:rPr>
                <w:rFonts w:ascii="Calibri" w:hAnsi="Calibri" w:cs="Calibri"/>
              </w:rPr>
              <w:t>nt experience at a senior level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Desirable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Full driving licence</w:t>
            </w: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Staff management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line managing staff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Fundraising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leading or contributing to fundraising bids and funding applications</w:t>
            </w:r>
          </w:p>
        </w:tc>
      </w:tr>
      <w:tr w:rsidR="000562AC" w:rsidTr="00B514DE">
        <w:tc>
          <w:tcPr>
            <w:tcW w:w="4662" w:type="dxa"/>
          </w:tcPr>
          <w:p w:rsidR="000562AC" w:rsidRDefault="000562AC" w:rsidP="000562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Sector experience</w:t>
            </w:r>
          </w:p>
        </w:tc>
        <w:tc>
          <w:tcPr>
            <w:tcW w:w="5544" w:type="dxa"/>
          </w:tcPr>
          <w:p w:rsidR="000562AC" w:rsidRDefault="000562AC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Experience of working in the Third Sector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Risk Management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Experience of assessing risk </w:t>
            </w: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 w:rsidRPr="00B514DE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Pr="00B514DE" w:rsidRDefault="000562AC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Sector and policy awareness</w:t>
            </w:r>
          </w:p>
        </w:tc>
        <w:tc>
          <w:tcPr>
            <w:tcW w:w="5544" w:type="dxa"/>
          </w:tcPr>
          <w:p w:rsidR="00B514DE" w:rsidRDefault="00B514DE" w:rsidP="00B514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Broad knowledge of the Third sector and local regional and national policies that may affect the Third Sector or CACE</w:t>
            </w:r>
          </w:p>
        </w:tc>
      </w:tr>
      <w:tr w:rsidR="00B514DE" w:rsidTr="00B514DE">
        <w:tc>
          <w:tcPr>
            <w:tcW w:w="4662" w:type="dxa"/>
          </w:tcPr>
          <w:p w:rsidR="00B514DE" w:rsidRP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Competencies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Essential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Leadership skills</w:t>
            </w:r>
          </w:p>
        </w:tc>
        <w:tc>
          <w:tcPr>
            <w:tcW w:w="5544" w:type="dxa"/>
          </w:tcPr>
          <w:p w:rsidR="00B514DE" w:rsidRPr="00E94C32" w:rsidRDefault="00B514DE" w:rsidP="00741B4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4C32">
              <w:rPr>
                <w:rFonts w:cstheme="minorHAnsi"/>
              </w:rPr>
              <w:t xml:space="preserve">Uses appropriate interpersonal </w:t>
            </w:r>
            <w:r>
              <w:rPr>
                <w:rFonts w:cstheme="minorHAnsi"/>
              </w:rPr>
              <w:t xml:space="preserve">and management </w:t>
            </w:r>
            <w:r w:rsidRPr="00E94C32">
              <w:rPr>
                <w:rFonts w:cstheme="minorHAnsi"/>
              </w:rPr>
              <w:t>styles and methods to guide individuals</w:t>
            </w:r>
            <w:r>
              <w:rPr>
                <w:rFonts w:cstheme="minorHAnsi"/>
              </w:rPr>
              <w:t xml:space="preserve"> and groups towards goals and through change</w:t>
            </w:r>
          </w:p>
          <w:p w:rsidR="00B514DE" w:rsidRDefault="00B514DE" w:rsidP="00741B49">
            <w:pPr>
              <w:autoSpaceDE w:val="0"/>
              <w:autoSpaceDN w:val="0"/>
              <w:adjustRightInd w:val="0"/>
              <w:ind w:left="1440" w:firstLine="72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Planning and organising</w:t>
            </w:r>
          </w:p>
        </w:tc>
        <w:tc>
          <w:tcPr>
            <w:tcW w:w="5544" w:type="dxa"/>
          </w:tcPr>
          <w:p w:rsidR="00B514DE" w:rsidRPr="00E94C32" w:rsidRDefault="00B514DE" w:rsidP="00741B4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E94C32">
              <w:rPr>
                <w:rFonts w:cstheme="minorHAnsi"/>
              </w:rPr>
              <w:t xml:space="preserve">Establishes an appropriate course of action for oneself and </w:t>
            </w:r>
            <w:r>
              <w:rPr>
                <w:rFonts w:cstheme="minorHAnsi"/>
              </w:rPr>
              <w:t>/</w:t>
            </w:r>
            <w:r w:rsidRPr="00E94C32">
              <w:rPr>
                <w:rFonts w:cstheme="minorHAnsi"/>
              </w:rPr>
              <w:t>or others to</w:t>
            </w:r>
            <w:r>
              <w:rPr>
                <w:rFonts w:cstheme="minorHAnsi"/>
              </w:rPr>
              <w:t xml:space="preserve"> </w:t>
            </w:r>
            <w:r w:rsidRPr="00E94C32">
              <w:rPr>
                <w:rFonts w:cstheme="minorHAnsi"/>
              </w:rPr>
              <w:t xml:space="preserve">accomplish specific goals, manages time efficiently and meets deadlines. </w:t>
            </w:r>
          </w:p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Judgement skills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make decisions, analyse information and determine priorities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Flexibility</w:t>
            </w:r>
          </w:p>
        </w:tc>
        <w:tc>
          <w:tcPr>
            <w:tcW w:w="5544" w:type="dxa"/>
          </w:tcPr>
          <w:p w:rsidR="00B514DE" w:rsidRDefault="00B514DE" w:rsidP="00820F1D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adapt to situations appropriately. Ability to understand,  respond to and lead change effectively.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Demonstrates clear communication skills at all levels across written and oral formats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Teamwork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 with and empowers others to achieve common goals and standards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Initiative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Generates ideas and takes action to solve problems </w:t>
            </w:r>
          </w:p>
        </w:tc>
      </w:tr>
      <w:tr w:rsidR="00B514DE" w:rsidTr="00B514DE">
        <w:tc>
          <w:tcPr>
            <w:tcW w:w="4662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Financial</w:t>
            </w:r>
          </w:p>
        </w:tc>
        <w:tc>
          <w:tcPr>
            <w:tcW w:w="5544" w:type="dxa"/>
          </w:tcPr>
          <w:p w:rsidR="00B514DE" w:rsidRDefault="00B514DE" w:rsidP="00714C7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E94C32">
              <w:rPr>
                <w:rFonts w:cstheme="minorHAnsi"/>
              </w:rPr>
              <w:t>Ensures appropriate financial recording, planning and analysis</w:t>
            </w:r>
            <w:r>
              <w:rPr>
                <w:rFonts w:cstheme="minorHAnsi"/>
              </w:rPr>
              <w:t>,</w:t>
            </w:r>
            <w:r w:rsidRPr="00E94C32">
              <w:rPr>
                <w:rFonts w:cstheme="minorHAnsi"/>
              </w:rPr>
              <w:t xml:space="preserve"> including the production of cash flows and understanding of</w:t>
            </w:r>
            <w:r>
              <w:rPr>
                <w:rFonts w:cstheme="minorHAnsi"/>
              </w:rPr>
              <w:t xml:space="preserve"> accounts</w:t>
            </w:r>
          </w:p>
        </w:tc>
      </w:tr>
    </w:tbl>
    <w:p w:rsidR="00714C7E" w:rsidRDefault="00714C7E" w:rsidP="00714C7E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</w:rPr>
      </w:pPr>
    </w:p>
    <w:p w:rsidR="0090138E" w:rsidRPr="00B3425B" w:rsidRDefault="00B514DE" w:rsidP="00B514DE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0138E" w:rsidRPr="00B3425B">
        <w:rPr>
          <w:rFonts w:asciiTheme="minorHAnsi" w:hAnsiTheme="minorHAnsi" w:cstheme="minorHAnsi"/>
          <w:color w:val="000000"/>
        </w:rPr>
        <w:t xml:space="preserve">he above list of responsibilities is not exhaustive and the jobholder may be required to undertake other duties commensurate with the level of the role, as reasonably requested by </w:t>
      </w:r>
      <w:r w:rsidR="00B3425B">
        <w:rPr>
          <w:rFonts w:asciiTheme="minorHAnsi" w:hAnsiTheme="minorHAnsi" w:cstheme="minorHAnsi"/>
          <w:color w:val="000000"/>
        </w:rPr>
        <w:t>the Board</w:t>
      </w:r>
      <w:r w:rsidR="0090138E" w:rsidRPr="00B3425B">
        <w:rPr>
          <w:rFonts w:asciiTheme="minorHAnsi" w:hAnsiTheme="minorHAnsi" w:cstheme="minorHAnsi"/>
          <w:color w:val="000000"/>
        </w:rPr>
        <w:t>.</w:t>
      </w:r>
    </w:p>
    <w:p w:rsidR="00714C7E" w:rsidRDefault="00714C7E"/>
    <w:sectPr w:rsidR="00714C7E" w:rsidSect="00B51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7E"/>
    <w:rsid w:val="000562AC"/>
    <w:rsid w:val="00530BC3"/>
    <w:rsid w:val="005F12F3"/>
    <w:rsid w:val="006D2EF6"/>
    <w:rsid w:val="00714C7E"/>
    <w:rsid w:val="00741B49"/>
    <w:rsid w:val="00820F1D"/>
    <w:rsid w:val="0090138E"/>
    <w:rsid w:val="00B3425B"/>
    <w:rsid w:val="00B514DE"/>
    <w:rsid w:val="00D7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FFDC1"/>
  <w15:chartTrackingRefBased/>
  <w15:docId w15:val="{019146CD-2DA7-40A4-BD8D-EA7BFE57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D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Innes</dc:creator>
  <cp:keywords/>
  <dc:description/>
  <cp:lastModifiedBy>Ann Innes</cp:lastModifiedBy>
  <cp:revision>5</cp:revision>
  <dcterms:created xsi:type="dcterms:W3CDTF">2021-12-05T15:00:00Z</dcterms:created>
  <dcterms:modified xsi:type="dcterms:W3CDTF">2021-12-16T16:29:00Z</dcterms:modified>
</cp:coreProperties>
</file>