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B416" w14:textId="77777777" w:rsidR="00B11FEA" w:rsidRDefault="00163498" w:rsidP="00163498">
      <w:pPr>
        <w:ind w:left="-426"/>
        <w:jc w:val="center"/>
        <w:rPr>
          <w:rFonts w:ascii="Verdana" w:hAnsi="Verdana" w:cs="Tahoma"/>
          <w:b/>
          <w:sz w:val="36"/>
          <w:szCs w:val="22"/>
        </w:rPr>
      </w:pPr>
      <w:r w:rsidRPr="008B2EFB">
        <w:rPr>
          <w:rFonts w:ascii="Verdana" w:hAnsi="Verdana" w:cs="Tahoma"/>
          <w:b/>
          <w:sz w:val="36"/>
          <w:szCs w:val="22"/>
        </w:rPr>
        <w:t xml:space="preserve">                 </w:t>
      </w:r>
    </w:p>
    <w:p w14:paraId="14308843" w14:textId="77777777" w:rsidR="00B11FEA" w:rsidRDefault="00B11FEA" w:rsidP="00163498">
      <w:pPr>
        <w:ind w:left="-426"/>
        <w:jc w:val="center"/>
        <w:rPr>
          <w:rFonts w:ascii="Verdana" w:hAnsi="Verdana" w:cs="Tahoma"/>
          <w:b/>
          <w:sz w:val="36"/>
          <w:szCs w:val="22"/>
        </w:rPr>
      </w:pPr>
    </w:p>
    <w:p w14:paraId="79D44B06" w14:textId="77777777" w:rsidR="00B11FEA" w:rsidRDefault="00B11FEA" w:rsidP="00163498">
      <w:pPr>
        <w:ind w:left="-426"/>
        <w:jc w:val="center"/>
        <w:rPr>
          <w:rFonts w:ascii="Verdana" w:hAnsi="Verdana" w:cs="Tahoma"/>
          <w:b/>
          <w:sz w:val="36"/>
          <w:szCs w:val="22"/>
        </w:rPr>
      </w:pPr>
    </w:p>
    <w:p w14:paraId="57936FC3" w14:textId="77777777" w:rsidR="00B11FEA" w:rsidRDefault="00B11FEA" w:rsidP="00163498">
      <w:pPr>
        <w:ind w:left="-426"/>
        <w:jc w:val="center"/>
        <w:rPr>
          <w:rFonts w:ascii="Verdana" w:hAnsi="Verdana" w:cs="Tahoma"/>
          <w:b/>
          <w:sz w:val="36"/>
          <w:szCs w:val="22"/>
        </w:rPr>
      </w:pPr>
    </w:p>
    <w:p w14:paraId="7A184695" w14:textId="2E19654A" w:rsidR="00163498" w:rsidRPr="003B55FF" w:rsidRDefault="00163498" w:rsidP="00163498">
      <w:pPr>
        <w:ind w:left="-426"/>
        <w:jc w:val="center"/>
        <w:rPr>
          <w:rFonts w:ascii="Verdana" w:hAnsi="Verdana" w:cs="Tahoma"/>
          <w:b/>
          <w:sz w:val="22"/>
          <w:szCs w:val="22"/>
        </w:rPr>
      </w:pPr>
      <w:r w:rsidRPr="003B55FF">
        <w:rPr>
          <w:rFonts w:ascii="Verdana" w:hAnsi="Verdana" w:cs="Tahoma"/>
          <w:b/>
          <w:sz w:val="36"/>
          <w:szCs w:val="22"/>
        </w:rPr>
        <w:t>Job Description</w:t>
      </w:r>
    </w:p>
    <w:p w14:paraId="1058BAD7" w14:textId="77777777" w:rsidR="00163498" w:rsidRPr="003B55FF" w:rsidRDefault="00163498" w:rsidP="00163498">
      <w:pPr>
        <w:rPr>
          <w:rFonts w:ascii="Verdana" w:hAnsi="Verdana" w:cs="Tahoma"/>
          <w:b/>
          <w:sz w:val="22"/>
          <w:szCs w:val="22"/>
        </w:rPr>
      </w:pPr>
    </w:p>
    <w:p w14:paraId="3704958F" w14:textId="18C91A8E" w:rsidR="00163498" w:rsidRPr="003B55FF" w:rsidRDefault="00163498" w:rsidP="00163498">
      <w:pPr>
        <w:ind w:right="-291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b/>
          <w:sz w:val="22"/>
          <w:szCs w:val="22"/>
        </w:rPr>
        <w:t>Job Title:</w:t>
      </w:r>
      <w:r w:rsidRPr="003B55FF">
        <w:rPr>
          <w:rFonts w:ascii="Verdana" w:hAnsi="Verdana"/>
          <w:sz w:val="22"/>
          <w:szCs w:val="22"/>
        </w:rPr>
        <w:tab/>
      </w:r>
      <w:r w:rsidRPr="003B55FF">
        <w:rPr>
          <w:rFonts w:ascii="Verdana" w:hAnsi="Verdana"/>
          <w:sz w:val="22"/>
          <w:szCs w:val="22"/>
        </w:rPr>
        <w:tab/>
      </w:r>
      <w:r w:rsidRPr="008670D6">
        <w:rPr>
          <w:rFonts w:ascii="Verdana" w:hAnsi="Verdana"/>
          <w:b/>
          <w:bCs/>
          <w:sz w:val="22"/>
          <w:szCs w:val="22"/>
        </w:rPr>
        <w:t xml:space="preserve">CBT </w:t>
      </w:r>
      <w:r w:rsidR="006204C1">
        <w:rPr>
          <w:rFonts w:ascii="Verdana" w:hAnsi="Verdana"/>
          <w:b/>
          <w:bCs/>
          <w:sz w:val="22"/>
          <w:szCs w:val="22"/>
        </w:rPr>
        <w:t>COUNSELLOR</w:t>
      </w:r>
    </w:p>
    <w:p w14:paraId="45EA656B" w14:textId="6F193528" w:rsidR="00163498" w:rsidRPr="003B55FF" w:rsidRDefault="00163498" w:rsidP="00163498">
      <w:pPr>
        <w:ind w:right="-291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>Organisation:</w:t>
      </w:r>
      <w:r w:rsidRPr="003B55FF">
        <w:rPr>
          <w:rFonts w:ascii="Verdana" w:hAnsi="Verdana"/>
          <w:sz w:val="22"/>
          <w:szCs w:val="22"/>
        </w:rPr>
        <w:tab/>
        <w:t>Regenfx Youth Trust</w:t>
      </w:r>
      <w:r w:rsidR="00F76B4A">
        <w:rPr>
          <w:rFonts w:ascii="Verdana" w:hAnsi="Verdana"/>
          <w:sz w:val="22"/>
          <w:szCs w:val="22"/>
        </w:rPr>
        <w:t xml:space="preserve"> – </w:t>
      </w:r>
      <w:r w:rsidR="00F76B4A" w:rsidRPr="00F76B4A">
        <w:rPr>
          <w:rFonts w:ascii="Verdana" w:hAnsi="Verdana"/>
          <w:b/>
          <w:bCs/>
          <w:sz w:val="22"/>
          <w:szCs w:val="22"/>
        </w:rPr>
        <w:t>The GIVIT</w:t>
      </w:r>
    </w:p>
    <w:p w14:paraId="4C4184E0" w14:textId="77777777" w:rsidR="00163498" w:rsidRPr="003B55FF" w:rsidRDefault="00163498" w:rsidP="00163498">
      <w:pPr>
        <w:ind w:right="-291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b/>
          <w:sz w:val="22"/>
          <w:szCs w:val="22"/>
        </w:rPr>
        <w:t>Hours:</w:t>
      </w:r>
      <w:r w:rsidRPr="003B55FF">
        <w:rPr>
          <w:rFonts w:ascii="Verdana" w:hAnsi="Verdana"/>
          <w:sz w:val="22"/>
          <w:szCs w:val="22"/>
        </w:rPr>
        <w:tab/>
        <w:t xml:space="preserve">         17.5 Hours</w:t>
      </w:r>
    </w:p>
    <w:p w14:paraId="17B2FE6C" w14:textId="7CFA2446" w:rsidR="00163498" w:rsidRPr="008670D6" w:rsidRDefault="00163498" w:rsidP="00163498">
      <w:pPr>
        <w:ind w:right="-291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b/>
          <w:sz w:val="22"/>
          <w:szCs w:val="22"/>
        </w:rPr>
        <w:t>Salary:</w:t>
      </w:r>
      <w:r w:rsidRPr="003B55FF">
        <w:rPr>
          <w:rFonts w:ascii="Verdana" w:hAnsi="Verdana"/>
          <w:sz w:val="22"/>
          <w:szCs w:val="22"/>
        </w:rPr>
        <w:tab/>
      </w:r>
      <w:r w:rsidRPr="003B55FF">
        <w:rPr>
          <w:rFonts w:ascii="Verdana" w:hAnsi="Verdana"/>
          <w:sz w:val="22"/>
          <w:szCs w:val="22"/>
        </w:rPr>
        <w:tab/>
      </w:r>
      <w:r w:rsidR="00EB5541" w:rsidRPr="00EB5541">
        <w:rPr>
          <w:rFonts w:ascii="Verdana" w:hAnsi="Verdana"/>
          <w:b/>
          <w:bCs/>
          <w:sz w:val="22"/>
          <w:szCs w:val="22"/>
        </w:rPr>
        <w:t>£</w:t>
      </w:r>
      <w:r w:rsidR="003A502C">
        <w:rPr>
          <w:rFonts w:ascii="Verdana" w:hAnsi="Verdana"/>
          <w:b/>
          <w:bCs/>
          <w:sz w:val="22"/>
          <w:szCs w:val="22"/>
        </w:rPr>
        <w:t>33,561</w:t>
      </w:r>
      <w:r w:rsidR="00EB5541" w:rsidRPr="00EB5541">
        <w:rPr>
          <w:rFonts w:ascii="Verdana" w:hAnsi="Verdana"/>
          <w:b/>
          <w:sz w:val="22"/>
          <w:szCs w:val="22"/>
        </w:rPr>
        <w:t xml:space="preserve"> </w:t>
      </w:r>
      <w:r w:rsidR="00D57A1A">
        <w:rPr>
          <w:rFonts w:ascii="Verdana" w:hAnsi="Verdana"/>
          <w:b/>
          <w:sz w:val="22"/>
          <w:szCs w:val="22"/>
        </w:rPr>
        <w:t>Fixed term 3yrs (possible further 2yrs)</w:t>
      </w:r>
    </w:p>
    <w:p w14:paraId="48D74602" w14:textId="2EF36FB9" w:rsidR="00163498" w:rsidRPr="003B55FF" w:rsidRDefault="00163498" w:rsidP="00163498">
      <w:pPr>
        <w:ind w:right="-291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b/>
          <w:sz w:val="22"/>
          <w:szCs w:val="22"/>
        </w:rPr>
        <w:t>Responsible To:</w:t>
      </w:r>
      <w:r w:rsidRPr="003B55FF">
        <w:rPr>
          <w:rFonts w:ascii="Verdana" w:hAnsi="Verdana"/>
          <w:sz w:val="22"/>
          <w:szCs w:val="22"/>
        </w:rPr>
        <w:tab/>
      </w:r>
      <w:r w:rsidRPr="003A502C">
        <w:rPr>
          <w:rFonts w:ascii="Verdana" w:hAnsi="Verdana"/>
          <w:b/>
          <w:bCs/>
          <w:sz w:val="22"/>
          <w:szCs w:val="22"/>
        </w:rPr>
        <w:t>Project Manager</w:t>
      </w:r>
    </w:p>
    <w:p w14:paraId="05A58D3A" w14:textId="77777777" w:rsidR="00163498" w:rsidRPr="003B55FF" w:rsidRDefault="00163498" w:rsidP="00163498">
      <w:pPr>
        <w:ind w:right="-291"/>
        <w:rPr>
          <w:rFonts w:ascii="Verdana" w:hAnsi="Verdana"/>
          <w:sz w:val="22"/>
          <w:szCs w:val="22"/>
        </w:rPr>
      </w:pPr>
    </w:p>
    <w:p w14:paraId="3B279D06" w14:textId="015E5841" w:rsidR="00163498" w:rsidRPr="003B55FF" w:rsidRDefault="00163498" w:rsidP="00163498">
      <w:pPr>
        <w:ind w:left="2127" w:right="-291" w:hanging="2127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b/>
          <w:sz w:val="22"/>
          <w:szCs w:val="22"/>
        </w:rPr>
        <w:t>Location:</w:t>
      </w:r>
      <w:r w:rsidRPr="003B55FF">
        <w:rPr>
          <w:rFonts w:ascii="Verdana" w:hAnsi="Verdana"/>
          <w:sz w:val="22"/>
          <w:szCs w:val="22"/>
        </w:rPr>
        <w:t xml:space="preserve">             Main Office Larkhall </w:t>
      </w:r>
      <w:r w:rsidR="00F76B4A">
        <w:rPr>
          <w:rFonts w:ascii="Verdana" w:hAnsi="Verdana"/>
          <w:sz w:val="22"/>
          <w:szCs w:val="22"/>
        </w:rPr>
        <w:t>&amp; multiple</w:t>
      </w:r>
      <w:r w:rsidRPr="003B55FF">
        <w:rPr>
          <w:rFonts w:ascii="Verdana" w:hAnsi="Verdana"/>
          <w:sz w:val="22"/>
          <w:szCs w:val="22"/>
        </w:rPr>
        <w:t xml:space="preserve"> venues throughout South Lanarkshire</w:t>
      </w:r>
    </w:p>
    <w:p w14:paraId="79BFB66F" w14:textId="77777777" w:rsidR="00163498" w:rsidRPr="003B55FF" w:rsidRDefault="00163498" w:rsidP="00163498">
      <w:pPr>
        <w:ind w:left="2127" w:right="-291" w:hanging="2127"/>
        <w:rPr>
          <w:rFonts w:ascii="Verdana" w:hAnsi="Verdana"/>
          <w:sz w:val="22"/>
          <w:szCs w:val="22"/>
        </w:rPr>
      </w:pPr>
    </w:p>
    <w:p w14:paraId="4AC6B690" w14:textId="2D9C1FCA" w:rsidR="00163498" w:rsidRPr="003B55FF" w:rsidRDefault="00163498" w:rsidP="008670D6">
      <w:pPr>
        <w:ind w:left="2127" w:hanging="2127"/>
        <w:jc w:val="both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b/>
          <w:sz w:val="22"/>
          <w:szCs w:val="22"/>
        </w:rPr>
        <w:t>Job Purpose:</w:t>
      </w:r>
      <w:r w:rsidRPr="003B55FF">
        <w:rPr>
          <w:rFonts w:ascii="Verdana" w:hAnsi="Verdana"/>
          <w:b/>
          <w:sz w:val="22"/>
          <w:szCs w:val="22"/>
        </w:rPr>
        <w:tab/>
      </w:r>
      <w:r w:rsidRPr="003B55FF">
        <w:rPr>
          <w:rFonts w:ascii="Verdana" w:hAnsi="Verdana"/>
          <w:sz w:val="22"/>
          <w:szCs w:val="22"/>
        </w:rPr>
        <w:t>To provide a counselling service to young people aged 13-25 affected by alcohol &amp; substance use</w:t>
      </w:r>
      <w:r w:rsidR="00BE6A5A">
        <w:rPr>
          <w:rFonts w:ascii="Verdana" w:hAnsi="Verdana"/>
          <w:sz w:val="22"/>
          <w:szCs w:val="22"/>
        </w:rPr>
        <w:t>.</w:t>
      </w:r>
      <w:r w:rsidRPr="003B55FF">
        <w:rPr>
          <w:rFonts w:ascii="Verdana" w:hAnsi="Verdana"/>
          <w:sz w:val="22"/>
          <w:szCs w:val="22"/>
        </w:rPr>
        <w:t xml:space="preserve"> </w:t>
      </w:r>
    </w:p>
    <w:p w14:paraId="44567E11" w14:textId="77777777" w:rsidR="00163498" w:rsidRPr="003B55FF" w:rsidRDefault="00163498" w:rsidP="00163498">
      <w:pPr>
        <w:ind w:left="2268" w:hanging="2520"/>
        <w:jc w:val="both"/>
        <w:rPr>
          <w:rFonts w:ascii="Verdana" w:hAnsi="Verdana" w:cs="Tahoma"/>
          <w:sz w:val="22"/>
          <w:szCs w:val="22"/>
        </w:rPr>
      </w:pPr>
    </w:p>
    <w:p w14:paraId="452F1E27" w14:textId="77777777" w:rsidR="00163498" w:rsidRPr="003B55FF" w:rsidRDefault="00163498" w:rsidP="00163498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b/>
          <w:bCs/>
          <w:color w:val="000000"/>
          <w:sz w:val="22"/>
          <w:szCs w:val="22"/>
        </w:rPr>
        <w:t>Duties and Key Responsibilities</w:t>
      </w:r>
    </w:p>
    <w:p w14:paraId="3BA49F0D" w14:textId="02ECFDE5" w:rsidR="00163498" w:rsidRPr="003B55FF" w:rsidRDefault="00163498" w:rsidP="00163498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426"/>
        <w:jc w:val="both"/>
        <w:rPr>
          <w:rFonts w:eastAsia="Times New Roman" w:cs="Helvetica"/>
          <w:color w:val="000000"/>
          <w:sz w:val="22"/>
          <w:szCs w:val="22"/>
        </w:rPr>
      </w:pPr>
      <w:r w:rsidRPr="003B55FF">
        <w:rPr>
          <w:rFonts w:cs="Helvetica"/>
          <w:color w:val="000000"/>
          <w:sz w:val="22"/>
          <w:szCs w:val="22"/>
        </w:rPr>
        <w:t>Provide high quality, accessible, ethical, professional 1-1 counselling sessions and group work to young people</w:t>
      </w:r>
      <w:r w:rsidR="00713DB4" w:rsidRPr="003B55FF">
        <w:rPr>
          <w:rFonts w:cs="Helvetica"/>
          <w:color w:val="000000"/>
          <w:sz w:val="22"/>
          <w:szCs w:val="22"/>
        </w:rPr>
        <w:t>.</w:t>
      </w:r>
    </w:p>
    <w:p w14:paraId="35768A3E" w14:textId="77777777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right="-149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Carry out strength-based assessments</w:t>
      </w:r>
      <w:r w:rsidRPr="003B55FF">
        <w:rPr>
          <w:rFonts w:ascii="Verdana" w:hAnsi="Verdana"/>
          <w:sz w:val="22"/>
          <w:szCs w:val="22"/>
          <w:lang w:eastAsia="en-GB"/>
        </w:rPr>
        <w:t xml:space="preserve"> </w:t>
      </w:r>
      <w:r w:rsidRPr="003B55FF">
        <w:rPr>
          <w:rFonts w:ascii="Verdana" w:hAnsi="Verdana" w:cs="Helvetica"/>
          <w:color w:val="000000"/>
          <w:sz w:val="22"/>
          <w:szCs w:val="22"/>
        </w:rPr>
        <w:t>with new referrals and</w:t>
      </w:r>
      <w:r w:rsidRPr="003B55FF">
        <w:rPr>
          <w:rFonts w:ascii="Verdana" w:hAnsi="Verdana"/>
          <w:sz w:val="22"/>
          <w:szCs w:val="22"/>
          <w:lang w:eastAsia="en-GB"/>
        </w:rPr>
        <w:t xml:space="preserve"> where required </w:t>
      </w:r>
      <w:r w:rsidRPr="003B55FF">
        <w:rPr>
          <w:rFonts w:ascii="Verdana" w:hAnsi="Verdana" w:cs="Helvetica"/>
          <w:color w:val="000000"/>
          <w:sz w:val="22"/>
          <w:szCs w:val="22"/>
        </w:rPr>
        <w:t>Fraser/Gillick competence assessments for young people under 16.</w:t>
      </w:r>
    </w:p>
    <w:p w14:paraId="1FA2422B" w14:textId="47EA4F32" w:rsidR="00163498" w:rsidRPr="003B55FF" w:rsidRDefault="00163498" w:rsidP="00163498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426"/>
        <w:jc w:val="both"/>
        <w:rPr>
          <w:rFonts w:eastAsia="Times New Roman" w:cs="Helvetica"/>
          <w:color w:val="000000"/>
          <w:sz w:val="22"/>
          <w:szCs w:val="22"/>
        </w:rPr>
      </w:pPr>
      <w:r w:rsidRPr="003B55FF">
        <w:rPr>
          <w:rFonts w:cs="Helvetica"/>
          <w:color w:val="000000"/>
          <w:sz w:val="22"/>
          <w:szCs w:val="22"/>
        </w:rPr>
        <w:t>Operate a suitable appointment system flexible to the needs of the young people:</w:t>
      </w:r>
      <w:r w:rsidRPr="003B55FF">
        <w:rPr>
          <w:sz w:val="22"/>
          <w:szCs w:val="22"/>
        </w:rPr>
        <w:t xml:space="preserve"> </w:t>
      </w:r>
      <w:r w:rsidRPr="003B55FF">
        <w:rPr>
          <w:rFonts w:eastAsia="Times New Roman" w:cs="Helvetica"/>
          <w:color w:val="000000"/>
          <w:sz w:val="22"/>
          <w:szCs w:val="22"/>
        </w:rPr>
        <w:t>providing a scheduled evening drop</w:t>
      </w:r>
      <w:r w:rsidR="00713DB4" w:rsidRPr="003B55FF">
        <w:rPr>
          <w:rFonts w:eastAsia="Times New Roman" w:cs="Helvetica"/>
          <w:color w:val="000000"/>
          <w:sz w:val="22"/>
          <w:szCs w:val="22"/>
        </w:rPr>
        <w:t>-</w:t>
      </w:r>
      <w:r w:rsidRPr="003B55FF">
        <w:rPr>
          <w:rFonts w:eastAsia="Times New Roman" w:cs="Helvetica"/>
          <w:color w:val="000000"/>
          <w:sz w:val="22"/>
          <w:szCs w:val="22"/>
        </w:rPr>
        <w:t>in service if an identified need.</w:t>
      </w:r>
    </w:p>
    <w:p w14:paraId="2ED136B3" w14:textId="58D4EDAA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Provide CBT group work sessions/workshops/programmes on a variety of topics e.g. anxiety/social skills/social anxiety with specific identified young people were required</w:t>
      </w:r>
      <w:r w:rsidR="00713DB4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2B2C4B05" w14:textId="48973701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Liaise with referring agents, parents and carers where required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5D46B80F" w14:textId="77777777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Contribute to the evaluation of the service by using a range of clinical wellbeing, evaluation and measurement tools, e.g. YP CORE: YP S&amp;D</w:t>
      </w:r>
    </w:p>
    <w:p w14:paraId="7D100EF5" w14:textId="77777777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Build healthy and effective relationships, including attending locality meetings with outside agencies, referral organisations and partners where required</w:t>
      </w:r>
    </w:p>
    <w:p w14:paraId="6C1AC257" w14:textId="77777777" w:rsidR="00163498" w:rsidRPr="003B55FF" w:rsidRDefault="00163498" w:rsidP="00163498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426"/>
        <w:jc w:val="both"/>
        <w:rPr>
          <w:rFonts w:eastAsia="Times New Roman" w:cs="Helvetica"/>
          <w:color w:val="000000"/>
          <w:sz w:val="22"/>
          <w:szCs w:val="22"/>
        </w:rPr>
      </w:pPr>
      <w:r w:rsidRPr="003B55FF">
        <w:rPr>
          <w:rFonts w:eastAsia="Times New Roman" w:cs="Helvetica"/>
          <w:color w:val="000000"/>
          <w:sz w:val="22"/>
          <w:szCs w:val="22"/>
        </w:rPr>
        <w:t xml:space="preserve">Develop and facilitate theme-based supportive discussion groups and service awareness sessions for young people, working alongside youth engagement workers. </w:t>
      </w:r>
    </w:p>
    <w:p w14:paraId="599E6ED4" w14:textId="77777777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Develop and maintain adequate records of clinical work: maintain accurate and up to date records of all work undertaken and to produce evaluative reports and presentations when required</w:t>
      </w:r>
    </w:p>
    <w:p w14:paraId="2E0E9229" w14:textId="26EAE7DF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 xml:space="preserve">Provide staff or 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participants</w:t>
      </w:r>
      <w:r w:rsidRPr="003B55FF">
        <w:rPr>
          <w:rFonts w:ascii="Verdana" w:hAnsi="Verdana" w:cs="Helvetica"/>
          <w:color w:val="000000"/>
          <w:sz w:val="22"/>
          <w:szCs w:val="22"/>
        </w:rPr>
        <w:t xml:space="preserve"> training / group work if required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0009EBE4" w14:textId="1CCE1122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lastRenderedPageBreak/>
        <w:t>Attend regular meetings with the Line Manager and provide scheduled updates on services provided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17AB37C3" w14:textId="287404E4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Fulfil professional supervision requirements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1E86F495" w14:textId="05EC79DF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Undertake relevant training to continue professional development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3A61B6DD" w14:textId="5C0C07B9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Keep informed of needs and issues that affect young people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51B10F88" w14:textId="6F94CE53" w:rsidR="00163498" w:rsidRPr="003B55FF" w:rsidRDefault="00163498" w:rsidP="00163498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 xml:space="preserve">Liaise with the </w:t>
      </w:r>
      <w:r w:rsidR="001A62C5" w:rsidRPr="003B55FF">
        <w:rPr>
          <w:rFonts w:ascii="Verdana" w:hAnsi="Verdana"/>
          <w:sz w:val="22"/>
          <w:szCs w:val="22"/>
        </w:rPr>
        <w:t>Trust</w:t>
      </w:r>
      <w:r w:rsidRPr="003B55FF">
        <w:rPr>
          <w:rFonts w:ascii="Verdana" w:hAnsi="Verdana"/>
          <w:sz w:val="22"/>
          <w:szCs w:val="22"/>
        </w:rPr>
        <w:t xml:space="preserve"> Manager as required to discuss any issues of clinical or service excellence or concern</w:t>
      </w:r>
      <w:r w:rsidR="001A62C5" w:rsidRPr="003B55FF">
        <w:rPr>
          <w:rFonts w:ascii="Verdana" w:hAnsi="Verdana"/>
          <w:sz w:val="22"/>
          <w:szCs w:val="22"/>
        </w:rPr>
        <w:t>.</w:t>
      </w:r>
    </w:p>
    <w:p w14:paraId="10ADA6AE" w14:textId="54912863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>Carry out administrative tasks associated with the counselling service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70E0259E" w14:textId="170BBFD3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 xml:space="preserve">Attend clinical supervision with the assigned 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external</w:t>
      </w:r>
      <w:r w:rsidRPr="003B55FF">
        <w:rPr>
          <w:rFonts w:ascii="Verdana" w:hAnsi="Verdana" w:cs="Helvetica"/>
          <w:color w:val="000000"/>
          <w:sz w:val="22"/>
          <w:szCs w:val="22"/>
        </w:rPr>
        <w:t xml:space="preserve"> clinical supervisor</w:t>
      </w:r>
      <w:r w:rsidR="001A62C5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62101861" w14:textId="2FCCAEB3" w:rsidR="00163498" w:rsidRPr="003B55FF" w:rsidRDefault="001A62C5" w:rsidP="00163498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>Always</w:t>
      </w:r>
      <w:r w:rsidR="00163498" w:rsidRPr="003B55FF">
        <w:rPr>
          <w:rFonts w:ascii="Verdana" w:hAnsi="Verdana"/>
          <w:sz w:val="22"/>
          <w:szCs w:val="22"/>
        </w:rPr>
        <w:t xml:space="preserve"> work within the ethics and guidelines of COSCA/BACP/BABCP</w:t>
      </w:r>
      <w:r w:rsidRPr="003B55FF">
        <w:rPr>
          <w:rFonts w:ascii="Verdana" w:hAnsi="Verdana"/>
          <w:sz w:val="22"/>
          <w:szCs w:val="22"/>
        </w:rPr>
        <w:t>.</w:t>
      </w:r>
    </w:p>
    <w:p w14:paraId="1E84365B" w14:textId="77777777" w:rsidR="00163498" w:rsidRPr="003B55FF" w:rsidRDefault="00163498" w:rsidP="00163498">
      <w:pPr>
        <w:shd w:val="clear" w:color="auto" w:fill="FFFFFF"/>
        <w:spacing w:before="240" w:after="100" w:afterAutospacing="1"/>
        <w:ind w:left="284"/>
        <w:jc w:val="both"/>
        <w:rPr>
          <w:rFonts w:ascii="Verdana" w:hAnsi="Verdana" w:cs="Helvetica"/>
          <w:color w:val="000000"/>
          <w:sz w:val="22"/>
          <w:szCs w:val="22"/>
        </w:rPr>
      </w:pPr>
    </w:p>
    <w:p w14:paraId="5125F0DD" w14:textId="77777777" w:rsidR="00163498" w:rsidRPr="003B55FF" w:rsidRDefault="00163498" w:rsidP="00163498">
      <w:pPr>
        <w:shd w:val="clear" w:color="auto" w:fill="FFFFFF"/>
        <w:tabs>
          <w:tab w:val="num" w:pos="284"/>
        </w:tabs>
        <w:spacing w:before="240" w:after="100" w:afterAutospacing="1"/>
        <w:ind w:left="-142"/>
        <w:jc w:val="both"/>
        <w:rPr>
          <w:rFonts w:ascii="Verdana" w:hAnsi="Verdana" w:cs="Helvetica"/>
          <w:b/>
          <w:color w:val="000000"/>
          <w:sz w:val="22"/>
          <w:szCs w:val="22"/>
        </w:rPr>
      </w:pPr>
      <w:r w:rsidRPr="003B55FF">
        <w:rPr>
          <w:rFonts w:ascii="Verdana" w:hAnsi="Verdana" w:cs="Helvetica"/>
          <w:b/>
          <w:color w:val="000000"/>
          <w:sz w:val="22"/>
          <w:szCs w:val="22"/>
        </w:rPr>
        <w:t>In addition, all post holders are expected:</w:t>
      </w:r>
    </w:p>
    <w:p w14:paraId="379623C7" w14:textId="6750B475" w:rsidR="00163498" w:rsidRPr="003B55FF" w:rsidRDefault="00163498" w:rsidP="00163498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outlineLvl w:val="0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 xml:space="preserve">To comply and work within </w:t>
      </w:r>
      <w:proofErr w:type="spellStart"/>
      <w:r w:rsidR="001A62C5" w:rsidRPr="003B55FF">
        <w:rPr>
          <w:rFonts w:ascii="Verdana" w:hAnsi="Verdana"/>
          <w:sz w:val="22"/>
          <w:szCs w:val="22"/>
        </w:rPr>
        <w:t>Regenfx’s</w:t>
      </w:r>
      <w:proofErr w:type="spellEnd"/>
      <w:r w:rsidRPr="003B55FF">
        <w:rPr>
          <w:rFonts w:ascii="Verdana" w:hAnsi="Verdana"/>
          <w:sz w:val="22"/>
          <w:szCs w:val="22"/>
        </w:rPr>
        <w:t xml:space="preserve"> policies and procedures at all times: abiding by the Code of Conduct</w:t>
      </w:r>
      <w:r w:rsidR="001A62C5" w:rsidRPr="003B55FF">
        <w:rPr>
          <w:rFonts w:ascii="Verdana" w:hAnsi="Verdana"/>
          <w:sz w:val="22"/>
          <w:szCs w:val="22"/>
        </w:rPr>
        <w:t>.</w:t>
      </w:r>
    </w:p>
    <w:p w14:paraId="15E76CCD" w14:textId="77777777" w:rsidR="00163498" w:rsidRPr="003B55FF" w:rsidRDefault="00163498" w:rsidP="00163498">
      <w:pPr>
        <w:pStyle w:val="NormalWeb"/>
        <w:spacing w:before="0" w:beforeAutospacing="0" w:after="0" w:afterAutospacing="0"/>
        <w:ind w:left="284"/>
        <w:jc w:val="both"/>
        <w:outlineLvl w:val="0"/>
        <w:rPr>
          <w:rFonts w:ascii="Verdana" w:hAnsi="Verdana"/>
          <w:sz w:val="22"/>
          <w:szCs w:val="22"/>
        </w:rPr>
      </w:pPr>
    </w:p>
    <w:p w14:paraId="6A45B057" w14:textId="7AF1FF86" w:rsidR="00163498" w:rsidRPr="003B55FF" w:rsidRDefault="00163498" w:rsidP="00163498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>To follow</w:t>
      </w:r>
      <w:r w:rsidR="001A62C5" w:rsidRPr="003B55FF">
        <w:rPr>
          <w:rFonts w:ascii="Verdana" w:hAnsi="Verdana"/>
          <w:sz w:val="22"/>
          <w:szCs w:val="22"/>
        </w:rPr>
        <w:t xml:space="preserve"> </w:t>
      </w:r>
      <w:proofErr w:type="spellStart"/>
      <w:r w:rsidR="001A62C5" w:rsidRPr="003B55FF">
        <w:rPr>
          <w:rFonts w:ascii="Verdana" w:hAnsi="Verdana"/>
          <w:sz w:val="22"/>
          <w:szCs w:val="22"/>
        </w:rPr>
        <w:t>Regenfx’s</w:t>
      </w:r>
      <w:proofErr w:type="spellEnd"/>
      <w:r w:rsidRPr="003B55FF">
        <w:rPr>
          <w:rFonts w:ascii="Verdana" w:hAnsi="Verdana"/>
          <w:sz w:val="22"/>
          <w:szCs w:val="22"/>
        </w:rPr>
        <w:t xml:space="preserve"> Children &amp; Adult safeguarding policies and procedures.</w:t>
      </w:r>
    </w:p>
    <w:p w14:paraId="0E8AD878" w14:textId="77777777" w:rsidR="00163498" w:rsidRPr="003B55FF" w:rsidRDefault="00163498" w:rsidP="00163498">
      <w:pPr>
        <w:pStyle w:val="ListParagraph"/>
        <w:rPr>
          <w:sz w:val="22"/>
          <w:szCs w:val="22"/>
        </w:rPr>
      </w:pPr>
    </w:p>
    <w:p w14:paraId="7F9F256B" w14:textId="22E6758F" w:rsidR="00163498" w:rsidRPr="003B55FF" w:rsidRDefault="00163498" w:rsidP="00163498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>To ensure their work adheres to national and local guidelines and legislation, e.g. GIRFEC</w:t>
      </w:r>
      <w:r w:rsidR="001364D9" w:rsidRPr="003B55FF">
        <w:rPr>
          <w:rFonts w:ascii="Verdana" w:hAnsi="Verdana"/>
          <w:sz w:val="22"/>
          <w:szCs w:val="22"/>
        </w:rPr>
        <w:t>.</w:t>
      </w:r>
    </w:p>
    <w:p w14:paraId="176B720F" w14:textId="77777777" w:rsidR="00163498" w:rsidRPr="003B55FF" w:rsidRDefault="00163498" w:rsidP="00163498">
      <w:pPr>
        <w:pStyle w:val="NormalWeb"/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</w:p>
    <w:p w14:paraId="10036A6A" w14:textId="6DEF7B91" w:rsidR="00163498" w:rsidRPr="003B55FF" w:rsidRDefault="00163498" w:rsidP="00163498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 xml:space="preserve">To keep suitable case records according to agency policy, legal and other requirements, ensuring that all project case records and files are maintained and securely held according to </w:t>
      </w:r>
      <w:proofErr w:type="spellStart"/>
      <w:r w:rsidR="001364D9" w:rsidRPr="003B55FF">
        <w:rPr>
          <w:rFonts w:ascii="Verdana" w:hAnsi="Verdana"/>
          <w:sz w:val="22"/>
          <w:szCs w:val="22"/>
        </w:rPr>
        <w:t>Regenfx</w:t>
      </w:r>
      <w:r w:rsidRPr="003B55FF">
        <w:rPr>
          <w:rFonts w:ascii="Verdana" w:hAnsi="Verdana"/>
          <w:sz w:val="22"/>
          <w:szCs w:val="22"/>
        </w:rPr>
        <w:t>’s</w:t>
      </w:r>
      <w:proofErr w:type="spellEnd"/>
      <w:r w:rsidRPr="003B55FF">
        <w:rPr>
          <w:rFonts w:ascii="Verdana" w:hAnsi="Verdana"/>
          <w:sz w:val="22"/>
          <w:szCs w:val="22"/>
        </w:rPr>
        <w:t xml:space="preserve"> Data Security Framework</w:t>
      </w:r>
      <w:r w:rsidR="001364D9" w:rsidRPr="003B55FF">
        <w:rPr>
          <w:rFonts w:ascii="Verdana" w:hAnsi="Verdana"/>
          <w:sz w:val="22"/>
          <w:szCs w:val="22"/>
        </w:rPr>
        <w:t>.</w:t>
      </w:r>
    </w:p>
    <w:p w14:paraId="6E162A7D" w14:textId="77777777" w:rsidR="00163498" w:rsidRPr="003B55FF" w:rsidRDefault="00163498" w:rsidP="00163498">
      <w:pPr>
        <w:pStyle w:val="ListParagraph"/>
        <w:rPr>
          <w:sz w:val="22"/>
          <w:szCs w:val="22"/>
        </w:rPr>
      </w:pPr>
    </w:p>
    <w:p w14:paraId="6368F046" w14:textId="17646EC0" w:rsidR="00163498" w:rsidRPr="003B55FF" w:rsidRDefault="00163498" w:rsidP="00163498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>To be committed to anti-discriminatory and equal opportunities practices</w:t>
      </w:r>
      <w:r w:rsidR="001364D9" w:rsidRPr="003B55FF">
        <w:rPr>
          <w:rFonts w:ascii="Verdana" w:hAnsi="Verdana"/>
          <w:sz w:val="22"/>
          <w:szCs w:val="22"/>
        </w:rPr>
        <w:t>.</w:t>
      </w:r>
    </w:p>
    <w:p w14:paraId="4BD698CD" w14:textId="77777777" w:rsidR="00163498" w:rsidRPr="003B55FF" w:rsidRDefault="00163498" w:rsidP="00163498">
      <w:pPr>
        <w:pStyle w:val="ListParagraph"/>
        <w:ind w:left="284"/>
        <w:rPr>
          <w:sz w:val="22"/>
          <w:szCs w:val="22"/>
        </w:rPr>
      </w:pPr>
    </w:p>
    <w:p w14:paraId="02B0D57B" w14:textId="77777777" w:rsidR="00163498" w:rsidRPr="003B55FF" w:rsidRDefault="00163498" w:rsidP="00163498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 xml:space="preserve">To take part in and encourage service user participation in accordance with agency policy. </w:t>
      </w:r>
    </w:p>
    <w:p w14:paraId="54FA7D77" w14:textId="77777777" w:rsidR="00163498" w:rsidRPr="003B55FF" w:rsidRDefault="00163498" w:rsidP="00163498">
      <w:pPr>
        <w:pStyle w:val="ListParagraph"/>
        <w:ind w:left="284"/>
        <w:rPr>
          <w:sz w:val="22"/>
          <w:szCs w:val="22"/>
        </w:rPr>
      </w:pPr>
    </w:p>
    <w:p w14:paraId="28AC1766" w14:textId="02F98602" w:rsidR="00163498" w:rsidRPr="003B55FF" w:rsidRDefault="00163498" w:rsidP="00163498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 xml:space="preserve">To be IT competent. This means using email, internet, </w:t>
      </w:r>
      <w:proofErr w:type="gramStart"/>
      <w:r w:rsidRPr="003B55FF">
        <w:rPr>
          <w:rFonts w:ascii="Verdana" w:hAnsi="Verdana"/>
          <w:sz w:val="22"/>
          <w:szCs w:val="22"/>
        </w:rPr>
        <w:t>mobile</w:t>
      </w:r>
      <w:proofErr w:type="gramEnd"/>
      <w:r w:rsidRPr="003B55FF">
        <w:rPr>
          <w:rFonts w:ascii="Verdana" w:hAnsi="Verdana"/>
          <w:sz w:val="22"/>
          <w:szCs w:val="22"/>
        </w:rPr>
        <w:t xml:space="preserve"> devices, using Microsoft office, researching and downloading relevant materials</w:t>
      </w:r>
      <w:r w:rsidR="001364D9" w:rsidRPr="003B55FF">
        <w:rPr>
          <w:rFonts w:ascii="Verdana" w:hAnsi="Verdana"/>
          <w:sz w:val="22"/>
          <w:szCs w:val="22"/>
        </w:rPr>
        <w:t>.</w:t>
      </w:r>
      <w:r w:rsidRPr="003B55FF">
        <w:rPr>
          <w:rFonts w:ascii="Verdana" w:hAnsi="Verdana"/>
          <w:sz w:val="22"/>
          <w:szCs w:val="22"/>
        </w:rPr>
        <w:t> </w:t>
      </w:r>
    </w:p>
    <w:p w14:paraId="6D0A7460" w14:textId="77777777" w:rsidR="00163498" w:rsidRPr="003B55FF" w:rsidRDefault="00163498" w:rsidP="00163498">
      <w:pPr>
        <w:pStyle w:val="NormalWeb"/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</w:p>
    <w:p w14:paraId="451F7C4A" w14:textId="4AADB91E" w:rsidR="00163498" w:rsidRPr="003B55FF" w:rsidRDefault="00163498" w:rsidP="00163498">
      <w:pPr>
        <w:pStyle w:val="NormalWeb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284" w:hanging="284"/>
        <w:jc w:val="both"/>
        <w:outlineLvl w:val="0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 xml:space="preserve">To attend </w:t>
      </w:r>
      <w:r w:rsidR="001364D9" w:rsidRPr="003B55FF">
        <w:rPr>
          <w:rFonts w:ascii="Verdana" w:hAnsi="Verdana"/>
          <w:sz w:val="22"/>
          <w:szCs w:val="22"/>
        </w:rPr>
        <w:t>Regenfx</w:t>
      </w:r>
      <w:r w:rsidRPr="003B55FF">
        <w:rPr>
          <w:rFonts w:ascii="Verdana" w:hAnsi="Verdana"/>
          <w:sz w:val="22"/>
          <w:szCs w:val="22"/>
        </w:rPr>
        <w:t xml:space="preserve"> induction, identified training and abide by our policies and procedures on Safeguarding, Health and Safety and Equality and Diversity</w:t>
      </w:r>
      <w:r w:rsidR="001364D9" w:rsidRPr="003B55FF">
        <w:rPr>
          <w:rFonts w:ascii="Verdana" w:hAnsi="Verdana"/>
          <w:sz w:val="22"/>
          <w:szCs w:val="22"/>
        </w:rPr>
        <w:t>.</w:t>
      </w:r>
      <w:r w:rsidRPr="003B55FF">
        <w:rPr>
          <w:rFonts w:ascii="Verdana" w:hAnsi="Verdana"/>
          <w:sz w:val="22"/>
          <w:szCs w:val="22"/>
        </w:rPr>
        <w:t xml:space="preserve"> </w:t>
      </w:r>
    </w:p>
    <w:p w14:paraId="63EFEEA2" w14:textId="77777777" w:rsidR="00163498" w:rsidRPr="003B55FF" w:rsidRDefault="00163498" w:rsidP="00163498">
      <w:pPr>
        <w:pStyle w:val="NormalWeb"/>
        <w:tabs>
          <w:tab w:val="num" w:pos="426"/>
        </w:tabs>
        <w:spacing w:before="0" w:beforeAutospacing="0" w:after="0" w:afterAutospacing="0"/>
        <w:ind w:left="284" w:hanging="284"/>
        <w:jc w:val="both"/>
        <w:rPr>
          <w:rFonts w:ascii="Verdana" w:hAnsi="Verdana"/>
          <w:sz w:val="22"/>
          <w:szCs w:val="22"/>
        </w:rPr>
      </w:pPr>
    </w:p>
    <w:p w14:paraId="06A2AF32" w14:textId="05A386C6" w:rsidR="00163498" w:rsidRPr="003B55FF" w:rsidRDefault="00163498" w:rsidP="00163498">
      <w:pPr>
        <w:pStyle w:val="NormalWeb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284" w:hanging="284"/>
        <w:jc w:val="both"/>
        <w:outlineLvl w:val="0"/>
        <w:rPr>
          <w:rFonts w:ascii="Verdana" w:hAnsi="Verdana"/>
          <w:sz w:val="22"/>
          <w:szCs w:val="22"/>
        </w:rPr>
      </w:pPr>
      <w:r w:rsidRPr="003B55FF">
        <w:rPr>
          <w:rFonts w:ascii="Verdana" w:hAnsi="Verdana"/>
          <w:sz w:val="22"/>
          <w:szCs w:val="22"/>
        </w:rPr>
        <w:t>To attend appropriate continuing professional development and training events and be committed to team events</w:t>
      </w:r>
      <w:r w:rsidR="001364D9" w:rsidRPr="003B55FF">
        <w:rPr>
          <w:rFonts w:ascii="Verdana" w:hAnsi="Verdana"/>
          <w:sz w:val="22"/>
          <w:szCs w:val="22"/>
        </w:rPr>
        <w:t>.</w:t>
      </w:r>
    </w:p>
    <w:p w14:paraId="2A27CBAF" w14:textId="0174C9F4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 xml:space="preserve">Work closely with </w:t>
      </w:r>
      <w:proofErr w:type="spellStart"/>
      <w:r w:rsidR="001364D9" w:rsidRPr="003B55FF">
        <w:rPr>
          <w:rFonts w:ascii="Verdana" w:hAnsi="Verdana" w:cs="Helvetica"/>
          <w:color w:val="000000"/>
          <w:sz w:val="22"/>
          <w:szCs w:val="22"/>
        </w:rPr>
        <w:t>Regenfx</w:t>
      </w:r>
      <w:r w:rsidRPr="003B55FF">
        <w:rPr>
          <w:rFonts w:ascii="Verdana" w:hAnsi="Verdana" w:cs="Helvetica"/>
          <w:color w:val="000000"/>
          <w:sz w:val="22"/>
          <w:szCs w:val="22"/>
        </w:rPr>
        <w:t>’s</w:t>
      </w:r>
      <w:proofErr w:type="spellEnd"/>
      <w:r w:rsidRPr="003B55FF">
        <w:rPr>
          <w:rFonts w:ascii="Verdana" w:hAnsi="Verdana" w:cs="Helvetica"/>
          <w:color w:val="000000"/>
          <w:sz w:val="22"/>
          <w:szCs w:val="22"/>
        </w:rPr>
        <w:t xml:space="preserve"> existing internal projects: attend and contribute to wider team and organisational meetings</w:t>
      </w:r>
      <w:r w:rsidR="001364D9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53BDCD18" w14:textId="7738292D" w:rsidR="00163498" w:rsidRPr="003B55FF" w:rsidRDefault="00163498" w:rsidP="0016349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240" w:after="100" w:afterAutospacing="1"/>
        <w:ind w:left="284" w:hanging="426"/>
        <w:jc w:val="both"/>
        <w:rPr>
          <w:rFonts w:ascii="Verdana" w:hAnsi="Verdana" w:cs="Helvetica"/>
          <w:color w:val="000000"/>
          <w:sz w:val="22"/>
          <w:szCs w:val="22"/>
        </w:rPr>
      </w:pPr>
      <w:r w:rsidRPr="003B55FF">
        <w:rPr>
          <w:rFonts w:ascii="Verdana" w:hAnsi="Verdana" w:cs="Helvetica"/>
          <w:color w:val="000000"/>
          <w:sz w:val="22"/>
          <w:szCs w:val="22"/>
        </w:rPr>
        <w:t xml:space="preserve">To represent </w:t>
      </w:r>
      <w:r w:rsidR="001364D9" w:rsidRPr="003B55FF">
        <w:rPr>
          <w:rFonts w:ascii="Verdana" w:hAnsi="Verdana" w:cs="Helvetica"/>
          <w:color w:val="000000"/>
          <w:sz w:val="22"/>
          <w:szCs w:val="22"/>
        </w:rPr>
        <w:t>Regenfx</w:t>
      </w:r>
      <w:r w:rsidRPr="003B55FF">
        <w:rPr>
          <w:rFonts w:ascii="Verdana" w:hAnsi="Verdana" w:cs="Helvetica"/>
          <w:color w:val="000000"/>
          <w:sz w:val="22"/>
          <w:szCs w:val="22"/>
        </w:rPr>
        <w:t xml:space="preserve"> at meetings, events, conferences and be a good ambassador for the work we do</w:t>
      </w:r>
      <w:r w:rsidR="001364D9" w:rsidRPr="003B55FF">
        <w:rPr>
          <w:rFonts w:ascii="Verdana" w:hAnsi="Verdana" w:cs="Helvetica"/>
          <w:color w:val="000000"/>
          <w:sz w:val="22"/>
          <w:szCs w:val="22"/>
        </w:rPr>
        <w:t>.</w:t>
      </w:r>
    </w:p>
    <w:p w14:paraId="3371E75D" w14:textId="77777777" w:rsidR="00163498" w:rsidRPr="003B55FF" w:rsidRDefault="00163498" w:rsidP="00163498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3C5A5DD" w14:textId="77777777" w:rsidR="00163498" w:rsidRPr="003B55FF" w:rsidRDefault="00163498" w:rsidP="00163498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4078E946" w14:textId="77777777" w:rsidR="00163498" w:rsidRPr="003B55FF" w:rsidRDefault="00163498" w:rsidP="00163498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799A0209" w14:textId="77777777" w:rsidR="00163498" w:rsidRPr="003B55FF" w:rsidRDefault="00163498" w:rsidP="00163498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244D0AC8" w14:textId="77777777" w:rsidR="00163498" w:rsidRPr="003B55FF" w:rsidRDefault="00163498" w:rsidP="00163498">
      <w:pPr>
        <w:keepNext/>
        <w:keepLines/>
        <w:spacing w:line="276" w:lineRule="auto"/>
        <w:outlineLvl w:val="1"/>
        <w:rPr>
          <w:rFonts w:ascii="Verdana" w:hAnsi="Verdana"/>
          <w:b/>
          <w:bCs/>
          <w:sz w:val="22"/>
          <w:szCs w:val="22"/>
        </w:rPr>
      </w:pPr>
      <w:r w:rsidRPr="003B55FF">
        <w:rPr>
          <w:rFonts w:ascii="Verdana" w:hAnsi="Verdana"/>
          <w:b/>
          <w:bCs/>
          <w:sz w:val="22"/>
          <w:szCs w:val="22"/>
        </w:rPr>
        <w:t>Person Specification</w:t>
      </w:r>
    </w:p>
    <w:p w14:paraId="3AA369B5" w14:textId="77777777" w:rsidR="00163498" w:rsidRPr="003B55FF" w:rsidRDefault="00163498" w:rsidP="00163498">
      <w:pPr>
        <w:keepNext/>
        <w:keepLines/>
        <w:spacing w:line="276" w:lineRule="auto"/>
        <w:outlineLvl w:val="1"/>
        <w:rPr>
          <w:rFonts w:ascii="Verdana" w:hAnsi="Verdana"/>
          <w:b/>
          <w:bCs/>
          <w:color w:val="1F497D"/>
          <w:sz w:val="22"/>
          <w:szCs w:val="22"/>
        </w:rPr>
      </w:pPr>
      <w:r w:rsidRPr="003B55FF">
        <w:rPr>
          <w:rFonts w:ascii="Verdana" w:hAnsi="Verdana"/>
          <w:b/>
          <w:bCs/>
          <w:sz w:val="22"/>
          <w:szCs w:val="22"/>
        </w:rPr>
        <w:t>Knowledge, Job Related Skills, Qualifications &amp; Experience</w:t>
      </w:r>
      <w:r w:rsidRPr="003B55FF">
        <w:rPr>
          <w:rFonts w:ascii="Verdana" w:hAnsi="Verdana"/>
          <w:b/>
          <w:bCs/>
          <w:color w:val="1F497D"/>
          <w:sz w:val="22"/>
          <w:szCs w:val="22"/>
        </w:rPr>
        <w:t>:</w:t>
      </w:r>
    </w:p>
    <w:p w14:paraId="2A1B106F" w14:textId="77777777" w:rsidR="00163498" w:rsidRPr="003B55FF" w:rsidRDefault="00163498" w:rsidP="00163498">
      <w:pPr>
        <w:rPr>
          <w:rFonts w:asciiTheme="minorHAnsi" w:eastAsiaTheme="minorHAnsi" w:hAnsiTheme="minorHAnsi" w:cstheme="minorBidi"/>
          <w:sz w:val="22"/>
          <w:szCs w:val="22"/>
        </w:rPr>
      </w:pPr>
      <w:r w:rsidRPr="003B55FF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3B55FF">
        <w:rPr>
          <w:rFonts w:asciiTheme="minorHAnsi" w:eastAsiaTheme="minorHAnsi" w:hAnsiTheme="minorHAnsi" w:cstheme="minorBidi"/>
          <w:sz w:val="22"/>
          <w:szCs w:val="22"/>
        </w:rPr>
        <w:t>Ess</w:t>
      </w:r>
      <w:proofErr w:type="spellEnd"/>
      <w:r w:rsidRPr="003B55FF">
        <w:rPr>
          <w:rFonts w:asciiTheme="minorHAnsi" w:eastAsiaTheme="minorHAnsi" w:hAnsiTheme="minorHAnsi" w:cstheme="minorBidi"/>
          <w:sz w:val="22"/>
          <w:szCs w:val="22"/>
        </w:rPr>
        <w:t>= Essential: Des = Desirable)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709"/>
        <w:gridCol w:w="709"/>
      </w:tblGrid>
      <w:tr w:rsidR="00163498" w:rsidRPr="003B55FF" w14:paraId="6408700D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B523755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  <w:u w:val="single"/>
              </w:rPr>
            </w:pPr>
            <w:r w:rsidRPr="003B55FF">
              <w:rPr>
                <w:rFonts w:asciiTheme="minorHAnsi" w:eastAsia="Calibri" w:hAnsiTheme="minorHAnsi"/>
                <w:color w:val="FFFFFF"/>
                <w:sz w:val="22"/>
                <w:szCs w:val="22"/>
              </w:rPr>
              <w:t>Experience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219CE2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/>
                <w:color w:val="FFFFFF"/>
                <w:sz w:val="22"/>
                <w:szCs w:val="22"/>
              </w:rPr>
            </w:pPr>
            <w:proofErr w:type="spellStart"/>
            <w:r w:rsidRPr="003B55FF">
              <w:rPr>
                <w:rFonts w:asciiTheme="minorHAnsi" w:eastAsia="Calibri" w:hAnsiTheme="minorHAnsi"/>
                <w:color w:val="FFFFFF"/>
                <w:sz w:val="22"/>
                <w:szCs w:val="22"/>
              </w:rPr>
              <w:t>Ess</w:t>
            </w:r>
            <w:proofErr w:type="spellEnd"/>
            <w:r w:rsidRPr="003B55FF">
              <w:rPr>
                <w:rFonts w:asciiTheme="minorHAnsi" w:eastAsia="Calibri" w:hAnsiTheme="minorHAnsi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8C5E3F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/>
                <w:color w:val="FFFFFF"/>
                <w:sz w:val="22"/>
                <w:szCs w:val="22"/>
              </w:rPr>
            </w:pPr>
            <w:r w:rsidRPr="003B55FF">
              <w:rPr>
                <w:rFonts w:asciiTheme="minorHAnsi" w:eastAsia="Calibri" w:hAnsiTheme="minorHAnsi"/>
                <w:color w:val="FFFFFF"/>
                <w:sz w:val="22"/>
                <w:szCs w:val="22"/>
              </w:rPr>
              <w:t>Des</w:t>
            </w:r>
          </w:p>
        </w:tc>
      </w:tr>
      <w:tr w:rsidR="00163498" w:rsidRPr="003B55FF" w14:paraId="592B9A4D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8268" w14:textId="77777777" w:rsidR="00163498" w:rsidRPr="003B55FF" w:rsidRDefault="00163498" w:rsidP="008F2610">
            <w:pPr>
              <w:spacing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in individual counselling with young people to include working with risk issues.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7E5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D68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58803C75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EE9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At least two years’ experience of offering counselling to young people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2E9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EA2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3C02F39D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4C04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of having worked within a multi-agency setting.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46D" w14:textId="40909085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4A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0B4CA041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B2AA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of working independently as well as in a team.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B6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C00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35C10722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576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of partnership working with other professionals and of networking and liaison with a range of voluntary and statutory services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492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3AD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78D22151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89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of managing administrative tasks to include evaluations.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AFA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302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18C728DC" w14:textId="77777777" w:rsidTr="008F2610">
        <w:trPr>
          <w:trHeight w:val="2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061B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and/or knowledge of local statutory and voluntary agencies</w:t>
            </w:r>
            <w:r w:rsidRPr="003B55F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004" w14:textId="7F7E7BE6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ADD" w14:textId="32643080" w:rsidR="00163498" w:rsidRPr="003B55FF" w:rsidRDefault="001364D9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5EE52AFD" w14:textId="77777777" w:rsidTr="008F2610">
        <w:trPr>
          <w:trHeight w:val="2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38B8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in group counselling with children and or young people.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88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432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0DECD451" w14:textId="77777777" w:rsidTr="008F2610">
        <w:trPr>
          <w:trHeight w:val="2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A2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of delivery topic specific group work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0C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82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4FAEC09E" w14:textId="77777777" w:rsidTr="008F2610">
        <w:trPr>
          <w:trHeight w:val="2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38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of working to brief/short term counselling model (6-8 sessions) &amp; longer-term models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33D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E11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046B45B2" w14:textId="77777777" w:rsidTr="008F2610">
        <w:trPr>
          <w:trHeight w:val="2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83E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Experience of delivering CBT group work sessions, workshops and programmes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37A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A06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635E70EF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5D6527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  <w:r w:rsidRPr="003B55FF"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  <w:t>Qualities, Skills &amp; Abilities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E5870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3C7A1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</w:p>
        </w:tc>
      </w:tr>
      <w:tr w:rsidR="00163498" w:rsidRPr="003B55FF" w14:paraId="77A5A53B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6DFF" w14:textId="77777777" w:rsidR="00163498" w:rsidRPr="003B55FF" w:rsidRDefault="00163498" w:rsidP="008F2610">
            <w:pPr>
              <w:spacing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Ability to communicate and build trusting relationships effectively with young people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C11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624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602863CE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6D7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Genuine interest and enthusiasm for working with young people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A12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5E5A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0DC779C8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01F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Good written and verbal communication skills.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986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4F5D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0B75754E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CB6" w14:textId="223FE4F6" w:rsidR="00163498" w:rsidRPr="003B55FF" w:rsidRDefault="00E874F4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Ability to</w:t>
            </w:r>
            <w:r w:rsidR="00163498" w:rsidRPr="003B55FF">
              <w:rPr>
                <w:rFonts w:asciiTheme="minorHAnsi" w:hAnsiTheme="minorHAnsi" w:cs="Arial"/>
                <w:sz w:val="22"/>
                <w:szCs w:val="22"/>
              </w:rPr>
              <w:t xml:space="preserve"> work competently on a time limited basis.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EA8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C305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7F7D08BA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6B0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Ability to establish and maintain effective relationships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E01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B74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22DEE57E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4BB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Collaborative working style and strong work ethic, can do attitude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23A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47E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4AA5F0E6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604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 xml:space="preserve">Ability to manage caseloads while working on own initiative and be self-motivated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016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6C4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27936F6C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D45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Demonstrate a sound sense of personal integrity and ethics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B87A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631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52EDCF12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FD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IT competent and confident.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BA7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29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43927C70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BDE2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Demonstrate a working understanding of the principle of equal opportunities and diversity.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07F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739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00064CE8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C082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3B55FF">
              <w:rPr>
                <w:rFonts w:asciiTheme="minorHAnsi" w:hAnsiTheme="minorHAnsi"/>
                <w:sz w:val="22"/>
                <w:szCs w:val="22"/>
              </w:rPr>
              <w:t>Ability to provide creative and/or activity-based therapies.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23AE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5A1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2F842570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47A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Warm, approachable, flexible interpersonal attitude.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588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628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63498" w:rsidRPr="003B55FF" w14:paraId="2689A9BC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0968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Ability to communicate effectively with parents/carers and professionals.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52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B5B4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0C7B82C5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A4167FE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  <w:r w:rsidRPr="003B55FF"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  <w:t>Qualifications &amp; Training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3F34D2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A22F3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</w:p>
        </w:tc>
      </w:tr>
      <w:tr w:rsidR="00163498" w:rsidRPr="003B55FF" w14:paraId="3D4B6582" w14:textId="77777777" w:rsidTr="008F2610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85C5" w14:textId="77777777" w:rsidR="00163498" w:rsidRPr="003B55FF" w:rsidRDefault="00163498" w:rsidP="008F2610">
            <w:pPr>
              <w:spacing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Graduate or Post graduate level Counselling Diploma or equivalent.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E56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82D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732CE115" w14:textId="77777777" w:rsidTr="008F2610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F9EE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COSCA/BABCP/BACP Registration or Accreditation or eligibility and willingness to work towards accreditation).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0CC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AEF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0454E827" w14:textId="77777777" w:rsidTr="008F2610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FCD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Post qualifying youth work/counselling qualification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7FA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6C1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1D08B191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85AD212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  <w:r w:rsidRPr="003B55FF"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  <w:t>Knowledge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9D554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B9DAB8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</w:p>
        </w:tc>
      </w:tr>
      <w:tr w:rsidR="00163498" w:rsidRPr="003B55FF" w14:paraId="67ED256D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D0A7" w14:textId="77777777" w:rsidR="00163498" w:rsidRPr="003B55FF" w:rsidRDefault="00163498" w:rsidP="008F2610">
            <w:pPr>
              <w:spacing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Sound understanding of GIRFEC, Child &amp; Adult Safeguarding issues, policies and procedures.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93B9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030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B55FF" w14:paraId="1609B072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A755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Sound understanding of adolescents/ young adults developmental processes.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E77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2C1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</w:tr>
      <w:tr w:rsidR="00163498" w:rsidRPr="003B55FF" w14:paraId="06F70B86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CC2C016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  <w:r w:rsidRPr="003B55FF"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  <w:t>General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4FC816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BBC164" w14:textId="77777777" w:rsidR="00163498" w:rsidRPr="003B55FF" w:rsidRDefault="00163498" w:rsidP="008F2610">
            <w:pPr>
              <w:spacing w:line="276" w:lineRule="auto"/>
              <w:rPr>
                <w:rFonts w:asciiTheme="minorHAnsi" w:eastAsia="Calibri" w:hAnsiTheme="minorHAnsi" w:cs="Arial"/>
                <w:bCs/>
                <w:color w:val="FFFFFF"/>
                <w:sz w:val="22"/>
                <w:szCs w:val="22"/>
              </w:rPr>
            </w:pPr>
          </w:p>
        </w:tc>
      </w:tr>
      <w:tr w:rsidR="00163498" w:rsidRPr="003B55FF" w14:paraId="18D88CBB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C043" w14:textId="23CC83CC" w:rsidR="00163498" w:rsidRPr="003B55FF" w:rsidRDefault="00163498" w:rsidP="008F2610">
            <w:pPr>
              <w:spacing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 xml:space="preserve">A commitment to the Aims and Purposes of </w:t>
            </w:r>
            <w:r w:rsidR="003B55FF" w:rsidRPr="003B55FF">
              <w:rPr>
                <w:rFonts w:asciiTheme="minorHAnsi" w:hAnsiTheme="minorHAnsi" w:cs="Arial"/>
                <w:sz w:val="22"/>
                <w:szCs w:val="22"/>
              </w:rPr>
              <w:t>Regenfx Youth Trust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719" w14:textId="3932C97D" w:rsidR="00163498" w:rsidRPr="003B55FF" w:rsidRDefault="0038156D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558" w14:textId="77777777" w:rsidR="00163498" w:rsidRPr="003B55FF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3498" w:rsidRPr="003845AE" w14:paraId="5968B6C3" w14:textId="77777777" w:rsidTr="008F261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868" w14:textId="77777777" w:rsidR="00163498" w:rsidRPr="003845AE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t>Holds a valid driving license and have access to a vehicle to meet young people in a variety of community venues within the scheduled day.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9A4" w14:textId="1E6FEE51" w:rsidR="00163498" w:rsidRPr="003845AE" w:rsidRDefault="0038156D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B55FF">
              <w:rPr>
                <w:rFonts w:asciiTheme="minorHAnsi" w:hAnsiTheme="minorHAnsi" w:cs="Arial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CF1" w14:textId="77777777" w:rsidR="00163498" w:rsidRPr="003845AE" w:rsidRDefault="00163498" w:rsidP="008F261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1382F2F" w14:textId="77777777" w:rsidR="00163498" w:rsidRPr="003845AE" w:rsidRDefault="00163498" w:rsidP="00163498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7013ABB8" w14:textId="77777777" w:rsidR="00A44E5E" w:rsidRDefault="005E6656"/>
    <w:sectPr w:rsidR="00A44E5E" w:rsidSect="007324A0">
      <w:footerReference w:type="default" r:id="rId7"/>
      <w:pgSz w:w="12240" w:h="15840"/>
      <w:pgMar w:top="426" w:right="1800" w:bottom="709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94E8" w14:textId="77777777" w:rsidR="00494282" w:rsidRDefault="00494282" w:rsidP="003B55FF">
      <w:r>
        <w:separator/>
      </w:r>
    </w:p>
  </w:endnote>
  <w:endnote w:type="continuationSeparator" w:id="0">
    <w:p w14:paraId="7DC9FA00" w14:textId="77777777" w:rsidR="00494282" w:rsidRDefault="00494282" w:rsidP="003B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1DAF1" w14:textId="52367864" w:rsidR="00865121" w:rsidRPr="007324A0" w:rsidRDefault="003B55FF" w:rsidP="007324A0">
    <w:pPr>
      <w:jc w:val="center"/>
      <w:rPr>
        <w:rFonts w:asciiTheme="minorHAnsi" w:hAnsiTheme="minorHAnsi"/>
      </w:rPr>
    </w:pPr>
    <w:r>
      <w:rPr>
        <w:rFonts w:asciiTheme="minorHAnsi" w:hAnsiTheme="minorHAnsi"/>
        <w:sz w:val="20"/>
        <w:szCs w:val="20"/>
      </w:rPr>
      <w:t>Regenfx Youth Trust</w:t>
    </w:r>
    <w:r w:rsidR="00537854" w:rsidRPr="007324A0">
      <w:rPr>
        <w:rFonts w:asciiTheme="minorHAnsi" w:hAnsiTheme="minorHAnsi"/>
        <w:sz w:val="20"/>
        <w:szCs w:val="20"/>
      </w:rPr>
      <w:t xml:space="preserve"> is a charity and a company by guarantee.</w:t>
    </w:r>
  </w:p>
  <w:p w14:paraId="12F93B60" w14:textId="66BE8079" w:rsidR="00865121" w:rsidRPr="007324A0" w:rsidRDefault="00537854" w:rsidP="007324A0">
    <w:pPr>
      <w:jc w:val="center"/>
      <w:rPr>
        <w:rFonts w:asciiTheme="minorHAnsi" w:hAnsiTheme="minorHAnsi"/>
      </w:rPr>
    </w:pPr>
    <w:r w:rsidRPr="007324A0">
      <w:rPr>
        <w:rFonts w:asciiTheme="minorHAnsi" w:hAnsiTheme="minorHAnsi"/>
        <w:sz w:val="20"/>
        <w:szCs w:val="20"/>
      </w:rPr>
      <w:t>Scottish Charity Reference No. SCO 38</w:t>
    </w:r>
    <w:r w:rsidR="003B55FF">
      <w:rPr>
        <w:rFonts w:asciiTheme="minorHAnsi" w:hAnsiTheme="minorHAnsi"/>
        <w:sz w:val="20"/>
        <w:szCs w:val="20"/>
      </w:rPr>
      <w:t>525</w:t>
    </w:r>
    <w:r w:rsidRPr="007324A0">
      <w:rPr>
        <w:rFonts w:asciiTheme="minorHAnsi" w:hAnsiTheme="minorHAnsi"/>
        <w:sz w:val="20"/>
        <w:szCs w:val="20"/>
      </w:rPr>
      <w:t xml:space="preserve">. Company Registration No. </w:t>
    </w:r>
    <w:r w:rsidR="003B55FF">
      <w:rPr>
        <w:rFonts w:asciiTheme="minorHAnsi" w:hAnsiTheme="minorHAnsi"/>
        <w:sz w:val="20"/>
        <w:szCs w:val="20"/>
      </w:rPr>
      <w:t>SC315092</w:t>
    </w:r>
    <w:r w:rsidRPr="007324A0">
      <w:rPr>
        <w:rFonts w:asciiTheme="minorHAnsi" w:hAnsiTheme="minorHAnsi"/>
        <w:color w:val="0000FF"/>
        <w:sz w:val="20"/>
        <w:szCs w:val="20"/>
      </w:rPr>
      <w:t>.</w:t>
    </w:r>
  </w:p>
  <w:p w14:paraId="7E679F6C" w14:textId="77777777" w:rsidR="00865121" w:rsidRPr="007324A0" w:rsidRDefault="005E6656" w:rsidP="007324A0">
    <w:pPr>
      <w:pStyle w:val="Footer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6BEE3" w14:textId="77777777" w:rsidR="00494282" w:rsidRDefault="00494282" w:rsidP="003B55FF">
      <w:r>
        <w:separator/>
      </w:r>
    </w:p>
  </w:footnote>
  <w:footnote w:type="continuationSeparator" w:id="0">
    <w:p w14:paraId="41AE9C6B" w14:textId="77777777" w:rsidR="00494282" w:rsidRDefault="00494282" w:rsidP="003B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60E"/>
    <w:multiLevelType w:val="hybridMultilevel"/>
    <w:tmpl w:val="0890D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515947"/>
    <w:multiLevelType w:val="multilevel"/>
    <w:tmpl w:val="68BA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98"/>
    <w:rsid w:val="001364D9"/>
    <w:rsid w:val="00163498"/>
    <w:rsid w:val="001A62C5"/>
    <w:rsid w:val="00274332"/>
    <w:rsid w:val="0038156D"/>
    <w:rsid w:val="003A502C"/>
    <w:rsid w:val="003B093E"/>
    <w:rsid w:val="003B55FF"/>
    <w:rsid w:val="00494282"/>
    <w:rsid w:val="004F42B1"/>
    <w:rsid w:val="00537854"/>
    <w:rsid w:val="005E6656"/>
    <w:rsid w:val="006204C1"/>
    <w:rsid w:val="00713DB4"/>
    <w:rsid w:val="00807547"/>
    <w:rsid w:val="008670D6"/>
    <w:rsid w:val="0093219D"/>
    <w:rsid w:val="00A37A2A"/>
    <w:rsid w:val="00B05238"/>
    <w:rsid w:val="00B11FEA"/>
    <w:rsid w:val="00BE6A5A"/>
    <w:rsid w:val="00CD180B"/>
    <w:rsid w:val="00D57A1A"/>
    <w:rsid w:val="00DA403B"/>
    <w:rsid w:val="00E37FF7"/>
    <w:rsid w:val="00E874F4"/>
    <w:rsid w:val="00EB5541"/>
    <w:rsid w:val="00F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D0C6"/>
  <w15:chartTrackingRefBased/>
  <w15:docId w15:val="{97A8FC68-490A-5346-95CF-1E2D75F8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4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34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349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63498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163498"/>
    <w:rPr>
      <w:rFonts w:ascii="Verdana" w:hAnsi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63498"/>
    <w:pPr>
      <w:ind w:left="720"/>
      <w:contextualSpacing/>
    </w:pPr>
    <w:rPr>
      <w:rFonts w:ascii="Verdana" w:eastAsiaTheme="minorHAnsi" w:hAnsi="Verdana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5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5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mcinally</dc:creator>
  <cp:keywords/>
  <dc:description/>
  <cp:lastModifiedBy>mccahone</cp:lastModifiedBy>
  <cp:revision>2</cp:revision>
  <dcterms:created xsi:type="dcterms:W3CDTF">2022-01-28T14:21:00Z</dcterms:created>
  <dcterms:modified xsi:type="dcterms:W3CDTF">2022-01-28T14:21:00Z</dcterms:modified>
</cp:coreProperties>
</file>