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3CD4" w14:textId="4866BB30" w:rsidR="00F23072" w:rsidRDefault="00F23072" w:rsidP="00F23072">
      <w:pPr>
        <w:rPr>
          <w:rFonts w:asciiTheme="majorHAnsi" w:hAnsiTheme="majorHAnsi"/>
          <w:sz w:val="22"/>
          <w:szCs w:val="22"/>
        </w:rPr>
      </w:pPr>
    </w:p>
    <w:p w14:paraId="24DCB5EF" w14:textId="7B0282E3" w:rsidR="004568FB" w:rsidRDefault="004568FB" w:rsidP="00F23072">
      <w:pPr>
        <w:rPr>
          <w:rFonts w:asciiTheme="majorHAnsi" w:hAnsiTheme="majorHAnsi"/>
          <w:sz w:val="22"/>
          <w:szCs w:val="22"/>
        </w:rPr>
      </w:pPr>
    </w:p>
    <w:p w14:paraId="2A642BC9" w14:textId="77777777" w:rsidR="007C6CDF" w:rsidRDefault="007C6CDF" w:rsidP="00F23072">
      <w:pPr>
        <w:rPr>
          <w:rFonts w:asciiTheme="majorHAnsi" w:hAnsiTheme="majorHAnsi"/>
          <w:sz w:val="22"/>
          <w:szCs w:val="22"/>
        </w:rPr>
      </w:pPr>
    </w:p>
    <w:p w14:paraId="1E4C805C" w14:textId="77777777" w:rsidR="004568FB" w:rsidRPr="003F33B3" w:rsidRDefault="004568FB" w:rsidP="00F23072">
      <w:pPr>
        <w:rPr>
          <w:rFonts w:asciiTheme="majorHAnsi" w:hAnsiTheme="majorHAnsi"/>
          <w:sz w:val="22"/>
          <w:szCs w:val="22"/>
        </w:rPr>
      </w:pPr>
    </w:p>
    <w:p w14:paraId="59951BA6" w14:textId="77777777" w:rsidR="00120053" w:rsidRDefault="00120053" w:rsidP="00F23072">
      <w:pPr>
        <w:rPr>
          <w:rFonts w:asciiTheme="majorHAnsi" w:hAnsiTheme="majorHAnsi"/>
          <w:sz w:val="22"/>
          <w:szCs w:val="22"/>
        </w:rPr>
      </w:pPr>
    </w:p>
    <w:p w14:paraId="104A5819" w14:textId="4DC6AAD9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 xml:space="preserve">JOB DESCRIPTION </w:t>
      </w:r>
      <w:proofErr w:type="gramStart"/>
      <w:r w:rsidRPr="003F33B3">
        <w:rPr>
          <w:rFonts w:asciiTheme="majorHAnsi" w:hAnsiTheme="majorHAnsi" w:cs="Calibri"/>
          <w:b/>
          <w:sz w:val="22"/>
          <w:szCs w:val="22"/>
        </w:rPr>
        <w:t xml:space="preserve">–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</w:t>
      </w:r>
      <w:r w:rsidR="00FA453D">
        <w:rPr>
          <w:rFonts w:asciiTheme="majorHAnsi" w:hAnsiTheme="majorHAnsi" w:cs="Calibri"/>
          <w:b/>
          <w:sz w:val="22"/>
          <w:szCs w:val="22"/>
        </w:rPr>
        <w:t>Peer</w:t>
      </w:r>
      <w:proofErr w:type="gramEnd"/>
      <w:r w:rsidR="00FA453D">
        <w:rPr>
          <w:rFonts w:asciiTheme="majorHAnsi" w:hAnsiTheme="majorHAnsi" w:cs="Calibri"/>
          <w:b/>
          <w:sz w:val="22"/>
          <w:szCs w:val="22"/>
        </w:rPr>
        <w:t xml:space="preserve"> Worker</w:t>
      </w:r>
    </w:p>
    <w:p w14:paraId="5A74BAAE" w14:textId="2ABE7290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Organisation:         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  </w:t>
      </w:r>
      <w:proofErr w:type="spellStart"/>
      <w:proofErr w:type="gramStart"/>
      <w:r>
        <w:rPr>
          <w:rFonts w:asciiTheme="majorHAnsi" w:hAnsiTheme="majorHAnsi" w:cs="Calibri"/>
          <w:b/>
          <w:sz w:val="22"/>
          <w:szCs w:val="22"/>
        </w:rPr>
        <w:t>Regen:fx</w:t>
      </w:r>
      <w:proofErr w:type="spellEnd"/>
      <w:proofErr w:type="gramEnd"/>
      <w:r>
        <w:rPr>
          <w:rFonts w:asciiTheme="majorHAnsi" w:hAnsiTheme="majorHAnsi" w:cs="Calibri"/>
          <w:b/>
          <w:sz w:val="22"/>
          <w:szCs w:val="22"/>
        </w:rPr>
        <w:t xml:space="preserve"> Youth Trust</w:t>
      </w:r>
    </w:p>
    <w:p w14:paraId="0F227DAB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Location: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Base Larkhall/</w:t>
      </w:r>
      <w:r w:rsidRPr="003F33B3">
        <w:rPr>
          <w:rFonts w:asciiTheme="majorHAnsi" w:hAnsiTheme="majorHAnsi" w:cs="Calibri"/>
          <w:b/>
          <w:sz w:val="22"/>
          <w:szCs w:val="22"/>
        </w:rPr>
        <w:t>Hamilton, South Lanarkshire</w:t>
      </w:r>
    </w:p>
    <w:p w14:paraId="393BC0A5" w14:textId="65F3EB4E" w:rsidR="00F23072" w:rsidRPr="003F33B3" w:rsidRDefault="00F23072" w:rsidP="00F23072">
      <w:pPr>
        <w:tabs>
          <w:tab w:val="left" w:pos="1418"/>
        </w:tabs>
        <w:ind w:left="1418" w:hanging="1418"/>
        <w:jc w:val="both"/>
        <w:rPr>
          <w:rFonts w:asciiTheme="majorHAnsi" w:hAnsiTheme="majorHAns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Hours: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3015E5">
        <w:rPr>
          <w:rFonts w:asciiTheme="majorHAnsi" w:hAnsiTheme="majorHAnsi" w:cs="Calibri"/>
          <w:b/>
          <w:sz w:val="22"/>
          <w:szCs w:val="22"/>
        </w:rPr>
        <w:t>35</w:t>
      </w:r>
      <w:r w:rsidR="00FA453D">
        <w:rPr>
          <w:rFonts w:asciiTheme="majorHAnsi" w:hAnsiTheme="majorHAnsi"/>
          <w:b/>
          <w:sz w:val="22"/>
          <w:szCs w:val="22"/>
        </w:rPr>
        <w:t>hrs per week</w:t>
      </w:r>
      <w:r w:rsidRPr="003F33B3">
        <w:rPr>
          <w:rFonts w:asciiTheme="majorHAnsi" w:hAnsiTheme="majorHAnsi"/>
          <w:b/>
          <w:sz w:val="22"/>
          <w:szCs w:val="22"/>
        </w:rPr>
        <w:t xml:space="preserve"> (including evenings and some weekends)</w:t>
      </w:r>
    </w:p>
    <w:p w14:paraId="445A4445" w14:textId="13E91655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Salary: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Pr="00F23072">
        <w:rPr>
          <w:rFonts w:ascii="Arial" w:hAnsi="Arial" w:cs="Arial"/>
          <w:b/>
          <w:bCs/>
          <w:sz w:val="22"/>
          <w:szCs w:val="22"/>
        </w:rPr>
        <w:t>£</w:t>
      </w:r>
      <w:r w:rsidR="003015E5">
        <w:rPr>
          <w:rFonts w:ascii="Arial" w:hAnsi="Arial" w:cs="Arial"/>
          <w:b/>
          <w:bCs/>
          <w:sz w:val="22"/>
          <w:szCs w:val="22"/>
        </w:rPr>
        <w:t xml:space="preserve">20,165 </w:t>
      </w:r>
      <w:r w:rsidR="003015E5" w:rsidRPr="003015E5">
        <w:rPr>
          <w:rFonts w:ascii="Arial" w:hAnsi="Arial" w:cs="Arial"/>
          <w:sz w:val="22"/>
          <w:szCs w:val="22"/>
        </w:rPr>
        <w:t>(starting)</w:t>
      </w:r>
    </w:p>
    <w:p w14:paraId="55F9EC19" w14:textId="501A8286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Term: 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3015E5">
        <w:rPr>
          <w:rFonts w:asciiTheme="majorHAnsi" w:hAnsiTheme="majorHAnsi" w:cs="Calibri"/>
          <w:b/>
          <w:sz w:val="22"/>
          <w:szCs w:val="22"/>
        </w:rPr>
        <w:t>Fixed Term 3yrs (possible extra 2yrs)</w:t>
      </w:r>
    </w:p>
    <w:p w14:paraId="6FE35D89" w14:textId="5AB35E66" w:rsidR="00F23072" w:rsidRPr="003F33B3" w:rsidRDefault="00120053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Closing</w:t>
      </w:r>
      <w:r w:rsidR="00F23072">
        <w:rPr>
          <w:rFonts w:asciiTheme="majorHAnsi" w:hAnsiTheme="majorHAnsi" w:cs="Calibri"/>
          <w:b/>
          <w:sz w:val="22"/>
          <w:szCs w:val="22"/>
        </w:rPr>
        <w:t xml:space="preserve"> </w:t>
      </w:r>
      <w:r w:rsidR="00F23072"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  <w:r w:rsidR="004568FB"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  <w:r>
        <w:rPr>
          <w:rFonts w:asciiTheme="majorHAnsi" w:hAnsiTheme="majorHAnsi" w:cs="Calibri"/>
          <w:b/>
          <w:sz w:val="22"/>
          <w:szCs w:val="22"/>
        </w:rPr>
        <w:t>4 April at 5pm, Interview 5</w:t>
      </w:r>
      <w:r w:rsidRPr="00120053">
        <w:rPr>
          <w:rFonts w:asciiTheme="majorHAnsi" w:hAnsiTheme="majorHAnsi" w:cs="Calibri"/>
          <w:b/>
          <w:sz w:val="22"/>
          <w:szCs w:val="22"/>
          <w:vertAlign w:val="superscript"/>
        </w:rPr>
        <w:t>th</w:t>
      </w:r>
      <w:r>
        <w:rPr>
          <w:rFonts w:asciiTheme="majorHAnsi" w:hAnsiTheme="majorHAnsi" w:cs="Calibri"/>
          <w:b/>
          <w:sz w:val="22"/>
          <w:szCs w:val="22"/>
        </w:rPr>
        <w:t xml:space="preserve"> Apr 2022 (in person or online)</w:t>
      </w:r>
    </w:p>
    <w:p w14:paraId="0088448A" w14:textId="77777777" w:rsidR="00F23072" w:rsidRPr="003F33B3" w:rsidRDefault="00F23072" w:rsidP="00F23072">
      <w:pPr>
        <w:tabs>
          <w:tab w:val="left" w:pos="1134"/>
        </w:tabs>
        <w:rPr>
          <w:rFonts w:asciiTheme="majorHAnsi" w:hAnsiTheme="majorHAnsi" w:cs="Calibri"/>
          <w:b/>
          <w:sz w:val="22"/>
          <w:szCs w:val="22"/>
        </w:rPr>
      </w:pPr>
    </w:p>
    <w:p w14:paraId="06BA07AD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F23072" w:rsidRPr="003F33B3" w14:paraId="0C1ECC33" w14:textId="77777777" w:rsidTr="00660830">
        <w:tc>
          <w:tcPr>
            <w:tcW w:w="9214" w:type="dxa"/>
            <w:gridSpan w:val="2"/>
            <w:shd w:val="clear" w:color="auto" w:fill="002060"/>
          </w:tcPr>
          <w:p w14:paraId="29C52B67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F23072" w:rsidRPr="003F33B3" w14:paraId="2B7E00F4" w14:textId="77777777" w:rsidTr="00660830">
        <w:tc>
          <w:tcPr>
            <w:tcW w:w="1809" w:type="dxa"/>
          </w:tcPr>
          <w:p w14:paraId="148C7E15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405" w:type="dxa"/>
          </w:tcPr>
          <w:p w14:paraId="6CCDBAA3" w14:textId="52C6A309" w:rsidR="00F23072" w:rsidRPr="00F23072" w:rsidRDefault="004F164C" w:rsidP="006608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The GIVIT Peer </w:t>
            </w:r>
            <w:r w:rsidR="003015E5">
              <w:rPr>
                <w:rFonts w:cstheme="minorHAnsi"/>
                <w:b/>
                <w:sz w:val="22"/>
                <w:szCs w:val="22"/>
              </w:rPr>
              <w:t xml:space="preserve">Support </w:t>
            </w:r>
            <w:r>
              <w:rPr>
                <w:rFonts w:cstheme="minorHAnsi"/>
                <w:b/>
                <w:sz w:val="22"/>
                <w:szCs w:val="22"/>
              </w:rPr>
              <w:t>Worker</w:t>
            </w:r>
            <w:r w:rsidR="009660D0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(</w:t>
            </w:r>
            <w:r w:rsidR="003015E5">
              <w:rPr>
                <w:rFonts w:cstheme="minorHAnsi"/>
                <w:b/>
                <w:sz w:val="22"/>
                <w:szCs w:val="22"/>
              </w:rPr>
              <w:t>Lived Experience</w:t>
            </w:r>
            <w:r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  <w:tr w:rsidR="00F23072" w:rsidRPr="003F33B3" w14:paraId="631F71CA" w14:textId="77777777" w:rsidTr="00660830">
        <w:tc>
          <w:tcPr>
            <w:tcW w:w="1809" w:type="dxa"/>
          </w:tcPr>
          <w:p w14:paraId="1BF76AEF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405" w:type="dxa"/>
          </w:tcPr>
          <w:p w14:paraId="7DCE0193" w14:textId="71873ED6" w:rsidR="00F23072" w:rsidRPr="00A9001E" w:rsidRDefault="003015E5" w:rsidP="006608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Peer Support 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 xml:space="preserve">Worker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will 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engage with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young people during 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>drop-in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who require low level intervention, learn how to undertake assessments and work with 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young 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people who have </w:t>
            </w:r>
            <w:r w:rsidR="004F164C">
              <w:rPr>
                <w:rFonts w:asciiTheme="majorHAnsi" w:hAnsiTheme="majorHAnsi" w:cstheme="majorHAnsi"/>
                <w:sz w:val="22"/>
                <w:szCs w:val="22"/>
              </w:rPr>
              <w:t>problematic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alcohol</w:t>
            </w:r>
            <w:r w:rsidR="004F164C">
              <w:rPr>
                <w:rFonts w:asciiTheme="majorHAnsi" w:hAnsiTheme="majorHAnsi" w:cstheme="majorHAnsi"/>
                <w:sz w:val="22"/>
                <w:szCs w:val="22"/>
              </w:rPr>
              <w:t xml:space="preserve"> and drug use</w:t>
            </w:r>
            <w:r w:rsidR="00E1308B" w:rsidRPr="00FA453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You will 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 xml:space="preserve">support the GIVIT Youth Advisory Panel. 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You will be responsible for opening </w:t>
            </w:r>
            <w:r w:rsidR="00E1308B">
              <w:rPr>
                <w:rFonts w:asciiTheme="majorHAnsi" w:hAnsiTheme="majorHAnsi" w:cstheme="majorHAnsi"/>
                <w:sz w:val="22"/>
                <w:szCs w:val="22"/>
              </w:rPr>
              <w:t>bases, welcoming people and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team administration function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to support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E1308B">
              <w:rPr>
                <w:rFonts w:asciiTheme="majorHAnsi" w:hAnsiTheme="majorHAnsi" w:cstheme="majorHAnsi"/>
                <w:sz w:val="22"/>
                <w:szCs w:val="22"/>
              </w:rPr>
              <w:t>satellite bases.</w:t>
            </w:r>
          </w:p>
        </w:tc>
      </w:tr>
      <w:tr w:rsidR="00F23072" w:rsidRPr="003F33B3" w14:paraId="2EE1D835" w14:textId="77777777" w:rsidTr="00660830">
        <w:tc>
          <w:tcPr>
            <w:tcW w:w="1809" w:type="dxa"/>
          </w:tcPr>
          <w:p w14:paraId="485D494B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405" w:type="dxa"/>
          </w:tcPr>
          <w:p w14:paraId="3DD1A633" w14:textId="1DDC7C34" w:rsidR="00F23072" w:rsidRPr="003F33B3" w:rsidRDefault="00FA453D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Youth Recovery Co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>-</w:t>
            </w:r>
            <w:r>
              <w:rPr>
                <w:rFonts w:asciiTheme="majorHAnsi" w:hAnsiTheme="majorHAnsi" w:cs="Calibri"/>
                <w:sz w:val="22"/>
                <w:szCs w:val="22"/>
              </w:rPr>
              <w:t>ordinator</w:t>
            </w:r>
          </w:p>
        </w:tc>
      </w:tr>
      <w:tr w:rsidR="00F23072" w:rsidRPr="003F33B3" w14:paraId="0AD3297A" w14:textId="77777777" w:rsidTr="00660830">
        <w:tc>
          <w:tcPr>
            <w:tcW w:w="1809" w:type="dxa"/>
          </w:tcPr>
          <w:p w14:paraId="29302F63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405" w:type="dxa"/>
          </w:tcPr>
          <w:p w14:paraId="3896C367" w14:textId="34CB2CD9" w:rsidR="00F23072" w:rsidRPr="003F33B3" w:rsidRDefault="00786F7F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Young People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>, volunteers, sessional workers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wider staff team, partners 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>and external bodies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</w:tr>
    </w:tbl>
    <w:p w14:paraId="61EAE5BD" w14:textId="77777777" w:rsidR="00F23072" w:rsidRPr="003F33B3" w:rsidRDefault="00F23072" w:rsidP="00F23072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250"/>
      </w:tblGrid>
      <w:tr w:rsidR="00F23072" w:rsidRPr="003F33B3" w14:paraId="4190F5D4" w14:textId="77777777" w:rsidTr="00660830">
        <w:tc>
          <w:tcPr>
            <w:tcW w:w="9242" w:type="dxa"/>
            <w:gridSpan w:val="2"/>
            <w:shd w:val="clear" w:color="auto" w:fill="002060"/>
          </w:tcPr>
          <w:p w14:paraId="0B7C7B40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F23072" w:rsidRPr="003F33B3" w14:paraId="705D4E32" w14:textId="77777777" w:rsidTr="00660830">
        <w:tc>
          <w:tcPr>
            <w:tcW w:w="1774" w:type="dxa"/>
          </w:tcPr>
          <w:p w14:paraId="7133ACF7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Key Aims </w:t>
            </w:r>
          </w:p>
        </w:tc>
        <w:tc>
          <w:tcPr>
            <w:tcW w:w="7468" w:type="dxa"/>
          </w:tcPr>
          <w:p w14:paraId="6C5BBF96" w14:textId="0BF56B84" w:rsidR="00E1308B" w:rsidRPr="00786F7F" w:rsidRDefault="00E1308B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</w:t>
            </w:r>
            <w:r w:rsidRPr="00E1308B">
              <w:rPr>
                <w:rFonts w:asciiTheme="majorHAnsi" w:hAnsiTheme="majorHAnsi" w:cs="Arial"/>
                <w:sz w:val="22"/>
                <w:szCs w:val="22"/>
              </w:rPr>
              <w:t>ace-to-face contact with a welcoming,</w:t>
            </w:r>
            <w:r w:rsidR="00786F7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1308B">
              <w:rPr>
                <w:rFonts w:asciiTheme="majorHAnsi" w:hAnsiTheme="majorHAnsi" w:cs="Arial"/>
                <w:sz w:val="22"/>
                <w:szCs w:val="22"/>
              </w:rPr>
              <w:t>non-judgemental approach, towards people who have recognised that their use of substances has become problematic</w:t>
            </w:r>
            <w:r w:rsidR="00786F7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12A630B" w14:textId="4F648C8E" w:rsidR="00786F7F" w:rsidRPr="00786F7F" w:rsidRDefault="00786F7F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Help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 xml:space="preserve"> recruit, 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>train,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support the GIVIT Youth Advisory Panel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FE26783" w14:textId="397C3047" w:rsidR="00786F7F" w:rsidRPr="00E1308B" w:rsidRDefault="00786F7F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Assist colleagues with activity programme</w:t>
            </w:r>
            <w:r w:rsidR="00910EFC">
              <w:rPr>
                <w:rFonts w:asciiTheme="majorHAnsi" w:hAnsiTheme="majorHAnsi" w:cs="Arial"/>
                <w:sz w:val="22"/>
                <w:szCs w:val="22"/>
              </w:rPr>
              <w:t xml:space="preserve"> planning and delivery</w:t>
            </w:r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41415968" w14:textId="582D9CB6" w:rsidR="00E1308B" w:rsidRPr="00E1308B" w:rsidRDefault="00E1308B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</w:t>
            </w:r>
            <w:r w:rsidRPr="00E1308B">
              <w:rPr>
                <w:rFonts w:asciiTheme="majorHAnsi" w:hAnsiTheme="majorHAnsi" w:cstheme="majorHAnsi"/>
                <w:sz w:val="22"/>
                <w:szCs w:val="22"/>
              </w:rPr>
              <w:t>ork closely with other multi-disciplinary agencies within a small team, to ensure services are delivered equitably and at times to suit the client’s needs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5294EDF" w14:textId="5F8AE7EF" w:rsidR="00EA4917" w:rsidRPr="00F332C6" w:rsidRDefault="00A726A3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Ensure </w:t>
            </w:r>
            <w:r w:rsidR="00B05500"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that </w:t>
            </w:r>
            <w:r w:rsidR="00F23072"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 positive internal culture is maintained 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throughout the organisation</w:t>
            </w:r>
          </w:p>
          <w:p w14:paraId="6EF0ABD7" w14:textId="7BA64299" w:rsidR="00F332C6" w:rsidRPr="00F332C6" w:rsidRDefault="00F332C6" w:rsidP="00F332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D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eliver support to people who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access </w:t>
            </w:r>
            <w:r w:rsidR="00786F7F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T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he GIVIT service 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and in so doing contribute to the provision of the highest possible quality of support which meets </w:t>
            </w:r>
            <w:r w:rsidR="00406916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T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he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GIVIT 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service specification.</w:t>
            </w:r>
          </w:p>
          <w:p w14:paraId="67A67F49" w14:textId="6B9E7457" w:rsidR="00EA4917" w:rsidRPr="00EA4917" w:rsidRDefault="00EA4917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A491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Enter and maintain accurate client records, prepare various spreadsheets and reports from data collected for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navigators/youth recovery coordinator</w:t>
            </w:r>
            <w:r w:rsidR="00910E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.</w:t>
            </w:r>
          </w:p>
          <w:p w14:paraId="7F578111" w14:textId="77777777" w:rsidR="00EA4917" w:rsidRDefault="00EA4917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A4917">
              <w:rPr>
                <w:rFonts w:asciiTheme="majorHAnsi" w:hAnsiTheme="majorHAnsi" w:cstheme="majorHAnsi"/>
                <w:sz w:val="22"/>
                <w:szCs w:val="22"/>
              </w:rPr>
              <w:t>Be involved in the promotion and facilitation of meaningful, purposeful service user involvement</w:t>
            </w:r>
          </w:p>
          <w:p w14:paraId="041B5A99" w14:textId="23F5E943" w:rsidR="00EA4917" w:rsidRPr="00EA4917" w:rsidRDefault="00EA4917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A491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Maintain and develop </w:t>
            </w:r>
            <w:r w:rsidR="00910E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your own </w:t>
            </w:r>
            <w:r w:rsidRPr="00EA491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personal expertise and knowledge by reading, networking and further training to develop professional competence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.</w:t>
            </w:r>
          </w:p>
          <w:p w14:paraId="23AAF3F2" w14:textId="0C3C2E17" w:rsidR="00F23072" w:rsidRPr="003F33B3" w:rsidRDefault="000839FC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Maintain appropriate professional boundaries in carrying out your role with our client group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, whilst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providing a consistent care 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and compassionate 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support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service.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F23072" w:rsidRPr="003F33B3" w14:paraId="7F3660BC" w14:textId="77777777" w:rsidTr="00660830">
        <w:trPr>
          <w:trHeight w:val="3375"/>
        </w:trPr>
        <w:tc>
          <w:tcPr>
            <w:tcW w:w="1774" w:type="dxa"/>
          </w:tcPr>
          <w:p w14:paraId="468DD8B6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468" w:type="dxa"/>
          </w:tcPr>
          <w:p w14:paraId="3535B5DA" w14:textId="394F2C28" w:rsidR="000839FC" w:rsidRPr="000839FC" w:rsidRDefault="000839F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Provide clear communication in relation to case notes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review reports etc and all to be completed in line with confidentiality and data protection guidance.</w:t>
            </w:r>
          </w:p>
          <w:p w14:paraId="08A909B4" w14:textId="4246E00B" w:rsidR="0079331E" w:rsidRDefault="000839FC" w:rsidP="0079331E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Open satellite bases, welcome service users and </w:t>
            </w:r>
            <w:r w:rsidR="0050751B">
              <w:rPr>
                <w:rFonts w:asciiTheme="majorHAnsi" w:hAnsiTheme="majorHAnsi" w:cstheme="majorHAnsi"/>
                <w:sz w:val="22"/>
                <w:szCs w:val="22"/>
              </w:rPr>
              <w:t>assist colleagues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 group sessions</w:t>
            </w:r>
            <w:r w:rsidR="0050751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F81BB60" w14:textId="4BE9547A" w:rsidR="0079331E" w:rsidRPr="0079331E" w:rsidRDefault="000839FC" w:rsidP="0079331E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Engag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</w:t>
            </w:r>
            <w:r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with </w:t>
            </w:r>
            <w:r w:rsid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young </w:t>
            </w:r>
            <w:r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people to build trusting and respectful relationships - getting to know the individuals, their strengths, and challenges, and how the whole team can support them most effectively.</w:t>
            </w:r>
          </w:p>
          <w:p w14:paraId="31BE2224" w14:textId="58D51F58" w:rsidR="0079331E" w:rsidRPr="00B75CB3" w:rsidRDefault="0050751B" w:rsidP="0079331E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</w:t>
            </w:r>
            <w:r w:rsidR="0079331E"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roactive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working</w:t>
            </w:r>
            <w:r w:rsidR="0079331E"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to understand and respond to the needs of young people as they navigate through a challenging time in their lives.</w:t>
            </w:r>
          </w:p>
          <w:p w14:paraId="63AE9FD9" w14:textId="0D62E39C" w:rsidR="00B75CB3" w:rsidRPr="0079331E" w:rsidRDefault="00B75CB3" w:rsidP="0079331E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>emonstrate an interest in addiction/recovery and maintain an up</w:t>
            </w:r>
            <w:r w:rsidR="00450C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>to</w:t>
            </w:r>
            <w:r w:rsidR="00450C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>date knowledge of research and development in addiction.</w:t>
            </w:r>
          </w:p>
          <w:p w14:paraId="21BD88D0" w14:textId="4335EF12" w:rsidR="00F23072" w:rsidRPr="003F33B3" w:rsidRDefault="00F2307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records as required by the service.</w:t>
            </w:r>
          </w:p>
        </w:tc>
      </w:tr>
      <w:tr w:rsidR="00F23072" w:rsidRPr="003F33B3" w14:paraId="02BCCA81" w14:textId="77777777" w:rsidTr="00660830">
        <w:trPr>
          <w:trHeight w:val="2542"/>
        </w:trPr>
        <w:tc>
          <w:tcPr>
            <w:tcW w:w="1774" w:type="dxa"/>
          </w:tcPr>
          <w:p w14:paraId="642A0FF2" w14:textId="77777777" w:rsidR="00F23072" w:rsidRPr="003F33B3" w:rsidRDefault="00F23072" w:rsidP="0066083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Additional Responsibilities</w:t>
            </w:r>
          </w:p>
          <w:p w14:paraId="3CB2964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68" w:type="dxa"/>
          </w:tcPr>
          <w:p w14:paraId="2A3CC437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Develop and maintain effective working relationships with wider staff team at Regenfx and those working in external agencies.</w:t>
            </w:r>
          </w:p>
          <w:p w14:paraId="78404D51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Participate in in-house team events and any identified training.</w:t>
            </w:r>
          </w:p>
          <w:p w14:paraId="55E30660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professional and personal development to meet the changing demands of the role.</w:t>
            </w:r>
          </w:p>
          <w:p w14:paraId="017864B9" w14:textId="26E8C152" w:rsidR="00F23072" w:rsidRPr="003F33B3" w:rsidRDefault="00F23072" w:rsidP="000B45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1FB15A4F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222"/>
      </w:tblGrid>
      <w:tr w:rsidR="00F23072" w:rsidRPr="003F33B3" w14:paraId="1068E6BB" w14:textId="77777777" w:rsidTr="00660830">
        <w:tc>
          <w:tcPr>
            <w:tcW w:w="9242" w:type="dxa"/>
            <w:gridSpan w:val="2"/>
            <w:shd w:val="clear" w:color="auto" w:fill="1F497D"/>
          </w:tcPr>
          <w:p w14:paraId="71E24473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F23072" w:rsidRPr="003F33B3" w14:paraId="76ED1B53" w14:textId="77777777" w:rsidTr="00660830">
        <w:tc>
          <w:tcPr>
            <w:tcW w:w="1809" w:type="dxa"/>
          </w:tcPr>
          <w:p w14:paraId="236841DE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433" w:type="dxa"/>
          </w:tcPr>
          <w:p w14:paraId="3361027A" w14:textId="58B1A599" w:rsidR="00450C7D" w:rsidRDefault="00F23072" w:rsidP="00450C7D">
            <w:pPr>
              <w:pStyle w:val="Heading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&amp; Knowledge</w:t>
            </w:r>
          </w:p>
          <w:p w14:paraId="49204B14" w14:textId="0B8E09FD" w:rsidR="00F84B28" w:rsidRPr="003F33B3" w:rsidRDefault="00450C7D" w:rsidP="00F84B2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Lived experience of problematic alcohol or substance use.</w:t>
            </w:r>
          </w:p>
        </w:tc>
      </w:tr>
      <w:tr w:rsidR="00F23072" w:rsidRPr="003F33B3" w14:paraId="02F7BA40" w14:textId="77777777" w:rsidTr="00660830">
        <w:tc>
          <w:tcPr>
            <w:tcW w:w="1809" w:type="dxa"/>
          </w:tcPr>
          <w:p w14:paraId="013E2FE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Desirable skills, knowledge and experience</w:t>
            </w:r>
          </w:p>
        </w:tc>
        <w:tc>
          <w:tcPr>
            <w:tcW w:w="7433" w:type="dxa"/>
          </w:tcPr>
          <w:p w14:paraId="090283A7" w14:textId="77777777" w:rsidR="0079331E" w:rsidRPr="0079331E" w:rsidRDefault="0079331E" w:rsidP="0079331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79331E">
              <w:rPr>
                <w:rFonts w:asciiTheme="majorHAnsi" w:hAnsiTheme="majorHAnsi"/>
                <w:sz w:val="22"/>
                <w:szCs w:val="22"/>
              </w:rPr>
              <w:t>An understanding of trauma-informed support and psychologically informed environments</w:t>
            </w:r>
          </w:p>
          <w:p w14:paraId="49C13272" w14:textId="400E2F3A" w:rsidR="00F23072" w:rsidRPr="00B75CB3" w:rsidRDefault="00450C7D" w:rsidP="00B75CB3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Experience of w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orking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46786F">
              <w:rPr>
                <w:rFonts w:asciiTheme="majorHAnsi" w:hAnsiTheme="majorHAnsi"/>
                <w:sz w:val="22"/>
                <w:szCs w:val="22"/>
              </w:rPr>
              <w:t>young people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between 13 – 25yrs.</w:t>
            </w:r>
          </w:p>
          <w:p w14:paraId="5066A718" w14:textId="77777777" w:rsidR="00B75CB3" w:rsidRPr="00B75CB3" w:rsidRDefault="00B75CB3" w:rsidP="00B75C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B75CB3">
              <w:rPr>
                <w:rFonts w:asciiTheme="majorHAnsi" w:hAnsiTheme="majorHAnsi"/>
                <w:sz w:val="22"/>
                <w:szCs w:val="22"/>
              </w:rPr>
              <w:t>You will be a flexible, resilient, and enthusiastic team player</w:t>
            </w:r>
          </w:p>
          <w:p w14:paraId="2569E7FA" w14:textId="77777777" w:rsidR="00542D3C" w:rsidRDefault="00542D3C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Strong knowledge and understanding of </w:t>
            </w:r>
            <w:r w:rsidR="004E3617">
              <w:rPr>
                <w:rFonts w:asciiTheme="majorHAnsi" w:hAnsiTheme="majorHAnsi"/>
                <w:sz w:val="22"/>
                <w:szCs w:val="22"/>
              </w:rPr>
              <w:t xml:space="preserve">aspects of addiction and ROSC </w:t>
            </w:r>
          </w:p>
          <w:p w14:paraId="11C9BA2B" w14:textId="6AF51EF6" w:rsidR="00450C7D" w:rsidRPr="003F33B3" w:rsidRDefault="00450C7D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Driving licence and access to transport.</w:t>
            </w:r>
          </w:p>
        </w:tc>
      </w:tr>
      <w:tr w:rsidR="00F23072" w:rsidRPr="003F33B3" w14:paraId="2B4AB944" w14:textId="77777777" w:rsidTr="00660830">
        <w:tc>
          <w:tcPr>
            <w:tcW w:w="1809" w:type="dxa"/>
          </w:tcPr>
          <w:p w14:paraId="74B0D4B0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3EDC531D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33" w:type="dxa"/>
          </w:tcPr>
          <w:p w14:paraId="256D672A" w14:textId="688CA7E0" w:rsidR="00F23072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 genuine interest in working young people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, particularly with addictions </w:t>
            </w:r>
          </w:p>
          <w:p w14:paraId="77111AC8" w14:textId="64B11202" w:rsidR="00542D3C" w:rsidRPr="003F33B3" w:rsidRDefault="00542D3C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Holistic and therapeutic approach to working </w:t>
            </w:r>
          </w:p>
          <w:p w14:paraId="711B71C0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1D58E6" w14:textId="77777777" w:rsidR="0079331E" w:rsidRPr="0079331E" w:rsidRDefault="0079331E" w:rsidP="0079331E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79331E">
              <w:rPr>
                <w:rFonts w:asciiTheme="majorHAnsi" w:hAnsiTheme="majorHAnsi"/>
                <w:sz w:val="22"/>
                <w:szCs w:val="22"/>
              </w:rPr>
              <w:t>A good listener and able to encourage young people to do things for themselves, helping them build their skills and confidence.</w:t>
            </w:r>
          </w:p>
          <w:p w14:paraId="081C9FDD" w14:textId="7438EE82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Ability to motivate and enthuse </w:t>
            </w:r>
            <w:r w:rsidR="006726CD">
              <w:rPr>
                <w:rFonts w:asciiTheme="majorHAnsi" w:hAnsiTheme="majorHAnsi"/>
                <w:sz w:val="22"/>
                <w:szCs w:val="22"/>
              </w:rPr>
              <w:t>others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D2D91D7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Personal commitment to making activities equally accessible and appropriate to the diverse needs of young people. </w:t>
            </w:r>
          </w:p>
          <w:p w14:paraId="6840B38E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15352F3F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4624380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8C46782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C3B02E" w14:textId="337140C7" w:rsidR="00450C7D" w:rsidRPr="00450C7D" w:rsidRDefault="00F23072" w:rsidP="00450C7D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F23072" w:rsidRPr="003F33B3" w14:paraId="58D89959" w14:textId="77777777" w:rsidTr="00660830">
        <w:tc>
          <w:tcPr>
            <w:tcW w:w="1809" w:type="dxa"/>
          </w:tcPr>
          <w:p w14:paraId="6CB23666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Training and Development </w:t>
            </w:r>
          </w:p>
        </w:tc>
        <w:tc>
          <w:tcPr>
            <w:tcW w:w="7433" w:type="dxa"/>
          </w:tcPr>
          <w:p w14:paraId="0BDDD8F3" w14:textId="70A90FE2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as required</w:t>
            </w:r>
            <w:r w:rsidR="006726CD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087FD895" w14:textId="77777777" w:rsidR="00F23072" w:rsidRPr="003F33B3" w:rsidRDefault="00F23072" w:rsidP="00F23072">
      <w:pPr>
        <w:rPr>
          <w:rFonts w:asciiTheme="majorHAnsi" w:hAnsiTheme="majorHAnsi" w:cs="Calibri"/>
          <w:sz w:val="22"/>
          <w:szCs w:val="22"/>
        </w:rPr>
      </w:pPr>
    </w:p>
    <w:p w14:paraId="2BA4792A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5FC8FA1A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p w14:paraId="3CA12BB3" w14:textId="77777777" w:rsidR="00A44E5E" w:rsidRDefault="00B70D2C"/>
    <w:sectPr w:rsidR="00A44E5E" w:rsidSect="00F14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105A" w14:textId="77777777" w:rsidR="00B70D2C" w:rsidRDefault="00B70D2C">
      <w:r>
        <w:separator/>
      </w:r>
    </w:p>
  </w:endnote>
  <w:endnote w:type="continuationSeparator" w:id="0">
    <w:p w14:paraId="42E74CB0" w14:textId="77777777" w:rsidR="00B70D2C" w:rsidRDefault="00B7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88D" w14:textId="77777777" w:rsidR="00D049E4" w:rsidRDefault="00D04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99FA" w14:textId="77777777" w:rsidR="00077754" w:rsidRDefault="008F00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932E031" w14:textId="77777777" w:rsidR="00077754" w:rsidRDefault="00B70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D8E3" w14:textId="77777777" w:rsidR="00D049E4" w:rsidRDefault="00D0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1858" w14:textId="77777777" w:rsidR="00B70D2C" w:rsidRDefault="00B70D2C">
      <w:r>
        <w:separator/>
      </w:r>
    </w:p>
  </w:footnote>
  <w:footnote w:type="continuationSeparator" w:id="0">
    <w:p w14:paraId="65411E3C" w14:textId="77777777" w:rsidR="00B70D2C" w:rsidRDefault="00B7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E40E" w14:textId="77777777" w:rsidR="00D049E4" w:rsidRDefault="00D04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60BE" w14:textId="77777777" w:rsidR="00D049E4" w:rsidRDefault="00D04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3FC7" w14:textId="77777777" w:rsidR="00D049E4" w:rsidRDefault="00D04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97F46"/>
    <w:multiLevelType w:val="multilevel"/>
    <w:tmpl w:val="0A52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694691">
    <w:abstractNumId w:val="1"/>
  </w:num>
  <w:num w:numId="2" w16cid:durableId="1300914501">
    <w:abstractNumId w:val="5"/>
  </w:num>
  <w:num w:numId="3" w16cid:durableId="1186093695">
    <w:abstractNumId w:val="3"/>
  </w:num>
  <w:num w:numId="4" w16cid:durableId="356666002">
    <w:abstractNumId w:val="4"/>
  </w:num>
  <w:num w:numId="5" w16cid:durableId="703750695">
    <w:abstractNumId w:val="2"/>
  </w:num>
  <w:num w:numId="6" w16cid:durableId="1641152757">
    <w:abstractNumId w:val="0"/>
  </w:num>
  <w:num w:numId="7" w16cid:durableId="862281859">
    <w:abstractNumId w:val="7"/>
  </w:num>
  <w:num w:numId="8" w16cid:durableId="1153254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72"/>
    <w:rsid w:val="00066E77"/>
    <w:rsid w:val="000839FC"/>
    <w:rsid w:val="000B2863"/>
    <w:rsid w:val="000B456B"/>
    <w:rsid w:val="000E0DF3"/>
    <w:rsid w:val="00120053"/>
    <w:rsid w:val="00202B0E"/>
    <w:rsid w:val="002D34C8"/>
    <w:rsid w:val="003015E5"/>
    <w:rsid w:val="004007FD"/>
    <w:rsid w:val="00406916"/>
    <w:rsid w:val="004506D6"/>
    <w:rsid w:val="00450C7D"/>
    <w:rsid w:val="00455C56"/>
    <w:rsid w:val="004568FB"/>
    <w:rsid w:val="0046786F"/>
    <w:rsid w:val="004B27CC"/>
    <w:rsid w:val="004E3617"/>
    <w:rsid w:val="004F164C"/>
    <w:rsid w:val="0050751B"/>
    <w:rsid w:val="00542D3C"/>
    <w:rsid w:val="00586C11"/>
    <w:rsid w:val="005933D8"/>
    <w:rsid w:val="006726CD"/>
    <w:rsid w:val="006C70BD"/>
    <w:rsid w:val="007528AD"/>
    <w:rsid w:val="0077727F"/>
    <w:rsid w:val="00786F7F"/>
    <w:rsid w:val="0079331E"/>
    <w:rsid w:val="007A1A17"/>
    <w:rsid w:val="007C6CDF"/>
    <w:rsid w:val="00852F99"/>
    <w:rsid w:val="00897580"/>
    <w:rsid w:val="008F0047"/>
    <w:rsid w:val="008F3F46"/>
    <w:rsid w:val="00910EFC"/>
    <w:rsid w:val="0091432E"/>
    <w:rsid w:val="0093219D"/>
    <w:rsid w:val="009660D0"/>
    <w:rsid w:val="00A35A99"/>
    <w:rsid w:val="00A37A2A"/>
    <w:rsid w:val="00A726A3"/>
    <w:rsid w:val="00A9001E"/>
    <w:rsid w:val="00AC37F6"/>
    <w:rsid w:val="00B05500"/>
    <w:rsid w:val="00B425CE"/>
    <w:rsid w:val="00B70D2C"/>
    <w:rsid w:val="00B75CB3"/>
    <w:rsid w:val="00CE06C3"/>
    <w:rsid w:val="00D02D00"/>
    <w:rsid w:val="00D049E4"/>
    <w:rsid w:val="00DD3DD1"/>
    <w:rsid w:val="00E1308B"/>
    <w:rsid w:val="00EA4917"/>
    <w:rsid w:val="00F23072"/>
    <w:rsid w:val="00F332C6"/>
    <w:rsid w:val="00F84B28"/>
    <w:rsid w:val="00F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E242"/>
  <w15:chartTrackingRefBased/>
  <w15:docId w15:val="{32D31725-82BB-1D4D-B07D-EA283E9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3072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3072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3072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23072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link w:val="SubtitleChar"/>
    <w:qFormat/>
    <w:rsid w:val="00F2307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23072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2307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E4"/>
  </w:style>
  <w:style w:type="paragraph" w:styleId="ListParagraph">
    <w:name w:val="List Paragraph"/>
    <w:basedOn w:val="Normal"/>
    <w:uiPriority w:val="34"/>
    <w:qFormat/>
    <w:rsid w:val="00EA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wendy mcinally</cp:lastModifiedBy>
  <cp:revision>3</cp:revision>
  <dcterms:created xsi:type="dcterms:W3CDTF">2022-03-21T12:37:00Z</dcterms:created>
  <dcterms:modified xsi:type="dcterms:W3CDTF">2022-03-21T13:40:00Z</dcterms:modified>
</cp:coreProperties>
</file>