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3290A17F" w:rsidRDefault="00D82DC7" w14:paraId="785A9827" w14:textId="3E4BDA43">
      <w:pPr>
        <w:pStyle w:val="Heading1"/>
        <w:spacing w:before="240" w:after="240"/>
        <w:rPr>
          <w:sz w:val="24"/>
          <w:szCs w:val="24"/>
          <w:highlight w:val="yellow"/>
        </w:rPr>
      </w:pPr>
      <w:r w:rsidRPr="3290A17F" w:rsidR="00D82DC7">
        <w:rPr>
          <w:sz w:val="24"/>
          <w:szCs w:val="24"/>
        </w:rPr>
        <w:t>Position applied for:</w:t>
      </w:r>
      <w:r w:rsidRPr="3290A17F" w:rsidR="00BC703A">
        <w:rPr>
          <w:sz w:val="24"/>
          <w:szCs w:val="24"/>
        </w:rPr>
        <w:t xml:space="preserve"> Fundraising Officer, National Office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3290A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77E59C39-D018-4183-B973-C3FB4530A0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16175dda6d08453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25b95d-061e-4fa8-b195-e39ef67b40d3}"/>
      </w:docPartPr>
      <w:docPartBody>
        <w:p w14:paraId="478223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2022-03-22T14:51:30.2656190Z</dcterms:modified>
</coreProperties>
</file>