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6BECA7B8" w:rsidRDefault="006E202E" w14:paraId="4E51D51C" w14:textId="680F9007">
      <w:pPr>
        <w:pStyle w:val="Title"/>
        <w:spacing w:after="120"/>
        <w:rPr>
          <w:color w:val="002060"/>
          <w:sz w:val="28"/>
          <w:szCs w:val="28"/>
        </w:rPr>
      </w:pPr>
      <w:r w:rsidRPr="6BECA7B8" w:rsidR="6BECA7B8">
        <w:rPr>
          <w:color w:val="002060"/>
          <w:sz w:val="28"/>
          <w:szCs w:val="28"/>
        </w:rPr>
        <w:t>Community Link Worker, Highland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621EF97C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6BECA7B8" w:rsidRDefault="00257146" w14:paraId="5736F9A2" w14:textId="32BA4A77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621EF97C" w:rsidR="00257146">
              <w:rPr>
                <w:rFonts w:cs="Calibri" w:cstheme="minorAscii"/>
                <w:color w:val="002060"/>
              </w:rPr>
              <w:t>20 hours per we</w:t>
            </w:r>
            <w:r w:rsidRPr="621EF97C" w:rsidR="00257146">
              <w:rPr>
                <w:rFonts w:cs="Calibri" w:cstheme="minorAscii"/>
                <w:color w:val="002060"/>
              </w:rPr>
              <w:t xml:space="preserve">ek </w:t>
            </w:r>
            <w:r w:rsidRPr="621EF97C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621EF97C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621EF97C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6BECA7B8" w:rsidRDefault="003C69E5" w14:paraId="73B906E4" w14:textId="0E601706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6BECA7B8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6BECA7B8" w:rsidR="003C69E5">
              <w:rPr>
                <w:rFonts w:ascii="Calibri" w:hAnsi="Calibri" w:eastAsia="Times New Roman" w:cs="Calibri"/>
                <w:color w:val="002060"/>
              </w:rPr>
              <w:t xml:space="preserve"> Level 3</w:t>
            </w:r>
            <w:r w:rsidRPr="6BECA7B8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6BECA7B8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6BECA7B8" w:rsidR="6BECA7B8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19,085.00 - £20,540.00</w:t>
            </w:r>
            <w:r w:rsidRPr="6BECA7B8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6BECA7B8" w:rsidR="00074482">
              <w:rPr>
                <w:rFonts w:ascii="Calibri" w:hAnsi="Calibri" w:eastAsia="Times New Roman" w:cs="Calibri"/>
                <w:color w:val="002060"/>
              </w:rPr>
              <w:t>per annum (</w:t>
            </w:r>
            <w:r w:rsidRPr="6BECA7B8" w:rsidR="003C69E5">
              <w:rPr>
                <w:rFonts w:ascii="Calibri" w:hAnsi="Calibri" w:eastAsia="Times New Roman" w:cs="Calibri"/>
                <w:color w:val="002060"/>
              </w:rPr>
              <w:t>Pro-rata for part-time).</w:t>
            </w:r>
            <w:r w:rsidRPr="6BECA7B8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6BECA7B8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6BECA7B8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6BECA7B8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6BECA7B8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6BECA7B8" w:rsidRDefault="00257146" w14:paraId="3EB0577E" w14:textId="05539CF5" w14:noSpellErr="1">
            <w:pPr>
              <w:spacing w:before="60" w:after="60"/>
              <w:ind w:left="36"/>
              <w:rPr>
                <w:rFonts w:cs="Calibri" w:cstheme="minorAscii"/>
                <w:b w:val="1"/>
                <w:bCs w:val="1"/>
                <w:color w:val="002060"/>
              </w:rPr>
            </w:pPr>
            <w:bookmarkStart w:name="_GoBack" w:id="0"/>
            <w:bookmarkEnd w:id="0"/>
            <w:r w:rsidRPr="6BECA7B8" w:rsidR="00257146">
              <w:rPr>
                <w:rFonts w:cs="Calibri" w:cstheme="minorAscii"/>
                <w:color w:val="002060"/>
              </w:rPr>
              <w:t>Salary is paid monthly on or before the 25</w:t>
            </w:r>
            <w:r w:rsidRPr="6BECA7B8" w:rsidR="00257146">
              <w:rPr>
                <w:rFonts w:cs="Calibri" w:cstheme="minorAscii"/>
                <w:color w:val="002060"/>
                <w:vertAlign w:val="superscript"/>
              </w:rPr>
              <w:t>th</w:t>
            </w:r>
            <w:r w:rsidRPr="6BECA7B8" w:rsidR="00257146">
              <w:rPr>
                <w:rFonts w:cs="Calibri" w:cstheme="minorAscii"/>
                <w:color w:val="002060"/>
              </w:rPr>
              <w:t xml:space="preserve"> of the month.</w:t>
            </w:r>
          </w:p>
        </w:tc>
      </w:tr>
      <w:tr w:rsidRPr="00805602" w:rsidR="00805602" w:rsidTr="621EF97C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6BECA7B8" w:rsidRDefault="00CF3EC1" w14:paraId="606EF151" w14:textId="241B2A73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6BECA7B8" w:rsidR="00CF3EC1">
              <w:rPr>
                <w:rFonts w:cs="Calibri" w:cstheme="minorAscii"/>
                <w:color w:val="002060"/>
              </w:rPr>
              <w:t xml:space="preserve">Fixed term contract ending 30 April 2024. </w:t>
            </w:r>
          </w:p>
        </w:tc>
      </w:tr>
      <w:tr w:rsidRPr="00805602" w:rsidR="00805602" w:rsidTr="621EF97C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6BECA7B8" w:rsidRDefault="00257146" w14:paraId="281D9614" w14:textId="3FCBD002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6BECA7B8" w:rsidR="00257146">
              <w:rPr>
                <w:rFonts w:cs="Calibri" w:cstheme="minorAscii"/>
                <w:color w:val="002060"/>
              </w:rPr>
              <w:t xml:space="preserve">This role is subject </w:t>
            </w:r>
            <w:r w:rsidRPr="6BECA7B8" w:rsidR="00257146">
              <w:rPr>
                <w:rFonts w:cs="Calibri" w:cstheme="minorAscii"/>
                <w:color w:val="002060"/>
              </w:rPr>
              <w:t xml:space="preserve">to a </w:t>
            </w:r>
            <w:r w:rsidRPr="6BECA7B8" w:rsidR="00493DAD">
              <w:rPr>
                <w:rFonts w:cs="Calibri" w:cstheme="minorAscii"/>
                <w:color w:val="002060"/>
              </w:rPr>
              <w:t>6</w:t>
            </w:r>
            <w:r w:rsidRPr="6BECA7B8" w:rsidR="00493DAD">
              <w:rPr>
                <w:rFonts w:cs="Calibri" w:cstheme="minorAscii"/>
                <w:color w:val="002060"/>
              </w:rPr>
              <w:t xml:space="preserve"> </w:t>
            </w:r>
            <w:r w:rsidRPr="6BECA7B8" w:rsidR="00257146">
              <w:rPr>
                <w:rFonts w:cs="Calibri" w:cstheme="minorAscii"/>
                <w:color w:val="002060"/>
              </w:rPr>
              <w:t>mo</w:t>
            </w:r>
            <w:r w:rsidRPr="6BECA7B8" w:rsidR="00257146">
              <w:rPr>
                <w:rFonts w:cs="Calibri" w:cstheme="minorAscii"/>
                <w:color w:val="002060"/>
              </w:rPr>
              <w:t>nths’ probation period.</w:t>
            </w:r>
          </w:p>
        </w:tc>
      </w:tr>
      <w:tr w:rsidRPr="00805602" w:rsidR="00805602" w:rsidTr="621EF97C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6BECA7B8" w:rsidRDefault="00257146" w14:paraId="2676CBFA" w14:textId="2DB88C7E">
            <w:pPr>
              <w:spacing w:before="60" w:after="60"/>
              <w:rPr>
                <w:rFonts w:cs="Calibri" w:cstheme="minorAscii"/>
                <w:color w:val="002060"/>
              </w:rPr>
            </w:pPr>
            <w:r w:rsidRPr="6BECA7B8" w:rsidR="0025714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6BECA7B8" w:rsidR="007F2F09">
              <w:rPr>
                <w:rFonts w:cs="Calibri" w:cstheme="minorAscii"/>
                <w:color w:val="002060"/>
              </w:rPr>
              <w:t>(</w:t>
            </w:r>
            <w:r w:rsidRPr="6BECA7B8" w:rsidR="00257146">
              <w:rPr>
                <w:rFonts w:cs="Calibri" w:cstheme="minorAscii"/>
                <w:color w:val="002060"/>
              </w:rPr>
              <w:t>259 hours</w:t>
            </w:r>
            <w:r w:rsidRPr="6BECA7B8" w:rsidR="007F2F09">
              <w:rPr>
                <w:rFonts w:cs="Calibri" w:cstheme="minorAscii"/>
                <w:color w:val="002060"/>
              </w:rPr>
              <w:t>)</w:t>
            </w:r>
            <w:r w:rsidRPr="6BECA7B8" w:rsidR="00257146">
              <w:rPr>
                <w:rFonts w:cs="Calibri" w:cstheme="minorAscii"/>
                <w:color w:val="002060"/>
              </w:rPr>
              <w:t xml:space="preserve"> leave, inclu</w:t>
            </w:r>
            <w:r w:rsidRPr="6BECA7B8" w:rsidR="001B3156">
              <w:rPr>
                <w:rFonts w:cs="Calibri" w:cstheme="minorAscii"/>
                <w:color w:val="002060"/>
              </w:rPr>
              <w:t>sive of</w:t>
            </w:r>
            <w:r w:rsidRPr="6BECA7B8" w:rsidR="0025714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6BECA7B8" w:rsidR="007F2F09">
              <w:rPr>
                <w:rFonts w:cs="Calibri" w:cstheme="minorAscii"/>
                <w:color w:val="002060"/>
              </w:rPr>
              <w:t>charity</w:t>
            </w:r>
            <w:r w:rsidRPr="6BECA7B8" w:rsidR="0025714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6BECA7B8" w:rsidR="001B3156">
              <w:rPr>
                <w:rFonts w:cs="Calibri" w:cstheme="minorAscii"/>
                <w:color w:val="002060"/>
              </w:rPr>
              <w:t xml:space="preserve">a further </w:t>
            </w:r>
            <w:r w:rsidRPr="6BECA7B8" w:rsidR="0025714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621EF97C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6BECA7B8" w14:paraId="0E419DF8" w14:textId="77777777"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6BECA7B8" w14:paraId="230D6B89" w14:textId="77777777"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tcMar/>
                  <w:vAlign w:val="center"/>
                </w:tcPr>
                <w:p w:rsidRPr="00D068B1" w:rsidR="007F2B2B" w:rsidP="007F2B2B" w:rsidRDefault="007F2B2B" w14:paraId="2D79570D" w14:textId="4D6E260E">
                  <w:pPr>
                    <w:spacing w:after="0"/>
                    <w:rPr>
                      <w:color w:val="002060"/>
                    </w:rPr>
                  </w:pPr>
                  <w:r w:rsidRPr="6BECA7B8" w:rsidR="007F2B2B">
                    <w:rPr>
                      <w:color w:val="002060"/>
                    </w:rPr>
                    <w:t>8.0%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621EF97C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621EF97C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Pr="00805602" w:rsidR="00922513" w:rsidP="6BECA7B8" w:rsidRDefault="00922513" w14:paraId="02845BEB" w14:textId="29901537">
            <w:pPr>
              <w:pStyle w:val="Normal"/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060"/>
                <w:sz w:val="22"/>
                <w:szCs w:val="22"/>
                <w:u w:val="none"/>
                <w:lang w:val="en-GB"/>
              </w:rPr>
            </w:pPr>
            <w:r w:rsidRPr="6BECA7B8" w:rsidR="6BECA7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060"/>
                <w:sz w:val="22"/>
                <w:szCs w:val="22"/>
                <w:u w:val="none"/>
                <w:lang w:val="en-GB"/>
              </w:rPr>
              <w:t xml:space="preserve">Will be working in GP practices &amp; community settings. </w:t>
            </w:r>
          </w:p>
        </w:tc>
      </w:tr>
      <w:tr w:rsidRPr="00805602" w:rsidR="00805602" w:rsidTr="621EF97C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6BECA7B8" w:rsidRDefault="001B3156" w14:paraId="45A19A6B" w14:textId="7F187DF5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6BECA7B8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6BECA7B8" w:rsidR="001B3156">
              <w:rPr>
                <w:rFonts w:cs="Calibri" w:cstheme="minorAscii"/>
                <w:color w:val="002060"/>
              </w:rPr>
              <w:t>professional registration</w:t>
            </w:r>
            <w:r w:rsidRPr="6BECA7B8" w:rsidR="00DA64B4">
              <w:rPr>
                <w:rFonts w:cs="Calibri" w:cstheme="minorAscii"/>
                <w:color w:val="002060"/>
              </w:rPr>
              <w:t>s</w:t>
            </w:r>
            <w:r w:rsidRPr="6BECA7B8" w:rsidR="001B3156">
              <w:rPr>
                <w:rFonts w:cs="Calibri" w:cstheme="minorAscii"/>
                <w:color w:val="002060"/>
              </w:rPr>
              <w:t xml:space="preserve">. </w:t>
            </w:r>
            <w:r w:rsidRPr="6BECA7B8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6BECA7B8" w:rsidR="00DA64B4">
              <w:rPr>
                <w:rFonts w:cs="Calibri" w:cstheme="minorAscii"/>
                <w:color w:val="002060"/>
              </w:rPr>
              <w:t>is</w:t>
            </w:r>
            <w:r w:rsidRPr="6BECA7B8" w:rsidR="00257146">
              <w:rPr>
                <w:rFonts w:cs="Calibri" w:cstheme="minorAscii"/>
                <w:color w:val="002060"/>
              </w:rPr>
              <w:t xml:space="preserve"> required to join the PVG Scheme or update their membership record for regulated work wi</w:t>
            </w:r>
            <w:r w:rsidRPr="6BECA7B8" w:rsidR="00257146">
              <w:rPr>
                <w:rFonts w:cs="Calibri" w:cstheme="minorAscii"/>
                <w:color w:val="002060"/>
              </w:rPr>
              <w:t xml:space="preserve">th </w:t>
            </w:r>
            <w:r w:rsidRPr="6BECA7B8" w:rsidR="00257146">
              <w:rPr>
                <w:rFonts w:cs="Calibri" w:cstheme="minorAscii"/>
                <w:color w:val="002060"/>
              </w:rPr>
              <w:t>protected adults</w:t>
            </w:r>
            <w:r w:rsidRPr="6BECA7B8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02490B94"/>
    <w:rsid w:val="02490B94"/>
    <w:rsid w:val="03E4DBF5"/>
    <w:rsid w:val="28A65C53"/>
    <w:rsid w:val="47965E30"/>
    <w:rsid w:val="5E64E852"/>
    <w:rsid w:val="621EF97C"/>
    <w:rsid w:val="6BECA7B8"/>
    <w:rsid w:val="6D8440FF"/>
    <w:rsid w:val="71BA9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4</revision>
  <dcterms:created xsi:type="dcterms:W3CDTF">2020-07-24T11:36:00.0000000Z</dcterms:created>
  <dcterms:modified xsi:type="dcterms:W3CDTF">2022-07-12T12:02:47.9390836Z</dcterms:modified>
</coreProperties>
</file>