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r w:rsidDel="00000000" w:rsidR="00000000" w:rsidRPr="00000000">
        <w:rPr>
          <w:b w:val="1"/>
          <w:rtl w:val="0"/>
        </w:rPr>
        <w:t xml:space="preserve">SCA Manager - Partnerships and Knowledge Exchange</w:t>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2f1f1" w:val="clear"/>
        <w:spacing w:after="220" w:line="240" w:lineRule="auto"/>
        <w:rPr>
          <w:b w:val="1"/>
          <w:color w:val="323133"/>
          <w:sz w:val="23"/>
          <w:szCs w:val="23"/>
        </w:rPr>
      </w:pPr>
      <w:r w:rsidDel="00000000" w:rsidR="00000000" w:rsidRPr="00000000">
        <w:rPr>
          <w:b w:val="1"/>
          <w:color w:val="323133"/>
          <w:sz w:val="23"/>
          <w:szCs w:val="23"/>
          <w:rtl w:val="0"/>
        </w:rPr>
        <w:t xml:space="preserve">About Scottish Community Alliance</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2f1f1" w:val="clear"/>
        <w:spacing w:after="220" w:line="240" w:lineRule="auto"/>
        <w:rPr>
          <w:color w:val="323133"/>
          <w:sz w:val="23"/>
          <w:szCs w:val="23"/>
        </w:rPr>
      </w:pPr>
      <w:r w:rsidDel="00000000" w:rsidR="00000000" w:rsidRPr="00000000">
        <w:rPr>
          <w:color w:val="323133"/>
          <w:sz w:val="23"/>
          <w:szCs w:val="23"/>
          <w:rtl w:val="0"/>
        </w:rPr>
        <w:t xml:space="preserve">In 2011, a number of Scotland’s community sector networks came together to form the </w:t>
      </w:r>
      <w:hyperlink r:id="rId6">
        <w:r w:rsidDel="00000000" w:rsidR="00000000" w:rsidRPr="00000000">
          <w:rPr>
            <w:color w:val="1155cc"/>
            <w:sz w:val="23"/>
            <w:szCs w:val="23"/>
            <w:u w:val="single"/>
            <w:rtl w:val="0"/>
          </w:rPr>
          <w:t xml:space="preserve">Scottish Community Alliance</w:t>
        </w:r>
      </w:hyperlink>
      <w:r w:rsidDel="00000000" w:rsidR="00000000" w:rsidRPr="00000000">
        <w:rPr>
          <w:color w:val="323133"/>
          <w:sz w:val="23"/>
          <w:szCs w:val="23"/>
          <w:rtl w:val="0"/>
        </w:rPr>
        <w:t xml:space="preserve">. Its purpose is to campaign collectively for a stronger and more cohesive community sector in Scotland.</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2f1f1" w:val="clear"/>
        <w:spacing w:after="220" w:line="240" w:lineRule="auto"/>
        <w:rPr>
          <w:color w:val="323133"/>
          <w:sz w:val="23"/>
          <w:szCs w:val="23"/>
        </w:rPr>
      </w:pPr>
      <w:r w:rsidDel="00000000" w:rsidR="00000000" w:rsidRPr="00000000">
        <w:rPr>
          <w:color w:val="323133"/>
          <w:sz w:val="23"/>
          <w:szCs w:val="23"/>
          <w:rtl w:val="0"/>
        </w:rPr>
        <w:t xml:space="preserve">SCA has two main functions – to promote the work of local people in their communities and to influence national policy in order to better serve the interests of the sector.</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2f1f1" w:val="clear"/>
        <w:spacing w:after="220" w:line="240" w:lineRule="auto"/>
        <w:rPr/>
      </w:pPr>
      <w:r w:rsidDel="00000000" w:rsidR="00000000" w:rsidRPr="00000000">
        <w:rPr>
          <w:rtl w:val="0"/>
        </w:rPr>
        <w:t xml:space="preserve">As an organisation, SCA has evolved gradually over the past decade, principally building relationships between networks, increasing levels of trust and mutual understanding of what each network does and, where possible, identifying and enabling opportunities for joint work and the sharing of resources. This has taken time to establish as there had previously been no precedence for this kind of collaborative effort across the community sector.</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2f1f1" w:val="clear"/>
        <w:spacing w:after="220" w:line="240" w:lineRule="auto"/>
        <w:rPr/>
      </w:pPr>
      <w:r w:rsidDel="00000000" w:rsidR="00000000" w:rsidRPr="00000000">
        <w:rPr>
          <w:rtl w:val="0"/>
        </w:rPr>
        <w:t xml:space="preserve">SCA has now established itself as a ‘trusted space’ within which these networks can come together to explore the potential for collaborating with each other to achieve more than the ‘sum of their parts’. </w:t>
      </w:r>
    </w:p>
    <w:p w:rsidR="00000000" w:rsidDel="00000000" w:rsidP="00000000" w:rsidRDefault="00000000" w:rsidRPr="00000000" w14:paraId="00000007">
      <w:pPr>
        <w:rPr/>
      </w:pPr>
      <w:r w:rsidDel="00000000" w:rsidR="00000000" w:rsidRPr="00000000">
        <w:rPr>
          <w:rtl w:val="0"/>
        </w:rPr>
        <w:t xml:space="preserve">The main focus of this post will be the continued development of these operational relationships and growing the levels of mutual trust between networks within SCA and with other intermediaries working in the sector. This will include helping to identify and support a range of cross-sector initiatives that build synergies and demonstrate the value of collaborative working.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spacing w:after="240" w:before="240" w:lineRule="auto"/>
        <w:rPr>
          <w:b w:val="1"/>
        </w:rPr>
      </w:pPr>
      <w:r w:rsidDel="00000000" w:rsidR="00000000" w:rsidRPr="00000000">
        <w:rPr>
          <w:b w:val="1"/>
          <w:rtl w:val="0"/>
        </w:rPr>
        <w:t xml:space="preserve">Background to the post </w:t>
      </w:r>
    </w:p>
    <w:p w:rsidR="00000000" w:rsidDel="00000000" w:rsidP="00000000" w:rsidRDefault="00000000" w:rsidRPr="00000000" w14:paraId="0000000A">
      <w:pPr>
        <w:spacing w:after="240" w:before="240" w:lineRule="auto"/>
        <w:rPr/>
      </w:pPr>
      <w:r w:rsidDel="00000000" w:rsidR="00000000" w:rsidRPr="00000000">
        <w:rPr>
          <w:rtl w:val="0"/>
        </w:rPr>
        <w:t xml:space="preserve">Over the past two decades the support system for communities at national level has evolved into a complex ecosystem of intermediaries and support services offering practical help, advocacy, technical advice and a range of networking and knowledge exchange opportunities directly to their respective memberships. With a few exceptions, these intermediaries are typically specialist and operate in discrete silos of activity – often reflecting distinct areas of Scottish Government policy interest.</w:t>
      </w:r>
    </w:p>
    <w:p w:rsidR="00000000" w:rsidDel="00000000" w:rsidP="00000000" w:rsidRDefault="00000000" w:rsidRPr="00000000" w14:paraId="0000000B">
      <w:pPr>
        <w:spacing w:after="240" w:before="240" w:lineRule="auto"/>
        <w:rPr/>
      </w:pPr>
      <w:r w:rsidDel="00000000" w:rsidR="00000000" w:rsidRPr="00000000">
        <w:rPr>
          <w:rtl w:val="0"/>
        </w:rPr>
        <w:t xml:space="preserve">At a local authority level, TSIs have been established to play an advanced role in community planning processes and continue to respond to requests for generic support and advice from community groups.</w:t>
      </w:r>
    </w:p>
    <w:p w:rsidR="00000000" w:rsidDel="00000000" w:rsidP="00000000" w:rsidRDefault="00000000" w:rsidRPr="00000000" w14:paraId="0000000C">
      <w:pPr>
        <w:spacing w:after="240" w:before="240" w:lineRule="auto"/>
        <w:rPr/>
      </w:pPr>
      <w:r w:rsidDel="00000000" w:rsidR="00000000" w:rsidRPr="00000000">
        <w:rPr>
          <w:rtl w:val="0"/>
        </w:rPr>
        <w:t xml:space="preserve">The fundamental purpose of all the support activity that occurs at the national or local authority/regional level is to serve the interests of communities. All three tiers of activity – national, regional and community – can be viewed as integral parts of the same, single system. And, while this system, as it is currently configured and supported, produces many valuable outcomes, there is no doubt that more could be achieved if the system was able to function better as an integrated whole rather than as ‘the sum of its parts’. The decision to establish this new post is, in part, a response to the challenge of how to make the ‘system’ as described above, operate more effectively.</w:t>
      </w:r>
    </w:p>
    <w:p w:rsidR="00000000" w:rsidDel="00000000" w:rsidP="00000000" w:rsidRDefault="00000000" w:rsidRPr="00000000" w14:paraId="0000000D">
      <w:pPr>
        <w:spacing w:lin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cottishcommunityallian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