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7AE21" w14:textId="5EFDA40D" w:rsidR="008C2932" w:rsidRPr="00EE4F96" w:rsidRDefault="00EE4F96" w:rsidP="00EE4F96">
      <w:pPr>
        <w:jc w:val="center"/>
        <w:rPr>
          <w:b/>
          <w:bCs/>
          <w:sz w:val="28"/>
          <w:szCs w:val="36"/>
        </w:rPr>
      </w:pPr>
      <w:bookmarkStart w:id="0" w:name="_GoBack"/>
      <w:bookmarkEnd w:id="0"/>
      <w:r w:rsidRPr="00EE4F96">
        <w:rPr>
          <w:b/>
          <w:bCs/>
          <w:sz w:val="28"/>
          <w:szCs w:val="36"/>
        </w:rPr>
        <w:t>Terms and Conditions Summary</w:t>
      </w:r>
    </w:p>
    <w:tbl>
      <w:tblPr>
        <w:tblW w:w="10343" w:type="dxa"/>
        <w:tblInd w:w="-567" w:type="dxa"/>
        <w:tblCellMar>
          <w:left w:w="10" w:type="dxa"/>
          <w:right w:w="10" w:type="dxa"/>
        </w:tblCellMar>
        <w:tblLook w:val="0000" w:firstRow="0" w:lastRow="0" w:firstColumn="0" w:lastColumn="0" w:noHBand="0" w:noVBand="0"/>
      </w:tblPr>
      <w:tblGrid>
        <w:gridCol w:w="2547"/>
        <w:gridCol w:w="2598"/>
        <w:gridCol w:w="1300"/>
        <w:gridCol w:w="1299"/>
        <w:gridCol w:w="2599"/>
      </w:tblGrid>
      <w:tr w:rsidR="00EE4F96" w14:paraId="3EDF32C6" w14:textId="77777777" w:rsidTr="002C173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E991" w14:textId="77777777" w:rsidR="00EE4F96" w:rsidRDefault="00EE4F96" w:rsidP="002C1732">
            <w:pPr>
              <w:pStyle w:val="SubHeadingGreen"/>
              <w:spacing w:before="0"/>
              <w:ind w:left="0"/>
            </w:pPr>
            <w:r>
              <w:t>Pay</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491A" w14:textId="77777777" w:rsidR="00EE4F96" w:rsidRDefault="00EE4F96" w:rsidP="002C1732">
            <w:pPr>
              <w:pStyle w:val="SubHeadingGreen"/>
              <w:spacing w:before="0"/>
              <w:ind w:left="0"/>
              <w:rPr>
                <w:b w:val="0"/>
                <w:bCs/>
              </w:rPr>
            </w:pPr>
            <w:r>
              <w:rPr>
                <w:b w:val="0"/>
                <w:bCs/>
              </w:rPr>
              <w:t xml:space="preserve">Pay day is on the 28th day of each month.  </w:t>
            </w:r>
          </w:p>
          <w:p w14:paraId="673A33B9" w14:textId="77777777" w:rsidR="00EE4F96" w:rsidRDefault="00EE4F96" w:rsidP="002C1732">
            <w:pPr>
              <w:pStyle w:val="SubHeadingGreen"/>
              <w:spacing w:before="0"/>
              <w:ind w:left="0"/>
              <w:rPr>
                <w:b w:val="0"/>
                <w:bCs/>
              </w:rPr>
            </w:pPr>
          </w:p>
        </w:tc>
      </w:tr>
      <w:tr w:rsidR="00EE4F96" w14:paraId="2AC90644" w14:textId="77777777" w:rsidTr="002C173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A55B" w14:textId="77777777" w:rsidR="00EE4F96" w:rsidRDefault="00EE4F96" w:rsidP="002C1732">
            <w:pPr>
              <w:pStyle w:val="SubHeadingGreen"/>
              <w:spacing w:before="0"/>
              <w:ind w:left="0"/>
            </w:pPr>
            <w:r>
              <w:t>Holiday Entitlement</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C37" w14:textId="77777777" w:rsidR="00EE4F96" w:rsidRDefault="00EE4F96" w:rsidP="002C1732">
            <w:pPr>
              <w:pStyle w:val="SubHeadingGreen"/>
              <w:spacing w:before="0"/>
              <w:ind w:left="0"/>
              <w:rPr>
                <w:b w:val="0"/>
                <w:bCs/>
              </w:rPr>
            </w:pPr>
            <w:r>
              <w:rPr>
                <w:b w:val="0"/>
                <w:bCs/>
              </w:rPr>
              <w:t>The holiday year runs from 1st April to 31st March.</w:t>
            </w:r>
          </w:p>
          <w:p w14:paraId="252580C0" w14:textId="77777777" w:rsidR="00EE4F96" w:rsidRDefault="00EE4F96" w:rsidP="002C1732">
            <w:pPr>
              <w:pStyle w:val="SubHeadingGreen"/>
              <w:spacing w:before="0"/>
              <w:ind w:left="0"/>
              <w:rPr>
                <w:b w:val="0"/>
                <w:bCs/>
              </w:rPr>
            </w:pPr>
          </w:p>
        </w:tc>
      </w:tr>
      <w:tr w:rsidR="00EE4F96" w14:paraId="20435F21" w14:textId="77777777" w:rsidTr="002C173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2213C" w14:textId="77777777" w:rsidR="00EE4F96" w:rsidRDefault="00EE4F96" w:rsidP="002C1732">
            <w:pPr>
              <w:pStyle w:val="SubHeadingGreen"/>
              <w:spacing w:before="0"/>
              <w:ind w:left="0"/>
              <w:rPr>
                <w:b w:val="0"/>
                <w:bCs/>
              </w:rPr>
            </w:pPr>
            <w:r>
              <w:rPr>
                <w:b w:val="0"/>
                <w:bCs/>
              </w:rPr>
              <w:t xml:space="preserve">      Senior Staff</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0663" w14:textId="77777777" w:rsidR="00EE4F96" w:rsidRDefault="00EE4F96" w:rsidP="002C1732">
            <w:pPr>
              <w:pStyle w:val="SubHeadingGreen"/>
              <w:spacing w:before="0"/>
              <w:ind w:left="0"/>
              <w:rPr>
                <w:b w:val="0"/>
                <w:bCs/>
              </w:rPr>
            </w:pPr>
            <w:r>
              <w:rPr>
                <w:b w:val="0"/>
                <w:bCs/>
              </w:rPr>
              <w:t>30 days annual leave plus 10 public holidays</w:t>
            </w:r>
          </w:p>
          <w:p w14:paraId="0F7BED18" w14:textId="77777777" w:rsidR="00EE4F96" w:rsidRDefault="00EE4F96" w:rsidP="002C1732">
            <w:pPr>
              <w:pStyle w:val="SubHeadingGreen"/>
              <w:spacing w:before="0"/>
              <w:ind w:left="0"/>
              <w:rPr>
                <w:b w:val="0"/>
                <w:bCs/>
              </w:rPr>
            </w:pPr>
          </w:p>
        </w:tc>
      </w:tr>
      <w:tr w:rsidR="00EE4F96" w14:paraId="6B6CE5A1" w14:textId="77777777" w:rsidTr="002C173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52B4F" w14:textId="77777777" w:rsidR="00EE4F96" w:rsidRDefault="00EE4F96" w:rsidP="002C1732">
            <w:pPr>
              <w:pStyle w:val="SubHeadingGreen"/>
              <w:spacing w:before="0"/>
              <w:ind w:left="0"/>
              <w:rPr>
                <w:b w:val="0"/>
                <w:bCs/>
              </w:rPr>
            </w:pPr>
            <w:r>
              <w:rPr>
                <w:b w:val="0"/>
                <w:bCs/>
              </w:rPr>
              <w:t xml:space="preserve">      All other Staff</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B69FE" w14:textId="77777777" w:rsidR="00EE4F96" w:rsidRDefault="00EE4F96" w:rsidP="002C1732">
            <w:pPr>
              <w:pStyle w:val="SubHeadingGreen"/>
              <w:spacing w:before="0"/>
              <w:ind w:left="0"/>
              <w:rPr>
                <w:b w:val="0"/>
                <w:bCs/>
              </w:rPr>
            </w:pPr>
            <w:r>
              <w:rPr>
                <w:b w:val="0"/>
                <w:bCs/>
              </w:rPr>
              <w:t>20 days annual leave (rising by an extra day per year of service up to maximum of 5 extra days) plus 10 public holidays</w:t>
            </w:r>
          </w:p>
          <w:p w14:paraId="539DE527" w14:textId="77777777" w:rsidR="00EE4F96" w:rsidRDefault="00EE4F96" w:rsidP="002C1732">
            <w:pPr>
              <w:pStyle w:val="SubHeadingGreen"/>
              <w:spacing w:before="0"/>
              <w:ind w:left="0"/>
              <w:rPr>
                <w:b w:val="0"/>
                <w:bCs/>
              </w:rPr>
            </w:pPr>
          </w:p>
        </w:tc>
      </w:tr>
      <w:tr w:rsidR="00EE4F96" w14:paraId="1151117F" w14:textId="77777777" w:rsidTr="002C173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47E0" w14:textId="77777777" w:rsidR="00EE4F96" w:rsidRDefault="00EE4F96" w:rsidP="002C1732">
            <w:pPr>
              <w:pStyle w:val="SubHeadingGreen"/>
              <w:spacing w:before="0"/>
              <w:ind w:left="0"/>
            </w:pPr>
            <w:r>
              <w:t>Sickness and Absence</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C35EB" w14:textId="77777777" w:rsidR="00EE4F96" w:rsidRDefault="00EE4F96" w:rsidP="002C1732">
            <w:pPr>
              <w:pStyle w:val="SubHeadingGreen"/>
              <w:spacing w:before="0"/>
              <w:ind w:left="0"/>
              <w:rPr>
                <w:b w:val="0"/>
                <w:bCs/>
              </w:rPr>
            </w:pPr>
            <w:r>
              <w:rPr>
                <w:b w:val="0"/>
                <w:bCs/>
              </w:rPr>
              <w:t xml:space="preserve">There is no sick pay for the first 3 months of employment, however, Statutory Sick Pay (SSP) may be payable.  </w:t>
            </w:r>
          </w:p>
          <w:p w14:paraId="652D2E2B" w14:textId="77777777" w:rsidR="00EE4F96" w:rsidRDefault="00EE4F96" w:rsidP="002C1732">
            <w:pPr>
              <w:pStyle w:val="SubHeadingGreen"/>
              <w:spacing w:before="0"/>
              <w:ind w:left="0"/>
              <w:rPr>
                <w:b w:val="0"/>
                <w:bCs/>
              </w:rPr>
            </w:pPr>
          </w:p>
        </w:tc>
      </w:tr>
      <w:tr w:rsidR="00EE4F96" w14:paraId="5EE4BDC4" w14:textId="77777777" w:rsidTr="002C1732">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901DC" w14:textId="77777777" w:rsidR="00EE4F96" w:rsidRDefault="00EE4F96" w:rsidP="002C1732">
            <w:pPr>
              <w:pStyle w:val="SubHeadingGreen"/>
              <w:spacing w:before="0"/>
              <w:ind w:left="0"/>
              <w:rPr>
                <w:b w:val="0"/>
                <w:bCs/>
              </w:rPr>
            </w:pPr>
            <w:r>
              <w:rPr>
                <w:b w:val="0"/>
                <w:bCs/>
              </w:rPr>
              <w:t xml:space="preserve">     Entitlement</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5520" w14:textId="77777777" w:rsidR="00EE4F96" w:rsidRDefault="00EE4F96" w:rsidP="002C1732">
            <w:pPr>
              <w:pStyle w:val="SubHeadingGreen"/>
              <w:spacing w:before="0"/>
              <w:ind w:left="0"/>
              <w:jc w:val="center"/>
              <w:rPr>
                <w:b w:val="0"/>
                <w:bCs/>
              </w:rPr>
            </w:pPr>
            <w:r>
              <w:rPr>
                <w:b w:val="0"/>
                <w:bCs/>
              </w:rPr>
              <w:t>3 months to 1 year</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37E5E" w14:textId="77777777" w:rsidR="00EE4F96" w:rsidRDefault="00EE4F96" w:rsidP="002C1732">
            <w:pPr>
              <w:pStyle w:val="SubHeadingGreen"/>
              <w:spacing w:before="0"/>
              <w:ind w:left="0"/>
              <w:jc w:val="center"/>
              <w:rPr>
                <w:b w:val="0"/>
                <w:bCs/>
              </w:rPr>
            </w:pPr>
            <w:r>
              <w:rPr>
                <w:b w:val="0"/>
                <w:bCs/>
              </w:rPr>
              <w:t>1 year to 3 years</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E2DE" w14:textId="77777777" w:rsidR="00EE4F96" w:rsidRDefault="00EE4F96" w:rsidP="002C1732">
            <w:pPr>
              <w:pStyle w:val="SubHeadingGreen"/>
              <w:spacing w:before="0"/>
              <w:ind w:left="0"/>
              <w:jc w:val="center"/>
              <w:rPr>
                <w:b w:val="0"/>
                <w:bCs/>
              </w:rPr>
            </w:pPr>
            <w:r>
              <w:rPr>
                <w:b w:val="0"/>
                <w:bCs/>
              </w:rPr>
              <w:t>3 years plus</w:t>
            </w:r>
          </w:p>
          <w:p w14:paraId="4A634F44" w14:textId="77777777" w:rsidR="00EE4F96" w:rsidRDefault="00EE4F96" w:rsidP="002C1732">
            <w:pPr>
              <w:pStyle w:val="SubHeadingGreen"/>
              <w:spacing w:before="0"/>
              <w:ind w:left="0"/>
              <w:jc w:val="center"/>
              <w:rPr>
                <w:b w:val="0"/>
                <w:bCs/>
              </w:rPr>
            </w:pPr>
          </w:p>
        </w:tc>
      </w:tr>
      <w:tr w:rsidR="00EE4F96" w14:paraId="1F3CF250" w14:textId="77777777" w:rsidTr="002C1732">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0EEC9" w14:textId="77777777" w:rsidR="00EE4F96" w:rsidRDefault="00EE4F96" w:rsidP="002C1732">
            <w:pPr>
              <w:pStyle w:val="SubHeadingGreen"/>
              <w:spacing w:before="0"/>
              <w:ind w:left="0"/>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53BAF" w14:textId="77777777" w:rsidR="00EE4F96" w:rsidRDefault="00EE4F96" w:rsidP="002C1732">
            <w:pPr>
              <w:pStyle w:val="SubHeadingGreen"/>
              <w:spacing w:before="0"/>
              <w:ind w:left="0"/>
              <w:jc w:val="center"/>
              <w:rPr>
                <w:b w:val="0"/>
                <w:bCs/>
              </w:rPr>
            </w:pPr>
            <w:r>
              <w:rPr>
                <w:b w:val="0"/>
                <w:bCs/>
              </w:rPr>
              <w:t>5 weeks' full pay and</w:t>
            </w:r>
          </w:p>
          <w:p w14:paraId="2C2F77ED" w14:textId="77777777" w:rsidR="00EE4F96" w:rsidRDefault="00EE4F96" w:rsidP="002C1732">
            <w:pPr>
              <w:pStyle w:val="SubHeadingGreen"/>
              <w:spacing w:before="0"/>
              <w:ind w:left="0"/>
              <w:jc w:val="center"/>
              <w:rPr>
                <w:b w:val="0"/>
                <w:bCs/>
              </w:rPr>
            </w:pPr>
            <w:r>
              <w:rPr>
                <w:b w:val="0"/>
                <w:bCs/>
              </w:rPr>
              <w:t>5 weeks' half pay</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88049" w14:textId="77777777" w:rsidR="00EE4F96" w:rsidRDefault="00EE4F96" w:rsidP="002C1732">
            <w:pPr>
              <w:pStyle w:val="SubHeadingGreen"/>
              <w:spacing w:before="0"/>
              <w:ind w:left="0"/>
              <w:jc w:val="center"/>
              <w:rPr>
                <w:b w:val="0"/>
                <w:bCs/>
              </w:rPr>
            </w:pPr>
            <w:r>
              <w:rPr>
                <w:b w:val="0"/>
                <w:bCs/>
              </w:rPr>
              <w:t>10 weeks' full pay and</w:t>
            </w:r>
          </w:p>
          <w:p w14:paraId="2AFE4B69" w14:textId="77777777" w:rsidR="00EE4F96" w:rsidRDefault="00EE4F96" w:rsidP="002C1732">
            <w:pPr>
              <w:pStyle w:val="SubHeadingGreen"/>
              <w:spacing w:before="0"/>
              <w:ind w:left="0"/>
              <w:jc w:val="center"/>
              <w:rPr>
                <w:b w:val="0"/>
                <w:bCs/>
              </w:rPr>
            </w:pPr>
            <w:r>
              <w:rPr>
                <w:b w:val="0"/>
                <w:bCs/>
              </w:rPr>
              <w:t>10 weeks' half pay</w:t>
            </w:r>
          </w:p>
          <w:p w14:paraId="789FBB48" w14:textId="77777777" w:rsidR="00EE4F96" w:rsidRDefault="00EE4F96" w:rsidP="002C1732">
            <w:pPr>
              <w:pStyle w:val="SubHeadingGreen"/>
              <w:spacing w:before="0"/>
              <w:ind w:left="0"/>
              <w:jc w:val="center"/>
              <w:rPr>
                <w:b w:val="0"/>
                <w:bCs/>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0A594" w14:textId="77777777" w:rsidR="00EE4F96" w:rsidRDefault="00EE4F96" w:rsidP="002C1732">
            <w:pPr>
              <w:pStyle w:val="SubHeadingGreen"/>
              <w:spacing w:before="0"/>
              <w:ind w:left="0"/>
              <w:jc w:val="center"/>
              <w:rPr>
                <w:b w:val="0"/>
                <w:bCs/>
              </w:rPr>
            </w:pPr>
            <w:r>
              <w:rPr>
                <w:b w:val="0"/>
                <w:bCs/>
              </w:rPr>
              <w:t>26 weeks' full pay</w:t>
            </w:r>
          </w:p>
        </w:tc>
      </w:tr>
      <w:tr w:rsidR="00EE4F96" w14:paraId="653B05A1" w14:textId="77777777" w:rsidTr="002C173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8AED9" w14:textId="77777777" w:rsidR="00EE4F96" w:rsidRDefault="00EE4F96" w:rsidP="002C1732">
            <w:pPr>
              <w:pStyle w:val="SubHeadingGreen"/>
              <w:spacing w:before="0"/>
              <w:ind w:left="0"/>
            </w:pPr>
            <w:r>
              <w:t>Probationary Period</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6EC2" w14:textId="77777777" w:rsidR="00EE4F96" w:rsidRDefault="00EE4F96" w:rsidP="002C1732">
            <w:pPr>
              <w:pStyle w:val="SubHeadingGreen"/>
              <w:spacing w:before="0"/>
              <w:ind w:left="0"/>
              <w:rPr>
                <w:b w:val="0"/>
                <w:bCs/>
              </w:rPr>
            </w:pPr>
            <w:r>
              <w:rPr>
                <w:b w:val="0"/>
                <w:bCs/>
              </w:rPr>
              <w:t>All new staff are on a probationary period for the first 6 months of employment.</w:t>
            </w:r>
          </w:p>
          <w:p w14:paraId="2B4DDD99" w14:textId="77777777" w:rsidR="00EE4F96" w:rsidRDefault="00EE4F96" w:rsidP="002C1732">
            <w:pPr>
              <w:pStyle w:val="SubHeadingGreen"/>
              <w:spacing w:before="0"/>
              <w:ind w:left="0"/>
              <w:rPr>
                <w:b w:val="0"/>
                <w:bCs/>
              </w:rPr>
            </w:pPr>
          </w:p>
        </w:tc>
      </w:tr>
      <w:tr w:rsidR="00EE4F96" w14:paraId="322F05BC" w14:textId="77777777" w:rsidTr="002C173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E388" w14:textId="77777777" w:rsidR="00EE4F96" w:rsidRDefault="00EE4F96" w:rsidP="002C1732">
            <w:pPr>
              <w:pStyle w:val="SubHeadingGreen"/>
              <w:spacing w:before="0"/>
              <w:ind w:left="0"/>
            </w:pPr>
            <w:r>
              <w:t>Protecting Vulnerable Groups Scheme (PVG)</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9D6A" w14:textId="77777777" w:rsidR="00EE4F96" w:rsidRDefault="00EE4F96" w:rsidP="002C1732">
            <w:pPr>
              <w:pStyle w:val="SubHeadingGreen"/>
              <w:spacing w:before="0"/>
              <w:ind w:left="0"/>
              <w:rPr>
                <w:b w:val="0"/>
                <w:bCs/>
              </w:rPr>
            </w:pPr>
            <w:r>
              <w:rPr>
                <w:b w:val="0"/>
                <w:bCs/>
              </w:rPr>
              <w:t>All staff and volunteers undertaking 'regulated work' will have the appropriate disclosure checks for their post and the majority of colleagues will be required to become members of the PVG Scheme.</w:t>
            </w:r>
          </w:p>
          <w:p w14:paraId="333FD083" w14:textId="77777777" w:rsidR="00EE4F96" w:rsidRDefault="00EE4F96" w:rsidP="002C1732">
            <w:pPr>
              <w:pStyle w:val="SubHeadingGreen"/>
              <w:spacing w:before="0"/>
              <w:ind w:left="0"/>
              <w:rPr>
                <w:b w:val="0"/>
                <w:bCs/>
              </w:rPr>
            </w:pPr>
          </w:p>
        </w:tc>
      </w:tr>
      <w:tr w:rsidR="00EE4F96" w14:paraId="0355F576" w14:textId="77777777" w:rsidTr="002C173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BD676" w14:textId="77777777" w:rsidR="00EE4F96" w:rsidRDefault="00EE4F96" w:rsidP="002C1732">
            <w:pPr>
              <w:pStyle w:val="SubHeadingGreen"/>
              <w:spacing w:before="0"/>
              <w:ind w:left="0"/>
            </w:pPr>
            <w:r>
              <w:t xml:space="preserve">Scottish Social Services Council (SSSC) </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F4C8C" w14:textId="77777777" w:rsidR="00EE4F96" w:rsidRDefault="00EE4F96" w:rsidP="002C1732">
            <w:pPr>
              <w:pStyle w:val="SubHeadingGreen"/>
              <w:spacing w:before="0"/>
              <w:ind w:left="0"/>
              <w:rPr>
                <w:b w:val="0"/>
                <w:bCs/>
              </w:rPr>
            </w:pPr>
            <w:r>
              <w:rPr>
                <w:b w:val="0"/>
                <w:bCs/>
              </w:rPr>
              <w:t>The SSSC is the regulator for the social work, social care and early years workforce in Scotland and protect the public by registering certain categories of workers.</w:t>
            </w:r>
          </w:p>
          <w:p w14:paraId="2B089557" w14:textId="77777777" w:rsidR="00EE4F96" w:rsidRDefault="00EE4F96" w:rsidP="002C1732">
            <w:pPr>
              <w:pStyle w:val="SubHeadingGreen"/>
              <w:spacing w:before="0"/>
              <w:ind w:left="0"/>
              <w:rPr>
                <w:b w:val="0"/>
                <w:bCs/>
              </w:rPr>
            </w:pPr>
          </w:p>
        </w:tc>
      </w:tr>
      <w:tr w:rsidR="00EE4F96" w14:paraId="3EEF8BF8" w14:textId="77777777" w:rsidTr="002C173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74F4" w14:textId="77777777" w:rsidR="00EE4F96" w:rsidRDefault="00EE4F96" w:rsidP="002C1732">
            <w:pPr>
              <w:pStyle w:val="SubHeadingGreen"/>
              <w:spacing w:before="0"/>
              <w:ind w:left="0"/>
              <w:rPr>
                <w:b w:val="0"/>
                <w:bCs/>
              </w:rPr>
            </w:pPr>
            <w:r>
              <w:rPr>
                <w:b w:val="0"/>
                <w:bCs/>
              </w:rPr>
              <w:t xml:space="preserve">      Registration</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17A3F" w14:textId="77777777" w:rsidR="00EE4F96" w:rsidRDefault="00EE4F96" w:rsidP="002C1732">
            <w:pPr>
              <w:pStyle w:val="SubHeadingGreen"/>
              <w:spacing w:before="0"/>
              <w:ind w:left="0"/>
              <w:rPr>
                <w:b w:val="0"/>
                <w:bCs/>
              </w:rPr>
            </w:pPr>
            <w:r>
              <w:rPr>
                <w:b w:val="0"/>
                <w:bCs/>
              </w:rPr>
              <w:t>Most operational staff are required to register with the SSSC within the first 6 months of employment and will be advised of this requirement during the recruitment process.</w:t>
            </w:r>
          </w:p>
          <w:p w14:paraId="08ABB947" w14:textId="77777777" w:rsidR="00EE4F96" w:rsidRDefault="00EE4F96" w:rsidP="002C1732">
            <w:pPr>
              <w:pStyle w:val="SubHeadingGreen"/>
              <w:spacing w:before="0"/>
              <w:ind w:left="0"/>
              <w:rPr>
                <w:b w:val="0"/>
                <w:bCs/>
              </w:rPr>
            </w:pPr>
          </w:p>
        </w:tc>
      </w:tr>
      <w:tr w:rsidR="00EE4F96" w14:paraId="6BF2388D" w14:textId="77777777" w:rsidTr="002C173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98542" w14:textId="77777777" w:rsidR="00EE4F96" w:rsidRDefault="00EE4F96" w:rsidP="002C1732">
            <w:pPr>
              <w:pStyle w:val="SubHeadingGreen"/>
              <w:spacing w:before="0"/>
              <w:ind w:left="0"/>
              <w:rPr>
                <w:b w:val="0"/>
                <w:bCs/>
              </w:rPr>
            </w:pPr>
            <w:r>
              <w:rPr>
                <w:b w:val="0"/>
                <w:bCs/>
              </w:rPr>
              <w:t xml:space="preserve">      Qualifications</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F87C" w14:textId="77777777" w:rsidR="00EE4F96" w:rsidRDefault="00EE4F96" w:rsidP="002C1732">
            <w:pPr>
              <w:pStyle w:val="SubHeadingGreen"/>
              <w:spacing w:before="0"/>
              <w:ind w:left="0"/>
              <w:rPr>
                <w:b w:val="0"/>
                <w:bCs/>
              </w:rPr>
            </w:pPr>
            <w:r>
              <w:rPr>
                <w:b w:val="0"/>
                <w:bCs/>
              </w:rPr>
              <w:t>All SSSC registered roles must hold a relevant qualification by a specified date and new staff will be advised of this deadline during the recruitment process.</w:t>
            </w:r>
          </w:p>
          <w:p w14:paraId="021EA024" w14:textId="77777777" w:rsidR="00EE4F96" w:rsidRDefault="00EE4F96" w:rsidP="002C1732">
            <w:pPr>
              <w:pStyle w:val="SubHeadingGreen"/>
              <w:spacing w:before="0"/>
              <w:ind w:left="0"/>
              <w:rPr>
                <w:b w:val="0"/>
                <w:bCs/>
              </w:rPr>
            </w:pPr>
            <w:r>
              <w:rPr>
                <w:b w:val="0"/>
                <w:bCs/>
              </w:rPr>
              <w:t xml:space="preserve">  </w:t>
            </w:r>
          </w:p>
        </w:tc>
      </w:tr>
      <w:tr w:rsidR="00EE4F96" w14:paraId="0B4D02F5" w14:textId="77777777" w:rsidTr="002C173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07143" w14:textId="77777777" w:rsidR="00EE4F96" w:rsidRDefault="00EE4F96" w:rsidP="002C1732">
            <w:pPr>
              <w:pStyle w:val="SubHeadingGreen"/>
              <w:spacing w:before="0"/>
              <w:ind w:left="0"/>
            </w:pPr>
            <w:r>
              <w:t>Pension</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E171" w14:textId="77777777" w:rsidR="00EE4F96" w:rsidRDefault="00EE4F96" w:rsidP="002C1732">
            <w:pPr>
              <w:pStyle w:val="SubHeadingGreen"/>
              <w:spacing w:before="0"/>
              <w:ind w:left="0"/>
              <w:rPr>
                <w:b w:val="0"/>
                <w:bCs/>
              </w:rPr>
            </w:pPr>
            <w:r>
              <w:rPr>
                <w:b w:val="0"/>
                <w:bCs/>
              </w:rPr>
              <w:t>Our pension scheme is open to all staff.  All new eligible staff will be auto enrolled into our contributory pension scheme in their first complete month of service.  Staff can opt-out of the scheme if they choose.</w:t>
            </w:r>
          </w:p>
          <w:p w14:paraId="76969E8A" w14:textId="77777777" w:rsidR="00EE4F96" w:rsidRDefault="00EE4F96" w:rsidP="002C1732">
            <w:pPr>
              <w:pStyle w:val="SubHeadingGreen"/>
              <w:spacing w:before="0"/>
              <w:ind w:left="0"/>
              <w:rPr>
                <w:b w:val="0"/>
                <w:bCs/>
              </w:rPr>
            </w:pPr>
          </w:p>
        </w:tc>
      </w:tr>
      <w:tr w:rsidR="00EE4F96" w14:paraId="010F25B4" w14:textId="77777777" w:rsidTr="002C1732">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716FF" w14:textId="77777777" w:rsidR="00EE4F96" w:rsidRDefault="00EE4F96" w:rsidP="002C1732">
            <w:pPr>
              <w:pStyle w:val="SubHeadingGreen"/>
              <w:spacing w:before="0"/>
              <w:ind w:left="0"/>
              <w:rPr>
                <w:b w:val="0"/>
                <w:bCs/>
              </w:rPr>
            </w:pPr>
            <w:r>
              <w:rPr>
                <w:b w:val="0"/>
                <w:bCs/>
              </w:rPr>
              <w:t xml:space="preserve">      Contributions</w:t>
            </w:r>
          </w:p>
        </w:tc>
        <w:tc>
          <w:tcPr>
            <w:tcW w:w="3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EBA3" w14:textId="77777777" w:rsidR="00EE4F96" w:rsidRDefault="00EE4F96" w:rsidP="002C1732">
            <w:pPr>
              <w:pStyle w:val="SubHeadingGreen"/>
              <w:spacing w:before="0"/>
              <w:ind w:left="0"/>
              <w:jc w:val="center"/>
              <w:rPr>
                <w:b w:val="0"/>
                <w:bCs/>
              </w:rPr>
            </w:pPr>
            <w:r>
              <w:rPr>
                <w:b w:val="0"/>
                <w:bCs/>
              </w:rPr>
              <w:t>Employee</w:t>
            </w:r>
          </w:p>
        </w:tc>
        <w:tc>
          <w:tcPr>
            <w:tcW w:w="3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18C22" w14:textId="77777777" w:rsidR="00EE4F96" w:rsidRDefault="00EE4F96" w:rsidP="002C1732">
            <w:pPr>
              <w:pStyle w:val="SubHeadingGreen"/>
              <w:spacing w:before="0"/>
              <w:ind w:left="0"/>
              <w:jc w:val="center"/>
              <w:rPr>
                <w:b w:val="0"/>
                <w:bCs/>
              </w:rPr>
            </w:pPr>
            <w:r>
              <w:rPr>
                <w:b w:val="0"/>
                <w:bCs/>
              </w:rPr>
              <w:t>Employer</w:t>
            </w:r>
          </w:p>
          <w:p w14:paraId="24B9A582" w14:textId="77777777" w:rsidR="00EE4F96" w:rsidRDefault="00EE4F96" w:rsidP="002C1732">
            <w:pPr>
              <w:pStyle w:val="SubHeadingGreen"/>
              <w:spacing w:before="0"/>
              <w:ind w:left="0"/>
              <w:jc w:val="center"/>
              <w:rPr>
                <w:b w:val="0"/>
                <w:bCs/>
              </w:rPr>
            </w:pPr>
          </w:p>
        </w:tc>
      </w:tr>
      <w:tr w:rsidR="00EE4F96" w14:paraId="2EE8F6B7" w14:textId="77777777" w:rsidTr="002C1732">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1AB8" w14:textId="77777777" w:rsidR="00EE4F96" w:rsidRDefault="00EE4F96" w:rsidP="002C1732">
            <w:pPr>
              <w:pStyle w:val="SubHeadingGreen"/>
              <w:spacing w:before="0"/>
              <w:ind w:left="0"/>
            </w:pPr>
          </w:p>
        </w:tc>
        <w:tc>
          <w:tcPr>
            <w:tcW w:w="3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BE4C0" w14:textId="77777777" w:rsidR="00EE4F96" w:rsidRDefault="00EE4F96" w:rsidP="002C1732">
            <w:pPr>
              <w:pStyle w:val="SubHeadingGreen"/>
              <w:spacing w:before="0"/>
              <w:ind w:left="0"/>
              <w:jc w:val="center"/>
              <w:rPr>
                <w:b w:val="0"/>
                <w:bCs/>
              </w:rPr>
            </w:pPr>
            <w:r>
              <w:rPr>
                <w:b w:val="0"/>
                <w:bCs/>
              </w:rPr>
              <w:t>5%</w:t>
            </w:r>
          </w:p>
        </w:tc>
        <w:tc>
          <w:tcPr>
            <w:tcW w:w="3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923D" w14:textId="77777777" w:rsidR="00EE4F96" w:rsidRDefault="00EE4F96" w:rsidP="002C1732">
            <w:pPr>
              <w:pStyle w:val="SubHeadingGreen"/>
              <w:spacing w:before="0"/>
              <w:ind w:left="0"/>
              <w:jc w:val="center"/>
              <w:rPr>
                <w:b w:val="0"/>
                <w:bCs/>
              </w:rPr>
            </w:pPr>
            <w:r>
              <w:rPr>
                <w:b w:val="0"/>
                <w:bCs/>
              </w:rPr>
              <w:t>3%</w:t>
            </w:r>
          </w:p>
          <w:p w14:paraId="4C6DE4A2" w14:textId="77777777" w:rsidR="00EE4F96" w:rsidRDefault="00EE4F96" w:rsidP="002C1732">
            <w:pPr>
              <w:pStyle w:val="SubHeadingGreen"/>
              <w:spacing w:before="0"/>
              <w:ind w:left="0"/>
              <w:jc w:val="center"/>
              <w:rPr>
                <w:b w:val="0"/>
                <w:bCs/>
              </w:rPr>
            </w:pPr>
          </w:p>
        </w:tc>
      </w:tr>
    </w:tbl>
    <w:p w14:paraId="4D9EFF84" w14:textId="5019A217" w:rsidR="00FD0CED" w:rsidRPr="00FD0CED" w:rsidRDefault="00FD0CED" w:rsidP="00FD0CED">
      <w:pPr>
        <w:tabs>
          <w:tab w:val="left" w:pos="6510"/>
        </w:tabs>
      </w:pPr>
    </w:p>
    <w:sectPr w:rsidR="00FD0CED" w:rsidRPr="00FD0CE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2B718" w14:textId="77777777" w:rsidR="00DB0176" w:rsidRDefault="00DB0176" w:rsidP="00FD0CED">
      <w:r>
        <w:separator/>
      </w:r>
    </w:p>
  </w:endnote>
  <w:endnote w:type="continuationSeparator" w:id="0">
    <w:p w14:paraId="7D286115" w14:textId="77777777" w:rsidR="00DB0176" w:rsidRDefault="00DB0176" w:rsidP="00FD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en New">
    <w:altName w:val="Calibri"/>
    <w:charset w:val="00"/>
    <w:family w:val="auto"/>
    <w:pitch w:val="variable"/>
  </w:font>
  <w:font w:name="Zen New SemiBold">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F6D87" w14:textId="77777777" w:rsidR="00DB0176" w:rsidRDefault="00DB0176" w:rsidP="00FD0CED">
      <w:r>
        <w:separator/>
      </w:r>
    </w:p>
  </w:footnote>
  <w:footnote w:type="continuationSeparator" w:id="0">
    <w:p w14:paraId="39FBD7A8" w14:textId="77777777" w:rsidR="00DB0176" w:rsidRDefault="00DB0176" w:rsidP="00FD0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F57A" w14:textId="1397DE94" w:rsidR="00E36498" w:rsidRDefault="00EE4F96" w:rsidP="00E36498">
    <w:pPr>
      <w:pStyle w:val="Header"/>
      <w:jc w:val="center"/>
    </w:pPr>
    <w:r>
      <w:rPr>
        <w:noProof/>
        <w:lang w:eastAsia="en-GB"/>
      </w:rPr>
      <w:drawing>
        <wp:inline distT="0" distB="0" distL="0" distR="0" wp14:anchorId="4442855E" wp14:editId="47034A6E">
          <wp:extent cx="3600000" cy="825216"/>
          <wp:effectExtent l="0" t="0" r="63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825216"/>
                  </a:xfrm>
                  <a:prstGeom prst="rect">
                    <a:avLst/>
                  </a:prstGeom>
                </pic:spPr>
              </pic:pic>
            </a:graphicData>
          </a:graphic>
        </wp:inline>
      </w:drawing>
    </w:r>
    <w:r w:rsidR="00E36498">
      <w:rPr>
        <w:noProof/>
        <w:lang w:eastAsia="en-GB"/>
      </w:rPr>
      <w:drawing>
        <wp:anchor distT="0" distB="0" distL="114300" distR="114300" simplePos="0" relativeHeight="251658240" behindDoc="1" locked="0" layoutInCell="1" allowOverlap="1" wp14:anchorId="24422401" wp14:editId="71E4D912">
          <wp:simplePos x="0" y="0"/>
          <wp:positionH relativeFrom="column">
            <wp:posOffset>-914400</wp:posOffset>
          </wp:positionH>
          <wp:positionV relativeFrom="paragraph">
            <wp:posOffset>-459105</wp:posOffset>
          </wp:positionV>
          <wp:extent cx="7567640" cy="10704195"/>
          <wp:effectExtent l="0" t="0" r="0" b="1905"/>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8904" cy="1070598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ED"/>
    <w:rsid w:val="008C2932"/>
    <w:rsid w:val="00A74F7C"/>
    <w:rsid w:val="00B434A9"/>
    <w:rsid w:val="00DB0176"/>
    <w:rsid w:val="00E36498"/>
    <w:rsid w:val="00EE4F96"/>
    <w:rsid w:val="00FD0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BEC872"/>
  <w15:chartTrackingRefBased/>
  <w15:docId w15:val="{90A9678F-6F60-4243-B38F-823740B4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F96"/>
    <w:pPr>
      <w:suppressAutoHyphens/>
      <w:autoSpaceDN w:val="0"/>
      <w:spacing w:after="0" w:line="240" w:lineRule="auto"/>
      <w:textAlignment w:val="baseline"/>
    </w:pPr>
    <w:rPr>
      <w:rFonts w:ascii="Zen New" w:eastAsia="Calibri" w:hAnsi="Zen New" w:cs="Times New Roman"/>
      <w:color w:val="33485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CED"/>
    <w:pPr>
      <w:tabs>
        <w:tab w:val="center" w:pos="4513"/>
        <w:tab w:val="right" w:pos="9026"/>
      </w:tabs>
      <w:suppressAutoHyphens w:val="0"/>
      <w:autoSpaceDN/>
      <w:textAlignment w:val="auto"/>
    </w:pPr>
    <w:rPr>
      <w:rFonts w:asciiTheme="minorHAnsi" w:eastAsiaTheme="minorHAnsi" w:hAnsiTheme="minorHAnsi" w:cstheme="minorBidi"/>
      <w:color w:val="auto"/>
      <w:szCs w:val="22"/>
    </w:rPr>
  </w:style>
  <w:style w:type="character" w:customStyle="1" w:styleId="HeaderChar">
    <w:name w:val="Header Char"/>
    <w:basedOn w:val="DefaultParagraphFont"/>
    <w:link w:val="Header"/>
    <w:uiPriority w:val="99"/>
    <w:rsid w:val="00FD0CED"/>
  </w:style>
  <w:style w:type="paragraph" w:styleId="Footer">
    <w:name w:val="footer"/>
    <w:basedOn w:val="Normal"/>
    <w:link w:val="FooterChar"/>
    <w:uiPriority w:val="99"/>
    <w:unhideWhenUsed/>
    <w:rsid w:val="00FD0CED"/>
    <w:pPr>
      <w:tabs>
        <w:tab w:val="center" w:pos="4513"/>
        <w:tab w:val="right" w:pos="9026"/>
      </w:tabs>
      <w:suppressAutoHyphens w:val="0"/>
      <w:autoSpaceDN/>
      <w:textAlignment w:val="auto"/>
    </w:pPr>
    <w:rPr>
      <w:rFonts w:asciiTheme="minorHAnsi" w:eastAsiaTheme="minorHAnsi" w:hAnsiTheme="minorHAnsi" w:cstheme="minorBidi"/>
      <w:color w:val="auto"/>
      <w:szCs w:val="22"/>
    </w:rPr>
  </w:style>
  <w:style w:type="character" w:customStyle="1" w:styleId="FooterChar">
    <w:name w:val="Footer Char"/>
    <w:basedOn w:val="DefaultParagraphFont"/>
    <w:link w:val="Footer"/>
    <w:uiPriority w:val="99"/>
    <w:rsid w:val="00FD0CED"/>
  </w:style>
  <w:style w:type="paragraph" w:customStyle="1" w:styleId="SubHeadingGreen">
    <w:name w:val="Sub Heading Green"/>
    <w:basedOn w:val="Normal"/>
    <w:rsid w:val="00EE4F96"/>
    <w:pPr>
      <w:keepNext/>
      <w:keepLines/>
      <w:spacing w:before="240"/>
      <w:ind w:left="-567"/>
      <w:outlineLvl w:val="0"/>
    </w:pPr>
    <w:rPr>
      <w:rFonts w:ascii="Zen New SemiBold" w:eastAsia="Times New Roman" w:hAnsi="Zen New SemiBold"/>
      <w:b/>
      <w:color w:val="14515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Irvine</dc:creator>
  <cp:keywords/>
  <dc:description/>
  <cp:lastModifiedBy>Wilma Devlin</cp:lastModifiedBy>
  <cp:revision>2</cp:revision>
  <dcterms:created xsi:type="dcterms:W3CDTF">2022-08-02T14:45:00Z</dcterms:created>
  <dcterms:modified xsi:type="dcterms:W3CDTF">2022-08-02T14:45:00Z</dcterms:modified>
</cp:coreProperties>
</file>