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542925</wp:posOffset>
            </wp:positionH>
            <wp:positionV relativeFrom="topMargin">
              <wp:posOffset>38100</wp:posOffset>
            </wp:positionV>
            <wp:extent cx="1341755" cy="64135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641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 Mono" w:cs="Roboto Mono" w:eastAsia="Roboto Mono" w:hAnsi="Roboto Mono"/>
          <w:b w:val="1"/>
          <w:sz w:val="28"/>
          <w:szCs w:val="28"/>
          <w:vertAlign w:val="baseline"/>
          <w:rtl w:val="0"/>
        </w:rPr>
        <w:t xml:space="preserve">   </w:t>
        <w:tab/>
        <w:t xml:space="preserve">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985"/>
          <w:tab w:val="center" w:pos="4507"/>
          <w:tab w:val="left" w:pos="7050"/>
        </w:tabs>
        <w:ind w:left="3600" w:hanging="360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2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6855"/>
        <w:tblGridChange w:id="0">
          <w:tblGrid>
            <w:gridCol w:w="2376"/>
            <w:gridCol w:w="68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Job Title: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Asylum Support Service Manager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Homebased and Pearce Institute, Govan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Hours Per Week: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hours per week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Salary Scale: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£2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8,360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per annum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(pro rata)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Duration of 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Initially funded until March 2025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Reporting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Head of Charity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Responsible For: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1985"/>
                <w:tab w:val="left" w:pos="283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Casework Team   </w:t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pos="1985"/>
        </w:tabs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985"/>
        </w:tabs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OVERALL PURPOSE OF THE JOB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GCP’s advice and advocacy service provides advice and casework support to individuals in the asylum process on a wide range of issues. Our service primarily focuses on supporting people who are destitute to access Home Office support.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Asylum Support Service Manager’s role is to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provide operational management of the advice &amp; advocacy service. This includes: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supervising caseworkers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supporting New Scots in the asylum process; line managing casework staff and volunteers; coordinating monitoring and evaluation of the service, and contributing to organisational and national policy developments in relation to asylum support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are currently operating a Hybrid working model, with the potential of up to 50% of contracted hours being homebased, at the discretion of management.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98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MAIN 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98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98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Asylum Support Service Delivery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before="28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Co-ordinate the delivery of the advice &amp; advocacy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Line manage casework staff &amp; volunteers, including caseload management and monitoring case recording on our Advice-Pro database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Deliver direct casework duties, focussing on more complex cases which may require a higher level of knowledge/skill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Work with the Food Project Co-ordinator to monitor and review food related casework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28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Work with the Head of Charity on recruitment &amp; selection of casework staff appointments</w:t>
      </w:r>
    </w:p>
    <w:p w:rsidR="00000000" w:rsidDel="00000000" w:rsidP="00000000" w:rsidRDefault="00000000" w:rsidRPr="00000000" w14:paraId="00000022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vertAlign w:val="baseline"/>
          <w:rtl w:val="0"/>
        </w:rPr>
        <w:t xml:space="preserve">Volunteer support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 with the Volunteer Co-ordinator on volunteer recruitment and engagement for the Asylum Support Service, including delivering induction training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Maintain regular contact with volunteers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Provide casework volunteers with regular group support and individual support where required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Provide opportunities for volunteers to be involved in training &amp; development </w:t>
      </w:r>
    </w:p>
    <w:p w:rsidR="00000000" w:rsidDel="00000000" w:rsidP="00000000" w:rsidRDefault="00000000" w:rsidRPr="00000000" w14:paraId="00000027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vertAlign w:val="baseline"/>
          <w:rtl w:val="0"/>
        </w:rPr>
        <w:t xml:space="preserve">Monitoring &amp; Reporting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before="28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Coordinate monitoring and evaluation for the advice &amp; advocacy service. This includes: collating and processing quarterly statistics, analysing feedback and gathering case studies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Develop regular service user consultation and feedback on the advice &amp; advocacy service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Work with the Head of Charity and colleagues to ensure services are delivered in compliance with OISC regulations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28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Provide the fundraising officer with relevant statistics, case studies and asylum specific information for funding reports and applications</w:t>
      </w:r>
    </w:p>
    <w:p w:rsidR="00000000" w:rsidDel="00000000" w:rsidP="00000000" w:rsidRDefault="00000000" w:rsidRPr="00000000" w14:paraId="0000002C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vertAlign w:val="baseline"/>
          <w:rtl w:val="0"/>
        </w:rPr>
        <w:t xml:space="preserve">Project Promotion &amp;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before="28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Develop GCP’s advice &amp; advocacy service in line with the Strategic Plan and evidence of need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Represent GCP at relevant networking events related to asylum support, ensuring the needs and priorities for people seeking asylum are represented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Contribute to local and national policy developments on immigration policy and asylum support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Engage with relevant local and national causes, research and campaigns (destitution, immigration policy, human rights, poverty etc)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280" w:before="0" w:lineRule="auto"/>
        <w:ind w:left="360" w:hanging="360"/>
        <w:jc w:val="both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baseline"/>
          <w:rtl w:val="0"/>
        </w:rPr>
        <w:t xml:space="preserve">Identify other development and partnership opportunities for the advice &amp; advocacy service in line with the Strategic Plan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1985"/>
        </w:tabs>
        <w:ind w:left="284" w:hanging="284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Working as part of the staff team to maintain the values and ethos of Govan Community Project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pos="1985"/>
        </w:tabs>
        <w:ind w:left="284" w:hanging="284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Provide advice &amp; advocacy input for regular social media updates and newsletter articles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Adhere to all organisational policies and procedures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 the staff team to contribute towards providing a safe, welcoming, clean and tidy environment for staff and visitors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meetings and contribute to strategic development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any other tasks or duties deemed necessary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Occasional weekend or evening work may be necessary in this post.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providing or managing an advice service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line managing staff or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project management and reporting on outcomes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excellent knowledge of Home Office support available to asylum seekers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completing Home Office support applications (section 4, section 95 and section 98)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advocating on people’s behalf both on an individual basis and on a wider level (eg at stakeholder meetings)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working with vulnerable people, supporting and responding to people in crisis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people experiencing destitution including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following safeguarding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commitment to the aims of the organisation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and understanding of social justice, empowerment and integration issues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set and manage priorities within a busy workload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work on own initiative and as part of a team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high level of competence in using database systems, google drive and Microsoft packages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interpersonal and communication skills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Desirable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supporting volunteers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Lived experience of the asylum process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OISC accreditation in asylum and protection (either level 1 or 2)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of the voluntary sector and inter-agency working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good spoken level of a relevant second language, eg Arabic, Kurdish Sorani or Farsi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local services available to asylum seekers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Roboto Mono" w:cs="Roboto Mono" w:eastAsia="Roboto Mono" w:hAnsi="Roboto Mon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993" w:left="1474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" w:cs="Palatino" w:eastAsia="Palatino" w:hAnsi="Palatino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Palatino" w:cs="Palatino" w:eastAsia="Palatino" w:hAnsi="Palatino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Palatino" w:cs="Palatino" w:eastAsia="Palatino" w:hAnsi="Palatino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Palatino" w:cs="Palatino" w:eastAsia="Palatino" w:hAnsi="Palatino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Palatino" w:hAnsi="Palatino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Palatino" w:hAnsi="Palatino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Palatino" w:hAnsi="Palatino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Palatino" w:hAnsi="Palatino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3"/>
    </w:pPr>
    <w:rPr>
      <w:rFonts w:ascii="Arial" w:cs="Arial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GB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Tahoma" w:cs="Tahoma" w:hAnsi="Tahoma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Palatino" w:hAnsi="Palatino"/>
      <w:w w:val="100"/>
      <w:position w:val="-1"/>
      <w:effect w:val="none"/>
      <w:vertAlign w:val="superscript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rFonts w:ascii="Palatino" w:hAnsi="Palatino"/>
      <w:w w:val="100"/>
      <w:position w:val="-1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Palatino" w:hAnsi="Palatino"/>
      <w:w w:val="100"/>
      <w:position w:val="-1"/>
      <w:sz w:val="17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Palatino" w:hAnsi="Palatino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Palatino" w:hAnsi="Palatino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line="1" w:lineRule="atLeast"/>
      <w:ind w:left="1440" w:leftChars="-1" w:rightChars="0" w:hanging="720" w:firstLineChars="-1"/>
      <w:textDirection w:val="btLr"/>
      <w:textAlignment w:val="auto"/>
      <w:outlineLvl w:val="0"/>
    </w:pPr>
    <w:rPr>
      <w:rFonts w:ascii="Arial Narrow" w:hAnsi="Arial Narrow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line="1" w:lineRule="atLeast"/>
      <w:ind w:left="360" w:leftChars="-1" w:rightChars="0" w:firstLineChars="-1"/>
      <w:textDirection w:val="btLr"/>
      <w:textAlignment w:val="auto"/>
      <w:outlineLvl w:val="0"/>
    </w:pPr>
    <w:rPr>
      <w:rFonts w:ascii="Tahoma" w:cs="Tahoma" w:hAnsi="Tahoma"/>
      <w:w w:val="100"/>
      <w:position w:val="-1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Tahoma" w:cs="Tahoma" w:hAnsi="Tahoma"/>
      <w:w w:val="100"/>
      <w:position w:val="-1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auto"/>
      <w:outlineLvl w:val="0"/>
    </w:pPr>
    <w:rPr>
      <w:rFonts w:ascii="Arial" w:hAnsi="Arial"/>
      <w:w w:val="100"/>
      <w:position w:val="-1"/>
      <w:sz w:val="32"/>
      <w:effect w:val="none"/>
      <w:vertAlign w:val="baseline"/>
      <w:cs w:val="0"/>
      <w:em w:val="none"/>
      <w:lang w:bidi="ar-SA" w:eastAsia="en-GB" w:val="en-GB"/>
    </w:rPr>
  </w:style>
  <w:style w:type="character" w:styleId="TitleChar">
    <w:name w:val="Title Char"/>
    <w:next w:val="TitleChar"/>
    <w:autoRedefine w:val="0"/>
    <w:hidden w:val="0"/>
    <w:qFormat w:val="0"/>
    <w:rPr>
      <w:rFonts w:ascii="Arial" w:hAnsi="Arial"/>
      <w:w w:val="100"/>
      <w:position w:val="-1"/>
      <w:sz w:val="32"/>
      <w:effect w:val="none"/>
      <w:vertAlign w:val="baseline"/>
      <w:cs w:val="0"/>
      <w:em w:val="none"/>
      <w:lang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Palatino" w:hAnsi="Palatino"/>
      <w:w w:val="100"/>
      <w:position w:val="-1"/>
      <w:effect w:val="none"/>
      <w:vertAlign w:val="baseline"/>
      <w:cs w:val="0"/>
      <w:em w:val="none"/>
      <w:lang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firstLineChars="-1"/>
      <w:contextualSpacing w:val="1"/>
      <w:textDirection w:val="btLr"/>
      <w:textAlignment w:val="baseline"/>
      <w:outlineLvl w:val="0"/>
    </w:pPr>
    <w:rPr>
      <w:rFonts w:ascii="Palatino" w:hAnsi="Palatino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Palatino" w:hAnsi="Palatino"/>
      <w:w w:val="100"/>
      <w:position w:val="-1"/>
      <w:effect w:val="none"/>
      <w:vertAlign w:val="baseline"/>
      <w:cs w:val="0"/>
      <w:em w:val="none"/>
      <w:lang w:val="en-GB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boto Mono" w:cs="Roboto Mono" w:eastAsia="Calibri" w:hAnsi="Roboto Mono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Palatino" w:hAnsi="Palatino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Palatino" w:hAnsi="Palatino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Palatino" w:hAnsi="Palatino"/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Palatino" w:hAnsi="Palatino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RXoK79f7JwzBfzfHLbs9eZ5XoA==">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2021-07-05T09:38:00Z</dcterms:created>
  <dc:creator>Sarah L Stones</dc:creator>
</cp:coreProperties>
</file>