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1" w:rsidRDefault="00B26B5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AF8DA0" wp14:editId="26911C58">
            <wp:simplePos x="0" y="0"/>
            <wp:positionH relativeFrom="column">
              <wp:posOffset>4396105</wp:posOffset>
            </wp:positionH>
            <wp:positionV relativeFrom="paragraph">
              <wp:posOffset>-1027754</wp:posOffset>
            </wp:positionV>
            <wp:extent cx="2264410" cy="1795145"/>
            <wp:effectExtent l="0" t="0" r="2540" b="0"/>
            <wp:wrapNone/>
            <wp:docPr id="1" name="Picture 1" descr="Description: C:\Users\nan.miller\AppData\Local\Microsoft\Windows\Temporary Internet Files\Content.Outlook\9C1IJP6Y\2_Ayrshire_Hospice_Strapline_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nan.miller\AppData\Local\Microsoft\Windows\Temporary Internet Files\Content.Outlook\9C1IJP6Y\2_Ayrshire_Hospice_Strapline_RG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6AD6B" wp14:editId="68DABE39">
                <wp:simplePos x="0" y="0"/>
                <wp:positionH relativeFrom="column">
                  <wp:posOffset>-471170</wp:posOffset>
                </wp:positionH>
                <wp:positionV relativeFrom="paragraph">
                  <wp:posOffset>-506730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C2" w:rsidRPr="00595CA0" w:rsidRDefault="00F637C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5C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Ayrshire Hospice Circular</w:t>
                            </w:r>
                          </w:p>
                          <w:p w:rsidR="00F637C2" w:rsidRPr="00595CA0" w:rsidRDefault="00F637C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5C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Terms and Conditions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D11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95C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  <w:r w:rsidR="00971D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16A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1pt;margin-top:-39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fPx/FuEAAAALAQAADwAAAAAAAAAAAAAAAAB9BAAAZHJzL2Rv&#10;d25yZXYueG1sUEsFBgAAAAAEAAQA8wAAAIsFAAAAAA==&#10;" stroked="f">
                <v:textbox style="mso-fit-shape-to-text:t">
                  <w:txbxContent>
                    <w:p w:rsidR="00F637C2" w:rsidRPr="00595CA0" w:rsidRDefault="00F637C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5C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Ayrshire Hospice Circular</w:t>
                      </w:r>
                    </w:p>
                    <w:p w:rsidR="00F637C2" w:rsidRPr="00595CA0" w:rsidRDefault="00F637C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5C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Terms and Conditions 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9D11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Pr="00595C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/0</w:t>
                      </w:r>
                      <w:r w:rsidR="00971D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05D91" w:rsidRDefault="00505D91"/>
    <w:p w:rsidR="005D2B0A" w:rsidRDefault="005D2B0A"/>
    <w:tbl>
      <w:tblPr>
        <w:tblStyle w:val="TableGrid"/>
        <w:tblW w:w="10490" w:type="dxa"/>
        <w:tblInd w:w="-567" w:type="dxa"/>
        <w:tblLook w:val="04A0" w:firstRow="1" w:lastRow="0" w:firstColumn="1" w:lastColumn="0" w:noHBand="0" w:noVBand="1"/>
      </w:tblPr>
      <w:tblGrid>
        <w:gridCol w:w="8505"/>
        <w:gridCol w:w="1985"/>
      </w:tblGrid>
      <w:tr w:rsidR="005D2B0A" w:rsidTr="00D17E9A">
        <w:trPr>
          <w:trHeight w:val="12216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B0A" w:rsidRDefault="005D2B0A" w:rsidP="005D2B0A">
            <w:pPr>
              <w:rPr>
                <w:rFonts w:ascii="Arial" w:hAnsi="Arial" w:cs="Arial"/>
                <w:sz w:val="24"/>
                <w:szCs w:val="24"/>
              </w:rPr>
            </w:pPr>
            <w:r w:rsidRPr="00A97865">
              <w:rPr>
                <w:rFonts w:ascii="Arial" w:hAnsi="Arial" w:cs="Arial"/>
                <w:sz w:val="24"/>
                <w:szCs w:val="24"/>
              </w:rPr>
              <w:t>Dear Colleague</w:t>
            </w:r>
          </w:p>
          <w:p w:rsidR="005D2B0A" w:rsidRPr="00D741CC" w:rsidRDefault="005D2B0A" w:rsidP="005D2B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2B0A" w:rsidRDefault="0082057E" w:rsidP="005D2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PAY AND CONDITIONS</w:t>
            </w:r>
            <w:r w:rsidR="005D2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3BDF">
              <w:rPr>
                <w:rFonts w:ascii="Arial" w:hAnsi="Arial" w:cs="Arial"/>
                <w:b/>
                <w:sz w:val="24"/>
                <w:szCs w:val="24"/>
              </w:rPr>
              <w:t xml:space="preserve">– PAY </w:t>
            </w:r>
            <w:r w:rsidR="002F09C0">
              <w:rPr>
                <w:rFonts w:ascii="Arial" w:hAnsi="Arial" w:cs="Arial"/>
                <w:b/>
                <w:sz w:val="24"/>
                <w:szCs w:val="24"/>
              </w:rPr>
              <w:t>INCREASE</w:t>
            </w:r>
            <w:r w:rsidR="00293BDF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917AD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D11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93BD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30129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D11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5D2B0A" w:rsidRDefault="005D2B0A" w:rsidP="005D2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EMPLOYEES (WITH THE EXCEPTION OF MEDICAL STAFF)</w:t>
            </w:r>
          </w:p>
          <w:p w:rsidR="005D2B0A" w:rsidRPr="00D741CC" w:rsidRDefault="005D2B0A" w:rsidP="005D2B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B0A" w:rsidRPr="00D741CC" w:rsidRDefault="005D2B0A" w:rsidP="005D2B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B0A" w:rsidRPr="006849D3" w:rsidRDefault="005D2B0A" w:rsidP="006849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849D3">
              <w:rPr>
                <w:rFonts w:ascii="Arial" w:hAnsi="Arial" w:cs="Arial"/>
                <w:b/>
                <w:sz w:val="24"/>
                <w:szCs w:val="24"/>
              </w:rPr>
              <w:t>Summary</w:t>
            </w:r>
          </w:p>
          <w:p w:rsidR="005D2B0A" w:rsidRPr="00B26B5B" w:rsidRDefault="005D2B0A" w:rsidP="00B26B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B0A" w:rsidRDefault="005D2B0A" w:rsidP="004D2A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E73">
              <w:rPr>
                <w:rFonts w:ascii="Arial" w:hAnsi="Arial" w:cs="Arial"/>
                <w:sz w:val="24"/>
                <w:szCs w:val="24"/>
              </w:rPr>
              <w:t xml:space="preserve">This circular informs </w:t>
            </w:r>
            <w:r w:rsidR="0082057E">
              <w:rPr>
                <w:rFonts w:ascii="Arial" w:hAnsi="Arial" w:cs="Arial"/>
                <w:sz w:val="24"/>
                <w:szCs w:val="24"/>
              </w:rPr>
              <w:t xml:space="preserve">changes in the pay for all </w:t>
            </w:r>
            <w:r w:rsidR="00301293">
              <w:rPr>
                <w:rFonts w:ascii="Arial" w:hAnsi="Arial" w:cs="Arial"/>
                <w:sz w:val="24"/>
                <w:szCs w:val="24"/>
              </w:rPr>
              <w:t xml:space="preserve">hospice </w:t>
            </w:r>
            <w:r w:rsidR="0082057E">
              <w:rPr>
                <w:rFonts w:ascii="Arial" w:hAnsi="Arial" w:cs="Arial"/>
                <w:sz w:val="24"/>
                <w:szCs w:val="24"/>
              </w:rPr>
              <w:t>employees (with the exception of medical staff).</w:t>
            </w:r>
            <w:r w:rsidR="007B6F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The pay award is to be included in </w:t>
            </w:r>
            <w:r w:rsidR="00971DD8">
              <w:rPr>
                <w:rFonts w:ascii="Arial" w:hAnsi="Arial" w:cs="Arial"/>
                <w:sz w:val="24"/>
                <w:szCs w:val="24"/>
              </w:rPr>
              <w:t>April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 salaries and </w:t>
            </w:r>
            <w:r w:rsidR="00971DD8">
              <w:rPr>
                <w:rFonts w:ascii="Arial" w:hAnsi="Arial" w:cs="Arial"/>
                <w:sz w:val="24"/>
                <w:szCs w:val="24"/>
              </w:rPr>
              <w:t>is effective from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 to 1</w:t>
            </w:r>
            <w:r w:rsidR="002F09C0" w:rsidRPr="002F09C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 w:rsidR="009D118D">
              <w:rPr>
                <w:rFonts w:ascii="Arial" w:hAnsi="Arial" w:cs="Arial"/>
                <w:sz w:val="24"/>
                <w:szCs w:val="24"/>
              </w:rPr>
              <w:t>3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D2B0A" w:rsidRDefault="005D2B0A" w:rsidP="005D2B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951" w:rsidRPr="00D741CC" w:rsidRDefault="009C6951" w:rsidP="005D2B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2B0A" w:rsidRPr="006849D3" w:rsidRDefault="00293BDF" w:rsidP="006849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849D3">
              <w:rPr>
                <w:rFonts w:ascii="Arial" w:hAnsi="Arial" w:cs="Arial"/>
                <w:b/>
                <w:sz w:val="24"/>
                <w:szCs w:val="24"/>
              </w:rPr>
              <w:t>Changes from 1</w:t>
            </w:r>
            <w:r w:rsidR="00301293" w:rsidRPr="006849D3">
              <w:rPr>
                <w:rFonts w:ascii="Arial" w:hAnsi="Arial" w:cs="Arial"/>
                <w:b/>
                <w:sz w:val="24"/>
                <w:szCs w:val="24"/>
              </w:rPr>
              <w:t>st</w:t>
            </w:r>
            <w:r w:rsidRPr="006849D3">
              <w:rPr>
                <w:rFonts w:ascii="Arial" w:hAnsi="Arial" w:cs="Arial"/>
                <w:b/>
                <w:sz w:val="24"/>
                <w:szCs w:val="24"/>
              </w:rPr>
              <w:t xml:space="preserve"> April 20</w:t>
            </w:r>
            <w:r w:rsidR="00917ADC" w:rsidRPr="006849D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D11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5D2B0A" w:rsidRPr="00D741CC" w:rsidRDefault="005D2B0A" w:rsidP="005D2B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2AE4" w:rsidRDefault="009D118D" w:rsidP="00207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 staff will receive a consolidated </w:t>
            </w:r>
            <w:r w:rsidR="00D71794">
              <w:rPr>
                <w:rFonts w:ascii="Arial" w:hAnsi="Arial" w:cs="Arial"/>
                <w:sz w:val="24"/>
                <w:szCs w:val="24"/>
              </w:rPr>
              <w:t xml:space="preserve">average </w:t>
            </w:r>
            <w:r>
              <w:rPr>
                <w:rFonts w:ascii="Arial" w:hAnsi="Arial" w:cs="Arial"/>
                <w:sz w:val="24"/>
                <w:szCs w:val="24"/>
              </w:rPr>
              <w:t xml:space="preserve">uplift </w:t>
            </w:r>
            <w:r w:rsidR="00DB2312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925E28" w:rsidRPr="00925E28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6.5</w:t>
            </w:r>
            <w:r w:rsidR="004729E0" w:rsidRP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%</w:t>
            </w:r>
            <w:r w:rsidR="004729E0" w:rsidRPr="009D118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637C2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a floor of </w:t>
            </w:r>
            <w:r w:rsidRP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£1,548</w:t>
            </w:r>
            <w:r w:rsidRPr="009D118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a cap of </w:t>
            </w:r>
            <w:r w:rsidRP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£3,755</w:t>
            </w:r>
            <w:r w:rsidRPr="009D118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with </w:t>
            </w:r>
            <w:r w:rsidR="00F637C2">
              <w:rPr>
                <w:rFonts w:ascii="Arial" w:hAnsi="Arial" w:cs="Arial"/>
                <w:sz w:val="24"/>
                <w:szCs w:val="24"/>
              </w:rPr>
              <w:t>an effective date of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2F09C0" w:rsidRPr="002F09C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F09C0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637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46D0C">
              <w:rPr>
                <w:rFonts w:ascii="Arial" w:hAnsi="Arial" w:cs="Arial"/>
                <w:sz w:val="24"/>
                <w:szCs w:val="24"/>
              </w:rPr>
              <w:t xml:space="preserve">A full list of the </w:t>
            </w:r>
            <w:r w:rsidR="00F637C2">
              <w:rPr>
                <w:rFonts w:ascii="Arial" w:hAnsi="Arial" w:cs="Arial"/>
                <w:sz w:val="24"/>
                <w:szCs w:val="24"/>
              </w:rPr>
              <w:t>scale</w:t>
            </w:r>
            <w:r w:rsidR="00C117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7C2">
              <w:rPr>
                <w:rFonts w:ascii="Arial" w:hAnsi="Arial" w:cs="Arial"/>
                <w:sz w:val="24"/>
                <w:szCs w:val="24"/>
              </w:rPr>
              <w:t xml:space="preserve">points </w:t>
            </w:r>
            <w:r w:rsidR="00346D0C">
              <w:rPr>
                <w:rFonts w:ascii="Arial" w:hAnsi="Arial" w:cs="Arial"/>
                <w:sz w:val="24"/>
                <w:szCs w:val="24"/>
              </w:rPr>
              <w:t>to be applied under the terms of th</w:t>
            </w:r>
            <w:r w:rsidR="00F637C2">
              <w:rPr>
                <w:rFonts w:ascii="Arial" w:hAnsi="Arial" w:cs="Arial"/>
                <w:sz w:val="24"/>
                <w:szCs w:val="24"/>
              </w:rPr>
              <w:t>is</w:t>
            </w:r>
            <w:r w:rsidR="00346D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7C2">
              <w:rPr>
                <w:rFonts w:ascii="Arial" w:hAnsi="Arial" w:cs="Arial"/>
                <w:sz w:val="24"/>
                <w:szCs w:val="24"/>
              </w:rPr>
              <w:t>pay increase</w:t>
            </w:r>
            <w:r w:rsidR="00346D0C">
              <w:rPr>
                <w:rFonts w:ascii="Arial" w:hAnsi="Arial" w:cs="Arial"/>
                <w:sz w:val="24"/>
                <w:szCs w:val="24"/>
              </w:rPr>
              <w:t xml:space="preserve"> from 1</w:t>
            </w:r>
            <w:r w:rsidR="00346D0C" w:rsidRPr="00346D0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346D0C">
              <w:rPr>
                <w:rFonts w:ascii="Arial" w:hAnsi="Arial" w:cs="Arial"/>
                <w:sz w:val="24"/>
                <w:szCs w:val="24"/>
              </w:rPr>
              <w:t xml:space="preserve"> April 20</w:t>
            </w:r>
            <w:r w:rsidR="00917AD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46D0C">
              <w:rPr>
                <w:rFonts w:ascii="Arial" w:hAnsi="Arial" w:cs="Arial"/>
                <w:sz w:val="24"/>
                <w:szCs w:val="24"/>
              </w:rPr>
              <w:t xml:space="preserve"> are set out in Appendix A</w:t>
            </w:r>
            <w:r w:rsidR="00207F0F">
              <w:rPr>
                <w:rFonts w:ascii="Arial" w:hAnsi="Arial" w:cs="Arial"/>
                <w:sz w:val="24"/>
                <w:szCs w:val="24"/>
              </w:rPr>
              <w:t xml:space="preserve"> and Appendix</w:t>
            </w:r>
            <w:r w:rsidR="00207F0F" w:rsidRPr="00207F0F">
              <w:rPr>
                <w:rFonts w:ascii="Arial" w:hAnsi="Arial" w:cs="Arial"/>
                <w:sz w:val="24"/>
                <w:szCs w:val="24"/>
              </w:rPr>
              <w:t xml:space="preserve"> B </w:t>
            </w:r>
            <w:r w:rsidR="005C05EC">
              <w:rPr>
                <w:rFonts w:ascii="Arial" w:hAnsi="Arial" w:cs="Arial"/>
                <w:sz w:val="24"/>
                <w:szCs w:val="24"/>
              </w:rPr>
              <w:t>(Retail 40 hour)</w:t>
            </w:r>
          </w:p>
          <w:p w:rsidR="009C6951" w:rsidRPr="00B26B5B" w:rsidRDefault="009C6951" w:rsidP="005D2B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B0C" w:rsidRPr="006849D3" w:rsidRDefault="00346D0C" w:rsidP="006849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849D3">
              <w:rPr>
                <w:rFonts w:ascii="Arial" w:hAnsi="Arial" w:cs="Arial"/>
                <w:b/>
                <w:sz w:val="24"/>
                <w:szCs w:val="24"/>
              </w:rPr>
              <w:t>Scottish Living Wage</w:t>
            </w:r>
          </w:p>
          <w:p w:rsidR="00346D0C" w:rsidRPr="00D741CC" w:rsidRDefault="00346D0C" w:rsidP="00346D0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D0C" w:rsidRPr="00346D0C" w:rsidRDefault="00346D0C" w:rsidP="004D2A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Ayrshire Hospice reflects the Scottish Living Wage rate and as such </w:t>
            </w:r>
            <w:r w:rsidR="00795D38">
              <w:rPr>
                <w:rFonts w:ascii="Arial" w:hAnsi="Arial" w:cs="Arial"/>
                <w:sz w:val="24"/>
                <w:szCs w:val="24"/>
              </w:rPr>
              <w:t>a minimum salary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023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23</w:t>
            </w:r>
            <w:r w:rsidR="00674076" w:rsidRPr="00DF023E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r w:rsid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240</w:t>
            </w:r>
            <w:r w:rsidRPr="00971DD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95D38">
              <w:rPr>
                <w:rFonts w:ascii="Arial" w:hAnsi="Arial" w:cs="Arial"/>
                <w:sz w:val="24"/>
                <w:szCs w:val="24"/>
              </w:rPr>
              <w:t>will be applied to the pay structure.  This reflects an hourly rate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023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9D118D">
              <w:rPr>
                <w:rFonts w:ascii="Arial" w:hAnsi="Arial" w:cs="Arial"/>
                <w:b/>
                <w:color w:val="FF0000"/>
                <w:sz w:val="24"/>
                <w:szCs w:val="24"/>
              </w:rPr>
              <w:t>11.</w:t>
            </w:r>
            <w:r w:rsidR="004B16BB">
              <w:rPr>
                <w:rFonts w:ascii="Arial" w:hAnsi="Arial" w:cs="Arial"/>
                <w:b/>
                <w:color w:val="FF0000"/>
                <w:sz w:val="24"/>
                <w:szCs w:val="24"/>
              </w:rPr>
              <w:t>92</w:t>
            </w:r>
            <w:r w:rsidRPr="00971DD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 hour.</w:t>
            </w:r>
          </w:p>
          <w:p w:rsidR="006849D3" w:rsidRDefault="006849D3" w:rsidP="00DB23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29B" w:rsidRDefault="00B2729B" w:rsidP="00DB23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29B" w:rsidRPr="006849D3" w:rsidRDefault="00B2729B" w:rsidP="006849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849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:rsidR="00B2729B" w:rsidRPr="00D17E9A" w:rsidRDefault="00B2729B" w:rsidP="00B2729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29B" w:rsidRDefault="00971DD8" w:rsidP="00B27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</w:t>
            </w:r>
            <w:r w:rsidR="00B2729B">
              <w:rPr>
                <w:rFonts w:ascii="Arial" w:hAnsi="Arial" w:cs="Arial"/>
                <w:sz w:val="24"/>
                <w:szCs w:val="24"/>
              </w:rPr>
              <w:t xml:space="preserve"> will ensure recruitment advertisements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="00B2729B">
              <w:rPr>
                <w:rFonts w:ascii="Arial" w:hAnsi="Arial" w:cs="Arial"/>
                <w:sz w:val="24"/>
                <w:szCs w:val="24"/>
              </w:rPr>
              <w:t>employment contracts</w:t>
            </w:r>
            <w:r>
              <w:rPr>
                <w:rFonts w:ascii="Arial" w:hAnsi="Arial" w:cs="Arial"/>
                <w:sz w:val="24"/>
                <w:szCs w:val="24"/>
              </w:rPr>
              <w:t xml:space="preserve"> or contract variations</w:t>
            </w:r>
            <w:r w:rsidR="00B2729B">
              <w:rPr>
                <w:rFonts w:ascii="Arial" w:hAnsi="Arial" w:cs="Arial"/>
                <w:sz w:val="24"/>
                <w:szCs w:val="24"/>
              </w:rPr>
              <w:t xml:space="preserve"> reflect the above detailed changes.  Finance will ensure payroll is processed reflecting the new pay scales.</w:t>
            </w:r>
          </w:p>
          <w:p w:rsidR="006849D3" w:rsidRPr="006849D3" w:rsidRDefault="006849D3" w:rsidP="006849D3">
            <w:pPr>
              <w:pStyle w:val="ListParagraph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29B" w:rsidRPr="00D17E9A" w:rsidRDefault="00B2729B" w:rsidP="00B27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29B" w:rsidRPr="00B45DAF" w:rsidRDefault="006849D3" w:rsidP="006849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45DAF">
              <w:rPr>
                <w:rFonts w:ascii="Arial" w:hAnsi="Arial" w:cs="Arial"/>
                <w:b/>
                <w:sz w:val="24"/>
                <w:szCs w:val="24"/>
              </w:rPr>
              <w:t>Terms and Conditions</w:t>
            </w:r>
          </w:p>
          <w:p w:rsidR="006849D3" w:rsidRPr="00B45DAF" w:rsidRDefault="006849D3" w:rsidP="006849D3">
            <w:pPr>
              <w:pStyle w:val="ListParagraph"/>
              <w:ind w:left="9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F23" w:rsidRDefault="004B6A7B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45DAF">
              <w:rPr>
                <w:rFonts w:ascii="Arial" w:hAnsi="Arial" w:cs="Arial"/>
                <w:sz w:val="24"/>
                <w:szCs w:val="24"/>
              </w:rPr>
              <w:t>For 2023 only, an additional holiday to be taken at any time during the year has been awarded to celebrate the Kings coronation.</w:t>
            </w:r>
            <w:r w:rsidR="00684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5DAF" w:rsidRDefault="00B45DAF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45DAF" w:rsidRDefault="00B45DAF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05EC">
              <w:rPr>
                <w:rFonts w:ascii="Arial" w:hAnsi="Arial" w:cs="Arial"/>
                <w:sz w:val="24"/>
                <w:szCs w:val="24"/>
              </w:rPr>
              <w:t xml:space="preserve">The temporary increase to mileage claims will revert back to </w:t>
            </w:r>
            <w:r w:rsidR="005C05EC" w:rsidRPr="005C05EC">
              <w:rPr>
                <w:rFonts w:ascii="Arial" w:hAnsi="Arial" w:cs="Arial"/>
                <w:sz w:val="24"/>
                <w:szCs w:val="24"/>
              </w:rPr>
              <w:t>45p</w:t>
            </w:r>
            <w:r w:rsidRPr="005C05EC">
              <w:rPr>
                <w:rFonts w:ascii="Arial" w:hAnsi="Arial" w:cs="Arial"/>
                <w:sz w:val="24"/>
                <w:szCs w:val="24"/>
              </w:rPr>
              <w:t xml:space="preserve"> per mile with effect from the 1</w:t>
            </w:r>
            <w:r w:rsidRPr="005C05E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5C05EC">
              <w:rPr>
                <w:rFonts w:ascii="Arial" w:hAnsi="Arial" w:cs="Arial"/>
                <w:sz w:val="24"/>
                <w:szCs w:val="24"/>
              </w:rPr>
              <w:t xml:space="preserve"> April.  Mileage incurred in march and claimed in April will be paid at the increased rates. All future mileage expenses will be paid at the original rate.</w:t>
            </w:r>
          </w:p>
          <w:p w:rsidR="00706F23" w:rsidRDefault="00706F23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66EA7" w:rsidRDefault="00C66EA7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849D3" w:rsidRDefault="006849D3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66EA7" w:rsidRPr="006849D3" w:rsidRDefault="00C66EA7" w:rsidP="006849D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07F0F" w:rsidRDefault="00207F0F" w:rsidP="00207F0F">
            <w:pPr>
              <w:pStyle w:val="ListParagraph"/>
              <w:ind w:left="9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F0F" w:rsidRDefault="00207F0F" w:rsidP="00207F0F">
            <w:pPr>
              <w:pStyle w:val="ListParagraph"/>
              <w:ind w:left="9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F0F" w:rsidRDefault="00207F0F" w:rsidP="00207F0F">
            <w:pPr>
              <w:pStyle w:val="ListParagraph"/>
              <w:ind w:left="9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9D3" w:rsidRDefault="00706F23" w:rsidP="006849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Queries</w:t>
            </w:r>
          </w:p>
          <w:p w:rsidR="00B2729B" w:rsidRDefault="00B2729B" w:rsidP="00B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29B" w:rsidRDefault="00B2729B" w:rsidP="00B27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Employees should direct </w:t>
            </w:r>
            <w:r w:rsidR="00706F23">
              <w:rPr>
                <w:rFonts w:ascii="Arial" w:hAnsi="Arial" w:cs="Arial"/>
                <w:sz w:val="24"/>
                <w:szCs w:val="24"/>
              </w:rPr>
              <w:t>any queries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their line manager in the first instance</w:t>
            </w:r>
            <w:r w:rsidR="00971DD8">
              <w:rPr>
                <w:rFonts w:ascii="Arial" w:hAnsi="Arial" w:cs="Arial"/>
                <w:sz w:val="24"/>
                <w:szCs w:val="24"/>
              </w:rPr>
              <w:t xml:space="preserve"> or to their HR Partner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729B" w:rsidRDefault="00B2729B" w:rsidP="00B2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29B" w:rsidRDefault="00B2729B" w:rsidP="00B27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Yours sincerely</w:t>
            </w:r>
          </w:p>
          <w:p w:rsidR="00B2729B" w:rsidRDefault="00B2729B" w:rsidP="00B2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29B" w:rsidRDefault="00B2729B" w:rsidP="00B2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EA7" w:rsidRPr="00416694" w:rsidRDefault="00416694" w:rsidP="00B2729B">
            <w:pPr>
              <w:rPr>
                <w:rFonts w:ascii="Bradley Hand ITC" w:hAnsi="Bradley Hand ITC" w:cs="Arial"/>
                <w:b/>
                <w:sz w:val="36"/>
                <w:szCs w:val="36"/>
              </w:rPr>
            </w:pPr>
            <w:r w:rsidRPr="00416694">
              <w:rPr>
                <w:rFonts w:ascii="Bradley Hand ITC" w:hAnsi="Bradley Hand ITC" w:cs="Arial"/>
                <w:b/>
                <w:sz w:val="36"/>
                <w:szCs w:val="36"/>
              </w:rPr>
              <w:t>Liz Denovan</w:t>
            </w:r>
          </w:p>
          <w:p w:rsidR="00B2729B" w:rsidRDefault="00B2729B" w:rsidP="00B2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A7B" w:rsidRDefault="004B6A7B" w:rsidP="00B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Liz Denovan</w:t>
            </w:r>
          </w:p>
          <w:p w:rsidR="00971DD8" w:rsidRDefault="004B6A7B" w:rsidP="00B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 of Operations</w:t>
            </w:r>
          </w:p>
          <w:p w:rsidR="00B2729B" w:rsidRDefault="00B2729B" w:rsidP="00B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29B" w:rsidRPr="00D17E9A" w:rsidRDefault="00B2729B" w:rsidP="00DB23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51B0C" w:rsidRPr="006E237F" w:rsidRDefault="00D756B7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756B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</w:t>
            </w:r>
            <w:r w:rsidR="00917ADC">
              <w:rPr>
                <w:rFonts w:ascii="Arial" w:hAnsi="Arial" w:cs="Arial"/>
                <w:sz w:val="20"/>
                <w:szCs w:val="20"/>
              </w:rPr>
              <w:t>202</w:t>
            </w:r>
            <w:r w:rsidR="002F09C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6E237F" w:rsidRPr="006E237F" w:rsidRDefault="006E237F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6E237F" w:rsidRPr="006E237F" w:rsidRDefault="006E237F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6E237F" w:rsidRPr="006E237F" w:rsidRDefault="006E237F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E237F">
              <w:rPr>
                <w:rFonts w:ascii="Arial" w:hAnsi="Arial" w:cs="Arial"/>
                <w:sz w:val="20"/>
                <w:szCs w:val="20"/>
                <w:u w:val="single"/>
              </w:rPr>
              <w:t>For action</w:t>
            </w:r>
          </w:p>
          <w:p w:rsidR="006E237F" w:rsidRPr="006E237F" w:rsidRDefault="006E237F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E237F" w:rsidRDefault="004B6A7B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HR</w:t>
            </w:r>
          </w:p>
          <w:p w:rsidR="00447B46" w:rsidRPr="006E237F" w:rsidRDefault="00447B46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 Team</w:t>
            </w:r>
          </w:p>
          <w:p w:rsidR="006E237F" w:rsidRDefault="004B6A7B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Finance</w:t>
            </w:r>
          </w:p>
          <w:p w:rsidR="004B6A7B" w:rsidRDefault="004B6A7B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</w:t>
            </w:r>
          </w:p>
          <w:p w:rsidR="002746C8" w:rsidRDefault="002746C8" w:rsidP="00A9483F">
            <w:pPr>
              <w:pBdr>
                <w:lef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2746C8" w:rsidRDefault="00A9483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483F">
              <w:rPr>
                <w:rFonts w:ascii="Arial" w:hAnsi="Arial" w:cs="Arial"/>
                <w:sz w:val="20"/>
                <w:szCs w:val="20"/>
                <w:u w:val="single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information</w:t>
            </w:r>
          </w:p>
          <w:p w:rsidR="00447B46" w:rsidRDefault="00447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483F" w:rsidRPr="00447B46" w:rsidRDefault="00447B46">
            <w:pPr>
              <w:rPr>
                <w:rFonts w:ascii="Arial" w:hAnsi="Arial" w:cs="Arial"/>
                <w:sz w:val="20"/>
                <w:szCs w:val="20"/>
              </w:rPr>
            </w:pPr>
            <w:r w:rsidRPr="00447B46">
              <w:rPr>
                <w:rFonts w:ascii="Arial" w:hAnsi="Arial" w:cs="Arial"/>
                <w:sz w:val="20"/>
                <w:szCs w:val="20"/>
              </w:rPr>
              <w:t>Executive Leadership Team</w:t>
            </w:r>
          </w:p>
          <w:p w:rsidR="00A9483F" w:rsidRPr="007F4E88" w:rsidRDefault="007F4E88">
            <w:pPr>
              <w:rPr>
                <w:rFonts w:ascii="Arial" w:hAnsi="Arial" w:cs="Arial"/>
                <w:sz w:val="20"/>
                <w:szCs w:val="20"/>
              </w:rPr>
            </w:pPr>
            <w:r w:rsidRPr="007F4E88">
              <w:rPr>
                <w:rFonts w:ascii="Arial" w:hAnsi="Arial" w:cs="Arial"/>
                <w:sz w:val="20"/>
                <w:szCs w:val="20"/>
              </w:rPr>
              <w:t>Operational Managers</w:t>
            </w:r>
          </w:p>
        </w:tc>
      </w:tr>
    </w:tbl>
    <w:p w:rsidR="00FF4625" w:rsidRDefault="00FF46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D3DA3" w:rsidRDefault="004E2D88" w:rsidP="00F25C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2D88"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DD9E84" wp14:editId="602A5A1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50290" cy="31623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C2" w:rsidRPr="004E2D88" w:rsidRDefault="00F637C2" w:rsidP="004E2D8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130912691"/>
                            <w:r w:rsidRPr="004E2D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Appendix A</w:t>
                            </w:r>
                          </w:p>
                          <w:bookmarkEnd w:id="1"/>
                          <w:p w:rsidR="00F637C2" w:rsidRDefault="00F63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9E84" id="_x0000_s1027" type="#_x0000_t202" style="position:absolute;margin-left:31.5pt;margin-top:0;width:82.7pt;height:24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" strokecolor="white [3212]">
                <v:textbox>
                  <w:txbxContent>
                    <w:p w:rsidR="00F637C2" w:rsidRPr="004E2D88" w:rsidRDefault="00F637C2" w:rsidP="004E2D8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2" w:name="_Hlk130912691"/>
                      <w:r w:rsidRPr="004E2D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Appendix A</w:t>
                      </w:r>
                    </w:p>
                    <w:bookmarkEnd w:id="2"/>
                    <w:p w:rsidR="00F637C2" w:rsidRDefault="00F637C2"/>
                  </w:txbxContent>
                </v:textbox>
                <w10:wrap type="square" anchorx="margin"/>
              </v:shape>
            </w:pict>
          </mc:Fallback>
        </mc:AlternateContent>
      </w:r>
      <w:r w:rsidR="00FF4625" w:rsidRPr="004E2D88">
        <w:rPr>
          <w:rFonts w:ascii="Arial" w:hAnsi="Arial" w:cs="Arial"/>
          <w:b/>
          <w:sz w:val="20"/>
          <w:szCs w:val="20"/>
        </w:rPr>
        <w:t xml:space="preserve">Pay Scales and Pay Points </w:t>
      </w:r>
      <w:r w:rsidR="00A43522" w:rsidRPr="004E2D88">
        <w:rPr>
          <w:rFonts w:ascii="Arial" w:hAnsi="Arial" w:cs="Arial"/>
          <w:b/>
          <w:sz w:val="20"/>
          <w:szCs w:val="20"/>
        </w:rPr>
        <w:t>from 1</w:t>
      </w:r>
      <w:r w:rsidR="00A43522" w:rsidRPr="004E2D88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A43522" w:rsidRPr="004E2D88">
        <w:rPr>
          <w:rFonts w:ascii="Arial" w:hAnsi="Arial" w:cs="Arial"/>
          <w:b/>
          <w:sz w:val="20"/>
          <w:szCs w:val="20"/>
        </w:rPr>
        <w:t xml:space="preserve"> April 20</w:t>
      </w:r>
      <w:r w:rsidR="003C18C1" w:rsidRPr="004E2D88">
        <w:rPr>
          <w:rFonts w:ascii="Arial" w:hAnsi="Arial" w:cs="Arial"/>
          <w:b/>
          <w:sz w:val="20"/>
          <w:szCs w:val="20"/>
        </w:rPr>
        <w:t>2</w:t>
      </w:r>
      <w:r w:rsidR="00207F0F">
        <w:rPr>
          <w:rFonts w:ascii="Arial" w:hAnsi="Arial" w:cs="Arial"/>
          <w:b/>
          <w:sz w:val="20"/>
          <w:szCs w:val="20"/>
        </w:rPr>
        <w:t>3</w:t>
      </w:r>
    </w:p>
    <w:p w:rsidR="00207F0F" w:rsidRDefault="00207F0F" w:rsidP="00F25C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7F0F" w:rsidRDefault="00207F0F" w:rsidP="00F25C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6694" w:rsidRDefault="00416694" w:rsidP="00F25C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7F0F" w:rsidRPr="004E2D88" w:rsidRDefault="00207F0F" w:rsidP="00F25C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Ayrshire Hospice Payrates at 1</w:t>
      </w:r>
      <w:r w:rsidRPr="00207F0F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April 2023</w:t>
      </w:r>
    </w:p>
    <w:p w:rsidR="00A43522" w:rsidRPr="004E2D88" w:rsidRDefault="00A43522" w:rsidP="00F25C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7D13" w:rsidRDefault="0079799B" w:rsidP="00DD42F1">
      <w:r w:rsidRPr="005E7821">
        <w:rPr>
          <w:noProof/>
        </w:rPr>
        <w:drawing>
          <wp:inline distT="0" distB="0" distL="0" distR="0" wp14:anchorId="7B3C0A64" wp14:editId="496795B0">
            <wp:extent cx="5429250" cy="668215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067" cy="668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5FB">
        <w:br w:type="page"/>
      </w:r>
    </w:p>
    <w:p w:rsidR="002C7D13" w:rsidRPr="002C7D13" w:rsidRDefault="002C7D13" w:rsidP="00DD42F1">
      <w:r w:rsidRPr="004E2D88"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A0A697" wp14:editId="2323EE50">
                <wp:simplePos x="0" y="0"/>
                <wp:positionH relativeFrom="margin">
                  <wp:posOffset>95250</wp:posOffset>
                </wp:positionH>
                <wp:positionV relativeFrom="paragraph">
                  <wp:posOffset>0</wp:posOffset>
                </wp:positionV>
                <wp:extent cx="5619750" cy="725805"/>
                <wp:effectExtent l="0" t="0" r="1905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13" w:rsidRPr="004E2D88" w:rsidRDefault="002C7D13" w:rsidP="002C7D13">
                            <w:pPr>
                              <w:spacing w:after="0" w:line="240" w:lineRule="auto"/>
                              <w:ind w:left="720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2D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Appendix A</w:t>
                            </w:r>
                          </w:p>
                          <w:p w:rsidR="002C7D13" w:rsidRDefault="002C7D13" w:rsidP="002C7D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A697" id="_x0000_s1028" type="#_x0000_t202" style="position:absolute;margin-left:7.5pt;margin-top:0;width:442.5pt;height:57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" strokecolor="window">
                <v:textbox>
                  <w:txbxContent>
                    <w:p w:rsidR="002C7D13" w:rsidRPr="004E2D88" w:rsidRDefault="002C7D13" w:rsidP="002C7D13">
                      <w:pPr>
                        <w:spacing w:after="0" w:line="240" w:lineRule="auto"/>
                        <w:ind w:left="720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E2D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Appendix A</w:t>
                      </w:r>
                    </w:p>
                    <w:p w:rsidR="002C7D13" w:rsidRDefault="002C7D13" w:rsidP="002C7D13"/>
                  </w:txbxContent>
                </v:textbox>
                <w10:wrap type="square" anchorx="margin"/>
              </v:shape>
            </w:pict>
          </mc:Fallback>
        </mc:AlternateContent>
      </w:r>
    </w:p>
    <w:p w:rsidR="006E0C4B" w:rsidRDefault="0079799B" w:rsidP="00DD4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F171394">
            <wp:extent cx="5414010" cy="59747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597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99B" w:rsidRDefault="0079799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5C05EC" w:rsidRDefault="005C05EC" w:rsidP="00E35E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2D8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339E6C" wp14:editId="5F516FBF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476875" cy="31623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EC" w:rsidRPr="004E2D88" w:rsidRDefault="005C05EC" w:rsidP="005C05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2D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5C05EC" w:rsidRDefault="005C05EC" w:rsidP="005C0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9E6C" id="_x0000_s1029" type="#_x0000_t202" style="position:absolute;margin-left:380.05pt;margin-top:14.55pt;width:431.25pt;height:24.9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" strokecolor="window">
                <v:textbox>
                  <w:txbxContent>
                    <w:p w:rsidR="005C05EC" w:rsidRPr="004E2D88" w:rsidRDefault="005C05EC" w:rsidP="005C05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E2D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</w:p>
                    <w:p w:rsidR="005C05EC" w:rsidRDefault="005C05EC" w:rsidP="005C05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E35E8B" w:rsidRDefault="00E35E8B" w:rsidP="00E35E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2D8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1C8F81" wp14:editId="079A921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50290" cy="316230"/>
                <wp:effectExtent l="0" t="0" r="1651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E8B" w:rsidRDefault="00E35E8B" w:rsidP="00E35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8F81" id="_x0000_s1030" type="#_x0000_t202" style="position:absolute;margin-left:31.5pt;margin-top:0;width:82.7pt;height:24.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" strokecolor="white [3212]">
                <v:textbox>
                  <w:txbxContent>
                    <w:p w:rsidR="00E35E8B" w:rsidRDefault="00E35E8B" w:rsidP="00E35E8B"/>
                  </w:txbxContent>
                </v:textbox>
                <w10:wrap type="square" anchorx="margin"/>
              </v:shape>
            </w:pict>
          </mc:Fallback>
        </mc:AlternateContent>
      </w:r>
      <w:r w:rsidRPr="004E2D88">
        <w:rPr>
          <w:rFonts w:ascii="Arial" w:hAnsi="Arial" w:cs="Arial"/>
          <w:b/>
          <w:sz w:val="20"/>
          <w:szCs w:val="20"/>
        </w:rPr>
        <w:t>Pay Scales and Pay Points from 1</w:t>
      </w:r>
      <w:r w:rsidRPr="004E2D88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4E2D88">
        <w:rPr>
          <w:rFonts w:ascii="Arial" w:hAnsi="Arial" w:cs="Arial"/>
          <w:b/>
          <w:sz w:val="20"/>
          <w:szCs w:val="20"/>
        </w:rPr>
        <w:t xml:space="preserve"> April 202</w:t>
      </w:r>
      <w:r w:rsidR="005C05E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40 Hour Contracts</w:t>
      </w:r>
      <w:r w:rsidR="00BC5A1E">
        <w:rPr>
          <w:rFonts w:ascii="Arial" w:hAnsi="Arial" w:cs="Arial"/>
          <w:b/>
          <w:sz w:val="20"/>
          <w:szCs w:val="20"/>
        </w:rPr>
        <w:t xml:space="preserve"> (Retail)</w:t>
      </w:r>
    </w:p>
    <w:p w:rsidR="005C05EC" w:rsidRDefault="005C05EC" w:rsidP="00E35E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05EC" w:rsidRPr="004E2D88" w:rsidRDefault="005C05EC" w:rsidP="00E35E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5E8B" w:rsidRDefault="00E35E8B" w:rsidP="00DD42F1">
      <w:pPr>
        <w:rPr>
          <w:rFonts w:ascii="Arial" w:hAnsi="Arial" w:cs="Arial"/>
          <w:b/>
          <w:sz w:val="24"/>
          <w:szCs w:val="24"/>
        </w:rPr>
      </w:pPr>
    </w:p>
    <w:p w:rsidR="00E35E8B" w:rsidRDefault="0079799B" w:rsidP="00DD4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CCD45E">
            <wp:extent cx="5431790" cy="6651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5E8B" w:rsidSect="00D17E9A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0F" w:rsidRDefault="00207F0F" w:rsidP="00207F0F">
      <w:pPr>
        <w:spacing w:after="0" w:line="240" w:lineRule="auto"/>
      </w:pPr>
      <w:r>
        <w:separator/>
      </w:r>
    </w:p>
  </w:endnote>
  <w:endnote w:type="continuationSeparator" w:id="0">
    <w:p w:rsidR="00207F0F" w:rsidRDefault="00207F0F" w:rsidP="0020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0F" w:rsidRDefault="00207F0F" w:rsidP="00207F0F">
      <w:pPr>
        <w:spacing w:after="0" w:line="240" w:lineRule="auto"/>
      </w:pPr>
      <w:r>
        <w:separator/>
      </w:r>
    </w:p>
  </w:footnote>
  <w:footnote w:type="continuationSeparator" w:id="0">
    <w:p w:rsidR="00207F0F" w:rsidRDefault="00207F0F" w:rsidP="0020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3E2"/>
    <w:multiLevelType w:val="hybridMultilevel"/>
    <w:tmpl w:val="C70CCE5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15F"/>
    <w:multiLevelType w:val="hybridMultilevel"/>
    <w:tmpl w:val="6F3CC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11E"/>
    <w:multiLevelType w:val="hybridMultilevel"/>
    <w:tmpl w:val="C70CCE5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0BA1"/>
    <w:multiLevelType w:val="hybridMultilevel"/>
    <w:tmpl w:val="62AA738C"/>
    <w:lvl w:ilvl="0" w:tplc="567A2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5206"/>
    <w:multiLevelType w:val="hybridMultilevel"/>
    <w:tmpl w:val="C70CC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6332A"/>
    <w:multiLevelType w:val="hybridMultilevel"/>
    <w:tmpl w:val="1408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36174"/>
    <w:multiLevelType w:val="hybridMultilevel"/>
    <w:tmpl w:val="C70CC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33A3D"/>
    <w:multiLevelType w:val="hybridMultilevel"/>
    <w:tmpl w:val="EBE419EC"/>
    <w:lvl w:ilvl="0" w:tplc="E26A7BAE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44BEF"/>
    <w:multiLevelType w:val="hybridMultilevel"/>
    <w:tmpl w:val="C70CCE5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C14F6"/>
    <w:multiLevelType w:val="hybridMultilevel"/>
    <w:tmpl w:val="AF62C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D3881"/>
    <w:multiLevelType w:val="hybridMultilevel"/>
    <w:tmpl w:val="BE50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91"/>
    <w:rsid w:val="000047B8"/>
    <w:rsid w:val="00033F8A"/>
    <w:rsid w:val="00046675"/>
    <w:rsid w:val="00092BA7"/>
    <w:rsid w:val="000B1F0D"/>
    <w:rsid w:val="000B2995"/>
    <w:rsid w:val="000C318B"/>
    <w:rsid w:val="000C3BAF"/>
    <w:rsid w:val="000D0CFB"/>
    <w:rsid w:val="000E0464"/>
    <w:rsid w:val="0010207B"/>
    <w:rsid w:val="00132E32"/>
    <w:rsid w:val="00142346"/>
    <w:rsid w:val="001427A0"/>
    <w:rsid w:val="00150F9C"/>
    <w:rsid w:val="00176CE3"/>
    <w:rsid w:val="001A3F84"/>
    <w:rsid w:val="001B47DE"/>
    <w:rsid w:val="001C0DB4"/>
    <w:rsid w:val="001E3DAD"/>
    <w:rsid w:val="001E602E"/>
    <w:rsid w:val="00206BEC"/>
    <w:rsid w:val="00207F0F"/>
    <w:rsid w:val="002558FC"/>
    <w:rsid w:val="00267A78"/>
    <w:rsid w:val="00271E73"/>
    <w:rsid w:val="002746C8"/>
    <w:rsid w:val="00293BDF"/>
    <w:rsid w:val="002C7D13"/>
    <w:rsid w:val="002F09C0"/>
    <w:rsid w:val="002F77EA"/>
    <w:rsid w:val="00301293"/>
    <w:rsid w:val="00301F9B"/>
    <w:rsid w:val="00306145"/>
    <w:rsid w:val="00346D0C"/>
    <w:rsid w:val="00367D6E"/>
    <w:rsid w:val="00376AE0"/>
    <w:rsid w:val="00384E3D"/>
    <w:rsid w:val="003A48F7"/>
    <w:rsid w:val="003B128C"/>
    <w:rsid w:val="003C18C1"/>
    <w:rsid w:val="003C3434"/>
    <w:rsid w:val="004028C1"/>
    <w:rsid w:val="00416694"/>
    <w:rsid w:val="00420784"/>
    <w:rsid w:val="00430621"/>
    <w:rsid w:val="00430C5D"/>
    <w:rsid w:val="00447B46"/>
    <w:rsid w:val="004729E0"/>
    <w:rsid w:val="00491AD3"/>
    <w:rsid w:val="004A1006"/>
    <w:rsid w:val="004B16BB"/>
    <w:rsid w:val="004B3045"/>
    <w:rsid w:val="004B65B2"/>
    <w:rsid w:val="004B6A7B"/>
    <w:rsid w:val="004C2056"/>
    <w:rsid w:val="004D2AC5"/>
    <w:rsid w:val="004D4474"/>
    <w:rsid w:val="004D61B1"/>
    <w:rsid w:val="004D7A22"/>
    <w:rsid w:val="004E166F"/>
    <w:rsid w:val="004E2D88"/>
    <w:rsid w:val="004F4009"/>
    <w:rsid w:val="00505D91"/>
    <w:rsid w:val="00551B0C"/>
    <w:rsid w:val="00562FBC"/>
    <w:rsid w:val="005657C2"/>
    <w:rsid w:val="005828C6"/>
    <w:rsid w:val="00591277"/>
    <w:rsid w:val="00595CA0"/>
    <w:rsid w:val="005B1E99"/>
    <w:rsid w:val="005C05EC"/>
    <w:rsid w:val="005D2B0A"/>
    <w:rsid w:val="005D2F4B"/>
    <w:rsid w:val="005D5296"/>
    <w:rsid w:val="005D6CEC"/>
    <w:rsid w:val="005F3FDD"/>
    <w:rsid w:val="00610000"/>
    <w:rsid w:val="00612806"/>
    <w:rsid w:val="00622F12"/>
    <w:rsid w:val="0063145A"/>
    <w:rsid w:val="006378D3"/>
    <w:rsid w:val="00652950"/>
    <w:rsid w:val="00674076"/>
    <w:rsid w:val="006832B6"/>
    <w:rsid w:val="006849D3"/>
    <w:rsid w:val="00685F86"/>
    <w:rsid w:val="00691E29"/>
    <w:rsid w:val="006C1BF7"/>
    <w:rsid w:val="006C595B"/>
    <w:rsid w:val="006E0C4B"/>
    <w:rsid w:val="006E237F"/>
    <w:rsid w:val="006F75FB"/>
    <w:rsid w:val="00706F23"/>
    <w:rsid w:val="00714FF3"/>
    <w:rsid w:val="00716CD0"/>
    <w:rsid w:val="00756260"/>
    <w:rsid w:val="00763E53"/>
    <w:rsid w:val="00766818"/>
    <w:rsid w:val="0078189D"/>
    <w:rsid w:val="00795D38"/>
    <w:rsid w:val="0079799B"/>
    <w:rsid w:val="007B0683"/>
    <w:rsid w:val="007B61E5"/>
    <w:rsid w:val="007B6FA3"/>
    <w:rsid w:val="007C44C6"/>
    <w:rsid w:val="007E058E"/>
    <w:rsid w:val="007F2AFF"/>
    <w:rsid w:val="007F4E88"/>
    <w:rsid w:val="00804E3F"/>
    <w:rsid w:val="0082057E"/>
    <w:rsid w:val="0083346B"/>
    <w:rsid w:val="0087752A"/>
    <w:rsid w:val="0088462E"/>
    <w:rsid w:val="00895E0A"/>
    <w:rsid w:val="008D2EC0"/>
    <w:rsid w:val="008D3DA3"/>
    <w:rsid w:val="008E35D6"/>
    <w:rsid w:val="00903E66"/>
    <w:rsid w:val="00910A0A"/>
    <w:rsid w:val="00917ADC"/>
    <w:rsid w:val="00925E28"/>
    <w:rsid w:val="009301F5"/>
    <w:rsid w:val="009515A9"/>
    <w:rsid w:val="00971DD8"/>
    <w:rsid w:val="009734BF"/>
    <w:rsid w:val="0099186B"/>
    <w:rsid w:val="00991BE1"/>
    <w:rsid w:val="009A627E"/>
    <w:rsid w:val="009B30CC"/>
    <w:rsid w:val="009C6951"/>
    <w:rsid w:val="009D07BB"/>
    <w:rsid w:val="009D118D"/>
    <w:rsid w:val="009D3669"/>
    <w:rsid w:val="009F2AE4"/>
    <w:rsid w:val="00A02881"/>
    <w:rsid w:val="00A313B5"/>
    <w:rsid w:val="00A43522"/>
    <w:rsid w:val="00A53524"/>
    <w:rsid w:val="00A763D8"/>
    <w:rsid w:val="00A775A3"/>
    <w:rsid w:val="00A81535"/>
    <w:rsid w:val="00A829F7"/>
    <w:rsid w:val="00A9483F"/>
    <w:rsid w:val="00A96D64"/>
    <w:rsid w:val="00A97865"/>
    <w:rsid w:val="00AA050D"/>
    <w:rsid w:val="00AB17BA"/>
    <w:rsid w:val="00AC34B6"/>
    <w:rsid w:val="00AC4F07"/>
    <w:rsid w:val="00AD1F36"/>
    <w:rsid w:val="00B24A31"/>
    <w:rsid w:val="00B26B5B"/>
    <w:rsid w:val="00B2729B"/>
    <w:rsid w:val="00B349F7"/>
    <w:rsid w:val="00B45DAF"/>
    <w:rsid w:val="00B5347B"/>
    <w:rsid w:val="00B72DA9"/>
    <w:rsid w:val="00B84093"/>
    <w:rsid w:val="00B84AF3"/>
    <w:rsid w:val="00B96671"/>
    <w:rsid w:val="00BB2D3B"/>
    <w:rsid w:val="00BC19E3"/>
    <w:rsid w:val="00BC5A1E"/>
    <w:rsid w:val="00BE5CB9"/>
    <w:rsid w:val="00C07F98"/>
    <w:rsid w:val="00C10D06"/>
    <w:rsid w:val="00C117B2"/>
    <w:rsid w:val="00C2015D"/>
    <w:rsid w:val="00C32B87"/>
    <w:rsid w:val="00C4338E"/>
    <w:rsid w:val="00C5375B"/>
    <w:rsid w:val="00C66EA7"/>
    <w:rsid w:val="00C708C4"/>
    <w:rsid w:val="00C802D3"/>
    <w:rsid w:val="00CA3762"/>
    <w:rsid w:val="00CC5CF1"/>
    <w:rsid w:val="00D17E9A"/>
    <w:rsid w:val="00D35137"/>
    <w:rsid w:val="00D52DBC"/>
    <w:rsid w:val="00D57D80"/>
    <w:rsid w:val="00D64913"/>
    <w:rsid w:val="00D667D9"/>
    <w:rsid w:val="00D71520"/>
    <w:rsid w:val="00D71794"/>
    <w:rsid w:val="00D741CC"/>
    <w:rsid w:val="00D756B7"/>
    <w:rsid w:val="00D959FE"/>
    <w:rsid w:val="00DA3654"/>
    <w:rsid w:val="00DB2312"/>
    <w:rsid w:val="00DC152D"/>
    <w:rsid w:val="00DD42F1"/>
    <w:rsid w:val="00DE2A6C"/>
    <w:rsid w:val="00DF023E"/>
    <w:rsid w:val="00DF0369"/>
    <w:rsid w:val="00E257E4"/>
    <w:rsid w:val="00E34C5A"/>
    <w:rsid w:val="00E35E8B"/>
    <w:rsid w:val="00E43379"/>
    <w:rsid w:val="00E5101A"/>
    <w:rsid w:val="00E65AA3"/>
    <w:rsid w:val="00EC5821"/>
    <w:rsid w:val="00ED3B5A"/>
    <w:rsid w:val="00EE523E"/>
    <w:rsid w:val="00EF26E7"/>
    <w:rsid w:val="00F1293B"/>
    <w:rsid w:val="00F25C54"/>
    <w:rsid w:val="00F3119D"/>
    <w:rsid w:val="00F637C2"/>
    <w:rsid w:val="00F70417"/>
    <w:rsid w:val="00F72DD1"/>
    <w:rsid w:val="00F844EA"/>
    <w:rsid w:val="00F95268"/>
    <w:rsid w:val="00F97F43"/>
    <w:rsid w:val="00FD003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B38F120-105C-45FC-A259-14229C5F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01A"/>
    <w:pPr>
      <w:ind w:left="720"/>
      <w:contextualSpacing/>
    </w:pPr>
  </w:style>
  <w:style w:type="table" w:styleId="TableGrid">
    <w:name w:val="Table Grid"/>
    <w:basedOn w:val="TableNormal"/>
    <w:uiPriority w:val="59"/>
    <w:rsid w:val="00E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515A9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515A9"/>
    <w:rPr>
      <w:rFonts w:ascii="Arial" w:eastAsia="Times New Roman" w:hAnsi="Arial" w:cs="Times New Roman"/>
      <w:b/>
      <w:sz w:val="4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0F"/>
  </w:style>
  <w:style w:type="paragraph" w:styleId="Footer">
    <w:name w:val="footer"/>
    <w:basedOn w:val="Normal"/>
    <w:link w:val="FooterChar"/>
    <w:uiPriority w:val="99"/>
    <w:unhideWhenUsed/>
    <w:rsid w:val="0020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ADA3-AD21-4510-8A85-FD0117A2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Richmond</dc:creator>
  <cp:lastModifiedBy>Heather Boyd</cp:lastModifiedBy>
  <cp:revision>2</cp:revision>
  <cp:lastPrinted>2021-04-09T16:32:00Z</cp:lastPrinted>
  <dcterms:created xsi:type="dcterms:W3CDTF">2023-04-19T15:34:00Z</dcterms:created>
  <dcterms:modified xsi:type="dcterms:W3CDTF">2023-04-19T15:34:00Z</dcterms:modified>
</cp:coreProperties>
</file>