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3EF3" w14:textId="6627E0F9" w:rsidR="0066173A" w:rsidRDefault="0066173A" w:rsidP="0066173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</w:pPr>
      <w:r w:rsidRPr="0066173A">
        <w:rPr>
          <w:rFonts w:asciiTheme="majorHAnsi" w:hAnsiTheme="majorHAnsi" w:cstheme="majorHAnsi"/>
          <w:b/>
          <w:bCs/>
          <w:color w:val="242424"/>
          <w:spacing w:val="20"/>
          <w:bdr w:val="none" w:sz="0" w:space="0" w:color="auto" w:frame="1"/>
        </w:rPr>
        <w:t>Summary of Role</w:t>
      </w:r>
      <w:r w:rsidRPr="0066173A">
        <w:rPr>
          <w:rFonts w:asciiTheme="majorHAnsi" w:hAnsiTheme="majorHAnsi" w:cstheme="majorHAnsi"/>
          <w:b/>
          <w:bCs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The Chair ensure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the Board understand and are accountable for the Charity's mission and vision. They ensure trustees fulfil their duties to ensure the effective governance of the organisation. They provide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leadership to the Board and ensure it works as a unit 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to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support the employees and volunteers.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The Board Chair also act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as an ambassador and public face of the charity assisted as appropriate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by other trustees and employees.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b/>
          <w:bCs/>
          <w:color w:val="242424"/>
          <w:spacing w:val="20"/>
          <w:bdr w:val="none" w:sz="0" w:space="0" w:color="auto" w:frame="1"/>
        </w:rPr>
        <w:t>Main Responsibilities</w:t>
      </w:r>
      <w:r w:rsidRPr="0066173A">
        <w:rPr>
          <w:rFonts w:asciiTheme="majorHAnsi" w:hAnsiTheme="majorHAnsi" w:cstheme="majorHAnsi"/>
          <w:b/>
          <w:bCs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1. The Chair convene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and chair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meetings of trustees regularly (currently five times a year). They also Chair the Charity's Annual General Meeting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2. The Chair meet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regularly with staff and provide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appropriate support for them.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3. Along with the Practice Manager, the Chair will participate in the interviewing of new volunteers for the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charity.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4. In keeping with their ambassadorial role, the Chair will represent the charity (assisted by other trustees)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in meetings with supporters e.g. local churches and schools.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5. Ensure appropriate governance arrangements are in place and are working effectively for the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organisation (this is shared with other trustees, but the Chair has overall responsibility)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6. Ensuring compliance with OSCR requirements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7. Ensure stewardship of charity’s financial position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8. Be responsible for the implementation of GDPR within the organisation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9. Ensure the trustees' knowledge base of issues relevant to the charity is kept up to date.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10. Ensure the Board is regularly refreshed by encouraging the regular recruitment of new members.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11. Work within the agreed policies and standards of the charity.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12. Act as spokesperson for the charity when appropriate.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13. Address any conflicts which may arise within the charity in a fair and timeous manner.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b/>
          <w:bCs/>
          <w:color w:val="242424"/>
          <w:spacing w:val="20"/>
          <w:bdr w:val="none" w:sz="0" w:space="0" w:color="auto" w:frame="1"/>
        </w:rPr>
        <w:t>Person Specification</w:t>
      </w:r>
      <w:r w:rsidRPr="0066173A">
        <w:rPr>
          <w:rFonts w:asciiTheme="majorHAnsi" w:hAnsiTheme="majorHAnsi" w:cstheme="majorHAnsi"/>
          <w:b/>
          <w:bCs/>
          <w:color w:val="242424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1. Quiet Waters is a Christian organisation, and the Chair must be supportive of and comfortable with our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Statement of Faith.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2. The Chair should demonstrate a strong commitment to the main aims and purposes of the charity.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3. The Chair should have good interpersonal skills and relationship and team building abilities.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4. The Chair should be comfortable with the ambassadorial aspect of the role.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5. Experience in the healthcare, social care or the counselling sector is helpful but is not necessary for the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person taking on this role.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6. Previous experience of charity governance would be an advantage but is not an essential requirement</w:t>
      </w:r>
      <w:r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 xml:space="preserve"> 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t>for the post.</w:t>
      </w:r>
      <w:r w:rsidRPr="0066173A">
        <w:rPr>
          <w:rFonts w:asciiTheme="majorHAnsi" w:hAnsiTheme="majorHAnsi" w:cstheme="majorHAnsi"/>
          <w:color w:val="242424"/>
          <w:spacing w:val="20"/>
          <w:bdr w:val="none" w:sz="0" w:space="0" w:color="auto" w:frame="1"/>
        </w:rPr>
        <w:br/>
        <w:t>7. Experience of chairing meetings and delivering presentations are desirable.</w:t>
      </w:r>
    </w:p>
    <w:p w14:paraId="7B1C44E1" w14:textId="3DA9FA8A" w:rsidR="0066173A" w:rsidRPr="0066173A" w:rsidRDefault="0066173A" w:rsidP="0066173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pacing w:val="20"/>
          <w:sz w:val="22"/>
          <w:szCs w:val="22"/>
        </w:rPr>
      </w:pPr>
    </w:p>
    <w:p w14:paraId="35D6AC30" w14:textId="497756F2" w:rsidR="00960CAD" w:rsidRPr="0066173A" w:rsidRDefault="0066173A" w:rsidP="0066173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pacing w:val="20"/>
        </w:rPr>
      </w:pPr>
      <w:r w:rsidRPr="0066173A">
        <w:rPr>
          <w:rFonts w:asciiTheme="majorHAnsi" w:hAnsiTheme="majorHAnsi" w:cstheme="majorHAnsi"/>
          <w:b/>
          <w:bCs/>
          <w:color w:val="181818"/>
          <w:spacing w:val="20"/>
          <w:bdr w:val="none" w:sz="0" w:space="0" w:color="auto" w:frame="1"/>
          <w:shd w:val="clear" w:color="auto" w:fill="FFFFFF"/>
        </w:rPr>
        <w:t>Time commitment and terms</w:t>
      </w:r>
      <w:r w:rsidRPr="0066173A">
        <w:rPr>
          <w:rFonts w:asciiTheme="majorHAnsi" w:hAnsiTheme="majorHAnsi" w:cstheme="majorHAnsi"/>
          <w:b/>
          <w:bCs/>
          <w:color w:val="181818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181818"/>
          <w:spacing w:val="20"/>
          <w:bdr w:val="none" w:sz="0" w:space="0" w:color="auto" w:frame="1"/>
          <w:shd w:val="clear" w:color="auto" w:fill="FFFFFF"/>
        </w:rPr>
        <w:t>1. The Chair will on average have to be prepared to give 3-4 hours per week to the post, plus Board</w:t>
      </w:r>
      <w:r>
        <w:rPr>
          <w:rFonts w:asciiTheme="majorHAnsi" w:hAnsiTheme="majorHAnsi" w:cstheme="majorHAnsi"/>
          <w:color w:val="181818"/>
          <w:spacing w:val="20"/>
          <w:bdr w:val="none" w:sz="0" w:space="0" w:color="auto" w:frame="1"/>
          <w:shd w:val="clear" w:color="auto" w:fill="FFFFFF"/>
        </w:rPr>
        <w:t xml:space="preserve"> </w:t>
      </w:r>
      <w:r w:rsidRPr="0066173A">
        <w:rPr>
          <w:rFonts w:asciiTheme="majorHAnsi" w:hAnsiTheme="majorHAnsi" w:cstheme="majorHAnsi"/>
          <w:color w:val="181818"/>
          <w:spacing w:val="20"/>
          <w:bdr w:val="none" w:sz="0" w:space="0" w:color="auto" w:frame="1"/>
          <w:shd w:val="clear" w:color="auto" w:fill="FFFFFF"/>
        </w:rPr>
        <w:t>meetings and ambassadorial commitments.</w:t>
      </w:r>
      <w:r w:rsidRPr="0066173A">
        <w:rPr>
          <w:rFonts w:asciiTheme="majorHAnsi" w:hAnsiTheme="majorHAnsi" w:cstheme="majorHAnsi"/>
          <w:color w:val="181818"/>
          <w:spacing w:val="20"/>
          <w:bdr w:val="none" w:sz="0" w:space="0" w:color="auto" w:frame="1"/>
        </w:rPr>
        <w:br/>
      </w:r>
      <w:r w:rsidRPr="0066173A">
        <w:rPr>
          <w:rFonts w:asciiTheme="majorHAnsi" w:hAnsiTheme="majorHAnsi" w:cstheme="majorHAnsi"/>
          <w:color w:val="181818"/>
          <w:spacing w:val="20"/>
          <w:bdr w:val="none" w:sz="0" w:space="0" w:color="auto" w:frame="1"/>
          <w:shd w:val="clear" w:color="auto" w:fill="FFFFFF"/>
        </w:rPr>
        <w:t>2. The Chair is appointed for a period of three years, extendable for a further three years with board</w:t>
      </w:r>
      <w:r>
        <w:rPr>
          <w:rFonts w:asciiTheme="majorHAnsi" w:hAnsiTheme="majorHAnsi" w:cstheme="majorHAnsi"/>
          <w:color w:val="181818"/>
          <w:spacing w:val="20"/>
          <w:bdr w:val="none" w:sz="0" w:space="0" w:color="auto" w:frame="1"/>
          <w:shd w:val="clear" w:color="auto" w:fill="FFFFFF"/>
        </w:rPr>
        <w:t xml:space="preserve"> </w:t>
      </w:r>
      <w:r w:rsidRPr="0066173A">
        <w:rPr>
          <w:rFonts w:asciiTheme="majorHAnsi" w:hAnsiTheme="majorHAnsi" w:cstheme="majorHAnsi"/>
          <w:color w:val="181818"/>
          <w:spacing w:val="20"/>
          <w:bdr w:val="none" w:sz="0" w:space="0" w:color="auto" w:frame="1"/>
          <w:shd w:val="clear" w:color="auto" w:fill="FFFFFF"/>
        </w:rPr>
        <w:t>approval. The Constitution allows for a further three-year period of office in extenuating circumstances.</w:t>
      </w:r>
    </w:p>
    <w:sectPr w:rsidR="00960CAD" w:rsidRPr="0066173A" w:rsidSect="0066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3A"/>
    <w:rsid w:val="00011089"/>
    <w:rsid w:val="000C73ED"/>
    <w:rsid w:val="00106691"/>
    <w:rsid w:val="005A623E"/>
    <w:rsid w:val="0066173A"/>
    <w:rsid w:val="00783531"/>
    <w:rsid w:val="008B5FAB"/>
    <w:rsid w:val="00960CAD"/>
    <w:rsid w:val="00C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B75A"/>
  <w15:chartTrackingRefBased/>
  <w15:docId w15:val="{08C12813-49E4-499B-A98B-1D7759C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60"/>
    <w:pPr>
      <w:spacing w:after="0" w:line="240" w:lineRule="auto"/>
    </w:pPr>
    <w:rPr>
      <w:rFonts w:ascii="Calibri Light" w:hAnsi="Calibri Light" w:cs="Times New Roman"/>
      <w:color w:val="000000" w:themeColor="text1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623E"/>
    <w:pPr>
      <w:keepNext/>
      <w:keepLines/>
      <w:spacing w:before="480" w:after="120" w:line="276" w:lineRule="auto"/>
      <w:outlineLvl w:val="0"/>
    </w:pPr>
    <w:rPr>
      <w:rFonts w:eastAsia="Calibri" w:cs="Calibri"/>
      <w:b/>
      <w:color w:val="262626" w:themeColor="text1" w:themeTint="D9"/>
      <w:sz w:val="3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3ED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6691"/>
    <w:pPr>
      <w:keepNext/>
      <w:keepLines/>
      <w:spacing w:before="280" w:after="80" w:line="276" w:lineRule="auto"/>
      <w:outlineLvl w:val="2"/>
    </w:pPr>
    <w:rPr>
      <w:rFonts w:eastAsia="Calibri" w:cs="Calibri"/>
      <w:b/>
      <w:color w:val="auto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23E"/>
    <w:rPr>
      <w:rFonts w:ascii="Calibri Light" w:eastAsia="Calibri" w:hAnsi="Calibri Light" w:cs="Calibri"/>
      <w:b/>
      <w:color w:val="262626" w:themeColor="text1" w:themeTint="D9"/>
      <w:kern w:val="0"/>
      <w:sz w:val="36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C73ED"/>
    <w:rPr>
      <w:rFonts w:ascii="Calibri Light" w:eastAsiaTheme="majorEastAsia" w:hAnsi="Calibri Light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691"/>
    <w:rPr>
      <w:rFonts w:ascii="Calibri Light" w:eastAsia="Calibri" w:hAnsi="Calibri Light" w:cs="Calibri"/>
      <w:b/>
      <w:sz w:val="24"/>
      <w:szCs w:val="28"/>
      <w:lang w:eastAsia="en-GB"/>
    </w:rPr>
  </w:style>
  <w:style w:type="paragraph" w:styleId="NormalWeb">
    <w:name w:val="Normal (Web)"/>
    <w:basedOn w:val="Normal"/>
    <w:uiPriority w:val="99"/>
    <w:unhideWhenUsed/>
    <w:rsid w:val="0066173A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2455</Characters>
  <Application>Microsoft Office Word</Application>
  <DocSecurity>0</DocSecurity>
  <Lines>34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Caldwell</dc:creator>
  <cp:keywords/>
  <dc:description/>
  <cp:lastModifiedBy>Laura Caldwell</cp:lastModifiedBy>
  <cp:revision>1</cp:revision>
  <dcterms:created xsi:type="dcterms:W3CDTF">2023-06-14T16:26:00Z</dcterms:created>
  <dcterms:modified xsi:type="dcterms:W3CDTF">2023-06-14T16:31:00Z</dcterms:modified>
</cp:coreProperties>
</file>