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pPr>
      <w:r w:rsidDel="00000000" w:rsidR="00000000" w:rsidRPr="00000000">
        <w:rPr/>
        <w:drawing>
          <wp:inline distB="114300" distT="114300" distL="114300" distR="114300">
            <wp:extent cx="3624263" cy="1312871"/>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4263" cy="13128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hanging="2"/>
        <w:jc w:val="center"/>
        <w:rPr/>
      </w:pPr>
      <w:r w:rsidDel="00000000" w:rsidR="00000000" w:rsidRPr="00000000">
        <w:rPr>
          <w:b w:val="1"/>
          <w:rtl w:val="0"/>
        </w:rPr>
        <w:t xml:space="preserve">Finance &amp; Admin Officer</w:t>
      </w:r>
      <w:r w:rsidDel="00000000" w:rsidR="00000000" w:rsidRPr="00000000">
        <w:rPr>
          <w:rtl w:val="0"/>
        </w:rPr>
      </w:r>
    </w:p>
    <w:p w:rsidR="00000000" w:rsidDel="00000000" w:rsidP="00000000" w:rsidRDefault="00000000" w:rsidRPr="00000000" w14:paraId="00000003">
      <w:pPr>
        <w:ind w:left="0" w:hanging="2"/>
        <w:jc w:val="center"/>
        <w:rPr/>
      </w:pPr>
      <w:r w:rsidDel="00000000" w:rsidR="00000000" w:rsidRPr="00000000">
        <w:rPr>
          <w:rtl w:val="0"/>
        </w:rPr>
        <w:t xml:space="preserve">Job Description &amp; Person Specification</w:t>
      </w:r>
    </w:p>
    <w:p w:rsidR="00000000" w:rsidDel="00000000" w:rsidP="00000000" w:rsidRDefault="00000000" w:rsidRPr="00000000" w14:paraId="00000004">
      <w:pPr>
        <w:ind w:left="0" w:hanging="2"/>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7"/>
        <w:gridCol w:w="8919"/>
        <w:tblGridChange w:id="0">
          <w:tblGrid>
            <w:gridCol w:w="2097"/>
            <w:gridCol w:w="8919"/>
          </w:tblGrid>
        </w:tblGridChange>
      </w:tblGrid>
      <w:tr>
        <w:trPr>
          <w:cantSplit w:val="0"/>
          <w:tblHeader w:val="0"/>
        </w:trPr>
        <w:tc>
          <w:tcPr/>
          <w:p w:rsidR="00000000" w:rsidDel="00000000" w:rsidP="00000000" w:rsidRDefault="00000000" w:rsidRPr="00000000" w14:paraId="00000005">
            <w:pPr>
              <w:ind w:left="0" w:hanging="2"/>
              <w:rPr/>
            </w:pPr>
            <w:r w:rsidDel="00000000" w:rsidR="00000000" w:rsidRPr="00000000">
              <w:rPr>
                <w:b w:val="1"/>
                <w:rtl w:val="0"/>
              </w:rPr>
              <w:t xml:space="preserve">Main Objective &amp; Purpose </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line="240" w:lineRule="auto"/>
              <w:ind w:left="0" w:hanging="2"/>
              <w:jc w:val="both"/>
              <w:rPr>
                <w:color w:val="000000"/>
              </w:rPr>
            </w:pPr>
            <w:r w:rsidDel="00000000" w:rsidR="00000000" w:rsidRPr="00000000">
              <w:rPr>
                <w:color w:val="000000"/>
                <w:rtl w:val="0"/>
              </w:rPr>
              <w:t xml:space="preserve">The Finance Officer will play a pivotal role in helping Bipolar Scotland to achieve the highest levels of financial probity whilst ensuring the smooth day-to-day operation of the Organisation’s finances.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line="240" w:lineRule="auto"/>
              <w:ind w:left="0" w:hanging="2"/>
              <w:jc w:val="both"/>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line="240" w:lineRule="auto"/>
              <w:ind w:left="0" w:hanging="2"/>
              <w:jc w:val="both"/>
              <w:rPr>
                <w:color w:val="000000"/>
              </w:rPr>
            </w:pPr>
            <w:r w:rsidDel="00000000" w:rsidR="00000000" w:rsidRPr="00000000">
              <w:rPr>
                <w:color w:val="000000"/>
                <w:rtl w:val="0"/>
              </w:rPr>
              <w:t xml:space="preserve">As a key member of the team, the Finance Officer will provide support to the management team through diligent financial reporting and practical administration of financial processes and bookkeeping. The Finance Officer will also support colleagues to develop project budgets, reports for funders and costing for new initiatives.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spacing w:line="240" w:lineRule="auto"/>
              <w:ind w:left="0" w:hanging="2"/>
              <w:jc w:val="both"/>
              <w:rPr>
                <w:color w:val="00000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0A">
            <w:pPr>
              <w:ind w:left="0" w:hanging="2"/>
              <w:rPr/>
            </w:pPr>
            <w:r w:rsidDel="00000000" w:rsidR="00000000" w:rsidRPr="00000000">
              <w:rPr>
                <w:b w:val="1"/>
                <w:rtl w:val="0"/>
              </w:rPr>
              <w:t xml:space="preserve">Reports to</w:t>
            </w:r>
            <w:r w:rsidDel="00000000" w:rsidR="00000000" w:rsidRPr="00000000">
              <w:rPr>
                <w:rtl w:val="0"/>
              </w:rPr>
            </w:r>
          </w:p>
        </w:tc>
        <w:tc>
          <w:tcPr>
            <w:tcBorders>
              <w:bottom w:color="000000" w:space="0" w:sz="4" w:val="single"/>
            </w:tcBorders>
          </w:tcPr>
          <w:p w:rsidR="00000000" w:rsidDel="00000000" w:rsidP="00000000" w:rsidRDefault="00000000" w:rsidRPr="00000000" w14:paraId="0000000B">
            <w:pPr>
              <w:ind w:left="0" w:hanging="2"/>
              <w:rPr/>
            </w:pPr>
            <w:r w:rsidDel="00000000" w:rsidR="00000000" w:rsidRPr="00000000">
              <w:rPr>
                <w:rtl w:val="0"/>
              </w:rPr>
              <w:t xml:space="preserve">Chief Executive Officer</w:t>
            </w:r>
          </w:p>
        </w:tc>
      </w:tr>
      <w:tr>
        <w:trPr>
          <w:cantSplit w:val="0"/>
          <w:tblHeader w:val="0"/>
        </w:trPr>
        <w:tc>
          <w:tcPr>
            <w:tcBorders>
              <w:bottom w:color="000000" w:space="0" w:sz="4" w:val="single"/>
            </w:tcBorders>
          </w:tcPr>
          <w:p w:rsidR="00000000" w:rsidDel="00000000" w:rsidP="00000000" w:rsidRDefault="00000000" w:rsidRPr="00000000" w14:paraId="0000000C">
            <w:pPr>
              <w:ind w:left="0" w:hanging="2"/>
              <w:rPr/>
            </w:pPr>
            <w:r w:rsidDel="00000000" w:rsidR="00000000" w:rsidRPr="00000000">
              <w:rPr>
                <w:b w:val="1"/>
                <w:rtl w:val="0"/>
              </w:rPr>
              <w:t xml:space="preserve">Responsible for</w:t>
            </w:r>
            <w:r w:rsidDel="00000000" w:rsidR="00000000" w:rsidRPr="00000000">
              <w:rPr>
                <w:rtl w:val="0"/>
              </w:rPr>
            </w:r>
          </w:p>
        </w:tc>
        <w:tc>
          <w:tcPr>
            <w:tcBorders>
              <w:bottom w:color="000000" w:space="0" w:sz="4" w:val="single"/>
            </w:tcBorders>
          </w:tcPr>
          <w:p w:rsidR="00000000" w:rsidDel="00000000" w:rsidP="00000000" w:rsidRDefault="00000000" w:rsidRPr="00000000" w14:paraId="0000000D">
            <w:pPr>
              <w:ind w:left="0" w:hanging="2"/>
              <w:rPr/>
            </w:pPr>
            <w:r w:rsidDel="00000000" w:rsidR="00000000" w:rsidRPr="00000000">
              <w:rPr>
                <w:rtl w:val="0"/>
              </w:rPr>
              <w:t xml:space="preserve">Volunteers within directorate</w:t>
            </w:r>
          </w:p>
        </w:tc>
      </w:tr>
      <w:tr>
        <w:trPr>
          <w:cantSplit w:val="0"/>
          <w:tblHeader w:val="0"/>
        </w:trPr>
        <w:tc>
          <w:tcPr>
            <w:tcBorders>
              <w:bottom w:color="000000" w:space="0" w:sz="4" w:val="single"/>
            </w:tcBorders>
          </w:tcPr>
          <w:p w:rsidR="00000000" w:rsidDel="00000000" w:rsidP="00000000" w:rsidRDefault="00000000" w:rsidRPr="00000000" w14:paraId="0000000E">
            <w:pPr>
              <w:ind w:left="0" w:hanging="2"/>
              <w:rPr/>
            </w:pPr>
            <w:r w:rsidDel="00000000" w:rsidR="00000000" w:rsidRPr="00000000">
              <w:rPr>
                <w:b w:val="1"/>
                <w:rtl w:val="0"/>
              </w:rPr>
              <w:t xml:space="preserve">Hours</w:t>
            </w:r>
            <w:r w:rsidDel="00000000" w:rsidR="00000000" w:rsidRPr="00000000">
              <w:rPr>
                <w:rtl w:val="0"/>
              </w:rPr>
            </w:r>
          </w:p>
        </w:tc>
        <w:tc>
          <w:tcPr>
            <w:tcBorders>
              <w:bottom w:color="000000" w:space="0" w:sz="4" w:val="single"/>
            </w:tcBorders>
          </w:tcPr>
          <w:p w:rsidR="00000000" w:rsidDel="00000000" w:rsidP="00000000" w:rsidRDefault="00000000" w:rsidRPr="00000000" w14:paraId="0000000F">
            <w:pPr>
              <w:ind w:left="0" w:hanging="2"/>
              <w:rPr/>
            </w:pPr>
            <w:r w:rsidDel="00000000" w:rsidR="00000000" w:rsidRPr="00000000">
              <w:rPr>
                <w:rtl w:val="0"/>
              </w:rPr>
              <w:t xml:space="preserve">21hrs per week</w:t>
            </w:r>
          </w:p>
        </w:tc>
      </w:tr>
      <w:tr>
        <w:trPr>
          <w:cantSplit w:val="0"/>
          <w:tblHeader w:val="0"/>
        </w:trPr>
        <w:tc>
          <w:tcPr>
            <w:tcBorders>
              <w:bottom w:color="000000" w:space="0" w:sz="4" w:val="single"/>
            </w:tcBorders>
          </w:tcPr>
          <w:p w:rsidR="00000000" w:rsidDel="00000000" w:rsidP="00000000" w:rsidRDefault="00000000" w:rsidRPr="00000000" w14:paraId="00000010">
            <w:pPr>
              <w:ind w:left="0" w:hanging="2"/>
              <w:rPr/>
            </w:pPr>
            <w:r w:rsidDel="00000000" w:rsidR="00000000" w:rsidRPr="00000000">
              <w:rPr>
                <w:b w:val="1"/>
                <w:rtl w:val="0"/>
              </w:rPr>
              <w:t xml:space="preserve">Salary</w:t>
            </w:r>
            <w:r w:rsidDel="00000000" w:rsidR="00000000" w:rsidRPr="00000000">
              <w:rPr>
                <w:rtl w:val="0"/>
              </w:rPr>
            </w:r>
          </w:p>
        </w:tc>
        <w:tc>
          <w:tcPr>
            <w:tcBorders>
              <w:bottom w:color="000000" w:space="0" w:sz="4" w:val="single"/>
            </w:tcBorders>
          </w:tcPr>
          <w:p w:rsidR="00000000" w:rsidDel="00000000" w:rsidP="00000000" w:rsidRDefault="00000000" w:rsidRPr="00000000" w14:paraId="00000011">
            <w:pPr>
              <w:ind w:left="0" w:hanging="2"/>
              <w:rPr/>
            </w:pPr>
            <w:r w:rsidDel="00000000" w:rsidR="00000000" w:rsidRPr="00000000">
              <w:rPr>
                <w:rtl w:val="0"/>
              </w:rPr>
              <w:t xml:space="preserve">Point 22 £26,130 to Point 23 £27,525 (Pro Rata)</w:t>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2">
            <w:pPr>
              <w:ind w:left="0" w:hanging="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3">
            <w:pPr>
              <w:ind w:left="0" w:hanging="2"/>
              <w:rPr/>
            </w:pPr>
            <w:r w:rsidDel="00000000" w:rsidR="00000000" w:rsidRPr="00000000">
              <w:rPr>
                <w:rtl w:val="0"/>
              </w:rPr>
            </w:r>
          </w:p>
          <w:p w:rsidR="00000000" w:rsidDel="00000000" w:rsidP="00000000" w:rsidRDefault="00000000" w:rsidRPr="00000000" w14:paraId="00000014">
            <w:pPr>
              <w:ind w:left="0" w:hanging="2"/>
              <w:rPr/>
            </w:pPr>
            <w:r w:rsidDel="00000000" w:rsidR="00000000" w:rsidRPr="00000000">
              <w:rPr>
                <w:rtl w:val="0"/>
              </w:rPr>
            </w:r>
          </w:p>
        </w:tc>
      </w:tr>
      <w:tr>
        <w:trPr>
          <w:cantSplit w:val="0"/>
          <w:tblHeader w:val="0"/>
        </w:trPr>
        <w:tc>
          <w:tcPr>
            <w:gridSpan w:val="2"/>
            <w:tcBorders>
              <w:top w:color="000000" w:space="0" w:sz="4" w:val="single"/>
            </w:tcBorders>
          </w:tcPr>
          <w:p w:rsidR="00000000" w:rsidDel="00000000" w:rsidP="00000000" w:rsidRDefault="00000000" w:rsidRPr="00000000" w14:paraId="00000015">
            <w:pPr>
              <w:ind w:left="0" w:hanging="2"/>
              <w:jc w:val="center"/>
              <w:rPr/>
            </w:pPr>
            <w:r w:rsidDel="00000000" w:rsidR="00000000" w:rsidRPr="00000000">
              <w:rPr>
                <w:b w:val="1"/>
                <w:rtl w:val="0"/>
              </w:rPr>
              <w:t xml:space="preserve">Main areas of responsibility and duties</w:t>
            </w:r>
            <w:r w:rsidDel="00000000" w:rsidR="00000000" w:rsidRPr="00000000">
              <w:rPr>
                <w:rtl w:val="0"/>
              </w:rPr>
            </w:r>
          </w:p>
        </w:tc>
      </w:tr>
      <w:tr>
        <w:trPr>
          <w:cantSplit w:val="0"/>
          <w:tblHeader w:val="0"/>
        </w:trPr>
        <w:tc>
          <w:tcPr/>
          <w:p w:rsidR="00000000" w:rsidDel="00000000" w:rsidP="00000000" w:rsidRDefault="00000000" w:rsidRPr="00000000" w14:paraId="00000017">
            <w:pPr>
              <w:ind w:left="0" w:hanging="2"/>
              <w:rPr/>
            </w:pPr>
            <w:r w:rsidDel="00000000" w:rsidR="00000000" w:rsidRPr="00000000">
              <w:rPr>
                <w:b w:val="1"/>
                <w:rtl w:val="0"/>
              </w:rPr>
              <w:t xml:space="preserve">Implementing and maintaining good financial procedures and records</w:t>
            </w: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authorisation and checking processes are in place and consistently adhered to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Maintaining security of data - filing, scanning, and archiving financial records (GDPR and PCI / online selling compliance)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 smooth flow of information to enable the job to be done well</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Developing / revising and implementing procedures and process for the Finance and Admin manual</w:t>
            </w:r>
          </w:p>
        </w:tc>
      </w:tr>
      <w:tr>
        <w:trPr>
          <w:cantSplit w:val="0"/>
          <w:tblHeader w:val="0"/>
        </w:trPr>
        <w:tc>
          <w:tcPr/>
          <w:p w:rsidR="00000000" w:rsidDel="00000000" w:rsidP="00000000" w:rsidRDefault="00000000" w:rsidRPr="00000000" w14:paraId="0000001C">
            <w:pPr>
              <w:ind w:left="0" w:hanging="2"/>
              <w:rPr/>
            </w:pPr>
            <w:r w:rsidDel="00000000" w:rsidR="00000000" w:rsidRPr="00000000">
              <w:rPr>
                <w:b w:val="1"/>
                <w:rtl w:val="0"/>
              </w:rPr>
              <w:t xml:space="preserve">Management accounts and budget reporting</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Circulating the nominal ledger monthly for checks by staff and completing any changes resulting from this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Producing monthly Management Accounts (within 2 weeks of month end), and quarterly reports for the Executive Team, and Board of Trustees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Transposing information from Xero accurately to reflect the cash position </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Producing budget reports on projects or aspects of our work as requested, including financial reports for funders</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Processing accruals, prepayments, and depreciation schedules.</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Compiling annual budgets / forecasts in conjunction with the Organisation team for approval by CEO and the Board</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Produce accurate financial statements (including Income Statements, Cash Flow Statements, Statements of changes in equity (reserves and retained income in accordance with policy and statutory regulation for third sector), Investment Statement, Balance Sheet and Note to Financial Statements) ensuring accurate forecasting and maintaining associated registers and databases; and supporting budget holders to translate this key information into work and business plans</w:t>
            </w:r>
          </w:p>
        </w:tc>
      </w:tr>
      <w:tr>
        <w:trPr>
          <w:cantSplit w:val="0"/>
          <w:tblHeader w:val="0"/>
        </w:trPr>
        <w:tc>
          <w:tcPr/>
          <w:p w:rsidR="00000000" w:rsidDel="00000000" w:rsidP="00000000" w:rsidRDefault="00000000" w:rsidRPr="00000000" w14:paraId="00000024">
            <w:pPr>
              <w:ind w:left="0" w:hanging="2"/>
              <w:rPr/>
            </w:pPr>
            <w:r w:rsidDel="00000000" w:rsidR="00000000" w:rsidRPr="00000000">
              <w:rPr>
                <w:b w:val="1"/>
                <w:rtl w:val="0"/>
              </w:rPr>
              <w:t xml:space="preserve">Sales / purchase and general / nominal ledger</w:t>
            </w: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Implementing procedures for authorisation of purchases, including a purchase order system</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Obtaining authorisation and then processing invoices on Xero, and coding according to the nominal ledger</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Producing remittance advice notes</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Reconciling supplier statements</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Reconciling income from voluntary giving and fundraising </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Generating sales invoices</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up sales invoices</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Generating receipts and sending to customers</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Reconciling invoices and payments</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Maintaining a record of creditors and debtors</w:t>
            </w:r>
          </w:p>
        </w:tc>
      </w:tr>
      <w:tr>
        <w:trPr>
          <w:cantSplit w:val="0"/>
          <w:tblHeader w:val="0"/>
        </w:trPr>
        <w:tc>
          <w:tcPr/>
          <w:p w:rsidR="00000000" w:rsidDel="00000000" w:rsidP="00000000" w:rsidRDefault="00000000" w:rsidRPr="00000000" w14:paraId="0000002F">
            <w:pPr>
              <w:ind w:left="0" w:hanging="2"/>
              <w:rPr>
                <w:b w:val="1"/>
              </w:rPr>
            </w:pPr>
            <w:r w:rsidDel="00000000" w:rsidR="00000000" w:rsidRPr="00000000">
              <w:rPr>
                <w:b w:val="1"/>
                <w:rtl w:val="0"/>
              </w:rPr>
              <w:t xml:space="preserve">Payroll </w:t>
            </w:r>
          </w:p>
        </w:tc>
        <w:tc>
          <w:tcPr/>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 as a point of contact for our outsourced payroll services provider</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Gather payroll exceptions information, and details for onboarding new staff from line managers and report to payroll services provider timeously</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Payroll and statutory payment reports provided by payroll services provider for accuracy, ensure errors or omissions are rectified </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Gather properly authorised expense claims from staff and volunteers, and ensure that accurate records are kept</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accurate salary and expense claim payments are made on time </w:t>
            </w:r>
          </w:p>
        </w:tc>
      </w:tr>
      <w:tr>
        <w:trPr>
          <w:cantSplit w:val="0"/>
          <w:tblHeader w:val="0"/>
        </w:trPr>
        <w:tc>
          <w:tcPr/>
          <w:p w:rsidR="00000000" w:rsidDel="00000000" w:rsidP="00000000" w:rsidRDefault="00000000" w:rsidRPr="00000000" w14:paraId="00000035">
            <w:pPr>
              <w:ind w:left="0" w:hanging="2"/>
              <w:rPr/>
            </w:pPr>
            <w:r w:rsidDel="00000000" w:rsidR="00000000" w:rsidRPr="00000000">
              <w:rPr>
                <w:b w:val="1"/>
                <w:rtl w:val="0"/>
              </w:rPr>
              <w:t xml:space="preserve">Banking / cash handling</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Acting as a point of contact for the bank accounts, maintaining access to digital banking and printed statements</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Reconciling bank accounts daily / weekly / monthly</w:t>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Processing &amp; reconciliation of petty cash</w:t>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Processing &amp; reconciliation of company credit / debit cards</w:t>
            </w:r>
          </w:p>
          <w:p w:rsidR="00000000" w:rsidDel="00000000" w:rsidP="00000000" w:rsidRDefault="00000000" w:rsidRPr="00000000" w14:paraId="000000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Reconciling digital income generation from website sales, and online donation platforms</w:t>
            </w:r>
          </w:p>
        </w:tc>
      </w:tr>
      <w:tr>
        <w:trPr>
          <w:cantSplit w:val="0"/>
          <w:tblHeader w:val="0"/>
        </w:trPr>
        <w:tc>
          <w:tcPr/>
          <w:p w:rsidR="00000000" w:rsidDel="00000000" w:rsidP="00000000" w:rsidRDefault="00000000" w:rsidRPr="00000000" w14:paraId="0000003B">
            <w:pPr>
              <w:ind w:left="0" w:hanging="2"/>
              <w:rPr>
                <w:color w:val="000000"/>
              </w:rPr>
            </w:pPr>
            <w:r w:rsidDel="00000000" w:rsidR="00000000" w:rsidRPr="00000000">
              <w:rPr>
                <w:b w:val="1"/>
                <w:rtl w:val="0"/>
              </w:rPr>
              <w:t xml:space="preserve">Annual Audit and Accounts</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Maintaining records and files throughout the year in order to meet the requirements of audit</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Preparing information for annual audit</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Liaise with external auditors for audit dates and advice </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Completing spreadsheet of information for Annual Accounts</w:t>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Processing audit journals</w:t>
            </w:r>
          </w:p>
          <w:p w:rsidR="00000000" w:rsidDel="00000000" w:rsidP="00000000" w:rsidRDefault="00000000" w:rsidRPr="00000000" w14:paraId="000000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Attend to company house requirements</w:t>
            </w:r>
          </w:p>
        </w:tc>
      </w:tr>
      <w:tr>
        <w:trPr>
          <w:cantSplit w:val="0"/>
          <w:tblHeader w:val="0"/>
        </w:trPr>
        <w:tc>
          <w:tcPr/>
          <w:p w:rsidR="00000000" w:rsidDel="00000000" w:rsidP="00000000" w:rsidRDefault="00000000" w:rsidRPr="00000000" w14:paraId="00000042">
            <w:pPr>
              <w:ind w:left="0" w:hanging="2"/>
              <w:rPr/>
            </w:pPr>
            <w:r w:rsidDel="00000000" w:rsidR="00000000" w:rsidRPr="00000000">
              <w:rPr>
                <w:b w:val="1"/>
                <w:rtl w:val="0"/>
              </w:rPr>
              <w:t xml:space="preserve">Cross-Function Working</w:t>
            </w:r>
            <w:r w:rsidDel="00000000" w:rsidR="00000000" w:rsidRPr="00000000">
              <w:rPr>
                <w:rtl w:val="0"/>
              </w:rPr>
            </w:r>
          </w:p>
        </w:tc>
        <w:tc>
          <w:tcPr/>
          <w:p w:rsidR="00000000" w:rsidDel="00000000" w:rsidP="00000000" w:rsidRDefault="00000000" w:rsidRPr="00000000" w14:paraId="0000004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pragmatic and practical support to colleagues developing new initiatives to help them cost projects </w:t>
            </w:r>
          </w:p>
          <w:p w:rsidR="00000000" w:rsidDel="00000000" w:rsidP="00000000" w:rsidRDefault="00000000" w:rsidRPr="00000000" w14:paraId="0000004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colleagues to plan and manage operational budgets and provide relevant financial reports to monitor expenditure</w:t>
            </w:r>
          </w:p>
          <w:p w:rsidR="00000000" w:rsidDel="00000000" w:rsidP="00000000" w:rsidRDefault="00000000" w:rsidRPr="00000000" w14:paraId="000000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appropriate and timely support to fundraising colleagues in completing the financial sections of funding bids and reports to funders </w:t>
            </w:r>
          </w:p>
        </w:tc>
      </w:tr>
      <w:tr>
        <w:trPr>
          <w:cantSplit w:val="0"/>
          <w:tblHeader w:val="0"/>
        </w:trPr>
        <w:tc>
          <w:tcPr/>
          <w:p w:rsidR="00000000" w:rsidDel="00000000" w:rsidP="00000000" w:rsidRDefault="00000000" w:rsidRPr="00000000" w14:paraId="00000046">
            <w:pPr>
              <w:ind w:left="0" w:hanging="2"/>
              <w:rPr/>
            </w:pPr>
            <w:r w:rsidDel="00000000" w:rsidR="00000000" w:rsidRPr="00000000">
              <w:rPr>
                <w:b w:val="1"/>
                <w:rtl w:val="0"/>
              </w:rPr>
              <w:t xml:space="preserve">Flexibility</w:t>
            </w: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Bipolar Scotland is committed to ensuring a positive work/life balance for all staff and are open to discussing flexible working arrangements wherever possible </w:t>
            </w:r>
          </w:p>
        </w:tc>
      </w:tr>
      <w:tr>
        <w:trPr>
          <w:cantSplit w:val="0"/>
          <w:tblHeader w:val="0"/>
        </w:trPr>
        <w:tc>
          <w:tcPr/>
          <w:p w:rsidR="00000000" w:rsidDel="00000000" w:rsidP="00000000" w:rsidRDefault="00000000" w:rsidRPr="00000000" w14:paraId="00000048">
            <w:pPr>
              <w:ind w:left="0" w:hanging="2"/>
              <w:rPr/>
            </w:pPr>
            <w:r w:rsidDel="00000000" w:rsidR="00000000" w:rsidRPr="00000000">
              <w:rPr>
                <w:b w:val="1"/>
                <w:rtl w:val="0"/>
              </w:rPr>
              <w:t xml:space="preserve">Other</w:t>
            </w: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Assist in day-to-day office procedures, membership renewals </w:t>
            </w:r>
            <w:r w:rsidDel="00000000" w:rsidR="00000000" w:rsidRPr="00000000">
              <w:rPr>
                <w:rtl w:val="0"/>
              </w:rPr>
              <w:t xml:space="preserve">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salesforce</w:t>
            </w:r>
            <w:r w:rsidDel="00000000" w:rsidR="00000000" w:rsidRPr="00000000">
              <w:rPr>
                <w:rtl w:val="0"/>
              </w:rPr>
              <w:t xml:space="preserve">, admin for volunteer recruitment,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attend to incoming phone calls and mail as appropriate</w:t>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any other task as reasonably expected by the CEO</w:t>
            </w:r>
          </w:p>
        </w:tc>
      </w:tr>
    </w:tbl>
    <w:p w:rsidR="00000000" w:rsidDel="00000000" w:rsidP="00000000" w:rsidRDefault="00000000" w:rsidRPr="00000000" w14:paraId="0000004B">
      <w:pPr>
        <w:ind w:left="0" w:hanging="2"/>
        <w:rPr/>
      </w:pPr>
      <w:r w:rsidDel="00000000" w:rsidR="00000000" w:rsidRPr="00000000">
        <w:rPr>
          <w:rtl w:val="0"/>
        </w:rPr>
      </w:r>
    </w:p>
    <w:p w:rsidR="00000000" w:rsidDel="00000000" w:rsidP="00000000" w:rsidRDefault="00000000" w:rsidRPr="00000000" w14:paraId="0000004C">
      <w:pPr>
        <w:ind w:left="0" w:hanging="2"/>
        <w:jc w:val="center"/>
        <w:rPr/>
      </w:pPr>
      <w:r w:rsidDel="00000000" w:rsidR="00000000" w:rsidRPr="00000000">
        <w:rPr>
          <w:rtl w:val="0"/>
        </w:rPr>
      </w:r>
    </w:p>
    <w:p w:rsidR="00000000" w:rsidDel="00000000" w:rsidP="00000000" w:rsidRDefault="00000000" w:rsidRPr="00000000" w14:paraId="0000004D">
      <w:pPr>
        <w:ind w:left="0" w:hanging="2"/>
        <w:jc w:val="center"/>
        <w:rPr/>
      </w:pPr>
      <w:r w:rsidDel="00000000" w:rsidR="00000000" w:rsidRPr="00000000">
        <w:rPr>
          <w:b w:val="1"/>
          <w:rtl w:val="0"/>
        </w:rPr>
        <w:t xml:space="preserve">Person Specification</w:t>
      </w:r>
      <w:r w:rsidDel="00000000" w:rsidR="00000000" w:rsidRPr="00000000">
        <w:rPr>
          <w:rtl w:val="0"/>
        </w:rPr>
      </w:r>
    </w:p>
    <w:p w:rsidR="00000000" w:rsidDel="00000000" w:rsidP="00000000" w:rsidRDefault="00000000" w:rsidRPr="00000000" w14:paraId="0000004E">
      <w:pPr>
        <w:ind w:left="0" w:hanging="2"/>
        <w:jc w:val="center"/>
        <w:rPr/>
      </w:pPr>
      <w:r w:rsidDel="00000000" w:rsidR="00000000" w:rsidRPr="00000000">
        <w:rPr>
          <w:rtl w:val="0"/>
        </w:rPr>
        <w:t xml:space="preserve">(All are essential requirements unless stated otherwise)</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tbl>
      <w:tblPr>
        <w:tblStyle w:val="Table2"/>
        <w:tblW w:w="10881.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8930"/>
        <w:tblGridChange w:id="0">
          <w:tblGrid>
            <w:gridCol w:w="1951"/>
            <w:gridCol w:w="8930"/>
          </w:tblGrid>
        </w:tblGridChange>
      </w:tblGrid>
      <w:tr>
        <w:trPr>
          <w:cantSplit w:val="0"/>
          <w:trHeight w:val="1448" w:hRule="atLeast"/>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b w:val="1"/>
                <w:color w:val="000000"/>
                <w:rtl w:val="0"/>
              </w:rPr>
              <w:t xml:space="preserve">Knowledge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tc>
        <w:tc>
          <w:tcPr/>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Knowledge of fund accounting and charity finance – or a demonstrated ability to quickly learn and understand</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Sound knowledge of relevant legislation and regulation relating to the financial obligations of a charitable company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Sound knowledge of Trusts and Foundations in Scotland (desirable) </w:t>
            </w:r>
          </w:p>
        </w:tc>
      </w:tr>
      <w:tr>
        <w:trPr>
          <w:cantSplit w:val="0"/>
          <w:trHeight w:val="3271" w:hRule="atLeast"/>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b w:val="1"/>
                <w:color w:val="000000"/>
                <w:rtl w:val="0"/>
              </w:rPr>
              <w:t xml:space="preserve">Core skills</w:t>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professional regard for reporting and accountability</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Demonstrated ability to understand accountancy terms and translate these for non-accountants </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Ability to work collaboratively as part of a small team, but also ability to take initiative and work independently </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Excellent organisational skills and ability to prioritise workload and meet deadlines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Attention to detail and focus on accuracy </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communication skills, a cooperative and collaborative colleague</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Excellent all-round IT skills, including MS Excel, and accountancy software</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commitment to Bipolar Scotland’s values, and to improving the lives of people affected by bipolar</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b w:val="1"/>
                <w:color w:val="000000"/>
                <w:rtl w:val="0"/>
              </w:rPr>
              <w:t xml:space="preserve">Experience</w:t>
            </w: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managing accounts and bookkeeping for SME organisations, ideally within the third sector </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delivering a range of financial reports to a variety of internal and external audiences </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Demonstrated experience of using Xero accountancy software to its full capacity</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working with Enthuse, Salesforce and other financial databases and platforms</w:t>
            </w:r>
          </w:p>
        </w:tc>
      </w:tr>
    </w:tbl>
    <w:p w:rsidR="00000000" w:rsidDel="00000000" w:rsidP="00000000" w:rsidRDefault="00000000" w:rsidRPr="00000000" w14:paraId="00000066">
      <w:pPr>
        <w:ind w:left="0" w:hanging="2"/>
        <w:rPr>
          <w:sz w:val="22"/>
          <w:szCs w:val="22"/>
        </w:rPr>
      </w:pPr>
      <w:r w:rsidDel="00000000" w:rsidR="00000000" w:rsidRPr="00000000">
        <w:rPr>
          <w:rtl w:val="0"/>
        </w:rPr>
      </w:r>
    </w:p>
    <w:p w:rsidR="00000000" w:rsidDel="00000000" w:rsidP="00000000" w:rsidRDefault="00000000" w:rsidRPr="00000000" w14:paraId="00000067">
      <w:pPr>
        <w:ind w:left="0" w:firstLine="0"/>
        <w:rPr>
          <w:color w:val="ff0000"/>
          <w:sz w:val="28"/>
          <w:szCs w:val="2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hanging="2"/>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Finance &amp; Admin Officer Job Description and Person Specification – LIVE – 2023</w:t>
      <w:tab/>
      <w:tab/>
      <w:t xml:space="preserve">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val="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ListParagraph">
    <w:name w:val="List Paragraph"/>
    <w:basedOn w:val="Normal"/>
    <w:pPr>
      <w:ind w:left="720"/>
    </w:p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pPr>
      <w:tabs>
        <w:tab w:val="center" w:pos="4153"/>
        <w:tab w:val="right" w:pos="8306"/>
      </w:tabs>
    </w:pPr>
    <w:rPr>
      <w:rFonts w:cs="Times New Roman"/>
      <w:sz w:val="22"/>
      <w:szCs w:val="20"/>
      <w:lang w:val="en-GB"/>
    </w:rPr>
  </w:style>
  <w:style w:type="character" w:styleId="HeaderChar" w:customStyle="1">
    <w:name w:val="Header Char"/>
    <w:rPr>
      <w:rFonts w:ascii="Arial" w:hAnsi="Arial"/>
      <w:w w:val="100"/>
      <w:position w:val="-1"/>
      <w:sz w:val="22"/>
      <w:effect w:val="none"/>
      <w:vertAlign w:val="baseline"/>
      <w:cs w:val="0"/>
      <w:em w:val="none"/>
      <w:lang w:eastAsia="en-US"/>
    </w:rPr>
  </w:style>
  <w:style w:type="paragraph" w:styleId="bullet" w:customStyle="1">
    <w:name w:val="bullet"/>
    <w:basedOn w:val="Normal"/>
    <w:pPr>
      <w:numPr>
        <w:numId w:val="8"/>
      </w:numPr>
      <w:overflowPunct w:val="0"/>
      <w:autoSpaceDE w:val="0"/>
      <w:autoSpaceDN w:val="0"/>
      <w:adjustRightInd w:val="0"/>
      <w:ind w:left="-1" w:hanging="1"/>
      <w:textAlignment w:val="baseline"/>
    </w:pPr>
    <w:rPr>
      <w:rFonts w:cs="Times New Roman"/>
      <w:szCs w:val="20"/>
      <w:lang w:val="en-GB"/>
    </w:rPr>
  </w:style>
  <w:style w:type="paragraph" w:styleId="NormalWeb">
    <w:name w:val="Normal (Web)"/>
    <w:basedOn w:val="Normal"/>
    <w:qFormat w:val="1"/>
    <w:pPr>
      <w:spacing w:after="100" w:afterAutospacing="1" w:before="100" w:beforeAutospacing="1"/>
    </w:pPr>
    <w:rPr>
      <w:rFonts w:ascii="Times New Roman" w:cs="Times New Roman" w:hAnsi="Times New Roman"/>
      <w:lang w:eastAsia="en-GB" w:val="en-GB"/>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eastAsia="Calibri"/>
      <w:color w:val="000000"/>
      <w:position w:val="-1"/>
      <w:lang w:eastAsia="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Revision">
    <w:name w:val="Revision"/>
    <w:hidden w:val="1"/>
    <w:uiPriority w:val="99"/>
    <w:semiHidden w:val="1"/>
    <w:rsid w:val="00CF2B67"/>
    <w:rPr>
      <w:position w:val="-1"/>
      <w:lang w:eastAsia="en-US" w:val="en-US"/>
    </w:rPr>
  </w:style>
  <w:style w:type="paragraph" w:styleId="css-cyvn9x" w:customStyle="1">
    <w:name w:val="css-cyvn9x"/>
    <w:basedOn w:val="Normal"/>
    <w:rsid w:val="008F1006"/>
    <w:pPr>
      <w:suppressAutoHyphens w:val="0"/>
      <w:spacing w:after="100" w:afterAutospacing="1" w:before="100" w:beforeAutospacing="1" w:line="240" w:lineRule="auto"/>
      <w:ind w:left="0" w:leftChars="0" w:firstLine="0" w:firstLineChars="0"/>
      <w:textDirection w:val="lrTb"/>
      <w:textAlignment w:val="auto"/>
      <w:outlineLvl w:val="9"/>
    </w:pPr>
    <w:rPr>
      <w:rFonts w:ascii="Times New Roman" w:cs="Times New Roman" w:eastAsia="Times New Roman" w:hAnsi="Times New Roman"/>
      <w:position w:val="0"/>
      <w:lang w:eastAsia="en-GB" w:val="en-GB"/>
    </w:rPr>
  </w:style>
  <w:style w:type="character" w:styleId="FooterChar" w:customStyle="1">
    <w:name w:val="Footer Char"/>
    <w:basedOn w:val="DefaultParagraphFont"/>
    <w:link w:val="Footer"/>
    <w:uiPriority w:val="99"/>
    <w:rsid w:val="00EF3D50"/>
    <w:rPr>
      <w:position w:val="-1"/>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qjVobDfm9MEFHk5MR90cnAs3+A==">CgMxLjA4AHIhMXg4LXEwTVBQWFRBMEtHbGFfVWNleGlwd3VNUFBBT1Nw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2023-03-02T11:03:00Z</dcterms:created>
  <dc:creator>Chris O'Sullivan</dc:creator>
</cp:coreProperties>
</file>