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Phoenix</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Job Title:</w:t>
      </w:r>
      <w:r w:rsidDel="00000000" w:rsidR="00000000" w:rsidRPr="00000000">
        <w:rPr>
          <w:rFonts w:ascii="Calibri" w:cs="Calibri" w:eastAsia="Calibri" w:hAnsi="Calibri"/>
          <w:sz w:val="24"/>
          <w:szCs w:val="24"/>
          <w:rtl w:val="0"/>
        </w:rPr>
        <w:tab/>
        <w:tab/>
        <w:t xml:space="preserve">Community Café Lead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Accountable to: </w:t>
        <w:tab/>
      </w:r>
      <w:r w:rsidDel="00000000" w:rsidR="00000000" w:rsidRPr="00000000">
        <w:rPr>
          <w:rFonts w:ascii="Calibri" w:cs="Calibri" w:eastAsia="Calibri" w:hAnsi="Calibri"/>
          <w:sz w:val="24"/>
          <w:szCs w:val="24"/>
          <w:rtl w:val="0"/>
        </w:rPr>
        <w:t xml:space="preserve">Centre Manager </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Employed by:</w:t>
        <w:tab/>
        <w:tab/>
      </w:r>
      <w:r w:rsidDel="00000000" w:rsidR="00000000" w:rsidRPr="00000000">
        <w:rPr>
          <w:rFonts w:ascii="Calibri" w:cs="Calibri" w:eastAsia="Calibri" w:hAnsi="Calibri"/>
          <w:sz w:val="24"/>
          <w:szCs w:val="24"/>
          <w:rtl w:val="0"/>
        </w:rPr>
        <w:t xml:space="preserve">Rock Community Church (The Phoenix)</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Salary:</w:t>
      </w:r>
      <w:r w:rsidDel="00000000" w:rsidR="00000000" w:rsidRPr="00000000">
        <w:rPr>
          <w:rtl w:val="0"/>
        </w:rPr>
        <w:tab/>
        <w:tab/>
        <w:tab/>
      </w:r>
      <w:r w:rsidDel="00000000" w:rsidR="00000000" w:rsidRPr="00000000">
        <w:rPr>
          <w:rFonts w:ascii="Calibri" w:cs="Calibri" w:eastAsia="Calibri" w:hAnsi="Calibri"/>
          <w:sz w:val="24"/>
          <w:szCs w:val="24"/>
          <w:rtl w:val="0"/>
        </w:rPr>
        <w:t xml:space="preserve">Pro rata (0.6) of FTE £</w:t>
      </w:r>
      <w:r w:rsidDel="00000000" w:rsidR="00000000" w:rsidRPr="00000000">
        <w:rPr>
          <w:rFonts w:ascii="Calibri" w:cs="Calibri" w:eastAsia="Calibri" w:hAnsi="Calibri"/>
          <w:sz w:val="20"/>
          <w:szCs w:val="20"/>
          <w:rtl w:val="0"/>
        </w:rPr>
        <w:t xml:space="preserve">25500</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Contract Length:</w:t>
        <w:tab/>
      </w:r>
      <w:r w:rsidDel="00000000" w:rsidR="00000000" w:rsidRPr="00000000">
        <w:rPr>
          <w:rFonts w:ascii="Calibri" w:cs="Calibri" w:eastAsia="Calibri" w:hAnsi="Calibri"/>
          <w:sz w:val="24"/>
          <w:szCs w:val="24"/>
          <w:rtl w:val="0"/>
        </w:rPr>
        <w:t xml:space="preserve">Initially 12 months</w:t>
      </w:r>
    </w:p>
    <w:p w:rsidR="00000000" w:rsidDel="00000000" w:rsidP="00000000" w:rsidRDefault="00000000" w:rsidRPr="00000000" w14:paraId="00000007">
      <w:pPr>
        <w:spacing w:after="0" w:line="240" w:lineRule="auto"/>
        <w:ind w:left="2160" w:hanging="21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Hours:                        </w:t>
        <w:tab/>
      </w:r>
      <w:r w:rsidDel="00000000" w:rsidR="00000000" w:rsidRPr="00000000">
        <w:rPr>
          <w:rFonts w:ascii="Calibri" w:cs="Calibri" w:eastAsia="Calibri" w:hAnsi="Calibri"/>
          <w:sz w:val="24"/>
          <w:szCs w:val="24"/>
          <w:rtl w:val="0"/>
        </w:rPr>
        <w:t xml:space="preserve">21 hours per week (typically working Mon-Fri, although some evening and weekend work may be required).</w:t>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left" w:leader="none" w:pos="720"/>
          <w:tab w:val="left" w:leader="none" w:pos="1440"/>
          <w:tab w:val="left" w:leader="none" w:pos="2160"/>
          <w:tab w:val="left" w:leader="none" w:pos="2880"/>
          <w:tab w:val="left" w:leader="none" w:pos="3600"/>
          <w:tab w:val="left" w:leader="none" w:pos="4320"/>
          <w:tab w:val="left" w:leader="none" w:pos="6430"/>
        </w:tabs>
        <w:spacing w:after="12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Holiday:</w:t>
      </w:r>
      <w:r w:rsidDel="00000000" w:rsidR="00000000" w:rsidRPr="00000000">
        <w:rPr>
          <w:rFonts w:ascii="Calibri" w:cs="Calibri" w:eastAsia="Calibri" w:hAnsi="Calibri"/>
          <w:sz w:val="24"/>
          <w:szCs w:val="24"/>
          <w:rtl w:val="0"/>
        </w:rPr>
        <w:tab/>
        <w:tab/>
        <w:t xml:space="preserve">Pro rata (0.6) of FTE 34 days</w:t>
        <w:tab/>
      </w:r>
    </w:p>
    <w:p w:rsidR="00000000" w:rsidDel="00000000" w:rsidP="00000000" w:rsidRDefault="00000000" w:rsidRPr="00000000" w14:paraId="0000000A">
      <w:pPr>
        <w:ind w:left="2160" w:hanging="21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w:t>
        <w:tab/>
        <w:t xml:space="preserve">The Phoenix, 17A, Quarry Knowe, Castlehill, Dumbarton G825AF</w:t>
      </w:r>
    </w:p>
    <w:p w:rsidR="00000000" w:rsidDel="00000000" w:rsidP="00000000" w:rsidRDefault="00000000" w:rsidRPr="00000000" w14:paraId="0000000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the Organisation</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Rock Community Church is a vibrant church community serving Dumbarton and the surrounding area. As part of our vision, we aim to be actively engaged in celebrating, supporting and loving the people within our community. In 2018 we created a community hub, The Phoenix, designed to primarily serve the people of Dumbarton West, namely the residents of Castlehill, Westcliff, and Brucehill. The Phoenix includes a community cafe and a wide and varied activities programme including youth work, toddler provision, adult learning, intergenerational events, art classes, fitness classes, wellbeing programme and volunteer opportunities.  </w:t>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 of role:</w:t>
        <w:tab/>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understand the power food has to bring people together? We are really excited about the future of the Community Cafe; we are in the process of transitioning to being a donation-based café where people pay what they can afford.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will involve consideration of the environmental impact of what we offer, ensuring that menus reflect and fully utilise what is seasonally available from our garden, reducing food waste, landfill and the consequent environmental damage through food donations.  The Café is a central part of life at The Phoenix, providing a warm, safe and welcoming space for the community to gather for food, company, activities and groups.   </w:t>
      </w:r>
    </w:p>
    <w:p w:rsidR="00000000" w:rsidDel="00000000" w:rsidP="00000000" w:rsidRDefault="00000000" w:rsidRPr="00000000" w14:paraId="0000001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are looking for a passionate and dedicated Community Café Supervisor to manage and contribute to the smooth running of The Phoenix Community Café, including all cooking and catering requirements. The Café Supervisor will lead a small team of Café Assistants and Volunteers and ensure excellent customer service, hygiene, food safety and stock control are always upheld. The Supervisor will form part of the wider Management Team at the Centre and will be required to work with the Centre Manager to contribute</w:t>
      </w:r>
      <w:r w:rsidDel="00000000" w:rsidR="00000000" w:rsidRPr="00000000">
        <w:rPr>
          <w:rtl w:val="0"/>
        </w:rPr>
        <w:t xml:space="preserve"> </w:t>
      </w:r>
      <w:r w:rsidDel="00000000" w:rsidR="00000000" w:rsidRPr="00000000">
        <w:rPr>
          <w:rFonts w:ascii="Calibri" w:cs="Calibri" w:eastAsia="Calibri" w:hAnsi="Calibri"/>
          <w:color w:val="000000"/>
          <w:sz w:val="24"/>
          <w:szCs w:val="24"/>
          <w:rtl w:val="0"/>
        </w:rPr>
        <w:t xml:space="preserve">and support the wider development of The Phoenix values and strategic aims.</w:t>
      </w:r>
    </w:p>
    <w:p w:rsidR="00000000" w:rsidDel="00000000" w:rsidP="00000000" w:rsidRDefault="00000000" w:rsidRPr="00000000" w14:paraId="00000011">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spacing w:after="0" w:before="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after="0" w:before="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Key Responsibilities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work with the Centre Manager and to take responsibility for all aspects of the day-to-day operations of the café.</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high standards of food and drink preparation and planning are maintained daily, including demonstrating professional culinary skills as appropriate to the role.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responsible for all health and safety procedures including food hygiene and HACCP.</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compile weekly rotas for a team of Cafe Assistants and Volunteers, ensuring the efficient and effective use of resources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update and refresh the café menu utilising food donations and eliminating waste.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with the Centre Manager to influence the ongoing development and implementation of a successful working strategy for the Cafe, in line with the values and principles of The Phoenix.</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demonstrate and promote excellent customer service skills.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training and development of new Café staff members, volunteers and work placements.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 on planning of menus, stock control and ordering.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all monies are handled in accordance with company policy and procedures.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20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support any marketing and promotional activity and events </w:t>
      </w:r>
    </w:p>
    <w:p w:rsidR="00000000" w:rsidDel="00000000" w:rsidP="00000000" w:rsidRDefault="00000000" w:rsidRPr="00000000" w14:paraId="0000001F">
      <w:pPr>
        <w:spacing w:after="0" w:before="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Person Specification</w:t>
      </w:r>
    </w:p>
    <w:p w:rsidR="00000000" w:rsidDel="00000000" w:rsidP="00000000" w:rsidRDefault="00000000" w:rsidRPr="00000000" w14:paraId="00000020">
      <w:pPr>
        <w:spacing w:after="0" w:before="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1">
      <w:pPr>
        <w:spacing w:after="0" w:before="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Significant experience working in the cafe/ hospitality sector, particularly in the kitchen and front of house.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working within a café/restaurant including managing stock, pricing, and menu design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managing health and safety procedures including food hygiene and HACCP.</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relate to a range of people and situations.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communicate well both verbally and in writing.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work on own initiative including managing workload priorities.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work effectively and flexibly within a team.</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Ability to adapt flexibly within a fast-paced working environment.</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literate with administrative and organisational skills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High degree of enthusiasm, integrity, and problem-solving skills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Sympathetic to the aims and values of the church and centre </w:t>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Desirable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Qualification in catering/hospitality</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of the issues that affect disenfranchised communities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supporting and training volunteers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monitoring and evaluating community work</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of partnership working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and understanding of working with an asset-based community development model</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Holder of a full valid driving licence</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-914399</wp:posOffset>
              </wp:positionH>
              <wp:positionV relativeFrom="paragraph">
                <wp:posOffset>10223500</wp:posOffset>
              </wp:positionV>
              <wp:extent cx="7566025" cy="282575"/>
              <wp:effectExtent b="0" l="0" r="0" t="0"/>
              <wp:wrapNone/>
              <wp:docPr descr="{&quot;HashCode&quot;:1231056682,&quot;Height&quot;:842.0,&quot;Width&quot;:595.0,&quot;Placement&quot;:&quot;Footer&quot;,&quot;Index&quot;:&quot;Primary&quot;,&quot;Section&quot;:1,&quot;Top&quot;:0.0,&quot;Left&quot;:0.0}" id="2"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-914399</wp:posOffset>
              </wp:positionH>
              <wp:positionV relativeFrom="paragraph">
                <wp:posOffset>10223500</wp:posOffset>
              </wp:positionV>
              <wp:extent cx="7566025" cy="282575"/>
              <wp:effectExtent b="0" l="0" r="0" t="0"/>
              <wp:wrapNone/>
              <wp:docPr descr="{&quot;HashCode&quot;:1231056682,&quot;Height&quot;:842.0,&quot;Width&quot;:595.0,&quot;Placement&quot;:&quot;Footer&quot;,&quot;Index&quot;:&quot;Primary&quot;,&quot;Section&quot;:1,&quot;Top&quot;:0.0,&quot;Left&quot;:0.0}" id="2" name="image1.png"/>
              <a:graphic>
                <a:graphicData uri="http://schemas.openxmlformats.org/drawingml/2006/picture">
                  <pic:pic>
                    <pic:nvPicPr>
                      <pic:cNvPr descr="{&quot;HashCode&quot;:1231056682,&quot;Height&quot;:842.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2A01"/>
    <w:pPr>
      <w:spacing w:after="200" w:line="276" w:lineRule="auto"/>
    </w:pPr>
    <w:rPr>
      <w:sz w:val="22"/>
      <w:szCs w:val="2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42A01"/>
    <w:pPr>
      <w:spacing w:after="120" w:before="120" w:line="240" w:lineRule="auto"/>
      <w:ind w:left="720"/>
      <w:contextualSpacing w:val="1"/>
    </w:pPr>
    <w:rPr>
      <w:rFonts w:ascii="Arial" w:hAnsi="Arial"/>
    </w:rPr>
  </w:style>
  <w:style w:type="table" w:styleId="TableGrid">
    <w:name w:val="Table Grid"/>
    <w:basedOn w:val="TableNormal"/>
    <w:uiPriority w:val="39"/>
    <w:rsid w:val="00242A01"/>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554923"/>
    <w:rPr>
      <w:rFonts w:ascii="Calibri" w:cs="Times New Roman" w:eastAsia="Calibri" w:hAnsi="Calibri"/>
      <w:sz w:val="22"/>
      <w:szCs w:val="22"/>
    </w:rPr>
  </w:style>
  <w:style w:type="paragraph" w:styleId="NormalArial" w:customStyle="1">
    <w:name w:val="Normal + Arial"/>
    <w:basedOn w:val="Normal"/>
    <w:rsid w:val="00F866B8"/>
    <w:pPr>
      <w:spacing w:after="0" w:line="240" w:lineRule="auto"/>
    </w:pPr>
    <w:rPr>
      <w:rFonts w:ascii="Arial" w:cs="Arial" w:eastAsia="Times New Roman" w:hAnsi="Arial"/>
      <w:sz w:val="24"/>
      <w:szCs w:val="24"/>
    </w:rPr>
  </w:style>
  <w:style w:type="paragraph" w:styleId="Header">
    <w:name w:val="header"/>
    <w:basedOn w:val="Normal"/>
    <w:link w:val="HeaderChar"/>
    <w:uiPriority w:val="99"/>
    <w:unhideWhenUsed w:val="1"/>
    <w:rsid w:val="004A6557"/>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6557"/>
    <w:rPr>
      <w:sz w:val="22"/>
      <w:szCs w:val="22"/>
    </w:rPr>
  </w:style>
  <w:style w:type="paragraph" w:styleId="Footer">
    <w:name w:val="footer"/>
    <w:basedOn w:val="Normal"/>
    <w:link w:val="FooterChar"/>
    <w:uiPriority w:val="99"/>
    <w:unhideWhenUsed w:val="1"/>
    <w:rsid w:val="004A6557"/>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6557"/>
    <w:rPr>
      <w:sz w:val="22"/>
      <w:szCs w:val="22"/>
    </w:rPr>
  </w:style>
  <w:style w:type="paragraph" w:styleId="Default" w:customStyle="1">
    <w:name w:val="Default"/>
    <w:rsid w:val="005E0413"/>
    <w:pPr>
      <w:autoSpaceDE w:val="0"/>
      <w:autoSpaceDN w:val="0"/>
      <w:adjustRightInd w:val="0"/>
    </w:pPr>
    <w:rPr>
      <w:rFonts w:ascii="Arial" w:cs="Arial" w:hAnsi="Arial"/>
      <w:color w:val="000000"/>
    </w:rPr>
  </w:style>
  <w:style w:type="character" w:styleId="CommentReference">
    <w:name w:val="annotation reference"/>
    <w:basedOn w:val="DefaultParagraphFont"/>
    <w:uiPriority w:val="99"/>
    <w:semiHidden w:val="1"/>
    <w:unhideWhenUsed w:val="1"/>
    <w:rsid w:val="00CE0AC2"/>
    <w:rPr>
      <w:sz w:val="16"/>
      <w:szCs w:val="16"/>
    </w:rPr>
  </w:style>
  <w:style w:type="paragraph" w:styleId="CommentText">
    <w:name w:val="annotation text"/>
    <w:basedOn w:val="Normal"/>
    <w:link w:val="CommentTextChar"/>
    <w:uiPriority w:val="99"/>
    <w:semiHidden w:val="1"/>
    <w:unhideWhenUsed w:val="1"/>
    <w:rsid w:val="00CE0AC2"/>
    <w:pPr>
      <w:spacing w:line="240" w:lineRule="auto"/>
    </w:pPr>
    <w:rPr>
      <w:sz w:val="20"/>
      <w:szCs w:val="20"/>
    </w:rPr>
  </w:style>
  <w:style w:type="character" w:styleId="CommentTextChar" w:customStyle="1">
    <w:name w:val="Comment Text Char"/>
    <w:basedOn w:val="DefaultParagraphFont"/>
    <w:link w:val="CommentText"/>
    <w:uiPriority w:val="99"/>
    <w:semiHidden w:val="1"/>
    <w:rsid w:val="00CE0AC2"/>
    <w:rPr>
      <w:sz w:val="20"/>
      <w:szCs w:val="20"/>
    </w:rPr>
  </w:style>
  <w:style w:type="paragraph" w:styleId="CommentSubject">
    <w:name w:val="annotation subject"/>
    <w:basedOn w:val="CommentText"/>
    <w:next w:val="CommentText"/>
    <w:link w:val="CommentSubjectChar"/>
    <w:uiPriority w:val="99"/>
    <w:semiHidden w:val="1"/>
    <w:unhideWhenUsed w:val="1"/>
    <w:rsid w:val="00CE0AC2"/>
    <w:rPr>
      <w:b w:val="1"/>
      <w:bCs w:val="1"/>
    </w:rPr>
  </w:style>
  <w:style w:type="character" w:styleId="CommentSubjectChar" w:customStyle="1">
    <w:name w:val="Comment Subject Char"/>
    <w:basedOn w:val="CommentTextChar"/>
    <w:link w:val="CommentSubject"/>
    <w:uiPriority w:val="99"/>
    <w:semiHidden w:val="1"/>
    <w:rsid w:val="00CE0AC2"/>
    <w:rPr>
      <w:b w:val="1"/>
      <w:bCs w:val="1"/>
      <w:sz w:val="20"/>
      <w:szCs w:val="20"/>
    </w:rPr>
  </w:style>
  <w:style w:type="character" w:styleId="UnresolvedMention1" w:customStyle="1">
    <w:name w:val="Unresolved Mention1"/>
    <w:basedOn w:val="DefaultParagraphFont"/>
    <w:uiPriority w:val="99"/>
    <w:semiHidden w:val="1"/>
    <w:unhideWhenUsed w:val="1"/>
    <w:rsid w:val="00836924"/>
    <w:rPr>
      <w:color w:val="605e5c"/>
      <w:shd w:color="auto" w:fill="e1dfdd" w:val="clear"/>
    </w:rPr>
  </w:style>
  <w:style w:type="paragraph" w:styleId="BalloonText">
    <w:name w:val="Balloon Text"/>
    <w:basedOn w:val="Normal"/>
    <w:link w:val="BalloonTextChar"/>
    <w:uiPriority w:val="99"/>
    <w:semiHidden w:val="1"/>
    <w:unhideWhenUsed w:val="1"/>
    <w:rsid w:val="0095416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5416F"/>
    <w:rPr>
      <w:rFonts w:ascii="Segoe UI" w:cs="Segoe UI" w:hAnsi="Segoe UI"/>
      <w:sz w:val="18"/>
      <w:szCs w:val="18"/>
    </w:rPr>
  </w:style>
  <w:style w:type="paragraph" w:styleId="NormalWeb">
    <w:name w:val="Normal (Web)"/>
    <w:basedOn w:val="Normal"/>
    <w:uiPriority w:val="99"/>
    <w:semiHidden w:val="1"/>
    <w:unhideWhenUsed w:val="1"/>
    <w:rsid w:val="00037CE8"/>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497C34"/>
    <w:rPr>
      <w:color w:val="0563c1" w:themeColor="hyperlink"/>
      <w:u w:val="single"/>
    </w:rPr>
  </w:style>
  <w:style w:type="paragraph" w:styleId="Revision">
    <w:name w:val="Revision"/>
    <w:hidden w:val="1"/>
    <w:uiPriority w:val="99"/>
    <w:semiHidden w:val="1"/>
    <w:rsid w:val="006C480E"/>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cj12g+5PQ6zDWggMJJZ+Om+IA==">CgMxLjAyCGguZ2pkZ3hzOAByITEtX3VzdEpzZFByaDZUMllyZzZ2dTZzV2RWSTNoRWI1ZA==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2023-10-14T15:01:00Z</dcterms:created>
  <dc:creator>Errin Anderson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0x010100484026B2BC6539488ABC48BFD38E30BC</vt:lpwstr>
  </property>
  <property fmtid="{D5CDD505-2E9C-101B-9397-08002B2CF9AE}" pid="3" name="GrammarlyDocumentId">
    <vt:lpwstr>f05ddce2fa5c1b597cf7079411f5308c94e41206765385854ba08b3c8c8c1000</vt:lpwstr>
  </property>
  <property fmtid="{D5CDD505-2E9C-101B-9397-08002B2CF9AE}" pid="4" name="MediaServiceImageTags">
    <vt:lpwstr/>
  </property>
  <property fmtid="{D5CDD505-2E9C-101B-9397-08002B2CF9AE}" pid="5" name="MSIP_Label_019c027e-33b7-45fc-a572-8ffa5d09ec36_Enabled">
    <vt:lpwstr>true</vt:lpwstr>
  </property>
  <property fmtid="{D5CDD505-2E9C-101B-9397-08002B2CF9AE}" pid="6" name="MSIP_Label_019c027e-33b7-45fc-a572-8ffa5d09ec36_SetDate">
    <vt:lpwstr>2023-08-20T19:02:38Z</vt:lpwstr>
  </property>
  <property fmtid="{D5CDD505-2E9C-101B-9397-08002B2CF9AE}" pid="7" name="MSIP_Label_019c027e-33b7-45fc-a572-8ffa5d09ec36_Method">
    <vt:lpwstr>Standard</vt:lpwstr>
  </property>
  <property fmtid="{D5CDD505-2E9C-101B-9397-08002B2CF9AE}" pid="8" name="MSIP_Label_019c027e-33b7-45fc-a572-8ffa5d09ec36_Name">
    <vt:lpwstr>Internal Use</vt:lpwstr>
  </property>
  <property fmtid="{D5CDD505-2E9C-101B-9397-08002B2CF9AE}" pid="9" name="MSIP_Label_019c027e-33b7-45fc-a572-8ffa5d09ec36_SiteId">
    <vt:lpwstr>031a09bc-a2bf-44df-888e-4e09355b7a24</vt:lpwstr>
  </property>
  <property fmtid="{D5CDD505-2E9C-101B-9397-08002B2CF9AE}" pid="10" name="MSIP_Label_019c027e-33b7-45fc-a572-8ffa5d09ec36_ActionId">
    <vt:lpwstr>963fe4dd-741b-47fd-b00f-f74f2110d5e7</vt:lpwstr>
  </property>
  <property fmtid="{D5CDD505-2E9C-101B-9397-08002B2CF9AE}" pid="11" name="MSIP_Label_019c027e-33b7-45fc-a572-8ffa5d09ec36_ContentBits">
    <vt:lpwstr>2</vt:lpwstr>
  </property>
</Properties>
</file>