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B71A69" w14:textId="77777777" w:rsidR="00203B2A" w:rsidRPr="00203B2A" w:rsidRDefault="00203B2A" w:rsidP="00203B2A">
      <w:pPr>
        <w:jc w:val="center"/>
        <w:rPr>
          <w:b/>
          <w:sz w:val="44"/>
          <w:szCs w:val="44"/>
          <w:u w:val="single"/>
        </w:rPr>
      </w:pPr>
      <w:r w:rsidRPr="00203B2A">
        <w:rPr>
          <w:b/>
          <w:sz w:val="44"/>
          <w:szCs w:val="44"/>
          <w:u w:val="single"/>
        </w:rPr>
        <w:t>Advert details</w:t>
      </w:r>
    </w:p>
    <w:p w14:paraId="597CE2E5" w14:textId="77777777" w:rsidR="00203B2A" w:rsidRDefault="00203B2A" w:rsidP="00E36759">
      <w:pPr>
        <w:rPr>
          <w:b/>
        </w:rPr>
      </w:pPr>
    </w:p>
    <w:tbl>
      <w:tblPr>
        <w:tblStyle w:val="TableGrid"/>
        <w:tblW w:w="10314" w:type="dxa"/>
        <w:tblLook w:val="04A0" w:firstRow="1" w:lastRow="0" w:firstColumn="1" w:lastColumn="0" w:noHBand="0" w:noVBand="1"/>
      </w:tblPr>
      <w:tblGrid>
        <w:gridCol w:w="3114"/>
        <w:gridCol w:w="7200"/>
      </w:tblGrid>
      <w:tr w:rsidR="00203B2A" w14:paraId="73860A9C" w14:textId="77777777" w:rsidTr="005A45F8">
        <w:trPr>
          <w:trHeight w:val="488"/>
        </w:trPr>
        <w:tc>
          <w:tcPr>
            <w:tcW w:w="3114" w:type="dxa"/>
          </w:tcPr>
          <w:p w14:paraId="2719403D" w14:textId="77777777" w:rsidR="00203B2A" w:rsidRDefault="00203B2A" w:rsidP="006E3B24">
            <w:pPr>
              <w:jc w:val="left"/>
              <w:rPr>
                <w:b/>
              </w:rPr>
            </w:pPr>
            <w:r>
              <w:rPr>
                <w:b/>
              </w:rPr>
              <w:t>Advert Title</w:t>
            </w:r>
          </w:p>
        </w:tc>
        <w:tc>
          <w:tcPr>
            <w:tcW w:w="7200" w:type="dxa"/>
          </w:tcPr>
          <w:p w14:paraId="0EC21DDC" w14:textId="77777777" w:rsidR="00764F2B" w:rsidRDefault="00764F2B" w:rsidP="00E36759">
            <w:pPr>
              <w:rPr>
                <w:b/>
              </w:rPr>
            </w:pPr>
            <w:r>
              <w:rPr>
                <w:b/>
              </w:rPr>
              <w:t xml:space="preserve">Lay Members </w:t>
            </w:r>
          </w:p>
          <w:p w14:paraId="48002F27" w14:textId="77777777" w:rsidR="00203B2A" w:rsidRDefault="00764F2B" w:rsidP="00E36759">
            <w:pPr>
              <w:rPr>
                <w:b/>
              </w:rPr>
            </w:pPr>
            <w:r>
              <w:rPr>
                <w:b/>
              </w:rPr>
              <w:t>Queen Margaret University Court</w:t>
            </w:r>
          </w:p>
          <w:p w14:paraId="4A1DC7C7" w14:textId="77777777" w:rsidR="00764F2B" w:rsidRDefault="00764F2B" w:rsidP="00E36759">
            <w:pPr>
              <w:rPr>
                <w:b/>
              </w:rPr>
            </w:pPr>
          </w:p>
        </w:tc>
      </w:tr>
      <w:tr w:rsidR="00203B2A" w14:paraId="636AD3CC" w14:textId="77777777" w:rsidTr="005A45F8">
        <w:trPr>
          <w:trHeight w:val="551"/>
        </w:trPr>
        <w:tc>
          <w:tcPr>
            <w:tcW w:w="3114" w:type="dxa"/>
          </w:tcPr>
          <w:p w14:paraId="78520365" w14:textId="77777777" w:rsidR="00203B2A" w:rsidRDefault="00203B2A" w:rsidP="006E3B24">
            <w:pPr>
              <w:jc w:val="left"/>
              <w:rPr>
                <w:b/>
              </w:rPr>
            </w:pPr>
            <w:r>
              <w:rPr>
                <w:b/>
              </w:rPr>
              <w:t>Start Date</w:t>
            </w:r>
          </w:p>
        </w:tc>
        <w:tc>
          <w:tcPr>
            <w:tcW w:w="7200" w:type="dxa"/>
          </w:tcPr>
          <w:p w14:paraId="7D593C4A" w14:textId="758E1BBD" w:rsidR="00203B2A" w:rsidRDefault="00D5192E" w:rsidP="00D5192E">
            <w:pPr>
              <w:rPr>
                <w:b/>
              </w:rPr>
            </w:pPr>
            <w:r>
              <w:rPr>
                <w:b/>
              </w:rPr>
              <w:t>Wednesday</w:t>
            </w:r>
            <w:r w:rsidR="00DF4A5A">
              <w:rPr>
                <w:b/>
              </w:rPr>
              <w:t xml:space="preserve">, </w:t>
            </w:r>
            <w:r w:rsidR="003E1868">
              <w:rPr>
                <w:b/>
              </w:rPr>
              <w:t>16</w:t>
            </w:r>
            <w:r w:rsidR="00F41541">
              <w:rPr>
                <w:b/>
              </w:rPr>
              <w:t xml:space="preserve"> </w:t>
            </w:r>
            <w:r w:rsidR="003E1868">
              <w:rPr>
                <w:b/>
              </w:rPr>
              <w:t>May</w:t>
            </w:r>
            <w:r w:rsidR="00F41541">
              <w:rPr>
                <w:b/>
              </w:rPr>
              <w:t xml:space="preserve"> </w:t>
            </w:r>
            <w:r w:rsidR="00924E20">
              <w:rPr>
                <w:b/>
              </w:rPr>
              <w:t>202</w:t>
            </w:r>
            <w:r w:rsidR="003E1868">
              <w:rPr>
                <w:b/>
              </w:rPr>
              <w:t>4</w:t>
            </w:r>
          </w:p>
        </w:tc>
      </w:tr>
      <w:tr w:rsidR="00203B2A" w14:paraId="04D63E97" w14:textId="77777777" w:rsidTr="005A45F8">
        <w:trPr>
          <w:trHeight w:val="431"/>
        </w:trPr>
        <w:tc>
          <w:tcPr>
            <w:tcW w:w="3114" w:type="dxa"/>
          </w:tcPr>
          <w:p w14:paraId="144C2F20" w14:textId="77777777" w:rsidR="00203B2A" w:rsidRDefault="00203B2A" w:rsidP="006E3B24">
            <w:pPr>
              <w:jc w:val="left"/>
              <w:rPr>
                <w:b/>
              </w:rPr>
            </w:pPr>
            <w:r>
              <w:rPr>
                <w:b/>
              </w:rPr>
              <w:t>Closing Date</w:t>
            </w:r>
          </w:p>
        </w:tc>
        <w:tc>
          <w:tcPr>
            <w:tcW w:w="7200" w:type="dxa"/>
          </w:tcPr>
          <w:p w14:paraId="49B89553" w14:textId="29CE3571" w:rsidR="00203B2A" w:rsidRDefault="00D5192E" w:rsidP="00D5192E">
            <w:pPr>
              <w:rPr>
                <w:b/>
              </w:rPr>
            </w:pPr>
            <w:r>
              <w:rPr>
                <w:b/>
              </w:rPr>
              <w:t>Sunday</w:t>
            </w:r>
            <w:r w:rsidR="00DF4A5A">
              <w:rPr>
                <w:b/>
              </w:rPr>
              <w:t xml:space="preserve">, </w:t>
            </w:r>
            <w:r w:rsidR="00F41541">
              <w:rPr>
                <w:b/>
              </w:rPr>
              <w:t>7</w:t>
            </w:r>
            <w:r w:rsidR="0069647B">
              <w:rPr>
                <w:b/>
              </w:rPr>
              <w:t xml:space="preserve"> </w:t>
            </w:r>
            <w:r w:rsidR="003E1868">
              <w:rPr>
                <w:b/>
              </w:rPr>
              <w:t xml:space="preserve">July </w:t>
            </w:r>
            <w:r w:rsidR="0069647B">
              <w:rPr>
                <w:b/>
              </w:rPr>
              <w:t>202</w:t>
            </w:r>
            <w:r w:rsidR="003E1868">
              <w:rPr>
                <w:b/>
              </w:rPr>
              <w:t>4</w:t>
            </w:r>
          </w:p>
          <w:p w14:paraId="49455B8E" w14:textId="77777777" w:rsidR="00D5192E" w:rsidRDefault="00D5192E" w:rsidP="00D5192E">
            <w:pPr>
              <w:rPr>
                <w:b/>
              </w:rPr>
            </w:pPr>
          </w:p>
        </w:tc>
      </w:tr>
      <w:tr w:rsidR="00203B2A" w14:paraId="218CB381" w14:textId="77777777" w:rsidTr="005A45F8">
        <w:trPr>
          <w:trHeight w:val="420"/>
        </w:trPr>
        <w:tc>
          <w:tcPr>
            <w:tcW w:w="3114" w:type="dxa"/>
          </w:tcPr>
          <w:p w14:paraId="2A2BDED4" w14:textId="77777777" w:rsidR="00203B2A" w:rsidRDefault="00203B2A" w:rsidP="006E3B24">
            <w:pPr>
              <w:jc w:val="left"/>
              <w:rPr>
                <w:b/>
              </w:rPr>
            </w:pPr>
            <w:r>
              <w:rPr>
                <w:b/>
              </w:rPr>
              <w:t>Remuneration</w:t>
            </w:r>
          </w:p>
        </w:tc>
        <w:tc>
          <w:tcPr>
            <w:tcW w:w="7200" w:type="dxa"/>
          </w:tcPr>
          <w:p w14:paraId="701038CA" w14:textId="77777777" w:rsidR="00203B2A" w:rsidRDefault="0002458D" w:rsidP="00764F2B">
            <w:pPr>
              <w:rPr>
                <w:b/>
              </w:rPr>
            </w:pPr>
            <w:r>
              <w:rPr>
                <w:b/>
              </w:rPr>
              <w:t>Non-remunerated</w:t>
            </w:r>
            <w:r w:rsidR="00764F2B" w:rsidRPr="00764F2B">
              <w:rPr>
                <w:rFonts w:ascii="Franklin Gothic Book" w:eastAsiaTheme="minorHAnsi" w:hAnsi="Franklin Gothic Book" w:cs="GillSans"/>
                <w:color w:val="000000"/>
                <w:szCs w:val="24"/>
              </w:rPr>
              <w:t xml:space="preserve"> </w:t>
            </w:r>
            <w:r w:rsidR="00764F2B" w:rsidRPr="00764F2B">
              <w:rPr>
                <w:b/>
              </w:rPr>
              <w:t xml:space="preserve">but reasonable travel and subsistence expenses will be reimbursed for attendance at Court and Committee meetings, for business conducted on behalf of the University, or duties carried out at the request of the Court. </w:t>
            </w:r>
          </w:p>
          <w:p w14:paraId="395F8C0D" w14:textId="77777777" w:rsidR="00764F2B" w:rsidRDefault="00764F2B" w:rsidP="00764F2B">
            <w:pPr>
              <w:rPr>
                <w:b/>
              </w:rPr>
            </w:pPr>
          </w:p>
        </w:tc>
      </w:tr>
      <w:tr w:rsidR="00203B2A" w14:paraId="3DB6B049" w14:textId="77777777" w:rsidTr="005A45F8">
        <w:trPr>
          <w:trHeight w:val="413"/>
        </w:trPr>
        <w:tc>
          <w:tcPr>
            <w:tcW w:w="3114" w:type="dxa"/>
          </w:tcPr>
          <w:p w14:paraId="2DCF1B1B" w14:textId="77777777" w:rsidR="00203B2A" w:rsidRDefault="00203B2A" w:rsidP="006E3B24">
            <w:pPr>
              <w:jc w:val="left"/>
              <w:rPr>
                <w:b/>
              </w:rPr>
            </w:pPr>
            <w:r>
              <w:rPr>
                <w:b/>
              </w:rPr>
              <w:t>Location</w:t>
            </w:r>
          </w:p>
        </w:tc>
        <w:tc>
          <w:tcPr>
            <w:tcW w:w="7200" w:type="dxa"/>
          </w:tcPr>
          <w:p w14:paraId="7D4F99F8" w14:textId="77777777" w:rsidR="00203B2A" w:rsidRDefault="00764F2B" w:rsidP="00E36759">
            <w:pPr>
              <w:rPr>
                <w:b/>
              </w:rPr>
            </w:pPr>
            <w:r>
              <w:rPr>
                <w:b/>
              </w:rPr>
              <w:t>Queen Margaret University, Musselburgh</w:t>
            </w:r>
            <w:r w:rsidR="009C3337">
              <w:rPr>
                <w:b/>
              </w:rPr>
              <w:t>, EH21 6UU</w:t>
            </w:r>
          </w:p>
          <w:p w14:paraId="71D2C404" w14:textId="77777777" w:rsidR="00764F2B" w:rsidRDefault="00764F2B" w:rsidP="00E36759">
            <w:pPr>
              <w:rPr>
                <w:b/>
              </w:rPr>
            </w:pPr>
          </w:p>
        </w:tc>
      </w:tr>
      <w:tr w:rsidR="00203B2A" w14:paraId="35535469" w14:textId="77777777" w:rsidTr="005A45F8">
        <w:trPr>
          <w:trHeight w:val="419"/>
        </w:trPr>
        <w:tc>
          <w:tcPr>
            <w:tcW w:w="3114" w:type="dxa"/>
          </w:tcPr>
          <w:p w14:paraId="2495AA7A" w14:textId="77777777" w:rsidR="00203B2A" w:rsidRDefault="00203B2A" w:rsidP="006E3B24">
            <w:pPr>
              <w:jc w:val="left"/>
              <w:rPr>
                <w:b/>
              </w:rPr>
            </w:pPr>
            <w:r>
              <w:rPr>
                <w:b/>
              </w:rPr>
              <w:t>Length of Appointment</w:t>
            </w:r>
          </w:p>
        </w:tc>
        <w:tc>
          <w:tcPr>
            <w:tcW w:w="7200" w:type="dxa"/>
          </w:tcPr>
          <w:p w14:paraId="1CB9C883" w14:textId="77777777" w:rsidR="00203B2A" w:rsidRDefault="00764F2B" w:rsidP="00E36759">
            <w:pPr>
              <w:rPr>
                <w:b/>
              </w:rPr>
            </w:pPr>
            <w:r>
              <w:rPr>
                <w:b/>
              </w:rPr>
              <w:t>3 years, but may be extended for a further 3 years.</w:t>
            </w:r>
          </w:p>
          <w:p w14:paraId="1E4E1A4A" w14:textId="77777777" w:rsidR="00764F2B" w:rsidRDefault="00764F2B" w:rsidP="00E36759">
            <w:pPr>
              <w:rPr>
                <w:b/>
              </w:rPr>
            </w:pPr>
          </w:p>
        </w:tc>
      </w:tr>
      <w:tr w:rsidR="00203B2A" w14:paraId="4FBFA741" w14:textId="77777777" w:rsidTr="005A45F8">
        <w:trPr>
          <w:trHeight w:val="737"/>
        </w:trPr>
        <w:tc>
          <w:tcPr>
            <w:tcW w:w="3114" w:type="dxa"/>
          </w:tcPr>
          <w:p w14:paraId="58DA1D94" w14:textId="77777777" w:rsidR="006E3B24" w:rsidRDefault="002C2959" w:rsidP="006E3B24">
            <w:pPr>
              <w:jc w:val="left"/>
              <w:rPr>
                <w:b/>
              </w:rPr>
            </w:pPr>
            <w:r>
              <w:rPr>
                <w:b/>
              </w:rPr>
              <w:t>Time Commitment</w:t>
            </w:r>
            <w:r w:rsidR="00203B2A">
              <w:rPr>
                <w:b/>
              </w:rPr>
              <w:t xml:space="preserve"> </w:t>
            </w:r>
          </w:p>
          <w:p w14:paraId="42ADA403" w14:textId="77777777" w:rsidR="006E3B24" w:rsidRDefault="00203B2A" w:rsidP="006E3B24">
            <w:pPr>
              <w:jc w:val="left"/>
              <w:rPr>
                <w:b/>
              </w:rPr>
            </w:pPr>
            <w:r>
              <w:rPr>
                <w:b/>
              </w:rPr>
              <w:t>(</w:t>
            </w:r>
            <w:r w:rsidR="002C2959">
              <w:rPr>
                <w:b/>
              </w:rPr>
              <w:t xml:space="preserve">days </w:t>
            </w:r>
            <w:r>
              <w:rPr>
                <w:b/>
              </w:rPr>
              <w:t>per week/year)</w:t>
            </w:r>
          </w:p>
        </w:tc>
        <w:tc>
          <w:tcPr>
            <w:tcW w:w="7200" w:type="dxa"/>
          </w:tcPr>
          <w:p w14:paraId="1A79DA7D" w14:textId="0F363F2E" w:rsidR="00203B2A" w:rsidRDefault="00D80CEF" w:rsidP="00E36759">
            <w:pPr>
              <w:rPr>
                <w:b/>
              </w:rPr>
            </w:pPr>
            <w:r>
              <w:rPr>
                <w:b/>
              </w:rPr>
              <w:t>10-</w:t>
            </w:r>
            <w:r w:rsidR="00764F2B">
              <w:rPr>
                <w:b/>
              </w:rPr>
              <w:t>15 days per annum</w:t>
            </w:r>
          </w:p>
        </w:tc>
      </w:tr>
      <w:tr w:rsidR="00203B2A" w14:paraId="720C5944" w14:textId="77777777" w:rsidTr="005A45F8">
        <w:trPr>
          <w:trHeight w:val="549"/>
        </w:trPr>
        <w:tc>
          <w:tcPr>
            <w:tcW w:w="3114" w:type="dxa"/>
          </w:tcPr>
          <w:p w14:paraId="06804B26" w14:textId="77777777" w:rsidR="00203B2A" w:rsidRDefault="00203B2A" w:rsidP="006E3B24">
            <w:pPr>
              <w:jc w:val="left"/>
              <w:rPr>
                <w:b/>
              </w:rPr>
            </w:pPr>
            <w:r>
              <w:rPr>
                <w:b/>
              </w:rPr>
              <w:t>Number of positions advertised</w:t>
            </w:r>
          </w:p>
        </w:tc>
        <w:tc>
          <w:tcPr>
            <w:tcW w:w="7200" w:type="dxa"/>
          </w:tcPr>
          <w:p w14:paraId="02CF9ED1" w14:textId="00CBB735" w:rsidR="00203B2A" w:rsidRDefault="00525201" w:rsidP="00E36759">
            <w:pPr>
              <w:rPr>
                <w:b/>
              </w:rPr>
            </w:pPr>
            <w:r>
              <w:rPr>
                <w:b/>
              </w:rPr>
              <w:t xml:space="preserve">Up to </w:t>
            </w:r>
            <w:r w:rsidR="00F41541">
              <w:rPr>
                <w:b/>
              </w:rPr>
              <w:t>4</w:t>
            </w:r>
          </w:p>
        </w:tc>
      </w:tr>
      <w:tr w:rsidR="002C2959" w14:paraId="3CB48F5A" w14:textId="77777777" w:rsidTr="005A45F8">
        <w:trPr>
          <w:trHeight w:val="1247"/>
        </w:trPr>
        <w:tc>
          <w:tcPr>
            <w:tcW w:w="3114" w:type="dxa"/>
          </w:tcPr>
          <w:p w14:paraId="5EC97F63" w14:textId="77777777" w:rsidR="0092039F" w:rsidRDefault="002C2959" w:rsidP="006E3B24">
            <w:pPr>
              <w:jc w:val="left"/>
              <w:rPr>
                <w:b/>
              </w:rPr>
            </w:pPr>
            <w:r>
              <w:rPr>
                <w:b/>
              </w:rPr>
              <w:t>How to apply</w:t>
            </w:r>
            <w:r w:rsidR="0092039F">
              <w:rPr>
                <w:b/>
              </w:rPr>
              <w:t xml:space="preserve"> </w:t>
            </w:r>
            <w:r>
              <w:rPr>
                <w:b/>
              </w:rPr>
              <w:t>/</w:t>
            </w:r>
          </w:p>
          <w:p w14:paraId="7328E948" w14:textId="77777777" w:rsidR="002C2959" w:rsidRDefault="002C2959" w:rsidP="006E3B24">
            <w:pPr>
              <w:jc w:val="left"/>
              <w:rPr>
                <w:b/>
              </w:rPr>
            </w:pPr>
            <w:r>
              <w:rPr>
                <w:b/>
              </w:rPr>
              <w:t>Contact Details</w:t>
            </w:r>
          </w:p>
        </w:tc>
        <w:tc>
          <w:tcPr>
            <w:tcW w:w="7200" w:type="dxa"/>
          </w:tcPr>
          <w:p w14:paraId="038A53B7" w14:textId="77777777" w:rsidR="00764F2B" w:rsidRDefault="00764F2B" w:rsidP="00764F2B">
            <w:pPr>
              <w:rPr>
                <w:b/>
              </w:rPr>
            </w:pPr>
            <w:r w:rsidRPr="00764F2B">
              <w:rPr>
                <w:b/>
              </w:rPr>
              <w:t>Applications are invited in the form of:</w:t>
            </w:r>
          </w:p>
          <w:p w14:paraId="6CBA3DF6" w14:textId="77777777" w:rsidR="00764F2B" w:rsidRPr="00764F2B" w:rsidRDefault="00764F2B" w:rsidP="00764F2B">
            <w:pPr>
              <w:rPr>
                <w:b/>
              </w:rPr>
            </w:pPr>
          </w:p>
          <w:p w14:paraId="3FE80632" w14:textId="77777777" w:rsidR="00764F2B" w:rsidRPr="009C3337" w:rsidRDefault="00764F2B" w:rsidP="009C3337">
            <w:pPr>
              <w:pStyle w:val="ListParagraph"/>
              <w:numPr>
                <w:ilvl w:val="0"/>
                <w:numId w:val="8"/>
              </w:numPr>
              <w:rPr>
                <w:b/>
              </w:rPr>
            </w:pPr>
            <w:r w:rsidRPr="009C3337">
              <w:rPr>
                <w:b/>
              </w:rPr>
              <w:t>A current CV or description of work and other relevant experience.</w:t>
            </w:r>
          </w:p>
          <w:p w14:paraId="43428182" w14:textId="77777777" w:rsidR="00764F2B" w:rsidRPr="009C3337" w:rsidRDefault="00764F2B" w:rsidP="009C3337">
            <w:pPr>
              <w:pStyle w:val="ListParagraph"/>
              <w:numPr>
                <w:ilvl w:val="0"/>
                <w:numId w:val="8"/>
              </w:numPr>
              <w:rPr>
                <w:b/>
              </w:rPr>
            </w:pPr>
            <w:r w:rsidRPr="009C3337">
              <w:rPr>
                <w:b/>
              </w:rPr>
              <w:t xml:space="preserve">A supporting statement highlighting how skills and experience match the role specification. </w:t>
            </w:r>
          </w:p>
          <w:p w14:paraId="696F2DCB" w14:textId="77777777" w:rsidR="00BD2BAA" w:rsidRPr="009C3337" w:rsidRDefault="00BD2BAA" w:rsidP="009C3337">
            <w:pPr>
              <w:pStyle w:val="ListParagraph"/>
              <w:numPr>
                <w:ilvl w:val="0"/>
                <w:numId w:val="8"/>
              </w:numPr>
              <w:tabs>
                <w:tab w:val="clear" w:pos="720"/>
              </w:tabs>
              <w:rPr>
                <w:b/>
              </w:rPr>
            </w:pPr>
            <w:r w:rsidRPr="009C3337">
              <w:rPr>
                <w:b/>
              </w:rPr>
              <w:t>The names of two referees who may be contacted.</w:t>
            </w:r>
          </w:p>
          <w:p w14:paraId="693CAF38" w14:textId="77777777" w:rsidR="00764F2B" w:rsidRPr="00764F2B" w:rsidRDefault="00764F2B" w:rsidP="00764F2B">
            <w:pPr>
              <w:rPr>
                <w:b/>
              </w:rPr>
            </w:pPr>
          </w:p>
          <w:p w14:paraId="581AD574" w14:textId="77777777" w:rsidR="00764F2B" w:rsidRPr="00764F2B" w:rsidRDefault="00764F2B" w:rsidP="00764F2B">
            <w:pPr>
              <w:rPr>
                <w:b/>
              </w:rPr>
            </w:pPr>
            <w:r>
              <w:rPr>
                <w:b/>
              </w:rPr>
              <w:t>Applicants are</w:t>
            </w:r>
            <w:r w:rsidRPr="00764F2B">
              <w:rPr>
                <w:b/>
              </w:rPr>
              <w:t xml:space="preserve"> also asked</w:t>
            </w:r>
            <w:r>
              <w:rPr>
                <w:b/>
              </w:rPr>
              <w:t xml:space="preserve"> to</w:t>
            </w:r>
            <w:r w:rsidRPr="00764F2B">
              <w:rPr>
                <w:b/>
              </w:rPr>
              <w:t xml:space="preserve"> complete and return an Equality and Diversity Monitoring Form. Please note that this form will be used purely for monitoring purposes. The form will be separated from </w:t>
            </w:r>
            <w:r>
              <w:rPr>
                <w:b/>
              </w:rPr>
              <w:t>the</w:t>
            </w:r>
            <w:r w:rsidRPr="00764F2B">
              <w:rPr>
                <w:b/>
              </w:rPr>
              <w:t xml:space="preserve"> application and will not form part of the selection process.</w:t>
            </w:r>
          </w:p>
          <w:p w14:paraId="187BA261" w14:textId="77777777" w:rsidR="00764F2B" w:rsidRPr="00764F2B" w:rsidRDefault="00764F2B" w:rsidP="00764F2B">
            <w:pPr>
              <w:rPr>
                <w:b/>
              </w:rPr>
            </w:pPr>
          </w:p>
          <w:p w14:paraId="596CFBFF" w14:textId="27D791D3" w:rsidR="002C2959" w:rsidRDefault="00D63536" w:rsidP="00746742">
            <w:pPr>
              <w:rPr>
                <w:b/>
              </w:rPr>
            </w:pPr>
            <w:r w:rsidRPr="00D63536">
              <w:rPr>
                <w:b/>
              </w:rPr>
              <w:t xml:space="preserve">Applications are invited by Sunday 7 </w:t>
            </w:r>
            <w:r w:rsidR="003E1868">
              <w:rPr>
                <w:b/>
              </w:rPr>
              <w:t>July</w:t>
            </w:r>
            <w:r w:rsidRPr="00D63536">
              <w:rPr>
                <w:b/>
              </w:rPr>
              <w:t xml:space="preserve"> 202</w:t>
            </w:r>
            <w:r w:rsidR="003E1868">
              <w:rPr>
                <w:b/>
              </w:rPr>
              <w:t>4</w:t>
            </w:r>
            <w:r w:rsidRPr="00D63536">
              <w:rPr>
                <w:b/>
              </w:rPr>
              <w:t xml:space="preserve"> and should be submitted by e-mail to </w:t>
            </w:r>
            <w:hyperlink r:id="rId7" w:history="1">
              <w:r w:rsidRPr="00001B8A">
                <w:rPr>
                  <w:rStyle w:val="Hyperlink"/>
                  <w:b/>
                </w:rPr>
                <w:t>ihynd@qmu.ac.uk</w:t>
              </w:r>
            </w:hyperlink>
            <w:r w:rsidRPr="00D63536">
              <w:rPr>
                <w:b/>
              </w:rPr>
              <w:t>.</w:t>
            </w:r>
          </w:p>
          <w:p w14:paraId="2FB137C0" w14:textId="7BD3775E" w:rsidR="00D63536" w:rsidRDefault="00D63536" w:rsidP="00746742">
            <w:pPr>
              <w:rPr>
                <w:b/>
              </w:rPr>
            </w:pPr>
          </w:p>
        </w:tc>
      </w:tr>
    </w:tbl>
    <w:p w14:paraId="022A5CD6" w14:textId="2240158B" w:rsidR="00203B2A" w:rsidRPr="00203B2A" w:rsidRDefault="00203B2A" w:rsidP="00E36759"/>
    <w:sectPr w:rsidR="00203B2A" w:rsidRPr="00203B2A" w:rsidSect="0002458D">
      <w:headerReference w:type="default" r:id="rId8"/>
      <w:footerReference w:type="default" r:id="rId9"/>
      <w:pgSz w:w="11906" w:h="16838" w:code="9"/>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D7F621" w14:textId="77777777" w:rsidR="00A006A4" w:rsidRDefault="00A006A4">
      <w:pPr>
        <w:spacing w:line="240" w:lineRule="auto"/>
      </w:pPr>
      <w:r>
        <w:separator/>
      </w:r>
    </w:p>
  </w:endnote>
  <w:endnote w:type="continuationSeparator" w:id="0">
    <w:p w14:paraId="2E01AF88" w14:textId="77777777" w:rsidR="00A006A4" w:rsidRDefault="00A006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San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0EF7B" w14:textId="77777777"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383A36" w14:textId="77777777" w:rsidR="00A006A4" w:rsidRDefault="00A006A4">
      <w:pPr>
        <w:spacing w:line="240" w:lineRule="auto"/>
      </w:pPr>
      <w:r>
        <w:separator/>
      </w:r>
    </w:p>
  </w:footnote>
  <w:footnote w:type="continuationSeparator" w:id="0">
    <w:p w14:paraId="1E1343BA" w14:textId="77777777" w:rsidR="00A006A4" w:rsidRDefault="00A006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F1FCD" w14:textId="77777777"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F9554DE"/>
    <w:multiLevelType w:val="hybridMultilevel"/>
    <w:tmpl w:val="12209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533F2F"/>
    <w:multiLevelType w:val="hybridMultilevel"/>
    <w:tmpl w:val="69487C7E"/>
    <w:lvl w:ilvl="0" w:tplc="6E4CCD4C">
      <w:numFmt w:val="bullet"/>
      <w:lvlText w:val="•"/>
      <w:lvlJc w:val="left"/>
      <w:pPr>
        <w:ind w:left="1704" w:hanging="570"/>
      </w:pPr>
      <w:rPr>
        <w:rFonts w:ascii="Franklin Gothic Book" w:eastAsiaTheme="minorHAnsi" w:hAnsi="Franklin Gothic Book" w:cs="GillSan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5CF97BF0"/>
    <w:multiLevelType w:val="hybridMultilevel"/>
    <w:tmpl w:val="E3BAD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15:restartNumberingAfterBreak="0">
    <w:nsid w:val="6A4F1C01"/>
    <w:multiLevelType w:val="hybridMultilevel"/>
    <w:tmpl w:val="088C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3715718">
    <w:abstractNumId w:val="4"/>
  </w:num>
  <w:num w:numId="2" w16cid:durableId="58990059">
    <w:abstractNumId w:val="0"/>
  </w:num>
  <w:num w:numId="3" w16cid:durableId="1064259189">
    <w:abstractNumId w:val="0"/>
  </w:num>
  <w:num w:numId="4" w16cid:durableId="1715470966">
    <w:abstractNumId w:val="0"/>
  </w:num>
  <w:num w:numId="5" w16cid:durableId="1010597085">
    <w:abstractNumId w:val="5"/>
  </w:num>
  <w:num w:numId="6" w16cid:durableId="727533741">
    <w:abstractNumId w:val="2"/>
  </w:num>
  <w:num w:numId="7" w16cid:durableId="1433863484">
    <w:abstractNumId w:val="1"/>
  </w:num>
  <w:num w:numId="8" w16cid:durableId="17205202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B2A"/>
    <w:rsid w:val="0002458D"/>
    <w:rsid w:val="0004030C"/>
    <w:rsid w:val="00100021"/>
    <w:rsid w:val="001267F7"/>
    <w:rsid w:val="00157346"/>
    <w:rsid w:val="001634C2"/>
    <w:rsid w:val="00192DC7"/>
    <w:rsid w:val="00192EE2"/>
    <w:rsid w:val="00203B2A"/>
    <w:rsid w:val="002C2959"/>
    <w:rsid w:val="002F3688"/>
    <w:rsid w:val="003E1868"/>
    <w:rsid w:val="003F2479"/>
    <w:rsid w:val="00411FC4"/>
    <w:rsid w:val="004338AD"/>
    <w:rsid w:val="00451170"/>
    <w:rsid w:val="0050629E"/>
    <w:rsid w:val="00525201"/>
    <w:rsid w:val="005A45F8"/>
    <w:rsid w:val="006031B0"/>
    <w:rsid w:val="0065345B"/>
    <w:rsid w:val="00672735"/>
    <w:rsid w:val="0067486A"/>
    <w:rsid w:val="0069647B"/>
    <w:rsid w:val="006D26F7"/>
    <w:rsid w:val="006E3B24"/>
    <w:rsid w:val="00746742"/>
    <w:rsid w:val="00764F2B"/>
    <w:rsid w:val="008D44DA"/>
    <w:rsid w:val="0092039F"/>
    <w:rsid w:val="00924E20"/>
    <w:rsid w:val="00952710"/>
    <w:rsid w:val="00976798"/>
    <w:rsid w:val="009B2504"/>
    <w:rsid w:val="009C3337"/>
    <w:rsid w:val="009F71B8"/>
    <w:rsid w:val="00A006A4"/>
    <w:rsid w:val="00A1044E"/>
    <w:rsid w:val="00A56EBA"/>
    <w:rsid w:val="00A90A53"/>
    <w:rsid w:val="00AB54FF"/>
    <w:rsid w:val="00AC310B"/>
    <w:rsid w:val="00AE01CB"/>
    <w:rsid w:val="00B45364"/>
    <w:rsid w:val="00BD2BAA"/>
    <w:rsid w:val="00C071FF"/>
    <w:rsid w:val="00C86FBA"/>
    <w:rsid w:val="00D35040"/>
    <w:rsid w:val="00D5192E"/>
    <w:rsid w:val="00D57C8A"/>
    <w:rsid w:val="00D63536"/>
    <w:rsid w:val="00D80CEF"/>
    <w:rsid w:val="00DF4A5A"/>
    <w:rsid w:val="00E3599D"/>
    <w:rsid w:val="00E36759"/>
    <w:rsid w:val="00F41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38218"/>
  <w15:docId w15:val="{E2D258C9-EF82-48D0-8297-C2448011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table" w:styleId="TableGrid">
    <w:name w:val="Table Grid"/>
    <w:basedOn w:val="TableNormal"/>
    <w:uiPriority w:val="59"/>
    <w:rsid w:val="00203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4F2B"/>
    <w:rPr>
      <w:color w:val="0000FF" w:themeColor="hyperlink"/>
      <w:u w:val="single"/>
    </w:rPr>
  </w:style>
  <w:style w:type="paragraph" w:styleId="ListParagraph">
    <w:name w:val="List Paragraph"/>
    <w:basedOn w:val="Normal"/>
    <w:uiPriority w:val="34"/>
    <w:qFormat/>
    <w:rsid w:val="00BD2BAA"/>
    <w:pPr>
      <w:ind w:left="720"/>
      <w:contextualSpacing/>
    </w:pPr>
  </w:style>
  <w:style w:type="paragraph" w:styleId="BalloonText">
    <w:name w:val="Balloon Text"/>
    <w:basedOn w:val="Normal"/>
    <w:link w:val="BalloonTextChar"/>
    <w:uiPriority w:val="99"/>
    <w:semiHidden/>
    <w:unhideWhenUsed/>
    <w:rsid w:val="000245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58D"/>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D63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hynd@qmu.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199</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Rudge, Fraser</dc:creator>
  <cp:lastModifiedBy>Rudge, Fraser</cp:lastModifiedBy>
  <cp:revision>5</cp:revision>
  <dcterms:created xsi:type="dcterms:W3CDTF">2023-08-09T13:47:00Z</dcterms:created>
  <dcterms:modified xsi:type="dcterms:W3CDTF">2024-05-16T08:28:00Z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A8384276</vt:lpwstr>
  </property>
  <property fmtid="{D5CDD505-2E9C-101B-9397-08002B2CF9AE}" pid="4" name="Objective-Title">
    <vt:lpwstr>PAWD Template - MARCH 2014 - Non PAWD Advert Table Information</vt:lpwstr>
  </property>
  <property fmtid="{D5CDD505-2E9C-101B-9397-08002B2CF9AE}" pid="5" name="Objective-Comment">
    <vt:lpwstr>
    </vt:lpwstr>
  </property>
  <property fmtid="{D5CDD505-2E9C-101B-9397-08002B2CF9AE}" pid="6" name="Objective-CreationStamp">
    <vt:filetime>2014-05-08T11:53:36Z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2014-09-25T14:22:10Z</vt:filetime>
  </property>
  <property fmtid="{D5CDD505-2E9C-101B-9397-08002B2CF9AE}" pid="10" name="Objective-ModificationStamp">
    <vt:filetime>2016-02-19T12:02:53Z</vt:filetime>
  </property>
  <property fmtid="{D5CDD505-2E9C-101B-9397-08002B2CF9AE}" pid="11" name="Objective-Owner">
    <vt:lpwstr>McAlpine, Sheree S (U418825)</vt:lpwstr>
  </property>
  <property fmtid="{D5CDD505-2E9C-101B-9397-08002B2CF9AE}" pid="12" name="Objective-Path">
    <vt:lpwstr>Objective Global Folder:SG File Plan:Administration:Human resources:Public Appointments:Guidance and procedures: Public Appointments:Public Appointments Centre of Expertise (PACE): Templates 2013-2018:</vt:lpwstr>
  </property>
  <property fmtid="{D5CDD505-2E9C-101B-9397-08002B2CF9AE}" pid="13" name="Objective-Parent">
    <vt:lpwstr>Public Appointments Centre of Expertise (PACE): Templates 2013-2018</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i4>3</vt:i4>
  </property>
  <property fmtid="{D5CDD505-2E9C-101B-9397-08002B2CF9AE}" pid="17" name="Objective-VersionComment">
    <vt:lpwstr>
    </vt:lpwstr>
  </property>
  <property fmtid="{D5CDD505-2E9C-101B-9397-08002B2CF9AE}" pid="18" name="Objective-FileNumber">
    <vt:lpwstr>BUSPROC/3656</vt:lpwstr>
  </property>
  <property fmtid="{D5CDD505-2E9C-101B-9397-08002B2CF9AE}" pid="19" name="Objective-Classification">
    <vt:lpwstr>[Inherited - Not Protectively Marked]</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