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C4BD" w14:textId="2F6F3C1B" w:rsidR="00DA6AEB" w:rsidRDefault="3890A0BC" w:rsidP="48499993">
      <w:pPr>
        <w:shd w:val="clear" w:color="auto" w:fill="FFFFFF" w:themeFill="background1"/>
        <w:spacing w:after="0"/>
        <w:jc w:val="center"/>
        <w:rPr>
          <w:rFonts w:ascii="Helvetica" w:eastAsia="Helvetica" w:hAnsi="Helvetica" w:cs="Helvetica"/>
          <w:b/>
          <w:bCs/>
          <w:color w:val="242424"/>
          <w:sz w:val="22"/>
          <w:szCs w:val="22"/>
        </w:rPr>
      </w:pPr>
      <w:r w:rsidRPr="48499993">
        <w:rPr>
          <w:rFonts w:ascii="Helvetica" w:eastAsia="Helvetica" w:hAnsi="Helvetica" w:cs="Helvetica"/>
          <w:b/>
          <w:bCs/>
          <w:color w:val="242424"/>
          <w:sz w:val="22"/>
          <w:szCs w:val="22"/>
        </w:rPr>
        <w:t>Community Development Worker</w:t>
      </w:r>
    </w:p>
    <w:p w14:paraId="2C3E6ACB" w14:textId="220FB1FF" w:rsidR="00DA6AEB" w:rsidRDefault="3890A0BC" w:rsidP="48499993">
      <w:pPr>
        <w:shd w:val="clear" w:color="auto" w:fill="FFFFFF" w:themeFill="background1"/>
        <w:spacing w:after="0"/>
        <w:jc w:val="center"/>
        <w:rPr>
          <w:rFonts w:ascii="Helvetica" w:eastAsia="Helvetica" w:hAnsi="Helvetica" w:cs="Helvetica"/>
          <w:b/>
          <w:bCs/>
          <w:color w:val="242424"/>
          <w:sz w:val="22"/>
          <w:szCs w:val="22"/>
        </w:rPr>
      </w:pPr>
      <w:r w:rsidRPr="48499993">
        <w:rPr>
          <w:rFonts w:ascii="Helvetica" w:eastAsia="Helvetica" w:hAnsi="Helvetica" w:cs="Helvetica"/>
          <w:b/>
          <w:bCs/>
          <w:color w:val="242424"/>
          <w:sz w:val="22"/>
          <w:szCs w:val="22"/>
        </w:rPr>
        <w:t>Auchinleck Community Development Initiative</w:t>
      </w:r>
    </w:p>
    <w:p w14:paraId="6B30EC51" w14:textId="0D62857B" w:rsidR="00DA6AEB" w:rsidRDefault="00DA6AEB" w:rsidP="48499993">
      <w:pPr>
        <w:shd w:val="clear" w:color="auto" w:fill="FFFFFF" w:themeFill="background1"/>
        <w:spacing w:after="0"/>
        <w:jc w:val="center"/>
        <w:rPr>
          <w:rFonts w:ascii="Helvetica" w:eastAsia="Helvetica" w:hAnsi="Helvetica" w:cs="Helvetica"/>
          <w:b/>
          <w:bCs/>
          <w:color w:val="242424"/>
          <w:sz w:val="18"/>
          <w:szCs w:val="18"/>
        </w:rPr>
      </w:pPr>
    </w:p>
    <w:p w14:paraId="3FE4BFBD" w14:textId="067C5FF6" w:rsidR="00DA6AEB" w:rsidRDefault="3890A0BC" w:rsidP="4A614AD3">
      <w:pPr>
        <w:shd w:val="clear" w:color="auto" w:fill="FFFFFF" w:themeFill="background1"/>
        <w:spacing w:after="0"/>
        <w:rPr>
          <w:rFonts w:ascii="Helvetica" w:eastAsia="Helvetica" w:hAnsi="Helvetica" w:cs="Helvetica"/>
          <w:color w:val="242424"/>
        </w:rPr>
      </w:pPr>
      <w:r w:rsidRPr="4A614AD3">
        <w:rPr>
          <w:rFonts w:ascii="Helvetica" w:eastAsia="Helvetica" w:hAnsi="Helvetica" w:cs="Helvetica"/>
          <w:color w:val="242424"/>
        </w:rPr>
        <w:t>Auchinleck Community Development Initiative is a company limited by guarantee and was formed in 200</w:t>
      </w:r>
      <w:r w:rsidR="38E6A9C4" w:rsidRPr="4A614AD3">
        <w:rPr>
          <w:rFonts w:ascii="Helvetica" w:eastAsia="Helvetica" w:hAnsi="Helvetica" w:cs="Helvetica"/>
          <w:color w:val="242424"/>
        </w:rPr>
        <w:t>5</w:t>
      </w:r>
      <w:r w:rsidRPr="4A614AD3">
        <w:rPr>
          <w:rFonts w:ascii="Helvetica" w:eastAsia="Helvetica" w:hAnsi="Helvetica" w:cs="Helvetica"/>
          <w:color w:val="242424"/>
        </w:rPr>
        <w:t xml:space="preserve"> to assist in the regeneration of the physical, economic, social and cultural infrastructure of the community of Auchinleck in particular but also the surrounding area.</w:t>
      </w:r>
    </w:p>
    <w:p w14:paraId="7D7870B1" w14:textId="465BC785"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Over the years we have developed &amp; provided a range of activities and projects including the Knowe Garden Centre and other floral and fauna displays, musical entertainment, employability advice and information, addiction recovery services, community cinema and various children and young people's activities and youth clubs. The organisation is based in the local Boswell Community Centre where most of our activities and services take place.</w:t>
      </w:r>
    </w:p>
    <w:p w14:paraId="38B6C2B3" w14:textId="2019AFF5"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We have recently negotiated a 10-year lease of the Centre from East Ayrshire Leisure Trust and aim to make it a central focal point of the community in which the residents will have a full managerial role to play.</w:t>
      </w:r>
    </w:p>
    <w:p w14:paraId="4D926F3C" w14:textId="73471890"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The work of ACDI is guided by our 5-year Development plan and specific Action Plans which are currently being reviewed to take account of our new role as managers of the Boswell Centre. The Community development Worker will play a key role in the review and implementation of these plans which will have a strong emphasis on capacity building within our existing groups and those developed in the future.</w:t>
      </w:r>
    </w:p>
    <w:p w14:paraId="40063A12" w14:textId="3284D15E" w:rsidR="00DA6AEB" w:rsidRDefault="00DA6AEB" w:rsidP="48499993">
      <w:pPr>
        <w:shd w:val="clear" w:color="auto" w:fill="FFFFFF" w:themeFill="background1"/>
        <w:spacing w:after="0"/>
        <w:rPr>
          <w:rFonts w:ascii="Helvetica" w:eastAsia="Helvetica" w:hAnsi="Helvetica" w:cs="Helvetica"/>
          <w:color w:val="242424"/>
        </w:rPr>
      </w:pPr>
    </w:p>
    <w:p w14:paraId="4EEFA74B" w14:textId="35534AD3"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THE ROLE</w:t>
      </w:r>
    </w:p>
    <w:p w14:paraId="625EDFED" w14:textId="6394C3F8"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As a community development worker working with the Auchinleck Community Development Initiative you'll work with the organisation's existing projects, individuals, families, the wider community and partners, supporting them to:</w:t>
      </w:r>
    </w:p>
    <w:p w14:paraId="3CC7DC13" w14:textId="54385BD4" w:rsidR="00DA6AEB" w:rsidRDefault="3890A0BC"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build trusting and supportive relationships with you and the wider team</w:t>
      </w:r>
    </w:p>
    <w:p w14:paraId="1FAB5B06" w14:textId="30A358D3" w:rsidR="00DA6AEB" w:rsidRDefault="3890A0BC"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identify their assets, needs, opportunities, rights and responsibilities</w:t>
      </w:r>
    </w:p>
    <w:p w14:paraId="5F81923A" w14:textId="62FF5626" w:rsidR="00DA6AEB" w:rsidRDefault="3890A0BC"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co-produce what they want to achieve and take appropriate action</w:t>
      </w:r>
    </w:p>
    <w:p w14:paraId="7C10DAB7" w14:textId="01093884" w:rsidR="00DA6AEB" w:rsidRDefault="3890A0BC"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co-design activities and services to generate aspiration and confidence</w:t>
      </w:r>
    </w:p>
    <w:p w14:paraId="41E5ACDE" w14:textId="51D8C19B" w:rsidR="00DA6AEB" w:rsidRDefault="3890A0BC"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 xml:space="preserve">achieve a status of independence and </w:t>
      </w:r>
      <w:r w:rsidR="4820C3CB" w:rsidRPr="48499993">
        <w:rPr>
          <w:rFonts w:ascii="Helvetica" w:eastAsia="Helvetica" w:hAnsi="Helvetica" w:cs="Helvetica"/>
          <w:color w:val="242424"/>
        </w:rPr>
        <w:t>self-government</w:t>
      </w:r>
      <w:r w:rsidRPr="48499993">
        <w:rPr>
          <w:rFonts w:ascii="Helvetica" w:eastAsia="Helvetica" w:hAnsi="Helvetica" w:cs="Helvetica"/>
          <w:color w:val="242424"/>
        </w:rPr>
        <w:t>.</w:t>
      </w:r>
    </w:p>
    <w:p w14:paraId="50AC44E6" w14:textId="31C572F9"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You'll do this by acting as a link between the Organisation, the local community and a range of other local authority and voluntary sector providers to ensure that the Boswell Centre is a well-used resource and a focal point within the community</w:t>
      </w:r>
    </w:p>
    <w:p w14:paraId="73EDC52A" w14:textId="24F467F4" w:rsidR="00DA6AEB" w:rsidRDefault="3890A0BC"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Your role will frequently involve addressing inequality and the projects you work on will be in communities perceived to be culturally, economically or geographically disadvantaged.</w:t>
      </w:r>
    </w:p>
    <w:p w14:paraId="2C078E63" w14:textId="1FDFC538" w:rsidR="00DA6AEB" w:rsidRDefault="00DA6AEB" w:rsidP="48499993"/>
    <w:p w14:paraId="6E23008F" w14:textId="611BE628" w:rsidR="48499993" w:rsidRDefault="48499993" w:rsidP="48499993"/>
    <w:p w14:paraId="0236839E" w14:textId="14247E6A" w:rsidR="48499993" w:rsidRDefault="48499993" w:rsidP="48499993"/>
    <w:p w14:paraId="43929897" w14:textId="524659A7" w:rsidR="4E5866D0" w:rsidRDefault="4E5866D0" w:rsidP="48499993">
      <w:pPr>
        <w:shd w:val="clear" w:color="auto" w:fill="FFFFFF" w:themeFill="background1"/>
        <w:spacing w:after="0"/>
        <w:rPr>
          <w:rFonts w:ascii="Helvetica" w:eastAsia="Helvetica" w:hAnsi="Helvetica" w:cs="Helvetica"/>
          <w:b/>
          <w:bCs/>
          <w:color w:val="242424"/>
          <w:sz w:val="28"/>
          <w:szCs w:val="28"/>
        </w:rPr>
      </w:pPr>
      <w:r w:rsidRPr="48499993">
        <w:rPr>
          <w:rFonts w:ascii="Helvetica" w:eastAsia="Helvetica" w:hAnsi="Helvetica" w:cs="Helvetica"/>
          <w:b/>
          <w:bCs/>
          <w:color w:val="242424"/>
          <w:sz w:val="28"/>
          <w:szCs w:val="28"/>
        </w:rPr>
        <w:t>Responsibilities</w:t>
      </w:r>
    </w:p>
    <w:p w14:paraId="54ACFFA5" w14:textId="2C11DA12" w:rsidR="4E5866D0" w:rsidRDefault="4E5866D0"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As a Community Development Worker you will:</w:t>
      </w:r>
    </w:p>
    <w:p w14:paraId="4CDC2A86" w14:textId="58D59579" w:rsidR="48499993" w:rsidRDefault="48499993" w:rsidP="48499993">
      <w:pPr>
        <w:shd w:val="clear" w:color="auto" w:fill="FFFFFF" w:themeFill="background1"/>
        <w:spacing w:after="0"/>
        <w:rPr>
          <w:rFonts w:ascii="Helvetica" w:eastAsia="Helvetica" w:hAnsi="Helvetica" w:cs="Helvetica"/>
          <w:color w:val="242424"/>
        </w:rPr>
      </w:pPr>
    </w:p>
    <w:p w14:paraId="6EB6FFDB" w14:textId="44D907CF"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Assist in the development of the Boswell Community Centre as a multi-functional</w:t>
      </w:r>
      <w:r>
        <w:br/>
      </w:r>
      <w:r w:rsidRPr="48499993">
        <w:rPr>
          <w:rFonts w:ascii="Helvetica" w:eastAsia="Helvetica" w:hAnsi="Helvetica" w:cs="Helvetica"/>
          <w:color w:val="242424"/>
        </w:rPr>
        <w:t>Hub within the community</w:t>
      </w:r>
    </w:p>
    <w:p w14:paraId="0402F712" w14:textId="144CE5E0"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Work with existing groups to help them build capacity and become self-managed, dynamic and an active force for regeneration within the community</w:t>
      </w:r>
    </w:p>
    <w:p w14:paraId="4FFA6A28" w14:textId="7468716C"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Co-design projects/initiatives which assist in tackling specific issues (e.g. health and wellbeing, cost of living, unemployment, children and young people etc.) - with people living in Auchinleck.</w:t>
      </w:r>
    </w:p>
    <w:p w14:paraId="29CB16D6" w14:textId="6CE19A49"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Seek to actively engage the community in addressing the issues which affect their lives and help them develop partnerships with neighbouring communities and relevant services in tackling common goals</w:t>
      </w:r>
    </w:p>
    <w:p w14:paraId="37563F35" w14:textId="6222179C"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Set goals for improvement and respond to problems and needs through active participation;</w:t>
      </w:r>
    </w:p>
    <w:p w14:paraId="54B78E19" w14:textId="3EBAE118"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Identify community skills, assets, issues and needs;</w:t>
      </w:r>
    </w:p>
    <w:p w14:paraId="66B5A584" w14:textId="22489244"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Ensure that local people are able to participate in decision making processes which affect their lives at local, Ayrshire and Scotish level</w:t>
      </w:r>
    </w:p>
    <w:p w14:paraId="3C793C89" w14:textId="5D6B05F6"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Develop new resources in dialogue with the community and evaluate existing programmes;</w:t>
      </w:r>
    </w:p>
    <w:p w14:paraId="501B3159" w14:textId="4CE0B5F8"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Recruit and train volunteers;</w:t>
      </w:r>
    </w:p>
    <w:p w14:paraId="46FA1C8D" w14:textId="06CCAD70"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Build links with other groups and agencies in the local community and liaise with interested groups and individuals to establish new services;</w:t>
      </w:r>
    </w:p>
    <w:p w14:paraId="40F9135C" w14:textId="54C7120E"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Help to raise public awareness on ACDI and the issues relevant to the community;</w:t>
      </w:r>
    </w:p>
    <w:p w14:paraId="1CDAAEAA" w14:textId="2A467FAD"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Prepare reports for the Development Manager and Board of Directors</w:t>
      </w:r>
    </w:p>
    <w:p w14:paraId="1163F633" w14:textId="3F3CBC3A"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Oversee the management of a limited budget;</w:t>
      </w:r>
    </w:p>
    <w:p w14:paraId="05B5F038" w14:textId="67F93343"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Plan, attend and coordinate meetings and events;</w:t>
      </w:r>
    </w:p>
    <w:p w14:paraId="4074159D" w14:textId="5ED146C0"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Carry out general administrative duties.</w:t>
      </w:r>
    </w:p>
    <w:p w14:paraId="0FA03B88" w14:textId="2DFA76CF" w:rsidR="4E5866D0" w:rsidRDefault="4E5866D0" w:rsidP="48499993">
      <w:pPr>
        <w:shd w:val="clear" w:color="auto" w:fill="FFFFFF" w:themeFill="background1"/>
        <w:spacing w:after="0"/>
        <w:rPr>
          <w:rFonts w:ascii="Helvetica" w:eastAsia="Helvetica" w:hAnsi="Helvetica" w:cs="Helvetica"/>
          <w:b/>
          <w:bCs/>
          <w:color w:val="242424"/>
          <w:sz w:val="28"/>
          <w:szCs w:val="28"/>
        </w:rPr>
      </w:pPr>
      <w:r w:rsidRPr="48499993">
        <w:rPr>
          <w:rFonts w:ascii="Helvetica" w:eastAsia="Helvetica" w:hAnsi="Helvetica" w:cs="Helvetica"/>
          <w:b/>
          <w:bCs/>
          <w:color w:val="242424"/>
          <w:sz w:val="28"/>
          <w:szCs w:val="28"/>
        </w:rPr>
        <w:t>Skills</w:t>
      </w:r>
    </w:p>
    <w:p w14:paraId="767BCBE6" w14:textId="70CC8609" w:rsidR="4E5866D0" w:rsidRDefault="4E5866D0"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You'll need to show:</w:t>
      </w:r>
    </w:p>
    <w:p w14:paraId="1FC4EDC8" w14:textId="4EB2A9C4" w:rsidR="48499993" w:rsidRDefault="48499993" w:rsidP="48499993">
      <w:pPr>
        <w:shd w:val="clear" w:color="auto" w:fill="FFFFFF" w:themeFill="background1"/>
        <w:spacing w:after="0"/>
        <w:rPr>
          <w:rFonts w:ascii="Helvetica" w:eastAsia="Helvetica" w:hAnsi="Helvetica" w:cs="Helvetica"/>
          <w:color w:val="242424"/>
        </w:rPr>
      </w:pPr>
    </w:p>
    <w:p w14:paraId="0BDF7E35" w14:textId="177636F0"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Good relationship building approaches</w:t>
      </w:r>
    </w:p>
    <w:p w14:paraId="195FACA6" w14:textId="68EB3678"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An ability to connect with children, young people and their families</w:t>
      </w:r>
    </w:p>
    <w:p w14:paraId="2A803677" w14:textId="21465535"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Calmness in situations that arise in the Hub and wider community</w:t>
      </w:r>
    </w:p>
    <w:p w14:paraId="03448C2D" w14:textId="1C537F6E"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 solid understanding of child protection, safeguarding and risk assessments</w:t>
      </w:r>
    </w:p>
    <w:p w14:paraId="501573DC" w14:textId="225F1C32"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Advocacy and networking skills;</w:t>
      </w:r>
    </w:p>
    <w:p w14:paraId="7E3F21CA" w14:textId="5E7943BF"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lastRenderedPageBreak/>
        <w:t>Excellent communication, interpersonal and team-building skills;</w:t>
      </w:r>
    </w:p>
    <w:p w14:paraId="65D93CA3" w14:textId="48FD64D4"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Good listening skills;</w:t>
      </w:r>
    </w:p>
    <w:p w14:paraId="11BCDE87" w14:textId="309A28BA"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Research and report-writing skills;</w:t>
      </w:r>
    </w:p>
    <w:p w14:paraId="0CEDB82A" w14:textId="5A632BA1"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Knowledge and understanding of community and social issues;</w:t>
      </w:r>
    </w:p>
    <w:p w14:paraId="65A59FAE" w14:textId="031D4952"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 non-judgemental and positive attitude;</w:t>
      </w:r>
    </w:p>
    <w:p w14:paraId="20A9161E" w14:textId="03CB10FA"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Creative thinking and problem-solving ability;</w:t>
      </w:r>
    </w:p>
    <w:p w14:paraId="11D4AFFE" w14:textId="48443532"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Political, social and negotiating skills;</w:t>
      </w:r>
    </w:p>
    <w:p w14:paraId="234880C3" w14:textId="110B4B4F"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An understanding of how public sector bodies work;</w:t>
      </w:r>
    </w:p>
    <w:p w14:paraId="14B1E5B6" w14:textId="715EE02E"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Compassion and the ability to empathise with people's life experiences;</w:t>
      </w:r>
    </w:p>
    <w:p w14:paraId="4CD73649" w14:textId="14B2D012"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Life experience and language skills can be an aid to this role and help you make important connections with those you are helping.</w:t>
      </w:r>
    </w:p>
    <w:p w14:paraId="4EBCE360" w14:textId="60052A43" w:rsidR="48499993" w:rsidRDefault="48499993" w:rsidP="48499993">
      <w:pPr>
        <w:pStyle w:val="ListParagraph"/>
        <w:shd w:val="clear" w:color="auto" w:fill="FFFFFF" w:themeFill="background1"/>
        <w:spacing w:after="0"/>
        <w:rPr>
          <w:rFonts w:ascii="Helvetica" w:eastAsia="Helvetica" w:hAnsi="Helvetica" w:cs="Helvetica"/>
          <w:color w:val="242424"/>
        </w:rPr>
      </w:pPr>
    </w:p>
    <w:p w14:paraId="0232C281" w14:textId="23707D0F" w:rsidR="4E5866D0" w:rsidRDefault="4E5866D0" w:rsidP="48499993">
      <w:pPr>
        <w:shd w:val="clear" w:color="auto" w:fill="FFFFFF" w:themeFill="background1"/>
        <w:spacing w:after="0"/>
        <w:rPr>
          <w:rFonts w:ascii="Helvetica" w:eastAsia="Helvetica" w:hAnsi="Helvetica" w:cs="Helvetica"/>
          <w:b/>
          <w:bCs/>
          <w:color w:val="242424"/>
          <w:sz w:val="28"/>
          <w:szCs w:val="28"/>
        </w:rPr>
      </w:pPr>
      <w:r w:rsidRPr="48499993">
        <w:rPr>
          <w:rFonts w:ascii="Helvetica" w:eastAsia="Helvetica" w:hAnsi="Helvetica" w:cs="Helvetica"/>
          <w:b/>
          <w:bCs/>
          <w:color w:val="242424"/>
          <w:sz w:val="28"/>
          <w:szCs w:val="28"/>
        </w:rPr>
        <w:t>What to expect</w:t>
      </w:r>
    </w:p>
    <w:p w14:paraId="309F28F0" w14:textId="637FD068" w:rsidR="48499993" w:rsidRDefault="48499993" w:rsidP="48499993">
      <w:pPr>
        <w:shd w:val="clear" w:color="auto" w:fill="FFFFFF" w:themeFill="background1"/>
        <w:spacing w:after="0"/>
        <w:rPr>
          <w:rFonts w:ascii="Helvetica" w:eastAsia="Helvetica" w:hAnsi="Helvetica" w:cs="Helvetica"/>
          <w:b/>
          <w:bCs/>
          <w:color w:val="242424"/>
          <w:sz w:val="28"/>
          <w:szCs w:val="28"/>
        </w:rPr>
      </w:pPr>
    </w:p>
    <w:p w14:paraId="5E4D4001" w14:textId="00B27E06"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You may have an office base but will spend much of your time out and about in the community, visiting local people and groups and attending meetings.</w:t>
      </w:r>
    </w:p>
    <w:p w14:paraId="0A61B73F" w14:textId="5368995F"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Working with members of the community who are impacted by poverty can be both inspiring and unpredictable. Results are long term rather than immediate, so patience and perseverance are essential.</w:t>
      </w:r>
    </w:p>
    <w:p w14:paraId="09BE5EB7" w14:textId="42248E68" w:rsidR="4E5866D0" w:rsidRDefault="4E5866D0" w:rsidP="48499993">
      <w:pPr>
        <w:pStyle w:val="ListParagraph"/>
        <w:numPr>
          <w:ilvl w:val="0"/>
          <w:numId w:val="1"/>
        </w:num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You'll have frequent contact with people, agencies and groups in the community.</w:t>
      </w:r>
      <w:r>
        <w:br/>
      </w:r>
      <w:r w:rsidRPr="48499993">
        <w:rPr>
          <w:rFonts w:ascii="Helvetica" w:eastAsia="Helvetica" w:hAnsi="Helvetica" w:cs="Helvetica"/>
          <w:color w:val="242424"/>
        </w:rPr>
        <w:t>Therefore, travel within a working day is to be expected. Absence from home overnight is unlikely but may be required on occasion.</w:t>
      </w:r>
    </w:p>
    <w:p w14:paraId="643E7276" w14:textId="334652BB" w:rsidR="48499993" w:rsidRDefault="48499993" w:rsidP="48499993">
      <w:pPr>
        <w:pStyle w:val="ListParagraph"/>
        <w:shd w:val="clear" w:color="auto" w:fill="FFFFFF" w:themeFill="background1"/>
        <w:spacing w:after="0"/>
        <w:rPr>
          <w:rFonts w:ascii="Helvetica" w:eastAsia="Helvetica" w:hAnsi="Helvetica" w:cs="Helvetica"/>
          <w:color w:val="242424"/>
        </w:rPr>
      </w:pPr>
    </w:p>
    <w:p w14:paraId="1E7E64F0" w14:textId="7D14543C" w:rsidR="4E5866D0" w:rsidRDefault="4E5866D0" w:rsidP="48499993">
      <w:pPr>
        <w:shd w:val="clear" w:color="auto" w:fill="FFFFFF" w:themeFill="background1"/>
        <w:spacing w:after="0"/>
        <w:rPr>
          <w:rFonts w:ascii="Helvetica" w:eastAsia="Helvetica" w:hAnsi="Helvetica" w:cs="Helvetica"/>
          <w:b/>
          <w:bCs/>
          <w:color w:val="242424"/>
          <w:sz w:val="28"/>
          <w:szCs w:val="28"/>
        </w:rPr>
      </w:pPr>
      <w:r w:rsidRPr="48499993">
        <w:rPr>
          <w:rFonts w:ascii="Helvetica" w:eastAsia="Helvetica" w:hAnsi="Helvetica" w:cs="Helvetica"/>
          <w:b/>
          <w:bCs/>
          <w:color w:val="242424"/>
          <w:sz w:val="28"/>
          <w:szCs w:val="28"/>
        </w:rPr>
        <w:t>Salary</w:t>
      </w:r>
    </w:p>
    <w:p w14:paraId="370BAACC" w14:textId="0366B8EF" w:rsidR="48499993" w:rsidRDefault="48499993" w:rsidP="48499993">
      <w:pPr>
        <w:shd w:val="clear" w:color="auto" w:fill="FFFFFF" w:themeFill="background1"/>
        <w:spacing w:after="0"/>
        <w:rPr>
          <w:rFonts w:ascii="Helvetica" w:eastAsia="Helvetica" w:hAnsi="Helvetica" w:cs="Helvetica"/>
          <w:b/>
          <w:bCs/>
          <w:color w:val="242424"/>
          <w:sz w:val="28"/>
          <w:szCs w:val="28"/>
        </w:rPr>
      </w:pPr>
    </w:p>
    <w:p w14:paraId="249BF372" w14:textId="76141BBB" w:rsidR="4E5866D0" w:rsidRDefault="4E5866D0"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Starting salaries are usually between £24,000 and £27,000 dependent on experience.</w:t>
      </w:r>
    </w:p>
    <w:p w14:paraId="30BC659A" w14:textId="6439F7CD" w:rsidR="48499993" w:rsidRDefault="48499993" w:rsidP="48499993">
      <w:pPr>
        <w:shd w:val="clear" w:color="auto" w:fill="FFFFFF" w:themeFill="background1"/>
        <w:spacing w:after="0"/>
        <w:rPr>
          <w:rFonts w:ascii="Helvetica" w:eastAsia="Helvetica" w:hAnsi="Helvetica" w:cs="Helvetica"/>
          <w:color w:val="242424"/>
        </w:rPr>
      </w:pPr>
    </w:p>
    <w:p w14:paraId="0BBF0145" w14:textId="60FA7F30" w:rsidR="4E5866D0" w:rsidRDefault="4E5866D0" w:rsidP="48499993">
      <w:pPr>
        <w:shd w:val="clear" w:color="auto" w:fill="FFFFFF" w:themeFill="background1"/>
        <w:spacing w:after="0"/>
        <w:rPr>
          <w:rFonts w:ascii="Helvetica" w:eastAsia="Helvetica" w:hAnsi="Helvetica" w:cs="Helvetica"/>
          <w:b/>
          <w:bCs/>
          <w:color w:val="242424"/>
          <w:sz w:val="28"/>
          <w:szCs w:val="28"/>
        </w:rPr>
      </w:pPr>
      <w:r w:rsidRPr="48499993">
        <w:rPr>
          <w:rFonts w:ascii="Helvetica" w:eastAsia="Helvetica" w:hAnsi="Helvetica" w:cs="Helvetica"/>
          <w:b/>
          <w:bCs/>
          <w:color w:val="242424"/>
          <w:sz w:val="28"/>
          <w:szCs w:val="28"/>
        </w:rPr>
        <w:t>Working hours</w:t>
      </w:r>
    </w:p>
    <w:p w14:paraId="69E4FA8B" w14:textId="775A918E" w:rsidR="48499993" w:rsidRDefault="48499993" w:rsidP="48499993">
      <w:pPr>
        <w:shd w:val="clear" w:color="auto" w:fill="FFFFFF" w:themeFill="background1"/>
        <w:spacing w:after="0"/>
        <w:rPr>
          <w:rFonts w:ascii="Helvetica" w:eastAsia="Helvetica" w:hAnsi="Helvetica" w:cs="Helvetica"/>
          <w:b/>
          <w:bCs/>
          <w:color w:val="242424"/>
          <w:sz w:val="28"/>
          <w:szCs w:val="28"/>
        </w:rPr>
      </w:pPr>
    </w:p>
    <w:p w14:paraId="1AF8C3E2" w14:textId="4F77D52D" w:rsidR="4E5866D0" w:rsidRDefault="4E5866D0"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35 hours per week.</w:t>
      </w:r>
    </w:p>
    <w:p w14:paraId="15AC4591" w14:textId="28D6737A" w:rsidR="48499993" w:rsidRDefault="48499993" w:rsidP="48499993">
      <w:pPr>
        <w:shd w:val="clear" w:color="auto" w:fill="FFFFFF" w:themeFill="background1"/>
        <w:spacing w:after="0"/>
        <w:rPr>
          <w:rFonts w:ascii="Helvetica" w:eastAsia="Helvetica" w:hAnsi="Helvetica" w:cs="Helvetica"/>
          <w:color w:val="242424"/>
        </w:rPr>
      </w:pPr>
    </w:p>
    <w:p w14:paraId="061FE066" w14:textId="3B05FF1E" w:rsidR="4E5866D0" w:rsidRDefault="4E5866D0"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You need to be accessible to the communities you serve. This means the work will often include unsocial hours, such as evenings and weekends, so considerable flexibility is required.</w:t>
      </w:r>
    </w:p>
    <w:p w14:paraId="672D0522" w14:textId="000BB547" w:rsidR="48499993" w:rsidRDefault="48499993" w:rsidP="48499993">
      <w:pPr>
        <w:shd w:val="clear" w:color="auto" w:fill="FFFFFF" w:themeFill="background1"/>
        <w:spacing w:after="0"/>
        <w:rPr>
          <w:rFonts w:ascii="Helvetica" w:eastAsia="Helvetica" w:hAnsi="Helvetica" w:cs="Helvetica"/>
          <w:color w:val="242424"/>
        </w:rPr>
      </w:pPr>
    </w:p>
    <w:p w14:paraId="74C93711" w14:textId="65F92B37" w:rsidR="48499993" w:rsidRDefault="48499993" w:rsidP="48499993">
      <w:pPr>
        <w:shd w:val="clear" w:color="auto" w:fill="FFFFFF" w:themeFill="background1"/>
        <w:spacing w:after="0"/>
        <w:rPr>
          <w:rFonts w:ascii="Helvetica" w:eastAsia="Helvetica" w:hAnsi="Helvetica" w:cs="Helvetica"/>
          <w:color w:val="242424"/>
        </w:rPr>
      </w:pPr>
    </w:p>
    <w:p w14:paraId="3C0C28BD" w14:textId="5AA1B20E" w:rsidR="48499993" w:rsidRDefault="48499993" w:rsidP="48499993">
      <w:pPr>
        <w:shd w:val="clear" w:color="auto" w:fill="FFFFFF" w:themeFill="background1"/>
        <w:spacing w:after="0"/>
        <w:rPr>
          <w:rFonts w:ascii="Helvetica" w:eastAsia="Helvetica" w:hAnsi="Helvetica" w:cs="Helvetica"/>
          <w:color w:val="242424"/>
        </w:rPr>
      </w:pPr>
    </w:p>
    <w:p w14:paraId="2E858C82" w14:textId="7E9460C0" w:rsidR="48499993" w:rsidRDefault="48499993" w:rsidP="48499993">
      <w:pPr>
        <w:shd w:val="clear" w:color="auto" w:fill="FFFFFF" w:themeFill="background1"/>
        <w:spacing w:after="0"/>
        <w:rPr>
          <w:rFonts w:ascii="Helvetica" w:eastAsia="Helvetica" w:hAnsi="Helvetica" w:cs="Helvetica"/>
          <w:color w:val="242424"/>
        </w:rPr>
      </w:pPr>
    </w:p>
    <w:p w14:paraId="0BCB2224" w14:textId="053C904B" w:rsidR="48499993" w:rsidRDefault="48499993" w:rsidP="48499993">
      <w:pPr>
        <w:shd w:val="clear" w:color="auto" w:fill="FFFFFF" w:themeFill="background1"/>
        <w:spacing w:after="0"/>
        <w:rPr>
          <w:rFonts w:ascii="Helvetica" w:eastAsia="Helvetica" w:hAnsi="Helvetica" w:cs="Helvetica"/>
          <w:color w:val="242424"/>
        </w:rPr>
      </w:pPr>
    </w:p>
    <w:p w14:paraId="3C1D5C04" w14:textId="7CEA9302" w:rsidR="48499993" w:rsidRDefault="48499993" w:rsidP="48499993">
      <w:pPr>
        <w:shd w:val="clear" w:color="auto" w:fill="FFFFFF" w:themeFill="background1"/>
        <w:spacing w:after="0"/>
        <w:rPr>
          <w:rFonts w:ascii="Helvetica" w:eastAsia="Helvetica" w:hAnsi="Helvetica" w:cs="Helvetica"/>
          <w:color w:val="242424"/>
        </w:rPr>
      </w:pPr>
    </w:p>
    <w:p w14:paraId="253D0546" w14:textId="2ECD0176" w:rsidR="48499993" w:rsidRDefault="48499993" w:rsidP="48499993">
      <w:pPr>
        <w:shd w:val="clear" w:color="auto" w:fill="FFFFFF" w:themeFill="background1"/>
        <w:spacing w:after="0"/>
        <w:rPr>
          <w:rFonts w:ascii="Helvetica" w:eastAsia="Helvetica" w:hAnsi="Helvetica" w:cs="Helvetica"/>
          <w:color w:val="242424"/>
        </w:rPr>
      </w:pPr>
    </w:p>
    <w:p w14:paraId="175A3FC6" w14:textId="508B7162" w:rsidR="48499993" w:rsidRDefault="48499993" w:rsidP="48499993">
      <w:pPr>
        <w:shd w:val="clear" w:color="auto" w:fill="FFFFFF" w:themeFill="background1"/>
        <w:spacing w:after="0"/>
        <w:rPr>
          <w:rFonts w:ascii="Helvetica" w:eastAsia="Helvetica" w:hAnsi="Helvetica" w:cs="Helvetica"/>
          <w:color w:val="242424"/>
        </w:rPr>
      </w:pPr>
    </w:p>
    <w:p w14:paraId="5A75A3AD" w14:textId="2F61E2A7" w:rsidR="3B11949D" w:rsidRDefault="3B11949D"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 xml:space="preserve">A relevant degree in Community Work / Community Development / Youth Work will be considered, as </w:t>
      </w:r>
      <w:r w:rsidR="33837A8C" w:rsidRPr="48499993">
        <w:rPr>
          <w:rFonts w:ascii="Helvetica" w:eastAsia="Helvetica" w:hAnsi="Helvetica" w:cs="Helvetica"/>
          <w:color w:val="242424"/>
        </w:rPr>
        <w:t>well as extensive experience in a similar role. A commitment to ongoing professional development i</w:t>
      </w:r>
      <w:r w:rsidR="0A1793AA" w:rsidRPr="48499993">
        <w:rPr>
          <w:rFonts w:ascii="Helvetica" w:eastAsia="Helvetica" w:hAnsi="Helvetica" w:cs="Helvetica"/>
          <w:color w:val="242424"/>
        </w:rPr>
        <w:t>s welcomed with accreditation and learning qualifications considered.</w:t>
      </w:r>
    </w:p>
    <w:p w14:paraId="470DC938" w14:textId="765BF857" w:rsidR="0A1793AA" w:rsidRDefault="0A1793AA" w:rsidP="48499993">
      <w:pPr>
        <w:shd w:val="clear" w:color="auto" w:fill="FFFFFF" w:themeFill="background1"/>
        <w:spacing w:after="0"/>
        <w:rPr>
          <w:rFonts w:ascii="Helvetica" w:eastAsia="Helvetica" w:hAnsi="Helvetica" w:cs="Helvetica"/>
          <w:color w:val="242424"/>
        </w:rPr>
      </w:pPr>
      <w:r w:rsidRPr="48499993">
        <w:rPr>
          <w:rFonts w:ascii="Helvetica" w:eastAsia="Helvetica" w:hAnsi="Helvetica" w:cs="Helvetica"/>
          <w:color w:val="242424"/>
        </w:rPr>
        <w:t>Lived experience of adversity, poverty and / or trauma are welcomed within the role.</w:t>
      </w:r>
    </w:p>
    <w:p w14:paraId="1221A5C8" w14:textId="37F3C291" w:rsidR="48499993" w:rsidRDefault="48499993" w:rsidP="48499993">
      <w:pPr>
        <w:shd w:val="clear" w:color="auto" w:fill="FFFFFF" w:themeFill="background1"/>
        <w:spacing w:after="0"/>
        <w:rPr>
          <w:rFonts w:ascii="Helvetica" w:eastAsia="Helvetica" w:hAnsi="Helvetica" w:cs="Helvetica"/>
          <w:color w:val="242424"/>
        </w:rPr>
      </w:pPr>
    </w:p>
    <w:p w14:paraId="0AA81700" w14:textId="277C58F1" w:rsidR="0A1793AA" w:rsidRDefault="0A1793AA" w:rsidP="48499993">
      <w:pPr>
        <w:shd w:val="clear" w:color="auto" w:fill="FFFFFF" w:themeFill="background1"/>
        <w:spacing w:after="0"/>
        <w:rPr>
          <w:rFonts w:ascii="Helvetica" w:eastAsia="Helvetica" w:hAnsi="Helvetica" w:cs="Helvetica"/>
          <w:b/>
          <w:bCs/>
          <w:color w:val="242424"/>
          <w:sz w:val="28"/>
          <w:szCs w:val="28"/>
        </w:rPr>
      </w:pPr>
      <w:r w:rsidRPr="48499993">
        <w:rPr>
          <w:rFonts w:ascii="Helvetica" w:eastAsia="Helvetica" w:hAnsi="Helvetica" w:cs="Helvetica"/>
          <w:b/>
          <w:bCs/>
          <w:color w:val="242424"/>
          <w:sz w:val="28"/>
          <w:szCs w:val="28"/>
        </w:rPr>
        <w:t>Person Specification</w:t>
      </w:r>
    </w:p>
    <w:p w14:paraId="79C0CB94" w14:textId="77B9EB30" w:rsidR="48499993" w:rsidRDefault="48499993" w:rsidP="48499993">
      <w:pPr>
        <w:shd w:val="clear" w:color="auto" w:fill="FFFFFF" w:themeFill="background1"/>
        <w:spacing w:after="0"/>
        <w:rPr>
          <w:rFonts w:ascii="Helvetica" w:eastAsia="Helvetica" w:hAnsi="Helvetica" w:cs="Helvetica"/>
          <w:color w:val="242424"/>
        </w:rPr>
      </w:pPr>
    </w:p>
    <w:tbl>
      <w:tblPr>
        <w:tblStyle w:val="TableGrid"/>
        <w:tblW w:w="0" w:type="auto"/>
        <w:tblLayout w:type="fixed"/>
        <w:tblLook w:val="06A0" w:firstRow="1" w:lastRow="0" w:firstColumn="1" w:lastColumn="0" w:noHBand="1" w:noVBand="1"/>
      </w:tblPr>
      <w:tblGrid>
        <w:gridCol w:w="2340"/>
        <w:gridCol w:w="2340"/>
        <w:gridCol w:w="2340"/>
        <w:gridCol w:w="2340"/>
      </w:tblGrid>
      <w:tr w:rsidR="48499993" w14:paraId="7D1F08F9" w14:textId="77777777" w:rsidTr="48499993">
        <w:trPr>
          <w:trHeight w:val="300"/>
        </w:trPr>
        <w:tc>
          <w:tcPr>
            <w:tcW w:w="2340" w:type="dxa"/>
          </w:tcPr>
          <w:p w14:paraId="4B3CC1F8" w14:textId="599EEF59" w:rsidR="48499993" w:rsidRDefault="48499993" w:rsidP="48499993">
            <w:pPr>
              <w:rPr>
                <w:rFonts w:ascii="Helvetica" w:eastAsia="Helvetica" w:hAnsi="Helvetica" w:cs="Helvetica"/>
                <w:color w:val="242424"/>
              </w:rPr>
            </w:pPr>
          </w:p>
        </w:tc>
        <w:tc>
          <w:tcPr>
            <w:tcW w:w="2340" w:type="dxa"/>
          </w:tcPr>
          <w:p w14:paraId="38C3D4AB" w14:textId="63D15A51"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 xml:space="preserve">Essential </w:t>
            </w:r>
          </w:p>
        </w:tc>
        <w:tc>
          <w:tcPr>
            <w:tcW w:w="2340" w:type="dxa"/>
          </w:tcPr>
          <w:p w14:paraId="58996391" w14:textId="08D45F66"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 xml:space="preserve">Desirable </w:t>
            </w:r>
          </w:p>
        </w:tc>
        <w:tc>
          <w:tcPr>
            <w:tcW w:w="2340" w:type="dxa"/>
          </w:tcPr>
          <w:p w14:paraId="4A7B52BD" w14:textId="01F1999C"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 xml:space="preserve">Evidence </w:t>
            </w:r>
          </w:p>
        </w:tc>
      </w:tr>
      <w:tr w:rsidR="48499993" w14:paraId="7E0D87D1" w14:textId="77777777" w:rsidTr="48499993">
        <w:trPr>
          <w:trHeight w:val="300"/>
        </w:trPr>
        <w:tc>
          <w:tcPr>
            <w:tcW w:w="2340" w:type="dxa"/>
          </w:tcPr>
          <w:p w14:paraId="5007816F" w14:textId="7C42002D"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 xml:space="preserve">Education &amp; Qualifications </w:t>
            </w:r>
          </w:p>
          <w:p w14:paraId="1F0F2FB6" w14:textId="1077DF8C" w:rsidR="48499993" w:rsidRDefault="48499993" w:rsidP="48499993">
            <w:pPr>
              <w:rPr>
                <w:rFonts w:ascii="Helvetica" w:eastAsia="Helvetica" w:hAnsi="Helvetica" w:cs="Helvetica"/>
                <w:color w:val="242424"/>
              </w:rPr>
            </w:pPr>
          </w:p>
          <w:p w14:paraId="3675234B" w14:textId="57394389" w:rsidR="48499993" w:rsidRDefault="48499993" w:rsidP="48499993">
            <w:pPr>
              <w:rPr>
                <w:rFonts w:ascii="Helvetica" w:eastAsia="Helvetica" w:hAnsi="Helvetica" w:cs="Helvetica"/>
                <w:color w:val="242424"/>
              </w:rPr>
            </w:pPr>
          </w:p>
          <w:p w14:paraId="5A8BA491" w14:textId="25E00898" w:rsidR="48499993" w:rsidRDefault="48499993" w:rsidP="48499993">
            <w:pPr>
              <w:rPr>
                <w:rFonts w:ascii="Helvetica" w:eastAsia="Helvetica" w:hAnsi="Helvetica" w:cs="Helvetica"/>
                <w:color w:val="242424"/>
              </w:rPr>
            </w:pPr>
          </w:p>
        </w:tc>
        <w:tc>
          <w:tcPr>
            <w:tcW w:w="2340" w:type="dxa"/>
          </w:tcPr>
          <w:p w14:paraId="7D2FE9DB" w14:textId="6D71B259" w:rsidR="0A1793AA" w:rsidRDefault="0A1793AA"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t xml:space="preserve">Professional qualification – BA in Community Learning &amp; Development or equivalent </w:t>
            </w:r>
            <w:r w:rsidR="0A24B56D" w:rsidRPr="48499993">
              <w:rPr>
                <w:rFonts w:ascii="Helvetica" w:eastAsia="Helvetica" w:hAnsi="Helvetica" w:cs="Helvetica"/>
                <w:color w:val="242424"/>
                <w:sz w:val="22"/>
                <w:szCs w:val="22"/>
              </w:rPr>
              <w:t>e.g.</w:t>
            </w:r>
            <w:r w:rsidRPr="48499993">
              <w:rPr>
                <w:rFonts w:ascii="Helvetica" w:eastAsia="Helvetica" w:hAnsi="Helvetica" w:cs="Helvetica"/>
                <w:color w:val="242424"/>
                <w:sz w:val="22"/>
                <w:szCs w:val="22"/>
              </w:rPr>
              <w:t xml:space="preserve"> </w:t>
            </w:r>
            <w:r w:rsidR="2B1B53CA" w:rsidRPr="48499993">
              <w:rPr>
                <w:rFonts w:ascii="Helvetica" w:eastAsia="Helvetica" w:hAnsi="Helvetica" w:cs="Helvetica"/>
                <w:color w:val="242424"/>
                <w:sz w:val="22"/>
                <w:szCs w:val="22"/>
              </w:rPr>
              <w:t>Lifelong</w:t>
            </w:r>
            <w:r w:rsidRPr="48499993">
              <w:rPr>
                <w:rFonts w:ascii="Helvetica" w:eastAsia="Helvetica" w:hAnsi="Helvetica" w:cs="Helvetica"/>
                <w:color w:val="242424"/>
                <w:sz w:val="22"/>
                <w:szCs w:val="22"/>
              </w:rPr>
              <w:t xml:space="preserve"> learn</w:t>
            </w:r>
            <w:r w:rsidR="554C47BA" w:rsidRPr="48499993">
              <w:rPr>
                <w:rFonts w:ascii="Helvetica" w:eastAsia="Helvetica" w:hAnsi="Helvetica" w:cs="Helvetica"/>
                <w:color w:val="242424"/>
                <w:sz w:val="22"/>
                <w:szCs w:val="22"/>
              </w:rPr>
              <w:t xml:space="preserve">ing </w:t>
            </w:r>
          </w:p>
        </w:tc>
        <w:tc>
          <w:tcPr>
            <w:tcW w:w="2340" w:type="dxa"/>
          </w:tcPr>
          <w:p w14:paraId="1BC6A979" w14:textId="5C45D5A1" w:rsidR="48499993" w:rsidRDefault="48499993" w:rsidP="48499993">
            <w:pPr>
              <w:rPr>
                <w:rFonts w:ascii="Helvetica" w:eastAsia="Helvetica" w:hAnsi="Helvetica" w:cs="Helvetica"/>
                <w:color w:val="242424"/>
              </w:rPr>
            </w:pPr>
          </w:p>
        </w:tc>
        <w:tc>
          <w:tcPr>
            <w:tcW w:w="2340" w:type="dxa"/>
          </w:tcPr>
          <w:p w14:paraId="0C94D2D5" w14:textId="7086D54C" w:rsidR="39E987D1" w:rsidRDefault="39E987D1" w:rsidP="48499993">
            <w:pPr>
              <w:rPr>
                <w:rFonts w:ascii="Helvetica" w:eastAsia="Helvetica" w:hAnsi="Helvetica" w:cs="Helvetica"/>
                <w:color w:val="242424"/>
              </w:rPr>
            </w:pPr>
            <w:r w:rsidRPr="48499993">
              <w:rPr>
                <w:rFonts w:ascii="Helvetica" w:eastAsia="Helvetica" w:hAnsi="Helvetica" w:cs="Helvetica"/>
                <w:color w:val="242424"/>
              </w:rPr>
              <w:t xml:space="preserve">Application certificate </w:t>
            </w:r>
          </w:p>
        </w:tc>
      </w:tr>
      <w:tr w:rsidR="48499993" w14:paraId="3332F860" w14:textId="77777777" w:rsidTr="48499993">
        <w:trPr>
          <w:trHeight w:val="300"/>
        </w:trPr>
        <w:tc>
          <w:tcPr>
            <w:tcW w:w="2340" w:type="dxa"/>
          </w:tcPr>
          <w:p w14:paraId="5A50152A" w14:textId="5DC7CE69"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Experience</w:t>
            </w:r>
          </w:p>
          <w:p w14:paraId="19B2AABF" w14:textId="24516B68" w:rsidR="48499993" w:rsidRDefault="48499993" w:rsidP="48499993">
            <w:pPr>
              <w:rPr>
                <w:rFonts w:ascii="Helvetica" w:eastAsia="Helvetica" w:hAnsi="Helvetica" w:cs="Helvetica"/>
                <w:color w:val="242424"/>
              </w:rPr>
            </w:pPr>
          </w:p>
          <w:p w14:paraId="0EBF5982" w14:textId="77E90895" w:rsidR="48499993" w:rsidRDefault="48499993" w:rsidP="48499993">
            <w:pPr>
              <w:rPr>
                <w:rFonts w:ascii="Helvetica" w:eastAsia="Helvetica" w:hAnsi="Helvetica" w:cs="Helvetica"/>
                <w:color w:val="242424"/>
              </w:rPr>
            </w:pPr>
          </w:p>
          <w:p w14:paraId="00FD1D30" w14:textId="3384A5DA" w:rsidR="48499993" w:rsidRDefault="48499993" w:rsidP="48499993">
            <w:pPr>
              <w:rPr>
                <w:rFonts w:ascii="Helvetica" w:eastAsia="Helvetica" w:hAnsi="Helvetica" w:cs="Helvetica"/>
                <w:color w:val="242424"/>
              </w:rPr>
            </w:pPr>
          </w:p>
        </w:tc>
        <w:tc>
          <w:tcPr>
            <w:tcW w:w="2340" w:type="dxa"/>
          </w:tcPr>
          <w:p w14:paraId="40BEF59A" w14:textId="5EDDD0A3" w:rsidR="75D99063" w:rsidRDefault="75D99063"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t xml:space="preserve">Experience in delivering community capacity building as part of a team. Experience of partnership working. Experience of monitoring and evaluation. </w:t>
            </w:r>
            <w:r w:rsidR="59F15315" w:rsidRPr="48499993">
              <w:rPr>
                <w:rFonts w:ascii="Helvetica" w:eastAsia="Helvetica" w:hAnsi="Helvetica" w:cs="Helvetica"/>
                <w:color w:val="242424"/>
                <w:sz w:val="22"/>
                <w:szCs w:val="22"/>
              </w:rPr>
              <w:t xml:space="preserve">Experience of working to development / action plans. </w:t>
            </w:r>
          </w:p>
        </w:tc>
        <w:tc>
          <w:tcPr>
            <w:tcW w:w="2340" w:type="dxa"/>
          </w:tcPr>
          <w:p w14:paraId="02F98686" w14:textId="2398125A" w:rsidR="6E86846B" w:rsidRDefault="6E86846B" w:rsidP="48499993">
            <w:pPr>
              <w:rPr>
                <w:rFonts w:ascii="Helvetica" w:eastAsia="Helvetica" w:hAnsi="Helvetica" w:cs="Helvetica"/>
                <w:color w:val="242424"/>
              </w:rPr>
            </w:pPr>
            <w:r w:rsidRPr="48499993">
              <w:rPr>
                <w:rFonts w:ascii="Helvetica" w:eastAsia="Helvetica" w:hAnsi="Helvetica" w:cs="Helvetica"/>
                <w:color w:val="242424"/>
                <w:sz w:val="22"/>
                <w:szCs w:val="22"/>
              </w:rPr>
              <w:t xml:space="preserve">Experience of completing funding applications &amp; management of limited budgets. </w:t>
            </w:r>
          </w:p>
        </w:tc>
        <w:tc>
          <w:tcPr>
            <w:tcW w:w="2340" w:type="dxa"/>
          </w:tcPr>
          <w:p w14:paraId="599DE237" w14:textId="1837E347" w:rsidR="4835E1EF" w:rsidRDefault="4835E1EF" w:rsidP="48499993">
            <w:pPr>
              <w:rPr>
                <w:rFonts w:ascii="Helvetica" w:eastAsia="Helvetica" w:hAnsi="Helvetica" w:cs="Helvetica"/>
                <w:color w:val="242424"/>
              </w:rPr>
            </w:pPr>
            <w:r w:rsidRPr="48499993">
              <w:rPr>
                <w:rFonts w:ascii="Helvetica" w:eastAsia="Helvetica" w:hAnsi="Helvetica" w:cs="Helvetica"/>
                <w:color w:val="242424"/>
              </w:rPr>
              <w:t>Application</w:t>
            </w:r>
          </w:p>
          <w:p w14:paraId="4213FCE3" w14:textId="08FDB06D" w:rsidR="4835E1EF" w:rsidRDefault="4835E1EF" w:rsidP="48499993">
            <w:pPr>
              <w:rPr>
                <w:rFonts w:ascii="Helvetica" w:eastAsia="Helvetica" w:hAnsi="Helvetica" w:cs="Helvetica"/>
                <w:color w:val="242424"/>
              </w:rPr>
            </w:pPr>
            <w:r w:rsidRPr="48499993">
              <w:rPr>
                <w:rFonts w:ascii="Helvetica" w:eastAsia="Helvetica" w:hAnsi="Helvetica" w:cs="Helvetica"/>
                <w:color w:val="242424"/>
              </w:rPr>
              <w:t xml:space="preserve">Interview </w:t>
            </w:r>
          </w:p>
          <w:p w14:paraId="660A5F48" w14:textId="470F599F" w:rsidR="4835E1EF" w:rsidRDefault="4835E1EF" w:rsidP="48499993">
            <w:pPr>
              <w:rPr>
                <w:rFonts w:ascii="Helvetica" w:eastAsia="Helvetica" w:hAnsi="Helvetica" w:cs="Helvetica"/>
                <w:color w:val="242424"/>
              </w:rPr>
            </w:pPr>
            <w:r w:rsidRPr="48499993">
              <w:rPr>
                <w:rFonts w:ascii="Helvetica" w:eastAsia="Helvetica" w:hAnsi="Helvetica" w:cs="Helvetica"/>
                <w:color w:val="242424"/>
              </w:rPr>
              <w:t xml:space="preserve">References </w:t>
            </w:r>
          </w:p>
        </w:tc>
      </w:tr>
      <w:tr w:rsidR="48499993" w14:paraId="092FFD89" w14:textId="77777777" w:rsidTr="48499993">
        <w:trPr>
          <w:trHeight w:val="300"/>
        </w:trPr>
        <w:tc>
          <w:tcPr>
            <w:tcW w:w="2340" w:type="dxa"/>
          </w:tcPr>
          <w:p w14:paraId="032E9200" w14:textId="389FFC6C"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Specific Knowledge / Skills</w:t>
            </w:r>
          </w:p>
          <w:p w14:paraId="2186DFE2" w14:textId="5010A5A1" w:rsidR="48499993" w:rsidRDefault="48499993" w:rsidP="48499993">
            <w:pPr>
              <w:rPr>
                <w:rFonts w:ascii="Helvetica" w:eastAsia="Helvetica" w:hAnsi="Helvetica" w:cs="Helvetica"/>
                <w:color w:val="242424"/>
              </w:rPr>
            </w:pPr>
          </w:p>
          <w:p w14:paraId="783F3429" w14:textId="52A4D9A6" w:rsidR="48499993" w:rsidRDefault="48499993" w:rsidP="48499993">
            <w:pPr>
              <w:rPr>
                <w:rFonts w:ascii="Helvetica" w:eastAsia="Helvetica" w:hAnsi="Helvetica" w:cs="Helvetica"/>
                <w:color w:val="242424"/>
              </w:rPr>
            </w:pPr>
          </w:p>
          <w:p w14:paraId="4F026858" w14:textId="28884A2F" w:rsidR="48499993" w:rsidRDefault="48499993" w:rsidP="48499993">
            <w:pPr>
              <w:rPr>
                <w:rFonts w:ascii="Helvetica" w:eastAsia="Helvetica" w:hAnsi="Helvetica" w:cs="Helvetica"/>
                <w:color w:val="242424"/>
              </w:rPr>
            </w:pPr>
          </w:p>
        </w:tc>
        <w:tc>
          <w:tcPr>
            <w:tcW w:w="2340" w:type="dxa"/>
          </w:tcPr>
          <w:p w14:paraId="4CFE22F8" w14:textId="34DB967E" w:rsidR="28D9EC2D" w:rsidRDefault="28D9EC2D"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t xml:space="preserve">Good verbal &amp; written communication skills. </w:t>
            </w:r>
          </w:p>
          <w:p w14:paraId="77BC2265" w14:textId="0AF9FD9D" w:rsidR="28D9EC2D" w:rsidRDefault="28D9EC2D"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t xml:space="preserve">Knowledge of national community capacity building policies. </w:t>
            </w:r>
          </w:p>
          <w:p w14:paraId="3BBCE225" w14:textId="7D14505B" w:rsidR="28D9EC2D" w:rsidRDefault="28D9EC2D"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t xml:space="preserve">Ability to motivate people of all ages and backgrounds. </w:t>
            </w:r>
          </w:p>
        </w:tc>
        <w:tc>
          <w:tcPr>
            <w:tcW w:w="2340" w:type="dxa"/>
          </w:tcPr>
          <w:p w14:paraId="71228971" w14:textId="2143CC63" w:rsidR="44A1552C" w:rsidRDefault="44A1552C" w:rsidP="48499993">
            <w:pPr>
              <w:rPr>
                <w:rFonts w:ascii="Helvetica" w:eastAsia="Helvetica" w:hAnsi="Helvetica" w:cs="Helvetica"/>
                <w:color w:val="242424"/>
              </w:rPr>
            </w:pPr>
            <w:r w:rsidRPr="48499993">
              <w:rPr>
                <w:rFonts w:ascii="Helvetica" w:eastAsia="Helvetica" w:hAnsi="Helvetica" w:cs="Helvetica"/>
                <w:color w:val="242424"/>
                <w:sz w:val="22"/>
                <w:szCs w:val="22"/>
              </w:rPr>
              <w:t>Good IT skills</w:t>
            </w:r>
          </w:p>
          <w:p w14:paraId="3EB302B1" w14:textId="2E564A9A" w:rsidR="48499993" w:rsidRDefault="48499993" w:rsidP="48499993">
            <w:pPr>
              <w:rPr>
                <w:rFonts w:ascii="Helvetica" w:eastAsia="Helvetica" w:hAnsi="Helvetica" w:cs="Helvetica"/>
                <w:color w:val="242424"/>
                <w:sz w:val="22"/>
                <w:szCs w:val="22"/>
              </w:rPr>
            </w:pPr>
          </w:p>
          <w:p w14:paraId="0D40E58A" w14:textId="6FE016DF" w:rsidR="44A1552C" w:rsidRDefault="44A1552C"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t>Outdoor activities skills</w:t>
            </w:r>
          </w:p>
          <w:p w14:paraId="1F03ECEB" w14:textId="3592CFC8" w:rsidR="48499993" w:rsidRDefault="48499993" w:rsidP="48499993">
            <w:pPr>
              <w:rPr>
                <w:rFonts w:ascii="Helvetica" w:eastAsia="Helvetica" w:hAnsi="Helvetica" w:cs="Helvetica"/>
                <w:color w:val="242424"/>
                <w:sz w:val="22"/>
                <w:szCs w:val="22"/>
              </w:rPr>
            </w:pPr>
          </w:p>
          <w:p w14:paraId="1236A941" w14:textId="5903232D" w:rsidR="48499993" w:rsidRDefault="48499993" w:rsidP="48499993">
            <w:pPr>
              <w:rPr>
                <w:rFonts w:ascii="Helvetica" w:eastAsia="Helvetica" w:hAnsi="Helvetica" w:cs="Helvetica"/>
                <w:color w:val="242424"/>
                <w:sz w:val="22"/>
                <w:szCs w:val="22"/>
              </w:rPr>
            </w:pPr>
          </w:p>
          <w:p w14:paraId="527C3413" w14:textId="623B34DA" w:rsidR="48499993" w:rsidRDefault="48499993" w:rsidP="48499993">
            <w:pPr>
              <w:rPr>
                <w:rFonts w:ascii="Helvetica" w:eastAsia="Helvetica" w:hAnsi="Helvetica" w:cs="Helvetica"/>
                <w:color w:val="242424"/>
                <w:sz w:val="22"/>
                <w:szCs w:val="22"/>
              </w:rPr>
            </w:pPr>
          </w:p>
          <w:p w14:paraId="0B1EC700" w14:textId="5CB76BBE" w:rsidR="48499993" w:rsidRDefault="48499993" w:rsidP="48499993">
            <w:pPr>
              <w:rPr>
                <w:rFonts w:ascii="Helvetica" w:eastAsia="Helvetica" w:hAnsi="Helvetica" w:cs="Helvetica"/>
                <w:color w:val="242424"/>
                <w:sz w:val="22"/>
                <w:szCs w:val="22"/>
              </w:rPr>
            </w:pPr>
          </w:p>
        </w:tc>
        <w:tc>
          <w:tcPr>
            <w:tcW w:w="2340" w:type="dxa"/>
          </w:tcPr>
          <w:p w14:paraId="3935BD1A" w14:textId="1EF3A255" w:rsidR="77624F45" w:rsidRDefault="77624F45" w:rsidP="48499993">
            <w:pPr>
              <w:rPr>
                <w:rFonts w:ascii="Helvetica" w:eastAsia="Helvetica" w:hAnsi="Helvetica" w:cs="Helvetica"/>
                <w:color w:val="242424"/>
              </w:rPr>
            </w:pPr>
            <w:r w:rsidRPr="48499993">
              <w:rPr>
                <w:rFonts w:ascii="Helvetica" w:eastAsia="Helvetica" w:hAnsi="Helvetica" w:cs="Helvetica"/>
                <w:color w:val="242424"/>
              </w:rPr>
              <w:t xml:space="preserve">Application </w:t>
            </w:r>
          </w:p>
          <w:p w14:paraId="6965D224" w14:textId="1696CC96" w:rsidR="77624F45" w:rsidRDefault="77624F45" w:rsidP="48499993">
            <w:pPr>
              <w:rPr>
                <w:rFonts w:ascii="Helvetica" w:eastAsia="Helvetica" w:hAnsi="Helvetica" w:cs="Helvetica"/>
                <w:color w:val="242424"/>
              </w:rPr>
            </w:pPr>
            <w:r w:rsidRPr="48499993">
              <w:rPr>
                <w:rFonts w:ascii="Helvetica" w:eastAsia="Helvetica" w:hAnsi="Helvetica" w:cs="Helvetica"/>
                <w:color w:val="242424"/>
              </w:rPr>
              <w:t xml:space="preserve">Interview </w:t>
            </w:r>
          </w:p>
          <w:p w14:paraId="1D63515C" w14:textId="60C3040F" w:rsidR="77624F45" w:rsidRDefault="77624F45" w:rsidP="48499993">
            <w:pPr>
              <w:rPr>
                <w:rFonts w:ascii="Helvetica" w:eastAsia="Helvetica" w:hAnsi="Helvetica" w:cs="Helvetica"/>
                <w:color w:val="242424"/>
              </w:rPr>
            </w:pPr>
            <w:r w:rsidRPr="48499993">
              <w:rPr>
                <w:rFonts w:ascii="Helvetica" w:eastAsia="Helvetica" w:hAnsi="Helvetica" w:cs="Helvetica"/>
                <w:color w:val="242424"/>
              </w:rPr>
              <w:t xml:space="preserve">Certificates </w:t>
            </w:r>
          </w:p>
        </w:tc>
      </w:tr>
      <w:tr w:rsidR="48499993" w14:paraId="3E01EC08" w14:textId="77777777" w:rsidTr="48499993">
        <w:trPr>
          <w:trHeight w:val="300"/>
        </w:trPr>
        <w:tc>
          <w:tcPr>
            <w:tcW w:w="2340" w:type="dxa"/>
          </w:tcPr>
          <w:p w14:paraId="46CA810C" w14:textId="555B718C" w:rsidR="0A1793AA" w:rsidRDefault="0A1793AA" w:rsidP="48499993">
            <w:pPr>
              <w:rPr>
                <w:rFonts w:ascii="Helvetica" w:eastAsia="Helvetica" w:hAnsi="Helvetica" w:cs="Helvetica"/>
                <w:color w:val="242424"/>
              </w:rPr>
            </w:pPr>
            <w:r w:rsidRPr="48499993">
              <w:rPr>
                <w:rFonts w:ascii="Helvetica" w:eastAsia="Helvetica" w:hAnsi="Helvetica" w:cs="Helvetica"/>
                <w:color w:val="242424"/>
              </w:rPr>
              <w:t xml:space="preserve">Additional Job-Related Requirements </w:t>
            </w:r>
          </w:p>
          <w:p w14:paraId="491A9975" w14:textId="68D59245" w:rsidR="48499993" w:rsidRDefault="48499993" w:rsidP="48499993">
            <w:pPr>
              <w:rPr>
                <w:rFonts w:ascii="Helvetica" w:eastAsia="Helvetica" w:hAnsi="Helvetica" w:cs="Helvetica"/>
                <w:color w:val="242424"/>
              </w:rPr>
            </w:pPr>
          </w:p>
          <w:p w14:paraId="76F7817B" w14:textId="5EF3E9FE" w:rsidR="48499993" w:rsidRDefault="48499993" w:rsidP="48499993">
            <w:pPr>
              <w:rPr>
                <w:rFonts w:ascii="Helvetica" w:eastAsia="Helvetica" w:hAnsi="Helvetica" w:cs="Helvetica"/>
                <w:color w:val="242424"/>
              </w:rPr>
            </w:pPr>
          </w:p>
          <w:p w14:paraId="60FDEAED" w14:textId="571E8BA3" w:rsidR="48499993" w:rsidRDefault="48499993" w:rsidP="48499993">
            <w:pPr>
              <w:rPr>
                <w:rFonts w:ascii="Helvetica" w:eastAsia="Helvetica" w:hAnsi="Helvetica" w:cs="Helvetica"/>
                <w:color w:val="242424"/>
              </w:rPr>
            </w:pPr>
          </w:p>
        </w:tc>
        <w:tc>
          <w:tcPr>
            <w:tcW w:w="2340" w:type="dxa"/>
          </w:tcPr>
          <w:p w14:paraId="0D5DDBE2" w14:textId="1AD90FFC" w:rsidR="294BA1D5" w:rsidRDefault="294BA1D5" w:rsidP="48499993">
            <w:pPr>
              <w:rPr>
                <w:rFonts w:ascii="Helvetica" w:eastAsia="Helvetica" w:hAnsi="Helvetica" w:cs="Helvetica"/>
                <w:color w:val="242424"/>
                <w:sz w:val="22"/>
                <w:szCs w:val="22"/>
              </w:rPr>
            </w:pPr>
            <w:r w:rsidRPr="48499993">
              <w:rPr>
                <w:rFonts w:ascii="Helvetica" w:eastAsia="Helvetica" w:hAnsi="Helvetica" w:cs="Helvetica"/>
                <w:color w:val="242424"/>
                <w:sz w:val="22"/>
                <w:szCs w:val="22"/>
              </w:rPr>
              <w:lastRenderedPageBreak/>
              <w:t xml:space="preserve">Ability to work evenings and weekends. </w:t>
            </w:r>
          </w:p>
        </w:tc>
        <w:tc>
          <w:tcPr>
            <w:tcW w:w="2340" w:type="dxa"/>
          </w:tcPr>
          <w:p w14:paraId="226C6EAE" w14:textId="4D274131" w:rsidR="0830ABEA" w:rsidRDefault="0830ABEA" w:rsidP="48499993">
            <w:pPr>
              <w:rPr>
                <w:rFonts w:ascii="Helvetica" w:eastAsia="Helvetica" w:hAnsi="Helvetica" w:cs="Helvetica"/>
                <w:color w:val="242424"/>
              </w:rPr>
            </w:pPr>
            <w:r w:rsidRPr="48499993">
              <w:rPr>
                <w:rFonts w:ascii="Helvetica" w:eastAsia="Helvetica" w:hAnsi="Helvetica" w:cs="Helvetica"/>
                <w:color w:val="242424"/>
              </w:rPr>
              <w:t>Satisfactory Scotland disclosure check.</w:t>
            </w:r>
          </w:p>
          <w:p w14:paraId="56F1083D" w14:textId="1581BBB9" w:rsidR="0830ABEA" w:rsidRDefault="0830ABEA" w:rsidP="48499993">
            <w:pPr>
              <w:rPr>
                <w:rFonts w:ascii="Helvetica" w:eastAsia="Helvetica" w:hAnsi="Helvetica" w:cs="Helvetica"/>
                <w:color w:val="242424"/>
              </w:rPr>
            </w:pPr>
            <w:r w:rsidRPr="48499993">
              <w:rPr>
                <w:rFonts w:ascii="Helvetica" w:eastAsia="Helvetica" w:hAnsi="Helvetica" w:cs="Helvetica"/>
                <w:color w:val="242424"/>
              </w:rPr>
              <w:lastRenderedPageBreak/>
              <w:t xml:space="preserve">Full driving license and access to a vehicle </w:t>
            </w:r>
          </w:p>
          <w:p w14:paraId="640D543B" w14:textId="2AB8BA92" w:rsidR="0830ABEA" w:rsidRDefault="0830ABEA" w:rsidP="48499993">
            <w:pPr>
              <w:rPr>
                <w:rFonts w:ascii="Helvetica" w:eastAsia="Helvetica" w:hAnsi="Helvetica" w:cs="Helvetica"/>
                <w:color w:val="242424"/>
              </w:rPr>
            </w:pPr>
            <w:r w:rsidRPr="48499993">
              <w:rPr>
                <w:rFonts w:ascii="Helvetica" w:eastAsia="Helvetica" w:hAnsi="Helvetica" w:cs="Helvetica"/>
                <w:color w:val="242424"/>
              </w:rPr>
              <w:t xml:space="preserve">Ability to complete risk assessments. </w:t>
            </w:r>
          </w:p>
          <w:p w14:paraId="3E1E83A8" w14:textId="0BFB9259" w:rsidR="48499993" w:rsidRDefault="48499993" w:rsidP="48499993">
            <w:pPr>
              <w:rPr>
                <w:rFonts w:ascii="Helvetica" w:eastAsia="Helvetica" w:hAnsi="Helvetica" w:cs="Helvetica"/>
                <w:color w:val="242424"/>
              </w:rPr>
            </w:pPr>
          </w:p>
        </w:tc>
        <w:tc>
          <w:tcPr>
            <w:tcW w:w="2340" w:type="dxa"/>
          </w:tcPr>
          <w:p w14:paraId="1AAD9154" w14:textId="51929BD5" w:rsidR="6773E09E" w:rsidRDefault="6773E09E" w:rsidP="48499993">
            <w:pPr>
              <w:rPr>
                <w:rFonts w:ascii="Helvetica" w:eastAsia="Helvetica" w:hAnsi="Helvetica" w:cs="Helvetica"/>
                <w:color w:val="242424"/>
              </w:rPr>
            </w:pPr>
            <w:r w:rsidRPr="48499993">
              <w:rPr>
                <w:rFonts w:ascii="Helvetica" w:eastAsia="Helvetica" w:hAnsi="Helvetica" w:cs="Helvetica"/>
                <w:color w:val="242424"/>
              </w:rPr>
              <w:lastRenderedPageBreak/>
              <w:t xml:space="preserve">Interview </w:t>
            </w:r>
          </w:p>
        </w:tc>
      </w:tr>
    </w:tbl>
    <w:p w14:paraId="2D4BA3A1" w14:textId="74BF8A7C" w:rsidR="48499993" w:rsidRDefault="48499993" w:rsidP="48499993">
      <w:pPr>
        <w:shd w:val="clear" w:color="auto" w:fill="FFFFFF" w:themeFill="background1"/>
        <w:spacing w:after="0"/>
        <w:rPr>
          <w:rFonts w:ascii="Helvetica" w:eastAsia="Helvetica" w:hAnsi="Helvetica" w:cs="Helvetica"/>
          <w:color w:val="242424"/>
        </w:rPr>
      </w:pPr>
    </w:p>
    <w:p w14:paraId="7B15D5A8" w14:textId="54598FC5" w:rsidR="48499993" w:rsidRDefault="48499993" w:rsidP="48499993">
      <w:pPr>
        <w:shd w:val="clear" w:color="auto" w:fill="FFFFFF" w:themeFill="background1"/>
        <w:spacing w:after="0"/>
        <w:rPr>
          <w:rFonts w:ascii="Helvetica" w:eastAsia="Helvetica" w:hAnsi="Helvetica" w:cs="Helvetica"/>
          <w:color w:val="242424"/>
        </w:rPr>
      </w:pPr>
    </w:p>
    <w:p w14:paraId="054FB29D" w14:textId="2EDA9966" w:rsidR="48499993" w:rsidRDefault="48499993" w:rsidP="48499993">
      <w:pPr>
        <w:shd w:val="clear" w:color="auto" w:fill="FFFFFF" w:themeFill="background1"/>
        <w:spacing w:after="0"/>
        <w:rPr>
          <w:rFonts w:ascii="Helvetica" w:eastAsia="Helvetica" w:hAnsi="Helvetica" w:cs="Helvetica"/>
          <w:color w:val="242424"/>
        </w:rPr>
      </w:pPr>
    </w:p>
    <w:p w14:paraId="3DE80727" w14:textId="2F30635C" w:rsidR="48499993" w:rsidRDefault="48499993" w:rsidP="48499993">
      <w:pPr>
        <w:shd w:val="clear" w:color="auto" w:fill="FFFFFF" w:themeFill="background1"/>
        <w:spacing w:after="0"/>
        <w:rPr>
          <w:rFonts w:ascii="Helvetica" w:eastAsia="Helvetica" w:hAnsi="Helvetica" w:cs="Helvetica"/>
          <w:color w:val="242424"/>
        </w:rPr>
      </w:pPr>
    </w:p>
    <w:p w14:paraId="1F765077" w14:textId="27B9C770" w:rsidR="48499993" w:rsidRDefault="48499993" w:rsidP="48499993">
      <w:pPr>
        <w:shd w:val="clear" w:color="auto" w:fill="FFFFFF" w:themeFill="background1"/>
        <w:spacing w:after="0"/>
        <w:rPr>
          <w:rFonts w:ascii="Helvetica" w:eastAsia="Helvetica" w:hAnsi="Helvetica" w:cs="Helvetica"/>
          <w:color w:val="242424"/>
        </w:rPr>
      </w:pPr>
    </w:p>
    <w:p w14:paraId="5BE69815" w14:textId="7F71544C" w:rsidR="48499993" w:rsidRDefault="48499993" w:rsidP="48499993">
      <w:pPr>
        <w:shd w:val="clear" w:color="auto" w:fill="FFFFFF" w:themeFill="background1"/>
        <w:spacing w:after="0"/>
        <w:rPr>
          <w:rFonts w:ascii="Helvetica" w:eastAsia="Helvetica" w:hAnsi="Helvetica" w:cs="Helvetica"/>
          <w:color w:val="242424"/>
        </w:rPr>
      </w:pPr>
    </w:p>
    <w:p w14:paraId="49A00FF1" w14:textId="758C2A13" w:rsidR="48499993" w:rsidRDefault="48499993" w:rsidP="48499993">
      <w:pPr>
        <w:shd w:val="clear" w:color="auto" w:fill="FFFFFF" w:themeFill="background1"/>
        <w:spacing w:after="0"/>
        <w:rPr>
          <w:rFonts w:ascii="Helvetica" w:eastAsia="Helvetica" w:hAnsi="Helvetica" w:cs="Helvetica"/>
          <w:color w:val="242424"/>
        </w:rPr>
      </w:pPr>
    </w:p>
    <w:p w14:paraId="2B5DC65E" w14:textId="07EA11A1" w:rsidR="48499993" w:rsidRDefault="48499993" w:rsidP="48499993">
      <w:pPr>
        <w:shd w:val="clear" w:color="auto" w:fill="FFFFFF" w:themeFill="background1"/>
        <w:spacing w:after="0"/>
        <w:rPr>
          <w:rFonts w:ascii="Helvetica" w:eastAsia="Helvetica" w:hAnsi="Helvetica" w:cs="Helvetica"/>
          <w:color w:val="242424"/>
        </w:rPr>
      </w:pPr>
    </w:p>
    <w:p w14:paraId="1497FFC2" w14:textId="5CE8768B" w:rsidR="48499993" w:rsidRDefault="48499993" w:rsidP="48499993">
      <w:pPr>
        <w:shd w:val="clear" w:color="auto" w:fill="FFFFFF" w:themeFill="background1"/>
        <w:spacing w:after="0"/>
        <w:rPr>
          <w:rFonts w:ascii="Helvetica" w:eastAsia="Helvetica" w:hAnsi="Helvetica" w:cs="Helvetica"/>
          <w:color w:val="242424"/>
        </w:rPr>
      </w:pPr>
    </w:p>
    <w:p w14:paraId="36B963D1" w14:textId="6F0DC43C" w:rsidR="48499993" w:rsidRDefault="48499993" w:rsidP="48499993">
      <w:pPr>
        <w:shd w:val="clear" w:color="auto" w:fill="FFFFFF" w:themeFill="background1"/>
        <w:spacing w:after="0"/>
        <w:rPr>
          <w:rFonts w:ascii="Helvetica" w:eastAsia="Helvetica" w:hAnsi="Helvetica" w:cs="Helvetica"/>
          <w:color w:val="242424"/>
        </w:rPr>
      </w:pPr>
    </w:p>
    <w:p w14:paraId="0ABD5F65" w14:textId="6E3FBABF" w:rsidR="48499993" w:rsidRDefault="48499993" w:rsidP="48499993"/>
    <w:p w14:paraId="48596FC5" w14:textId="06493BD9" w:rsidR="48499993" w:rsidRDefault="48499993" w:rsidP="48499993"/>
    <w:sectPr w:rsidR="48499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72DD5"/>
    <w:multiLevelType w:val="hybridMultilevel"/>
    <w:tmpl w:val="867E0D4C"/>
    <w:lvl w:ilvl="0" w:tplc="7B06F412">
      <w:start w:val="1"/>
      <w:numFmt w:val="bullet"/>
      <w:lvlText w:val=""/>
      <w:lvlJc w:val="left"/>
      <w:pPr>
        <w:ind w:left="720" w:hanging="360"/>
      </w:pPr>
      <w:rPr>
        <w:rFonts w:ascii="Symbol" w:hAnsi="Symbol" w:hint="default"/>
      </w:rPr>
    </w:lvl>
    <w:lvl w:ilvl="1" w:tplc="04463120">
      <w:start w:val="1"/>
      <w:numFmt w:val="bullet"/>
      <w:lvlText w:val="o"/>
      <w:lvlJc w:val="left"/>
      <w:pPr>
        <w:ind w:left="1440" w:hanging="360"/>
      </w:pPr>
      <w:rPr>
        <w:rFonts w:ascii="Courier New" w:hAnsi="Courier New" w:hint="default"/>
      </w:rPr>
    </w:lvl>
    <w:lvl w:ilvl="2" w:tplc="19FC4054">
      <w:start w:val="1"/>
      <w:numFmt w:val="bullet"/>
      <w:lvlText w:val=""/>
      <w:lvlJc w:val="left"/>
      <w:pPr>
        <w:ind w:left="2160" w:hanging="360"/>
      </w:pPr>
      <w:rPr>
        <w:rFonts w:ascii="Wingdings" w:hAnsi="Wingdings" w:hint="default"/>
      </w:rPr>
    </w:lvl>
    <w:lvl w:ilvl="3" w:tplc="55482DE4">
      <w:start w:val="1"/>
      <w:numFmt w:val="bullet"/>
      <w:lvlText w:val=""/>
      <w:lvlJc w:val="left"/>
      <w:pPr>
        <w:ind w:left="2880" w:hanging="360"/>
      </w:pPr>
      <w:rPr>
        <w:rFonts w:ascii="Symbol" w:hAnsi="Symbol" w:hint="default"/>
      </w:rPr>
    </w:lvl>
    <w:lvl w:ilvl="4" w:tplc="12A6D668">
      <w:start w:val="1"/>
      <w:numFmt w:val="bullet"/>
      <w:lvlText w:val="o"/>
      <w:lvlJc w:val="left"/>
      <w:pPr>
        <w:ind w:left="3600" w:hanging="360"/>
      </w:pPr>
      <w:rPr>
        <w:rFonts w:ascii="Courier New" w:hAnsi="Courier New" w:hint="default"/>
      </w:rPr>
    </w:lvl>
    <w:lvl w:ilvl="5" w:tplc="FC968F48">
      <w:start w:val="1"/>
      <w:numFmt w:val="bullet"/>
      <w:lvlText w:val=""/>
      <w:lvlJc w:val="left"/>
      <w:pPr>
        <w:ind w:left="4320" w:hanging="360"/>
      </w:pPr>
      <w:rPr>
        <w:rFonts w:ascii="Wingdings" w:hAnsi="Wingdings" w:hint="default"/>
      </w:rPr>
    </w:lvl>
    <w:lvl w:ilvl="6" w:tplc="3B5A5FB2">
      <w:start w:val="1"/>
      <w:numFmt w:val="bullet"/>
      <w:lvlText w:val=""/>
      <w:lvlJc w:val="left"/>
      <w:pPr>
        <w:ind w:left="5040" w:hanging="360"/>
      </w:pPr>
      <w:rPr>
        <w:rFonts w:ascii="Symbol" w:hAnsi="Symbol" w:hint="default"/>
      </w:rPr>
    </w:lvl>
    <w:lvl w:ilvl="7" w:tplc="B1601DAE">
      <w:start w:val="1"/>
      <w:numFmt w:val="bullet"/>
      <w:lvlText w:val="o"/>
      <w:lvlJc w:val="left"/>
      <w:pPr>
        <w:ind w:left="5760" w:hanging="360"/>
      </w:pPr>
      <w:rPr>
        <w:rFonts w:ascii="Courier New" w:hAnsi="Courier New" w:hint="default"/>
      </w:rPr>
    </w:lvl>
    <w:lvl w:ilvl="8" w:tplc="DFE4DD92">
      <w:start w:val="1"/>
      <w:numFmt w:val="bullet"/>
      <w:lvlText w:val=""/>
      <w:lvlJc w:val="left"/>
      <w:pPr>
        <w:ind w:left="6480" w:hanging="360"/>
      </w:pPr>
      <w:rPr>
        <w:rFonts w:ascii="Wingdings" w:hAnsi="Wingdings" w:hint="default"/>
      </w:rPr>
    </w:lvl>
  </w:abstractNum>
  <w:num w:numId="1" w16cid:durableId="115194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72CD7"/>
    <w:rsid w:val="004E62DC"/>
    <w:rsid w:val="00DA6AEB"/>
    <w:rsid w:val="02CBAAE0"/>
    <w:rsid w:val="07F1F3AB"/>
    <w:rsid w:val="0830ABEA"/>
    <w:rsid w:val="0A1793AA"/>
    <w:rsid w:val="0A24B56D"/>
    <w:rsid w:val="0C504690"/>
    <w:rsid w:val="0C6488BE"/>
    <w:rsid w:val="16C1D1B3"/>
    <w:rsid w:val="1972FAFF"/>
    <w:rsid w:val="1F704139"/>
    <w:rsid w:val="20EDD404"/>
    <w:rsid w:val="27752568"/>
    <w:rsid w:val="28D9EC2D"/>
    <w:rsid w:val="29294E26"/>
    <w:rsid w:val="294BA1D5"/>
    <w:rsid w:val="2B1B53CA"/>
    <w:rsid w:val="2C772CD7"/>
    <w:rsid w:val="2CA8247C"/>
    <w:rsid w:val="2CD26954"/>
    <w:rsid w:val="2CE9535C"/>
    <w:rsid w:val="2D022BF8"/>
    <w:rsid w:val="2EE8A6D8"/>
    <w:rsid w:val="3190CAEA"/>
    <w:rsid w:val="33837A8C"/>
    <w:rsid w:val="35EB6B4F"/>
    <w:rsid w:val="37833ADC"/>
    <w:rsid w:val="3890A0BC"/>
    <w:rsid w:val="38E6A9C4"/>
    <w:rsid w:val="39E987D1"/>
    <w:rsid w:val="3B11949D"/>
    <w:rsid w:val="3B6F0241"/>
    <w:rsid w:val="3FF5CAAB"/>
    <w:rsid w:val="44A1552C"/>
    <w:rsid w:val="4820C3CB"/>
    <w:rsid w:val="4835E1EF"/>
    <w:rsid w:val="48499993"/>
    <w:rsid w:val="4A614AD3"/>
    <w:rsid w:val="4B6A5DC8"/>
    <w:rsid w:val="4E5866D0"/>
    <w:rsid w:val="554C47BA"/>
    <w:rsid w:val="56039D99"/>
    <w:rsid w:val="56342B95"/>
    <w:rsid w:val="5829F9DE"/>
    <w:rsid w:val="59F15315"/>
    <w:rsid w:val="63F6A153"/>
    <w:rsid w:val="6773E09E"/>
    <w:rsid w:val="67D2FBA7"/>
    <w:rsid w:val="6AFCADA5"/>
    <w:rsid w:val="6E86846B"/>
    <w:rsid w:val="75D99063"/>
    <w:rsid w:val="7688C068"/>
    <w:rsid w:val="77624F45"/>
    <w:rsid w:val="77E537D0"/>
    <w:rsid w:val="7D218277"/>
    <w:rsid w:val="7DF7F64D"/>
    <w:rsid w:val="7E8B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2CD7"/>
  <w15:chartTrackingRefBased/>
  <w15:docId w15:val="{5161FE43-9147-4767-8A00-14021DB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Brownlie (A0129427)</dc:creator>
  <cp:keywords/>
  <dc:description/>
  <cp:lastModifiedBy>Leon Brownlie</cp:lastModifiedBy>
  <cp:revision>2</cp:revision>
  <dcterms:created xsi:type="dcterms:W3CDTF">2024-07-02T10:22:00Z</dcterms:created>
  <dcterms:modified xsi:type="dcterms:W3CDTF">2024-07-02T10:22:00Z</dcterms:modified>
</cp:coreProperties>
</file>