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Pr>
        <w:drawing>
          <wp:inline distB="114300" distT="114300" distL="114300" distR="114300">
            <wp:extent cx="1862138" cy="18621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62138" cy="18621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Bookman Old Style" w:cs="Bookman Old Style" w:eastAsia="Bookman Old Style" w:hAnsi="Bookman Old Style"/>
          <w:b w:val="1"/>
          <w:color w:val="ff9900"/>
          <w:sz w:val="24"/>
          <w:szCs w:val="24"/>
        </w:rPr>
      </w:pPr>
      <w:r w:rsidDel="00000000" w:rsidR="00000000" w:rsidRPr="00000000">
        <w:rPr>
          <w:rFonts w:ascii="Bookman Old Style" w:cs="Bookman Old Style" w:eastAsia="Bookman Old Style" w:hAnsi="Bookman Old Style"/>
          <w:b w:val="1"/>
          <w:color w:val="ff9900"/>
          <w:sz w:val="24"/>
          <w:szCs w:val="24"/>
          <w:rtl w:val="0"/>
        </w:rPr>
        <w:t xml:space="preserve">FGM Steering Committee – Role Description and Specification</w:t>
      </w:r>
    </w:p>
    <w:p w:rsidR="00000000" w:rsidDel="00000000" w:rsidP="00000000" w:rsidRDefault="00000000" w:rsidRPr="00000000" w14:paraId="00000003">
      <w:pPr>
        <w:jc w:val="both"/>
        <w:rPr>
          <w:rFonts w:ascii="Bookman Old Style" w:cs="Bookman Old Style" w:eastAsia="Bookman Old Style" w:hAnsi="Bookman Old Style"/>
          <w:b w:val="1"/>
          <w:color w:val="ff9900"/>
          <w:sz w:val="24"/>
          <w:szCs w:val="24"/>
        </w:rPr>
      </w:pPr>
      <w:r w:rsidDel="00000000" w:rsidR="00000000" w:rsidRPr="00000000">
        <w:rPr>
          <w:rFonts w:ascii="Bookman Old Style" w:cs="Bookman Old Style" w:eastAsia="Bookman Old Style" w:hAnsi="Bookman Old Style"/>
          <w:b w:val="1"/>
          <w:color w:val="ff9900"/>
          <w:sz w:val="24"/>
          <w:szCs w:val="24"/>
          <w:rtl w:val="0"/>
        </w:rPr>
        <w:t xml:space="preserve">Project Esperanza</w:t>
      </w:r>
    </w:p>
    <w:p w:rsidR="00000000" w:rsidDel="00000000" w:rsidP="00000000" w:rsidRDefault="00000000" w:rsidRPr="00000000" w14:paraId="00000004">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5">
      <w:pPr>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Purpose of the Committee:</w:t>
      </w:r>
    </w:p>
    <w:p w:rsidR="00000000" w:rsidDel="00000000" w:rsidP="00000000" w:rsidRDefault="00000000" w:rsidRPr="00000000" w14:paraId="00000006">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FGM Steering Committee is a strategic advisory body established to guide, inform, and oversee the delivery and development of Project Esperanza’s Female Genital Mutilation (FGM) awareness, prevention, and support programme. The Committee is accountable to the Board of Trustees and plays a critical role in ensuring that our programme and service is culturally competent, trauma-informed, and impactful. </w:t>
      </w:r>
    </w:p>
    <w:p w:rsidR="00000000" w:rsidDel="00000000" w:rsidP="00000000" w:rsidRDefault="00000000" w:rsidRPr="00000000" w14:paraId="00000007">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8">
      <w:pPr>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Committee Composition:</w:t>
      </w:r>
    </w:p>
    <w:p w:rsidR="00000000" w:rsidDel="00000000" w:rsidP="00000000" w:rsidRDefault="00000000" w:rsidRPr="00000000" w14:paraId="00000009">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Committee will consist of 6–8 members drawn from relevant sectors, including:</w:t>
      </w:r>
    </w:p>
    <w:p w:rsidR="00000000" w:rsidDel="00000000" w:rsidP="00000000" w:rsidRDefault="00000000" w:rsidRPr="00000000" w14:paraId="0000000A">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1 Religious Leaders (one Muslim and one Christian)</w:t>
      </w:r>
    </w:p>
    <w:p w:rsidR="00000000" w:rsidDel="00000000" w:rsidP="00000000" w:rsidRDefault="00000000" w:rsidRPr="00000000" w14:paraId="0000000C">
      <w:pPr>
        <w:numPr>
          <w:ilvl w:val="0"/>
          <w:numId w:val="1"/>
        </w:numPr>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1 Community Leaders/Elders (one Muslim and one Christian)</w:t>
      </w:r>
    </w:p>
    <w:p w:rsidR="00000000" w:rsidDel="00000000" w:rsidP="00000000" w:rsidRDefault="00000000" w:rsidRPr="00000000" w14:paraId="0000000D">
      <w:pPr>
        <w:numPr>
          <w:ilvl w:val="0"/>
          <w:numId w:val="1"/>
        </w:numPr>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1 Healthcare professional</w:t>
      </w:r>
    </w:p>
    <w:p w:rsidR="00000000" w:rsidDel="00000000" w:rsidP="00000000" w:rsidRDefault="00000000" w:rsidRPr="00000000" w14:paraId="0000000E">
      <w:pPr>
        <w:numPr>
          <w:ilvl w:val="0"/>
          <w:numId w:val="1"/>
        </w:numPr>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1 Education professional</w:t>
      </w:r>
    </w:p>
    <w:p w:rsidR="00000000" w:rsidDel="00000000" w:rsidP="00000000" w:rsidRDefault="00000000" w:rsidRPr="00000000" w14:paraId="0000000F">
      <w:pPr>
        <w:numPr>
          <w:ilvl w:val="0"/>
          <w:numId w:val="1"/>
        </w:numPr>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1 Legal and safeguarding expert</w:t>
      </w:r>
    </w:p>
    <w:p w:rsidR="00000000" w:rsidDel="00000000" w:rsidP="00000000" w:rsidRDefault="00000000" w:rsidRPr="00000000" w14:paraId="00000010">
      <w:pPr>
        <w:numPr>
          <w:ilvl w:val="0"/>
          <w:numId w:val="1"/>
        </w:numPr>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1 Mental health and trauma specialist</w:t>
      </w:r>
    </w:p>
    <w:p w:rsidR="00000000" w:rsidDel="00000000" w:rsidP="00000000" w:rsidRDefault="00000000" w:rsidRPr="00000000" w14:paraId="00000011">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advocates with lived experience </w:t>
      </w:r>
    </w:p>
    <w:p w:rsidR="00000000" w:rsidDel="00000000" w:rsidP="00000000" w:rsidRDefault="00000000" w:rsidRPr="00000000" w14:paraId="00000012">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3">
      <w:pPr>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Time Commitment:</w:t>
      </w:r>
    </w:p>
    <w:p w:rsidR="00000000" w:rsidDel="00000000" w:rsidP="00000000" w:rsidRDefault="00000000" w:rsidRPr="00000000" w14:paraId="00000014">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5">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Attend 4 meetings per year (quarterly)</w:t>
      </w:r>
    </w:p>
    <w:p w:rsidR="00000000" w:rsidDel="00000000" w:rsidP="00000000" w:rsidRDefault="00000000" w:rsidRPr="00000000" w14:paraId="00000016">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7">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Occasional participation in ad hoc consultations, subgroups, or urgent decision-making (as required)</w:t>
      </w:r>
    </w:p>
    <w:p w:rsidR="00000000" w:rsidDel="00000000" w:rsidP="00000000" w:rsidRDefault="00000000" w:rsidRPr="00000000" w14:paraId="00000018">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9">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Preparation time for reading reports, programme updates, and proposals ahead of meetings</w:t>
      </w:r>
    </w:p>
    <w:p w:rsidR="00000000" w:rsidDel="00000000" w:rsidP="00000000" w:rsidRDefault="00000000" w:rsidRPr="00000000" w14:paraId="0000001A">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B">
      <w:pPr>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Our Participation Policy</w:t>
      </w:r>
      <w:r w:rsidDel="00000000" w:rsidR="00000000" w:rsidRPr="00000000">
        <w:rPr>
          <w:rFonts w:ascii="Bookman Old Style" w:cs="Bookman Old Style" w:eastAsia="Bookman Old Style" w:hAnsi="Bookman Old Style"/>
          <w:sz w:val="24"/>
          <w:szCs w:val="24"/>
          <w:highlight w:val="white"/>
          <w:rtl w:val="0"/>
        </w:rPr>
        <w:t xml:space="preserve"> </w:t>
      </w:r>
    </w:p>
    <w:p w:rsidR="00000000" w:rsidDel="00000000" w:rsidP="00000000" w:rsidRDefault="00000000" w:rsidRPr="00000000" w14:paraId="0000001C">
      <w:pPr>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We anticipate most meetings will be half days. Our rate is </w:t>
      </w:r>
      <w:r w:rsidDel="00000000" w:rsidR="00000000" w:rsidRPr="00000000">
        <w:rPr>
          <w:rFonts w:ascii="Bookman Old Style" w:cs="Bookman Old Style" w:eastAsia="Bookman Old Style" w:hAnsi="Bookman Old Style"/>
          <w:b w:val="1"/>
          <w:sz w:val="24"/>
          <w:szCs w:val="24"/>
          <w:highlight w:val="white"/>
          <w:rtl w:val="0"/>
        </w:rPr>
        <w:t xml:space="preserve">£60 for a half day meeting (up to 3 hours). </w:t>
      </w:r>
      <w:r w:rsidDel="00000000" w:rsidR="00000000" w:rsidRPr="00000000">
        <w:rPr>
          <w:rtl w:val="0"/>
        </w:rPr>
      </w:r>
    </w:p>
    <w:p w:rsidR="00000000" w:rsidDel="00000000" w:rsidP="00000000" w:rsidRDefault="00000000" w:rsidRPr="00000000" w14:paraId="0000001D">
      <w:pPr>
        <w:jc w:val="both"/>
        <w:rPr>
          <w:rFonts w:ascii="Bookman Old Style" w:cs="Bookman Old Style" w:eastAsia="Bookman Old Style" w:hAnsi="Bookman Old Style"/>
          <w:color w:val="222222"/>
          <w:sz w:val="24"/>
          <w:szCs w:val="24"/>
          <w:highlight w:val="white"/>
        </w:rPr>
      </w:pPr>
      <w:r w:rsidDel="00000000" w:rsidR="00000000" w:rsidRPr="00000000">
        <w:rPr>
          <w:rFonts w:ascii="Bookman Old Style" w:cs="Bookman Old Style" w:eastAsia="Bookman Old Style" w:hAnsi="Bookman Old Style"/>
          <w:color w:val="222222"/>
          <w:sz w:val="24"/>
          <w:szCs w:val="24"/>
          <w:highlight w:val="white"/>
          <w:rtl w:val="0"/>
        </w:rPr>
        <w:t xml:space="preserve"> </w:t>
      </w:r>
    </w:p>
    <w:p w:rsidR="00000000" w:rsidDel="00000000" w:rsidP="00000000" w:rsidRDefault="00000000" w:rsidRPr="00000000" w14:paraId="0000001E">
      <w:pPr>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We will also reimburse you for the costs associated with your attendance throughout the duration of this project, e.g., travel expenses or childcare costs. These will be paid directly to you on receipt of a receipt or an invoice.</w:t>
      </w:r>
    </w:p>
    <w:p w:rsidR="00000000" w:rsidDel="00000000" w:rsidP="00000000" w:rsidRDefault="00000000" w:rsidRPr="00000000" w14:paraId="0000001F">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0">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Responsibilities</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21">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2">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Strategic Oversight</w:t>
      </w:r>
    </w:p>
    <w:p w:rsidR="00000000" w:rsidDel="00000000" w:rsidP="00000000" w:rsidRDefault="00000000" w:rsidRPr="00000000" w14:paraId="00000023">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4">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Provide guidance on the direction, goals, and implementation of the FGM programme</w:t>
      </w:r>
    </w:p>
    <w:p w:rsidR="00000000" w:rsidDel="00000000" w:rsidP="00000000" w:rsidRDefault="00000000" w:rsidRPr="00000000" w14:paraId="00000025">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Ensure alignment with Project Esperanza’s mission and values</w:t>
      </w:r>
    </w:p>
    <w:p w:rsidR="00000000" w:rsidDel="00000000" w:rsidP="00000000" w:rsidRDefault="00000000" w:rsidRPr="00000000" w14:paraId="00000026">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Recommend improvements based on monitoring and evaluation data</w:t>
      </w:r>
    </w:p>
    <w:p w:rsidR="00000000" w:rsidDel="00000000" w:rsidP="00000000" w:rsidRDefault="00000000" w:rsidRPr="00000000" w14:paraId="00000027">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8">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Accountability to Trustees</w:t>
      </w:r>
    </w:p>
    <w:p w:rsidR="00000000" w:rsidDel="00000000" w:rsidP="00000000" w:rsidRDefault="00000000" w:rsidRPr="00000000" w14:paraId="00000029">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A">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Report quarterly to the Board of Trustees with progress, risks, and key insights</w:t>
      </w:r>
    </w:p>
    <w:p w:rsidR="00000000" w:rsidDel="00000000" w:rsidP="00000000" w:rsidRDefault="00000000" w:rsidRPr="00000000" w14:paraId="0000002B">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Submit annual summary of activities and strategic recommendations</w:t>
      </w:r>
    </w:p>
    <w:p w:rsidR="00000000" w:rsidDel="00000000" w:rsidP="00000000" w:rsidRDefault="00000000" w:rsidRPr="00000000" w14:paraId="0000002C">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D">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Programme Quality and Impact</w:t>
      </w:r>
    </w:p>
    <w:p w:rsidR="00000000" w:rsidDel="00000000" w:rsidP="00000000" w:rsidRDefault="00000000" w:rsidRPr="00000000" w14:paraId="0000002E">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F">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Review and advise on campaign strategies, materials, and engagement plans</w:t>
      </w:r>
    </w:p>
    <w:p w:rsidR="00000000" w:rsidDel="00000000" w:rsidP="00000000" w:rsidRDefault="00000000" w:rsidRPr="00000000" w14:paraId="00000030">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Ensure programmes are trauma-informed, inclusive, and culturally appropriate</w:t>
      </w:r>
    </w:p>
    <w:p w:rsidR="00000000" w:rsidDel="00000000" w:rsidP="00000000" w:rsidRDefault="00000000" w:rsidRPr="00000000" w14:paraId="00000031">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Advise on safeguarding, legal compliance, and risk management</w:t>
      </w:r>
    </w:p>
    <w:p w:rsidR="00000000" w:rsidDel="00000000" w:rsidP="00000000" w:rsidRDefault="00000000" w:rsidRPr="00000000" w14:paraId="00000032">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3">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 Community Voice and Engagement</w:t>
      </w:r>
    </w:p>
    <w:p w:rsidR="00000000" w:rsidDel="00000000" w:rsidP="00000000" w:rsidRDefault="00000000" w:rsidRPr="00000000" w14:paraId="00000034">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5">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Act as a bridge between the community and the charity</w:t>
      </w:r>
    </w:p>
    <w:p w:rsidR="00000000" w:rsidDel="00000000" w:rsidP="00000000" w:rsidRDefault="00000000" w:rsidRPr="00000000" w14:paraId="00000036">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Encourage diverse representation, including voices of survivors</w:t>
      </w:r>
    </w:p>
    <w:p w:rsidR="00000000" w:rsidDel="00000000" w:rsidP="00000000" w:rsidRDefault="00000000" w:rsidRPr="00000000" w14:paraId="00000037">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Promote transparency, trust, and collaboration within the community</w:t>
      </w:r>
    </w:p>
    <w:p w:rsidR="00000000" w:rsidDel="00000000" w:rsidP="00000000" w:rsidRDefault="00000000" w:rsidRPr="00000000" w14:paraId="00000038">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9">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 Resource and Partnership Support</w:t>
      </w:r>
    </w:p>
    <w:p w:rsidR="00000000" w:rsidDel="00000000" w:rsidP="00000000" w:rsidRDefault="00000000" w:rsidRPr="00000000" w14:paraId="0000003A">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B">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Identify relevant partnership opportunities and funding sources</w:t>
      </w:r>
    </w:p>
    <w:p w:rsidR="00000000" w:rsidDel="00000000" w:rsidP="00000000" w:rsidRDefault="00000000" w:rsidRPr="00000000" w14:paraId="0000003C">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Support Project Esperanza’s advocacy efforts and public engagement</w:t>
      </w:r>
    </w:p>
    <w:p w:rsidR="00000000" w:rsidDel="00000000" w:rsidP="00000000" w:rsidRDefault="00000000" w:rsidRPr="00000000" w14:paraId="0000003D">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E">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F">
      <w:pPr>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0">
      <w:pPr>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Person Specification:</w:t>
      </w:r>
    </w:p>
    <w:p w:rsidR="00000000" w:rsidDel="00000000" w:rsidP="00000000" w:rsidRDefault="00000000" w:rsidRPr="00000000" w14:paraId="00000041">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2">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Demonstrated commitment to women’s rights, child protection, and anti-FGM work</w:t>
      </w:r>
    </w:p>
    <w:p w:rsidR="00000000" w:rsidDel="00000000" w:rsidP="00000000" w:rsidRDefault="00000000" w:rsidRPr="00000000" w14:paraId="00000043">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4">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Knowledge or lived experience related to FGM, safeguarding, or trauma-informed care</w:t>
      </w:r>
    </w:p>
    <w:p w:rsidR="00000000" w:rsidDel="00000000" w:rsidP="00000000" w:rsidRDefault="00000000" w:rsidRPr="00000000" w14:paraId="00000045">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6">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Ability to work collaboratively and respectfully across cultures</w:t>
      </w:r>
    </w:p>
    <w:p w:rsidR="00000000" w:rsidDel="00000000" w:rsidP="00000000" w:rsidRDefault="00000000" w:rsidRPr="00000000" w14:paraId="00000047">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8">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Strategic thinker with sound judgment</w:t>
      </w:r>
    </w:p>
    <w:p w:rsidR="00000000" w:rsidDel="00000000" w:rsidP="00000000" w:rsidRDefault="00000000" w:rsidRPr="00000000" w14:paraId="00000049">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A">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Willingness to act in the best interests of Project Esperanza and its beneficiaries</w:t>
      </w:r>
    </w:p>
    <w:p w:rsidR="00000000" w:rsidDel="00000000" w:rsidP="00000000" w:rsidRDefault="00000000" w:rsidRPr="00000000" w14:paraId="0000004B">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C">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D">
      <w:pPr>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Term of Appointment:</w:t>
      </w:r>
    </w:p>
    <w:p w:rsidR="00000000" w:rsidDel="00000000" w:rsidP="00000000" w:rsidRDefault="00000000" w:rsidRPr="00000000" w14:paraId="0000004E">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F">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Members will be appointed for an initial term of 2 years, renewable by mutual agreement.</w:t>
      </w:r>
    </w:p>
    <w:p w:rsidR="00000000" w:rsidDel="00000000" w:rsidP="00000000" w:rsidRDefault="00000000" w:rsidRPr="00000000" w14:paraId="00000050">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1">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Send your cv and cover letter to fgm@projectesperanza.org.uk</w:t>
      </w:r>
    </w:p>
    <w:p w:rsidR="00000000" w:rsidDel="00000000" w:rsidP="00000000" w:rsidRDefault="00000000" w:rsidRPr="00000000" w14:paraId="00000052">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3">
      <w:pPr>
        <w:jc w:val="both"/>
        <w:rPr>
          <w:rFonts w:ascii="Bookman Old Style" w:cs="Bookman Old Style" w:eastAsia="Bookman Old Style" w:hAnsi="Bookman Old Style"/>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