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FC" w:rsidRPr="00A77FC4" w:rsidRDefault="000442F5"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Motherwell &amp; Wishaw</w:t>
      </w:r>
      <w:r w:rsidR="00A14838">
        <w:rPr>
          <w:rFonts w:ascii="Tahoma" w:hAnsi="Tahoma" w:cs="Tahoma"/>
          <w:bCs/>
          <w:color w:val="auto"/>
          <w:sz w:val="22"/>
          <w:szCs w:val="22"/>
          <w:lang w:eastAsia="en-GB"/>
        </w:rPr>
        <w:t xml:space="preserve"> </w:t>
      </w:r>
      <w:r w:rsidR="00ED107E" w:rsidRPr="00ED107E">
        <w:rPr>
          <w:rFonts w:ascii="Tahoma" w:hAnsi="Tahoma" w:cs="Tahoma"/>
          <w:bCs/>
          <w:color w:val="auto"/>
          <w:sz w:val="22"/>
          <w:szCs w:val="22"/>
          <w:lang w:eastAsia="en-GB"/>
        </w:rPr>
        <w:t>Citizens Advice Bureau</w:t>
      </w:r>
      <w:r w:rsidR="00A14838">
        <w:rPr>
          <w:rFonts w:ascii="Tahoma" w:hAnsi="Tahoma" w:cs="Tahoma"/>
          <w:bCs/>
          <w:color w:val="auto"/>
          <w:sz w:val="22"/>
          <w:szCs w:val="22"/>
          <w:lang w:eastAsia="en-GB"/>
        </w:rPr>
        <w:t xml:space="preserve"> </w:t>
      </w:r>
      <w:r w:rsidR="009F44FC" w:rsidRPr="00A77FC4">
        <w:rPr>
          <w:rFonts w:ascii="Tahoma" w:hAnsi="Tahoma" w:cs="Tahoma"/>
          <w:bCs/>
          <w:color w:val="auto"/>
          <w:sz w:val="22"/>
          <w:szCs w:val="22"/>
          <w:lang w:eastAsia="en-GB"/>
        </w:rPr>
        <w:t>is aware of its obligations under the General Data Protection Regulation (GDPR) and is committed to processing your data securely and transparently. This privacy notice sets out, in line with GDPR, th</w:t>
      </w:r>
      <w:bookmarkStart w:id="0" w:name="_GoBack"/>
      <w:bookmarkEnd w:id="0"/>
      <w:r w:rsidR="009F44FC" w:rsidRPr="00A77FC4">
        <w:rPr>
          <w:rFonts w:ascii="Tahoma" w:hAnsi="Tahoma" w:cs="Tahoma"/>
          <w:bCs/>
          <w:color w:val="auto"/>
          <w:sz w:val="22"/>
          <w:szCs w:val="22"/>
          <w:lang w:eastAsia="en-GB"/>
        </w:rPr>
        <w:t>e types of data that we collect and hold on you as a job applicant. It also sets out how we use that information, how long we keep it for and other relevant information about your data.</w:t>
      </w:r>
    </w:p>
    <w:p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rsidR="00DB2AB5" w:rsidRPr="00ED107E" w:rsidRDefault="000442F5"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Motherwell &amp; Wishaw</w:t>
      </w:r>
      <w:r w:rsidR="00A14838">
        <w:rPr>
          <w:rFonts w:ascii="Tahoma" w:hAnsi="Tahoma" w:cs="Tahoma"/>
          <w:bCs/>
          <w:sz w:val="22"/>
          <w:szCs w:val="22"/>
          <w:lang w:eastAsia="en-GB"/>
        </w:rPr>
        <w:t xml:space="preserve"> </w:t>
      </w:r>
      <w:r w:rsidR="00ED107E" w:rsidRPr="00ED107E">
        <w:rPr>
          <w:rFonts w:ascii="Tahoma" w:hAnsi="Tahoma" w:cs="Tahoma"/>
          <w:bCs/>
          <w:sz w:val="22"/>
          <w:szCs w:val="22"/>
          <w:lang w:eastAsia="en-GB"/>
        </w:rPr>
        <w:t>Citizens Advice Bureau</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Pr>
          <w:rFonts w:ascii="Tahoma" w:eastAsia="Times New Roman" w:hAnsi="Tahoma" w:cs="Tahoma"/>
          <w:bCs/>
          <w:sz w:val="22"/>
          <w:szCs w:val="22"/>
          <w:lang w:eastAsia="en-GB"/>
        </w:rPr>
        <w:t>Motherwell &amp; Wishaw</w:t>
      </w:r>
      <w:r w:rsidR="00A14838">
        <w:rPr>
          <w:rFonts w:ascii="Tahoma" w:eastAsia="Times New Roman" w:hAnsi="Tahoma" w:cs="Tahoma"/>
          <w:bCs/>
          <w:sz w:val="22"/>
          <w:szCs w:val="22"/>
          <w:lang w:eastAsia="en-GB"/>
        </w:rPr>
        <w:t xml:space="preserve"> </w:t>
      </w:r>
      <w:r w:rsidR="00ED107E" w:rsidRPr="00ED107E">
        <w:rPr>
          <w:rFonts w:ascii="Tahoma" w:hAnsi="Tahoma" w:cs="Tahoma"/>
          <w:bCs/>
          <w:sz w:val="22"/>
          <w:szCs w:val="22"/>
          <w:lang w:eastAsia="en-GB"/>
        </w:rPr>
        <w:t>Citizens Advice Bureau</w:t>
      </w:r>
      <w:r w:rsidR="00A14838">
        <w:rPr>
          <w:rFonts w:ascii="Tahoma" w:hAnsi="Tahoma" w:cs="Tahoma"/>
          <w:bCs/>
          <w:sz w:val="22"/>
          <w:szCs w:val="22"/>
          <w:lang w:eastAsia="en-GB"/>
        </w:rPr>
        <w:t xml:space="preserve">, </w:t>
      </w:r>
      <w:r>
        <w:rPr>
          <w:rFonts w:ascii="Tahoma" w:hAnsi="Tahoma" w:cs="Tahoma"/>
          <w:bCs/>
          <w:sz w:val="22"/>
          <w:szCs w:val="22"/>
          <w:lang w:eastAsia="en-GB"/>
        </w:rPr>
        <w:t>90 Brandon Parade East, Motherwell ML1 1LY</w:t>
      </w:r>
    </w:p>
    <w:p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0442F5">
        <w:rPr>
          <w:rFonts w:ascii="Tahoma" w:eastAsia="Times New Roman" w:hAnsi="Tahoma" w:cs="Tahoma"/>
          <w:bCs/>
          <w:sz w:val="22"/>
          <w:szCs w:val="22"/>
          <w:lang w:eastAsia="en-GB"/>
        </w:rPr>
        <w:t>Motherwell &amp; Wishaw</w:t>
      </w:r>
      <w:r w:rsidR="004112A0">
        <w:rPr>
          <w:rFonts w:ascii="Tahoma" w:eastAsia="Times New Roman" w:hAnsi="Tahoma" w:cs="Tahoma"/>
          <w:bCs/>
          <w:sz w:val="22"/>
          <w:szCs w:val="22"/>
          <w:lang w:eastAsia="en-GB"/>
        </w:rPr>
        <w:t xml:space="preserve"> </w:t>
      </w:r>
      <w:r w:rsidR="00ED107E" w:rsidRPr="00ED107E">
        <w:rPr>
          <w:rFonts w:ascii="Tahoma" w:hAnsi="Tahoma" w:cs="Tahoma"/>
          <w:bCs/>
          <w:sz w:val="22"/>
          <w:szCs w:val="22"/>
          <w:lang w:eastAsia="en-GB"/>
        </w:rPr>
        <w:t>Citizens Advice Bureau</w:t>
      </w:r>
      <w:r w:rsidRPr="00A77FC4">
        <w:rPr>
          <w:rFonts w:ascii="Tahoma" w:eastAsia="Times New Roman" w:hAnsi="Tahoma" w:cs="Tahoma"/>
          <w:bCs/>
          <w:sz w:val="22"/>
          <w:szCs w:val="22"/>
          <w:lang w:eastAsia="en-GB"/>
        </w:rPr>
        <w:t xml:space="preserve"> will hold many types of data about you, including: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information included on your </w:t>
      </w:r>
      <w:r w:rsidR="004112A0">
        <w:rPr>
          <w:rFonts w:ascii="Tahoma" w:eastAsia="Times New Roman" w:hAnsi="Tahoma" w:cs="Tahoma"/>
          <w:sz w:val="22"/>
          <w:szCs w:val="22"/>
          <w:lang w:eastAsia="en-GB"/>
        </w:rPr>
        <w:t>application</w:t>
      </w:r>
      <w:r w:rsidRPr="00A77FC4">
        <w:rPr>
          <w:rFonts w:ascii="Tahoma" w:eastAsia="Times New Roman" w:hAnsi="Tahoma" w:cs="Tahoma"/>
          <w:sz w:val="22"/>
          <w:szCs w:val="22"/>
          <w:lang w:eastAsia="en-GB"/>
        </w:rPr>
        <w:t xml:space="preserve"> including employment and education history</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w:t>
      </w:r>
      <w:proofErr w:type="gramStart"/>
      <w:r w:rsidRPr="00A77FC4">
        <w:rPr>
          <w:rFonts w:ascii="Tahoma" w:eastAsia="Times New Roman" w:hAnsi="Tahoma" w:cs="Tahoma"/>
          <w:bCs/>
          <w:sz w:val="22"/>
          <w:szCs w:val="22"/>
          <w:lang w:eastAsia="en-GB"/>
        </w:rPr>
        <w:t>you</w:t>
      </w:r>
      <w:proofErr w:type="gramEnd"/>
      <w:r w:rsidRPr="00A77FC4">
        <w:rPr>
          <w:rFonts w:ascii="Tahoma" w:eastAsia="Times New Roman" w:hAnsi="Tahoma" w:cs="Tahoma"/>
          <w:bCs/>
          <w:sz w:val="22"/>
          <w:szCs w:val="22"/>
          <w:lang w:eastAsia="en-GB"/>
        </w:rPr>
        <w:t xml:space="preserve"> complete forms at the start of your employment, for example, your bank and emergency contact details. Other details may be collected directly from you in the form of official documentation such as your passport or other right to work evidence. </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0442F5">
        <w:rPr>
          <w:rFonts w:ascii="Tahoma" w:eastAsia="Times New Roman" w:hAnsi="Tahoma" w:cs="Tahoma"/>
          <w:bCs/>
          <w:sz w:val="22"/>
          <w:szCs w:val="22"/>
          <w:lang w:eastAsia="en-GB"/>
        </w:rPr>
        <w:t>Motherwell &amp; Wishaw</w:t>
      </w:r>
      <w:r w:rsidR="004112A0">
        <w:rPr>
          <w:rFonts w:ascii="Tahoma" w:eastAsia="Times New Roman" w:hAnsi="Tahoma" w:cs="Tahoma"/>
          <w:bCs/>
          <w:sz w:val="22"/>
          <w:szCs w:val="22"/>
          <w:lang w:eastAsia="en-GB"/>
        </w:rPr>
        <w:t xml:space="preserve"> </w:t>
      </w:r>
      <w:r w:rsidR="00ED107E" w:rsidRPr="00ED107E">
        <w:rPr>
          <w:rFonts w:ascii="Tahoma" w:hAnsi="Tahoma" w:cs="Tahoma"/>
          <w:bCs/>
          <w:sz w:val="22"/>
          <w:szCs w:val="22"/>
          <w:lang w:eastAsia="en-GB"/>
        </w:rPr>
        <w:t>Citizens Advice Bureau</w:t>
      </w:r>
      <w:r w:rsidR="004112A0">
        <w:rPr>
          <w:rFonts w:ascii="Tahoma" w:hAnsi="Tahoma" w:cs="Tahoma"/>
          <w:bCs/>
          <w:sz w:val="22"/>
          <w:szCs w:val="22"/>
          <w:lang w:eastAsia="en-GB"/>
        </w:rPr>
        <w:t>’s</w:t>
      </w:r>
      <w:r w:rsidR="00ED107E" w:rsidRPr="00ED107E">
        <w:rPr>
          <w:rFonts w:ascii="Tahoma" w:hAnsi="Tahoma" w:cs="Tahoma"/>
          <w:bCs/>
          <w:sz w:val="22"/>
          <w:szCs w:val="22"/>
          <w:lang w:eastAsia="en-GB"/>
        </w:rPr>
        <w:t xml:space="preserve"> </w:t>
      </w:r>
      <w:r w:rsidRPr="00A77FC4">
        <w:rPr>
          <w:rFonts w:ascii="Tahoma" w:eastAsia="Times New Roman" w:hAnsi="Tahoma" w:cs="Tahoma"/>
          <w:bCs/>
          <w:sz w:val="22"/>
          <w:szCs w:val="22"/>
          <w:lang w:eastAsia="en-GB"/>
        </w:rPr>
        <w:t>HR and IT systems.</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rsidR="009F44FC"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0442F5">
        <w:rPr>
          <w:rFonts w:ascii="Tahoma" w:eastAsia="Times New Roman" w:hAnsi="Tahoma" w:cs="Tahoma"/>
          <w:bCs/>
          <w:sz w:val="22"/>
          <w:szCs w:val="22"/>
          <w:lang w:eastAsia="en-GB"/>
        </w:rPr>
        <w:t>Motherwell &amp; Wishaw</w:t>
      </w:r>
      <w:r w:rsidR="00823CC6">
        <w:rPr>
          <w:rFonts w:ascii="Tahoma" w:eastAsia="Times New Roman" w:hAnsi="Tahoma" w:cs="Tahoma"/>
          <w:bCs/>
          <w:sz w:val="22"/>
          <w:szCs w:val="22"/>
          <w:lang w:eastAsia="en-GB"/>
        </w:rPr>
        <w:t xml:space="preserve"> </w:t>
      </w:r>
      <w:r w:rsidR="00ED107E" w:rsidRPr="00ED107E">
        <w:rPr>
          <w:rFonts w:ascii="Tahoma" w:hAnsi="Tahoma" w:cs="Tahoma"/>
          <w:bCs/>
          <w:sz w:val="22"/>
          <w:szCs w:val="22"/>
          <w:lang w:eastAsia="en-GB"/>
        </w:rPr>
        <w:t xml:space="preserve">Citizens Advice Bureau. </w:t>
      </w:r>
      <w:r w:rsidRPr="00A77FC4">
        <w:rPr>
          <w:rFonts w:ascii="Tahoma" w:eastAsia="Times New Roman" w:hAnsi="Tahoma" w:cs="Tahoma"/>
          <w:bCs/>
          <w:sz w:val="22"/>
          <w:szCs w:val="22"/>
          <w:lang w:eastAsia="en-GB"/>
        </w:rPr>
        <w:t>We have set these out below:</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0442F5">
        <w:rPr>
          <w:rFonts w:ascii="Tahoma" w:eastAsia="Times New Roman" w:hAnsi="Tahoma" w:cs="Tahoma"/>
          <w:bCs/>
          <w:sz w:val="22"/>
          <w:szCs w:val="22"/>
          <w:lang w:eastAsia="en-GB"/>
        </w:rPr>
        <w:t>Motherwell &amp; Wishaw</w:t>
      </w:r>
      <w:r w:rsidR="00823CC6">
        <w:rPr>
          <w:rFonts w:ascii="Tahoma" w:eastAsia="Times New Roman" w:hAnsi="Tahoma" w:cs="Tahoma"/>
          <w:bCs/>
          <w:sz w:val="22"/>
          <w:szCs w:val="22"/>
          <w:lang w:eastAsia="en-GB"/>
        </w:rPr>
        <w:t xml:space="preserve"> </w:t>
      </w:r>
      <w:r w:rsidR="00ED107E" w:rsidRPr="00ED107E">
        <w:rPr>
          <w:rFonts w:ascii="Tahoma" w:hAnsi="Tahoma" w:cs="Tahoma"/>
          <w:bCs/>
          <w:sz w:val="22"/>
          <w:szCs w:val="22"/>
          <w:lang w:eastAsia="en-GB"/>
        </w:rPr>
        <w:t xml:space="preserve">Citizens Advice Bureau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ED107E">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rsidR="00131D5C" w:rsidRPr="00654729" w:rsidRDefault="009F44FC" w:rsidP="00640EC6">
      <w:pPr>
        <w:spacing w:after="240" w:line="276" w:lineRule="auto"/>
        <w:ind w:right="-425"/>
        <w:contextualSpacing/>
        <w:jc w:val="both"/>
        <w:rPr>
          <w:rFonts w:ascii="Tahoma" w:eastAsia="Times New Roman" w:hAnsi="Tahoma" w:cs="Tahoma"/>
          <w:bCs/>
          <w:sz w:val="22"/>
          <w:szCs w:val="22"/>
          <w:lang w:eastAsia="en-GB"/>
        </w:rPr>
      </w:pPr>
      <w:r w:rsidRPr="00654729">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rsidR="00131D5C" w:rsidRPr="00654729" w:rsidRDefault="00131D5C"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654729">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checks are required for the post.</w:t>
      </w:r>
      <w:r w:rsidRPr="00A77FC4">
        <w:rPr>
          <w:rFonts w:ascii="Tahoma" w:eastAsia="Times New Roman" w:hAnsi="Tahoma" w:cs="Tahoma"/>
          <w:bCs/>
          <w:sz w:val="22"/>
          <w:szCs w:val="22"/>
          <w:lang w:eastAsia="en-GB"/>
        </w:rPr>
        <w:t xml:space="preserve"> </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0442F5">
        <w:rPr>
          <w:rFonts w:ascii="Tahoma" w:eastAsia="Times New Roman" w:hAnsi="Tahoma" w:cs="Tahoma"/>
          <w:bCs/>
          <w:sz w:val="22"/>
          <w:szCs w:val="22"/>
          <w:lang w:eastAsia="en-GB"/>
        </w:rPr>
        <w:t>Motherwell &amp; Wishaw</w:t>
      </w:r>
      <w:r w:rsidR="005F2484">
        <w:rPr>
          <w:rFonts w:ascii="Tahoma" w:eastAsia="Times New Roman" w:hAnsi="Tahoma" w:cs="Tahoma"/>
          <w:bCs/>
          <w:sz w:val="22"/>
          <w:szCs w:val="22"/>
          <w:lang w:eastAsia="en-GB"/>
        </w:rPr>
        <w:t xml:space="preserve"> </w:t>
      </w:r>
      <w:r w:rsidR="00654729">
        <w:rPr>
          <w:rFonts w:ascii="Tahoma" w:hAnsi="Tahoma" w:cs="Tahoma"/>
          <w:bCs/>
          <w:sz w:val="22"/>
          <w:szCs w:val="22"/>
          <w:lang w:eastAsia="en-GB"/>
        </w:rPr>
        <w:t>Citizens Advice Bureau</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r w:rsidR="00654729">
        <w:rPr>
          <w:rFonts w:ascii="Tahoma" w:eastAsia="Times New Roman" w:hAnsi="Tahoma" w:cs="Tahoma"/>
          <w:bCs/>
          <w:sz w:val="22"/>
          <w:szCs w:val="22"/>
          <w:lang w:eastAsia="en-GB"/>
        </w:rPr>
        <w:t xml:space="preserve">and relevant </w:t>
      </w:r>
      <w:r w:rsidR="00654729" w:rsidRPr="00654729">
        <w:rPr>
          <w:rFonts w:ascii="Tahoma" w:eastAsia="Times New Roman" w:hAnsi="Tahoma" w:cs="Tahoma"/>
          <w:bCs/>
          <w:sz w:val="22"/>
          <w:szCs w:val="22"/>
          <w:lang w:eastAsia="en-GB"/>
        </w:rPr>
        <w:t>organisations</w:t>
      </w:r>
      <w:r w:rsidR="00131D5C" w:rsidRPr="00654729">
        <w:rPr>
          <w:rFonts w:ascii="Tahoma" w:eastAsia="Times New Roman" w:hAnsi="Tahoma" w:cs="Tahoma"/>
          <w:bCs/>
          <w:sz w:val="22"/>
          <w:szCs w:val="22"/>
          <w:lang w:eastAsia="en-GB"/>
        </w:rPr>
        <w:t xml:space="preserve"> in order to obtain a basic Discl</w:t>
      </w:r>
      <w:r w:rsidR="00654729" w:rsidRPr="00654729">
        <w:rPr>
          <w:rFonts w:ascii="Tahoma" w:eastAsia="Times New Roman" w:hAnsi="Tahoma" w:cs="Tahoma"/>
          <w:bCs/>
          <w:sz w:val="22"/>
          <w:szCs w:val="22"/>
          <w:lang w:eastAsia="en-GB"/>
        </w:rPr>
        <w:t>osure or PVG check if required.</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131D5C" w:rsidRDefault="009F44FC" w:rsidP="005F2484">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rsidR="005F2484" w:rsidRPr="00A77FC4" w:rsidRDefault="005F2484" w:rsidP="005F2484">
      <w:pPr>
        <w:spacing w:after="240" w:line="276" w:lineRule="auto"/>
        <w:ind w:right="-425"/>
        <w:contextualSpacing/>
        <w:jc w:val="both"/>
        <w:rPr>
          <w:rFonts w:ascii="Tahoma" w:eastAsia="FangSong" w:hAnsi="Tahoma" w:cs="Tahoma"/>
          <w:b/>
          <w:snapToGrid w:val="0"/>
          <w:sz w:val="22"/>
          <w:szCs w:val="22"/>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Protecting Your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Where we share your data with third parties, we ensure that they are GDPR compliant and that they implement appropriate technical and organisational measures to ensure the security of your data.</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654729">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654729">
        <w:rPr>
          <w:rFonts w:ascii="Tahoma" w:eastAsia="Times New Roman" w:hAnsi="Tahoma" w:cs="Tahoma"/>
          <w:bCs/>
          <w:sz w:val="22"/>
          <w:szCs w:val="22"/>
          <w:lang w:eastAsia="en-GB"/>
        </w:rPr>
        <w:t>. We have a separate privacy notice for employees, which will be provided to you.</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To Your Data</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lastRenderedPageBreak/>
        <w:t>the right to object to the inclusion of any information. You have the right to object to the way we use your data where we are using it for our legitimate interests</w:t>
      </w:r>
    </w:p>
    <w:p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654729">
        <w:rPr>
          <w:rFonts w:ascii="Tahoma" w:hAnsi="Tahoma" w:cs="Tahoma"/>
          <w:bCs/>
          <w:sz w:val="22"/>
          <w:szCs w:val="22"/>
          <w:lang w:eastAsia="en-GB"/>
        </w:rPr>
        <w:t>the Bureau Manager.</w:t>
      </w:r>
    </w:p>
    <w:p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393" w:rsidRDefault="00C11393" w:rsidP="00295282">
      <w:r>
        <w:separator/>
      </w:r>
    </w:p>
  </w:endnote>
  <w:endnote w:type="continuationSeparator" w:id="0">
    <w:p w:rsidR="00C11393" w:rsidRDefault="00C11393"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706C0">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rsidR="00295282" w:rsidRDefault="00215407" w:rsidP="008D3023">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7456" behindDoc="1" locked="1" layoutInCell="1" allowOverlap="1" wp14:anchorId="4BBA361F" wp14:editId="55716C7E">
          <wp:simplePos x="0" y="0"/>
          <wp:positionH relativeFrom="page">
            <wp:posOffset>-147320</wp:posOffset>
          </wp:positionH>
          <wp:positionV relativeFrom="paragraph">
            <wp:posOffset>-494665</wp:posOffset>
          </wp:positionV>
          <wp:extent cx="7783195" cy="17995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6B206B">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Default="007706C0" w:rsidP="008C1B14">
    <w:pPr>
      <w:pStyle w:val="Footer"/>
      <w:tabs>
        <w:tab w:val="clear" w:pos="4320"/>
        <w:tab w:val="clear" w:pos="8640"/>
        <w:tab w:val="right" w:pos="8300"/>
      </w:tabs>
      <w:ind w:left="-567"/>
    </w:pPr>
    <w:r w:rsidRPr="007706C0">
      <w:rPr>
        <w:noProof/>
        <w:lang w:eastAsia="en-GB"/>
      </w:rPr>
      <mc:AlternateContent>
        <mc:Choice Requires="wps">
          <w:drawing>
            <wp:anchor distT="0" distB="0" distL="114300" distR="114300" simplePos="0" relativeHeight="251670528" behindDoc="0" locked="0" layoutInCell="1" allowOverlap="1" wp14:anchorId="5CBFB417" wp14:editId="416CBC09">
              <wp:simplePos x="0" y="0"/>
              <wp:positionH relativeFrom="margin">
                <wp:align>center</wp:align>
              </wp:positionH>
              <wp:positionV relativeFrom="paragraph">
                <wp:posOffset>-284480</wp:posOffset>
              </wp:positionV>
              <wp:extent cx="61722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1722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7706C0" w:rsidRDefault="007706C0" w:rsidP="007706C0">
                          <w:pPr>
                            <w:ind w:left="567"/>
                            <w:rPr>
                              <w:rFonts w:ascii="FS Me" w:hAnsi="FS Me" w:cs="Tahoma"/>
                              <w:b/>
                              <w:color w:val="FFFFFF" w:themeColor="background1"/>
                              <w:sz w:val="16"/>
                              <w:szCs w:val="16"/>
                            </w:rPr>
                          </w:pPr>
                        </w:p>
                        <w:p w:rsidR="007706C0" w:rsidRDefault="007706C0" w:rsidP="007706C0">
                          <w:pPr>
                            <w:ind w:left="567"/>
                            <w:rPr>
                              <w:rFonts w:ascii="FS Me" w:hAnsi="FS Me" w:cs="Tahoma"/>
                              <w:b/>
                              <w:color w:val="FFFFFF" w:themeColor="background1"/>
                              <w:sz w:val="16"/>
                              <w:szCs w:val="16"/>
                            </w:rPr>
                          </w:pPr>
                        </w:p>
                        <w:p w:rsidR="007706C0" w:rsidRDefault="007706C0" w:rsidP="007706C0">
                          <w:pPr>
                            <w:ind w:left="567"/>
                            <w:rPr>
                              <w:rFonts w:ascii="FS Me" w:hAnsi="FS Me" w:cs="Tahoma"/>
                              <w:b/>
                              <w:color w:val="FFFFFF" w:themeColor="background1"/>
                              <w:sz w:val="16"/>
                              <w:szCs w:val="16"/>
                            </w:rPr>
                          </w:pPr>
                        </w:p>
                        <w:p w:rsidR="007706C0" w:rsidRDefault="007706C0" w:rsidP="007706C0">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7706C0" w:rsidRPr="000B31AC" w:rsidRDefault="007706C0" w:rsidP="007706C0">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7706C0" w:rsidRPr="000B31AC" w:rsidRDefault="007706C0" w:rsidP="007706C0">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7706C0" w:rsidRPr="000B31AC" w:rsidRDefault="007706C0" w:rsidP="007706C0">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7706C0" w:rsidRPr="006B1EB3" w:rsidRDefault="007706C0" w:rsidP="007706C0">
                          <w:pPr>
                            <w:ind w:left="567"/>
                            <w:rPr>
                              <w:rFonts w:ascii="FS Me" w:hAnsi="FS Me" w:cs="Tahoma"/>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FB417" id="_x0000_t202" coordsize="21600,21600" o:spt="202" path="m,l,21600r21600,l21600,xe">
              <v:stroke joinstyle="miter"/>
              <v:path gradientshapeok="t" o:connecttype="rect"/>
            </v:shapetype>
            <v:shape id="Text Box 7" o:spid="_x0000_s1026" type="#_x0000_t202" style="position:absolute;left:0;text-align:left;margin-left:0;margin-top:-22.4pt;width:486pt;height:8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" filled="f" stroked="f">
              <v:textbox>
                <w:txbxContent>
                  <w:p w:rsidR="007706C0" w:rsidRDefault="007706C0" w:rsidP="007706C0">
                    <w:pPr>
                      <w:ind w:left="567"/>
                      <w:rPr>
                        <w:rFonts w:ascii="FS Me" w:hAnsi="FS Me" w:cs="Tahoma"/>
                        <w:b/>
                        <w:color w:val="FFFFFF" w:themeColor="background1"/>
                        <w:sz w:val="16"/>
                        <w:szCs w:val="16"/>
                      </w:rPr>
                    </w:pPr>
                  </w:p>
                  <w:p w:rsidR="007706C0" w:rsidRDefault="007706C0" w:rsidP="007706C0">
                    <w:pPr>
                      <w:ind w:left="567"/>
                      <w:rPr>
                        <w:rFonts w:ascii="FS Me" w:hAnsi="FS Me" w:cs="Tahoma"/>
                        <w:b/>
                        <w:color w:val="FFFFFF" w:themeColor="background1"/>
                        <w:sz w:val="16"/>
                        <w:szCs w:val="16"/>
                      </w:rPr>
                    </w:pPr>
                  </w:p>
                  <w:p w:rsidR="007706C0" w:rsidRDefault="007706C0" w:rsidP="007706C0">
                    <w:pPr>
                      <w:ind w:left="567"/>
                      <w:rPr>
                        <w:rFonts w:ascii="FS Me" w:hAnsi="FS Me" w:cs="Tahoma"/>
                        <w:b/>
                        <w:color w:val="FFFFFF" w:themeColor="background1"/>
                        <w:sz w:val="16"/>
                        <w:szCs w:val="16"/>
                      </w:rPr>
                    </w:pPr>
                  </w:p>
                  <w:p w:rsidR="007706C0" w:rsidRDefault="007706C0" w:rsidP="007706C0">
                    <w:pPr>
                      <w:tabs>
                        <w:tab w:val="center" w:pos="4514"/>
                        <w:tab w:val="left" w:pos="6792"/>
                        <w:tab w:val="left" w:pos="7924"/>
                        <w:tab w:val="right" w:pos="9029"/>
                      </w:tabs>
                      <w:rPr>
                        <w:rFonts w:ascii="Arial" w:hAnsi="Arial" w:cs="Arial"/>
                        <w:color w:val="FFFFFF" w:themeColor="background1"/>
                        <w:sz w:val="14"/>
                        <w:szCs w:val="21"/>
                      </w:rPr>
                    </w:pPr>
                    <w:r>
                      <w:rPr>
                        <w:rFonts w:ascii="Arial" w:hAnsi="Arial" w:cs="Arial"/>
                        <w:color w:val="FFFFFF" w:themeColor="background1"/>
                        <w:sz w:val="14"/>
                        <w:szCs w:val="21"/>
                      </w:rPr>
                      <w:t xml:space="preserve">Motherwell &amp; Wishaw Citizens Advice Bureau </w:t>
                    </w:r>
                  </w:p>
                  <w:p w:rsidR="007706C0" w:rsidRPr="000B31AC" w:rsidRDefault="007706C0" w:rsidP="007706C0">
                    <w:pPr>
                      <w:tabs>
                        <w:tab w:val="center" w:pos="4514"/>
                        <w:tab w:val="left" w:pos="6792"/>
                        <w:tab w:val="left" w:pos="7924"/>
                        <w:tab w:val="right" w:pos="9029"/>
                      </w:tabs>
                      <w:rPr>
                        <w:rFonts w:ascii="Arial" w:hAnsi="Arial" w:cs="Arial"/>
                        <w:color w:val="FFFFFF" w:themeColor="background1"/>
                        <w:sz w:val="14"/>
                        <w:szCs w:val="21"/>
                      </w:rPr>
                    </w:pPr>
                    <w:r w:rsidRPr="000B31AC">
                      <w:rPr>
                        <w:rFonts w:ascii="Arial" w:hAnsi="Arial" w:cs="Arial"/>
                        <w:color w:val="FFFFFF" w:themeColor="background1"/>
                        <w:sz w:val="14"/>
                        <w:szCs w:val="21"/>
                      </w:rPr>
                      <w:t xml:space="preserve">Company Limited by Guarantee SC173485 Registered Charity SC009733 </w:t>
                    </w:r>
                    <w:r w:rsidRPr="000B31AC">
                      <w:rPr>
                        <w:rFonts w:ascii="Arial" w:hAnsi="Arial" w:cs="Arial"/>
                        <w:color w:val="FFFFFF" w:themeColor="background1"/>
                        <w:sz w:val="14"/>
                        <w:szCs w:val="21"/>
                      </w:rPr>
                      <w:tab/>
                    </w:r>
                  </w:p>
                  <w:p w:rsidR="007706C0" w:rsidRPr="000B31AC" w:rsidRDefault="007706C0" w:rsidP="007706C0">
                    <w:pPr>
                      <w:tabs>
                        <w:tab w:val="left" w:pos="6792"/>
                        <w:tab w:val="left" w:pos="7924"/>
                      </w:tabs>
                      <w:rPr>
                        <w:rFonts w:ascii="Arial" w:hAnsi="Arial" w:cs="Arial"/>
                        <w:color w:val="FFFFFF" w:themeColor="background1"/>
                        <w:sz w:val="14"/>
                        <w:szCs w:val="21"/>
                      </w:rPr>
                    </w:pPr>
                    <w:r w:rsidRPr="000B31AC">
                      <w:rPr>
                        <w:rFonts w:ascii="Arial" w:hAnsi="Arial" w:cs="Arial"/>
                        <w:color w:val="FFFFFF" w:themeColor="background1"/>
                        <w:sz w:val="14"/>
                        <w:szCs w:val="21"/>
                      </w:rPr>
                      <w:t>Authorised by FCA FRN: 617467</w:t>
                    </w:r>
                  </w:p>
                  <w:p w:rsidR="007706C0" w:rsidRPr="000B31AC" w:rsidRDefault="007706C0" w:rsidP="007706C0">
                    <w:pPr>
                      <w:tabs>
                        <w:tab w:val="left" w:pos="6792"/>
                        <w:tab w:val="left" w:pos="7924"/>
                      </w:tabs>
                      <w:rPr>
                        <w:rFonts w:ascii="Arial" w:hAnsi="Arial" w:cs="Arial"/>
                        <w:color w:val="FFFFFF" w:themeColor="background1"/>
                        <w:sz w:val="12"/>
                        <w:szCs w:val="12"/>
                      </w:rPr>
                    </w:pPr>
                    <w:r w:rsidRPr="000B31AC">
                      <w:rPr>
                        <w:rFonts w:ascii="Arial" w:hAnsi="Arial" w:cs="Arial"/>
                        <w:color w:val="FFFFFF" w:themeColor="background1"/>
                        <w:sz w:val="12"/>
                        <w:szCs w:val="12"/>
                      </w:rPr>
                      <w:t>The Bureau is active in promoting Equal Opportunities – For disabled person’s access information please telephone 01698 265349</w:t>
                    </w:r>
                  </w:p>
                  <w:p w:rsidR="007706C0" w:rsidRPr="006B1EB3" w:rsidRDefault="007706C0" w:rsidP="007706C0">
                    <w:pPr>
                      <w:ind w:left="567"/>
                      <w:rPr>
                        <w:rFonts w:ascii="FS Me" w:hAnsi="FS Me" w:cs="Tahoma"/>
                        <w:color w:val="FFFFFF" w:themeColor="background1"/>
                        <w:sz w:val="16"/>
                        <w:szCs w:val="16"/>
                      </w:rPr>
                    </w:pPr>
                  </w:p>
                </w:txbxContent>
              </v:textbox>
              <w10:wrap anchorx="margin"/>
            </v:shape>
          </w:pict>
        </mc:Fallback>
      </mc:AlternateContent>
    </w:r>
    <w:r w:rsidR="00215407">
      <w:rPr>
        <w:rFonts w:ascii="Tahoma" w:hAnsi="Tahoma" w:cs="Tahoma"/>
        <w:noProof/>
        <w:sz w:val="20"/>
        <w:szCs w:val="20"/>
        <w:lang w:eastAsia="en-GB"/>
      </w:rPr>
      <w:drawing>
        <wp:anchor distT="0" distB="0" distL="114300" distR="114300" simplePos="0" relativeHeight="251665408" behindDoc="1" locked="1" layoutInCell="1" allowOverlap="1" wp14:anchorId="14DBF803" wp14:editId="40D858FE">
          <wp:simplePos x="0" y="0"/>
          <wp:positionH relativeFrom="page">
            <wp:posOffset>-61595</wp:posOffset>
          </wp:positionH>
          <wp:positionV relativeFrom="paragraph">
            <wp:posOffset>-313055</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8240" behindDoc="1" locked="0" layoutInCell="1" allowOverlap="1" wp14:anchorId="1C3AC389" wp14:editId="78B32A35">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706C0">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393" w:rsidRDefault="00C11393" w:rsidP="00295282">
      <w:r>
        <w:separator/>
      </w:r>
    </w:p>
  </w:footnote>
  <w:footnote w:type="continuationSeparator" w:id="0">
    <w:p w:rsidR="00C11393" w:rsidRDefault="00C11393"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282" w:rsidRDefault="007706C0">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Pr="003A7648" w:rsidRDefault="007706C0" w:rsidP="00FD2CE7">
    <w:pPr>
      <w:pStyle w:val="Header"/>
      <w:ind w:right="-569"/>
      <w:rPr>
        <w:b/>
        <w:color w:val="005AB6"/>
      </w:rPr>
    </w:pPr>
    <w:r>
      <w:rPr>
        <w:b/>
        <w:noProof/>
        <w:color w:val="005AB6"/>
        <w:lang w:eastAsia="en-GB"/>
      </w:rPr>
      <w:drawing>
        <wp:anchor distT="0" distB="0" distL="114300" distR="114300" simplePos="0" relativeHeight="251668480" behindDoc="0" locked="0" layoutInCell="1" allowOverlap="1">
          <wp:simplePos x="0" y="0"/>
          <wp:positionH relativeFrom="rightMargin">
            <wp:align>left</wp:align>
          </wp:positionH>
          <wp:positionV relativeFrom="paragraph">
            <wp:posOffset>-254000</wp:posOffset>
          </wp:positionV>
          <wp:extent cx="878205" cy="878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p>
  <w:p w:rsidR="00A77FC4" w:rsidRPr="006F4166" w:rsidRDefault="00A77FC4" w:rsidP="00A77FC4">
    <w:pPr>
      <w:pStyle w:val="Heading1"/>
      <w:rPr>
        <w:rFonts w:ascii="Tahoma" w:hAnsi="Tahoma" w:cs="Tahoma"/>
      </w:rPr>
    </w:pPr>
    <w:r>
      <w:rPr>
        <w:rFonts w:ascii="Tahoma" w:hAnsi="Tahoma" w:cs="Tahoma"/>
        <w:color w:val="064169"/>
      </w:rPr>
      <w:t>Privacy Notice for Job Applicants</w:t>
    </w:r>
  </w:p>
  <w:p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230F67"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82"/>
    <w:rsid w:val="00000B70"/>
    <w:rsid w:val="00033746"/>
    <w:rsid w:val="000442F5"/>
    <w:rsid w:val="000B4790"/>
    <w:rsid w:val="00104BDB"/>
    <w:rsid w:val="00131D5C"/>
    <w:rsid w:val="001A5DB5"/>
    <w:rsid w:val="001E19D6"/>
    <w:rsid w:val="00215407"/>
    <w:rsid w:val="00252F6F"/>
    <w:rsid w:val="002649BE"/>
    <w:rsid w:val="00267509"/>
    <w:rsid w:val="00295282"/>
    <w:rsid w:val="003866E8"/>
    <w:rsid w:val="003A7648"/>
    <w:rsid w:val="003E3404"/>
    <w:rsid w:val="003E4ED0"/>
    <w:rsid w:val="003E65C7"/>
    <w:rsid w:val="004112A0"/>
    <w:rsid w:val="00442196"/>
    <w:rsid w:val="005A02FD"/>
    <w:rsid w:val="005A4F64"/>
    <w:rsid w:val="005F2484"/>
    <w:rsid w:val="00617304"/>
    <w:rsid w:val="00640EC6"/>
    <w:rsid w:val="00654673"/>
    <w:rsid w:val="00654729"/>
    <w:rsid w:val="00675CDF"/>
    <w:rsid w:val="00697F62"/>
    <w:rsid w:val="006B1EB3"/>
    <w:rsid w:val="006B206B"/>
    <w:rsid w:val="006C1F5F"/>
    <w:rsid w:val="00703C0C"/>
    <w:rsid w:val="00721839"/>
    <w:rsid w:val="007706C0"/>
    <w:rsid w:val="00816AB7"/>
    <w:rsid w:val="00823CC6"/>
    <w:rsid w:val="00830708"/>
    <w:rsid w:val="00836FD6"/>
    <w:rsid w:val="00885CDD"/>
    <w:rsid w:val="008A0A62"/>
    <w:rsid w:val="008C1B14"/>
    <w:rsid w:val="008D3023"/>
    <w:rsid w:val="008E1403"/>
    <w:rsid w:val="009F44FC"/>
    <w:rsid w:val="00A14838"/>
    <w:rsid w:val="00A77FC4"/>
    <w:rsid w:val="00B01B50"/>
    <w:rsid w:val="00B04BED"/>
    <w:rsid w:val="00B9467C"/>
    <w:rsid w:val="00BD1DFA"/>
    <w:rsid w:val="00BF68B2"/>
    <w:rsid w:val="00C11393"/>
    <w:rsid w:val="00C36132"/>
    <w:rsid w:val="00C43CD2"/>
    <w:rsid w:val="00C67696"/>
    <w:rsid w:val="00CB6B2D"/>
    <w:rsid w:val="00CC760F"/>
    <w:rsid w:val="00D6571E"/>
    <w:rsid w:val="00D72180"/>
    <w:rsid w:val="00DB2AB5"/>
    <w:rsid w:val="00DE164D"/>
    <w:rsid w:val="00DE7609"/>
    <w:rsid w:val="00E216B1"/>
    <w:rsid w:val="00E65FB8"/>
    <w:rsid w:val="00E6606A"/>
    <w:rsid w:val="00EA595D"/>
    <w:rsid w:val="00ED107E"/>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14:docId w14:val="54B0D671"/>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5CCD-7758-48DE-B79A-EBE484D5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Catherine Marshall</cp:lastModifiedBy>
  <cp:revision>3</cp:revision>
  <cp:lastPrinted>2018-05-17T14:16:00Z</cp:lastPrinted>
  <dcterms:created xsi:type="dcterms:W3CDTF">2023-06-22T17:07:00Z</dcterms:created>
  <dcterms:modified xsi:type="dcterms:W3CDTF">2023-06-23T10:25:00Z</dcterms:modified>
</cp:coreProperties>
</file>