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6"/>
      </w:tblGrid>
      <w:tr w:rsidR="00590484" w:rsidRPr="008F5318" w14:paraId="66387C4F" w14:textId="77777777" w:rsidTr="72C6AD51">
        <w:trPr>
          <w:trHeight w:val="1833"/>
        </w:trPr>
        <w:tc>
          <w:tcPr>
            <w:tcW w:w="2268" w:type="dxa"/>
          </w:tcPr>
          <w:p w14:paraId="6DBE5DEE" w14:textId="5B22756E" w:rsidR="00590484" w:rsidRPr="008F5318" w:rsidRDefault="18E4E4BC" w:rsidP="007A2A37">
            <w:pPr>
              <w:spacing w:before="100" w:beforeAutospacing="1" w:after="100" w:afterAutospacing="1"/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3FFDD65" wp14:editId="41F3B205">
                  <wp:extent cx="1121904" cy="1064523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04" cy="106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148B407" w14:textId="77777777" w:rsidR="00DD7011" w:rsidRDefault="00DD7011" w:rsidP="002D57DC">
            <w:pPr>
              <w:spacing w:before="100" w:beforeAutospacing="1" w:after="100" w:afterAutospacing="1"/>
              <w:outlineLvl w:val="2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</w:p>
          <w:p w14:paraId="7F1F1368" w14:textId="136E9E2B" w:rsidR="00590484" w:rsidRPr="002D57DC" w:rsidRDefault="7F0AA2E2" w:rsidP="72C6AD51">
            <w:pPr>
              <w:spacing w:after="100" w:afterAutospacing="1"/>
              <w:outlineLvl w:val="2"/>
              <w:rPr>
                <w:rFonts w:ascii="Century Gothic" w:eastAsia="Century Gothic" w:hAnsi="Century Gothic" w:cs="Century Gothic"/>
                <w:color w:val="0C3512" w:themeColor="accent3" w:themeShade="80"/>
                <w:kern w:val="0"/>
                <w:sz w:val="28"/>
                <w:szCs w:val="28"/>
                <w:lang w:eastAsia="en-GB"/>
                <w14:ligatures w14:val="none"/>
              </w:rPr>
            </w:pPr>
            <w:r w:rsidRPr="72C6AD51">
              <w:rPr>
                <w:rFonts w:ascii="Century Gothic" w:eastAsia="Century Gothic" w:hAnsi="Century Gothic" w:cs="Century Gothic"/>
                <w:b/>
                <w:bCs/>
                <w:color w:val="0C3512" w:themeColor="accent3" w:themeShade="80"/>
                <w:sz w:val="28"/>
                <w:szCs w:val="28"/>
              </w:rPr>
              <w:t>Job Title:</w:t>
            </w:r>
            <w:r w:rsidRPr="72C6AD51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 xml:space="preserve"> </w:t>
            </w:r>
            <w:r w:rsidR="0044626F" w:rsidRPr="0044626F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 xml:space="preserve">Fundraising </w:t>
            </w:r>
            <w:r w:rsidR="00612600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>and</w:t>
            </w:r>
            <w:r w:rsidR="0044626F" w:rsidRPr="0044626F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 xml:space="preserve"> Impact Manager</w:t>
            </w:r>
            <w:r w:rsidR="0044626F" w:rsidRPr="0044626F">
              <w:rPr>
                <w:rFonts w:ascii="Century Gothic" w:eastAsia="Century Gothic" w:hAnsi="Century Gothic" w:cs="Century Gothic"/>
                <w:b/>
                <w:bCs/>
                <w:color w:val="0C3512" w:themeColor="accent3" w:themeShade="80"/>
              </w:rPr>
              <w:t xml:space="preserve"> </w:t>
            </w:r>
            <w:r w:rsidR="00F82C8A" w:rsidRPr="72C6AD51">
              <w:rPr>
                <w:rFonts w:ascii="Century Gothic" w:eastAsia="Century Gothic" w:hAnsi="Century Gothic" w:cs="Century Gothic"/>
                <w:sz w:val="28"/>
                <w:szCs w:val="28"/>
              </w:rPr>
              <w:t>(</w:t>
            </w:r>
            <w:r w:rsidR="00265945" w:rsidRPr="72C6AD51">
              <w:rPr>
                <w:rFonts w:ascii="Century Gothic" w:eastAsia="Century Gothic" w:hAnsi="Century Gothic" w:cs="Century Gothic"/>
                <w:sz w:val="28"/>
                <w:szCs w:val="28"/>
              </w:rPr>
              <w:t>21 hours)</w:t>
            </w:r>
            <w:r>
              <w:br/>
            </w:r>
            <w:r w:rsidRPr="72C6AD51">
              <w:rPr>
                <w:rFonts w:ascii="Century Gothic" w:eastAsia="Century Gothic" w:hAnsi="Century Gothic" w:cs="Century Gothic"/>
                <w:b/>
                <w:bCs/>
                <w:color w:val="0C3512" w:themeColor="accent3" w:themeShade="80"/>
                <w:sz w:val="28"/>
                <w:szCs w:val="28"/>
              </w:rPr>
              <w:t>Location:</w:t>
            </w:r>
            <w:r w:rsidRPr="72C6AD51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 xml:space="preserve"> </w:t>
            </w:r>
            <w:r w:rsidRPr="72C6AD51">
              <w:rPr>
                <w:rFonts w:ascii="Century Gothic" w:eastAsia="Century Gothic" w:hAnsi="Century Gothic" w:cs="Century Gothic"/>
                <w:sz w:val="28"/>
                <w:szCs w:val="28"/>
              </w:rPr>
              <w:t>Edinburgh / Hybrid</w:t>
            </w:r>
            <w:r>
              <w:br/>
            </w:r>
            <w:r w:rsidRPr="72C6AD51">
              <w:rPr>
                <w:rFonts w:ascii="Century Gothic" w:eastAsia="Century Gothic" w:hAnsi="Century Gothic" w:cs="Century Gothic"/>
                <w:b/>
                <w:bCs/>
                <w:color w:val="0C3512" w:themeColor="accent3" w:themeShade="80"/>
                <w:sz w:val="28"/>
                <w:szCs w:val="28"/>
              </w:rPr>
              <w:t>Reports to:</w:t>
            </w:r>
            <w:r w:rsidRPr="72C6AD51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 xml:space="preserve"> </w:t>
            </w:r>
            <w:r w:rsidR="24414213" w:rsidRPr="72C6AD51">
              <w:rPr>
                <w:rFonts w:ascii="Century Gothic" w:eastAsia="Century Gothic" w:hAnsi="Century Gothic" w:cs="Century Gothic"/>
                <w:color w:val="0C3512" w:themeColor="accent3" w:themeShade="80"/>
                <w:sz w:val="28"/>
                <w:szCs w:val="28"/>
              </w:rPr>
              <w:t>CEO</w:t>
            </w:r>
          </w:p>
        </w:tc>
      </w:tr>
    </w:tbl>
    <w:p w14:paraId="2F25B5EA" w14:textId="77777777" w:rsidR="0044626F" w:rsidRDefault="0044626F" w:rsidP="72DB2841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</w:rPr>
      </w:pPr>
    </w:p>
    <w:p w14:paraId="170604FD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Purpose of the Role</w:t>
      </w:r>
    </w:p>
    <w:p w14:paraId="5CFA0C37" w14:textId="6C66A856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This role will lead on developing and delivering a sustainable fundraising strategy while strengthening how Edinburgh Community Food (ECF) demonstrates its impact on food insecurity and community wellbeing. You will secure income from diverse sources</w:t>
      </w:r>
      <w:r w:rsidR="00DA7DE4">
        <w:rPr>
          <w:rFonts w:ascii="Century Gothic" w:eastAsia="Century Gothic" w:hAnsi="Century Gothic" w:cs="Century Gothic"/>
          <w:color w:val="0C3512" w:themeColor="accent3" w:themeShade="80"/>
        </w:rPr>
        <w:t xml:space="preserve">,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including trusts, foundations, and corporate partnerships</w:t>
      </w:r>
      <w:r w:rsidR="00DA7DE4">
        <w:rPr>
          <w:rFonts w:ascii="Century Gothic" w:eastAsia="Century Gothic" w:hAnsi="Century Gothic" w:cs="Century Gothic"/>
          <w:color w:val="0C3512" w:themeColor="accent3" w:themeShade="80"/>
        </w:rPr>
        <w:t xml:space="preserve">,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and develop tools to measure and communicate the difference our work makes.</w:t>
      </w:r>
    </w:p>
    <w:p w14:paraId="7FB37D8E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You’ll work closely with the CEO and project leads to ensure ECF has the resources and evidence needed to thrive in a challenging funding environment and to continue delivering high-quality, dignity-based services.</w:t>
      </w:r>
    </w:p>
    <w:p w14:paraId="19AC4C8C" w14:textId="04536891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Key Responsibilities</w:t>
      </w:r>
    </w:p>
    <w:p w14:paraId="03130DEA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Develop and deliver the charity’s fundraising strategy.</w:t>
      </w:r>
    </w:p>
    <w:p w14:paraId="1504AE3E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Build and maintain relationships with funders, donors and corporate partners.</w:t>
      </w:r>
    </w:p>
    <w:p w14:paraId="3FF99504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Write compelling funding applications and reports.</w:t>
      </w:r>
    </w:p>
    <w:p w14:paraId="4896F615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Create an impact measurement framework aligned with organisational goals.</w:t>
      </w:r>
    </w:p>
    <w:p w14:paraId="71D4CE96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Collaborate with program teams to collect data, stories and outcomes.</w:t>
      </w:r>
    </w:p>
    <w:p w14:paraId="60FF59B9" w14:textId="77777777" w:rsid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Report impact to stakeholders (funders, Board, partners, community).</w:t>
      </w:r>
    </w:p>
    <w:p w14:paraId="74BAEC82" w14:textId="39E6A972" w:rsidR="0075093F" w:rsidRPr="0075093F" w:rsidRDefault="0075093F" w:rsidP="0075093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entury Gothic" w:eastAsia="Times New Roman" w:hAnsi="Century Gothic" w:cs="Calibri"/>
          <w:kern w:val="0"/>
          <w:lang w:eastAsia="en-GB"/>
          <w14:ligatures w14:val="none"/>
        </w:rPr>
      </w:pPr>
      <w:r w:rsidRPr="0075093F">
        <w:rPr>
          <w:rFonts w:ascii="Century Gothic" w:eastAsia="Times New Roman" w:hAnsi="Century Gothic" w:cs="Calibri"/>
          <w:kern w:val="0"/>
          <w:lang w:eastAsia="en-GB"/>
          <w14:ligatures w14:val="none"/>
        </w:rPr>
        <w:t>Represent the charity externally at fundraising and sector events.</w:t>
      </w:r>
    </w:p>
    <w:p w14:paraId="168B496B" w14:textId="25555A85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Person Specification</w:t>
      </w:r>
    </w:p>
    <w:p w14:paraId="0C668346" w14:textId="2135068C" w:rsidR="003C6195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t>E</w:t>
      </w:r>
      <w:r w:rsidR="00DF2A7E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t>s</w:t>
      </w: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t>sential:</w:t>
      </w:r>
      <w:r w:rsidR="003C6195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t xml:space="preserve"> </w:t>
      </w:r>
    </w:p>
    <w:p w14:paraId="5369AE85" w14:textId="4D72A817" w:rsidR="003943FA" w:rsidRPr="003943FA" w:rsidRDefault="003C6195" w:rsidP="003943FA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Proven experience in fundraising (especially grants and trusts, or major donors).</w:t>
      </w:r>
    </w:p>
    <w:p w14:paraId="63CC3F8A" w14:textId="0A03EB61" w:rsidR="003C6195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t>Strong written and verbal communication skills.</w:t>
      </w:r>
    </w:p>
    <w:p w14:paraId="32E60168" w14:textId="77777777" w:rsidR="003C6195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t>Track record in researching funding prospects and producing successful bids.</w:t>
      </w:r>
    </w:p>
    <w:p w14:paraId="111CEF51" w14:textId="77777777" w:rsidR="003C6195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lastRenderedPageBreak/>
        <w:t>Experience in monitoring, evaluation and impact reporting.</w:t>
      </w:r>
    </w:p>
    <w:p w14:paraId="4C90D8A0" w14:textId="77777777" w:rsidR="003C6195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t>Understanding of food insecurity or community development.</w:t>
      </w:r>
    </w:p>
    <w:p w14:paraId="6FD96325" w14:textId="77777777" w:rsidR="003C6195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t>Ability to work independently and collaboratively in a small team.</w:t>
      </w:r>
    </w:p>
    <w:p w14:paraId="788C3F19" w14:textId="5A5451F7" w:rsidR="0044626F" w:rsidRPr="003C6195" w:rsidRDefault="0044626F" w:rsidP="003C6195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C6195">
        <w:rPr>
          <w:rFonts w:ascii="Century Gothic" w:eastAsia="Century Gothic" w:hAnsi="Century Gothic" w:cs="Century Gothic"/>
          <w:color w:val="0C3512" w:themeColor="accent3" w:themeShade="80"/>
        </w:rPr>
        <w:t>Commitment to equity, dignity and inclusion.</w:t>
      </w:r>
    </w:p>
    <w:p w14:paraId="375D88E2" w14:textId="0338801C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t>Desirable:</w:t>
      </w: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</w:rPr>
        <w:br/>
      </w:r>
      <w:r w:rsidR="00891858" w:rsidRPr="00891858">
        <w:rPr>
          <w:rFonts w:ascii="Century Gothic" w:eastAsia="Century Gothic" w:hAnsi="Century Gothic" w:cs="Century Gothic"/>
          <w:color w:val="0C3512" w:themeColor="accent3" w:themeShade="80"/>
        </w:rPr>
        <w:t xml:space="preserve">- </w:t>
      </w:r>
      <w:r w:rsidR="00B77DEE">
        <w:rPr>
          <w:rFonts w:ascii="Century Gothic" w:eastAsia="Century Gothic" w:hAnsi="Century Gothic" w:cs="Century Gothic"/>
          <w:color w:val="0C3512" w:themeColor="accent3" w:themeShade="80"/>
        </w:rPr>
        <w:t xml:space="preserve"> 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Experience in CRM/database management.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br/>
      </w:r>
      <w:r w:rsidR="00891858" w:rsidRPr="00891858">
        <w:rPr>
          <w:rFonts w:ascii="Century Gothic" w:eastAsia="Century Gothic" w:hAnsi="Century Gothic" w:cs="Century Gothic"/>
          <w:color w:val="0C3512" w:themeColor="accent3" w:themeShade="80"/>
        </w:rPr>
        <w:t xml:space="preserve">- </w:t>
      </w:r>
      <w:r w:rsidR="00B77DEE">
        <w:rPr>
          <w:rFonts w:ascii="Century Gothic" w:eastAsia="Century Gothic" w:hAnsi="Century Gothic" w:cs="Century Gothic"/>
          <w:color w:val="0C3512" w:themeColor="accent3" w:themeShade="80"/>
        </w:rPr>
        <w:t xml:space="preserve"> 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Familiarity with impact frameworks (e.g., Theory of Change, Logic Models).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br/>
      </w:r>
      <w:r w:rsidR="00891858" w:rsidRPr="00891858">
        <w:rPr>
          <w:rFonts w:ascii="Century Gothic" w:eastAsia="Century Gothic" w:hAnsi="Century Gothic" w:cs="Century Gothic"/>
          <w:color w:val="0C3512" w:themeColor="accent3" w:themeShade="80"/>
        </w:rPr>
        <w:t xml:space="preserve">- </w:t>
      </w:r>
      <w:r w:rsidR="00B77DEE">
        <w:rPr>
          <w:rFonts w:ascii="Century Gothic" w:eastAsia="Century Gothic" w:hAnsi="Century Gothic" w:cs="Century Gothic"/>
          <w:color w:val="0C3512" w:themeColor="accent3" w:themeShade="80"/>
        </w:rPr>
        <w:t xml:space="preserve"> 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Experience working in the third sector or social enterprise.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br/>
      </w:r>
      <w:r w:rsidR="00891858" w:rsidRPr="00891858">
        <w:rPr>
          <w:rFonts w:ascii="Century Gothic" w:eastAsia="Century Gothic" w:hAnsi="Century Gothic" w:cs="Century Gothic"/>
          <w:color w:val="0C3512" w:themeColor="accent3" w:themeShade="80"/>
        </w:rPr>
        <w:t xml:space="preserve">- </w:t>
      </w:r>
      <w:r w:rsidR="00B77DEE">
        <w:rPr>
          <w:rFonts w:ascii="Century Gothic" w:eastAsia="Century Gothic" w:hAnsi="Century Gothic" w:cs="Century Gothic"/>
          <w:color w:val="0C3512" w:themeColor="accent3" w:themeShade="80"/>
        </w:rPr>
        <w:t xml:space="preserve">  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Knowledge of local and national funders in Scotland.</w:t>
      </w:r>
    </w:p>
    <w:p w14:paraId="6961A441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Key Skills</w:t>
      </w:r>
    </w:p>
    <w:p w14:paraId="69932AE5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Fundraising &amp; Bid Writin</w:t>
      </w:r>
      <w:r w:rsidR="00383312">
        <w:rPr>
          <w:rFonts w:ascii="Century Gothic" w:eastAsia="Century Gothic" w:hAnsi="Century Gothic" w:cs="Century Gothic"/>
          <w:color w:val="0C3512" w:themeColor="accent3" w:themeShade="80"/>
        </w:rPr>
        <w:t>g</w:t>
      </w:r>
    </w:p>
    <w:p w14:paraId="67E3DCB9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Strategic Thinking &amp; Income Generation</w:t>
      </w:r>
    </w:p>
    <w:p w14:paraId="23053242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Impact Reporting &amp; Evaluation</w:t>
      </w:r>
    </w:p>
    <w:p w14:paraId="5A3C2CF8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Prospect Research &amp; Relationship Management</w:t>
      </w:r>
    </w:p>
    <w:p w14:paraId="3B4F0918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Verbal and Written Communication</w:t>
      </w:r>
    </w:p>
    <w:p w14:paraId="50FE3C5C" w14:textId="77777777" w:rsid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Team Collaboration &amp; Organisational Insight</w:t>
      </w:r>
    </w:p>
    <w:p w14:paraId="61E73A49" w14:textId="2270807F" w:rsidR="0044626F" w:rsidRPr="00383312" w:rsidRDefault="0044626F" w:rsidP="0038331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383312">
        <w:rPr>
          <w:rFonts w:ascii="Century Gothic" w:eastAsia="Century Gothic" w:hAnsi="Century Gothic" w:cs="Century Gothic"/>
          <w:color w:val="0C3512" w:themeColor="accent3" w:themeShade="80"/>
        </w:rPr>
        <w:t>Equity, Inclusion &amp; Values-Driven Practice</w:t>
      </w:r>
    </w:p>
    <w:p w14:paraId="596C354D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Working Conditions / Salary and Benefits</w:t>
      </w:r>
    </w:p>
    <w:p w14:paraId="520564B2" w14:textId="77777777" w:rsidR="00902352" w:rsidRDefault="0044626F" w:rsidP="0090235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902352">
        <w:rPr>
          <w:rFonts w:ascii="Century Gothic" w:eastAsia="Century Gothic" w:hAnsi="Century Gothic" w:cs="Century Gothic"/>
          <w:color w:val="0C3512" w:themeColor="accent3" w:themeShade="80"/>
        </w:rPr>
        <w:t>Part-time (3 days / 21 hours per week)</w:t>
      </w:r>
    </w:p>
    <w:p w14:paraId="30661FDD" w14:textId="77777777" w:rsidR="00902352" w:rsidRDefault="0044626F" w:rsidP="0090235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902352">
        <w:rPr>
          <w:rFonts w:ascii="Century Gothic" w:eastAsia="Century Gothic" w:hAnsi="Century Gothic" w:cs="Century Gothic"/>
          <w:color w:val="0C3512" w:themeColor="accent3" w:themeShade="80"/>
        </w:rPr>
        <w:t>Based at Edinburgh Community Food (ECF), with flexible and hybrid working options</w:t>
      </w:r>
    </w:p>
    <w:p w14:paraId="508DF8F1" w14:textId="77777777" w:rsidR="00902352" w:rsidRDefault="0044626F" w:rsidP="0090235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902352">
        <w:rPr>
          <w:rFonts w:ascii="Century Gothic" w:eastAsia="Century Gothic" w:hAnsi="Century Gothic" w:cs="Century Gothic"/>
          <w:color w:val="0C3512" w:themeColor="accent3" w:themeShade="80"/>
        </w:rPr>
        <w:t>Salary: £35–£38k Pro rata (depending on experience)</w:t>
      </w:r>
    </w:p>
    <w:p w14:paraId="2745BD17" w14:textId="0EEA60BD" w:rsidR="0044626F" w:rsidRPr="00902352" w:rsidRDefault="0044626F" w:rsidP="00902352">
      <w:pPr>
        <w:pStyle w:val="ListParagraph"/>
        <w:numPr>
          <w:ilvl w:val="0"/>
          <w:numId w:val="7"/>
        </w:num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902352">
        <w:rPr>
          <w:rFonts w:ascii="Century Gothic" w:eastAsia="Century Gothic" w:hAnsi="Century Gothic" w:cs="Century Gothic"/>
          <w:color w:val="0C3512" w:themeColor="accent3" w:themeShade="80"/>
        </w:rPr>
        <w:t>Benefits: Pension scheme and professional development opportunities</w:t>
      </w:r>
    </w:p>
    <w:p w14:paraId="2E7E88C3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</w:pPr>
      <w:r w:rsidRPr="0044626F">
        <w:rPr>
          <w:rFonts w:ascii="Century Gothic" w:eastAsia="Century Gothic" w:hAnsi="Century Gothic" w:cs="Century Gothic"/>
          <w:b/>
          <w:bCs/>
          <w:color w:val="0C3512" w:themeColor="accent3" w:themeShade="80"/>
          <w:sz w:val="28"/>
          <w:szCs w:val="28"/>
        </w:rPr>
        <w:t>How to Apply</w:t>
      </w:r>
    </w:p>
    <w:p w14:paraId="4751755C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Please send your CV and a covering letter to admin@edinburghcommunityfood.org.uk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br/>
        <w:t>Please include “Application – Fundraising and Impact Manager” in the subject line.</w:t>
      </w:r>
    </w:p>
    <w:p w14:paraId="1B102011" w14:textId="77777777" w:rsidR="0044626F" w:rsidRPr="0044626F" w:rsidRDefault="0044626F" w:rsidP="0044626F">
      <w:pPr>
        <w:spacing w:before="240" w:after="240"/>
        <w:rPr>
          <w:rFonts w:ascii="Century Gothic" w:eastAsia="Century Gothic" w:hAnsi="Century Gothic" w:cs="Century Gothic"/>
          <w:color w:val="0C3512" w:themeColor="accent3" w:themeShade="80"/>
        </w:rPr>
      </w:pPr>
      <w:r w:rsidRPr="0044626F">
        <w:rPr>
          <w:rFonts w:ascii="Century Gothic" w:eastAsia="Century Gothic" w:hAnsi="Century Gothic" w:cs="Century Gothic"/>
          <w:color w:val="0C3512" w:themeColor="accent3" w:themeShade="80"/>
        </w:rPr>
        <w:t>Closing date: Tuesday 16th July 2025 (noon)</w:t>
      </w:r>
      <w:r w:rsidRPr="0044626F">
        <w:rPr>
          <w:rFonts w:ascii="Century Gothic" w:eastAsia="Century Gothic" w:hAnsi="Century Gothic" w:cs="Century Gothic"/>
          <w:color w:val="0C3512" w:themeColor="accent3" w:themeShade="80"/>
        </w:rPr>
        <w:br/>
        <w:t>Interview date: Friday 25th July 2025</w:t>
      </w:r>
    </w:p>
    <w:p w14:paraId="7B9C5762" w14:textId="77777777" w:rsidR="0044626F" w:rsidRDefault="0044626F" w:rsidP="72DB2841">
      <w:pPr>
        <w:spacing w:before="240" w:after="240"/>
        <w:rPr>
          <w:rFonts w:ascii="Century Gothic" w:eastAsia="Century Gothic" w:hAnsi="Century Gothic" w:cs="Century Gothic"/>
          <w:b/>
          <w:bCs/>
          <w:color w:val="0C3512" w:themeColor="accent3" w:themeShade="80"/>
        </w:rPr>
      </w:pPr>
    </w:p>
    <w:sectPr w:rsidR="0044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1445" w14:textId="77777777" w:rsidR="00C205C3" w:rsidRDefault="00C205C3" w:rsidP="00EA4E36">
      <w:pPr>
        <w:spacing w:after="0" w:line="240" w:lineRule="auto"/>
      </w:pPr>
      <w:r>
        <w:separator/>
      </w:r>
    </w:p>
  </w:endnote>
  <w:endnote w:type="continuationSeparator" w:id="0">
    <w:p w14:paraId="0C47A871" w14:textId="77777777" w:rsidR="00C205C3" w:rsidRDefault="00C205C3" w:rsidP="00EA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2C7C" w14:textId="77777777" w:rsidR="00C205C3" w:rsidRDefault="00C205C3" w:rsidP="00EA4E36">
      <w:pPr>
        <w:spacing w:after="0" w:line="240" w:lineRule="auto"/>
      </w:pPr>
      <w:r>
        <w:separator/>
      </w:r>
    </w:p>
  </w:footnote>
  <w:footnote w:type="continuationSeparator" w:id="0">
    <w:p w14:paraId="76FDD051" w14:textId="77777777" w:rsidR="00C205C3" w:rsidRDefault="00C205C3" w:rsidP="00EA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84A6B"/>
    <w:multiLevelType w:val="hybridMultilevel"/>
    <w:tmpl w:val="9070B28C"/>
    <w:lvl w:ilvl="0" w:tplc="4B5A0C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296C5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9004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B054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F8FC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17A7F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AEC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C430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9A56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64665"/>
    <w:multiLevelType w:val="hybridMultilevel"/>
    <w:tmpl w:val="892A93BA"/>
    <w:lvl w:ilvl="0" w:tplc="D548AE5C">
      <w:start w:val="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0B8B"/>
    <w:multiLevelType w:val="hybridMultilevel"/>
    <w:tmpl w:val="7C2AF7A6"/>
    <w:lvl w:ilvl="0" w:tplc="B02E40C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1CC6"/>
    <w:multiLevelType w:val="multilevel"/>
    <w:tmpl w:val="FD80E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D0F7"/>
    <w:multiLevelType w:val="hybridMultilevel"/>
    <w:tmpl w:val="0B225DB0"/>
    <w:lvl w:ilvl="0" w:tplc="C1543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8A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E3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66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A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AA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F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FED05"/>
    <w:multiLevelType w:val="hybridMultilevel"/>
    <w:tmpl w:val="81F2A340"/>
    <w:lvl w:ilvl="0" w:tplc="378AFB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3A60C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5692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C02D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6A88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C842D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AEFC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F4DA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9320C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771140"/>
    <w:multiLevelType w:val="multilevel"/>
    <w:tmpl w:val="05B4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F603A"/>
    <w:multiLevelType w:val="hybridMultilevel"/>
    <w:tmpl w:val="592A0E3C"/>
    <w:lvl w:ilvl="0" w:tplc="51EE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46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6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E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63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A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4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A3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9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C31E2"/>
    <w:multiLevelType w:val="hybridMultilevel"/>
    <w:tmpl w:val="B134CA66"/>
    <w:lvl w:ilvl="0" w:tplc="5E24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AA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65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C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69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EB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2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2B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4E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5207">
    <w:abstractNumId w:val="5"/>
  </w:num>
  <w:num w:numId="2" w16cid:durableId="814684430">
    <w:abstractNumId w:val="0"/>
  </w:num>
  <w:num w:numId="3" w16cid:durableId="883373071">
    <w:abstractNumId w:val="8"/>
  </w:num>
  <w:num w:numId="4" w16cid:durableId="832184472">
    <w:abstractNumId w:val="4"/>
  </w:num>
  <w:num w:numId="5" w16cid:durableId="488982087">
    <w:abstractNumId w:val="7"/>
  </w:num>
  <w:num w:numId="6" w16cid:durableId="58090198">
    <w:abstractNumId w:val="3"/>
  </w:num>
  <w:num w:numId="7" w16cid:durableId="191189546">
    <w:abstractNumId w:val="1"/>
  </w:num>
  <w:num w:numId="8" w16cid:durableId="936788090">
    <w:abstractNumId w:val="6"/>
  </w:num>
  <w:num w:numId="9" w16cid:durableId="162164929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0"/>
    <w:rsid w:val="000227C1"/>
    <w:rsid w:val="000634A1"/>
    <w:rsid w:val="00063BC4"/>
    <w:rsid w:val="00074B8B"/>
    <w:rsid w:val="00076A38"/>
    <w:rsid w:val="000E6CCB"/>
    <w:rsid w:val="00103896"/>
    <w:rsid w:val="001065D0"/>
    <w:rsid w:val="001727EF"/>
    <w:rsid w:val="001A6234"/>
    <w:rsid w:val="001B1338"/>
    <w:rsid w:val="001C0227"/>
    <w:rsid w:val="001C3BB7"/>
    <w:rsid w:val="00201DB3"/>
    <w:rsid w:val="00265945"/>
    <w:rsid w:val="002C74B0"/>
    <w:rsid w:val="002D4784"/>
    <w:rsid w:val="002D57DC"/>
    <w:rsid w:val="002F5D7A"/>
    <w:rsid w:val="0030500E"/>
    <w:rsid w:val="00383312"/>
    <w:rsid w:val="003943FA"/>
    <w:rsid w:val="003C6195"/>
    <w:rsid w:val="00400138"/>
    <w:rsid w:val="00410BAD"/>
    <w:rsid w:val="004460DF"/>
    <w:rsid w:val="0044626F"/>
    <w:rsid w:val="00451DB5"/>
    <w:rsid w:val="004559CE"/>
    <w:rsid w:val="00461582"/>
    <w:rsid w:val="004657CB"/>
    <w:rsid w:val="00477B0D"/>
    <w:rsid w:val="004851BD"/>
    <w:rsid w:val="004C71D8"/>
    <w:rsid w:val="0050036D"/>
    <w:rsid w:val="005144C1"/>
    <w:rsid w:val="00523D33"/>
    <w:rsid w:val="00541B68"/>
    <w:rsid w:val="005577AA"/>
    <w:rsid w:val="005768C2"/>
    <w:rsid w:val="00590484"/>
    <w:rsid w:val="005A2CCB"/>
    <w:rsid w:val="005B16C3"/>
    <w:rsid w:val="005B25FD"/>
    <w:rsid w:val="005D0417"/>
    <w:rsid w:val="005F3DFA"/>
    <w:rsid w:val="00612600"/>
    <w:rsid w:val="00635850"/>
    <w:rsid w:val="00643EB7"/>
    <w:rsid w:val="00676D23"/>
    <w:rsid w:val="006B316E"/>
    <w:rsid w:val="006E35D8"/>
    <w:rsid w:val="00712296"/>
    <w:rsid w:val="00716254"/>
    <w:rsid w:val="00742DF5"/>
    <w:rsid w:val="007475F5"/>
    <w:rsid w:val="0075093F"/>
    <w:rsid w:val="00762CEB"/>
    <w:rsid w:val="00784CC1"/>
    <w:rsid w:val="007A1904"/>
    <w:rsid w:val="007A2A37"/>
    <w:rsid w:val="007A477B"/>
    <w:rsid w:val="007A553E"/>
    <w:rsid w:val="007F4297"/>
    <w:rsid w:val="00810430"/>
    <w:rsid w:val="00882118"/>
    <w:rsid w:val="00884E4F"/>
    <w:rsid w:val="00891858"/>
    <w:rsid w:val="008B40A2"/>
    <w:rsid w:val="008E1064"/>
    <w:rsid w:val="008E674F"/>
    <w:rsid w:val="008F20E2"/>
    <w:rsid w:val="008F5318"/>
    <w:rsid w:val="00901124"/>
    <w:rsid w:val="00902352"/>
    <w:rsid w:val="0090743F"/>
    <w:rsid w:val="00927EEC"/>
    <w:rsid w:val="00931D04"/>
    <w:rsid w:val="00940034"/>
    <w:rsid w:val="009476DC"/>
    <w:rsid w:val="00984899"/>
    <w:rsid w:val="009B40E5"/>
    <w:rsid w:val="00A55A6B"/>
    <w:rsid w:val="00A61CBE"/>
    <w:rsid w:val="00A80342"/>
    <w:rsid w:val="00A82E8F"/>
    <w:rsid w:val="00A842D7"/>
    <w:rsid w:val="00AA74AA"/>
    <w:rsid w:val="00AB2BC2"/>
    <w:rsid w:val="00AC15C0"/>
    <w:rsid w:val="00AD0ED4"/>
    <w:rsid w:val="00AE7FEF"/>
    <w:rsid w:val="00B03121"/>
    <w:rsid w:val="00B03410"/>
    <w:rsid w:val="00B65177"/>
    <w:rsid w:val="00B77DEE"/>
    <w:rsid w:val="00BA0790"/>
    <w:rsid w:val="00BB2D0C"/>
    <w:rsid w:val="00BB4986"/>
    <w:rsid w:val="00C14DCB"/>
    <w:rsid w:val="00C205C3"/>
    <w:rsid w:val="00C56942"/>
    <w:rsid w:val="00C6003B"/>
    <w:rsid w:val="00C91CBE"/>
    <w:rsid w:val="00D31863"/>
    <w:rsid w:val="00D550A6"/>
    <w:rsid w:val="00D80AA6"/>
    <w:rsid w:val="00D81387"/>
    <w:rsid w:val="00D85EE3"/>
    <w:rsid w:val="00D928D8"/>
    <w:rsid w:val="00DA7DE4"/>
    <w:rsid w:val="00DD7011"/>
    <w:rsid w:val="00DF2A7E"/>
    <w:rsid w:val="00E06394"/>
    <w:rsid w:val="00E07BA2"/>
    <w:rsid w:val="00E10944"/>
    <w:rsid w:val="00E7745C"/>
    <w:rsid w:val="00EA34E8"/>
    <w:rsid w:val="00EA4E36"/>
    <w:rsid w:val="00F06FE7"/>
    <w:rsid w:val="00F267F9"/>
    <w:rsid w:val="00F36BE6"/>
    <w:rsid w:val="00F407E2"/>
    <w:rsid w:val="00F51B58"/>
    <w:rsid w:val="00F71DBB"/>
    <w:rsid w:val="00F75159"/>
    <w:rsid w:val="00F82C8A"/>
    <w:rsid w:val="00FB76F3"/>
    <w:rsid w:val="00FC3C76"/>
    <w:rsid w:val="03CFDF7A"/>
    <w:rsid w:val="051A7A9F"/>
    <w:rsid w:val="0A187F1F"/>
    <w:rsid w:val="0BFB6F02"/>
    <w:rsid w:val="0F921FD4"/>
    <w:rsid w:val="134C8B07"/>
    <w:rsid w:val="1521A9F9"/>
    <w:rsid w:val="1750F406"/>
    <w:rsid w:val="18E4E4BC"/>
    <w:rsid w:val="1C1F8893"/>
    <w:rsid w:val="2078E1F3"/>
    <w:rsid w:val="22749FF7"/>
    <w:rsid w:val="232C381D"/>
    <w:rsid w:val="24414213"/>
    <w:rsid w:val="35884218"/>
    <w:rsid w:val="382D5DEC"/>
    <w:rsid w:val="3AC8EF81"/>
    <w:rsid w:val="3B527716"/>
    <w:rsid w:val="3D750AD0"/>
    <w:rsid w:val="42D5E99D"/>
    <w:rsid w:val="4BB1852A"/>
    <w:rsid w:val="4E494239"/>
    <w:rsid w:val="561BDF9E"/>
    <w:rsid w:val="5A121612"/>
    <w:rsid w:val="5DBF1970"/>
    <w:rsid w:val="5F60597B"/>
    <w:rsid w:val="601B335F"/>
    <w:rsid w:val="608E44BF"/>
    <w:rsid w:val="609D5F74"/>
    <w:rsid w:val="60DCC6E1"/>
    <w:rsid w:val="68E26DDB"/>
    <w:rsid w:val="6A8BEA5D"/>
    <w:rsid w:val="6C54B1BE"/>
    <w:rsid w:val="6F71C88E"/>
    <w:rsid w:val="72C6AD51"/>
    <w:rsid w:val="72DB2841"/>
    <w:rsid w:val="7B5EB7F0"/>
    <w:rsid w:val="7E69EE21"/>
    <w:rsid w:val="7F0AA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77DB0"/>
  <w15:chartTrackingRefBased/>
  <w15:docId w15:val="{4E70FBE0-9CB7-4E26-96D4-75FDD28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4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36"/>
  </w:style>
  <w:style w:type="paragraph" w:styleId="Footer">
    <w:name w:val="footer"/>
    <w:basedOn w:val="Normal"/>
    <w:link w:val="FooterChar"/>
    <w:uiPriority w:val="99"/>
    <w:unhideWhenUsed/>
    <w:rsid w:val="00EA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36"/>
  </w:style>
  <w:style w:type="paragraph" w:styleId="NormalWeb">
    <w:name w:val="Normal (Web)"/>
    <w:basedOn w:val="Normal"/>
    <w:uiPriority w:val="99"/>
    <w:unhideWhenUsed/>
    <w:rsid w:val="0074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8F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A187F1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8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5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7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896CB91819847980E7C46B014A8E3" ma:contentTypeVersion="20" ma:contentTypeDescription="Create a new document." ma:contentTypeScope="" ma:versionID="7d79e87a78eb759401b01a3aa310e196">
  <xsd:schema xmlns:xsd="http://www.w3.org/2001/XMLSchema" xmlns:xs="http://www.w3.org/2001/XMLSchema" xmlns:p="http://schemas.microsoft.com/office/2006/metadata/properties" xmlns:ns2="d59f2cb9-a792-41e2-b0a8-da8b900d3937" xmlns:ns3="9bc5ba39-0851-4612-beda-5040ed8ee857" targetNamespace="http://schemas.microsoft.com/office/2006/metadata/properties" ma:root="true" ma:fieldsID="b4a70baee857656b9f3f39ac7e024395" ns2:_="" ns3:_="">
    <xsd:import namespace="d59f2cb9-a792-41e2-b0a8-da8b900d3937"/>
    <xsd:import namespace="9bc5ba39-0851-4612-beda-5040ed8ee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ntentDescript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2cb9-a792-41e2-b0a8-da8b900d3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Text">
          <xsd:maxLength value="255"/>
        </xsd:restriction>
      </xsd:simpleType>
    </xsd:element>
    <xsd:element name="Author0" ma:index="22" nillable="true" ma:displayName="Author" ma:description="Author of marketing Asset(s) provided to SM Custodian" ma:format="Dropdown" ma:internalName="Author0">
      <xsd:simpleType>
        <xsd:restriction base="dms:Choice">
          <xsd:enumeration value="Chris"/>
          <xsd:enumeration value="Jo"/>
          <xsd:enumeration value="Louise"/>
          <xsd:enumeration value="Theodora"/>
          <xsd:enumeration value="Jess"/>
          <xsd:enumeration value="Karen"/>
          <xsd:enumeration value="Kathy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47376f-0088-442e-af8c-ea33a72f3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ba39-0851-4612-beda-5040ed8ee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0e6ce90-d645-450c-9d8a-392fc30310c7}" ma:internalName="TaxCatchAll" ma:showField="CatchAllData" ma:web="9bc5ba39-0851-4612-beda-5040ed8ee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Description xmlns="d59f2cb9-a792-41e2-b0a8-da8b900d3937" xsi:nil="true"/>
    <TaxCatchAll xmlns="9bc5ba39-0851-4612-beda-5040ed8ee857" xsi:nil="true"/>
    <Author0 xmlns="d59f2cb9-a792-41e2-b0a8-da8b900d3937" xsi:nil="true"/>
    <lcf76f155ced4ddcb4097134ff3c332f xmlns="d59f2cb9-a792-41e2-b0a8-da8b900d3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865EFF-F419-4090-9C4F-EFCFE2DD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2cb9-a792-41e2-b0a8-da8b900d3937"/>
    <ds:schemaRef ds:uri="9bc5ba39-0851-4612-beda-5040ed8ee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CF2A-18FE-4841-BA8D-082E6E75C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5AB10-00D2-4702-8D03-08D7DC19F751}">
  <ds:schemaRefs>
    <ds:schemaRef ds:uri="http://schemas.microsoft.com/office/2006/metadata/properties"/>
    <ds:schemaRef ds:uri="http://schemas.microsoft.com/office/infopath/2007/PartnerControls"/>
    <ds:schemaRef ds:uri="d59f2cb9-a792-41e2-b0a8-da8b900d3937"/>
    <ds:schemaRef ds:uri="9bc5ba39-0851-4612-beda-5040ed8ee8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Sinclair</dc:creator>
  <cp:keywords/>
  <dc:description/>
  <cp:lastModifiedBy>Mary Sinclair</cp:lastModifiedBy>
  <cp:revision>18</cp:revision>
  <dcterms:created xsi:type="dcterms:W3CDTF">2025-06-23T09:53:00Z</dcterms:created>
  <dcterms:modified xsi:type="dcterms:W3CDTF">2025-06-23T10:29:00Z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0x010100B87896CB91819847980E7C46B014A8E3</vt:lpwstr>
  </property>
  <property fmtid="{D5CDD505-2E9C-101B-9397-08002B2CF9AE}" pid="3" name="MediaServiceImageTags">
    <vt:lpwstr/>
  </property>
</Properties>
</file>