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7E20" w14:textId="77777777" w:rsidR="00BA779F" w:rsidRPr="008372A9" w:rsidRDefault="00BA779F" w:rsidP="155E3B84">
      <w:pPr>
        <w:rPr>
          <w:b/>
          <w:bCs/>
          <w:sz w:val="28"/>
          <w:szCs w:val="28"/>
        </w:rPr>
      </w:pPr>
      <w:r w:rsidRPr="008372A9">
        <w:rPr>
          <w:b/>
          <w:noProof/>
        </w:rPr>
        <w:drawing>
          <wp:anchor distT="0" distB="0" distL="114300" distR="114300" simplePos="0" relativeHeight="251659264" behindDoc="0" locked="0" layoutInCell="1" allowOverlap="1" wp14:anchorId="4E65821B" wp14:editId="273D2F76">
            <wp:simplePos x="0" y="0"/>
            <wp:positionH relativeFrom="margin">
              <wp:posOffset>4242435</wp:posOffset>
            </wp:positionH>
            <wp:positionV relativeFrom="paragraph">
              <wp:posOffset>-377190</wp:posOffset>
            </wp:positionV>
            <wp:extent cx="2061030" cy="1176655"/>
            <wp:effectExtent l="0" t="0" r="0" b="0"/>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1030" cy="1176655"/>
                    </a:xfrm>
                    <a:prstGeom prst="rect">
                      <a:avLst/>
                    </a:prstGeom>
                  </pic:spPr>
                </pic:pic>
              </a:graphicData>
            </a:graphic>
            <wp14:sizeRelH relativeFrom="page">
              <wp14:pctWidth>0</wp14:pctWidth>
            </wp14:sizeRelH>
            <wp14:sizeRelV relativeFrom="page">
              <wp14:pctHeight>0</wp14:pctHeight>
            </wp14:sizeRelV>
          </wp:anchor>
        </w:drawing>
      </w:r>
      <w:r w:rsidRPr="155E3B84">
        <w:rPr>
          <w:b/>
          <w:bCs/>
          <w:sz w:val="28"/>
          <w:szCs w:val="28"/>
        </w:rPr>
        <w:t>Voice Coordinator</w:t>
      </w:r>
    </w:p>
    <w:p w14:paraId="3C1751EB" w14:textId="77777777" w:rsidR="00BA779F" w:rsidRPr="008372A9" w:rsidRDefault="00BA779F" w:rsidP="00BA779F">
      <w:pPr>
        <w:rPr>
          <w:b/>
        </w:rPr>
      </w:pPr>
      <w:r w:rsidRPr="3C57CE99">
        <w:rPr>
          <w:b/>
          <w:bCs/>
        </w:rPr>
        <w:t>Job Description</w:t>
      </w:r>
    </w:p>
    <w:p w14:paraId="58159BF2" w14:textId="6F840555" w:rsidR="2FE71FF8" w:rsidRDefault="2FE71FF8" w:rsidP="3C57CE99">
      <w:pPr>
        <w:spacing w:line="257" w:lineRule="auto"/>
        <w:rPr>
          <w:rFonts w:ascii="Aptos" w:eastAsia="Aptos" w:hAnsi="Aptos" w:cs="Aptos"/>
        </w:rPr>
      </w:pPr>
      <w:r w:rsidRPr="3C57CE99">
        <w:rPr>
          <w:rFonts w:ascii="Aptos" w:eastAsia="Aptos" w:hAnsi="Aptos" w:cs="Aptos"/>
          <w:b/>
          <w:bCs/>
        </w:rPr>
        <w:t xml:space="preserve">Reports To: </w:t>
      </w:r>
      <w:r w:rsidRPr="3C57CE99">
        <w:rPr>
          <w:rFonts w:ascii="Aptos" w:eastAsia="Aptos" w:hAnsi="Aptos" w:cs="Aptos"/>
        </w:rPr>
        <w:t>Voice Manager</w:t>
      </w:r>
    </w:p>
    <w:p w14:paraId="3CC71059" w14:textId="0AD26D44" w:rsidR="2FE71FF8" w:rsidRDefault="2FE71FF8" w:rsidP="3C57CE99">
      <w:pPr>
        <w:spacing w:line="257" w:lineRule="auto"/>
      </w:pPr>
      <w:r w:rsidRPr="3C57CE99">
        <w:rPr>
          <w:rFonts w:ascii="Aptos" w:eastAsia="Aptos" w:hAnsi="Aptos" w:cs="Aptos"/>
          <w:b/>
          <w:bCs/>
        </w:rPr>
        <w:t xml:space="preserve">Salary: </w:t>
      </w:r>
      <w:r w:rsidRPr="3C57CE99">
        <w:rPr>
          <w:rFonts w:ascii="Aptos" w:eastAsia="Aptos" w:hAnsi="Aptos" w:cs="Aptos"/>
        </w:rPr>
        <w:t>£28,031 per annum</w:t>
      </w:r>
    </w:p>
    <w:p w14:paraId="424156ED" w14:textId="3B0C16DF" w:rsidR="2FE71FF8" w:rsidRDefault="2FE71FF8" w:rsidP="3C57CE99">
      <w:pPr>
        <w:spacing w:line="257" w:lineRule="auto"/>
      </w:pPr>
      <w:r w:rsidRPr="3C57CE99">
        <w:rPr>
          <w:rFonts w:ascii="Aptos" w:eastAsia="Aptos" w:hAnsi="Aptos" w:cs="Aptos"/>
          <w:b/>
          <w:bCs/>
        </w:rPr>
        <w:t xml:space="preserve">Contract Type: </w:t>
      </w:r>
      <w:r w:rsidRPr="3C57CE99">
        <w:rPr>
          <w:rFonts w:ascii="Aptos" w:eastAsia="Aptos" w:hAnsi="Aptos" w:cs="Aptos"/>
        </w:rPr>
        <w:t>Fixed term</w:t>
      </w:r>
      <w:r w:rsidR="00D956C5">
        <w:rPr>
          <w:rFonts w:ascii="Aptos" w:eastAsia="Aptos" w:hAnsi="Aptos" w:cs="Aptos"/>
        </w:rPr>
        <w:t xml:space="preserve"> to 30</w:t>
      </w:r>
      <w:r w:rsidR="00D956C5" w:rsidRPr="00D956C5">
        <w:rPr>
          <w:rFonts w:ascii="Aptos" w:eastAsia="Aptos" w:hAnsi="Aptos" w:cs="Aptos"/>
          <w:vertAlign w:val="superscript"/>
        </w:rPr>
        <w:t>th</w:t>
      </w:r>
      <w:r w:rsidR="00D956C5">
        <w:rPr>
          <w:rFonts w:ascii="Aptos" w:eastAsia="Aptos" w:hAnsi="Aptos" w:cs="Aptos"/>
        </w:rPr>
        <w:t xml:space="preserve"> June 2027</w:t>
      </w:r>
    </w:p>
    <w:p w14:paraId="71C88073" w14:textId="1417CC24" w:rsidR="2FE71FF8" w:rsidRDefault="2FE71FF8" w:rsidP="3C57CE99">
      <w:pPr>
        <w:spacing w:after="360" w:line="257" w:lineRule="auto"/>
        <w:rPr>
          <w:rFonts w:ascii="Aptos" w:eastAsia="Aptos" w:hAnsi="Aptos" w:cs="Aptos"/>
        </w:rPr>
      </w:pPr>
      <w:r w:rsidRPr="3C57CE99">
        <w:rPr>
          <w:rFonts w:ascii="Aptos" w:eastAsia="Aptos" w:hAnsi="Aptos" w:cs="Aptos"/>
          <w:b/>
          <w:bCs/>
        </w:rPr>
        <w:t xml:space="preserve">FTE and Hours of Work: </w:t>
      </w:r>
      <w:r w:rsidRPr="3C57CE99">
        <w:rPr>
          <w:rFonts w:ascii="Aptos" w:eastAsia="Aptos" w:hAnsi="Aptos" w:cs="Aptos"/>
        </w:rPr>
        <w:t>1.0 FTE, 35 hours/week</w:t>
      </w:r>
      <w:r>
        <w:tab/>
      </w:r>
    </w:p>
    <w:p w14:paraId="772CE22C" w14:textId="32FA10D0" w:rsidR="7C7DF0E0" w:rsidRDefault="7C7DF0E0">
      <w:r>
        <w:t xml:space="preserve">The Voice Coordinator will play a central role in supporting and empowering students to shape their university experience. This includes the administration and development of </w:t>
      </w:r>
      <w:r w:rsidR="67FEB2F5">
        <w:t xml:space="preserve">academic </w:t>
      </w:r>
      <w:r>
        <w:t xml:space="preserve">representation structures, </w:t>
      </w:r>
      <w:r w:rsidR="544D508E">
        <w:t xml:space="preserve">supporting the delivery </w:t>
      </w:r>
      <w:r>
        <w:t xml:space="preserve">of democratic processes such as elections and </w:t>
      </w:r>
      <w:r w:rsidR="1E02F1BF">
        <w:t>student meetings</w:t>
      </w:r>
      <w:r>
        <w:t>, and providing practical support to campaign</w:t>
      </w:r>
      <w:r w:rsidR="244AADFB">
        <w:t xml:space="preserve"> activities</w:t>
      </w:r>
      <w:r>
        <w:t>. The postholder will work closely with elected student officers, academic representatives, and Union staff to ensure that the student voice is heard, valued, and acted upon across the</w:t>
      </w:r>
      <w:r w:rsidR="692158E5">
        <w:t xml:space="preserve"> Strathclyde community.</w:t>
      </w:r>
    </w:p>
    <w:p w14:paraId="70294AC2" w14:textId="77777777" w:rsidR="00BA779F" w:rsidRPr="008372A9" w:rsidRDefault="00BA779F" w:rsidP="00BA779F">
      <w:pPr>
        <w:rPr>
          <w:b/>
        </w:rPr>
      </w:pPr>
      <w:r w:rsidRPr="008372A9">
        <w:rPr>
          <w:b/>
        </w:rPr>
        <w:t>Job Scope</w:t>
      </w:r>
    </w:p>
    <w:p w14:paraId="7B25EAA3" w14:textId="77777777" w:rsidR="00BA779F" w:rsidRDefault="00BA779F" w:rsidP="3C57CE99">
      <w:pPr>
        <w:rPr>
          <w:b/>
          <w:bCs/>
        </w:rPr>
      </w:pPr>
      <w:r w:rsidRPr="3C57CE99">
        <w:rPr>
          <w:b/>
          <w:bCs/>
        </w:rPr>
        <w:t>Main Responsibilities:</w:t>
      </w:r>
    </w:p>
    <w:p w14:paraId="09A660A9" w14:textId="1A971DBB" w:rsidR="6D7258FD" w:rsidRDefault="6D7258FD" w:rsidP="538E46CF">
      <w:pPr>
        <w:spacing w:before="240" w:after="240"/>
        <w:rPr>
          <w:rFonts w:ascii="Aptos" w:eastAsia="Aptos" w:hAnsi="Aptos" w:cs="Aptos"/>
        </w:rPr>
      </w:pPr>
      <w:r w:rsidRPr="538E46CF">
        <w:rPr>
          <w:rFonts w:ascii="Aptos" w:eastAsia="Aptos" w:hAnsi="Aptos" w:cs="Aptos"/>
        </w:rPr>
        <w:t>Student Democracy</w:t>
      </w:r>
    </w:p>
    <w:p w14:paraId="3B8BA5F8" w14:textId="41556FDD" w:rsidR="6D7258FD" w:rsidRDefault="50107506" w:rsidP="538E46CF">
      <w:pPr>
        <w:numPr>
          <w:ilvl w:val="0"/>
          <w:numId w:val="3"/>
        </w:numPr>
      </w:pPr>
      <w:r w:rsidRPr="538E46CF">
        <w:t xml:space="preserve">Support </w:t>
      </w:r>
      <w:r w:rsidR="6D7258FD" w:rsidRPr="538E46CF">
        <w:t>the organisation and delivery of democratic activities, including Student Parliament, elections, and referenda.</w:t>
      </w:r>
    </w:p>
    <w:p w14:paraId="70FF1E05" w14:textId="2AAF331F" w:rsidR="07B48395" w:rsidRDefault="07B48395" w:rsidP="538E46CF">
      <w:pPr>
        <w:numPr>
          <w:ilvl w:val="0"/>
          <w:numId w:val="3"/>
        </w:numPr>
      </w:pPr>
      <w:r w:rsidRPr="538E46CF">
        <w:t>Contribute to</w:t>
      </w:r>
      <w:r w:rsidR="6D7258FD" w:rsidRPr="538E46CF">
        <w:t xml:space="preserve"> the </w:t>
      </w:r>
      <w:r w:rsidR="70C1E176" w:rsidRPr="538E46CF">
        <w:t>continuous</w:t>
      </w:r>
      <w:r w:rsidR="328865BE" w:rsidRPr="538E46CF">
        <w:t xml:space="preserve"> review and</w:t>
      </w:r>
      <w:r w:rsidR="70C1E176" w:rsidRPr="538E46CF">
        <w:t xml:space="preserve"> improvement of student democratic activities</w:t>
      </w:r>
      <w:r w:rsidR="76FB8AB1" w:rsidRPr="538E46CF">
        <w:t xml:space="preserve">, </w:t>
      </w:r>
      <w:r w:rsidR="70C1E176" w:rsidRPr="538E46CF">
        <w:t>ensuring structures remain effective and student focused.</w:t>
      </w:r>
      <w:r w:rsidR="7022E934" w:rsidRPr="538E46CF">
        <w:t xml:space="preserve"> </w:t>
      </w:r>
    </w:p>
    <w:p w14:paraId="691B916A" w14:textId="329281AE" w:rsidR="6D7258FD" w:rsidRDefault="6D7258FD" w:rsidP="538E46CF">
      <w:pPr>
        <w:numPr>
          <w:ilvl w:val="0"/>
          <w:numId w:val="3"/>
        </w:numPr>
      </w:pPr>
      <w:r w:rsidRPr="538E46CF">
        <w:t>Provide</w:t>
      </w:r>
      <w:r w:rsidR="72B24468" w:rsidRPr="538E46CF">
        <w:t xml:space="preserve"> training,</w:t>
      </w:r>
      <w:r w:rsidRPr="538E46CF">
        <w:t xml:space="preserve"> guidance</w:t>
      </w:r>
      <w:r w:rsidR="2AB5665E" w:rsidRPr="538E46CF">
        <w:t>,</w:t>
      </w:r>
      <w:r w:rsidRPr="538E46CF">
        <w:t xml:space="preserve"> and administrative support to </w:t>
      </w:r>
      <w:r w:rsidR="530C3982" w:rsidRPr="538E46CF">
        <w:t xml:space="preserve">elected student </w:t>
      </w:r>
      <w:r w:rsidRPr="538E46CF">
        <w:t>officers, helping them to fulfil their representative roles.</w:t>
      </w:r>
    </w:p>
    <w:p w14:paraId="6E06537E" w14:textId="0EF61B86" w:rsidR="6D7258FD" w:rsidRDefault="6D7258FD" w:rsidP="538E46CF">
      <w:pPr>
        <w:spacing w:before="240" w:after="240"/>
        <w:rPr>
          <w:rFonts w:ascii="Aptos" w:eastAsia="Aptos" w:hAnsi="Aptos" w:cs="Aptos"/>
        </w:rPr>
      </w:pPr>
      <w:r w:rsidRPr="538E46CF">
        <w:rPr>
          <w:rFonts w:ascii="Aptos" w:eastAsia="Aptos" w:hAnsi="Aptos" w:cs="Aptos"/>
        </w:rPr>
        <w:t>Academic Representation</w:t>
      </w:r>
    </w:p>
    <w:p w14:paraId="0117600E" w14:textId="6395D102" w:rsidR="6D7258FD" w:rsidRDefault="0CCC6866" w:rsidP="538E46CF">
      <w:pPr>
        <w:numPr>
          <w:ilvl w:val="0"/>
          <w:numId w:val="2"/>
        </w:numPr>
      </w:pPr>
      <w:r w:rsidRPr="538E46CF">
        <w:t>Communicate regularly with department and faculty contacts to support effective student–staff partnership and collection of representatives’ data.</w:t>
      </w:r>
    </w:p>
    <w:p w14:paraId="3A3B398C" w14:textId="7ED408D1" w:rsidR="6D7258FD" w:rsidRDefault="6D7258FD" w:rsidP="538E46CF">
      <w:pPr>
        <w:numPr>
          <w:ilvl w:val="0"/>
          <w:numId w:val="2"/>
        </w:numPr>
      </w:pPr>
      <w:r w:rsidRPr="538E46CF">
        <w:t>Maintain and administer the representative database,</w:t>
      </w:r>
      <w:r w:rsidR="3ACF0325" w:rsidRPr="538E46CF">
        <w:t xml:space="preserve"> </w:t>
      </w:r>
      <w:r w:rsidRPr="538E46CF">
        <w:t>ensuring accurate records and reporting.</w:t>
      </w:r>
    </w:p>
    <w:p w14:paraId="4981DAE9" w14:textId="20BCBF02" w:rsidR="6D7258FD" w:rsidRDefault="6D7258FD" w:rsidP="538E46CF">
      <w:pPr>
        <w:numPr>
          <w:ilvl w:val="0"/>
          <w:numId w:val="2"/>
        </w:numPr>
      </w:pPr>
      <w:r w:rsidRPr="538E46CF">
        <w:t xml:space="preserve">Coordinate </w:t>
      </w:r>
      <w:r w:rsidR="0524220A" w:rsidRPr="538E46CF">
        <w:t xml:space="preserve">induction, </w:t>
      </w:r>
      <w:r w:rsidRPr="538E46CF">
        <w:t xml:space="preserve">training, and ongoing development opportunities for </w:t>
      </w:r>
      <w:r w:rsidR="0F6D9C6C" w:rsidRPr="538E46CF">
        <w:t>academic</w:t>
      </w:r>
      <w:r w:rsidRPr="538E46CF">
        <w:t xml:space="preserve"> representatives and other student leaders.</w:t>
      </w:r>
    </w:p>
    <w:p w14:paraId="3C6A6CBA" w14:textId="1F7B6EDF" w:rsidR="6D7258FD" w:rsidRDefault="6D7258FD" w:rsidP="538E46CF">
      <w:pPr>
        <w:numPr>
          <w:ilvl w:val="0"/>
          <w:numId w:val="2"/>
        </w:numPr>
      </w:pPr>
      <w:r w:rsidRPr="538E46CF">
        <w:t>Develop initiatives to increase engagement and representation for postgraduate research (PGR) students.</w:t>
      </w:r>
    </w:p>
    <w:p w14:paraId="5E514C1F" w14:textId="4699BCD1" w:rsidR="6D7258FD" w:rsidRDefault="6D7258FD" w:rsidP="538E46CF">
      <w:pPr>
        <w:spacing w:before="240" w:after="240"/>
        <w:rPr>
          <w:rFonts w:ascii="Aptos" w:eastAsia="Aptos" w:hAnsi="Aptos" w:cs="Aptos"/>
        </w:rPr>
      </w:pPr>
      <w:r w:rsidRPr="538E46CF">
        <w:rPr>
          <w:rFonts w:ascii="Aptos" w:eastAsia="Aptos" w:hAnsi="Aptos" w:cs="Aptos"/>
        </w:rPr>
        <w:t>Campaigns &amp; Student Voice</w:t>
      </w:r>
    </w:p>
    <w:p w14:paraId="39DDE354" w14:textId="6EA919A9" w:rsidR="6D7258FD" w:rsidRDefault="6D7258FD" w:rsidP="538E46CF">
      <w:pPr>
        <w:numPr>
          <w:ilvl w:val="0"/>
          <w:numId w:val="1"/>
        </w:numPr>
      </w:pPr>
      <w:r w:rsidRPr="538E46CF">
        <w:lastRenderedPageBreak/>
        <w:t>Support the planning and delivery of student-led campaigns and awareness activities, including Black History Month, LGBT+ History Month, and 16 Days of Action Against Gender-Based Violence.</w:t>
      </w:r>
    </w:p>
    <w:p w14:paraId="0F689410" w14:textId="2D0E52C9" w:rsidR="6D7258FD" w:rsidRDefault="6D7258FD" w:rsidP="538E46CF">
      <w:pPr>
        <w:numPr>
          <w:ilvl w:val="0"/>
          <w:numId w:val="1"/>
        </w:numPr>
      </w:pPr>
      <w:r w:rsidRPr="538E46CF">
        <w:t>Provide practical support and guidance for students developing their own campaign ideas.</w:t>
      </w:r>
    </w:p>
    <w:p w14:paraId="041ABAA4" w14:textId="465A7A5F" w:rsidR="3C57CE99" w:rsidRDefault="6D7258FD" w:rsidP="538E46CF">
      <w:pPr>
        <w:numPr>
          <w:ilvl w:val="0"/>
          <w:numId w:val="1"/>
        </w:numPr>
      </w:pPr>
      <w:r w:rsidRPr="538E46CF">
        <w:t>Work collaboratively with Union and University staff to amplify the student voice on key issues affecting the student community.</w:t>
      </w:r>
    </w:p>
    <w:p w14:paraId="408476E7" w14:textId="071452A7" w:rsidR="3C57CE99" w:rsidRDefault="5EBC5698" w:rsidP="538E46CF">
      <w:pPr>
        <w:numPr>
          <w:ilvl w:val="0"/>
          <w:numId w:val="10"/>
        </w:numPr>
      </w:pPr>
      <w:r>
        <w:t xml:space="preserve">Collect and report data on student participation, impact, and outcomes across </w:t>
      </w:r>
      <w:r w:rsidR="5F0E9E4A">
        <w:t>democracy, representation, and campaigning activity.</w:t>
      </w:r>
    </w:p>
    <w:p w14:paraId="122D9895" w14:textId="77777777" w:rsidR="00BA779F" w:rsidRPr="008372A9" w:rsidRDefault="00BA779F" w:rsidP="00BA779F">
      <w:pPr>
        <w:rPr>
          <w:b/>
        </w:rPr>
      </w:pPr>
      <w:r w:rsidRPr="3C57CE99">
        <w:rPr>
          <w:b/>
          <w:bCs/>
        </w:rPr>
        <w:t xml:space="preserve">Support: </w:t>
      </w:r>
    </w:p>
    <w:p w14:paraId="751B485B" w14:textId="69B659E5" w:rsidR="69D85910" w:rsidRDefault="69D85910" w:rsidP="538E46CF">
      <w:pPr>
        <w:numPr>
          <w:ilvl w:val="0"/>
          <w:numId w:val="8"/>
        </w:numPr>
      </w:pPr>
      <w:r>
        <w:t>Support the elected Student Officers to plan and deliver relevant objectives.</w:t>
      </w:r>
    </w:p>
    <w:p w14:paraId="59C1EF48" w14:textId="7670DF64" w:rsidR="69D85910" w:rsidRDefault="69D85910" w:rsidP="538E46CF">
      <w:pPr>
        <w:numPr>
          <w:ilvl w:val="0"/>
          <w:numId w:val="8"/>
        </w:numPr>
      </w:pPr>
      <w:r>
        <w:t xml:space="preserve">Support the work of the </w:t>
      </w:r>
      <w:r w:rsidR="63E15B54">
        <w:t>Voice</w:t>
      </w:r>
      <w:r>
        <w:t xml:space="preserve"> Manager and contribute to Union-wide events, </w:t>
      </w:r>
      <w:r w:rsidR="48EFB539">
        <w:t>projects</w:t>
      </w:r>
      <w:r>
        <w:t xml:space="preserve">, and initiatives </w:t>
      </w:r>
      <w:r w:rsidR="4CB9961C">
        <w:t>as</w:t>
      </w:r>
      <w:r>
        <w:t xml:space="preserve"> </w:t>
      </w:r>
      <w:r w:rsidR="06610B60">
        <w:t>required</w:t>
      </w:r>
      <w:r>
        <w:t>.</w:t>
      </w:r>
    </w:p>
    <w:p w14:paraId="7322F25A" w14:textId="506E94CB" w:rsidR="3FB48FFE" w:rsidRDefault="3FB48FFE" w:rsidP="538E46CF">
      <w:pPr>
        <w:numPr>
          <w:ilvl w:val="0"/>
          <w:numId w:val="8"/>
        </w:numPr>
      </w:pPr>
      <w:r>
        <w:t>Support student staff members within the team including allocation and supervision of tasks.</w:t>
      </w:r>
    </w:p>
    <w:p w14:paraId="79B5E944" w14:textId="77777777" w:rsidR="00BA779F" w:rsidRPr="008372A9" w:rsidRDefault="00BA779F" w:rsidP="3C57CE99">
      <w:pPr>
        <w:rPr>
          <w:b/>
          <w:bCs/>
        </w:rPr>
      </w:pPr>
      <w:r w:rsidRPr="3C57CE99">
        <w:rPr>
          <w:b/>
          <w:bCs/>
        </w:rPr>
        <w:t>General:</w:t>
      </w:r>
    </w:p>
    <w:p w14:paraId="1F2A2D03" w14:textId="65AC564B" w:rsidR="00BA779F" w:rsidRPr="008372A9" w:rsidRDefault="628137A0" w:rsidP="00BA779F">
      <w:pPr>
        <w:numPr>
          <w:ilvl w:val="0"/>
          <w:numId w:val="5"/>
        </w:numPr>
      </w:pPr>
      <w:r>
        <w:t>Ensure that students’ expectations are exceeded wherever possible.</w:t>
      </w:r>
    </w:p>
    <w:p w14:paraId="4D60F793" w14:textId="77777777" w:rsidR="00BA779F" w:rsidRPr="008372A9" w:rsidRDefault="628137A0" w:rsidP="3C57CE99">
      <w:pPr>
        <w:pStyle w:val="ListParagraph"/>
        <w:numPr>
          <w:ilvl w:val="0"/>
          <w:numId w:val="5"/>
        </w:numPr>
      </w:pPr>
      <w:r>
        <w:t>Deal with feedback in a courteous, efficient, and timely manner.</w:t>
      </w:r>
    </w:p>
    <w:p w14:paraId="52C2DA1A" w14:textId="4FBFD4D8" w:rsidR="00BA779F" w:rsidRPr="008372A9" w:rsidRDefault="00BA779F" w:rsidP="00BA779F">
      <w:pPr>
        <w:numPr>
          <w:ilvl w:val="0"/>
          <w:numId w:val="5"/>
        </w:numPr>
      </w:pPr>
      <w:r>
        <w:t>Comply with all Strath Union policies, procedures, and governing documents.</w:t>
      </w:r>
    </w:p>
    <w:p w14:paraId="1835EFCA" w14:textId="77777777" w:rsidR="00BA779F" w:rsidRPr="008372A9" w:rsidRDefault="00BA779F" w:rsidP="00BA779F">
      <w:pPr>
        <w:numPr>
          <w:ilvl w:val="0"/>
          <w:numId w:val="5"/>
        </w:numPr>
      </w:pPr>
      <w:r w:rsidRPr="008372A9">
        <w:t>Always work within Strath Union’s mission, vision, and values.</w:t>
      </w:r>
    </w:p>
    <w:p w14:paraId="683CD1C7" w14:textId="77777777" w:rsidR="00BA779F" w:rsidRPr="008372A9" w:rsidRDefault="00BA779F" w:rsidP="00BA779F">
      <w:pPr>
        <w:numPr>
          <w:ilvl w:val="0"/>
          <w:numId w:val="5"/>
        </w:numPr>
      </w:pPr>
      <w:r w:rsidRPr="008372A9">
        <w:t>Be responsible for all health and safety requirements related to the role.</w:t>
      </w:r>
    </w:p>
    <w:p w14:paraId="00489E62" w14:textId="77777777" w:rsidR="00BA779F" w:rsidRPr="008372A9" w:rsidRDefault="00BA779F" w:rsidP="00BA779F">
      <w:pPr>
        <w:numPr>
          <w:ilvl w:val="0"/>
          <w:numId w:val="5"/>
        </w:numPr>
      </w:pPr>
      <w:r w:rsidRPr="008372A9">
        <w:t>Undertake any other tasks commensurate with the level of appointment that may from time to time be reasonably requested.</w:t>
      </w:r>
    </w:p>
    <w:p w14:paraId="7CF0B5F8" w14:textId="3238B4D8" w:rsidR="00BA779F" w:rsidRPr="008372A9" w:rsidRDefault="0DDE8DF0" w:rsidP="00BA779F">
      <w:pPr>
        <w:numPr>
          <w:ilvl w:val="0"/>
          <w:numId w:val="5"/>
        </w:numPr>
      </w:pPr>
      <w:r>
        <w:t>P</w:t>
      </w:r>
      <w:r w:rsidR="00BA779F">
        <w:t>ortray a positive image of Strath Union, both internally and externally and to set high standards of personal integrity and professionalism at all times, leading by example.</w:t>
      </w:r>
    </w:p>
    <w:p w14:paraId="3981D6EB" w14:textId="356BFD73" w:rsidR="00BA779F" w:rsidRPr="008372A9" w:rsidRDefault="06949AC1" w:rsidP="00BA779F">
      <w:pPr>
        <w:numPr>
          <w:ilvl w:val="0"/>
          <w:numId w:val="5"/>
        </w:numPr>
      </w:pPr>
      <w:r>
        <w:t>B</w:t>
      </w:r>
      <w:r w:rsidR="00BA779F">
        <w:t>uild and maintain professional networks to ensure knowledge is kept up to date.</w:t>
      </w:r>
    </w:p>
    <w:p w14:paraId="451EC5EB" w14:textId="500970B6" w:rsidR="00BA779F" w:rsidRPr="008372A9" w:rsidRDefault="6BCF8A10" w:rsidP="00BA779F">
      <w:pPr>
        <w:numPr>
          <w:ilvl w:val="0"/>
          <w:numId w:val="5"/>
        </w:numPr>
      </w:pPr>
      <w:r>
        <w:t>U</w:t>
      </w:r>
      <w:r w:rsidR="00BA779F">
        <w:t>ndertake such personal and professional development as required to maintain appropriate knowledge and skills to fulfil the requirements of the role. This may include attending events away from the offices of Strath Union and outside Glasgow.</w:t>
      </w:r>
    </w:p>
    <w:p w14:paraId="489BAC53" w14:textId="77777777" w:rsidR="00BA779F" w:rsidRPr="008372A9" w:rsidRDefault="00BA779F" w:rsidP="00BA779F">
      <w:pPr>
        <w:numPr>
          <w:ilvl w:val="0"/>
          <w:numId w:val="5"/>
        </w:numPr>
      </w:pPr>
      <w:r w:rsidRPr="008372A9">
        <w:t xml:space="preserve">Sustainability is a strategic priority for Strath </w:t>
      </w:r>
      <w:proofErr w:type="gramStart"/>
      <w:r w:rsidRPr="008372A9">
        <w:t>Union</w:t>
      </w:r>
      <w:proofErr w:type="gramEnd"/>
      <w:r w:rsidRPr="008372A9">
        <w:t xml:space="preserve"> and the post-holder will be expected to engage with sustainable workplace practices and relevant training such as carbon literacy.</w:t>
      </w:r>
    </w:p>
    <w:p w14:paraId="172ED1D5" w14:textId="77777777" w:rsidR="00BA779F" w:rsidRPr="008372A9" w:rsidRDefault="00BA779F" w:rsidP="00BA779F">
      <w:pPr>
        <w:rPr>
          <w:b/>
        </w:rPr>
      </w:pPr>
      <w:r w:rsidRPr="008372A9">
        <w:rPr>
          <w:b/>
        </w:rPr>
        <w:t>Key relationships:</w:t>
      </w:r>
    </w:p>
    <w:p w14:paraId="7A349E82" w14:textId="77777777" w:rsidR="00BA779F" w:rsidRPr="008372A9" w:rsidRDefault="00BA779F" w:rsidP="00BA779F">
      <w:r w:rsidRPr="008372A9">
        <w:rPr>
          <w:b/>
          <w:bCs/>
        </w:rPr>
        <w:t>Internal:</w:t>
      </w:r>
      <w:r w:rsidRPr="008372A9">
        <w:t xml:space="preserve"> Student Engagement</w:t>
      </w:r>
      <w:r>
        <w:t xml:space="preserve"> team</w:t>
      </w:r>
      <w:r w:rsidRPr="008372A9">
        <w:t xml:space="preserve">, Elected Student Officers and Representatives, and other Strath Union </w:t>
      </w:r>
      <w:r>
        <w:t>teams including Advice Hub,</w:t>
      </w:r>
      <w:r w:rsidRPr="008372A9">
        <w:t xml:space="preserve"> Finance</w:t>
      </w:r>
      <w:r>
        <w:t>,</w:t>
      </w:r>
      <w:r w:rsidRPr="008372A9">
        <w:t xml:space="preserve"> and Marketing and Communications</w:t>
      </w:r>
      <w:r>
        <w:t>.</w:t>
      </w:r>
    </w:p>
    <w:p w14:paraId="763909AC" w14:textId="5664F3AC" w:rsidR="00BA779F" w:rsidRPr="008372A9" w:rsidRDefault="00BA779F" w:rsidP="00BA779F">
      <w:r w:rsidRPr="3C57CE99">
        <w:rPr>
          <w:b/>
          <w:bCs/>
        </w:rPr>
        <w:t>External:</w:t>
      </w:r>
      <w:r>
        <w:t xml:space="preserve"> University of Strathclyde, </w:t>
      </w:r>
      <w:proofErr w:type="spellStart"/>
      <w:r>
        <w:t>sparqs</w:t>
      </w:r>
      <w:proofErr w:type="spellEnd"/>
      <w:r>
        <w:t>, NUS, other students’ unions, any other relevant external organisations to the role.</w:t>
      </w:r>
      <w:r w:rsidR="5200E270">
        <w:t xml:space="preserve"> </w:t>
      </w:r>
      <w:r>
        <w:br w:type="page"/>
      </w:r>
      <w:r w:rsidRPr="3C57CE99">
        <w:rPr>
          <w:b/>
          <w:bCs/>
        </w:rPr>
        <w:lastRenderedPageBreak/>
        <w:t>Person Specification:</w:t>
      </w:r>
    </w:p>
    <w:tbl>
      <w:tblPr>
        <w:tblW w:w="9016" w:type="dxa"/>
        <w:tblLook w:val="04A0" w:firstRow="1" w:lastRow="0" w:firstColumn="1" w:lastColumn="0" w:noHBand="0" w:noVBand="1"/>
      </w:tblPr>
      <w:tblGrid>
        <w:gridCol w:w="6495"/>
        <w:gridCol w:w="1200"/>
        <w:gridCol w:w="1321"/>
      </w:tblGrid>
      <w:tr w:rsidR="00BA779F" w:rsidRPr="008372A9" w14:paraId="13BA323F" w14:textId="77777777" w:rsidTr="155E3B84">
        <w:trPr>
          <w:trHeight w:val="301"/>
        </w:trPr>
        <w:tc>
          <w:tcPr>
            <w:tcW w:w="6495" w:type="dxa"/>
            <w:tcBorders>
              <w:top w:val="single" w:sz="4" w:space="0" w:color="auto"/>
              <w:left w:val="single" w:sz="4" w:space="0" w:color="auto"/>
              <w:bottom w:val="single" w:sz="4" w:space="0" w:color="auto"/>
              <w:right w:val="single" w:sz="4" w:space="0" w:color="auto"/>
            </w:tcBorders>
            <w:vAlign w:val="center"/>
            <w:hideMark/>
          </w:tcPr>
          <w:p w14:paraId="0534F13E" w14:textId="77777777" w:rsidR="00BA779F" w:rsidRPr="008372A9" w:rsidRDefault="00BA779F" w:rsidP="155E3B84">
            <w:pPr>
              <w:spacing w:after="120"/>
              <w:rPr>
                <w:b/>
                <w:bCs/>
              </w:rPr>
            </w:pPr>
            <w:r w:rsidRPr="155E3B84">
              <w:rPr>
                <w:b/>
                <w:bCs/>
              </w:rPr>
              <w:t>Qualifications</w:t>
            </w:r>
          </w:p>
        </w:tc>
        <w:tc>
          <w:tcPr>
            <w:tcW w:w="1200" w:type="dxa"/>
            <w:tcBorders>
              <w:top w:val="single" w:sz="4" w:space="0" w:color="auto"/>
              <w:left w:val="nil"/>
              <w:bottom w:val="single" w:sz="4" w:space="0" w:color="auto"/>
              <w:right w:val="single" w:sz="4" w:space="0" w:color="auto"/>
            </w:tcBorders>
            <w:vAlign w:val="center"/>
            <w:hideMark/>
          </w:tcPr>
          <w:p w14:paraId="5B177E69" w14:textId="77777777" w:rsidR="00BA779F" w:rsidRPr="008372A9" w:rsidRDefault="00BA779F" w:rsidP="155E3B84">
            <w:pPr>
              <w:spacing w:after="120"/>
              <w:rPr>
                <w:b/>
                <w:bCs/>
              </w:rPr>
            </w:pPr>
            <w:r w:rsidRPr="155E3B84">
              <w:rPr>
                <w:b/>
                <w:bCs/>
              </w:rPr>
              <w:t>Essential</w:t>
            </w:r>
          </w:p>
        </w:tc>
        <w:tc>
          <w:tcPr>
            <w:tcW w:w="1321" w:type="dxa"/>
            <w:tcBorders>
              <w:top w:val="single" w:sz="4" w:space="0" w:color="auto"/>
              <w:left w:val="nil"/>
              <w:bottom w:val="single" w:sz="4" w:space="0" w:color="auto"/>
              <w:right w:val="single" w:sz="4" w:space="0" w:color="auto"/>
            </w:tcBorders>
            <w:vAlign w:val="center"/>
            <w:hideMark/>
          </w:tcPr>
          <w:p w14:paraId="2F596666" w14:textId="77777777" w:rsidR="00BA779F" w:rsidRPr="008372A9" w:rsidRDefault="00BA779F" w:rsidP="155E3B84">
            <w:pPr>
              <w:spacing w:after="120"/>
              <w:rPr>
                <w:b/>
                <w:bCs/>
              </w:rPr>
            </w:pPr>
            <w:r w:rsidRPr="155E3B84">
              <w:rPr>
                <w:b/>
                <w:bCs/>
              </w:rPr>
              <w:t>Desirable</w:t>
            </w:r>
          </w:p>
        </w:tc>
      </w:tr>
      <w:tr w:rsidR="00BA779F" w:rsidRPr="008372A9" w14:paraId="23718173"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69265088" w14:textId="77777777" w:rsidR="00BA779F" w:rsidRPr="008372A9" w:rsidRDefault="00BA779F" w:rsidP="155E3B84">
            <w:pPr>
              <w:spacing w:after="120"/>
            </w:pPr>
            <w:r>
              <w:t>Degree level qualification or equivalent professional experience</w:t>
            </w:r>
          </w:p>
        </w:tc>
        <w:tc>
          <w:tcPr>
            <w:tcW w:w="1200" w:type="dxa"/>
            <w:tcBorders>
              <w:top w:val="nil"/>
              <w:left w:val="nil"/>
              <w:bottom w:val="single" w:sz="4" w:space="0" w:color="auto"/>
              <w:right w:val="single" w:sz="4" w:space="0" w:color="auto"/>
            </w:tcBorders>
            <w:vAlign w:val="center"/>
            <w:hideMark/>
          </w:tcPr>
          <w:p w14:paraId="7DEC73B4" w14:textId="77777777" w:rsidR="00BA779F" w:rsidRPr="008372A9" w:rsidRDefault="00BA779F" w:rsidP="155E3B84">
            <w:pPr>
              <w:spacing w:after="120"/>
            </w:pPr>
            <w:r>
              <w:t xml:space="preserve"> x</w:t>
            </w:r>
          </w:p>
        </w:tc>
        <w:tc>
          <w:tcPr>
            <w:tcW w:w="1321" w:type="dxa"/>
            <w:tcBorders>
              <w:top w:val="nil"/>
              <w:left w:val="nil"/>
              <w:bottom w:val="single" w:sz="4" w:space="0" w:color="auto"/>
              <w:right w:val="single" w:sz="4" w:space="0" w:color="auto"/>
            </w:tcBorders>
            <w:vAlign w:val="center"/>
            <w:hideMark/>
          </w:tcPr>
          <w:p w14:paraId="731FBBB8" w14:textId="77777777" w:rsidR="00BA779F" w:rsidRPr="008372A9" w:rsidRDefault="00BA779F" w:rsidP="155E3B84">
            <w:pPr>
              <w:spacing w:after="120"/>
            </w:pPr>
            <w:r>
              <w:t> </w:t>
            </w:r>
          </w:p>
        </w:tc>
      </w:tr>
      <w:tr w:rsidR="00BA779F" w:rsidRPr="008372A9" w14:paraId="47BA150A" w14:textId="77777777" w:rsidTr="155E3B84">
        <w:trPr>
          <w:trHeight w:val="301"/>
        </w:trPr>
        <w:tc>
          <w:tcPr>
            <w:tcW w:w="9016" w:type="dxa"/>
            <w:gridSpan w:val="3"/>
            <w:tcBorders>
              <w:top w:val="nil"/>
              <w:left w:val="single" w:sz="4" w:space="0" w:color="auto"/>
              <w:bottom w:val="single" w:sz="4" w:space="0" w:color="auto"/>
              <w:right w:val="single" w:sz="4" w:space="0" w:color="auto"/>
            </w:tcBorders>
            <w:vAlign w:val="center"/>
            <w:hideMark/>
          </w:tcPr>
          <w:p w14:paraId="547FD924" w14:textId="77777777" w:rsidR="00BA779F" w:rsidRPr="008372A9" w:rsidRDefault="00BA779F" w:rsidP="155E3B84">
            <w:pPr>
              <w:spacing w:after="120"/>
            </w:pPr>
            <w:r w:rsidRPr="155E3B84">
              <w:rPr>
                <w:b/>
                <w:bCs/>
              </w:rPr>
              <w:t>Knowledge and Experience</w:t>
            </w:r>
            <w:r>
              <w:t xml:space="preserve"> </w:t>
            </w:r>
          </w:p>
        </w:tc>
      </w:tr>
      <w:tr w:rsidR="00BA779F" w:rsidRPr="008372A9" w14:paraId="6B8EBD29"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48C60E1A" w14:textId="6CC1F367" w:rsidR="00BA779F" w:rsidRPr="008372A9" w:rsidRDefault="0D9FE0F2" w:rsidP="155E3B84">
            <w:pPr>
              <w:spacing w:after="120"/>
              <w:rPr>
                <w:rFonts w:ascii="Aptos" w:eastAsia="Aptos" w:hAnsi="Aptos"/>
              </w:rPr>
            </w:pPr>
            <w:r w:rsidRPr="155E3B84">
              <w:rPr>
                <w:rFonts w:ascii="Aptos" w:eastAsia="Aptos" w:hAnsi="Aptos"/>
              </w:rPr>
              <w:t xml:space="preserve">Experience of coordinating projects, programmes, or </w:t>
            </w:r>
            <w:r w:rsidR="026B7921" w:rsidRPr="155E3B84">
              <w:rPr>
                <w:rFonts w:ascii="Aptos" w:eastAsia="Aptos" w:hAnsi="Aptos"/>
              </w:rPr>
              <w:t>campaigns</w:t>
            </w:r>
            <w:r w:rsidRPr="155E3B84">
              <w:rPr>
                <w:rFonts w:ascii="Aptos" w:eastAsia="Aptos" w:hAnsi="Aptos"/>
              </w:rPr>
              <w:t>, ideally within a student, community, or educational setting</w:t>
            </w:r>
          </w:p>
        </w:tc>
        <w:tc>
          <w:tcPr>
            <w:tcW w:w="1200" w:type="dxa"/>
            <w:tcBorders>
              <w:top w:val="nil"/>
              <w:left w:val="nil"/>
              <w:bottom w:val="single" w:sz="4" w:space="0" w:color="auto"/>
              <w:right w:val="single" w:sz="4" w:space="0" w:color="auto"/>
            </w:tcBorders>
            <w:vAlign w:val="center"/>
            <w:hideMark/>
          </w:tcPr>
          <w:p w14:paraId="7117E3BE"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3C88EA3B" w14:textId="77777777" w:rsidR="00BA779F" w:rsidRPr="008372A9" w:rsidRDefault="00BA779F" w:rsidP="155E3B84">
            <w:pPr>
              <w:spacing w:after="120"/>
            </w:pPr>
            <w:r>
              <w:t xml:space="preserve"> </w:t>
            </w:r>
          </w:p>
        </w:tc>
      </w:tr>
      <w:tr w:rsidR="00BA779F" w:rsidRPr="008372A9" w14:paraId="3D31B556"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5DFBC507" w14:textId="5C04847F" w:rsidR="00BA779F" w:rsidRPr="008372A9" w:rsidRDefault="449938ED" w:rsidP="155E3B84">
            <w:pPr>
              <w:spacing w:after="120"/>
              <w:rPr>
                <w:rFonts w:ascii="Aptos" w:eastAsia="Aptos" w:hAnsi="Aptos"/>
              </w:rPr>
            </w:pPr>
            <w:r w:rsidRPr="155E3B84">
              <w:rPr>
                <w:rFonts w:ascii="Aptos" w:eastAsia="Aptos" w:hAnsi="Aptos"/>
              </w:rPr>
              <w:t>Experience of planning and coordinating events</w:t>
            </w:r>
          </w:p>
        </w:tc>
        <w:tc>
          <w:tcPr>
            <w:tcW w:w="1200" w:type="dxa"/>
            <w:tcBorders>
              <w:top w:val="nil"/>
              <w:left w:val="nil"/>
              <w:bottom w:val="single" w:sz="4" w:space="0" w:color="auto"/>
              <w:right w:val="single" w:sz="4" w:space="0" w:color="auto"/>
            </w:tcBorders>
            <w:vAlign w:val="center"/>
            <w:hideMark/>
          </w:tcPr>
          <w:p w14:paraId="1EC2968E"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2A16867A" w14:textId="77777777" w:rsidR="00BA779F" w:rsidRPr="008372A9" w:rsidRDefault="00BA779F" w:rsidP="155E3B84">
            <w:pPr>
              <w:spacing w:after="120"/>
            </w:pPr>
            <w:r>
              <w:t xml:space="preserve"> </w:t>
            </w:r>
          </w:p>
        </w:tc>
      </w:tr>
      <w:tr w:rsidR="3D6D7593" w14:paraId="05321ED9" w14:textId="77777777" w:rsidTr="155E3B84">
        <w:trPr>
          <w:trHeight w:val="300"/>
        </w:trPr>
        <w:tc>
          <w:tcPr>
            <w:tcW w:w="6495" w:type="dxa"/>
            <w:tcBorders>
              <w:top w:val="nil"/>
              <w:left w:val="single" w:sz="4" w:space="0" w:color="auto"/>
              <w:bottom w:val="single" w:sz="4" w:space="0" w:color="auto"/>
              <w:right w:val="single" w:sz="4" w:space="0" w:color="auto"/>
            </w:tcBorders>
            <w:vAlign w:val="center"/>
            <w:hideMark/>
          </w:tcPr>
          <w:p w14:paraId="2BBFAA90" w14:textId="689147D3" w:rsidR="513F9691" w:rsidRDefault="35CB3162" w:rsidP="155E3B84">
            <w:pPr>
              <w:spacing w:after="120"/>
              <w:rPr>
                <w:rFonts w:ascii="Aptos" w:eastAsia="Aptos" w:hAnsi="Aptos"/>
              </w:rPr>
            </w:pPr>
            <w:r w:rsidRPr="155E3B84">
              <w:rPr>
                <w:rFonts w:ascii="Aptos" w:eastAsia="Aptos" w:hAnsi="Aptos"/>
              </w:rPr>
              <w:t xml:space="preserve">Experience of supporting or managing </w:t>
            </w:r>
            <w:r w:rsidR="723CA8CF" w:rsidRPr="155E3B84">
              <w:rPr>
                <w:rFonts w:ascii="Aptos" w:eastAsia="Aptos" w:hAnsi="Aptos"/>
              </w:rPr>
              <w:t xml:space="preserve">students, </w:t>
            </w:r>
            <w:r w:rsidRPr="155E3B84">
              <w:rPr>
                <w:rFonts w:ascii="Aptos" w:eastAsia="Aptos" w:hAnsi="Aptos"/>
              </w:rPr>
              <w:t>volunteers,</w:t>
            </w:r>
            <w:r w:rsidR="4AA6EC07" w:rsidRPr="155E3B84">
              <w:rPr>
                <w:rFonts w:ascii="Aptos" w:eastAsia="Aptos" w:hAnsi="Aptos"/>
              </w:rPr>
              <w:t xml:space="preserve"> and/or</w:t>
            </w:r>
            <w:r w:rsidR="7A11699E" w:rsidRPr="155E3B84">
              <w:rPr>
                <w:rFonts w:ascii="Aptos" w:eastAsia="Aptos" w:hAnsi="Aptos"/>
              </w:rPr>
              <w:t xml:space="preserve"> elected</w:t>
            </w:r>
            <w:r w:rsidRPr="155E3B84">
              <w:rPr>
                <w:rFonts w:ascii="Aptos" w:eastAsia="Aptos" w:hAnsi="Aptos"/>
              </w:rPr>
              <w:t xml:space="preserve"> representatives</w:t>
            </w:r>
          </w:p>
        </w:tc>
        <w:tc>
          <w:tcPr>
            <w:tcW w:w="1200" w:type="dxa"/>
            <w:tcBorders>
              <w:top w:val="nil"/>
              <w:left w:val="nil"/>
              <w:bottom w:val="single" w:sz="4" w:space="0" w:color="auto"/>
              <w:right w:val="single" w:sz="4" w:space="0" w:color="auto"/>
            </w:tcBorders>
            <w:vAlign w:val="center"/>
            <w:hideMark/>
          </w:tcPr>
          <w:p w14:paraId="1BBB2B8F" w14:textId="06B8A3F1" w:rsidR="4820B180" w:rsidRDefault="329CC305" w:rsidP="155E3B84">
            <w:pPr>
              <w:spacing w:after="120"/>
            </w:pPr>
            <w:r>
              <w:t>x</w:t>
            </w:r>
          </w:p>
        </w:tc>
        <w:tc>
          <w:tcPr>
            <w:tcW w:w="1321" w:type="dxa"/>
            <w:tcBorders>
              <w:top w:val="nil"/>
              <w:left w:val="nil"/>
              <w:bottom w:val="single" w:sz="4" w:space="0" w:color="auto"/>
              <w:right w:val="single" w:sz="4" w:space="0" w:color="auto"/>
            </w:tcBorders>
            <w:vAlign w:val="center"/>
            <w:hideMark/>
          </w:tcPr>
          <w:p w14:paraId="7A1006BD" w14:textId="4A505B22" w:rsidR="3D6D7593" w:rsidRDefault="3D6D7593" w:rsidP="155E3B84">
            <w:pPr>
              <w:spacing w:after="120"/>
            </w:pPr>
          </w:p>
        </w:tc>
      </w:tr>
      <w:tr w:rsidR="3D6D7593" w14:paraId="048C1B56" w14:textId="77777777" w:rsidTr="155E3B84">
        <w:trPr>
          <w:trHeight w:val="300"/>
        </w:trPr>
        <w:tc>
          <w:tcPr>
            <w:tcW w:w="6495" w:type="dxa"/>
            <w:tcBorders>
              <w:top w:val="nil"/>
              <w:left w:val="single" w:sz="4" w:space="0" w:color="auto"/>
              <w:bottom w:val="single" w:sz="4" w:space="0" w:color="auto"/>
              <w:right w:val="single" w:sz="4" w:space="0" w:color="auto"/>
            </w:tcBorders>
            <w:vAlign w:val="center"/>
            <w:hideMark/>
          </w:tcPr>
          <w:p w14:paraId="31E0C982" w14:textId="5F7CCC19" w:rsidR="4820B180" w:rsidRDefault="44566976" w:rsidP="155E3B84">
            <w:pPr>
              <w:spacing w:after="120"/>
              <w:rPr>
                <w:rFonts w:ascii="Aptos" w:eastAsia="Aptos" w:hAnsi="Aptos"/>
              </w:rPr>
            </w:pPr>
            <w:r w:rsidRPr="155E3B84">
              <w:rPr>
                <w:rFonts w:ascii="Aptos" w:eastAsia="Aptos" w:hAnsi="Aptos"/>
              </w:rPr>
              <w:t>Understanding of the value of representation and campaigns in supporting student development an</w:t>
            </w:r>
            <w:r w:rsidR="7C0041DF" w:rsidRPr="155E3B84">
              <w:rPr>
                <w:rFonts w:ascii="Aptos" w:eastAsia="Aptos" w:hAnsi="Aptos"/>
              </w:rPr>
              <w:t xml:space="preserve">d </w:t>
            </w:r>
            <w:r w:rsidR="6BB4F8BC" w:rsidRPr="155E3B84">
              <w:rPr>
                <w:rFonts w:ascii="Aptos" w:eastAsia="Aptos" w:hAnsi="Aptos"/>
              </w:rPr>
              <w:t xml:space="preserve">improving their </w:t>
            </w:r>
            <w:r w:rsidR="3F5B038B" w:rsidRPr="155E3B84">
              <w:rPr>
                <w:rFonts w:ascii="Aptos" w:eastAsia="Aptos" w:hAnsi="Aptos"/>
              </w:rPr>
              <w:t>experience</w:t>
            </w:r>
          </w:p>
        </w:tc>
        <w:tc>
          <w:tcPr>
            <w:tcW w:w="1200" w:type="dxa"/>
            <w:tcBorders>
              <w:top w:val="nil"/>
              <w:left w:val="nil"/>
              <w:bottom w:val="single" w:sz="4" w:space="0" w:color="auto"/>
              <w:right w:val="single" w:sz="4" w:space="0" w:color="auto"/>
            </w:tcBorders>
            <w:vAlign w:val="center"/>
            <w:hideMark/>
          </w:tcPr>
          <w:p w14:paraId="01A4D85D" w14:textId="28B15353" w:rsidR="1E758961" w:rsidRDefault="6B2A843C" w:rsidP="155E3B84">
            <w:pPr>
              <w:spacing w:after="120"/>
            </w:pPr>
            <w:r>
              <w:t>x</w:t>
            </w:r>
          </w:p>
        </w:tc>
        <w:tc>
          <w:tcPr>
            <w:tcW w:w="1321" w:type="dxa"/>
            <w:tcBorders>
              <w:top w:val="nil"/>
              <w:left w:val="nil"/>
              <w:bottom w:val="single" w:sz="4" w:space="0" w:color="auto"/>
              <w:right w:val="single" w:sz="4" w:space="0" w:color="auto"/>
            </w:tcBorders>
            <w:vAlign w:val="center"/>
            <w:hideMark/>
          </w:tcPr>
          <w:p w14:paraId="19ABD9E5" w14:textId="47382D2B" w:rsidR="3D6D7593" w:rsidRDefault="3D6D7593" w:rsidP="155E3B84">
            <w:pPr>
              <w:spacing w:after="120"/>
            </w:pPr>
          </w:p>
        </w:tc>
      </w:tr>
      <w:tr w:rsidR="00BA779F" w:rsidRPr="008372A9" w14:paraId="4D729112" w14:textId="77777777" w:rsidTr="155E3B84">
        <w:trPr>
          <w:trHeight w:val="301"/>
        </w:trPr>
        <w:tc>
          <w:tcPr>
            <w:tcW w:w="6495" w:type="dxa"/>
            <w:tcBorders>
              <w:top w:val="nil"/>
              <w:left w:val="single" w:sz="4" w:space="0" w:color="auto"/>
              <w:bottom w:val="single" w:sz="4" w:space="0" w:color="auto"/>
              <w:right w:val="single" w:sz="4" w:space="0" w:color="auto"/>
            </w:tcBorders>
            <w:vAlign w:val="center"/>
          </w:tcPr>
          <w:p w14:paraId="370674DE" w14:textId="2787D8C3" w:rsidR="00BA779F" w:rsidRPr="008372A9" w:rsidRDefault="00BA779F" w:rsidP="155E3B84">
            <w:pPr>
              <w:spacing w:after="120"/>
              <w:rPr>
                <w:rFonts w:ascii="Aptos" w:eastAsia="Aptos" w:hAnsi="Aptos"/>
              </w:rPr>
            </w:pPr>
            <w:r w:rsidRPr="155E3B84">
              <w:rPr>
                <w:rFonts w:ascii="Aptos" w:eastAsia="Aptos" w:hAnsi="Aptos"/>
              </w:rPr>
              <w:t xml:space="preserve">Relevant experience of working in representation, </w:t>
            </w:r>
            <w:r w:rsidR="43C55471" w:rsidRPr="155E3B84">
              <w:rPr>
                <w:rFonts w:ascii="Aptos" w:eastAsia="Aptos" w:hAnsi="Aptos"/>
              </w:rPr>
              <w:t xml:space="preserve">student </w:t>
            </w:r>
            <w:r w:rsidRPr="155E3B84">
              <w:rPr>
                <w:rFonts w:ascii="Aptos" w:eastAsia="Aptos" w:hAnsi="Aptos"/>
              </w:rPr>
              <w:t>engagement and/or membership services</w:t>
            </w:r>
          </w:p>
        </w:tc>
        <w:tc>
          <w:tcPr>
            <w:tcW w:w="1200" w:type="dxa"/>
            <w:tcBorders>
              <w:top w:val="nil"/>
              <w:left w:val="nil"/>
              <w:bottom w:val="single" w:sz="4" w:space="0" w:color="auto"/>
              <w:right w:val="single" w:sz="4" w:space="0" w:color="auto"/>
            </w:tcBorders>
            <w:vAlign w:val="center"/>
          </w:tcPr>
          <w:p w14:paraId="0DBE2D36" w14:textId="77777777" w:rsidR="00BA779F" w:rsidRPr="008372A9" w:rsidRDefault="00BA779F" w:rsidP="155E3B84">
            <w:pPr>
              <w:spacing w:after="120"/>
            </w:pPr>
          </w:p>
        </w:tc>
        <w:tc>
          <w:tcPr>
            <w:tcW w:w="1321" w:type="dxa"/>
            <w:tcBorders>
              <w:top w:val="nil"/>
              <w:left w:val="nil"/>
              <w:bottom w:val="single" w:sz="4" w:space="0" w:color="auto"/>
              <w:right w:val="single" w:sz="4" w:space="0" w:color="auto"/>
            </w:tcBorders>
            <w:vAlign w:val="center"/>
          </w:tcPr>
          <w:p w14:paraId="53D92BCF" w14:textId="77777777" w:rsidR="00BA779F" w:rsidRPr="008372A9" w:rsidRDefault="00BA779F" w:rsidP="155E3B84">
            <w:pPr>
              <w:spacing w:after="120"/>
            </w:pPr>
            <w:r>
              <w:t xml:space="preserve">x </w:t>
            </w:r>
          </w:p>
        </w:tc>
      </w:tr>
      <w:tr w:rsidR="00BA779F" w:rsidRPr="008372A9" w14:paraId="3558EA96" w14:textId="77777777" w:rsidTr="155E3B84">
        <w:trPr>
          <w:trHeight w:val="301"/>
        </w:trPr>
        <w:tc>
          <w:tcPr>
            <w:tcW w:w="6495" w:type="dxa"/>
            <w:tcBorders>
              <w:top w:val="nil"/>
              <w:left w:val="single" w:sz="4" w:space="0" w:color="auto"/>
              <w:bottom w:val="single" w:sz="4" w:space="0" w:color="auto"/>
              <w:right w:val="single" w:sz="4" w:space="0" w:color="auto"/>
            </w:tcBorders>
            <w:vAlign w:val="center"/>
          </w:tcPr>
          <w:p w14:paraId="3F343675" w14:textId="39DC3A95" w:rsidR="00BA779F" w:rsidRPr="008372A9" w:rsidRDefault="00BA779F" w:rsidP="155E3B84">
            <w:pPr>
              <w:spacing w:after="120"/>
              <w:rPr>
                <w:rFonts w:ascii="Aptos" w:eastAsia="Aptos" w:hAnsi="Aptos"/>
              </w:rPr>
            </w:pPr>
            <w:r w:rsidRPr="155E3B84">
              <w:rPr>
                <w:rFonts w:ascii="Aptos" w:eastAsia="Aptos" w:hAnsi="Aptos"/>
              </w:rPr>
              <w:t>Knowledge and experience of student representation</w:t>
            </w:r>
          </w:p>
        </w:tc>
        <w:tc>
          <w:tcPr>
            <w:tcW w:w="1200" w:type="dxa"/>
            <w:tcBorders>
              <w:top w:val="nil"/>
              <w:left w:val="nil"/>
              <w:bottom w:val="single" w:sz="4" w:space="0" w:color="auto"/>
              <w:right w:val="single" w:sz="4" w:space="0" w:color="auto"/>
            </w:tcBorders>
            <w:vAlign w:val="center"/>
          </w:tcPr>
          <w:p w14:paraId="5119F4F4" w14:textId="77777777" w:rsidR="00BA779F" w:rsidRPr="008372A9" w:rsidRDefault="00BA779F" w:rsidP="155E3B84">
            <w:pPr>
              <w:spacing w:after="120"/>
            </w:pPr>
          </w:p>
        </w:tc>
        <w:tc>
          <w:tcPr>
            <w:tcW w:w="1321" w:type="dxa"/>
            <w:tcBorders>
              <w:top w:val="nil"/>
              <w:left w:val="nil"/>
              <w:bottom w:val="single" w:sz="4" w:space="0" w:color="auto"/>
              <w:right w:val="single" w:sz="4" w:space="0" w:color="auto"/>
            </w:tcBorders>
            <w:vAlign w:val="center"/>
          </w:tcPr>
          <w:p w14:paraId="6BD7154C" w14:textId="77777777" w:rsidR="00BA779F" w:rsidRPr="008372A9" w:rsidRDefault="00BA779F" w:rsidP="155E3B84">
            <w:pPr>
              <w:spacing w:after="120"/>
            </w:pPr>
            <w:r>
              <w:t>x</w:t>
            </w:r>
          </w:p>
        </w:tc>
      </w:tr>
      <w:tr w:rsidR="00BA779F" w:rsidRPr="008372A9" w14:paraId="7456C990"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2F2C5E93" w14:textId="600110D8" w:rsidR="00BA779F" w:rsidRPr="008372A9" w:rsidRDefault="79109BF6" w:rsidP="155E3B84">
            <w:pPr>
              <w:spacing w:after="120"/>
              <w:rPr>
                <w:rFonts w:ascii="Aptos" w:eastAsia="Aptos" w:hAnsi="Aptos"/>
              </w:rPr>
            </w:pPr>
            <w:r w:rsidRPr="155E3B84">
              <w:rPr>
                <w:rFonts w:ascii="Aptos" w:eastAsia="Aptos" w:hAnsi="Aptos"/>
              </w:rPr>
              <w:t>Knowledge of issues affecting students in Scotland and developments in the Student Union and/or Higher Education sectors</w:t>
            </w:r>
          </w:p>
        </w:tc>
        <w:tc>
          <w:tcPr>
            <w:tcW w:w="1200" w:type="dxa"/>
            <w:tcBorders>
              <w:top w:val="nil"/>
              <w:left w:val="nil"/>
              <w:bottom w:val="single" w:sz="4" w:space="0" w:color="auto"/>
              <w:right w:val="single" w:sz="4" w:space="0" w:color="auto"/>
            </w:tcBorders>
            <w:vAlign w:val="center"/>
            <w:hideMark/>
          </w:tcPr>
          <w:p w14:paraId="5434FE53" w14:textId="77777777" w:rsidR="00BA779F" w:rsidRPr="008372A9" w:rsidRDefault="00BA779F" w:rsidP="155E3B84">
            <w:pPr>
              <w:spacing w:after="120"/>
            </w:pPr>
            <w:r>
              <w:t> </w:t>
            </w:r>
          </w:p>
        </w:tc>
        <w:tc>
          <w:tcPr>
            <w:tcW w:w="1321" w:type="dxa"/>
            <w:tcBorders>
              <w:top w:val="nil"/>
              <w:left w:val="nil"/>
              <w:bottom w:val="single" w:sz="4" w:space="0" w:color="auto"/>
              <w:right w:val="single" w:sz="4" w:space="0" w:color="auto"/>
            </w:tcBorders>
            <w:vAlign w:val="center"/>
            <w:hideMark/>
          </w:tcPr>
          <w:p w14:paraId="100D9697" w14:textId="77777777" w:rsidR="00BA779F" w:rsidRPr="008372A9" w:rsidRDefault="00BA779F" w:rsidP="155E3B84">
            <w:pPr>
              <w:spacing w:after="120"/>
            </w:pPr>
            <w:r>
              <w:t>x</w:t>
            </w:r>
          </w:p>
        </w:tc>
      </w:tr>
      <w:tr w:rsidR="00BA779F" w:rsidRPr="008372A9" w14:paraId="77850D7A" w14:textId="77777777" w:rsidTr="155E3B84">
        <w:trPr>
          <w:trHeight w:val="301"/>
        </w:trPr>
        <w:tc>
          <w:tcPr>
            <w:tcW w:w="9016" w:type="dxa"/>
            <w:gridSpan w:val="3"/>
            <w:tcBorders>
              <w:top w:val="nil"/>
              <w:left w:val="single" w:sz="4" w:space="0" w:color="auto"/>
              <w:bottom w:val="single" w:sz="4" w:space="0" w:color="auto"/>
              <w:right w:val="single" w:sz="4" w:space="0" w:color="auto"/>
            </w:tcBorders>
            <w:vAlign w:val="center"/>
            <w:hideMark/>
          </w:tcPr>
          <w:p w14:paraId="407F87AF" w14:textId="77777777" w:rsidR="00BA779F" w:rsidRPr="008372A9" w:rsidRDefault="00BA779F" w:rsidP="155E3B84">
            <w:pPr>
              <w:spacing w:after="120"/>
              <w:rPr>
                <w:rFonts w:ascii="Aptos" w:eastAsia="Aptos" w:hAnsi="Aptos"/>
                <w:b/>
                <w:bCs/>
              </w:rPr>
            </w:pPr>
            <w:r w:rsidRPr="155E3B84">
              <w:rPr>
                <w:rFonts w:ascii="Aptos" w:eastAsia="Aptos" w:hAnsi="Aptos"/>
                <w:b/>
                <w:bCs/>
              </w:rPr>
              <w:t xml:space="preserve">Skills and Abilities </w:t>
            </w:r>
          </w:p>
        </w:tc>
      </w:tr>
      <w:tr w:rsidR="00BA779F" w:rsidRPr="008372A9" w14:paraId="5B80A7D8"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37961C72" w14:textId="699B0E90" w:rsidR="3D6D7593" w:rsidRDefault="1A9073BD" w:rsidP="155E3B84">
            <w:pPr>
              <w:spacing w:after="120"/>
              <w:rPr>
                <w:rFonts w:ascii="Aptos" w:eastAsia="Aptos" w:hAnsi="Aptos"/>
              </w:rPr>
            </w:pPr>
            <w:r w:rsidRPr="155E3B84">
              <w:rPr>
                <w:rFonts w:ascii="Aptos" w:eastAsia="Aptos" w:hAnsi="Aptos"/>
              </w:rPr>
              <w:t>Strong organisational skills with the ability to manage multiple priorities and meet deadlines</w:t>
            </w:r>
          </w:p>
        </w:tc>
        <w:tc>
          <w:tcPr>
            <w:tcW w:w="1200" w:type="dxa"/>
            <w:tcBorders>
              <w:top w:val="nil"/>
              <w:left w:val="nil"/>
              <w:bottom w:val="single" w:sz="4" w:space="0" w:color="auto"/>
              <w:right w:val="single" w:sz="4" w:space="0" w:color="auto"/>
            </w:tcBorders>
            <w:vAlign w:val="center"/>
            <w:hideMark/>
          </w:tcPr>
          <w:p w14:paraId="5DBA34CF"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4B88D5D8" w14:textId="77777777" w:rsidR="00BA779F" w:rsidRPr="008372A9" w:rsidRDefault="00BA779F" w:rsidP="155E3B84">
            <w:pPr>
              <w:spacing w:after="120"/>
            </w:pPr>
            <w:r>
              <w:t xml:space="preserve"> </w:t>
            </w:r>
          </w:p>
        </w:tc>
      </w:tr>
      <w:tr w:rsidR="00BA779F" w:rsidRPr="008372A9" w14:paraId="514656A6"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235592EE" w14:textId="7617B3F8" w:rsidR="3D6D7593" w:rsidRDefault="1A9073BD" w:rsidP="155E3B84">
            <w:pPr>
              <w:spacing w:after="120"/>
              <w:rPr>
                <w:rFonts w:ascii="Aptos" w:eastAsia="Aptos" w:hAnsi="Aptos"/>
              </w:rPr>
            </w:pPr>
            <w:r w:rsidRPr="155E3B84">
              <w:rPr>
                <w:rFonts w:ascii="Aptos" w:eastAsia="Aptos" w:hAnsi="Aptos"/>
              </w:rPr>
              <w:t>Ability to work independently and as part of a team, using initiative and problem-solving skills</w:t>
            </w:r>
          </w:p>
        </w:tc>
        <w:tc>
          <w:tcPr>
            <w:tcW w:w="1200" w:type="dxa"/>
            <w:tcBorders>
              <w:top w:val="nil"/>
              <w:left w:val="nil"/>
              <w:bottom w:val="single" w:sz="4" w:space="0" w:color="auto"/>
              <w:right w:val="single" w:sz="4" w:space="0" w:color="auto"/>
            </w:tcBorders>
            <w:vAlign w:val="center"/>
            <w:hideMark/>
          </w:tcPr>
          <w:p w14:paraId="1D497DB1"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2767B98E" w14:textId="77777777" w:rsidR="00BA779F" w:rsidRPr="008372A9" w:rsidRDefault="00BA779F" w:rsidP="155E3B84">
            <w:pPr>
              <w:spacing w:after="120"/>
            </w:pPr>
            <w:r>
              <w:t xml:space="preserve"> </w:t>
            </w:r>
          </w:p>
        </w:tc>
      </w:tr>
      <w:tr w:rsidR="00BA779F" w:rsidRPr="008372A9" w14:paraId="17893EDF"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5467EAAC" w14:textId="16EB412E" w:rsidR="3D6D7593" w:rsidRDefault="1A9073BD" w:rsidP="155E3B84">
            <w:pPr>
              <w:spacing w:after="120"/>
              <w:rPr>
                <w:rFonts w:ascii="Aptos" w:eastAsia="Aptos" w:hAnsi="Aptos"/>
              </w:rPr>
            </w:pPr>
            <w:r w:rsidRPr="155E3B84">
              <w:rPr>
                <w:rFonts w:ascii="Aptos" w:eastAsia="Aptos" w:hAnsi="Aptos"/>
              </w:rPr>
              <w:t>Excellent communication and interpersonal skills, with the ability to engage effectively with students, staff, and external partners</w:t>
            </w:r>
          </w:p>
        </w:tc>
        <w:tc>
          <w:tcPr>
            <w:tcW w:w="1200" w:type="dxa"/>
            <w:tcBorders>
              <w:top w:val="nil"/>
              <w:left w:val="nil"/>
              <w:bottom w:val="single" w:sz="4" w:space="0" w:color="auto"/>
              <w:right w:val="single" w:sz="4" w:space="0" w:color="auto"/>
            </w:tcBorders>
            <w:vAlign w:val="center"/>
            <w:hideMark/>
          </w:tcPr>
          <w:p w14:paraId="7B031F20"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41CE0456" w14:textId="77777777" w:rsidR="00BA779F" w:rsidRPr="008372A9" w:rsidRDefault="00BA779F" w:rsidP="155E3B84">
            <w:pPr>
              <w:spacing w:after="120"/>
            </w:pPr>
            <w:r>
              <w:t xml:space="preserve"> </w:t>
            </w:r>
          </w:p>
        </w:tc>
      </w:tr>
      <w:tr w:rsidR="00BA779F" w:rsidRPr="008372A9" w14:paraId="775B5936"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222FE83C" w14:textId="1B0172C0" w:rsidR="00BA779F" w:rsidRPr="008372A9" w:rsidRDefault="318F0137" w:rsidP="155E3B84">
            <w:pPr>
              <w:spacing w:after="120"/>
              <w:rPr>
                <w:rFonts w:ascii="Aptos" w:eastAsia="Aptos" w:hAnsi="Aptos"/>
              </w:rPr>
            </w:pPr>
            <w:r w:rsidRPr="155E3B84">
              <w:rPr>
                <w:rFonts w:ascii="Aptos" w:eastAsia="Aptos" w:hAnsi="Aptos"/>
              </w:rPr>
              <w:t>Ability to design and organise initiatives that support and engage the student community</w:t>
            </w:r>
          </w:p>
        </w:tc>
        <w:tc>
          <w:tcPr>
            <w:tcW w:w="1200" w:type="dxa"/>
            <w:tcBorders>
              <w:top w:val="nil"/>
              <w:left w:val="nil"/>
              <w:bottom w:val="single" w:sz="4" w:space="0" w:color="auto"/>
              <w:right w:val="single" w:sz="4" w:space="0" w:color="auto"/>
            </w:tcBorders>
            <w:vAlign w:val="center"/>
            <w:hideMark/>
          </w:tcPr>
          <w:p w14:paraId="22ECFFDE" w14:textId="3D468946" w:rsidR="00BA779F" w:rsidRPr="008372A9" w:rsidRDefault="00BA779F" w:rsidP="155E3B84">
            <w:pPr>
              <w:spacing w:after="120"/>
            </w:pPr>
            <w:r>
              <w:t> </w:t>
            </w:r>
            <w:r w:rsidR="166F31E3">
              <w:t>x</w:t>
            </w:r>
          </w:p>
        </w:tc>
        <w:tc>
          <w:tcPr>
            <w:tcW w:w="1321" w:type="dxa"/>
            <w:tcBorders>
              <w:top w:val="nil"/>
              <w:left w:val="nil"/>
              <w:bottom w:val="single" w:sz="4" w:space="0" w:color="auto"/>
              <w:right w:val="single" w:sz="4" w:space="0" w:color="auto"/>
            </w:tcBorders>
            <w:vAlign w:val="center"/>
            <w:hideMark/>
          </w:tcPr>
          <w:p w14:paraId="7920B8B8" w14:textId="1FB6072C" w:rsidR="00BA779F" w:rsidRPr="008372A9" w:rsidRDefault="00BA779F" w:rsidP="155E3B84">
            <w:pPr>
              <w:spacing w:after="120"/>
            </w:pPr>
          </w:p>
        </w:tc>
      </w:tr>
      <w:tr w:rsidR="00BA779F" w:rsidRPr="008372A9" w14:paraId="299307C5"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067A5BE4" w14:textId="462DB1BC" w:rsidR="00BA779F" w:rsidRPr="008372A9" w:rsidRDefault="442B5BD8" w:rsidP="155E3B84">
            <w:pPr>
              <w:spacing w:after="120"/>
            </w:pPr>
            <w:r w:rsidRPr="155E3B84">
              <w:rPr>
                <w:rFonts w:ascii="Aptos" w:eastAsia="Aptos" w:hAnsi="Aptos"/>
              </w:rPr>
              <w:t>Strong IT skills including data management and usage of Microsoft Office</w:t>
            </w:r>
          </w:p>
        </w:tc>
        <w:tc>
          <w:tcPr>
            <w:tcW w:w="1200" w:type="dxa"/>
            <w:tcBorders>
              <w:top w:val="nil"/>
              <w:left w:val="nil"/>
              <w:bottom w:val="single" w:sz="4" w:space="0" w:color="auto"/>
              <w:right w:val="single" w:sz="4" w:space="0" w:color="auto"/>
            </w:tcBorders>
            <w:vAlign w:val="center"/>
            <w:hideMark/>
          </w:tcPr>
          <w:p w14:paraId="1F23E344" w14:textId="5DFA5330" w:rsidR="00BA779F" w:rsidRPr="008372A9" w:rsidRDefault="00BA779F" w:rsidP="155E3B84">
            <w:pPr>
              <w:spacing w:after="120"/>
            </w:pPr>
            <w:r>
              <w:t> </w:t>
            </w:r>
            <w:r w:rsidR="6D778332">
              <w:t>x</w:t>
            </w:r>
          </w:p>
        </w:tc>
        <w:tc>
          <w:tcPr>
            <w:tcW w:w="1321" w:type="dxa"/>
            <w:tcBorders>
              <w:top w:val="nil"/>
              <w:left w:val="nil"/>
              <w:bottom w:val="single" w:sz="4" w:space="0" w:color="auto"/>
              <w:right w:val="single" w:sz="4" w:space="0" w:color="auto"/>
            </w:tcBorders>
            <w:vAlign w:val="center"/>
            <w:hideMark/>
          </w:tcPr>
          <w:p w14:paraId="3ED26C56" w14:textId="51549249" w:rsidR="00BA779F" w:rsidRPr="008372A9" w:rsidRDefault="00BA779F" w:rsidP="155E3B84">
            <w:pPr>
              <w:spacing w:after="120"/>
            </w:pPr>
          </w:p>
        </w:tc>
      </w:tr>
      <w:tr w:rsidR="3D6D7593" w14:paraId="6EEC85F0" w14:textId="77777777" w:rsidTr="155E3B84">
        <w:trPr>
          <w:trHeight w:val="300"/>
        </w:trPr>
        <w:tc>
          <w:tcPr>
            <w:tcW w:w="6495" w:type="dxa"/>
            <w:tcBorders>
              <w:top w:val="nil"/>
              <w:left w:val="single" w:sz="4" w:space="0" w:color="auto"/>
              <w:bottom w:val="single" w:sz="4" w:space="0" w:color="auto"/>
              <w:right w:val="single" w:sz="4" w:space="0" w:color="auto"/>
            </w:tcBorders>
            <w:vAlign w:val="center"/>
            <w:hideMark/>
          </w:tcPr>
          <w:p w14:paraId="7AEDE198" w14:textId="558EC240" w:rsidR="5427FA34" w:rsidRDefault="56FFFDE0" w:rsidP="155E3B84">
            <w:pPr>
              <w:spacing w:after="120"/>
              <w:rPr>
                <w:rFonts w:ascii="Aptos" w:eastAsia="Aptos" w:hAnsi="Aptos"/>
              </w:rPr>
            </w:pPr>
            <w:r w:rsidRPr="155E3B84">
              <w:rPr>
                <w:rFonts w:ascii="Aptos" w:eastAsia="Aptos" w:hAnsi="Aptos"/>
              </w:rPr>
              <w:t>Ability to collect, analyse, and report on participation and impact data</w:t>
            </w:r>
          </w:p>
        </w:tc>
        <w:tc>
          <w:tcPr>
            <w:tcW w:w="1200" w:type="dxa"/>
            <w:tcBorders>
              <w:top w:val="nil"/>
              <w:left w:val="nil"/>
              <w:bottom w:val="single" w:sz="4" w:space="0" w:color="auto"/>
              <w:right w:val="single" w:sz="4" w:space="0" w:color="auto"/>
            </w:tcBorders>
            <w:vAlign w:val="center"/>
            <w:hideMark/>
          </w:tcPr>
          <w:p w14:paraId="2EF4F963" w14:textId="36E6603E" w:rsidR="4179009F" w:rsidRDefault="4179009F" w:rsidP="155E3B84">
            <w:pPr>
              <w:spacing w:after="120"/>
            </w:pPr>
          </w:p>
        </w:tc>
        <w:tc>
          <w:tcPr>
            <w:tcW w:w="1321" w:type="dxa"/>
            <w:tcBorders>
              <w:top w:val="nil"/>
              <w:left w:val="nil"/>
              <w:bottom w:val="single" w:sz="4" w:space="0" w:color="auto"/>
              <w:right w:val="single" w:sz="4" w:space="0" w:color="auto"/>
            </w:tcBorders>
            <w:vAlign w:val="center"/>
            <w:hideMark/>
          </w:tcPr>
          <w:p w14:paraId="6BB90B15" w14:textId="4246CEE8" w:rsidR="3D6D7593" w:rsidRDefault="69CD0EDB" w:rsidP="155E3B84">
            <w:pPr>
              <w:spacing w:after="120"/>
            </w:pPr>
            <w:r>
              <w:t>x</w:t>
            </w:r>
          </w:p>
        </w:tc>
      </w:tr>
      <w:tr w:rsidR="00BA779F" w:rsidRPr="008372A9" w14:paraId="29B2B1EF" w14:textId="77777777" w:rsidTr="155E3B84">
        <w:trPr>
          <w:trHeight w:val="301"/>
        </w:trPr>
        <w:tc>
          <w:tcPr>
            <w:tcW w:w="9016" w:type="dxa"/>
            <w:gridSpan w:val="3"/>
            <w:tcBorders>
              <w:top w:val="nil"/>
              <w:left w:val="single" w:sz="4" w:space="0" w:color="auto"/>
              <w:bottom w:val="single" w:sz="4" w:space="0" w:color="auto"/>
              <w:right w:val="single" w:sz="4" w:space="0" w:color="auto"/>
            </w:tcBorders>
            <w:vAlign w:val="center"/>
            <w:hideMark/>
          </w:tcPr>
          <w:p w14:paraId="089DD2F5" w14:textId="77777777" w:rsidR="00BA779F" w:rsidRPr="008372A9" w:rsidRDefault="00BA779F" w:rsidP="155E3B84">
            <w:pPr>
              <w:spacing w:after="120"/>
              <w:rPr>
                <w:rFonts w:ascii="Aptos" w:eastAsia="Aptos" w:hAnsi="Aptos"/>
                <w:b/>
                <w:bCs/>
              </w:rPr>
            </w:pPr>
            <w:r w:rsidRPr="155E3B84">
              <w:rPr>
                <w:rFonts w:ascii="Aptos" w:eastAsia="Aptos" w:hAnsi="Aptos"/>
                <w:b/>
                <w:bCs/>
              </w:rPr>
              <w:t xml:space="preserve">Personal Qualities  </w:t>
            </w:r>
          </w:p>
        </w:tc>
      </w:tr>
      <w:tr w:rsidR="00BA779F" w:rsidRPr="008372A9" w14:paraId="055A89B9"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5E83F3ED" w14:textId="5FD55F1B" w:rsidR="404F27D7" w:rsidRDefault="16EE27FE" w:rsidP="155E3B84">
            <w:pPr>
              <w:spacing w:after="120"/>
              <w:rPr>
                <w:rFonts w:ascii="Aptos" w:eastAsia="Aptos" w:hAnsi="Aptos"/>
              </w:rPr>
            </w:pPr>
            <w:r w:rsidRPr="155E3B84">
              <w:rPr>
                <w:rFonts w:ascii="Aptos" w:eastAsia="Aptos" w:hAnsi="Aptos"/>
              </w:rPr>
              <w:t>Enthusiastic and approachable, with a student-centred mindset</w:t>
            </w:r>
          </w:p>
        </w:tc>
        <w:tc>
          <w:tcPr>
            <w:tcW w:w="1200" w:type="dxa"/>
            <w:tcBorders>
              <w:top w:val="nil"/>
              <w:left w:val="nil"/>
              <w:bottom w:val="single" w:sz="4" w:space="0" w:color="auto"/>
              <w:right w:val="single" w:sz="4" w:space="0" w:color="auto"/>
            </w:tcBorders>
            <w:vAlign w:val="center"/>
            <w:hideMark/>
          </w:tcPr>
          <w:p w14:paraId="6BCE002A"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58E9331B" w14:textId="77777777" w:rsidR="00BA779F" w:rsidRPr="008372A9" w:rsidRDefault="00BA779F" w:rsidP="155E3B84">
            <w:pPr>
              <w:spacing w:after="120"/>
            </w:pPr>
            <w:r>
              <w:t xml:space="preserve"> </w:t>
            </w:r>
          </w:p>
        </w:tc>
      </w:tr>
      <w:tr w:rsidR="00BA779F" w:rsidRPr="008372A9" w14:paraId="64671743"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423C9732" w14:textId="5FCE2B6D" w:rsidR="404F27D7" w:rsidRDefault="16EE27FE" w:rsidP="155E3B84">
            <w:pPr>
              <w:spacing w:after="120"/>
              <w:rPr>
                <w:rFonts w:ascii="Aptos" w:eastAsia="Aptos" w:hAnsi="Aptos"/>
              </w:rPr>
            </w:pPr>
            <w:r w:rsidRPr="155E3B84">
              <w:rPr>
                <w:rFonts w:ascii="Aptos" w:eastAsia="Aptos" w:hAnsi="Aptos"/>
              </w:rPr>
              <w:t>Passionate about creating opportunities that enhance student learning, development, and experience</w:t>
            </w:r>
          </w:p>
        </w:tc>
        <w:tc>
          <w:tcPr>
            <w:tcW w:w="1200" w:type="dxa"/>
            <w:tcBorders>
              <w:top w:val="nil"/>
              <w:left w:val="nil"/>
              <w:bottom w:val="single" w:sz="4" w:space="0" w:color="auto"/>
              <w:right w:val="single" w:sz="4" w:space="0" w:color="auto"/>
            </w:tcBorders>
            <w:vAlign w:val="center"/>
            <w:hideMark/>
          </w:tcPr>
          <w:p w14:paraId="3C9CE6CA"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6A4E9997" w14:textId="77777777" w:rsidR="00BA779F" w:rsidRPr="008372A9" w:rsidRDefault="00BA779F" w:rsidP="155E3B84">
            <w:pPr>
              <w:spacing w:after="120"/>
            </w:pPr>
            <w:r>
              <w:t xml:space="preserve"> </w:t>
            </w:r>
          </w:p>
        </w:tc>
      </w:tr>
      <w:tr w:rsidR="00BA779F" w:rsidRPr="008372A9" w14:paraId="2C7DB55D"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1398C668" w14:textId="42438F73" w:rsidR="404F27D7" w:rsidRDefault="16EE27FE" w:rsidP="155E3B84">
            <w:pPr>
              <w:spacing w:after="120"/>
              <w:rPr>
                <w:rFonts w:ascii="Aptos" w:eastAsia="Aptos" w:hAnsi="Aptos"/>
              </w:rPr>
            </w:pPr>
            <w:r w:rsidRPr="155E3B84">
              <w:rPr>
                <w:rFonts w:ascii="Aptos" w:eastAsia="Aptos" w:hAnsi="Aptos"/>
              </w:rPr>
              <w:t>Proactive and adaptable, able to respond to changing priorities</w:t>
            </w:r>
          </w:p>
        </w:tc>
        <w:tc>
          <w:tcPr>
            <w:tcW w:w="1200" w:type="dxa"/>
            <w:tcBorders>
              <w:top w:val="nil"/>
              <w:left w:val="nil"/>
              <w:bottom w:val="single" w:sz="4" w:space="0" w:color="auto"/>
              <w:right w:val="single" w:sz="4" w:space="0" w:color="auto"/>
            </w:tcBorders>
            <w:vAlign w:val="center"/>
            <w:hideMark/>
          </w:tcPr>
          <w:p w14:paraId="72EC1096"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65453E8E" w14:textId="77777777" w:rsidR="00BA779F" w:rsidRPr="008372A9" w:rsidRDefault="00BA779F" w:rsidP="155E3B84">
            <w:pPr>
              <w:spacing w:after="120"/>
            </w:pPr>
            <w:r>
              <w:t> </w:t>
            </w:r>
          </w:p>
        </w:tc>
      </w:tr>
      <w:tr w:rsidR="00BA779F" w:rsidRPr="008372A9" w14:paraId="2E463431"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1A7C6B85" w14:textId="25703B32" w:rsidR="404F27D7" w:rsidRDefault="16EE27FE" w:rsidP="155E3B84">
            <w:pPr>
              <w:spacing w:after="120"/>
              <w:rPr>
                <w:rFonts w:ascii="Aptos" w:eastAsia="Aptos" w:hAnsi="Aptos"/>
              </w:rPr>
            </w:pPr>
            <w:r w:rsidRPr="155E3B84">
              <w:rPr>
                <w:rFonts w:ascii="Aptos" w:eastAsia="Aptos" w:hAnsi="Aptos"/>
              </w:rPr>
              <w:t>Collaborative and supportive, committed to working in partnership and engaging with people from diverse backgrounds and cultures</w:t>
            </w:r>
          </w:p>
        </w:tc>
        <w:tc>
          <w:tcPr>
            <w:tcW w:w="1200" w:type="dxa"/>
            <w:tcBorders>
              <w:top w:val="nil"/>
              <w:left w:val="nil"/>
              <w:bottom w:val="single" w:sz="4" w:space="0" w:color="auto"/>
              <w:right w:val="single" w:sz="4" w:space="0" w:color="auto"/>
            </w:tcBorders>
            <w:vAlign w:val="center"/>
            <w:hideMark/>
          </w:tcPr>
          <w:p w14:paraId="33946A1F"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5FB7EE84" w14:textId="77777777" w:rsidR="00BA779F" w:rsidRPr="008372A9" w:rsidRDefault="00BA779F" w:rsidP="155E3B84">
            <w:pPr>
              <w:spacing w:after="120"/>
            </w:pPr>
            <w:r>
              <w:t xml:space="preserve"> </w:t>
            </w:r>
          </w:p>
        </w:tc>
      </w:tr>
      <w:tr w:rsidR="00BA779F" w:rsidRPr="008372A9" w14:paraId="521F4147" w14:textId="77777777" w:rsidTr="155E3B84">
        <w:trPr>
          <w:trHeight w:val="301"/>
        </w:trPr>
        <w:tc>
          <w:tcPr>
            <w:tcW w:w="6495" w:type="dxa"/>
            <w:tcBorders>
              <w:top w:val="nil"/>
              <w:left w:val="single" w:sz="4" w:space="0" w:color="auto"/>
              <w:bottom w:val="single" w:sz="4" w:space="0" w:color="auto"/>
              <w:right w:val="single" w:sz="4" w:space="0" w:color="auto"/>
            </w:tcBorders>
            <w:vAlign w:val="center"/>
            <w:hideMark/>
          </w:tcPr>
          <w:p w14:paraId="55A1D33F" w14:textId="44E02BD1" w:rsidR="404F27D7" w:rsidRDefault="16EE27FE" w:rsidP="155E3B84">
            <w:pPr>
              <w:spacing w:after="120"/>
              <w:rPr>
                <w:rFonts w:ascii="Aptos" w:eastAsia="Aptos" w:hAnsi="Aptos"/>
              </w:rPr>
            </w:pPr>
            <w:r w:rsidRPr="155E3B84">
              <w:rPr>
                <w:rFonts w:ascii="Aptos" w:eastAsia="Aptos" w:hAnsi="Aptos"/>
              </w:rPr>
              <w:lastRenderedPageBreak/>
              <w:t>Commitment to equality, diversity, and inclusive practice</w:t>
            </w:r>
          </w:p>
        </w:tc>
        <w:tc>
          <w:tcPr>
            <w:tcW w:w="1200" w:type="dxa"/>
            <w:tcBorders>
              <w:top w:val="nil"/>
              <w:left w:val="nil"/>
              <w:bottom w:val="single" w:sz="4" w:space="0" w:color="auto"/>
              <w:right w:val="single" w:sz="4" w:space="0" w:color="auto"/>
            </w:tcBorders>
            <w:vAlign w:val="center"/>
            <w:hideMark/>
          </w:tcPr>
          <w:p w14:paraId="6421DED2" w14:textId="77777777" w:rsidR="00BA779F" w:rsidRPr="008372A9" w:rsidRDefault="00BA779F" w:rsidP="155E3B84">
            <w:pPr>
              <w:spacing w:after="120"/>
            </w:pPr>
            <w:r>
              <w:t>x</w:t>
            </w:r>
          </w:p>
        </w:tc>
        <w:tc>
          <w:tcPr>
            <w:tcW w:w="1321" w:type="dxa"/>
            <w:tcBorders>
              <w:top w:val="nil"/>
              <w:left w:val="nil"/>
              <w:bottom w:val="single" w:sz="4" w:space="0" w:color="auto"/>
              <w:right w:val="single" w:sz="4" w:space="0" w:color="auto"/>
            </w:tcBorders>
            <w:vAlign w:val="center"/>
            <w:hideMark/>
          </w:tcPr>
          <w:p w14:paraId="026E076B" w14:textId="77777777" w:rsidR="00BA779F" w:rsidRPr="008372A9" w:rsidRDefault="00BA779F" w:rsidP="155E3B84">
            <w:pPr>
              <w:spacing w:after="120"/>
            </w:pPr>
            <w:r>
              <w:t xml:space="preserve"> </w:t>
            </w:r>
          </w:p>
        </w:tc>
      </w:tr>
    </w:tbl>
    <w:p w14:paraId="14181D7C" w14:textId="77777777" w:rsidR="00BA779F" w:rsidRPr="008372A9" w:rsidRDefault="00BA779F" w:rsidP="00BA779F"/>
    <w:p w14:paraId="7C2FDC9C" w14:textId="77777777" w:rsidR="00BA779F" w:rsidRPr="008372A9" w:rsidRDefault="00BA779F" w:rsidP="00BA779F">
      <w:pPr>
        <w:rPr>
          <w:b/>
          <w:bCs/>
        </w:rPr>
      </w:pPr>
      <w:r w:rsidRPr="008372A9">
        <w:rPr>
          <w:b/>
          <w:bCs/>
        </w:rPr>
        <w:t>Other</w:t>
      </w:r>
    </w:p>
    <w:p w14:paraId="532F4036" w14:textId="17C19D47" w:rsidR="00BA779F" w:rsidRPr="008372A9" w:rsidRDefault="00BA779F" w:rsidP="00BA779F">
      <w:pPr>
        <w:numPr>
          <w:ilvl w:val="0"/>
          <w:numId w:val="7"/>
        </w:numPr>
        <w:spacing w:after="0"/>
      </w:pPr>
      <w:r>
        <w:t xml:space="preserve">The role is subject to a </w:t>
      </w:r>
      <w:r w:rsidR="2B895D2F">
        <w:t>4</w:t>
      </w:r>
      <w:r>
        <w:t xml:space="preserve">-month probationary period. </w:t>
      </w:r>
    </w:p>
    <w:p w14:paraId="56BF350D" w14:textId="77777777" w:rsidR="00BA779F" w:rsidRPr="008372A9" w:rsidRDefault="00BA779F" w:rsidP="00BA779F">
      <w:pPr>
        <w:numPr>
          <w:ilvl w:val="0"/>
          <w:numId w:val="7"/>
        </w:numPr>
        <w:spacing w:after="0"/>
      </w:pPr>
      <w:r w:rsidRPr="008372A9">
        <w:t>The post-holder will be eligible to join the Strath Union workplace pension scheme.</w:t>
      </w:r>
    </w:p>
    <w:p w14:paraId="006320F9" w14:textId="77777777" w:rsidR="00BA779F" w:rsidRPr="008372A9" w:rsidRDefault="00BA779F" w:rsidP="00BA779F">
      <w:pPr>
        <w:numPr>
          <w:ilvl w:val="0"/>
          <w:numId w:val="7"/>
        </w:numPr>
        <w:spacing w:after="0"/>
      </w:pPr>
      <w:r w:rsidRPr="008372A9">
        <w:t>The post may include weekend and occasional evening work.</w:t>
      </w:r>
    </w:p>
    <w:p w14:paraId="75F49D7C" w14:textId="77777777" w:rsidR="00BA779F" w:rsidRPr="008372A9" w:rsidRDefault="00BA779F" w:rsidP="00BA779F">
      <w:pPr>
        <w:numPr>
          <w:ilvl w:val="0"/>
          <w:numId w:val="7"/>
        </w:numPr>
        <w:spacing w:after="0"/>
      </w:pPr>
      <w:r w:rsidRPr="008372A9">
        <w:t>It is expected that the starting grade for this role would be 5.1.</w:t>
      </w:r>
    </w:p>
    <w:p w14:paraId="444AA49F" w14:textId="77777777" w:rsidR="00BA779F" w:rsidRPr="008372A9" w:rsidRDefault="00BA779F" w:rsidP="00BA779F">
      <w:pPr>
        <w:numPr>
          <w:ilvl w:val="0"/>
          <w:numId w:val="7"/>
        </w:numPr>
        <w:spacing w:after="0"/>
      </w:pPr>
      <w:r w:rsidRPr="008372A9">
        <w:t>31 days’ annual leave per year plus 11 public/bank/local holidays (pro rata as necessary).</w:t>
      </w:r>
    </w:p>
    <w:p w14:paraId="7E9A3250" w14:textId="625F7078" w:rsidR="00BA779F" w:rsidRDefault="00BA779F" w:rsidP="00BA779F">
      <w:pPr>
        <w:numPr>
          <w:ilvl w:val="0"/>
          <w:numId w:val="7"/>
        </w:numPr>
        <w:spacing w:after="0"/>
      </w:pPr>
      <w:r>
        <w:t>Hybrid working is available for this role – it is expected that the role holder will work from Strathclyde Students’ Union at least 3 day</w:t>
      </w:r>
      <w:r w:rsidR="7C995370">
        <w:t xml:space="preserve"> </w:t>
      </w:r>
      <w:r w:rsidR="40E817F7">
        <w:t>p</w:t>
      </w:r>
      <w:r>
        <w:t>er week</w:t>
      </w:r>
      <w:r w:rsidR="1438BD9F">
        <w:t xml:space="preserve"> (pro-rata)</w:t>
      </w:r>
      <w:r>
        <w:t>.</w:t>
      </w:r>
    </w:p>
    <w:p w14:paraId="7C891CFF" w14:textId="77777777" w:rsidR="00BA779F" w:rsidRPr="008372A9" w:rsidRDefault="00BA779F" w:rsidP="00BA779F">
      <w:pPr>
        <w:spacing w:after="0"/>
        <w:ind w:left="720"/>
      </w:pPr>
    </w:p>
    <w:p w14:paraId="332A5F3E" w14:textId="77777777" w:rsidR="00BA779F" w:rsidRPr="008372A9" w:rsidRDefault="00BA779F" w:rsidP="00BA779F">
      <w:pPr>
        <w:rPr>
          <w:b/>
          <w:bCs/>
        </w:rPr>
      </w:pPr>
      <w:r w:rsidRPr="008372A9">
        <w:rPr>
          <w:b/>
          <w:bCs/>
        </w:rPr>
        <w:t>Strathclyde Students’ Union is committed to promoting diversity and equality for all and welcomes applications from candidates of all backgrounds. We particularly welcome applications from applicants with disabilities, from ethnic minority backgrounds, and those with diverse sexualities or marginalised gender identities as these groups are underrepresented.</w:t>
      </w:r>
    </w:p>
    <w:p w14:paraId="7B94AA0E" w14:textId="77777777" w:rsidR="00BA779F" w:rsidRPr="008372A9" w:rsidRDefault="00BA779F" w:rsidP="00BA779F"/>
    <w:p w14:paraId="114CE7CE" w14:textId="77777777" w:rsidR="00BA779F" w:rsidRPr="008660EF" w:rsidRDefault="00BA779F" w:rsidP="00BA779F"/>
    <w:p w14:paraId="4F60838E" w14:textId="77777777" w:rsidR="009C3E73" w:rsidRDefault="009C3E73"/>
    <w:sectPr w:rsidR="009C3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911"/>
    <w:multiLevelType w:val="hybridMultilevel"/>
    <w:tmpl w:val="9EFC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35BC8"/>
    <w:multiLevelType w:val="multilevel"/>
    <w:tmpl w:val="9064F50A"/>
    <w:lvl w:ilvl="0">
      <w:start w:val="1"/>
      <w:numFmt w:val="decimal"/>
      <w:lvlText w:val="%1.0"/>
      <w:lvlJc w:val="left"/>
      <w:pPr>
        <w:ind w:left="360" w:hanging="360"/>
      </w:pPr>
      <w:rPr>
        <w:rFonts w:cstheme="minorHAnsi" w:hint="default"/>
      </w:rPr>
    </w:lvl>
    <w:lvl w:ilvl="1">
      <w:start w:val="1"/>
      <w:numFmt w:val="decimal"/>
      <w:lvlText w:val="%1.%2"/>
      <w:lvlJc w:val="left"/>
      <w:pPr>
        <w:ind w:left="1080" w:hanging="36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200" w:hanging="1440"/>
      </w:pPr>
      <w:rPr>
        <w:rFonts w:cstheme="minorHAnsi" w:hint="default"/>
      </w:rPr>
    </w:lvl>
  </w:abstractNum>
  <w:abstractNum w:abstractNumId="2" w15:restartNumberingAfterBreak="0">
    <w:nsid w:val="1B0A080E"/>
    <w:multiLevelType w:val="hybridMultilevel"/>
    <w:tmpl w:val="6F9AC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D15FAA"/>
    <w:multiLevelType w:val="hybridMultilevel"/>
    <w:tmpl w:val="9DE84888"/>
    <w:lvl w:ilvl="0" w:tplc="D63ECA00">
      <w:start w:val="1"/>
      <w:numFmt w:val="bullet"/>
      <w:lvlText w:val=""/>
      <w:lvlJc w:val="left"/>
      <w:pPr>
        <w:ind w:left="360" w:hanging="360"/>
      </w:pPr>
      <w:rPr>
        <w:rFonts w:ascii="Symbol" w:hAnsi="Symbol" w:hint="default"/>
      </w:rPr>
    </w:lvl>
    <w:lvl w:ilvl="1" w:tplc="E1727844">
      <w:start w:val="1"/>
      <w:numFmt w:val="bullet"/>
      <w:lvlText w:val="o"/>
      <w:lvlJc w:val="left"/>
      <w:pPr>
        <w:ind w:left="1080" w:hanging="360"/>
      </w:pPr>
      <w:rPr>
        <w:rFonts w:ascii="Courier New" w:hAnsi="Courier New" w:hint="default"/>
      </w:rPr>
    </w:lvl>
    <w:lvl w:ilvl="2" w:tplc="5B3CA472">
      <w:start w:val="1"/>
      <w:numFmt w:val="bullet"/>
      <w:lvlText w:val=""/>
      <w:lvlJc w:val="left"/>
      <w:pPr>
        <w:ind w:left="1800" w:hanging="360"/>
      </w:pPr>
      <w:rPr>
        <w:rFonts w:ascii="Wingdings" w:hAnsi="Wingdings" w:hint="default"/>
      </w:rPr>
    </w:lvl>
    <w:lvl w:ilvl="3" w:tplc="12C0C3D0">
      <w:start w:val="1"/>
      <w:numFmt w:val="bullet"/>
      <w:lvlText w:val=""/>
      <w:lvlJc w:val="left"/>
      <w:pPr>
        <w:ind w:left="2520" w:hanging="360"/>
      </w:pPr>
      <w:rPr>
        <w:rFonts w:ascii="Symbol" w:hAnsi="Symbol" w:hint="default"/>
      </w:rPr>
    </w:lvl>
    <w:lvl w:ilvl="4" w:tplc="A36CF9B8">
      <w:start w:val="1"/>
      <w:numFmt w:val="bullet"/>
      <w:lvlText w:val="o"/>
      <w:lvlJc w:val="left"/>
      <w:pPr>
        <w:ind w:left="3240" w:hanging="360"/>
      </w:pPr>
      <w:rPr>
        <w:rFonts w:ascii="Courier New" w:hAnsi="Courier New" w:hint="default"/>
      </w:rPr>
    </w:lvl>
    <w:lvl w:ilvl="5" w:tplc="C6F667C6">
      <w:start w:val="1"/>
      <w:numFmt w:val="bullet"/>
      <w:lvlText w:val=""/>
      <w:lvlJc w:val="left"/>
      <w:pPr>
        <w:ind w:left="3960" w:hanging="360"/>
      </w:pPr>
      <w:rPr>
        <w:rFonts w:ascii="Wingdings" w:hAnsi="Wingdings" w:hint="default"/>
      </w:rPr>
    </w:lvl>
    <w:lvl w:ilvl="6" w:tplc="77AC83E8">
      <w:start w:val="1"/>
      <w:numFmt w:val="bullet"/>
      <w:lvlText w:val=""/>
      <w:lvlJc w:val="left"/>
      <w:pPr>
        <w:ind w:left="4680" w:hanging="360"/>
      </w:pPr>
      <w:rPr>
        <w:rFonts w:ascii="Symbol" w:hAnsi="Symbol" w:hint="default"/>
      </w:rPr>
    </w:lvl>
    <w:lvl w:ilvl="7" w:tplc="F43AE2B4">
      <w:start w:val="1"/>
      <w:numFmt w:val="bullet"/>
      <w:lvlText w:val="o"/>
      <w:lvlJc w:val="left"/>
      <w:pPr>
        <w:ind w:left="5400" w:hanging="360"/>
      </w:pPr>
      <w:rPr>
        <w:rFonts w:ascii="Courier New" w:hAnsi="Courier New" w:hint="default"/>
      </w:rPr>
    </w:lvl>
    <w:lvl w:ilvl="8" w:tplc="945E405E">
      <w:start w:val="1"/>
      <w:numFmt w:val="bullet"/>
      <w:lvlText w:val=""/>
      <w:lvlJc w:val="left"/>
      <w:pPr>
        <w:ind w:left="6120" w:hanging="360"/>
      </w:pPr>
      <w:rPr>
        <w:rFonts w:ascii="Wingdings" w:hAnsi="Wingdings" w:hint="default"/>
      </w:rPr>
    </w:lvl>
  </w:abstractNum>
  <w:abstractNum w:abstractNumId="4" w15:restartNumberingAfterBreak="0">
    <w:nsid w:val="3C733576"/>
    <w:multiLevelType w:val="hybridMultilevel"/>
    <w:tmpl w:val="65B65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5B2292"/>
    <w:multiLevelType w:val="hybridMultilevel"/>
    <w:tmpl w:val="F00E04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DCA06E"/>
    <w:multiLevelType w:val="hybridMultilevel"/>
    <w:tmpl w:val="7C4CDCBC"/>
    <w:lvl w:ilvl="0" w:tplc="C38EC16A">
      <w:start w:val="1"/>
      <w:numFmt w:val="bullet"/>
      <w:lvlText w:val=""/>
      <w:lvlJc w:val="left"/>
      <w:pPr>
        <w:ind w:left="360" w:hanging="360"/>
      </w:pPr>
      <w:rPr>
        <w:rFonts w:ascii="Symbol" w:hAnsi="Symbol" w:hint="default"/>
      </w:rPr>
    </w:lvl>
    <w:lvl w:ilvl="1" w:tplc="7A00B9C6">
      <w:start w:val="1"/>
      <w:numFmt w:val="bullet"/>
      <w:lvlText w:val="o"/>
      <w:lvlJc w:val="left"/>
      <w:pPr>
        <w:ind w:left="1080" w:hanging="360"/>
      </w:pPr>
      <w:rPr>
        <w:rFonts w:ascii="Courier New" w:hAnsi="Courier New" w:hint="default"/>
      </w:rPr>
    </w:lvl>
    <w:lvl w:ilvl="2" w:tplc="6450D394">
      <w:start w:val="1"/>
      <w:numFmt w:val="bullet"/>
      <w:lvlText w:val=""/>
      <w:lvlJc w:val="left"/>
      <w:pPr>
        <w:ind w:left="1800" w:hanging="360"/>
      </w:pPr>
      <w:rPr>
        <w:rFonts w:ascii="Wingdings" w:hAnsi="Wingdings" w:hint="default"/>
      </w:rPr>
    </w:lvl>
    <w:lvl w:ilvl="3" w:tplc="55866342">
      <w:start w:val="1"/>
      <w:numFmt w:val="bullet"/>
      <w:lvlText w:val=""/>
      <w:lvlJc w:val="left"/>
      <w:pPr>
        <w:ind w:left="2520" w:hanging="360"/>
      </w:pPr>
      <w:rPr>
        <w:rFonts w:ascii="Symbol" w:hAnsi="Symbol" w:hint="default"/>
      </w:rPr>
    </w:lvl>
    <w:lvl w:ilvl="4" w:tplc="67A81110">
      <w:start w:val="1"/>
      <w:numFmt w:val="bullet"/>
      <w:lvlText w:val="o"/>
      <w:lvlJc w:val="left"/>
      <w:pPr>
        <w:ind w:left="3240" w:hanging="360"/>
      </w:pPr>
      <w:rPr>
        <w:rFonts w:ascii="Courier New" w:hAnsi="Courier New" w:hint="default"/>
      </w:rPr>
    </w:lvl>
    <w:lvl w:ilvl="5" w:tplc="029C9AA6">
      <w:start w:val="1"/>
      <w:numFmt w:val="bullet"/>
      <w:lvlText w:val=""/>
      <w:lvlJc w:val="left"/>
      <w:pPr>
        <w:ind w:left="3960" w:hanging="360"/>
      </w:pPr>
      <w:rPr>
        <w:rFonts w:ascii="Wingdings" w:hAnsi="Wingdings" w:hint="default"/>
      </w:rPr>
    </w:lvl>
    <w:lvl w:ilvl="6" w:tplc="7002944C">
      <w:start w:val="1"/>
      <w:numFmt w:val="bullet"/>
      <w:lvlText w:val=""/>
      <w:lvlJc w:val="left"/>
      <w:pPr>
        <w:ind w:left="4680" w:hanging="360"/>
      </w:pPr>
      <w:rPr>
        <w:rFonts w:ascii="Symbol" w:hAnsi="Symbol" w:hint="default"/>
      </w:rPr>
    </w:lvl>
    <w:lvl w:ilvl="7" w:tplc="90D0DD70">
      <w:start w:val="1"/>
      <w:numFmt w:val="bullet"/>
      <w:lvlText w:val="o"/>
      <w:lvlJc w:val="left"/>
      <w:pPr>
        <w:ind w:left="5400" w:hanging="360"/>
      </w:pPr>
      <w:rPr>
        <w:rFonts w:ascii="Courier New" w:hAnsi="Courier New" w:hint="default"/>
      </w:rPr>
    </w:lvl>
    <w:lvl w:ilvl="8" w:tplc="C5CE1170">
      <w:start w:val="1"/>
      <w:numFmt w:val="bullet"/>
      <w:lvlText w:val=""/>
      <w:lvlJc w:val="left"/>
      <w:pPr>
        <w:ind w:left="6120" w:hanging="360"/>
      </w:pPr>
      <w:rPr>
        <w:rFonts w:ascii="Wingdings" w:hAnsi="Wingdings" w:hint="default"/>
      </w:rPr>
    </w:lvl>
  </w:abstractNum>
  <w:abstractNum w:abstractNumId="7" w15:restartNumberingAfterBreak="0">
    <w:nsid w:val="56757E9C"/>
    <w:multiLevelType w:val="hybridMultilevel"/>
    <w:tmpl w:val="139A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32D9A"/>
    <w:multiLevelType w:val="hybridMultilevel"/>
    <w:tmpl w:val="05A4A19A"/>
    <w:lvl w:ilvl="0" w:tplc="3730879E">
      <w:start w:val="1"/>
      <w:numFmt w:val="bullet"/>
      <w:lvlText w:val=""/>
      <w:lvlJc w:val="left"/>
      <w:pPr>
        <w:ind w:left="360" w:hanging="360"/>
      </w:pPr>
      <w:rPr>
        <w:rFonts w:ascii="Symbol" w:hAnsi="Symbol" w:hint="default"/>
      </w:rPr>
    </w:lvl>
    <w:lvl w:ilvl="1" w:tplc="22CEB118">
      <w:start w:val="1"/>
      <w:numFmt w:val="bullet"/>
      <w:lvlText w:val="o"/>
      <w:lvlJc w:val="left"/>
      <w:pPr>
        <w:ind w:left="1080" w:hanging="360"/>
      </w:pPr>
      <w:rPr>
        <w:rFonts w:ascii="Courier New" w:hAnsi="Courier New" w:hint="default"/>
      </w:rPr>
    </w:lvl>
    <w:lvl w:ilvl="2" w:tplc="78B88ABA">
      <w:start w:val="1"/>
      <w:numFmt w:val="bullet"/>
      <w:lvlText w:val=""/>
      <w:lvlJc w:val="left"/>
      <w:pPr>
        <w:ind w:left="1800" w:hanging="360"/>
      </w:pPr>
      <w:rPr>
        <w:rFonts w:ascii="Wingdings" w:hAnsi="Wingdings" w:hint="default"/>
      </w:rPr>
    </w:lvl>
    <w:lvl w:ilvl="3" w:tplc="969C7CA8">
      <w:start w:val="1"/>
      <w:numFmt w:val="bullet"/>
      <w:lvlText w:val=""/>
      <w:lvlJc w:val="left"/>
      <w:pPr>
        <w:ind w:left="2520" w:hanging="360"/>
      </w:pPr>
      <w:rPr>
        <w:rFonts w:ascii="Symbol" w:hAnsi="Symbol" w:hint="default"/>
      </w:rPr>
    </w:lvl>
    <w:lvl w:ilvl="4" w:tplc="C3F65578">
      <w:start w:val="1"/>
      <w:numFmt w:val="bullet"/>
      <w:lvlText w:val="o"/>
      <w:lvlJc w:val="left"/>
      <w:pPr>
        <w:ind w:left="3240" w:hanging="360"/>
      </w:pPr>
      <w:rPr>
        <w:rFonts w:ascii="Courier New" w:hAnsi="Courier New" w:hint="default"/>
      </w:rPr>
    </w:lvl>
    <w:lvl w:ilvl="5" w:tplc="7090DBCA">
      <w:start w:val="1"/>
      <w:numFmt w:val="bullet"/>
      <w:lvlText w:val=""/>
      <w:lvlJc w:val="left"/>
      <w:pPr>
        <w:ind w:left="3960" w:hanging="360"/>
      </w:pPr>
      <w:rPr>
        <w:rFonts w:ascii="Wingdings" w:hAnsi="Wingdings" w:hint="default"/>
      </w:rPr>
    </w:lvl>
    <w:lvl w:ilvl="6" w:tplc="67963F1A">
      <w:start w:val="1"/>
      <w:numFmt w:val="bullet"/>
      <w:lvlText w:val=""/>
      <w:lvlJc w:val="left"/>
      <w:pPr>
        <w:ind w:left="4680" w:hanging="360"/>
      </w:pPr>
      <w:rPr>
        <w:rFonts w:ascii="Symbol" w:hAnsi="Symbol" w:hint="default"/>
      </w:rPr>
    </w:lvl>
    <w:lvl w:ilvl="7" w:tplc="2520A078">
      <w:start w:val="1"/>
      <w:numFmt w:val="bullet"/>
      <w:lvlText w:val="o"/>
      <w:lvlJc w:val="left"/>
      <w:pPr>
        <w:ind w:left="5400" w:hanging="360"/>
      </w:pPr>
      <w:rPr>
        <w:rFonts w:ascii="Courier New" w:hAnsi="Courier New" w:hint="default"/>
      </w:rPr>
    </w:lvl>
    <w:lvl w:ilvl="8" w:tplc="8AC4FA88">
      <w:start w:val="1"/>
      <w:numFmt w:val="bullet"/>
      <w:lvlText w:val=""/>
      <w:lvlJc w:val="left"/>
      <w:pPr>
        <w:ind w:left="6120" w:hanging="360"/>
      </w:pPr>
      <w:rPr>
        <w:rFonts w:ascii="Wingdings" w:hAnsi="Wingdings" w:hint="default"/>
      </w:rPr>
    </w:lvl>
  </w:abstractNum>
  <w:abstractNum w:abstractNumId="9" w15:restartNumberingAfterBreak="0">
    <w:nsid w:val="7EA7271C"/>
    <w:multiLevelType w:val="hybridMultilevel"/>
    <w:tmpl w:val="B142A38A"/>
    <w:lvl w:ilvl="0" w:tplc="8616A1BC">
      <w:start w:val="1"/>
      <w:numFmt w:val="bullet"/>
      <w:lvlText w:val="·"/>
      <w:lvlJc w:val="left"/>
      <w:pPr>
        <w:ind w:left="720" w:hanging="360"/>
      </w:pPr>
      <w:rPr>
        <w:rFonts w:ascii="Symbol" w:hAnsi="Symbol" w:hint="default"/>
      </w:rPr>
    </w:lvl>
    <w:lvl w:ilvl="1" w:tplc="2B9C87E6">
      <w:start w:val="1"/>
      <w:numFmt w:val="bullet"/>
      <w:lvlText w:val="o"/>
      <w:lvlJc w:val="left"/>
      <w:pPr>
        <w:ind w:left="1440" w:hanging="360"/>
      </w:pPr>
      <w:rPr>
        <w:rFonts w:ascii="Courier New" w:hAnsi="Courier New" w:hint="default"/>
      </w:rPr>
    </w:lvl>
    <w:lvl w:ilvl="2" w:tplc="F67CB3F0">
      <w:start w:val="1"/>
      <w:numFmt w:val="bullet"/>
      <w:lvlText w:val=""/>
      <w:lvlJc w:val="left"/>
      <w:pPr>
        <w:ind w:left="2160" w:hanging="360"/>
      </w:pPr>
      <w:rPr>
        <w:rFonts w:ascii="Wingdings" w:hAnsi="Wingdings" w:hint="default"/>
      </w:rPr>
    </w:lvl>
    <w:lvl w:ilvl="3" w:tplc="74A2E2D6">
      <w:start w:val="1"/>
      <w:numFmt w:val="bullet"/>
      <w:lvlText w:val=""/>
      <w:lvlJc w:val="left"/>
      <w:pPr>
        <w:ind w:left="2880" w:hanging="360"/>
      </w:pPr>
      <w:rPr>
        <w:rFonts w:ascii="Symbol" w:hAnsi="Symbol" w:hint="default"/>
      </w:rPr>
    </w:lvl>
    <w:lvl w:ilvl="4" w:tplc="C820FF86">
      <w:start w:val="1"/>
      <w:numFmt w:val="bullet"/>
      <w:lvlText w:val="o"/>
      <w:lvlJc w:val="left"/>
      <w:pPr>
        <w:ind w:left="3600" w:hanging="360"/>
      </w:pPr>
      <w:rPr>
        <w:rFonts w:ascii="Courier New" w:hAnsi="Courier New" w:hint="default"/>
      </w:rPr>
    </w:lvl>
    <w:lvl w:ilvl="5" w:tplc="4A061D86">
      <w:start w:val="1"/>
      <w:numFmt w:val="bullet"/>
      <w:lvlText w:val=""/>
      <w:lvlJc w:val="left"/>
      <w:pPr>
        <w:ind w:left="4320" w:hanging="360"/>
      </w:pPr>
      <w:rPr>
        <w:rFonts w:ascii="Wingdings" w:hAnsi="Wingdings" w:hint="default"/>
      </w:rPr>
    </w:lvl>
    <w:lvl w:ilvl="6" w:tplc="F6F0DD1E">
      <w:start w:val="1"/>
      <w:numFmt w:val="bullet"/>
      <w:lvlText w:val=""/>
      <w:lvlJc w:val="left"/>
      <w:pPr>
        <w:ind w:left="5040" w:hanging="360"/>
      </w:pPr>
      <w:rPr>
        <w:rFonts w:ascii="Symbol" w:hAnsi="Symbol" w:hint="default"/>
      </w:rPr>
    </w:lvl>
    <w:lvl w:ilvl="7" w:tplc="446EC268">
      <w:start w:val="1"/>
      <w:numFmt w:val="bullet"/>
      <w:lvlText w:val="o"/>
      <w:lvlJc w:val="left"/>
      <w:pPr>
        <w:ind w:left="5760" w:hanging="360"/>
      </w:pPr>
      <w:rPr>
        <w:rFonts w:ascii="Courier New" w:hAnsi="Courier New" w:hint="default"/>
      </w:rPr>
    </w:lvl>
    <w:lvl w:ilvl="8" w:tplc="B4326DEE">
      <w:start w:val="1"/>
      <w:numFmt w:val="bullet"/>
      <w:lvlText w:val=""/>
      <w:lvlJc w:val="left"/>
      <w:pPr>
        <w:ind w:left="6480" w:hanging="360"/>
      </w:pPr>
      <w:rPr>
        <w:rFonts w:ascii="Wingdings" w:hAnsi="Wingdings" w:hint="default"/>
      </w:rPr>
    </w:lvl>
  </w:abstractNum>
  <w:num w:numId="1" w16cid:durableId="1459303384">
    <w:abstractNumId w:val="8"/>
  </w:num>
  <w:num w:numId="2" w16cid:durableId="1927839231">
    <w:abstractNumId w:val="6"/>
  </w:num>
  <w:num w:numId="3" w16cid:durableId="1707752901">
    <w:abstractNumId w:val="3"/>
  </w:num>
  <w:num w:numId="4" w16cid:durableId="1382829607">
    <w:abstractNumId w:val="1"/>
  </w:num>
  <w:num w:numId="5" w16cid:durableId="1637177791">
    <w:abstractNumId w:val="0"/>
  </w:num>
  <w:num w:numId="6" w16cid:durableId="677149319">
    <w:abstractNumId w:val="7"/>
  </w:num>
  <w:num w:numId="7" w16cid:durableId="1921058007">
    <w:abstractNumId w:val="9"/>
  </w:num>
  <w:num w:numId="8" w16cid:durableId="2062973056">
    <w:abstractNumId w:val="4"/>
  </w:num>
  <w:num w:numId="9" w16cid:durableId="1716855393">
    <w:abstractNumId w:val="2"/>
  </w:num>
  <w:num w:numId="10" w16cid:durableId="1685979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9F"/>
    <w:rsid w:val="002F2C97"/>
    <w:rsid w:val="00411988"/>
    <w:rsid w:val="007C5E41"/>
    <w:rsid w:val="007E5B2C"/>
    <w:rsid w:val="009C3E73"/>
    <w:rsid w:val="00BA18A6"/>
    <w:rsid w:val="00BA779F"/>
    <w:rsid w:val="00C04D4C"/>
    <w:rsid w:val="00D34035"/>
    <w:rsid w:val="00D956C5"/>
    <w:rsid w:val="01857481"/>
    <w:rsid w:val="026B7921"/>
    <w:rsid w:val="043D4467"/>
    <w:rsid w:val="0524220A"/>
    <w:rsid w:val="06610B60"/>
    <w:rsid w:val="06949AC1"/>
    <w:rsid w:val="07B48395"/>
    <w:rsid w:val="08317BAB"/>
    <w:rsid w:val="08BD44C3"/>
    <w:rsid w:val="08FC8CD6"/>
    <w:rsid w:val="0BCE6169"/>
    <w:rsid w:val="0CCC6866"/>
    <w:rsid w:val="0D9FE0F2"/>
    <w:rsid w:val="0DDE8DF0"/>
    <w:rsid w:val="0EB2DB8F"/>
    <w:rsid w:val="0F6D9C6C"/>
    <w:rsid w:val="104FAB66"/>
    <w:rsid w:val="114E1699"/>
    <w:rsid w:val="11875BE5"/>
    <w:rsid w:val="11A0A51C"/>
    <w:rsid w:val="13E407AB"/>
    <w:rsid w:val="1438BD9F"/>
    <w:rsid w:val="1516F816"/>
    <w:rsid w:val="155E3B84"/>
    <w:rsid w:val="166F31E3"/>
    <w:rsid w:val="16A3A319"/>
    <w:rsid w:val="16EE27FE"/>
    <w:rsid w:val="185D34EE"/>
    <w:rsid w:val="18757C16"/>
    <w:rsid w:val="19CB5CEC"/>
    <w:rsid w:val="1A053EE0"/>
    <w:rsid w:val="1A9073BD"/>
    <w:rsid w:val="1ACD4732"/>
    <w:rsid w:val="1B6BD061"/>
    <w:rsid w:val="1BA4A7BC"/>
    <w:rsid w:val="1E02F1BF"/>
    <w:rsid w:val="1E06F39A"/>
    <w:rsid w:val="1E758961"/>
    <w:rsid w:val="1F71E568"/>
    <w:rsid w:val="1FCCB394"/>
    <w:rsid w:val="20212979"/>
    <w:rsid w:val="2059D584"/>
    <w:rsid w:val="21232C9C"/>
    <w:rsid w:val="244AADFB"/>
    <w:rsid w:val="25070643"/>
    <w:rsid w:val="25336CE3"/>
    <w:rsid w:val="28106B94"/>
    <w:rsid w:val="29DADC17"/>
    <w:rsid w:val="2AB5665E"/>
    <w:rsid w:val="2B895D2F"/>
    <w:rsid w:val="2C9F324F"/>
    <w:rsid w:val="2F97D1F5"/>
    <w:rsid w:val="2FE71FF8"/>
    <w:rsid w:val="318F0137"/>
    <w:rsid w:val="31C19960"/>
    <w:rsid w:val="328865BE"/>
    <w:rsid w:val="329CC305"/>
    <w:rsid w:val="33B0AF0F"/>
    <w:rsid w:val="345C8D5A"/>
    <w:rsid w:val="35CB3162"/>
    <w:rsid w:val="361F67AB"/>
    <w:rsid w:val="379B12EF"/>
    <w:rsid w:val="37B7C449"/>
    <w:rsid w:val="399D1614"/>
    <w:rsid w:val="39C41902"/>
    <w:rsid w:val="3A9B1003"/>
    <w:rsid w:val="3AAB3F04"/>
    <w:rsid w:val="3ACF0325"/>
    <w:rsid w:val="3B78C03A"/>
    <w:rsid w:val="3C30A603"/>
    <w:rsid w:val="3C57CE99"/>
    <w:rsid w:val="3CAF651C"/>
    <w:rsid w:val="3D3531F1"/>
    <w:rsid w:val="3D6D7593"/>
    <w:rsid w:val="3D948CC7"/>
    <w:rsid w:val="3E0B194B"/>
    <w:rsid w:val="3E458708"/>
    <w:rsid w:val="3F5B038B"/>
    <w:rsid w:val="3FB48FFE"/>
    <w:rsid w:val="404F27D7"/>
    <w:rsid w:val="40E817F7"/>
    <w:rsid w:val="4179009F"/>
    <w:rsid w:val="421A873F"/>
    <w:rsid w:val="43C55471"/>
    <w:rsid w:val="442B5BD8"/>
    <w:rsid w:val="44566976"/>
    <w:rsid w:val="449938ED"/>
    <w:rsid w:val="459498C2"/>
    <w:rsid w:val="45BD9EE3"/>
    <w:rsid w:val="46BDBE39"/>
    <w:rsid w:val="46DE4751"/>
    <w:rsid w:val="4739A97C"/>
    <w:rsid w:val="4787CB10"/>
    <w:rsid w:val="47CEACBA"/>
    <w:rsid w:val="4820B180"/>
    <w:rsid w:val="48EFB539"/>
    <w:rsid w:val="49E05364"/>
    <w:rsid w:val="4AA6EC07"/>
    <w:rsid w:val="4AB7E04B"/>
    <w:rsid w:val="4BE479CE"/>
    <w:rsid w:val="4CB9961C"/>
    <w:rsid w:val="4D4CC97D"/>
    <w:rsid w:val="4E11E4B6"/>
    <w:rsid w:val="4E43B628"/>
    <w:rsid w:val="4EA109A6"/>
    <w:rsid w:val="4EA31600"/>
    <w:rsid w:val="4F415B49"/>
    <w:rsid w:val="50107506"/>
    <w:rsid w:val="50A9C6DC"/>
    <w:rsid w:val="513F9691"/>
    <w:rsid w:val="51B45D09"/>
    <w:rsid w:val="5200E270"/>
    <w:rsid w:val="530C3982"/>
    <w:rsid w:val="53230666"/>
    <w:rsid w:val="536D6A5F"/>
    <w:rsid w:val="538E46CF"/>
    <w:rsid w:val="5427FA34"/>
    <w:rsid w:val="544D508E"/>
    <w:rsid w:val="54845A4B"/>
    <w:rsid w:val="54C45E77"/>
    <w:rsid w:val="55FA4568"/>
    <w:rsid w:val="55FFECC7"/>
    <w:rsid w:val="5639F721"/>
    <w:rsid w:val="56FFFDE0"/>
    <w:rsid w:val="587FF3F8"/>
    <w:rsid w:val="5A4C8C27"/>
    <w:rsid w:val="5AF8FC2B"/>
    <w:rsid w:val="5C27F9A2"/>
    <w:rsid w:val="5C2CF0DE"/>
    <w:rsid w:val="5D9127A3"/>
    <w:rsid w:val="5DA0169B"/>
    <w:rsid w:val="5EBC5698"/>
    <w:rsid w:val="5F0E9E4A"/>
    <w:rsid w:val="5FEF26E6"/>
    <w:rsid w:val="60CD1FB6"/>
    <w:rsid w:val="60D0ED13"/>
    <w:rsid w:val="617FA3D0"/>
    <w:rsid w:val="61CF343F"/>
    <w:rsid w:val="628137A0"/>
    <w:rsid w:val="63E15B54"/>
    <w:rsid w:val="66846512"/>
    <w:rsid w:val="67FEB2F5"/>
    <w:rsid w:val="692158E5"/>
    <w:rsid w:val="69BD1961"/>
    <w:rsid w:val="69CD0EDB"/>
    <w:rsid w:val="69D85910"/>
    <w:rsid w:val="6B2A843C"/>
    <w:rsid w:val="6BB4F8BC"/>
    <w:rsid w:val="6BCF8A10"/>
    <w:rsid w:val="6D27D3A0"/>
    <w:rsid w:val="6D6AAD7E"/>
    <w:rsid w:val="6D7258FD"/>
    <w:rsid w:val="6D778332"/>
    <w:rsid w:val="6DF4C4DC"/>
    <w:rsid w:val="6E878A7E"/>
    <w:rsid w:val="6F491889"/>
    <w:rsid w:val="7022E934"/>
    <w:rsid w:val="70C1E176"/>
    <w:rsid w:val="70F71D22"/>
    <w:rsid w:val="71FA8102"/>
    <w:rsid w:val="723CA8CF"/>
    <w:rsid w:val="72B24468"/>
    <w:rsid w:val="73B9BF15"/>
    <w:rsid w:val="74942A63"/>
    <w:rsid w:val="74C2CE7C"/>
    <w:rsid w:val="76FB8AB1"/>
    <w:rsid w:val="77386401"/>
    <w:rsid w:val="790C782D"/>
    <w:rsid w:val="79109BF6"/>
    <w:rsid w:val="79EB043B"/>
    <w:rsid w:val="7A11699E"/>
    <w:rsid w:val="7A1A1950"/>
    <w:rsid w:val="7AEECB60"/>
    <w:rsid w:val="7C0041DF"/>
    <w:rsid w:val="7C7DF0E0"/>
    <w:rsid w:val="7C995370"/>
    <w:rsid w:val="7D30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D887"/>
  <w15:chartTrackingRefBased/>
  <w15:docId w15:val="{10681C88-A7A8-4ED3-BC8B-8E6614BA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9F"/>
  </w:style>
  <w:style w:type="paragraph" w:styleId="Heading1">
    <w:name w:val="heading 1"/>
    <w:basedOn w:val="Normal"/>
    <w:next w:val="Normal"/>
    <w:link w:val="Heading1Char"/>
    <w:uiPriority w:val="9"/>
    <w:qFormat/>
    <w:rsid w:val="00BA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9F"/>
    <w:rPr>
      <w:rFonts w:eastAsiaTheme="majorEastAsia" w:cstheme="majorBidi"/>
      <w:color w:val="272727" w:themeColor="text1" w:themeTint="D8"/>
    </w:rPr>
  </w:style>
  <w:style w:type="paragraph" w:styleId="Title">
    <w:name w:val="Title"/>
    <w:basedOn w:val="Normal"/>
    <w:next w:val="Normal"/>
    <w:link w:val="TitleChar"/>
    <w:uiPriority w:val="10"/>
    <w:qFormat/>
    <w:rsid w:val="00BA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9F"/>
    <w:pPr>
      <w:spacing w:before="160"/>
      <w:jc w:val="center"/>
    </w:pPr>
    <w:rPr>
      <w:i/>
      <w:iCs/>
      <w:color w:val="404040" w:themeColor="text1" w:themeTint="BF"/>
    </w:rPr>
  </w:style>
  <w:style w:type="character" w:customStyle="1" w:styleId="QuoteChar">
    <w:name w:val="Quote Char"/>
    <w:basedOn w:val="DefaultParagraphFont"/>
    <w:link w:val="Quote"/>
    <w:uiPriority w:val="29"/>
    <w:rsid w:val="00BA779F"/>
    <w:rPr>
      <w:i/>
      <w:iCs/>
      <w:color w:val="404040" w:themeColor="text1" w:themeTint="BF"/>
    </w:rPr>
  </w:style>
  <w:style w:type="paragraph" w:styleId="ListParagraph">
    <w:name w:val="List Paragraph"/>
    <w:basedOn w:val="Normal"/>
    <w:uiPriority w:val="34"/>
    <w:qFormat/>
    <w:rsid w:val="00BA779F"/>
    <w:pPr>
      <w:ind w:left="720"/>
      <w:contextualSpacing/>
    </w:pPr>
  </w:style>
  <w:style w:type="character" w:styleId="IntenseEmphasis">
    <w:name w:val="Intense Emphasis"/>
    <w:basedOn w:val="DefaultParagraphFont"/>
    <w:uiPriority w:val="21"/>
    <w:qFormat/>
    <w:rsid w:val="00BA779F"/>
    <w:rPr>
      <w:i/>
      <w:iCs/>
      <w:color w:val="0F4761" w:themeColor="accent1" w:themeShade="BF"/>
    </w:rPr>
  </w:style>
  <w:style w:type="paragraph" w:styleId="IntenseQuote">
    <w:name w:val="Intense Quote"/>
    <w:basedOn w:val="Normal"/>
    <w:next w:val="Normal"/>
    <w:link w:val="IntenseQuoteChar"/>
    <w:uiPriority w:val="30"/>
    <w:qFormat/>
    <w:rsid w:val="00BA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79F"/>
    <w:rPr>
      <w:i/>
      <w:iCs/>
      <w:color w:val="0F4761" w:themeColor="accent1" w:themeShade="BF"/>
    </w:rPr>
  </w:style>
  <w:style w:type="character" w:styleId="IntenseReference">
    <w:name w:val="Intense Reference"/>
    <w:basedOn w:val="DefaultParagraphFont"/>
    <w:uiPriority w:val="32"/>
    <w:qFormat/>
    <w:rsid w:val="00BA779F"/>
    <w:rPr>
      <w:b/>
      <w:bCs/>
      <w:smallCaps/>
      <w:color w:val="0F4761" w:themeColor="accent1" w:themeShade="BF"/>
      <w:spacing w:val="5"/>
    </w:rPr>
  </w:style>
  <w:style w:type="table" w:styleId="TableGrid">
    <w:name w:val="Table Grid"/>
    <w:basedOn w:val="TableNormal"/>
    <w:uiPriority w:val="39"/>
    <w:rsid w:val="00BA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5883</Characters>
  <Application>Microsoft Office Word</Application>
  <DocSecurity>4</DocSecurity>
  <Lines>168</Lines>
  <Paragraphs>108</Paragraphs>
  <ScaleCrop>false</ScaleCrop>
  <Company>University of Strathclyde</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Howes</dc:creator>
  <cp:keywords/>
  <dc:description/>
  <cp:lastModifiedBy>Leo Howes</cp:lastModifiedBy>
  <cp:revision>2</cp:revision>
  <dcterms:created xsi:type="dcterms:W3CDTF">2025-10-09T14:09:00Z</dcterms:created>
  <dcterms:modified xsi:type="dcterms:W3CDTF">2025-10-09T14:09:00Z</dcterms:modified>
</cp:coreProperties>
</file>