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4210"/>
        <w:gridCol w:w="5428"/>
      </w:tblGrid>
      <w:tr w:rsidR="00B42E2B" w14:paraId="1FCE8909" w14:textId="77777777" w:rsidTr="0037068E">
        <w:trPr>
          <w:cantSplit/>
          <w:trHeight w:val="2266"/>
        </w:trPr>
        <w:tc>
          <w:tcPr>
            <w:tcW w:w="4261" w:type="dxa"/>
            <w:vAlign w:val="center"/>
          </w:tcPr>
          <w:p w14:paraId="596CF392" w14:textId="77777777" w:rsidR="00B42E2B" w:rsidRPr="001551FC" w:rsidRDefault="00B42E2B" w:rsidP="0037068E">
            <w:pPr>
              <w:rPr>
                <w:rFonts w:ascii="Arial" w:hAnsi="Arial" w:cs="Arial"/>
                <w:b/>
                <w:bCs/>
              </w:rPr>
            </w:pPr>
            <w:r w:rsidRPr="001551FC">
              <w:rPr>
                <w:rFonts w:ascii="Arial" w:hAnsi="Arial" w:cs="Arial"/>
                <w:b/>
                <w:bCs/>
              </w:rPr>
              <w:t>JOB DESCRIPTION</w:t>
            </w:r>
          </w:p>
          <w:p w14:paraId="43C91DFA" w14:textId="77777777" w:rsidR="00B42E2B" w:rsidRDefault="00B42E2B" w:rsidP="0037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86" w:type="dxa"/>
          </w:tcPr>
          <w:p w14:paraId="158FD5EA" w14:textId="3468B5FE" w:rsidR="00B42E2B" w:rsidRDefault="009F1C9F">
            <w:pPr>
              <w:jc w:val="right"/>
            </w:pPr>
            <w:r>
              <w:rPr>
                <w:b/>
                <w:bCs/>
                <w:noProof/>
                <w:sz w:val="40"/>
              </w:rPr>
              <w:drawing>
                <wp:inline distT="0" distB="0" distL="0" distR="0" wp14:anchorId="6479AF29" wp14:editId="7EDA4970">
                  <wp:extent cx="1600200" cy="1514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E4088" w14:textId="77777777" w:rsidR="00B42E2B" w:rsidRDefault="00B42E2B">
            <w:pPr>
              <w:rPr>
                <w:rFonts w:ascii="Arial" w:hAnsi="Arial" w:cs="Arial"/>
                <w:sz w:val="22"/>
              </w:rPr>
            </w:pPr>
          </w:p>
        </w:tc>
      </w:tr>
      <w:tr w:rsidR="00B42E2B" w14:paraId="5E781206" w14:textId="77777777" w:rsidTr="0037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1" w:type="dxa"/>
          </w:tcPr>
          <w:p w14:paraId="516BD9C3" w14:textId="77777777" w:rsidR="00B42E2B" w:rsidRDefault="00B42E2B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Job Title:</w:t>
            </w:r>
          </w:p>
        </w:tc>
        <w:tc>
          <w:tcPr>
            <w:tcW w:w="5486" w:type="dxa"/>
          </w:tcPr>
          <w:p w14:paraId="318DF039" w14:textId="41D42124" w:rsidR="00B42E2B" w:rsidRDefault="00B42E2B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Head of Individual Giving</w:t>
            </w:r>
            <w:r w:rsidR="00693F9D">
              <w:rPr>
                <w:b w:val="0"/>
                <w:bCs w:val="0"/>
              </w:rPr>
              <w:t xml:space="preserve"> (maternity cover)</w:t>
            </w:r>
          </w:p>
          <w:p w14:paraId="2D458124" w14:textId="77777777" w:rsidR="00B42E2B" w:rsidRDefault="00B42E2B">
            <w:pPr>
              <w:tabs>
                <w:tab w:val="left" w:pos="0"/>
              </w:tabs>
              <w:rPr>
                <w:rFonts w:ascii="Arial" w:hAnsi="Arial" w:cs="Arial"/>
                <w:sz w:val="22"/>
              </w:rPr>
            </w:pPr>
          </w:p>
        </w:tc>
      </w:tr>
      <w:tr w:rsidR="00B42E2B" w14:paraId="57AD046C" w14:textId="77777777" w:rsidTr="0037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1" w:type="dxa"/>
          </w:tcPr>
          <w:p w14:paraId="3F58691D" w14:textId="77777777" w:rsidR="00B42E2B" w:rsidRDefault="00B42E2B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Responsible to:</w:t>
            </w:r>
          </w:p>
        </w:tc>
        <w:tc>
          <w:tcPr>
            <w:tcW w:w="5486" w:type="dxa"/>
          </w:tcPr>
          <w:p w14:paraId="3DC55DD2" w14:textId="735E98BD" w:rsidR="00B42E2B" w:rsidRDefault="00B42E2B" w:rsidP="0007566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Director of </w:t>
            </w:r>
            <w:r w:rsidR="005E493B">
              <w:rPr>
                <w:rFonts w:ascii="Arial" w:hAnsi="Arial" w:cs="Arial"/>
                <w:sz w:val="22"/>
              </w:rPr>
              <w:t>Development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42E2B" w14:paraId="4AA09DCE" w14:textId="77777777" w:rsidTr="0037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1" w:type="dxa"/>
          </w:tcPr>
          <w:p w14:paraId="238F99D9" w14:textId="77777777" w:rsidR="00B42E2B" w:rsidRDefault="00B42E2B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Responsible for:</w:t>
            </w:r>
          </w:p>
        </w:tc>
        <w:tc>
          <w:tcPr>
            <w:tcW w:w="5486" w:type="dxa"/>
          </w:tcPr>
          <w:p w14:paraId="570DE1E9" w14:textId="77777777" w:rsidR="00B42E2B" w:rsidRDefault="001A4702" w:rsidP="001A47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Individual Giving team</w:t>
            </w:r>
          </w:p>
        </w:tc>
      </w:tr>
      <w:tr w:rsidR="00B42E2B" w14:paraId="7874EA69" w14:textId="77777777" w:rsidTr="0037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1" w:type="dxa"/>
          </w:tcPr>
          <w:p w14:paraId="0ED2D2D6" w14:textId="77777777" w:rsidR="00B42E2B" w:rsidRDefault="00B42E2B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Location:   </w:t>
            </w:r>
          </w:p>
        </w:tc>
        <w:tc>
          <w:tcPr>
            <w:tcW w:w="5486" w:type="dxa"/>
          </w:tcPr>
          <w:p w14:paraId="48EF1DE7" w14:textId="77777777" w:rsidR="00B42E2B" w:rsidRDefault="00B42E2B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Elmbank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Crescent, Glasgow</w:t>
            </w:r>
          </w:p>
          <w:p w14:paraId="185B0FAC" w14:textId="77777777" w:rsidR="00B42E2B" w:rsidRDefault="00B42E2B">
            <w:pPr>
              <w:rPr>
                <w:rFonts w:ascii="Arial" w:hAnsi="Arial" w:cs="Arial"/>
                <w:sz w:val="22"/>
              </w:rPr>
            </w:pPr>
          </w:p>
        </w:tc>
      </w:tr>
    </w:tbl>
    <w:p w14:paraId="3851AF70" w14:textId="77777777" w:rsidR="00B42E2B" w:rsidRDefault="00B42E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B42E2B" w14:paraId="49FF2636" w14:textId="77777777" w:rsidTr="0037068E">
        <w:trPr>
          <w:cantSplit/>
        </w:trPr>
        <w:tc>
          <w:tcPr>
            <w:tcW w:w="9747" w:type="dxa"/>
          </w:tcPr>
          <w:p w14:paraId="30C427BE" w14:textId="77777777" w:rsidR="00B42E2B" w:rsidRDefault="00B42E2B">
            <w:pPr>
              <w:pStyle w:val="Heading1"/>
              <w:keepNext w:val="0"/>
              <w:widowControl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val="en-GB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br w:type="page"/>
            </w:r>
            <w:r>
              <w:t>Main purpose of job</w:t>
            </w:r>
          </w:p>
          <w:p w14:paraId="70356582" w14:textId="77777777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4B8422FD" w14:textId="205E56A1" w:rsidR="00B42E2B" w:rsidRDefault="00B42E2B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/>
                <w:sz w:val="22"/>
              </w:rPr>
              <w:t xml:space="preserve">support Scottish Opera in achieving its objectives by leading the company’s individual and major gift fundraising </w:t>
            </w:r>
            <w:r w:rsidR="001F3B3A">
              <w:rPr>
                <w:rFonts w:ascii="Arial" w:hAnsi="Arial"/>
                <w:sz w:val="22"/>
              </w:rPr>
              <w:t>programme</w:t>
            </w:r>
            <w:r w:rsidR="00057BE5">
              <w:rPr>
                <w:rFonts w:ascii="Arial" w:hAnsi="Arial"/>
                <w:sz w:val="22"/>
              </w:rPr>
              <w:t xml:space="preserve">. The Company’s target is to raise </w:t>
            </w:r>
            <w:r w:rsidR="008138B8">
              <w:rPr>
                <w:rFonts w:ascii="Arial" w:hAnsi="Arial"/>
                <w:sz w:val="22"/>
              </w:rPr>
              <w:t xml:space="preserve">over </w:t>
            </w:r>
            <w:r w:rsidR="00057BE5">
              <w:rPr>
                <w:rFonts w:ascii="Arial" w:hAnsi="Arial"/>
                <w:sz w:val="22"/>
              </w:rPr>
              <w:t>£</w:t>
            </w:r>
            <w:r w:rsidR="00A37A0E">
              <w:rPr>
                <w:rFonts w:ascii="Arial" w:hAnsi="Arial"/>
                <w:sz w:val="22"/>
              </w:rPr>
              <w:t>1</w:t>
            </w:r>
            <w:r w:rsidR="00C22B3D">
              <w:rPr>
                <w:rFonts w:ascii="Arial" w:hAnsi="Arial"/>
                <w:sz w:val="22"/>
              </w:rPr>
              <w:t>,000</w:t>
            </w:r>
            <w:r w:rsidR="00057BE5">
              <w:rPr>
                <w:rFonts w:ascii="Arial" w:hAnsi="Arial"/>
                <w:sz w:val="22"/>
              </w:rPr>
              <w:t xml:space="preserve">,000 from </w:t>
            </w:r>
            <w:r w:rsidR="00F03361">
              <w:rPr>
                <w:rFonts w:ascii="Arial" w:hAnsi="Arial"/>
                <w:sz w:val="22"/>
              </w:rPr>
              <w:t>t</w:t>
            </w:r>
            <w:r w:rsidR="00057BE5">
              <w:rPr>
                <w:rFonts w:ascii="Arial" w:hAnsi="Arial"/>
                <w:sz w:val="22"/>
              </w:rPr>
              <w:t xml:space="preserve">his source </w:t>
            </w:r>
            <w:r w:rsidR="008138B8">
              <w:rPr>
                <w:rFonts w:ascii="Arial" w:hAnsi="Arial"/>
                <w:sz w:val="22"/>
              </w:rPr>
              <w:t>each</w:t>
            </w:r>
            <w:r w:rsidR="00057BE5">
              <w:rPr>
                <w:rFonts w:ascii="Arial" w:hAnsi="Arial"/>
                <w:sz w:val="22"/>
              </w:rPr>
              <w:t xml:space="preserve"> financial year, from a combination of established major donors</w:t>
            </w:r>
            <w:r w:rsidR="00F03361">
              <w:rPr>
                <w:rFonts w:ascii="Arial" w:hAnsi="Arial"/>
                <w:sz w:val="22"/>
              </w:rPr>
              <w:t>,</w:t>
            </w:r>
            <w:r w:rsidR="00057BE5">
              <w:rPr>
                <w:rFonts w:ascii="Arial" w:hAnsi="Arial"/>
                <w:sz w:val="22"/>
              </w:rPr>
              <w:t xml:space="preserve"> annual giving circles and new</w:t>
            </w:r>
            <w:r w:rsidR="00835F1C">
              <w:rPr>
                <w:rFonts w:ascii="Arial" w:hAnsi="Arial"/>
                <w:sz w:val="22"/>
              </w:rPr>
              <w:t xml:space="preserve"> </w:t>
            </w:r>
            <w:r w:rsidR="00057BE5">
              <w:rPr>
                <w:rFonts w:ascii="Arial" w:hAnsi="Arial"/>
                <w:sz w:val="22"/>
              </w:rPr>
              <w:t>sources.</w:t>
            </w:r>
          </w:p>
          <w:p w14:paraId="273F1A01" w14:textId="77777777" w:rsidR="00B42E2B" w:rsidRDefault="00B42E2B">
            <w:pPr>
              <w:widowControl w:val="0"/>
              <w:rPr>
                <w:rFonts w:ascii="Arial" w:hAnsi="Arial"/>
                <w:sz w:val="22"/>
              </w:rPr>
            </w:pPr>
          </w:p>
          <w:p w14:paraId="3AD566E4" w14:textId="7982CE26" w:rsidR="006D5E4D" w:rsidRDefault="001F3B3A" w:rsidP="008138B8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post holder will, in conjunction with the Director of </w:t>
            </w:r>
            <w:r w:rsidR="00C22B3D">
              <w:rPr>
                <w:rFonts w:ascii="Arial" w:hAnsi="Arial"/>
                <w:sz w:val="22"/>
              </w:rPr>
              <w:t>Development</w:t>
            </w:r>
            <w:r>
              <w:rPr>
                <w:rFonts w:ascii="Arial" w:hAnsi="Arial"/>
                <w:sz w:val="22"/>
              </w:rPr>
              <w:t>, set our Individual Giving strategy and will p</w:t>
            </w:r>
            <w:r w:rsidR="00B42E2B">
              <w:rPr>
                <w:rFonts w:ascii="Arial" w:hAnsi="Arial"/>
                <w:sz w:val="22"/>
              </w:rPr>
              <w:t xml:space="preserve">ersonally </w:t>
            </w:r>
            <w:r>
              <w:rPr>
                <w:rFonts w:ascii="Arial" w:hAnsi="Arial"/>
                <w:sz w:val="22"/>
              </w:rPr>
              <w:t xml:space="preserve">solicit gifts and steward key donors, whilst </w:t>
            </w:r>
            <w:r w:rsidR="00B42E2B">
              <w:rPr>
                <w:rFonts w:ascii="Arial" w:hAnsi="Arial"/>
                <w:sz w:val="22"/>
              </w:rPr>
              <w:t xml:space="preserve">supporting and </w:t>
            </w:r>
            <w:r>
              <w:rPr>
                <w:rFonts w:ascii="Arial" w:hAnsi="Arial"/>
                <w:sz w:val="22"/>
              </w:rPr>
              <w:t xml:space="preserve">overseeing the work of </w:t>
            </w:r>
            <w:r w:rsidR="008138B8">
              <w:rPr>
                <w:rFonts w:ascii="Arial" w:hAnsi="Arial"/>
                <w:sz w:val="22"/>
              </w:rPr>
              <w:t>the Individual Giving team</w:t>
            </w:r>
            <w:r>
              <w:rPr>
                <w:rFonts w:ascii="Arial" w:hAnsi="Arial"/>
                <w:sz w:val="22"/>
              </w:rPr>
              <w:t xml:space="preserve">. </w:t>
            </w:r>
          </w:p>
          <w:p w14:paraId="27D8FA18" w14:textId="77777777" w:rsidR="00B42E2B" w:rsidRPr="000D2AC0" w:rsidRDefault="001F3B3A" w:rsidP="008138B8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</w:tbl>
    <w:p w14:paraId="5C69C7FF" w14:textId="77777777" w:rsidR="00B42E2B" w:rsidRDefault="00B42E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B42E2B" w14:paraId="02A8D0B6" w14:textId="77777777" w:rsidTr="0037068E">
        <w:trPr>
          <w:cantSplit/>
          <w:trHeight w:val="5517"/>
        </w:trPr>
        <w:tc>
          <w:tcPr>
            <w:tcW w:w="9747" w:type="dxa"/>
          </w:tcPr>
          <w:p w14:paraId="612A6E6E" w14:textId="77777777" w:rsidR="00B42E2B" w:rsidRPr="006D5E4D" w:rsidRDefault="00B42E2B" w:rsidP="001954A3">
            <w:pPr>
              <w:pStyle w:val="Heading5"/>
              <w:keepNext w:val="0"/>
              <w:widowControl w:val="0"/>
              <w:spacing w:after="120"/>
              <w:jc w:val="left"/>
            </w:pPr>
            <w:r w:rsidRPr="006D5E4D">
              <w:t>Key accountabilities and tasks</w:t>
            </w:r>
          </w:p>
          <w:p w14:paraId="33DB6846" w14:textId="3839408A" w:rsidR="00795A08" w:rsidRDefault="00795A08" w:rsidP="000C6B91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>With the support of the</w:t>
            </w:r>
            <w:r w:rsidR="00B42E2B">
              <w:rPr>
                <w:b w:val="0"/>
              </w:rPr>
              <w:t xml:space="preserve"> Director of </w:t>
            </w:r>
            <w:r w:rsidR="007B1488">
              <w:rPr>
                <w:b w:val="0"/>
              </w:rPr>
              <w:t>Development</w:t>
            </w:r>
            <w:r>
              <w:rPr>
                <w:b w:val="0"/>
              </w:rPr>
              <w:t>,</w:t>
            </w:r>
            <w:r w:rsidR="00B42E2B">
              <w:rPr>
                <w:b w:val="0"/>
              </w:rPr>
              <w:t xml:space="preserve"> </w:t>
            </w:r>
            <w:r>
              <w:rPr>
                <w:b w:val="0"/>
              </w:rPr>
              <w:t>to plan and implement</w:t>
            </w:r>
            <w:r w:rsidR="00B42E2B">
              <w:rPr>
                <w:b w:val="0"/>
              </w:rPr>
              <w:t xml:space="preserve"> Scottish Opera’s individual fundraising</w:t>
            </w:r>
            <w:r w:rsidR="008138B8">
              <w:rPr>
                <w:b w:val="0"/>
              </w:rPr>
              <w:t xml:space="preserve"> </w:t>
            </w:r>
            <w:proofErr w:type="spellStart"/>
            <w:r w:rsidR="008138B8">
              <w:rPr>
                <w:b w:val="0"/>
              </w:rPr>
              <w:t>programme</w:t>
            </w:r>
            <w:proofErr w:type="spellEnd"/>
            <w:r>
              <w:rPr>
                <w:b w:val="0"/>
              </w:rPr>
              <w:t>,</w:t>
            </w:r>
            <w:r w:rsidR="00002EB6">
              <w:rPr>
                <w:b w:val="0"/>
              </w:rPr>
              <w:t xml:space="preserve"> </w:t>
            </w:r>
            <w:r>
              <w:rPr>
                <w:b w:val="0"/>
              </w:rPr>
              <w:t>including</w:t>
            </w:r>
            <w:r w:rsidR="00B42E2B">
              <w:rPr>
                <w:b w:val="0"/>
              </w:rPr>
              <w:t xml:space="preserve"> major gifts</w:t>
            </w:r>
            <w:r>
              <w:rPr>
                <w:b w:val="0"/>
              </w:rPr>
              <w:t>,</w:t>
            </w:r>
            <w:r w:rsidR="00B42E2B">
              <w:rPr>
                <w:b w:val="0"/>
              </w:rPr>
              <w:t xml:space="preserve"> </w:t>
            </w:r>
            <w:r>
              <w:rPr>
                <w:b w:val="0"/>
              </w:rPr>
              <w:t>annual giving, legacy giving and appeals</w:t>
            </w:r>
          </w:p>
          <w:p w14:paraId="033C1801" w14:textId="0F900DD5" w:rsidR="009D4284" w:rsidRDefault="009D4284" w:rsidP="000C6B91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3E0853">
              <w:rPr>
                <w:b w:val="0"/>
              </w:rPr>
              <w:t xml:space="preserve">In collaboration with the Director of </w:t>
            </w:r>
            <w:r w:rsidR="00002EB6">
              <w:rPr>
                <w:b w:val="0"/>
              </w:rPr>
              <w:t>Development</w:t>
            </w:r>
            <w:r w:rsidRPr="003E0853">
              <w:rPr>
                <w:b w:val="0"/>
              </w:rPr>
              <w:t>, to develop appropriate cases for support for the areas of Scottish Opera’s work</w:t>
            </w:r>
          </w:p>
          <w:p w14:paraId="33719849" w14:textId="6DE14D2A" w:rsidR="000C6B91" w:rsidRDefault="000C6B91" w:rsidP="000C6B91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9D4284">
              <w:rPr>
                <w:b w:val="0"/>
              </w:rPr>
              <w:t>To oversee Scottish Opera’s giving circles, ensuring that the nature, income, communications and level of giving remain appropriate over time</w:t>
            </w:r>
          </w:p>
          <w:p w14:paraId="27EBEBA9" w14:textId="04BB4ACC" w:rsidR="000C6B91" w:rsidRPr="000C6B91" w:rsidRDefault="000C6B91" w:rsidP="000C6B91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lang w:val="en-US"/>
              </w:rPr>
            </w:pPr>
            <w:r w:rsidRPr="000C6B91">
              <w:rPr>
                <w:rFonts w:ascii="Arial" w:hAnsi="Arial" w:cs="Arial"/>
                <w:bCs/>
                <w:sz w:val="22"/>
                <w:lang w:val="en-US"/>
              </w:rPr>
              <w:t>To grow our pool of do</w:t>
            </w:r>
            <w:r w:rsidR="00EF662A">
              <w:rPr>
                <w:rFonts w:ascii="Arial" w:hAnsi="Arial" w:cs="Arial"/>
                <w:bCs/>
                <w:sz w:val="22"/>
                <w:lang w:val="en-US"/>
              </w:rPr>
              <w:t>n</w:t>
            </w:r>
            <w:r w:rsidRPr="000C6B91">
              <w:rPr>
                <w:rFonts w:ascii="Arial" w:hAnsi="Arial" w:cs="Arial"/>
                <w:bCs/>
                <w:sz w:val="22"/>
                <w:lang w:val="en-US"/>
              </w:rPr>
              <w:t xml:space="preserve">ors by retaining current supporters whilst engaging new givers at all levels, ensuring </w:t>
            </w:r>
            <w:proofErr w:type="gramStart"/>
            <w:r w:rsidRPr="000C6B91">
              <w:rPr>
                <w:rFonts w:ascii="Arial" w:hAnsi="Arial" w:cs="Arial"/>
                <w:bCs/>
                <w:sz w:val="22"/>
                <w:lang w:val="en-US"/>
              </w:rPr>
              <w:t>each individual</w:t>
            </w:r>
            <w:proofErr w:type="gramEnd"/>
            <w:r w:rsidRPr="000C6B91">
              <w:rPr>
                <w:rFonts w:ascii="Arial" w:hAnsi="Arial" w:cs="Arial"/>
                <w:bCs/>
                <w:sz w:val="22"/>
                <w:lang w:val="en-US"/>
              </w:rPr>
              <w:t xml:space="preserve"> has a positive experience as a Scottish Opera supporter</w:t>
            </w:r>
          </w:p>
          <w:p w14:paraId="20BC7349" w14:textId="77777777" w:rsidR="00057BE5" w:rsidRDefault="00057BE5" w:rsidP="000C6B91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C958A5">
              <w:rPr>
                <w:b w:val="0"/>
              </w:rPr>
              <w:t xml:space="preserve">To </w:t>
            </w:r>
            <w:r w:rsidR="00C958A5" w:rsidRPr="00C958A5">
              <w:rPr>
                <w:b w:val="0"/>
              </w:rPr>
              <w:t xml:space="preserve">line manage and support </w:t>
            </w:r>
            <w:r w:rsidR="009D4284">
              <w:rPr>
                <w:b w:val="0"/>
              </w:rPr>
              <w:t xml:space="preserve">the work and personal development of </w:t>
            </w:r>
            <w:r w:rsidR="00C958A5" w:rsidRPr="00C958A5">
              <w:rPr>
                <w:b w:val="0"/>
              </w:rPr>
              <w:t>Individual Giving staff</w:t>
            </w:r>
            <w:r w:rsidR="009D4284">
              <w:rPr>
                <w:b w:val="0"/>
              </w:rPr>
              <w:t xml:space="preserve">, ensuring </w:t>
            </w:r>
            <w:r w:rsidRPr="00C958A5">
              <w:rPr>
                <w:b w:val="0"/>
              </w:rPr>
              <w:t>I</w:t>
            </w:r>
            <w:r w:rsidR="00835F1C">
              <w:rPr>
                <w:b w:val="0"/>
              </w:rPr>
              <w:t>ndividual Giving team targets</w:t>
            </w:r>
            <w:r w:rsidR="009D4284">
              <w:rPr>
                <w:b w:val="0"/>
              </w:rPr>
              <w:t xml:space="preserve"> are achieved</w:t>
            </w:r>
          </w:p>
          <w:p w14:paraId="789F7688" w14:textId="5ABDF429" w:rsidR="00057BE5" w:rsidRDefault="008138B8" w:rsidP="000C6B91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 xml:space="preserve">Working closely with the Director of </w:t>
            </w:r>
            <w:r w:rsidR="0085083C">
              <w:rPr>
                <w:b w:val="0"/>
              </w:rPr>
              <w:t>Development,</w:t>
            </w:r>
            <w:r>
              <w:rPr>
                <w:b w:val="0"/>
              </w:rPr>
              <w:t xml:space="preserve"> t</w:t>
            </w:r>
            <w:r w:rsidR="00C958A5" w:rsidRPr="00C958A5">
              <w:rPr>
                <w:b w:val="0"/>
              </w:rPr>
              <w:t xml:space="preserve">o develop relationships with significant prospects and donors and to make </w:t>
            </w:r>
            <w:proofErr w:type="gramStart"/>
            <w:r w:rsidR="00C958A5" w:rsidRPr="00C958A5">
              <w:rPr>
                <w:b w:val="0"/>
              </w:rPr>
              <w:t>face to face</w:t>
            </w:r>
            <w:proofErr w:type="gramEnd"/>
            <w:r w:rsidR="00C958A5" w:rsidRPr="00C958A5">
              <w:rPr>
                <w:b w:val="0"/>
              </w:rPr>
              <w:t xml:space="preserve"> major gift asks as appropriate</w:t>
            </w:r>
          </w:p>
          <w:p w14:paraId="18933665" w14:textId="3A43D79D" w:rsidR="00B42E2B" w:rsidRDefault="009D4284" w:rsidP="0037068E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>With the support of the Events Manager and other colleagues, to</w:t>
            </w:r>
            <w:r w:rsidRPr="007E0A0E">
              <w:rPr>
                <w:b w:val="0"/>
              </w:rPr>
              <w:t xml:space="preserve"> plan and deliver outstanding stewards</w:t>
            </w:r>
            <w:r>
              <w:rPr>
                <w:b w:val="0"/>
              </w:rPr>
              <w:t>hip to our donors at all level</w:t>
            </w:r>
            <w:r w:rsidR="0085083C">
              <w:rPr>
                <w:b w:val="0"/>
              </w:rPr>
              <w:t>s</w:t>
            </w:r>
          </w:p>
          <w:p w14:paraId="629A8540" w14:textId="19F7C552" w:rsidR="0037068E" w:rsidRDefault="0037068E" w:rsidP="0037068E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37068E">
              <w:rPr>
                <w:b w:val="0"/>
              </w:rPr>
              <w:t xml:space="preserve">To work with colleagues to plan and deliver online and in-person events and experiences, at individual and group level, both to promote the Company to prospects and to steward donors </w:t>
            </w:r>
            <w:r w:rsidR="00FB5596">
              <w:rPr>
                <w:b w:val="0"/>
              </w:rPr>
              <w:t>t</w:t>
            </w:r>
            <w:r w:rsidRPr="0037068E">
              <w:rPr>
                <w:b w:val="0"/>
              </w:rPr>
              <w:t xml:space="preserve">o develop and oversee a fresh, interesting and engaging annual </w:t>
            </w:r>
            <w:proofErr w:type="spellStart"/>
            <w:r w:rsidRPr="0037068E">
              <w:rPr>
                <w:b w:val="0"/>
              </w:rPr>
              <w:t>programme</w:t>
            </w:r>
            <w:proofErr w:type="spellEnd"/>
            <w:r w:rsidRPr="0037068E">
              <w:rPr>
                <w:b w:val="0"/>
              </w:rPr>
              <w:t xml:space="preserve"> of communication with donors and prospects, strengthening relationships and building increased engagement with donors</w:t>
            </w:r>
          </w:p>
          <w:p w14:paraId="5CF6C9CE" w14:textId="77777777" w:rsidR="001551FC" w:rsidRPr="001551FC" w:rsidRDefault="001551FC" w:rsidP="001551FC">
            <w:pPr>
              <w:rPr>
                <w:lang w:val="en-US"/>
              </w:rPr>
            </w:pPr>
          </w:p>
        </w:tc>
      </w:tr>
    </w:tbl>
    <w:p w14:paraId="215B86AC" w14:textId="77777777" w:rsidR="001822B0" w:rsidRPr="001822B0" w:rsidRDefault="001822B0" w:rsidP="001822B0">
      <w:pPr>
        <w:rPr>
          <w:vanish/>
        </w:rPr>
      </w:pPr>
    </w:p>
    <w:p w14:paraId="4F4A42F0" w14:textId="77777777" w:rsidR="001551FC" w:rsidRDefault="001551FC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5E4D" w14:paraId="13F956D2" w14:textId="77777777" w:rsidTr="001822B0">
        <w:tc>
          <w:tcPr>
            <w:tcW w:w="9747" w:type="dxa"/>
          </w:tcPr>
          <w:p w14:paraId="6EF6C27B" w14:textId="77777777" w:rsidR="0037068E" w:rsidRPr="006D5E4D" w:rsidRDefault="0037068E" w:rsidP="001822B0">
            <w:pPr>
              <w:pStyle w:val="Heading5"/>
              <w:keepNext w:val="0"/>
              <w:widowControl w:val="0"/>
              <w:spacing w:after="120"/>
              <w:jc w:val="left"/>
            </w:pPr>
            <w:r w:rsidRPr="006D5E4D">
              <w:lastRenderedPageBreak/>
              <w:t>Key accountabilities and tasks</w:t>
            </w:r>
            <w:r>
              <w:t xml:space="preserve"> (continued)</w:t>
            </w:r>
          </w:p>
          <w:p w14:paraId="0B8FEBF6" w14:textId="77777777" w:rsidR="006D5E4D" w:rsidRPr="001822B0" w:rsidRDefault="0037068E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T</w:t>
            </w:r>
            <w:r w:rsidR="006D5E4D" w:rsidRPr="001822B0">
              <w:rPr>
                <w:b w:val="0"/>
              </w:rPr>
              <w:t>o work with the Data Manager and other colleagues to identify individual giving prospects and to plan and deliver appropriate activity to achieve their conversion to donors</w:t>
            </w:r>
          </w:p>
          <w:p w14:paraId="2B5BF8D6" w14:textId="3A12D404" w:rsidR="006D5E4D" w:rsidRPr="001822B0" w:rsidRDefault="0037068E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To</w:t>
            </w:r>
            <w:r w:rsidR="006D5E4D" w:rsidRPr="001822B0">
              <w:rPr>
                <w:b w:val="0"/>
              </w:rPr>
              <w:t xml:space="preserve"> ensure all </w:t>
            </w:r>
            <w:r w:rsidR="00257D59">
              <w:rPr>
                <w:b w:val="0"/>
              </w:rPr>
              <w:t xml:space="preserve">fundraisers </w:t>
            </w:r>
            <w:r w:rsidR="006D5E4D" w:rsidRPr="001822B0">
              <w:rPr>
                <w:b w:val="0"/>
              </w:rPr>
              <w:t>have clear prospect lists and target gifts</w:t>
            </w:r>
          </w:p>
          <w:p w14:paraId="0265F3A0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In collaboration with the Data Manager, to ensure exemplary donor data management and hygiene</w:t>
            </w:r>
          </w:p>
          <w:p w14:paraId="1C3FF85A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To provide analysis and insight into supporter and prospect data, using this to inform work on future strategy and prospecting</w:t>
            </w:r>
          </w:p>
          <w:p w14:paraId="5D274327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To provide regular, accurate financial reporting and maintain flawless financial records</w:t>
            </w:r>
          </w:p>
          <w:p w14:paraId="46481153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 xml:space="preserve">To maintain an up-to-date knowledge of VAT, Gift Aid, data protection and any other necessary regulations, to ensure Scottish Opera is compliant and financially efficient </w:t>
            </w:r>
          </w:p>
          <w:p w14:paraId="55CD750B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To oversee the smooth and efficient processing of gifts, event bookings and other interactions with donors, ensuring appropriate data management at all stages</w:t>
            </w:r>
          </w:p>
          <w:p w14:paraId="4610034F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To work with colleagues in the marketing team to ensure integration of fundraising and marketing messaging and cycles as appropriate</w:t>
            </w:r>
          </w:p>
          <w:p w14:paraId="6F5BBF25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 xml:space="preserve">To be an ambassador for the </w:t>
            </w:r>
            <w:proofErr w:type="spellStart"/>
            <w:r w:rsidRPr="001822B0">
              <w:rPr>
                <w:b w:val="0"/>
              </w:rPr>
              <w:t>organisation</w:t>
            </w:r>
            <w:proofErr w:type="spellEnd"/>
            <w:r w:rsidRPr="001822B0">
              <w:rPr>
                <w:b w:val="0"/>
              </w:rPr>
              <w:t xml:space="preserve">, working with stakeholders from donors and prospects to artists and other arts </w:t>
            </w:r>
            <w:proofErr w:type="spellStart"/>
            <w:r w:rsidRPr="001822B0">
              <w:rPr>
                <w:b w:val="0"/>
              </w:rPr>
              <w:t>organisations</w:t>
            </w:r>
            <w:proofErr w:type="spellEnd"/>
          </w:p>
          <w:p w14:paraId="2DC0D94A" w14:textId="77777777" w:rsidR="006D5E4D" w:rsidRPr="001822B0" w:rsidRDefault="006D5E4D" w:rsidP="001822B0">
            <w:pPr>
              <w:pStyle w:val="Heading5"/>
              <w:keepNext w:val="0"/>
              <w:widowControl w:val="0"/>
              <w:numPr>
                <w:ilvl w:val="0"/>
                <w:numId w:val="3"/>
              </w:numPr>
              <w:spacing w:after="120"/>
              <w:jc w:val="left"/>
              <w:rPr>
                <w:b w:val="0"/>
              </w:rPr>
            </w:pPr>
            <w:r w:rsidRPr="001822B0">
              <w:rPr>
                <w:b w:val="0"/>
              </w:rPr>
              <w:t>To work with colleagues across Scottish Opera, building positive relationships and maintaining information flow between departments</w:t>
            </w:r>
          </w:p>
          <w:p w14:paraId="5A5CC69F" w14:textId="77777777" w:rsidR="006D5E4D" w:rsidRPr="001822B0" w:rsidRDefault="006D5E4D" w:rsidP="001822B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822B0">
              <w:rPr>
                <w:rFonts w:ascii="Arial" w:hAnsi="Arial" w:cs="Arial"/>
                <w:sz w:val="22"/>
                <w:szCs w:val="22"/>
              </w:rPr>
              <w:t>To attend performances and events as may be necessary to ensure a Fundraising presence for donors or to cultivate donor relationships</w:t>
            </w:r>
          </w:p>
          <w:p w14:paraId="343C9A54" w14:textId="77777777" w:rsidR="0037068E" w:rsidRPr="001822B0" w:rsidRDefault="0037068E" w:rsidP="003706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462A5" w14:textId="77777777" w:rsidR="006D5E4D" w:rsidRDefault="006D5E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6"/>
        <w:gridCol w:w="5412"/>
      </w:tblGrid>
      <w:tr w:rsidR="00B42E2B" w14:paraId="7C7EBAD5" w14:textId="77777777" w:rsidTr="0037068E">
        <w:trPr>
          <w:cantSplit/>
        </w:trPr>
        <w:tc>
          <w:tcPr>
            <w:tcW w:w="4261" w:type="dxa"/>
            <w:tcBorders>
              <w:right w:val="nil"/>
            </w:tcBorders>
          </w:tcPr>
          <w:p w14:paraId="74C94228" w14:textId="77777777" w:rsidR="00B42E2B" w:rsidRDefault="00B42E2B">
            <w:pPr>
              <w:pStyle w:val="Heading1"/>
              <w:keepNext w:val="0"/>
              <w:widowControl w:val="0"/>
            </w:pPr>
            <w:r>
              <w:t>Key relationships</w:t>
            </w:r>
          </w:p>
          <w:p w14:paraId="67FC0026" w14:textId="77777777" w:rsidR="00B42E2B" w:rsidRDefault="00B42E2B">
            <w:pPr>
              <w:pStyle w:val="Heading3"/>
            </w:pPr>
            <w:r>
              <w:t>Internal</w:t>
            </w:r>
          </w:p>
          <w:p w14:paraId="499EA951" w14:textId="77777777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66D25766" w14:textId="07D21C12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Director of </w:t>
            </w:r>
            <w:r w:rsidR="00744F4A">
              <w:rPr>
                <w:rFonts w:ascii="Arial" w:hAnsi="Arial" w:cs="Arial"/>
                <w:sz w:val="22"/>
              </w:rPr>
              <w:t>Development</w:t>
            </w:r>
          </w:p>
          <w:p w14:paraId="2E6FCF21" w14:textId="77777777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Fundraising Department</w:t>
            </w:r>
          </w:p>
          <w:p w14:paraId="1269EE1F" w14:textId="77777777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Marketing &amp; Press Department</w:t>
            </w:r>
          </w:p>
          <w:p w14:paraId="04E0D988" w14:textId="77777777" w:rsidR="00B42E2B" w:rsidRDefault="00055021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Director</w:t>
            </w:r>
          </w:p>
        </w:tc>
        <w:tc>
          <w:tcPr>
            <w:tcW w:w="5486" w:type="dxa"/>
            <w:tcBorders>
              <w:left w:val="nil"/>
            </w:tcBorders>
          </w:tcPr>
          <w:p w14:paraId="4105E7B6" w14:textId="77777777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1A96F887" w14:textId="77777777" w:rsidR="00B42E2B" w:rsidRDefault="00B42E2B">
            <w:pPr>
              <w:pStyle w:val="Heading3"/>
              <w:widowControl w:val="0"/>
            </w:pPr>
            <w:r>
              <w:t>External</w:t>
            </w:r>
          </w:p>
          <w:p w14:paraId="2CC90A7E" w14:textId="77777777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37A44723" w14:textId="77777777" w:rsidR="00B42E2B" w:rsidRDefault="00B42E2B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Individual donors</w:t>
            </w:r>
          </w:p>
          <w:p w14:paraId="3449C881" w14:textId="77777777" w:rsidR="00B42E2B" w:rsidRDefault="00055021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Artistic staff as required</w:t>
            </w:r>
          </w:p>
          <w:p w14:paraId="0D9DDEF3" w14:textId="77777777" w:rsidR="00B42E2B" w:rsidRDefault="00B42E2B" w:rsidP="00055021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</w:tbl>
    <w:p w14:paraId="24D2842D" w14:textId="77777777" w:rsidR="00B42E2B" w:rsidRDefault="00B42E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068E" w14:paraId="3BA2C05C" w14:textId="77777777" w:rsidTr="001822B0">
        <w:tc>
          <w:tcPr>
            <w:tcW w:w="9854" w:type="dxa"/>
          </w:tcPr>
          <w:p w14:paraId="3B25837F" w14:textId="77777777" w:rsidR="0037068E" w:rsidRDefault="0037068E" w:rsidP="001822B0">
            <w:pPr>
              <w:pStyle w:val="Heading1"/>
              <w:keepNext w:val="0"/>
              <w:widowControl w:val="0"/>
            </w:pPr>
            <w:r>
              <w:t>Person Specification</w:t>
            </w:r>
          </w:p>
          <w:p w14:paraId="206A2105" w14:textId="77777777" w:rsidR="0037068E" w:rsidRPr="001822B0" w:rsidRDefault="003706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17B15" w14:textId="77777777" w:rsidR="0037068E" w:rsidRPr="001822B0" w:rsidRDefault="0037068E" w:rsidP="001822B0">
            <w:pPr>
              <w:widowControl w:val="0"/>
              <w:spacing w:after="120"/>
              <w:rPr>
                <w:rFonts w:ascii="Arial" w:hAnsi="Arial"/>
                <w:sz w:val="22"/>
              </w:rPr>
            </w:pPr>
            <w:r w:rsidRPr="001822B0">
              <w:rPr>
                <w:rFonts w:ascii="Arial" w:hAnsi="Arial"/>
                <w:sz w:val="22"/>
              </w:rPr>
              <w:t>A proven track record of successful fundraising, with at least five years’ direct experience in fundraising and a minimum two years’ experience in a Major Gifts fundraising environment, is preferred but not mandatory if other appropriate experience can be demonstrated</w:t>
            </w:r>
          </w:p>
          <w:p w14:paraId="5C5BAC4B" w14:textId="77777777" w:rsidR="0037068E" w:rsidRPr="001822B0" w:rsidRDefault="0037068E" w:rsidP="001822B0">
            <w:pPr>
              <w:widowControl w:val="0"/>
              <w:spacing w:after="120"/>
              <w:rPr>
                <w:rFonts w:ascii="Arial" w:hAnsi="Arial"/>
                <w:sz w:val="22"/>
              </w:rPr>
            </w:pPr>
            <w:r w:rsidRPr="001822B0">
              <w:rPr>
                <w:rFonts w:ascii="Arial" w:hAnsi="Arial"/>
                <w:sz w:val="22"/>
              </w:rPr>
              <w:t>A track record of developing and making asks, generating major gifts and developing prospects towards higher giving levels</w:t>
            </w:r>
          </w:p>
          <w:p w14:paraId="43EDA704" w14:textId="77777777" w:rsidR="0037068E" w:rsidRPr="001822B0" w:rsidRDefault="0037068E" w:rsidP="001822B0">
            <w:pPr>
              <w:widowControl w:val="0"/>
              <w:spacing w:after="120"/>
              <w:rPr>
                <w:rFonts w:ascii="Arial" w:hAnsi="Arial"/>
                <w:sz w:val="22"/>
              </w:rPr>
            </w:pPr>
            <w:r w:rsidRPr="001822B0">
              <w:rPr>
                <w:rFonts w:ascii="Arial" w:hAnsi="Arial"/>
                <w:sz w:val="22"/>
              </w:rPr>
              <w:t>Experience of working to and meeting financial targets</w:t>
            </w:r>
          </w:p>
          <w:p w14:paraId="0F2D2244" w14:textId="77777777" w:rsidR="0037068E" w:rsidRPr="001822B0" w:rsidRDefault="0037068E" w:rsidP="001822B0">
            <w:pPr>
              <w:widowControl w:val="0"/>
              <w:spacing w:after="120"/>
              <w:rPr>
                <w:rFonts w:ascii="Arial" w:hAnsi="Arial"/>
                <w:sz w:val="22"/>
              </w:rPr>
            </w:pPr>
            <w:r w:rsidRPr="001822B0">
              <w:rPr>
                <w:rFonts w:ascii="Arial" w:hAnsi="Arial"/>
                <w:sz w:val="22"/>
              </w:rPr>
              <w:t>Knowledge of individual giving fundraising techniques and fundraising best practice across the whole charity sector</w:t>
            </w:r>
          </w:p>
          <w:p w14:paraId="51884E10" w14:textId="1FFFDC95" w:rsidR="0037068E" w:rsidRPr="001822B0" w:rsidRDefault="0037068E" w:rsidP="001822B0">
            <w:pPr>
              <w:widowControl w:val="0"/>
              <w:rPr>
                <w:rFonts w:ascii="Arial" w:hAnsi="Arial"/>
                <w:sz w:val="22"/>
              </w:rPr>
            </w:pPr>
            <w:r w:rsidRPr="001822B0">
              <w:rPr>
                <w:rFonts w:ascii="Arial" w:hAnsi="Arial"/>
                <w:sz w:val="22"/>
              </w:rPr>
              <w:t xml:space="preserve">Good record keeping and excellent computer skills.  </w:t>
            </w:r>
            <w:r w:rsidR="003B0D51">
              <w:rPr>
                <w:rFonts w:ascii="Arial" w:hAnsi="Arial"/>
                <w:sz w:val="22"/>
              </w:rPr>
              <w:t>K</w:t>
            </w:r>
            <w:r w:rsidRPr="001822B0">
              <w:rPr>
                <w:rFonts w:ascii="Arial" w:hAnsi="Arial"/>
                <w:sz w:val="22"/>
              </w:rPr>
              <w:t xml:space="preserve">nowledge of </w:t>
            </w:r>
            <w:proofErr w:type="spellStart"/>
            <w:r w:rsidRPr="001822B0">
              <w:rPr>
                <w:rFonts w:ascii="Arial" w:hAnsi="Arial"/>
                <w:sz w:val="22"/>
              </w:rPr>
              <w:t>Spektrix</w:t>
            </w:r>
            <w:proofErr w:type="spellEnd"/>
            <w:r w:rsidRPr="001822B0">
              <w:rPr>
                <w:rFonts w:ascii="Arial" w:hAnsi="Arial"/>
                <w:sz w:val="22"/>
              </w:rPr>
              <w:t xml:space="preserve"> would be advantageous</w:t>
            </w:r>
          </w:p>
          <w:p w14:paraId="7527A0F6" w14:textId="77777777" w:rsidR="0037068E" w:rsidRPr="001822B0" w:rsidRDefault="0037068E" w:rsidP="001822B0">
            <w:pPr>
              <w:widowControl w:val="0"/>
              <w:rPr>
                <w:rFonts w:ascii="Arial" w:hAnsi="Arial"/>
                <w:sz w:val="22"/>
              </w:rPr>
            </w:pPr>
          </w:p>
          <w:p w14:paraId="0C5705D1" w14:textId="77777777" w:rsidR="0037068E" w:rsidRPr="001822B0" w:rsidRDefault="0037068E" w:rsidP="001822B0">
            <w:pPr>
              <w:widowControl w:val="0"/>
              <w:rPr>
                <w:rFonts w:ascii="Arial" w:hAnsi="Arial"/>
                <w:sz w:val="22"/>
              </w:rPr>
            </w:pPr>
            <w:r w:rsidRPr="001822B0">
              <w:rPr>
                <w:rFonts w:ascii="Arial" w:hAnsi="Arial"/>
                <w:sz w:val="22"/>
              </w:rPr>
              <w:t>Knowledge of tax laws and data protection legislation</w:t>
            </w:r>
          </w:p>
          <w:p w14:paraId="0186CD90" w14:textId="77777777" w:rsidR="0037068E" w:rsidRPr="001822B0" w:rsidRDefault="0037068E" w:rsidP="001822B0">
            <w:pPr>
              <w:widowControl w:val="0"/>
              <w:rPr>
                <w:rFonts w:ascii="Arial" w:hAnsi="Arial"/>
                <w:sz w:val="22"/>
              </w:rPr>
            </w:pPr>
          </w:p>
          <w:p w14:paraId="2B88CE5A" w14:textId="77777777" w:rsidR="0037068E" w:rsidRPr="001822B0" w:rsidRDefault="0037068E" w:rsidP="001822B0">
            <w:pPr>
              <w:widowControl w:val="0"/>
              <w:rPr>
                <w:rFonts w:ascii="Arial" w:hAnsi="Arial"/>
                <w:sz w:val="22"/>
              </w:rPr>
            </w:pPr>
            <w:r w:rsidRPr="001822B0">
              <w:rPr>
                <w:rFonts w:ascii="Arial" w:hAnsi="Arial"/>
                <w:sz w:val="22"/>
              </w:rPr>
              <w:t>Experience of motivating and managing others</w:t>
            </w:r>
          </w:p>
          <w:p w14:paraId="3A611FA6" w14:textId="77777777" w:rsidR="0037068E" w:rsidRPr="001822B0" w:rsidRDefault="0037068E" w:rsidP="001822B0">
            <w:pPr>
              <w:widowControl w:val="0"/>
              <w:rPr>
                <w:rFonts w:ascii="Arial" w:hAnsi="Arial"/>
                <w:sz w:val="22"/>
              </w:rPr>
            </w:pPr>
          </w:p>
          <w:p w14:paraId="3B07F730" w14:textId="77777777" w:rsidR="0037068E" w:rsidRPr="001822B0" w:rsidRDefault="0037068E" w:rsidP="001551FC">
            <w:pPr>
              <w:rPr>
                <w:rFonts w:ascii="Arial" w:hAnsi="Arial" w:cs="Arial"/>
                <w:sz w:val="22"/>
                <w:szCs w:val="22"/>
              </w:rPr>
            </w:pPr>
            <w:r w:rsidRPr="001822B0">
              <w:rPr>
                <w:rFonts w:ascii="Arial" w:hAnsi="Arial" w:cs="Arial"/>
                <w:sz w:val="22"/>
              </w:rPr>
              <w:t>Highly driven, with the ability to lead and inspire others</w:t>
            </w:r>
          </w:p>
        </w:tc>
      </w:tr>
    </w:tbl>
    <w:p w14:paraId="6DBA4DAE" w14:textId="77777777" w:rsidR="0037068E" w:rsidRDefault="0037068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B42E2B" w14:paraId="23790AB7" w14:textId="77777777" w:rsidTr="0037068E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1F42F843" w14:textId="77777777" w:rsidR="00B42E2B" w:rsidRDefault="0037068E" w:rsidP="0037068E">
            <w:pPr>
              <w:pStyle w:val="Heading1"/>
              <w:keepNext w:val="0"/>
              <w:widowControl w:val="0"/>
            </w:pPr>
            <w:r>
              <w:lastRenderedPageBreak/>
              <w:t>P</w:t>
            </w:r>
            <w:r w:rsidR="00B42E2B">
              <w:t>erson Specification</w:t>
            </w:r>
            <w:r>
              <w:t xml:space="preserve"> (continued)</w:t>
            </w:r>
          </w:p>
          <w:p w14:paraId="673AD31E" w14:textId="77777777" w:rsidR="000A3A4F" w:rsidRDefault="000A3A4F">
            <w:pPr>
              <w:rPr>
                <w:rFonts w:ascii="Arial" w:hAnsi="Arial" w:cs="Arial"/>
                <w:sz w:val="22"/>
              </w:rPr>
            </w:pPr>
          </w:p>
          <w:p w14:paraId="56C20941" w14:textId="77777777" w:rsidR="00B42E2B" w:rsidRDefault="00B42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Outstanding written and verbal communication skills</w:t>
            </w:r>
          </w:p>
          <w:p w14:paraId="6CE9D6E8" w14:textId="77777777" w:rsidR="0037068E" w:rsidRDefault="0037068E">
            <w:pPr>
              <w:rPr>
                <w:rFonts w:ascii="Arial" w:hAnsi="Arial" w:cs="Arial"/>
                <w:sz w:val="22"/>
              </w:rPr>
            </w:pPr>
          </w:p>
          <w:p w14:paraId="61E66961" w14:textId="77777777" w:rsidR="00B42E2B" w:rsidRDefault="00B42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Creative skills </w:t>
            </w:r>
            <w:proofErr w:type="gramStart"/>
            <w:r>
              <w:rPr>
                <w:rFonts w:ascii="Arial" w:hAnsi="Arial" w:cs="Arial"/>
                <w:sz w:val="22"/>
              </w:rPr>
              <w:t>in order to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develop funding ideas that will inspire donors</w:t>
            </w:r>
          </w:p>
          <w:p w14:paraId="5F65AC0B" w14:textId="77777777" w:rsidR="0037068E" w:rsidRDefault="0037068E">
            <w:pPr>
              <w:rPr>
                <w:rFonts w:ascii="Arial" w:hAnsi="Arial" w:cs="Arial"/>
                <w:sz w:val="22"/>
              </w:rPr>
            </w:pPr>
          </w:p>
          <w:p w14:paraId="5A85FADC" w14:textId="77777777" w:rsidR="00B42E2B" w:rsidRDefault="00B42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Diplomatic, with good negotiation skills</w:t>
            </w:r>
          </w:p>
          <w:p w14:paraId="60F5B418" w14:textId="77777777" w:rsidR="0037068E" w:rsidRDefault="0037068E">
            <w:pPr>
              <w:rPr>
                <w:rFonts w:ascii="Arial" w:hAnsi="Arial" w:cs="Arial"/>
                <w:sz w:val="22"/>
              </w:rPr>
            </w:pPr>
          </w:p>
          <w:p w14:paraId="4D0AE551" w14:textId="77777777" w:rsidR="00B42E2B" w:rsidRDefault="00B42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plan, with a high level of attention to detail</w:t>
            </w:r>
          </w:p>
          <w:p w14:paraId="360C4425" w14:textId="77777777" w:rsidR="0037068E" w:rsidRDefault="0037068E">
            <w:pPr>
              <w:rPr>
                <w:rFonts w:ascii="Arial" w:hAnsi="Arial" w:cs="Arial"/>
                <w:sz w:val="22"/>
              </w:rPr>
            </w:pPr>
          </w:p>
          <w:p w14:paraId="0F9F129D" w14:textId="77777777" w:rsidR="00B42E2B" w:rsidRDefault="00B42E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Proactive and enthusiastic team player</w:t>
            </w:r>
          </w:p>
          <w:p w14:paraId="6499DC56" w14:textId="77777777" w:rsidR="000C6B91" w:rsidRDefault="000C6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6BE22" w14:textId="77777777" w:rsidR="000C6B91" w:rsidRDefault="000C6B91" w:rsidP="000C6B9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 interest in the performing arts and an understanding of an arts environment would be an advantage</w:t>
            </w:r>
          </w:p>
          <w:p w14:paraId="00D917F7" w14:textId="77777777" w:rsidR="00B42E2B" w:rsidRDefault="00B42E2B">
            <w:pPr>
              <w:widowControl w:val="0"/>
            </w:pPr>
          </w:p>
        </w:tc>
      </w:tr>
    </w:tbl>
    <w:p w14:paraId="759CD9DB" w14:textId="77777777" w:rsidR="00B42E2B" w:rsidRDefault="00B42E2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"/>
        <w:gridCol w:w="2268"/>
        <w:gridCol w:w="7508"/>
      </w:tblGrid>
      <w:tr w:rsidR="00B42E2B" w14:paraId="535CE69E" w14:textId="77777777" w:rsidTr="00BA61A1">
        <w:trPr>
          <w:cantSplit/>
        </w:trPr>
        <w:tc>
          <w:tcPr>
            <w:tcW w:w="9889" w:type="dxa"/>
            <w:gridSpan w:val="3"/>
            <w:tcBorders>
              <w:bottom w:val="nil"/>
            </w:tcBorders>
          </w:tcPr>
          <w:p w14:paraId="1D5EA7ED" w14:textId="77777777" w:rsidR="00B42E2B" w:rsidRDefault="00B42E2B">
            <w:pPr>
              <w:pStyle w:val="Heading1"/>
              <w:widowControl w:val="0"/>
              <w:rPr>
                <w:lang w:val="en-GB"/>
              </w:rPr>
            </w:pPr>
            <w:r>
              <w:rPr>
                <w:lang w:val="en-GB"/>
              </w:rPr>
              <w:t>General terms and conditions</w:t>
            </w:r>
          </w:p>
        </w:tc>
      </w:tr>
      <w:tr w:rsidR="0037068E" w:rsidRPr="002A6388" w14:paraId="581FDBA2" w14:textId="77777777" w:rsidTr="00BA61A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</w:trPr>
        <w:tc>
          <w:tcPr>
            <w:tcW w:w="2268" w:type="dxa"/>
          </w:tcPr>
          <w:p w14:paraId="2E082C18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  <w:r w:rsidRPr="002A6388">
              <w:rPr>
                <w:b w:val="0"/>
                <w:bCs w:val="0"/>
                <w:szCs w:val="22"/>
                <w:lang w:val="en-GB"/>
              </w:rPr>
              <w:t xml:space="preserve">Contract: </w:t>
            </w:r>
          </w:p>
          <w:p w14:paraId="0A904F64" w14:textId="77777777" w:rsidR="0037068E" w:rsidRPr="002A6388" w:rsidRDefault="0037068E" w:rsidP="001822B0"/>
        </w:tc>
        <w:tc>
          <w:tcPr>
            <w:tcW w:w="7508" w:type="dxa"/>
          </w:tcPr>
          <w:p w14:paraId="5D426B6B" w14:textId="5499F1F5" w:rsidR="0037068E" w:rsidRPr="002A6388" w:rsidRDefault="00693F9D" w:rsidP="001822B0">
            <w:pPr>
              <w:pStyle w:val="BodyTextIndent"/>
              <w:widowControl w:val="0"/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Fixed term </w:t>
            </w:r>
          </w:p>
        </w:tc>
      </w:tr>
      <w:tr w:rsidR="0037068E" w:rsidRPr="0048495C" w14:paraId="7054C3F4" w14:textId="77777777" w:rsidTr="00BA61A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</w:trPr>
        <w:tc>
          <w:tcPr>
            <w:tcW w:w="2268" w:type="dxa"/>
          </w:tcPr>
          <w:p w14:paraId="5939C80B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  <w:r w:rsidRPr="002A6388">
              <w:rPr>
                <w:b w:val="0"/>
                <w:bCs w:val="0"/>
                <w:szCs w:val="22"/>
                <w:lang w:val="en-GB"/>
              </w:rPr>
              <w:t>Hours:</w:t>
            </w:r>
          </w:p>
        </w:tc>
        <w:tc>
          <w:tcPr>
            <w:tcW w:w="7508" w:type="dxa"/>
          </w:tcPr>
          <w:p w14:paraId="18BC20F2" w14:textId="77777777" w:rsidR="0037068E" w:rsidRPr="0048495C" w:rsidRDefault="0037068E" w:rsidP="001822B0">
            <w:pPr>
              <w:rPr>
                <w:rFonts w:ascii="Arial" w:hAnsi="Arial" w:cs="Arial"/>
                <w:sz w:val="22"/>
                <w:szCs w:val="22"/>
              </w:rPr>
            </w:pPr>
            <w:r w:rsidRPr="0048495C">
              <w:rPr>
                <w:rFonts w:ascii="Arial" w:hAnsi="Arial" w:cs="Arial"/>
                <w:sz w:val="22"/>
                <w:szCs w:val="22"/>
              </w:rPr>
              <w:t xml:space="preserve">Standard </w:t>
            </w:r>
            <w:r w:rsidR="00BA61A1"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r w:rsidRPr="0048495C">
              <w:rPr>
                <w:rFonts w:ascii="Arial" w:hAnsi="Arial" w:cs="Arial"/>
                <w:sz w:val="22"/>
                <w:szCs w:val="22"/>
              </w:rPr>
              <w:t xml:space="preserve">hours are 35 hours a week, 9.30am to 5.30pm, Monday to Friday with one hour for lunch. Evening </w:t>
            </w:r>
            <w:r w:rsidR="00BA61A1">
              <w:rPr>
                <w:rFonts w:ascii="Arial" w:hAnsi="Arial" w:cs="Arial"/>
                <w:sz w:val="22"/>
                <w:szCs w:val="22"/>
              </w:rPr>
              <w:t xml:space="preserve">and weekend </w:t>
            </w:r>
            <w:r w:rsidRPr="0048495C">
              <w:rPr>
                <w:rFonts w:ascii="Arial" w:hAnsi="Arial" w:cs="Arial"/>
                <w:sz w:val="22"/>
                <w:szCs w:val="22"/>
              </w:rPr>
              <w:t>work and travel within Scotland will be required</w:t>
            </w:r>
            <w:r w:rsidR="00BA61A1">
              <w:rPr>
                <w:rFonts w:ascii="Arial" w:hAnsi="Arial" w:cs="Arial"/>
                <w:sz w:val="22"/>
                <w:szCs w:val="22"/>
              </w:rPr>
              <w:t xml:space="preserve"> in this post</w:t>
            </w:r>
            <w:r w:rsidRPr="004849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489A51" w14:textId="77777777" w:rsidR="0037068E" w:rsidRPr="0048495C" w:rsidRDefault="0037068E" w:rsidP="001822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68E" w:rsidRPr="002A6388" w14:paraId="5581F2CE" w14:textId="77777777" w:rsidTr="00BA61A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</w:trPr>
        <w:tc>
          <w:tcPr>
            <w:tcW w:w="2268" w:type="dxa"/>
          </w:tcPr>
          <w:p w14:paraId="7EEE601F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  <w:r w:rsidRPr="002A6388">
              <w:rPr>
                <w:b w:val="0"/>
                <w:bCs w:val="0"/>
                <w:szCs w:val="22"/>
                <w:lang w:val="en-GB"/>
              </w:rPr>
              <w:t>Annual salary:</w:t>
            </w:r>
          </w:p>
        </w:tc>
        <w:tc>
          <w:tcPr>
            <w:tcW w:w="7508" w:type="dxa"/>
          </w:tcPr>
          <w:p w14:paraId="19EA8877" w14:textId="747A746A" w:rsidR="0037068E" w:rsidRPr="002A6388" w:rsidRDefault="00E944D3" w:rsidP="00B97B47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  <w:r>
              <w:rPr>
                <w:b w:val="0"/>
                <w:bCs w:val="0"/>
                <w:szCs w:val="22"/>
                <w:lang w:val="en-GB"/>
              </w:rPr>
              <w:t>Up to £42,000</w:t>
            </w:r>
            <w:r w:rsidR="00B97B47">
              <w:rPr>
                <w:b w:val="0"/>
                <w:bCs w:val="0"/>
                <w:szCs w:val="22"/>
                <w:lang w:val="en-GB"/>
              </w:rPr>
              <w:t xml:space="preserve"> </w:t>
            </w:r>
            <w:r w:rsidR="0037068E" w:rsidRPr="0048495C">
              <w:rPr>
                <w:b w:val="0"/>
                <w:bCs w:val="0"/>
                <w:szCs w:val="22"/>
                <w:lang w:val="en-GB"/>
              </w:rPr>
              <w:t>depend</w:t>
            </w:r>
            <w:r w:rsidR="000F7C96">
              <w:rPr>
                <w:b w:val="0"/>
                <w:bCs w:val="0"/>
                <w:szCs w:val="22"/>
                <w:lang w:val="en-GB"/>
              </w:rPr>
              <w:t>ing</w:t>
            </w:r>
            <w:r w:rsidR="0037068E" w:rsidRPr="0048495C">
              <w:rPr>
                <w:b w:val="0"/>
                <w:bCs w:val="0"/>
                <w:szCs w:val="22"/>
                <w:lang w:val="en-GB"/>
              </w:rPr>
              <w:t xml:space="preserve"> on experience </w:t>
            </w:r>
          </w:p>
        </w:tc>
      </w:tr>
      <w:tr w:rsidR="0037068E" w:rsidRPr="002A6388" w14:paraId="5CE873D7" w14:textId="77777777" w:rsidTr="00BA61A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</w:trPr>
        <w:tc>
          <w:tcPr>
            <w:tcW w:w="2268" w:type="dxa"/>
          </w:tcPr>
          <w:p w14:paraId="754C9DCD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</w:p>
          <w:p w14:paraId="174EC0EE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  <w:r w:rsidRPr="002A6388">
              <w:rPr>
                <w:b w:val="0"/>
                <w:bCs w:val="0"/>
                <w:szCs w:val="22"/>
                <w:lang w:val="en-GB"/>
              </w:rPr>
              <w:t>Holidays:</w:t>
            </w:r>
          </w:p>
        </w:tc>
        <w:tc>
          <w:tcPr>
            <w:tcW w:w="7508" w:type="dxa"/>
          </w:tcPr>
          <w:p w14:paraId="434C1CE3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</w:p>
          <w:p w14:paraId="59FD13AB" w14:textId="77777777" w:rsidR="0037068E" w:rsidRPr="002A6388" w:rsidRDefault="0037068E" w:rsidP="001822B0">
            <w:pPr>
              <w:rPr>
                <w:rFonts w:ascii="Arial" w:hAnsi="Arial" w:cs="Arial"/>
                <w:sz w:val="22"/>
                <w:szCs w:val="22"/>
              </w:rPr>
            </w:pPr>
            <w:r w:rsidRPr="002A6388">
              <w:rPr>
                <w:rFonts w:ascii="Arial" w:hAnsi="Arial" w:cs="Arial"/>
                <w:sz w:val="22"/>
                <w:szCs w:val="22"/>
              </w:rPr>
              <w:t>25 days per</w:t>
            </w:r>
            <w:r>
              <w:rPr>
                <w:rFonts w:ascii="Arial" w:hAnsi="Arial" w:cs="Arial"/>
                <w:sz w:val="22"/>
                <w:szCs w:val="22"/>
              </w:rPr>
              <w:t xml:space="preserve"> annum plus 10 Public Holidays </w:t>
            </w:r>
          </w:p>
        </w:tc>
      </w:tr>
      <w:tr w:rsidR="0037068E" w:rsidRPr="002A6388" w14:paraId="64584380" w14:textId="77777777" w:rsidTr="00BA61A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  <w:trHeight w:val="106"/>
        </w:trPr>
        <w:tc>
          <w:tcPr>
            <w:tcW w:w="2268" w:type="dxa"/>
          </w:tcPr>
          <w:p w14:paraId="5CB0EE73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7508" w:type="dxa"/>
          </w:tcPr>
          <w:p w14:paraId="0AB88879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</w:p>
        </w:tc>
      </w:tr>
      <w:tr w:rsidR="0037068E" w:rsidRPr="002A6388" w14:paraId="735A4434" w14:textId="77777777" w:rsidTr="00BA61A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</w:trPr>
        <w:tc>
          <w:tcPr>
            <w:tcW w:w="2268" w:type="dxa"/>
          </w:tcPr>
          <w:p w14:paraId="29227286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  <w:r w:rsidRPr="002A6388">
              <w:rPr>
                <w:b w:val="0"/>
                <w:bCs w:val="0"/>
                <w:szCs w:val="22"/>
                <w:lang w:val="en-GB"/>
              </w:rPr>
              <w:t>Probationary period:</w:t>
            </w:r>
          </w:p>
        </w:tc>
        <w:tc>
          <w:tcPr>
            <w:tcW w:w="7508" w:type="dxa"/>
          </w:tcPr>
          <w:p w14:paraId="29903D2C" w14:textId="77777777" w:rsidR="0037068E" w:rsidRPr="002A6388" w:rsidRDefault="0037068E" w:rsidP="001822B0">
            <w:pPr>
              <w:rPr>
                <w:rFonts w:ascii="Arial" w:hAnsi="Arial" w:cs="Arial"/>
                <w:sz w:val="22"/>
                <w:szCs w:val="22"/>
              </w:rPr>
            </w:pPr>
            <w:r w:rsidRPr="002A6388">
              <w:rPr>
                <w:rFonts w:ascii="Arial" w:hAnsi="Arial" w:cs="Arial"/>
                <w:bCs/>
                <w:sz w:val="22"/>
                <w:szCs w:val="22"/>
              </w:rPr>
              <w:t>3 months</w:t>
            </w:r>
          </w:p>
          <w:p w14:paraId="1D878732" w14:textId="77777777" w:rsidR="0037068E" w:rsidRPr="002A6388" w:rsidRDefault="0037068E" w:rsidP="001822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68E" w:rsidRPr="002A6388" w14:paraId="6DA12EE5" w14:textId="77777777" w:rsidTr="00BA61A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</w:trPr>
        <w:tc>
          <w:tcPr>
            <w:tcW w:w="2268" w:type="dxa"/>
          </w:tcPr>
          <w:p w14:paraId="68F78430" w14:textId="77777777" w:rsidR="0037068E" w:rsidRPr="002A6388" w:rsidRDefault="0037068E" w:rsidP="001822B0">
            <w:pPr>
              <w:pStyle w:val="Heading1"/>
              <w:keepNext w:val="0"/>
              <w:widowControl w:val="0"/>
              <w:rPr>
                <w:b w:val="0"/>
                <w:bCs w:val="0"/>
                <w:szCs w:val="22"/>
                <w:lang w:val="en-GB"/>
              </w:rPr>
            </w:pPr>
            <w:r w:rsidRPr="002A6388">
              <w:rPr>
                <w:b w:val="0"/>
                <w:bCs w:val="0"/>
                <w:szCs w:val="22"/>
                <w:lang w:val="en-GB"/>
              </w:rPr>
              <w:t>Pension:</w:t>
            </w:r>
          </w:p>
        </w:tc>
        <w:tc>
          <w:tcPr>
            <w:tcW w:w="7508" w:type="dxa"/>
          </w:tcPr>
          <w:p w14:paraId="7A9704AB" w14:textId="77777777" w:rsidR="0037068E" w:rsidRPr="002A6388" w:rsidRDefault="0037068E" w:rsidP="001822B0">
            <w:pPr>
              <w:rPr>
                <w:rFonts w:ascii="Arial" w:hAnsi="Arial" w:cs="Arial"/>
                <w:sz w:val="22"/>
                <w:szCs w:val="22"/>
              </w:rPr>
            </w:pPr>
            <w:r w:rsidRPr="002A6388">
              <w:rPr>
                <w:rFonts w:ascii="Arial" w:hAnsi="Arial" w:cs="Arial"/>
                <w:sz w:val="22"/>
                <w:szCs w:val="22"/>
              </w:rPr>
              <w:t>You will be automatically enrolled into a qualifying workplace</w:t>
            </w:r>
          </w:p>
          <w:p w14:paraId="0E9B0F28" w14:textId="77777777" w:rsidR="0037068E" w:rsidRPr="002A6388" w:rsidRDefault="0037068E" w:rsidP="001822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6388">
              <w:rPr>
                <w:rFonts w:ascii="Arial" w:hAnsi="Arial" w:cs="Arial"/>
                <w:sz w:val="22"/>
                <w:szCs w:val="22"/>
              </w:rPr>
              <w:t xml:space="preserve">pension scheme (QWPS).  You will contribute 4% of your </w:t>
            </w:r>
            <w:proofErr w:type="gramStart"/>
            <w:r w:rsidRPr="002A6388">
              <w:rPr>
                <w:rFonts w:ascii="Arial" w:hAnsi="Arial" w:cs="Arial"/>
                <w:sz w:val="22"/>
                <w:szCs w:val="22"/>
              </w:rPr>
              <w:t xml:space="preserve">salary,   </w:t>
            </w:r>
            <w:proofErr w:type="gramEnd"/>
            <w:r w:rsidRPr="002A6388">
              <w:rPr>
                <w:rFonts w:ascii="Arial" w:hAnsi="Arial" w:cs="Arial"/>
                <w:sz w:val="22"/>
                <w:szCs w:val="22"/>
              </w:rPr>
              <w:t xml:space="preserve">                           the Company contributes 8%.</w:t>
            </w:r>
          </w:p>
        </w:tc>
      </w:tr>
    </w:tbl>
    <w:p w14:paraId="5B90FE53" w14:textId="77777777" w:rsidR="00B42E2B" w:rsidRDefault="00B42E2B">
      <w:pPr>
        <w:rPr>
          <w:rFonts w:ascii="Arial" w:hAnsi="Arial" w:cs="Arial"/>
          <w:sz w:val="22"/>
        </w:rPr>
      </w:pPr>
    </w:p>
    <w:sectPr w:rsidR="00B42E2B" w:rsidSect="001551FC">
      <w:footerReference w:type="default" r:id="rId8"/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1752" w14:textId="77777777" w:rsidR="009A2A85" w:rsidRDefault="009A2A85">
      <w:r>
        <w:separator/>
      </w:r>
    </w:p>
  </w:endnote>
  <w:endnote w:type="continuationSeparator" w:id="0">
    <w:p w14:paraId="0AF08A87" w14:textId="77777777" w:rsidR="009A2A85" w:rsidRDefault="009A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1692" w14:textId="77777777" w:rsidR="00B42E2B" w:rsidRDefault="00B42E2B">
    <w:pPr>
      <w:pStyle w:val="Footer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Page </w:t>
    </w:r>
    <w:r>
      <w:rPr>
        <w:rFonts w:ascii="Arial Narrow" w:hAnsi="Arial Narrow"/>
        <w:sz w:val="20"/>
      </w:rPr>
      <w:fldChar w:fldCharType="begin"/>
    </w:r>
    <w:r>
      <w:rPr>
        <w:rFonts w:ascii="Arial Narrow" w:hAnsi="Arial Narrow"/>
        <w:sz w:val="20"/>
      </w:rPr>
      <w:instrText xml:space="preserve"> PAGE </w:instrText>
    </w:r>
    <w:r>
      <w:rPr>
        <w:rFonts w:ascii="Arial Narrow" w:hAnsi="Arial Narrow"/>
        <w:sz w:val="20"/>
      </w:rPr>
      <w:fldChar w:fldCharType="separate"/>
    </w:r>
    <w:r w:rsidR="001551FC">
      <w:rPr>
        <w:rFonts w:ascii="Arial Narrow" w:hAnsi="Arial Narrow"/>
        <w:noProof/>
        <w:sz w:val="20"/>
      </w:rPr>
      <w:t>3</w:t>
    </w:r>
    <w:r>
      <w:rPr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 xml:space="preserve"> of </w:t>
    </w:r>
    <w:r>
      <w:rPr>
        <w:rFonts w:ascii="Arial Narrow" w:hAnsi="Arial Narrow"/>
        <w:sz w:val="20"/>
      </w:rPr>
      <w:fldChar w:fldCharType="begin"/>
    </w:r>
    <w:r>
      <w:rPr>
        <w:rFonts w:ascii="Arial Narrow" w:hAnsi="Arial Narrow"/>
        <w:sz w:val="20"/>
      </w:rPr>
      <w:instrText xml:space="preserve"> NUMPAGES </w:instrText>
    </w:r>
    <w:r>
      <w:rPr>
        <w:rFonts w:ascii="Arial Narrow" w:hAnsi="Arial Narrow"/>
        <w:sz w:val="20"/>
      </w:rPr>
      <w:fldChar w:fldCharType="separate"/>
    </w:r>
    <w:r w:rsidR="001551FC">
      <w:rPr>
        <w:rFonts w:ascii="Arial Narrow" w:hAnsi="Arial Narrow"/>
        <w:noProof/>
        <w:sz w:val="20"/>
      </w:rPr>
      <w:t>3</w:t>
    </w:r>
    <w:r>
      <w:rPr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FB18" w14:textId="77777777" w:rsidR="009A2A85" w:rsidRDefault="009A2A85">
      <w:r>
        <w:separator/>
      </w:r>
    </w:p>
  </w:footnote>
  <w:footnote w:type="continuationSeparator" w:id="0">
    <w:p w14:paraId="3C07296D" w14:textId="77777777" w:rsidR="009A2A85" w:rsidRDefault="009A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3AC0"/>
    <w:multiLevelType w:val="hybridMultilevel"/>
    <w:tmpl w:val="2EA26CA4"/>
    <w:lvl w:ilvl="0" w:tplc="94389B4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93B04C0E">
      <w:start w:val="1"/>
      <w:numFmt w:val="bullet"/>
      <w:lvlText w:val="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6E76"/>
    <w:multiLevelType w:val="hybridMultilevel"/>
    <w:tmpl w:val="2EA26CA4"/>
    <w:lvl w:ilvl="0" w:tplc="41E20E3C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9E800F86">
      <w:start w:val="1"/>
      <w:numFmt w:val="bullet"/>
      <w:lvlText w:val="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4A6"/>
    <w:multiLevelType w:val="hybridMultilevel"/>
    <w:tmpl w:val="FADED934"/>
    <w:lvl w:ilvl="0" w:tplc="BD9A734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88E4FF1C">
      <w:start w:val="1"/>
      <w:numFmt w:val="bullet"/>
      <w:lvlText w:val="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6B6"/>
    <w:multiLevelType w:val="hybridMultilevel"/>
    <w:tmpl w:val="2EA26CA4"/>
    <w:lvl w:ilvl="0" w:tplc="BD9A734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93B04C0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E51B2"/>
    <w:multiLevelType w:val="hybridMultilevel"/>
    <w:tmpl w:val="DF46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B2702"/>
    <w:multiLevelType w:val="hybridMultilevel"/>
    <w:tmpl w:val="2EA26CA4"/>
    <w:lvl w:ilvl="0" w:tplc="94389B4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93B04C0E">
      <w:start w:val="1"/>
      <w:numFmt w:val="bullet"/>
      <w:lvlText w:val="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2DED"/>
    <w:multiLevelType w:val="hybridMultilevel"/>
    <w:tmpl w:val="2EA26CA4"/>
    <w:lvl w:ilvl="0" w:tplc="41E20E3C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62326E2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5210"/>
    <w:multiLevelType w:val="hybridMultilevel"/>
    <w:tmpl w:val="2EA26CA4"/>
    <w:lvl w:ilvl="0" w:tplc="9B4082DC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7AC2E382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26ACC"/>
    <w:multiLevelType w:val="hybridMultilevel"/>
    <w:tmpl w:val="D122B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4D49"/>
    <w:multiLevelType w:val="hybridMultilevel"/>
    <w:tmpl w:val="2EA26CA4"/>
    <w:lvl w:ilvl="0" w:tplc="9B4082DC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9E800F86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500FE"/>
    <w:multiLevelType w:val="hybridMultilevel"/>
    <w:tmpl w:val="2EA26CA4"/>
    <w:lvl w:ilvl="0" w:tplc="94389B4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44562A16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7519D"/>
    <w:multiLevelType w:val="hybridMultilevel"/>
    <w:tmpl w:val="171604C4"/>
    <w:lvl w:ilvl="0" w:tplc="960A75D4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1272C"/>
    <w:multiLevelType w:val="hybridMultilevel"/>
    <w:tmpl w:val="562C6CD6"/>
    <w:lvl w:ilvl="0" w:tplc="960A75D4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D5084"/>
    <w:multiLevelType w:val="hybridMultilevel"/>
    <w:tmpl w:val="6C543DA0"/>
    <w:lvl w:ilvl="0" w:tplc="93F83D32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22"/>
        <w:szCs w:val="22"/>
      </w:rPr>
    </w:lvl>
    <w:lvl w:ilvl="1" w:tplc="88E4FF1C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3053380">
    <w:abstractNumId w:val="12"/>
  </w:num>
  <w:num w:numId="2" w16cid:durableId="1466507221">
    <w:abstractNumId w:val="11"/>
  </w:num>
  <w:num w:numId="3" w16cid:durableId="2011591058">
    <w:abstractNumId w:val="2"/>
  </w:num>
  <w:num w:numId="4" w16cid:durableId="1782333776">
    <w:abstractNumId w:val="5"/>
  </w:num>
  <w:num w:numId="5" w16cid:durableId="1230070941">
    <w:abstractNumId w:val="13"/>
  </w:num>
  <w:num w:numId="6" w16cid:durableId="1644382522">
    <w:abstractNumId w:val="1"/>
  </w:num>
  <w:num w:numId="7" w16cid:durableId="722947678">
    <w:abstractNumId w:val="9"/>
  </w:num>
  <w:num w:numId="8" w16cid:durableId="843786792">
    <w:abstractNumId w:val="6"/>
  </w:num>
  <w:num w:numId="9" w16cid:durableId="1677413909">
    <w:abstractNumId w:val="3"/>
  </w:num>
  <w:num w:numId="10" w16cid:durableId="1629553661">
    <w:abstractNumId w:val="0"/>
  </w:num>
  <w:num w:numId="11" w16cid:durableId="1241140966">
    <w:abstractNumId w:val="10"/>
  </w:num>
  <w:num w:numId="12" w16cid:durableId="642125098">
    <w:abstractNumId w:val="7"/>
  </w:num>
  <w:num w:numId="13" w16cid:durableId="1086027912">
    <w:abstractNumId w:val="8"/>
  </w:num>
  <w:num w:numId="14" w16cid:durableId="1089423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C0"/>
    <w:rsid w:val="00002EB6"/>
    <w:rsid w:val="00055021"/>
    <w:rsid w:val="00057BE5"/>
    <w:rsid w:val="0007566A"/>
    <w:rsid w:val="000A3A4F"/>
    <w:rsid w:val="000A4DDD"/>
    <w:rsid w:val="000C6B91"/>
    <w:rsid w:val="000D2AC0"/>
    <w:rsid w:val="000F6C9E"/>
    <w:rsid w:val="000F7C96"/>
    <w:rsid w:val="00124FC8"/>
    <w:rsid w:val="00135608"/>
    <w:rsid w:val="001551FC"/>
    <w:rsid w:val="0017295D"/>
    <w:rsid w:val="001822B0"/>
    <w:rsid w:val="001954A3"/>
    <w:rsid w:val="001A04E4"/>
    <w:rsid w:val="001A4702"/>
    <w:rsid w:val="001F3B3A"/>
    <w:rsid w:val="00257D59"/>
    <w:rsid w:val="0026197C"/>
    <w:rsid w:val="00315B12"/>
    <w:rsid w:val="00327865"/>
    <w:rsid w:val="0037068E"/>
    <w:rsid w:val="003B0D51"/>
    <w:rsid w:val="003E0853"/>
    <w:rsid w:val="003E29A5"/>
    <w:rsid w:val="0040569D"/>
    <w:rsid w:val="0040731D"/>
    <w:rsid w:val="004415BD"/>
    <w:rsid w:val="0051163D"/>
    <w:rsid w:val="005E493B"/>
    <w:rsid w:val="00661223"/>
    <w:rsid w:val="00693F9D"/>
    <w:rsid w:val="006D5E4D"/>
    <w:rsid w:val="00744F4A"/>
    <w:rsid w:val="00795A08"/>
    <w:rsid w:val="007B1488"/>
    <w:rsid w:val="007E0A0E"/>
    <w:rsid w:val="008138B8"/>
    <w:rsid w:val="00823906"/>
    <w:rsid w:val="00835F1C"/>
    <w:rsid w:val="0085083C"/>
    <w:rsid w:val="008D2842"/>
    <w:rsid w:val="00955B03"/>
    <w:rsid w:val="00976687"/>
    <w:rsid w:val="009A2A85"/>
    <w:rsid w:val="009D20A1"/>
    <w:rsid w:val="009D4284"/>
    <w:rsid w:val="009F1C9F"/>
    <w:rsid w:val="00A37A0E"/>
    <w:rsid w:val="00B31FA7"/>
    <w:rsid w:val="00B42E2B"/>
    <w:rsid w:val="00B778F7"/>
    <w:rsid w:val="00B97B47"/>
    <w:rsid w:val="00BA61A1"/>
    <w:rsid w:val="00C22B3D"/>
    <w:rsid w:val="00C958A5"/>
    <w:rsid w:val="00D266DF"/>
    <w:rsid w:val="00DB10AA"/>
    <w:rsid w:val="00E724A1"/>
    <w:rsid w:val="00E83477"/>
    <w:rsid w:val="00E944D3"/>
    <w:rsid w:val="00EF3A89"/>
    <w:rsid w:val="00EF662A"/>
    <w:rsid w:val="00F03361"/>
    <w:rsid w:val="00F64FDD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2164D"/>
  <w15:chartTrackingRefBased/>
  <w15:docId w15:val="{B0FD18DF-2C2C-46AE-974C-8EA5348E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jc w:val="both"/>
      <w:outlineLvl w:val="4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lang w:val="en-US"/>
    </w:rPr>
  </w:style>
  <w:style w:type="paragraph" w:styleId="BodyTextIndent">
    <w:name w:val="Body Text Indent"/>
    <w:basedOn w:val="Normal"/>
    <w:link w:val="BodyTextIndentChar"/>
    <w:semiHidden/>
    <w:pPr>
      <w:ind w:left="2160" w:hanging="2160"/>
    </w:pPr>
    <w:rPr>
      <w:rFonts w:ascii="Arial" w:hAnsi="Arial" w:cs="Arial"/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0D2AC0"/>
    <w:pPr>
      <w:ind w:left="720"/>
    </w:pPr>
  </w:style>
  <w:style w:type="character" w:styleId="CommentReference">
    <w:name w:val="annotation reference"/>
    <w:uiPriority w:val="99"/>
    <w:semiHidden/>
    <w:unhideWhenUsed/>
    <w:rsid w:val="001F3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B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3B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B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3B3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3B3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D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7068E"/>
    <w:rPr>
      <w:rFonts w:ascii="Arial" w:hAnsi="Arial" w:cs="Arial"/>
      <w:b/>
      <w:bCs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37068E"/>
    <w:rPr>
      <w:rFonts w:ascii="Arial" w:hAnsi="Arial" w:cs="Arial"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EF66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4602</Characters>
  <Application>Microsoft Office Word</Application>
  <DocSecurity>4</DocSecurity>
  <Lines>1150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Scottish Opera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catherines</dc:creator>
  <cp:keywords/>
  <cp:lastModifiedBy>Loren McKirdy</cp:lastModifiedBy>
  <cp:revision>2</cp:revision>
  <cp:lastPrinted>2016-06-15T13:30:00Z</cp:lastPrinted>
  <dcterms:created xsi:type="dcterms:W3CDTF">2025-11-18T17:39:00Z</dcterms:created>
  <dcterms:modified xsi:type="dcterms:W3CDTF">2025-11-18T17:39:00Z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c2710bea-b00d-4a9c-a817-4fc3ddae1b57</vt:lpwstr>
  </property>
</Properties>
</file>