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8CB6" w14:textId="4B786212" w:rsidR="00520029" w:rsidRDefault="00117AE9" w:rsidP="00EF49F7">
      <w:pPr>
        <w:pStyle w:val="MentorHeading1"/>
      </w:pPr>
      <w:bookmarkStart w:id="0" w:name="_Toc9019988"/>
      <w:r>
        <w:t>Protecting Vulnerable Groups</w:t>
      </w:r>
      <w:r w:rsidR="007B0FE0">
        <w:t xml:space="preserve"> Scheme</w:t>
      </w:r>
      <w:r>
        <w:t xml:space="preserve"> </w:t>
      </w:r>
      <w:r w:rsidR="00520029">
        <w:t>and Disclosure Information</w:t>
      </w:r>
      <w:bookmarkEnd w:id="0"/>
    </w:p>
    <w:p w14:paraId="3C0FE40E" w14:textId="77777777" w:rsidR="00520029" w:rsidRDefault="00520029" w:rsidP="00520029">
      <w:pPr>
        <w:pStyle w:val="MentorHeading3"/>
      </w:pPr>
      <w:r>
        <w:t>What this policy covers</w:t>
      </w:r>
    </w:p>
    <w:p w14:paraId="48ACC0EF" w14:textId="2CFA7A03" w:rsidR="00520029" w:rsidRDefault="00520029" w:rsidP="00520029">
      <w:pPr>
        <w:pStyle w:val="MentorText"/>
      </w:pPr>
      <w:r>
        <w:t xml:space="preserve">The Company uses </w:t>
      </w:r>
      <w:r w:rsidR="00117AE9">
        <w:t xml:space="preserve">the Protecting Vulnerable Groups (PVG) Scheme </w:t>
      </w:r>
      <w:r>
        <w:t xml:space="preserve">to assess the suitability of individuals for employment in positions of trust. As recipients of </w:t>
      </w:r>
      <w:r w:rsidR="00064AF7">
        <w:t>this information</w:t>
      </w:r>
      <w:r>
        <w:t>, the Company must comply fully with the relevant Code of Practice.</w:t>
      </w:r>
    </w:p>
    <w:p w14:paraId="2672651F" w14:textId="25552B9C" w:rsidR="00520029" w:rsidRDefault="00520029" w:rsidP="00520029">
      <w:pPr>
        <w:pStyle w:val="MentorText"/>
      </w:pPr>
      <w:r>
        <w:t xml:space="preserve">This policy outlines the Company's legal basis for processing </w:t>
      </w:r>
      <w:proofErr w:type="gramStart"/>
      <w:r>
        <w:t>and also</w:t>
      </w:r>
      <w:proofErr w:type="gramEnd"/>
      <w:r>
        <w:t xml:space="preserve"> obligations in respect of the handling, use, storage, retention and disposal of </w:t>
      </w:r>
      <w:r w:rsidR="00117AE9">
        <w:t>PVG</w:t>
      </w:r>
      <w:r>
        <w:t xml:space="preserve"> and Disclosure Information.  It also sets out your obligations regarding disclosing information and the implications of an unsatisfactory disclosure being received.</w:t>
      </w:r>
    </w:p>
    <w:p w14:paraId="0D9E1701" w14:textId="77777777" w:rsidR="00520029" w:rsidRDefault="00520029" w:rsidP="00520029">
      <w:pPr>
        <w:pStyle w:val="MentorHeading3"/>
      </w:pPr>
      <w:r>
        <w:t>The Company's responsibilities</w:t>
      </w:r>
    </w:p>
    <w:p w14:paraId="04E53272" w14:textId="77777777" w:rsidR="00520029" w:rsidRDefault="00520029" w:rsidP="00520029">
      <w:pPr>
        <w:pStyle w:val="MentorHeading4"/>
      </w:pPr>
      <w:r>
        <w:t>General principles</w:t>
      </w:r>
    </w:p>
    <w:p w14:paraId="67CCF1EA" w14:textId="778432FC" w:rsidR="00520029" w:rsidRDefault="00520029" w:rsidP="00520029">
      <w:pPr>
        <w:pStyle w:val="MentorText"/>
      </w:pPr>
      <w:r>
        <w:t xml:space="preserve">The Company will only process </w:t>
      </w:r>
      <w:r w:rsidR="00064AF7">
        <w:t>PVG</w:t>
      </w:r>
      <w:r>
        <w:t xml:space="preserve"> and Disclosure Information to perform obligations or to exercise rights in employment law as provided under data protection legislation.</w:t>
      </w:r>
    </w:p>
    <w:p w14:paraId="3C69882F" w14:textId="4D54A346" w:rsidR="00520029" w:rsidRDefault="00520029" w:rsidP="00520029">
      <w:pPr>
        <w:pStyle w:val="MentorText"/>
      </w:pPr>
      <w:r>
        <w:t xml:space="preserve">The Company will tell you the reasons for processing </w:t>
      </w:r>
      <w:r w:rsidR="00064AF7">
        <w:t>PVG</w:t>
      </w:r>
      <w:r>
        <w:t xml:space="preserve"> and Disclosure Information, how it uses such data and the legal basis for this processing in its Privacy Notices.</w:t>
      </w:r>
    </w:p>
    <w:p w14:paraId="379A3550" w14:textId="310A9D92" w:rsidR="00520029" w:rsidRDefault="00520029" w:rsidP="00520029">
      <w:pPr>
        <w:pStyle w:val="MentorText"/>
      </w:pPr>
      <w:r>
        <w:t xml:space="preserve">Where a </w:t>
      </w:r>
      <w:r w:rsidR="00064AF7">
        <w:t>PVG Scheme Record</w:t>
      </w:r>
      <w:r>
        <w:t xml:space="preserve"> is required for the position concerned, all application forms, job advertisements and recruitment briefs will contain a statement that </w:t>
      </w:r>
      <w:r w:rsidR="00064AF7">
        <w:t>a PVG application</w:t>
      </w:r>
      <w:r>
        <w:t xml:space="preserve"> will be conducted in the event of the candidate being offered the position.</w:t>
      </w:r>
    </w:p>
    <w:p w14:paraId="31FC076B" w14:textId="18564DC6" w:rsidR="00520029" w:rsidRDefault="00520029" w:rsidP="00520029">
      <w:pPr>
        <w:pStyle w:val="MentorText"/>
      </w:pPr>
      <w:r>
        <w:t xml:space="preserve">The Company also complies fully with its obligations under data protection legislation and other relevant legislation pertaining to the safe handling, use, storage, retention and disposal of </w:t>
      </w:r>
      <w:r w:rsidR="00064AF7">
        <w:t xml:space="preserve">PVG and </w:t>
      </w:r>
      <w:r>
        <w:t>Disclosure Information.</w:t>
      </w:r>
    </w:p>
    <w:p w14:paraId="2CB5670B" w14:textId="4C5BBDD1" w:rsidR="00520029" w:rsidRDefault="00520029" w:rsidP="00520029">
      <w:pPr>
        <w:pStyle w:val="MentorHeading4"/>
      </w:pPr>
      <w:r>
        <w:t xml:space="preserve">Use of </w:t>
      </w:r>
      <w:r w:rsidR="00064AF7">
        <w:t>PVG and disclosure</w:t>
      </w:r>
      <w:r>
        <w:t xml:space="preserve"> information</w:t>
      </w:r>
    </w:p>
    <w:p w14:paraId="463EDC4D" w14:textId="0A713F7E" w:rsidR="00520029" w:rsidRDefault="00064AF7" w:rsidP="00520029">
      <w:pPr>
        <w:pStyle w:val="MentorText"/>
      </w:pPr>
      <w:r>
        <w:t xml:space="preserve">PVG and </w:t>
      </w:r>
      <w:r w:rsidR="00520029">
        <w:t xml:space="preserve">Disclosure Information is only used for the specific purpose for which it was requested, as detailed in the Company's Privacy Notice and for which the Company has the legal right to use it and for which your full consent has been given. </w:t>
      </w:r>
    </w:p>
    <w:p w14:paraId="74963E80" w14:textId="157C54C0" w:rsidR="00520029" w:rsidRDefault="00520029" w:rsidP="00520029">
      <w:pPr>
        <w:pStyle w:val="MentorText"/>
      </w:pPr>
      <w:r>
        <w:t xml:space="preserve">In the event of an unsatisfactory </w:t>
      </w:r>
      <w:r w:rsidR="00064AF7">
        <w:t>PVG Record</w:t>
      </w:r>
      <w:r>
        <w:t xml:space="preserve"> the Company will arrange to meet with you to discuss this issue and reserves the right to withdraw any employment offer or terminate your employment.</w:t>
      </w:r>
    </w:p>
    <w:p w14:paraId="42E8AE1C" w14:textId="77777777" w:rsidR="00520029" w:rsidRDefault="00520029" w:rsidP="00520029">
      <w:pPr>
        <w:pStyle w:val="MentorHeading4"/>
      </w:pPr>
      <w:r>
        <w:t>Storage and access</w:t>
      </w:r>
    </w:p>
    <w:p w14:paraId="711858E5" w14:textId="6EF98DC2" w:rsidR="006979D0" w:rsidRPr="000642AA" w:rsidRDefault="006979D0" w:rsidP="006979D0">
      <w:pPr>
        <w:pStyle w:val="MentorText"/>
      </w:pPr>
      <w:r>
        <w:t xml:space="preserve">For employment administration and evidential purposes, the Company will </w:t>
      </w:r>
      <w:r w:rsidR="00816BBC">
        <w:t>record your PVG membership number and Disclosure number</w:t>
      </w:r>
      <w:r w:rsidR="006A5D12">
        <w:t xml:space="preserve">.  </w:t>
      </w:r>
      <w:r w:rsidR="006A5D12" w:rsidRPr="000642AA">
        <w:t>After this has been recorded, the paper certificate and digital certificate will be securely disposed of.</w:t>
      </w:r>
    </w:p>
    <w:p w14:paraId="1A0DCBB2" w14:textId="77777777" w:rsidR="00520029" w:rsidRDefault="00520029" w:rsidP="00520029">
      <w:pPr>
        <w:pStyle w:val="MentorHeading4"/>
      </w:pPr>
      <w:r w:rsidRPr="000642AA">
        <w:t>Handling</w:t>
      </w:r>
    </w:p>
    <w:p w14:paraId="1E4C3B51" w14:textId="6BBBBAB3" w:rsidR="00520029" w:rsidRDefault="00520029" w:rsidP="00520029">
      <w:pPr>
        <w:pStyle w:val="MentorText"/>
      </w:pPr>
      <w:r>
        <w:t xml:space="preserve">In accordance with relevant legislation, </w:t>
      </w:r>
      <w:r w:rsidR="00064AF7">
        <w:t>PVG and Di</w:t>
      </w:r>
      <w:r>
        <w:t xml:space="preserve">sclosure Information is only passed to those who are authorised to receive it in the course of their duties.  The Company maintains a record of all those to whom </w:t>
      </w:r>
      <w:r w:rsidR="00064AF7">
        <w:t>PVG</w:t>
      </w:r>
      <w:r>
        <w:t xml:space="preserve"> or Disclosure Information has been revealed and recognises that it is a criminal offence to pass this information to anyone who is not entitled to receive it.</w:t>
      </w:r>
    </w:p>
    <w:p w14:paraId="6D8C491F" w14:textId="77777777" w:rsidR="00520029" w:rsidRDefault="00520029" w:rsidP="00520029">
      <w:pPr>
        <w:pStyle w:val="MentorHeading4"/>
      </w:pPr>
      <w:r>
        <w:lastRenderedPageBreak/>
        <w:t>Retention</w:t>
      </w:r>
    </w:p>
    <w:p w14:paraId="39DE1B08" w14:textId="53F2BC3E" w:rsidR="00520029" w:rsidRDefault="00520029" w:rsidP="00520029">
      <w:pPr>
        <w:pStyle w:val="MentorText"/>
      </w:pPr>
      <w:r>
        <w:t xml:space="preserve">The Company will not retain your </w:t>
      </w:r>
      <w:r w:rsidR="00064AF7">
        <w:t xml:space="preserve">PVG or </w:t>
      </w:r>
      <w:r>
        <w:t xml:space="preserve">Disclosure Information for any longer than is </w:t>
      </w:r>
      <w:proofErr w:type="gramStart"/>
      <w:r>
        <w:t>absolutely necessary</w:t>
      </w:r>
      <w:proofErr w:type="gramEnd"/>
      <w:r>
        <w:t xml:space="preserve">. This retention will allow for the consideration and resolution of any dispute or complaint or be for the purpose of completing safeguarding audits. </w:t>
      </w:r>
    </w:p>
    <w:p w14:paraId="18BFC39F" w14:textId="77777777" w:rsidR="00520029" w:rsidRDefault="00520029" w:rsidP="00520029">
      <w:pPr>
        <w:pStyle w:val="MentorText"/>
      </w:pPr>
      <w:r>
        <w:t>Throughout this time the usual conditions regarding safe storage and strictly controlled access will prevail.</w:t>
      </w:r>
    </w:p>
    <w:p w14:paraId="0FC069B4" w14:textId="77777777" w:rsidR="00520029" w:rsidRDefault="00520029" w:rsidP="00520029">
      <w:pPr>
        <w:pStyle w:val="MentorHeading4"/>
      </w:pPr>
      <w:r>
        <w:t>Disposal</w:t>
      </w:r>
    </w:p>
    <w:p w14:paraId="63A3E80B" w14:textId="5AD4707C" w:rsidR="00520029" w:rsidRDefault="00520029" w:rsidP="00520029">
      <w:pPr>
        <w:pStyle w:val="MentorText"/>
      </w:pPr>
      <w:r w:rsidRPr="000642AA">
        <w:t xml:space="preserve">Once the retention period has elapsed, the Company will ensure your </w:t>
      </w:r>
      <w:r w:rsidR="00064AF7" w:rsidRPr="000642AA">
        <w:t>PVG or disclosure i</w:t>
      </w:r>
      <w:r w:rsidRPr="000642AA">
        <w:t xml:space="preserve">nformation is immediately destroyed by secure means. While awaiting destruction, </w:t>
      </w:r>
      <w:r w:rsidR="00AA2E5A" w:rsidRPr="000642AA">
        <w:t>the</w:t>
      </w:r>
      <w:r w:rsidRPr="000642AA">
        <w:t xml:space="preserve"> Information will not be stored in any unsecured receptacle (e.g. waste bin).</w:t>
      </w:r>
    </w:p>
    <w:p w14:paraId="2209DD0B" w14:textId="05B21776" w:rsidR="00520029" w:rsidRDefault="00520029" w:rsidP="00520029">
      <w:pPr>
        <w:pStyle w:val="MentorText"/>
      </w:pPr>
      <w:r w:rsidRPr="000642AA">
        <w:t xml:space="preserve">The Company will not keep any photocopy or other image of the </w:t>
      </w:r>
      <w:r w:rsidR="00AA2E5A" w:rsidRPr="000642AA">
        <w:t>information</w:t>
      </w:r>
      <w:r w:rsidRPr="000642AA">
        <w:t xml:space="preserve"> or any copy or representation of the contents of a </w:t>
      </w:r>
      <w:r w:rsidR="00AA2E5A" w:rsidRPr="000642AA">
        <w:t>PVG Scheme Record or Disclosure</w:t>
      </w:r>
      <w:r w:rsidRPr="000642AA">
        <w:t>. H</w:t>
      </w:r>
      <w:r>
        <w:t xml:space="preserve">owever, the Company may keep a record of the date of issue of a </w:t>
      </w:r>
      <w:r w:rsidR="00AA2E5A">
        <w:t>record</w:t>
      </w:r>
      <w:r>
        <w:t xml:space="preserve">, the name of the subject, the type of </w:t>
      </w:r>
      <w:r w:rsidR="00AA2E5A">
        <w:t>PVG/Disclosure</w:t>
      </w:r>
      <w:r>
        <w:t xml:space="preserve"> requested, the position in relation to which </w:t>
      </w:r>
      <w:r w:rsidR="00AA2E5A">
        <w:t xml:space="preserve">the application </w:t>
      </w:r>
      <w:r>
        <w:t xml:space="preserve">was requested, the unique reference number of the </w:t>
      </w:r>
      <w:r w:rsidR="00AA2E5A">
        <w:t>PVG/</w:t>
      </w:r>
      <w:r>
        <w:t>Disclosure</w:t>
      </w:r>
      <w:r w:rsidR="00AA2E5A">
        <w:t xml:space="preserve"> application</w:t>
      </w:r>
      <w:r>
        <w:t xml:space="preserve"> and the details of the recruitment decision taken.</w:t>
      </w:r>
    </w:p>
    <w:p w14:paraId="6F71A9D0" w14:textId="77777777" w:rsidR="00520029" w:rsidRDefault="00520029" w:rsidP="00520029">
      <w:pPr>
        <w:pStyle w:val="MentorHeading3"/>
      </w:pPr>
      <w:r>
        <w:t>Your responsibilities</w:t>
      </w:r>
    </w:p>
    <w:p w14:paraId="768C80F4" w14:textId="44E5C50B" w:rsidR="00520029" w:rsidRDefault="00520029" w:rsidP="00520029">
      <w:pPr>
        <w:pStyle w:val="MentorText"/>
      </w:pPr>
      <w:r>
        <w:t>You are required to inform the Company immediately if at any time during your employment you are questioned in connection with, charged with</w:t>
      </w:r>
      <w:r w:rsidR="00AA2E5A">
        <w:t>,</w:t>
      </w:r>
      <w:r>
        <w:t xml:space="preserve"> or convicted of any criminal offence</w:t>
      </w:r>
      <w:r w:rsidR="00AA2E5A">
        <w:t>,</w:t>
      </w:r>
      <w:r>
        <w:t xml:space="preserve"> or if you are in receipt of any notice of prosecution or police caution. Failure to notify the Company may result in disciplinary action against you, up to and including dismissal without notice for gross misconduct.</w:t>
      </w:r>
    </w:p>
    <w:p w14:paraId="5D1FEF5F" w14:textId="77777777" w:rsidR="00077492" w:rsidRDefault="00077492"/>
    <w:sectPr w:rsidR="0007749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EF1B" w14:textId="77777777" w:rsidR="00C44243" w:rsidRDefault="00C44243" w:rsidP="00B56592">
      <w:pPr>
        <w:spacing w:after="0" w:line="240" w:lineRule="auto"/>
      </w:pPr>
      <w:r>
        <w:separator/>
      </w:r>
    </w:p>
  </w:endnote>
  <w:endnote w:type="continuationSeparator" w:id="0">
    <w:p w14:paraId="7C667871" w14:textId="77777777" w:rsidR="00C44243" w:rsidRDefault="00C44243" w:rsidP="00B56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49FA" w14:textId="77777777" w:rsidR="00C44243" w:rsidRDefault="00C44243" w:rsidP="00B56592">
      <w:pPr>
        <w:spacing w:after="0" w:line="240" w:lineRule="auto"/>
      </w:pPr>
      <w:r>
        <w:separator/>
      </w:r>
    </w:p>
  </w:footnote>
  <w:footnote w:type="continuationSeparator" w:id="0">
    <w:p w14:paraId="08221C5F" w14:textId="77777777" w:rsidR="00C44243" w:rsidRDefault="00C44243" w:rsidP="00B56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4424" w14:textId="416D398F" w:rsidR="00B56592" w:rsidRDefault="00B56592" w:rsidP="00B56592">
    <w:pPr>
      <w:pStyle w:val="Header"/>
      <w:jc w:val="center"/>
      <w:rPr>
        <w:b/>
      </w:rPr>
    </w:pPr>
    <w:r>
      <w:rPr>
        <w:noProof/>
      </w:rPr>
      <w:drawing>
        <wp:anchor distT="0" distB="0" distL="114300" distR="114300" simplePos="0" relativeHeight="251659264" behindDoc="1" locked="0" layoutInCell="1" allowOverlap="1" wp14:anchorId="6DE8FBD0" wp14:editId="60F8BCBB">
          <wp:simplePos x="0" y="0"/>
          <wp:positionH relativeFrom="margin">
            <wp:align>left</wp:align>
          </wp:positionH>
          <wp:positionV relativeFrom="paragraph">
            <wp:posOffset>11430</wp:posOffset>
          </wp:positionV>
          <wp:extent cx="1162050" cy="442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44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03816" w14:textId="7134E5D7" w:rsidR="00B56592" w:rsidRDefault="00B56592" w:rsidP="00B56592">
    <w:pPr>
      <w:pStyle w:val="Header"/>
      <w:jc w:val="center"/>
      <w:rPr>
        <w:rFonts w:ascii="Arial" w:hAnsi="Arial" w:cs="Arial"/>
        <w:b/>
        <w:sz w:val="24"/>
      </w:rPr>
    </w:pPr>
    <w:r w:rsidRPr="00B56592">
      <w:rPr>
        <w:rFonts w:ascii="Arial" w:hAnsi="Arial" w:cs="Arial"/>
        <w:b/>
        <w:sz w:val="24"/>
      </w:rPr>
      <w:t>Polic</w:t>
    </w:r>
    <w:r w:rsidR="00202744">
      <w:rPr>
        <w:rFonts w:ascii="Arial" w:hAnsi="Arial" w:cs="Arial"/>
        <w:b/>
        <w:sz w:val="24"/>
      </w:rPr>
      <w:t>ies</w:t>
    </w:r>
    <w:r w:rsidRPr="00B56592">
      <w:rPr>
        <w:rFonts w:ascii="Arial" w:hAnsi="Arial" w:cs="Arial"/>
        <w:b/>
        <w:sz w:val="24"/>
      </w:rPr>
      <w:t xml:space="preserve"> and Procedures</w:t>
    </w:r>
  </w:p>
  <w:p w14:paraId="7E3BA319" w14:textId="50ECEDAB" w:rsidR="00EF49F7" w:rsidRDefault="00EF49F7" w:rsidP="00B56592">
    <w:pPr>
      <w:pStyle w:val="Header"/>
      <w:jc w:val="center"/>
      <w:rPr>
        <w:rFonts w:ascii="Arial" w:hAnsi="Arial" w:cs="Arial"/>
        <w:b/>
        <w:sz w:val="24"/>
      </w:rPr>
    </w:pPr>
  </w:p>
  <w:tbl>
    <w:tblPr>
      <w:tblW w:w="5709" w:type="dxa"/>
      <w:tblInd w:w="103" w:type="dxa"/>
      <w:tblLook w:val="04A0" w:firstRow="1" w:lastRow="0" w:firstColumn="1" w:lastColumn="0" w:noHBand="0" w:noVBand="1"/>
    </w:tblPr>
    <w:tblGrid>
      <w:gridCol w:w="3016"/>
      <w:gridCol w:w="2693"/>
    </w:tblGrid>
    <w:tr w:rsidR="00EF49F7" w14:paraId="0B9C6843" w14:textId="77777777" w:rsidTr="009928F2">
      <w:trPr>
        <w:trHeight w:val="274"/>
      </w:trPr>
      <w:tc>
        <w:tcPr>
          <w:tcW w:w="3016" w:type="dxa"/>
          <w:hideMark/>
        </w:tcPr>
        <w:p w14:paraId="577E0121" w14:textId="30558326" w:rsidR="00EF49F7" w:rsidRDefault="00EF49F7" w:rsidP="00EF49F7">
          <w:pPr>
            <w:pStyle w:val="Footer"/>
            <w:spacing w:line="276" w:lineRule="auto"/>
            <w:rPr>
              <w:rFonts w:ascii="Calibri" w:hAnsi="Calibri" w:cs="Calibri"/>
              <w:bCs/>
              <w:szCs w:val="18"/>
            </w:rPr>
          </w:pPr>
          <w:bookmarkStart w:id="1" w:name="_Hlk44682380"/>
          <w:r>
            <w:rPr>
              <w:rFonts w:cs="Calibri"/>
              <w:b/>
              <w:szCs w:val="18"/>
            </w:rPr>
            <w:t>Approved:</w:t>
          </w:r>
          <w:r>
            <w:rPr>
              <w:rFonts w:cs="Calibri"/>
              <w:bCs/>
              <w:szCs w:val="18"/>
            </w:rPr>
            <w:t xml:space="preserve"> </w:t>
          </w:r>
          <w:r w:rsidR="009928F2">
            <w:rPr>
              <w:rFonts w:cs="Calibri"/>
              <w:bCs/>
              <w:szCs w:val="18"/>
            </w:rPr>
            <w:t>September 2024</w:t>
          </w:r>
        </w:p>
      </w:tc>
      <w:tc>
        <w:tcPr>
          <w:tcW w:w="2693" w:type="dxa"/>
          <w:hideMark/>
        </w:tcPr>
        <w:p w14:paraId="17FE2349" w14:textId="42721EE4" w:rsidR="00EF49F7" w:rsidRDefault="00EF49F7" w:rsidP="00EF49F7">
          <w:pPr>
            <w:pStyle w:val="Footer"/>
            <w:spacing w:line="276" w:lineRule="auto"/>
            <w:rPr>
              <w:rFonts w:ascii="Arial" w:hAnsi="Arial" w:cs="Calibri"/>
              <w:bCs/>
              <w:szCs w:val="18"/>
              <w:lang w:val="en-US"/>
            </w:rPr>
          </w:pPr>
          <w:r>
            <w:rPr>
              <w:rFonts w:cs="Calibri"/>
              <w:b/>
              <w:szCs w:val="18"/>
            </w:rPr>
            <w:t>Review:</w:t>
          </w:r>
          <w:r>
            <w:rPr>
              <w:rFonts w:cs="Calibri"/>
              <w:bCs/>
              <w:szCs w:val="18"/>
            </w:rPr>
            <w:t xml:space="preserve"> </w:t>
          </w:r>
          <w:r w:rsidR="009928F2">
            <w:rPr>
              <w:rFonts w:cs="Calibri"/>
              <w:bCs/>
              <w:szCs w:val="18"/>
            </w:rPr>
            <w:t>September 2026</w:t>
          </w:r>
        </w:p>
      </w:tc>
      <w:bookmarkEnd w:id="1"/>
    </w:tr>
  </w:tbl>
  <w:p w14:paraId="2C668F11" w14:textId="77777777" w:rsidR="00EF49F7" w:rsidRPr="00B56592" w:rsidRDefault="00EF49F7" w:rsidP="00EF49F7">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29"/>
    <w:rsid w:val="000642AA"/>
    <w:rsid w:val="00064AF7"/>
    <w:rsid w:val="00070708"/>
    <w:rsid w:val="00077492"/>
    <w:rsid w:val="000C2D82"/>
    <w:rsid w:val="000E50EF"/>
    <w:rsid w:val="00117AE9"/>
    <w:rsid w:val="00157449"/>
    <w:rsid w:val="00160C30"/>
    <w:rsid w:val="001E2C82"/>
    <w:rsid w:val="00202744"/>
    <w:rsid w:val="002B392C"/>
    <w:rsid w:val="004250B0"/>
    <w:rsid w:val="00520029"/>
    <w:rsid w:val="006979D0"/>
    <w:rsid w:val="006A5312"/>
    <w:rsid w:val="006A5D12"/>
    <w:rsid w:val="007B0FE0"/>
    <w:rsid w:val="00811D8E"/>
    <w:rsid w:val="00816BBC"/>
    <w:rsid w:val="00885FD2"/>
    <w:rsid w:val="00957E84"/>
    <w:rsid w:val="009928F2"/>
    <w:rsid w:val="0099696F"/>
    <w:rsid w:val="009E06A1"/>
    <w:rsid w:val="00AA2E5A"/>
    <w:rsid w:val="00B56592"/>
    <w:rsid w:val="00BD718A"/>
    <w:rsid w:val="00BF3AEB"/>
    <w:rsid w:val="00C44243"/>
    <w:rsid w:val="00D42F03"/>
    <w:rsid w:val="00DF1CAD"/>
    <w:rsid w:val="00E336A2"/>
    <w:rsid w:val="00EC56DC"/>
    <w:rsid w:val="00EF49F7"/>
    <w:rsid w:val="00F20822"/>
    <w:rsid w:val="00F939F3"/>
    <w:rsid w:val="37BDF307"/>
    <w:rsid w:val="3DC25162"/>
    <w:rsid w:val="6535833B"/>
    <w:rsid w:val="65450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E8FC"/>
  <w15:chartTrackingRefBased/>
  <w15:docId w15:val="{05575F0A-1985-41D4-9955-EA04D07E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torText">
    <w:name w:val="Mentor_Text"/>
    <w:basedOn w:val="Normal"/>
    <w:rsid w:val="00520029"/>
    <w:pPr>
      <w:keepLines/>
      <w:tabs>
        <w:tab w:val="left" w:pos="0"/>
      </w:tabs>
      <w:spacing w:before="120" w:after="0" w:line="240" w:lineRule="auto"/>
      <w:jc w:val="both"/>
    </w:pPr>
    <w:rPr>
      <w:rFonts w:ascii="Arial" w:eastAsia="Times New Roman" w:hAnsi="Arial" w:cs="Times New Roman"/>
      <w:lang w:eastAsia="en-GB"/>
    </w:rPr>
  </w:style>
  <w:style w:type="paragraph" w:customStyle="1" w:styleId="MentorHeading1">
    <w:name w:val="Mentor_Heading_1"/>
    <w:basedOn w:val="Normal"/>
    <w:next w:val="MentorText"/>
    <w:autoRedefine/>
    <w:rsid w:val="00EF49F7"/>
    <w:pPr>
      <w:keepNext/>
      <w:tabs>
        <w:tab w:val="left" w:pos="0"/>
        <w:tab w:val="left" w:pos="1695"/>
      </w:tabs>
      <w:spacing w:after="120" w:line="240" w:lineRule="auto"/>
      <w:jc w:val="center"/>
    </w:pPr>
    <w:rPr>
      <w:rFonts w:ascii="Arial" w:eastAsia="Times New Roman" w:hAnsi="Arial" w:cs="Times New Roman"/>
      <w:b/>
      <w:sz w:val="32"/>
      <w:szCs w:val="32"/>
      <w:lang w:eastAsia="en-GB"/>
    </w:rPr>
  </w:style>
  <w:style w:type="paragraph" w:customStyle="1" w:styleId="MentorHeading3">
    <w:name w:val="Mentor_Heading_3"/>
    <w:basedOn w:val="Normal"/>
    <w:next w:val="MentorText"/>
    <w:autoRedefine/>
    <w:rsid w:val="00520029"/>
    <w:pPr>
      <w:keepNext/>
      <w:tabs>
        <w:tab w:val="left" w:pos="0"/>
      </w:tabs>
      <w:spacing w:before="240" w:after="120" w:line="240" w:lineRule="auto"/>
    </w:pPr>
    <w:rPr>
      <w:rFonts w:ascii="Arial" w:eastAsia="Times New Roman" w:hAnsi="Arial" w:cs="Times New Roman"/>
      <w:b/>
      <w:sz w:val="24"/>
      <w:szCs w:val="24"/>
      <w:u w:val="single"/>
      <w:lang w:eastAsia="en-GB"/>
    </w:rPr>
  </w:style>
  <w:style w:type="paragraph" w:customStyle="1" w:styleId="MentorHeading4">
    <w:name w:val="Mentor_Heading_4"/>
    <w:basedOn w:val="Normal"/>
    <w:next w:val="MentorText"/>
    <w:autoRedefine/>
    <w:rsid w:val="00520029"/>
    <w:pPr>
      <w:keepNext/>
      <w:tabs>
        <w:tab w:val="left" w:pos="0"/>
      </w:tabs>
      <w:spacing w:before="240" w:after="120" w:line="240" w:lineRule="auto"/>
    </w:pPr>
    <w:rPr>
      <w:rFonts w:ascii="Arial" w:eastAsia="Times New Roman" w:hAnsi="Arial" w:cs="Times New Roman"/>
      <w:u w:val="single"/>
      <w:lang w:eastAsia="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nhideWhenUsed/>
    <w:rsid w:val="00117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17AE9"/>
    <w:rPr>
      <w:rFonts w:ascii="Segoe UI" w:hAnsi="Segoe UI" w:cs="Segoe UI"/>
      <w:sz w:val="18"/>
      <w:szCs w:val="18"/>
    </w:rPr>
  </w:style>
  <w:style w:type="paragraph" w:styleId="Header">
    <w:name w:val="header"/>
    <w:basedOn w:val="Normal"/>
    <w:link w:val="HeaderChar"/>
    <w:unhideWhenUsed/>
    <w:rsid w:val="00B56592"/>
    <w:pPr>
      <w:tabs>
        <w:tab w:val="center" w:pos="4513"/>
        <w:tab w:val="right" w:pos="9026"/>
      </w:tabs>
      <w:spacing w:after="0" w:line="240" w:lineRule="auto"/>
    </w:pPr>
  </w:style>
  <w:style w:type="character" w:customStyle="1" w:styleId="HeaderChar">
    <w:name w:val="Header Char"/>
    <w:basedOn w:val="DefaultParagraphFont"/>
    <w:link w:val="Header"/>
    <w:rsid w:val="00B56592"/>
  </w:style>
  <w:style w:type="paragraph" w:styleId="Footer">
    <w:name w:val="footer"/>
    <w:basedOn w:val="Normal"/>
    <w:link w:val="FooterChar"/>
    <w:uiPriority w:val="99"/>
    <w:unhideWhenUsed/>
    <w:rsid w:val="00B56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592"/>
  </w:style>
  <w:style w:type="paragraph" w:styleId="CommentSubject">
    <w:name w:val="annotation subject"/>
    <w:basedOn w:val="CommentText"/>
    <w:next w:val="CommentText"/>
    <w:link w:val="CommentSubjectChar"/>
    <w:uiPriority w:val="99"/>
    <w:semiHidden/>
    <w:unhideWhenUsed/>
    <w:rsid w:val="00EF49F7"/>
    <w:rPr>
      <w:b/>
      <w:bCs/>
    </w:rPr>
  </w:style>
  <w:style w:type="character" w:customStyle="1" w:styleId="CommentSubjectChar">
    <w:name w:val="Comment Subject Char"/>
    <w:basedOn w:val="CommentTextChar"/>
    <w:link w:val="CommentSubject"/>
    <w:uiPriority w:val="99"/>
    <w:semiHidden/>
    <w:rsid w:val="00EF49F7"/>
    <w:rPr>
      <w:b/>
      <w:bCs/>
      <w:sz w:val="20"/>
      <w:szCs w:val="20"/>
    </w:rPr>
  </w:style>
  <w:style w:type="paragraph" w:styleId="Revision">
    <w:name w:val="Revision"/>
    <w:hidden/>
    <w:uiPriority w:val="99"/>
    <w:semiHidden/>
    <w:rsid w:val="00816B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03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DCA9325F88646B9096833C94F7B20" ma:contentTypeVersion="18" ma:contentTypeDescription="Create a new document." ma:contentTypeScope="" ma:versionID="b3b586fea8d091019567db994c47f990">
  <xsd:schema xmlns:xsd="http://www.w3.org/2001/XMLSchema" xmlns:xs="http://www.w3.org/2001/XMLSchema" xmlns:p="http://schemas.microsoft.com/office/2006/metadata/properties" xmlns:ns2="e901da44-5296-40f2-a566-4587b7750ed2" xmlns:ns3="131fcc2e-bf9b-4c66-b6b7-a225ef8841ff" targetNamespace="http://schemas.microsoft.com/office/2006/metadata/properties" ma:root="true" ma:fieldsID="0edd742ca69ba335b7146f517737b748" ns2:_="" ns3:_="">
    <xsd:import namespace="e901da44-5296-40f2-a566-4587b7750ed2"/>
    <xsd:import namespace="131fcc2e-bf9b-4c66-b6b7-a225ef8841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1da44-5296-40f2-a566-4587b775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f21d55-3742-45d7-bfbb-c475934b96e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fcc2e-bf9b-4c66-b6b7-a225ef8841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6e0e83-f81e-4ec9-9a19-48680f805773}" ma:internalName="TaxCatchAll" ma:showField="CatchAllData" ma:web="131fcc2e-bf9b-4c66-b6b7-a225ef884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31fcc2e-bf9b-4c66-b6b7-a225ef8841ff" xsi:nil="true"/>
    <lcf76f155ced4ddcb4097134ff3c332f xmlns="e901da44-5296-40f2-a566-4587b7750e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BED851-E2AB-4815-9D4F-9AA96C662768}"/>
</file>

<file path=customXml/itemProps2.xml><?xml version="1.0" encoding="utf-8"?>
<ds:datastoreItem xmlns:ds="http://schemas.openxmlformats.org/officeDocument/2006/customXml" ds:itemID="{407E4F44-A6A4-4D76-BE9F-AE4E96426376}">
  <ds:schemaRefs>
    <ds:schemaRef ds:uri="http://schemas.microsoft.com/sharepoint/v3/contenttype/forms"/>
  </ds:schemaRefs>
</ds:datastoreItem>
</file>

<file path=customXml/itemProps3.xml><?xml version="1.0" encoding="utf-8"?>
<ds:datastoreItem xmlns:ds="http://schemas.openxmlformats.org/officeDocument/2006/customXml" ds:itemID="{C7676BAC-3512-451F-8CC3-AA16C94C1BEE}">
  <ds:schemaRefs>
    <ds:schemaRef ds:uri="http://schemas.openxmlformats.org/officeDocument/2006/bibliography"/>
  </ds:schemaRefs>
</ds:datastoreItem>
</file>

<file path=customXml/itemProps4.xml><?xml version="1.0" encoding="utf-8"?>
<ds:datastoreItem xmlns:ds="http://schemas.openxmlformats.org/officeDocument/2006/customXml" ds:itemID="{839E0F21-4845-405E-B8AB-D3BACB5596EC}">
  <ds:schemaRefs>
    <ds:schemaRef ds:uri="http://schemas.microsoft.com/office/2006/metadata/properties"/>
    <ds:schemaRef ds:uri="http://schemas.microsoft.com/office/infopath/2007/PartnerControls"/>
    <ds:schemaRef ds:uri="131fcc2e-bf9b-4c66-b6b7-a225ef8841ff"/>
    <ds:schemaRef ds:uri="30788597-fa98-4a3b-8399-22f6e48ad2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Davies</dc:creator>
  <cp:keywords/>
  <dc:description/>
  <cp:lastModifiedBy>Rhona McLeod</cp:lastModifiedBy>
  <cp:revision>2</cp:revision>
  <cp:lastPrinted>2025-09-02T07:17:00Z</cp:lastPrinted>
  <dcterms:created xsi:type="dcterms:W3CDTF">2025-09-02T07:18:00Z</dcterms:created>
  <dcterms:modified xsi:type="dcterms:W3CDTF">2025-09-02T07:18:00Z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0x010100DA3DCA9325F88646B9096833C94F7B20</vt:lpwstr>
  </property>
  <property fmtid="{D5CDD505-2E9C-101B-9397-08002B2CF9AE}" pid="3" name="MediaServiceImageTags">
    <vt:lpwstr/>
  </property>
</Properties>
</file>