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C0045" w14:textId="77777777" w:rsidR="00EA690A" w:rsidRDefault="00EA690A" w:rsidP="009538F9">
      <w:pPr>
        <w:pStyle w:val="KonuBal"/>
        <w:rPr>
          <w:rFonts w:eastAsia="Times New Roman"/>
        </w:rPr>
      </w:pPr>
    </w:p>
    <w:p w14:paraId="345FEADC" w14:textId="36E405EF" w:rsidR="0000276F" w:rsidRDefault="00C74F36" w:rsidP="009538F9">
      <w:pPr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BASIN BÜLTENİ</w:t>
      </w:r>
    </w:p>
    <w:p w14:paraId="1CBF9CCB" w14:textId="77777777" w:rsidR="00C74F36" w:rsidRPr="00C74F36" w:rsidRDefault="00C74F36" w:rsidP="009538F9">
      <w:pPr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7141C3A4" w14:textId="77777777" w:rsidR="00C74F36" w:rsidRDefault="00C74F36" w:rsidP="00C74F36">
      <w:pPr>
        <w:spacing w:line="36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77DC409" w14:textId="58CAA5A6" w:rsidR="00D5489E" w:rsidRPr="00C74F36" w:rsidRDefault="00D5489E" w:rsidP="00C74F36">
      <w:pPr>
        <w:spacing w:line="36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Daha iyi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s</w:t>
      </w:r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iber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g</w:t>
      </w:r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üvenlik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farkındalık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programına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>ihtiyacımız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var</w:t>
      </w:r>
    </w:p>
    <w:p w14:paraId="3ED65C52" w14:textId="77777777" w:rsidR="00D5489E" w:rsidRPr="00D5489E" w:rsidRDefault="00D5489E" w:rsidP="00C74F36">
      <w:pPr>
        <w:spacing w:line="36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68939D9A" w14:textId="77777777" w:rsidR="00D5489E" w:rsidRPr="00D5489E" w:rsidRDefault="00D5489E" w:rsidP="00C74F36">
      <w:pPr>
        <w:spacing w:line="36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021201F4" w14:textId="4DA33924" w:rsidR="00D5489E" w:rsidRPr="00C74F36" w:rsidRDefault="00D5489E" w:rsidP="00C74F36">
      <w:pPr>
        <w:spacing w:line="36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</w:pP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Günümüzde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güvenliğe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baktığımızda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işletmelerin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%87'sinin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geçen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yıl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beceri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açığına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bağladıkları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az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ihlal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yaşamış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olması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şaşırtıcı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değil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Günümüzün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uzmanları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sofistike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tehdit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ortamından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sürekli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değişen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uyumluluk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düzenlemelerine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süregelen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beceri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eksikliğine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bağlı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çeşitli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zorluklarla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karşı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karşıya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. Bu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arada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suçlular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da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çabalarını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eş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zamanlı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olarak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artırıyor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İş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dünyası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liderleri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özellikle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yapay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zeka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içeren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bu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yeni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saldırı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taktiklerinin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tespit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edilmesinin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engellenmesinin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“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geleneksel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”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saldırılardan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zor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olacağından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endişe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ediyor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.</w:t>
      </w:r>
    </w:p>
    <w:p w14:paraId="07E19B6D" w14:textId="77777777" w:rsidR="00D5489E" w:rsidRPr="00D5489E" w:rsidRDefault="00D5489E" w:rsidP="00D5489E">
      <w:pP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1F7D6F6A" w14:textId="43417724" w:rsidR="00D5489E" w:rsidRPr="00C74F36" w:rsidRDefault="00D5489E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Siber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olaylar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bağlamındaki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riskler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giderek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artıyor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İhlaller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zaman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para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kaybına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yol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açıyor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kurumsal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liderler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olaylar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meydana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geldiğinde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giderek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fazla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sorumlu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tutuluyor</w:t>
      </w:r>
      <w:proofErr w:type="spellEnd"/>
      <w:r>
        <w:fldChar w:fldCharType="begin"/>
      </w:r>
      <w:r>
        <w:instrText>HYPERLINK "https://www.fortinet.com/content/dam/fortinet/assets/reports/2024-cybersecurity-skills-gap-report.pdf"</w:instrText>
      </w:r>
      <w:r>
        <w:fldChar w:fldCharType="separate"/>
      </w:r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. Fortinet 2024 Siber </w:t>
      </w:r>
      <w:proofErr w:type="spellStart"/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>Yetenekleri</w:t>
      </w:r>
      <w:proofErr w:type="spellEnd"/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>Açığı</w:t>
      </w:r>
      <w:proofErr w:type="spellEnd"/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t>Raporu</w:t>
      </w:r>
      <w:r>
        <w:rPr>
          <w:rStyle w:val="Kpr"/>
          <w:rFonts w:ascii="Verdana" w:eastAsia="Times New Roman" w:hAnsi="Verdana" w:cs="Times New Roman"/>
          <w:kern w:val="0"/>
          <w:sz w:val="20"/>
          <w:szCs w:val="20"/>
          <w14:ligatures w14:val="none"/>
        </w:rPr>
        <w:fldChar w:fldCharType="end"/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'na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göre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katılımcıların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%51'i,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başarılı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saldırıdan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sonra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kurumlarındaki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direktörlerin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yöneticilerin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para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cezası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hapis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cezası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pozisyon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kaybı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iş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kaybı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ile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kaldığını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söyledi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Siber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kurulu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düzeyinde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de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fazla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inceleme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altına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alınıyor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;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katılımcıların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%72'si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kurulu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üyelerinin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önceki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yıla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göre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güvenliğe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fazla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odaklandığını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belirtiyor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ekiplerinin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fazla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dış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baskıyla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kalmasıyla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birlikte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kuruluşların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risk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yönetimi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“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herkes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elini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taşın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altına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koymalı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”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yaklaşımına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ihtiyaç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duyduğu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açık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2A27EEAE" w14:textId="77777777" w:rsidR="00D5489E" w:rsidRPr="00C74F36" w:rsidRDefault="00D5489E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61F0CF6C" w14:textId="26DCCD68" w:rsidR="00AD24D5" w:rsidRDefault="00D5489E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hyperlink r:id="rId8" w:history="1">
        <w:r w:rsidRPr="00C74F36">
          <w:rPr>
            <w:rStyle w:val="Kpr"/>
            <w:rFonts w:ascii="Verdana" w:eastAsia="Times New Roman" w:hAnsi="Verdana" w:cs="Times New Roman"/>
            <w:kern w:val="0"/>
            <w:sz w:val="20"/>
            <w:szCs w:val="20"/>
            <w14:ligatures w14:val="none"/>
          </w:rPr>
          <w:t xml:space="preserve">Siber </w:t>
        </w:r>
        <w:proofErr w:type="spellStart"/>
        <w:r w:rsidRPr="00C74F36">
          <w:rPr>
            <w:rStyle w:val="Kpr"/>
            <w:rFonts w:ascii="Verdana" w:eastAsia="Times New Roman" w:hAnsi="Verdana" w:cs="Times New Roman"/>
            <w:kern w:val="0"/>
            <w:sz w:val="20"/>
            <w:szCs w:val="20"/>
            <w14:ligatures w14:val="none"/>
          </w:rPr>
          <w:t>Güvenlik</w:t>
        </w:r>
        <w:proofErr w:type="spellEnd"/>
        <w:r w:rsidRPr="00C74F36">
          <w:rPr>
            <w:rStyle w:val="Kpr"/>
            <w:rFonts w:ascii="Verdana" w:eastAsia="Times New Roman" w:hAnsi="Verdana" w:cs="Times New Roman"/>
            <w:kern w:val="0"/>
            <w:sz w:val="20"/>
            <w:szCs w:val="20"/>
            <w14:ligatures w14:val="none"/>
          </w:rPr>
          <w:t xml:space="preserve"> </w:t>
        </w:r>
        <w:proofErr w:type="spellStart"/>
        <w:r w:rsidRPr="00C74F36">
          <w:rPr>
            <w:rStyle w:val="Kpr"/>
            <w:rFonts w:ascii="Verdana" w:eastAsia="Times New Roman" w:hAnsi="Verdana" w:cs="Times New Roman"/>
            <w:kern w:val="0"/>
            <w:sz w:val="20"/>
            <w:szCs w:val="20"/>
            <w14:ligatures w14:val="none"/>
          </w:rPr>
          <w:t>Farkındalık</w:t>
        </w:r>
        <w:proofErr w:type="spellEnd"/>
        <w:r w:rsidRPr="00C74F36">
          <w:rPr>
            <w:rStyle w:val="Kpr"/>
            <w:rFonts w:ascii="Verdana" w:eastAsia="Times New Roman" w:hAnsi="Verdana" w:cs="Times New Roman"/>
            <w:kern w:val="0"/>
            <w:sz w:val="20"/>
            <w:szCs w:val="20"/>
            <w14:ligatures w14:val="none"/>
          </w:rPr>
          <w:t xml:space="preserve"> </w:t>
        </w:r>
        <w:proofErr w:type="spellStart"/>
        <w:r w:rsidRPr="00C74F36">
          <w:rPr>
            <w:rStyle w:val="Kpr"/>
            <w:rFonts w:ascii="Verdana" w:eastAsia="Times New Roman" w:hAnsi="Verdana" w:cs="Times New Roman"/>
            <w:kern w:val="0"/>
            <w:sz w:val="20"/>
            <w:szCs w:val="20"/>
            <w14:ligatures w14:val="none"/>
          </w:rPr>
          <w:t>Ayı</w:t>
        </w:r>
        <w:proofErr w:type="spellEnd"/>
      </w:hyperlink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özellikle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kuruluşlara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güvenliğin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sadece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ekibinin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değil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herkesin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işi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olduğunu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</w:t>
      </w:r>
      <w:r w:rsidR="0014200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korumada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14200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önemli</w:t>
      </w:r>
      <w:proofErr w:type="spellEnd"/>
      <w:r w:rsidR="0014200F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rol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oynadığını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hatırlat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ı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223400D2" w14:textId="77777777" w:rsidR="0014200F" w:rsidRDefault="0014200F" w:rsidP="00C74F36">
      <w:pPr>
        <w:spacing w:line="36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88C52FB" w14:textId="788BB1E1" w:rsidR="006C13D8" w:rsidRPr="00C74F36" w:rsidRDefault="006C13D8" w:rsidP="00C74F36">
      <w:pPr>
        <w:spacing w:line="36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Kurumun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korunmasında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herkesin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rolü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var</w:t>
      </w:r>
    </w:p>
    <w:p w14:paraId="59A333BE" w14:textId="151F3B06" w:rsidR="006C13D8" w:rsidRPr="00C74F36" w:rsidRDefault="006C13D8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Yetenekli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profesyonellerden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oluşan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ekip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doğru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teknolojileri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herhangi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işletmeyi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korumanın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hayati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unsurları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Ancak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kötü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niyetli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aktörlere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iyi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savunmalardan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de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Kurum </w:t>
      </w:r>
      <w:proofErr w:type="spellStart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çalışanları</w:t>
      </w:r>
      <w:proofErr w:type="spellEnd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oğru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bilgilerle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donatıldıklarında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suçlara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sağlam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ilk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savunma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hattı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olarak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hizmet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edebili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yorlar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ların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%81'inin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geçen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yıl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kötü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amaçlı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yazılım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kimlik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avı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doğrudan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kullanıcıları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hedef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alan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şifre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saldırıları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gibi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saldırılarla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kaldığı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düşünüldüğünde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farkındalıklarının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artırılmasına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yardımcı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olmak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çok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önemli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6504EC98" w14:textId="77777777" w:rsidR="006C13D8" w:rsidRPr="00C74F36" w:rsidRDefault="006C13D8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2DD6916F" w14:textId="0AB6B925" w:rsidR="006C13D8" w:rsidRPr="00C74F36" w:rsidRDefault="006C13D8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Siber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her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kuruluşun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risk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yönetimi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stratejisinin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parçası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olması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gerekiyor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İyi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şu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ki, kurumsal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liderlik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eğitimine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giderek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fazla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öncelik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veriyor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Fortinet 2024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Küresel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Raporu'na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göre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yöneticilerin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%96'sı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fazla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farkındalığın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saldırıları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azaltmaya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yardımcı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olacağına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inanıyor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ları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halihazırda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programına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sahip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yöneticilerin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%89'u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girişimleri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uyguladıktan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sonra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şirketlerinin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duruşunda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iyileşmeler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olduğunu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bildirdi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30574310" w14:textId="77777777" w:rsidR="00C74F36" w:rsidRDefault="00C74F36" w:rsidP="00C74F36">
      <w:pPr>
        <w:spacing w:line="36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0EDD0BF" w14:textId="639261F1" w:rsidR="006C13D8" w:rsidRPr="00C74F36" w:rsidRDefault="006C13D8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Siber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Eğitimi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neleri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içermeli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?</w:t>
      </w:r>
    </w:p>
    <w:p w14:paraId="7E419EFD" w14:textId="1957910A" w:rsidR="006C13D8" w:rsidRPr="00C74F36" w:rsidRDefault="006C13D8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Her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programı</w:t>
      </w:r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benzersiz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olma</w:t>
      </w:r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iş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ihtiyaçlarına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göre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uyarlanmış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içerik</w:t>
      </w:r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lerle</w:t>
      </w:r>
      <w:proofErr w:type="spellEnd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dolu</w:t>
      </w:r>
      <w:proofErr w:type="spellEnd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olması</w:t>
      </w:r>
      <w:proofErr w:type="spellEnd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gerekiyor</w:t>
      </w:r>
      <w:proofErr w:type="spellEnd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Yine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de,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sektörü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kuruluşu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ne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olursa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olsun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her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bireyin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sahip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olması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temel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bilgi</w:t>
      </w:r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leri</w:t>
      </w:r>
      <w:proofErr w:type="spellEnd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de 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var.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Eğitimde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ele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alınması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temel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konular</w:t>
      </w:r>
      <w:proofErr w:type="spellEnd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şöyle</w:t>
      </w:r>
      <w:proofErr w:type="spellEnd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AE23DA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sırala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nıyor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:</w:t>
      </w:r>
    </w:p>
    <w:p w14:paraId="2F1782DF" w14:textId="77777777" w:rsidR="00C376AF" w:rsidRPr="00C74F36" w:rsidRDefault="00C376AF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3DB67F0F" w14:textId="349EBB90" w:rsidR="00E43AF0" w:rsidRPr="00C74F36" w:rsidRDefault="00E43AF0" w:rsidP="00C74F3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Şifreler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: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Güçlü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parolalar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kullanmak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kişisel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finansal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bilgileri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suçlulardan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korumak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hayati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önem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taşıyor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kırılması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zor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şifrelerin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nasıl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oluşturulacağına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şifre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yöneticisinin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nasıl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neden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kullanılacağına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ilişkin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ipuçlarını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kapsaması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gerekiyor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1D3541E9" w14:textId="20885722" w:rsidR="00E43AF0" w:rsidRPr="006060EC" w:rsidRDefault="00E43AF0" w:rsidP="00C74F3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Çok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faktörlü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kimlik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doğrulama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(MFA)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MFA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bireylere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suçlara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karşı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başka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koruma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katmanı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sunuyor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ekibiniz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MFA'yı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zaten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uygulamaya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koymuşsa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çalışanların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bunun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neden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etkili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olduğunu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nasıl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kullanılacağını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anlaması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gerekiyor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1F2E4ADC" w14:textId="06C3F5C7" w:rsidR="00E43AF0" w:rsidRPr="006060EC" w:rsidRDefault="00E43AF0" w:rsidP="00C74F3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Kimlik</w:t>
      </w:r>
      <w:proofErr w:type="spellEnd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avı</w:t>
      </w:r>
      <w:proofErr w:type="spellEnd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dahil</w:t>
      </w:r>
      <w:proofErr w:type="spellEnd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sosyal</w:t>
      </w:r>
      <w:proofErr w:type="spellEnd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mühendislik</w:t>
      </w:r>
      <w:proofErr w:type="spellEnd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saldırıları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Kimlik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avı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kötü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aktörlerin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kurumsal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ağlara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sızmak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fidye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yazılımı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kötü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amaçlı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yazılım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içeren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saldırılar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başlatmak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için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kullandıkları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önemli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taktik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Tüm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</w:t>
      </w:r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ın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sosyal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mühendislik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lastRenderedPageBreak/>
        <w:t>girişimlerini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nasıl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tanıyacaklarını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hedef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olduklarını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düşündüklerinde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atmaları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gereken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adımları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anlama</w:t>
      </w:r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sı</w:t>
      </w:r>
      <w:proofErr w:type="spellEnd"/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gerekiyor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58DB3514" w14:textId="52D47D96" w:rsidR="00E43AF0" w:rsidRPr="006060EC" w:rsidRDefault="00E43AF0" w:rsidP="00C74F3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Yazılım</w:t>
      </w:r>
      <w:proofErr w:type="spellEnd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güncellemeleri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: Siber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suç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kurbanı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olma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riskini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azaltmanın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kolay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yollarından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biri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yazılım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uygulamaları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güncel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tutmak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</w:t>
      </w:r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ın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hızlı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şekilde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yama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yapmanın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neden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önemli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olduğunu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kurumun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yazılım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güncellemelerine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ilişkin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politikasını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bilme</w:t>
      </w:r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</w:t>
      </w:r>
      <w:proofErr w:type="spellEnd"/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C74F36"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gerekiyor</w:t>
      </w:r>
      <w:proofErr w:type="spellEnd"/>
      <w:r w:rsidRPr="006060EC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2BBA0D5A" w14:textId="77777777" w:rsidR="00E43AF0" w:rsidRPr="00C74F36" w:rsidRDefault="00E43AF0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5E131C78" w14:textId="77777777" w:rsidR="00E43AF0" w:rsidRPr="00C74F36" w:rsidRDefault="00E43AF0" w:rsidP="00C74F36">
      <w:pPr>
        <w:spacing w:line="36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Siber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eğitim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farkındalık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girişimleri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herkese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fayda</w:t>
      </w:r>
      <w:proofErr w:type="spellEnd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14:ligatures w14:val="none"/>
        </w:rPr>
        <w:t>sağlıyor</w:t>
      </w:r>
      <w:proofErr w:type="spellEnd"/>
    </w:p>
    <w:p w14:paraId="4020EC92" w14:textId="67733BC9" w:rsidR="00E43AF0" w:rsidRPr="00C74F36" w:rsidRDefault="00E43AF0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girişimleri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suçlarla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mücadelede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kritik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rol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oynuyor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Bu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çabalar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BT,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uyumluluk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liderlerinin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yüksek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kültür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yaratmalarına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yardımcı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oluyor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sayede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çalışanların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saldırıları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fark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etme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saldırılara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kanmama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olasılıkları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artıyor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30730D98" w14:textId="01C44FBE" w:rsidR="00E43AF0" w:rsidRPr="00C74F36" w:rsidRDefault="00E43AF0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Bazı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kurumlar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eğitimini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içinde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geliştirmeyi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tercih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ediyor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Bununla</w:t>
      </w:r>
      <w:proofErr w:type="spellEnd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birlikte</w:t>
      </w:r>
      <w:proofErr w:type="spellEnd"/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,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bunu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yapacak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kaynaklara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sahip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olmayanlar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Fortinet'in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Farkındalığı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hizmeti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gibi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kapsamlı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zamanında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müfredat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sunan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yüksek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kaliteli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SaaS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tabanlı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hizmetler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mevcut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48DD6094" w14:textId="77777777" w:rsidR="00E43AF0" w:rsidRPr="00C74F36" w:rsidRDefault="00E43AF0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p w14:paraId="318453E7" w14:textId="03EE1F19" w:rsidR="00E43AF0" w:rsidRDefault="00E43AF0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Bu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denli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yoğunlaşan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tehdit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ortamında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farkındalık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ve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eğitim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programınızı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oluşturmak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da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yeniden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değerlendirmek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için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iyi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bir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zaman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olamaz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Tüm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kurumu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siber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güvenlik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çalışmalarına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dahil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etmek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herkese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fayda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sağl</w:t>
      </w:r>
      <w:r w:rsidR="00C74F36"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ıyo</w:t>
      </w:r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r</w:t>
      </w:r>
      <w:proofErr w:type="spellEnd"/>
      <w:r w:rsidRPr="00C74F36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58907D7C" w14:textId="77777777" w:rsidR="00DC0492" w:rsidRPr="00DC0492" w:rsidRDefault="00DC0492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</w:pPr>
    </w:p>
    <w:p w14:paraId="4132EC10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r w:rsidRPr="00DC0492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val="tr-TR"/>
          <w14:ligatures w14:val="none"/>
        </w:rPr>
        <w:t>İlgili Kişiler:</w:t>
      </w: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      </w:t>
      </w:r>
    </w:p>
    <w:p w14:paraId="5996FB5A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Halit Yeşilbaş</w:t>
      </w: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       </w:t>
      </w:r>
    </w:p>
    <w:p w14:paraId="103587DC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Marjinal Porter Novelli</w:t>
      </w: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       </w:t>
      </w:r>
    </w:p>
    <w:p w14:paraId="70A9C66E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14:ligatures w14:val="none"/>
        </w:rPr>
        <w:t>0538 376 17 10</w:t>
      </w: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       </w:t>
      </w:r>
    </w:p>
    <w:p w14:paraId="055BEACE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hyperlink r:id="rId9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14:ligatures w14:val="none"/>
          </w:rPr>
          <w:t>Hality@marjinal.com.tr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       </w:t>
      </w:r>
    </w:p>
    <w:p w14:paraId="51D509CA" w14:textId="114B006C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 </w:t>
      </w:r>
    </w:p>
    <w:p w14:paraId="74E56E42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r w:rsidRPr="00DC0492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val="en-GB"/>
          <w14:ligatures w14:val="none"/>
        </w:rPr>
        <w:t xml:space="preserve">Fortinet </w:t>
      </w:r>
      <w:proofErr w:type="spellStart"/>
      <w:r w:rsidRPr="00DC0492">
        <w:rPr>
          <w:rFonts w:ascii="Verdana" w:eastAsia="Times New Roman" w:hAnsi="Verdana" w:cs="Times New Roman"/>
          <w:b/>
          <w:bCs/>
          <w:color w:val="000000"/>
          <w:kern w:val="0"/>
          <w:sz w:val="16"/>
          <w:szCs w:val="16"/>
          <w:lang w:val="en-GB"/>
          <w14:ligatures w14:val="none"/>
        </w:rPr>
        <w:t>hakkında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 </w:t>
      </w:r>
    </w:p>
    <w:p w14:paraId="20C3DF0D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</w:pPr>
      <w:hyperlink r:id="rId10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Fortinet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(NASDAQ: FTNT),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siber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güvenliğin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evriminde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ağ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ile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güvenliğin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yakınsamasında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itici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bir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güçtür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.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Misyonu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her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yerde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insanları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cihazları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verileri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güvence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altına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almaktır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bugün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50'den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fazla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kurumsal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sınıf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üründen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oluşan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büyük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entegre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portföyle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ihtiyaç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duyulan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her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yerde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siber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güvenlik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sağlamaktadır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.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Yarım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milyondan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fazla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müşteri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Fortinet'in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sektörde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çok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konuşlandırılan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çok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patentlenen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çok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onaylanan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çözümleri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arasında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yer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alan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çözümlerine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güveniyor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.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Sektördeki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büyük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geniş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eğitim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programlarından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biri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olan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hyperlink r:id="rId11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https://www.fortinet.com/nse-training</w:t>
        </w:r>
      </w:hyperlink>
      <w:hyperlink r:id="rId12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Fortinet Eğitim Enstitüsü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siber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güvenlik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eğitimini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yeni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kariyer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fırsatlarını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herkes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için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kullanılabilir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hale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getirmeye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kendini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adamıştır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. 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CERT'ler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devlet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kurumları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akademi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dahil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olmak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üzere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hem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kamu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hem de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özel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sektörden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hyperlink r:id="rId13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saygın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hyperlink r:id="rId14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kurumlarla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işbirliği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Fortinet'in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küresel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olarak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siber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dayanıklılığı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artırma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taahhüdünün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temel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bir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yönüdür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. </w:t>
      </w:r>
      <w:hyperlink r:id="rId15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https://www.fortinet.com/fortiguard/labs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Fortinet'in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seçkin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tehdit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istihbaratı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araştırma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kuruluşu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hyperlink r:id="rId16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FortiGuard Labs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müşterilere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zamanında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tutarlı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bir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şekilde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yüksek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puanlı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koruma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eyleme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lastRenderedPageBreak/>
        <w:t>geçirilebilir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tehdit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istihbaratı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sağlamak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için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en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son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makine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öğrenimi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yapay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zeka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teknolojilerini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geliştirir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kullanır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. Daha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fazla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bilgi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için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hyperlink r:id="rId17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https://www.fortinet.com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, </w:t>
      </w:r>
      <w:hyperlink r:id="rId18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Fortinet Blog</w:t>
        </w:r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proofErr w:type="spellStart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ve</w:t>
      </w:r>
      <w:proofErr w:type="spellEnd"/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 xml:space="preserve"> </w:t>
      </w:r>
      <w:hyperlink r:id="rId19" w:tgtFrame="_blank" w:history="1"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 xml:space="preserve">FortiGuard Labs </w:t>
        </w:r>
        <w:proofErr w:type="spellStart"/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adresleri</w:t>
        </w:r>
        <w:proofErr w:type="spellEnd"/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 xml:space="preserve"> </w:t>
        </w:r>
        <w:proofErr w:type="spellStart"/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ziyaret</w:t>
        </w:r>
        <w:proofErr w:type="spellEnd"/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 xml:space="preserve"> </w:t>
        </w:r>
        <w:proofErr w:type="spellStart"/>
        <w:r w:rsidRPr="00DC0492">
          <w:rPr>
            <w:rStyle w:val="Kpr"/>
            <w:rFonts w:ascii="Verdana" w:eastAsia="Times New Roman" w:hAnsi="Verdana" w:cs="Times New Roman"/>
            <w:kern w:val="0"/>
            <w:sz w:val="16"/>
            <w:szCs w:val="16"/>
            <w:lang w:val="en-GB"/>
            <w14:ligatures w14:val="none"/>
          </w:rPr>
          <w:t>edilebilir</w:t>
        </w:r>
        <w:proofErr w:type="spellEnd"/>
      </w:hyperlink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en-GB"/>
          <w14:ligatures w14:val="none"/>
        </w:rPr>
        <w:t>.</w:t>
      </w:r>
      <w:r w:rsidRPr="00DC0492">
        <w:rPr>
          <w:rFonts w:ascii="Verdana" w:eastAsia="Times New Roman" w:hAnsi="Verdana" w:cs="Times New Roman"/>
          <w:color w:val="000000"/>
          <w:kern w:val="0"/>
          <w:sz w:val="16"/>
          <w:szCs w:val="16"/>
          <w:lang w:val="tr-TR"/>
          <w14:ligatures w14:val="none"/>
        </w:rPr>
        <w:t> </w:t>
      </w:r>
    </w:p>
    <w:p w14:paraId="1550BFFB" w14:textId="77777777" w:rsidR="00DC0492" w:rsidRPr="00DC0492" w:rsidRDefault="00DC0492" w:rsidP="00DC0492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tr-TR"/>
          <w14:ligatures w14:val="none"/>
        </w:rPr>
      </w:pPr>
      <w:r w:rsidRPr="00DC0492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tr-TR"/>
          <w14:ligatures w14:val="none"/>
        </w:rPr>
        <w:t> </w:t>
      </w:r>
    </w:p>
    <w:p w14:paraId="17DCDA52" w14:textId="77777777" w:rsidR="00DC0492" w:rsidRPr="00C74F36" w:rsidRDefault="00DC0492" w:rsidP="00C74F36">
      <w:pPr>
        <w:spacing w:line="36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</w:p>
    <w:sectPr w:rsidR="00DC0492" w:rsidRPr="00C7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CC5"/>
    <w:multiLevelType w:val="multilevel"/>
    <w:tmpl w:val="E1DA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A638D"/>
    <w:multiLevelType w:val="hybridMultilevel"/>
    <w:tmpl w:val="A550579E"/>
    <w:lvl w:ilvl="0" w:tplc="25BE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A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64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A5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48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89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E8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C0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28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39F9"/>
    <w:multiLevelType w:val="multilevel"/>
    <w:tmpl w:val="6720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4E3399"/>
    <w:multiLevelType w:val="multilevel"/>
    <w:tmpl w:val="4A2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D76BB"/>
    <w:multiLevelType w:val="multilevel"/>
    <w:tmpl w:val="4CFE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B5059"/>
    <w:multiLevelType w:val="multilevel"/>
    <w:tmpl w:val="388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9136923">
    <w:abstractNumId w:val="3"/>
  </w:num>
  <w:num w:numId="2" w16cid:durableId="218514660">
    <w:abstractNumId w:val="1"/>
  </w:num>
  <w:num w:numId="3" w16cid:durableId="193348945">
    <w:abstractNumId w:val="4"/>
  </w:num>
  <w:num w:numId="4" w16cid:durableId="436103404">
    <w:abstractNumId w:val="5"/>
  </w:num>
  <w:num w:numId="5" w16cid:durableId="655955414">
    <w:abstractNumId w:val="0"/>
  </w:num>
  <w:num w:numId="6" w16cid:durableId="118929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F9"/>
    <w:rsid w:val="0000276F"/>
    <w:rsid w:val="000D123B"/>
    <w:rsid w:val="000E27AC"/>
    <w:rsid w:val="00135CDA"/>
    <w:rsid w:val="00140BC0"/>
    <w:rsid w:val="0014200F"/>
    <w:rsid w:val="001B0E2C"/>
    <w:rsid w:val="001E3EF1"/>
    <w:rsid w:val="00207E29"/>
    <w:rsid w:val="00213134"/>
    <w:rsid w:val="00247DB9"/>
    <w:rsid w:val="00255552"/>
    <w:rsid w:val="00273867"/>
    <w:rsid w:val="002A2D69"/>
    <w:rsid w:val="002B1574"/>
    <w:rsid w:val="002D3F60"/>
    <w:rsid w:val="002E2C05"/>
    <w:rsid w:val="003040A4"/>
    <w:rsid w:val="00315682"/>
    <w:rsid w:val="0032318D"/>
    <w:rsid w:val="003242F6"/>
    <w:rsid w:val="003371D5"/>
    <w:rsid w:val="00350291"/>
    <w:rsid w:val="003879AE"/>
    <w:rsid w:val="00432898"/>
    <w:rsid w:val="00467C7C"/>
    <w:rsid w:val="0048143E"/>
    <w:rsid w:val="004856EA"/>
    <w:rsid w:val="00493C32"/>
    <w:rsid w:val="004E220F"/>
    <w:rsid w:val="00527472"/>
    <w:rsid w:val="0058561E"/>
    <w:rsid w:val="006060EC"/>
    <w:rsid w:val="006C11D9"/>
    <w:rsid w:val="006C13D8"/>
    <w:rsid w:val="006D7852"/>
    <w:rsid w:val="00791C87"/>
    <w:rsid w:val="00812E01"/>
    <w:rsid w:val="008372CE"/>
    <w:rsid w:val="00844591"/>
    <w:rsid w:val="008659F3"/>
    <w:rsid w:val="008803A1"/>
    <w:rsid w:val="00910771"/>
    <w:rsid w:val="00917051"/>
    <w:rsid w:val="009302BD"/>
    <w:rsid w:val="00950F88"/>
    <w:rsid w:val="00952E73"/>
    <w:rsid w:val="009538F9"/>
    <w:rsid w:val="00957F65"/>
    <w:rsid w:val="0099500B"/>
    <w:rsid w:val="009C1A53"/>
    <w:rsid w:val="009C4303"/>
    <w:rsid w:val="00A4589E"/>
    <w:rsid w:val="00A47B41"/>
    <w:rsid w:val="00A655AA"/>
    <w:rsid w:val="00A857CB"/>
    <w:rsid w:val="00AD24D5"/>
    <w:rsid w:val="00AE23DA"/>
    <w:rsid w:val="00AE7908"/>
    <w:rsid w:val="00B40C12"/>
    <w:rsid w:val="00B50D61"/>
    <w:rsid w:val="00B82F65"/>
    <w:rsid w:val="00BF126D"/>
    <w:rsid w:val="00C07CB3"/>
    <w:rsid w:val="00C36EC0"/>
    <w:rsid w:val="00C376AF"/>
    <w:rsid w:val="00C74F36"/>
    <w:rsid w:val="00CA5E00"/>
    <w:rsid w:val="00CB0FC4"/>
    <w:rsid w:val="00CB7F61"/>
    <w:rsid w:val="00CD7024"/>
    <w:rsid w:val="00CF13A7"/>
    <w:rsid w:val="00D336DE"/>
    <w:rsid w:val="00D50EF3"/>
    <w:rsid w:val="00D5489E"/>
    <w:rsid w:val="00D548B0"/>
    <w:rsid w:val="00D86F9A"/>
    <w:rsid w:val="00DC0492"/>
    <w:rsid w:val="00DE67E1"/>
    <w:rsid w:val="00DF1791"/>
    <w:rsid w:val="00E43AF0"/>
    <w:rsid w:val="00EA47C9"/>
    <w:rsid w:val="00EA690A"/>
    <w:rsid w:val="00F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4897"/>
  <w15:chartTrackingRefBased/>
  <w15:docId w15:val="{566141E5-4455-9047-A6F8-C34F5A8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5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3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3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3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3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5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38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38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38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38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38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38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3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38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3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38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38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38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38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38F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VarsaylanParagrafYazTipi"/>
    <w:rsid w:val="009538F9"/>
  </w:style>
  <w:style w:type="character" w:styleId="Kpr">
    <w:name w:val="Hyperlink"/>
    <w:basedOn w:val="VarsaylanParagrafYazTipi"/>
    <w:uiPriority w:val="99"/>
    <w:unhideWhenUsed/>
    <w:rsid w:val="00EA690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318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376AF"/>
    <w:rPr>
      <w:color w:val="96607D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CA5E0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5E0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5E0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5E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5E00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81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a.gov/cybersecurity-awareness-month" TargetMode="External"/><Relationship Id="rId13" Type="http://schemas.openxmlformats.org/officeDocument/2006/relationships/hyperlink" Target="https://www.fortinet.com/trust?tab=trusted%20partners" TargetMode="External"/><Relationship Id="rId18" Type="http://schemas.openxmlformats.org/officeDocument/2006/relationships/hyperlink" Target="https://www.fortinet.com/blo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ortinet.com/nse-training" TargetMode="External"/><Relationship Id="rId17" Type="http://schemas.openxmlformats.org/officeDocument/2006/relationships/hyperlink" Target="https://www.fortinet.com/content/fortinet-com/en_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rtinet.com/fortiguard/labs?utm_source=website&amp;utm_campaign=fortiguardlab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tinet.com/nse-trai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ortinet.com/fortiguard/labs" TargetMode="External"/><Relationship Id="rId10" Type="http://schemas.openxmlformats.org/officeDocument/2006/relationships/hyperlink" Target="https://www.fortinet.com/content/fortinet-com/en_us" TargetMode="External"/><Relationship Id="rId19" Type="http://schemas.openxmlformats.org/officeDocument/2006/relationships/hyperlink" Target="https://www.fortinet.com/fortiguard/lab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lity@marjinal.com.tr" TargetMode="External"/><Relationship Id="rId14" Type="http://schemas.openxmlformats.org/officeDocument/2006/relationships/hyperlink" Target="https://www.fortinet.com/trust?tab=trusted%20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9173c-608d-449f-801c-8478917a6353" xsi:nil="true"/>
    <lcf76f155ced4ddcb4097134ff3c332f xmlns="b0c5e927-4501-4a0e-aa37-e4f6bdcd0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2C9503B3EA4AA15CF7B0C4DA7FD5" ma:contentTypeVersion="13" ma:contentTypeDescription="Create a new document." ma:contentTypeScope="" ma:versionID="d5728193abd7eb1140b302f831d0c04b">
  <xsd:schema xmlns:xsd="http://www.w3.org/2001/XMLSchema" xmlns:xs="http://www.w3.org/2001/XMLSchema" xmlns:p="http://schemas.microsoft.com/office/2006/metadata/properties" xmlns:ns2="b0c5e927-4501-4a0e-aa37-e4f6bdcd055d" xmlns:ns3="8909173c-608d-449f-801c-8478917a6353" targetNamespace="http://schemas.microsoft.com/office/2006/metadata/properties" ma:root="true" ma:fieldsID="1395b29a5cdd072cd468ee2509b59a6a" ns2:_="" ns3:_="">
    <xsd:import namespace="b0c5e927-4501-4a0e-aa37-e4f6bdcd055d"/>
    <xsd:import namespace="8909173c-608d-449f-801c-8478917a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e927-4501-4a0e-aa37-e4f6bdcd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7c7e1d-08f1-45b1-b725-95e43607a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173c-608d-449f-801c-8478917a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19962a-9e3b-4624-9263-a29b35edcbea}" ma:internalName="TaxCatchAll" ma:showField="CatchAllData" ma:web="8909173c-608d-449f-801c-8478917a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11BE4-10FC-4358-8805-11FC825FA081}">
  <ds:schemaRefs>
    <ds:schemaRef ds:uri="http://schemas.microsoft.com/office/2006/metadata/properties"/>
    <ds:schemaRef ds:uri="http://schemas.microsoft.com/office/infopath/2007/PartnerControls"/>
    <ds:schemaRef ds:uri="8909173c-608d-449f-801c-8478917a6353"/>
    <ds:schemaRef ds:uri="b0c5e927-4501-4a0e-aa37-e4f6bdcd055d"/>
  </ds:schemaRefs>
</ds:datastoreItem>
</file>

<file path=customXml/itemProps2.xml><?xml version="1.0" encoding="utf-8"?>
<ds:datastoreItem xmlns:ds="http://schemas.openxmlformats.org/officeDocument/2006/customXml" ds:itemID="{90AA6886-8E5E-4C55-9570-99D39E0DD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0AF19-B82A-4229-B2F7-0C7E508A8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5e927-4501-4a0e-aa37-e4f6bdcd055d"/>
    <ds:schemaRef ds:uri="8909173c-608d-449f-801c-8478917a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Dreyer</dc:creator>
  <cp:lastModifiedBy>Halit Yeşilbaş</cp:lastModifiedBy>
  <cp:revision>4</cp:revision>
  <dcterms:created xsi:type="dcterms:W3CDTF">2024-10-14T16:05:00Z</dcterms:created>
  <dcterms:modified xsi:type="dcterms:W3CDTF">2024-10-16T06:40:00Z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0x01010031252C9503B3EA4AA15CF7B0C4DA7FD5</vt:lpwstr>
  </property>
</Properties>
</file>