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D771" w14:textId="183ED6A5" w:rsidR="00BB56AA" w:rsidRPr="004E715F" w:rsidRDefault="00BB56AA" w:rsidP="004E715F">
      <w:pPr>
        <w:tabs>
          <w:tab w:val="left" w:pos="2510"/>
        </w:tabs>
        <w:spacing w:line="276" w:lineRule="auto"/>
        <w:contextualSpacing/>
        <w:jc w:val="center"/>
        <w:rPr>
          <w:rFonts w:ascii="Verdana" w:hAnsi="Verdana"/>
          <w:b/>
          <w:bCs/>
          <w:sz w:val="28"/>
          <w:szCs w:val="28"/>
          <w:lang w:val="tr-TR"/>
        </w:rPr>
      </w:pPr>
      <w:r w:rsidRPr="00BB56AA">
        <w:rPr>
          <w:rFonts w:ascii="Verdana" w:hAnsi="Verdana"/>
          <w:b/>
          <w:bCs/>
          <w:sz w:val="28"/>
          <w:szCs w:val="28"/>
          <w:lang w:val="tr-TR"/>
        </w:rPr>
        <w:t>TD SYNNEX, iş ortaklarının yapay zekâ alanında büyümelerini hızlandıracak “</w:t>
      </w:r>
      <w:proofErr w:type="spellStart"/>
      <w:r w:rsidRPr="00BB56AA">
        <w:rPr>
          <w:rFonts w:ascii="Verdana" w:hAnsi="Verdana"/>
          <w:b/>
          <w:bCs/>
          <w:sz w:val="28"/>
          <w:szCs w:val="28"/>
          <w:lang w:val="tr-TR"/>
        </w:rPr>
        <w:t>Destination</w:t>
      </w:r>
      <w:proofErr w:type="spellEnd"/>
      <w:r w:rsidRPr="00BB56AA">
        <w:rPr>
          <w:rFonts w:ascii="Verdana" w:hAnsi="Verdana"/>
          <w:b/>
          <w:bCs/>
          <w:sz w:val="28"/>
          <w:szCs w:val="28"/>
          <w:lang w:val="tr-TR"/>
        </w:rPr>
        <w:t xml:space="preserve"> AI” programını Türkiye’de de hayata geçirdi</w:t>
      </w:r>
    </w:p>
    <w:p w14:paraId="2D91306A" w14:textId="5FBAB926" w:rsidR="0089148A" w:rsidRDefault="00D34F59" w:rsidP="009A21C0">
      <w:pPr>
        <w:tabs>
          <w:tab w:val="left" w:pos="2510"/>
        </w:tabs>
        <w:spacing w:line="276" w:lineRule="auto"/>
        <w:contextualSpacing/>
        <w:jc w:val="center"/>
        <w:rPr>
          <w:rFonts w:ascii="Verdana" w:hAnsi="Verdana"/>
          <w:b/>
          <w:sz w:val="22"/>
          <w:szCs w:val="22"/>
          <w:lang w:val="tr-TR"/>
        </w:rPr>
      </w:pPr>
      <w:r w:rsidRPr="005952F4">
        <w:rPr>
          <w:rFonts w:ascii="Verdana" w:hAnsi="Verdana"/>
          <w:b/>
          <w:sz w:val="22"/>
          <w:szCs w:val="22"/>
          <w:lang w:val="tr-TR"/>
        </w:rPr>
        <w:br/>
      </w:r>
      <w:r w:rsidR="008F566E" w:rsidRPr="00246A25">
        <w:rPr>
          <w:rFonts w:ascii="Verdana" w:hAnsi="Verdana"/>
          <w:b/>
          <w:sz w:val="22"/>
          <w:szCs w:val="22"/>
          <w:lang w:val="tr-TR"/>
        </w:rPr>
        <w:t>TD SYNNEX</w:t>
      </w:r>
      <w:r w:rsidR="009A21C0">
        <w:rPr>
          <w:rFonts w:ascii="Verdana" w:hAnsi="Verdana"/>
          <w:b/>
          <w:sz w:val="22"/>
          <w:szCs w:val="22"/>
          <w:lang w:val="tr-TR"/>
        </w:rPr>
        <w:t>,</w:t>
      </w:r>
      <w:r w:rsidR="00246A25">
        <w:rPr>
          <w:rFonts w:ascii="Verdana" w:hAnsi="Verdana"/>
          <w:b/>
          <w:sz w:val="22"/>
          <w:szCs w:val="22"/>
          <w:lang w:val="tr-TR"/>
        </w:rPr>
        <w:t xml:space="preserve"> </w:t>
      </w:r>
      <w:r w:rsidR="008F566E" w:rsidRPr="00246A25">
        <w:rPr>
          <w:rFonts w:ascii="Verdana" w:hAnsi="Verdana"/>
          <w:b/>
          <w:sz w:val="22"/>
          <w:szCs w:val="22"/>
          <w:lang w:val="tr-TR"/>
        </w:rPr>
        <w:t>“Destination AI” programı</w:t>
      </w:r>
      <w:r w:rsidR="009A21C0">
        <w:rPr>
          <w:rFonts w:ascii="Verdana" w:hAnsi="Verdana"/>
          <w:b/>
          <w:sz w:val="22"/>
          <w:szCs w:val="22"/>
          <w:lang w:val="tr-TR"/>
        </w:rPr>
        <w:t xml:space="preserve"> kapsamında Türkiye’deki iş ortaklarının yapay zekânın getirdiği yeni fırsatlardan faydalanarak büyümelerini hızlandıracak destekler sunacak. </w:t>
      </w:r>
      <w:r w:rsidR="00791EF5">
        <w:rPr>
          <w:rFonts w:ascii="Verdana" w:hAnsi="Verdana"/>
          <w:b/>
          <w:sz w:val="22"/>
          <w:szCs w:val="22"/>
          <w:lang w:val="tr-TR"/>
        </w:rPr>
        <w:t xml:space="preserve">Şirketin bu alanda </w:t>
      </w:r>
      <w:r w:rsidR="00791EF5" w:rsidRPr="00791EF5">
        <w:rPr>
          <w:rFonts w:ascii="Verdana" w:hAnsi="Verdana"/>
          <w:b/>
          <w:sz w:val="22"/>
          <w:szCs w:val="22"/>
          <w:lang w:val="tr-TR"/>
        </w:rPr>
        <w:t>hem satış hem de teknik destek sunacak uzman kadro</w:t>
      </w:r>
      <w:r w:rsidR="00791EF5">
        <w:rPr>
          <w:rFonts w:ascii="Verdana" w:hAnsi="Verdana"/>
          <w:b/>
          <w:sz w:val="22"/>
          <w:szCs w:val="22"/>
          <w:lang w:val="tr-TR"/>
        </w:rPr>
        <w:t>su</w:t>
      </w:r>
      <w:r w:rsidR="004457FC">
        <w:rPr>
          <w:rFonts w:ascii="Verdana" w:hAnsi="Verdana"/>
          <w:b/>
          <w:sz w:val="22"/>
          <w:szCs w:val="22"/>
          <w:lang w:val="tr-TR"/>
        </w:rPr>
        <w:t>,</w:t>
      </w:r>
      <w:r w:rsidR="00791EF5">
        <w:rPr>
          <w:rFonts w:ascii="Verdana" w:hAnsi="Verdana"/>
          <w:b/>
          <w:sz w:val="22"/>
          <w:szCs w:val="22"/>
          <w:lang w:val="tr-TR"/>
        </w:rPr>
        <w:t xml:space="preserve"> f</w:t>
      </w:r>
      <w:r w:rsidR="009A21C0" w:rsidRPr="009A21C0">
        <w:rPr>
          <w:rFonts w:ascii="Verdana" w:hAnsi="Verdana"/>
          <w:b/>
          <w:sz w:val="22"/>
          <w:szCs w:val="22"/>
          <w:lang w:val="tr-TR"/>
        </w:rPr>
        <w:t xml:space="preserve">arkındalık artırıcı eğitimlerden teknik beceriler kazandıran atölye çalışmalarına ve satış sonrası destek hizmetlerine kadar </w:t>
      </w:r>
      <w:r w:rsidR="00791EF5" w:rsidRPr="00791EF5">
        <w:rPr>
          <w:rFonts w:ascii="Verdana" w:hAnsi="Verdana"/>
          <w:b/>
          <w:sz w:val="22"/>
          <w:szCs w:val="22"/>
          <w:lang w:val="tr-TR"/>
        </w:rPr>
        <w:t xml:space="preserve">iş ortaklarına bu yolculuklarında </w:t>
      </w:r>
      <w:r w:rsidR="00791EF5">
        <w:rPr>
          <w:rFonts w:ascii="Verdana" w:hAnsi="Verdana"/>
          <w:b/>
          <w:sz w:val="22"/>
          <w:szCs w:val="22"/>
          <w:lang w:val="tr-TR"/>
        </w:rPr>
        <w:t>rehberlik edecek</w:t>
      </w:r>
      <w:r w:rsidR="00791EF5" w:rsidRPr="00791EF5">
        <w:rPr>
          <w:rFonts w:ascii="Verdana" w:hAnsi="Verdana"/>
          <w:b/>
          <w:sz w:val="22"/>
          <w:szCs w:val="22"/>
          <w:lang w:val="tr-TR"/>
        </w:rPr>
        <w:t>.</w:t>
      </w:r>
    </w:p>
    <w:p w14:paraId="7FE1E5EE" w14:textId="77777777" w:rsidR="004E715F" w:rsidRPr="008F566E" w:rsidRDefault="004E715F" w:rsidP="009A21C0">
      <w:pPr>
        <w:tabs>
          <w:tab w:val="left" w:pos="2510"/>
        </w:tabs>
        <w:spacing w:line="276" w:lineRule="auto"/>
        <w:contextualSpacing/>
        <w:jc w:val="center"/>
        <w:rPr>
          <w:rFonts w:ascii="Verdana" w:hAnsi="Verdana"/>
          <w:b/>
          <w:sz w:val="22"/>
          <w:szCs w:val="22"/>
          <w:highlight w:val="yellow"/>
          <w:lang w:val="tr-TR"/>
        </w:rPr>
      </w:pPr>
    </w:p>
    <w:p w14:paraId="6FD9A2CA" w14:textId="5AD7215D" w:rsidR="00D25D58" w:rsidRDefault="00D34F59" w:rsidP="00501B60">
      <w:pPr>
        <w:spacing w:line="300" w:lineRule="auto"/>
        <w:contextualSpacing/>
        <w:jc w:val="both"/>
        <w:rPr>
          <w:rFonts w:ascii="Verdana" w:eastAsia="Arial" w:hAnsi="Verdana"/>
          <w:sz w:val="20"/>
          <w:szCs w:val="20"/>
          <w:lang w:val="tr-TR"/>
        </w:rPr>
      </w:pPr>
      <w:r w:rsidRPr="005952F4">
        <w:rPr>
          <w:rFonts w:ascii="Verdana" w:eastAsia="Arial" w:hAnsi="Verdana"/>
          <w:sz w:val="20"/>
          <w:szCs w:val="20"/>
          <w:lang w:val="tr-TR"/>
        </w:rPr>
        <w:t xml:space="preserve">BT ekosistemi için lider bir küresel distribütör ve 100'den fazla ülkede 150 bini aşkın müşterisi için çözüm toplayıcı olan TD SYNNEX, </w:t>
      </w:r>
      <w:r w:rsidR="00D25D58">
        <w:rPr>
          <w:rFonts w:ascii="Verdana" w:eastAsia="Arial" w:hAnsi="Verdana"/>
          <w:sz w:val="20"/>
          <w:szCs w:val="20"/>
          <w:lang w:val="tr-TR"/>
        </w:rPr>
        <w:t xml:space="preserve">Türkiye’deki </w:t>
      </w:r>
      <w:r w:rsidR="00D25D58" w:rsidRPr="00D25D58">
        <w:rPr>
          <w:rFonts w:ascii="Verdana" w:eastAsia="Arial" w:hAnsi="Verdana"/>
          <w:sz w:val="20"/>
          <w:szCs w:val="20"/>
          <w:lang w:val="tr-TR"/>
        </w:rPr>
        <w:t>iş ortakları</w:t>
      </w:r>
      <w:r w:rsidR="00D25D58">
        <w:rPr>
          <w:rFonts w:ascii="Verdana" w:eastAsia="Arial" w:hAnsi="Verdana"/>
          <w:sz w:val="20"/>
          <w:szCs w:val="20"/>
          <w:lang w:val="tr-TR"/>
        </w:rPr>
        <w:t>nın</w:t>
      </w:r>
      <w:r w:rsidR="00D25D58" w:rsidRPr="00D25D58">
        <w:rPr>
          <w:rFonts w:ascii="Verdana" w:eastAsia="Arial" w:hAnsi="Verdana"/>
          <w:sz w:val="20"/>
          <w:szCs w:val="20"/>
          <w:lang w:val="tr-TR"/>
        </w:rPr>
        <w:t xml:space="preserve"> ve müşterileri</w:t>
      </w:r>
      <w:r w:rsidR="00D25D58">
        <w:rPr>
          <w:rFonts w:ascii="Verdana" w:eastAsia="Arial" w:hAnsi="Verdana"/>
          <w:sz w:val="20"/>
          <w:szCs w:val="20"/>
          <w:lang w:val="tr-TR"/>
        </w:rPr>
        <w:t>nin</w:t>
      </w:r>
      <w:r w:rsidR="00D25D58" w:rsidRPr="00D25D58">
        <w:rPr>
          <w:rFonts w:ascii="Verdana" w:eastAsia="Arial" w:hAnsi="Verdana"/>
          <w:sz w:val="20"/>
          <w:szCs w:val="20"/>
          <w:lang w:val="tr-TR"/>
        </w:rPr>
        <w:t xml:space="preserve"> yapay zekâ yolculuklarına katma değerli destekleri</w:t>
      </w:r>
      <w:r w:rsidR="00D25D58">
        <w:rPr>
          <w:rFonts w:ascii="Verdana" w:eastAsia="Arial" w:hAnsi="Verdana"/>
          <w:sz w:val="20"/>
          <w:szCs w:val="20"/>
          <w:lang w:val="tr-TR"/>
        </w:rPr>
        <w:t>ni</w:t>
      </w:r>
      <w:r w:rsidR="00D25D58" w:rsidRPr="00D25D58">
        <w:rPr>
          <w:rFonts w:ascii="Verdana" w:eastAsia="Arial" w:hAnsi="Verdana"/>
          <w:sz w:val="20"/>
          <w:szCs w:val="20"/>
          <w:lang w:val="tr-TR"/>
        </w:rPr>
        <w:t xml:space="preserve"> artırmak için </w:t>
      </w:r>
      <w:r w:rsidR="00D25D58">
        <w:rPr>
          <w:rFonts w:ascii="Verdana" w:eastAsia="Arial" w:hAnsi="Verdana"/>
          <w:sz w:val="20"/>
          <w:szCs w:val="20"/>
          <w:lang w:val="tr-TR"/>
        </w:rPr>
        <w:t>“</w:t>
      </w:r>
      <w:r w:rsidR="00D25D58" w:rsidRPr="00D25D58">
        <w:rPr>
          <w:rFonts w:ascii="Verdana" w:eastAsia="Arial" w:hAnsi="Verdana"/>
          <w:sz w:val="20"/>
          <w:szCs w:val="20"/>
          <w:lang w:val="tr-TR"/>
        </w:rPr>
        <w:t>Destination AI</w:t>
      </w:r>
      <w:r w:rsidR="00D25D58">
        <w:rPr>
          <w:rFonts w:ascii="Verdana" w:eastAsia="Arial" w:hAnsi="Verdana"/>
          <w:sz w:val="20"/>
          <w:szCs w:val="20"/>
          <w:lang w:val="tr-TR"/>
        </w:rPr>
        <w:t>”</w:t>
      </w:r>
      <w:r w:rsidR="00D25D58" w:rsidRPr="00D25D58">
        <w:rPr>
          <w:rFonts w:ascii="Verdana" w:eastAsia="Arial" w:hAnsi="Verdana"/>
          <w:sz w:val="20"/>
          <w:szCs w:val="20"/>
          <w:lang w:val="tr-TR"/>
        </w:rPr>
        <w:t xml:space="preserve"> program</w:t>
      </w:r>
      <w:r w:rsidR="00D25D58">
        <w:rPr>
          <w:rFonts w:ascii="Verdana" w:eastAsia="Arial" w:hAnsi="Verdana"/>
          <w:sz w:val="20"/>
          <w:szCs w:val="20"/>
          <w:lang w:val="tr-TR"/>
        </w:rPr>
        <w:t>ını</w:t>
      </w:r>
      <w:r w:rsidR="00D25D58" w:rsidRPr="00D25D58">
        <w:rPr>
          <w:rFonts w:ascii="Verdana" w:eastAsia="Arial" w:hAnsi="Verdana"/>
          <w:sz w:val="20"/>
          <w:szCs w:val="20"/>
          <w:lang w:val="tr-TR"/>
        </w:rPr>
        <w:t xml:space="preserve"> hayata geçirdi. </w:t>
      </w:r>
      <w:r w:rsidR="00D25D58">
        <w:rPr>
          <w:rFonts w:ascii="Verdana" w:eastAsia="Arial" w:hAnsi="Verdana"/>
          <w:sz w:val="20"/>
          <w:szCs w:val="20"/>
          <w:lang w:val="tr-TR"/>
        </w:rPr>
        <w:t>Şirket b</w:t>
      </w:r>
      <w:r w:rsidR="00D25D58" w:rsidRPr="00D25D58">
        <w:rPr>
          <w:rFonts w:ascii="Verdana" w:eastAsia="Arial" w:hAnsi="Verdana"/>
          <w:sz w:val="20"/>
          <w:szCs w:val="20"/>
          <w:lang w:val="tr-TR"/>
        </w:rPr>
        <w:t>u programı ile dağıtıcısı olduğu tüm markaların yapay zekâ webinar’ları aracılığıyla iş ortakları</w:t>
      </w:r>
      <w:r w:rsidR="00D25D58">
        <w:rPr>
          <w:rFonts w:ascii="Verdana" w:eastAsia="Arial" w:hAnsi="Verdana"/>
          <w:sz w:val="20"/>
          <w:szCs w:val="20"/>
          <w:lang w:val="tr-TR"/>
        </w:rPr>
        <w:t>na</w:t>
      </w:r>
      <w:r w:rsidR="00D25D58" w:rsidRPr="00D25D58">
        <w:rPr>
          <w:rFonts w:ascii="Verdana" w:eastAsia="Arial" w:hAnsi="Verdana"/>
          <w:sz w:val="20"/>
          <w:szCs w:val="20"/>
          <w:lang w:val="tr-TR"/>
        </w:rPr>
        <w:t xml:space="preserve"> gerekli bilgi ve becerileri kazandırmayı amaçlıyor. Aynı zamanda bu teknolojiyi kullanarak yeni projeler hayata geçirmek isteyen iş ortakları</w:t>
      </w:r>
      <w:r w:rsidR="00D25D58">
        <w:rPr>
          <w:rFonts w:ascii="Verdana" w:eastAsia="Arial" w:hAnsi="Verdana"/>
          <w:sz w:val="20"/>
          <w:szCs w:val="20"/>
          <w:lang w:val="tr-TR"/>
        </w:rPr>
        <w:t>na</w:t>
      </w:r>
      <w:r w:rsidR="00D25D58" w:rsidRPr="00D25D58">
        <w:rPr>
          <w:rFonts w:ascii="Verdana" w:eastAsia="Arial" w:hAnsi="Verdana"/>
          <w:sz w:val="20"/>
          <w:szCs w:val="20"/>
          <w:lang w:val="tr-TR"/>
        </w:rPr>
        <w:t xml:space="preserve"> da bu yolculuklarında destek </w:t>
      </w:r>
      <w:r w:rsidR="00D25D58">
        <w:rPr>
          <w:rFonts w:ascii="Verdana" w:eastAsia="Arial" w:hAnsi="Verdana"/>
          <w:sz w:val="20"/>
          <w:szCs w:val="20"/>
          <w:lang w:val="tr-TR"/>
        </w:rPr>
        <w:t>verilecek</w:t>
      </w:r>
      <w:r w:rsidR="00D25D58" w:rsidRPr="00D25D58">
        <w:rPr>
          <w:rFonts w:ascii="Verdana" w:eastAsia="Arial" w:hAnsi="Verdana"/>
          <w:sz w:val="20"/>
          <w:szCs w:val="20"/>
          <w:lang w:val="tr-TR"/>
        </w:rPr>
        <w:t xml:space="preserve">. Bunun için Türkiye’de bu alanda hem satış hem de teknik destek sunacak uzman bir kadro </w:t>
      </w:r>
      <w:r w:rsidR="00D25D58">
        <w:rPr>
          <w:rFonts w:ascii="Verdana" w:eastAsia="Arial" w:hAnsi="Verdana"/>
          <w:sz w:val="20"/>
          <w:szCs w:val="20"/>
          <w:lang w:val="tr-TR"/>
        </w:rPr>
        <w:t>da oluşturuldu</w:t>
      </w:r>
      <w:r w:rsidR="00D25D58" w:rsidRPr="00D25D58">
        <w:rPr>
          <w:rFonts w:ascii="Verdana" w:eastAsia="Arial" w:hAnsi="Verdana"/>
          <w:sz w:val="20"/>
          <w:szCs w:val="20"/>
          <w:lang w:val="tr-TR"/>
        </w:rPr>
        <w:t xml:space="preserve">. </w:t>
      </w:r>
    </w:p>
    <w:p w14:paraId="00A2D980" w14:textId="77777777" w:rsidR="005E4044" w:rsidRDefault="005E4044" w:rsidP="009A3179">
      <w:pPr>
        <w:keepLines/>
        <w:widowControl w:val="0"/>
        <w:spacing w:line="300" w:lineRule="auto"/>
        <w:contextualSpacing/>
        <w:jc w:val="both"/>
        <w:rPr>
          <w:rFonts w:ascii="Verdana" w:eastAsia="Arial" w:hAnsi="Verdana" w:cs="Arial"/>
          <w:color w:val="000000"/>
          <w:sz w:val="20"/>
          <w:szCs w:val="20"/>
          <w:lang w:val="tr-TR"/>
        </w:rPr>
      </w:pPr>
    </w:p>
    <w:p w14:paraId="759A3D5D" w14:textId="0F31B2BE" w:rsidR="009A3179" w:rsidRDefault="009A3179" w:rsidP="009A3179">
      <w:pPr>
        <w:keepLines/>
        <w:widowControl w:val="0"/>
        <w:spacing w:line="300" w:lineRule="auto"/>
        <w:contextualSpacing/>
        <w:jc w:val="both"/>
        <w:rPr>
          <w:rFonts w:ascii="Verdana" w:eastAsia="Arial" w:hAnsi="Verdana"/>
          <w:sz w:val="20"/>
          <w:szCs w:val="20"/>
          <w:lang w:val="tr-TR"/>
        </w:rPr>
      </w:pPr>
      <w:r w:rsidRPr="008F566E">
        <w:rPr>
          <w:rFonts w:ascii="Verdana" w:eastAsia="Arial" w:hAnsi="Verdana" w:cs="Arial"/>
          <w:color w:val="000000"/>
          <w:sz w:val="20"/>
          <w:szCs w:val="20"/>
          <w:lang w:val="tr-TR"/>
        </w:rPr>
        <w:t>Konuyla ilgili açıklama yapan TD SYNNEX’in Türkiye Başkanı Behçet Yumrukçallı</w:t>
      </w:r>
      <w:r>
        <w:rPr>
          <w:rFonts w:ascii="Verdana" w:eastAsia="Arial" w:hAnsi="Verdana" w:cs="Arial"/>
          <w:color w:val="000000"/>
          <w:sz w:val="20"/>
          <w:szCs w:val="20"/>
          <w:lang w:val="tr-TR"/>
        </w:rPr>
        <w:t xml:space="preserve">, </w:t>
      </w:r>
      <w:r>
        <w:rPr>
          <w:rFonts w:ascii="Verdana" w:eastAsia="Arial" w:hAnsi="Verdana"/>
          <w:sz w:val="20"/>
          <w:szCs w:val="20"/>
          <w:lang w:val="tr-TR"/>
        </w:rPr>
        <w:t>“</w:t>
      </w:r>
      <w:r w:rsidR="00246A25" w:rsidRPr="00C64E0A">
        <w:rPr>
          <w:rFonts w:ascii="Verdana" w:hAnsi="Verdana"/>
          <w:sz w:val="20"/>
          <w:szCs w:val="20"/>
          <w:lang w:val="tr-TR"/>
        </w:rPr>
        <w:t>IDC'nin güncel raporuna göre</w:t>
      </w:r>
      <w:r w:rsidR="00246A25" w:rsidRPr="00C64E0A">
        <w:rPr>
          <w:rStyle w:val="DipnotBavurusu"/>
          <w:rFonts w:ascii="Verdana" w:hAnsi="Verdana"/>
          <w:sz w:val="20"/>
          <w:szCs w:val="20"/>
          <w:lang w:val="tr-TR"/>
        </w:rPr>
        <w:footnoteReference w:id="1"/>
      </w:r>
      <w:r w:rsidR="00246A25" w:rsidRPr="00C64E0A">
        <w:rPr>
          <w:rFonts w:ascii="Verdana" w:hAnsi="Verdana"/>
          <w:sz w:val="20"/>
          <w:szCs w:val="20"/>
          <w:lang w:val="tr-TR"/>
        </w:rPr>
        <w:t xml:space="preserve"> bulut, büyük veri ve analitik, güvenlik, yapay zekâ teknolojilerinden oluşan</w:t>
      </w:r>
      <w:r w:rsidR="00246A25">
        <w:rPr>
          <w:rFonts w:ascii="Verdana" w:hAnsi="Verdana"/>
          <w:sz w:val="20"/>
          <w:szCs w:val="20"/>
          <w:lang w:val="tr-TR"/>
        </w:rPr>
        <w:t xml:space="preserve"> </w:t>
      </w:r>
      <w:r w:rsidR="00246A25" w:rsidRPr="00246A25">
        <w:rPr>
          <w:rFonts w:ascii="Verdana" w:hAnsi="Verdana"/>
          <w:sz w:val="20"/>
          <w:szCs w:val="20"/>
          <w:lang w:val="tr-TR"/>
        </w:rPr>
        <w:t xml:space="preserve">yüksek büyüme potansiyeline sahip teknolojiler (HGT) pazarının 2028 yılına kadar 2,7 trilyon dolarlık bir fırsat yaratması bekleniyor. Tüm bu teknolojiler içerisinde en hızlı büyümenin ise yaklaşık yüzde 30 ile yapay zekâ teknolojilerinde yaşanacağı öngörülüyor. </w:t>
      </w:r>
      <w:r w:rsidRPr="009A3179">
        <w:rPr>
          <w:rFonts w:ascii="Verdana" w:eastAsia="Arial" w:hAnsi="Verdana"/>
          <w:sz w:val="20"/>
          <w:szCs w:val="20"/>
          <w:lang w:val="tr-TR"/>
        </w:rPr>
        <w:t>TD SYNNEX</w:t>
      </w:r>
      <w:r>
        <w:rPr>
          <w:rFonts w:ascii="Verdana" w:eastAsia="Arial" w:hAnsi="Verdana"/>
          <w:sz w:val="20"/>
          <w:szCs w:val="20"/>
          <w:lang w:val="tr-TR"/>
        </w:rPr>
        <w:t xml:space="preserve"> olarak </w:t>
      </w:r>
      <w:r w:rsidR="00246A25">
        <w:rPr>
          <w:rFonts w:ascii="Verdana" w:eastAsia="Arial" w:hAnsi="Verdana"/>
          <w:sz w:val="20"/>
          <w:szCs w:val="20"/>
          <w:lang w:val="tr-TR"/>
        </w:rPr>
        <w:t xml:space="preserve">biz de </w:t>
      </w:r>
      <w:r w:rsidRPr="009A3179">
        <w:rPr>
          <w:rFonts w:ascii="Verdana" w:eastAsia="Arial" w:hAnsi="Verdana"/>
          <w:sz w:val="20"/>
          <w:szCs w:val="20"/>
          <w:lang w:val="tr-TR"/>
        </w:rPr>
        <w:t>geniş AI çözüm portföyü</w:t>
      </w:r>
      <w:r>
        <w:rPr>
          <w:rFonts w:ascii="Verdana" w:eastAsia="Arial" w:hAnsi="Verdana"/>
          <w:sz w:val="20"/>
          <w:szCs w:val="20"/>
          <w:lang w:val="tr-TR"/>
        </w:rPr>
        <w:t>müz</w:t>
      </w:r>
      <w:r w:rsidRPr="009A3179">
        <w:rPr>
          <w:rFonts w:ascii="Verdana" w:eastAsia="Arial" w:hAnsi="Verdana"/>
          <w:sz w:val="20"/>
          <w:szCs w:val="20"/>
          <w:lang w:val="tr-TR"/>
        </w:rPr>
        <w:t xml:space="preserve"> ve uzman ekipleri</w:t>
      </w:r>
      <w:r>
        <w:rPr>
          <w:rFonts w:ascii="Verdana" w:eastAsia="Arial" w:hAnsi="Verdana"/>
          <w:sz w:val="20"/>
          <w:szCs w:val="20"/>
          <w:lang w:val="tr-TR"/>
        </w:rPr>
        <w:t>miz</w:t>
      </w:r>
      <w:r w:rsidRPr="009A3179">
        <w:rPr>
          <w:rFonts w:ascii="Verdana" w:eastAsia="Arial" w:hAnsi="Verdana"/>
          <w:sz w:val="20"/>
          <w:szCs w:val="20"/>
          <w:lang w:val="tr-TR"/>
        </w:rPr>
        <w:t xml:space="preserve"> ile iş ortakları</w:t>
      </w:r>
      <w:r>
        <w:rPr>
          <w:rFonts w:ascii="Verdana" w:eastAsia="Arial" w:hAnsi="Verdana"/>
          <w:sz w:val="20"/>
          <w:szCs w:val="20"/>
          <w:lang w:val="tr-TR"/>
        </w:rPr>
        <w:t>mızın</w:t>
      </w:r>
      <w:r w:rsidRPr="009A3179">
        <w:rPr>
          <w:rFonts w:ascii="Verdana" w:eastAsia="Arial" w:hAnsi="Verdana"/>
          <w:sz w:val="20"/>
          <w:szCs w:val="20"/>
          <w:lang w:val="tr-TR"/>
        </w:rPr>
        <w:t xml:space="preserve"> yapay </w:t>
      </w:r>
      <w:r>
        <w:rPr>
          <w:rFonts w:ascii="Verdana" w:eastAsia="Arial" w:hAnsi="Verdana"/>
          <w:sz w:val="20"/>
          <w:szCs w:val="20"/>
          <w:lang w:val="tr-TR"/>
        </w:rPr>
        <w:t xml:space="preserve">zekâ </w:t>
      </w:r>
      <w:r w:rsidRPr="009A3179">
        <w:rPr>
          <w:rFonts w:ascii="Verdana" w:eastAsia="Arial" w:hAnsi="Verdana"/>
          <w:sz w:val="20"/>
          <w:szCs w:val="20"/>
          <w:lang w:val="tr-TR"/>
        </w:rPr>
        <w:t>alanında büyümelerini desteklemeye odaklanı</w:t>
      </w:r>
      <w:r w:rsidR="00246A25">
        <w:rPr>
          <w:rFonts w:ascii="Verdana" w:eastAsia="Arial" w:hAnsi="Verdana"/>
          <w:sz w:val="20"/>
          <w:szCs w:val="20"/>
          <w:lang w:val="tr-TR"/>
        </w:rPr>
        <w:t>yoruz</w:t>
      </w:r>
      <w:r w:rsidRPr="009A3179">
        <w:rPr>
          <w:rFonts w:ascii="Verdana" w:eastAsia="Arial" w:hAnsi="Verdana"/>
          <w:sz w:val="20"/>
          <w:szCs w:val="20"/>
          <w:lang w:val="tr-TR"/>
        </w:rPr>
        <w:t xml:space="preserve">. </w:t>
      </w:r>
      <w:r>
        <w:rPr>
          <w:rFonts w:ascii="Verdana" w:eastAsia="Arial" w:hAnsi="Verdana"/>
          <w:sz w:val="20"/>
          <w:szCs w:val="20"/>
          <w:lang w:val="tr-TR"/>
        </w:rPr>
        <w:t>B</w:t>
      </w:r>
      <w:r w:rsidRPr="009A3179">
        <w:rPr>
          <w:rFonts w:ascii="Verdana" w:eastAsia="Arial" w:hAnsi="Verdana"/>
          <w:sz w:val="20"/>
          <w:szCs w:val="20"/>
          <w:lang w:val="tr-TR"/>
        </w:rPr>
        <w:t xml:space="preserve">ulut hizmet sağlayıcıları, bağımsız yazılım satıcıları, </w:t>
      </w:r>
      <w:r w:rsidRPr="00D25D58">
        <w:rPr>
          <w:rFonts w:ascii="Verdana" w:eastAsia="Arial" w:hAnsi="Verdana"/>
          <w:sz w:val="20"/>
          <w:szCs w:val="20"/>
          <w:lang w:val="tr-TR"/>
        </w:rPr>
        <w:t xml:space="preserve">yapay </w:t>
      </w:r>
      <w:r>
        <w:rPr>
          <w:rFonts w:ascii="Verdana" w:eastAsia="Arial" w:hAnsi="Verdana"/>
          <w:sz w:val="20"/>
          <w:szCs w:val="20"/>
          <w:lang w:val="tr-TR"/>
        </w:rPr>
        <w:t xml:space="preserve">zekâ </w:t>
      </w:r>
      <w:r w:rsidRPr="00D25D58">
        <w:rPr>
          <w:rFonts w:ascii="Verdana" w:eastAsia="Arial" w:hAnsi="Verdana"/>
          <w:sz w:val="20"/>
          <w:szCs w:val="20"/>
          <w:lang w:val="tr-TR"/>
        </w:rPr>
        <w:t xml:space="preserve">yazılım üreticileri ve </w:t>
      </w:r>
      <w:r w:rsidRPr="009A3179">
        <w:rPr>
          <w:rFonts w:ascii="Verdana" w:eastAsia="Arial" w:hAnsi="Verdana"/>
          <w:sz w:val="20"/>
          <w:szCs w:val="20"/>
          <w:lang w:val="tr-TR"/>
        </w:rPr>
        <w:t>hiper ölçekleyiciler</w:t>
      </w:r>
      <w:r>
        <w:rPr>
          <w:rFonts w:ascii="Verdana" w:eastAsia="Arial" w:hAnsi="Verdana"/>
          <w:sz w:val="20"/>
          <w:szCs w:val="20"/>
          <w:lang w:val="tr-TR"/>
        </w:rPr>
        <w:t xml:space="preserve"> </w:t>
      </w:r>
      <w:r w:rsidRPr="009A3179">
        <w:rPr>
          <w:rFonts w:ascii="Verdana" w:eastAsia="Arial" w:hAnsi="Verdana"/>
          <w:sz w:val="20"/>
          <w:szCs w:val="20"/>
          <w:lang w:val="tr-TR"/>
        </w:rPr>
        <w:t>gibi çok çeşitli sektörel oyuncuları bir araya getirerek AI ekosisteminde köprü görevi görüyor</w:t>
      </w:r>
      <w:r>
        <w:rPr>
          <w:rFonts w:ascii="Verdana" w:eastAsia="Arial" w:hAnsi="Verdana"/>
          <w:sz w:val="20"/>
          <w:szCs w:val="20"/>
          <w:lang w:val="tr-TR"/>
        </w:rPr>
        <w:t>uz</w:t>
      </w:r>
      <w:r w:rsidRPr="009A3179">
        <w:rPr>
          <w:rFonts w:ascii="Verdana" w:eastAsia="Arial" w:hAnsi="Verdana"/>
          <w:sz w:val="20"/>
          <w:szCs w:val="20"/>
          <w:lang w:val="tr-TR"/>
        </w:rPr>
        <w:t>.</w:t>
      </w:r>
      <w:r>
        <w:rPr>
          <w:rFonts w:ascii="Verdana" w:eastAsia="Arial" w:hAnsi="Verdana"/>
          <w:sz w:val="20"/>
          <w:szCs w:val="20"/>
          <w:lang w:val="tr-TR"/>
        </w:rPr>
        <w:t xml:space="preserve"> </w:t>
      </w:r>
      <w:r w:rsidRPr="009A3179">
        <w:rPr>
          <w:rFonts w:ascii="Verdana" w:eastAsia="Arial" w:hAnsi="Verdana"/>
          <w:sz w:val="20"/>
          <w:szCs w:val="20"/>
          <w:lang w:val="tr-TR"/>
        </w:rPr>
        <w:t xml:space="preserve">Türkiye’de </w:t>
      </w:r>
      <w:r>
        <w:rPr>
          <w:rFonts w:ascii="Verdana" w:eastAsia="Arial" w:hAnsi="Verdana"/>
          <w:sz w:val="20"/>
          <w:szCs w:val="20"/>
          <w:lang w:val="tr-TR"/>
        </w:rPr>
        <w:t>başlattığımız</w:t>
      </w:r>
      <w:r w:rsidR="00791EF5">
        <w:rPr>
          <w:rFonts w:ascii="Verdana" w:eastAsia="Arial" w:hAnsi="Verdana"/>
          <w:sz w:val="20"/>
          <w:szCs w:val="20"/>
          <w:lang w:val="tr-TR"/>
        </w:rPr>
        <w:t xml:space="preserve"> </w:t>
      </w:r>
      <w:r>
        <w:rPr>
          <w:rFonts w:ascii="Verdana" w:eastAsia="Arial" w:hAnsi="Verdana"/>
          <w:sz w:val="20"/>
          <w:szCs w:val="20"/>
          <w:lang w:val="tr-TR"/>
        </w:rPr>
        <w:t>‘</w:t>
      </w:r>
      <w:r w:rsidRPr="009A3179">
        <w:rPr>
          <w:rFonts w:ascii="Verdana" w:eastAsia="Arial" w:hAnsi="Verdana"/>
          <w:sz w:val="20"/>
          <w:szCs w:val="20"/>
          <w:lang w:val="tr-TR"/>
        </w:rPr>
        <w:t>Destination AI</w:t>
      </w:r>
      <w:r>
        <w:rPr>
          <w:rFonts w:ascii="Verdana" w:eastAsia="Arial" w:hAnsi="Verdana"/>
          <w:sz w:val="20"/>
          <w:szCs w:val="20"/>
          <w:lang w:val="tr-TR"/>
        </w:rPr>
        <w:t>’</w:t>
      </w:r>
      <w:r w:rsidRPr="009A3179">
        <w:rPr>
          <w:rFonts w:ascii="Verdana" w:eastAsia="Arial" w:hAnsi="Verdana"/>
          <w:sz w:val="20"/>
          <w:szCs w:val="20"/>
          <w:lang w:val="tr-TR"/>
        </w:rPr>
        <w:t xml:space="preserve"> programı</w:t>
      </w:r>
      <w:r>
        <w:rPr>
          <w:rFonts w:ascii="Verdana" w:eastAsia="Arial" w:hAnsi="Verdana"/>
          <w:sz w:val="20"/>
          <w:szCs w:val="20"/>
          <w:lang w:val="tr-TR"/>
        </w:rPr>
        <w:t xml:space="preserve">mız ile </w:t>
      </w:r>
      <w:r w:rsidRPr="009A3179">
        <w:rPr>
          <w:rFonts w:ascii="Verdana" w:eastAsia="Arial" w:hAnsi="Verdana"/>
          <w:sz w:val="20"/>
          <w:szCs w:val="20"/>
          <w:lang w:val="tr-TR"/>
        </w:rPr>
        <w:t xml:space="preserve">bu </w:t>
      </w:r>
      <w:r>
        <w:rPr>
          <w:rFonts w:ascii="Verdana" w:eastAsia="Arial" w:hAnsi="Verdana"/>
          <w:sz w:val="20"/>
          <w:szCs w:val="20"/>
          <w:lang w:val="tr-TR"/>
        </w:rPr>
        <w:t xml:space="preserve">güçlü konumumuzu da kullanarak, </w:t>
      </w:r>
      <w:r w:rsidRPr="009A3179">
        <w:rPr>
          <w:rFonts w:ascii="Verdana" w:eastAsia="Arial" w:hAnsi="Verdana"/>
          <w:sz w:val="20"/>
          <w:szCs w:val="20"/>
          <w:lang w:val="tr-TR"/>
        </w:rPr>
        <w:t>iş ortakları</w:t>
      </w:r>
      <w:r>
        <w:rPr>
          <w:rFonts w:ascii="Verdana" w:eastAsia="Arial" w:hAnsi="Verdana"/>
          <w:sz w:val="20"/>
          <w:szCs w:val="20"/>
          <w:lang w:val="tr-TR"/>
        </w:rPr>
        <w:t>mızın</w:t>
      </w:r>
      <w:r w:rsidRPr="009A3179">
        <w:rPr>
          <w:rFonts w:ascii="Verdana" w:eastAsia="Arial" w:hAnsi="Verdana"/>
          <w:sz w:val="20"/>
          <w:szCs w:val="20"/>
          <w:lang w:val="tr-TR"/>
        </w:rPr>
        <w:t xml:space="preserve"> AI yolculuklarını başlatmaları</w:t>
      </w:r>
      <w:r>
        <w:rPr>
          <w:rFonts w:ascii="Verdana" w:eastAsia="Arial" w:hAnsi="Verdana"/>
          <w:sz w:val="20"/>
          <w:szCs w:val="20"/>
          <w:lang w:val="tr-TR"/>
        </w:rPr>
        <w:t>na</w:t>
      </w:r>
      <w:r w:rsidRPr="009A3179">
        <w:rPr>
          <w:rFonts w:ascii="Verdana" w:eastAsia="Arial" w:hAnsi="Verdana"/>
          <w:sz w:val="20"/>
          <w:szCs w:val="20"/>
          <w:lang w:val="tr-TR"/>
        </w:rPr>
        <w:t xml:space="preserve"> ve hızla büyütmeleri</w:t>
      </w:r>
      <w:r>
        <w:rPr>
          <w:rFonts w:ascii="Verdana" w:eastAsia="Arial" w:hAnsi="Verdana"/>
          <w:sz w:val="20"/>
          <w:szCs w:val="20"/>
          <w:lang w:val="tr-TR"/>
        </w:rPr>
        <w:t xml:space="preserve">ne yardımcı olacak </w:t>
      </w:r>
      <w:r w:rsidRPr="009A3179">
        <w:rPr>
          <w:rFonts w:ascii="Verdana" w:eastAsia="Arial" w:hAnsi="Verdana"/>
          <w:sz w:val="20"/>
          <w:szCs w:val="20"/>
          <w:lang w:val="tr-TR"/>
        </w:rPr>
        <w:t xml:space="preserve">gerekli tüm kaynakları </w:t>
      </w:r>
      <w:r w:rsidR="00441AFD">
        <w:rPr>
          <w:rFonts w:ascii="Verdana" w:eastAsia="Arial" w:hAnsi="Verdana"/>
          <w:sz w:val="20"/>
          <w:szCs w:val="20"/>
          <w:lang w:val="tr-TR"/>
        </w:rPr>
        <w:t>sağlayacağız</w:t>
      </w:r>
      <w:r w:rsidRPr="009A3179">
        <w:rPr>
          <w:rFonts w:ascii="Verdana" w:eastAsia="Arial" w:hAnsi="Verdana"/>
          <w:sz w:val="20"/>
          <w:szCs w:val="20"/>
          <w:lang w:val="tr-TR"/>
        </w:rPr>
        <w:t>.</w:t>
      </w:r>
      <w:r>
        <w:rPr>
          <w:rFonts w:ascii="Verdana" w:eastAsia="Arial" w:hAnsi="Verdana"/>
          <w:sz w:val="20"/>
          <w:szCs w:val="20"/>
          <w:lang w:val="tr-TR"/>
        </w:rPr>
        <w:t>” dedi.</w:t>
      </w:r>
    </w:p>
    <w:p w14:paraId="3974BA98" w14:textId="77777777" w:rsidR="009A3179" w:rsidRDefault="009A3179" w:rsidP="00501B60">
      <w:pPr>
        <w:spacing w:line="300" w:lineRule="auto"/>
        <w:contextualSpacing/>
        <w:jc w:val="both"/>
        <w:rPr>
          <w:rFonts w:ascii="Verdana" w:eastAsia="Arial" w:hAnsi="Verdana"/>
          <w:sz w:val="20"/>
          <w:szCs w:val="20"/>
          <w:lang w:val="tr-TR"/>
        </w:rPr>
      </w:pPr>
    </w:p>
    <w:p w14:paraId="10DD0BBC" w14:textId="77777777" w:rsidR="004E715F" w:rsidRDefault="004E715F" w:rsidP="00501B60">
      <w:pPr>
        <w:spacing w:line="300" w:lineRule="auto"/>
        <w:contextualSpacing/>
        <w:jc w:val="both"/>
        <w:rPr>
          <w:rFonts w:ascii="Verdana" w:eastAsia="Arial" w:hAnsi="Verdana"/>
          <w:sz w:val="20"/>
          <w:szCs w:val="20"/>
          <w:lang w:val="tr-TR"/>
        </w:rPr>
      </w:pPr>
    </w:p>
    <w:p w14:paraId="2FCF8C53" w14:textId="77777777" w:rsidR="004E715F" w:rsidRDefault="004E715F" w:rsidP="00501B60">
      <w:pPr>
        <w:spacing w:line="300" w:lineRule="auto"/>
        <w:contextualSpacing/>
        <w:jc w:val="both"/>
        <w:rPr>
          <w:rFonts w:ascii="Verdana" w:eastAsia="Arial" w:hAnsi="Verdana"/>
          <w:sz w:val="20"/>
          <w:szCs w:val="20"/>
          <w:lang w:val="tr-TR"/>
        </w:rPr>
      </w:pPr>
    </w:p>
    <w:p w14:paraId="6A89A9F7" w14:textId="77777777" w:rsidR="004E715F" w:rsidRDefault="004E715F" w:rsidP="00501B60">
      <w:pPr>
        <w:spacing w:line="300" w:lineRule="auto"/>
        <w:contextualSpacing/>
        <w:jc w:val="both"/>
        <w:rPr>
          <w:rFonts w:ascii="Verdana" w:eastAsia="Arial" w:hAnsi="Verdana"/>
          <w:sz w:val="20"/>
          <w:szCs w:val="20"/>
          <w:lang w:val="tr-TR"/>
        </w:rPr>
      </w:pPr>
    </w:p>
    <w:p w14:paraId="4289A578" w14:textId="77777777" w:rsidR="004E715F" w:rsidRDefault="004E715F" w:rsidP="00501B60">
      <w:pPr>
        <w:spacing w:line="300" w:lineRule="auto"/>
        <w:contextualSpacing/>
        <w:jc w:val="both"/>
        <w:rPr>
          <w:rFonts w:ascii="Verdana" w:eastAsia="Arial" w:hAnsi="Verdana"/>
          <w:sz w:val="20"/>
          <w:szCs w:val="20"/>
          <w:lang w:val="tr-TR"/>
        </w:rPr>
      </w:pPr>
    </w:p>
    <w:p w14:paraId="00AA23D0" w14:textId="77777777" w:rsidR="004E715F" w:rsidRDefault="004E715F" w:rsidP="00501B60">
      <w:pPr>
        <w:spacing w:line="300" w:lineRule="auto"/>
        <w:contextualSpacing/>
        <w:jc w:val="both"/>
        <w:rPr>
          <w:rFonts w:ascii="Verdana" w:eastAsia="Arial" w:hAnsi="Verdana"/>
          <w:sz w:val="20"/>
          <w:szCs w:val="20"/>
          <w:lang w:val="tr-TR"/>
        </w:rPr>
      </w:pPr>
    </w:p>
    <w:p w14:paraId="389970EE" w14:textId="77777777" w:rsidR="004E715F" w:rsidRDefault="004E715F" w:rsidP="00501B60">
      <w:pPr>
        <w:spacing w:line="300" w:lineRule="auto"/>
        <w:contextualSpacing/>
        <w:jc w:val="both"/>
        <w:rPr>
          <w:rFonts w:ascii="Verdana" w:eastAsia="Arial" w:hAnsi="Verdana"/>
          <w:sz w:val="20"/>
          <w:szCs w:val="20"/>
          <w:lang w:val="tr-TR"/>
        </w:rPr>
      </w:pPr>
    </w:p>
    <w:p w14:paraId="45278CBC" w14:textId="77777777" w:rsidR="004E715F" w:rsidRDefault="004E715F" w:rsidP="00501B60">
      <w:pPr>
        <w:spacing w:line="300" w:lineRule="auto"/>
        <w:contextualSpacing/>
        <w:jc w:val="both"/>
        <w:rPr>
          <w:rFonts w:ascii="Verdana" w:eastAsia="Arial" w:hAnsi="Verdana"/>
          <w:sz w:val="20"/>
          <w:szCs w:val="20"/>
          <w:lang w:val="tr-TR"/>
        </w:rPr>
      </w:pPr>
    </w:p>
    <w:p w14:paraId="662B836F" w14:textId="70D3A70F" w:rsidR="00D25D58" w:rsidRPr="009A3179" w:rsidRDefault="009A3179" w:rsidP="00501B60">
      <w:pPr>
        <w:spacing w:line="300" w:lineRule="auto"/>
        <w:contextualSpacing/>
        <w:jc w:val="both"/>
        <w:rPr>
          <w:rFonts w:ascii="Verdana" w:eastAsia="Arial" w:hAnsi="Verdana"/>
          <w:b/>
          <w:bCs/>
          <w:sz w:val="20"/>
          <w:szCs w:val="20"/>
          <w:lang w:val="tr-TR"/>
        </w:rPr>
      </w:pPr>
      <w:r w:rsidRPr="009A3179">
        <w:rPr>
          <w:rFonts w:ascii="Verdana" w:eastAsia="Arial" w:hAnsi="Verdana"/>
          <w:b/>
          <w:bCs/>
          <w:sz w:val="20"/>
          <w:szCs w:val="20"/>
          <w:lang w:val="tr-TR"/>
        </w:rPr>
        <w:t xml:space="preserve">Destination AI ile yapay zekâ alanında birçok </w:t>
      </w:r>
      <w:r w:rsidR="00441AFD">
        <w:rPr>
          <w:rFonts w:ascii="Verdana" w:eastAsia="Arial" w:hAnsi="Verdana"/>
          <w:b/>
          <w:bCs/>
          <w:sz w:val="20"/>
          <w:szCs w:val="20"/>
          <w:lang w:val="tr-TR"/>
        </w:rPr>
        <w:t>destek sunulacak</w:t>
      </w:r>
    </w:p>
    <w:p w14:paraId="6CA5EA4A" w14:textId="07D6F761" w:rsidR="007C110A" w:rsidRDefault="009A3179" w:rsidP="00501B60">
      <w:pPr>
        <w:spacing w:line="300" w:lineRule="auto"/>
        <w:contextualSpacing/>
        <w:jc w:val="both"/>
        <w:rPr>
          <w:rFonts w:ascii="Verdana" w:eastAsia="Arial" w:hAnsi="Verdana"/>
          <w:sz w:val="20"/>
          <w:szCs w:val="20"/>
          <w:lang w:val="tr-TR"/>
        </w:rPr>
      </w:pPr>
      <w:r>
        <w:rPr>
          <w:rFonts w:ascii="Verdana" w:eastAsia="Arial" w:hAnsi="Verdana"/>
          <w:sz w:val="20"/>
          <w:szCs w:val="20"/>
          <w:lang w:val="tr-TR"/>
        </w:rPr>
        <w:t>TD SYNNEX, “</w:t>
      </w:r>
      <w:r w:rsidRPr="009A3179">
        <w:rPr>
          <w:rFonts w:ascii="Verdana" w:eastAsia="Arial" w:hAnsi="Verdana"/>
          <w:sz w:val="20"/>
          <w:szCs w:val="20"/>
          <w:lang w:val="tr-TR"/>
        </w:rPr>
        <w:t>Destination AI</w:t>
      </w:r>
      <w:r>
        <w:rPr>
          <w:rFonts w:ascii="Verdana" w:eastAsia="Arial" w:hAnsi="Verdana"/>
          <w:sz w:val="20"/>
          <w:szCs w:val="20"/>
          <w:lang w:val="tr-TR"/>
        </w:rPr>
        <w:t xml:space="preserve">” ile </w:t>
      </w:r>
      <w:r w:rsidRPr="009A3179">
        <w:rPr>
          <w:rFonts w:ascii="Verdana" w:eastAsia="Arial" w:hAnsi="Verdana"/>
          <w:sz w:val="20"/>
          <w:szCs w:val="20"/>
          <w:lang w:val="tr-TR"/>
        </w:rPr>
        <w:t xml:space="preserve">AI çözümlerini geliştirmek, uygulamak ve büyütmek isteyen iş ortaklarına kapsamlı bir </w:t>
      </w:r>
      <w:r>
        <w:rPr>
          <w:rFonts w:ascii="Verdana" w:eastAsia="Arial" w:hAnsi="Verdana"/>
          <w:sz w:val="20"/>
          <w:szCs w:val="20"/>
          <w:lang w:val="tr-TR"/>
        </w:rPr>
        <w:t xml:space="preserve">yol haritası </w:t>
      </w:r>
      <w:r w:rsidRPr="009A3179">
        <w:rPr>
          <w:rFonts w:ascii="Verdana" w:eastAsia="Arial" w:hAnsi="Verdana"/>
          <w:sz w:val="20"/>
          <w:szCs w:val="20"/>
          <w:lang w:val="tr-TR"/>
        </w:rPr>
        <w:t xml:space="preserve">sunuyor. Program, dört temel </w:t>
      </w:r>
      <w:r>
        <w:rPr>
          <w:rFonts w:ascii="Verdana" w:eastAsia="Arial" w:hAnsi="Verdana"/>
          <w:sz w:val="20"/>
          <w:szCs w:val="20"/>
          <w:lang w:val="tr-TR"/>
        </w:rPr>
        <w:t xml:space="preserve">alanda </w:t>
      </w:r>
      <w:r w:rsidRPr="009A3179">
        <w:rPr>
          <w:rFonts w:ascii="Verdana" w:eastAsia="Arial" w:hAnsi="Verdana"/>
          <w:sz w:val="20"/>
          <w:szCs w:val="20"/>
          <w:lang w:val="tr-TR"/>
        </w:rPr>
        <w:t xml:space="preserve">iş ortaklarını </w:t>
      </w:r>
      <w:r w:rsidR="00441AFD">
        <w:rPr>
          <w:rFonts w:ascii="Verdana" w:eastAsia="Arial" w:hAnsi="Verdana"/>
          <w:sz w:val="20"/>
          <w:szCs w:val="20"/>
          <w:lang w:val="tr-TR"/>
        </w:rPr>
        <w:t>destekleyecek</w:t>
      </w:r>
      <w:r w:rsidRPr="009A3179">
        <w:rPr>
          <w:rFonts w:ascii="Verdana" w:eastAsia="Arial" w:hAnsi="Verdana"/>
          <w:sz w:val="20"/>
          <w:szCs w:val="20"/>
          <w:lang w:val="tr-TR"/>
        </w:rPr>
        <w:t>:</w:t>
      </w:r>
    </w:p>
    <w:p w14:paraId="0A342D71" w14:textId="463EC464" w:rsidR="00441AFD" w:rsidRPr="00441AFD" w:rsidRDefault="00441AFD">
      <w:pPr>
        <w:pStyle w:val="ListeParagraf"/>
        <w:numPr>
          <w:ilvl w:val="0"/>
          <w:numId w:val="14"/>
        </w:numPr>
        <w:spacing w:line="300" w:lineRule="auto"/>
        <w:jc w:val="both"/>
        <w:rPr>
          <w:rFonts w:ascii="Verdana" w:eastAsia="Arial" w:hAnsi="Verdana"/>
          <w:sz w:val="20"/>
          <w:szCs w:val="20"/>
          <w:lang w:val="tr-TR"/>
        </w:rPr>
      </w:pPr>
      <w:r w:rsidRPr="00441AFD">
        <w:rPr>
          <w:rFonts w:ascii="Verdana" w:eastAsia="Arial" w:hAnsi="Verdana"/>
          <w:b/>
          <w:bCs/>
          <w:sz w:val="20"/>
          <w:szCs w:val="20"/>
          <w:lang w:val="tr-TR"/>
        </w:rPr>
        <w:t>Farkındalık</w:t>
      </w:r>
      <w:r w:rsidRPr="00441AFD">
        <w:rPr>
          <w:rFonts w:ascii="Verdana" w:eastAsia="Arial" w:hAnsi="Verdana"/>
          <w:sz w:val="20"/>
          <w:szCs w:val="20"/>
          <w:lang w:val="tr-TR"/>
        </w:rPr>
        <w:t>: Pazar analizleri, kullanım senaryoları ve pazarlama materyalleriyle iş ortaklarının AI fırsatlarını keşfetmeleri</w:t>
      </w:r>
      <w:r>
        <w:rPr>
          <w:rFonts w:ascii="Verdana" w:eastAsia="Arial" w:hAnsi="Verdana"/>
          <w:sz w:val="20"/>
          <w:szCs w:val="20"/>
          <w:lang w:val="tr-TR"/>
        </w:rPr>
        <w:t>ne</w:t>
      </w:r>
      <w:r w:rsidRPr="00441AFD">
        <w:rPr>
          <w:rFonts w:ascii="Verdana" w:eastAsia="Arial" w:hAnsi="Verdana"/>
          <w:sz w:val="20"/>
          <w:szCs w:val="20"/>
          <w:lang w:val="tr-TR"/>
        </w:rPr>
        <w:t xml:space="preserve"> yardımcı </w:t>
      </w:r>
      <w:r>
        <w:rPr>
          <w:rFonts w:ascii="Verdana" w:eastAsia="Arial" w:hAnsi="Verdana"/>
          <w:sz w:val="20"/>
          <w:szCs w:val="20"/>
          <w:lang w:val="tr-TR"/>
        </w:rPr>
        <w:t>olunacak</w:t>
      </w:r>
      <w:r w:rsidRPr="00441AFD">
        <w:rPr>
          <w:rFonts w:ascii="Verdana" w:eastAsia="Arial" w:hAnsi="Verdana"/>
          <w:sz w:val="20"/>
          <w:szCs w:val="20"/>
          <w:lang w:val="tr-TR"/>
        </w:rPr>
        <w:t>.</w:t>
      </w:r>
    </w:p>
    <w:p w14:paraId="0EBFEDBE" w14:textId="61CA0C29" w:rsidR="00441AFD" w:rsidRPr="00441AFD" w:rsidRDefault="00441AFD">
      <w:pPr>
        <w:pStyle w:val="ListeParagraf"/>
        <w:numPr>
          <w:ilvl w:val="0"/>
          <w:numId w:val="14"/>
        </w:numPr>
        <w:spacing w:line="300" w:lineRule="auto"/>
        <w:jc w:val="both"/>
        <w:rPr>
          <w:rFonts w:ascii="Verdana" w:eastAsia="Arial" w:hAnsi="Verdana"/>
          <w:sz w:val="20"/>
          <w:szCs w:val="20"/>
          <w:lang w:val="tr-TR"/>
        </w:rPr>
      </w:pPr>
      <w:r w:rsidRPr="00441AFD">
        <w:rPr>
          <w:rFonts w:ascii="Verdana" w:eastAsia="Arial" w:hAnsi="Verdana"/>
          <w:b/>
          <w:bCs/>
          <w:sz w:val="20"/>
          <w:szCs w:val="20"/>
          <w:lang w:val="tr-TR"/>
        </w:rPr>
        <w:t>Yetkinlik Kazanımı</w:t>
      </w:r>
      <w:r w:rsidRPr="00441AFD">
        <w:rPr>
          <w:rFonts w:ascii="Verdana" w:eastAsia="Arial" w:hAnsi="Verdana"/>
          <w:sz w:val="20"/>
          <w:szCs w:val="20"/>
          <w:lang w:val="tr-TR"/>
        </w:rPr>
        <w:t>: Eğitim</w:t>
      </w:r>
      <w:r>
        <w:rPr>
          <w:rFonts w:ascii="Verdana" w:eastAsia="Arial" w:hAnsi="Verdana"/>
          <w:sz w:val="20"/>
          <w:szCs w:val="20"/>
          <w:lang w:val="tr-TR"/>
        </w:rPr>
        <w:t>ler</w:t>
      </w:r>
      <w:r w:rsidRPr="00441AFD">
        <w:rPr>
          <w:rFonts w:ascii="Verdana" w:eastAsia="Arial" w:hAnsi="Verdana"/>
          <w:sz w:val="20"/>
          <w:szCs w:val="20"/>
          <w:lang w:val="tr-TR"/>
        </w:rPr>
        <w:t xml:space="preserve">, atölye çalışmaları ve lider </w:t>
      </w:r>
      <w:r>
        <w:rPr>
          <w:rFonts w:ascii="Verdana" w:eastAsia="Arial" w:hAnsi="Verdana"/>
          <w:sz w:val="20"/>
          <w:szCs w:val="20"/>
          <w:lang w:val="tr-TR"/>
        </w:rPr>
        <w:t xml:space="preserve">geliştirme </w:t>
      </w:r>
      <w:r w:rsidRPr="00441AFD">
        <w:rPr>
          <w:rFonts w:ascii="Verdana" w:eastAsia="Arial" w:hAnsi="Verdana"/>
          <w:sz w:val="20"/>
          <w:szCs w:val="20"/>
          <w:lang w:val="tr-TR"/>
        </w:rPr>
        <w:t xml:space="preserve">faaliyetleriyle iş ortaklarının </w:t>
      </w:r>
      <w:r>
        <w:rPr>
          <w:rFonts w:ascii="Verdana" w:eastAsia="Arial" w:hAnsi="Verdana"/>
          <w:sz w:val="20"/>
          <w:szCs w:val="20"/>
          <w:lang w:val="tr-TR"/>
        </w:rPr>
        <w:t xml:space="preserve">bu alanda </w:t>
      </w:r>
      <w:r w:rsidRPr="00441AFD">
        <w:rPr>
          <w:rFonts w:ascii="Verdana" w:eastAsia="Arial" w:hAnsi="Verdana"/>
          <w:sz w:val="20"/>
          <w:szCs w:val="20"/>
          <w:lang w:val="tr-TR"/>
        </w:rPr>
        <w:t>uzmanlaşması</w:t>
      </w:r>
      <w:r>
        <w:rPr>
          <w:rFonts w:ascii="Verdana" w:eastAsia="Arial" w:hAnsi="Verdana"/>
          <w:sz w:val="20"/>
          <w:szCs w:val="20"/>
          <w:lang w:val="tr-TR"/>
        </w:rPr>
        <w:t xml:space="preserve"> sağlanacak. </w:t>
      </w:r>
    </w:p>
    <w:p w14:paraId="74105382" w14:textId="1D8591DA" w:rsidR="00441AFD" w:rsidRPr="00441AFD" w:rsidRDefault="00441AFD">
      <w:pPr>
        <w:pStyle w:val="ListeParagraf"/>
        <w:numPr>
          <w:ilvl w:val="0"/>
          <w:numId w:val="14"/>
        </w:numPr>
        <w:spacing w:line="300" w:lineRule="auto"/>
        <w:jc w:val="both"/>
        <w:rPr>
          <w:rFonts w:ascii="Verdana" w:eastAsia="Arial" w:hAnsi="Verdana"/>
          <w:sz w:val="20"/>
          <w:szCs w:val="20"/>
          <w:lang w:val="tr-TR"/>
        </w:rPr>
      </w:pPr>
      <w:r w:rsidRPr="00441AFD">
        <w:rPr>
          <w:rFonts w:ascii="Verdana" w:eastAsia="Arial" w:hAnsi="Verdana"/>
          <w:b/>
          <w:bCs/>
          <w:sz w:val="20"/>
          <w:szCs w:val="20"/>
          <w:lang w:val="tr-TR"/>
        </w:rPr>
        <w:t xml:space="preserve">Satış </w:t>
      </w:r>
      <w:r w:rsidR="006275B4" w:rsidRPr="00BB56AA">
        <w:rPr>
          <w:rFonts w:ascii="Verdana" w:eastAsia="Arial" w:hAnsi="Verdana"/>
          <w:b/>
          <w:bCs/>
          <w:sz w:val="20"/>
          <w:szCs w:val="20"/>
          <w:lang w:val="tr-TR"/>
        </w:rPr>
        <w:t xml:space="preserve">Öncesi </w:t>
      </w:r>
      <w:r w:rsidRPr="00BB56AA">
        <w:rPr>
          <w:rFonts w:ascii="Verdana" w:eastAsia="Arial" w:hAnsi="Verdana"/>
          <w:b/>
          <w:bCs/>
          <w:sz w:val="20"/>
          <w:szCs w:val="20"/>
          <w:lang w:val="tr-TR"/>
        </w:rPr>
        <w:t>Deste</w:t>
      </w:r>
      <w:r w:rsidR="006275B4" w:rsidRPr="00BB56AA">
        <w:rPr>
          <w:rFonts w:ascii="Verdana" w:eastAsia="Arial" w:hAnsi="Verdana"/>
          <w:b/>
          <w:bCs/>
          <w:sz w:val="20"/>
          <w:szCs w:val="20"/>
          <w:lang w:val="tr-TR"/>
        </w:rPr>
        <w:t>k</w:t>
      </w:r>
      <w:r w:rsidRPr="00441AFD">
        <w:rPr>
          <w:rFonts w:ascii="Verdana" w:eastAsia="Arial" w:hAnsi="Verdana"/>
          <w:sz w:val="20"/>
          <w:szCs w:val="20"/>
          <w:lang w:val="tr-TR"/>
        </w:rPr>
        <w:t>: Yapay zekâ çözümlerinin başarıyla satışı için demo, kavram kanıtları (POC) ve Cloud Labs gibi destekler verilecek.</w:t>
      </w:r>
    </w:p>
    <w:p w14:paraId="5C426DD6" w14:textId="2CCDCDE3" w:rsidR="009A3179" w:rsidRDefault="00441AFD">
      <w:pPr>
        <w:pStyle w:val="ListeParagraf"/>
        <w:numPr>
          <w:ilvl w:val="0"/>
          <w:numId w:val="14"/>
        </w:numPr>
        <w:spacing w:line="300" w:lineRule="auto"/>
        <w:jc w:val="both"/>
        <w:rPr>
          <w:rFonts w:ascii="Verdana" w:eastAsia="Arial" w:hAnsi="Verdana"/>
          <w:sz w:val="20"/>
          <w:szCs w:val="20"/>
          <w:lang w:val="tr-TR"/>
        </w:rPr>
      </w:pPr>
      <w:r w:rsidRPr="00441AFD">
        <w:rPr>
          <w:rFonts w:ascii="Verdana" w:eastAsia="Arial" w:hAnsi="Verdana"/>
          <w:b/>
          <w:bCs/>
          <w:sz w:val="20"/>
          <w:szCs w:val="20"/>
          <w:lang w:val="tr-TR"/>
        </w:rPr>
        <w:t>Satış Sonrası Destek</w:t>
      </w:r>
      <w:r w:rsidRPr="00441AFD">
        <w:rPr>
          <w:rFonts w:ascii="Verdana" w:eastAsia="Arial" w:hAnsi="Verdana"/>
          <w:sz w:val="20"/>
          <w:szCs w:val="20"/>
          <w:lang w:val="tr-TR"/>
        </w:rPr>
        <w:t xml:space="preserve">: </w:t>
      </w:r>
      <w:r>
        <w:rPr>
          <w:rFonts w:ascii="Verdana" w:eastAsia="Arial" w:hAnsi="Verdana"/>
          <w:sz w:val="20"/>
          <w:szCs w:val="20"/>
          <w:lang w:val="tr-TR"/>
        </w:rPr>
        <w:t>B</w:t>
      </w:r>
      <w:r w:rsidRPr="00441AFD">
        <w:rPr>
          <w:rFonts w:ascii="Verdana" w:eastAsia="Arial" w:hAnsi="Verdana"/>
          <w:sz w:val="20"/>
          <w:szCs w:val="20"/>
          <w:lang w:val="tr-TR"/>
        </w:rPr>
        <w:t>aşarı</w:t>
      </w:r>
      <w:r>
        <w:rPr>
          <w:rFonts w:ascii="Verdana" w:eastAsia="Arial" w:hAnsi="Verdana"/>
          <w:sz w:val="20"/>
          <w:szCs w:val="20"/>
          <w:lang w:val="tr-TR"/>
        </w:rPr>
        <w:t xml:space="preserve">ların devamlılığı için </w:t>
      </w:r>
      <w:r w:rsidRPr="00441AFD">
        <w:rPr>
          <w:rFonts w:ascii="Verdana" w:eastAsia="Arial" w:hAnsi="Verdana"/>
          <w:sz w:val="20"/>
          <w:szCs w:val="20"/>
          <w:lang w:val="tr-TR"/>
        </w:rPr>
        <w:t xml:space="preserve">kurulum ve </w:t>
      </w:r>
      <w:r>
        <w:rPr>
          <w:rFonts w:ascii="Verdana" w:eastAsia="Arial" w:hAnsi="Verdana"/>
          <w:sz w:val="20"/>
          <w:szCs w:val="20"/>
          <w:lang w:val="tr-TR"/>
        </w:rPr>
        <w:t xml:space="preserve">kontrol </w:t>
      </w:r>
      <w:r w:rsidRPr="00441AFD">
        <w:rPr>
          <w:rFonts w:ascii="Verdana" w:eastAsia="Arial" w:hAnsi="Verdana"/>
          <w:sz w:val="20"/>
          <w:szCs w:val="20"/>
          <w:lang w:val="tr-TR"/>
        </w:rPr>
        <w:t xml:space="preserve">gibi hizmetler </w:t>
      </w:r>
      <w:r>
        <w:rPr>
          <w:rFonts w:ascii="Verdana" w:eastAsia="Arial" w:hAnsi="Verdana"/>
          <w:sz w:val="20"/>
          <w:szCs w:val="20"/>
          <w:lang w:val="tr-TR"/>
        </w:rPr>
        <w:t>sunulacak.</w:t>
      </w:r>
    </w:p>
    <w:p w14:paraId="006A575C" w14:textId="77777777" w:rsidR="00441AFD" w:rsidRDefault="00441AFD" w:rsidP="00441AFD">
      <w:pPr>
        <w:spacing w:line="300" w:lineRule="auto"/>
        <w:jc w:val="both"/>
        <w:rPr>
          <w:rFonts w:ascii="Verdana" w:eastAsia="Arial" w:hAnsi="Verdana"/>
          <w:sz w:val="20"/>
          <w:szCs w:val="20"/>
          <w:lang w:val="tr-TR"/>
        </w:rPr>
      </w:pPr>
    </w:p>
    <w:p w14:paraId="63A11936" w14:textId="3CF3F738" w:rsidR="00441AFD" w:rsidRPr="00441AFD" w:rsidRDefault="00441AFD" w:rsidP="00441AFD">
      <w:pPr>
        <w:spacing w:line="300" w:lineRule="auto"/>
        <w:jc w:val="both"/>
        <w:rPr>
          <w:rFonts w:ascii="Verdana" w:eastAsia="Arial" w:hAnsi="Verdana"/>
          <w:sz w:val="20"/>
          <w:szCs w:val="20"/>
          <w:lang w:val="tr-TR"/>
        </w:rPr>
      </w:pPr>
      <w:r>
        <w:rPr>
          <w:rFonts w:ascii="Verdana" w:eastAsia="Arial" w:hAnsi="Verdana"/>
          <w:sz w:val="20"/>
          <w:szCs w:val="20"/>
          <w:lang w:val="tr-TR"/>
        </w:rPr>
        <w:t>TD SYNNEX’in “</w:t>
      </w:r>
      <w:r w:rsidRPr="00441AFD">
        <w:rPr>
          <w:rFonts w:ascii="Verdana" w:eastAsia="Arial" w:hAnsi="Verdana"/>
          <w:sz w:val="20"/>
          <w:szCs w:val="20"/>
          <w:lang w:val="tr-TR"/>
        </w:rPr>
        <w:t>Destination AI</w:t>
      </w:r>
      <w:r>
        <w:rPr>
          <w:rFonts w:ascii="Verdana" w:eastAsia="Arial" w:hAnsi="Verdana"/>
          <w:sz w:val="20"/>
          <w:szCs w:val="20"/>
          <w:lang w:val="tr-TR"/>
        </w:rPr>
        <w:t xml:space="preserve">” programı kapsamında vereceği bu destekler ile yapay zekâ teknolojilerini üreten şirketler, </w:t>
      </w:r>
      <w:r w:rsidRPr="00441AFD">
        <w:rPr>
          <w:rFonts w:ascii="Verdana" w:eastAsia="Arial" w:hAnsi="Verdana"/>
          <w:sz w:val="20"/>
          <w:szCs w:val="20"/>
          <w:lang w:val="tr-TR"/>
        </w:rPr>
        <w:t xml:space="preserve">iş ortaklarına </w:t>
      </w:r>
      <w:r>
        <w:rPr>
          <w:rFonts w:ascii="Verdana" w:eastAsia="Arial" w:hAnsi="Verdana"/>
          <w:sz w:val="20"/>
          <w:szCs w:val="20"/>
          <w:lang w:val="tr-TR"/>
        </w:rPr>
        <w:t>daha hızlı ve etkili bir şekilde ulaşabilecek</w:t>
      </w:r>
      <w:r w:rsidR="00246A25">
        <w:rPr>
          <w:rFonts w:ascii="Verdana" w:eastAsia="Arial" w:hAnsi="Verdana"/>
          <w:sz w:val="20"/>
          <w:szCs w:val="20"/>
          <w:lang w:val="tr-TR"/>
        </w:rPr>
        <w:t xml:space="preserve">. </w:t>
      </w:r>
      <w:r w:rsidRPr="00441AFD">
        <w:rPr>
          <w:rFonts w:ascii="Verdana" w:eastAsia="Arial" w:hAnsi="Verdana"/>
          <w:sz w:val="20"/>
          <w:szCs w:val="20"/>
          <w:lang w:val="tr-TR"/>
        </w:rPr>
        <w:t xml:space="preserve">Eğitim ve öğretimden satış sonrası hizmetlere kadar kapsamlı bir </w:t>
      </w:r>
      <w:r w:rsidR="00246A25">
        <w:rPr>
          <w:rFonts w:ascii="Verdana" w:eastAsia="Arial" w:hAnsi="Verdana"/>
          <w:sz w:val="20"/>
          <w:szCs w:val="20"/>
          <w:lang w:val="tr-TR"/>
        </w:rPr>
        <w:t xml:space="preserve">destek yelpazesi sunulduğu için </w:t>
      </w:r>
      <w:r w:rsidRPr="00441AFD">
        <w:rPr>
          <w:rFonts w:ascii="Verdana" w:eastAsia="Arial" w:hAnsi="Verdana"/>
          <w:sz w:val="20"/>
          <w:szCs w:val="20"/>
          <w:lang w:val="tr-TR"/>
        </w:rPr>
        <w:t xml:space="preserve">tedarikçilerin yapay </w:t>
      </w:r>
      <w:r w:rsidR="00246A25">
        <w:rPr>
          <w:rFonts w:ascii="Verdana" w:eastAsia="Arial" w:hAnsi="Verdana"/>
          <w:sz w:val="20"/>
          <w:szCs w:val="20"/>
          <w:lang w:val="tr-TR"/>
        </w:rPr>
        <w:t xml:space="preserve">zekâ </w:t>
      </w:r>
      <w:r w:rsidRPr="00441AFD">
        <w:rPr>
          <w:rFonts w:ascii="Verdana" w:eastAsia="Arial" w:hAnsi="Verdana"/>
          <w:sz w:val="20"/>
          <w:szCs w:val="20"/>
          <w:lang w:val="tr-TR"/>
        </w:rPr>
        <w:t xml:space="preserve">çözümlerini geniş ölçekte etkili bir şekilde uygulamaları </w:t>
      </w:r>
      <w:r w:rsidR="008A6266">
        <w:rPr>
          <w:rFonts w:ascii="Verdana" w:eastAsia="Arial" w:hAnsi="Verdana"/>
          <w:sz w:val="20"/>
          <w:szCs w:val="20"/>
          <w:lang w:val="tr-TR"/>
        </w:rPr>
        <w:t xml:space="preserve">da </w:t>
      </w:r>
      <w:r w:rsidRPr="00441AFD">
        <w:rPr>
          <w:rFonts w:ascii="Verdana" w:eastAsia="Arial" w:hAnsi="Verdana"/>
          <w:sz w:val="20"/>
          <w:szCs w:val="20"/>
          <w:lang w:val="tr-TR"/>
        </w:rPr>
        <w:t xml:space="preserve">mümkün </w:t>
      </w:r>
      <w:r w:rsidR="00246A25">
        <w:rPr>
          <w:rFonts w:ascii="Verdana" w:eastAsia="Arial" w:hAnsi="Verdana"/>
          <w:sz w:val="20"/>
          <w:szCs w:val="20"/>
          <w:lang w:val="tr-TR"/>
        </w:rPr>
        <w:t>olacak</w:t>
      </w:r>
      <w:r w:rsidRPr="00441AFD">
        <w:rPr>
          <w:rFonts w:ascii="Verdana" w:eastAsia="Arial" w:hAnsi="Verdana"/>
          <w:sz w:val="20"/>
          <w:szCs w:val="20"/>
          <w:lang w:val="tr-TR"/>
        </w:rPr>
        <w:t>.</w:t>
      </w:r>
      <w:r w:rsidR="00246A25">
        <w:rPr>
          <w:rFonts w:ascii="Verdana" w:eastAsia="Arial" w:hAnsi="Verdana"/>
          <w:sz w:val="20"/>
          <w:szCs w:val="20"/>
          <w:lang w:val="tr-TR"/>
        </w:rPr>
        <w:t xml:space="preserve"> </w:t>
      </w:r>
    </w:p>
    <w:p w14:paraId="771BCA14" w14:textId="77777777" w:rsidR="009A3179" w:rsidRDefault="009A3179" w:rsidP="00501B60">
      <w:pPr>
        <w:spacing w:line="300" w:lineRule="auto"/>
        <w:contextualSpacing/>
        <w:jc w:val="both"/>
        <w:rPr>
          <w:rFonts w:ascii="Verdana" w:eastAsia="Arial" w:hAnsi="Verdana"/>
          <w:sz w:val="20"/>
          <w:szCs w:val="20"/>
          <w:lang w:val="tr-TR"/>
        </w:rPr>
      </w:pPr>
    </w:p>
    <w:p w14:paraId="7E92B533" w14:textId="77777777" w:rsidR="00D34F59" w:rsidRPr="005952F4" w:rsidRDefault="00D34F59" w:rsidP="00D34F59">
      <w:pPr>
        <w:pStyle w:val="paragraph"/>
        <w:spacing w:before="0" w:beforeAutospacing="0" w:after="0" w:afterAutospacing="0"/>
        <w:jc w:val="both"/>
        <w:textAlignment w:val="baseline"/>
        <w:rPr>
          <w:rFonts w:ascii="Segoe UI" w:hAnsi="Segoe UI" w:cs="Segoe UI"/>
          <w:sz w:val="18"/>
          <w:szCs w:val="18"/>
        </w:rPr>
      </w:pPr>
      <w:bookmarkStart w:id="0" w:name="Section4"/>
      <w:bookmarkEnd w:id="0"/>
      <w:r w:rsidRPr="005952F4">
        <w:rPr>
          <w:rStyle w:val="normaltextrun"/>
          <w:rFonts w:ascii="Calibri" w:hAnsi="Calibri" w:cs="Calibri"/>
          <w:b/>
          <w:bCs/>
          <w:color w:val="000000"/>
          <w:sz w:val="20"/>
          <w:szCs w:val="20"/>
          <w:shd w:val="clear" w:color="auto" w:fill="FFFFFF"/>
        </w:rPr>
        <w:t>İlgili Kişi</w:t>
      </w:r>
      <w:r w:rsidRPr="005952F4">
        <w:rPr>
          <w:rStyle w:val="eop"/>
          <w:rFonts w:ascii="Calibri" w:hAnsi="Calibri" w:cs="Calibri"/>
          <w:color w:val="000000"/>
          <w:sz w:val="20"/>
          <w:szCs w:val="20"/>
        </w:rPr>
        <w:t> </w:t>
      </w:r>
    </w:p>
    <w:p w14:paraId="5D3E5744" w14:textId="77777777" w:rsidR="00D34F59" w:rsidRPr="005952F4" w:rsidRDefault="00D34F59" w:rsidP="00D34F59">
      <w:pPr>
        <w:pStyle w:val="paragraph"/>
        <w:spacing w:before="0" w:beforeAutospacing="0" w:after="0" w:afterAutospacing="0"/>
        <w:jc w:val="both"/>
        <w:textAlignment w:val="baseline"/>
        <w:rPr>
          <w:rFonts w:ascii="Segoe UI" w:hAnsi="Segoe UI" w:cs="Segoe UI"/>
          <w:sz w:val="18"/>
          <w:szCs w:val="18"/>
        </w:rPr>
      </w:pPr>
      <w:r w:rsidRPr="005952F4">
        <w:rPr>
          <w:rStyle w:val="normaltextrun"/>
          <w:rFonts w:ascii="Calibri" w:hAnsi="Calibri" w:cs="Calibri"/>
          <w:sz w:val="20"/>
          <w:szCs w:val="20"/>
        </w:rPr>
        <w:t>Ceren Şahin   </w:t>
      </w:r>
      <w:r w:rsidRPr="005952F4">
        <w:rPr>
          <w:rStyle w:val="eop"/>
          <w:rFonts w:ascii="Calibri" w:hAnsi="Calibri" w:cs="Calibri"/>
          <w:sz w:val="20"/>
          <w:szCs w:val="20"/>
        </w:rPr>
        <w:t> </w:t>
      </w:r>
    </w:p>
    <w:p w14:paraId="3BA6C1B7" w14:textId="77777777" w:rsidR="00D34F59" w:rsidRPr="005952F4" w:rsidRDefault="00D34F59" w:rsidP="00D34F59">
      <w:pPr>
        <w:pStyle w:val="paragraph"/>
        <w:spacing w:before="0" w:beforeAutospacing="0" w:after="0" w:afterAutospacing="0"/>
        <w:jc w:val="both"/>
        <w:textAlignment w:val="baseline"/>
        <w:rPr>
          <w:rFonts w:ascii="Segoe UI" w:hAnsi="Segoe UI" w:cs="Segoe UI"/>
          <w:sz w:val="18"/>
          <w:szCs w:val="18"/>
        </w:rPr>
      </w:pPr>
      <w:r w:rsidRPr="005952F4">
        <w:rPr>
          <w:rStyle w:val="normaltextrun"/>
          <w:rFonts w:ascii="Calibri" w:hAnsi="Calibri" w:cs="Calibri"/>
          <w:sz w:val="20"/>
          <w:szCs w:val="20"/>
        </w:rPr>
        <w:t xml:space="preserve">BordoPR </w:t>
      </w:r>
      <w:hyperlink r:id="rId10" w:tgtFrame="_blank" w:history="1">
        <w:r w:rsidRPr="005952F4">
          <w:rPr>
            <w:rStyle w:val="normaltextrun"/>
            <w:rFonts w:ascii="Calibri" w:hAnsi="Calibri" w:cs="Calibri"/>
            <w:color w:val="0000FF"/>
            <w:sz w:val="20"/>
            <w:szCs w:val="20"/>
          </w:rPr>
          <w:t>cerens@bordopr.com</w:t>
        </w:r>
      </w:hyperlink>
      <w:r w:rsidRPr="005952F4">
        <w:rPr>
          <w:rStyle w:val="normaltextrun"/>
          <w:rFonts w:ascii="Calibri" w:hAnsi="Calibri" w:cs="Calibri"/>
          <w:sz w:val="20"/>
          <w:szCs w:val="20"/>
        </w:rPr>
        <w:t>   </w:t>
      </w:r>
      <w:r w:rsidRPr="005952F4">
        <w:rPr>
          <w:rStyle w:val="eop"/>
          <w:rFonts w:ascii="Calibri" w:hAnsi="Calibri" w:cs="Calibri"/>
          <w:sz w:val="20"/>
          <w:szCs w:val="20"/>
        </w:rPr>
        <w:t> </w:t>
      </w:r>
    </w:p>
    <w:p w14:paraId="0762668C" w14:textId="77777777" w:rsidR="00D34F59" w:rsidRPr="005952F4" w:rsidRDefault="00D34F59" w:rsidP="00D34F59">
      <w:pPr>
        <w:pStyle w:val="paragraph"/>
        <w:spacing w:before="0" w:beforeAutospacing="0" w:after="0" w:afterAutospacing="0"/>
        <w:jc w:val="both"/>
        <w:textAlignment w:val="baseline"/>
        <w:rPr>
          <w:rFonts w:ascii="Segoe UI" w:hAnsi="Segoe UI" w:cs="Segoe UI"/>
          <w:sz w:val="18"/>
          <w:szCs w:val="18"/>
        </w:rPr>
      </w:pPr>
      <w:r w:rsidRPr="005952F4">
        <w:rPr>
          <w:rStyle w:val="normaltextrun"/>
          <w:rFonts w:ascii="Calibri" w:hAnsi="Calibri" w:cs="Calibri"/>
          <w:sz w:val="20"/>
          <w:szCs w:val="20"/>
        </w:rPr>
        <w:t>0 531 031 87 14   </w:t>
      </w:r>
      <w:r w:rsidRPr="005952F4">
        <w:rPr>
          <w:rStyle w:val="eop"/>
          <w:rFonts w:ascii="Calibri" w:hAnsi="Calibri" w:cs="Calibri"/>
          <w:sz w:val="20"/>
          <w:szCs w:val="20"/>
        </w:rPr>
        <w:t> </w:t>
      </w:r>
    </w:p>
    <w:p w14:paraId="39F6A625" w14:textId="052C207B" w:rsidR="00D34F59" w:rsidRPr="005952F4" w:rsidRDefault="00D34F59" w:rsidP="00D34F59">
      <w:pPr>
        <w:contextualSpacing/>
        <w:jc w:val="both"/>
        <w:rPr>
          <w:rFonts w:asciiTheme="minorHAnsi" w:eastAsia="Arial" w:hAnsiTheme="minorHAnsi" w:cstheme="minorHAnsi"/>
          <w:sz w:val="16"/>
          <w:szCs w:val="16"/>
          <w:lang w:val="tr-TR"/>
        </w:rPr>
      </w:pPr>
      <w:r w:rsidRPr="005952F4">
        <w:rPr>
          <w:rFonts w:asciiTheme="minorHAnsi" w:eastAsia="Arial" w:hAnsiTheme="minorHAnsi" w:cstheme="minorHAnsi"/>
          <w:sz w:val="16"/>
          <w:szCs w:val="16"/>
          <w:lang w:val="tr-TR"/>
        </w:rPr>
        <w:t xml:space="preserve">   </w:t>
      </w:r>
    </w:p>
    <w:p w14:paraId="22003710" w14:textId="16BB8A15" w:rsidR="00D34F59" w:rsidRPr="005952F4" w:rsidRDefault="00D34F59" w:rsidP="00D34F59">
      <w:pPr>
        <w:contextualSpacing/>
        <w:jc w:val="both"/>
        <w:rPr>
          <w:rFonts w:asciiTheme="minorHAnsi" w:eastAsia="Arial" w:hAnsiTheme="minorHAnsi" w:cstheme="minorHAnsi"/>
          <w:b/>
          <w:bCs/>
          <w:sz w:val="16"/>
          <w:szCs w:val="16"/>
          <w:lang w:val="tr-TR"/>
        </w:rPr>
      </w:pPr>
      <w:r w:rsidRPr="005952F4">
        <w:rPr>
          <w:rFonts w:asciiTheme="minorHAnsi" w:eastAsia="Arial" w:hAnsiTheme="minorHAnsi" w:cstheme="minorHAnsi"/>
          <w:b/>
          <w:bCs/>
          <w:sz w:val="16"/>
          <w:szCs w:val="16"/>
          <w:lang w:val="tr-TR"/>
        </w:rPr>
        <w:t>TD SYNNEX Hakkında</w:t>
      </w:r>
    </w:p>
    <w:p w14:paraId="073D43A2" w14:textId="4723CF4C" w:rsidR="00204C4F" w:rsidRPr="005952F4" w:rsidRDefault="00D34F59" w:rsidP="00D34F59">
      <w:pPr>
        <w:contextualSpacing/>
        <w:jc w:val="both"/>
        <w:rPr>
          <w:sz w:val="2"/>
          <w:lang w:val="tr-TR"/>
        </w:rPr>
        <w:sectPr w:rsidR="00204C4F" w:rsidRPr="005952F4" w:rsidSect="00D34F59">
          <w:headerReference w:type="default" r:id="rId11"/>
          <w:footerReference w:type="default" r:id="rId12"/>
          <w:headerReference w:type="first" r:id="rId13"/>
          <w:footerReference w:type="first" r:id="rId14"/>
          <w:type w:val="continuous"/>
          <w:pgSz w:w="12240" w:h="15840"/>
          <w:pgMar w:top="1440" w:right="1440" w:bottom="1440" w:left="1440" w:header="0" w:footer="0" w:gutter="0"/>
          <w:cols w:space="708"/>
        </w:sectPr>
      </w:pPr>
      <w:r w:rsidRPr="005952F4">
        <w:rPr>
          <w:rFonts w:asciiTheme="minorHAnsi" w:eastAsia="Arial" w:hAnsiTheme="minorHAnsi" w:cstheme="minorHAnsi"/>
          <w:sz w:val="16"/>
          <w:szCs w:val="16"/>
          <w:lang w:val="tr-TR"/>
        </w:rPr>
        <w:t xml:space="preserve">TD SYNNEX (NYSE: SNX) BT ekosistemi için önde gelen bir küresel distribütör olup BT’nin ihtiyaç duyduğu tüm çözümleri tek çatı altında sunmaktadır. Merkezleri ABD’nin Florida ve Kaliforniya eyaletlerinde olan TD SYNNEX (NYSE: SNX), 100'den fazla ülkede 150 binden fazla müşteriye, teknoloji yatırımlarının değerini en üst düzeye çıkarma, işlerine yönelik sonuçları gösterme ve büyüme fırsatlarını değerlendirme konusunda yardımcı olan yenilikçi bir iş ortağıdır. TD SYNNEX'in yaklaşık 23 bin çalışanı, alanında lider 2.500'den fazla teknoloji tedarikçisinin sunduğu modern BT ürünlerini, hizmetlerini ve çözümlerini bir arada müşterilerine sunuyor. Ürün portföyü bulut, siber güvenlik, büyük veri/analiz, yapay zekâ, IoT, mobilite ve hizmet olarak sunulan teknolojiler gibi en yüksek büyüme gösteren segmentlerden oluşan TD SYNNEX, müşterilere ve topluluklara hizmet etme konusunda da kararlıdır. Çalışanları ve gezegenimiz üzerinde olumlu bir etki yaratabileceğine ve saygın bir kurumsal vatandaş olarak bilinçli bir şekilde hareket edebileceğine inanan TD SYNNEX, BT ekosistemi genelinde çalışanlar için çeşitli ve kapsayıcı bir işveren olmayı da hedefliyor. Daha fazla bilgi için </w:t>
      </w:r>
      <w:hyperlink r:id="rId15" w:tgtFrame="_blank" w:history="1">
        <w:r w:rsidRPr="005952F4">
          <w:rPr>
            <w:rStyle w:val="Kpr"/>
            <w:rFonts w:asciiTheme="minorHAnsi" w:eastAsia="Arial" w:hAnsiTheme="minorHAnsi" w:cstheme="minorHAnsi"/>
            <w:sz w:val="16"/>
            <w:szCs w:val="16"/>
            <w:lang w:val="tr-TR"/>
          </w:rPr>
          <w:t>https://tr.tdsynnex.com/</w:t>
        </w:r>
      </w:hyperlink>
      <w:r w:rsidRPr="005952F4">
        <w:rPr>
          <w:rFonts w:asciiTheme="minorHAnsi" w:eastAsia="Arial" w:hAnsiTheme="minorHAnsi" w:cstheme="minorHAnsi"/>
          <w:sz w:val="16"/>
          <w:szCs w:val="16"/>
          <w:lang w:val="tr-TR"/>
        </w:rPr>
        <w:t xml:space="preserve"> adresimizi veya </w:t>
      </w:r>
      <w:hyperlink r:id="rId16" w:tgtFrame="_blank" w:history="1">
        <w:r w:rsidRPr="005952F4">
          <w:rPr>
            <w:rStyle w:val="Kpr"/>
            <w:rFonts w:asciiTheme="minorHAnsi" w:eastAsia="Arial" w:hAnsiTheme="minorHAnsi" w:cstheme="minorHAnsi"/>
            <w:sz w:val="16"/>
            <w:szCs w:val="16"/>
            <w:lang w:val="tr-TR"/>
          </w:rPr>
          <w:t>haber sayfamızı</w:t>
        </w:r>
      </w:hyperlink>
      <w:r w:rsidRPr="005952F4">
        <w:rPr>
          <w:rFonts w:asciiTheme="minorHAnsi" w:eastAsia="Arial" w:hAnsiTheme="minorHAnsi" w:cstheme="minorHAnsi"/>
          <w:sz w:val="16"/>
          <w:szCs w:val="16"/>
          <w:lang w:val="tr-TR"/>
        </w:rPr>
        <w:t xml:space="preserve"> ziyaret edebilir, </w:t>
      </w:r>
      <w:hyperlink r:id="rId17" w:tgtFrame="_blank" w:history="1">
        <w:r w:rsidRPr="005952F4">
          <w:rPr>
            <w:rStyle w:val="Kpr"/>
            <w:rFonts w:asciiTheme="minorHAnsi" w:eastAsia="Arial" w:hAnsiTheme="minorHAnsi" w:cstheme="minorHAnsi"/>
            <w:sz w:val="16"/>
            <w:szCs w:val="16"/>
            <w:lang w:val="tr-TR"/>
          </w:rPr>
          <w:t>LinkedIn</w:t>
        </w:r>
      </w:hyperlink>
      <w:r w:rsidRPr="005952F4">
        <w:rPr>
          <w:rFonts w:asciiTheme="minorHAnsi" w:eastAsia="Arial" w:hAnsiTheme="minorHAnsi" w:cstheme="minorHAnsi"/>
          <w:sz w:val="16"/>
          <w:szCs w:val="16"/>
          <w:lang w:val="tr-TR"/>
        </w:rPr>
        <w:t xml:space="preserve">, </w:t>
      </w:r>
      <w:hyperlink r:id="rId18" w:tgtFrame="_blank" w:history="1">
        <w:r w:rsidRPr="005952F4">
          <w:rPr>
            <w:rStyle w:val="Kpr"/>
            <w:rFonts w:asciiTheme="minorHAnsi" w:eastAsia="Arial" w:hAnsiTheme="minorHAnsi" w:cstheme="minorHAnsi"/>
            <w:sz w:val="16"/>
            <w:szCs w:val="16"/>
            <w:lang w:val="tr-TR"/>
          </w:rPr>
          <w:t>Facebook</w:t>
        </w:r>
      </w:hyperlink>
      <w:r w:rsidRPr="005952F4">
        <w:rPr>
          <w:rFonts w:asciiTheme="minorHAnsi" w:eastAsia="Arial" w:hAnsiTheme="minorHAnsi" w:cstheme="minorHAnsi"/>
          <w:sz w:val="16"/>
          <w:szCs w:val="16"/>
          <w:lang w:val="tr-TR"/>
        </w:rPr>
        <w:t xml:space="preserve">, </w:t>
      </w:r>
      <w:hyperlink r:id="rId19" w:tgtFrame="_blank" w:history="1">
        <w:r w:rsidRPr="005952F4">
          <w:rPr>
            <w:rStyle w:val="Kpr"/>
            <w:rFonts w:asciiTheme="minorHAnsi" w:eastAsia="Arial" w:hAnsiTheme="minorHAnsi" w:cstheme="minorHAnsi"/>
            <w:sz w:val="16"/>
            <w:szCs w:val="16"/>
            <w:lang w:val="tr-TR"/>
          </w:rPr>
          <w:t>Instagram</w:t>
        </w:r>
      </w:hyperlink>
      <w:r w:rsidRPr="005952F4">
        <w:rPr>
          <w:rFonts w:asciiTheme="minorHAnsi" w:eastAsia="Arial" w:hAnsiTheme="minorHAnsi" w:cstheme="minorHAnsi"/>
          <w:sz w:val="16"/>
          <w:szCs w:val="16"/>
          <w:lang w:val="tr-TR"/>
        </w:rPr>
        <w:t xml:space="preserve"> ve </w:t>
      </w:r>
      <w:hyperlink r:id="rId20" w:tgtFrame="_blank" w:history="1">
        <w:r w:rsidRPr="005952F4">
          <w:rPr>
            <w:rStyle w:val="Kpr"/>
            <w:rFonts w:asciiTheme="minorHAnsi" w:eastAsia="Arial" w:hAnsiTheme="minorHAnsi" w:cstheme="minorHAnsi"/>
            <w:sz w:val="16"/>
            <w:szCs w:val="16"/>
            <w:lang w:val="tr-TR"/>
          </w:rPr>
          <w:t>Youtube</w:t>
        </w:r>
      </w:hyperlink>
      <w:r w:rsidRPr="005952F4">
        <w:rPr>
          <w:rFonts w:asciiTheme="minorHAnsi" w:eastAsia="Arial" w:hAnsiTheme="minorHAnsi" w:cstheme="minorHAnsi"/>
          <w:sz w:val="16"/>
          <w:szCs w:val="16"/>
          <w:lang w:val="tr-TR"/>
        </w:rPr>
        <w:t xml:space="preserve"> üzerinden takip edebilirsiniz. </w:t>
      </w:r>
    </w:p>
    <w:p w14:paraId="073D4E3A" w14:textId="56BFFF60" w:rsidR="00204C4F" w:rsidRPr="005952F4" w:rsidRDefault="00204C4F" w:rsidP="00320309">
      <w:pPr>
        <w:keepNext/>
        <w:keepLines/>
        <w:widowControl w:val="0"/>
        <w:spacing w:after="120" w:line="269" w:lineRule="auto"/>
        <w:outlineLvl w:val="2"/>
        <w:rPr>
          <w:rFonts w:ascii="Arial" w:eastAsia="Arial" w:hAnsi="Arial" w:cs="Arial"/>
          <w:b/>
          <w:sz w:val="2"/>
          <w:lang w:val="tr-TR"/>
        </w:rPr>
      </w:pPr>
      <w:bookmarkStart w:id="1" w:name="Section7"/>
      <w:bookmarkEnd w:id="1"/>
    </w:p>
    <w:sectPr w:rsidR="00204C4F" w:rsidRPr="005952F4" w:rsidSect="00D34F59">
      <w:headerReference w:type="default" r:id="rId21"/>
      <w:headerReference w:type="first" r:id="rId22"/>
      <w:type w:val="continuous"/>
      <w:pgSz w:w="12240" w:h="15840"/>
      <w:pgMar w:top="144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CAB1" w14:textId="77777777" w:rsidR="00F97FAE" w:rsidRDefault="00F97FAE">
      <w:r>
        <w:separator/>
      </w:r>
    </w:p>
  </w:endnote>
  <w:endnote w:type="continuationSeparator" w:id="0">
    <w:p w14:paraId="02957CF8" w14:textId="77777777" w:rsidR="00F97FAE" w:rsidRDefault="00F9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4E3D" w14:textId="77777777" w:rsidR="00204C4F" w:rsidRDefault="00204C4F">
    <w:pPr>
      <w:spacing w:line="288" w:lineRule="auto"/>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4E3F" w14:textId="77777777" w:rsidR="00204C4F" w:rsidRDefault="00204C4F">
    <w:pPr>
      <w:spacing w:line="288" w:lineRule="auto"/>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2956" w14:textId="77777777" w:rsidR="00F97FAE" w:rsidRDefault="00F97FAE">
      <w:r>
        <w:separator/>
      </w:r>
    </w:p>
  </w:footnote>
  <w:footnote w:type="continuationSeparator" w:id="0">
    <w:p w14:paraId="73A9251A" w14:textId="77777777" w:rsidR="00F97FAE" w:rsidRDefault="00F97FAE">
      <w:r>
        <w:continuationSeparator/>
      </w:r>
    </w:p>
  </w:footnote>
  <w:footnote w:id="1">
    <w:p w14:paraId="20856302" w14:textId="77777777" w:rsidR="00246A25" w:rsidRPr="00A11511" w:rsidRDefault="00246A25" w:rsidP="00246A25">
      <w:pPr>
        <w:pStyle w:val="DipnotMetni"/>
        <w:rPr>
          <w:rFonts w:asciiTheme="majorHAnsi" w:hAnsiTheme="majorHAnsi" w:cstheme="majorHAnsi"/>
          <w:i/>
          <w:iCs/>
          <w:sz w:val="16"/>
          <w:szCs w:val="16"/>
          <w:lang w:val="tr-TR"/>
        </w:rPr>
      </w:pPr>
      <w:r w:rsidRPr="00A11511">
        <w:rPr>
          <w:rStyle w:val="DipnotBavurusu"/>
          <w:rFonts w:asciiTheme="majorHAnsi" w:hAnsiTheme="majorHAnsi" w:cstheme="majorHAnsi"/>
          <w:i/>
          <w:iCs/>
          <w:sz w:val="16"/>
          <w:szCs w:val="16"/>
        </w:rPr>
        <w:footnoteRef/>
      </w:r>
      <w:r w:rsidRPr="00A11511">
        <w:rPr>
          <w:rFonts w:asciiTheme="majorHAnsi" w:hAnsiTheme="majorHAnsi" w:cstheme="majorHAnsi"/>
          <w:i/>
          <w:iCs/>
          <w:sz w:val="16"/>
          <w:szCs w:val="16"/>
        </w:rPr>
        <w:t xml:space="preserve"> IDC Worldwide Black Book 3rd Platform Edition August 2024. CAGR calculated from 2024 to 2028.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4E3C" w14:textId="77777777" w:rsidR="00204C4F" w:rsidRDefault="00204C4F">
    <w:pPr>
      <w:spacing w:line="288" w:lineRule="auto"/>
      <w:jc w:val="right"/>
      <w:rPr>
        <w:rFonts w:ascii="Arial" w:eastAsia="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1EC2" w14:textId="77777777" w:rsidR="00320309" w:rsidRDefault="00320309" w:rsidP="00320309">
    <w:pPr>
      <w:spacing w:line="288" w:lineRule="auto"/>
      <w:jc w:val="center"/>
      <w:outlineLvl w:val="0"/>
      <w:rPr>
        <w:rFonts w:ascii="Arial" w:eastAsia="Arial" w:hAnsi="Arial" w:cs="Arial"/>
      </w:rPr>
    </w:pPr>
  </w:p>
  <w:p w14:paraId="073D4E3E" w14:textId="0EB45CCF" w:rsidR="00204C4F" w:rsidRDefault="00320309" w:rsidP="00320309">
    <w:pPr>
      <w:spacing w:line="288" w:lineRule="auto"/>
      <w:jc w:val="center"/>
      <w:outlineLvl w:val="0"/>
      <w:rPr>
        <w:rFonts w:ascii="Arial" w:eastAsia="Arial" w:hAnsi="Arial" w:cs="Arial"/>
      </w:rPr>
    </w:pPr>
    <w:r>
      <w:rPr>
        <w:noProof/>
      </w:rPr>
      <w:drawing>
        <wp:inline distT="0" distB="0" distL="0" distR="0" wp14:anchorId="29B561C0" wp14:editId="11165F52">
          <wp:extent cx="2095500" cy="406400"/>
          <wp:effectExtent l="0" t="0" r="0" b="0"/>
          <wp:docPr id="2175765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06400"/>
                  </a:xfrm>
                  <a:prstGeom prst="rect">
                    <a:avLst/>
                  </a:prstGeom>
                  <a:noFill/>
                  <a:ln>
                    <a:noFill/>
                  </a:ln>
                </pic:spPr>
              </pic:pic>
            </a:graphicData>
          </a:graphic>
        </wp:inline>
      </w:drawing>
    </w:r>
  </w:p>
  <w:p w14:paraId="79EA121A" w14:textId="77777777" w:rsidR="00320309" w:rsidRDefault="00320309" w:rsidP="00320309">
    <w:pPr>
      <w:spacing w:line="288" w:lineRule="auto"/>
      <w:jc w:val="center"/>
      <w:outlineLvl w:val="0"/>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4E41" w14:textId="77777777" w:rsidR="00204C4F" w:rsidRDefault="00204C4F">
    <w:pPr>
      <w:spacing w:line="288" w:lineRule="auto"/>
      <w:rPr>
        <w:rFonts w:ascii="Arial" w:eastAsia="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4E42" w14:textId="77777777" w:rsidR="00204C4F" w:rsidRDefault="00204C4F">
    <w:pPr>
      <w:spacing w:line="288" w:lineRule="auto"/>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180"/>
      </w:pPr>
    </w:lvl>
    <w:lvl w:ilvl="3">
      <w:start w:val="1"/>
      <w:numFmt w:val="decimal"/>
      <w:lvlText w:val="%1.%2.%3.%4."/>
      <w:lvlJc w:val="left"/>
      <w:pPr>
        <w:tabs>
          <w:tab w:val="num" w:pos="2880"/>
        </w:tabs>
        <w:ind w:left="288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4320"/>
        </w:tabs>
        <w:ind w:left="4320" w:hanging="18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760"/>
        </w:tabs>
        <w:ind w:left="5760" w:hanging="360"/>
      </w:pPr>
    </w:lvl>
    <w:lvl w:ilvl="8">
      <w:start w:val="1"/>
      <w:numFmt w:val="decimal"/>
      <w:lvlText w:val="%1.%2.%3.%4.%5.%6.%7.%8.%9."/>
      <w:lvlJc w:val="left"/>
      <w:pPr>
        <w:tabs>
          <w:tab w:val="num" w:pos="6480"/>
        </w:tabs>
        <w:ind w:left="6480" w:hanging="180"/>
      </w:pPr>
    </w:lvl>
  </w:abstractNum>
  <w:abstractNum w:abstractNumId="13" w15:restartNumberingAfterBreak="0">
    <w:nsid w:val="201457B9"/>
    <w:multiLevelType w:val="hybridMultilevel"/>
    <w:tmpl w:val="51C437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51878353">
    <w:abstractNumId w:val="0"/>
  </w:num>
  <w:num w:numId="2" w16cid:durableId="1353067433">
    <w:abstractNumId w:val="1"/>
  </w:num>
  <w:num w:numId="3" w16cid:durableId="144397107">
    <w:abstractNumId w:val="2"/>
  </w:num>
  <w:num w:numId="4" w16cid:durableId="1640066023">
    <w:abstractNumId w:val="3"/>
  </w:num>
  <w:num w:numId="5" w16cid:durableId="68189862">
    <w:abstractNumId w:val="4"/>
  </w:num>
  <w:num w:numId="6" w16cid:durableId="1476027209">
    <w:abstractNumId w:val="5"/>
  </w:num>
  <w:num w:numId="7" w16cid:durableId="296493705">
    <w:abstractNumId w:val="6"/>
  </w:num>
  <w:num w:numId="8" w16cid:durableId="841089039">
    <w:abstractNumId w:val="7"/>
  </w:num>
  <w:num w:numId="9" w16cid:durableId="641471784">
    <w:abstractNumId w:val="8"/>
  </w:num>
  <w:num w:numId="10" w16cid:durableId="1291745131">
    <w:abstractNumId w:val="9"/>
  </w:num>
  <w:num w:numId="11" w16cid:durableId="1954163338">
    <w:abstractNumId w:val="10"/>
  </w:num>
  <w:num w:numId="12" w16cid:durableId="2083210514">
    <w:abstractNumId w:val="11"/>
  </w:num>
  <w:num w:numId="13" w16cid:durableId="164899552">
    <w:abstractNumId w:val="12"/>
  </w:num>
  <w:num w:numId="14" w16cid:durableId="151742129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5ABF"/>
    <w:rsid w:val="000F2331"/>
    <w:rsid w:val="00106846"/>
    <w:rsid w:val="00200E80"/>
    <w:rsid w:val="00204C4F"/>
    <w:rsid w:val="00207C4A"/>
    <w:rsid w:val="00232A70"/>
    <w:rsid w:val="002372B3"/>
    <w:rsid w:val="00246A25"/>
    <w:rsid w:val="003079CE"/>
    <w:rsid w:val="00320309"/>
    <w:rsid w:val="00441AFD"/>
    <w:rsid w:val="004457FC"/>
    <w:rsid w:val="004E715F"/>
    <w:rsid w:val="00501B60"/>
    <w:rsid w:val="00582794"/>
    <w:rsid w:val="005952F4"/>
    <w:rsid w:val="005A1EA7"/>
    <w:rsid w:val="005E4044"/>
    <w:rsid w:val="006275B4"/>
    <w:rsid w:val="00690177"/>
    <w:rsid w:val="007232BE"/>
    <w:rsid w:val="00767112"/>
    <w:rsid w:val="00787420"/>
    <w:rsid w:val="00791EF5"/>
    <w:rsid w:val="007C110A"/>
    <w:rsid w:val="007D4A76"/>
    <w:rsid w:val="00872303"/>
    <w:rsid w:val="008774B9"/>
    <w:rsid w:val="0089148A"/>
    <w:rsid w:val="008A6266"/>
    <w:rsid w:val="008F566E"/>
    <w:rsid w:val="009402EB"/>
    <w:rsid w:val="009A21C0"/>
    <w:rsid w:val="009A3179"/>
    <w:rsid w:val="00A77B3E"/>
    <w:rsid w:val="00B8567C"/>
    <w:rsid w:val="00BB56AA"/>
    <w:rsid w:val="00BC225A"/>
    <w:rsid w:val="00C01393"/>
    <w:rsid w:val="00CA2A55"/>
    <w:rsid w:val="00D10865"/>
    <w:rsid w:val="00D25D58"/>
    <w:rsid w:val="00D34F59"/>
    <w:rsid w:val="00D74C97"/>
    <w:rsid w:val="00DF69CD"/>
    <w:rsid w:val="00E41BD8"/>
    <w:rsid w:val="00E72B94"/>
    <w:rsid w:val="00EE74BE"/>
    <w:rsid w:val="00EF44A2"/>
    <w:rsid w:val="00F97FAE"/>
    <w:rsid w:val="206D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D42A4"/>
  <w15:docId w15:val="{D1337EFD-D5FE-984F-96C7-12330865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 w:type="paragraph" w:styleId="stBilgi">
    <w:name w:val="header"/>
    <w:basedOn w:val="Normal"/>
    <w:link w:val="stBilgiChar"/>
    <w:rsid w:val="008774B9"/>
    <w:pPr>
      <w:tabs>
        <w:tab w:val="center" w:pos="4680"/>
        <w:tab w:val="right" w:pos="9360"/>
      </w:tabs>
    </w:pPr>
  </w:style>
  <w:style w:type="character" w:customStyle="1" w:styleId="stBilgiChar">
    <w:name w:val="Üst Bilgi Char"/>
    <w:basedOn w:val="VarsaylanParagrafYazTipi"/>
    <w:link w:val="stBilgi"/>
    <w:rsid w:val="008774B9"/>
    <w:rPr>
      <w:sz w:val="24"/>
      <w:szCs w:val="24"/>
    </w:rPr>
  </w:style>
  <w:style w:type="paragraph" w:styleId="AltBilgi">
    <w:name w:val="footer"/>
    <w:basedOn w:val="Normal"/>
    <w:link w:val="AltBilgiChar"/>
    <w:rsid w:val="008774B9"/>
    <w:pPr>
      <w:tabs>
        <w:tab w:val="center" w:pos="4680"/>
        <w:tab w:val="right" w:pos="9360"/>
      </w:tabs>
    </w:pPr>
  </w:style>
  <w:style w:type="character" w:customStyle="1" w:styleId="AltBilgiChar">
    <w:name w:val="Alt Bilgi Char"/>
    <w:basedOn w:val="VarsaylanParagrafYazTipi"/>
    <w:link w:val="AltBilgi"/>
    <w:rsid w:val="008774B9"/>
    <w:rPr>
      <w:sz w:val="24"/>
      <w:szCs w:val="24"/>
    </w:rPr>
  </w:style>
  <w:style w:type="character" w:styleId="Kpr">
    <w:name w:val="Hyperlink"/>
    <w:basedOn w:val="VarsaylanParagrafYazTipi"/>
    <w:rsid w:val="00D34F59"/>
    <w:rPr>
      <w:color w:val="0000FF" w:themeColor="hyperlink"/>
      <w:u w:val="single"/>
    </w:rPr>
  </w:style>
  <w:style w:type="character" w:styleId="zmlenmeyenBahsetme">
    <w:name w:val="Unresolved Mention"/>
    <w:basedOn w:val="VarsaylanParagrafYazTipi"/>
    <w:uiPriority w:val="99"/>
    <w:semiHidden/>
    <w:unhideWhenUsed/>
    <w:rsid w:val="00D34F59"/>
    <w:rPr>
      <w:color w:val="605E5C"/>
      <w:shd w:val="clear" w:color="auto" w:fill="E1DFDD"/>
    </w:rPr>
  </w:style>
  <w:style w:type="paragraph" w:customStyle="1" w:styleId="paragraph">
    <w:name w:val="paragraph"/>
    <w:basedOn w:val="Normal"/>
    <w:rsid w:val="00D34F59"/>
    <w:pPr>
      <w:spacing w:before="100" w:beforeAutospacing="1" w:after="100" w:afterAutospacing="1"/>
    </w:pPr>
    <w:rPr>
      <w:kern w:val="0"/>
      <w:lang w:val="tr-TR" w:eastAsia="tr-TR"/>
    </w:rPr>
  </w:style>
  <w:style w:type="character" w:customStyle="1" w:styleId="normaltextrun">
    <w:name w:val="normaltextrun"/>
    <w:basedOn w:val="VarsaylanParagrafYazTipi"/>
    <w:rsid w:val="00D34F59"/>
  </w:style>
  <w:style w:type="character" w:customStyle="1" w:styleId="eop">
    <w:name w:val="eop"/>
    <w:basedOn w:val="VarsaylanParagrafYazTipi"/>
    <w:rsid w:val="00D34F59"/>
  </w:style>
  <w:style w:type="paragraph" w:styleId="ListeParagraf">
    <w:name w:val="List Paragraph"/>
    <w:basedOn w:val="Normal"/>
    <w:uiPriority w:val="34"/>
    <w:qFormat/>
    <w:rsid w:val="00441AFD"/>
    <w:pPr>
      <w:ind w:left="720"/>
      <w:contextualSpacing/>
    </w:pPr>
  </w:style>
  <w:style w:type="paragraph" w:styleId="DipnotMetni">
    <w:name w:val="footnote text"/>
    <w:basedOn w:val="Normal"/>
    <w:link w:val="DipnotMetniChar"/>
    <w:uiPriority w:val="99"/>
    <w:unhideWhenUsed/>
    <w:rsid w:val="00246A25"/>
    <w:rPr>
      <w:rFonts w:ascii="Arial" w:eastAsia="Arial" w:hAnsi="Arial" w:cs="Arial"/>
      <w:kern w:val="0"/>
      <w:sz w:val="20"/>
      <w:szCs w:val="20"/>
      <w:lang w:val="en-GB"/>
    </w:rPr>
  </w:style>
  <w:style w:type="character" w:customStyle="1" w:styleId="DipnotMetniChar">
    <w:name w:val="Dipnot Metni Char"/>
    <w:basedOn w:val="VarsaylanParagrafYazTipi"/>
    <w:link w:val="DipnotMetni"/>
    <w:uiPriority w:val="99"/>
    <w:rsid w:val="00246A25"/>
    <w:rPr>
      <w:rFonts w:ascii="Arial" w:eastAsia="Arial" w:hAnsi="Arial" w:cs="Arial"/>
      <w:kern w:val="0"/>
      <w:lang w:val="en-GB"/>
    </w:rPr>
  </w:style>
  <w:style w:type="character" w:styleId="DipnotBavurusu">
    <w:name w:val="footnote reference"/>
    <w:basedOn w:val="VarsaylanParagrafYazTipi"/>
    <w:uiPriority w:val="99"/>
    <w:unhideWhenUsed/>
    <w:rsid w:val="0024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6271">
      <w:bodyDiv w:val="1"/>
      <w:marLeft w:val="0"/>
      <w:marRight w:val="0"/>
      <w:marTop w:val="0"/>
      <w:marBottom w:val="0"/>
      <w:divBdr>
        <w:top w:val="none" w:sz="0" w:space="0" w:color="auto"/>
        <w:left w:val="none" w:sz="0" w:space="0" w:color="auto"/>
        <w:bottom w:val="none" w:sz="0" w:space="0" w:color="auto"/>
        <w:right w:val="none" w:sz="0" w:space="0" w:color="auto"/>
      </w:divBdr>
      <w:divsChild>
        <w:div w:id="1742016823">
          <w:marLeft w:val="0"/>
          <w:marRight w:val="0"/>
          <w:marTop w:val="0"/>
          <w:marBottom w:val="0"/>
          <w:divBdr>
            <w:top w:val="none" w:sz="0" w:space="0" w:color="auto"/>
            <w:left w:val="none" w:sz="0" w:space="0" w:color="auto"/>
            <w:bottom w:val="none" w:sz="0" w:space="0" w:color="auto"/>
            <w:right w:val="none" w:sz="0" w:space="0" w:color="auto"/>
          </w:divBdr>
        </w:div>
        <w:div w:id="33819410">
          <w:marLeft w:val="0"/>
          <w:marRight w:val="0"/>
          <w:marTop w:val="0"/>
          <w:marBottom w:val="0"/>
          <w:divBdr>
            <w:top w:val="none" w:sz="0" w:space="0" w:color="auto"/>
            <w:left w:val="none" w:sz="0" w:space="0" w:color="auto"/>
            <w:bottom w:val="none" w:sz="0" w:space="0" w:color="auto"/>
            <w:right w:val="none" w:sz="0" w:space="0" w:color="auto"/>
          </w:divBdr>
        </w:div>
        <w:div w:id="738481881">
          <w:marLeft w:val="0"/>
          <w:marRight w:val="0"/>
          <w:marTop w:val="0"/>
          <w:marBottom w:val="0"/>
          <w:divBdr>
            <w:top w:val="none" w:sz="0" w:space="0" w:color="auto"/>
            <w:left w:val="none" w:sz="0" w:space="0" w:color="auto"/>
            <w:bottom w:val="none" w:sz="0" w:space="0" w:color="auto"/>
            <w:right w:val="none" w:sz="0" w:space="0" w:color="auto"/>
          </w:divBdr>
        </w:div>
        <w:div w:id="1769764389">
          <w:marLeft w:val="0"/>
          <w:marRight w:val="0"/>
          <w:marTop w:val="0"/>
          <w:marBottom w:val="0"/>
          <w:divBdr>
            <w:top w:val="none" w:sz="0" w:space="0" w:color="auto"/>
            <w:left w:val="none" w:sz="0" w:space="0" w:color="auto"/>
            <w:bottom w:val="none" w:sz="0" w:space="0" w:color="auto"/>
            <w:right w:val="none" w:sz="0" w:space="0" w:color="auto"/>
          </w:divBdr>
        </w:div>
      </w:divsChild>
    </w:div>
    <w:div w:id="108093125">
      <w:bodyDiv w:val="1"/>
      <w:marLeft w:val="0"/>
      <w:marRight w:val="0"/>
      <w:marTop w:val="0"/>
      <w:marBottom w:val="0"/>
      <w:divBdr>
        <w:top w:val="none" w:sz="0" w:space="0" w:color="auto"/>
        <w:left w:val="none" w:sz="0" w:space="0" w:color="auto"/>
        <w:bottom w:val="none" w:sz="0" w:space="0" w:color="auto"/>
        <w:right w:val="none" w:sz="0" w:space="0" w:color="auto"/>
      </w:divBdr>
      <w:divsChild>
        <w:div w:id="421531454">
          <w:marLeft w:val="0"/>
          <w:marRight w:val="0"/>
          <w:marTop w:val="0"/>
          <w:marBottom w:val="0"/>
          <w:divBdr>
            <w:top w:val="none" w:sz="0" w:space="0" w:color="auto"/>
            <w:left w:val="none" w:sz="0" w:space="0" w:color="auto"/>
            <w:bottom w:val="none" w:sz="0" w:space="0" w:color="auto"/>
            <w:right w:val="none" w:sz="0" w:space="0" w:color="auto"/>
          </w:divBdr>
        </w:div>
        <w:div w:id="932977552">
          <w:marLeft w:val="0"/>
          <w:marRight w:val="0"/>
          <w:marTop w:val="0"/>
          <w:marBottom w:val="0"/>
          <w:divBdr>
            <w:top w:val="none" w:sz="0" w:space="0" w:color="auto"/>
            <w:left w:val="none" w:sz="0" w:space="0" w:color="auto"/>
            <w:bottom w:val="none" w:sz="0" w:space="0" w:color="auto"/>
            <w:right w:val="none" w:sz="0" w:space="0" w:color="auto"/>
          </w:divBdr>
        </w:div>
        <w:div w:id="56130311">
          <w:marLeft w:val="0"/>
          <w:marRight w:val="0"/>
          <w:marTop w:val="0"/>
          <w:marBottom w:val="0"/>
          <w:divBdr>
            <w:top w:val="none" w:sz="0" w:space="0" w:color="auto"/>
            <w:left w:val="none" w:sz="0" w:space="0" w:color="auto"/>
            <w:bottom w:val="none" w:sz="0" w:space="0" w:color="auto"/>
            <w:right w:val="none" w:sz="0" w:space="0" w:color="auto"/>
          </w:divBdr>
        </w:div>
        <w:div w:id="1513034196">
          <w:marLeft w:val="0"/>
          <w:marRight w:val="0"/>
          <w:marTop w:val="0"/>
          <w:marBottom w:val="0"/>
          <w:divBdr>
            <w:top w:val="none" w:sz="0" w:space="0" w:color="auto"/>
            <w:left w:val="none" w:sz="0" w:space="0" w:color="auto"/>
            <w:bottom w:val="none" w:sz="0" w:space="0" w:color="auto"/>
            <w:right w:val="none" w:sz="0" w:space="0" w:color="auto"/>
          </w:divBdr>
        </w:div>
      </w:divsChild>
    </w:div>
    <w:div w:id="138422430">
      <w:bodyDiv w:val="1"/>
      <w:marLeft w:val="0"/>
      <w:marRight w:val="0"/>
      <w:marTop w:val="0"/>
      <w:marBottom w:val="0"/>
      <w:divBdr>
        <w:top w:val="none" w:sz="0" w:space="0" w:color="auto"/>
        <w:left w:val="none" w:sz="0" w:space="0" w:color="auto"/>
        <w:bottom w:val="none" w:sz="0" w:space="0" w:color="auto"/>
        <w:right w:val="none" w:sz="0" w:space="0" w:color="auto"/>
      </w:divBdr>
      <w:divsChild>
        <w:div w:id="348918532">
          <w:marLeft w:val="0"/>
          <w:marRight w:val="0"/>
          <w:marTop w:val="0"/>
          <w:marBottom w:val="0"/>
          <w:divBdr>
            <w:top w:val="none" w:sz="0" w:space="0" w:color="auto"/>
            <w:left w:val="none" w:sz="0" w:space="0" w:color="auto"/>
            <w:bottom w:val="none" w:sz="0" w:space="0" w:color="auto"/>
            <w:right w:val="none" w:sz="0" w:space="0" w:color="auto"/>
          </w:divBdr>
        </w:div>
        <w:div w:id="62653433">
          <w:marLeft w:val="0"/>
          <w:marRight w:val="0"/>
          <w:marTop w:val="0"/>
          <w:marBottom w:val="0"/>
          <w:divBdr>
            <w:top w:val="none" w:sz="0" w:space="0" w:color="auto"/>
            <w:left w:val="none" w:sz="0" w:space="0" w:color="auto"/>
            <w:bottom w:val="none" w:sz="0" w:space="0" w:color="auto"/>
            <w:right w:val="none" w:sz="0" w:space="0" w:color="auto"/>
          </w:divBdr>
        </w:div>
        <w:div w:id="2013530082">
          <w:marLeft w:val="0"/>
          <w:marRight w:val="0"/>
          <w:marTop w:val="0"/>
          <w:marBottom w:val="0"/>
          <w:divBdr>
            <w:top w:val="none" w:sz="0" w:space="0" w:color="auto"/>
            <w:left w:val="none" w:sz="0" w:space="0" w:color="auto"/>
            <w:bottom w:val="none" w:sz="0" w:space="0" w:color="auto"/>
            <w:right w:val="none" w:sz="0" w:space="0" w:color="auto"/>
          </w:divBdr>
        </w:div>
        <w:div w:id="2114006813">
          <w:marLeft w:val="0"/>
          <w:marRight w:val="0"/>
          <w:marTop w:val="0"/>
          <w:marBottom w:val="0"/>
          <w:divBdr>
            <w:top w:val="none" w:sz="0" w:space="0" w:color="auto"/>
            <w:left w:val="none" w:sz="0" w:space="0" w:color="auto"/>
            <w:bottom w:val="none" w:sz="0" w:space="0" w:color="auto"/>
            <w:right w:val="none" w:sz="0" w:space="0" w:color="auto"/>
          </w:divBdr>
        </w:div>
      </w:divsChild>
    </w:div>
    <w:div w:id="295767133">
      <w:bodyDiv w:val="1"/>
      <w:marLeft w:val="0"/>
      <w:marRight w:val="0"/>
      <w:marTop w:val="0"/>
      <w:marBottom w:val="0"/>
      <w:divBdr>
        <w:top w:val="none" w:sz="0" w:space="0" w:color="auto"/>
        <w:left w:val="none" w:sz="0" w:space="0" w:color="auto"/>
        <w:bottom w:val="none" w:sz="0" w:space="0" w:color="auto"/>
        <w:right w:val="none" w:sz="0" w:space="0" w:color="auto"/>
      </w:divBdr>
      <w:divsChild>
        <w:div w:id="1868446600">
          <w:marLeft w:val="0"/>
          <w:marRight w:val="0"/>
          <w:marTop w:val="0"/>
          <w:marBottom w:val="0"/>
          <w:divBdr>
            <w:top w:val="none" w:sz="0" w:space="0" w:color="auto"/>
            <w:left w:val="none" w:sz="0" w:space="0" w:color="auto"/>
            <w:bottom w:val="none" w:sz="0" w:space="0" w:color="auto"/>
            <w:right w:val="none" w:sz="0" w:space="0" w:color="auto"/>
          </w:divBdr>
        </w:div>
        <w:div w:id="1506238828">
          <w:marLeft w:val="0"/>
          <w:marRight w:val="0"/>
          <w:marTop w:val="0"/>
          <w:marBottom w:val="0"/>
          <w:divBdr>
            <w:top w:val="none" w:sz="0" w:space="0" w:color="auto"/>
            <w:left w:val="none" w:sz="0" w:space="0" w:color="auto"/>
            <w:bottom w:val="none" w:sz="0" w:space="0" w:color="auto"/>
            <w:right w:val="none" w:sz="0" w:space="0" w:color="auto"/>
          </w:divBdr>
        </w:div>
        <w:div w:id="166940195">
          <w:marLeft w:val="0"/>
          <w:marRight w:val="0"/>
          <w:marTop w:val="0"/>
          <w:marBottom w:val="0"/>
          <w:divBdr>
            <w:top w:val="none" w:sz="0" w:space="0" w:color="auto"/>
            <w:left w:val="none" w:sz="0" w:space="0" w:color="auto"/>
            <w:bottom w:val="none" w:sz="0" w:space="0" w:color="auto"/>
            <w:right w:val="none" w:sz="0" w:space="0" w:color="auto"/>
          </w:divBdr>
        </w:div>
        <w:div w:id="841703001">
          <w:marLeft w:val="0"/>
          <w:marRight w:val="0"/>
          <w:marTop w:val="0"/>
          <w:marBottom w:val="0"/>
          <w:divBdr>
            <w:top w:val="none" w:sz="0" w:space="0" w:color="auto"/>
            <w:left w:val="none" w:sz="0" w:space="0" w:color="auto"/>
            <w:bottom w:val="none" w:sz="0" w:space="0" w:color="auto"/>
            <w:right w:val="none" w:sz="0" w:space="0" w:color="auto"/>
          </w:divBdr>
        </w:div>
        <w:div w:id="289753212">
          <w:marLeft w:val="0"/>
          <w:marRight w:val="0"/>
          <w:marTop w:val="0"/>
          <w:marBottom w:val="0"/>
          <w:divBdr>
            <w:top w:val="none" w:sz="0" w:space="0" w:color="auto"/>
            <w:left w:val="none" w:sz="0" w:space="0" w:color="auto"/>
            <w:bottom w:val="none" w:sz="0" w:space="0" w:color="auto"/>
            <w:right w:val="none" w:sz="0" w:space="0" w:color="auto"/>
          </w:divBdr>
        </w:div>
        <w:div w:id="1596666215">
          <w:marLeft w:val="0"/>
          <w:marRight w:val="0"/>
          <w:marTop w:val="0"/>
          <w:marBottom w:val="0"/>
          <w:divBdr>
            <w:top w:val="none" w:sz="0" w:space="0" w:color="auto"/>
            <w:left w:val="none" w:sz="0" w:space="0" w:color="auto"/>
            <w:bottom w:val="none" w:sz="0" w:space="0" w:color="auto"/>
            <w:right w:val="none" w:sz="0" w:space="0" w:color="auto"/>
          </w:divBdr>
        </w:div>
        <w:div w:id="1495607616">
          <w:marLeft w:val="0"/>
          <w:marRight w:val="0"/>
          <w:marTop w:val="0"/>
          <w:marBottom w:val="0"/>
          <w:divBdr>
            <w:top w:val="none" w:sz="0" w:space="0" w:color="auto"/>
            <w:left w:val="none" w:sz="0" w:space="0" w:color="auto"/>
            <w:bottom w:val="none" w:sz="0" w:space="0" w:color="auto"/>
            <w:right w:val="none" w:sz="0" w:space="0" w:color="auto"/>
          </w:divBdr>
        </w:div>
      </w:divsChild>
    </w:div>
    <w:div w:id="456417507">
      <w:bodyDiv w:val="1"/>
      <w:marLeft w:val="0"/>
      <w:marRight w:val="0"/>
      <w:marTop w:val="0"/>
      <w:marBottom w:val="0"/>
      <w:divBdr>
        <w:top w:val="none" w:sz="0" w:space="0" w:color="auto"/>
        <w:left w:val="none" w:sz="0" w:space="0" w:color="auto"/>
        <w:bottom w:val="none" w:sz="0" w:space="0" w:color="auto"/>
        <w:right w:val="none" w:sz="0" w:space="0" w:color="auto"/>
      </w:divBdr>
      <w:divsChild>
        <w:div w:id="539973069">
          <w:marLeft w:val="0"/>
          <w:marRight w:val="0"/>
          <w:marTop w:val="0"/>
          <w:marBottom w:val="0"/>
          <w:divBdr>
            <w:top w:val="none" w:sz="0" w:space="0" w:color="auto"/>
            <w:left w:val="none" w:sz="0" w:space="0" w:color="auto"/>
            <w:bottom w:val="none" w:sz="0" w:space="0" w:color="auto"/>
            <w:right w:val="none" w:sz="0" w:space="0" w:color="auto"/>
          </w:divBdr>
        </w:div>
        <w:div w:id="1187332934">
          <w:marLeft w:val="0"/>
          <w:marRight w:val="0"/>
          <w:marTop w:val="0"/>
          <w:marBottom w:val="0"/>
          <w:divBdr>
            <w:top w:val="none" w:sz="0" w:space="0" w:color="auto"/>
            <w:left w:val="none" w:sz="0" w:space="0" w:color="auto"/>
            <w:bottom w:val="none" w:sz="0" w:space="0" w:color="auto"/>
            <w:right w:val="none" w:sz="0" w:space="0" w:color="auto"/>
          </w:divBdr>
        </w:div>
        <w:div w:id="1705982673">
          <w:marLeft w:val="0"/>
          <w:marRight w:val="0"/>
          <w:marTop w:val="0"/>
          <w:marBottom w:val="0"/>
          <w:divBdr>
            <w:top w:val="none" w:sz="0" w:space="0" w:color="auto"/>
            <w:left w:val="none" w:sz="0" w:space="0" w:color="auto"/>
            <w:bottom w:val="none" w:sz="0" w:space="0" w:color="auto"/>
            <w:right w:val="none" w:sz="0" w:space="0" w:color="auto"/>
          </w:divBdr>
        </w:div>
        <w:div w:id="234437117">
          <w:marLeft w:val="0"/>
          <w:marRight w:val="0"/>
          <w:marTop w:val="0"/>
          <w:marBottom w:val="0"/>
          <w:divBdr>
            <w:top w:val="none" w:sz="0" w:space="0" w:color="auto"/>
            <w:left w:val="none" w:sz="0" w:space="0" w:color="auto"/>
            <w:bottom w:val="none" w:sz="0" w:space="0" w:color="auto"/>
            <w:right w:val="none" w:sz="0" w:space="0" w:color="auto"/>
          </w:divBdr>
        </w:div>
        <w:div w:id="763501656">
          <w:marLeft w:val="0"/>
          <w:marRight w:val="0"/>
          <w:marTop w:val="0"/>
          <w:marBottom w:val="0"/>
          <w:divBdr>
            <w:top w:val="none" w:sz="0" w:space="0" w:color="auto"/>
            <w:left w:val="none" w:sz="0" w:space="0" w:color="auto"/>
            <w:bottom w:val="none" w:sz="0" w:space="0" w:color="auto"/>
            <w:right w:val="none" w:sz="0" w:space="0" w:color="auto"/>
          </w:divBdr>
        </w:div>
        <w:div w:id="1953894710">
          <w:marLeft w:val="0"/>
          <w:marRight w:val="0"/>
          <w:marTop w:val="0"/>
          <w:marBottom w:val="0"/>
          <w:divBdr>
            <w:top w:val="none" w:sz="0" w:space="0" w:color="auto"/>
            <w:left w:val="none" w:sz="0" w:space="0" w:color="auto"/>
            <w:bottom w:val="none" w:sz="0" w:space="0" w:color="auto"/>
            <w:right w:val="none" w:sz="0" w:space="0" w:color="auto"/>
          </w:divBdr>
        </w:div>
        <w:div w:id="1075325462">
          <w:marLeft w:val="0"/>
          <w:marRight w:val="0"/>
          <w:marTop w:val="0"/>
          <w:marBottom w:val="0"/>
          <w:divBdr>
            <w:top w:val="none" w:sz="0" w:space="0" w:color="auto"/>
            <w:left w:val="none" w:sz="0" w:space="0" w:color="auto"/>
            <w:bottom w:val="none" w:sz="0" w:space="0" w:color="auto"/>
            <w:right w:val="none" w:sz="0" w:space="0" w:color="auto"/>
          </w:divBdr>
        </w:div>
      </w:divsChild>
    </w:div>
    <w:div w:id="585268663">
      <w:bodyDiv w:val="1"/>
      <w:marLeft w:val="0"/>
      <w:marRight w:val="0"/>
      <w:marTop w:val="0"/>
      <w:marBottom w:val="0"/>
      <w:divBdr>
        <w:top w:val="none" w:sz="0" w:space="0" w:color="auto"/>
        <w:left w:val="none" w:sz="0" w:space="0" w:color="auto"/>
        <w:bottom w:val="none" w:sz="0" w:space="0" w:color="auto"/>
        <w:right w:val="none" w:sz="0" w:space="0" w:color="auto"/>
      </w:divBdr>
      <w:divsChild>
        <w:div w:id="1458375301">
          <w:marLeft w:val="0"/>
          <w:marRight w:val="0"/>
          <w:marTop w:val="0"/>
          <w:marBottom w:val="0"/>
          <w:divBdr>
            <w:top w:val="none" w:sz="0" w:space="0" w:color="auto"/>
            <w:left w:val="none" w:sz="0" w:space="0" w:color="auto"/>
            <w:bottom w:val="none" w:sz="0" w:space="0" w:color="auto"/>
            <w:right w:val="none" w:sz="0" w:space="0" w:color="auto"/>
          </w:divBdr>
        </w:div>
        <w:div w:id="682247435">
          <w:marLeft w:val="0"/>
          <w:marRight w:val="0"/>
          <w:marTop w:val="0"/>
          <w:marBottom w:val="0"/>
          <w:divBdr>
            <w:top w:val="none" w:sz="0" w:space="0" w:color="auto"/>
            <w:left w:val="none" w:sz="0" w:space="0" w:color="auto"/>
            <w:bottom w:val="none" w:sz="0" w:space="0" w:color="auto"/>
            <w:right w:val="none" w:sz="0" w:space="0" w:color="auto"/>
          </w:divBdr>
        </w:div>
        <w:div w:id="1097483549">
          <w:marLeft w:val="0"/>
          <w:marRight w:val="0"/>
          <w:marTop w:val="0"/>
          <w:marBottom w:val="0"/>
          <w:divBdr>
            <w:top w:val="none" w:sz="0" w:space="0" w:color="auto"/>
            <w:left w:val="none" w:sz="0" w:space="0" w:color="auto"/>
            <w:bottom w:val="none" w:sz="0" w:space="0" w:color="auto"/>
            <w:right w:val="none" w:sz="0" w:space="0" w:color="auto"/>
          </w:divBdr>
        </w:div>
        <w:div w:id="148598427">
          <w:marLeft w:val="0"/>
          <w:marRight w:val="0"/>
          <w:marTop w:val="0"/>
          <w:marBottom w:val="0"/>
          <w:divBdr>
            <w:top w:val="none" w:sz="0" w:space="0" w:color="auto"/>
            <w:left w:val="none" w:sz="0" w:space="0" w:color="auto"/>
            <w:bottom w:val="none" w:sz="0" w:space="0" w:color="auto"/>
            <w:right w:val="none" w:sz="0" w:space="0" w:color="auto"/>
          </w:divBdr>
        </w:div>
        <w:div w:id="1782534165">
          <w:marLeft w:val="0"/>
          <w:marRight w:val="0"/>
          <w:marTop w:val="0"/>
          <w:marBottom w:val="0"/>
          <w:divBdr>
            <w:top w:val="none" w:sz="0" w:space="0" w:color="auto"/>
            <w:left w:val="none" w:sz="0" w:space="0" w:color="auto"/>
            <w:bottom w:val="none" w:sz="0" w:space="0" w:color="auto"/>
            <w:right w:val="none" w:sz="0" w:space="0" w:color="auto"/>
          </w:divBdr>
        </w:div>
        <w:div w:id="1236164438">
          <w:marLeft w:val="0"/>
          <w:marRight w:val="0"/>
          <w:marTop w:val="0"/>
          <w:marBottom w:val="0"/>
          <w:divBdr>
            <w:top w:val="none" w:sz="0" w:space="0" w:color="auto"/>
            <w:left w:val="none" w:sz="0" w:space="0" w:color="auto"/>
            <w:bottom w:val="none" w:sz="0" w:space="0" w:color="auto"/>
            <w:right w:val="none" w:sz="0" w:space="0" w:color="auto"/>
          </w:divBdr>
        </w:div>
        <w:div w:id="496926423">
          <w:marLeft w:val="0"/>
          <w:marRight w:val="0"/>
          <w:marTop w:val="0"/>
          <w:marBottom w:val="0"/>
          <w:divBdr>
            <w:top w:val="none" w:sz="0" w:space="0" w:color="auto"/>
            <w:left w:val="none" w:sz="0" w:space="0" w:color="auto"/>
            <w:bottom w:val="none" w:sz="0" w:space="0" w:color="auto"/>
            <w:right w:val="none" w:sz="0" w:space="0" w:color="auto"/>
          </w:divBdr>
        </w:div>
      </w:divsChild>
    </w:div>
    <w:div w:id="617103152">
      <w:bodyDiv w:val="1"/>
      <w:marLeft w:val="0"/>
      <w:marRight w:val="0"/>
      <w:marTop w:val="0"/>
      <w:marBottom w:val="0"/>
      <w:divBdr>
        <w:top w:val="none" w:sz="0" w:space="0" w:color="auto"/>
        <w:left w:val="none" w:sz="0" w:space="0" w:color="auto"/>
        <w:bottom w:val="none" w:sz="0" w:space="0" w:color="auto"/>
        <w:right w:val="none" w:sz="0" w:space="0" w:color="auto"/>
      </w:divBdr>
      <w:divsChild>
        <w:div w:id="1169562679">
          <w:marLeft w:val="0"/>
          <w:marRight w:val="0"/>
          <w:marTop w:val="0"/>
          <w:marBottom w:val="0"/>
          <w:divBdr>
            <w:top w:val="none" w:sz="0" w:space="0" w:color="auto"/>
            <w:left w:val="none" w:sz="0" w:space="0" w:color="auto"/>
            <w:bottom w:val="none" w:sz="0" w:space="0" w:color="auto"/>
            <w:right w:val="none" w:sz="0" w:space="0" w:color="auto"/>
          </w:divBdr>
        </w:div>
        <w:div w:id="1952131587">
          <w:marLeft w:val="0"/>
          <w:marRight w:val="0"/>
          <w:marTop w:val="0"/>
          <w:marBottom w:val="0"/>
          <w:divBdr>
            <w:top w:val="none" w:sz="0" w:space="0" w:color="auto"/>
            <w:left w:val="none" w:sz="0" w:space="0" w:color="auto"/>
            <w:bottom w:val="none" w:sz="0" w:space="0" w:color="auto"/>
            <w:right w:val="none" w:sz="0" w:space="0" w:color="auto"/>
          </w:divBdr>
        </w:div>
        <w:div w:id="1281378896">
          <w:marLeft w:val="0"/>
          <w:marRight w:val="0"/>
          <w:marTop w:val="0"/>
          <w:marBottom w:val="0"/>
          <w:divBdr>
            <w:top w:val="none" w:sz="0" w:space="0" w:color="auto"/>
            <w:left w:val="none" w:sz="0" w:space="0" w:color="auto"/>
            <w:bottom w:val="none" w:sz="0" w:space="0" w:color="auto"/>
            <w:right w:val="none" w:sz="0" w:space="0" w:color="auto"/>
          </w:divBdr>
        </w:div>
        <w:div w:id="91323063">
          <w:marLeft w:val="0"/>
          <w:marRight w:val="0"/>
          <w:marTop w:val="0"/>
          <w:marBottom w:val="0"/>
          <w:divBdr>
            <w:top w:val="none" w:sz="0" w:space="0" w:color="auto"/>
            <w:left w:val="none" w:sz="0" w:space="0" w:color="auto"/>
            <w:bottom w:val="none" w:sz="0" w:space="0" w:color="auto"/>
            <w:right w:val="none" w:sz="0" w:space="0" w:color="auto"/>
          </w:divBdr>
        </w:div>
        <w:div w:id="1858618682">
          <w:marLeft w:val="0"/>
          <w:marRight w:val="0"/>
          <w:marTop w:val="0"/>
          <w:marBottom w:val="0"/>
          <w:divBdr>
            <w:top w:val="none" w:sz="0" w:space="0" w:color="auto"/>
            <w:left w:val="none" w:sz="0" w:space="0" w:color="auto"/>
            <w:bottom w:val="none" w:sz="0" w:space="0" w:color="auto"/>
            <w:right w:val="none" w:sz="0" w:space="0" w:color="auto"/>
          </w:divBdr>
        </w:div>
        <w:div w:id="1575629293">
          <w:marLeft w:val="0"/>
          <w:marRight w:val="0"/>
          <w:marTop w:val="0"/>
          <w:marBottom w:val="0"/>
          <w:divBdr>
            <w:top w:val="none" w:sz="0" w:space="0" w:color="auto"/>
            <w:left w:val="none" w:sz="0" w:space="0" w:color="auto"/>
            <w:bottom w:val="none" w:sz="0" w:space="0" w:color="auto"/>
            <w:right w:val="none" w:sz="0" w:space="0" w:color="auto"/>
          </w:divBdr>
        </w:div>
        <w:div w:id="1812672072">
          <w:marLeft w:val="0"/>
          <w:marRight w:val="0"/>
          <w:marTop w:val="0"/>
          <w:marBottom w:val="0"/>
          <w:divBdr>
            <w:top w:val="none" w:sz="0" w:space="0" w:color="auto"/>
            <w:left w:val="none" w:sz="0" w:space="0" w:color="auto"/>
            <w:bottom w:val="none" w:sz="0" w:space="0" w:color="auto"/>
            <w:right w:val="none" w:sz="0" w:space="0" w:color="auto"/>
          </w:divBdr>
        </w:div>
      </w:divsChild>
    </w:div>
    <w:div w:id="644353122">
      <w:bodyDiv w:val="1"/>
      <w:marLeft w:val="0"/>
      <w:marRight w:val="0"/>
      <w:marTop w:val="0"/>
      <w:marBottom w:val="0"/>
      <w:divBdr>
        <w:top w:val="none" w:sz="0" w:space="0" w:color="auto"/>
        <w:left w:val="none" w:sz="0" w:space="0" w:color="auto"/>
        <w:bottom w:val="none" w:sz="0" w:space="0" w:color="auto"/>
        <w:right w:val="none" w:sz="0" w:space="0" w:color="auto"/>
      </w:divBdr>
      <w:divsChild>
        <w:div w:id="1939363259">
          <w:marLeft w:val="0"/>
          <w:marRight w:val="0"/>
          <w:marTop w:val="0"/>
          <w:marBottom w:val="0"/>
          <w:divBdr>
            <w:top w:val="none" w:sz="0" w:space="0" w:color="auto"/>
            <w:left w:val="none" w:sz="0" w:space="0" w:color="auto"/>
            <w:bottom w:val="none" w:sz="0" w:space="0" w:color="auto"/>
            <w:right w:val="none" w:sz="0" w:space="0" w:color="auto"/>
          </w:divBdr>
        </w:div>
        <w:div w:id="2046640065">
          <w:marLeft w:val="0"/>
          <w:marRight w:val="0"/>
          <w:marTop w:val="0"/>
          <w:marBottom w:val="0"/>
          <w:divBdr>
            <w:top w:val="none" w:sz="0" w:space="0" w:color="auto"/>
            <w:left w:val="none" w:sz="0" w:space="0" w:color="auto"/>
            <w:bottom w:val="none" w:sz="0" w:space="0" w:color="auto"/>
            <w:right w:val="none" w:sz="0" w:space="0" w:color="auto"/>
          </w:divBdr>
        </w:div>
        <w:div w:id="1514152326">
          <w:marLeft w:val="0"/>
          <w:marRight w:val="0"/>
          <w:marTop w:val="0"/>
          <w:marBottom w:val="0"/>
          <w:divBdr>
            <w:top w:val="none" w:sz="0" w:space="0" w:color="auto"/>
            <w:left w:val="none" w:sz="0" w:space="0" w:color="auto"/>
            <w:bottom w:val="none" w:sz="0" w:space="0" w:color="auto"/>
            <w:right w:val="none" w:sz="0" w:space="0" w:color="auto"/>
          </w:divBdr>
        </w:div>
        <w:div w:id="791172847">
          <w:marLeft w:val="0"/>
          <w:marRight w:val="0"/>
          <w:marTop w:val="0"/>
          <w:marBottom w:val="0"/>
          <w:divBdr>
            <w:top w:val="none" w:sz="0" w:space="0" w:color="auto"/>
            <w:left w:val="none" w:sz="0" w:space="0" w:color="auto"/>
            <w:bottom w:val="none" w:sz="0" w:space="0" w:color="auto"/>
            <w:right w:val="none" w:sz="0" w:space="0" w:color="auto"/>
          </w:divBdr>
        </w:div>
        <w:div w:id="776101192">
          <w:marLeft w:val="0"/>
          <w:marRight w:val="0"/>
          <w:marTop w:val="0"/>
          <w:marBottom w:val="0"/>
          <w:divBdr>
            <w:top w:val="none" w:sz="0" w:space="0" w:color="auto"/>
            <w:left w:val="none" w:sz="0" w:space="0" w:color="auto"/>
            <w:bottom w:val="none" w:sz="0" w:space="0" w:color="auto"/>
            <w:right w:val="none" w:sz="0" w:space="0" w:color="auto"/>
          </w:divBdr>
        </w:div>
        <w:div w:id="926495242">
          <w:marLeft w:val="0"/>
          <w:marRight w:val="0"/>
          <w:marTop w:val="0"/>
          <w:marBottom w:val="0"/>
          <w:divBdr>
            <w:top w:val="none" w:sz="0" w:space="0" w:color="auto"/>
            <w:left w:val="none" w:sz="0" w:space="0" w:color="auto"/>
            <w:bottom w:val="none" w:sz="0" w:space="0" w:color="auto"/>
            <w:right w:val="none" w:sz="0" w:space="0" w:color="auto"/>
          </w:divBdr>
        </w:div>
        <w:div w:id="1144663641">
          <w:marLeft w:val="0"/>
          <w:marRight w:val="0"/>
          <w:marTop w:val="0"/>
          <w:marBottom w:val="0"/>
          <w:divBdr>
            <w:top w:val="none" w:sz="0" w:space="0" w:color="auto"/>
            <w:left w:val="none" w:sz="0" w:space="0" w:color="auto"/>
            <w:bottom w:val="none" w:sz="0" w:space="0" w:color="auto"/>
            <w:right w:val="none" w:sz="0" w:space="0" w:color="auto"/>
          </w:divBdr>
        </w:div>
      </w:divsChild>
    </w:div>
    <w:div w:id="1263956863">
      <w:bodyDiv w:val="1"/>
      <w:marLeft w:val="0"/>
      <w:marRight w:val="0"/>
      <w:marTop w:val="0"/>
      <w:marBottom w:val="0"/>
      <w:divBdr>
        <w:top w:val="none" w:sz="0" w:space="0" w:color="auto"/>
        <w:left w:val="none" w:sz="0" w:space="0" w:color="auto"/>
        <w:bottom w:val="none" w:sz="0" w:space="0" w:color="auto"/>
        <w:right w:val="none" w:sz="0" w:space="0" w:color="auto"/>
      </w:divBdr>
    </w:div>
    <w:div w:id="1462765630">
      <w:bodyDiv w:val="1"/>
      <w:marLeft w:val="0"/>
      <w:marRight w:val="0"/>
      <w:marTop w:val="0"/>
      <w:marBottom w:val="0"/>
      <w:divBdr>
        <w:top w:val="none" w:sz="0" w:space="0" w:color="auto"/>
        <w:left w:val="none" w:sz="0" w:space="0" w:color="auto"/>
        <w:bottom w:val="none" w:sz="0" w:space="0" w:color="auto"/>
        <w:right w:val="none" w:sz="0" w:space="0" w:color="auto"/>
      </w:divBdr>
    </w:div>
    <w:div w:id="1581521936">
      <w:bodyDiv w:val="1"/>
      <w:marLeft w:val="0"/>
      <w:marRight w:val="0"/>
      <w:marTop w:val="0"/>
      <w:marBottom w:val="0"/>
      <w:divBdr>
        <w:top w:val="none" w:sz="0" w:space="0" w:color="auto"/>
        <w:left w:val="none" w:sz="0" w:space="0" w:color="auto"/>
        <w:bottom w:val="none" w:sz="0" w:space="0" w:color="auto"/>
        <w:right w:val="none" w:sz="0" w:space="0" w:color="auto"/>
      </w:divBdr>
      <w:divsChild>
        <w:div w:id="211694419">
          <w:marLeft w:val="0"/>
          <w:marRight w:val="0"/>
          <w:marTop w:val="0"/>
          <w:marBottom w:val="0"/>
          <w:divBdr>
            <w:top w:val="none" w:sz="0" w:space="0" w:color="auto"/>
            <w:left w:val="none" w:sz="0" w:space="0" w:color="auto"/>
            <w:bottom w:val="none" w:sz="0" w:space="0" w:color="auto"/>
            <w:right w:val="none" w:sz="0" w:space="0" w:color="auto"/>
          </w:divBdr>
        </w:div>
        <w:div w:id="54008103">
          <w:marLeft w:val="0"/>
          <w:marRight w:val="0"/>
          <w:marTop w:val="0"/>
          <w:marBottom w:val="0"/>
          <w:divBdr>
            <w:top w:val="none" w:sz="0" w:space="0" w:color="auto"/>
            <w:left w:val="none" w:sz="0" w:space="0" w:color="auto"/>
            <w:bottom w:val="none" w:sz="0" w:space="0" w:color="auto"/>
            <w:right w:val="none" w:sz="0" w:space="0" w:color="auto"/>
          </w:divBdr>
        </w:div>
        <w:div w:id="77944387">
          <w:marLeft w:val="0"/>
          <w:marRight w:val="0"/>
          <w:marTop w:val="0"/>
          <w:marBottom w:val="0"/>
          <w:divBdr>
            <w:top w:val="none" w:sz="0" w:space="0" w:color="auto"/>
            <w:left w:val="none" w:sz="0" w:space="0" w:color="auto"/>
            <w:bottom w:val="none" w:sz="0" w:space="0" w:color="auto"/>
            <w:right w:val="none" w:sz="0" w:space="0" w:color="auto"/>
          </w:divBdr>
        </w:div>
        <w:div w:id="2080209154">
          <w:marLeft w:val="0"/>
          <w:marRight w:val="0"/>
          <w:marTop w:val="0"/>
          <w:marBottom w:val="0"/>
          <w:divBdr>
            <w:top w:val="none" w:sz="0" w:space="0" w:color="auto"/>
            <w:left w:val="none" w:sz="0" w:space="0" w:color="auto"/>
            <w:bottom w:val="none" w:sz="0" w:space="0" w:color="auto"/>
            <w:right w:val="none" w:sz="0" w:space="0" w:color="auto"/>
          </w:divBdr>
        </w:div>
      </w:divsChild>
    </w:div>
    <w:div w:id="2070955647">
      <w:bodyDiv w:val="1"/>
      <w:marLeft w:val="0"/>
      <w:marRight w:val="0"/>
      <w:marTop w:val="0"/>
      <w:marBottom w:val="0"/>
      <w:divBdr>
        <w:top w:val="none" w:sz="0" w:space="0" w:color="auto"/>
        <w:left w:val="none" w:sz="0" w:space="0" w:color="auto"/>
        <w:bottom w:val="none" w:sz="0" w:space="0" w:color="auto"/>
        <w:right w:val="none" w:sz="0" w:space="0" w:color="auto"/>
      </w:divBdr>
      <w:divsChild>
        <w:div w:id="1362321081">
          <w:marLeft w:val="0"/>
          <w:marRight w:val="0"/>
          <w:marTop w:val="0"/>
          <w:marBottom w:val="0"/>
          <w:divBdr>
            <w:top w:val="none" w:sz="0" w:space="0" w:color="auto"/>
            <w:left w:val="none" w:sz="0" w:space="0" w:color="auto"/>
            <w:bottom w:val="none" w:sz="0" w:space="0" w:color="auto"/>
            <w:right w:val="none" w:sz="0" w:space="0" w:color="auto"/>
          </w:divBdr>
        </w:div>
        <w:div w:id="99185396">
          <w:marLeft w:val="0"/>
          <w:marRight w:val="0"/>
          <w:marTop w:val="0"/>
          <w:marBottom w:val="0"/>
          <w:divBdr>
            <w:top w:val="none" w:sz="0" w:space="0" w:color="auto"/>
            <w:left w:val="none" w:sz="0" w:space="0" w:color="auto"/>
            <w:bottom w:val="none" w:sz="0" w:space="0" w:color="auto"/>
            <w:right w:val="none" w:sz="0" w:space="0" w:color="auto"/>
          </w:divBdr>
        </w:div>
        <w:div w:id="732313620">
          <w:marLeft w:val="0"/>
          <w:marRight w:val="0"/>
          <w:marTop w:val="0"/>
          <w:marBottom w:val="0"/>
          <w:divBdr>
            <w:top w:val="none" w:sz="0" w:space="0" w:color="auto"/>
            <w:left w:val="none" w:sz="0" w:space="0" w:color="auto"/>
            <w:bottom w:val="none" w:sz="0" w:space="0" w:color="auto"/>
            <w:right w:val="none" w:sz="0" w:space="0" w:color="auto"/>
          </w:divBdr>
        </w:div>
        <w:div w:id="19702857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TDSYNNE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linkedin.com/company/tdsynnex/" TargetMode="External"/><Relationship Id="rId2" Type="http://schemas.openxmlformats.org/officeDocument/2006/relationships/customXml" Target="../customXml/item2.xml"/><Relationship Id="rId16" Type="http://schemas.openxmlformats.org/officeDocument/2006/relationships/hyperlink" Target="https://tr.tdsynnex.com/Intouch/MVC/Microsite/Public?categorypageid=2229&amp;msmenuid=5481&amp;corpregionid=58&amp;Purpose=Microsite" TargetMode="External"/><Relationship Id="rId20" Type="http://schemas.openxmlformats.org/officeDocument/2006/relationships/hyperlink" Target="https://www.youtube.com/@TDSYNNEXEurop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r.tdsynnex.com/" TargetMode="External"/><Relationship Id="rId23" Type="http://schemas.openxmlformats.org/officeDocument/2006/relationships/fontTable" Target="fontTable.xml"/><Relationship Id="rId10" Type="http://schemas.openxmlformats.org/officeDocument/2006/relationships/hyperlink" Target="mailto:cerens@bordopr.com" TargetMode="External"/><Relationship Id="rId19" Type="http://schemas.openxmlformats.org/officeDocument/2006/relationships/hyperlink" Target="https://www.instagram.com/tdsynn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FC3A8-8A64-4057-B8BA-8A2B14405E9B}">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4D36164F-D530-4E70-B6E8-B5A6A23D0714}">
  <ds:schemaRefs>
    <ds:schemaRef ds:uri="http://schemas.microsoft.com/sharepoint/v3/contenttype/forms"/>
  </ds:schemaRefs>
</ds:datastoreItem>
</file>

<file path=customXml/itemProps3.xml><?xml version="1.0" encoding="utf-8"?>
<ds:datastoreItem xmlns:ds="http://schemas.openxmlformats.org/officeDocument/2006/customXml" ds:itemID="{52DAC9C4-C480-43EF-8EA7-A14018B61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4606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EX99.1 - FY24 Q3 Press Release</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EX99.1 - FY24 Q3 Press Release</dc:title>
  <dc:creator>Bilgin Gözel</dc:creator>
  <cp:lastModifiedBy>Ceren Şahin</cp:lastModifiedBy>
  <cp:revision>4</cp:revision>
  <dcterms:created xsi:type="dcterms:W3CDTF">2025-01-28T06:37:00Z</dcterms:created>
  <dcterms:modified xsi:type="dcterms:W3CDTF">2025-01-28T07:08:00Z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2024-09-26T10:37:00Z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996f7b00-06d3-4c4d-8d18-b2d07e967a66</vt:lpwstr>
  </property>
  <property fmtid="{D5CDD505-2E9C-101B-9397-08002B2CF9AE}" pid="8" name="MSIP_Label_3a23c400-78e7-4d42-982d-273adef68ef9_ContentBits">
    <vt:lpwstr>0</vt:lpwstr>
  </property>
  <property fmtid="{D5CDD505-2E9C-101B-9397-08002B2CF9AE}" pid="9" name="ContentTypeId">
    <vt:lpwstr>0x010100C279752B3500C649AE9E20A16EF98AF8</vt:lpwstr>
  </property>
  <property fmtid="{D5CDD505-2E9C-101B-9397-08002B2CF9AE}" pid="10" name="MediaServiceImageTags">
    <vt:lpwstr/>
  </property>
</Properties>
</file>